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4930" w:rsidRDefault="002F4930" w14:paraId="3AD3A202" w14:textId="0E4B2D35">
      <w:pPr>
        <w:tabs>
          <w:tab w:val="center" w:pos="4680"/>
        </w:tabs>
        <w:rPr>
          <w:rStyle w:val="Strong"/>
        </w:rPr>
      </w:pPr>
    </w:p>
    <w:p w:rsidR="006A34D2" w:rsidRDefault="006A34D2" w14:paraId="7511F7F5" w14:textId="61242C2F">
      <w:pPr>
        <w:tabs>
          <w:tab w:val="center" w:pos="4680"/>
        </w:tabs>
        <w:rPr>
          <w:rStyle w:val="Strong"/>
        </w:rPr>
      </w:pPr>
    </w:p>
    <w:p w:rsidRPr="0063171D" w:rsidR="006A34D2" w:rsidRDefault="006A34D2" w14:paraId="43BFE2B6" w14:textId="77777777">
      <w:pPr>
        <w:tabs>
          <w:tab w:val="center" w:pos="4680"/>
        </w:tabs>
        <w:rPr>
          <w:rStyle w:val="Strong"/>
        </w:rPr>
      </w:pPr>
    </w:p>
    <w:p w:rsidRPr="004232E9" w:rsidR="009D7B0D" w:rsidRDefault="00714A5A" w14:paraId="63FB037C" w14:textId="77777777">
      <w:pPr>
        <w:tabs>
          <w:tab w:val="center" w:pos="4680"/>
        </w:tabs>
        <w:rPr>
          <w:rFonts w:asciiTheme="minorHAnsi" w:hAnsiTheme="minorHAnsi" w:cstheme="minorHAnsi"/>
          <w:b/>
          <w:bCs/>
          <w:color w:val="000000"/>
        </w:rPr>
      </w:pPr>
      <w:r w:rsidRPr="004232E9">
        <w:rPr>
          <w:rFonts w:asciiTheme="minorHAnsi" w:hAnsiTheme="minorHAnsi" w:cstheme="minorHAnsi"/>
          <w:b/>
          <w:bCs/>
          <w:color w:val="000000"/>
        </w:rPr>
        <w:tab/>
      </w:r>
    </w:p>
    <w:p w:rsidRPr="004232E9" w:rsidR="009D7B0D" w:rsidRDefault="009D7B0D" w14:paraId="2FC1A74E" w14:textId="77777777">
      <w:pPr>
        <w:tabs>
          <w:tab w:val="center" w:pos="4680"/>
        </w:tabs>
        <w:rPr>
          <w:rFonts w:asciiTheme="minorHAnsi" w:hAnsiTheme="minorHAnsi" w:cstheme="minorHAnsi"/>
          <w:b/>
          <w:bCs/>
          <w:color w:val="000000"/>
        </w:rPr>
      </w:pPr>
    </w:p>
    <w:p w:rsidRPr="004232E9" w:rsidR="009D7B0D" w:rsidRDefault="009D7B0D" w14:paraId="333C2D75" w14:textId="77777777">
      <w:pPr>
        <w:tabs>
          <w:tab w:val="center" w:pos="4680"/>
        </w:tabs>
        <w:rPr>
          <w:rFonts w:asciiTheme="minorHAnsi" w:hAnsiTheme="minorHAnsi" w:cstheme="minorHAnsi"/>
          <w:b/>
          <w:bCs/>
          <w:color w:val="000000"/>
        </w:rPr>
      </w:pPr>
    </w:p>
    <w:p w:rsidRPr="004232E9" w:rsidR="009D7B0D" w:rsidRDefault="009D7B0D" w14:paraId="26A8BE58" w14:textId="77777777">
      <w:pPr>
        <w:tabs>
          <w:tab w:val="center" w:pos="4680"/>
        </w:tabs>
        <w:rPr>
          <w:rFonts w:asciiTheme="minorHAnsi" w:hAnsiTheme="minorHAnsi" w:cstheme="minorHAnsi"/>
          <w:b/>
          <w:bCs/>
          <w:color w:val="000000"/>
        </w:rPr>
      </w:pPr>
    </w:p>
    <w:p w:rsidRPr="004232E9" w:rsidR="009D7B0D" w:rsidRDefault="009D7B0D" w14:paraId="329AEB78" w14:textId="77777777">
      <w:pPr>
        <w:tabs>
          <w:tab w:val="center" w:pos="4680"/>
        </w:tabs>
        <w:rPr>
          <w:rFonts w:asciiTheme="minorHAnsi" w:hAnsiTheme="minorHAnsi" w:cstheme="minorHAnsi"/>
          <w:b/>
          <w:bCs/>
          <w:color w:val="000000"/>
        </w:rPr>
      </w:pPr>
    </w:p>
    <w:p w:rsidRPr="004232E9" w:rsidR="009D7B0D" w:rsidRDefault="009D7B0D" w14:paraId="7C482897" w14:textId="77777777">
      <w:pPr>
        <w:tabs>
          <w:tab w:val="center" w:pos="4680"/>
        </w:tabs>
        <w:rPr>
          <w:rFonts w:asciiTheme="minorHAnsi" w:hAnsiTheme="minorHAnsi" w:cstheme="minorHAnsi"/>
          <w:b/>
          <w:bCs/>
          <w:color w:val="000000"/>
        </w:rPr>
      </w:pPr>
    </w:p>
    <w:p w:rsidRPr="00607941" w:rsidR="00714A5A" w:rsidP="009D7B0D" w:rsidRDefault="00714A5A" w14:paraId="774A2C6D" w14:textId="6D764375">
      <w:pPr>
        <w:tabs>
          <w:tab w:val="center" w:pos="4680"/>
        </w:tabs>
        <w:jc w:val="center"/>
        <w:rPr>
          <w:rFonts w:asciiTheme="minorHAnsi" w:hAnsiTheme="minorHAnsi" w:cstheme="minorHAnsi"/>
          <w:b/>
          <w:bCs/>
          <w:color w:val="000000"/>
          <w:sz w:val="32"/>
          <w:szCs w:val="32"/>
        </w:rPr>
      </w:pPr>
      <w:r w:rsidRPr="00607941">
        <w:rPr>
          <w:rFonts w:asciiTheme="minorHAnsi" w:hAnsiTheme="minorHAnsi" w:cstheme="minorHAnsi"/>
          <w:b/>
          <w:bCs/>
          <w:color w:val="000000"/>
          <w:sz w:val="32"/>
          <w:szCs w:val="32"/>
        </w:rPr>
        <w:t>Supporting Statement</w:t>
      </w:r>
      <w:r w:rsidRPr="00607941" w:rsidR="00A516A7">
        <w:rPr>
          <w:rFonts w:asciiTheme="minorHAnsi" w:hAnsiTheme="minorHAnsi" w:cstheme="minorHAnsi"/>
          <w:b/>
          <w:bCs/>
          <w:color w:val="000000"/>
          <w:sz w:val="32"/>
          <w:szCs w:val="32"/>
        </w:rPr>
        <w:t xml:space="preserve"> B</w:t>
      </w:r>
      <w:r w:rsidRPr="00607941">
        <w:rPr>
          <w:rFonts w:asciiTheme="minorHAnsi" w:hAnsiTheme="minorHAnsi" w:cstheme="minorHAnsi"/>
          <w:b/>
          <w:bCs/>
          <w:color w:val="000000"/>
          <w:sz w:val="32"/>
          <w:szCs w:val="32"/>
        </w:rPr>
        <w:t xml:space="preserve"> for </w:t>
      </w:r>
      <w:r w:rsidR="00A62018">
        <w:rPr>
          <w:rFonts w:asciiTheme="minorHAnsi" w:hAnsiTheme="minorHAnsi" w:cstheme="minorHAnsi"/>
          <w:b/>
          <w:bCs/>
          <w:color w:val="000000"/>
          <w:sz w:val="32"/>
          <w:szCs w:val="32"/>
        </w:rPr>
        <w:t xml:space="preserve">Reinstatement </w:t>
      </w:r>
      <w:r w:rsidRPr="00607941">
        <w:rPr>
          <w:rFonts w:asciiTheme="minorHAnsi" w:hAnsiTheme="minorHAnsi" w:cstheme="minorHAnsi"/>
          <w:b/>
          <w:bCs/>
          <w:color w:val="000000"/>
          <w:sz w:val="32"/>
          <w:szCs w:val="32"/>
        </w:rPr>
        <w:t>Request:</w:t>
      </w:r>
    </w:p>
    <w:p w:rsidRPr="00607941" w:rsidR="00A516A7" w:rsidRDefault="00A516A7" w14:paraId="7397504C" w14:textId="77777777">
      <w:pPr>
        <w:tabs>
          <w:tab w:val="center" w:pos="4680"/>
        </w:tabs>
        <w:rPr>
          <w:rFonts w:asciiTheme="minorHAnsi" w:hAnsiTheme="minorHAnsi" w:cstheme="minorHAnsi"/>
          <w:b/>
          <w:bCs/>
          <w:color w:val="000000"/>
          <w:sz w:val="32"/>
          <w:szCs w:val="32"/>
        </w:rPr>
      </w:pPr>
    </w:p>
    <w:p w:rsidRPr="001E58C4" w:rsidR="00714A5A" w:rsidP="00A516A7" w:rsidRDefault="00714A5A" w14:paraId="0EF079CF" w14:textId="4F60594B">
      <w:pPr>
        <w:tabs>
          <w:tab w:val="center" w:pos="4680"/>
        </w:tabs>
        <w:jc w:val="center"/>
        <w:rPr>
          <w:rFonts w:asciiTheme="minorHAnsi" w:hAnsiTheme="minorHAnsi" w:cstheme="minorHAnsi"/>
          <w:b/>
          <w:bCs/>
          <w:color w:val="0000FF"/>
          <w:sz w:val="32"/>
          <w:szCs w:val="32"/>
        </w:rPr>
      </w:pPr>
      <w:r w:rsidRPr="00607941">
        <w:rPr>
          <w:rFonts w:asciiTheme="minorHAnsi" w:hAnsiTheme="minorHAnsi" w:cstheme="minorHAnsi"/>
          <w:b/>
          <w:bCs/>
          <w:color w:val="000000"/>
          <w:sz w:val="32"/>
          <w:szCs w:val="32"/>
        </w:rPr>
        <w:t xml:space="preserve">NATIONAL SURVEY OF FAMILY </w:t>
      </w:r>
      <w:r w:rsidRPr="001E58C4">
        <w:rPr>
          <w:rFonts w:asciiTheme="minorHAnsi" w:hAnsiTheme="minorHAnsi" w:cstheme="minorHAnsi"/>
          <w:b/>
          <w:bCs/>
          <w:color w:val="000000"/>
          <w:sz w:val="32"/>
          <w:szCs w:val="32"/>
        </w:rPr>
        <w:t>GROWTH</w:t>
      </w:r>
    </w:p>
    <w:p w:rsidRPr="001E58C4" w:rsidR="00714A5A" w:rsidRDefault="00714A5A" w14:paraId="3A7DB9F7" w14:textId="77777777">
      <w:pPr>
        <w:rPr>
          <w:rFonts w:asciiTheme="minorHAnsi" w:hAnsiTheme="minorHAnsi" w:cstheme="minorHAnsi"/>
          <w:bCs/>
          <w:color w:val="000000"/>
          <w:sz w:val="32"/>
          <w:szCs w:val="32"/>
          <w:u w:val="single"/>
        </w:rPr>
      </w:pPr>
    </w:p>
    <w:p w:rsidRPr="001E58C4" w:rsidR="007035CB" w:rsidP="00E537C5" w:rsidRDefault="00E537C5" w14:paraId="04540250" w14:textId="77777777">
      <w:pPr>
        <w:jc w:val="center"/>
        <w:rPr>
          <w:rFonts w:asciiTheme="minorHAnsi" w:hAnsiTheme="minorHAnsi" w:cstheme="minorHAnsi"/>
          <w:bCs/>
          <w:color w:val="000000"/>
          <w:sz w:val="28"/>
          <w:szCs w:val="28"/>
        </w:rPr>
      </w:pPr>
      <w:r w:rsidRPr="001E58C4">
        <w:rPr>
          <w:rFonts w:asciiTheme="minorHAnsi" w:hAnsiTheme="minorHAnsi" w:cstheme="minorHAnsi"/>
          <w:bCs/>
          <w:color w:val="000000"/>
          <w:sz w:val="28"/>
          <w:szCs w:val="28"/>
        </w:rPr>
        <w:t xml:space="preserve">OMB No. </w:t>
      </w:r>
      <w:r w:rsidRPr="001E58C4" w:rsidR="008552E9">
        <w:rPr>
          <w:rFonts w:asciiTheme="minorHAnsi" w:hAnsiTheme="minorHAnsi" w:cstheme="minorHAnsi"/>
          <w:bCs/>
          <w:color w:val="000000"/>
          <w:sz w:val="28"/>
          <w:szCs w:val="28"/>
        </w:rPr>
        <w:t>0920-0314</w:t>
      </w:r>
    </w:p>
    <w:p w:rsidRPr="008B7063" w:rsidR="000565C9" w:rsidP="000565C9" w:rsidRDefault="000565C9" w14:paraId="633A6396" w14:textId="2F76CAE1">
      <w:pPr>
        <w:jc w:val="center"/>
        <w:rPr>
          <w:rFonts w:ascii="Calibri" w:hAnsi="Calibri" w:cs="Calibri"/>
          <w:bCs/>
          <w:color w:val="000000"/>
        </w:rPr>
      </w:pPr>
      <w:r w:rsidRPr="001E58C4">
        <w:rPr>
          <w:rFonts w:ascii="Calibri" w:hAnsi="Calibri" w:cs="Calibri"/>
          <w:bCs/>
          <w:color w:val="000000"/>
        </w:rPr>
        <w:t xml:space="preserve">(Exp. Date June 30, 2021; </w:t>
      </w:r>
      <w:r w:rsidRPr="00601764">
        <w:rPr>
          <w:rFonts w:ascii="Calibri" w:hAnsi="Calibri" w:cs="Calibri"/>
          <w:bCs/>
          <w:color w:val="000000"/>
        </w:rPr>
        <w:t xml:space="preserve">Discontinued </w:t>
      </w:r>
      <w:r w:rsidRPr="00601764" w:rsidR="00EF4A9C">
        <w:rPr>
          <w:rFonts w:ascii="Calibri" w:hAnsi="Calibri" w:cs="Calibri"/>
          <w:bCs/>
          <w:color w:val="000000"/>
        </w:rPr>
        <w:t>May 31</w:t>
      </w:r>
      <w:r w:rsidRPr="00601764">
        <w:rPr>
          <w:rFonts w:ascii="Calibri" w:hAnsi="Calibri" w:cs="Calibri"/>
          <w:bCs/>
          <w:color w:val="000000"/>
        </w:rPr>
        <w:t>, 2021</w:t>
      </w:r>
      <w:r w:rsidRPr="001E58C4">
        <w:rPr>
          <w:rFonts w:ascii="Calibri" w:hAnsi="Calibri" w:cs="Calibri"/>
          <w:bCs/>
          <w:color w:val="000000"/>
        </w:rPr>
        <w:t>)</w:t>
      </w:r>
    </w:p>
    <w:p w:rsidRPr="004232E9" w:rsidR="007035CB" w:rsidP="00E537C5" w:rsidRDefault="007035CB" w14:paraId="08CB293D" w14:textId="77777777">
      <w:pPr>
        <w:jc w:val="center"/>
        <w:rPr>
          <w:rFonts w:asciiTheme="minorHAnsi" w:hAnsiTheme="minorHAnsi" w:cstheme="minorHAnsi"/>
          <w:bCs/>
          <w:color w:val="000000"/>
          <w:sz w:val="28"/>
          <w:szCs w:val="28"/>
        </w:rPr>
      </w:pPr>
    </w:p>
    <w:p w:rsidRPr="004232E9" w:rsidR="004608E7" w:rsidP="00E537C5" w:rsidRDefault="004608E7" w14:paraId="74F9AC73" w14:textId="77777777">
      <w:pPr>
        <w:jc w:val="center"/>
        <w:rPr>
          <w:rFonts w:asciiTheme="minorHAnsi" w:hAnsiTheme="minorHAnsi" w:cstheme="minorHAnsi"/>
          <w:bCs/>
          <w:color w:val="000000"/>
          <w:sz w:val="28"/>
          <w:szCs w:val="28"/>
        </w:rPr>
      </w:pPr>
    </w:p>
    <w:p w:rsidRPr="004232E9" w:rsidR="007035CB" w:rsidP="00E537C5" w:rsidRDefault="007035CB" w14:paraId="106856BB" w14:textId="77777777">
      <w:pPr>
        <w:jc w:val="center"/>
        <w:rPr>
          <w:rFonts w:asciiTheme="minorHAnsi" w:hAnsiTheme="minorHAnsi" w:cstheme="minorHAnsi"/>
          <w:bCs/>
          <w:color w:val="000000"/>
          <w:sz w:val="28"/>
          <w:szCs w:val="28"/>
        </w:rPr>
      </w:pPr>
      <w:r w:rsidRPr="004232E9">
        <w:rPr>
          <w:rFonts w:asciiTheme="minorHAnsi" w:hAnsiTheme="minorHAnsi" w:cstheme="minorHAnsi"/>
          <w:bCs/>
          <w:color w:val="000000"/>
          <w:sz w:val="28"/>
          <w:szCs w:val="28"/>
        </w:rPr>
        <w:t xml:space="preserve">Contact Information:  </w:t>
      </w:r>
    </w:p>
    <w:p w:rsidRPr="004232E9" w:rsidR="007035CB" w:rsidP="00E537C5" w:rsidRDefault="007035CB" w14:paraId="0DD40101" w14:textId="77777777">
      <w:pPr>
        <w:jc w:val="center"/>
        <w:rPr>
          <w:rFonts w:asciiTheme="minorHAnsi" w:hAnsiTheme="minorHAnsi" w:cstheme="minorHAnsi"/>
          <w:bCs/>
          <w:color w:val="000000"/>
          <w:sz w:val="28"/>
          <w:szCs w:val="28"/>
        </w:rPr>
      </w:pPr>
    </w:p>
    <w:p w:rsidRPr="00753C3A" w:rsidR="003439E0" w:rsidP="003439E0" w:rsidRDefault="003439E0" w14:paraId="19373844" w14:textId="506884BF">
      <w:pPr>
        <w:jc w:val="center"/>
        <w:rPr>
          <w:rFonts w:ascii="Calibri" w:hAnsi="Calibri" w:cs="Calibri"/>
          <w:bCs/>
          <w:color w:val="000000"/>
          <w:sz w:val="28"/>
          <w:szCs w:val="28"/>
        </w:rPr>
      </w:pPr>
      <w:r>
        <w:rPr>
          <w:rFonts w:ascii="Calibri" w:hAnsi="Calibri" w:cs="Calibri"/>
          <w:bCs/>
          <w:color w:val="000000"/>
          <w:sz w:val="28"/>
          <w:szCs w:val="28"/>
        </w:rPr>
        <w:t>Anjani Chandra</w:t>
      </w:r>
      <w:r w:rsidRPr="00753C3A">
        <w:rPr>
          <w:rFonts w:ascii="Calibri" w:hAnsi="Calibri" w:cs="Calibri"/>
          <w:bCs/>
          <w:color w:val="000000"/>
          <w:sz w:val="28"/>
          <w:szCs w:val="28"/>
        </w:rPr>
        <w:t>, Ph.D.</w:t>
      </w:r>
    </w:p>
    <w:p w:rsidR="003439E0" w:rsidP="003439E0" w:rsidRDefault="003439E0" w14:paraId="76764551" w14:textId="77777777">
      <w:pPr>
        <w:jc w:val="center"/>
        <w:rPr>
          <w:rFonts w:ascii="Calibri" w:hAnsi="Calibri" w:cs="Calibri"/>
          <w:bCs/>
          <w:color w:val="000000"/>
          <w:sz w:val="28"/>
          <w:szCs w:val="28"/>
        </w:rPr>
      </w:pPr>
      <w:r>
        <w:rPr>
          <w:rFonts w:ascii="Calibri" w:hAnsi="Calibri" w:cs="Calibri"/>
          <w:bCs/>
          <w:color w:val="000000"/>
          <w:sz w:val="28"/>
          <w:szCs w:val="28"/>
        </w:rPr>
        <w:t>Principal Investigator and Team Lead</w:t>
      </w:r>
    </w:p>
    <w:p w:rsidR="003439E0" w:rsidP="003439E0" w:rsidRDefault="003439E0" w14:paraId="324E329B" w14:textId="77777777">
      <w:pPr>
        <w:jc w:val="center"/>
        <w:rPr>
          <w:rFonts w:ascii="Calibri" w:hAnsi="Calibri" w:cs="Calibri"/>
          <w:bCs/>
          <w:color w:val="000000"/>
          <w:sz w:val="28"/>
          <w:szCs w:val="28"/>
        </w:rPr>
      </w:pPr>
      <w:r w:rsidRPr="00753C3A">
        <w:rPr>
          <w:rFonts w:ascii="Calibri" w:hAnsi="Calibri" w:cs="Calibri"/>
          <w:bCs/>
          <w:color w:val="000000"/>
          <w:sz w:val="28"/>
          <w:szCs w:val="28"/>
        </w:rPr>
        <w:t>National Survey of Family Growth</w:t>
      </w:r>
      <w:r>
        <w:rPr>
          <w:rFonts w:ascii="Calibri" w:hAnsi="Calibri" w:cs="Calibri"/>
          <w:bCs/>
          <w:color w:val="000000"/>
          <w:sz w:val="28"/>
          <w:szCs w:val="28"/>
        </w:rPr>
        <w:t xml:space="preserve"> Team</w:t>
      </w:r>
    </w:p>
    <w:p w:rsidRPr="00753C3A" w:rsidR="003439E0" w:rsidP="003439E0" w:rsidRDefault="003439E0" w14:paraId="7CF839A6" w14:textId="77777777">
      <w:pPr>
        <w:jc w:val="center"/>
        <w:rPr>
          <w:rFonts w:ascii="Calibri" w:hAnsi="Calibri" w:cs="Calibri"/>
          <w:bCs/>
          <w:color w:val="000000"/>
          <w:sz w:val="28"/>
          <w:szCs w:val="28"/>
        </w:rPr>
      </w:pPr>
      <w:r>
        <w:rPr>
          <w:rFonts w:ascii="Calibri" w:hAnsi="Calibri" w:cs="Calibri"/>
          <w:bCs/>
          <w:color w:val="000000"/>
          <w:sz w:val="28"/>
          <w:szCs w:val="28"/>
        </w:rPr>
        <w:t>Division of Vital Statistics/Reproductive Statistics Branch</w:t>
      </w:r>
    </w:p>
    <w:p w:rsidRPr="00753C3A" w:rsidR="003439E0" w:rsidP="003439E0" w:rsidRDefault="003B0733" w14:paraId="59C8913C" w14:textId="77777777">
      <w:pPr>
        <w:jc w:val="center"/>
        <w:rPr>
          <w:rFonts w:ascii="Calibri" w:hAnsi="Calibri" w:cs="Calibri"/>
          <w:bCs/>
          <w:color w:val="000000"/>
          <w:sz w:val="28"/>
          <w:szCs w:val="28"/>
        </w:rPr>
      </w:pPr>
      <w:r>
        <w:rPr>
          <w:rFonts w:ascii="Calibri" w:hAnsi="Calibri" w:cs="Calibri"/>
          <w:bCs/>
          <w:color w:val="000000"/>
          <w:sz w:val="28"/>
          <w:szCs w:val="28"/>
        </w:rPr>
        <w:t>CDC/</w:t>
      </w:r>
      <w:r w:rsidRPr="00753C3A" w:rsidR="003439E0">
        <w:rPr>
          <w:rFonts w:ascii="Calibri" w:hAnsi="Calibri" w:cs="Calibri"/>
          <w:bCs/>
          <w:color w:val="000000"/>
          <w:sz w:val="28"/>
          <w:szCs w:val="28"/>
        </w:rPr>
        <w:t xml:space="preserve">National </w:t>
      </w:r>
      <w:r>
        <w:rPr>
          <w:rFonts w:ascii="Calibri" w:hAnsi="Calibri" w:cs="Calibri"/>
          <w:bCs/>
          <w:color w:val="000000"/>
          <w:sz w:val="28"/>
          <w:szCs w:val="28"/>
        </w:rPr>
        <w:t>Center for Health Statistics</w:t>
      </w:r>
    </w:p>
    <w:p w:rsidRPr="00753C3A" w:rsidR="003439E0" w:rsidP="003439E0" w:rsidRDefault="003439E0" w14:paraId="7E78956B" w14:textId="0DBFFA28">
      <w:pPr>
        <w:jc w:val="center"/>
        <w:rPr>
          <w:rFonts w:ascii="Calibri" w:hAnsi="Calibri" w:cs="Calibri"/>
          <w:bCs/>
          <w:color w:val="000000"/>
          <w:sz w:val="28"/>
          <w:szCs w:val="28"/>
        </w:rPr>
      </w:pPr>
      <w:r w:rsidRPr="00753C3A">
        <w:rPr>
          <w:rFonts w:ascii="Calibri" w:hAnsi="Calibri" w:cs="Calibri"/>
          <w:bCs/>
          <w:color w:val="000000"/>
          <w:sz w:val="28"/>
          <w:szCs w:val="28"/>
        </w:rPr>
        <w:t xml:space="preserve">3311 Toledo Road, Room </w:t>
      </w:r>
      <w:r w:rsidR="005259C2">
        <w:rPr>
          <w:rFonts w:ascii="Calibri" w:hAnsi="Calibri" w:cs="Calibri"/>
          <w:bCs/>
          <w:color w:val="000000"/>
          <w:sz w:val="28"/>
          <w:szCs w:val="28"/>
        </w:rPr>
        <w:t>5414</w:t>
      </w:r>
    </w:p>
    <w:p w:rsidRPr="00753C3A" w:rsidR="003439E0" w:rsidP="003439E0" w:rsidRDefault="003439E0" w14:paraId="730915EA" w14:textId="77777777">
      <w:pPr>
        <w:jc w:val="center"/>
        <w:rPr>
          <w:rFonts w:ascii="Calibri" w:hAnsi="Calibri" w:cs="Calibri"/>
          <w:bCs/>
          <w:color w:val="000000"/>
          <w:sz w:val="28"/>
          <w:szCs w:val="28"/>
        </w:rPr>
      </w:pPr>
      <w:r w:rsidRPr="00753C3A">
        <w:rPr>
          <w:rFonts w:ascii="Calibri" w:hAnsi="Calibri" w:cs="Calibri"/>
          <w:bCs/>
          <w:color w:val="000000"/>
          <w:sz w:val="28"/>
          <w:szCs w:val="28"/>
        </w:rPr>
        <w:t>Hyattsville, MD. 20782</w:t>
      </w:r>
    </w:p>
    <w:p w:rsidRPr="00753C3A" w:rsidR="003439E0" w:rsidP="003439E0" w:rsidRDefault="003439E0" w14:paraId="3E9AAF83" w14:textId="77777777">
      <w:pPr>
        <w:jc w:val="center"/>
        <w:rPr>
          <w:rFonts w:ascii="Calibri" w:hAnsi="Calibri" w:cs="Calibri"/>
          <w:bCs/>
          <w:color w:val="000000"/>
          <w:sz w:val="28"/>
          <w:szCs w:val="28"/>
        </w:rPr>
      </w:pPr>
      <w:r w:rsidRPr="00753C3A">
        <w:rPr>
          <w:rFonts w:ascii="Calibri" w:hAnsi="Calibri" w:cs="Calibri"/>
          <w:bCs/>
          <w:color w:val="000000"/>
          <w:sz w:val="28"/>
          <w:szCs w:val="28"/>
        </w:rPr>
        <w:t>301-458-4</w:t>
      </w:r>
      <w:r>
        <w:rPr>
          <w:rFonts w:ascii="Calibri" w:hAnsi="Calibri" w:cs="Calibri"/>
          <w:bCs/>
          <w:color w:val="000000"/>
          <w:sz w:val="28"/>
          <w:szCs w:val="28"/>
        </w:rPr>
        <w:t>138</w:t>
      </w:r>
    </w:p>
    <w:p w:rsidRPr="00753C3A" w:rsidR="003439E0" w:rsidP="003439E0" w:rsidRDefault="003439E0" w14:paraId="4F4C1805" w14:textId="72281D5F">
      <w:pPr>
        <w:jc w:val="center"/>
        <w:rPr>
          <w:rFonts w:ascii="Calibri" w:hAnsi="Calibri" w:cs="Calibri"/>
          <w:bCs/>
          <w:color w:val="000000"/>
          <w:sz w:val="28"/>
          <w:szCs w:val="28"/>
        </w:rPr>
      </w:pPr>
      <w:r w:rsidRPr="00753C3A">
        <w:rPr>
          <w:rFonts w:ascii="Calibri" w:hAnsi="Calibri" w:cs="Calibri"/>
          <w:bCs/>
          <w:color w:val="000000"/>
          <w:sz w:val="28"/>
          <w:szCs w:val="28"/>
        </w:rPr>
        <w:t>301-458-403</w:t>
      </w:r>
      <w:r w:rsidR="005259C2">
        <w:rPr>
          <w:rFonts w:ascii="Calibri" w:hAnsi="Calibri" w:cs="Calibri"/>
          <w:bCs/>
          <w:color w:val="000000"/>
          <w:sz w:val="28"/>
          <w:szCs w:val="28"/>
        </w:rPr>
        <w:t>4</w:t>
      </w:r>
      <w:r w:rsidRPr="00753C3A">
        <w:rPr>
          <w:rFonts w:ascii="Calibri" w:hAnsi="Calibri" w:cs="Calibri"/>
          <w:bCs/>
          <w:color w:val="000000"/>
          <w:sz w:val="28"/>
          <w:szCs w:val="28"/>
        </w:rPr>
        <w:t xml:space="preserve"> (fax)</w:t>
      </w:r>
    </w:p>
    <w:p w:rsidR="001227F2" w:rsidP="001227F2" w:rsidRDefault="003439E0" w14:paraId="3092188E" w14:textId="77777777">
      <w:pPr>
        <w:jc w:val="center"/>
        <w:rPr>
          <w:rStyle w:val="Hyperlink"/>
          <w:rFonts w:ascii="Calibri" w:hAnsi="Calibri" w:cs="Calibri"/>
          <w:bCs/>
          <w:color w:val="000000"/>
          <w:sz w:val="28"/>
          <w:szCs w:val="28"/>
        </w:rPr>
      </w:pPr>
      <w:r w:rsidRPr="00BB6BE2">
        <w:rPr>
          <w:rFonts w:ascii="Calibri" w:hAnsi="Calibri" w:cs="Calibri"/>
          <w:bCs/>
          <w:color w:val="000000"/>
          <w:sz w:val="28"/>
          <w:szCs w:val="28"/>
          <w:u w:val="single"/>
        </w:rPr>
        <w:t>achandra</w:t>
      </w:r>
      <w:hyperlink w:history="1" r:id="rId8">
        <w:r w:rsidRPr="00BB6BE2">
          <w:rPr>
            <w:rStyle w:val="Hyperlink"/>
            <w:rFonts w:ascii="Calibri" w:hAnsi="Calibri" w:cs="Calibri"/>
            <w:bCs/>
            <w:color w:val="000000"/>
            <w:sz w:val="28"/>
            <w:szCs w:val="28"/>
          </w:rPr>
          <w:t>@cdc.gov</w:t>
        </w:r>
      </w:hyperlink>
    </w:p>
    <w:p w:rsidR="001227F2" w:rsidP="001227F2" w:rsidRDefault="001227F2" w14:paraId="6C2C8F68" w14:textId="77777777">
      <w:pPr>
        <w:jc w:val="center"/>
        <w:rPr>
          <w:rStyle w:val="Hyperlink"/>
          <w:rFonts w:ascii="Calibri" w:hAnsi="Calibri" w:cs="Calibri"/>
          <w:bCs/>
          <w:color w:val="000000"/>
          <w:sz w:val="28"/>
          <w:szCs w:val="28"/>
        </w:rPr>
      </w:pPr>
    </w:p>
    <w:p w:rsidR="001227F2" w:rsidP="001227F2" w:rsidRDefault="001227F2" w14:paraId="37A10489" w14:textId="77777777">
      <w:pPr>
        <w:jc w:val="center"/>
        <w:rPr>
          <w:rStyle w:val="Hyperlink"/>
          <w:rFonts w:ascii="Calibri" w:hAnsi="Calibri" w:cs="Calibri"/>
          <w:bCs/>
          <w:color w:val="000000"/>
          <w:sz w:val="28"/>
          <w:szCs w:val="28"/>
        </w:rPr>
      </w:pPr>
    </w:p>
    <w:p w:rsidRPr="004232E9" w:rsidR="001227F2" w:rsidP="001227F2" w:rsidRDefault="00FC3367" w14:paraId="2DB1FE98" w14:textId="648DAA79">
      <w:pPr>
        <w:jc w:val="center"/>
        <w:rPr>
          <w:rFonts w:asciiTheme="minorHAnsi" w:hAnsiTheme="minorHAnsi" w:cstheme="minorHAnsi"/>
          <w:bCs/>
          <w:color w:val="000000"/>
          <w:sz w:val="28"/>
          <w:szCs w:val="28"/>
        </w:rPr>
      </w:pPr>
      <w:r>
        <w:rPr>
          <w:rFonts w:asciiTheme="minorHAnsi" w:hAnsiTheme="minorHAnsi" w:cstheme="minorHAnsi"/>
          <w:bCs/>
          <w:color w:val="000000"/>
          <w:sz w:val="28"/>
          <w:szCs w:val="28"/>
        </w:rPr>
        <w:t>December 2</w:t>
      </w:r>
      <w:r w:rsidRPr="00601764" w:rsidR="001227F2">
        <w:rPr>
          <w:rFonts w:asciiTheme="minorHAnsi" w:hAnsiTheme="minorHAnsi" w:cstheme="minorHAnsi"/>
          <w:bCs/>
          <w:color w:val="000000"/>
          <w:sz w:val="28"/>
          <w:szCs w:val="28"/>
        </w:rPr>
        <w:t>, 2021</w:t>
      </w:r>
    </w:p>
    <w:p w:rsidR="003439E0" w:rsidP="003439E0" w:rsidRDefault="003439E0" w14:paraId="35425314" w14:textId="2080DD05">
      <w:pPr>
        <w:jc w:val="center"/>
        <w:rPr>
          <w:rStyle w:val="Hyperlink"/>
          <w:rFonts w:ascii="Calibri" w:hAnsi="Calibri" w:cs="Calibri"/>
          <w:bCs/>
          <w:color w:val="000000"/>
          <w:sz w:val="28"/>
          <w:szCs w:val="28"/>
        </w:rPr>
      </w:pPr>
    </w:p>
    <w:p w:rsidR="00266CBA" w:rsidP="003439E0" w:rsidRDefault="00266CBA" w14:paraId="04EDAC91" w14:textId="2D01E0DD">
      <w:pPr>
        <w:jc w:val="center"/>
        <w:rPr>
          <w:rStyle w:val="Hyperlink"/>
          <w:rFonts w:ascii="Calibri" w:hAnsi="Calibri" w:cs="Calibri"/>
          <w:bCs/>
          <w:color w:val="000000"/>
          <w:sz w:val="28"/>
          <w:szCs w:val="28"/>
        </w:rPr>
      </w:pPr>
    </w:p>
    <w:p w:rsidR="00266CBA" w:rsidP="003439E0" w:rsidRDefault="00266CBA" w14:paraId="3C1C3BE0" w14:textId="2231E60E">
      <w:pPr>
        <w:jc w:val="center"/>
        <w:rPr>
          <w:rStyle w:val="Hyperlink"/>
          <w:rFonts w:ascii="Calibri" w:hAnsi="Calibri" w:cs="Calibri"/>
          <w:bCs/>
          <w:color w:val="000000"/>
          <w:sz w:val="28"/>
          <w:szCs w:val="28"/>
        </w:rPr>
      </w:pPr>
    </w:p>
    <w:p w:rsidR="00266CBA" w:rsidP="003439E0" w:rsidRDefault="00266CBA" w14:paraId="6F536D37" w14:textId="6E91D7C8">
      <w:pPr>
        <w:jc w:val="center"/>
        <w:rPr>
          <w:rStyle w:val="Hyperlink"/>
          <w:rFonts w:ascii="Calibri" w:hAnsi="Calibri" w:cs="Calibri"/>
          <w:bCs/>
          <w:color w:val="000000"/>
          <w:sz w:val="28"/>
          <w:szCs w:val="28"/>
        </w:rPr>
      </w:pPr>
    </w:p>
    <w:p w:rsidRPr="00BB6BE2" w:rsidR="00266CBA" w:rsidP="003439E0" w:rsidRDefault="00266CBA" w14:paraId="6C0FF6C9" w14:textId="77777777">
      <w:pPr>
        <w:jc w:val="center"/>
        <w:rPr>
          <w:rFonts w:ascii="Calibri" w:hAnsi="Calibri" w:cs="Calibri"/>
          <w:bCs/>
          <w:color w:val="000000"/>
          <w:sz w:val="28"/>
          <w:szCs w:val="28"/>
          <w:u w:val="single"/>
        </w:rPr>
      </w:pPr>
    </w:p>
    <w:p w:rsidRPr="004232E9" w:rsidR="00320AC3" w:rsidP="00E537C5" w:rsidRDefault="00320AC3" w14:paraId="4C7A093F" w14:textId="77777777">
      <w:pPr>
        <w:jc w:val="center"/>
        <w:rPr>
          <w:rFonts w:asciiTheme="minorHAnsi" w:hAnsiTheme="minorHAnsi" w:cstheme="minorHAnsi"/>
          <w:b/>
          <w:bCs/>
          <w:sz w:val="28"/>
          <w:szCs w:val="28"/>
          <w:u w:val="single"/>
        </w:rPr>
      </w:pPr>
    </w:p>
    <w:p w:rsidRPr="004232E9" w:rsidR="00864E18" w:rsidP="00320AC3" w:rsidRDefault="00864E18" w14:paraId="00C18DB5" w14:textId="77777777">
      <w:pPr>
        <w:rPr>
          <w:rFonts w:asciiTheme="minorHAnsi" w:hAnsiTheme="minorHAnsi" w:cstheme="minorHAnsi"/>
          <w:b/>
          <w:bCs/>
          <w:color w:val="0000FF"/>
        </w:rPr>
      </w:pPr>
    </w:p>
    <w:p w:rsidR="00CC50AC" w:rsidP="00CC50AC" w:rsidRDefault="00CC50AC" w14:paraId="17102D7A" w14:textId="60CE6638">
      <w:pPr>
        <w:jc w:val="center"/>
        <w:rPr>
          <w:rFonts w:ascii="Calibri" w:hAnsi="Calibri" w:cs="Calibri"/>
          <w:b/>
          <w:bCs/>
          <w:color w:val="000000"/>
        </w:rPr>
      </w:pPr>
      <w:r>
        <w:rPr>
          <w:rFonts w:ascii="Calibri" w:hAnsi="Calibri" w:cs="Calibri"/>
          <w:b/>
          <w:bCs/>
          <w:color w:val="000000"/>
        </w:rPr>
        <w:lastRenderedPageBreak/>
        <w:t xml:space="preserve">Supporting Statement </w:t>
      </w:r>
      <w:r w:rsidR="000F3A62">
        <w:rPr>
          <w:rFonts w:ascii="Calibri" w:hAnsi="Calibri" w:cs="Calibri"/>
          <w:b/>
          <w:bCs/>
          <w:color w:val="000000"/>
        </w:rPr>
        <w:t>B</w:t>
      </w:r>
      <w:r>
        <w:rPr>
          <w:rFonts w:ascii="Calibri" w:hAnsi="Calibri" w:cs="Calibri"/>
          <w:b/>
          <w:bCs/>
          <w:color w:val="000000"/>
        </w:rPr>
        <w:t xml:space="preserve"> for Reinstatement Request:</w:t>
      </w:r>
    </w:p>
    <w:p w:rsidR="00CC50AC" w:rsidP="00CC50AC" w:rsidRDefault="00CC50AC" w14:paraId="70858583" w14:textId="77777777">
      <w:pPr>
        <w:jc w:val="center"/>
        <w:rPr>
          <w:rFonts w:ascii="Calibri" w:hAnsi="Calibri" w:cs="Calibri"/>
          <w:b/>
          <w:bCs/>
          <w:color w:val="000000"/>
        </w:rPr>
      </w:pPr>
      <w:r>
        <w:rPr>
          <w:rFonts w:ascii="Calibri" w:hAnsi="Calibri" w:cs="Calibri"/>
          <w:b/>
          <w:bCs/>
          <w:color w:val="000000"/>
        </w:rPr>
        <w:t xml:space="preserve">NATIONAL SURVEY OF FAMILY GROWTH </w:t>
      </w:r>
    </w:p>
    <w:p w:rsidRPr="008551C5" w:rsidR="000565C9" w:rsidP="005C5B61" w:rsidRDefault="000565C9" w14:paraId="275A618F" w14:textId="12C790BC">
      <w:pPr>
        <w:jc w:val="center"/>
        <w:rPr>
          <w:rFonts w:asciiTheme="minorHAnsi" w:hAnsiTheme="minorHAnsi" w:cstheme="minorHAnsi"/>
          <w:b/>
          <w:bCs/>
          <w:color w:val="000000"/>
          <w:sz w:val="22"/>
          <w:szCs w:val="22"/>
        </w:rPr>
      </w:pPr>
    </w:p>
    <w:p w:rsidRPr="008551C5" w:rsidR="00714A5A" w:rsidP="005C5B61" w:rsidRDefault="005F5006" w14:paraId="4C93D1E5" w14:textId="26DC2692">
      <w:pPr>
        <w:jc w:val="center"/>
        <w:rPr>
          <w:rFonts w:asciiTheme="minorHAnsi" w:hAnsiTheme="minorHAnsi" w:cstheme="minorHAnsi"/>
          <w:b/>
          <w:bCs/>
          <w:sz w:val="22"/>
          <w:szCs w:val="22"/>
          <w:u w:val="single"/>
        </w:rPr>
      </w:pPr>
      <w:r w:rsidRPr="008551C5">
        <w:rPr>
          <w:rFonts w:asciiTheme="minorHAnsi" w:hAnsiTheme="minorHAnsi" w:cstheme="minorHAnsi"/>
          <w:b/>
          <w:bCs/>
          <w:sz w:val="22"/>
          <w:szCs w:val="22"/>
          <w:u w:val="single"/>
        </w:rPr>
        <w:t xml:space="preserve">Collection of Information Employing </w:t>
      </w:r>
      <w:r w:rsidRPr="008551C5" w:rsidR="00714A5A">
        <w:rPr>
          <w:rFonts w:asciiTheme="minorHAnsi" w:hAnsiTheme="minorHAnsi" w:cstheme="minorHAnsi"/>
          <w:b/>
          <w:bCs/>
          <w:sz w:val="22"/>
          <w:szCs w:val="22"/>
          <w:u w:val="single"/>
        </w:rPr>
        <w:t>Statistical Methods</w:t>
      </w:r>
    </w:p>
    <w:sdt>
      <w:sdtPr>
        <w:rPr>
          <w:rFonts w:eastAsia="Times New Roman" w:asciiTheme="minorHAnsi" w:hAnsiTheme="minorHAnsi" w:cstheme="minorHAnsi"/>
          <w:color w:val="auto"/>
          <w:sz w:val="22"/>
          <w:szCs w:val="22"/>
        </w:rPr>
        <w:id w:val="290942957"/>
        <w:docPartObj>
          <w:docPartGallery w:val="Table of Contents"/>
          <w:docPartUnique/>
        </w:docPartObj>
      </w:sdtPr>
      <w:sdtEndPr>
        <w:rPr>
          <w:b/>
          <w:bCs/>
          <w:noProof/>
        </w:rPr>
      </w:sdtEndPr>
      <w:sdtContent>
        <w:p w:rsidRPr="008551C5" w:rsidR="002956F1" w:rsidRDefault="002956F1" w14:paraId="03EC20CF" w14:textId="3D071910">
          <w:pPr>
            <w:pStyle w:val="TOCHeading"/>
            <w:rPr>
              <w:rFonts w:asciiTheme="minorHAnsi" w:hAnsiTheme="minorHAnsi" w:cstheme="minorHAnsi"/>
              <w:sz w:val="22"/>
              <w:szCs w:val="22"/>
            </w:rPr>
          </w:pPr>
          <w:r w:rsidRPr="008551C5">
            <w:rPr>
              <w:rFonts w:asciiTheme="minorHAnsi" w:hAnsiTheme="minorHAnsi" w:cstheme="minorHAnsi"/>
              <w:sz w:val="22"/>
              <w:szCs w:val="22"/>
            </w:rPr>
            <w:t>Contents</w:t>
          </w:r>
        </w:p>
        <w:p w:rsidRPr="003149DD" w:rsidR="008F0C4D" w:rsidP="003149DD" w:rsidRDefault="002956F1" w14:paraId="79317F43" w14:textId="3A27BD75">
          <w:pPr>
            <w:pStyle w:val="TOC1"/>
            <w:tabs>
              <w:tab w:val="right" w:leader="dot" w:pos="9350"/>
            </w:tabs>
            <w:spacing w:after="0"/>
            <w:rPr>
              <w:rFonts w:asciiTheme="minorHAnsi" w:hAnsiTheme="minorHAnsi" w:eastAsiaTheme="minorEastAsia" w:cstheme="minorHAnsi"/>
              <w:noProof/>
              <w:sz w:val="20"/>
              <w:szCs w:val="20"/>
            </w:rPr>
          </w:pPr>
          <w:r w:rsidRPr="008551C5">
            <w:rPr>
              <w:rFonts w:asciiTheme="minorHAnsi" w:hAnsiTheme="minorHAnsi" w:cstheme="minorHAnsi"/>
              <w:sz w:val="22"/>
              <w:szCs w:val="22"/>
            </w:rPr>
            <w:fldChar w:fldCharType="begin"/>
          </w:r>
          <w:r w:rsidRPr="008551C5">
            <w:rPr>
              <w:rFonts w:asciiTheme="minorHAnsi" w:hAnsiTheme="minorHAnsi" w:cstheme="minorHAnsi"/>
              <w:sz w:val="22"/>
              <w:szCs w:val="22"/>
            </w:rPr>
            <w:instrText xml:space="preserve"> TOC \o "1-3" \h \z \u </w:instrText>
          </w:r>
          <w:r w:rsidRPr="008551C5">
            <w:rPr>
              <w:rFonts w:asciiTheme="minorHAnsi" w:hAnsiTheme="minorHAnsi" w:cstheme="minorHAnsi"/>
              <w:sz w:val="22"/>
              <w:szCs w:val="22"/>
            </w:rPr>
            <w:fldChar w:fldCharType="separate"/>
          </w:r>
          <w:hyperlink w:history="1" w:anchor="_Toc79140727">
            <w:r w:rsidRPr="003149DD" w:rsidR="008F0C4D">
              <w:rPr>
                <w:rStyle w:val="Hyperlink"/>
                <w:rFonts w:asciiTheme="minorHAnsi" w:hAnsiTheme="minorHAnsi" w:cstheme="minorHAnsi"/>
                <w:b/>
                <w:noProof/>
                <w:sz w:val="20"/>
                <w:szCs w:val="20"/>
              </w:rPr>
              <w:t>1. Respondent Universe and Sampling Methods</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_Toc79140727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sidR="00601764">
              <w:rPr>
                <w:rFonts w:asciiTheme="minorHAnsi" w:hAnsiTheme="minorHAnsi" w:cstheme="minorHAnsi"/>
                <w:noProof/>
                <w:webHidden/>
                <w:sz w:val="20"/>
                <w:szCs w:val="20"/>
              </w:rPr>
              <w:t>3</w:t>
            </w:r>
            <w:r w:rsidRPr="003149DD" w:rsidR="008F0C4D">
              <w:rPr>
                <w:rFonts w:asciiTheme="minorHAnsi" w:hAnsiTheme="minorHAnsi" w:cstheme="minorHAnsi"/>
                <w:noProof/>
                <w:webHidden/>
                <w:sz w:val="20"/>
                <w:szCs w:val="20"/>
              </w:rPr>
              <w:fldChar w:fldCharType="end"/>
            </w:r>
          </w:hyperlink>
        </w:p>
        <w:p w:rsidRPr="003149DD" w:rsidR="008F0C4D" w:rsidP="003149DD" w:rsidRDefault="00883A8E" w14:paraId="7AEC2C6A" w14:textId="3BA979BD">
          <w:pPr>
            <w:pStyle w:val="TOC2"/>
            <w:spacing w:after="0"/>
            <w:rPr>
              <w:rFonts w:asciiTheme="minorHAnsi" w:hAnsiTheme="minorHAnsi" w:eastAsiaTheme="minorEastAsia"/>
              <w:sz w:val="20"/>
              <w:szCs w:val="20"/>
            </w:rPr>
          </w:pPr>
          <w:hyperlink w:history="1" w:anchor="_Toc79140728">
            <w:r w:rsidRPr="003149DD" w:rsidR="008F0C4D">
              <w:rPr>
                <w:rStyle w:val="Hyperlink"/>
                <w:rFonts w:asciiTheme="minorHAnsi" w:hAnsiTheme="minorHAnsi"/>
                <w:sz w:val="20"/>
                <w:szCs w:val="20"/>
              </w:rPr>
              <w:t>Summary</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_Toc79140728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sidR="00601764">
              <w:rPr>
                <w:rFonts w:asciiTheme="minorHAnsi" w:hAnsiTheme="minorHAnsi"/>
                <w:webHidden/>
                <w:sz w:val="20"/>
                <w:szCs w:val="20"/>
              </w:rPr>
              <w:t>3</w:t>
            </w:r>
            <w:r w:rsidRPr="003149DD" w:rsidR="008F0C4D">
              <w:rPr>
                <w:rFonts w:asciiTheme="minorHAnsi" w:hAnsiTheme="minorHAnsi"/>
                <w:webHidden/>
                <w:sz w:val="20"/>
                <w:szCs w:val="20"/>
              </w:rPr>
              <w:fldChar w:fldCharType="end"/>
            </w:r>
          </w:hyperlink>
        </w:p>
        <w:p w:rsidRPr="003149DD" w:rsidR="008F0C4D" w:rsidP="003149DD" w:rsidRDefault="00883A8E" w14:paraId="5170E11B" w14:textId="35D98916">
          <w:pPr>
            <w:pStyle w:val="TOC2"/>
            <w:spacing w:after="0"/>
            <w:rPr>
              <w:rFonts w:asciiTheme="minorHAnsi" w:hAnsiTheme="minorHAnsi" w:eastAsiaTheme="minorEastAsia"/>
              <w:sz w:val="20"/>
              <w:szCs w:val="20"/>
            </w:rPr>
          </w:pPr>
          <w:hyperlink w:history="1" w:anchor="_Toc79140729">
            <w:r w:rsidRPr="003149DD" w:rsidR="008F0C4D">
              <w:rPr>
                <w:rStyle w:val="Hyperlink"/>
                <w:rFonts w:asciiTheme="minorHAnsi" w:hAnsiTheme="minorHAnsi"/>
                <w:sz w:val="20"/>
                <w:szCs w:val="20"/>
              </w:rPr>
              <w:t>Target Population</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_Toc79140729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sidR="00601764">
              <w:rPr>
                <w:rFonts w:asciiTheme="minorHAnsi" w:hAnsiTheme="minorHAnsi"/>
                <w:webHidden/>
                <w:sz w:val="20"/>
                <w:szCs w:val="20"/>
              </w:rPr>
              <w:t>3</w:t>
            </w:r>
            <w:r w:rsidRPr="003149DD" w:rsidR="008F0C4D">
              <w:rPr>
                <w:rFonts w:asciiTheme="minorHAnsi" w:hAnsiTheme="minorHAnsi"/>
                <w:webHidden/>
                <w:sz w:val="20"/>
                <w:szCs w:val="20"/>
              </w:rPr>
              <w:fldChar w:fldCharType="end"/>
            </w:r>
          </w:hyperlink>
        </w:p>
        <w:p w:rsidRPr="003149DD" w:rsidR="008F0C4D" w:rsidP="003149DD" w:rsidRDefault="00883A8E" w14:paraId="7278B9B9" w14:textId="6FA5EA99">
          <w:pPr>
            <w:pStyle w:val="TOC2"/>
            <w:spacing w:after="0"/>
            <w:rPr>
              <w:rFonts w:asciiTheme="minorHAnsi" w:hAnsiTheme="minorHAnsi" w:eastAsiaTheme="minorEastAsia"/>
              <w:sz w:val="20"/>
              <w:szCs w:val="20"/>
            </w:rPr>
          </w:pPr>
          <w:hyperlink w:history="1" w:anchor="_Toc79140730">
            <w:r w:rsidRPr="003149DD" w:rsidR="008F0C4D">
              <w:rPr>
                <w:rStyle w:val="Hyperlink"/>
                <w:rFonts w:asciiTheme="minorHAnsi" w:hAnsiTheme="minorHAnsi"/>
                <w:sz w:val="20"/>
                <w:szCs w:val="20"/>
              </w:rPr>
              <w:t xml:space="preserve">Details of the NSFG Sample </w:t>
            </w:r>
            <w:r w:rsidR="003149DD">
              <w:rPr>
                <w:rStyle w:val="Hyperlink"/>
                <w:rFonts w:asciiTheme="minorHAnsi" w:hAnsiTheme="minorHAnsi"/>
                <w:sz w:val="20"/>
                <w:szCs w:val="20"/>
              </w:rPr>
              <w:t>Selection</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_Toc79140730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sidR="00601764">
              <w:rPr>
                <w:rFonts w:asciiTheme="minorHAnsi" w:hAnsiTheme="minorHAnsi"/>
                <w:webHidden/>
                <w:sz w:val="20"/>
                <w:szCs w:val="20"/>
              </w:rPr>
              <w:t>4</w:t>
            </w:r>
            <w:r w:rsidRPr="003149DD" w:rsidR="008F0C4D">
              <w:rPr>
                <w:rFonts w:asciiTheme="minorHAnsi" w:hAnsiTheme="minorHAnsi"/>
                <w:webHidden/>
                <w:sz w:val="20"/>
                <w:szCs w:val="20"/>
              </w:rPr>
              <w:fldChar w:fldCharType="end"/>
            </w:r>
          </w:hyperlink>
        </w:p>
        <w:p w:rsidRPr="003149DD" w:rsidR="008F0C4D" w:rsidP="003149DD" w:rsidRDefault="00883A8E" w14:paraId="1C79E426" w14:textId="1F8D1454">
          <w:pPr>
            <w:pStyle w:val="TOC2"/>
            <w:spacing w:after="0"/>
            <w:rPr>
              <w:rFonts w:asciiTheme="minorHAnsi" w:hAnsiTheme="minorHAnsi" w:eastAsiaTheme="minorEastAsia"/>
              <w:sz w:val="20"/>
              <w:szCs w:val="20"/>
            </w:rPr>
          </w:pPr>
          <w:hyperlink w:history="1" w:anchor="_Toc79140731">
            <w:r w:rsidRPr="003149DD" w:rsidR="008F0C4D">
              <w:rPr>
                <w:rStyle w:val="Hyperlink"/>
                <w:rFonts w:asciiTheme="minorHAnsi" w:hAnsiTheme="minorHAnsi"/>
                <w:sz w:val="20"/>
                <w:szCs w:val="20"/>
              </w:rPr>
              <w:t>Study Design</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_Toc79140731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sidR="00601764">
              <w:rPr>
                <w:rFonts w:asciiTheme="minorHAnsi" w:hAnsiTheme="minorHAnsi"/>
                <w:webHidden/>
                <w:sz w:val="20"/>
                <w:szCs w:val="20"/>
              </w:rPr>
              <w:t>6</w:t>
            </w:r>
            <w:r w:rsidRPr="003149DD" w:rsidR="008F0C4D">
              <w:rPr>
                <w:rFonts w:asciiTheme="minorHAnsi" w:hAnsiTheme="minorHAnsi"/>
                <w:webHidden/>
                <w:sz w:val="20"/>
                <w:szCs w:val="20"/>
              </w:rPr>
              <w:fldChar w:fldCharType="end"/>
            </w:r>
          </w:hyperlink>
        </w:p>
        <w:p w:rsidRPr="003149DD" w:rsidR="008F0C4D" w:rsidP="003149DD" w:rsidRDefault="00883A8E" w14:paraId="0B3235B0" w14:textId="30BC3E51">
          <w:pPr>
            <w:pStyle w:val="TOC1"/>
            <w:tabs>
              <w:tab w:val="right" w:leader="dot" w:pos="9350"/>
            </w:tabs>
            <w:spacing w:after="0"/>
            <w:rPr>
              <w:rFonts w:asciiTheme="minorHAnsi" w:hAnsiTheme="minorHAnsi" w:eastAsiaTheme="minorEastAsia" w:cstheme="minorHAnsi"/>
              <w:noProof/>
              <w:sz w:val="20"/>
              <w:szCs w:val="20"/>
            </w:rPr>
          </w:pPr>
          <w:hyperlink w:history="1" w:anchor="_Toc79140732">
            <w:r w:rsidRPr="003149DD" w:rsidR="008F0C4D">
              <w:rPr>
                <w:rStyle w:val="Hyperlink"/>
                <w:rFonts w:asciiTheme="minorHAnsi" w:hAnsiTheme="minorHAnsi" w:cstheme="minorHAnsi"/>
                <w:b/>
                <w:noProof/>
                <w:sz w:val="20"/>
                <w:szCs w:val="20"/>
              </w:rPr>
              <w:t>2.  Procedures for the Collection of Information</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_Toc79140732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sidR="00601764">
              <w:rPr>
                <w:rFonts w:asciiTheme="minorHAnsi" w:hAnsiTheme="minorHAnsi" w:cstheme="minorHAnsi"/>
                <w:noProof/>
                <w:webHidden/>
                <w:sz w:val="20"/>
                <w:szCs w:val="20"/>
              </w:rPr>
              <w:t>6</w:t>
            </w:r>
            <w:r w:rsidRPr="003149DD" w:rsidR="008F0C4D">
              <w:rPr>
                <w:rFonts w:asciiTheme="minorHAnsi" w:hAnsiTheme="minorHAnsi" w:cstheme="minorHAnsi"/>
                <w:noProof/>
                <w:webHidden/>
                <w:sz w:val="20"/>
                <w:szCs w:val="20"/>
              </w:rPr>
              <w:fldChar w:fldCharType="end"/>
            </w:r>
          </w:hyperlink>
        </w:p>
        <w:p w:rsidRPr="003149DD" w:rsidR="008F0C4D" w:rsidP="003149DD" w:rsidRDefault="00883A8E" w14:paraId="2042570A" w14:textId="40AF6FC9">
          <w:pPr>
            <w:pStyle w:val="TOC2"/>
            <w:spacing w:after="0"/>
            <w:rPr>
              <w:rFonts w:asciiTheme="minorHAnsi" w:hAnsiTheme="minorHAnsi" w:eastAsiaTheme="minorEastAsia"/>
              <w:sz w:val="20"/>
              <w:szCs w:val="20"/>
            </w:rPr>
          </w:pPr>
          <w:hyperlink w:history="1" w:anchor="_Toc79140733">
            <w:r w:rsidRPr="003149DD" w:rsidR="008F0C4D">
              <w:rPr>
                <w:rStyle w:val="Hyperlink"/>
                <w:rFonts w:asciiTheme="minorHAnsi" w:hAnsiTheme="minorHAnsi"/>
                <w:sz w:val="20"/>
                <w:szCs w:val="20"/>
              </w:rPr>
              <w:t>Main steps in NSFG data collection</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_Toc79140733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sidR="00601764">
              <w:rPr>
                <w:rFonts w:asciiTheme="minorHAnsi" w:hAnsiTheme="minorHAnsi"/>
                <w:webHidden/>
                <w:sz w:val="20"/>
                <w:szCs w:val="20"/>
              </w:rPr>
              <w:t>7</w:t>
            </w:r>
            <w:r w:rsidRPr="003149DD" w:rsidR="008F0C4D">
              <w:rPr>
                <w:rFonts w:asciiTheme="minorHAnsi" w:hAnsiTheme="minorHAnsi"/>
                <w:webHidden/>
                <w:sz w:val="20"/>
                <w:szCs w:val="20"/>
              </w:rPr>
              <w:fldChar w:fldCharType="end"/>
            </w:r>
          </w:hyperlink>
        </w:p>
        <w:p w:rsidRPr="003149DD" w:rsidR="008F0C4D" w:rsidP="003149DD" w:rsidRDefault="00883A8E" w14:paraId="2C11D3A8" w14:textId="564CB842">
          <w:pPr>
            <w:pStyle w:val="TOC2"/>
            <w:spacing w:after="0"/>
            <w:rPr>
              <w:rFonts w:asciiTheme="minorHAnsi" w:hAnsiTheme="minorHAnsi" w:eastAsiaTheme="minorEastAsia"/>
              <w:sz w:val="20"/>
              <w:szCs w:val="20"/>
            </w:rPr>
          </w:pPr>
          <w:hyperlink w:history="1" w:anchor="_Toc79140734">
            <w:r w:rsidRPr="003149DD" w:rsidR="008F0C4D">
              <w:rPr>
                <w:rStyle w:val="Hyperlink"/>
                <w:rFonts w:asciiTheme="minorHAnsi" w:hAnsiTheme="minorHAnsi"/>
                <w:sz w:val="20"/>
                <w:szCs w:val="20"/>
              </w:rPr>
              <w:t>Quality control</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_Toc79140734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sidR="00601764">
              <w:rPr>
                <w:rFonts w:asciiTheme="minorHAnsi" w:hAnsiTheme="minorHAnsi"/>
                <w:webHidden/>
                <w:sz w:val="20"/>
                <w:szCs w:val="20"/>
              </w:rPr>
              <w:t>11</w:t>
            </w:r>
            <w:r w:rsidRPr="003149DD" w:rsidR="008F0C4D">
              <w:rPr>
                <w:rFonts w:asciiTheme="minorHAnsi" w:hAnsiTheme="minorHAnsi"/>
                <w:webHidden/>
                <w:sz w:val="20"/>
                <w:szCs w:val="20"/>
              </w:rPr>
              <w:fldChar w:fldCharType="end"/>
            </w:r>
          </w:hyperlink>
        </w:p>
        <w:p w:rsidRPr="003149DD" w:rsidR="008F0C4D" w:rsidP="003149DD" w:rsidRDefault="00883A8E" w14:paraId="42F19046" w14:textId="1E535A4D">
          <w:pPr>
            <w:pStyle w:val="TOC1"/>
            <w:tabs>
              <w:tab w:val="right" w:leader="dot" w:pos="9350"/>
            </w:tabs>
            <w:spacing w:after="0"/>
            <w:rPr>
              <w:rFonts w:asciiTheme="minorHAnsi" w:hAnsiTheme="minorHAnsi" w:eastAsiaTheme="minorEastAsia" w:cstheme="minorHAnsi"/>
              <w:noProof/>
              <w:sz w:val="20"/>
              <w:szCs w:val="20"/>
            </w:rPr>
          </w:pPr>
          <w:hyperlink w:history="1" w:anchor="_Toc79140735">
            <w:r w:rsidRPr="003149DD" w:rsidR="008F0C4D">
              <w:rPr>
                <w:rStyle w:val="Hyperlink"/>
                <w:rFonts w:asciiTheme="minorHAnsi" w:hAnsiTheme="minorHAnsi" w:cstheme="minorHAnsi"/>
                <w:b/>
                <w:bCs/>
                <w:noProof/>
                <w:sz w:val="20"/>
                <w:szCs w:val="20"/>
              </w:rPr>
              <w:t>3.  Methods to Maximize Response Rates and Deal with Nonresponse</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_Toc79140735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sidR="00601764">
              <w:rPr>
                <w:rFonts w:asciiTheme="minorHAnsi" w:hAnsiTheme="minorHAnsi" w:cstheme="minorHAnsi"/>
                <w:noProof/>
                <w:webHidden/>
                <w:sz w:val="20"/>
                <w:szCs w:val="20"/>
              </w:rPr>
              <w:t>12</w:t>
            </w:r>
            <w:r w:rsidRPr="003149DD" w:rsidR="008F0C4D">
              <w:rPr>
                <w:rFonts w:asciiTheme="minorHAnsi" w:hAnsiTheme="minorHAnsi" w:cstheme="minorHAnsi"/>
                <w:noProof/>
                <w:webHidden/>
                <w:sz w:val="20"/>
                <w:szCs w:val="20"/>
              </w:rPr>
              <w:fldChar w:fldCharType="end"/>
            </w:r>
          </w:hyperlink>
        </w:p>
        <w:p w:rsidRPr="003149DD" w:rsidR="008F0C4D" w:rsidP="003149DD" w:rsidRDefault="00883A8E" w14:paraId="4838A8C4" w14:textId="49745CC3">
          <w:pPr>
            <w:pStyle w:val="TOC1"/>
            <w:tabs>
              <w:tab w:val="right" w:leader="dot" w:pos="9350"/>
            </w:tabs>
            <w:spacing w:after="0"/>
            <w:rPr>
              <w:rFonts w:asciiTheme="minorHAnsi" w:hAnsiTheme="minorHAnsi" w:eastAsiaTheme="minorEastAsia" w:cstheme="minorHAnsi"/>
              <w:noProof/>
              <w:sz w:val="20"/>
              <w:szCs w:val="20"/>
            </w:rPr>
          </w:pPr>
          <w:hyperlink w:history="1" w:anchor="_Toc79140736">
            <w:r w:rsidRPr="003149DD" w:rsidR="008F0C4D">
              <w:rPr>
                <w:rStyle w:val="Hyperlink"/>
                <w:rFonts w:asciiTheme="minorHAnsi" w:hAnsiTheme="minorHAnsi" w:cstheme="minorHAnsi"/>
                <w:b/>
                <w:bCs/>
                <w:noProof/>
                <w:sz w:val="20"/>
                <w:szCs w:val="20"/>
              </w:rPr>
              <w:t>4.  Tests of Procedures or Methods to be Undertaken</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_Toc79140736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sidR="00601764">
              <w:rPr>
                <w:rFonts w:asciiTheme="minorHAnsi" w:hAnsiTheme="minorHAnsi" w:cstheme="minorHAnsi"/>
                <w:noProof/>
                <w:webHidden/>
                <w:sz w:val="20"/>
                <w:szCs w:val="20"/>
              </w:rPr>
              <w:t>15</w:t>
            </w:r>
            <w:r w:rsidRPr="003149DD" w:rsidR="008F0C4D">
              <w:rPr>
                <w:rFonts w:asciiTheme="minorHAnsi" w:hAnsiTheme="minorHAnsi" w:cstheme="minorHAnsi"/>
                <w:noProof/>
                <w:webHidden/>
                <w:sz w:val="20"/>
                <w:szCs w:val="20"/>
              </w:rPr>
              <w:fldChar w:fldCharType="end"/>
            </w:r>
          </w:hyperlink>
        </w:p>
        <w:p w:rsidRPr="003149DD" w:rsidR="008F0C4D" w:rsidP="003149DD" w:rsidRDefault="00883A8E" w14:paraId="40AF5127" w14:textId="772991DC">
          <w:pPr>
            <w:pStyle w:val="TOC2"/>
            <w:spacing w:after="0"/>
            <w:rPr>
              <w:rFonts w:asciiTheme="minorHAnsi" w:hAnsiTheme="minorHAnsi" w:eastAsiaTheme="minorEastAsia"/>
              <w:sz w:val="20"/>
              <w:szCs w:val="20"/>
            </w:rPr>
          </w:pPr>
          <w:hyperlink w:history="1" w:anchor="_Toc79140737">
            <w:r w:rsidRPr="003149DD" w:rsidR="008F0C4D">
              <w:rPr>
                <w:rStyle w:val="Hyperlink"/>
                <w:rFonts w:asciiTheme="minorHAnsi" w:hAnsiTheme="minorHAnsi"/>
                <w:sz w:val="20"/>
                <w:szCs w:val="20"/>
              </w:rPr>
              <w:t>Mode experiment with the household screener and main interview</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_Toc79140737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sidR="00601764">
              <w:rPr>
                <w:rFonts w:asciiTheme="minorHAnsi" w:hAnsiTheme="minorHAnsi"/>
                <w:webHidden/>
                <w:sz w:val="20"/>
                <w:szCs w:val="20"/>
              </w:rPr>
              <w:t>15</w:t>
            </w:r>
            <w:r w:rsidRPr="003149DD" w:rsidR="008F0C4D">
              <w:rPr>
                <w:rFonts w:asciiTheme="minorHAnsi" w:hAnsiTheme="minorHAnsi"/>
                <w:webHidden/>
                <w:sz w:val="20"/>
                <w:szCs w:val="20"/>
              </w:rPr>
              <w:fldChar w:fldCharType="end"/>
            </w:r>
          </w:hyperlink>
        </w:p>
        <w:p w:rsidRPr="003149DD" w:rsidR="008F0C4D" w:rsidP="003149DD" w:rsidRDefault="00883A8E" w14:paraId="20C918DD" w14:textId="70ABB79B">
          <w:pPr>
            <w:pStyle w:val="TOC2"/>
            <w:spacing w:after="0"/>
            <w:rPr>
              <w:rFonts w:asciiTheme="minorHAnsi" w:hAnsiTheme="minorHAnsi" w:eastAsiaTheme="minorEastAsia"/>
              <w:sz w:val="20"/>
              <w:szCs w:val="20"/>
            </w:rPr>
          </w:pPr>
          <w:hyperlink w:history="1" w:anchor="_Toc79140738">
            <w:r w:rsidRPr="003149DD" w:rsidR="008F0C4D">
              <w:rPr>
                <w:rStyle w:val="Hyperlink"/>
                <w:rFonts w:asciiTheme="minorHAnsi" w:hAnsiTheme="minorHAnsi"/>
                <w:sz w:val="20"/>
                <w:szCs w:val="20"/>
              </w:rPr>
              <w:t>Experiment with electronic life history calendar</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_Toc79140738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sidR="00601764">
              <w:rPr>
                <w:rFonts w:asciiTheme="minorHAnsi" w:hAnsiTheme="minorHAnsi"/>
                <w:webHidden/>
                <w:sz w:val="20"/>
                <w:szCs w:val="20"/>
              </w:rPr>
              <w:t>16</w:t>
            </w:r>
            <w:r w:rsidRPr="003149DD" w:rsidR="008F0C4D">
              <w:rPr>
                <w:rFonts w:asciiTheme="minorHAnsi" w:hAnsiTheme="minorHAnsi"/>
                <w:webHidden/>
                <w:sz w:val="20"/>
                <w:szCs w:val="20"/>
              </w:rPr>
              <w:fldChar w:fldCharType="end"/>
            </w:r>
          </w:hyperlink>
        </w:p>
        <w:p w:rsidRPr="003149DD" w:rsidR="008F0C4D" w:rsidP="003149DD" w:rsidRDefault="00883A8E" w14:paraId="5DCBAC00" w14:textId="4D2D3A4E">
          <w:pPr>
            <w:pStyle w:val="TOC2"/>
            <w:spacing w:after="0"/>
            <w:rPr>
              <w:rFonts w:asciiTheme="minorHAnsi" w:hAnsiTheme="minorHAnsi" w:eastAsiaTheme="minorEastAsia"/>
              <w:sz w:val="20"/>
              <w:szCs w:val="20"/>
            </w:rPr>
          </w:pPr>
          <w:hyperlink w:history="1" w:anchor="_Toc79140739">
            <w:r w:rsidRPr="003149DD" w:rsidR="008F0C4D">
              <w:rPr>
                <w:rStyle w:val="Hyperlink"/>
                <w:rFonts w:asciiTheme="minorHAnsi" w:hAnsiTheme="minorHAnsi"/>
                <w:sz w:val="20"/>
                <w:szCs w:val="20"/>
              </w:rPr>
              <w:t>Experiment with incentive amounts</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_Toc79140739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sidR="00601764">
              <w:rPr>
                <w:rFonts w:asciiTheme="minorHAnsi" w:hAnsiTheme="minorHAnsi"/>
                <w:webHidden/>
                <w:sz w:val="20"/>
                <w:szCs w:val="20"/>
              </w:rPr>
              <w:t>16</w:t>
            </w:r>
            <w:r w:rsidRPr="003149DD" w:rsidR="008F0C4D">
              <w:rPr>
                <w:rFonts w:asciiTheme="minorHAnsi" w:hAnsiTheme="minorHAnsi"/>
                <w:webHidden/>
                <w:sz w:val="20"/>
                <w:szCs w:val="20"/>
              </w:rPr>
              <w:fldChar w:fldCharType="end"/>
            </w:r>
          </w:hyperlink>
        </w:p>
        <w:p w:rsidRPr="003149DD" w:rsidR="008F0C4D" w:rsidP="003149DD" w:rsidRDefault="00883A8E" w14:paraId="69927468" w14:textId="229585C6">
          <w:pPr>
            <w:pStyle w:val="TOC2"/>
            <w:spacing w:after="0"/>
            <w:rPr>
              <w:rFonts w:asciiTheme="minorHAnsi" w:hAnsiTheme="minorHAnsi" w:eastAsiaTheme="minorEastAsia"/>
              <w:sz w:val="20"/>
              <w:szCs w:val="20"/>
            </w:rPr>
          </w:pPr>
          <w:hyperlink w:history="1" w:anchor="_Toc79140740">
            <w:r w:rsidRPr="003149DD" w:rsidR="008F0C4D">
              <w:rPr>
                <w:rStyle w:val="Hyperlink"/>
                <w:rFonts w:asciiTheme="minorHAnsi" w:hAnsiTheme="minorHAnsi"/>
                <w:sz w:val="20"/>
                <w:szCs w:val="20"/>
              </w:rPr>
              <w:t>Experiments with mailed materials: invitations to participate and reminder mailings</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_Toc79140740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sidR="00601764">
              <w:rPr>
                <w:rFonts w:asciiTheme="minorHAnsi" w:hAnsiTheme="minorHAnsi"/>
                <w:webHidden/>
                <w:sz w:val="20"/>
                <w:szCs w:val="20"/>
              </w:rPr>
              <w:t>16</w:t>
            </w:r>
            <w:r w:rsidRPr="003149DD" w:rsidR="008F0C4D">
              <w:rPr>
                <w:rFonts w:asciiTheme="minorHAnsi" w:hAnsiTheme="minorHAnsi"/>
                <w:webHidden/>
                <w:sz w:val="20"/>
                <w:szCs w:val="20"/>
              </w:rPr>
              <w:fldChar w:fldCharType="end"/>
            </w:r>
          </w:hyperlink>
        </w:p>
        <w:p w:rsidRPr="003149DD" w:rsidR="008F0C4D" w:rsidP="003149DD" w:rsidRDefault="00883A8E" w14:paraId="3288B603" w14:textId="75D75C4D">
          <w:pPr>
            <w:pStyle w:val="TOC2"/>
            <w:spacing w:after="0"/>
            <w:rPr>
              <w:rFonts w:asciiTheme="minorHAnsi" w:hAnsiTheme="minorHAnsi" w:eastAsiaTheme="minorEastAsia"/>
              <w:sz w:val="20"/>
              <w:szCs w:val="20"/>
            </w:rPr>
          </w:pPr>
          <w:hyperlink w:history="1" w:anchor="_Toc79140741">
            <w:r w:rsidRPr="003149DD" w:rsidR="008F0C4D">
              <w:rPr>
                <w:rStyle w:val="Hyperlink"/>
                <w:rFonts w:asciiTheme="minorHAnsi" w:hAnsiTheme="minorHAnsi"/>
                <w:sz w:val="20"/>
                <w:szCs w:val="20"/>
              </w:rPr>
              <w:t>Experiments with measuring and correcting for nonresponse</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_Toc79140741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sidR="00601764">
              <w:rPr>
                <w:rFonts w:asciiTheme="minorHAnsi" w:hAnsiTheme="minorHAnsi"/>
                <w:webHidden/>
                <w:sz w:val="20"/>
                <w:szCs w:val="20"/>
              </w:rPr>
              <w:t>16</w:t>
            </w:r>
            <w:r w:rsidRPr="003149DD" w:rsidR="008F0C4D">
              <w:rPr>
                <w:rFonts w:asciiTheme="minorHAnsi" w:hAnsiTheme="minorHAnsi"/>
                <w:webHidden/>
                <w:sz w:val="20"/>
                <w:szCs w:val="20"/>
              </w:rPr>
              <w:fldChar w:fldCharType="end"/>
            </w:r>
          </w:hyperlink>
        </w:p>
        <w:p w:rsidRPr="003149DD" w:rsidR="008F0C4D" w:rsidP="003149DD" w:rsidRDefault="00883A8E" w14:paraId="41BB7113" w14:textId="29E9DEDA">
          <w:pPr>
            <w:pStyle w:val="TOC1"/>
            <w:tabs>
              <w:tab w:val="right" w:leader="dot" w:pos="9350"/>
            </w:tabs>
            <w:spacing w:after="0"/>
            <w:rPr>
              <w:rFonts w:asciiTheme="minorHAnsi" w:hAnsiTheme="minorHAnsi" w:eastAsiaTheme="minorEastAsia" w:cstheme="minorHAnsi"/>
              <w:noProof/>
              <w:sz w:val="20"/>
              <w:szCs w:val="20"/>
            </w:rPr>
          </w:pPr>
          <w:hyperlink w:history="1" w:anchor="_Toc79140742">
            <w:r w:rsidRPr="003149DD" w:rsidR="008F0C4D">
              <w:rPr>
                <w:rStyle w:val="Hyperlink"/>
                <w:rFonts w:asciiTheme="minorHAnsi" w:hAnsiTheme="minorHAnsi" w:cstheme="minorHAnsi"/>
                <w:b/>
                <w:bCs/>
                <w:noProof/>
                <w:sz w:val="20"/>
                <w:szCs w:val="20"/>
              </w:rPr>
              <w:t>5.  Individuals Consulted on Statistical Aspects and Individuals Collecting and/or Analyzing Data</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_Toc79140742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sidR="00601764">
              <w:rPr>
                <w:rFonts w:asciiTheme="minorHAnsi" w:hAnsiTheme="minorHAnsi" w:cstheme="minorHAnsi"/>
                <w:noProof/>
                <w:webHidden/>
                <w:sz w:val="20"/>
                <w:szCs w:val="20"/>
              </w:rPr>
              <w:t>17</w:t>
            </w:r>
            <w:r w:rsidRPr="003149DD" w:rsidR="008F0C4D">
              <w:rPr>
                <w:rFonts w:asciiTheme="minorHAnsi" w:hAnsiTheme="minorHAnsi" w:cstheme="minorHAnsi"/>
                <w:noProof/>
                <w:webHidden/>
                <w:sz w:val="20"/>
                <w:szCs w:val="20"/>
              </w:rPr>
              <w:fldChar w:fldCharType="end"/>
            </w:r>
          </w:hyperlink>
        </w:p>
        <w:p w:rsidRPr="003149DD" w:rsidR="008F0C4D" w:rsidP="003149DD" w:rsidRDefault="00883A8E" w14:paraId="4EEDB387" w14:textId="4A155DCC">
          <w:pPr>
            <w:pStyle w:val="TOC1"/>
            <w:tabs>
              <w:tab w:val="right" w:leader="dot" w:pos="9350"/>
            </w:tabs>
            <w:spacing w:after="0"/>
            <w:rPr>
              <w:rFonts w:asciiTheme="minorHAnsi" w:hAnsiTheme="minorHAnsi" w:eastAsiaTheme="minorEastAsia" w:cstheme="minorHAnsi"/>
              <w:noProof/>
              <w:sz w:val="20"/>
              <w:szCs w:val="20"/>
            </w:rPr>
          </w:pPr>
          <w:hyperlink w:history="1" w:anchor="_Toc79140743">
            <w:r w:rsidRPr="003149DD" w:rsidR="008F0C4D">
              <w:rPr>
                <w:rStyle w:val="Hyperlink"/>
                <w:rFonts w:asciiTheme="minorHAnsi" w:hAnsiTheme="minorHAnsi" w:cstheme="minorHAnsi"/>
                <w:b/>
                <w:bCs/>
                <w:noProof/>
                <w:sz w:val="20"/>
                <w:szCs w:val="20"/>
              </w:rPr>
              <w:t>REFERENCES</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_Toc79140743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sidR="00601764">
              <w:rPr>
                <w:rFonts w:asciiTheme="minorHAnsi" w:hAnsiTheme="minorHAnsi" w:cstheme="minorHAnsi"/>
                <w:noProof/>
                <w:webHidden/>
                <w:sz w:val="20"/>
                <w:szCs w:val="20"/>
              </w:rPr>
              <w:t>19</w:t>
            </w:r>
            <w:r w:rsidRPr="003149DD" w:rsidR="008F0C4D">
              <w:rPr>
                <w:rFonts w:asciiTheme="minorHAnsi" w:hAnsiTheme="minorHAnsi" w:cstheme="minorHAnsi"/>
                <w:noProof/>
                <w:webHidden/>
                <w:sz w:val="20"/>
                <w:szCs w:val="20"/>
              </w:rPr>
              <w:fldChar w:fldCharType="end"/>
            </w:r>
          </w:hyperlink>
        </w:p>
        <w:p w:rsidRPr="008551C5" w:rsidR="00E64D0C" w:rsidP="003149DD" w:rsidRDefault="002956F1" w14:paraId="3D9BEA0A" w14:textId="77777777">
          <w:pPr>
            <w:rPr>
              <w:rFonts w:asciiTheme="minorHAnsi" w:hAnsiTheme="minorHAnsi" w:cstheme="minorHAnsi"/>
              <w:b/>
              <w:bCs/>
              <w:noProof/>
              <w:sz w:val="22"/>
              <w:szCs w:val="22"/>
            </w:rPr>
          </w:pPr>
          <w:r w:rsidRPr="008551C5">
            <w:rPr>
              <w:rFonts w:asciiTheme="minorHAnsi" w:hAnsiTheme="minorHAnsi" w:cstheme="minorHAnsi"/>
              <w:b/>
              <w:bCs/>
              <w:noProof/>
              <w:sz w:val="22"/>
              <w:szCs w:val="22"/>
            </w:rPr>
            <w:fldChar w:fldCharType="end"/>
          </w:r>
        </w:p>
      </w:sdtContent>
    </w:sdt>
    <w:p w:rsidRPr="008551C5" w:rsidR="00587367" w:rsidP="0076656D" w:rsidRDefault="00587367" w14:paraId="510F1E32" w14:textId="03D92CE4">
      <w:pPr>
        <w:tabs>
          <w:tab w:val="left" w:pos="576"/>
          <w:tab w:val="left" w:pos="1152"/>
          <w:tab w:val="right" w:leader="dot" w:pos="9360"/>
        </w:tabs>
        <w:ind w:left="540"/>
        <w:rPr>
          <w:rFonts w:asciiTheme="minorHAnsi" w:hAnsiTheme="minorHAnsi" w:cstheme="minorHAnsi"/>
          <w:bCs/>
          <w:i/>
          <w:sz w:val="22"/>
          <w:szCs w:val="22"/>
        </w:rPr>
      </w:pPr>
      <w:r w:rsidRPr="008551C5">
        <w:rPr>
          <w:rFonts w:asciiTheme="minorHAnsi" w:hAnsiTheme="minorHAnsi" w:cstheme="minorHAnsi"/>
          <w:bCs/>
          <w:sz w:val="22"/>
          <w:szCs w:val="22"/>
        </w:rPr>
        <w:tab/>
      </w:r>
      <w:r w:rsidRPr="008551C5">
        <w:rPr>
          <w:rFonts w:asciiTheme="minorHAnsi" w:hAnsiTheme="minorHAnsi" w:cstheme="minorHAnsi"/>
          <w:bCs/>
          <w:i/>
          <w:sz w:val="22"/>
          <w:szCs w:val="22"/>
        </w:rPr>
        <w:t xml:space="preserve">(The reference list includes all references cited </w:t>
      </w:r>
      <w:r w:rsidRPr="008551C5" w:rsidR="00810C53">
        <w:rPr>
          <w:rFonts w:asciiTheme="minorHAnsi" w:hAnsiTheme="minorHAnsi" w:cstheme="minorHAnsi"/>
          <w:bCs/>
          <w:i/>
          <w:sz w:val="22"/>
          <w:szCs w:val="22"/>
        </w:rPr>
        <w:t xml:space="preserve">in Supporting Statements A &amp; B, as well as in Attachment C.  Other </w:t>
      </w:r>
      <w:r w:rsidRPr="008551C5" w:rsidR="00143194">
        <w:rPr>
          <w:rFonts w:asciiTheme="minorHAnsi" w:hAnsiTheme="minorHAnsi" w:cstheme="minorHAnsi"/>
          <w:bCs/>
          <w:i/>
          <w:sz w:val="22"/>
          <w:szCs w:val="22"/>
        </w:rPr>
        <w:t>attachments include</w:t>
      </w:r>
      <w:r w:rsidRPr="008551C5" w:rsidR="00810C53">
        <w:rPr>
          <w:rFonts w:asciiTheme="minorHAnsi" w:hAnsiTheme="minorHAnsi" w:cstheme="minorHAnsi"/>
          <w:bCs/>
          <w:i/>
          <w:sz w:val="22"/>
          <w:szCs w:val="22"/>
        </w:rPr>
        <w:t xml:space="preserve"> their own reference lists.</w:t>
      </w:r>
      <w:r w:rsidRPr="008551C5">
        <w:rPr>
          <w:rFonts w:asciiTheme="minorHAnsi" w:hAnsiTheme="minorHAnsi" w:cstheme="minorHAnsi"/>
          <w:bCs/>
          <w:i/>
          <w:sz w:val="22"/>
          <w:szCs w:val="22"/>
        </w:rPr>
        <w:t>)</w:t>
      </w:r>
    </w:p>
    <w:p w:rsidRPr="008551C5" w:rsidR="00D84C64" w:rsidRDefault="00D84C64" w14:paraId="4C064007" w14:textId="6C8EEDC9">
      <w:pPr>
        <w:rPr>
          <w:rFonts w:asciiTheme="minorHAnsi" w:hAnsiTheme="minorHAnsi" w:cstheme="minorHAnsi"/>
          <w:b/>
          <w:bCs/>
          <w:color w:val="FF0000"/>
          <w:sz w:val="22"/>
          <w:szCs w:val="22"/>
          <w:u w:val="single"/>
        </w:rPr>
      </w:pPr>
    </w:p>
    <w:p w:rsidRPr="008551C5" w:rsidR="006A34D2" w:rsidRDefault="006A34D2" w14:paraId="42452364" w14:textId="0B96AAD2">
      <w:pPr>
        <w:rPr>
          <w:rFonts w:asciiTheme="minorHAnsi" w:hAnsiTheme="minorHAnsi" w:cstheme="minorHAnsi"/>
          <w:b/>
          <w:bCs/>
          <w:sz w:val="22"/>
          <w:szCs w:val="22"/>
          <w:u w:val="single"/>
        </w:rPr>
      </w:pPr>
      <w:r w:rsidRPr="008551C5">
        <w:rPr>
          <w:rFonts w:asciiTheme="minorHAnsi" w:hAnsiTheme="minorHAnsi" w:cstheme="minorHAnsi"/>
          <w:b/>
          <w:bCs/>
          <w:sz w:val="22"/>
          <w:szCs w:val="22"/>
          <w:u w:val="single"/>
        </w:rPr>
        <w:t>List of Attachments</w:t>
      </w:r>
      <w:r w:rsidRPr="008551C5" w:rsidR="00811577">
        <w:rPr>
          <w:rFonts w:asciiTheme="minorHAnsi" w:hAnsiTheme="minorHAnsi" w:cstheme="minorHAnsi"/>
          <w:b/>
          <w:bCs/>
          <w:sz w:val="22"/>
          <w:szCs w:val="22"/>
          <w:u w:val="single"/>
        </w:rPr>
        <w:t xml:space="preserve"> A-</w:t>
      </w:r>
      <w:r w:rsidRPr="008551C5" w:rsidR="0024255D">
        <w:rPr>
          <w:rFonts w:asciiTheme="minorHAnsi" w:hAnsiTheme="minorHAnsi" w:cstheme="minorHAnsi"/>
          <w:b/>
          <w:bCs/>
          <w:sz w:val="22"/>
          <w:szCs w:val="22"/>
          <w:u w:val="single"/>
        </w:rPr>
        <w:t>N</w:t>
      </w:r>
      <w:r w:rsidRPr="008551C5">
        <w:rPr>
          <w:rFonts w:asciiTheme="minorHAnsi" w:hAnsiTheme="minorHAnsi" w:cstheme="minorHAnsi"/>
          <w:b/>
          <w:bCs/>
          <w:sz w:val="22"/>
          <w:szCs w:val="22"/>
          <w:u w:val="single"/>
        </w:rPr>
        <w:t xml:space="preserve"> (abridged from full listing shown in SS A):</w:t>
      </w:r>
    </w:p>
    <w:p w:rsidRPr="008551C5" w:rsidR="006A34D2" w:rsidP="006A34D2" w:rsidRDefault="006A34D2" w14:paraId="520298E6" w14:textId="07CA9544">
      <w:pPr>
        <w:pStyle w:val="ListParagraph"/>
        <w:widowControl w:val="0"/>
        <w:numPr>
          <w:ilvl w:val="0"/>
          <w:numId w:val="10"/>
        </w:numPr>
        <w:autoSpaceDE w:val="0"/>
        <w:autoSpaceDN w:val="0"/>
        <w:adjustRightInd w:val="0"/>
        <w:spacing w:after="0" w:line="240" w:lineRule="auto"/>
        <w:ind w:hanging="720"/>
        <w:rPr>
          <w:rFonts w:asciiTheme="minorHAnsi" w:hAnsiTheme="minorHAnsi" w:cstheme="minorHAnsi"/>
        </w:rPr>
      </w:pPr>
      <w:r w:rsidRPr="008551C5">
        <w:rPr>
          <w:rFonts w:asciiTheme="minorHAnsi" w:hAnsiTheme="minorHAnsi" w:cstheme="minorHAnsi"/>
          <w:bCs/>
          <w:color w:val="000000"/>
        </w:rPr>
        <w:t xml:space="preserve">Authorizing </w:t>
      </w:r>
      <w:r w:rsidRPr="008551C5" w:rsidR="00B5020E">
        <w:rPr>
          <w:rFonts w:asciiTheme="minorHAnsi" w:hAnsiTheme="minorHAnsi" w:cstheme="minorHAnsi"/>
          <w:bCs/>
          <w:color w:val="000000"/>
        </w:rPr>
        <w:t>L</w:t>
      </w:r>
      <w:r w:rsidRPr="008551C5">
        <w:rPr>
          <w:rFonts w:asciiTheme="minorHAnsi" w:hAnsiTheme="minorHAnsi" w:cstheme="minorHAnsi"/>
          <w:bCs/>
          <w:color w:val="000000"/>
        </w:rPr>
        <w:t xml:space="preserve">egislation </w:t>
      </w:r>
    </w:p>
    <w:p w:rsidRPr="008551C5" w:rsidR="00584859" w:rsidP="006A34D2" w:rsidRDefault="006A34D2" w14:paraId="388052C9" w14:textId="19FA9824">
      <w:pPr>
        <w:tabs>
          <w:tab w:val="left" w:pos="-1440"/>
        </w:tabs>
        <w:ind w:left="720" w:hanging="720"/>
        <w:rPr>
          <w:rFonts w:asciiTheme="minorHAnsi" w:hAnsiTheme="minorHAnsi" w:cstheme="minorHAnsi"/>
          <w:bCs/>
          <w:sz w:val="22"/>
          <w:szCs w:val="22"/>
        </w:rPr>
      </w:pPr>
      <w:r w:rsidRPr="008551C5">
        <w:rPr>
          <w:rFonts w:asciiTheme="minorHAnsi" w:hAnsiTheme="minorHAnsi" w:cstheme="minorHAnsi"/>
          <w:bCs/>
          <w:sz w:val="22"/>
          <w:szCs w:val="22"/>
        </w:rPr>
        <w:t>B.</w:t>
      </w:r>
      <w:r w:rsidRPr="008551C5">
        <w:rPr>
          <w:rFonts w:asciiTheme="minorHAnsi" w:hAnsiTheme="minorHAnsi" w:cstheme="minorHAnsi"/>
          <w:bCs/>
          <w:sz w:val="22"/>
          <w:szCs w:val="22"/>
        </w:rPr>
        <w:tab/>
      </w:r>
      <w:r w:rsidRPr="008551C5" w:rsidR="0038275E">
        <w:rPr>
          <w:rFonts w:asciiTheme="minorHAnsi" w:hAnsiTheme="minorHAnsi" w:cstheme="minorHAnsi"/>
          <w:bCs/>
          <w:sz w:val="22"/>
          <w:szCs w:val="22"/>
        </w:rPr>
        <w:t>60-Day Federal Register Notice</w:t>
      </w:r>
      <w:r w:rsidR="00611E0E">
        <w:rPr>
          <w:rFonts w:asciiTheme="minorHAnsi" w:hAnsiTheme="minorHAnsi" w:cstheme="minorHAnsi"/>
          <w:bCs/>
          <w:sz w:val="22"/>
          <w:szCs w:val="22"/>
        </w:rPr>
        <w:t xml:space="preserve">, </w:t>
      </w:r>
      <w:r w:rsidR="007E53EA">
        <w:rPr>
          <w:rFonts w:asciiTheme="minorHAnsi" w:hAnsiTheme="minorHAnsi" w:cstheme="minorHAnsi"/>
          <w:bCs/>
          <w:sz w:val="22"/>
          <w:szCs w:val="22"/>
        </w:rPr>
        <w:t>C</w:t>
      </w:r>
      <w:r w:rsidRPr="008551C5" w:rsidR="0038275E">
        <w:rPr>
          <w:rFonts w:asciiTheme="minorHAnsi" w:hAnsiTheme="minorHAnsi" w:cstheme="minorHAnsi"/>
          <w:bCs/>
          <w:sz w:val="22"/>
          <w:szCs w:val="22"/>
        </w:rPr>
        <w:t>omments</w:t>
      </w:r>
      <w:r w:rsidR="00611E0E">
        <w:rPr>
          <w:rFonts w:asciiTheme="minorHAnsi" w:hAnsiTheme="minorHAnsi" w:cstheme="minorHAnsi"/>
          <w:bCs/>
          <w:sz w:val="22"/>
          <w:szCs w:val="22"/>
        </w:rPr>
        <w:t xml:space="preserve">, and </w:t>
      </w:r>
      <w:r w:rsidR="007E53EA">
        <w:rPr>
          <w:rFonts w:asciiTheme="minorHAnsi" w:hAnsiTheme="minorHAnsi" w:cstheme="minorHAnsi"/>
          <w:bCs/>
          <w:sz w:val="22"/>
          <w:szCs w:val="22"/>
        </w:rPr>
        <w:t>R</w:t>
      </w:r>
      <w:r w:rsidR="00611E0E">
        <w:rPr>
          <w:rFonts w:asciiTheme="minorHAnsi" w:hAnsiTheme="minorHAnsi" w:cstheme="minorHAnsi"/>
          <w:bCs/>
          <w:sz w:val="22"/>
          <w:szCs w:val="22"/>
        </w:rPr>
        <w:t>esponse</w:t>
      </w:r>
    </w:p>
    <w:p w:rsidRPr="008551C5" w:rsidR="006A34D2" w:rsidP="006A34D2" w:rsidRDefault="00B5020E" w14:paraId="2F8AA88D" w14:textId="04A3AC08">
      <w:pPr>
        <w:tabs>
          <w:tab w:val="left" w:pos="-1440"/>
        </w:tabs>
        <w:ind w:left="720" w:hanging="720"/>
        <w:rPr>
          <w:rFonts w:asciiTheme="minorHAnsi" w:hAnsiTheme="minorHAnsi" w:cstheme="minorHAnsi"/>
          <w:bCs/>
          <w:sz w:val="22"/>
          <w:szCs w:val="22"/>
        </w:rPr>
      </w:pPr>
      <w:r w:rsidRPr="008551C5">
        <w:rPr>
          <w:rFonts w:asciiTheme="minorHAnsi" w:hAnsiTheme="minorHAnsi" w:cstheme="minorHAnsi"/>
          <w:bCs/>
          <w:sz w:val="22"/>
          <w:szCs w:val="22"/>
        </w:rPr>
        <w:t>C.</w:t>
      </w:r>
      <w:r w:rsidRPr="008551C5">
        <w:rPr>
          <w:rFonts w:asciiTheme="minorHAnsi" w:hAnsiTheme="minorHAnsi" w:cstheme="minorHAnsi"/>
          <w:bCs/>
          <w:sz w:val="22"/>
          <w:szCs w:val="22"/>
        </w:rPr>
        <w:tab/>
      </w:r>
      <w:r w:rsidRPr="008551C5" w:rsidR="006A34D2">
        <w:rPr>
          <w:rFonts w:asciiTheme="minorHAnsi" w:hAnsiTheme="minorHAnsi" w:cstheme="minorHAnsi"/>
          <w:bCs/>
          <w:sz w:val="22"/>
          <w:szCs w:val="22"/>
        </w:rPr>
        <w:t>Justifications for Sensitive Questions</w:t>
      </w:r>
    </w:p>
    <w:p w:rsidRPr="008551C5" w:rsidR="00E00073" w:rsidP="0026789B" w:rsidRDefault="00B5020E" w14:paraId="0E5AC1BB" w14:textId="3CB0AD09">
      <w:pPr>
        <w:tabs>
          <w:tab w:val="left" w:pos="-1440"/>
        </w:tabs>
        <w:ind w:left="720" w:hanging="720"/>
        <w:rPr>
          <w:rFonts w:asciiTheme="minorHAnsi" w:hAnsiTheme="minorHAnsi" w:cstheme="minorHAnsi"/>
          <w:bCs/>
          <w:sz w:val="22"/>
          <w:szCs w:val="22"/>
        </w:rPr>
      </w:pPr>
      <w:r w:rsidRPr="008551C5">
        <w:rPr>
          <w:rFonts w:asciiTheme="minorHAnsi" w:hAnsiTheme="minorHAnsi" w:cstheme="minorHAnsi"/>
          <w:bCs/>
          <w:sz w:val="22"/>
          <w:szCs w:val="22"/>
        </w:rPr>
        <w:t>D</w:t>
      </w:r>
      <w:r w:rsidRPr="008551C5" w:rsidR="006A34D2">
        <w:rPr>
          <w:rFonts w:asciiTheme="minorHAnsi" w:hAnsiTheme="minorHAnsi" w:cstheme="minorHAnsi"/>
          <w:bCs/>
          <w:sz w:val="22"/>
          <w:szCs w:val="22"/>
        </w:rPr>
        <w:t>.</w:t>
      </w:r>
      <w:r w:rsidRPr="008551C5" w:rsidR="006A34D2">
        <w:rPr>
          <w:rFonts w:asciiTheme="minorHAnsi" w:hAnsiTheme="minorHAnsi" w:cstheme="minorHAnsi"/>
          <w:bCs/>
          <w:sz w:val="22"/>
          <w:szCs w:val="22"/>
        </w:rPr>
        <w:tab/>
      </w:r>
      <w:r w:rsidRPr="008551C5" w:rsidR="00E00073">
        <w:rPr>
          <w:rFonts w:asciiTheme="minorHAnsi" w:hAnsiTheme="minorHAnsi" w:cstheme="minorHAnsi"/>
          <w:bCs/>
          <w:sz w:val="22"/>
          <w:szCs w:val="22"/>
        </w:rPr>
        <w:t>Prior Methodologic Studies Informing Procedures Proposed</w:t>
      </w:r>
    </w:p>
    <w:p w:rsidRPr="008551C5" w:rsidR="006A34D2" w:rsidP="006A34D2" w:rsidRDefault="0026789B" w14:paraId="2ED5C2F5" w14:textId="734C2469">
      <w:pPr>
        <w:pStyle w:val="QuickA0"/>
        <w:numPr>
          <w:ilvl w:val="0"/>
          <w:numId w:val="0"/>
        </w:numPr>
        <w:tabs>
          <w:tab w:val="left" w:pos="-1440"/>
        </w:tabs>
        <w:ind w:left="720" w:hanging="720"/>
        <w:rPr>
          <w:rFonts w:asciiTheme="minorHAnsi" w:hAnsiTheme="minorHAnsi" w:cstheme="minorHAnsi"/>
          <w:bCs/>
          <w:sz w:val="22"/>
          <w:szCs w:val="22"/>
        </w:rPr>
      </w:pPr>
      <w:r w:rsidRPr="008551C5">
        <w:rPr>
          <w:rFonts w:asciiTheme="minorHAnsi" w:hAnsiTheme="minorHAnsi" w:cstheme="minorHAnsi"/>
          <w:bCs/>
          <w:sz w:val="22"/>
          <w:szCs w:val="22"/>
        </w:rPr>
        <w:t>E</w:t>
      </w:r>
      <w:r w:rsidRPr="008551C5" w:rsidR="006A34D2">
        <w:rPr>
          <w:rFonts w:asciiTheme="minorHAnsi" w:hAnsiTheme="minorHAnsi" w:cstheme="minorHAnsi"/>
          <w:bCs/>
          <w:sz w:val="22"/>
          <w:szCs w:val="22"/>
        </w:rPr>
        <w:t>.</w:t>
      </w:r>
      <w:r w:rsidRPr="008551C5" w:rsidR="006A34D2">
        <w:rPr>
          <w:rFonts w:asciiTheme="minorHAnsi" w:hAnsiTheme="minorHAnsi" w:cstheme="minorHAnsi"/>
          <w:bCs/>
          <w:sz w:val="22"/>
          <w:szCs w:val="22"/>
        </w:rPr>
        <w:tab/>
        <w:t xml:space="preserve">Memoranda from </w:t>
      </w:r>
      <w:r w:rsidRPr="008551C5" w:rsidR="001334B7">
        <w:rPr>
          <w:rFonts w:asciiTheme="minorHAnsi" w:hAnsiTheme="minorHAnsi" w:cstheme="minorHAnsi"/>
          <w:bCs/>
          <w:sz w:val="22"/>
          <w:szCs w:val="22"/>
        </w:rPr>
        <w:t>O</w:t>
      </w:r>
      <w:r w:rsidRPr="008551C5" w:rsidR="006A34D2">
        <w:rPr>
          <w:rFonts w:asciiTheme="minorHAnsi" w:hAnsiTheme="minorHAnsi" w:cstheme="minorHAnsi"/>
          <w:bCs/>
          <w:sz w:val="22"/>
          <w:szCs w:val="22"/>
        </w:rPr>
        <w:t xml:space="preserve">ther </w:t>
      </w:r>
      <w:r w:rsidRPr="008551C5" w:rsidR="001334B7">
        <w:rPr>
          <w:rFonts w:asciiTheme="minorHAnsi" w:hAnsiTheme="minorHAnsi" w:cstheme="minorHAnsi"/>
          <w:bCs/>
          <w:sz w:val="22"/>
          <w:szCs w:val="22"/>
        </w:rPr>
        <w:t>O</w:t>
      </w:r>
      <w:r w:rsidRPr="008551C5" w:rsidR="006A34D2">
        <w:rPr>
          <w:rFonts w:asciiTheme="minorHAnsi" w:hAnsiTheme="minorHAnsi" w:cstheme="minorHAnsi"/>
          <w:bCs/>
          <w:sz w:val="22"/>
          <w:szCs w:val="22"/>
        </w:rPr>
        <w:t xml:space="preserve">ffices and </w:t>
      </w:r>
      <w:r w:rsidRPr="008551C5" w:rsidR="001334B7">
        <w:rPr>
          <w:rFonts w:asciiTheme="minorHAnsi" w:hAnsiTheme="minorHAnsi" w:cstheme="minorHAnsi"/>
          <w:bCs/>
          <w:sz w:val="22"/>
          <w:szCs w:val="22"/>
        </w:rPr>
        <w:t>A</w:t>
      </w:r>
      <w:r w:rsidRPr="008551C5" w:rsidR="006A34D2">
        <w:rPr>
          <w:rFonts w:asciiTheme="minorHAnsi" w:hAnsiTheme="minorHAnsi" w:cstheme="minorHAnsi"/>
          <w:bCs/>
          <w:sz w:val="22"/>
          <w:szCs w:val="22"/>
        </w:rPr>
        <w:t xml:space="preserve">gencies </w:t>
      </w:r>
    </w:p>
    <w:p w:rsidRPr="008551C5" w:rsidR="006A34D2" w:rsidP="006A34D2" w:rsidRDefault="0026789B" w14:paraId="53A80F48" w14:textId="0B39C18F">
      <w:pPr>
        <w:tabs>
          <w:tab w:val="left" w:pos="-1440"/>
        </w:tabs>
        <w:ind w:left="720" w:hanging="720"/>
        <w:rPr>
          <w:rFonts w:asciiTheme="minorHAnsi" w:hAnsiTheme="minorHAnsi" w:cstheme="minorHAnsi"/>
          <w:color w:val="FF0000"/>
          <w:sz w:val="22"/>
          <w:szCs w:val="22"/>
        </w:rPr>
      </w:pPr>
      <w:r w:rsidRPr="008551C5">
        <w:rPr>
          <w:rFonts w:asciiTheme="minorHAnsi" w:hAnsiTheme="minorHAnsi" w:cstheme="minorHAnsi"/>
          <w:bCs/>
          <w:color w:val="000000"/>
          <w:sz w:val="22"/>
          <w:szCs w:val="22"/>
        </w:rPr>
        <w:t>F</w:t>
      </w:r>
      <w:r w:rsidRPr="008551C5" w:rsidR="006A34D2">
        <w:rPr>
          <w:rFonts w:asciiTheme="minorHAnsi" w:hAnsiTheme="minorHAnsi" w:cstheme="minorHAnsi"/>
          <w:bCs/>
          <w:color w:val="000000"/>
          <w:sz w:val="22"/>
          <w:szCs w:val="22"/>
        </w:rPr>
        <w:t>.</w:t>
      </w:r>
      <w:r w:rsidRPr="008551C5" w:rsidR="006A34D2">
        <w:rPr>
          <w:rFonts w:asciiTheme="minorHAnsi" w:hAnsiTheme="minorHAnsi" w:cstheme="minorHAnsi"/>
          <w:bCs/>
          <w:color w:val="000000"/>
          <w:sz w:val="22"/>
          <w:szCs w:val="22"/>
        </w:rPr>
        <w:tab/>
        <w:t xml:space="preserve">Consultation </w:t>
      </w:r>
      <w:r w:rsidRPr="008551C5" w:rsidR="00811577">
        <w:rPr>
          <w:rFonts w:asciiTheme="minorHAnsi" w:hAnsiTheme="minorHAnsi" w:cstheme="minorHAnsi"/>
          <w:bCs/>
          <w:color w:val="000000"/>
          <w:sz w:val="22"/>
          <w:szCs w:val="22"/>
        </w:rPr>
        <w:t>O</w:t>
      </w:r>
      <w:r w:rsidRPr="008551C5" w:rsidR="006A34D2">
        <w:rPr>
          <w:rFonts w:asciiTheme="minorHAnsi" w:hAnsiTheme="minorHAnsi" w:cstheme="minorHAnsi"/>
          <w:bCs/>
          <w:color w:val="000000"/>
          <w:sz w:val="22"/>
          <w:szCs w:val="22"/>
        </w:rPr>
        <w:t xml:space="preserve">utside the </w:t>
      </w:r>
      <w:r w:rsidRPr="008551C5" w:rsidR="00811577">
        <w:rPr>
          <w:rFonts w:asciiTheme="minorHAnsi" w:hAnsiTheme="minorHAnsi" w:cstheme="minorHAnsi"/>
          <w:bCs/>
          <w:color w:val="000000"/>
          <w:sz w:val="22"/>
          <w:szCs w:val="22"/>
        </w:rPr>
        <w:t>A</w:t>
      </w:r>
      <w:r w:rsidRPr="008551C5" w:rsidR="006A34D2">
        <w:rPr>
          <w:rFonts w:asciiTheme="minorHAnsi" w:hAnsiTheme="minorHAnsi" w:cstheme="minorHAnsi"/>
          <w:bCs/>
          <w:color w:val="000000"/>
          <w:sz w:val="22"/>
          <w:szCs w:val="22"/>
        </w:rPr>
        <w:t>gency</w:t>
      </w:r>
    </w:p>
    <w:p w:rsidRPr="008551C5" w:rsidR="006A34D2" w:rsidP="006A34D2" w:rsidRDefault="0026789B" w14:paraId="754460AA" w14:textId="1D9B262D">
      <w:pPr>
        <w:pStyle w:val="QuickA0"/>
        <w:numPr>
          <w:ilvl w:val="0"/>
          <w:numId w:val="0"/>
        </w:numPr>
        <w:tabs>
          <w:tab w:val="left" w:pos="-1440"/>
        </w:tabs>
        <w:ind w:left="720" w:hanging="720"/>
        <w:rPr>
          <w:rFonts w:asciiTheme="minorHAnsi" w:hAnsiTheme="minorHAnsi" w:cstheme="minorHAnsi"/>
          <w:sz w:val="22"/>
          <w:szCs w:val="22"/>
        </w:rPr>
      </w:pPr>
      <w:r w:rsidRPr="008551C5">
        <w:rPr>
          <w:rFonts w:asciiTheme="minorHAnsi" w:hAnsiTheme="minorHAnsi" w:cstheme="minorHAnsi"/>
          <w:color w:val="000000"/>
          <w:sz w:val="22"/>
          <w:szCs w:val="22"/>
        </w:rPr>
        <w:t>G</w:t>
      </w:r>
      <w:r w:rsidRPr="008551C5" w:rsidR="006A34D2">
        <w:rPr>
          <w:rFonts w:asciiTheme="minorHAnsi" w:hAnsiTheme="minorHAnsi" w:cstheme="minorHAnsi"/>
          <w:color w:val="000000"/>
          <w:sz w:val="22"/>
          <w:szCs w:val="22"/>
        </w:rPr>
        <w:t>.</w:t>
      </w:r>
      <w:r w:rsidRPr="008551C5" w:rsidR="006A34D2">
        <w:rPr>
          <w:rFonts w:asciiTheme="minorHAnsi" w:hAnsiTheme="minorHAnsi" w:cstheme="minorHAnsi"/>
          <w:color w:val="000000"/>
          <w:sz w:val="22"/>
          <w:szCs w:val="22"/>
        </w:rPr>
        <w:tab/>
        <w:t xml:space="preserve">Respondent Materials for the NSFG </w:t>
      </w:r>
    </w:p>
    <w:p w:rsidRPr="008551C5" w:rsidR="006A34D2" w:rsidP="006A34D2" w:rsidRDefault="0026789B" w14:paraId="4F915C7E" w14:textId="2AE4F0A6">
      <w:pPr>
        <w:pStyle w:val="QuickA0"/>
        <w:numPr>
          <w:ilvl w:val="0"/>
          <w:numId w:val="0"/>
        </w:numPr>
        <w:tabs>
          <w:tab w:val="left" w:pos="-1440"/>
        </w:tabs>
        <w:rPr>
          <w:rFonts w:asciiTheme="minorHAnsi" w:hAnsiTheme="minorHAnsi" w:cstheme="minorHAnsi"/>
          <w:sz w:val="22"/>
          <w:szCs w:val="22"/>
        </w:rPr>
      </w:pPr>
      <w:r w:rsidRPr="008551C5">
        <w:rPr>
          <w:rFonts w:asciiTheme="minorHAnsi" w:hAnsiTheme="minorHAnsi" w:cstheme="minorHAnsi"/>
          <w:sz w:val="22"/>
          <w:szCs w:val="22"/>
        </w:rPr>
        <w:t>H</w:t>
      </w:r>
      <w:r w:rsidRPr="008551C5" w:rsidR="006A34D2">
        <w:rPr>
          <w:rFonts w:asciiTheme="minorHAnsi" w:hAnsiTheme="minorHAnsi" w:cstheme="minorHAnsi"/>
          <w:sz w:val="22"/>
          <w:szCs w:val="22"/>
        </w:rPr>
        <w:t>.</w:t>
      </w:r>
      <w:r w:rsidRPr="008551C5" w:rsidR="006A34D2">
        <w:rPr>
          <w:rFonts w:asciiTheme="minorHAnsi" w:hAnsiTheme="minorHAnsi" w:cstheme="minorHAnsi"/>
          <w:sz w:val="22"/>
          <w:szCs w:val="22"/>
        </w:rPr>
        <w:tab/>
        <w:t>Household Screener Questionnaire</w:t>
      </w:r>
    </w:p>
    <w:p w:rsidRPr="008551C5" w:rsidR="006A34D2" w:rsidP="006A34D2" w:rsidRDefault="0026789B" w14:paraId="7C67FB34" w14:textId="5CA85B6E">
      <w:pPr>
        <w:pStyle w:val="QuickA0"/>
        <w:numPr>
          <w:ilvl w:val="0"/>
          <w:numId w:val="0"/>
        </w:numPr>
        <w:tabs>
          <w:tab w:val="left" w:pos="-1440"/>
        </w:tabs>
        <w:ind w:left="720" w:hanging="720"/>
        <w:rPr>
          <w:rFonts w:asciiTheme="minorHAnsi" w:hAnsiTheme="minorHAnsi" w:cstheme="minorHAnsi"/>
          <w:i/>
          <w:sz w:val="22"/>
          <w:szCs w:val="22"/>
        </w:rPr>
      </w:pPr>
      <w:r w:rsidRPr="008551C5">
        <w:rPr>
          <w:rFonts w:asciiTheme="minorHAnsi" w:hAnsiTheme="minorHAnsi" w:cstheme="minorHAnsi"/>
          <w:sz w:val="22"/>
          <w:szCs w:val="22"/>
        </w:rPr>
        <w:t>I</w:t>
      </w:r>
      <w:r w:rsidRPr="008551C5" w:rsidR="006A34D2">
        <w:rPr>
          <w:rFonts w:asciiTheme="minorHAnsi" w:hAnsiTheme="minorHAnsi" w:cstheme="minorHAnsi"/>
          <w:sz w:val="22"/>
          <w:szCs w:val="22"/>
        </w:rPr>
        <w:t>.</w:t>
      </w:r>
      <w:r w:rsidRPr="008551C5" w:rsidR="006A34D2">
        <w:rPr>
          <w:rFonts w:asciiTheme="minorHAnsi" w:hAnsiTheme="minorHAnsi" w:cstheme="minorHAnsi"/>
          <w:sz w:val="22"/>
          <w:szCs w:val="22"/>
        </w:rPr>
        <w:tab/>
      </w:r>
      <w:r w:rsidRPr="008551C5" w:rsidR="00357297">
        <w:rPr>
          <w:rFonts w:asciiTheme="minorHAnsi" w:hAnsiTheme="minorHAnsi" w:cstheme="minorHAnsi"/>
          <w:sz w:val="22"/>
          <w:szCs w:val="22"/>
        </w:rPr>
        <w:t xml:space="preserve">Female </w:t>
      </w:r>
      <w:r w:rsidRPr="008551C5" w:rsidR="006A34D2">
        <w:rPr>
          <w:rFonts w:asciiTheme="minorHAnsi" w:hAnsiTheme="minorHAnsi" w:cstheme="minorHAnsi"/>
          <w:sz w:val="22"/>
          <w:szCs w:val="22"/>
        </w:rPr>
        <w:t>Questionnaire</w:t>
      </w:r>
    </w:p>
    <w:p w:rsidRPr="008551C5" w:rsidR="006A34D2" w:rsidP="006A34D2" w:rsidRDefault="0026789B" w14:paraId="3B63428B" w14:textId="016B2A7E">
      <w:pPr>
        <w:pStyle w:val="QuickA0"/>
        <w:numPr>
          <w:ilvl w:val="0"/>
          <w:numId w:val="0"/>
        </w:numPr>
        <w:tabs>
          <w:tab w:val="left" w:pos="-1440"/>
        </w:tabs>
        <w:ind w:left="720" w:hanging="720"/>
        <w:rPr>
          <w:rFonts w:asciiTheme="minorHAnsi" w:hAnsiTheme="minorHAnsi" w:cstheme="minorHAnsi"/>
          <w:i/>
          <w:color w:val="FF0000"/>
          <w:sz w:val="22"/>
          <w:szCs w:val="22"/>
        </w:rPr>
      </w:pPr>
      <w:r w:rsidRPr="008551C5">
        <w:rPr>
          <w:rFonts w:asciiTheme="minorHAnsi" w:hAnsiTheme="minorHAnsi" w:cstheme="minorHAnsi"/>
          <w:sz w:val="22"/>
          <w:szCs w:val="22"/>
        </w:rPr>
        <w:t>J</w:t>
      </w:r>
      <w:r w:rsidRPr="008551C5" w:rsidR="006A34D2">
        <w:rPr>
          <w:rFonts w:asciiTheme="minorHAnsi" w:hAnsiTheme="minorHAnsi" w:cstheme="minorHAnsi"/>
          <w:sz w:val="22"/>
          <w:szCs w:val="22"/>
        </w:rPr>
        <w:t>.</w:t>
      </w:r>
      <w:r w:rsidRPr="008551C5" w:rsidR="006A34D2">
        <w:rPr>
          <w:rFonts w:asciiTheme="minorHAnsi" w:hAnsiTheme="minorHAnsi" w:cstheme="minorHAnsi"/>
          <w:sz w:val="22"/>
          <w:szCs w:val="22"/>
        </w:rPr>
        <w:tab/>
        <w:t>M</w:t>
      </w:r>
      <w:r w:rsidRPr="008551C5" w:rsidR="00357297">
        <w:rPr>
          <w:rFonts w:asciiTheme="minorHAnsi" w:hAnsiTheme="minorHAnsi" w:cstheme="minorHAnsi"/>
          <w:sz w:val="22"/>
          <w:szCs w:val="22"/>
        </w:rPr>
        <w:t>ale</w:t>
      </w:r>
      <w:r w:rsidRPr="008551C5" w:rsidR="006A34D2">
        <w:rPr>
          <w:rFonts w:asciiTheme="minorHAnsi" w:hAnsiTheme="minorHAnsi" w:cstheme="minorHAnsi"/>
          <w:sz w:val="22"/>
          <w:szCs w:val="22"/>
        </w:rPr>
        <w:t xml:space="preserve"> Questionnaire</w:t>
      </w:r>
    </w:p>
    <w:p w:rsidRPr="008551C5" w:rsidR="006A34D2" w:rsidP="006A34D2" w:rsidRDefault="0026789B" w14:paraId="725203D2" w14:textId="0DAB707E">
      <w:pPr>
        <w:pStyle w:val="QuickA0"/>
        <w:numPr>
          <w:ilvl w:val="0"/>
          <w:numId w:val="0"/>
        </w:numPr>
        <w:tabs>
          <w:tab w:val="left" w:pos="-1440"/>
        </w:tabs>
        <w:rPr>
          <w:rFonts w:asciiTheme="minorHAnsi" w:hAnsiTheme="minorHAnsi" w:cstheme="minorHAnsi"/>
          <w:sz w:val="22"/>
          <w:szCs w:val="22"/>
        </w:rPr>
      </w:pPr>
      <w:r w:rsidRPr="008551C5">
        <w:rPr>
          <w:rFonts w:asciiTheme="minorHAnsi" w:hAnsiTheme="minorHAnsi" w:cstheme="minorHAnsi"/>
          <w:sz w:val="22"/>
          <w:szCs w:val="22"/>
        </w:rPr>
        <w:t>K.</w:t>
      </w:r>
      <w:r w:rsidRPr="008551C5" w:rsidR="006A34D2">
        <w:rPr>
          <w:rFonts w:asciiTheme="minorHAnsi" w:hAnsiTheme="minorHAnsi" w:cstheme="minorHAnsi"/>
          <w:sz w:val="22"/>
          <w:szCs w:val="22"/>
        </w:rPr>
        <w:tab/>
        <w:t xml:space="preserve">Verification </w:t>
      </w:r>
      <w:r w:rsidRPr="008551C5">
        <w:rPr>
          <w:rFonts w:asciiTheme="minorHAnsi" w:hAnsiTheme="minorHAnsi" w:cstheme="minorHAnsi"/>
          <w:sz w:val="22"/>
          <w:szCs w:val="22"/>
        </w:rPr>
        <w:t xml:space="preserve">Procedures and </w:t>
      </w:r>
      <w:r w:rsidRPr="008551C5" w:rsidR="006A34D2">
        <w:rPr>
          <w:rFonts w:asciiTheme="minorHAnsi" w:hAnsiTheme="minorHAnsi" w:cstheme="minorHAnsi"/>
          <w:sz w:val="22"/>
          <w:szCs w:val="22"/>
        </w:rPr>
        <w:t xml:space="preserve">Questionnaires </w:t>
      </w:r>
    </w:p>
    <w:p w:rsidRPr="008551C5" w:rsidR="006A34D2" w:rsidP="006A34D2" w:rsidRDefault="0026789B" w14:paraId="76993EE6" w14:textId="244A06C0">
      <w:pPr>
        <w:pStyle w:val="QuickA0"/>
        <w:numPr>
          <w:ilvl w:val="0"/>
          <w:numId w:val="0"/>
        </w:numPr>
        <w:tabs>
          <w:tab w:val="left" w:pos="-1440"/>
        </w:tabs>
        <w:rPr>
          <w:rFonts w:asciiTheme="minorHAnsi" w:hAnsiTheme="minorHAnsi" w:cstheme="minorHAnsi"/>
          <w:sz w:val="22"/>
          <w:szCs w:val="22"/>
        </w:rPr>
      </w:pPr>
      <w:r w:rsidRPr="008551C5">
        <w:rPr>
          <w:rFonts w:asciiTheme="minorHAnsi" w:hAnsiTheme="minorHAnsi" w:cstheme="minorHAnsi"/>
          <w:sz w:val="22"/>
          <w:szCs w:val="22"/>
        </w:rPr>
        <w:t>L</w:t>
      </w:r>
      <w:r w:rsidRPr="008551C5" w:rsidR="006A34D2">
        <w:rPr>
          <w:rFonts w:asciiTheme="minorHAnsi" w:hAnsiTheme="minorHAnsi" w:cstheme="minorHAnsi"/>
          <w:sz w:val="22"/>
          <w:szCs w:val="22"/>
        </w:rPr>
        <w:t>.</w:t>
      </w:r>
      <w:r w:rsidRPr="008551C5" w:rsidR="006A34D2">
        <w:rPr>
          <w:rFonts w:asciiTheme="minorHAnsi" w:hAnsiTheme="minorHAnsi" w:cstheme="minorHAnsi"/>
          <w:sz w:val="22"/>
          <w:szCs w:val="22"/>
        </w:rPr>
        <w:tab/>
        <w:t xml:space="preserve">Interviewer Observation </w:t>
      </w:r>
      <w:r w:rsidRPr="008551C5" w:rsidR="009A28DD">
        <w:rPr>
          <w:rFonts w:asciiTheme="minorHAnsi" w:hAnsiTheme="minorHAnsi" w:cstheme="minorHAnsi"/>
          <w:sz w:val="22"/>
          <w:szCs w:val="22"/>
        </w:rPr>
        <w:t>Form</w:t>
      </w:r>
    </w:p>
    <w:p w:rsidRPr="008551C5" w:rsidR="006A34D2" w:rsidP="006A34D2" w:rsidRDefault="0026789B" w14:paraId="7494F7ED" w14:textId="15E7EA69">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M</w:t>
      </w:r>
      <w:r w:rsidRPr="008551C5" w:rsidR="006A34D2">
        <w:rPr>
          <w:rFonts w:asciiTheme="minorHAnsi" w:hAnsiTheme="minorHAnsi" w:cstheme="minorHAnsi"/>
          <w:sz w:val="22"/>
          <w:szCs w:val="22"/>
        </w:rPr>
        <w:t>.</w:t>
      </w:r>
      <w:r w:rsidRPr="008551C5" w:rsidR="006A34D2">
        <w:rPr>
          <w:rFonts w:asciiTheme="minorHAnsi" w:hAnsiTheme="minorHAnsi" w:cstheme="minorHAnsi"/>
          <w:sz w:val="22"/>
          <w:szCs w:val="22"/>
        </w:rPr>
        <w:tab/>
        <w:t>IRB Approval Form for the NSFG</w:t>
      </w:r>
      <w:r w:rsidRPr="008551C5" w:rsidR="0024255D">
        <w:rPr>
          <w:rFonts w:asciiTheme="minorHAnsi" w:hAnsiTheme="minorHAnsi" w:cstheme="minorHAnsi"/>
          <w:sz w:val="22"/>
          <w:szCs w:val="22"/>
        </w:rPr>
        <w:t xml:space="preserve"> (placeholder)</w:t>
      </w:r>
    </w:p>
    <w:p w:rsidRPr="008551C5" w:rsidR="00E83FDB" w:rsidP="006A34D2" w:rsidRDefault="0026789B" w14:paraId="329CAF18" w14:textId="4E048017">
      <w:pPr>
        <w:rPr>
          <w:rFonts w:asciiTheme="minorHAnsi" w:hAnsiTheme="minorHAnsi" w:cstheme="minorHAnsi"/>
          <w:sz w:val="22"/>
          <w:szCs w:val="22"/>
        </w:rPr>
      </w:pPr>
      <w:r w:rsidRPr="008551C5">
        <w:rPr>
          <w:rFonts w:asciiTheme="minorHAnsi" w:hAnsiTheme="minorHAnsi" w:cstheme="minorHAnsi"/>
          <w:sz w:val="22"/>
          <w:szCs w:val="22"/>
        </w:rPr>
        <w:t>N.</w:t>
      </w:r>
      <w:r w:rsidRPr="008551C5" w:rsidR="006A34D2">
        <w:rPr>
          <w:rFonts w:asciiTheme="minorHAnsi" w:hAnsiTheme="minorHAnsi" w:cstheme="minorHAnsi"/>
          <w:sz w:val="22"/>
          <w:szCs w:val="22"/>
        </w:rPr>
        <w:tab/>
      </w:r>
      <w:r w:rsidRPr="008551C5">
        <w:rPr>
          <w:rFonts w:asciiTheme="minorHAnsi" w:hAnsiTheme="minorHAnsi" w:cstheme="minorHAnsi"/>
          <w:sz w:val="22"/>
          <w:szCs w:val="22"/>
        </w:rPr>
        <w:t xml:space="preserve">Plan for </w:t>
      </w:r>
      <w:r w:rsidRPr="008551C5" w:rsidR="006A34D2">
        <w:rPr>
          <w:rFonts w:asciiTheme="minorHAnsi" w:hAnsiTheme="minorHAnsi" w:cstheme="minorHAnsi"/>
          <w:sz w:val="22"/>
          <w:szCs w:val="22"/>
        </w:rPr>
        <w:t>Non</w:t>
      </w:r>
      <w:r w:rsidRPr="008551C5" w:rsidR="00025D8F">
        <w:rPr>
          <w:rFonts w:asciiTheme="minorHAnsi" w:hAnsiTheme="minorHAnsi" w:cstheme="minorHAnsi"/>
          <w:sz w:val="22"/>
          <w:szCs w:val="22"/>
        </w:rPr>
        <w:t>r</w:t>
      </w:r>
      <w:r w:rsidRPr="008551C5" w:rsidR="006A34D2">
        <w:rPr>
          <w:rFonts w:asciiTheme="minorHAnsi" w:hAnsiTheme="minorHAnsi" w:cstheme="minorHAnsi"/>
          <w:sz w:val="22"/>
          <w:szCs w:val="22"/>
        </w:rPr>
        <w:t>esponse Bias Analys</w:t>
      </w:r>
      <w:r w:rsidRPr="008551C5" w:rsidR="0065783C">
        <w:rPr>
          <w:rFonts w:asciiTheme="minorHAnsi" w:hAnsiTheme="minorHAnsi" w:cstheme="minorHAnsi"/>
          <w:sz w:val="22"/>
          <w:szCs w:val="22"/>
        </w:rPr>
        <w:t>is</w:t>
      </w:r>
    </w:p>
    <w:p w:rsidRPr="008551C5" w:rsidR="00C7645A" w:rsidP="002F2281" w:rsidRDefault="00C7645A" w14:paraId="1A915472" w14:textId="54614DB7">
      <w:pPr>
        <w:rPr>
          <w:rFonts w:asciiTheme="minorHAnsi" w:hAnsiTheme="minorHAnsi" w:cstheme="minorHAnsi"/>
          <w:bCs/>
          <w:i/>
          <w:sz w:val="22"/>
          <w:szCs w:val="22"/>
        </w:rPr>
      </w:pPr>
    </w:p>
    <w:p w:rsidRPr="008551C5" w:rsidR="00C7645A" w:rsidP="00E64D0C" w:rsidRDefault="00C7645A" w14:paraId="33EF3714" w14:textId="1A02A809">
      <w:pPr>
        <w:rPr>
          <w:rFonts w:asciiTheme="minorHAnsi" w:hAnsiTheme="minorHAnsi" w:cstheme="minorHAnsi"/>
          <w:bCs/>
          <w:i/>
          <w:sz w:val="22"/>
          <w:szCs w:val="22"/>
        </w:rPr>
      </w:pPr>
      <w:r w:rsidRPr="008551C5">
        <w:rPr>
          <w:rFonts w:asciiTheme="minorHAnsi" w:hAnsiTheme="minorHAnsi" w:cstheme="minorHAnsi"/>
          <w:b/>
          <w:bCs/>
          <w:i/>
          <w:sz w:val="22"/>
          <w:szCs w:val="22"/>
          <w:u w:val="single"/>
        </w:rPr>
        <w:t>NOTE</w:t>
      </w:r>
      <w:r w:rsidRPr="008551C5">
        <w:rPr>
          <w:rFonts w:asciiTheme="minorHAnsi" w:hAnsiTheme="minorHAnsi" w:cstheme="minorHAnsi"/>
          <w:b/>
          <w:bCs/>
          <w:i/>
          <w:sz w:val="22"/>
          <w:szCs w:val="22"/>
        </w:rPr>
        <w:t xml:space="preserve">:  </w:t>
      </w:r>
      <w:r w:rsidRPr="008551C5">
        <w:rPr>
          <w:rFonts w:asciiTheme="minorHAnsi" w:hAnsiTheme="minorHAnsi" w:cstheme="minorHAnsi"/>
          <w:bCs/>
          <w:i/>
          <w:sz w:val="22"/>
          <w:szCs w:val="22"/>
        </w:rPr>
        <w:t xml:space="preserve">The sample design to be used beginning in 2022 is </w:t>
      </w:r>
      <w:r w:rsidRPr="008551C5" w:rsidR="0018221A">
        <w:rPr>
          <w:rFonts w:asciiTheme="minorHAnsi" w:hAnsiTheme="minorHAnsi" w:cstheme="minorHAnsi"/>
          <w:bCs/>
          <w:i/>
          <w:sz w:val="22"/>
          <w:szCs w:val="22"/>
        </w:rPr>
        <w:t>based on the same principles as</w:t>
      </w:r>
      <w:r w:rsidRPr="008551C5">
        <w:rPr>
          <w:rFonts w:asciiTheme="minorHAnsi" w:hAnsiTheme="minorHAnsi" w:cstheme="minorHAnsi"/>
          <w:bCs/>
          <w:i/>
          <w:sz w:val="22"/>
          <w:szCs w:val="22"/>
        </w:rPr>
        <w:t xml:space="preserve"> the sample design of the </w:t>
      </w:r>
      <w:r w:rsidRPr="008551C5" w:rsidR="0018221A">
        <w:rPr>
          <w:rFonts w:asciiTheme="minorHAnsi" w:hAnsiTheme="minorHAnsi" w:cstheme="minorHAnsi"/>
          <w:bCs/>
          <w:i/>
          <w:sz w:val="22"/>
          <w:szCs w:val="22"/>
        </w:rPr>
        <w:t xml:space="preserve">NSFG surveys conducted in </w:t>
      </w:r>
      <w:r w:rsidRPr="008551C5">
        <w:rPr>
          <w:rFonts w:asciiTheme="minorHAnsi" w:hAnsiTheme="minorHAnsi" w:cstheme="minorHAnsi"/>
          <w:bCs/>
          <w:i/>
          <w:sz w:val="22"/>
          <w:szCs w:val="22"/>
        </w:rPr>
        <w:t>2006-2010</w:t>
      </w:r>
      <w:r w:rsidRPr="008551C5" w:rsidR="0018221A">
        <w:rPr>
          <w:rFonts w:asciiTheme="minorHAnsi" w:hAnsiTheme="minorHAnsi" w:cstheme="minorHAnsi"/>
          <w:bCs/>
          <w:i/>
          <w:sz w:val="22"/>
          <w:szCs w:val="22"/>
        </w:rPr>
        <w:t xml:space="preserve"> and</w:t>
      </w:r>
      <w:r w:rsidRPr="008551C5">
        <w:rPr>
          <w:rFonts w:asciiTheme="minorHAnsi" w:hAnsiTheme="minorHAnsi" w:cstheme="minorHAnsi"/>
          <w:bCs/>
          <w:i/>
          <w:sz w:val="22"/>
          <w:szCs w:val="22"/>
        </w:rPr>
        <w:t xml:space="preserve"> 2011-201</w:t>
      </w:r>
      <w:r w:rsidRPr="008551C5" w:rsidR="0018221A">
        <w:rPr>
          <w:rFonts w:asciiTheme="minorHAnsi" w:hAnsiTheme="minorHAnsi" w:cstheme="minorHAnsi"/>
          <w:bCs/>
          <w:i/>
          <w:sz w:val="22"/>
          <w:szCs w:val="22"/>
        </w:rPr>
        <w:t>9</w:t>
      </w:r>
      <w:r w:rsidRPr="008551C5">
        <w:rPr>
          <w:rFonts w:asciiTheme="minorHAnsi" w:hAnsiTheme="minorHAnsi" w:cstheme="minorHAnsi"/>
          <w:bCs/>
          <w:i/>
          <w:sz w:val="22"/>
          <w:szCs w:val="22"/>
        </w:rPr>
        <w:t xml:space="preserve">. </w:t>
      </w:r>
      <w:r w:rsidRPr="008551C5" w:rsidR="0018221A">
        <w:rPr>
          <w:rFonts w:asciiTheme="minorHAnsi" w:hAnsiTheme="minorHAnsi" w:cstheme="minorHAnsi"/>
          <w:bCs/>
          <w:i/>
          <w:sz w:val="22"/>
          <w:szCs w:val="22"/>
        </w:rPr>
        <w:t xml:space="preserve">It is based on a </w:t>
      </w:r>
      <w:r w:rsidRPr="008551C5" w:rsidR="0018221A">
        <w:rPr>
          <w:rFonts w:asciiTheme="minorHAnsi" w:hAnsiTheme="minorHAnsi" w:cstheme="minorHAnsi"/>
          <w:bCs/>
          <w:i/>
          <w:iCs/>
          <w:sz w:val="22"/>
          <w:szCs w:val="22"/>
        </w:rPr>
        <w:t>responsive and adaptive survey design</w:t>
      </w:r>
      <w:r w:rsidRPr="008551C5" w:rsidR="0018221A">
        <w:rPr>
          <w:rFonts w:asciiTheme="minorHAnsi" w:hAnsiTheme="minorHAnsi" w:cstheme="minorHAnsi"/>
          <w:bCs/>
          <w:i/>
          <w:sz w:val="22"/>
          <w:szCs w:val="22"/>
        </w:rPr>
        <w:t xml:space="preserve"> (Groves and Heeringa, 2006; Schouten, Peytchev, and Wagner, 2017), to proactively monitor costs and response rates during data collection and </w:t>
      </w:r>
      <w:r w:rsidRPr="008551C5" w:rsidR="0011126F">
        <w:rPr>
          <w:rFonts w:asciiTheme="minorHAnsi" w:hAnsiTheme="minorHAnsi" w:cstheme="minorHAnsi"/>
          <w:bCs/>
          <w:i/>
          <w:sz w:val="22"/>
          <w:szCs w:val="22"/>
        </w:rPr>
        <w:t xml:space="preserve">to </w:t>
      </w:r>
      <w:r w:rsidRPr="008551C5" w:rsidR="0018221A">
        <w:rPr>
          <w:rFonts w:asciiTheme="minorHAnsi" w:hAnsiTheme="minorHAnsi" w:cstheme="minorHAnsi"/>
          <w:bCs/>
          <w:i/>
          <w:sz w:val="22"/>
          <w:szCs w:val="22"/>
        </w:rPr>
        <w:t xml:space="preserve">make adjustments as needed.  </w:t>
      </w:r>
      <w:r w:rsidRPr="008551C5" w:rsidR="007609F5">
        <w:rPr>
          <w:rFonts w:asciiTheme="minorHAnsi" w:hAnsiTheme="minorHAnsi" w:cstheme="minorHAnsi"/>
          <w:bCs/>
          <w:i/>
          <w:sz w:val="22"/>
          <w:szCs w:val="22"/>
        </w:rPr>
        <w:t>Several features depart from the specifics of the former design and will be discussed in this section.  A description of the former design can be found in the following link, which is the most recent such description, corresponding to the last public</w:t>
      </w:r>
      <w:r w:rsidRPr="008551C5" w:rsidR="003A66C5">
        <w:rPr>
          <w:rFonts w:asciiTheme="minorHAnsi" w:hAnsiTheme="minorHAnsi" w:cstheme="minorHAnsi"/>
          <w:bCs/>
          <w:i/>
          <w:sz w:val="22"/>
          <w:szCs w:val="22"/>
        </w:rPr>
        <w:t>-</w:t>
      </w:r>
      <w:r w:rsidRPr="008551C5" w:rsidR="007609F5">
        <w:rPr>
          <w:rFonts w:asciiTheme="minorHAnsi" w:hAnsiTheme="minorHAnsi" w:cstheme="minorHAnsi"/>
          <w:bCs/>
          <w:i/>
          <w:sz w:val="22"/>
          <w:szCs w:val="22"/>
        </w:rPr>
        <w:t xml:space="preserve">use release from the 2011-2019 fieldwork:  </w:t>
      </w:r>
    </w:p>
    <w:p w:rsidRPr="008551C5" w:rsidR="00D55327" w:rsidP="00E64D0C" w:rsidRDefault="00883A8E" w14:paraId="06C79724" w14:textId="74476CE4">
      <w:pPr>
        <w:rPr>
          <w:rStyle w:val="Hyperlink"/>
          <w:rFonts w:asciiTheme="minorHAnsi" w:hAnsiTheme="minorHAnsi" w:cstheme="minorHAnsi"/>
          <w:bCs/>
          <w:i/>
          <w:sz w:val="22"/>
          <w:szCs w:val="22"/>
        </w:rPr>
      </w:pPr>
      <w:hyperlink w:history="1" r:id="rId9">
        <w:r w:rsidRPr="008551C5" w:rsidR="007C7E0A">
          <w:rPr>
            <w:rStyle w:val="Hyperlink"/>
            <w:rFonts w:asciiTheme="minorHAnsi" w:hAnsiTheme="minorHAnsi" w:cstheme="minorHAnsi"/>
            <w:bCs/>
            <w:i/>
            <w:sz w:val="22"/>
            <w:szCs w:val="22"/>
          </w:rPr>
          <w:t>https://www.cdc.gov/nchs/data/nsfg/NSFG-2017-2019-Sample-Design-Documentation-508.pdf</w:t>
        </w:r>
      </w:hyperlink>
    </w:p>
    <w:p w:rsidRPr="008551C5" w:rsidR="00F17FB0" w:rsidP="00E64D0C" w:rsidRDefault="00F17FB0" w14:paraId="410BAB5F" w14:textId="20261401">
      <w:pPr>
        <w:rPr>
          <w:rStyle w:val="Hyperlink"/>
          <w:rFonts w:asciiTheme="minorHAnsi" w:hAnsiTheme="minorHAnsi" w:cstheme="minorHAnsi"/>
          <w:bCs/>
          <w:i/>
          <w:sz w:val="22"/>
          <w:szCs w:val="22"/>
        </w:rPr>
      </w:pPr>
    </w:p>
    <w:p w:rsidRPr="008551C5" w:rsidR="00D55327" w:rsidP="00E64D0C" w:rsidRDefault="00D55327" w14:paraId="15CFD62D" w14:textId="78DEF1B9">
      <w:pPr>
        <w:rPr>
          <w:rStyle w:val="Hyperlink"/>
          <w:rFonts w:asciiTheme="minorHAnsi" w:hAnsiTheme="minorHAnsi" w:cstheme="minorHAnsi"/>
          <w:b/>
          <w:i/>
          <w:color w:val="auto"/>
          <w:sz w:val="22"/>
          <w:szCs w:val="22"/>
          <w:u w:val="none"/>
        </w:rPr>
      </w:pPr>
      <w:r w:rsidRPr="008551C5">
        <w:rPr>
          <w:rStyle w:val="Hyperlink"/>
          <w:rFonts w:asciiTheme="minorHAnsi" w:hAnsiTheme="minorHAnsi" w:cstheme="minorHAnsi"/>
          <w:bCs/>
          <w:i/>
          <w:color w:val="auto"/>
          <w:sz w:val="22"/>
          <w:szCs w:val="22"/>
          <w:u w:val="none"/>
        </w:rPr>
        <w:t>Experiments during the data collection period 2011-2019 were conducted that informed ongoing fieldwork operations and also inform some aspects of experiments being planned or considered in this current data collection effort. These</w:t>
      </w:r>
      <w:r w:rsidR="00C62631">
        <w:rPr>
          <w:rStyle w:val="Hyperlink"/>
          <w:rFonts w:asciiTheme="minorHAnsi" w:hAnsiTheme="minorHAnsi" w:cstheme="minorHAnsi"/>
          <w:bCs/>
          <w:i/>
          <w:color w:val="auto"/>
          <w:sz w:val="22"/>
          <w:szCs w:val="22"/>
          <w:u w:val="none"/>
        </w:rPr>
        <w:t xml:space="preserve"> 2011-2019 </w:t>
      </w:r>
      <w:r w:rsidR="00111FE0">
        <w:rPr>
          <w:rStyle w:val="Hyperlink"/>
          <w:rFonts w:asciiTheme="minorHAnsi" w:hAnsiTheme="minorHAnsi" w:cstheme="minorHAnsi"/>
          <w:bCs/>
          <w:i/>
          <w:color w:val="auto"/>
          <w:sz w:val="22"/>
          <w:szCs w:val="22"/>
          <w:u w:val="none"/>
        </w:rPr>
        <w:t>experiments</w:t>
      </w:r>
      <w:r w:rsidRPr="008551C5">
        <w:rPr>
          <w:rStyle w:val="Hyperlink"/>
          <w:rFonts w:asciiTheme="minorHAnsi" w:hAnsiTheme="minorHAnsi" w:cstheme="minorHAnsi"/>
          <w:bCs/>
          <w:i/>
          <w:color w:val="auto"/>
          <w:sz w:val="22"/>
          <w:szCs w:val="22"/>
          <w:u w:val="none"/>
        </w:rPr>
        <w:t xml:space="preserve"> include a mailed</w:t>
      </w:r>
      <w:r w:rsidRPr="008551C5" w:rsidR="0011126F">
        <w:rPr>
          <w:rStyle w:val="Hyperlink"/>
          <w:rFonts w:asciiTheme="minorHAnsi" w:hAnsiTheme="minorHAnsi" w:cstheme="minorHAnsi"/>
          <w:bCs/>
          <w:i/>
          <w:color w:val="auto"/>
          <w:sz w:val="22"/>
          <w:szCs w:val="22"/>
          <w:u w:val="none"/>
        </w:rPr>
        <w:t xml:space="preserve"> household</w:t>
      </w:r>
      <w:r w:rsidRPr="008551C5">
        <w:rPr>
          <w:rStyle w:val="Hyperlink"/>
          <w:rFonts w:asciiTheme="minorHAnsi" w:hAnsiTheme="minorHAnsi" w:cstheme="minorHAnsi"/>
          <w:bCs/>
          <w:i/>
          <w:color w:val="auto"/>
          <w:sz w:val="22"/>
          <w:szCs w:val="22"/>
          <w:u w:val="none"/>
        </w:rPr>
        <w:t xml:space="preserve"> screener vs face-to-face screening </w:t>
      </w:r>
      <w:r w:rsidRPr="008551C5">
        <w:rPr>
          <w:rStyle w:val="Hyperlink"/>
          <w:rFonts w:asciiTheme="minorHAnsi" w:hAnsiTheme="minorHAnsi" w:cstheme="minorHAnsi"/>
          <w:b/>
          <w:i/>
          <w:color w:val="auto"/>
          <w:sz w:val="22"/>
          <w:szCs w:val="22"/>
          <w:u w:val="none"/>
        </w:rPr>
        <w:t>(Attachment D2)</w:t>
      </w:r>
      <w:r w:rsidRPr="008551C5">
        <w:rPr>
          <w:rStyle w:val="Hyperlink"/>
          <w:rFonts w:asciiTheme="minorHAnsi" w:hAnsiTheme="minorHAnsi" w:cstheme="minorHAnsi"/>
          <w:bCs/>
          <w:i/>
          <w:color w:val="auto"/>
          <w:sz w:val="22"/>
          <w:szCs w:val="22"/>
          <w:u w:val="none"/>
        </w:rPr>
        <w:t xml:space="preserve">, and a modification to the timing during a data collection quarter of the start of an enhanced protocol for obtaining nonrespondents’ cooperation </w:t>
      </w:r>
      <w:r w:rsidRPr="008551C5">
        <w:rPr>
          <w:rStyle w:val="Hyperlink"/>
          <w:rFonts w:asciiTheme="minorHAnsi" w:hAnsiTheme="minorHAnsi" w:cstheme="minorHAnsi"/>
          <w:b/>
          <w:i/>
          <w:color w:val="auto"/>
          <w:sz w:val="22"/>
          <w:szCs w:val="22"/>
          <w:u w:val="none"/>
        </w:rPr>
        <w:t>(Attachment D3).</w:t>
      </w:r>
    </w:p>
    <w:p w:rsidRPr="008551C5" w:rsidR="00D55327" w:rsidP="00F17FB0" w:rsidRDefault="00D55327" w14:paraId="161F320F" w14:textId="77777777">
      <w:pPr>
        <w:rPr>
          <w:rStyle w:val="Hyperlink"/>
          <w:rFonts w:asciiTheme="minorHAnsi" w:hAnsiTheme="minorHAnsi" w:cstheme="minorHAnsi"/>
          <w:b/>
          <w:i/>
          <w:color w:val="auto"/>
          <w:sz w:val="22"/>
          <w:szCs w:val="22"/>
          <w:u w:val="none"/>
        </w:rPr>
      </w:pPr>
    </w:p>
    <w:p w:rsidRPr="008551C5" w:rsidR="00F17FB0" w:rsidP="00F17FB0" w:rsidRDefault="00F17FB0" w14:paraId="6A00F4C8" w14:textId="7D95C1D6">
      <w:pPr>
        <w:rPr>
          <w:rFonts w:asciiTheme="minorHAnsi" w:hAnsiTheme="minorHAnsi" w:cstheme="minorHAnsi"/>
          <w:bCs/>
          <w:i/>
          <w:sz w:val="22"/>
          <w:szCs w:val="22"/>
        </w:rPr>
      </w:pPr>
      <w:r w:rsidRPr="008551C5">
        <w:rPr>
          <w:rStyle w:val="Hyperlink"/>
          <w:rFonts w:asciiTheme="minorHAnsi" w:hAnsiTheme="minorHAnsi" w:cstheme="minorHAnsi"/>
          <w:bCs/>
          <w:i/>
          <w:color w:val="auto"/>
          <w:sz w:val="22"/>
          <w:szCs w:val="22"/>
          <w:u w:val="none"/>
        </w:rPr>
        <w:t xml:space="preserve">The sampling methods and </w:t>
      </w:r>
      <w:r w:rsidRPr="008551C5" w:rsidR="004065B7">
        <w:rPr>
          <w:rStyle w:val="Hyperlink"/>
          <w:rFonts w:asciiTheme="minorHAnsi" w:hAnsiTheme="minorHAnsi" w:cstheme="minorHAnsi"/>
          <w:bCs/>
          <w:i/>
          <w:color w:val="auto"/>
          <w:sz w:val="22"/>
          <w:szCs w:val="22"/>
          <w:u w:val="none"/>
        </w:rPr>
        <w:t>data collection</w:t>
      </w:r>
      <w:r w:rsidRPr="008551C5">
        <w:rPr>
          <w:rStyle w:val="Hyperlink"/>
          <w:rFonts w:asciiTheme="minorHAnsi" w:hAnsiTheme="minorHAnsi" w:cstheme="minorHAnsi"/>
          <w:bCs/>
          <w:i/>
          <w:color w:val="auto"/>
          <w:sz w:val="22"/>
          <w:szCs w:val="22"/>
          <w:u w:val="none"/>
        </w:rPr>
        <w:t xml:space="preserve"> steps described below reflect an experiment that compares “m</w:t>
      </w:r>
      <w:r w:rsidRPr="008551C5" w:rsidR="005956F6">
        <w:rPr>
          <w:rStyle w:val="Hyperlink"/>
          <w:rFonts w:asciiTheme="minorHAnsi" w:hAnsiTheme="minorHAnsi" w:cstheme="minorHAnsi"/>
          <w:bCs/>
          <w:i/>
          <w:color w:val="auto"/>
          <w:sz w:val="22"/>
          <w:szCs w:val="22"/>
          <w:u w:val="none"/>
        </w:rPr>
        <w:t>ulti</w:t>
      </w:r>
      <w:r w:rsidRPr="008551C5">
        <w:rPr>
          <w:rStyle w:val="Hyperlink"/>
          <w:rFonts w:asciiTheme="minorHAnsi" w:hAnsiTheme="minorHAnsi" w:cstheme="minorHAnsi"/>
          <w:bCs/>
          <w:i/>
          <w:color w:val="auto"/>
          <w:sz w:val="22"/>
          <w:szCs w:val="22"/>
          <w:u w:val="none"/>
        </w:rPr>
        <w:t>mode” – online interview</w:t>
      </w:r>
      <w:r w:rsidRPr="008551C5" w:rsidR="00666347">
        <w:rPr>
          <w:rStyle w:val="Hyperlink"/>
          <w:rFonts w:asciiTheme="minorHAnsi" w:hAnsiTheme="minorHAnsi" w:cstheme="minorHAnsi"/>
          <w:bCs/>
          <w:i/>
          <w:color w:val="auto"/>
          <w:sz w:val="22"/>
          <w:szCs w:val="22"/>
          <w:u w:val="none"/>
        </w:rPr>
        <w:t>s</w:t>
      </w:r>
      <w:r w:rsidRPr="008551C5">
        <w:rPr>
          <w:rStyle w:val="Hyperlink"/>
          <w:rFonts w:asciiTheme="minorHAnsi" w:hAnsiTheme="minorHAnsi" w:cstheme="minorHAnsi"/>
          <w:bCs/>
          <w:i/>
          <w:color w:val="auto"/>
          <w:sz w:val="22"/>
          <w:szCs w:val="22"/>
          <w:u w:val="none"/>
        </w:rPr>
        <w:t xml:space="preserve"> with face-to-face </w:t>
      </w:r>
      <w:r w:rsidRPr="008551C5" w:rsidR="00470C9D">
        <w:rPr>
          <w:rStyle w:val="Hyperlink"/>
          <w:rFonts w:asciiTheme="minorHAnsi" w:hAnsiTheme="minorHAnsi" w:cstheme="minorHAnsi"/>
          <w:bCs/>
          <w:i/>
          <w:color w:val="auto"/>
          <w:sz w:val="22"/>
          <w:szCs w:val="22"/>
          <w:u w:val="none"/>
        </w:rPr>
        <w:t>follow-up</w:t>
      </w:r>
      <w:r w:rsidRPr="008551C5">
        <w:rPr>
          <w:rStyle w:val="Hyperlink"/>
          <w:rFonts w:asciiTheme="minorHAnsi" w:hAnsiTheme="minorHAnsi" w:cstheme="minorHAnsi"/>
          <w:bCs/>
          <w:i/>
          <w:color w:val="auto"/>
          <w:sz w:val="22"/>
          <w:szCs w:val="22"/>
          <w:u w:val="none"/>
        </w:rPr>
        <w:t xml:space="preserve"> </w:t>
      </w:r>
      <w:r w:rsidRPr="008551C5" w:rsidR="00472FED">
        <w:rPr>
          <w:rStyle w:val="Hyperlink"/>
          <w:rFonts w:asciiTheme="minorHAnsi" w:hAnsiTheme="minorHAnsi" w:cstheme="minorHAnsi"/>
          <w:bCs/>
          <w:i/>
          <w:color w:val="auto"/>
          <w:sz w:val="22"/>
          <w:szCs w:val="22"/>
          <w:u w:val="none"/>
        </w:rPr>
        <w:t>-</w:t>
      </w:r>
      <w:r w:rsidRPr="008551C5" w:rsidR="00666347">
        <w:rPr>
          <w:rStyle w:val="Hyperlink"/>
          <w:rFonts w:asciiTheme="minorHAnsi" w:hAnsiTheme="minorHAnsi" w:cstheme="minorHAnsi"/>
          <w:bCs/>
          <w:i/>
          <w:color w:val="auto"/>
          <w:sz w:val="22"/>
          <w:szCs w:val="22"/>
          <w:u w:val="none"/>
        </w:rPr>
        <w:t xml:space="preserve">- </w:t>
      </w:r>
      <w:r w:rsidRPr="008551C5">
        <w:rPr>
          <w:rStyle w:val="Hyperlink"/>
          <w:rFonts w:asciiTheme="minorHAnsi" w:hAnsiTheme="minorHAnsi" w:cstheme="minorHAnsi"/>
          <w:bCs/>
          <w:i/>
          <w:color w:val="auto"/>
          <w:sz w:val="22"/>
          <w:szCs w:val="22"/>
          <w:u w:val="none"/>
        </w:rPr>
        <w:t>with face-to-face</w:t>
      </w:r>
      <w:r w:rsidRPr="008551C5" w:rsidR="00666347">
        <w:rPr>
          <w:rStyle w:val="Hyperlink"/>
          <w:rFonts w:asciiTheme="minorHAnsi" w:hAnsiTheme="minorHAnsi" w:cstheme="minorHAnsi"/>
          <w:bCs/>
          <w:i/>
          <w:color w:val="auto"/>
          <w:sz w:val="22"/>
          <w:szCs w:val="22"/>
          <w:u w:val="none"/>
        </w:rPr>
        <w:t>-</w:t>
      </w:r>
      <w:r w:rsidRPr="008551C5">
        <w:rPr>
          <w:rStyle w:val="Hyperlink"/>
          <w:rFonts w:asciiTheme="minorHAnsi" w:hAnsiTheme="minorHAnsi" w:cstheme="minorHAnsi"/>
          <w:bCs/>
          <w:i/>
          <w:color w:val="auto"/>
          <w:sz w:val="22"/>
          <w:szCs w:val="22"/>
          <w:u w:val="none"/>
        </w:rPr>
        <w:t>only mode</w:t>
      </w:r>
      <w:r w:rsidRPr="008551C5" w:rsidR="00666347">
        <w:rPr>
          <w:rStyle w:val="Hyperlink"/>
          <w:rFonts w:asciiTheme="minorHAnsi" w:hAnsiTheme="minorHAnsi" w:cstheme="minorHAnsi"/>
          <w:bCs/>
          <w:i/>
          <w:color w:val="auto"/>
          <w:sz w:val="22"/>
          <w:szCs w:val="22"/>
          <w:u w:val="none"/>
        </w:rPr>
        <w:t xml:space="preserve"> (comparable to prior NSFGs)</w:t>
      </w:r>
      <w:r w:rsidRPr="008551C5">
        <w:rPr>
          <w:rStyle w:val="Hyperlink"/>
          <w:rFonts w:asciiTheme="minorHAnsi" w:hAnsiTheme="minorHAnsi" w:cstheme="minorHAnsi"/>
          <w:bCs/>
          <w:i/>
          <w:color w:val="auto"/>
          <w:sz w:val="22"/>
          <w:szCs w:val="22"/>
          <w:u w:val="none"/>
        </w:rPr>
        <w:t>.  This experiment will take place during quarters 1 and 2, then m</w:t>
      </w:r>
      <w:r w:rsidRPr="008551C5" w:rsidR="00EB42A3">
        <w:rPr>
          <w:rStyle w:val="Hyperlink"/>
          <w:rFonts w:asciiTheme="minorHAnsi" w:hAnsiTheme="minorHAnsi" w:cstheme="minorHAnsi"/>
          <w:bCs/>
          <w:i/>
          <w:color w:val="auto"/>
          <w:sz w:val="22"/>
          <w:szCs w:val="22"/>
          <w:u w:val="none"/>
        </w:rPr>
        <w:t>ulti</w:t>
      </w:r>
      <w:r w:rsidRPr="008551C5">
        <w:rPr>
          <w:rStyle w:val="Hyperlink"/>
          <w:rFonts w:asciiTheme="minorHAnsi" w:hAnsiTheme="minorHAnsi" w:cstheme="minorHAnsi"/>
          <w:bCs/>
          <w:i/>
          <w:color w:val="auto"/>
          <w:sz w:val="22"/>
          <w:szCs w:val="22"/>
          <w:u w:val="none"/>
        </w:rPr>
        <w:t xml:space="preserve">mode will be in place thereafter.  </w:t>
      </w:r>
      <w:r w:rsidRPr="008551C5">
        <w:rPr>
          <w:rFonts w:asciiTheme="minorHAnsi" w:hAnsiTheme="minorHAnsi" w:cstheme="minorHAnsi"/>
          <w:bCs/>
          <w:i/>
          <w:sz w:val="22"/>
          <w:szCs w:val="22"/>
        </w:rPr>
        <w:t xml:space="preserve">The sections on sampling stages and the </w:t>
      </w:r>
      <w:r w:rsidRPr="008551C5" w:rsidR="004065B7">
        <w:rPr>
          <w:rFonts w:asciiTheme="minorHAnsi" w:hAnsiTheme="minorHAnsi" w:cstheme="minorHAnsi"/>
          <w:bCs/>
          <w:i/>
          <w:sz w:val="22"/>
          <w:szCs w:val="22"/>
        </w:rPr>
        <w:t>data collection</w:t>
      </w:r>
      <w:r w:rsidRPr="008551C5">
        <w:rPr>
          <w:rFonts w:asciiTheme="minorHAnsi" w:hAnsiTheme="minorHAnsi" w:cstheme="minorHAnsi"/>
          <w:bCs/>
          <w:i/>
          <w:sz w:val="22"/>
          <w:szCs w:val="22"/>
        </w:rPr>
        <w:t xml:space="preserve"> steps below will include experimental features such as online mode, but the experimental comparison details and evaluation can be found in </w:t>
      </w:r>
      <w:r w:rsidRPr="008551C5">
        <w:rPr>
          <w:rStyle w:val="Hyperlink"/>
          <w:rFonts w:asciiTheme="minorHAnsi" w:hAnsiTheme="minorHAnsi" w:cstheme="minorHAnsi"/>
          <w:b/>
          <w:i/>
          <w:color w:val="auto"/>
          <w:sz w:val="22"/>
          <w:szCs w:val="22"/>
          <w:u w:val="none"/>
        </w:rPr>
        <w:t>section 4</w:t>
      </w:r>
      <w:r w:rsidRPr="008551C5">
        <w:rPr>
          <w:rStyle w:val="Hyperlink"/>
          <w:rFonts w:asciiTheme="minorHAnsi" w:hAnsiTheme="minorHAnsi" w:cstheme="minorHAnsi"/>
          <w:bCs/>
          <w:i/>
          <w:color w:val="auto"/>
          <w:sz w:val="22"/>
          <w:szCs w:val="22"/>
          <w:u w:val="none"/>
        </w:rPr>
        <w:t>, “</w:t>
      </w:r>
      <w:r w:rsidRPr="008551C5">
        <w:rPr>
          <w:rFonts w:asciiTheme="minorHAnsi" w:hAnsiTheme="minorHAnsi" w:cstheme="minorHAnsi"/>
          <w:bCs/>
          <w:i/>
          <w:sz w:val="22"/>
          <w:szCs w:val="22"/>
          <w:u w:val="single"/>
        </w:rPr>
        <w:t>Tests of Procedures or Methods to be Undertaken</w:t>
      </w:r>
      <w:r w:rsidRPr="008551C5" w:rsidR="00444554">
        <w:rPr>
          <w:rFonts w:asciiTheme="minorHAnsi" w:hAnsiTheme="minorHAnsi" w:cstheme="minorHAnsi"/>
          <w:bCs/>
          <w:i/>
          <w:sz w:val="22"/>
          <w:szCs w:val="22"/>
        </w:rPr>
        <w:t>.”</w:t>
      </w:r>
    </w:p>
    <w:p w:rsidRPr="008551C5" w:rsidR="00F17FB0" w:rsidP="002F2281" w:rsidRDefault="00F17FB0" w14:paraId="3D589279" w14:textId="41BB8D6C">
      <w:pPr>
        <w:rPr>
          <w:rFonts w:asciiTheme="minorHAnsi" w:hAnsiTheme="minorHAnsi" w:cstheme="minorHAnsi"/>
          <w:bCs/>
          <w:i/>
          <w:sz w:val="22"/>
          <w:szCs w:val="22"/>
        </w:rPr>
      </w:pPr>
    </w:p>
    <w:p w:rsidRPr="008551C5" w:rsidR="000B0A49" w:rsidP="00A62018" w:rsidRDefault="000B0A49" w14:paraId="5D232667" w14:textId="6143BAD7">
      <w:pPr>
        <w:pStyle w:val="Heading1"/>
        <w:rPr>
          <w:rFonts w:asciiTheme="minorHAnsi" w:hAnsiTheme="minorHAnsi" w:cstheme="minorHAnsi"/>
          <w:b/>
          <w:color w:val="auto"/>
          <w:sz w:val="22"/>
          <w:szCs w:val="22"/>
        </w:rPr>
      </w:pPr>
      <w:bookmarkStart w:name="_Toc79140727" w:id="0"/>
      <w:r w:rsidRPr="008551C5">
        <w:rPr>
          <w:rFonts w:asciiTheme="minorHAnsi" w:hAnsiTheme="minorHAnsi" w:cstheme="minorHAnsi"/>
          <w:b/>
          <w:color w:val="auto"/>
          <w:sz w:val="22"/>
          <w:szCs w:val="22"/>
        </w:rPr>
        <w:t>1.</w:t>
      </w:r>
      <w:r w:rsidRPr="008551C5" w:rsidR="00A62018">
        <w:rPr>
          <w:rFonts w:asciiTheme="minorHAnsi" w:hAnsiTheme="minorHAnsi" w:cstheme="minorHAnsi"/>
          <w:b/>
          <w:color w:val="auto"/>
          <w:sz w:val="22"/>
          <w:szCs w:val="22"/>
        </w:rPr>
        <w:t xml:space="preserve"> </w:t>
      </w:r>
      <w:r w:rsidRPr="008551C5">
        <w:rPr>
          <w:rFonts w:asciiTheme="minorHAnsi" w:hAnsiTheme="minorHAnsi" w:cstheme="minorHAnsi"/>
          <w:b/>
          <w:color w:val="auto"/>
          <w:sz w:val="22"/>
          <w:szCs w:val="22"/>
        </w:rPr>
        <w:t>Respondent Universe and Sampling Methods</w:t>
      </w:r>
      <w:bookmarkEnd w:id="0"/>
    </w:p>
    <w:p w:rsidRPr="008551C5" w:rsidR="000B0A49" w:rsidP="00006F4F" w:rsidRDefault="000B0A49" w14:paraId="28852A84" w14:textId="77777777">
      <w:pPr>
        <w:rPr>
          <w:rFonts w:asciiTheme="minorHAnsi" w:hAnsiTheme="minorHAnsi" w:cstheme="minorHAnsi"/>
          <w:b/>
          <w:sz w:val="22"/>
          <w:szCs w:val="22"/>
        </w:rPr>
      </w:pPr>
    </w:p>
    <w:p w:rsidRPr="008F0C4D" w:rsidR="008F0C4D" w:rsidP="003149DD" w:rsidRDefault="00047F40" w14:paraId="1ED4E641" w14:textId="77777777">
      <w:pPr>
        <w:pStyle w:val="Default"/>
        <w:spacing w:line="276" w:lineRule="auto"/>
        <w:ind w:firstLine="720"/>
        <w:outlineLvl w:val="1"/>
        <w:rPr>
          <w:rFonts w:asciiTheme="minorHAnsi" w:hAnsiTheme="minorHAnsi" w:cstheme="minorHAnsi"/>
          <w:b/>
          <w:color w:val="auto"/>
          <w:sz w:val="22"/>
          <w:szCs w:val="22"/>
        </w:rPr>
      </w:pPr>
      <w:bookmarkStart w:name="_Toc79140728" w:id="1"/>
      <w:r w:rsidRPr="008F0C4D">
        <w:rPr>
          <w:rFonts w:asciiTheme="minorHAnsi" w:hAnsiTheme="minorHAnsi" w:cstheme="minorHAnsi"/>
          <w:b/>
          <w:color w:val="auto"/>
          <w:sz w:val="22"/>
          <w:szCs w:val="22"/>
        </w:rPr>
        <w:t>Summar</w:t>
      </w:r>
      <w:r w:rsidRPr="008F0C4D" w:rsidR="00CB24AF">
        <w:rPr>
          <w:rFonts w:asciiTheme="minorHAnsi" w:hAnsiTheme="minorHAnsi" w:cstheme="minorHAnsi"/>
          <w:b/>
          <w:color w:val="auto"/>
          <w:sz w:val="22"/>
          <w:szCs w:val="22"/>
        </w:rPr>
        <w:t>y</w:t>
      </w:r>
      <w:bookmarkEnd w:id="1"/>
    </w:p>
    <w:p w:rsidRPr="008551C5" w:rsidR="00A62018" w:rsidP="003149DD" w:rsidRDefault="00047F40" w14:paraId="5D191848" w14:textId="284CCC49">
      <w:pPr>
        <w:pStyle w:val="Default"/>
        <w:ind w:firstLine="720"/>
        <w:rPr>
          <w:rFonts w:asciiTheme="minorHAnsi" w:hAnsiTheme="minorHAnsi" w:cstheme="minorHAnsi"/>
          <w:color w:val="auto"/>
          <w:sz w:val="22"/>
          <w:szCs w:val="22"/>
        </w:rPr>
      </w:pPr>
      <w:r w:rsidRPr="008551C5">
        <w:rPr>
          <w:rFonts w:asciiTheme="minorHAnsi" w:hAnsiTheme="minorHAnsi" w:cstheme="minorHAnsi"/>
          <w:color w:val="auto"/>
          <w:sz w:val="22"/>
          <w:szCs w:val="22"/>
        </w:rPr>
        <w:t>The National Survey of Family Growth (NSFG)</w:t>
      </w:r>
      <w:r w:rsidRPr="008551C5" w:rsidR="00A62018">
        <w:rPr>
          <w:rFonts w:asciiTheme="minorHAnsi" w:hAnsiTheme="minorHAnsi" w:cstheme="minorHAnsi"/>
          <w:color w:val="auto"/>
          <w:sz w:val="22"/>
          <w:szCs w:val="22"/>
        </w:rPr>
        <w:t xml:space="preserve">, for the 8-year data collection period of January 2022 through December 2029, </w:t>
      </w:r>
      <w:r w:rsidRPr="008551C5">
        <w:rPr>
          <w:rFonts w:asciiTheme="minorHAnsi" w:hAnsiTheme="minorHAnsi" w:cstheme="minorHAnsi"/>
          <w:color w:val="auto"/>
          <w:sz w:val="22"/>
          <w:szCs w:val="22"/>
        </w:rPr>
        <w:t>is based on a national area</w:t>
      </w:r>
      <w:r w:rsidR="005B3742">
        <w:rPr>
          <w:rFonts w:asciiTheme="minorHAnsi" w:hAnsiTheme="minorHAnsi" w:cstheme="minorHAnsi"/>
          <w:color w:val="auto"/>
          <w:sz w:val="22"/>
          <w:szCs w:val="22"/>
        </w:rPr>
        <w:t xml:space="preserve"> multi-stage</w:t>
      </w:r>
      <w:r w:rsidRPr="008551C5">
        <w:rPr>
          <w:rFonts w:asciiTheme="minorHAnsi" w:hAnsiTheme="minorHAnsi" w:cstheme="minorHAnsi"/>
          <w:color w:val="auto"/>
          <w:sz w:val="22"/>
          <w:szCs w:val="22"/>
        </w:rPr>
        <w:t xml:space="preserve"> probability sample.  </w:t>
      </w:r>
    </w:p>
    <w:p w:rsidRPr="008551C5" w:rsidR="00047F40" w:rsidP="003149DD" w:rsidRDefault="00047F40" w14:paraId="43E19537" w14:textId="216E58DA">
      <w:pPr>
        <w:pStyle w:val="Default"/>
        <w:rPr>
          <w:rFonts w:asciiTheme="minorHAnsi" w:hAnsiTheme="minorHAnsi" w:cstheme="minorHAnsi"/>
          <w:color w:val="auto"/>
          <w:sz w:val="22"/>
          <w:szCs w:val="22"/>
        </w:rPr>
      </w:pPr>
      <w:r w:rsidRPr="008551C5">
        <w:rPr>
          <w:rFonts w:asciiTheme="minorHAnsi" w:hAnsiTheme="minorHAnsi" w:cstheme="minorHAnsi"/>
          <w:color w:val="auto"/>
          <w:sz w:val="22"/>
          <w:szCs w:val="22"/>
        </w:rPr>
        <w:t>The first stage involves the selection of Primary Sampling Units (PSUs</w:t>
      </w:r>
      <w:r w:rsidRPr="008551C5" w:rsidR="00E00073">
        <w:rPr>
          <w:rFonts w:asciiTheme="minorHAnsi" w:hAnsiTheme="minorHAnsi" w:cstheme="minorHAnsi"/>
          <w:color w:val="auto"/>
          <w:sz w:val="22"/>
          <w:szCs w:val="22"/>
        </w:rPr>
        <w:t xml:space="preserve">). </w:t>
      </w:r>
      <w:r w:rsidRPr="008551C5">
        <w:rPr>
          <w:rFonts w:asciiTheme="minorHAnsi" w:hAnsiTheme="minorHAnsi" w:cstheme="minorHAnsi"/>
          <w:color w:val="auto"/>
          <w:sz w:val="22"/>
          <w:szCs w:val="22"/>
        </w:rPr>
        <w:t>Across the 8 years of data collection planned (20</w:t>
      </w:r>
      <w:r w:rsidRPr="008551C5" w:rsidR="007C7E0A">
        <w:rPr>
          <w:rFonts w:asciiTheme="minorHAnsi" w:hAnsiTheme="minorHAnsi" w:cstheme="minorHAnsi"/>
          <w:color w:val="auto"/>
          <w:sz w:val="22"/>
          <w:szCs w:val="22"/>
        </w:rPr>
        <w:t>22</w:t>
      </w:r>
      <w:r w:rsidRPr="008551C5">
        <w:rPr>
          <w:rFonts w:asciiTheme="minorHAnsi" w:hAnsiTheme="minorHAnsi" w:cstheme="minorHAnsi"/>
          <w:color w:val="auto"/>
          <w:sz w:val="22"/>
          <w:szCs w:val="22"/>
        </w:rPr>
        <w:t>-20</w:t>
      </w:r>
      <w:r w:rsidRPr="008551C5" w:rsidR="007C7E0A">
        <w:rPr>
          <w:rFonts w:asciiTheme="minorHAnsi" w:hAnsiTheme="minorHAnsi" w:cstheme="minorHAnsi"/>
          <w:color w:val="auto"/>
          <w:sz w:val="22"/>
          <w:szCs w:val="22"/>
        </w:rPr>
        <w:t>2</w:t>
      </w:r>
      <w:r w:rsidRPr="008551C5">
        <w:rPr>
          <w:rFonts w:asciiTheme="minorHAnsi" w:hAnsiTheme="minorHAnsi" w:cstheme="minorHAnsi"/>
          <w:color w:val="auto"/>
          <w:sz w:val="22"/>
          <w:szCs w:val="22"/>
        </w:rPr>
        <w:t xml:space="preserve">9), there </w:t>
      </w:r>
      <w:r w:rsidRPr="008551C5" w:rsidR="007C7E0A">
        <w:rPr>
          <w:rFonts w:asciiTheme="minorHAnsi" w:hAnsiTheme="minorHAnsi" w:cstheme="minorHAnsi"/>
          <w:color w:val="auto"/>
          <w:sz w:val="22"/>
          <w:szCs w:val="22"/>
        </w:rPr>
        <w:t>will be</w:t>
      </w:r>
      <w:r w:rsidRPr="008551C5">
        <w:rPr>
          <w:rFonts w:asciiTheme="minorHAnsi" w:hAnsiTheme="minorHAnsi" w:cstheme="minorHAnsi"/>
          <w:color w:val="auto"/>
          <w:sz w:val="22"/>
          <w:szCs w:val="22"/>
        </w:rPr>
        <w:t xml:space="preserve"> a total of </w:t>
      </w:r>
      <w:r w:rsidRPr="008551C5" w:rsidR="007C7E0A">
        <w:rPr>
          <w:rFonts w:asciiTheme="minorHAnsi" w:hAnsiTheme="minorHAnsi" w:cstheme="minorHAnsi"/>
          <w:color w:val="auto"/>
          <w:sz w:val="22"/>
          <w:szCs w:val="22"/>
        </w:rPr>
        <w:t xml:space="preserve"> </w:t>
      </w:r>
      <w:r w:rsidRPr="008551C5" w:rsidR="00605308">
        <w:rPr>
          <w:rFonts w:asciiTheme="minorHAnsi" w:hAnsiTheme="minorHAnsi" w:cstheme="minorHAnsi"/>
          <w:color w:val="auto"/>
          <w:sz w:val="22"/>
          <w:szCs w:val="22"/>
        </w:rPr>
        <w:t xml:space="preserve">22 </w:t>
      </w:r>
      <w:r w:rsidRPr="008551C5">
        <w:rPr>
          <w:rFonts w:asciiTheme="minorHAnsi" w:hAnsiTheme="minorHAnsi" w:cstheme="minorHAnsi"/>
          <w:color w:val="auto"/>
          <w:sz w:val="22"/>
          <w:szCs w:val="22"/>
        </w:rPr>
        <w:t>“self-representing” (SR)</w:t>
      </w:r>
      <w:r w:rsidRPr="008551C5" w:rsidR="00920F0D">
        <w:rPr>
          <w:rFonts w:asciiTheme="minorHAnsi" w:hAnsiTheme="minorHAnsi" w:cstheme="minorHAnsi"/>
          <w:color w:val="auto"/>
          <w:sz w:val="22"/>
          <w:szCs w:val="22"/>
        </w:rPr>
        <w:t xml:space="preserve">, or “certainty” </w:t>
      </w:r>
      <w:r w:rsidRPr="008551C5">
        <w:rPr>
          <w:rFonts w:asciiTheme="minorHAnsi" w:hAnsiTheme="minorHAnsi" w:cstheme="minorHAnsi"/>
          <w:color w:val="auto"/>
          <w:sz w:val="22"/>
          <w:szCs w:val="22"/>
        </w:rPr>
        <w:t xml:space="preserve">PSUs, defined as PSUs that </w:t>
      </w:r>
      <w:r w:rsidRPr="008551C5" w:rsidR="00920F0D">
        <w:rPr>
          <w:rFonts w:asciiTheme="minorHAnsi" w:hAnsiTheme="minorHAnsi" w:cstheme="minorHAnsi"/>
          <w:color w:val="auto"/>
          <w:sz w:val="22"/>
          <w:szCs w:val="22"/>
        </w:rPr>
        <w:t>wi</w:t>
      </w:r>
      <w:r w:rsidRPr="008551C5" w:rsidR="00E00073">
        <w:rPr>
          <w:rFonts w:asciiTheme="minorHAnsi" w:hAnsiTheme="minorHAnsi" w:cstheme="minorHAnsi"/>
          <w:color w:val="auto"/>
          <w:sz w:val="22"/>
          <w:szCs w:val="22"/>
        </w:rPr>
        <w:t xml:space="preserve">ll </w:t>
      </w:r>
      <w:r w:rsidRPr="008551C5">
        <w:rPr>
          <w:rFonts w:asciiTheme="minorHAnsi" w:hAnsiTheme="minorHAnsi" w:cstheme="minorHAnsi"/>
          <w:color w:val="auto"/>
          <w:sz w:val="22"/>
          <w:szCs w:val="22"/>
        </w:rPr>
        <w:t xml:space="preserve">automatically </w:t>
      </w:r>
      <w:r w:rsidRPr="008551C5" w:rsidR="00920F0D">
        <w:rPr>
          <w:rFonts w:asciiTheme="minorHAnsi" w:hAnsiTheme="minorHAnsi" w:cstheme="minorHAnsi"/>
          <w:color w:val="auto"/>
          <w:sz w:val="22"/>
          <w:szCs w:val="22"/>
        </w:rPr>
        <w:t xml:space="preserve">be </w:t>
      </w:r>
      <w:r w:rsidRPr="008551C5">
        <w:rPr>
          <w:rFonts w:asciiTheme="minorHAnsi" w:hAnsiTheme="minorHAnsi" w:cstheme="minorHAnsi"/>
          <w:color w:val="auto"/>
          <w:sz w:val="22"/>
          <w:szCs w:val="22"/>
        </w:rPr>
        <w:t xml:space="preserve">included in </w:t>
      </w:r>
      <w:r w:rsidRPr="008551C5" w:rsidR="00920F0D">
        <w:rPr>
          <w:rFonts w:asciiTheme="minorHAnsi" w:hAnsiTheme="minorHAnsi" w:cstheme="minorHAnsi"/>
          <w:color w:val="auto"/>
          <w:sz w:val="22"/>
          <w:szCs w:val="22"/>
        </w:rPr>
        <w:t xml:space="preserve">the </w:t>
      </w:r>
      <w:r w:rsidRPr="008551C5">
        <w:rPr>
          <w:rFonts w:asciiTheme="minorHAnsi" w:hAnsiTheme="minorHAnsi" w:cstheme="minorHAnsi"/>
          <w:color w:val="auto"/>
          <w:sz w:val="22"/>
          <w:szCs w:val="22"/>
        </w:rPr>
        <w:t>national probability sample</w:t>
      </w:r>
      <w:r w:rsidRPr="008551C5">
        <w:rPr>
          <w:rFonts w:asciiTheme="minorHAnsi" w:hAnsiTheme="minorHAnsi" w:cstheme="minorHAnsi"/>
          <w:strike/>
          <w:color w:val="auto"/>
          <w:sz w:val="22"/>
          <w:szCs w:val="22"/>
        </w:rPr>
        <w:t>s</w:t>
      </w:r>
      <w:r w:rsidRPr="008551C5">
        <w:rPr>
          <w:rFonts w:asciiTheme="minorHAnsi" w:hAnsiTheme="minorHAnsi" w:cstheme="minorHAnsi"/>
          <w:color w:val="auto"/>
          <w:sz w:val="22"/>
          <w:szCs w:val="22"/>
        </w:rPr>
        <w:t xml:space="preserve"> due to their large population</w:t>
      </w:r>
      <w:r w:rsidRPr="008551C5" w:rsidR="00920F0D">
        <w:rPr>
          <w:rFonts w:asciiTheme="minorHAnsi" w:hAnsiTheme="minorHAnsi" w:cstheme="minorHAnsi"/>
          <w:color w:val="auto"/>
          <w:sz w:val="22"/>
          <w:szCs w:val="22"/>
        </w:rPr>
        <w:t>.  There will be</w:t>
      </w:r>
      <w:r w:rsidRPr="008551C5">
        <w:rPr>
          <w:rFonts w:asciiTheme="minorHAnsi" w:hAnsiTheme="minorHAnsi" w:cstheme="minorHAnsi"/>
          <w:color w:val="auto"/>
          <w:sz w:val="22"/>
          <w:szCs w:val="22"/>
        </w:rPr>
        <w:t xml:space="preserve"> an additional </w:t>
      </w:r>
      <w:r w:rsidRPr="008551C5" w:rsidR="007C7E0A">
        <w:rPr>
          <w:rFonts w:asciiTheme="minorHAnsi" w:hAnsiTheme="minorHAnsi" w:cstheme="minorHAnsi"/>
          <w:color w:val="auto"/>
          <w:sz w:val="22"/>
          <w:szCs w:val="22"/>
        </w:rPr>
        <w:t>198</w:t>
      </w:r>
      <w:r w:rsidRPr="008551C5">
        <w:rPr>
          <w:rFonts w:asciiTheme="minorHAnsi" w:hAnsiTheme="minorHAnsi" w:cstheme="minorHAnsi"/>
          <w:color w:val="auto"/>
          <w:sz w:val="22"/>
          <w:szCs w:val="22"/>
        </w:rPr>
        <w:t xml:space="preserve"> non-self-representing (NSR</w:t>
      </w:r>
      <w:r w:rsidRPr="008551C5" w:rsidR="00920F0D">
        <w:rPr>
          <w:rFonts w:asciiTheme="minorHAnsi" w:hAnsiTheme="minorHAnsi" w:cstheme="minorHAnsi"/>
          <w:color w:val="auto"/>
          <w:sz w:val="22"/>
          <w:szCs w:val="22"/>
        </w:rPr>
        <w:t>), or “non-certainty”</w:t>
      </w:r>
      <w:r w:rsidRPr="008551C5">
        <w:rPr>
          <w:rFonts w:asciiTheme="minorHAnsi" w:hAnsiTheme="minorHAnsi" w:cstheme="minorHAnsi"/>
          <w:color w:val="auto"/>
          <w:sz w:val="22"/>
          <w:szCs w:val="22"/>
        </w:rPr>
        <w:t xml:space="preserve"> PSUs, defined as PSUs selected into</w:t>
      </w:r>
      <w:r w:rsidRPr="008551C5" w:rsidR="00AC34FB">
        <w:rPr>
          <w:rFonts w:asciiTheme="minorHAnsi" w:hAnsiTheme="minorHAnsi" w:cstheme="minorHAnsi"/>
          <w:color w:val="auto"/>
          <w:sz w:val="22"/>
          <w:szCs w:val="22"/>
        </w:rPr>
        <w:t xml:space="preserve"> the NSFG sample that represent</w:t>
      </w:r>
      <w:r w:rsidRPr="008551C5">
        <w:rPr>
          <w:rFonts w:asciiTheme="minorHAnsi" w:hAnsiTheme="minorHAnsi" w:cstheme="minorHAnsi"/>
          <w:color w:val="auto"/>
          <w:sz w:val="22"/>
          <w:szCs w:val="22"/>
        </w:rPr>
        <w:t xml:space="preserve"> not only themselves but other non-self-representing PSUs, for a total of </w:t>
      </w:r>
      <w:r w:rsidRPr="008551C5" w:rsidR="00605308">
        <w:rPr>
          <w:rFonts w:asciiTheme="minorHAnsi" w:hAnsiTheme="minorHAnsi" w:cstheme="minorHAnsi"/>
          <w:color w:val="auto"/>
          <w:sz w:val="22"/>
          <w:szCs w:val="22"/>
        </w:rPr>
        <w:t>222 PSUs, including</w:t>
      </w:r>
      <w:r w:rsidRPr="008551C5">
        <w:rPr>
          <w:rFonts w:asciiTheme="minorHAnsi" w:hAnsiTheme="minorHAnsi" w:cstheme="minorHAnsi"/>
          <w:color w:val="auto"/>
          <w:sz w:val="22"/>
          <w:szCs w:val="22"/>
        </w:rPr>
        <w:t xml:space="preserve"> Alaska and Hawaii. A subset of these </w:t>
      </w:r>
      <w:r w:rsidRPr="008551C5" w:rsidR="00920F0D">
        <w:rPr>
          <w:rFonts w:asciiTheme="minorHAnsi" w:hAnsiTheme="minorHAnsi" w:cstheme="minorHAnsi"/>
          <w:color w:val="auto"/>
          <w:sz w:val="22"/>
          <w:szCs w:val="22"/>
        </w:rPr>
        <w:t xml:space="preserve">222 </w:t>
      </w:r>
      <w:r w:rsidRPr="008551C5">
        <w:rPr>
          <w:rFonts w:asciiTheme="minorHAnsi" w:hAnsiTheme="minorHAnsi" w:cstheme="minorHAnsi"/>
          <w:color w:val="auto"/>
          <w:sz w:val="22"/>
          <w:szCs w:val="22"/>
        </w:rPr>
        <w:t xml:space="preserve">PSUs is </w:t>
      </w:r>
      <w:r w:rsidRPr="008551C5" w:rsidR="001811AA">
        <w:rPr>
          <w:rFonts w:asciiTheme="minorHAnsi" w:hAnsiTheme="minorHAnsi" w:cstheme="minorHAnsi"/>
          <w:color w:val="auto"/>
          <w:sz w:val="22"/>
          <w:szCs w:val="22"/>
        </w:rPr>
        <w:t>randomly allocated to each data collection year</w:t>
      </w:r>
      <w:r w:rsidRPr="008551C5">
        <w:rPr>
          <w:rFonts w:asciiTheme="minorHAnsi" w:hAnsiTheme="minorHAnsi" w:cstheme="minorHAnsi"/>
          <w:color w:val="auto"/>
          <w:sz w:val="22"/>
          <w:szCs w:val="22"/>
        </w:rPr>
        <w:t xml:space="preserve"> (</w:t>
      </w:r>
      <w:r w:rsidRPr="008551C5" w:rsidR="00920F0D">
        <w:rPr>
          <w:rFonts w:asciiTheme="minorHAnsi" w:hAnsiTheme="minorHAnsi" w:cstheme="minorHAnsi"/>
          <w:color w:val="auto"/>
          <w:sz w:val="22"/>
          <w:szCs w:val="22"/>
        </w:rPr>
        <w:t xml:space="preserve">40 </w:t>
      </w:r>
      <w:r w:rsidRPr="008551C5" w:rsidR="00EF555C">
        <w:rPr>
          <w:rFonts w:asciiTheme="minorHAnsi" w:hAnsiTheme="minorHAnsi" w:cstheme="minorHAnsi"/>
          <w:color w:val="auto"/>
          <w:sz w:val="22"/>
          <w:szCs w:val="22"/>
        </w:rPr>
        <w:t xml:space="preserve">allocated </w:t>
      </w:r>
      <w:r w:rsidRPr="008551C5" w:rsidR="001811AA">
        <w:rPr>
          <w:rFonts w:asciiTheme="minorHAnsi" w:hAnsiTheme="minorHAnsi" w:cstheme="minorHAnsi"/>
          <w:color w:val="auto"/>
          <w:sz w:val="22"/>
          <w:szCs w:val="22"/>
        </w:rPr>
        <w:t xml:space="preserve">to </w:t>
      </w:r>
      <w:r w:rsidRPr="008551C5" w:rsidR="00DB3A65">
        <w:rPr>
          <w:rFonts w:asciiTheme="minorHAnsi" w:hAnsiTheme="minorHAnsi" w:cstheme="minorHAnsi"/>
          <w:color w:val="auto"/>
          <w:sz w:val="22"/>
          <w:szCs w:val="22"/>
        </w:rPr>
        <w:t xml:space="preserve">each of </w:t>
      </w:r>
      <w:r w:rsidRPr="008551C5" w:rsidR="00920F0D">
        <w:rPr>
          <w:rFonts w:asciiTheme="minorHAnsi" w:hAnsiTheme="minorHAnsi" w:cstheme="minorHAnsi"/>
          <w:color w:val="auto"/>
          <w:sz w:val="22"/>
          <w:szCs w:val="22"/>
        </w:rPr>
        <w:t xml:space="preserve">years 1 through 4 and 41 </w:t>
      </w:r>
      <w:r w:rsidRPr="008551C5" w:rsidR="00EF555C">
        <w:rPr>
          <w:rFonts w:asciiTheme="minorHAnsi" w:hAnsiTheme="minorHAnsi" w:cstheme="minorHAnsi"/>
          <w:color w:val="auto"/>
          <w:sz w:val="22"/>
          <w:szCs w:val="22"/>
        </w:rPr>
        <w:t xml:space="preserve">allocated </w:t>
      </w:r>
      <w:r w:rsidRPr="008551C5" w:rsidR="00472FED">
        <w:rPr>
          <w:rFonts w:asciiTheme="minorHAnsi" w:hAnsiTheme="minorHAnsi" w:cstheme="minorHAnsi"/>
          <w:color w:val="auto"/>
          <w:sz w:val="22"/>
          <w:szCs w:val="22"/>
        </w:rPr>
        <w:t xml:space="preserve">to </w:t>
      </w:r>
      <w:r w:rsidRPr="008551C5" w:rsidR="00DB3A65">
        <w:rPr>
          <w:rFonts w:asciiTheme="minorHAnsi" w:hAnsiTheme="minorHAnsi" w:cstheme="minorHAnsi"/>
          <w:color w:val="auto"/>
          <w:sz w:val="22"/>
          <w:szCs w:val="22"/>
        </w:rPr>
        <w:t xml:space="preserve">each of </w:t>
      </w:r>
      <w:r w:rsidRPr="008551C5" w:rsidR="00920F0D">
        <w:rPr>
          <w:rFonts w:asciiTheme="minorHAnsi" w:hAnsiTheme="minorHAnsi" w:cstheme="minorHAnsi"/>
          <w:color w:val="auto"/>
          <w:sz w:val="22"/>
          <w:szCs w:val="22"/>
        </w:rPr>
        <w:t>years 5 through 8</w:t>
      </w:r>
      <w:r w:rsidRPr="008551C5">
        <w:rPr>
          <w:rFonts w:asciiTheme="minorHAnsi" w:hAnsiTheme="minorHAnsi" w:cstheme="minorHAnsi"/>
          <w:color w:val="auto"/>
          <w:sz w:val="22"/>
          <w:szCs w:val="22"/>
        </w:rPr>
        <w:t xml:space="preserve">). </w:t>
      </w:r>
      <w:r w:rsidRPr="008551C5" w:rsidR="00617040">
        <w:rPr>
          <w:rFonts w:asciiTheme="minorHAnsi" w:hAnsiTheme="minorHAnsi" w:cstheme="minorHAnsi"/>
          <w:color w:val="auto"/>
          <w:sz w:val="22"/>
          <w:szCs w:val="22"/>
        </w:rPr>
        <w:t>This plan increases the number of PSUs and the year-to-year overlap of PSUs compared to the 2011-2019 design.  This should result in increased precision of point estimates and less interviewer turnover and training required.</w:t>
      </w:r>
    </w:p>
    <w:p w:rsidRPr="008551C5" w:rsidR="00E64D0C" w:rsidP="003149DD" w:rsidRDefault="00E64D0C" w14:paraId="21536728" w14:textId="77777777">
      <w:pPr>
        <w:pStyle w:val="Default"/>
        <w:rPr>
          <w:rFonts w:asciiTheme="minorHAnsi" w:hAnsiTheme="minorHAnsi" w:cstheme="minorHAnsi"/>
          <w:color w:val="auto"/>
          <w:sz w:val="22"/>
          <w:szCs w:val="22"/>
        </w:rPr>
      </w:pPr>
    </w:p>
    <w:p w:rsidRPr="008551C5" w:rsidR="00047F40" w:rsidP="003149DD" w:rsidRDefault="00047F40" w14:paraId="4026470E" w14:textId="207DACCB">
      <w:pPr>
        <w:ind w:firstLine="720"/>
        <w:rPr>
          <w:rFonts w:asciiTheme="minorHAnsi" w:hAnsiTheme="minorHAnsi" w:cstheme="minorHAnsi"/>
          <w:sz w:val="22"/>
          <w:szCs w:val="22"/>
        </w:rPr>
      </w:pPr>
      <w:r w:rsidRPr="008551C5">
        <w:rPr>
          <w:rFonts w:asciiTheme="minorHAnsi" w:hAnsiTheme="minorHAnsi" w:cstheme="minorHAnsi"/>
          <w:sz w:val="22"/>
          <w:szCs w:val="22"/>
        </w:rPr>
        <w:t xml:space="preserve">Each year, about </w:t>
      </w:r>
      <w:r w:rsidRPr="008551C5" w:rsidR="001811AA">
        <w:rPr>
          <w:rFonts w:asciiTheme="minorHAnsi" w:hAnsiTheme="minorHAnsi" w:cstheme="minorHAnsi"/>
          <w:sz w:val="22"/>
          <w:szCs w:val="22"/>
        </w:rPr>
        <w:t xml:space="preserve">19,000 households are sampled, and about 17,000 </w:t>
      </w:r>
      <w:r w:rsidRPr="008551C5">
        <w:rPr>
          <w:rFonts w:asciiTheme="minorHAnsi" w:hAnsiTheme="minorHAnsi" w:cstheme="minorHAnsi"/>
          <w:sz w:val="22"/>
          <w:szCs w:val="22"/>
        </w:rPr>
        <w:t xml:space="preserve">households are contacted, in order to yield approximately 5,000 </w:t>
      </w:r>
      <w:r w:rsidRPr="008551C5" w:rsidR="00D5316A">
        <w:rPr>
          <w:rFonts w:asciiTheme="minorHAnsi" w:hAnsiTheme="minorHAnsi" w:cstheme="minorHAnsi"/>
          <w:sz w:val="22"/>
          <w:szCs w:val="22"/>
        </w:rPr>
        <w:t xml:space="preserve">completed </w:t>
      </w:r>
      <w:r w:rsidRPr="008551C5" w:rsidR="001811AA">
        <w:rPr>
          <w:rFonts w:asciiTheme="minorHAnsi" w:hAnsiTheme="minorHAnsi" w:cstheme="minorHAnsi"/>
          <w:sz w:val="22"/>
          <w:szCs w:val="22"/>
        </w:rPr>
        <w:t>main survey</w:t>
      </w:r>
      <w:r w:rsidRPr="008551C5" w:rsidR="00D5316A">
        <w:rPr>
          <w:rFonts w:asciiTheme="minorHAnsi" w:hAnsiTheme="minorHAnsi" w:cstheme="minorHAnsi"/>
          <w:sz w:val="22"/>
          <w:szCs w:val="22"/>
        </w:rPr>
        <w:t>s</w:t>
      </w:r>
      <w:r w:rsidRPr="008551C5" w:rsidR="001811AA">
        <w:rPr>
          <w:rFonts w:asciiTheme="minorHAnsi" w:hAnsiTheme="minorHAnsi" w:cstheme="minorHAnsi"/>
          <w:sz w:val="22"/>
          <w:szCs w:val="22"/>
        </w:rPr>
        <w:t xml:space="preserve"> </w:t>
      </w:r>
      <w:r w:rsidRPr="008551C5">
        <w:rPr>
          <w:rFonts w:asciiTheme="minorHAnsi" w:hAnsiTheme="minorHAnsi" w:cstheme="minorHAnsi"/>
          <w:sz w:val="22"/>
          <w:szCs w:val="22"/>
        </w:rPr>
        <w:t xml:space="preserve">annually.  Each year of data is </w:t>
      </w:r>
      <w:r w:rsidRPr="008551C5" w:rsidR="001811AA">
        <w:rPr>
          <w:rFonts w:asciiTheme="minorHAnsi" w:hAnsiTheme="minorHAnsi" w:cstheme="minorHAnsi"/>
          <w:sz w:val="22"/>
          <w:szCs w:val="22"/>
        </w:rPr>
        <w:t>nationally representative</w:t>
      </w:r>
      <w:r w:rsidRPr="008551C5">
        <w:rPr>
          <w:rFonts w:asciiTheme="minorHAnsi" w:hAnsiTheme="minorHAnsi" w:cstheme="minorHAnsi"/>
          <w:sz w:val="22"/>
          <w:szCs w:val="22"/>
        </w:rPr>
        <w:t xml:space="preserve">, </w:t>
      </w:r>
      <w:r w:rsidRPr="008551C5" w:rsidR="002055E5">
        <w:rPr>
          <w:rFonts w:asciiTheme="minorHAnsi" w:hAnsiTheme="minorHAnsi" w:cstheme="minorHAnsi"/>
          <w:sz w:val="22"/>
          <w:szCs w:val="22"/>
        </w:rPr>
        <w:t>and one-year sample weights will be constructed.  However, user guidance in the documentation will encourage the use of a minimum of two years of data, the timespan of NSFG public</w:t>
      </w:r>
      <w:r w:rsidRPr="008551C5" w:rsidR="0011126F">
        <w:rPr>
          <w:rFonts w:asciiTheme="minorHAnsi" w:hAnsiTheme="minorHAnsi" w:cstheme="minorHAnsi"/>
          <w:sz w:val="22"/>
          <w:szCs w:val="22"/>
        </w:rPr>
        <w:t>-</w:t>
      </w:r>
      <w:r w:rsidRPr="008551C5" w:rsidR="002055E5">
        <w:rPr>
          <w:rFonts w:asciiTheme="minorHAnsi" w:hAnsiTheme="minorHAnsi" w:cstheme="minorHAnsi"/>
          <w:sz w:val="22"/>
          <w:szCs w:val="22"/>
        </w:rPr>
        <w:t xml:space="preserve">use file releases, to permit statistically reliable estimates to be made.  Further, </w:t>
      </w:r>
      <w:r w:rsidRPr="008551C5">
        <w:rPr>
          <w:rFonts w:asciiTheme="minorHAnsi" w:hAnsiTheme="minorHAnsi" w:cstheme="minorHAnsi"/>
          <w:sz w:val="22"/>
          <w:szCs w:val="22"/>
        </w:rPr>
        <w:t xml:space="preserve">the desired sample size and precision for several key estimates and statistics </w:t>
      </w:r>
      <w:r w:rsidRPr="008551C5" w:rsidR="00663770">
        <w:rPr>
          <w:rFonts w:asciiTheme="minorHAnsi" w:hAnsiTheme="minorHAnsi" w:cstheme="minorHAnsi"/>
          <w:sz w:val="22"/>
          <w:szCs w:val="22"/>
        </w:rPr>
        <w:t xml:space="preserve">for domains of interest </w:t>
      </w:r>
      <w:r w:rsidRPr="008551C5" w:rsidR="00AC34FB">
        <w:rPr>
          <w:rFonts w:asciiTheme="minorHAnsi" w:hAnsiTheme="minorHAnsi" w:cstheme="minorHAnsi"/>
          <w:sz w:val="22"/>
          <w:szCs w:val="22"/>
        </w:rPr>
        <w:t>are</w:t>
      </w:r>
      <w:r w:rsidRPr="008551C5">
        <w:rPr>
          <w:rFonts w:asciiTheme="minorHAnsi" w:hAnsiTheme="minorHAnsi" w:cstheme="minorHAnsi"/>
          <w:sz w:val="22"/>
          <w:szCs w:val="22"/>
        </w:rPr>
        <w:t xml:space="preserve"> attained </w:t>
      </w:r>
      <w:r w:rsidRPr="008551C5" w:rsidR="002055E5">
        <w:rPr>
          <w:rFonts w:asciiTheme="minorHAnsi" w:hAnsiTheme="minorHAnsi" w:cstheme="minorHAnsi"/>
          <w:sz w:val="22"/>
          <w:szCs w:val="22"/>
        </w:rPr>
        <w:t xml:space="preserve">only </w:t>
      </w:r>
      <w:r w:rsidRPr="008551C5">
        <w:rPr>
          <w:rFonts w:asciiTheme="minorHAnsi" w:hAnsiTheme="minorHAnsi" w:cstheme="minorHAnsi"/>
          <w:sz w:val="22"/>
          <w:szCs w:val="22"/>
        </w:rPr>
        <w:t>after about 4 years of interviewing (</w:t>
      </w:r>
      <w:r w:rsidRPr="008551C5" w:rsidR="002055E5">
        <w:rPr>
          <w:rFonts w:asciiTheme="minorHAnsi" w:hAnsiTheme="minorHAnsi" w:cstheme="minorHAnsi"/>
          <w:sz w:val="22"/>
          <w:szCs w:val="22"/>
        </w:rPr>
        <w:t xml:space="preserve">for example, combining the 2022 to 2023 data with the 2024 to </w:t>
      </w:r>
      <w:r w:rsidRPr="008551C5" w:rsidR="00447040">
        <w:rPr>
          <w:rFonts w:asciiTheme="minorHAnsi" w:hAnsiTheme="minorHAnsi" w:cstheme="minorHAnsi"/>
          <w:sz w:val="22"/>
          <w:szCs w:val="22"/>
        </w:rPr>
        <w:t>202</w:t>
      </w:r>
      <w:r w:rsidR="00447040">
        <w:rPr>
          <w:rFonts w:asciiTheme="minorHAnsi" w:hAnsiTheme="minorHAnsi" w:cstheme="minorHAnsi"/>
          <w:sz w:val="22"/>
          <w:szCs w:val="22"/>
        </w:rPr>
        <w:t>5</w:t>
      </w:r>
      <w:r w:rsidRPr="008551C5" w:rsidR="00447040">
        <w:rPr>
          <w:rFonts w:asciiTheme="minorHAnsi" w:hAnsiTheme="minorHAnsi" w:cstheme="minorHAnsi"/>
          <w:sz w:val="22"/>
          <w:szCs w:val="22"/>
        </w:rPr>
        <w:t xml:space="preserve"> </w:t>
      </w:r>
      <w:r w:rsidRPr="008551C5" w:rsidR="002055E5">
        <w:rPr>
          <w:rFonts w:asciiTheme="minorHAnsi" w:hAnsiTheme="minorHAnsi" w:cstheme="minorHAnsi"/>
          <w:sz w:val="22"/>
          <w:szCs w:val="22"/>
        </w:rPr>
        <w:t xml:space="preserve">data). </w:t>
      </w:r>
    </w:p>
    <w:p w:rsidR="008F0C4D" w:rsidP="008F0C4D" w:rsidRDefault="00047F40" w14:paraId="051EEF0C" w14:textId="4F4F6B15">
      <w:pPr>
        <w:pStyle w:val="Heading2"/>
        <w:ind w:firstLine="720"/>
        <w:rPr>
          <w:rFonts w:asciiTheme="minorHAnsi" w:hAnsiTheme="minorHAnsi" w:cstheme="minorHAnsi"/>
          <w:bCs w:val="0"/>
          <w:i w:val="0"/>
          <w:sz w:val="22"/>
          <w:szCs w:val="22"/>
        </w:rPr>
      </w:pPr>
      <w:bookmarkStart w:name="_Toc79140729" w:id="2"/>
      <w:r w:rsidRPr="008F0C4D">
        <w:rPr>
          <w:rFonts w:asciiTheme="minorHAnsi" w:hAnsiTheme="minorHAnsi" w:cstheme="minorHAnsi"/>
          <w:bCs w:val="0"/>
          <w:i w:val="0"/>
          <w:sz w:val="22"/>
          <w:szCs w:val="22"/>
        </w:rPr>
        <w:t>Target Population</w:t>
      </w:r>
      <w:bookmarkEnd w:id="2"/>
    </w:p>
    <w:p w:rsidRPr="008F0C4D" w:rsidR="008F0C4D" w:rsidP="008F0C4D" w:rsidRDefault="008F0C4D" w14:paraId="34CBE909" w14:textId="77777777"/>
    <w:p w:rsidRPr="008551C5" w:rsidR="00047F40" w:rsidP="003149DD" w:rsidRDefault="008F0C4D" w14:paraId="42BACAFC" w14:textId="040BA73A">
      <w:pPr>
        <w:tabs>
          <w:tab w:val="left" w:pos="-720"/>
          <w:tab w:val="left" w:pos="720"/>
          <w:tab w:val="left" w:pos="5490"/>
        </w:tabs>
        <w:suppressAutoHyphens/>
        <w:rPr>
          <w:rFonts w:asciiTheme="minorHAnsi" w:hAnsiTheme="minorHAnsi" w:cstheme="minorHAnsi"/>
          <w:sz w:val="22"/>
          <w:szCs w:val="22"/>
        </w:rPr>
      </w:pPr>
      <w:r>
        <w:rPr>
          <w:rFonts w:asciiTheme="minorHAnsi" w:hAnsiTheme="minorHAnsi" w:cstheme="minorHAnsi"/>
          <w:sz w:val="22"/>
          <w:szCs w:val="22"/>
        </w:rPr>
        <w:tab/>
      </w:r>
      <w:r w:rsidRPr="008551C5" w:rsidR="00C778AA">
        <w:rPr>
          <w:rFonts w:asciiTheme="minorHAnsi" w:hAnsiTheme="minorHAnsi" w:cstheme="minorHAnsi"/>
          <w:sz w:val="22"/>
          <w:szCs w:val="22"/>
        </w:rPr>
        <w:t xml:space="preserve">The target population for the NSFG is men and women aged 15–49 at first survey contact whose primary residence is in one of the 50 United States or the District of Columbia. Men and women in the military but who live off-base are included, but individuals living in group quarters are excluded, with the exception of those living in college </w:t>
      </w:r>
      <w:r w:rsidRPr="008551C5" w:rsidR="00CE4EA9">
        <w:rPr>
          <w:rFonts w:asciiTheme="minorHAnsi" w:hAnsiTheme="minorHAnsi" w:cstheme="minorHAnsi"/>
          <w:sz w:val="22"/>
          <w:szCs w:val="22"/>
        </w:rPr>
        <w:t>housing</w:t>
      </w:r>
      <w:r w:rsidR="001729F2">
        <w:rPr>
          <w:rFonts w:asciiTheme="minorHAnsi" w:hAnsiTheme="minorHAnsi" w:cstheme="minorHAnsi"/>
          <w:sz w:val="22"/>
          <w:szCs w:val="22"/>
        </w:rPr>
        <w:t xml:space="preserve"> - </w:t>
      </w:r>
      <w:r w:rsidRPr="008551C5" w:rsidR="00C778AA">
        <w:rPr>
          <w:rFonts w:asciiTheme="minorHAnsi" w:hAnsiTheme="minorHAnsi" w:cstheme="minorHAnsi"/>
          <w:sz w:val="22"/>
          <w:szCs w:val="22"/>
        </w:rPr>
        <w:t>dormitories or fraternity</w:t>
      </w:r>
      <w:r w:rsidRPr="008551C5" w:rsidR="00CE4EA9">
        <w:rPr>
          <w:rFonts w:asciiTheme="minorHAnsi" w:hAnsiTheme="minorHAnsi" w:cstheme="minorHAnsi"/>
          <w:sz w:val="22"/>
          <w:szCs w:val="22"/>
        </w:rPr>
        <w:t xml:space="preserve"> or </w:t>
      </w:r>
      <w:r w:rsidRPr="008551C5" w:rsidR="00C778AA">
        <w:rPr>
          <w:rFonts w:asciiTheme="minorHAnsi" w:hAnsiTheme="minorHAnsi" w:cstheme="minorHAnsi"/>
          <w:sz w:val="22"/>
          <w:szCs w:val="22"/>
        </w:rPr>
        <w:t>sorority hous</w:t>
      </w:r>
      <w:r w:rsidRPr="008551C5" w:rsidR="00CE4EA9">
        <w:rPr>
          <w:rFonts w:asciiTheme="minorHAnsi" w:hAnsiTheme="minorHAnsi" w:cstheme="minorHAnsi"/>
          <w:sz w:val="22"/>
          <w:szCs w:val="22"/>
        </w:rPr>
        <w:t>ing</w:t>
      </w:r>
      <w:r w:rsidR="001729F2">
        <w:rPr>
          <w:rFonts w:asciiTheme="minorHAnsi" w:hAnsiTheme="minorHAnsi" w:cstheme="minorHAnsi"/>
          <w:sz w:val="22"/>
          <w:szCs w:val="22"/>
        </w:rPr>
        <w:t xml:space="preserve"> - </w:t>
      </w:r>
      <w:r w:rsidRPr="008551C5" w:rsidR="00C778AA">
        <w:rPr>
          <w:rFonts w:asciiTheme="minorHAnsi" w:hAnsiTheme="minorHAnsi" w:cstheme="minorHAnsi"/>
          <w:sz w:val="22"/>
          <w:szCs w:val="22"/>
        </w:rPr>
        <w:t xml:space="preserve">who are eligible to be sampled via their parents’ household.  This is consistent with the target population from </w:t>
      </w:r>
      <w:r w:rsidRPr="008551C5" w:rsidR="00C778AA">
        <w:rPr>
          <w:rFonts w:asciiTheme="minorHAnsi" w:hAnsiTheme="minorHAnsi" w:cstheme="minorHAnsi"/>
          <w:sz w:val="22"/>
          <w:szCs w:val="22"/>
        </w:rPr>
        <w:lastRenderedPageBreak/>
        <w:t xml:space="preserve">the 2015-2019 fieldwork, and consistent with that of the 2011-2015 fieldwork with the exception of the age range: prior to 2015, age-eligibility was 15-44.  </w:t>
      </w:r>
    </w:p>
    <w:p w:rsidR="008F0C4D" w:rsidP="008F0C4D" w:rsidRDefault="00047F40" w14:paraId="45FD7475" w14:textId="0D8B0332">
      <w:pPr>
        <w:pStyle w:val="Heading2"/>
        <w:ind w:firstLine="720"/>
        <w:rPr>
          <w:rFonts w:asciiTheme="minorHAnsi" w:hAnsiTheme="minorHAnsi" w:cstheme="minorHAnsi"/>
          <w:b w:val="0"/>
          <w:iCs w:val="0"/>
          <w:sz w:val="22"/>
          <w:szCs w:val="22"/>
        </w:rPr>
      </w:pPr>
      <w:bookmarkStart w:name="_Toc79140730" w:id="3"/>
      <w:r w:rsidRPr="008F0C4D">
        <w:rPr>
          <w:rFonts w:asciiTheme="minorHAnsi" w:hAnsiTheme="minorHAnsi" w:cstheme="minorHAnsi"/>
          <w:bCs w:val="0"/>
          <w:i w:val="0"/>
          <w:sz w:val="22"/>
          <w:szCs w:val="22"/>
        </w:rPr>
        <w:t xml:space="preserve">Details of the NSFG Sample </w:t>
      </w:r>
      <w:r w:rsidR="003149DD">
        <w:rPr>
          <w:rFonts w:asciiTheme="minorHAnsi" w:hAnsiTheme="minorHAnsi" w:cstheme="minorHAnsi"/>
          <w:bCs w:val="0"/>
          <w:i w:val="0"/>
          <w:sz w:val="22"/>
          <w:szCs w:val="22"/>
        </w:rPr>
        <w:t>Selection</w:t>
      </w:r>
      <w:bookmarkEnd w:id="3"/>
      <w:r w:rsidRPr="008F0C4D" w:rsidR="009946C3">
        <w:rPr>
          <w:rFonts w:asciiTheme="minorHAnsi" w:hAnsiTheme="minorHAnsi" w:cstheme="minorHAnsi"/>
          <w:b w:val="0"/>
          <w:iCs w:val="0"/>
          <w:sz w:val="22"/>
          <w:szCs w:val="22"/>
        </w:rPr>
        <w:t xml:space="preserve"> </w:t>
      </w:r>
    </w:p>
    <w:p w:rsidRPr="008F0C4D" w:rsidR="008F0C4D" w:rsidP="00E64D0C" w:rsidRDefault="008F0C4D" w14:paraId="71E68088" w14:textId="77777777">
      <w:pPr>
        <w:tabs>
          <w:tab w:val="left" w:pos="-720"/>
        </w:tabs>
        <w:suppressAutoHyphens/>
        <w:spacing w:line="276" w:lineRule="auto"/>
        <w:ind w:left="720"/>
        <w:rPr>
          <w:rFonts w:asciiTheme="minorHAnsi" w:hAnsiTheme="minorHAnsi" w:cstheme="minorHAnsi"/>
          <w:b/>
          <w:iCs/>
          <w:sz w:val="22"/>
          <w:szCs w:val="22"/>
        </w:rPr>
      </w:pPr>
    </w:p>
    <w:p w:rsidRPr="008551C5" w:rsidR="00047F40" w:rsidP="00E64D0C" w:rsidRDefault="00047F40" w14:paraId="7F1A6FA4" w14:textId="54D68D74">
      <w:pPr>
        <w:tabs>
          <w:tab w:val="left" w:pos="-720"/>
        </w:tabs>
        <w:suppressAutoHyphens/>
        <w:spacing w:line="276" w:lineRule="auto"/>
        <w:ind w:left="720"/>
        <w:rPr>
          <w:rFonts w:asciiTheme="minorHAnsi" w:hAnsiTheme="minorHAnsi" w:cstheme="minorHAnsi"/>
          <w:sz w:val="22"/>
          <w:szCs w:val="22"/>
        </w:rPr>
      </w:pPr>
      <w:r w:rsidRPr="008551C5">
        <w:rPr>
          <w:rFonts w:asciiTheme="minorHAnsi" w:hAnsiTheme="minorHAnsi" w:cstheme="minorHAnsi"/>
          <w:sz w:val="22"/>
          <w:szCs w:val="22"/>
        </w:rPr>
        <w:t>The</w:t>
      </w:r>
      <w:r w:rsidRPr="008551C5" w:rsidR="009946C3">
        <w:rPr>
          <w:rFonts w:asciiTheme="minorHAnsi" w:hAnsiTheme="minorHAnsi" w:cstheme="minorHAnsi"/>
          <w:sz w:val="22"/>
          <w:szCs w:val="22"/>
        </w:rPr>
        <w:t xml:space="preserve"> sample is selected in 5 stages:</w:t>
      </w:r>
    </w:p>
    <w:p w:rsidRPr="008551C5" w:rsidR="00E64D0C" w:rsidP="00E64D0C" w:rsidRDefault="00E64D0C" w14:paraId="077717CB" w14:textId="77777777">
      <w:pPr>
        <w:tabs>
          <w:tab w:val="left" w:pos="-720"/>
        </w:tabs>
        <w:suppressAutoHyphens/>
        <w:spacing w:line="276" w:lineRule="auto"/>
        <w:ind w:left="720"/>
        <w:rPr>
          <w:rFonts w:asciiTheme="minorHAnsi" w:hAnsiTheme="minorHAnsi" w:cstheme="minorHAnsi"/>
          <w:sz w:val="22"/>
          <w:szCs w:val="22"/>
        </w:rPr>
      </w:pPr>
    </w:p>
    <w:p w:rsidRPr="008551C5" w:rsidR="004E659A" w:rsidP="004E659A" w:rsidRDefault="00047F40" w14:paraId="2603A458" w14:textId="14074459">
      <w:pPr>
        <w:pStyle w:val="ListParagraph"/>
        <w:numPr>
          <w:ilvl w:val="0"/>
          <w:numId w:val="28"/>
        </w:numPr>
        <w:tabs>
          <w:tab w:val="left" w:pos="-720"/>
          <w:tab w:val="left" w:pos="720"/>
        </w:tabs>
        <w:suppressAutoHyphens/>
        <w:spacing w:line="240" w:lineRule="auto"/>
        <w:rPr>
          <w:rFonts w:asciiTheme="minorHAnsi" w:hAnsiTheme="minorHAnsi" w:cstheme="minorHAnsi"/>
        </w:rPr>
      </w:pPr>
      <w:r w:rsidRPr="008551C5">
        <w:rPr>
          <w:rFonts w:asciiTheme="minorHAnsi" w:hAnsiTheme="minorHAnsi" w:cstheme="minorHAnsi"/>
        </w:rPr>
        <w:t xml:space="preserve">The first stage involves </w:t>
      </w:r>
      <w:r w:rsidRPr="008551C5">
        <w:rPr>
          <w:rFonts w:asciiTheme="minorHAnsi" w:hAnsiTheme="minorHAnsi" w:cstheme="minorHAnsi"/>
          <w:u w:val="single"/>
        </w:rPr>
        <w:t>selection of Primary Sampling Units</w:t>
      </w:r>
      <w:r w:rsidRPr="008551C5" w:rsidR="005915E0">
        <w:rPr>
          <w:rFonts w:asciiTheme="minorHAnsi" w:hAnsiTheme="minorHAnsi" w:cstheme="minorHAnsi"/>
          <w:u w:val="single"/>
        </w:rPr>
        <w:t xml:space="preserve"> (PSUs)</w:t>
      </w:r>
      <w:r w:rsidRPr="008551C5">
        <w:rPr>
          <w:rFonts w:asciiTheme="minorHAnsi" w:hAnsiTheme="minorHAnsi" w:cstheme="minorHAnsi"/>
        </w:rPr>
        <w:t xml:space="preserve"> (Metropolitan Statistical Areas (MSAs), counties, or groups of adjacent counties) from </w:t>
      </w:r>
      <w:r w:rsidRPr="008551C5" w:rsidR="001811AA">
        <w:rPr>
          <w:rFonts w:asciiTheme="minorHAnsi" w:hAnsiTheme="minorHAnsi" w:cstheme="minorHAnsi"/>
        </w:rPr>
        <w:t>a sampling frame of</w:t>
      </w:r>
      <w:r w:rsidRPr="008551C5">
        <w:rPr>
          <w:rFonts w:asciiTheme="minorHAnsi" w:hAnsiTheme="minorHAnsi" w:cstheme="minorHAnsi"/>
        </w:rPr>
        <w:t xml:space="preserve"> </w:t>
      </w:r>
      <w:r w:rsidRPr="008551C5" w:rsidR="00EF7D6C">
        <w:rPr>
          <w:rFonts w:asciiTheme="minorHAnsi" w:hAnsiTheme="minorHAnsi" w:cstheme="minorHAnsi"/>
        </w:rPr>
        <w:t xml:space="preserve">2,044 </w:t>
      </w:r>
      <w:r w:rsidRPr="008551C5">
        <w:rPr>
          <w:rFonts w:asciiTheme="minorHAnsi" w:hAnsiTheme="minorHAnsi" w:cstheme="minorHAnsi"/>
        </w:rPr>
        <w:t>PSUs</w:t>
      </w:r>
      <w:r w:rsidRPr="008551C5" w:rsidR="00EF7D6C">
        <w:rPr>
          <w:rFonts w:asciiTheme="minorHAnsi" w:hAnsiTheme="minorHAnsi" w:cstheme="minorHAnsi"/>
        </w:rPr>
        <w:t>. The largest 22 Metropolitan Statistical Areas (MSAs), those estimated to contain one million or more occupied HUs based on the most recently available data from the American Community Survey (ACS), will be treated as certainty selections, meaning they are guaranteed to be included in one or more years of the 8-year data collection period.</w:t>
      </w:r>
      <w:r w:rsidRPr="008551C5" w:rsidR="00F47622">
        <w:rPr>
          <w:rFonts w:asciiTheme="minorHAnsi" w:hAnsiTheme="minorHAnsi" w:cstheme="minorHAnsi"/>
        </w:rPr>
        <w:t xml:space="preserve">  The remaining set of PSUs is constructed from individual counties or groupings of sparsely populated contiguous counties in the lower 48 states using a customized algorithm to minimize the spatial size of the PSU while simultaneously maintaining minimum numbers of SSUs and HUs. A weighted measure of size (MOS) will be developed such that, all else equal, larger PSUs and PSUs with higher concentrations of Black individuals will be selected more frequently, at a rate of approximately 2.6 to 1.</w:t>
      </w:r>
    </w:p>
    <w:p w:rsidRPr="008551C5" w:rsidR="004E659A" w:rsidP="004E659A" w:rsidRDefault="004E659A" w14:paraId="75D5C73F" w14:textId="77777777">
      <w:pPr>
        <w:pStyle w:val="ListParagraph"/>
        <w:tabs>
          <w:tab w:val="left" w:pos="-720"/>
          <w:tab w:val="left" w:pos="720"/>
        </w:tabs>
        <w:suppressAutoHyphens/>
        <w:spacing w:line="240" w:lineRule="auto"/>
        <w:rPr>
          <w:rFonts w:asciiTheme="minorHAnsi" w:hAnsiTheme="minorHAnsi" w:cstheme="minorHAnsi"/>
        </w:rPr>
      </w:pPr>
    </w:p>
    <w:p w:rsidRPr="008551C5" w:rsidR="004E659A" w:rsidP="004E659A" w:rsidRDefault="00CB24AF" w14:paraId="44E85C2A" w14:textId="2B7A75D5">
      <w:pPr>
        <w:pStyle w:val="ListParagraph"/>
        <w:numPr>
          <w:ilvl w:val="0"/>
          <w:numId w:val="28"/>
        </w:numPr>
        <w:tabs>
          <w:tab w:val="left" w:pos="-720"/>
          <w:tab w:val="left" w:pos="720"/>
        </w:tabs>
        <w:suppressAutoHyphens/>
        <w:spacing w:line="240" w:lineRule="auto"/>
        <w:rPr>
          <w:rFonts w:asciiTheme="minorHAnsi" w:hAnsiTheme="minorHAnsi" w:cstheme="minorHAnsi"/>
        </w:rPr>
      </w:pPr>
      <w:r w:rsidRPr="008551C5">
        <w:rPr>
          <w:rFonts w:asciiTheme="minorHAnsi" w:hAnsiTheme="minorHAnsi" w:cstheme="minorHAnsi"/>
        </w:rPr>
        <w:t xml:space="preserve">The second stage involves </w:t>
      </w:r>
      <w:r w:rsidRPr="008551C5">
        <w:rPr>
          <w:rFonts w:asciiTheme="minorHAnsi" w:hAnsiTheme="minorHAnsi" w:cstheme="minorHAnsi"/>
          <w:u w:val="single"/>
        </w:rPr>
        <w:t xml:space="preserve">selection of </w:t>
      </w:r>
      <w:r w:rsidRPr="008551C5" w:rsidR="00047F40">
        <w:rPr>
          <w:rFonts w:asciiTheme="minorHAnsi" w:hAnsiTheme="minorHAnsi" w:cstheme="minorHAnsi"/>
          <w:u w:val="single"/>
        </w:rPr>
        <w:t>Secondary Sampling Units</w:t>
      </w:r>
      <w:r w:rsidRPr="008551C5" w:rsidR="00047F40">
        <w:rPr>
          <w:rFonts w:asciiTheme="minorHAnsi" w:hAnsiTheme="minorHAnsi" w:cstheme="minorHAnsi"/>
        </w:rPr>
        <w:t xml:space="preserve"> (SSUs or segments) within PSUs. These are </w:t>
      </w:r>
      <w:r w:rsidRPr="008551C5" w:rsidR="00DC6FBC">
        <w:rPr>
          <w:rFonts w:asciiTheme="minorHAnsi" w:hAnsiTheme="minorHAnsi" w:cstheme="minorHAnsi"/>
        </w:rPr>
        <w:t>defined as Census Block Groups (CBGs), which are aggregations of contiguous Census Blocks generally defined to have between 600 and 3,000 people and usually covering a contiguous area.  Twelve SSUs will be released from each PSU each year</w:t>
      </w:r>
      <w:r w:rsidRPr="008551C5" w:rsidR="00B716EA">
        <w:rPr>
          <w:rFonts w:asciiTheme="minorHAnsi" w:hAnsiTheme="minorHAnsi" w:cstheme="minorHAnsi"/>
        </w:rPr>
        <w:t>, with three SSUs held in reserve</w:t>
      </w:r>
      <w:r w:rsidRPr="008551C5" w:rsidR="00DC6FBC">
        <w:rPr>
          <w:rFonts w:asciiTheme="minorHAnsi" w:hAnsiTheme="minorHAnsi" w:cstheme="minorHAnsi"/>
        </w:rPr>
        <w:t xml:space="preserve">.  </w:t>
      </w:r>
      <w:r w:rsidRPr="008551C5" w:rsidR="00B716EA">
        <w:rPr>
          <w:rFonts w:asciiTheme="minorHAnsi" w:hAnsiTheme="minorHAnsi" w:cstheme="minorHAnsi"/>
        </w:rPr>
        <w:t>E</w:t>
      </w:r>
      <w:r w:rsidRPr="008551C5" w:rsidR="00DC6FBC">
        <w:rPr>
          <w:rFonts w:asciiTheme="minorHAnsi" w:hAnsiTheme="minorHAnsi" w:cstheme="minorHAnsi"/>
        </w:rPr>
        <w:t>ach SSU in the frame will be required to contain at least 200 estimated occupied housing units</w:t>
      </w:r>
      <w:r w:rsidRPr="008551C5" w:rsidR="00A94978">
        <w:rPr>
          <w:rFonts w:asciiTheme="minorHAnsi" w:hAnsiTheme="minorHAnsi" w:cstheme="minorHAnsi"/>
        </w:rPr>
        <w:t xml:space="preserve"> (HUs)</w:t>
      </w:r>
      <w:r w:rsidRPr="008551C5" w:rsidR="00DC6FBC">
        <w:rPr>
          <w:rFonts w:asciiTheme="minorHAnsi" w:hAnsiTheme="minorHAnsi" w:cstheme="minorHAnsi"/>
        </w:rPr>
        <w:t>.  Each PSU is guaranteed to contain a minimum of 15 SSUs and a minimum of 200 x 15 = 3,000 estimated HUs.</w:t>
      </w:r>
      <w:r w:rsidRPr="008551C5" w:rsidR="00752698">
        <w:rPr>
          <w:rFonts w:asciiTheme="minorHAnsi" w:hAnsiTheme="minorHAnsi" w:eastAsiaTheme="minorHAnsi" w:cstheme="minorHAnsi"/>
        </w:rPr>
        <w:t xml:space="preserve"> </w:t>
      </w:r>
      <w:r w:rsidRPr="008551C5" w:rsidR="009B5ADB">
        <w:rPr>
          <w:rFonts w:asciiTheme="minorHAnsi" w:hAnsiTheme="minorHAnsi" w:eastAsiaTheme="minorHAnsi" w:cstheme="minorHAnsi"/>
        </w:rPr>
        <w:t xml:space="preserve">To achieve </w:t>
      </w:r>
      <w:r w:rsidRPr="008551C5" w:rsidR="00AD692C">
        <w:rPr>
          <w:rFonts w:asciiTheme="minorHAnsi" w:hAnsiTheme="minorHAnsi" w:eastAsiaTheme="minorHAnsi" w:cstheme="minorHAnsi"/>
        </w:rPr>
        <w:t xml:space="preserve">an </w:t>
      </w:r>
      <w:r w:rsidRPr="008551C5" w:rsidR="009B5ADB">
        <w:rPr>
          <w:rFonts w:asciiTheme="minorHAnsi" w:hAnsiTheme="minorHAnsi" w:eastAsiaTheme="minorHAnsi" w:cstheme="minorHAnsi"/>
        </w:rPr>
        <w:t>oversampl</w:t>
      </w:r>
      <w:r w:rsidRPr="008551C5" w:rsidR="00AD692C">
        <w:rPr>
          <w:rFonts w:asciiTheme="minorHAnsi" w:hAnsiTheme="minorHAnsi" w:eastAsiaTheme="minorHAnsi" w:cstheme="minorHAnsi"/>
        </w:rPr>
        <w:t>e of</w:t>
      </w:r>
      <w:r w:rsidRPr="008551C5" w:rsidR="009B5ADB">
        <w:rPr>
          <w:rFonts w:asciiTheme="minorHAnsi" w:hAnsiTheme="minorHAnsi" w:eastAsiaTheme="minorHAnsi" w:cstheme="minorHAnsi"/>
        </w:rPr>
        <w:t xml:space="preserve"> </w:t>
      </w:r>
      <w:r w:rsidRPr="008551C5" w:rsidR="00AD692C">
        <w:rPr>
          <w:rFonts w:asciiTheme="minorHAnsi" w:hAnsiTheme="minorHAnsi" w:eastAsiaTheme="minorHAnsi" w:cstheme="minorHAnsi"/>
        </w:rPr>
        <w:t>B</w:t>
      </w:r>
      <w:r w:rsidRPr="008551C5" w:rsidR="009B5ADB">
        <w:rPr>
          <w:rFonts w:asciiTheme="minorHAnsi" w:hAnsiTheme="minorHAnsi" w:eastAsiaTheme="minorHAnsi" w:cstheme="minorHAnsi"/>
        </w:rPr>
        <w:t>lack individuals</w:t>
      </w:r>
      <w:r w:rsidRPr="008551C5" w:rsidR="00AD692C">
        <w:rPr>
          <w:rFonts w:asciiTheme="minorHAnsi" w:hAnsiTheme="minorHAnsi" w:eastAsiaTheme="minorHAnsi" w:cstheme="minorHAnsi"/>
        </w:rPr>
        <w:t xml:space="preserve"> so they comprise 20% of completed interviews</w:t>
      </w:r>
      <w:r w:rsidRPr="008551C5" w:rsidR="009B5ADB">
        <w:rPr>
          <w:rFonts w:asciiTheme="minorHAnsi" w:hAnsiTheme="minorHAnsi" w:eastAsiaTheme="minorHAnsi" w:cstheme="minorHAnsi"/>
        </w:rPr>
        <w:t>, t</w:t>
      </w:r>
      <w:r w:rsidRPr="008551C5" w:rsidR="00752698">
        <w:rPr>
          <w:rFonts w:asciiTheme="minorHAnsi" w:hAnsiTheme="minorHAnsi" w:cstheme="minorHAnsi"/>
        </w:rPr>
        <w:t xml:space="preserve">he chance of selection of CBGs where ACS data indicate a high percentage of Black individuals in the target population </w:t>
      </w:r>
      <w:r w:rsidRPr="008551C5" w:rsidR="003845E2">
        <w:rPr>
          <w:rFonts w:asciiTheme="minorHAnsi" w:hAnsiTheme="minorHAnsi" w:cstheme="minorHAnsi"/>
        </w:rPr>
        <w:t xml:space="preserve">(&gt;=10%) </w:t>
      </w:r>
      <w:r w:rsidRPr="008551C5" w:rsidR="00752698">
        <w:rPr>
          <w:rFonts w:asciiTheme="minorHAnsi" w:hAnsiTheme="minorHAnsi" w:cstheme="minorHAnsi"/>
        </w:rPr>
        <w:t>will be</w:t>
      </w:r>
      <w:r w:rsidRPr="008551C5" w:rsidR="009B5ADB">
        <w:rPr>
          <w:rFonts w:asciiTheme="minorHAnsi" w:hAnsiTheme="minorHAnsi" w:cstheme="minorHAnsi"/>
        </w:rPr>
        <w:t xml:space="preserve"> increased </w:t>
      </w:r>
      <w:r w:rsidRPr="008551C5" w:rsidR="00752698">
        <w:rPr>
          <w:rFonts w:asciiTheme="minorHAnsi" w:hAnsiTheme="minorHAnsi" w:cstheme="minorHAnsi"/>
        </w:rPr>
        <w:t xml:space="preserve">relative to </w:t>
      </w:r>
      <w:r w:rsidRPr="008551C5" w:rsidR="00B716EA">
        <w:rPr>
          <w:rFonts w:asciiTheme="minorHAnsi" w:hAnsiTheme="minorHAnsi" w:cstheme="minorHAnsi"/>
        </w:rPr>
        <w:t xml:space="preserve">all other </w:t>
      </w:r>
      <w:r w:rsidRPr="008551C5" w:rsidR="00752698">
        <w:rPr>
          <w:rFonts w:asciiTheme="minorHAnsi" w:hAnsiTheme="minorHAnsi" w:cstheme="minorHAnsi"/>
        </w:rPr>
        <w:t>CBGs.</w:t>
      </w:r>
      <w:r w:rsidRPr="008551C5" w:rsidR="009B5ADB">
        <w:rPr>
          <w:rFonts w:asciiTheme="minorHAnsi" w:hAnsiTheme="minorHAnsi" w:cstheme="minorHAnsi"/>
        </w:rPr>
        <w:t xml:space="preserve"> Unlike prior NSFG designs, this design will not oversample Hispanic individuals, because the proportion of Hispanics in the target population has grown such that they will comprise 20% of completed interviews without oversampling.</w:t>
      </w:r>
    </w:p>
    <w:p w:rsidRPr="008551C5" w:rsidR="009D5E22" w:rsidP="004E659A" w:rsidRDefault="00047F40" w14:paraId="7C56825D" w14:textId="4128D118">
      <w:pPr>
        <w:tabs>
          <w:tab w:val="left" w:pos="-720"/>
          <w:tab w:val="left" w:pos="720"/>
        </w:tabs>
        <w:suppressAutoHyphen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 (3)</w:t>
      </w:r>
      <w:r w:rsidRPr="008551C5">
        <w:rPr>
          <w:rFonts w:asciiTheme="minorHAnsi" w:hAnsiTheme="minorHAnsi" w:cstheme="minorHAnsi"/>
          <w:sz w:val="22"/>
          <w:szCs w:val="22"/>
        </w:rPr>
        <w:tab/>
      </w:r>
      <w:r w:rsidRPr="008551C5" w:rsidR="00CB24AF">
        <w:rPr>
          <w:rFonts w:asciiTheme="minorHAnsi" w:hAnsiTheme="minorHAnsi" w:cstheme="minorHAnsi"/>
          <w:sz w:val="22"/>
          <w:szCs w:val="22"/>
          <w:u w:val="single"/>
        </w:rPr>
        <w:t>Selection of households:</w:t>
      </w:r>
      <w:r w:rsidRPr="008551C5" w:rsidR="00CB24AF">
        <w:rPr>
          <w:rFonts w:asciiTheme="minorHAnsi" w:hAnsiTheme="minorHAnsi" w:cstheme="minorHAnsi"/>
          <w:sz w:val="22"/>
          <w:szCs w:val="22"/>
        </w:rPr>
        <w:t xml:space="preserve"> </w:t>
      </w:r>
      <w:r w:rsidRPr="008551C5">
        <w:rPr>
          <w:rFonts w:asciiTheme="minorHAnsi" w:hAnsiTheme="minorHAnsi" w:cstheme="minorHAnsi"/>
          <w:sz w:val="22"/>
          <w:szCs w:val="22"/>
        </w:rPr>
        <w:t>For the third stage of</w:t>
      </w:r>
      <w:r w:rsidRPr="008551C5" w:rsidR="001F65C4">
        <w:rPr>
          <w:rFonts w:asciiTheme="minorHAnsi" w:hAnsiTheme="minorHAnsi" w:cstheme="minorHAnsi"/>
          <w:sz w:val="22"/>
          <w:szCs w:val="22"/>
        </w:rPr>
        <w:t xml:space="preserve"> selection, </w:t>
      </w:r>
      <w:r w:rsidRPr="008551C5" w:rsidR="00FA5D64">
        <w:rPr>
          <w:rFonts w:asciiTheme="minorHAnsi" w:hAnsiTheme="minorHAnsi" w:cstheme="minorHAnsi"/>
          <w:sz w:val="22"/>
          <w:szCs w:val="22"/>
        </w:rPr>
        <w:t xml:space="preserve">a frame of HUs is built within each sampled SSU, using the contractor’s in-house enhanced address-based sampling (ABS) frame.  The frame is based on the </w:t>
      </w:r>
      <w:r w:rsidRPr="008551C5">
        <w:rPr>
          <w:rFonts w:asciiTheme="minorHAnsi" w:hAnsiTheme="minorHAnsi" w:cstheme="minorHAnsi"/>
          <w:sz w:val="22"/>
          <w:szCs w:val="22"/>
        </w:rPr>
        <w:t>U.S. Postal Service</w:t>
      </w:r>
      <w:r w:rsidRPr="008551C5" w:rsidR="00B716EA">
        <w:rPr>
          <w:rFonts w:asciiTheme="minorHAnsi" w:hAnsiTheme="minorHAnsi" w:cstheme="minorHAnsi"/>
          <w:sz w:val="22"/>
          <w:szCs w:val="22"/>
        </w:rPr>
        <w:t xml:space="preserve"> </w:t>
      </w:r>
      <w:r w:rsidRPr="008551C5" w:rsidR="00FA5D64">
        <w:rPr>
          <w:rFonts w:asciiTheme="minorHAnsi" w:hAnsiTheme="minorHAnsi" w:cstheme="minorHAnsi"/>
          <w:sz w:val="22"/>
          <w:szCs w:val="22"/>
        </w:rPr>
        <w:t>(USPS)</w:t>
      </w:r>
      <w:r w:rsidRPr="008551C5">
        <w:rPr>
          <w:rFonts w:asciiTheme="minorHAnsi" w:hAnsiTheme="minorHAnsi" w:cstheme="minorHAnsi"/>
          <w:sz w:val="22"/>
          <w:szCs w:val="22"/>
        </w:rPr>
        <w:t xml:space="preserve"> </w:t>
      </w:r>
      <w:r w:rsidRPr="008551C5" w:rsidR="00FA5D64">
        <w:rPr>
          <w:rFonts w:asciiTheme="minorHAnsi" w:hAnsiTheme="minorHAnsi" w:cstheme="minorHAnsi"/>
          <w:sz w:val="22"/>
          <w:szCs w:val="22"/>
        </w:rPr>
        <w:t xml:space="preserve">Computerized </w:t>
      </w:r>
      <w:r w:rsidRPr="008551C5">
        <w:rPr>
          <w:rFonts w:asciiTheme="minorHAnsi" w:hAnsiTheme="minorHAnsi" w:cstheme="minorHAnsi"/>
          <w:sz w:val="22"/>
          <w:szCs w:val="22"/>
        </w:rPr>
        <w:t xml:space="preserve">Delivery Sequence </w:t>
      </w:r>
      <w:r w:rsidRPr="008551C5" w:rsidR="00FA5D64">
        <w:rPr>
          <w:rFonts w:asciiTheme="minorHAnsi" w:hAnsiTheme="minorHAnsi" w:cstheme="minorHAnsi"/>
          <w:sz w:val="22"/>
          <w:szCs w:val="22"/>
        </w:rPr>
        <w:t xml:space="preserve">(CDS) </w:t>
      </w:r>
      <w:r w:rsidRPr="008551C5">
        <w:rPr>
          <w:rFonts w:asciiTheme="minorHAnsi" w:hAnsiTheme="minorHAnsi" w:cstheme="minorHAnsi"/>
          <w:sz w:val="22"/>
          <w:szCs w:val="22"/>
        </w:rPr>
        <w:t>File</w:t>
      </w:r>
      <w:r w:rsidRPr="008551C5" w:rsidR="00FA5D64">
        <w:rPr>
          <w:rFonts w:asciiTheme="minorHAnsi" w:hAnsiTheme="minorHAnsi" w:cstheme="minorHAnsi"/>
          <w:sz w:val="22"/>
          <w:szCs w:val="22"/>
        </w:rPr>
        <w:t>, updated monthly.</w:t>
      </w:r>
      <w:r w:rsidRPr="008551C5">
        <w:rPr>
          <w:rFonts w:asciiTheme="minorHAnsi" w:hAnsiTheme="minorHAnsi" w:cstheme="minorHAnsi"/>
          <w:sz w:val="22"/>
          <w:szCs w:val="22"/>
        </w:rPr>
        <w:t xml:space="preserve"> </w:t>
      </w:r>
      <w:r w:rsidRPr="008551C5" w:rsidR="00FA5D64">
        <w:rPr>
          <w:rFonts w:asciiTheme="minorHAnsi" w:hAnsiTheme="minorHAnsi" w:cstheme="minorHAnsi"/>
          <w:sz w:val="22"/>
          <w:szCs w:val="22"/>
        </w:rPr>
        <w:t xml:space="preserve">For SSUs where the estimated ABS coverage rate is below 85%, field enumeration (listing) will be used.  </w:t>
      </w:r>
    </w:p>
    <w:p w:rsidRPr="008551C5" w:rsidR="004E659A" w:rsidP="004E659A" w:rsidRDefault="009D5E22" w14:paraId="6D4DE648" w14:textId="49B0646C">
      <w:pPr>
        <w:tabs>
          <w:tab w:val="left" w:pos="-720"/>
          <w:tab w:val="left" w:pos="720"/>
        </w:tabs>
        <w:suppressAutoHyphens/>
        <w:ind w:left="720"/>
        <w:rPr>
          <w:rFonts w:asciiTheme="minorHAnsi" w:hAnsiTheme="minorHAnsi" w:cstheme="minorHAnsi"/>
          <w:sz w:val="22"/>
          <w:szCs w:val="22"/>
        </w:rPr>
      </w:pPr>
      <w:r w:rsidRPr="008551C5">
        <w:rPr>
          <w:rFonts w:asciiTheme="minorHAnsi" w:hAnsiTheme="minorHAnsi" w:cstheme="minorHAnsi"/>
          <w:sz w:val="22"/>
          <w:szCs w:val="22"/>
        </w:rPr>
        <w:tab/>
        <w:t>For HU listings derived from the ABS frame, a model will be used to predict the likelihood the given HU contains one or more age-eligible individuals. HUs will be grouped into two strata within the SSU – high and low likelihood – with differential sampling rates applied to increase the yield rate. Th</w:t>
      </w:r>
      <w:r w:rsidRPr="008551C5" w:rsidR="00F17FB0">
        <w:rPr>
          <w:rFonts w:asciiTheme="minorHAnsi" w:hAnsiTheme="minorHAnsi" w:cstheme="minorHAnsi"/>
          <w:sz w:val="22"/>
          <w:szCs w:val="22"/>
        </w:rPr>
        <w:t xml:space="preserve">e predictive power of this </w:t>
      </w:r>
      <w:r w:rsidRPr="008551C5">
        <w:rPr>
          <w:rFonts w:asciiTheme="minorHAnsi" w:hAnsiTheme="minorHAnsi" w:cstheme="minorHAnsi"/>
          <w:sz w:val="22"/>
          <w:szCs w:val="22"/>
        </w:rPr>
        <w:t xml:space="preserve">model will become increasingly </w:t>
      </w:r>
      <w:r w:rsidRPr="008551C5" w:rsidR="00F17FB0">
        <w:rPr>
          <w:rFonts w:asciiTheme="minorHAnsi" w:hAnsiTheme="minorHAnsi" w:cstheme="minorHAnsi"/>
          <w:sz w:val="22"/>
          <w:szCs w:val="22"/>
        </w:rPr>
        <w:t>strong</w:t>
      </w:r>
      <w:r w:rsidRPr="008551C5">
        <w:rPr>
          <w:rFonts w:asciiTheme="minorHAnsi" w:hAnsiTheme="minorHAnsi" w:cstheme="minorHAnsi"/>
          <w:sz w:val="22"/>
          <w:szCs w:val="22"/>
        </w:rPr>
        <w:t xml:space="preserve"> with the accumulation of empirical data.  </w:t>
      </w:r>
      <w:r w:rsidRPr="008551C5" w:rsidR="00A27825">
        <w:rPr>
          <w:rFonts w:asciiTheme="minorHAnsi" w:hAnsiTheme="minorHAnsi" w:cstheme="minorHAnsi"/>
          <w:sz w:val="22"/>
          <w:szCs w:val="22"/>
        </w:rPr>
        <w:t>The step before the fourth step, “Selection of Individuals</w:t>
      </w:r>
      <w:r w:rsidRPr="008551C5" w:rsidR="00444554">
        <w:rPr>
          <w:rFonts w:asciiTheme="minorHAnsi" w:hAnsiTheme="minorHAnsi" w:cstheme="minorHAnsi"/>
          <w:sz w:val="22"/>
          <w:szCs w:val="22"/>
        </w:rPr>
        <w:t>,”</w:t>
      </w:r>
      <w:r w:rsidRPr="008551C5" w:rsidR="00A27825">
        <w:rPr>
          <w:rFonts w:asciiTheme="minorHAnsi" w:hAnsiTheme="minorHAnsi" w:cstheme="minorHAnsi"/>
          <w:sz w:val="22"/>
          <w:szCs w:val="22"/>
        </w:rPr>
        <w:t xml:space="preserve"> below, involves determining if any eligible individuals live in the selected HUs and proceeds as follows.  A lead letter</w:t>
      </w:r>
      <w:r w:rsidRPr="008551C5" w:rsidR="00663770">
        <w:rPr>
          <w:rFonts w:asciiTheme="minorHAnsi" w:hAnsiTheme="minorHAnsi" w:cstheme="minorHAnsi"/>
          <w:sz w:val="22"/>
          <w:szCs w:val="22"/>
        </w:rPr>
        <w:t xml:space="preserve"> (</w:t>
      </w:r>
      <w:r w:rsidRPr="008551C5" w:rsidR="00663770">
        <w:rPr>
          <w:rFonts w:asciiTheme="minorHAnsi" w:hAnsiTheme="minorHAnsi" w:cstheme="minorHAnsi"/>
          <w:b/>
          <w:bCs/>
          <w:sz w:val="22"/>
          <w:szCs w:val="22"/>
        </w:rPr>
        <w:t>Attachment G1)</w:t>
      </w:r>
      <w:r w:rsidRPr="008551C5" w:rsidR="00663770">
        <w:rPr>
          <w:rFonts w:asciiTheme="minorHAnsi" w:hAnsiTheme="minorHAnsi" w:cstheme="minorHAnsi"/>
          <w:sz w:val="22"/>
          <w:szCs w:val="22"/>
        </w:rPr>
        <w:t xml:space="preserve"> </w:t>
      </w:r>
      <w:r w:rsidRPr="008551C5" w:rsidR="00A27825">
        <w:rPr>
          <w:rFonts w:asciiTheme="minorHAnsi" w:hAnsiTheme="minorHAnsi" w:cstheme="minorHAnsi"/>
          <w:sz w:val="22"/>
          <w:szCs w:val="22"/>
        </w:rPr>
        <w:t>, Question-and-Answer (Q&amp;A) brochure</w:t>
      </w:r>
      <w:r w:rsidRPr="008551C5" w:rsidR="00663770">
        <w:rPr>
          <w:rFonts w:asciiTheme="minorHAnsi" w:hAnsiTheme="minorHAnsi" w:cstheme="minorHAnsi"/>
          <w:b/>
          <w:bCs/>
          <w:sz w:val="22"/>
          <w:szCs w:val="22"/>
        </w:rPr>
        <w:t xml:space="preserve"> (</w:t>
      </w:r>
      <w:r w:rsidRPr="008551C5" w:rsidR="00FF0931">
        <w:rPr>
          <w:rFonts w:asciiTheme="minorHAnsi" w:hAnsiTheme="minorHAnsi" w:cstheme="minorHAnsi"/>
          <w:b/>
          <w:bCs/>
          <w:sz w:val="22"/>
          <w:szCs w:val="22"/>
        </w:rPr>
        <w:t>Attachment G4)</w:t>
      </w:r>
      <w:r w:rsidRPr="008551C5" w:rsidR="00A27825">
        <w:rPr>
          <w:rFonts w:asciiTheme="minorHAnsi" w:hAnsiTheme="minorHAnsi" w:cstheme="minorHAnsi"/>
          <w:sz w:val="22"/>
          <w:szCs w:val="22"/>
        </w:rPr>
        <w:t>, and $2 prepaid incentive are mailed to sampled</w:t>
      </w:r>
      <w:r w:rsidRPr="008551C5" w:rsidR="0061763B">
        <w:rPr>
          <w:rFonts w:asciiTheme="minorHAnsi" w:hAnsiTheme="minorHAnsi" w:cstheme="minorHAnsi"/>
          <w:sz w:val="22"/>
          <w:szCs w:val="22"/>
        </w:rPr>
        <w:t xml:space="preserve"> HUs.</w:t>
      </w:r>
      <w:r w:rsidRPr="008551C5" w:rsidR="00A27825">
        <w:rPr>
          <w:rFonts w:asciiTheme="minorHAnsi" w:hAnsiTheme="minorHAnsi" w:cstheme="minorHAnsi"/>
          <w:sz w:val="22"/>
          <w:szCs w:val="22"/>
        </w:rPr>
        <w:t xml:space="preserve"> Sampled housing units selected for the multimode experiment receive in their lead letter instructions for </w:t>
      </w:r>
      <w:r w:rsidRPr="008551C5" w:rsidR="00EB79B4">
        <w:rPr>
          <w:rFonts w:asciiTheme="minorHAnsi" w:hAnsiTheme="minorHAnsi" w:cstheme="minorHAnsi"/>
          <w:sz w:val="22"/>
          <w:szCs w:val="22"/>
        </w:rPr>
        <w:t>online completion of</w:t>
      </w:r>
      <w:r w:rsidRPr="008551C5" w:rsidR="00A27825">
        <w:rPr>
          <w:rFonts w:asciiTheme="minorHAnsi" w:hAnsiTheme="minorHAnsi" w:cstheme="minorHAnsi"/>
          <w:sz w:val="22"/>
          <w:szCs w:val="22"/>
        </w:rPr>
        <w:t xml:space="preserve"> a </w:t>
      </w:r>
      <w:r w:rsidRPr="008551C5" w:rsidR="00EB79B4">
        <w:rPr>
          <w:rFonts w:asciiTheme="minorHAnsi" w:hAnsiTheme="minorHAnsi" w:cstheme="minorHAnsi"/>
          <w:sz w:val="22"/>
          <w:szCs w:val="22"/>
        </w:rPr>
        <w:t xml:space="preserve">screener survey, containing a </w:t>
      </w:r>
      <w:r w:rsidRPr="008551C5" w:rsidR="00A27825">
        <w:rPr>
          <w:rFonts w:asciiTheme="minorHAnsi" w:hAnsiTheme="minorHAnsi" w:cstheme="minorHAnsi"/>
          <w:sz w:val="22"/>
          <w:szCs w:val="22"/>
        </w:rPr>
        <w:t>household roster</w:t>
      </w:r>
      <w:r w:rsidRPr="008551C5" w:rsidR="00EB79B4">
        <w:rPr>
          <w:rFonts w:asciiTheme="minorHAnsi" w:hAnsiTheme="minorHAnsi" w:cstheme="minorHAnsi"/>
          <w:sz w:val="22"/>
          <w:szCs w:val="22"/>
        </w:rPr>
        <w:t xml:space="preserve">, which determines if any household members </w:t>
      </w:r>
      <w:r w:rsidRPr="008551C5" w:rsidR="00EB79B4">
        <w:rPr>
          <w:rFonts w:asciiTheme="minorHAnsi" w:hAnsiTheme="minorHAnsi" w:cstheme="minorHAnsi"/>
          <w:sz w:val="22"/>
          <w:szCs w:val="22"/>
        </w:rPr>
        <w:lastRenderedPageBreak/>
        <w:t>are eligible (age 15-49 at the time of the screener)</w:t>
      </w:r>
      <w:r w:rsidRPr="008551C5" w:rsidR="00A27825">
        <w:rPr>
          <w:rFonts w:asciiTheme="minorHAnsi" w:hAnsiTheme="minorHAnsi" w:cstheme="minorHAnsi"/>
          <w:sz w:val="22"/>
          <w:szCs w:val="22"/>
        </w:rPr>
        <w:t>. Sampled housing units selected for face-to-face (FTF)</w:t>
      </w:r>
      <w:r w:rsidRPr="008551C5" w:rsidR="00EB79B4">
        <w:rPr>
          <w:rFonts w:asciiTheme="minorHAnsi" w:hAnsiTheme="minorHAnsi" w:cstheme="minorHAnsi"/>
          <w:sz w:val="22"/>
          <w:szCs w:val="22"/>
        </w:rPr>
        <w:t>-</w:t>
      </w:r>
      <w:r w:rsidRPr="008551C5" w:rsidR="00A27825">
        <w:rPr>
          <w:rFonts w:asciiTheme="minorHAnsi" w:hAnsiTheme="minorHAnsi" w:cstheme="minorHAnsi"/>
          <w:sz w:val="22"/>
          <w:szCs w:val="22"/>
        </w:rPr>
        <w:t>only are told in their letter that an interviewer will visit their address</w:t>
      </w:r>
      <w:r w:rsidRPr="008551C5" w:rsidR="00EB79B4">
        <w:rPr>
          <w:rFonts w:asciiTheme="minorHAnsi" w:hAnsiTheme="minorHAnsi" w:cstheme="minorHAnsi"/>
          <w:sz w:val="22"/>
          <w:szCs w:val="22"/>
        </w:rPr>
        <w:t>.</w:t>
      </w:r>
      <w:r w:rsidRPr="008551C5" w:rsidR="00A27825">
        <w:rPr>
          <w:rFonts w:asciiTheme="minorHAnsi" w:hAnsiTheme="minorHAnsi" w:cstheme="minorHAnsi"/>
          <w:sz w:val="22"/>
          <w:szCs w:val="22"/>
        </w:rPr>
        <w:t xml:space="preserve">  The FTF-only HUs </w:t>
      </w:r>
      <w:r w:rsidRPr="008551C5" w:rsidR="007171CA">
        <w:rPr>
          <w:rFonts w:asciiTheme="minorHAnsi" w:hAnsiTheme="minorHAnsi" w:cstheme="minorHAnsi"/>
          <w:sz w:val="22"/>
          <w:szCs w:val="22"/>
        </w:rPr>
        <w:t>are</w:t>
      </w:r>
      <w:r w:rsidRPr="008551C5" w:rsidR="00047F40">
        <w:rPr>
          <w:rFonts w:asciiTheme="minorHAnsi" w:hAnsiTheme="minorHAnsi" w:cstheme="minorHAnsi"/>
          <w:sz w:val="22"/>
          <w:szCs w:val="22"/>
        </w:rPr>
        <w:t xml:space="preserve"> then contacted by </w:t>
      </w:r>
      <w:r w:rsidRPr="008551C5" w:rsidR="00A27825">
        <w:rPr>
          <w:rFonts w:asciiTheme="minorHAnsi" w:hAnsiTheme="minorHAnsi" w:cstheme="minorHAnsi"/>
          <w:sz w:val="22"/>
          <w:szCs w:val="22"/>
        </w:rPr>
        <w:t>RTI</w:t>
      </w:r>
      <w:r w:rsidRPr="008551C5" w:rsidR="00047F40">
        <w:rPr>
          <w:rFonts w:asciiTheme="minorHAnsi" w:hAnsiTheme="minorHAnsi" w:cstheme="minorHAnsi"/>
          <w:sz w:val="22"/>
          <w:szCs w:val="22"/>
        </w:rPr>
        <w:t xml:space="preserve"> interviewers </w:t>
      </w:r>
      <w:r w:rsidRPr="008551C5" w:rsidR="00A27825">
        <w:rPr>
          <w:rFonts w:asciiTheme="minorHAnsi" w:hAnsiTheme="minorHAnsi" w:cstheme="minorHAnsi"/>
          <w:sz w:val="22"/>
          <w:szCs w:val="22"/>
        </w:rPr>
        <w:t xml:space="preserve">and the </w:t>
      </w:r>
      <w:r w:rsidRPr="008551C5" w:rsidR="00EB79B4">
        <w:rPr>
          <w:rFonts w:asciiTheme="minorHAnsi" w:hAnsiTheme="minorHAnsi" w:cstheme="minorHAnsi"/>
          <w:sz w:val="22"/>
          <w:szCs w:val="22"/>
        </w:rPr>
        <w:t>screener survey</w:t>
      </w:r>
      <w:r w:rsidRPr="008551C5" w:rsidR="00A27825">
        <w:rPr>
          <w:rFonts w:asciiTheme="minorHAnsi" w:hAnsiTheme="minorHAnsi" w:cstheme="minorHAnsi"/>
          <w:sz w:val="22"/>
          <w:szCs w:val="22"/>
        </w:rPr>
        <w:t xml:space="preserve"> is administered </w:t>
      </w:r>
      <w:r w:rsidRPr="008551C5" w:rsidR="00047F40">
        <w:rPr>
          <w:rFonts w:asciiTheme="minorHAnsi" w:hAnsiTheme="minorHAnsi" w:cstheme="minorHAnsi"/>
          <w:sz w:val="22"/>
          <w:szCs w:val="22"/>
        </w:rPr>
        <w:t>to determine if any members of the household</w:t>
      </w:r>
      <w:r w:rsidRPr="008551C5" w:rsidR="007171CA">
        <w:rPr>
          <w:rFonts w:asciiTheme="minorHAnsi" w:hAnsiTheme="minorHAnsi" w:cstheme="minorHAnsi"/>
          <w:sz w:val="22"/>
          <w:szCs w:val="22"/>
        </w:rPr>
        <w:t xml:space="preserve"> are</w:t>
      </w:r>
      <w:r w:rsidRPr="008551C5" w:rsidR="00F23BBF">
        <w:rPr>
          <w:rFonts w:asciiTheme="minorHAnsi" w:hAnsiTheme="minorHAnsi" w:cstheme="minorHAnsi"/>
          <w:sz w:val="22"/>
          <w:szCs w:val="22"/>
        </w:rPr>
        <w:t xml:space="preserve"> eligible</w:t>
      </w:r>
      <w:r w:rsidRPr="008551C5" w:rsidR="00047F40">
        <w:rPr>
          <w:rFonts w:asciiTheme="minorHAnsi" w:hAnsiTheme="minorHAnsi" w:cstheme="minorHAnsi"/>
          <w:sz w:val="22"/>
          <w:szCs w:val="22"/>
        </w:rPr>
        <w:t>.</w:t>
      </w:r>
      <w:r w:rsidRPr="008551C5" w:rsidR="00D360EC">
        <w:rPr>
          <w:rFonts w:asciiTheme="minorHAnsi" w:hAnsiTheme="minorHAnsi" w:cstheme="minorHAnsi"/>
          <w:sz w:val="22"/>
          <w:szCs w:val="22"/>
        </w:rPr>
        <w:t xml:space="preserve"> The multimode HUs </w:t>
      </w:r>
      <w:r w:rsidRPr="008551C5" w:rsidR="00D932C2">
        <w:rPr>
          <w:rFonts w:asciiTheme="minorHAnsi" w:hAnsiTheme="minorHAnsi" w:cstheme="minorHAnsi"/>
          <w:sz w:val="22"/>
          <w:szCs w:val="22"/>
        </w:rPr>
        <w:t>will be followed up in person if they do not complete the roster by web. They</w:t>
      </w:r>
      <w:r w:rsidRPr="008551C5" w:rsidR="00D360EC">
        <w:rPr>
          <w:rFonts w:asciiTheme="minorHAnsi" w:hAnsiTheme="minorHAnsi" w:cstheme="minorHAnsi"/>
          <w:sz w:val="22"/>
          <w:szCs w:val="22"/>
        </w:rPr>
        <w:t xml:space="preserve"> will still have the option to complete the screener by web.</w:t>
      </w:r>
    </w:p>
    <w:p w:rsidRPr="008551C5" w:rsidR="004E659A" w:rsidP="004E659A" w:rsidRDefault="004E659A" w14:paraId="6837243D" w14:textId="77777777">
      <w:pPr>
        <w:tabs>
          <w:tab w:val="left" w:pos="-720"/>
          <w:tab w:val="left" w:pos="720"/>
        </w:tabs>
        <w:suppressAutoHyphens/>
        <w:ind w:left="720"/>
        <w:rPr>
          <w:rFonts w:asciiTheme="minorHAnsi" w:hAnsiTheme="minorHAnsi" w:cstheme="minorHAnsi"/>
          <w:sz w:val="22"/>
          <w:szCs w:val="22"/>
        </w:rPr>
      </w:pPr>
    </w:p>
    <w:p w:rsidRPr="008551C5" w:rsidR="00047F40" w:rsidP="004E659A" w:rsidRDefault="00CB24AF" w14:paraId="1B9D94EE" w14:textId="3D0EB94E">
      <w:pPr>
        <w:pStyle w:val="BodyTextIndent"/>
        <w:numPr>
          <w:ilvl w:val="0"/>
          <w:numId w:val="28"/>
        </w:numPr>
        <w:spacing w:line="240" w:lineRule="auto"/>
        <w:rPr>
          <w:rFonts w:asciiTheme="minorHAnsi" w:hAnsiTheme="minorHAnsi" w:cstheme="minorHAnsi"/>
          <w:sz w:val="22"/>
          <w:szCs w:val="22"/>
        </w:rPr>
      </w:pPr>
      <w:r w:rsidRPr="008551C5">
        <w:rPr>
          <w:rFonts w:asciiTheme="minorHAnsi" w:hAnsiTheme="minorHAnsi" w:cstheme="minorHAnsi"/>
          <w:sz w:val="22"/>
          <w:szCs w:val="22"/>
          <w:u w:val="single"/>
        </w:rPr>
        <w:t>Selection of individuals:</w:t>
      </w:r>
      <w:r w:rsidRPr="008551C5">
        <w:rPr>
          <w:rFonts w:asciiTheme="minorHAnsi" w:hAnsiTheme="minorHAnsi" w:cstheme="minorHAnsi"/>
          <w:sz w:val="22"/>
          <w:szCs w:val="22"/>
        </w:rPr>
        <w:t xml:space="preserve"> </w:t>
      </w:r>
      <w:r w:rsidRPr="008551C5" w:rsidR="00047F40">
        <w:rPr>
          <w:rFonts w:asciiTheme="minorHAnsi" w:hAnsiTheme="minorHAnsi" w:cstheme="minorHAnsi"/>
          <w:sz w:val="22"/>
          <w:szCs w:val="22"/>
        </w:rPr>
        <w:t>In households with eligible persons, a four</w:t>
      </w:r>
      <w:r w:rsidRPr="008551C5" w:rsidR="007171CA">
        <w:rPr>
          <w:rFonts w:asciiTheme="minorHAnsi" w:hAnsiTheme="minorHAnsi" w:cstheme="minorHAnsi"/>
          <w:sz w:val="22"/>
          <w:szCs w:val="22"/>
        </w:rPr>
        <w:t>th stage of selection involves s</w:t>
      </w:r>
      <w:r w:rsidRPr="008551C5" w:rsidR="00047F40">
        <w:rPr>
          <w:rFonts w:asciiTheme="minorHAnsi" w:hAnsiTheme="minorHAnsi" w:cstheme="minorHAnsi"/>
          <w:sz w:val="22"/>
          <w:szCs w:val="22"/>
        </w:rPr>
        <w:t xml:space="preserve">electing one of the eligible persons. The within-household selection rates </w:t>
      </w:r>
      <w:r w:rsidRPr="008551C5" w:rsidR="007171CA">
        <w:rPr>
          <w:rFonts w:asciiTheme="minorHAnsi" w:hAnsiTheme="minorHAnsi" w:cstheme="minorHAnsi"/>
          <w:sz w:val="22"/>
          <w:szCs w:val="22"/>
        </w:rPr>
        <w:t>are</w:t>
      </w:r>
      <w:r w:rsidRPr="008551C5" w:rsidR="00047F40">
        <w:rPr>
          <w:rFonts w:asciiTheme="minorHAnsi" w:hAnsiTheme="minorHAnsi" w:cstheme="minorHAnsi"/>
          <w:sz w:val="22"/>
          <w:szCs w:val="22"/>
        </w:rPr>
        <w:t xml:space="preserve"> set so that about 20% of all interviews are with teens aged 15-19 and 55% of all interviews are with females.</w:t>
      </w:r>
      <w:r w:rsidRPr="008551C5">
        <w:rPr>
          <w:rFonts w:asciiTheme="minorHAnsi" w:hAnsiTheme="minorHAnsi" w:cstheme="minorHAnsi"/>
          <w:sz w:val="22"/>
          <w:szCs w:val="22"/>
        </w:rPr>
        <w:t xml:space="preserve">  </w:t>
      </w:r>
      <w:r w:rsidRPr="008551C5" w:rsidR="001766A8">
        <w:rPr>
          <w:rFonts w:asciiTheme="minorHAnsi" w:hAnsiTheme="minorHAnsi" w:cstheme="minorHAnsi"/>
          <w:sz w:val="22"/>
          <w:szCs w:val="22"/>
        </w:rPr>
        <w:t xml:space="preserve">These rates are programmed into an algorithm in the computerized screener instrument, </w:t>
      </w:r>
      <w:r w:rsidRPr="008551C5" w:rsidR="00F57D1D">
        <w:rPr>
          <w:rFonts w:asciiTheme="minorHAnsi" w:hAnsiTheme="minorHAnsi" w:cstheme="minorHAnsi"/>
          <w:sz w:val="22"/>
          <w:szCs w:val="22"/>
        </w:rPr>
        <w:t>which</w:t>
      </w:r>
      <w:r w:rsidRPr="008551C5" w:rsidR="001766A8">
        <w:rPr>
          <w:rFonts w:asciiTheme="minorHAnsi" w:hAnsiTheme="minorHAnsi" w:cstheme="minorHAnsi"/>
          <w:sz w:val="22"/>
          <w:szCs w:val="22"/>
        </w:rPr>
        <w:t xml:space="preserve"> operates to select a respondent after all household members’ information has been collected.  The </w:t>
      </w:r>
      <w:r w:rsidRPr="008551C5" w:rsidR="000A7445">
        <w:rPr>
          <w:rFonts w:asciiTheme="minorHAnsi" w:hAnsiTheme="minorHAnsi" w:cstheme="minorHAnsi"/>
          <w:sz w:val="22"/>
          <w:szCs w:val="22"/>
        </w:rPr>
        <w:t xml:space="preserve">screener process is then tailored to the </w:t>
      </w:r>
      <w:r w:rsidRPr="008551C5" w:rsidR="001766A8">
        <w:rPr>
          <w:rFonts w:asciiTheme="minorHAnsi" w:hAnsiTheme="minorHAnsi" w:cstheme="minorHAnsi"/>
          <w:sz w:val="22"/>
          <w:szCs w:val="22"/>
        </w:rPr>
        <w:t xml:space="preserve">identity of the selected respondent </w:t>
      </w:r>
      <w:r w:rsidRPr="008551C5" w:rsidR="000A7445">
        <w:rPr>
          <w:rFonts w:asciiTheme="minorHAnsi" w:hAnsiTheme="minorHAnsi" w:cstheme="minorHAnsi"/>
          <w:sz w:val="22"/>
          <w:szCs w:val="22"/>
        </w:rPr>
        <w:t xml:space="preserve">(screener informant, other adult in the HU, </w:t>
      </w:r>
      <w:r w:rsidRPr="008551C5" w:rsidR="005956F6">
        <w:rPr>
          <w:rFonts w:asciiTheme="minorHAnsi" w:hAnsiTheme="minorHAnsi" w:cstheme="minorHAnsi"/>
          <w:sz w:val="22"/>
          <w:szCs w:val="22"/>
        </w:rPr>
        <w:t xml:space="preserve">or </w:t>
      </w:r>
      <w:r w:rsidRPr="008551C5" w:rsidR="000A7445">
        <w:rPr>
          <w:rFonts w:asciiTheme="minorHAnsi" w:hAnsiTheme="minorHAnsi" w:cstheme="minorHAnsi"/>
          <w:sz w:val="22"/>
          <w:szCs w:val="22"/>
        </w:rPr>
        <w:t xml:space="preserve">teen) and </w:t>
      </w:r>
      <w:r w:rsidRPr="008551C5" w:rsidR="005956F6">
        <w:rPr>
          <w:rFonts w:asciiTheme="minorHAnsi" w:hAnsiTheme="minorHAnsi" w:cstheme="minorHAnsi"/>
          <w:sz w:val="22"/>
          <w:szCs w:val="22"/>
        </w:rPr>
        <w:t xml:space="preserve">for FTF mode, </w:t>
      </w:r>
      <w:r w:rsidRPr="008551C5" w:rsidR="000A7445">
        <w:rPr>
          <w:rFonts w:asciiTheme="minorHAnsi" w:hAnsiTheme="minorHAnsi" w:cstheme="minorHAnsi"/>
          <w:sz w:val="22"/>
          <w:szCs w:val="22"/>
        </w:rPr>
        <w:t>the</w:t>
      </w:r>
      <w:r w:rsidRPr="008551C5" w:rsidR="001766A8">
        <w:rPr>
          <w:rFonts w:asciiTheme="minorHAnsi" w:hAnsiTheme="minorHAnsi" w:cstheme="minorHAnsi"/>
          <w:sz w:val="22"/>
          <w:szCs w:val="22"/>
        </w:rPr>
        <w:t xml:space="preserve"> interviewer ask</w:t>
      </w:r>
      <w:r w:rsidRPr="008551C5" w:rsidR="000A7445">
        <w:rPr>
          <w:rFonts w:asciiTheme="minorHAnsi" w:hAnsiTheme="minorHAnsi" w:cstheme="minorHAnsi"/>
          <w:sz w:val="22"/>
          <w:szCs w:val="22"/>
        </w:rPr>
        <w:t>s</w:t>
      </w:r>
      <w:r w:rsidRPr="008551C5" w:rsidR="001766A8">
        <w:rPr>
          <w:rFonts w:asciiTheme="minorHAnsi" w:hAnsiTheme="minorHAnsi" w:cstheme="minorHAnsi"/>
          <w:sz w:val="22"/>
          <w:szCs w:val="22"/>
        </w:rPr>
        <w:t xml:space="preserve"> about his/her availability.  </w:t>
      </w:r>
      <w:r w:rsidRPr="008551C5" w:rsidR="00FD0B60">
        <w:rPr>
          <w:rFonts w:asciiTheme="minorHAnsi" w:hAnsiTheme="minorHAnsi" w:cstheme="minorHAnsi"/>
          <w:sz w:val="22"/>
          <w:szCs w:val="22"/>
        </w:rPr>
        <w:t xml:space="preserve">In online mode, when a household member is chosen as the respondent, the survey website will allow the individual to immediately proceed with steps toward the main survey (if the screener informant is the chosen respondent) or send a </w:t>
      </w:r>
      <w:r w:rsidRPr="008551C5" w:rsidR="000877C7">
        <w:rPr>
          <w:rFonts w:asciiTheme="minorHAnsi" w:hAnsiTheme="minorHAnsi" w:cstheme="minorHAnsi"/>
          <w:sz w:val="22"/>
          <w:szCs w:val="22"/>
        </w:rPr>
        <w:t>URL</w:t>
      </w:r>
      <w:r w:rsidRPr="008551C5" w:rsidR="00FD0B60">
        <w:rPr>
          <w:rFonts w:asciiTheme="minorHAnsi" w:hAnsiTheme="minorHAnsi" w:cstheme="minorHAnsi"/>
          <w:sz w:val="22"/>
          <w:szCs w:val="22"/>
        </w:rPr>
        <w:t xml:space="preserve"> for the main survey </w:t>
      </w:r>
      <w:r w:rsidRPr="008551C5" w:rsidR="003B5E16">
        <w:rPr>
          <w:rFonts w:asciiTheme="minorHAnsi" w:hAnsiTheme="minorHAnsi" w:cstheme="minorHAnsi"/>
          <w:sz w:val="22"/>
          <w:szCs w:val="22"/>
        </w:rPr>
        <w:t>within a</w:t>
      </w:r>
      <w:r w:rsidRPr="008551C5" w:rsidR="00FD0B60">
        <w:rPr>
          <w:rFonts w:asciiTheme="minorHAnsi" w:hAnsiTheme="minorHAnsi" w:cstheme="minorHAnsi"/>
          <w:sz w:val="22"/>
          <w:szCs w:val="22"/>
        </w:rPr>
        <w:t xml:space="preserve"> day, if the chosen R is not the screener informant.  </w:t>
      </w:r>
      <w:r w:rsidRPr="008551C5">
        <w:rPr>
          <w:rFonts w:asciiTheme="minorHAnsi" w:hAnsiTheme="minorHAnsi" w:cstheme="minorHAnsi"/>
          <w:sz w:val="22"/>
          <w:szCs w:val="22"/>
        </w:rPr>
        <w:t>Respondents who agree to complete the main NSFG interview are given a $40</w:t>
      </w:r>
      <w:r w:rsidRPr="008551C5" w:rsidR="00FD0B60">
        <w:rPr>
          <w:rFonts w:asciiTheme="minorHAnsi" w:hAnsiTheme="minorHAnsi" w:cstheme="minorHAnsi"/>
          <w:sz w:val="22"/>
          <w:szCs w:val="22"/>
        </w:rPr>
        <w:t xml:space="preserve"> token of appreciation - in</w:t>
      </w:r>
      <w:r w:rsidRPr="008551C5">
        <w:rPr>
          <w:rFonts w:asciiTheme="minorHAnsi" w:hAnsiTheme="minorHAnsi" w:cstheme="minorHAnsi"/>
          <w:sz w:val="22"/>
          <w:szCs w:val="22"/>
        </w:rPr>
        <w:t xml:space="preserve"> cash </w:t>
      </w:r>
      <w:r w:rsidRPr="008551C5" w:rsidR="005E5E8B">
        <w:rPr>
          <w:rFonts w:asciiTheme="minorHAnsi" w:hAnsiTheme="minorHAnsi" w:cstheme="minorHAnsi"/>
          <w:sz w:val="22"/>
          <w:szCs w:val="22"/>
        </w:rPr>
        <w:t xml:space="preserve">for </w:t>
      </w:r>
      <w:r w:rsidRPr="008551C5" w:rsidR="00FD0B60">
        <w:rPr>
          <w:rFonts w:asciiTheme="minorHAnsi" w:hAnsiTheme="minorHAnsi" w:cstheme="minorHAnsi"/>
          <w:sz w:val="22"/>
          <w:szCs w:val="22"/>
        </w:rPr>
        <w:t>FTF</w:t>
      </w:r>
      <w:r w:rsidRPr="008551C5" w:rsidR="005E5E8B">
        <w:rPr>
          <w:rFonts w:asciiTheme="minorHAnsi" w:hAnsiTheme="minorHAnsi" w:cstheme="minorHAnsi"/>
          <w:sz w:val="22"/>
          <w:szCs w:val="22"/>
        </w:rPr>
        <w:t xml:space="preserve"> mode and either </w:t>
      </w:r>
      <w:r w:rsidRPr="008551C5" w:rsidR="00FD0B60">
        <w:rPr>
          <w:rFonts w:asciiTheme="minorHAnsi" w:hAnsiTheme="minorHAnsi" w:cstheme="minorHAnsi"/>
          <w:sz w:val="22"/>
          <w:szCs w:val="22"/>
        </w:rPr>
        <w:t>a check to be mailed or a digital gift card for</w:t>
      </w:r>
      <w:r w:rsidRPr="008551C5" w:rsidR="005E5E8B">
        <w:rPr>
          <w:rFonts w:asciiTheme="minorHAnsi" w:hAnsiTheme="minorHAnsi" w:cstheme="minorHAnsi"/>
          <w:sz w:val="22"/>
          <w:szCs w:val="22"/>
        </w:rPr>
        <w:t xml:space="preserve"> online mode</w:t>
      </w:r>
      <w:r w:rsidRPr="008551C5">
        <w:rPr>
          <w:rFonts w:asciiTheme="minorHAnsi" w:hAnsiTheme="minorHAnsi" w:cstheme="minorHAnsi"/>
          <w:sz w:val="22"/>
          <w:szCs w:val="22"/>
        </w:rPr>
        <w:t>.</w:t>
      </w:r>
    </w:p>
    <w:p w:rsidRPr="008551C5" w:rsidR="004E659A" w:rsidP="004E659A" w:rsidRDefault="004E659A" w14:paraId="1C9FE486" w14:textId="77777777">
      <w:pPr>
        <w:pStyle w:val="BodyTextIndent"/>
        <w:spacing w:line="240" w:lineRule="auto"/>
        <w:ind w:firstLine="0"/>
        <w:rPr>
          <w:rFonts w:asciiTheme="minorHAnsi" w:hAnsiTheme="minorHAnsi" w:cstheme="minorHAnsi"/>
          <w:sz w:val="22"/>
          <w:szCs w:val="22"/>
        </w:rPr>
      </w:pPr>
    </w:p>
    <w:p w:rsidRPr="008551C5" w:rsidR="00047F40" w:rsidP="004E659A" w:rsidRDefault="00047F40" w14:paraId="1DB2A1A7" w14:textId="2F554DB3">
      <w:pPr>
        <w:tabs>
          <w:tab w:val="left" w:pos="-720"/>
          <w:tab w:val="left" w:pos="720"/>
        </w:tabs>
        <w:suppressAutoHyphen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(5) </w:t>
      </w:r>
      <w:r w:rsidRPr="008551C5">
        <w:rPr>
          <w:rFonts w:asciiTheme="minorHAnsi" w:hAnsiTheme="minorHAnsi" w:cstheme="minorHAnsi"/>
          <w:sz w:val="22"/>
          <w:szCs w:val="22"/>
        </w:rPr>
        <w:tab/>
      </w:r>
      <w:r w:rsidRPr="008551C5" w:rsidR="00CB24AF">
        <w:rPr>
          <w:rFonts w:asciiTheme="minorHAnsi" w:hAnsiTheme="minorHAnsi" w:cstheme="minorHAnsi"/>
          <w:sz w:val="22"/>
          <w:szCs w:val="22"/>
          <w:u w:val="single"/>
        </w:rPr>
        <w:t>Selection of “nonresponde</w:t>
      </w:r>
      <w:r w:rsidRPr="008551C5" w:rsidR="00D940AE">
        <w:rPr>
          <w:rFonts w:asciiTheme="minorHAnsi" w:hAnsiTheme="minorHAnsi" w:cstheme="minorHAnsi"/>
          <w:sz w:val="22"/>
          <w:szCs w:val="22"/>
          <w:u w:val="single"/>
        </w:rPr>
        <w:t>nts</w:t>
      </w:r>
      <w:r w:rsidRPr="008551C5" w:rsidR="00CB24AF">
        <w:rPr>
          <w:rFonts w:asciiTheme="minorHAnsi" w:hAnsiTheme="minorHAnsi" w:cstheme="minorHAnsi"/>
          <w:sz w:val="22"/>
          <w:szCs w:val="22"/>
          <w:u w:val="single"/>
        </w:rPr>
        <w:t xml:space="preserve">” for </w:t>
      </w:r>
      <w:r w:rsidRPr="008551C5" w:rsidR="007B3964">
        <w:rPr>
          <w:rFonts w:asciiTheme="minorHAnsi" w:hAnsiTheme="minorHAnsi" w:cstheme="minorHAnsi"/>
          <w:sz w:val="22"/>
          <w:szCs w:val="22"/>
          <w:u w:val="single"/>
        </w:rPr>
        <w:t>a different protocol p</w:t>
      </w:r>
      <w:r w:rsidRPr="008551C5" w:rsidR="00CB24AF">
        <w:rPr>
          <w:rFonts w:asciiTheme="minorHAnsi" w:hAnsiTheme="minorHAnsi" w:cstheme="minorHAnsi"/>
          <w:sz w:val="22"/>
          <w:szCs w:val="22"/>
          <w:u w:val="single"/>
        </w:rPr>
        <w:t>hase:</w:t>
      </w:r>
      <w:r w:rsidRPr="008551C5" w:rsidR="00CB24AF">
        <w:rPr>
          <w:rFonts w:asciiTheme="minorHAnsi" w:hAnsiTheme="minorHAnsi" w:cstheme="minorHAnsi"/>
          <w:sz w:val="22"/>
          <w:szCs w:val="22"/>
        </w:rPr>
        <w:t xml:space="preserve"> </w:t>
      </w:r>
      <w:r w:rsidRPr="008551C5">
        <w:rPr>
          <w:rFonts w:asciiTheme="minorHAnsi" w:hAnsiTheme="minorHAnsi" w:cstheme="minorHAnsi"/>
          <w:sz w:val="22"/>
          <w:szCs w:val="22"/>
        </w:rPr>
        <w:t>As was done in the NSFG</w:t>
      </w:r>
      <w:r w:rsidRPr="008551C5" w:rsidR="001F65C4">
        <w:rPr>
          <w:rFonts w:asciiTheme="minorHAnsi" w:hAnsiTheme="minorHAnsi" w:cstheme="minorHAnsi"/>
          <w:sz w:val="22"/>
          <w:szCs w:val="22"/>
        </w:rPr>
        <w:t xml:space="preserve"> </w:t>
      </w:r>
      <w:r w:rsidRPr="008551C5" w:rsidR="007171CA">
        <w:rPr>
          <w:rFonts w:asciiTheme="minorHAnsi" w:hAnsiTheme="minorHAnsi" w:cstheme="minorHAnsi"/>
          <w:sz w:val="22"/>
          <w:szCs w:val="22"/>
        </w:rPr>
        <w:t>for</w:t>
      </w:r>
      <w:r w:rsidRPr="008551C5" w:rsidR="001F65C4">
        <w:rPr>
          <w:rFonts w:asciiTheme="minorHAnsi" w:hAnsiTheme="minorHAnsi" w:cstheme="minorHAnsi"/>
          <w:sz w:val="22"/>
          <w:szCs w:val="22"/>
        </w:rPr>
        <w:t xml:space="preserve"> 2006-2010 and 2011-201</w:t>
      </w:r>
      <w:r w:rsidRPr="008551C5" w:rsidR="0011126F">
        <w:rPr>
          <w:rFonts w:asciiTheme="minorHAnsi" w:hAnsiTheme="minorHAnsi" w:cstheme="minorHAnsi"/>
          <w:sz w:val="22"/>
          <w:szCs w:val="22"/>
        </w:rPr>
        <w:t>9</w:t>
      </w:r>
      <w:r w:rsidRPr="008551C5" w:rsidR="001F65C4">
        <w:rPr>
          <w:rFonts w:asciiTheme="minorHAnsi" w:hAnsiTheme="minorHAnsi" w:cstheme="minorHAnsi"/>
          <w:sz w:val="22"/>
          <w:szCs w:val="22"/>
        </w:rPr>
        <w:t>, NSFG</w:t>
      </w:r>
      <w:r w:rsidRPr="008551C5" w:rsidR="0090484A">
        <w:rPr>
          <w:rFonts w:asciiTheme="minorHAnsi" w:hAnsiTheme="minorHAnsi" w:cstheme="minorHAnsi"/>
          <w:sz w:val="22"/>
          <w:szCs w:val="22"/>
        </w:rPr>
        <w:t xml:space="preserve"> will</w:t>
      </w:r>
      <w:r w:rsidRPr="008551C5" w:rsidR="001F65C4">
        <w:rPr>
          <w:rFonts w:asciiTheme="minorHAnsi" w:hAnsiTheme="minorHAnsi" w:cstheme="minorHAnsi"/>
          <w:sz w:val="22"/>
          <w:szCs w:val="22"/>
        </w:rPr>
        <w:t xml:space="preserve"> continue to </w:t>
      </w:r>
      <w:r w:rsidRPr="008551C5" w:rsidR="0090484A">
        <w:rPr>
          <w:rFonts w:asciiTheme="minorHAnsi" w:hAnsiTheme="minorHAnsi" w:cstheme="minorHAnsi"/>
          <w:sz w:val="22"/>
          <w:szCs w:val="22"/>
        </w:rPr>
        <w:t>conduct</w:t>
      </w:r>
      <w:r w:rsidRPr="008551C5" w:rsidR="007B3964">
        <w:rPr>
          <w:rFonts w:asciiTheme="minorHAnsi" w:hAnsiTheme="minorHAnsi" w:cstheme="minorHAnsi"/>
          <w:sz w:val="22"/>
          <w:szCs w:val="22"/>
        </w:rPr>
        <w:t xml:space="preserve"> </w:t>
      </w:r>
      <w:bookmarkStart w:name="_Hlk68598670" w:id="4"/>
      <w:r w:rsidRPr="008551C5" w:rsidR="007B3964">
        <w:rPr>
          <w:rFonts w:asciiTheme="minorHAnsi" w:hAnsiTheme="minorHAnsi" w:cstheme="minorHAnsi"/>
          <w:sz w:val="22"/>
          <w:szCs w:val="22"/>
        </w:rPr>
        <w:t xml:space="preserve">nonresponse </w:t>
      </w:r>
      <w:r w:rsidRPr="008551C5" w:rsidR="00470C9D">
        <w:rPr>
          <w:rFonts w:asciiTheme="minorHAnsi" w:hAnsiTheme="minorHAnsi" w:cstheme="minorHAnsi"/>
          <w:sz w:val="22"/>
          <w:szCs w:val="22"/>
        </w:rPr>
        <w:t>follow-up</w:t>
      </w:r>
      <w:r w:rsidRPr="008551C5" w:rsidR="00476099">
        <w:rPr>
          <w:rFonts w:asciiTheme="minorHAnsi" w:hAnsiTheme="minorHAnsi" w:cstheme="minorHAnsi"/>
          <w:sz w:val="22"/>
          <w:szCs w:val="22"/>
        </w:rPr>
        <w:t xml:space="preserve"> (NRFU)</w:t>
      </w:r>
      <w:r w:rsidRPr="008551C5" w:rsidR="007B3964">
        <w:rPr>
          <w:rFonts w:asciiTheme="minorHAnsi" w:hAnsiTheme="minorHAnsi" w:cstheme="minorHAnsi"/>
          <w:sz w:val="22"/>
          <w:szCs w:val="22"/>
        </w:rPr>
        <w:t xml:space="preserve"> </w:t>
      </w:r>
      <w:bookmarkEnd w:id="4"/>
      <w:r w:rsidRPr="008551C5" w:rsidR="007B3964">
        <w:rPr>
          <w:rFonts w:asciiTheme="minorHAnsi" w:hAnsiTheme="minorHAnsi" w:cstheme="minorHAnsi"/>
          <w:sz w:val="22"/>
          <w:szCs w:val="22"/>
        </w:rPr>
        <w:t xml:space="preserve">in a less costly and more efficient manner than that used in the 1995 and earlier NSFGs.  </w:t>
      </w:r>
      <w:r w:rsidRPr="008551C5" w:rsidR="005E6CAC">
        <w:rPr>
          <w:rFonts w:asciiTheme="minorHAnsi" w:hAnsiTheme="minorHAnsi" w:cstheme="minorHAnsi"/>
          <w:sz w:val="22"/>
          <w:szCs w:val="22"/>
        </w:rPr>
        <w:t>Unlike in the 2002</w:t>
      </w:r>
      <w:r w:rsidRPr="008551C5" w:rsidR="0011126F">
        <w:rPr>
          <w:rFonts w:asciiTheme="minorHAnsi" w:hAnsiTheme="minorHAnsi" w:cstheme="minorHAnsi"/>
          <w:sz w:val="22"/>
          <w:szCs w:val="22"/>
        </w:rPr>
        <w:t>, 2006-2010, and 2011-</w:t>
      </w:r>
      <w:r w:rsidRPr="008551C5" w:rsidR="005E6CAC">
        <w:rPr>
          <w:rFonts w:asciiTheme="minorHAnsi" w:hAnsiTheme="minorHAnsi" w:cstheme="minorHAnsi"/>
          <w:sz w:val="22"/>
          <w:szCs w:val="22"/>
        </w:rPr>
        <w:t xml:space="preserve">2019 NSFG fieldwork periods, where a two-phase approach was in place, </w:t>
      </w:r>
      <w:r w:rsidRPr="008551C5" w:rsidR="0011126F">
        <w:rPr>
          <w:rFonts w:asciiTheme="minorHAnsi" w:hAnsiTheme="minorHAnsi" w:cstheme="minorHAnsi"/>
          <w:sz w:val="22"/>
          <w:szCs w:val="22"/>
        </w:rPr>
        <w:t xml:space="preserve">NSFG data collection for </w:t>
      </w:r>
      <w:r w:rsidRPr="008551C5" w:rsidR="005E6CAC">
        <w:rPr>
          <w:rFonts w:asciiTheme="minorHAnsi" w:hAnsiTheme="minorHAnsi" w:cstheme="minorHAnsi"/>
          <w:sz w:val="22"/>
          <w:szCs w:val="22"/>
        </w:rPr>
        <w:t xml:space="preserve">2022-2029 will </w:t>
      </w:r>
      <w:r w:rsidRPr="008551C5" w:rsidR="001F65C4">
        <w:rPr>
          <w:rFonts w:asciiTheme="minorHAnsi" w:hAnsiTheme="minorHAnsi" w:cstheme="minorHAnsi"/>
          <w:sz w:val="22"/>
          <w:szCs w:val="22"/>
        </w:rPr>
        <w:t>use</w:t>
      </w:r>
      <w:r w:rsidRPr="008551C5">
        <w:rPr>
          <w:rFonts w:asciiTheme="minorHAnsi" w:hAnsiTheme="minorHAnsi" w:cstheme="minorHAnsi"/>
          <w:sz w:val="22"/>
          <w:szCs w:val="22"/>
        </w:rPr>
        <w:t xml:space="preserve"> a </w:t>
      </w:r>
      <w:r w:rsidRPr="008551C5" w:rsidR="005E6CAC">
        <w:rPr>
          <w:rFonts w:asciiTheme="minorHAnsi" w:hAnsiTheme="minorHAnsi" w:cstheme="minorHAnsi"/>
          <w:sz w:val="22"/>
          <w:szCs w:val="22"/>
        </w:rPr>
        <w:t>three</w:t>
      </w:r>
      <w:r w:rsidRPr="008551C5">
        <w:rPr>
          <w:rFonts w:asciiTheme="minorHAnsi" w:hAnsiTheme="minorHAnsi" w:cstheme="minorHAnsi"/>
          <w:sz w:val="22"/>
          <w:szCs w:val="22"/>
        </w:rPr>
        <w:t xml:space="preserve">-phase </w:t>
      </w:r>
      <w:r w:rsidRPr="008551C5" w:rsidR="008B6DCB">
        <w:rPr>
          <w:rFonts w:asciiTheme="minorHAnsi" w:hAnsiTheme="minorHAnsi" w:cstheme="minorHAnsi"/>
          <w:sz w:val="22"/>
          <w:szCs w:val="22"/>
        </w:rPr>
        <w:t>data collection design (a fourth phase will be used in the first two quarters for measuring nonresponse and nonresponse bias)</w:t>
      </w:r>
      <w:r w:rsidRPr="008551C5" w:rsidR="005E6CAC">
        <w:rPr>
          <w:rFonts w:asciiTheme="minorHAnsi" w:hAnsiTheme="minorHAnsi" w:cstheme="minorHAnsi"/>
          <w:sz w:val="22"/>
          <w:szCs w:val="22"/>
        </w:rPr>
        <w:t>, and this third phase will constitute</w:t>
      </w:r>
      <w:r w:rsidRPr="008551C5">
        <w:rPr>
          <w:rFonts w:asciiTheme="minorHAnsi" w:hAnsiTheme="minorHAnsi" w:cstheme="minorHAnsi"/>
          <w:sz w:val="22"/>
          <w:szCs w:val="22"/>
        </w:rPr>
        <w:t xml:space="preserve"> a fifth stage of selection. </w:t>
      </w:r>
      <w:r w:rsidRPr="008551C5" w:rsidR="004065B7">
        <w:rPr>
          <w:rFonts w:asciiTheme="minorHAnsi" w:hAnsiTheme="minorHAnsi" w:cstheme="minorHAnsi"/>
          <w:sz w:val="22"/>
          <w:szCs w:val="22"/>
        </w:rPr>
        <w:t>Data collection</w:t>
      </w:r>
      <w:r w:rsidRPr="008551C5" w:rsidR="00914AF1">
        <w:rPr>
          <w:rFonts w:asciiTheme="minorHAnsi" w:hAnsiTheme="minorHAnsi" w:cstheme="minorHAnsi"/>
          <w:sz w:val="22"/>
          <w:szCs w:val="22"/>
        </w:rPr>
        <w:t xml:space="preserve"> is divided into 16</w:t>
      </w:r>
      <w:r w:rsidRPr="008551C5" w:rsidR="00D940AE">
        <w:rPr>
          <w:rFonts w:asciiTheme="minorHAnsi" w:hAnsiTheme="minorHAnsi" w:cstheme="minorHAnsi"/>
          <w:sz w:val="22"/>
          <w:szCs w:val="22"/>
        </w:rPr>
        <w:t>-</w:t>
      </w:r>
      <w:r w:rsidRPr="008551C5" w:rsidR="00914AF1">
        <w:rPr>
          <w:rFonts w:asciiTheme="minorHAnsi" w:hAnsiTheme="minorHAnsi" w:cstheme="minorHAnsi"/>
          <w:sz w:val="22"/>
          <w:szCs w:val="22"/>
        </w:rPr>
        <w:t xml:space="preserve">week sample-release quarters each year.  </w:t>
      </w:r>
      <w:r w:rsidRPr="008551C5">
        <w:rPr>
          <w:rFonts w:asciiTheme="minorHAnsi" w:hAnsiTheme="minorHAnsi" w:cstheme="minorHAnsi"/>
          <w:sz w:val="22"/>
          <w:szCs w:val="22"/>
        </w:rPr>
        <w:t xml:space="preserve">Each quarter, </w:t>
      </w:r>
      <w:r w:rsidRPr="008551C5" w:rsidR="00CB24AF">
        <w:rPr>
          <w:rFonts w:asciiTheme="minorHAnsi" w:hAnsiTheme="minorHAnsi" w:cstheme="minorHAnsi"/>
          <w:sz w:val="22"/>
          <w:szCs w:val="22"/>
        </w:rPr>
        <w:t xml:space="preserve">a </w:t>
      </w:r>
      <w:r w:rsidRPr="008551C5" w:rsidR="006952CF">
        <w:rPr>
          <w:rFonts w:asciiTheme="minorHAnsi" w:hAnsiTheme="minorHAnsi" w:cstheme="minorHAnsi"/>
          <w:sz w:val="22"/>
          <w:szCs w:val="22"/>
        </w:rPr>
        <w:t xml:space="preserve">50% </w:t>
      </w:r>
      <w:r w:rsidRPr="008551C5" w:rsidR="00CB24AF">
        <w:rPr>
          <w:rFonts w:asciiTheme="minorHAnsi" w:hAnsiTheme="minorHAnsi" w:cstheme="minorHAnsi"/>
          <w:sz w:val="22"/>
          <w:szCs w:val="22"/>
        </w:rPr>
        <w:t xml:space="preserve">subsample of active, nonresponding </w:t>
      </w:r>
      <w:r w:rsidRPr="008551C5" w:rsidR="001F65C4">
        <w:rPr>
          <w:rFonts w:asciiTheme="minorHAnsi" w:hAnsiTheme="minorHAnsi" w:cstheme="minorHAnsi"/>
          <w:sz w:val="22"/>
          <w:szCs w:val="22"/>
        </w:rPr>
        <w:t xml:space="preserve">cases </w:t>
      </w:r>
      <w:r w:rsidRPr="008551C5" w:rsidR="00CB24AF">
        <w:rPr>
          <w:rFonts w:asciiTheme="minorHAnsi" w:hAnsiTheme="minorHAnsi" w:cstheme="minorHAnsi"/>
          <w:sz w:val="22"/>
          <w:szCs w:val="22"/>
        </w:rPr>
        <w:t xml:space="preserve">(among both households that have not completed a screener and individuals who have not completed a main interview) </w:t>
      </w:r>
      <w:r w:rsidRPr="008551C5" w:rsidR="001F65C4">
        <w:rPr>
          <w:rFonts w:asciiTheme="minorHAnsi" w:hAnsiTheme="minorHAnsi" w:cstheme="minorHAnsi"/>
          <w:sz w:val="22"/>
          <w:szCs w:val="22"/>
        </w:rPr>
        <w:t>is</w:t>
      </w:r>
      <w:r w:rsidRPr="008551C5">
        <w:rPr>
          <w:rFonts w:asciiTheme="minorHAnsi" w:hAnsiTheme="minorHAnsi" w:cstheme="minorHAnsi"/>
          <w:sz w:val="22"/>
          <w:szCs w:val="22"/>
        </w:rPr>
        <w:t xml:space="preserve"> selected for continued follow-up</w:t>
      </w:r>
      <w:r w:rsidRPr="008551C5" w:rsidR="008B6DCB">
        <w:rPr>
          <w:rFonts w:asciiTheme="minorHAnsi" w:hAnsiTheme="minorHAnsi" w:cstheme="minorHAnsi"/>
          <w:sz w:val="22"/>
          <w:szCs w:val="22"/>
        </w:rPr>
        <w:t xml:space="preserve"> in person with more directed effort and increased incentives</w:t>
      </w:r>
      <w:r w:rsidRPr="008551C5">
        <w:rPr>
          <w:rFonts w:asciiTheme="minorHAnsi" w:hAnsiTheme="minorHAnsi" w:cstheme="minorHAnsi"/>
          <w:sz w:val="22"/>
          <w:szCs w:val="22"/>
        </w:rPr>
        <w:t xml:space="preserve">. </w:t>
      </w:r>
      <w:r w:rsidRPr="008551C5" w:rsidR="00EB42A3">
        <w:rPr>
          <w:rFonts w:asciiTheme="minorHAnsi" w:hAnsiTheme="minorHAnsi" w:cstheme="minorHAnsi"/>
          <w:sz w:val="22"/>
          <w:szCs w:val="22"/>
        </w:rPr>
        <w:t xml:space="preserve"> In weeks 13 through 16, t</w:t>
      </w:r>
      <w:r w:rsidRPr="008551C5" w:rsidR="007171CA">
        <w:rPr>
          <w:rFonts w:asciiTheme="minorHAnsi" w:hAnsiTheme="minorHAnsi" w:cstheme="minorHAnsi"/>
          <w:sz w:val="22"/>
          <w:szCs w:val="22"/>
        </w:rPr>
        <w:t xml:space="preserve">his subsample </w:t>
      </w:r>
      <w:r w:rsidRPr="008551C5" w:rsidR="002B3BC1">
        <w:rPr>
          <w:rFonts w:asciiTheme="minorHAnsi" w:hAnsiTheme="minorHAnsi" w:cstheme="minorHAnsi"/>
          <w:sz w:val="22"/>
          <w:szCs w:val="22"/>
        </w:rPr>
        <w:t xml:space="preserve">of nonrespondents </w:t>
      </w:r>
      <w:r w:rsidRPr="008551C5" w:rsidR="007171CA">
        <w:rPr>
          <w:rFonts w:asciiTheme="minorHAnsi" w:hAnsiTheme="minorHAnsi" w:cstheme="minorHAnsi"/>
          <w:sz w:val="22"/>
          <w:szCs w:val="22"/>
        </w:rPr>
        <w:t>receives</w:t>
      </w:r>
      <w:r w:rsidRPr="008551C5">
        <w:rPr>
          <w:rFonts w:asciiTheme="minorHAnsi" w:hAnsiTheme="minorHAnsi" w:cstheme="minorHAnsi"/>
          <w:sz w:val="22"/>
          <w:szCs w:val="22"/>
        </w:rPr>
        <w:t xml:space="preserve"> </w:t>
      </w:r>
      <w:r w:rsidRPr="008551C5" w:rsidR="008B6DCB">
        <w:rPr>
          <w:rFonts w:asciiTheme="minorHAnsi" w:hAnsiTheme="minorHAnsi" w:cstheme="minorHAnsi"/>
          <w:sz w:val="22"/>
          <w:szCs w:val="22"/>
        </w:rPr>
        <w:t>an additional</w:t>
      </w:r>
      <w:r w:rsidRPr="008551C5" w:rsidR="00CB24AF">
        <w:rPr>
          <w:rFonts w:asciiTheme="minorHAnsi" w:hAnsiTheme="minorHAnsi" w:cstheme="minorHAnsi"/>
          <w:sz w:val="22"/>
          <w:szCs w:val="22"/>
        </w:rPr>
        <w:t xml:space="preserve"> </w:t>
      </w:r>
      <w:r w:rsidRPr="008551C5">
        <w:rPr>
          <w:rFonts w:asciiTheme="minorHAnsi" w:hAnsiTheme="minorHAnsi" w:cstheme="minorHAnsi"/>
          <w:sz w:val="22"/>
          <w:szCs w:val="22"/>
        </w:rPr>
        <w:t xml:space="preserve">incentive </w:t>
      </w:r>
      <w:r w:rsidRPr="008551C5" w:rsidR="007171CA">
        <w:rPr>
          <w:rFonts w:asciiTheme="minorHAnsi" w:hAnsiTheme="minorHAnsi" w:cstheme="minorHAnsi"/>
          <w:sz w:val="22"/>
          <w:szCs w:val="22"/>
        </w:rPr>
        <w:t>($5 if a household screener and $40 if a main study respondent) and the interviewers focus</w:t>
      </w:r>
      <w:r w:rsidRPr="008551C5">
        <w:rPr>
          <w:rFonts w:asciiTheme="minorHAnsi" w:hAnsiTheme="minorHAnsi" w:cstheme="minorHAnsi"/>
          <w:sz w:val="22"/>
          <w:szCs w:val="22"/>
        </w:rPr>
        <w:t xml:space="preserve"> their effort on the fewer cases left in the subsample. </w:t>
      </w:r>
      <w:r w:rsidRPr="008551C5" w:rsidR="00CB24AF">
        <w:rPr>
          <w:rFonts w:asciiTheme="minorHAnsi" w:hAnsiTheme="minorHAnsi" w:cstheme="minorHAnsi"/>
          <w:sz w:val="22"/>
          <w:szCs w:val="22"/>
        </w:rPr>
        <w:t xml:space="preserve"> </w:t>
      </w:r>
      <w:r w:rsidRPr="008551C5" w:rsidR="008B6DCB">
        <w:rPr>
          <w:rFonts w:asciiTheme="minorHAnsi" w:hAnsiTheme="minorHAnsi" w:cstheme="minorHAnsi"/>
          <w:sz w:val="22"/>
          <w:szCs w:val="22"/>
        </w:rPr>
        <w:t xml:space="preserve">The </w:t>
      </w:r>
      <w:r w:rsidR="00557650">
        <w:rPr>
          <w:rFonts w:asciiTheme="minorHAnsi" w:hAnsiTheme="minorHAnsi" w:cstheme="minorHAnsi"/>
          <w:sz w:val="22"/>
          <w:szCs w:val="22"/>
        </w:rPr>
        <w:t xml:space="preserve">additional </w:t>
      </w:r>
      <w:r w:rsidRPr="008551C5" w:rsidR="008B6DCB">
        <w:rPr>
          <w:rFonts w:asciiTheme="minorHAnsi" w:hAnsiTheme="minorHAnsi" w:cstheme="minorHAnsi"/>
          <w:sz w:val="22"/>
          <w:szCs w:val="22"/>
        </w:rPr>
        <w:t xml:space="preserve">$5 screening incentive is mailed at the start of this phase in data collection.  </w:t>
      </w:r>
      <w:r w:rsidRPr="008551C5" w:rsidR="001E13F4">
        <w:rPr>
          <w:rFonts w:asciiTheme="minorHAnsi" w:hAnsiTheme="minorHAnsi" w:cstheme="minorHAnsi"/>
          <w:sz w:val="22"/>
          <w:szCs w:val="22"/>
        </w:rPr>
        <w:t>Th</w:t>
      </w:r>
      <w:r w:rsidRPr="008551C5" w:rsidR="0012011D">
        <w:rPr>
          <w:rFonts w:asciiTheme="minorHAnsi" w:hAnsiTheme="minorHAnsi" w:cstheme="minorHAnsi"/>
          <w:sz w:val="22"/>
          <w:szCs w:val="22"/>
        </w:rPr>
        <w:t>e</w:t>
      </w:r>
      <w:r w:rsidRPr="008551C5" w:rsidR="001E13F4">
        <w:rPr>
          <w:rFonts w:asciiTheme="minorHAnsi" w:hAnsiTheme="minorHAnsi" w:cstheme="minorHAnsi"/>
          <w:sz w:val="22"/>
          <w:szCs w:val="22"/>
        </w:rPr>
        <w:t xml:space="preserve"> </w:t>
      </w:r>
      <w:r w:rsidR="00557650">
        <w:rPr>
          <w:rFonts w:asciiTheme="minorHAnsi" w:hAnsiTheme="minorHAnsi" w:cstheme="minorHAnsi"/>
          <w:sz w:val="22"/>
          <w:szCs w:val="22"/>
        </w:rPr>
        <w:t xml:space="preserve">additional </w:t>
      </w:r>
      <w:r w:rsidRPr="008551C5" w:rsidR="001E13F4">
        <w:rPr>
          <w:rFonts w:asciiTheme="minorHAnsi" w:hAnsiTheme="minorHAnsi" w:cstheme="minorHAnsi"/>
          <w:sz w:val="22"/>
          <w:szCs w:val="22"/>
        </w:rPr>
        <w:t>$40 main interview incentive is</w:t>
      </w:r>
      <w:r w:rsidRPr="008551C5" w:rsidR="00FF67F0">
        <w:rPr>
          <w:rFonts w:asciiTheme="minorHAnsi" w:hAnsiTheme="minorHAnsi" w:cstheme="minorHAnsi"/>
          <w:sz w:val="22"/>
          <w:szCs w:val="22"/>
        </w:rPr>
        <w:t xml:space="preserve"> offered </w:t>
      </w:r>
      <w:r w:rsidRPr="008551C5" w:rsidR="001E13F4">
        <w:rPr>
          <w:rFonts w:asciiTheme="minorHAnsi" w:hAnsiTheme="minorHAnsi" w:cstheme="minorHAnsi"/>
          <w:sz w:val="22"/>
          <w:szCs w:val="22"/>
        </w:rPr>
        <w:t>to the respondent</w:t>
      </w:r>
      <w:r w:rsidR="001729F2">
        <w:rPr>
          <w:rFonts w:asciiTheme="minorHAnsi" w:hAnsiTheme="minorHAnsi" w:cstheme="minorHAnsi"/>
          <w:sz w:val="22"/>
          <w:szCs w:val="22"/>
        </w:rPr>
        <w:t xml:space="preserve"> in advance of agreeing to the main survey; the respondent still receives </w:t>
      </w:r>
      <w:r w:rsidRPr="008551C5" w:rsidR="00CB24AF">
        <w:rPr>
          <w:rFonts w:asciiTheme="minorHAnsi" w:hAnsiTheme="minorHAnsi" w:cstheme="minorHAnsi"/>
          <w:sz w:val="22"/>
          <w:szCs w:val="22"/>
        </w:rPr>
        <w:t xml:space="preserve"> the $40 </w:t>
      </w:r>
      <w:r w:rsidRPr="008551C5" w:rsidR="00FF67F0">
        <w:rPr>
          <w:rFonts w:asciiTheme="minorHAnsi" w:hAnsiTheme="minorHAnsi" w:cstheme="minorHAnsi"/>
          <w:sz w:val="22"/>
          <w:szCs w:val="22"/>
        </w:rPr>
        <w:t>offered</w:t>
      </w:r>
      <w:r w:rsidRPr="008551C5" w:rsidR="00CB24AF">
        <w:rPr>
          <w:rFonts w:asciiTheme="minorHAnsi" w:hAnsiTheme="minorHAnsi" w:cstheme="minorHAnsi"/>
          <w:sz w:val="22"/>
          <w:szCs w:val="22"/>
        </w:rPr>
        <w:t xml:space="preserve"> </w:t>
      </w:r>
      <w:r w:rsidRPr="008551C5" w:rsidR="001E13F4">
        <w:rPr>
          <w:rFonts w:asciiTheme="minorHAnsi" w:hAnsiTheme="minorHAnsi" w:cstheme="minorHAnsi"/>
          <w:sz w:val="22"/>
          <w:szCs w:val="22"/>
        </w:rPr>
        <w:t xml:space="preserve">after </w:t>
      </w:r>
      <w:r w:rsidR="001729F2">
        <w:rPr>
          <w:rFonts w:asciiTheme="minorHAnsi" w:hAnsiTheme="minorHAnsi" w:cstheme="minorHAnsi"/>
          <w:sz w:val="22"/>
          <w:szCs w:val="22"/>
        </w:rPr>
        <w:t>agreeing</w:t>
      </w:r>
      <w:r w:rsidRPr="008551C5" w:rsidR="00CB24AF">
        <w:rPr>
          <w:rFonts w:asciiTheme="minorHAnsi" w:hAnsiTheme="minorHAnsi" w:cstheme="minorHAnsi"/>
          <w:sz w:val="22"/>
          <w:szCs w:val="22"/>
        </w:rPr>
        <w:t xml:space="preserve"> to complete the main </w:t>
      </w:r>
      <w:r w:rsidR="001729F2">
        <w:rPr>
          <w:rFonts w:asciiTheme="minorHAnsi" w:hAnsiTheme="minorHAnsi" w:cstheme="minorHAnsi"/>
          <w:sz w:val="22"/>
          <w:szCs w:val="22"/>
        </w:rPr>
        <w:t>survey</w:t>
      </w:r>
      <w:r w:rsidRPr="008551C5" w:rsidR="00CB24AF">
        <w:rPr>
          <w:rFonts w:asciiTheme="minorHAnsi" w:hAnsiTheme="minorHAnsi" w:cstheme="minorHAnsi"/>
          <w:sz w:val="22"/>
          <w:szCs w:val="22"/>
        </w:rPr>
        <w:t>.</w:t>
      </w:r>
      <w:r w:rsidRPr="008551C5" w:rsidR="00374657">
        <w:rPr>
          <w:rFonts w:asciiTheme="minorHAnsi" w:hAnsiTheme="minorHAnsi" w:cstheme="minorHAnsi"/>
          <w:sz w:val="22"/>
          <w:szCs w:val="22"/>
        </w:rPr>
        <w:t xml:space="preserve">  For FTF-only mode, </w:t>
      </w:r>
      <w:r w:rsidRPr="008551C5" w:rsidR="007D3F9F">
        <w:rPr>
          <w:rFonts w:asciiTheme="minorHAnsi" w:hAnsiTheme="minorHAnsi" w:cstheme="minorHAnsi"/>
          <w:sz w:val="22"/>
          <w:szCs w:val="22"/>
        </w:rPr>
        <w:t>one of the 2</w:t>
      </w:r>
      <w:r w:rsidRPr="008551C5" w:rsidR="00374657">
        <w:rPr>
          <w:rFonts w:asciiTheme="minorHAnsi" w:hAnsiTheme="minorHAnsi" w:cstheme="minorHAnsi"/>
          <w:sz w:val="22"/>
          <w:szCs w:val="22"/>
        </w:rPr>
        <w:t xml:space="preserve"> experimental </w:t>
      </w:r>
      <w:r w:rsidRPr="008551C5" w:rsidR="007D3F9F">
        <w:rPr>
          <w:rFonts w:asciiTheme="minorHAnsi" w:hAnsiTheme="minorHAnsi" w:cstheme="minorHAnsi"/>
          <w:sz w:val="22"/>
          <w:szCs w:val="22"/>
        </w:rPr>
        <w:t>conditions</w:t>
      </w:r>
      <w:r w:rsidRPr="008551C5" w:rsidR="00374657">
        <w:rPr>
          <w:rFonts w:asciiTheme="minorHAnsi" w:hAnsiTheme="minorHAnsi" w:cstheme="minorHAnsi"/>
          <w:sz w:val="22"/>
          <w:szCs w:val="22"/>
        </w:rPr>
        <w:t xml:space="preserve"> during quarters 1 and 2, this protocol departure (subsample of nonrespondents and increased incentive) will also occur at week 13 but the main protocol will have begun at week 5, thus lasting 8 weeks before the nonresponse </w:t>
      </w:r>
      <w:r w:rsidRPr="008551C5" w:rsidR="00470C9D">
        <w:rPr>
          <w:rFonts w:asciiTheme="minorHAnsi" w:hAnsiTheme="minorHAnsi" w:cstheme="minorHAnsi"/>
          <w:sz w:val="22"/>
          <w:szCs w:val="22"/>
        </w:rPr>
        <w:t>follow-up</w:t>
      </w:r>
      <w:r w:rsidRPr="008551C5" w:rsidR="00374657">
        <w:rPr>
          <w:rFonts w:asciiTheme="minorHAnsi" w:hAnsiTheme="minorHAnsi" w:cstheme="minorHAnsi"/>
          <w:sz w:val="22"/>
          <w:szCs w:val="22"/>
        </w:rPr>
        <w:t xml:space="preserve"> protocol takes effect.</w:t>
      </w:r>
    </w:p>
    <w:p w:rsidRPr="008551C5" w:rsidR="005F481F" w:rsidP="00E64D0C" w:rsidRDefault="004843BB" w14:paraId="775856D5" w14:textId="537D51F0">
      <w:pPr>
        <w:tabs>
          <w:tab w:val="left" w:pos="-720"/>
        </w:tabs>
        <w:suppressAutoHyphens/>
        <w:spacing w:line="276" w:lineRule="auto"/>
        <w:ind w:right="-360"/>
        <w:rPr>
          <w:rFonts w:asciiTheme="minorHAnsi" w:hAnsiTheme="minorHAnsi" w:cstheme="minorHAnsi"/>
          <w:sz w:val="22"/>
          <w:szCs w:val="22"/>
        </w:rPr>
      </w:pPr>
      <w:r w:rsidRPr="008551C5">
        <w:rPr>
          <w:rFonts w:asciiTheme="minorHAnsi" w:hAnsiTheme="minorHAnsi" w:cstheme="minorHAnsi"/>
          <w:sz w:val="22"/>
          <w:szCs w:val="22"/>
        </w:rPr>
        <w:tab/>
      </w:r>
    </w:p>
    <w:p w:rsidR="00714A5A" w:rsidP="003149DD" w:rsidRDefault="004843BB" w14:paraId="13081BB9" w14:textId="680620E7">
      <w:pPr>
        <w:tabs>
          <w:tab w:val="left" w:pos="-720"/>
        </w:tabs>
        <w:suppressAutoHyphens/>
        <w:rPr>
          <w:rFonts w:asciiTheme="minorHAnsi" w:hAnsiTheme="minorHAnsi" w:cstheme="minorHAnsi"/>
          <w:sz w:val="22"/>
          <w:szCs w:val="22"/>
        </w:rPr>
      </w:pPr>
      <w:r w:rsidRPr="008551C5">
        <w:rPr>
          <w:rFonts w:asciiTheme="minorHAnsi" w:hAnsiTheme="minorHAnsi" w:cstheme="minorHAnsi"/>
          <w:sz w:val="22"/>
          <w:szCs w:val="22"/>
        </w:rPr>
        <w:tab/>
      </w:r>
      <w:r w:rsidRPr="008551C5" w:rsidR="00714A5A">
        <w:rPr>
          <w:rFonts w:asciiTheme="minorHAnsi" w:hAnsiTheme="minorHAnsi" w:cstheme="minorHAnsi"/>
          <w:sz w:val="22"/>
          <w:szCs w:val="22"/>
        </w:rPr>
        <w:t>Group quarters with special living arrangements, such as dormitories, institutions, convents, or institutional group homes (fo</w:t>
      </w:r>
      <w:r w:rsidRPr="008551C5" w:rsidR="00825B08">
        <w:rPr>
          <w:rFonts w:asciiTheme="minorHAnsi" w:hAnsiTheme="minorHAnsi" w:cstheme="minorHAnsi"/>
          <w:sz w:val="22"/>
          <w:szCs w:val="22"/>
        </w:rPr>
        <w:t xml:space="preserve">r convicts, the frail elderly, </w:t>
      </w:r>
      <w:r w:rsidRPr="008551C5" w:rsidR="007F15AA">
        <w:rPr>
          <w:rFonts w:asciiTheme="minorHAnsi" w:hAnsiTheme="minorHAnsi" w:cstheme="minorHAnsi"/>
          <w:sz w:val="22"/>
          <w:szCs w:val="22"/>
        </w:rPr>
        <w:t>or the developmentally disabled</w:t>
      </w:r>
      <w:r w:rsidRPr="008551C5" w:rsidR="00714A5A">
        <w:rPr>
          <w:rFonts w:asciiTheme="minorHAnsi" w:hAnsiTheme="minorHAnsi" w:cstheme="minorHAnsi"/>
          <w:sz w:val="22"/>
          <w:szCs w:val="22"/>
        </w:rPr>
        <w:t xml:space="preserve">) may be listed but will not be selected for interviewing, because they are outside the scope of a sample of the </w:t>
      </w:r>
      <w:r w:rsidRPr="008551C5" w:rsidR="00B66E41">
        <w:rPr>
          <w:rFonts w:asciiTheme="minorHAnsi" w:hAnsiTheme="minorHAnsi" w:cstheme="minorHAnsi"/>
          <w:sz w:val="22"/>
          <w:szCs w:val="22"/>
        </w:rPr>
        <w:t xml:space="preserve">household </w:t>
      </w:r>
      <w:r w:rsidRPr="008551C5" w:rsidR="00714A5A">
        <w:rPr>
          <w:rFonts w:asciiTheme="minorHAnsi" w:hAnsiTheme="minorHAnsi" w:cstheme="minorHAnsi"/>
          <w:sz w:val="22"/>
          <w:szCs w:val="22"/>
        </w:rPr>
        <w:t xml:space="preserve">population.  </w:t>
      </w:r>
      <w:r w:rsidRPr="008551C5" w:rsidR="00CE4EA9">
        <w:rPr>
          <w:rFonts w:asciiTheme="minorHAnsi" w:hAnsiTheme="minorHAnsi" w:cstheme="minorHAnsi"/>
          <w:sz w:val="22"/>
          <w:szCs w:val="22"/>
        </w:rPr>
        <w:t>R</w:t>
      </w:r>
      <w:r w:rsidRPr="008551C5" w:rsidR="00714A5A">
        <w:rPr>
          <w:rFonts w:asciiTheme="minorHAnsi" w:hAnsiTheme="minorHAnsi" w:cstheme="minorHAnsi"/>
          <w:sz w:val="22"/>
          <w:szCs w:val="22"/>
        </w:rPr>
        <w:t xml:space="preserve">esidents </w:t>
      </w:r>
      <w:r w:rsidRPr="008551C5" w:rsidR="00CE4EA9">
        <w:rPr>
          <w:rFonts w:asciiTheme="minorHAnsi" w:hAnsiTheme="minorHAnsi" w:cstheme="minorHAnsi"/>
          <w:sz w:val="22"/>
          <w:szCs w:val="22"/>
        </w:rPr>
        <w:t>in college quarters (dormitories, fraternities</w:t>
      </w:r>
      <w:r w:rsidRPr="008551C5" w:rsidR="005678B6">
        <w:rPr>
          <w:rFonts w:asciiTheme="minorHAnsi" w:hAnsiTheme="minorHAnsi" w:cstheme="minorHAnsi"/>
          <w:sz w:val="22"/>
          <w:szCs w:val="22"/>
        </w:rPr>
        <w:t>,</w:t>
      </w:r>
      <w:r w:rsidRPr="008551C5" w:rsidR="00CE4EA9">
        <w:rPr>
          <w:rFonts w:asciiTheme="minorHAnsi" w:hAnsiTheme="minorHAnsi" w:cstheme="minorHAnsi"/>
          <w:sz w:val="22"/>
          <w:szCs w:val="22"/>
        </w:rPr>
        <w:t xml:space="preserve"> or sororities) </w:t>
      </w:r>
      <w:r w:rsidRPr="008551C5" w:rsidR="00714A5A">
        <w:rPr>
          <w:rFonts w:asciiTheme="minorHAnsi" w:hAnsiTheme="minorHAnsi" w:cstheme="minorHAnsi"/>
          <w:sz w:val="22"/>
          <w:szCs w:val="22"/>
        </w:rPr>
        <w:t xml:space="preserve">who otherwise live with their parents will be </w:t>
      </w:r>
      <w:r w:rsidRPr="008551C5" w:rsidR="00B716EA">
        <w:rPr>
          <w:rFonts w:asciiTheme="minorHAnsi" w:hAnsiTheme="minorHAnsi" w:cstheme="minorHAnsi"/>
          <w:sz w:val="22"/>
          <w:szCs w:val="22"/>
        </w:rPr>
        <w:t xml:space="preserve">eligible to be </w:t>
      </w:r>
      <w:r w:rsidRPr="008551C5" w:rsidR="00714A5A">
        <w:rPr>
          <w:rFonts w:asciiTheme="minorHAnsi" w:hAnsiTheme="minorHAnsi" w:cstheme="minorHAnsi"/>
          <w:sz w:val="22"/>
          <w:szCs w:val="22"/>
        </w:rPr>
        <w:t>sampled</w:t>
      </w:r>
      <w:r w:rsidRPr="008551C5" w:rsidR="00B716EA">
        <w:rPr>
          <w:rFonts w:asciiTheme="minorHAnsi" w:hAnsiTheme="minorHAnsi" w:cstheme="minorHAnsi"/>
          <w:sz w:val="22"/>
          <w:szCs w:val="22"/>
        </w:rPr>
        <w:t xml:space="preserve"> by way of rostering at </w:t>
      </w:r>
      <w:r w:rsidRPr="008551C5" w:rsidR="00714A5A">
        <w:rPr>
          <w:rFonts w:asciiTheme="minorHAnsi" w:hAnsiTheme="minorHAnsi" w:cstheme="minorHAnsi"/>
          <w:sz w:val="22"/>
          <w:szCs w:val="22"/>
        </w:rPr>
        <w:t>their parents’ homes.</w:t>
      </w:r>
      <w:r w:rsidRPr="008551C5" w:rsidR="00B66E41">
        <w:rPr>
          <w:rFonts w:asciiTheme="minorHAnsi" w:hAnsiTheme="minorHAnsi" w:cstheme="minorHAnsi"/>
          <w:sz w:val="22"/>
          <w:szCs w:val="22"/>
        </w:rPr>
        <w:t xml:space="preserve">  Members of the active duty military who live in civilian housing (not on military bases) will be </w:t>
      </w:r>
      <w:r w:rsidRPr="008551C5" w:rsidR="007F54AF">
        <w:rPr>
          <w:rFonts w:asciiTheme="minorHAnsi" w:hAnsiTheme="minorHAnsi" w:cstheme="minorHAnsi"/>
          <w:sz w:val="22"/>
          <w:szCs w:val="22"/>
        </w:rPr>
        <w:lastRenderedPageBreak/>
        <w:t xml:space="preserve">eligible for </w:t>
      </w:r>
      <w:r w:rsidRPr="008551C5" w:rsidR="00B66E41">
        <w:rPr>
          <w:rFonts w:asciiTheme="minorHAnsi" w:hAnsiTheme="minorHAnsi" w:cstheme="minorHAnsi"/>
          <w:sz w:val="22"/>
          <w:szCs w:val="22"/>
        </w:rPr>
        <w:t>the sample.</w:t>
      </w:r>
      <w:r w:rsidRPr="008551C5" w:rsidR="001D0FA0">
        <w:rPr>
          <w:rFonts w:asciiTheme="minorHAnsi" w:hAnsiTheme="minorHAnsi" w:cstheme="minorHAnsi"/>
          <w:sz w:val="22"/>
          <w:szCs w:val="22"/>
        </w:rPr>
        <w:t xml:space="preserve">  </w:t>
      </w:r>
      <w:r w:rsidRPr="008551C5" w:rsidR="00714A5A">
        <w:rPr>
          <w:rFonts w:asciiTheme="minorHAnsi" w:hAnsiTheme="minorHAnsi" w:cstheme="minorHAnsi"/>
          <w:sz w:val="22"/>
          <w:szCs w:val="22"/>
        </w:rPr>
        <w:t xml:space="preserve">The NSFG </w:t>
      </w:r>
      <w:r w:rsidRPr="008551C5" w:rsidR="00DD1204">
        <w:rPr>
          <w:rFonts w:asciiTheme="minorHAnsi" w:hAnsiTheme="minorHAnsi" w:cstheme="minorHAnsi"/>
          <w:sz w:val="22"/>
          <w:szCs w:val="22"/>
        </w:rPr>
        <w:t>has been a FTF-only survey through 2019.  Under the new design, FTF-only mode, as part of the mode experiment during quarters 1 and 2, will proceed as in prior NSFGs: n</w:t>
      </w:r>
      <w:r w:rsidRPr="008551C5" w:rsidR="007C08C5">
        <w:rPr>
          <w:rFonts w:asciiTheme="minorHAnsi" w:hAnsiTheme="minorHAnsi" w:cstheme="minorHAnsi"/>
          <w:sz w:val="22"/>
          <w:szCs w:val="22"/>
        </w:rPr>
        <w:t>on-</w:t>
      </w:r>
      <w:r w:rsidRPr="008551C5" w:rsidR="005678B6">
        <w:rPr>
          <w:rFonts w:asciiTheme="minorHAnsi" w:hAnsiTheme="minorHAnsi" w:cstheme="minorHAnsi"/>
          <w:sz w:val="22"/>
          <w:szCs w:val="22"/>
        </w:rPr>
        <w:t>FTF</w:t>
      </w:r>
      <w:r w:rsidRPr="008551C5" w:rsidR="007C08C5">
        <w:rPr>
          <w:rFonts w:asciiTheme="minorHAnsi" w:hAnsiTheme="minorHAnsi" w:cstheme="minorHAnsi"/>
          <w:sz w:val="22"/>
          <w:szCs w:val="22"/>
        </w:rPr>
        <w:t xml:space="preserve"> </w:t>
      </w:r>
      <w:r w:rsidRPr="008551C5" w:rsidR="00714A5A">
        <w:rPr>
          <w:rFonts w:asciiTheme="minorHAnsi" w:hAnsiTheme="minorHAnsi" w:cstheme="minorHAnsi"/>
          <w:sz w:val="22"/>
          <w:szCs w:val="22"/>
        </w:rPr>
        <w:t>contacts</w:t>
      </w:r>
      <w:r w:rsidRPr="008551C5" w:rsidR="007C08C5">
        <w:rPr>
          <w:rFonts w:asciiTheme="minorHAnsi" w:hAnsiTheme="minorHAnsi" w:cstheme="minorHAnsi"/>
          <w:sz w:val="22"/>
          <w:szCs w:val="22"/>
        </w:rPr>
        <w:t>, including by telephone, e-mail or text,</w:t>
      </w:r>
      <w:r w:rsidRPr="008551C5" w:rsidR="00714A5A">
        <w:rPr>
          <w:rFonts w:asciiTheme="minorHAnsi" w:hAnsiTheme="minorHAnsi" w:cstheme="minorHAnsi"/>
          <w:sz w:val="22"/>
          <w:szCs w:val="22"/>
        </w:rPr>
        <w:t xml:space="preserve"> are permitted only </w:t>
      </w:r>
      <w:r w:rsidRPr="008551C5" w:rsidR="00CC514F">
        <w:rPr>
          <w:rFonts w:asciiTheme="minorHAnsi" w:hAnsiTheme="minorHAnsi" w:cstheme="minorHAnsi"/>
          <w:sz w:val="22"/>
          <w:szCs w:val="22"/>
        </w:rPr>
        <w:t xml:space="preserve">to </w:t>
      </w:r>
      <w:r w:rsidRPr="008551C5" w:rsidR="00714A5A">
        <w:rPr>
          <w:rFonts w:asciiTheme="minorHAnsi" w:hAnsiTheme="minorHAnsi" w:cstheme="minorHAnsi"/>
          <w:sz w:val="22"/>
          <w:szCs w:val="22"/>
        </w:rPr>
        <w:t>arrange appointments for interviews after the screener has been conducted</w:t>
      </w:r>
      <w:r w:rsidRPr="008551C5" w:rsidR="00247489">
        <w:rPr>
          <w:rFonts w:asciiTheme="minorHAnsi" w:hAnsiTheme="minorHAnsi" w:cstheme="minorHAnsi"/>
          <w:sz w:val="22"/>
          <w:szCs w:val="22"/>
        </w:rPr>
        <w:t xml:space="preserve">, and </w:t>
      </w:r>
      <w:r w:rsidRPr="008551C5" w:rsidR="007C08C5">
        <w:rPr>
          <w:rFonts w:asciiTheme="minorHAnsi" w:hAnsiTheme="minorHAnsi" w:cstheme="minorHAnsi"/>
          <w:sz w:val="22"/>
          <w:szCs w:val="22"/>
        </w:rPr>
        <w:t xml:space="preserve">telephone mode is permitted </w:t>
      </w:r>
      <w:r w:rsidRPr="008551C5" w:rsidR="00247489">
        <w:rPr>
          <w:rFonts w:asciiTheme="minorHAnsi" w:hAnsiTheme="minorHAnsi" w:cstheme="minorHAnsi"/>
          <w:sz w:val="22"/>
          <w:szCs w:val="22"/>
        </w:rPr>
        <w:t xml:space="preserve">for </w:t>
      </w:r>
      <w:r w:rsidRPr="008551C5" w:rsidR="00CF47AC">
        <w:rPr>
          <w:rFonts w:asciiTheme="minorHAnsi" w:hAnsiTheme="minorHAnsi" w:cstheme="minorHAnsi"/>
          <w:sz w:val="22"/>
          <w:szCs w:val="22"/>
        </w:rPr>
        <w:t xml:space="preserve">verification interviews </w:t>
      </w:r>
      <w:r w:rsidRPr="008551C5" w:rsidR="008D2912">
        <w:rPr>
          <w:rFonts w:asciiTheme="minorHAnsi" w:hAnsiTheme="minorHAnsi" w:cstheme="minorHAnsi"/>
          <w:b/>
          <w:sz w:val="22"/>
          <w:szCs w:val="22"/>
        </w:rPr>
        <w:t>(Attachment</w:t>
      </w:r>
      <w:r w:rsidRPr="008551C5" w:rsidR="00006F4F">
        <w:rPr>
          <w:rFonts w:asciiTheme="minorHAnsi" w:hAnsiTheme="minorHAnsi" w:cstheme="minorHAnsi"/>
          <w:b/>
          <w:sz w:val="22"/>
          <w:szCs w:val="22"/>
        </w:rPr>
        <w:t xml:space="preserve"> </w:t>
      </w:r>
      <w:r w:rsidRPr="008551C5" w:rsidR="005678B6">
        <w:rPr>
          <w:rFonts w:asciiTheme="minorHAnsi" w:hAnsiTheme="minorHAnsi" w:cstheme="minorHAnsi"/>
          <w:b/>
          <w:sz w:val="22"/>
          <w:szCs w:val="22"/>
        </w:rPr>
        <w:t>K</w:t>
      </w:r>
      <w:r w:rsidRPr="008551C5" w:rsidR="008D2912">
        <w:rPr>
          <w:rFonts w:asciiTheme="minorHAnsi" w:hAnsiTheme="minorHAnsi" w:cstheme="minorHAnsi"/>
          <w:b/>
          <w:sz w:val="22"/>
          <w:szCs w:val="22"/>
        </w:rPr>
        <w:t>)</w:t>
      </w:r>
      <w:r w:rsidRPr="008551C5" w:rsidR="008D2912">
        <w:rPr>
          <w:rFonts w:asciiTheme="minorHAnsi" w:hAnsiTheme="minorHAnsi" w:cstheme="minorHAnsi"/>
          <w:sz w:val="22"/>
          <w:szCs w:val="22"/>
        </w:rPr>
        <w:t xml:space="preserve"> </w:t>
      </w:r>
      <w:r w:rsidRPr="008551C5" w:rsidR="00CF47AC">
        <w:rPr>
          <w:rFonts w:asciiTheme="minorHAnsi" w:hAnsiTheme="minorHAnsi" w:cstheme="minorHAnsi"/>
          <w:sz w:val="22"/>
          <w:szCs w:val="22"/>
        </w:rPr>
        <w:t xml:space="preserve">to </w:t>
      </w:r>
      <w:r w:rsidRPr="008551C5" w:rsidR="00CC514F">
        <w:rPr>
          <w:rFonts w:asciiTheme="minorHAnsi" w:hAnsiTheme="minorHAnsi" w:cstheme="minorHAnsi"/>
          <w:sz w:val="22"/>
          <w:szCs w:val="22"/>
        </w:rPr>
        <w:t xml:space="preserve">ensure that the </w:t>
      </w:r>
      <w:r w:rsidRPr="008551C5" w:rsidR="007F15AA">
        <w:rPr>
          <w:rFonts w:asciiTheme="minorHAnsi" w:hAnsiTheme="minorHAnsi" w:cstheme="minorHAnsi"/>
          <w:sz w:val="22"/>
          <w:szCs w:val="22"/>
        </w:rPr>
        <w:t xml:space="preserve">household was screened and, if applicable, the </w:t>
      </w:r>
      <w:r w:rsidRPr="008551C5" w:rsidR="00F22A10">
        <w:rPr>
          <w:rFonts w:asciiTheme="minorHAnsi" w:hAnsiTheme="minorHAnsi" w:cstheme="minorHAnsi"/>
          <w:sz w:val="22"/>
          <w:szCs w:val="22"/>
        </w:rPr>
        <w:t>selected household member</w:t>
      </w:r>
      <w:r w:rsidRPr="008551C5" w:rsidR="00714A5A">
        <w:rPr>
          <w:rFonts w:asciiTheme="minorHAnsi" w:hAnsiTheme="minorHAnsi" w:cstheme="minorHAnsi"/>
          <w:sz w:val="22"/>
          <w:szCs w:val="22"/>
        </w:rPr>
        <w:t xml:space="preserve"> </w:t>
      </w:r>
      <w:r w:rsidRPr="008551C5" w:rsidR="007F15AA">
        <w:rPr>
          <w:rFonts w:asciiTheme="minorHAnsi" w:hAnsiTheme="minorHAnsi" w:cstheme="minorHAnsi"/>
          <w:sz w:val="22"/>
          <w:szCs w:val="22"/>
        </w:rPr>
        <w:t xml:space="preserve">completed an </w:t>
      </w:r>
      <w:r w:rsidRPr="008551C5" w:rsidR="00714A5A">
        <w:rPr>
          <w:rFonts w:asciiTheme="minorHAnsi" w:hAnsiTheme="minorHAnsi" w:cstheme="minorHAnsi"/>
          <w:sz w:val="22"/>
          <w:szCs w:val="22"/>
        </w:rPr>
        <w:t>interview</w:t>
      </w:r>
      <w:r w:rsidRPr="008551C5" w:rsidR="00CF47AC">
        <w:rPr>
          <w:rFonts w:asciiTheme="minorHAnsi" w:hAnsiTheme="minorHAnsi" w:cstheme="minorHAnsi"/>
          <w:sz w:val="22"/>
          <w:szCs w:val="22"/>
        </w:rPr>
        <w:t>.</w:t>
      </w:r>
      <w:r w:rsidRPr="008551C5" w:rsidR="00DD1204">
        <w:rPr>
          <w:rFonts w:asciiTheme="minorHAnsi" w:hAnsiTheme="minorHAnsi" w:cstheme="minorHAnsi"/>
          <w:sz w:val="22"/>
          <w:szCs w:val="22"/>
        </w:rPr>
        <w:t xml:space="preserve">  For </w:t>
      </w:r>
      <w:r w:rsidRPr="008551C5" w:rsidR="005678B6">
        <w:rPr>
          <w:rFonts w:asciiTheme="minorHAnsi" w:hAnsiTheme="minorHAnsi" w:cstheme="minorHAnsi"/>
          <w:sz w:val="22"/>
          <w:szCs w:val="22"/>
        </w:rPr>
        <w:t xml:space="preserve">contact procedures for </w:t>
      </w:r>
      <w:r w:rsidRPr="008551C5" w:rsidR="00DD1204">
        <w:rPr>
          <w:rFonts w:asciiTheme="minorHAnsi" w:hAnsiTheme="minorHAnsi" w:cstheme="minorHAnsi"/>
          <w:sz w:val="22"/>
          <w:szCs w:val="22"/>
        </w:rPr>
        <w:t xml:space="preserve">cases eligible for multimode, </w:t>
      </w:r>
      <w:r w:rsidRPr="008551C5" w:rsidR="000450D0">
        <w:rPr>
          <w:rFonts w:asciiTheme="minorHAnsi" w:hAnsiTheme="minorHAnsi" w:cstheme="minorHAnsi"/>
          <w:sz w:val="22"/>
          <w:szCs w:val="22"/>
        </w:rPr>
        <w:t>(</w:t>
      </w:r>
      <w:r w:rsidRPr="008551C5" w:rsidR="00DD1204">
        <w:rPr>
          <w:rFonts w:asciiTheme="minorHAnsi" w:hAnsiTheme="minorHAnsi" w:cstheme="minorHAnsi"/>
          <w:sz w:val="22"/>
          <w:szCs w:val="22"/>
        </w:rPr>
        <w:t xml:space="preserve">online </w:t>
      </w:r>
      <w:r w:rsidRPr="008551C5" w:rsidR="000450D0">
        <w:rPr>
          <w:rFonts w:asciiTheme="minorHAnsi" w:hAnsiTheme="minorHAnsi" w:cstheme="minorHAnsi"/>
          <w:sz w:val="22"/>
          <w:szCs w:val="22"/>
        </w:rPr>
        <w:t xml:space="preserve">survey with </w:t>
      </w:r>
      <w:r w:rsidRPr="008551C5" w:rsidR="00DD1204">
        <w:rPr>
          <w:rFonts w:asciiTheme="minorHAnsi" w:hAnsiTheme="minorHAnsi" w:cstheme="minorHAnsi"/>
          <w:sz w:val="22"/>
          <w:szCs w:val="22"/>
        </w:rPr>
        <w:t xml:space="preserve">FTF </w:t>
      </w:r>
      <w:r w:rsidRPr="008551C5" w:rsidR="00470C9D">
        <w:rPr>
          <w:rFonts w:asciiTheme="minorHAnsi" w:hAnsiTheme="minorHAnsi" w:cstheme="minorHAnsi"/>
          <w:sz w:val="22"/>
          <w:szCs w:val="22"/>
        </w:rPr>
        <w:t>follow-up</w:t>
      </w:r>
      <w:r w:rsidRPr="008551C5" w:rsidR="00DD1204">
        <w:rPr>
          <w:rFonts w:asciiTheme="minorHAnsi" w:hAnsiTheme="minorHAnsi" w:cstheme="minorHAnsi"/>
          <w:sz w:val="22"/>
          <w:szCs w:val="22"/>
        </w:rPr>
        <w:t xml:space="preserve">), see </w:t>
      </w:r>
      <w:r w:rsidRPr="008551C5" w:rsidR="0011126F">
        <w:rPr>
          <w:rFonts w:asciiTheme="minorHAnsi" w:hAnsiTheme="minorHAnsi" w:cstheme="minorHAnsi"/>
          <w:sz w:val="22"/>
          <w:szCs w:val="22"/>
        </w:rPr>
        <w:t>#3 in</w:t>
      </w:r>
      <w:r w:rsidRPr="008551C5" w:rsidR="00DD1204">
        <w:rPr>
          <w:rFonts w:asciiTheme="minorHAnsi" w:hAnsiTheme="minorHAnsi" w:cstheme="minorHAnsi"/>
          <w:sz w:val="22"/>
          <w:szCs w:val="22"/>
        </w:rPr>
        <w:t xml:space="preserve"> “Main </w:t>
      </w:r>
      <w:r w:rsidRPr="008551C5" w:rsidR="0061029B">
        <w:rPr>
          <w:rFonts w:asciiTheme="minorHAnsi" w:hAnsiTheme="minorHAnsi" w:cstheme="minorHAnsi"/>
          <w:sz w:val="22"/>
          <w:szCs w:val="22"/>
        </w:rPr>
        <w:t>s</w:t>
      </w:r>
      <w:r w:rsidRPr="008551C5" w:rsidR="00DD1204">
        <w:rPr>
          <w:rFonts w:asciiTheme="minorHAnsi" w:hAnsiTheme="minorHAnsi" w:cstheme="minorHAnsi"/>
          <w:sz w:val="22"/>
          <w:szCs w:val="22"/>
        </w:rPr>
        <w:t xml:space="preserve">teps in NSFG </w:t>
      </w:r>
      <w:r w:rsidRPr="008551C5" w:rsidR="0061029B">
        <w:rPr>
          <w:rFonts w:asciiTheme="minorHAnsi" w:hAnsiTheme="minorHAnsi" w:cstheme="minorHAnsi"/>
          <w:sz w:val="22"/>
          <w:szCs w:val="22"/>
        </w:rPr>
        <w:t>d</w:t>
      </w:r>
      <w:r w:rsidRPr="008551C5" w:rsidR="00026EE1">
        <w:rPr>
          <w:rFonts w:asciiTheme="minorHAnsi" w:hAnsiTheme="minorHAnsi" w:cstheme="minorHAnsi"/>
          <w:sz w:val="22"/>
          <w:szCs w:val="22"/>
        </w:rPr>
        <w:t xml:space="preserve">ata </w:t>
      </w:r>
      <w:r w:rsidRPr="008551C5" w:rsidR="0061029B">
        <w:rPr>
          <w:rFonts w:asciiTheme="minorHAnsi" w:hAnsiTheme="minorHAnsi" w:cstheme="minorHAnsi"/>
          <w:sz w:val="22"/>
          <w:szCs w:val="22"/>
        </w:rPr>
        <w:t>c</w:t>
      </w:r>
      <w:r w:rsidRPr="008551C5" w:rsidR="00026EE1">
        <w:rPr>
          <w:rFonts w:asciiTheme="minorHAnsi" w:hAnsiTheme="minorHAnsi" w:cstheme="minorHAnsi"/>
          <w:sz w:val="22"/>
          <w:szCs w:val="22"/>
        </w:rPr>
        <w:t>ollec</w:t>
      </w:r>
      <w:r w:rsidRPr="008551C5" w:rsidR="00921E25">
        <w:rPr>
          <w:rFonts w:asciiTheme="minorHAnsi" w:hAnsiTheme="minorHAnsi" w:cstheme="minorHAnsi"/>
          <w:sz w:val="22"/>
          <w:szCs w:val="22"/>
        </w:rPr>
        <w:t>t</w:t>
      </w:r>
      <w:r w:rsidRPr="008551C5" w:rsidR="00026EE1">
        <w:rPr>
          <w:rFonts w:asciiTheme="minorHAnsi" w:hAnsiTheme="minorHAnsi" w:cstheme="minorHAnsi"/>
          <w:sz w:val="22"/>
          <w:szCs w:val="22"/>
        </w:rPr>
        <w:t>ion</w:t>
      </w:r>
      <w:r w:rsidRPr="008551C5" w:rsidR="0011126F">
        <w:rPr>
          <w:rFonts w:asciiTheme="minorHAnsi" w:hAnsiTheme="minorHAnsi" w:cstheme="minorHAnsi"/>
          <w:sz w:val="22"/>
          <w:szCs w:val="22"/>
        </w:rPr>
        <w:t>.</w:t>
      </w:r>
      <w:r w:rsidRPr="008551C5" w:rsidR="00DD1204">
        <w:rPr>
          <w:rFonts w:asciiTheme="minorHAnsi" w:hAnsiTheme="minorHAnsi" w:cstheme="minorHAnsi"/>
          <w:sz w:val="22"/>
          <w:szCs w:val="22"/>
        </w:rPr>
        <w:t>”</w:t>
      </w:r>
    </w:p>
    <w:p w:rsidR="008F0C4D" w:rsidP="008F0C4D" w:rsidRDefault="008F0C4D" w14:paraId="293F214E" w14:textId="789E6EA0">
      <w:pPr>
        <w:pStyle w:val="Heading2"/>
        <w:ind w:firstLine="720"/>
        <w:rPr>
          <w:rFonts w:asciiTheme="minorHAnsi" w:hAnsiTheme="minorHAnsi" w:cstheme="minorHAnsi"/>
          <w:i w:val="0"/>
          <w:iCs w:val="0"/>
          <w:sz w:val="22"/>
          <w:szCs w:val="22"/>
        </w:rPr>
      </w:pPr>
      <w:bookmarkStart w:name="_Toc79140731" w:id="5"/>
      <w:r w:rsidRPr="008F0C4D">
        <w:rPr>
          <w:rFonts w:asciiTheme="minorHAnsi" w:hAnsiTheme="minorHAnsi" w:cstheme="minorHAnsi"/>
          <w:i w:val="0"/>
          <w:iCs w:val="0"/>
          <w:sz w:val="22"/>
          <w:szCs w:val="22"/>
        </w:rPr>
        <w:t>Study Design</w:t>
      </w:r>
      <w:bookmarkEnd w:id="5"/>
    </w:p>
    <w:p w:rsidR="00320D30" w:rsidP="003149DD" w:rsidRDefault="00320D30" w14:paraId="53FC39A6" w14:textId="77777777">
      <w:pPr>
        <w:widowControl/>
        <w:autoSpaceDE/>
        <w:autoSpaceDN/>
        <w:adjustRightInd/>
        <w:ind w:firstLine="720"/>
        <w:rPr>
          <w:rFonts w:asciiTheme="minorHAnsi" w:hAnsiTheme="minorHAnsi" w:eastAsiaTheme="minorHAnsi" w:cstheme="minorHAnsi"/>
          <w:sz w:val="22"/>
          <w:szCs w:val="22"/>
        </w:rPr>
      </w:pPr>
    </w:p>
    <w:p w:rsidRPr="003149DD" w:rsidR="003149DD" w:rsidP="003149DD" w:rsidRDefault="003149DD" w14:paraId="2D345BC5" w14:textId="25D0BD55">
      <w:pPr>
        <w:widowControl/>
        <w:autoSpaceDE/>
        <w:autoSpaceDN/>
        <w:adjustRightInd/>
        <w:ind w:firstLine="720"/>
        <w:rPr>
          <w:rFonts w:asciiTheme="minorHAnsi" w:hAnsiTheme="minorHAnsi" w:eastAsiaTheme="minorHAnsi" w:cstheme="minorHAnsi"/>
          <w:sz w:val="22"/>
          <w:szCs w:val="22"/>
        </w:rPr>
      </w:pPr>
      <w:r w:rsidRPr="003149DD">
        <w:rPr>
          <w:rFonts w:asciiTheme="minorHAnsi" w:hAnsiTheme="minorHAnsi" w:eastAsiaTheme="minorHAnsi" w:cstheme="minorHAnsi"/>
          <w:sz w:val="22"/>
          <w:szCs w:val="22"/>
        </w:rPr>
        <w:t>The 2022-2029 study design will include a multimode data collection, preceding FTF data collection with web screener and main survey data collection. The 2011-2019 design included two phases: FTF followed by FTF with additional tokens of appreciation for a subsample of nonrespondents. The 2022-2029 design has three phases: web (Phase 1), followed by FTF and web (Phase 2), followed by FTF with additional tokens of appreciation for a subsample of nonrespondents (Phase 3). A fourth phase (Phase 4) will be included in Quarters 1 and 2 of 2022 to evaluate nonresponse bias.</w:t>
      </w:r>
    </w:p>
    <w:p w:rsidRPr="003149DD" w:rsidR="003149DD" w:rsidP="003149DD" w:rsidRDefault="003149DD" w14:paraId="4CB152FB" w14:textId="77777777">
      <w:pPr>
        <w:widowControl/>
        <w:autoSpaceDE/>
        <w:autoSpaceDN/>
        <w:adjustRightInd/>
        <w:rPr>
          <w:rFonts w:asciiTheme="minorHAnsi" w:hAnsiTheme="minorHAnsi" w:eastAsiaTheme="minorHAnsi" w:cstheme="minorHAnsi"/>
          <w:sz w:val="22"/>
          <w:szCs w:val="22"/>
        </w:rPr>
      </w:pPr>
    </w:p>
    <w:p w:rsidRPr="003149DD" w:rsidR="003149DD" w:rsidP="003149DD" w:rsidRDefault="003149DD" w14:paraId="49C94CC9" w14:textId="515434C4">
      <w:pPr>
        <w:widowControl/>
        <w:tabs>
          <w:tab w:val="left" w:pos="720"/>
        </w:tabs>
        <w:autoSpaceDE/>
        <w:autoSpaceDN/>
        <w:adjustRightInd/>
        <w:rPr>
          <w:rFonts w:asciiTheme="minorHAnsi" w:hAnsiTheme="minorHAnsi" w:eastAsiaTheme="minorHAnsi" w:cstheme="minorHAnsi"/>
          <w:sz w:val="22"/>
          <w:szCs w:val="22"/>
        </w:rPr>
      </w:pPr>
      <w:r w:rsidRPr="003149DD">
        <w:rPr>
          <w:rFonts w:asciiTheme="minorHAnsi" w:hAnsiTheme="minorHAnsi" w:eastAsiaTheme="minorHAnsi" w:cstheme="minorHAnsi"/>
          <w:sz w:val="22"/>
          <w:szCs w:val="22"/>
        </w:rPr>
        <w:tab/>
        <w:t xml:space="preserve">To allow sufficient time to work the quarterly samples, and to provide continuous work to interviewers, the data collection for Phase 1 and Phase 3 is allowed to overlap between quarters, i.e., Phase 3 of Quarter 1 (FTF with increased tokens of appreciation) is conducted at the same time as Phase 1 of Quarter 2 (web). Similarly, Phase 4 (1-page mail survey; </w:t>
      </w:r>
      <w:r w:rsidRPr="003149DD">
        <w:rPr>
          <w:rFonts w:asciiTheme="minorHAnsi" w:hAnsiTheme="minorHAnsi" w:eastAsiaTheme="minorHAnsi" w:cstheme="minorHAnsi"/>
          <w:b/>
          <w:bCs/>
          <w:sz w:val="22"/>
          <w:szCs w:val="22"/>
        </w:rPr>
        <w:t xml:space="preserve">Attachment </w:t>
      </w:r>
      <w:r w:rsidR="00320D30">
        <w:rPr>
          <w:rFonts w:asciiTheme="minorHAnsi" w:hAnsiTheme="minorHAnsi" w:eastAsiaTheme="minorHAnsi" w:cstheme="minorHAnsi"/>
          <w:b/>
          <w:bCs/>
          <w:sz w:val="22"/>
          <w:szCs w:val="22"/>
        </w:rPr>
        <w:t>N3</w:t>
      </w:r>
      <w:r w:rsidRPr="003149DD">
        <w:rPr>
          <w:rFonts w:asciiTheme="minorHAnsi" w:hAnsiTheme="minorHAnsi" w:eastAsiaTheme="minorHAnsi" w:cstheme="minorHAnsi"/>
          <w:sz w:val="22"/>
          <w:szCs w:val="22"/>
        </w:rPr>
        <w:t>) is conducted when FTF data collection has started for the following quarter. These phases and their overlap are shown in Figure 1, for the first two quarters of data collection.</w:t>
      </w:r>
    </w:p>
    <w:p w:rsidRPr="003149DD" w:rsidR="003149DD" w:rsidP="003149DD" w:rsidRDefault="003149DD" w14:paraId="4A93A08C" w14:textId="77777777">
      <w:pPr>
        <w:widowControl/>
        <w:autoSpaceDE/>
        <w:autoSpaceDN/>
        <w:adjustRightInd/>
        <w:rPr>
          <w:rFonts w:asciiTheme="minorHAnsi" w:hAnsiTheme="minorHAnsi" w:eastAsiaTheme="minorHAnsi" w:cstheme="minorHAnsi"/>
          <w:sz w:val="22"/>
          <w:szCs w:val="22"/>
        </w:rPr>
      </w:pPr>
    </w:p>
    <w:p w:rsidRPr="003149DD" w:rsidR="003149DD" w:rsidP="003149DD" w:rsidRDefault="003149DD" w14:paraId="1C82F96C" w14:textId="77777777">
      <w:pPr>
        <w:autoSpaceDE/>
        <w:autoSpaceDN/>
        <w:adjustRightInd/>
        <w:ind w:left="100"/>
        <w:rPr>
          <w:rFonts w:eastAsia="Garamond" w:asciiTheme="minorHAnsi" w:hAnsiTheme="minorHAnsi" w:cstheme="minorHAnsi"/>
          <w:sz w:val="22"/>
          <w:szCs w:val="22"/>
        </w:rPr>
      </w:pPr>
      <w:r w:rsidRPr="003149DD">
        <w:rPr>
          <w:rFonts w:eastAsia="Garamond" w:asciiTheme="minorHAnsi" w:hAnsiTheme="minorHAnsi" w:cstheme="minorHAnsi"/>
          <w:noProof/>
          <w:sz w:val="22"/>
          <w:szCs w:val="22"/>
        </w:rPr>
        <w:drawing>
          <wp:inline distT="0" distB="0" distL="0" distR="0" wp14:anchorId="482B5003" wp14:editId="40A9501E">
            <wp:extent cx="5943600" cy="1386840"/>
            <wp:effectExtent l="0" t="0" r="0" b="0"/>
            <wp:docPr id="1" name="Picture 1" descr="Chart, timeline,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timeline, bar chart, waterfall chart&#10;&#10;Description automatically generated"/>
                    <pic:cNvPicPr/>
                  </pic:nvPicPr>
                  <pic:blipFill>
                    <a:blip r:embed="rId10"/>
                    <a:stretch>
                      <a:fillRect/>
                    </a:stretch>
                  </pic:blipFill>
                  <pic:spPr>
                    <a:xfrm>
                      <a:off x="0" y="0"/>
                      <a:ext cx="5943600" cy="1386840"/>
                    </a:xfrm>
                    <a:prstGeom prst="rect">
                      <a:avLst/>
                    </a:prstGeom>
                  </pic:spPr>
                </pic:pic>
              </a:graphicData>
            </a:graphic>
          </wp:inline>
        </w:drawing>
      </w:r>
    </w:p>
    <w:p w:rsidRPr="003149DD" w:rsidR="003149DD" w:rsidP="00320D30" w:rsidRDefault="003149DD" w14:paraId="67A7608D" w14:textId="64ACB979">
      <w:pPr>
        <w:keepNext/>
        <w:keepLines/>
        <w:widowControl/>
        <w:autoSpaceDE/>
        <w:autoSpaceDN/>
        <w:adjustRightInd/>
        <w:spacing w:after="60"/>
        <w:ind w:left="1267" w:hanging="1167"/>
        <w:rPr>
          <w:rFonts w:asciiTheme="minorHAnsi" w:hAnsiTheme="minorHAnsi" w:cstheme="minorHAnsi"/>
          <w:b/>
          <w:bCs/>
          <w:sz w:val="18"/>
          <w:szCs w:val="18"/>
        </w:rPr>
      </w:pPr>
      <w:r w:rsidRPr="003149DD">
        <w:rPr>
          <w:rFonts w:asciiTheme="minorHAnsi" w:hAnsiTheme="minorHAnsi" w:cstheme="minorHAnsi"/>
          <w:b/>
          <w:bCs/>
          <w:sz w:val="18"/>
          <w:szCs w:val="18"/>
        </w:rPr>
        <w:t xml:space="preserve">Figure 1. </w:t>
      </w:r>
      <w:r w:rsidRPr="003149DD">
        <w:rPr>
          <w:rFonts w:asciiTheme="minorHAnsi" w:hAnsiTheme="minorHAnsi" w:cstheme="minorHAnsi"/>
          <w:b/>
          <w:bCs/>
          <w:sz w:val="18"/>
          <w:szCs w:val="18"/>
        </w:rPr>
        <w:tab/>
        <w:t>Multimode Design in Quarters 1 and 2 of 2022</w:t>
      </w:r>
      <w:r w:rsidR="00A3238D">
        <w:rPr>
          <w:rFonts w:asciiTheme="minorHAnsi" w:hAnsiTheme="minorHAnsi" w:cstheme="minorHAnsi"/>
          <w:b/>
          <w:bCs/>
          <w:sz w:val="18"/>
          <w:szCs w:val="18"/>
        </w:rPr>
        <w:t xml:space="preserve"> in the Continuous 2022-2029 design</w:t>
      </w:r>
      <w:r w:rsidRPr="003149DD">
        <w:rPr>
          <w:rFonts w:asciiTheme="minorHAnsi" w:hAnsiTheme="minorHAnsi" w:cstheme="minorHAnsi"/>
          <w:b/>
          <w:bCs/>
          <w:sz w:val="18"/>
          <w:szCs w:val="18"/>
        </w:rPr>
        <w:t>.</w:t>
      </w:r>
    </w:p>
    <w:p w:rsidR="003149DD" w:rsidP="003149DD" w:rsidRDefault="003149DD" w14:paraId="1B2FE388" w14:textId="26792CEE">
      <w:pPr>
        <w:keepNext/>
        <w:outlineLvl w:val="1"/>
        <w:rPr>
          <w:rFonts w:asciiTheme="minorHAnsi" w:hAnsiTheme="minorHAnsi" w:cstheme="minorHAnsi"/>
          <w:sz w:val="22"/>
          <w:szCs w:val="22"/>
        </w:rPr>
      </w:pPr>
    </w:p>
    <w:p w:rsidR="00A3238D" w:rsidP="00A3238D" w:rsidRDefault="00A3238D" w14:paraId="26797820" w14:textId="2B826BF1">
      <w:pPr>
        <w:widowControl/>
        <w:autoSpaceDE/>
        <w:autoSpaceDN/>
        <w:adjustRightInd/>
        <w:ind w:firstLine="720"/>
        <w:rPr>
          <w:rFonts w:asciiTheme="minorHAnsi" w:hAnsiTheme="minorHAnsi" w:eastAsiaTheme="minorHAnsi" w:cstheme="minorHAnsi"/>
          <w:sz w:val="22"/>
          <w:szCs w:val="22"/>
        </w:rPr>
      </w:pPr>
      <w:r>
        <w:rPr>
          <w:rFonts w:asciiTheme="minorHAnsi" w:hAnsiTheme="minorHAnsi" w:eastAsiaTheme="minorHAnsi" w:cstheme="minorHAnsi"/>
          <w:sz w:val="22"/>
          <w:szCs w:val="22"/>
        </w:rPr>
        <w:t>In addition, a</w:t>
      </w:r>
      <w:r w:rsidRPr="006912A6">
        <w:rPr>
          <w:rFonts w:asciiTheme="minorHAnsi" w:hAnsiTheme="minorHAnsi" w:eastAsiaTheme="minorHAnsi" w:cstheme="minorHAnsi"/>
          <w:sz w:val="22"/>
          <w:szCs w:val="22"/>
        </w:rPr>
        <w:t>n experiment comparing multi-mode to FTF-only will be conducted in Q</w:t>
      </w:r>
      <w:r>
        <w:rPr>
          <w:rFonts w:asciiTheme="minorHAnsi" w:hAnsiTheme="minorHAnsi" w:eastAsiaTheme="minorHAnsi" w:cstheme="minorHAnsi"/>
          <w:sz w:val="22"/>
          <w:szCs w:val="22"/>
        </w:rPr>
        <w:t>uarter</w:t>
      </w:r>
      <w:r w:rsidRPr="006912A6">
        <w:rPr>
          <w:rFonts w:asciiTheme="minorHAnsi" w:hAnsiTheme="minorHAnsi" w:eastAsiaTheme="minorHAnsi" w:cstheme="minorHAnsi"/>
          <w:sz w:val="22"/>
          <w:szCs w:val="22"/>
        </w:rPr>
        <w:t>s 1 and 2 (see Section 4).  Beginning in Q</w:t>
      </w:r>
      <w:r>
        <w:rPr>
          <w:rFonts w:asciiTheme="minorHAnsi" w:hAnsiTheme="minorHAnsi" w:eastAsiaTheme="minorHAnsi" w:cstheme="minorHAnsi"/>
          <w:sz w:val="22"/>
          <w:szCs w:val="22"/>
        </w:rPr>
        <w:t xml:space="preserve">uarter </w:t>
      </w:r>
      <w:r w:rsidRPr="006912A6">
        <w:rPr>
          <w:rFonts w:asciiTheme="minorHAnsi" w:hAnsiTheme="minorHAnsi" w:eastAsiaTheme="minorHAnsi" w:cstheme="minorHAnsi"/>
          <w:sz w:val="22"/>
          <w:szCs w:val="22"/>
        </w:rPr>
        <w:t>3, the data collection will proceed with the multimode design, informed by the experimental results.</w:t>
      </w:r>
    </w:p>
    <w:p w:rsidRPr="003149DD" w:rsidR="00A3238D" w:rsidP="003149DD" w:rsidRDefault="00A3238D" w14:paraId="11BD6541" w14:textId="1D022BA2">
      <w:pPr>
        <w:keepNext/>
        <w:outlineLvl w:val="1"/>
        <w:rPr>
          <w:rFonts w:asciiTheme="minorHAnsi" w:hAnsiTheme="minorHAnsi" w:cstheme="minorHAnsi"/>
          <w:sz w:val="22"/>
          <w:szCs w:val="22"/>
        </w:rPr>
      </w:pPr>
    </w:p>
    <w:p w:rsidRPr="008551C5" w:rsidR="00714A5A" w:rsidP="00E84D33" w:rsidRDefault="00714A5A" w14:paraId="0C3E6DD6" w14:textId="29148F53">
      <w:pPr>
        <w:pStyle w:val="Heading1"/>
        <w:rPr>
          <w:rFonts w:asciiTheme="minorHAnsi" w:hAnsiTheme="minorHAnsi" w:cstheme="minorHAnsi"/>
          <w:b/>
          <w:color w:val="auto"/>
          <w:sz w:val="22"/>
          <w:szCs w:val="22"/>
        </w:rPr>
      </w:pPr>
      <w:bookmarkStart w:name="_Toc79140732" w:id="6"/>
      <w:r w:rsidRPr="008551C5">
        <w:rPr>
          <w:rFonts w:asciiTheme="minorHAnsi" w:hAnsiTheme="minorHAnsi" w:cstheme="minorHAnsi"/>
          <w:b/>
          <w:color w:val="auto"/>
          <w:sz w:val="22"/>
          <w:szCs w:val="22"/>
        </w:rPr>
        <w:t>2.  Procedures</w:t>
      </w:r>
      <w:r w:rsidRPr="008551C5" w:rsidR="000B0A49">
        <w:rPr>
          <w:rFonts w:asciiTheme="minorHAnsi" w:hAnsiTheme="minorHAnsi" w:cstheme="minorHAnsi"/>
          <w:b/>
          <w:color w:val="auto"/>
          <w:sz w:val="22"/>
          <w:szCs w:val="22"/>
        </w:rPr>
        <w:t xml:space="preserve"> for the Collection of Information</w:t>
      </w:r>
      <w:bookmarkEnd w:id="6"/>
    </w:p>
    <w:p w:rsidRPr="008551C5" w:rsidR="005A022C" w:rsidP="00195837" w:rsidRDefault="005A022C" w14:paraId="520851C7" w14:textId="77777777">
      <w:pPr>
        <w:rPr>
          <w:rFonts w:asciiTheme="minorHAnsi" w:hAnsiTheme="minorHAnsi" w:cstheme="minorHAnsi"/>
          <w:sz w:val="22"/>
          <w:szCs w:val="22"/>
        </w:rPr>
      </w:pPr>
    </w:p>
    <w:p w:rsidRPr="008551C5" w:rsidR="00A03734" w:rsidP="0012018C" w:rsidRDefault="00714A5A" w14:paraId="029474CC" w14:textId="69DEF1C7">
      <w:pPr>
        <w:ind w:firstLine="720"/>
        <w:rPr>
          <w:rFonts w:asciiTheme="minorHAnsi" w:hAnsiTheme="minorHAnsi" w:cstheme="minorHAnsi"/>
          <w:b/>
          <w:bCs/>
          <w:sz w:val="22"/>
          <w:szCs w:val="22"/>
        </w:rPr>
      </w:pPr>
      <w:r w:rsidRPr="008551C5">
        <w:rPr>
          <w:rFonts w:asciiTheme="minorHAnsi" w:hAnsiTheme="minorHAnsi" w:cstheme="minorHAnsi"/>
          <w:sz w:val="22"/>
          <w:szCs w:val="22"/>
        </w:rPr>
        <w:t xml:space="preserve">The </w:t>
      </w:r>
      <w:r w:rsidRPr="008551C5" w:rsidR="003606BC">
        <w:rPr>
          <w:rFonts w:asciiTheme="minorHAnsi" w:hAnsiTheme="minorHAnsi" w:cstheme="minorHAnsi"/>
          <w:sz w:val="22"/>
          <w:szCs w:val="22"/>
        </w:rPr>
        <w:t>s</w:t>
      </w:r>
      <w:r w:rsidRPr="008551C5">
        <w:rPr>
          <w:rFonts w:asciiTheme="minorHAnsi" w:hAnsiTheme="minorHAnsi" w:cstheme="minorHAnsi"/>
          <w:sz w:val="22"/>
          <w:szCs w:val="22"/>
        </w:rPr>
        <w:t xml:space="preserve">ample size targets </w:t>
      </w:r>
      <w:r w:rsidRPr="008551C5" w:rsidR="00306B17">
        <w:rPr>
          <w:rFonts w:asciiTheme="minorHAnsi" w:hAnsiTheme="minorHAnsi" w:cstheme="minorHAnsi"/>
          <w:sz w:val="22"/>
          <w:szCs w:val="22"/>
        </w:rPr>
        <w:t xml:space="preserve">for the </w:t>
      </w:r>
      <w:r w:rsidRPr="008551C5" w:rsidR="00E9530D">
        <w:rPr>
          <w:rFonts w:asciiTheme="minorHAnsi" w:hAnsiTheme="minorHAnsi" w:cstheme="minorHAnsi"/>
          <w:sz w:val="22"/>
          <w:szCs w:val="22"/>
        </w:rPr>
        <w:t xml:space="preserve">first 4 years of </w:t>
      </w:r>
      <w:r w:rsidRPr="008551C5" w:rsidR="00722393">
        <w:rPr>
          <w:rFonts w:asciiTheme="minorHAnsi" w:hAnsiTheme="minorHAnsi" w:cstheme="minorHAnsi"/>
          <w:sz w:val="22"/>
          <w:szCs w:val="22"/>
        </w:rPr>
        <w:t>NSFG data collection for 2</w:t>
      </w:r>
      <w:r w:rsidRPr="008551C5" w:rsidR="006A1922">
        <w:rPr>
          <w:rFonts w:asciiTheme="minorHAnsi" w:hAnsiTheme="minorHAnsi" w:cstheme="minorHAnsi"/>
          <w:sz w:val="22"/>
          <w:szCs w:val="22"/>
        </w:rPr>
        <w:t>022-2029</w:t>
      </w:r>
      <w:r w:rsidRPr="008551C5" w:rsidR="00E9530D">
        <w:rPr>
          <w:rFonts w:asciiTheme="minorHAnsi" w:hAnsiTheme="minorHAnsi" w:cstheme="minorHAnsi"/>
          <w:sz w:val="22"/>
          <w:szCs w:val="22"/>
        </w:rPr>
        <w:t>, along with sample sizes from the prior two 4-year fieldwork periods</w:t>
      </w:r>
      <w:r w:rsidRPr="008551C5" w:rsidR="006A1922">
        <w:rPr>
          <w:rFonts w:asciiTheme="minorHAnsi" w:hAnsiTheme="minorHAnsi" w:cstheme="minorHAnsi"/>
          <w:sz w:val="22"/>
          <w:szCs w:val="22"/>
        </w:rPr>
        <w:t xml:space="preserve"> </w:t>
      </w:r>
      <w:r w:rsidRPr="008551C5">
        <w:rPr>
          <w:rFonts w:asciiTheme="minorHAnsi" w:hAnsiTheme="minorHAnsi" w:cstheme="minorHAnsi"/>
          <w:sz w:val="22"/>
          <w:szCs w:val="22"/>
        </w:rPr>
        <w:t>are as follows:</w:t>
      </w:r>
      <w:r w:rsidRPr="008551C5" w:rsidR="00D44B00">
        <w:rPr>
          <w:rFonts w:asciiTheme="minorHAnsi" w:hAnsiTheme="minorHAnsi" w:cstheme="minorHAnsi"/>
          <w:sz w:val="22"/>
          <w:szCs w:val="22"/>
        </w:rPr>
        <w:t xml:space="preserve"> </w:t>
      </w:r>
      <w:r w:rsidRPr="008551C5" w:rsidR="002F2688">
        <w:rPr>
          <w:rFonts w:asciiTheme="minorHAnsi" w:hAnsiTheme="minorHAnsi" w:cstheme="minorHAnsi"/>
          <w:sz w:val="22"/>
          <w:szCs w:val="22"/>
        </w:rPr>
        <w:tab/>
      </w:r>
      <w:r w:rsidRPr="008551C5" w:rsidR="00E9530D">
        <w:rPr>
          <w:rFonts w:asciiTheme="minorHAnsi" w:hAnsiTheme="minorHAnsi" w:cstheme="minorHAnsi"/>
          <w:b/>
          <w:bCs/>
          <w:sz w:val="22"/>
          <w:szCs w:val="22"/>
        </w:rPr>
        <w:t xml:space="preserve"> </w:t>
      </w:r>
    </w:p>
    <w:p w:rsidRPr="008551C5" w:rsidR="00026EE1" w:rsidP="00026EE1" w:rsidRDefault="00026EE1" w14:paraId="70700641" w14:textId="77777777">
      <w:pPr>
        <w:ind w:firstLine="720"/>
        <w:rPr>
          <w:rFonts w:asciiTheme="minorHAnsi" w:hAnsiTheme="minorHAnsi" w:cstheme="minorHAnsi"/>
          <w:b/>
          <w:bCs/>
          <w:sz w:val="22"/>
          <w:szCs w:val="22"/>
        </w:rPr>
      </w:pPr>
    </w:p>
    <w:p w:rsidRPr="008551C5" w:rsidR="00E9530D" w:rsidP="00824B3F" w:rsidRDefault="00824B3F" w14:paraId="38B33C63" w14:textId="4D28F6FD">
      <w:pPr>
        <w:rPr>
          <w:rFonts w:asciiTheme="minorHAnsi" w:hAnsiTheme="minorHAnsi" w:cstheme="minorHAnsi"/>
          <w:b/>
          <w:bCs/>
          <w:sz w:val="22"/>
          <w:szCs w:val="22"/>
        </w:rPr>
      </w:pPr>
      <w:r w:rsidRPr="008551C5">
        <w:rPr>
          <w:rFonts w:asciiTheme="minorHAnsi" w:hAnsiTheme="minorHAnsi" w:cstheme="minorHAnsi"/>
          <w:b/>
          <w:bCs/>
          <w:sz w:val="22"/>
          <w:szCs w:val="22"/>
        </w:rPr>
        <w:t>S</w:t>
      </w:r>
      <w:r w:rsidRPr="008551C5" w:rsidR="00E9530D">
        <w:rPr>
          <w:rFonts w:asciiTheme="minorHAnsi" w:hAnsiTheme="minorHAnsi" w:cstheme="minorHAnsi"/>
          <w:b/>
          <w:bCs/>
          <w:sz w:val="22"/>
          <w:szCs w:val="22"/>
        </w:rPr>
        <w:t>ample Size Targets for first 4 years of NSFG 2022-2029,</w:t>
      </w:r>
    </w:p>
    <w:p w:rsidRPr="008551C5" w:rsidR="00E9530D" w:rsidP="00824B3F" w:rsidRDefault="00E9530D" w14:paraId="7E9CAD8D" w14:textId="4536972F">
      <w:pPr>
        <w:rPr>
          <w:rFonts w:asciiTheme="minorHAnsi" w:hAnsiTheme="minorHAnsi" w:cstheme="minorHAnsi"/>
          <w:i/>
          <w:sz w:val="22"/>
          <w:szCs w:val="22"/>
        </w:rPr>
      </w:pPr>
      <w:r w:rsidRPr="008551C5">
        <w:rPr>
          <w:rFonts w:asciiTheme="minorHAnsi" w:hAnsiTheme="minorHAnsi" w:cstheme="minorHAnsi"/>
          <w:b/>
          <w:bCs/>
          <w:sz w:val="22"/>
          <w:szCs w:val="22"/>
        </w:rPr>
        <w:t>with 2006-10, 2011-15 and 2015-2019 sample sizes shown for comparison</w:t>
      </w:r>
    </w:p>
    <w:tbl>
      <w:tblPr>
        <w:tblW w:w="7200" w:type="dxa"/>
        <w:tblLook w:val="04A0" w:firstRow="1" w:lastRow="0" w:firstColumn="1" w:lastColumn="0" w:noHBand="0" w:noVBand="1"/>
      </w:tblPr>
      <w:tblGrid>
        <w:gridCol w:w="1620"/>
        <w:gridCol w:w="1186"/>
        <w:gridCol w:w="1187"/>
        <w:gridCol w:w="1187"/>
        <w:gridCol w:w="2020"/>
      </w:tblGrid>
      <w:tr w:rsidRPr="008551C5" w:rsidR="00824B3F" w:rsidTr="00824B3F" w14:paraId="43CFAC7C" w14:textId="77777777">
        <w:trPr>
          <w:trHeight w:val="1040"/>
        </w:trPr>
        <w:tc>
          <w:tcPr>
            <w:tcW w:w="1620" w:type="dxa"/>
            <w:tcBorders>
              <w:top w:val="nil"/>
              <w:left w:val="nil"/>
              <w:bottom w:val="nil"/>
              <w:right w:val="nil"/>
            </w:tcBorders>
            <w:shd w:val="clear" w:color="auto" w:fill="auto"/>
            <w:noWrap/>
            <w:vAlign w:val="bottom"/>
            <w:hideMark/>
          </w:tcPr>
          <w:p w:rsidRPr="008551C5" w:rsidR="00824B3F" w:rsidP="00824B3F" w:rsidRDefault="00824B3F" w14:paraId="62E7CB71" w14:textId="77777777">
            <w:pPr>
              <w:widowControl/>
              <w:autoSpaceDE/>
              <w:autoSpaceDN/>
              <w:adjustRightInd/>
              <w:rPr>
                <w:rFonts w:asciiTheme="minorHAnsi" w:hAnsiTheme="minorHAnsi" w:cstheme="minorHAnsi"/>
                <w:sz w:val="22"/>
                <w:szCs w:val="22"/>
              </w:rPr>
            </w:pPr>
          </w:p>
        </w:tc>
        <w:tc>
          <w:tcPr>
            <w:tcW w:w="356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8551C5" w:rsidR="00824B3F" w:rsidP="00824B3F" w:rsidRDefault="00824B3F" w14:paraId="71748989" w14:textId="77777777">
            <w:pPr>
              <w:widowControl/>
              <w:autoSpaceDE/>
              <w:autoSpaceDN/>
              <w:adjustRightInd/>
              <w:jc w:val="center"/>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Previous 4-year periods of NSFG fieldwork</w:t>
            </w:r>
          </w:p>
        </w:tc>
        <w:tc>
          <w:tcPr>
            <w:tcW w:w="2020" w:type="dxa"/>
            <w:tcBorders>
              <w:top w:val="single" w:color="auto" w:sz="4" w:space="0"/>
              <w:left w:val="nil"/>
              <w:bottom w:val="single" w:color="auto" w:sz="4" w:space="0"/>
              <w:right w:val="single" w:color="auto" w:sz="4" w:space="0"/>
            </w:tcBorders>
            <w:shd w:val="clear" w:color="auto" w:fill="auto"/>
            <w:vAlign w:val="center"/>
            <w:hideMark/>
          </w:tcPr>
          <w:p w:rsidRPr="008551C5" w:rsidR="00824B3F" w:rsidP="00824B3F" w:rsidRDefault="00824B3F" w14:paraId="1ECD44A8" w14:textId="77777777">
            <w:pPr>
              <w:widowControl/>
              <w:autoSpaceDE/>
              <w:autoSpaceDN/>
              <w:adjustRightInd/>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Expected sample size for first 4 years*</w:t>
            </w:r>
          </w:p>
        </w:tc>
      </w:tr>
      <w:tr w:rsidRPr="008551C5" w:rsidR="00824B3F" w:rsidTr="00824B3F" w14:paraId="0D3F3A3E" w14:textId="77777777">
        <w:trPr>
          <w:trHeight w:val="370"/>
        </w:trPr>
        <w:tc>
          <w:tcPr>
            <w:tcW w:w="1620" w:type="dxa"/>
            <w:tcBorders>
              <w:top w:val="nil"/>
              <w:left w:val="nil"/>
              <w:bottom w:val="nil"/>
              <w:right w:val="nil"/>
            </w:tcBorders>
            <w:shd w:val="clear" w:color="auto" w:fill="auto"/>
            <w:noWrap/>
            <w:vAlign w:val="bottom"/>
            <w:hideMark/>
          </w:tcPr>
          <w:p w:rsidRPr="008551C5" w:rsidR="00824B3F" w:rsidP="00824B3F" w:rsidRDefault="00824B3F" w14:paraId="1118E784" w14:textId="77777777">
            <w:pPr>
              <w:widowControl/>
              <w:autoSpaceDE/>
              <w:autoSpaceDN/>
              <w:adjustRightInd/>
              <w:rPr>
                <w:rFonts w:asciiTheme="minorHAnsi" w:hAnsiTheme="minorHAnsi" w:cstheme="minorHAnsi"/>
                <w:b/>
                <w:bCs/>
                <w:color w:val="000000"/>
                <w:sz w:val="22"/>
                <w:szCs w:val="22"/>
              </w:rPr>
            </w:pPr>
          </w:p>
        </w:tc>
        <w:tc>
          <w:tcPr>
            <w:tcW w:w="1186" w:type="dxa"/>
            <w:tcBorders>
              <w:top w:val="nil"/>
              <w:left w:val="single" w:color="auto" w:sz="4" w:space="0"/>
              <w:bottom w:val="nil"/>
              <w:right w:val="single" w:color="auto" w:sz="4" w:space="0"/>
            </w:tcBorders>
            <w:shd w:val="clear" w:color="auto" w:fill="auto"/>
            <w:noWrap/>
            <w:vAlign w:val="bottom"/>
            <w:hideMark/>
          </w:tcPr>
          <w:p w:rsidRPr="008551C5" w:rsidR="00824B3F" w:rsidP="00824B3F" w:rsidRDefault="00824B3F" w14:paraId="03767DF6" w14:textId="77777777">
            <w:pPr>
              <w:widowControl/>
              <w:autoSpaceDE/>
              <w:autoSpaceDN/>
              <w:adjustRightInd/>
              <w:jc w:val="right"/>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2006-2010</w:t>
            </w:r>
          </w:p>
        </w:tc>
        <w:tc>
          <w:tcPr>
            <w:tcW w:w="1187" w:type="dxa"/>
            <w:tcBorders>
              <w:top w:val="nil"/>
              <w:left w:val="nil"/>
              <w:bottom w:val="nil"/>
              <w:right w:val="single" w:color="auto" w:sz="4" w:space="0"/>
            </w:tcBorders>
            <w:shd w:val="clear" w:color="auto" w:fill="auto"/>
            <w:noWrap/>
            <w:vAlign w:val="bottom"/>
            <w:hideMark/>
          </w:tcPr>
          <w:p w:rsidRPr="008551C5" w:rsidR="00824B3F" w:rsidP="00824B3F" w:rsidRDefault="00824B3F" w14:paraId="73CAF306" w14:textId="77777777">
            <w:pPr>
              <w:widowControl/>
              <w:autoSpaceDE/>
              <w:autoSpaceDN/>
              <w:adjustRightInd/>
              <w:jc w:val="right"/>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2011-2015</w:t>
            </w:r>
          </w:p>
        </w:tc>
        <w:tc>
          <w:tcPr>
            <w:tcW w:w="1187" w:type="dxa"/>
            <w:tcBorders>
              <w:top w:val="nil"/>
              <w:left w:val="nil"/>
              <w:bottom w:val="nil"/>
              <w:right w:val="single" w:color="auto" w:sz="4" w:space="0"/>
            </w:tcBorders>
            <w:shd w:val="clear" w:color="auto" w:fill="auto"/>
            <w:noWrap/>
            <w:vAlign w:val="bottom"/>
            <w:hideMark/>
          </w:tcPr>
          <w:p w:rsidRPr="008551C5" w:rsidR="00824B3F" w:rsidP="00824B3F" w:rsidRDefault="00824B3F" w14:paraId="4BDA10E9" w14:textId="77777777">
            <w:pPr>
              <w:widowControl/>
              <w:autoSpaceDE/>
              <w:autoSpaceDN/>
              <w:adjustRightInd/>
              <w:jc w:val="right"/>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2015-2019</w:t>
            </w:r>
          </w:p>
        </w:tc>
        <w:tc>
          <w:tcPr>
            <w:tcW w:w="2020" w:type="dxa"/>
            <w:tcBorders>
              <w:top w:val="nil"/>
              <w:left w:val="nil"/>
              <w:bottom w:val="nil"/>
              <w:right w:val="single" w:color="auto" w:sz="4" w:space="0"/>
            </w:tcBorders>
            <w:shd w:val="clear" w:color="auto" w:fill="auto"/>
            <w:noWrap/>
            <w:vAlign w:val="bottom"/>
            <w:hideMark/>
          </w:tcPr>
          <w:p w:rsidRPr="008551C5" w:rsidR="00824B3F" w:rsidP="00824B3F" w:rsidRDefault="00824B3F" w14:paraId="07C78B7F" w14:textId="77777777">
            <w:pPr>
              <w:widowControl/>
              <w:autoSpaceDE/>
              <w:autoSpaceDN/>
              <w:adjustRightInd/>
              <w:jc w:val="right"/>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2022-2025</w:t>
            </w:r>
          </w:p>
        </w:tc>
      </w:tr>
      <w:tr w:rsidRPr="008551C5" w:rsidR="00824B3F" w:rsidTr="00824B3F" w14:paraId="7EC890CD"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4DAA0B5A"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TOTAL</w:t>
            </w:r>
          </w:p>
        </w:tc>
        <w:tc>
          <w:tcPr>
            <w:tcW w:w="1186" w:type="dxa"/>
            <w:tcBorders>
              <w:top w:val="single" w:color="auto" w:sz="4" w:space="0"/>
              <w:left w:val="nil"/>
              <w:bottom w:val="single" w:color="auto" w:sz="4" w:space="0"/>
              <w:right w:val="single" w:color="auto" w:sz="4" w:space="0"/>
            </w:tcBorders>
            <w:shd w:val="clear" w:color="auto" w:fill="auto"/>
            <w:noWrap/>
            <w:vAlign w:val="bottom"/>
            <w:hideMark/>
          </w:tcPr>
          <w:p w:rsidRPr="008551C5" w:rsidR="00824B3F" w:rsidP="00824B3F" w:rsidRDefault="00824B3F" w14:paraId="0F8269B1"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22,682</w:t>
            </w:r>
          </w:p>
        </w:tc>
        <w:tc>
          <w:tcPr>
            <w:tcW w:w="1187" w:type="dxa"/>
            <w:tcBorders>
              <w:top w:val="single" w:color="auto" w:sz="4" w:space="0"/>
              <w:left w:val="nil"/>
              <w:bottom w:val="single" w:color="auto" w:sz="4" w:space="0"/>
              <w:right w:val="single" w:color="auto" w:sz="4" w:space="0"/>
            </w:tcBorders>
            <w:shd w:val="clear" w:color="auto" w:fill="auto"/>
            <w:noWrap/>
            <w:vAlign w:val="bottom"/>
            <w:hideMark/>
          </w:tcPr>
          <w:p w:rsidRPr="008551C5" w:rsidR="00824B3F" w:rsidP="00824B3F" w:rsidRDefault="00824B3F" w14:paraId="191D77A8"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20,621</w:t>
            </w:r>
          </w:p>
        </w:tc>
        <w:tc>
          <w:tcPr>
            <w:tcW w:w="1187" w:type="dxa"/>
            <w:tcBorders>
              <w:top w:val="single" w:color="auto" w:sz="4" w:space="0"/>
              <w:left w:val="nil"/>
              <w:bottom w:val="single" w:color="auto" w:sz="4" w:space="0"/>
              <w:right w:val="single" w:color="auto" w:sz="4" w:space="0"/>
            </w:tcBorders>
            <w:shd w:val="clear" w:color="auto" w:fill="auto"/>
            <w:noWrap/>
            <w:vAlign w:val="bottom"/>
            <w:hideMark/>
          </w:tcPr>
          <w:p w:rsidRPr="008551C5" w:rsidR="00824B3F" w:rsidP="00824B3F" w:rsidRDefault="00824B3F" w14:paraId="1A841F08"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21,441</w:t>
            </w:r>
          </w:p>
        </w:tc>
        <w:tc>
          <w:tcPr>
            <w:tcW w:w="2020" w:type="dxa"/>
            <w:tcBorders>
              <w:top w:val="single" w:color="auto" w:sz="4" w:space="0"/>
              <w:left w:val="nil"/>
              <w:bottom w:val="single" w:color="auto" w:sz="4" w:space="0"/>
              <w:right w:val="single" w:color="auto" w:sz="4" w:space="0"/>
            </w:tcBorders>
            <w:shd w:val="clear" w:color="auto" w:fill="auto"/>
            <w:vAlign w:val="center"/>
            <w:hideMark/>
          </w:tcPr>
          <w:p w:rsidRPr="008551C5" w:rsidR="00824B3F" w:rsidP="00824B3F" w:rsidRDefault="00824B3F" w14:paraId="59A735D2"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20,000</w:t>
            </w:r>
          </w:p>
        </w:tc>
      </w:tr>
      <w:tr w:rsidRPr="008551C5" w:rsidR="00824B3F" w:rsidTr="00824B3F" w14:paraId="6388D8FE" w14:textId="77777777">
        <w:trPr>
          <w:trHeight w:val="52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6F680EAB"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15-19</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06079C41"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4,662</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6D020CE7"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4,134</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02B5E8F7"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3,812</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17B706B4"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4000</w:t>
            </w:r>
          </w:p>
        </w:tc>
      </w:tr>
      <w:tr w:rsidRPr="008551C5" w:rsidR="00824B3F" w:rsidTr="00824B3F" w14:paraId="00F92037" w14:textId="77777777">
        <w:trPr>
          <w:trHeight w:val="29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13F9828F"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20-49**</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66126C35"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18,020</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6BCE194C"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16,487</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5CAD75F7"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17,629</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05935A3A"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16000</w:t>
            </w:r>
          </w:p>
        </w:tc>
      </w:tr>
      <w:tr w:rsidRPr="008551C5" w:rsidR="00824B3F" w:rsidTr="00824B3F" w14:paraId="6E910F11" w14:textId="77777777">
        <w:trPr>
          <w:trHeight w:val="70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705599D8"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Male</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1EFBF8B2"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10,403</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43808208"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9,321</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34093DAE"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9,746</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61900EB5"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9000</w:t>
            </w:r>
          </w:p>
        </w:tc>
      </w:tr>
      <w:tr w:rsidRPr="008551C5" w:rsidR="00824B3F" w:rsidTr="00824B3F" w14:paraId="37B0A461" w14:textId="77777777">
        <w:trPr>
          <w:trHeight w:val="29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4DFBECCC"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Female</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54B81E0F"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12,279</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3665F805"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11,300</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00E8B81A"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11,695</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7AEB8094"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11000</w:t>
            </w:r>
          </w:p>
        </w:tc>
      </w:tr>
      <w:tr w:rsidRPr="008551C5" w:rsidR="00824B3F" w:rsidTr="00824B3F" w14:paraId="7A426C7C" w14:textId="77777777">
        <w:trPr>
          <w:trHeight w:val="86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0E9EF0F0"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Hispanic</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028DD68C"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5,132</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166C648C"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4,753</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5759FE5D"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5,281</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32802CC6"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4,000</w:t>
            </w:r>
          </w:p>
        </w:tc>
      </w:tr>
      <w:tr w:rsidRPr="008551C5" w:rsidR="00824B3F" w:rsidTr="00824B3F" w14:paraId="0F57475C" w14:textId="77777777">
        <w:trPr>
          <w:trHeight w:val="29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6148D8F7"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Black</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42B868C0"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4,389</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3797729B"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4,260</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48146A84"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4,206</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52472B5C"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4,000</w:t>
            </w:r>
          </w:p>
        </w:tc>
      </w:tr>
      <w:tr w:rsidRPr="008551C5" w:rsidR="00824B3F" w:rsidTr="00824B3F" w14:paraId="1383DB2A" w14:textId="77777777">
        <w:trPr>
          <w:trHeight w:val="29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22594D38"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White &amp; other</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56F42B0B"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13,161</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70242CB2"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11,608</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36D3917D"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11,952</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6D8146BE"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12,000</w:t>
            </w:r>
          </w:p>
        </w:tc>
      </w:tr>
    </w:tbl>
    <w:p w:rsidRPr="008551C5" w:rsidR="00A03734" w:rsidP="00824B3F" w:rsidRDefault="00A03734" w14:paraId="3E883957" w14:textId="64D3A195">
      <w:pPr>
        <w:tabs>
          <w:tab w:val="left" w:pos="-1440"/>
        </w:tabs>
        <w:rPr>
          <w:rFonts w:asciiTheme="minorHAnsi" w:hAnsiTheme="minorHAnsi" w:cstheme="minorHAnsi"/>
          <w:i/>
          <w:sz w:val="22"/>
          <w:szCs w:val="22"/>
        </w:rPr>
      </w:pPr>
      <w:r w:rsidRPr="008551C5">
        <w:rPr>
          <w:rFonts w:asciiTheme="minorHAnsi" w:hAnsiTheme="minorHAnsi" w:cstheme="minorHAnsi"/>
          <w:i/>
          <w:sz w:val="22"/>
          <w:szCs w:val="22"/>
        </w:rPr>
        <w:t>*Subject to change based on available funding and field conditions</w:t>
      </w:r>
    </w:p>
    <w:p w:rsidRPr="008551C5" w:rsidR="00A03734" w:rsidP="00824B3F" w:rsidRDefault="00824B3F" w14:paraId="1CB3F344" w14:textId="25EC1407">
      <w:pPr>
        <w:tabs>
          <w:tab w:val="left" w:pos="-1440"/>
        </w:tabs>
        <w:rPr>
          <w:rFonts w:asciiTheme="minorHAnsi" w:hAnsiTheme="minorHAnsi" w:cstheme="minorHAnsi"/>
          <w:i/>
          <w:sz w:val="22"/>
          <w:szCs w:val="22"/>
        </w:rPr>
      </w:pPr>
      <w:r w:rsidRPr="008551C5">
        <w:rPr>
          <w:rFonts w:asciiTheme="minorHAnsi" w:hAnsiTheme="minorHAnsi" w:cstheme="minorHAnsi"/>
          <w:i/>
          <w:sz w:val="22"/>
          <w:szCs w:val="22"/>
        </w:rPr>
        <w:t>*</w:t>
      </w:r>
      <w:r w:rsidRPr="008551C5" w:rsidR="00A03734">
        <w:rPr>
          <w:rFonts w:asciiTheme="minorHAnsi" w:hAnsiTheme="minorHAnsi" w:cstheme="minorHAnsi"/>
          <w:i/>
          <w:sz w:val="22"/>
          <w:szCs w:val="22"/>
        </w:rPr>
        <w:t>*The NSFG age range was expanded to 15-49 beginning in September 2015</w:t>
      </w:r>
    </w:p>
    <w:p w:rsidRPr="008551C5" w:rsidR="007A4469" w:rsidP="00520C21" w:rsidRDefault="007A4469" w14:paraId="464BCCD4" w14:textId="77777777">
      <w:pPr>
        <w:tabs>
          <w:tab w:val="left" w:pos="-1440"/>
        </w:tabs>
        <w:ind w:left="8540" w:hanging="7820"/>
        <w:rPr>
          <w:rFonts w:asciiTheme="minorHAnsi" w:hAnsiTheme="minorHAnsi" w:cstheme="minorHAnsi"/>
          <w:sz w:val="22"/>
          <w:szCs w:val="22"/>
        </w:rPr>
      </w:pPr>
    </w:p>
    <w:p w:rsidRPr="008551C5" w:rsidR="004562F4" w:rsidP="0012018C" w:rsidRDefault="004843BB" w14:paraId="7566502F" w14:textId="51814FBA">
      <w:pPr>
        <w:tabs>
          <w:tab w:val="left" w:pos="-1440"/>
        </w:tabs>
        <w:rPr>
          <w:rFonts w:asciiTheme="minorHAnsi" w:hAnsiTheme="minorHAnsi" w:cstheme="minorHAnsi"/>
          <w:sz w:val="22"/>
          <w:szCs w:val="22"/>
        </w:rPr>
      </w:pPr>
      <w:r w:rsidRPr="008551C5">
        <w:rPr>
          <w:rFonts w:asciiTheme="minorHAnsi" w:hAnsiTheme="minorHAnsi" w:cstheme="minorHAnsi"/>
          <w:sz w:val="22"/>
          <w:szCs w:val="22"/>
        </w:rPr>
        <w:tab/>
      </w:r>
      <w:r w:rsidRPr="008551C5" w:rsidR="004562F4">
        <w:rPr>
          <w:rFonts w:asciiTheme="minorHAnsi" w:hAnsiTheme="minorHAnsi" w:cstheme="minorHAnsi"/>
          <w:sz w:val="22"/>
          <w:szCs w:val="22"/>
        </w:rPr>
        <w:t>The c</w:t>
      </w:r>
      <w:r w:rsidRPr="008551C5" w:rsidR="008A677A">
        <w:rPr>
          <w:rFonts w:asciiTheme="minorHAnsi" w:hAnsiTheme="minorHAnsi" w:cstheme="minorHAnsi"/>
          <w:sz w:val="22"/>
          <w:szCs w:val="22"/>
        </w:rPr>
        <w:t>urrent c</w:t>
      </w:r>
      <w:r w:rsidRPr="008551C5" w:rsidR="004562F4">
        <w:rPr>
          <w:rFonts w:asciiTheme="minorHAnsi" w:hAnsiTheme="minorHAnsi" w:cstheme="minorHAnsi"/>
          <w:sz w:val="22"/>
          <w:szCs w:val="22"/>
        </w:rPr>
        <w:t xml:space="preserve">ontractor for the NSFG is </w:t>
      </w:r>
      <w:r w:rsidRPr="008551C5" w:rsidR="006A1922">
        <w:rPr>
          <w:rFonts w:asciiTheme="minorHAnsi" w:hAnsiTheme="minorHAnsi" w:cstheme="minorHAnsi"/>
          <w:sz w:val="22"/>
          <w:szCs w:val="22"/>
        </w:rPr>
        <w:t>RTI International</w:t>
      </w:r>
      <w:r w:rsidRPr="008551C5" w:rsidR="004562F4">
        <w:rPr>
          <w:rFonts w:asciiTheme="minorHAnsi" w:hAnsiTheme="minorHAnsi" w:cstheme="minorHAnsi"/>
          <w:sz w:val="22"/>
          <w:szCs w:val="22"/>
        </w:rPr>
        <w:t xml:space="preserve"> (</w:t>
      </w:r>
      <w:r w:rsidRPr="008551C5" w:rsidR="006A1922">
        <w:rPr>
          <w:rFonts w:asciiTheme="minorHAnsi" w:hAnsiTheme="minorHAnsi" w:cstheme="minorHAnsi"/>
          <w:sz w:val="22"/>
          <w:szCs w:val="22"/>
        </w:rPr>
        <w:t>Andy Peytchev</w:t>
      </w:r>
      <w:r w:rsidRPr="008551C5" w:rsidR="00247489">
        <w:rPr>
          <w:rFonts w:asciiTheme="minorHAnsi" w:hAnsiTheme="minorHAnsi" w:cstheme="minorHAnsi"/>
          <w:sz w:val="22"/>
          <w:szCs w:val="22"/>
        </w:rPr>
        <w:t>, P</w:t>
      </w:r>
      <w:r w:rsidRPr="008551C5" w:rsidR="006A1922">
        <w:rPr>
          <w:rFonts w:asciiTheme="minorHAnsi" w:hAnsiTheme="minorHAnsi" w:cstheme="minorHAnsi"/>
          <w:sz w:val="22"/>
          <w:szCs w:val="22"/>
        </w:rPr>
        <w:t>rincipal Investigator for RTI; Susan Kinsey, Project</w:t>
      </w:r>
      <w:r w:rsidRPr="008551C5" w:rsidR="00247489">
        <w:rPr>
          <w:rFonts w:asciiTheme="minorHAnsi" w:hAnsiTheme="minorHAnsi" w:cstheme="minorHAnsi"/>
          <w:sz w:val="22"/>
          <w:szCs w:val="22"/>
        </w:rPr>
        <w:t xml:space="preserve"> Director</w:t>
      </w:r>
      <w:r w:rsidRPr="008551C5" w:rsidR="006A1922">
        <w:rPr>
          <w:rFonts w:asciiTheme="minorHAnsi" w:hAnsiTheme="minorHAnsi" w:cstheme="minorHAnsi"/>
          <w:sz w:val="22"/>
          <w:szCs w:val="22"/>
        </w:rPr>
        <w:t>)</w:t>
      </w:r>
      <w:r w:rsidRPr="008551C5" w:rsidR="004562F4">
        <w:rPr>
          <w:rFonts w:asciiTheme="minorHAnsi" w:hAnsiTheme="minorHAnsi" w:cstheme="minorHAnsi"/>
          <w:sz w:val="22"/>
          <w:szCs w:val="22"/>
        </w:rPr>
        <w:t>.</w:t>
      </w:r>
      <w:r w:rsidRPr="008551C5" w:rsidR="00655340">
        <w:rPr>
          <w:rFonts w:asciiTheme="minorHAnsi" w:hAnsiTheme="minorHAnsi" w:cstheme="minorHAnsi"/>
          <w:sz w:val="22"/>
          <w:szCs w:val="22"/>
        </w:rPr>
        <w:t xml:space="preserve"> </w:t>
      </w:r>
      <w:r w:rsidRPr="008551C5" w:rsidR="004562F4">
        <w:rPr>
          <w:rFonts w:asciiTheme="minorHAnsi" w:hAnsiTheme="minorHAnsi" w:cstheme="minorHAnsi"/>
          <w:sz w:val="22"/>
          <w:szCs w:val="22"/>
        </w:rPr>
        <w:t xml:space="preserve">Under </w:t>
      </w:r>
      <w:r w:rsidRPr="008551C5" w:rsidR="00621785">
        <w:rPr>
          <w:rFonts w:asciiTheme="minorHAnsi" w:hAnsiTheme="minorHAnsi" w:cstheme="minorHAnsi"/>
          <w:sz w:val="22"/>
          <w:szCs w:val="22"/>
        </w:rPr>
        <w:t>NCHS oversight</w:t>
      </w:r>
      <w:r w:rsidRPr="008551C5" w:rsidR="004562F4">
        <w:rPr>
          <w:rFonts w:asciiTheme="minorHAnsi" w:hAnsiTheme="minorHAnsi" w:cstheme="minorHAnsi"/>
          <w:sz w:val="22"/>
          <w:szCs w:val="22"/>
        </w:rPr>
        <w:t xml:space="preserve"> and monitoring, </w:t>
      </w:r>
      <w:r w:rsidRPr="008551C5" w:rsidR="006A1922">
        <w:rPr>
          <w:rFonts w:asciiTheme="minorHAnsi" w:hAnsiTheme="minorHAnsi" w:cstheme="minorHAnsi"/>
          <w:sz w:val="22"/>
          <w:szCs w:val="22"/>
        </w:rPr>
        <w:t xml:space="preserve">RTI </w:t>
      </w:r>
      <w:r w:rsidRPr="008551C5" w:rsidR="004562F4">
        <w:rPr>
          <w:rFonts w:asciiTheme="minorHAnsi" w:hAnsiTheme="minorHAnsi" w:cstheme="minorHAnsi"/>
          <w:sz w:val="22"/>
          <w:szCs w:val="22"/>
        </w:rPr>
        <w:t>recruit</w:t>
      </w:r>
      <w:r w:rsidRPr="008551C5" w:rsidR="00247489">
        <w:rPr>
          <w:rFonts w:asciiTheme="minorHAnsi" w:hAnsiTheme="minorHAnsi" w:cstheme="minorHAnsi"/>
          <w:sz w:val="22"/>
          <w:szCs w:val="22"/>
        </w:rPr>
        <w:t>s</w:t>
      </w:r>
      <w:r w:rsidRPr="008551C5" w:rsidR="004562F4">
        <w:rPr>
          <w:rFonts w:asciiTheme="minorHAnsi" w:hAnsiTheme="minorHAnsi" w:cstheme="minorHAnsi"/>
          <w:sz w:val="22"/>
          <w:szCs w:val="22"/>
        </w:rPr>
        <w:t xml:space="preserve"> and train</w:t>
      </w:r>
      <w:r w:rsidRPr="008551C5" w:rsidR="00247489">
        <w:rPr>
          <w:rFonts w:asciiTheme="minorHAnsi" w:hAnsiTheme="minorHAnsi" w:cstheme="minorHAnsi"/>
          <w:sz w:val="22"/>
          <w:szCs w:val="22"/>
        </w:rPr>
        <w:t>s</w:t>
      </w:r>
      <w:r w:rsidRPr="008551C5" w:rsidR="004562F4">
        <w:rPr>
          <w:rFonts w:asciiTheme="minorHAnsi" w:hAnsiTheme="minorHAnsi" w:cstheme="minorHAnsi"/>
          <w:sz w:val="22"/>
          <w:szCs w:val="22"/>
        </w:rPr>
        <w:t xml:space="preserve"> the interviewers for the NSFG and carr</w:t>
      </w:r>
      <w:r w:rsidRPr="008551C5" w:rsidR="00247489">
        <w:rPr>
          <w:rFonts w:asciiTheme="minorHAnsi" w:hAnsiTheme="minorHAnsi" w:cstheme="minorHAnsi"/>
          <w:sz w:val="22"/>
          <w:szCs w:val="22"/>
        </w:rPr>
        <w:t>ies</w:t>
      </w:r>
      <w:r w:rsidRPr="008551C5" w:rsidR="004562F4">
        <w:rPr>
          <w:rFonts w:asciiTheme="minorHAnsi" w:hAnsiTheme="minorHAnsi" w:cstheme="minorHAnsi"/>
          <w:sz w:val="22"/>
          <w:szCs w:val="22"/>
        </w:rPr>
        <w:t xml:space="preserve"> out the </w:t>
      </w:r>
      <w:r w:rsidRPr="008551C5" w:rsidR="004065B7">
        <w:rPr>
          <w:rFonts w:asciiTheme="minorHAnsi" w:hAnsiTheme="minorHAnsi" w:cstheme="minorHAnsi"/>
          <w:sz w:val="22"/>
          <w:szCs w:val="22"/>
        </w:rPr>
        <w:t>data collection</w:t>
      </w:r>
      <w:r w:rsidRPr="008551C5" w:rsidR="004562F4">
        <w:rPr>
          <w:rFonts w:asciiTheme="minorHAnsi" w:hAnsiTheme="minorHAnsi" w:cstheme="minorHAnsi"/>
          <w:sz w:val="22"/>
          <w:szCs w:val="22"/>
        </w:rPr>
        <w:t xml:space="preserve">.  The main steps in the </w:t>
      </w:r>
      <w:r w:rsidRPr="008551C5" w:rsidR="004065B7">
        <w:rPr>
          <w:rFonts w:asciiTheme="minorHAnsi" w:hAnsiTheme="minorHAnsi" w:cstheme="minorHAnsi"/>
          <w:sz w:val="22"/>
          <w:szCs w:val="22"/>
        </w:rPr>
        <w:t>data collection</w:t>
      </w:r>
      <w:r w:rsidRPr="008551C5" w:rsidR="004562F4">
        <w:rPr>
          <w:rFonts w:asciiTheme="minorHAnsi" w:hAnsiTheme="minorHAnsi" w:cstheme="minorHAnsi"/>
          <w:sz w:val="22"/>
          <w:szCs w:val="22"/>
        </w:rPr>
        <w:t xml:space="preserve"> are described below.</w:t>
      </w:r>
    </w:p>
    <w:p w:rsidRPr="008551C5" w:rsidR="000213C5" w:rsidP="00E64D0C" w:rsidRDefault="00714A5A" w14:paraId="294DB78F" w14:textId="3B1E999B">
      <w:pPr>
        <w:pStyle w:val="Heading2"/>
        <w:spacing w:line="276" w:lineRule="auto"/>
        <w:ind w:firstLine="720"/>
        <w:rPr>
          <w:rFonts w:asciiTheme="minorHAnsi" w:hAnsiTheme="minorHAnsi" w:cstheme="minorHAnsi"/>
          <w:i w:val="0"/>
          <w:iCs w:val="0"/>
          <w:sz w:val="22"/>
          <w:szCs w:val="22"/>
        </w:rPr>
      </w:pPr>
      <w:bookmarkStart w:name="_Toc79140733" w:id="7"/>
      <w:r w:rsidRPr="008551C5">
        <w:rPr>
          <w:rFonts w:asciiTheme="minorHAnsi" w:hAnsiTheme="minorHAnsi" w:cstheme="minorHAnsi"/>
          <w:i w:val="0"/>
          <w:iCs w:val="0"/>
          <w:sz w:val="22"/>
          <w:szCs w:val="22"/>
        </w:rPr>
        <w:t xml:space="preserve">Main steps in </w:t>
      </w:r>
      <w:r w:rsidRPr="008551C5" w:rsidR="006F29B8">
        <w:rPr>
          <w:rFonts w:asciiTheme="minorHAnsi" w:hAnsiTheme="minorHAnsi" w:cstheme="minorHAnsi"/>
          <w:i w:val="0"/>
          <w:iCs w:val="0"/>
          <w:sz w:val="22"/>
          <w:szCs w:val="22"/>
        </w:rPr>
        <w:t xml:space="preserve">NSFG </w:t>
      </w:r>
      <w:r w:rsidRPr="008551C5" w:rsidR="00010B9D">
        <w:rPr>
          <w:rFonts w:asciiTheme="minorHAnsi" w:hAnsiTheme="minorHAnsi" w:cstheme="minorHAnsi"/>
          <w:i w:val="0"/>
          <w:iCs w:val="0"/>
          <w:sz w:val="22"/>
          <w:szCs w:val="22"/>
        </w:rPr>
        <w:t>data collection</w:t>
      </w:r>
      <w:bookmarkEnd w:id="7"/>
      <w:r w:rsidRPr="008551C5" w:rsidR="005C7129">
        <w:rPr>
          <w:rFonts w:asciiTheme="minorHAnsi" w:hAnsiTheme="minorHAnsi" w:cstheme="minorHAnsi"/>
          <w:i w:val="0"/>
          <w:iCs w:val="0"/>
          <w:sz w:val="22"/>
          <w:szCs w:val="22"/>
        </w:rPr>
        <w:t xml:space="preserve"> </w:t>
      </w:r>
    </w:p>
    <w:p w:rsidRPr="008551C5" w:rsidR="00374657" w:rsidP="0012018C" w:rsidRDefault="007171CA" w14:paraId="2C621517" w14:textId="76929C59">
      <w:pPr>
        <w:ind w:firstLine="720"/>
        <w:rPr>
          <w:rFonts w:asciiTheme="minorHAnsi" w:hAnsiTheme="minorHAnsi" w:cstheme="minorHAnsi"/>
          <w:b/>
          <w:bCs/>
          <w:sz w:val="22"/>
          <w:szCs w:val="22"/>
        </w:rPr>
      </w:pPr>
      <w:r w:rsidRPr="008551C5">
        <w:rPr>
          <w:rFonts w:asciiTheme="minorHAnsi" w:hAnsiTheme="minorHAnsi" w:cstheme="minorHAnsi"/>
          <w:sz w:val="22"/>
          <w:szCs w:val="22"/>
        </w:rPr>
        <w:t>All advance letters, informed consent</w:t>
      </w:r>
      <w:r w:rsidRPr="008551C5" w:rsidR="00FE278A">
        <w:rPr>
          <w:rFonts w:asciiTheme="minorHAnsi" w:hAnsiTheme="minorHAnsi" w:cstheme="minorHAnsi"/>
          <w:sz w:val="22"/>
          <w:szCs w:val="22"/>
        </w:rPr>
        <w:t>/assent</w:t>
      </w:r>
      <w:r w:rsidRPr="008551C5">
        <w:rPr>
          <w:rFonts w:asciiTheme="minorHAnsi" w:hAnsiTheme="minorHAnsi" w:cstheme="minorHAnsi"/>
          <w:sz w:val="22"/>
          <w:szCs w:val="22"/>
        </w:rPr>
        <w:t xml:space="preserve"> </w:t>
      </w:r>
      <w:r w:rsidRPr="008551C5" w:rsidR="00FE278A">
        <w:rPr>
          <w:rFonts w:asciiTheme="minorHAnsi" w:hAnsiTheme="minorHAnsi" w:cstheme="minorHAnsi"/>
          <w:sz w:val="22"/>
          <w:szCs w:val="22"/>
        </w:rPr>
        <w:t xml:space="preserve">forms, informational materials </w:t>
      </w:r>
      <w:r w:rsidRPr="008551C5" w:rsidR="00895467">
        <w:rPr>
          <w:rFonts w:asciiTheme="minorHAnsi" w:hAnsiTheme="minorHAnsi" w:cstheme="minorHAnsi"/>
          <w:sz w:val="22"/>
          <w:szCs w:val="22"/>
        </w:rPr>
        <w:t xml:space="preserve">and token of appreciation selection form </w:t>
      </w:r>
      <w:r w:rsidRPr="008551C5" w:rsidR="00FE278A">
        <w:rPr>
          <w:rFonts w:asciiTheme="minorHAnsi" w:hAnsiTheme="minorHAnsi" w:cstheme="minorHAnsi"/>
          <w:sz w:val="22"/>
          <w:szCs w:val="22"/>
        </w:rPr>
        <w:t xml:space="preserve">used with NSFG households and respondents </w:t>
      </w:r>
      <w:r w:rsidRPr="008551C5">
        <w:rPr>
          <w:rFonts w:asciiTheme="minorHAnsi" w:hAnsiTheme="minorHAnsi" w:cstheme="minorHAnsi"/>
          <w:sz w:val="22"/>
          <w:szCs w:val="22"/>
        </w:rPr>
        <w:t xml:space="preserve">are shown in </w:t>
      </w:r>
      <w:r w:rsidRPr="008551C5">
        <w:rPr>
          <w:rFonts w:asciiTheme="minorHAnsi" w:hAnsiTheme="minorHAnsi" w:cstheme="minorHAnsi"/>
          <w:b/>
          <w:sz w:val="22"/>
          <w:szCs w:val="22"/>
        </w:rPr>
        <w:t xml:space="preserve">Attachments </w:t>
      </w:r>
      <w:r w:rsidRPr="008551C5" w:rsidR="00921E25">
        <w:rPr>
          <w:rFonts w:asciiTheme="minorHAnsi" w:hAnsiTheme="minorHAnsi" w:cstheme="minorHAnsi"/>
          <w:b/>
          <w:sz w:val="22"/>
          <w:szCs w:val="22"/>
        </w:rPr>
        <w:t>G</w:t>
      </w:r>
      <w:r w:rsidRPr="008551C5" w:rsidR="00A53060">
        <w:rPr>
          <w:rFonts w:asciiTheme="minorHAnsi" w:hAnsiTheme="minorHAnsi" w:cstheme="minorHAnsi"/>
          <w:b/>
          <w:sz w:val="22"/>
          <w:szCs w:val="22"/>
        </w:rPr>
        <w:t>1</w:t>
      </w:r>
      <w:r w:rsidRPr="008551C5">
        <w:rPr>
          <w:rFonts w:asciiTheme="minorHAnsi" w:hAnsiTheme="minorHAnsi" w:cstheme="minorHAnsi"/>
          <w:b/>
          <w:sz w:val="22"/>
          <w:szCs w:val="22"/>
        </w:rPr>
        <w:t>-</w:t>
      </w:r>
      <w:r w:rsidRPr="008551C5" w:rsidR="00921E25">
        <w:rPr>
          <w:rFonts w:asciiTheme="minorHAnsi" w:hAnsiTheme="minorHAnsi" w:cstheme="minorHAnsi"/>
          <w:b/>
          <w:sz w:val="22"/>
          <w:szCs w:val="22"/>
        </w:rPr>
        <w:t>G</w:t>
      </w:r>
      <w:r w:rsidR="003E6715">
        <w:rPr>
          <w:rFonts w:asciiTheme="minorHAnsi" w:hAnsiTheme="minorHAnsi" w:cstheme="minorHAnsi"/>
          <w:b/>
          <w:sz w:val="22"/>
          <w:szCs w:val="22"/>
        </w:rPr>
        <w:t>9</w:t>
      </w:r>
      <w:r w:rsidRPr="008551C5">
        <w:rPr>
          <w:rFonts w:asciiTheme="minorHAnsi" w:hAnsiTheme="minorHAnsi" w:cstheme="minorHAnsi"/>
          <w:b/>
          <w:sz w:val="22"/>
          <w:szCs w:val="22"/>
        </w:rPr>
        <w:t>.</w:t>
      </w:r>
      <w:r w:rsidRPr="008551C5">
        <w:rPr>
          <w:rFonts w:asciiTheme="minorHAnsi" w:hAnsiTheme="minorHAnsi" w:cstheme="minorHAnsi"/>
          <w:sz w:val="22"/>
          <w:szCs w:val="22"/>
        </w:rPr>
        <w:t xml:space="preserve">  </w:t>
      </w:r>
      <w:r w:rsidRPr="008551C5" w:rsidR="005A08AA">
        <w:rPr>
          <w:rFonts w:asciiTheme="minorHAnsi" w:hAnsiTheme="minorHAnsi" w:cstheme="minorHAnsi"/>
          <w:sz w:val="22"/>
          <w:szCs w:val="22"/>
        </w:rPr>
        <w:t xml:space="preserve">The </w:t>
      </w:r>
      <w:r w:rsidRPr="008551C5" w:rsidR="007B0AB9">
        <w:rPr>
          <w:rFonts w:asciiTheme="minorHAnsi" w:hAnsiTheme="minorHAnsi" w:cstheme="minorHAnsi"/>
          <w:sz w:val="22"/>
          <w:szCs w:val="22"/>
        </w:rPr>
        <w:t xml:space="preserve">Household </w:t>
      </w:r>
      <w:r w:rsidRPr="008551C5" w:rsidR="005A08AA">
        <w:rPr>
          <w:rFonts w:asciiTheme="minorHAnsi" w:hAnsiTheme="minorHAnsi" w:cstheme="minorHAnsi"/>
          <w:sz w:val="22"/>
          <w:szCs w:val="22"/>
        </w:rPr>
        <w:t xml:space="preserve">Screener questionnaire (CAPI-lite) corresponding to some of these steps is in </w:t>
      </w:r>
      <w:r w:rsidRPr="008551C5" w:rsidR="005A08AA">
        <w:rPr>
          <w:rFonts w:asciiTheme="minorHAnsi" w:hAnsiTheme="minorHAnsi" w:cstheme="minorHAnsi"/>
          <w:b/>
          <w:bCs/>
          <w:sz w:val="22"/>
          <w:szCs w:val="22"/>
        </w:rPr>
        <w:t>Attachment H.</w:t>
      </w:r>
    </w:p>
    <w:p w:rsidRPr="008551C5" w:rsidR="00E64D0C" w:rsidP="00E64D0C" w:rsidRDefault="00E64D0C" w14:paraId="2750ED42" w14:textId="77777777">
      <w:pPr>
        <w:spacing w:line="276" w:lineRule="auto"/>
        <w:ind w:firstLine="720"/>
        <w:rPr>
          <w:rFonts w:asciiTheme="minorHAnsi" w:hAnsiTheme="minorHAnsi" w:cstheme="minorHAnsi"/>
          <w:sz w:val="22"/>
          <w:szCs w:val="22"/>
        </w:rPr>
      </w:pPr>
    </w:p>
    <w:p w:rsidRPr="008551C5" w:rsidR="00B86198" w:rsidP="001655F4" w:rsidRDefault="00B86198" w14:paraId="37140768" w14:textId="686A1D5C">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A lead letter </w:t>
      </w:r>
      <w:r w:rsidRPr="008551C5" w:rsidR="007B0AB9">
        <w:rPr>
          <w:rFonts w:asciiTheme="minorHAnsi" w:hAnsiTheme="minorHAnsi" w:cstheme="minorHAnsi"/>
          <w:b/>
          <w:bCs/>
          <w:sz w:val="22"/>
          <w:szCs w:val="22"/>
        </w:rPr>
        <w:t xml:space="preserve">(Attachment G1) </w:t>
      </w:r>
      <w:r w:rsidRPr="008551C5">
        <w:rPr>
          <w:rFonts w:asciiTheme="minorHAnsi" w:hAnsiTheme="minorHAnsi" w:cstheme="minorHAnsi"/>
          <w:sz w:val="22"/>
          <w:szCs w:val="22"/>
        </w:rPr>
        <w:t>with a $2 prepaid incentive and a Question-and-Answer (Q&amp;A) brochure</w:t>
      </w:r>
      <w:r w:rsidRPr="008551C5" w:rsidR="007B0AB9">
        <w:rPr>
          <w:rFonts w:asciiTheme="minorHAnsi" w:hAnsiTheme="minorHAnsi" w:cstheme="minorHAnsi"/>
          <w:sz w:val="22"/>
          <w:szCs w:val="22"/>
        </w:rPr>
        <w:t xml:space="preserve"> </w:t>
      </w:r>
      <w:r w:rsidRPr="008551C5" w:rsidR="007B0AB9">
        <w:rPr>
          <w:rFonts w:asciiTheme="minorHAnsi" w:hAnsiTheme="minorHAnsi" w:cstheme="minorHAnsi"/>
          <w:b/>
          <w:bCs/>
          <w:sz w:val="22"/>
          <w:szCs w:val="22"/>
        </w:rPr>
        <w:t>(Attachment G4)</w:t>
      </w:r>
      <w:r w:rsidRPr="008551C5">
        <w:rPr>
          <w:rFonts w:asciiTheme="minorHAnsi" w:hAnsiTheme="minorHAnsi" w:cstheme="minorHAnsi"/>
          <w:sz w:val="22"/>
          <w:szCs w:val="22"/>
        </w:rPr>
        <w:t xml:space="preserve"> are mailed to sampled housing units. Sampled housing units selected for the multimode experiment receive in their lead letter instructions for completing their </w:t>
      </w:r>
      <w:r w:rsidRPr="008551C5" w:rsidR="00CA6EBC">
        <w:rPr>
          <w:rFonts w:asciiTheme="minorHAnsi" w:hAnsiTheme="minorHAnsi" w:cstheme="minorHAnsi"/>
          <w:sz w:val="22"/>
          <w:szCs w:val="22"/>
        </w:rPr>
        <w:t xml:space="preserve">household </w:t>
      </w:r>
      <w:r w:rsidRPr="008551C5" w:rsidR="007B0AB9">
        <w:rPr>
          <w:rFonts w:asciiTheme="minorHAnsi" w:hAnsiTheme="minorHAnsi" w:cstheme="minorHAnsi"/>
          <w:sz w:val="22"/>
          <w:szCs w:val="22"/>
        </w:rPr>
        <w:t xml:space="preserve">screening </w:t>
      </w:r>
      <w:r w:rsidRPr="008551C5">
        <w:rPr>
          <w:rFonts w:asciiTheme="minorHAnsi" w:hAnsiTheme="minorHAnsi" w:cstheme="minorHAnsi"/>
          <w:sz w:val="22"/>
          <w:szCs w:val="22"/>
        </w:rPr>
        <w:t>survey online, including how to log on to the survey website, using the login credentials. Sampled housing units selected for face-to-face (FTF) only are told in their letter that an interviewer will visit their address; they are not presented with an online completion option in their letter.</w:t>
      </w:r>
    </w:p>
    <w:p w:rsidRPr="008551C5" w:rsidR="00E64D0C" w:rsidP="001655F4" w:rsidRDefault="00E64D0C" w14:paraId="49F53B9F"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6D367EAC" w14:textId="15E0AA7B">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After the lead letters are sent, a screener survey pressure-sealed reminder card is sent to nonresponding multimode-eligible households. This is followed in succession as needed by a reminder letter sent via USPS, a reminder postcard, and a reminder letter sent via UPS. Five weeks after sending the lead letter, nonresponding multimode-eligible sample housing units are assigned for FTF contact. The online completion option remains open after FTF assignment.</w:t>
      </w:r>
    </w:p>
    <w:p w:rsidRPr="008551C5" w:rsidR="00E64D0C" w:rsidP="001655F4" w:rsidRDefault="00E64D0C" w14:paraId="66F8DD0A" w14:textId="77777777">
      <w:pPr>
        <w:tabs>
          <w:tab w:val="left" w:pos="-1440"/>
          <w:tab w:val="left" w:pos="720"/>
        </w:tabs>
        <w:rPr>
          <w:rFonts w:asciiTheme="minorHAnsi" w:hAnsiTheme="minorHAnsi" w:cstheme="minorHAnsi"/>
          <w:sz w:val="22"/>
          <w:szCs w:val="22"/>
        </w:rPr>
      </w:pPr>
    </w:p>
    <w:p w:rsidRPr="008551C5" w:rsidR="00B86198" w:rsidP="001655F4" w:rsidRDefault="00B86198" w14:paraId="6056A6B6" w14:textId="157B6DC0">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Interviewers will visit FTF-only housing units and multimode-eligible households that have been </w:t>
      </w:r>
      <w:r w:rsidRPr="008551C5">
        <w:rPr>
          <w:rFonts w:asciiTheme="minorHAnsi" w:hAnsiTheme="minorHAnsi" w:cstheme="minorHAnsi"/>
          <w:sz w:val="22"/>
          <w:szCs w:val="22"/>
        </w:rPr>
        <w:lastRenderedPageBreak/>
        <w:t xml:space="preserve">assigned for FTF follow-up at varying times of day and days of the week until an adult member of the household can be contacted. If no one is at home, the interviewer can leave a “Sorry I Missed You” card that gives a contact number for the interviewer. </w:t>
      </w:r>
    </w:p>
    <w:p w:rsidRPr="008551C5" w:rsidR="00B86198" w:rsidP="001655F4" w:rsidRDefault="00BA5197" w14:paraId="77468555" w14:textId="02B4F1FC">
      <w:pPr>
        <w:tabs>
          <w:tab w:val="left" w:pos="-1440"/>
          <w:tab w:val="left" w:pos="720"/>
        </w:tabs>
        <w:ind w:left="810" w:hanging="810"/>
        <w:rPr>
          <w:rFonts w:asciiTheme="minorHAnsi" w:hAnsiTheme="minorHAnsi" w:cstheme="minorHAnsi"/>
          <w:sz w:val="22"/>
          <w:szCs w:val="22"/>
        </w:rPr>
      </w:pPr>
      <w:r w:rsidRPr="008551C5">
        <w:rPr>
          <w:rFonts w:asciiTheme="minorHAnsi" w:hAnsiTheme="minorHAnsi" w:cstheme="minorHAnsi"/>
          <w:sz w:val="22"/>
          <w:szCs w:val="22"/>
        </w:rPr>
        <w:tab/>
      </w:r>
      <w:r w:rsidRPr="008551C5" w:rsidR="004E3EBF">
        <w:rPr>
          <w:rFonts w:asciiTheme="minorHAnsi" w:hAnsiTheme="minorHAnsi" w:cstheme="minorHAnsi"/>
          <w:sz w:val="22"/>
          <w:szCs w:val="22"/>
        </w:rPr>
        <w:tab/>
      </w:r>
      <w:r w:rsidRPr="008551C5" w:rsidR="004E3EBF">
        <w:rPr>
          <w:rFonts w:asciiTheme="minorHAnsi" w:hAnsiTheme="minorHAnsi" w:cstheme="minorHAnsi"/>
          <w:sz w:val="22"/>
          <w:szCs w:val="22"/>
        </w:rPr>
        <w:tab/>
      </w:r>
      <w:r w:rsidRPr="008551C5" w:rsidR="00B86198">
        <w:rPr>
          <w:rFonts w:asciiTheme="minorHAnsi" w:hAnsiTheme="minorHAnsi" w:cstheme="minorHAnsi"/>
          <w:sz w:val="22"/>
          <w:szCs w:val="22"/>
        </w:rPr>
        <w:t>When an adult household member is contacted in person, the interviewer will introduce herself and show her NSFG identification badge and letter of authorization</w:t>
      </w:r>
      <w:r w:rsidRPr="008551C5" w:rsidR="007B0AB9">
        <w:rPr>
          <w:rFonts w:asciiTheme="minorHAnsi" w:hAnsiTheme="minorHAnsi" w:cstheme="minorHAnsi"/>
          <w:sz w:val="22"/>
          <w:szCs w:val="22"/>
        </w:rPr>
        <w:t xml:space="preserve"> </w:t>
      </w:r>
      <w:r w:rsidRPr="008551C5" w:rsidR="007B0AB9">
        <w:rPr>
          <w:rFonts w:asciiTheme="minorHAnsi" w:hAnsiTheme="minorHAnsi" w:cstheme="minorHAnsi"/>
          <w:b/>
          <w:bCs/>
          <w:sz w:val="22"/>
          <w:szCs w:val="22"/>
        </w:rPr>
        <w:t>(Attachment G7)</w:t>
      </w:r>
      <w:r w:rsidRPr="008551C5" w:rsidR="00B86198">
        <w:rPr>
          <w:rFonts w:asciiTheme="minorHAnsi" w:hAnsiTheme="minorHAnsi" w:cstheme="minorHAnsi"/>
          <w:sz w:val="22"/>
          <w:szCs w:val="22"/>
        </w:rPr>
        <w:t>, helping establish legitimacy of her purpose in approaching the selected household or respondent. She will reference the lead letter, providing an additional copy if necessary, and answer any questions or concerns the household member has about the study. NCHS staff and NSFG-trained personnel at RTI are available by phone through 800 numbers to answer any questions householders who receive the advance materials may have. In addition to the respondent Q&amp;A brochure, the interviewer has other materials to help explain the survey and gain cooperation:</w:t>
      </w:r>
    </w:p>
    <w:p w:rsidRPr="008551C5" w:rsidR="00E64D0C" w:rsidP="001655F4" w:rsidRDefault="00E64D0C" w14:paraId="72B40ECF" w14:textId="77777777">
      <w:pPr>
        <w:tabs>
          <w:tab w:val="left" w:pos="-1440"/>
          <w:tab w:val="left" w:pos="720"/>
        </w:tabs>
        <w:ind w:left="810" w:hanging="810"/>
        <w:rPr>
          <w:rFonts w:asciiTheme="minorHAnsi" w:hAnsiTheme="minorHAnsi" w:cstheme="minorHAnsi"/>
          <w:sz w:val="22"/>
          <w:szCs w:val="22"/>
        </w:rPr>
      </w:pPr>
    </w:p>
    <w:p w:rsidRPr="008551C5" w:rsidR="00B86198" w:rsidP="001655F4" w:rsidRDefault="00B86198" w14:paraId="6775F953" w14:textId="43D48530">
      <w:pPr>
        <w:numPr>
          <w:ilvl w:val="0"/>
          <w:numId w:val="27"/>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NCHS Confidentiality Brochure (</w:t>
      </w:r>
      <w:r w:rsidRPr="008551C5">
        <w:rPr>
          <w:rFonts w:asciiTheme="minorHAnsi" w:hAnsiTheme="minorHAnsi" w:cstheme="minorHAnsi"/>
          <w:b/>
          <w:sz w:val="22"/>
          <w:szCs w:val="22"/>
        </w:rPr>
        <w:t xml:space="preserve">Attachment </w:t>
      </w:r>
      <w:r w:rsidRPr="008551C5" w:rsidR="00774351">
        <w:rPr>
          <w:rFonts w:asciiTheme="minorHAnsi" w:hAnsiTheme="minorHAnsi" w:cstheme="minorHAnsi"/>
          <w:b/>
          <w:sz w:val="22"/>
          <w:szCs w:val="22"/>
        </w:rPr>
        <w:t>G5</w:t>
      </w:r>
      <w:r w:rsidRPr="008551C5">
        <w:rPr>
          <w:rFonts w:asciiTheme="minorHAnsi" w:hAnsiTheme="minorHAnsi" w:cstheme="minorHAnsi"/>
          <w:sz w:val="22"/>
          <w:szCs w:val="22"/>
        </w:rPr>
        <w:t>) to explain the laws and other procedures in place to protect confidentiality of all NSFG households and respondents</w:t>
      </w:r>
    </w:p>
    <w:p w:rsidRPr="008551C5" w:rsidR="00B86198" w:rsidP="001655F4" w:rsidRDefault="00B86198" w14:paraId="33EAD146" w14:textId="7F56EDB8">
      <w:pPr>
        <w:numPr>
          <w:ilvl w:val="0"/>
          <w:numId w:val="27"/>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NSFG Family Fact Sheet (</w:t>
      </w:r>
      <w:r w:rsidRPr="008551C5">
        <w:rPr>
          <w:rFonts w:asciiTheme="minorHAnsi" w:hAnsiTheme="minorHAnsi" w:cstheme="minorHAnsi"/>
          <w:b/>
          <w:sz w:val="22"/>
          <w:szCs w:val="22"/>
        </w:rPr>
        <w:t xml:space="preserve">Attachment </w:t>
      </w:r>
      <w:r w:rsidRPr="008551C5" w:rsidR="00774351">
        <w:rPr>
          <w:rFonts w:asciiTheme="minorHAnsi" w:hAnsiTheme="minorHAnsi" w:cstheme="minorHAnsi"/>
          <w:b/>
          <w:sz w:val="22"/>
          <w:szCs w:val="22"/>
        </w:rPr>
        <w:t>G6</w:t>
      </w:r>
      <w:r w:rsidRPr="008551C5">
        <w:rPr>
          <w:rFonts w:asciiTheme="minorHAnsi" w:hAnsiTheme="minorHAnsi" w:cstheme="minorHAnsi"/>
          <w:sz w:val="22"/>
          <w:szCs w:val="22"/>
        </w:rPr>
        <w:t>) to illustrate selected uses of the survey data and reiterate that data are in aggregate form for statistical purposes only.</w:t>
      </w:r>
    </w:p>
    <w:p w:rsidRPr="008551C5" w:rsidR="00E64D0C" w:rsidP="001655F4" w:rsidRDefault="00E64D0C" w14:paraId="2DDA9899"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526B4864" w14:textId="2E2A7516">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To address </w:t>
      </w:r>
      <w:r w:rsidRPr="008551C5" w:rsidR="00CA6EBC">
        <w:rPr>
          <w:rFonts w:asciiTheme="minorHAnsi" w:hAnsiTheme="minorHAnsi" w:cstheme="minorHAnsi"/>
          <w:sz w:val="22"/>
          <w:szCs w:val="22"/>
        </w:rPr>
        <w:t xml:space="preserve">COVID-19 and other </w:t>
      </w:r>
      <w:r w:rsidRPr="008551C5">
        <w:rPr>
          <w:rFonts w:asciiTheme="minorHAnsi" w:hAnsiTheme="minorHAnsi" w:cstheme="minorHAnsi"/>
          <w:sz w:val="22"/>
          <w:szCs w:val="22"/>
        </w:rPr>
        <w:t xml:space="preserve">infectious disease-related concerns, interviewers are provided with masks, gloves, hand sanitizer, and sanitizing wipes for use during fieldwork. </w:t>
      </w:r>
    </w:p>
    <w:p w:rsidRPr="008551C5" w:rsidR="00E64D0C" w:rsidP="001655F4" w:rsidRDefault="00E64D0C" w14:paraId="0D5533E4"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75DFB419" w14:textId="75313CA8">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The interviewer administers the FTF screener survey </w:t>
      </w:r>
      <w:r w:rsidR="003E6715">
        <w:rPr>
          <w:rFonts w:asciiTheme="minorHAnsi" w:hAnsiTheme="minorHAnsi" w:cstheme="minorHAnsi"/>
          <w:b/>
          <w:bCs/>
          <w:sz w:val="22"/>
          <w:szCs w:val="22"/>
        </w:rPr>
        <w:t xml:space="preserve">(Attachment H) </w:t>
      </w:r>
      <w:r w:rsidRPr="008551C5">
        <w:rPr>
          <w:rFonts w:asciiTheme="minorHAnsi" w:hAnsiTheme="minorHAnsi" w:cstheme="minorHAnsi"/>
          <w:sz w:val="22"/>
          <w:szCs w:val="22"/>
        </w:rPr>
        <w:t xml:space="preserve">on the tablet computer and determines if anyone in the household is eligible for the main NSFG survey. The selection algorithm will select one household member if more than one is eligible. If no one is eligible, the interviewer will thank the household member and leave. </w:t>
      </w:r>
    </w:p>
    <w:p w:rsidRPr="008551C5" w:rsidR="00B86198" w:rsidP="001655F4" w:rsidRDefault="00BA5197" w14:paraId="220D1354" w14:textId="7776AD88">
      <w:pPr>
        <w:tabs>
          <w:tab w:val="left" w:pos="-1440"/>
          <w:tab w:val="left" w:pos="720"/>
        </w:tabs>
        <w:ind w:left="810" w:hanging="810"/>
        <w:rPr>
          <w:rFonts w:asciiTheme="minorHAnsi" w:hAnsiTheme="minorHAnsi" w:cstheme="minorHAnsi"/>
          <w:sz w:val="22"/>
          <w:szCs w:val="22"/>
        </w:rPr>
      </w:pPr>
      <w:r w:rsidRPr="008551C5">
        <w:rPr>
          <w:rFonts w:asciiTheme="minorHAnsi" w:hAnsiTheme="minorHAnsi" w:cstheme="minorHAnsi"/>
          <w:sz w:val="22"/>
          <w:szCs w:val="22"/>
        </w:rPr>
        <w:tab/>
      </w:r>
      <w:r w:rsidRPr="008551C5" w:rsidR="00555307">
        <w:rPr>
          <w:rFonts w:asciiTheme="minorHAnsi" w:hAnsiTheme="minorHAnsi" w:cstheme="minorHAnsi"/>
          <w:sz w:val="22"/>
          <w:szCs w:val="22"/>
        </w:rPr>
        <w:tab/>
      </w:r>
      <w:r w:rsidRPr="008551C5" w:rsidR="00555307">
        <w:rPr>
          <w:rFonts w:asciiTheme="minorHAnsi" w:hAnsiTheme="minorHAnsi" w:cstheme="minorHAnsi"/>
          <w:sz w:val="22"/>
          <w:szCs w:val="22"/>
        </w:rPr>
        <w:tab/>
      </w:r>
      <w:r w:rsidRPr="008551C5" w:rsidR="00B86198">
        <w:rPr>
          <w:rFonts w:asciiTheme="minorHAnsi" w:hAnsiTheme="minorHAnsi" w:cstheme="minorHAnsi"/>
          <w:sz w:val="22"/>
          <w:szCs w:val="22"/>
        </w:rPr>
        <w:t>In multimode-eligible households, an adult can log on to the survey website, using the login credentials in the lead letter, to complete the screener for their household. The screener respondent will be presented with a screen requiring them to attest to being a member of the household and to being 18 years of age or over. If they are not one of those, the survey website will request that only a household member of the age of 18</w:t>
      </w:r>
      <w:r w:rsidRPr="008551C5" w:rsidR="00924E54">
        <w:rPr>
          <w:rFonts w:asciiTheme="minorHAnsi" w:hAnsiTheme="minorHAnsi" w:cstheme="minorHAnsi"/>
          <w:sz w:val="22"/>
          <w:szCs w:val="22"/>
        </w:rPr>
        <w:t xml:space="preserve"> or older </w:t>
      </w:r>
      <w:r w:rsidRPr="008551C5" w:rsidR="00B86198">
        <w:rPr>
          <w:rFonts w:asciiTheme="minorHAnsi" w:hAnsiTheme="minorHAnsi" w:cstheme="minorHAnsi"/>
          <w:sz w:val="22"/>
          <w:szCs w:val="22"/>
        </w:rPr>
        <w:t xml:space="preserve">complete the screening survey. The survey website will notify the screener respondent whether he/she or a member of the household was selected for the main NSFG survey. </w:t>
      </w:r>
    </w:p>
    <w:p w:rsidRPr="008551C5" w:rsidR="00E64D0C" w:rsidP="001655F4" w:rsidRDefault="00E64D0C" w14:paraId="212D2BF9" w14:textId="6839407D">
      <w:pPr>
        <w:tabs>
          <w:tab w:val="left" w:pos="-1440"/>
          <w:tab w:val="left" w:pos="810"/>
        </w:tabs>
        <w:ind w:left="810"/>
        <w:rPr>
          <w:rFonts w:asciiTheme="minorHAnsi" w:hAnsiTheme="minorHAnsi" w:cstheme="minorHAnsi"/>
          <w:sz w:val="22"/>
          <w:szCs w:val="22"/>
        </w:rPr>
      </w:pPr>
    </w:p>
    <w:p w:rsidRPr="008551C5" w:rsidR="00B86198" w:rsidP="001655F4" w:rsidRDefault="00B86198" w14:paraId="63390C9E" w14:textId="33C0FF22">
      <w:pPr>
        <w:numPr>
          <w:ilvl w:val="0"/>
          <w:numId w:val="14"/>
        </w:numPr>
        <w:tabs>
          <w:tab w:val="left" w:pos="-1440"/>
          <w:tab w:val="left" w:pos="810"/>
        </w:tabs>
        <w:ind w:left="810" w:hanging="450"/>
        <w:rPr>
          <w:rFonts w:asciiTheme="minorHAnsi" w:hAnsiTheme="minorHAnsi" w:cstheme="minorHAnsi"/>
          <w:sz w:val="22"/>
          <w:szCs w:val="22"/>
        </w:rPr>
      </w:pPr>
      <w:r w:rsidRPr="008551C5">
        <w:rPr>
          <w:rFonts w:asciiTheme="minorHAnsi" w:hAnsiTheme="minorHAnsi" w:cstheme="minorHAnsi"/>
          <w:sz w:val="22"/>
          <w:szCs w:val="22"/>
        </w:rPr>
        <w:t>If an adult is selected for the FTF NSFG survey, the interviewer will provide a copy of the respondent letter (</w:t>
      </w:r>
      <w:r w:rsidRPr="008551C5" w:rsidR="00F64038">
        <w:rPr>
          <w:rFonts w:asciiTheme="minorHAnsi" w:hAnsiTheme="minorHAnsi" w:cstheme="minorHAnsi"/>
          <w:b/>
          <w:bCs/>
          <w:sz w:val="22"/>
          <w:szCs w:val="22"/>
        </w:rPr>
        <w:t>Attachment G2</w:t>
      </w:r>
      <w:r w:rsidRPr="008551C5">
        <w:rPr>
          <w:rFonts w:asciiTheme="minorHAnsi" w:hAnsiTheme="minorHAnsi" w:cstheme="minorHAnsi"/>
          <w:sz w:val="22"/>
          <w:szCs w:val="22"/>
        </w:rPr>
        <w:t>), explain the NSFG survey to the eligible person, provide a copy of the informed consent form, and then attempt to gain the respondent’s consent to participate</w:t>
      </w:r>
      <w:r w:rsidRPr="008551C5" w:rsidR="00CA6EBC">
        <w:rPr>
          <w:rFonts w:asciiTheme="minorHAnsi" w:hAnsiTheme="minorHAnsi" w:cstheme="minorHAnsi"/>
          <w:sz w:val="22"/>
          <w:szCs w:val="22"/>
        </w:rPr>
        <w:t xml:space="preserve"> in the survey</w:t>
      </w:r>
      <w:r w:rsidRPr="008551C5">
        <w:rPr>
          <w:rFonts w:asciiTheme="minorHAnsi" w:hAnsiTheme="minorHAnsi" w:cstheme="minorHAnsi"/>
          <w:sz w:val="22"/>
          <w:szCs w:val="22"/>
        </w:rPr>
        <w:t>. If the adult respondent agrees to participate, the interviewer will offer the respondent a $40 token of appreciation in advance of completing the interview and ask the respondent to electronically sign an acknowledgment of token receipt. If the sampled person is</w:t>
      </w:r>
      <w:r w:rsidRPr="008551C5" w:rsidR="00CA6EBC">
        <w:rPr>
          <w:rFonts w:asciiTheme="minorHAnsi" w:hAnsiTheme="minorHAnsi" w:cstheme="minorHAnsi"/>
          <w:sz w:val="22"/>
          <w:szCs w:val="22"/>
        </w:rPr>
        <w:t xml:space="preserve"> </w:t>
      </w:r>
      <w:r w:rsidRPr="008551C5">
        <w:rPr>
          <w:rFonts w:asciiTheme="minorHAnsi" w:hAnsiTheme="minorHAnsi" w:cstheme="minorHAnsi"/>
          <w:sz w:val="22"/>
          <w:szCs w:val="22"/>
        </w:rPr>
        <w:t xml:space="preserve">willing to participate </w:t>
      </w:r>
      <w:r w:rsidRPr="008551C5" w:rsidR="00CA6EBC">
        <w:rPr>
          <w:rFonts w:asciiTheme="minorHAnsi" w:hAnsiTheme="minorHAnsi" w:cstheme="minorHAnsi"/>
          <w:sz w:val="22"/>
          <w:szCs w:val="22"/>
        </w:rPr>
        <w:t xml:space="preserve">but cannot do so </w:t>
      </w:r>
      <w:r w:rsidRPr="008551C5" w:rsidR="004B61D2">
        <w:rPr>
          <w:rFonts w:asciiTheme="minorHAnsi" w:hAnsiTheme="minorHAnsi" w:cstheme="minorHAnsi"/>
          <w:sz w:val="22"/>
          <w:szCs w:val="22"/>
        </w:rPr>
        <w:t>immediately</w:t>
      </w:r>
      <w:r w:rsidRPr="008551C5">
        <w:rPr>
          <w:rFonts w:asciiTheme="minorHAnsi" w:hAnsiTheme="minorHAnsi" w:cstheme="minorHAnsi"/>
          <w:sz w:val="22"/>
          <w:szCs w:val="22"/>
        </w:rPr>
        <w:t>, the interviewer will schedule a time to return to complete the interview. If the eligible person is not</w:t>
      </w:r>
      <w:r w:rsidRPr="008551C5" w:rsidR="004B61D2">
        <w:rPr>
          <w:rFonts w:asciiTheme="minorHAnsi" w:hAnsiTheme="minorHAnsi" w:cstheme="minorHAnsi"/>
          <w:sz w:val="22"/>
          <w:szCs w:val="22"/>
        </w:rPr>
        <w:t xml:space="preserve"> at home or unavailable for scheduling</w:t>
      </w:r>
      <w:r w:rsidRPr="008551C5">
        <w:rPr>
          <w:rFonts w:asciiTheme="minorHAnsi" w:hAnsiTheme="minorHAnsi" w:cstheme="minorHAnsi"/>
          <w:sz w:val="22"/>
          <w:szCs w:val="22"/>
        </w:rPr>
        <w:t xml:space="preserve">, the interviewer will enter information about the best times and days to find the person at home. </w:t>
      </w:r>
    </w:p>
    <w:p w:rsidRPr="008551C5" w:rsidR="00B86198" w:rsidP="001655F4" w:rsidRDefault="00BA5197" w14:paraId="1EA5EB1B" w14:textId="25AADC60">
      <w:pPr>
        <w:tabs>
          <w:tab w:val="left" w:pos="-1440"/>
          <w:tab w:val="left" w:pos="810"/>
        </w:tabs>
        <w:ind w:left="810" w:hanging="360"/>
        <w:rPr>
          <w:rFonts w:asciiTheme="minorHAnsi" w:hAnsiTheme="minorHAnsi" w:cstheme="minorHAnsi"/>
          <w:sz w:val="22"/>
          <w:szCs w:val="22"/>
        </w:rPr>
      </w:pPr>
      <w:r w:rsidRPr="008551C5">
        <w:rPr>
          <w:rFonts w:asciiTheme="minorHAnsi" w:hAnsiTheme="minorHAnsi" w:cstheme="minorHAnsi"/>
          <w:sz w:val="22"/>
          <w:szCs w:val="22"/>
        </w:rPr>
        <w:tab/>
      </w:r>
      <w:bookmarkStart w:name="_Hlk68777784" w:id="8"/>
      <w:r w:rsidRPr="008551C5" w:rsidR="00280280">
        <w:rPr>
          <w:rFonts w:asciiTheme="minorHAnsi" w:hAnsiTheme="minorHAnsi" w:cstheme="minorHAnsi"/>
          <w:sz w:val="22"/>
          <w:szCs w:val="22"/>
        </w:rPr>
        <w:tab/>
      </w:r>
      <w:r w:rsidRPr="008551C5" w:rsidR="00B86198">
        <w:rPr>
          <w:rFonts w:asciiTheme="minorHAnsi" w:hAnsiTheme="minorHAnsi" w:cstheme="minorHAnsi"/>
          <w:sz w:val="22"/>
          <w:szCs w:val="22"/>
        </w:rPr>
        <w:t>In multimode-eligible households where an adult is sampled from the completed online screener survey, if the screener respondent is the chosen main survey respondent, the survey website will allow him/her to immediately proceed to the steps to completing the main survey</w:t>
      </w:r>
      <w:bookmarkEnd w:id="8"/>
      <w:r w:rsidRPr="008551C5" w:rsidR="00B86198">
        <w:rPr>
          <w:rFonts w:asciiTheme="minorHAnsi" w:hAnsiTheme="minorHAnsi" w:cstheme="minorHAnsi"/>
          <w:sz w:val="22"/>
          <w:szCs w:val="22"/>
        </w:rPr>
        <w:t xml:space="preserve">. </w:t>
      </w:r>
      <w:bookmarkStart w:name="_Hlk68777918" w:id="9"/>
      <w:r w:rsidRPr="008551C5" w:rsidR="00B86198">
        <w:rPr>
          <w:rFonts w:asciiTheme="minorHAnsi" w:hAnsiTheme="minorHAnsi" w:cstheme="minorHAnsi"/>
          <w:sz w:val="22"/>
          <w:szCs w:val="22"/>
        </w:rPr>
        <w:t xml:space="preserve">If the screener respondent is not the chosen main survey respondent, but another adult in the household is chosen, the screener respondent is asked to provide the chosen adult </w:t>
      </w:r>
      <w:r w:rsidRPr="008551C5" w:rsidR="00B86198">
        <w:rPr>
          <w:rFonts w:asciiTheme="minorHAnsi" w:hAnsiTheme="minorHAnsi" w:cstheme="minorHAnsi"/>
          <w:sz w:val="22"/>
          <w:szCs w:val="22"/>
        </w:rPr>
        <w:lastRenderedPageBreak/>
        <w:t xml:space="preserve">respondent’s email address and/or phone number for texting. The chosen adult </w:t>
      </w:r>
      <w:r w:rsidRPr="008551C5" w:rsidR="004B61D2">
        <w:rPr>
          <w:rFonts w:asciiTheme="minorHAnsi" w:hAnsiTheme="minorHAnsi" w:cstheme="minorHAnsi"/>
          <w:sz w:val="22"/>
          <w:szCs w:val="22"/>
        </w:rPr>
        <w:t>respondent</w:t>
      </w:r>
      <w:r w:rsidRPr="008551C5" w:rsidR="00B86198">
        <w:rPr>
          <w:rFonts w:asciiTheme="minorHAnsi" w:hAnsiTheme="minorHAnsi" w:cstheme="minorHAnsi"/>
          <w:sz w:val="22"/>
          <w:szCs w:val="22"/>
        </w:rPr>
        <w:t xml:space="preserve"> will be sent an email and/or text invitation with the main survey link and login credentials within one day. The </w:t>
      </w:r>
      <w:r w:rsidRPr="008551C5" w:rsidR="00280280">
        <w:rPr>
          <w:rFonts w:asciiTheme="minorHAnsi" w:hAnsiTheme="minorHAnsi" w:cstheme="minorHAnsi"/>
          <w:sz w:val="22"/>
          <w:szCs w:val="22"/>
        </w:rPr>
        <w:t xml:space="preserve">Advance Respondent Letter will </w:t>
      </w:r>
      <w:r w:rsidRPr="008551C5" w:rsidR="00B86198">
        <w:rPr>
          <w:rFonts w:asciiTheme="minorHAnsi" w:hAnsiTheme="minorHAnsi" w:cstheme="minorHAnsi"/>
          <w:sz w:val="22"/>
          <w:szCs w:val="22"/>
        </w:rPr>
        <w:t>also be sent, regardless of whether or not the email or phone number was obtained. The respondent letter contains instructions on how to log on to the survey website, using the login credentials</w:t>
      </w:r>
      <w:bookmarkEnd w:id="9"/>
      <w:r w:rsidRPr="008551C5" w:rsidR="00B86198">
        <w:rPr>
          <w:rFonts w:asciiTheme="minorHAnsi" w:hAnsiTheme="minorHAnsi" w:cstheme="minorHAnsi"/>
          <w:sz w:val="22"/>
          <w:szCs w:val="22"/>
        </w:rPr>
        <w:t>.</w:t>
      </w:r>
    </w:p>
    <w:p w:rsidRPr="008551C5" w:rsidR="00B86198" w:rsidP="001655F4" w:rsidRDefault="00BA5197" w14:paraId="553C6F49" w14:textId="4ECE5A5D">
      <w:pPr>
        <w:tabs>
          <w:tab w:val="left" w:pos="-1440"/>
          <w:tab w:val="left" w:pos="450"/>
          <w:tab w:val="left" w:pos="720"/>
        </w:tabs>
        <w:ind w:left="810" w:hanging="450"/>
        <w:rPr>
          <w:rFonts w:asciiTheme="minorHAnsi" w:hAnsiTheme="minorHAnsi" w:cstheme="minorHAnsi"/>
          <w:sz w:val="22"/>
          <w:szCs w:val="22"/>
        </w:rPr>
      </w:pPr>
      <w:r w:rsidRPr="008551C5">
        <w:rPr>
          <w:rFonts w:asciiTheme="minorHAnsi" w:hAnsiTheme="minorHAnsi" w:cstheme="minorHAnsi"/>
          <w:sz w:val="22"/>
          <w:szCs w:val="22"/>
        </w:rPr>
        <w:tab/>
      </w:r>
      <w:r w:rsidRPr="008551C5" w:rsidR="00280280">
        <w:rPr>
          <w:rFonts w:asciiTheme="minorHAnsi" w:hAnsiTheme="minorHAnsi" w:cstheme="minorHAnsi"/>
          <w:sz w:val="22"/>
          <w:szCs w:val="22"/>
        </w:rPr>
        <w:tab/>
      </w:r>
      <w:r w:rsidRPr="008551C5" w:rsidR="00280280">
        <w:rPr>
          <w:rFonts w:asciiTheme="minorHAnsi" w:hAnsiTheme="minorHAnsi" w:cstheme="minorHAnsi"/>
          <w:sz w:val="22"/>
          <w:szCs w:val="22"/>
        </w:rPr>
        <w:tab/>
      </w:r>
      <w:r w:rsidRPr="008551C5" w:rsidR="00B86198">
        <w:rPr>
          <w:rFonts w:asciiTheme="minorHAnsi" w:hAnsiTheme="minorHAnsi" w:cstheme="minorHAnsi"/>
          <w:sz w:val="22"/>
          <w:szCs w:val="22"/>
        </w:rPr>
        <w:t>Once the chosen main survey respondent has accessed the survey website, he/she will be presented with a screen requiring him/her to attest to being a member of the household and to being 18 years of age or over. The main survey respondent will then review the informed consent form</w:t>
      </w:r>
      <w:r w:rsidRPr="008551C5" w:rsidR="00030274">
        <w:rPr>
          <w:rFonts w:asciiTheme="minorHAnsi" w:hAnsiTheme="minorHAnsi" w:cstheme="minorHAnsi"/>
          <w:sz w:val="22"/>
          <w:szCs w:val="22"/>
        </w:rPr>
        <w:t xml:space="preserve"> </w:t>
      </w:r>
      <w:r w:rsidRPr="008551C5" w:rsidR="00030274">
        <w:rPr>
          <w:rFonts w:asciiTheme="minorHAnsi" w:hAnsiTheme="minorHAnsi" w:cstheme="minorHAnsi"/>
          <w:b/>
          <w:bCs/>
          <w:sz w:val="22"/>
          <w:szCs w:val="22"/>
        </w:rPr>
        <w:t>(Attachment G3)</w:t>
      </w:r>
      <w:r w:rsidRPr="008551C5" w:rsidR="00B86198">
        <w:rPr>
          <w:rFonts w:asciiTheme="minorHAnsi" w:hAnsiTheme="minorHAnsi" w:cstheme="minorHAnsi"/>
          <w:sz w:val="22"/>
          <w:szCs w:val="22"/>
        </w:rPr>
        <w:t>. After acknowledging that they consent via clicking through the consent screen</w:t>
      </w:r>
      <w:r w:rsidRPr="008551C5" w:rsidR="00280280">
        <w:rPr>
          <w:rFonts w:asciiTheme="minorHAnsi" w:hAnsiTheme="minorHAnsi" w:cstheme="minorHAnsi"/>
          <w:sz w:val="22"/>
          <w:szCs w:val="22"/>
        </w:rPr>
        <w:t xml:space="preserve">, which displays the </w:t>
      </w:r>
      <w:r w:rsidRPr="008551C5" w:rsidR="00AD2323">
        <w:rPr>
          <w:rFonts w:asciiTheme="minorHAnsi" w:hAnsiTheme="minorHAnsi" w:cstheme="minorHAnsi"/>
          <w:sz w:val="22"/>
          <w:szCs w:val="22"/>
        </w:rPr>
        <w:t>a</w:t>
      </w:r>
      <w:r w:rsidRPr="008551C5" w:rsidR="00280280">
        <w:rPr>
          <w:rFonts w:asciiTheme="minorHAnsi" w:hAnsiTheme="minorHAnsi" w:cstheme="minorHAnsi"/>
          <w:sz w:val="22"/>
          <w:szCs w:val="22"/>
        </w:rPr>
        <w:t xml:space="preserve">dult </w:t>
      </w:r>
      <w:r w:rsidRPr="008551C5" w:rsidR="00AD2323">
        <w:rPr>
          <w:rFonts w:asciiTheme="minorHAnsi" w:hAnsiTheme="minorHAnsi" w:cstheme="minorHAnsi"/>
          <w:sz w:val="22"/>
          <w:szCs w:val="22"/>
        </w:rPr>
        <w:t>i</w:t>
      </w:r>
      <w:r w:rsidRPr="008551C5" w:rsidR="00280280">
        <w:rPr>
          <w:rFonts w:asciiTheme="minorHAnsi" w:hAnsiTheme="minorHAnsi" w:cstheme="minorHAnsi"/>
          <w:sz w:val="22"/>
          <w:szCs w:val="22"/>
        </w:rPr>
        <w:t xml:space="preserve">nformed </w:t>
      </w:r>
      <w:r w:rsidRPr="008551C5" w:rsidR="00AD2323">
        <w:rPr>
          <w:rFonts w:asciiTheme="minorHAnsi" w:hAnsiTheme="minorHAnsi" w:cstheme="minorHAnsi"/>
          <w:sz w:val="22"/>
          <w:szCs w:val="22"/>
        </w:rPr>
        <w:t>c</w:t>
      </w:r>
      <w:r w:rsidRPr="008551C5" w:rsidR="00280280">
        <w:rPr>
          <w:rFonts w:asciiTheme="minorHAnsi" w:hAnsiTheme="minorHAnsi" w:cstheme="minorHAnsi"/>
          <w:sz w:val="22"/>
          <w:szCs w:val="22"/>
        </w:rPr>
        <w:t>onsent form</w:t>
      </w:r>
      <w:r w:rsidRPr="008551C5" w:rsidR="00B86198">
        <w:rPr>
          <w:rFonts w:asciiTheme="minorHAnsi" w:hAnsiTheme="minorHAnsi" w:cstheme="minorHAnsi"/>
          <w:sz w:val="22"/>
          <w:szCs w:val="22"/>
        </w:rPr>
        <w:t xml:space="preserve">, the adult respondent can proceed with their NSFG survey. Adult respondents will have the option of choosing to receive their $40 token of appreciation via mailed check or digital gift card. </w:t>
      </w:r>
      <w:r w:rsidRPr="008551C5" w:rsidR="00924E54">
        <w:rPr>
          <w:rFonts w:asciiTheme="minorHAnsi" w:hAnsiTheme="minorHAnsi" w:cstheme="minorHAnsi"/>
          <w:sz w:val="22"/>
          <w:szCs w:val="22"/>
        </w:rPr>
        <w:t xml:space="preserve"> The process for choosing the form of the </w:t>
      </w:r>
      <w:r w:rsidRPr="008551C5" w:rsidR="0029427F">
        <w:rPr>
          <w:rFonts w:asciiTheme="minorHAnsi" w:hAnsiTheme="minorHAnsi" w:cstheme="minorHAnsi"/>
          <w:sz w:val="22"/>
          <w:szCs w:val="22"/>
        </w:rPr>
        <w:t>token of appreciation</w:t>
      </w:r>
      <w:r w:rsidRPr="008551C5" w:rsidR="00924E54">
        <w:rPr>
          <w:rFonts w:asciiTheme="minorHAnsi" w:hAnsiTheme="minorHAnsi" w:cstheme="minorHAnsi"/>
          <w:sz w:val="22"/>
          <w:szCs w:val="22"/>
        </w:rPr>
        <w:t xml:space="preserve"> and providing the mailing </w:t>
      </w:r>
      <w:r w:rsidRPr="008551C5" w:rsidR="0029427F">
        <w:rPr>
          <w:rFonts w:asciiTheme="minorHAnsi" w:hAnsiTheme="minorHAnsi" w:cstheme="minorHAnsi"/>
          <w:sz w:val="22"/>
          <w:szCs w:val="22"/>
        </w:rPr>
        <w:t>or email address for sending</w:t>
      </w:r>
      <w:r w:rsidRPr="008551C5" w:rsidR="00924E54">
        <w:rPr>
          <w:rFonts w:asciiTheme="minorHAnsi" w:hAnsiTheme="minorHAnsi" w:cstheme="minorHAnsi"/>
          <w:sz w:val="22"/>
          <w:szCs w:val="22"/>
        </w:rPr>
        <w:t xml:space="preserve">, is detailed in </w:t>
      </w:r>
      <w:r w:rsidRPr="008551C5" w:rsidR="00924E54">
        <w:rPr>
          <w:rFonts w:asciiTheme="minorHAnsi" w:hAnsiTheme="minorHAnsi" w:cstheme="minorHAnsi"/>
          <w:b/>
          <w:bCs/>
          <w:sz w:val="22"/>
          <w:szCs w:val="22"/>
        </w:rPr>
        <w:t>Attachment</w:t>
      </w:r>
      <w:r w:rsidRPr="008551C5" w:rsidR="00CD0C31">
        <w:rPr>
          <w:rFonts w:asciiTheme="minorHAnsi" w:hAnsiTheme="minorHAnsi" w:cstheme="minorHAnsi"/>
          <w:b/>
          <w:bCs/>
          <w:sz w:val="22"/>
          <w:szCs w:val="22"/>
        </w:rPr>
        <w:t xml:space="preserve"> G8</w:t>
      </w:r>
      <w:r w:rsidRPr="008551C5" w:rsidR="00924E54">
        <w:rPr>
          <w:rFonts w:asciiTheme="minorHAnsi" w:hAnsiTheme="minorHAnsi" w:cstheme="minorHAnsi"/>
          <w:sz w:val="22"/>
          <w:szCs w:val="22"/>
        </w:rPr>
        <w:t xml:space="preserve">.  </w:t>
      </w:r>
      <w:r w:rsidRPr="008551C5" w:rsidR="00B86198">
        <w:rPr>
          <w:rFonts w:asciiTheme="minorHAnsi" w:hAnsiTheme="minorHAnsi" w:cstheme="minorHAnsi"/>
          <w:sz w:val="22"/>
          <w:szCs w:val="22"/>
        </w:rPr>
        <w:t xml:space="preserve">The respondent is asked to confirm their first and last name and confirm either the mailing address to receive a check or provide the email address to which the instructions for redeeming the digital gift card should be emailed. </w:t>
      </w:r>
    </w:p>
    <w:p w:rsidRPr="008551C5" w:rsidR="00E64D0C" w:rsidP="001655F4" w:rsidRDefault="00E64D0C" w14:paraId="34AB4933"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323791A8" w14:textId="21B194EF">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If a minor</w:t>
      </w:r>
      <w:r w:rsidRPr="008551C5" w:rsidR="00AD2323">
        <w:rPr>
          <w:rFonts w:asciiTheme="minorHAnsi" w:hAnsiTheme="minorHAnsi" w:cstheme="minorHAnsi"/>
          <w:sz w:val="22"/>
          <w:szCs w:val="22"/>
          <w:vertAlign w:val="superscript"/>
        </w:rPr>
        <w:footnoteReference w:id="1"/>
      </w:r>
      <w:r w:rsidRPr="008551C5" w:rsidR="00AD2323">
        <w:rPr>
          <w:rFonts w:asciiTheme="minorHAnsi" w:hAnsiTheme="minorHAnsi" w:cstheme="minorHAnsi"/>
          <w:sz w:val="22"/>
          <w:szCs w:val="22"/>
        </w:rPr>
        <w:t xml:space="preserve"> </w:t>
      </w:r>
      <w:r w:rsidRPr="008551C5">
        <w:rPr>
          <w:rFonts w:asciiTheme="minorHAnsi" w:hAnsiTheme="minorHAnsi" w:cstheme="minorHAnsi"/>
          <w:sz w:val="22"/>
          <w:szCs w:val="22"/>
        </w:rPr>
        <w:t xml:space="preserve"> is selected as the eligible FTF sample member, the interviewer will ask the minor’s parent or legal guardian for signed parental</w:t>
      </w:r>
      <w:r w:rsidRPr="008551C5" w:rsidR="00030274">
        <w:rPr>
          <w:rFonts w:asciiTheme="minorHAnsi" w:hAnsiTheme="minorHAnsi" w:cstheme="minorHAnsi"/>
          <w:sz w:val="22"/>
          <w:szCs w:val="22"/>
        </w:rPr>
        <w:t xml:space="preserve"> permission </w:t>
      </w:r>
      <w:r w:rsidRPr="008551C5" w:rsidR="00030274">
        <w:rPr>
          <w:rFonts w:asciiTheme="minorHAnsi" w:hAnsiTheme="minorHAnsi" w:cstheme="minorHAnsi"/>
          <w:b/>
          <w:bCs/>
          <w:sz w:val="22"/>
          <w:szCs w:val="22"/>
        </w:rPr>
        <w:t>(Attachment G3)</w:t>
      </w:r>
      <w:r w:rsidRPr="008551C5">
        <w:rPr>
          <w:rFonts w:asciiTheme="minorHAnsi" w:hAnsiTheme="minorHAnsi" w:cstheme="minorHAnsi"/>
          <w:sz w:val="22"/>
          <w:szCs w:val="22"/>
        </w:rPr>
        <w:t xml:space="preserve"> prior to approaching the minor. Once parental permission is obtained, the interviewer will provide the selected minor with a copy of the respondent letter explaining their selection for the NSFG survey. The interviewer will then provide the minor with a copy of the minor assent form </w:t>
      </w:r>
      <w:r w:rsidRPr="008551C5" w:rsidR="00030274">
        <w:rPr>
          <w:rFonts w:asciiTheme="minorHAnsi" w:hAnsiTheme="minorHAnsi" w:cstheme="minorHAnsi"/>
          <w:b/>
          <w:bCs/>
          <w:sz w:val="22"/>
          <w:szCs w:val="22"/>
        </w:rPr>
        <w:t>(Attachment G3)</w:t>
      </w:r>
      <w:r w:rsidRPr="008551C5" w:rsidR="00030274">
        <w:rPr>
          <w:rFonts w:asciiTheme="minorHAnsi" w:hAnsiTheme="minorHAnsi" w:cstheme="minorHAnsi"/>
          <w:sz w:val="22"/>
          <w:szCs w:val="22"/>
        </w:rPr>
        <w:t xml:space="preserve"> </w:t>
      </w:r>
      <w:r w:rsidRPr="008551C5">
        <w:rPr>
          <w:rFonts w:asciiTheme="minorHAnsi" w:hAnsiTheme="minorHAnsi" w:cstheme="minorHAnsi"/>
          <w:sz w:val="22"/>
          <w:szCs w:val="22"/>
        </w:rPr>
        <w:t xml:space="preserve">and then ask the minor for their signed acknowledgement of assent. Minors who assent are offered a $40 token of appreciation before completing the NSFG survey. The parent is asked to be present in the home for the duration of the NSFG survey (although not in the same room). </w:t>
      </w:r>
    </w:p>
    <w:p w:rsidRPr="008551C5" w:rsidR="00B86198" w:rsidP="001655F4" w:rsidRDefault="00030274" w14:paraId="18DB996C" w14:textId="179A330E">
      <w:pPr>
        <w:tabs>
          <w:tab w:val="left" w:pos="-1440"/>
          <w:tab w:val="left" w:pos="720"/>
        </w:tabs>
        <w:ind w:left="720"/>
        <w:rPr>
          <w:rFonts w:asciiTheme="minorHAnsi" w:hAnsiTheme="minorHAnsi" w:cstheme="minorHAnsi"/>
          <w:sz w:val="22"/>
          <w:szCs w:val="22"/>
        </w:rPr>
      </w:pPr>
      <w:r w:rsidRPr="008551C5">
        <w:rPr>
          <w:rFonts w:asciiTheme="minorHAnsi" w:hAnsiTheme="minorHAnsi" w:cstheme="minorHAnsi"/>
          <w:sz w:val="22"/>
          <w:szCs w:val="22"/>
        </w:rPr>
        <w:tab/>
      </w:r>
      <w:r w:rsidRPr="008551C5" w:rsidR="00BC6E24">
        <w:rPr>
          <w:rFonts w:asciiTheme="minorHAnsi" w:hAnsiTheme="minorHAnsi" w:cstheme="minorHAnsi"/>
          <w:sz w:val="22"/>
          <w:szCs w:val="22"/>
        </w:rPr>
        <w:t>For multimode-eligible households, i</w:t>
      </w:r>
      <w:r w:rsidRPr="008551C5" w:rsidR="00B86198">
        <w:rPr>
          <w:rFonts w:asciiTheme="minorHAnsi" w:hAnsiTheme="minorHAnsi" w:cstheme="minorHAnsi"/>
          <w:sz w:val="22"/>
          <w:szCs w:val="22"/>
        </w:rPr>
        <w:t>f a minor is selected as the eligible sample member upon completion of the online screener and if the screener respondent is identified as the parent of the minor</w:t>
      </w:r>
      <w:r w:rsidRPr="008551C5" w:rsidR="00AD2323">
        <w:rPr>
          <w:rFonts w:asciiTheme="minorHAnsi" w:hAnsiTheme="minorHAnsi" w:cstheme="minorHAnsi"/>
          <w:sz w:val="22"/>
          <w:szCs w:val="22"/>
        </w:rPr>
        <w:t>,</w:t>
      </w:r>
      <w:r w:rsidRPr="008551C5" w:rsidR="00B86198">
        <w:rPr>
          <w:rFonts w:asciiTheme="minorHAnsi" w:hAnsiTheme="minorHAnsi" w:cstheme="minorHAnsi"/>
          <w:sz w:val="22"/>
          <w:szCs w:val="22"/>
        </w:rPr>
        <w:t xml:space="preserve"> the survey website will present at the end of the screener the </w:t>
      </w:r>
      <w:r w:rsidRPr="008551C5" w:rsidR="00BD7E07">
        <w:rPr>
          <w:rFonts w:asciiTheme="minorHAnsi" w:hAnsiTheme="minorHAnsi" w:cstheme="minorHAnsi"/>
          <w:sz w:val="22"/>
          <w:szCs w:val="22"/>
        </w:rPr>
        <w:t>p</w:t>
      </w:r>
      <w:r w:rsidRPr="008551C5" w:rsidR="00B86198">
        <w:rPr>
          <w:rFonts w:asciiTheme="minorHAnsi" w:hAnsiTheme="minorHAnsi" w:cstheme="minorHAnsi"/>
          <w:sz w:val="22"/>
          <w:szCs w:val="22"/>
        </w:rPr>
        <w:t xml:space="preserve">arental consent form and ask for signed parental permission via the parent keying in their name to acknowledge consent. </w:t>
      </w:r>
      <w:bookmarkStart w:name="_Hlk68777055" w:id="10"/>
      <w:r w:rsidRPr="008551C5" w:rsidR="00B86198">
        <w:rPr>
          <w:rFonts w:asciiTheme="minorHAnsi" w:hAnsiTheme="minorHAnsi" w:cstheme="minorHAnsi"/>
          <w:sz w:val="22"/>
          <w:szCs w:val="22"/>
        </w:rPr>
        <w:t xml:space="preserve">If the screener respondent is not the minor’s parent, the </w:t>
      </w:r>
      <w:r w:rsidRPr="008551C5" w:rsidR="00AD2323">
        <w:rPr>
          <w:rFonts w:asciiTheme="minorHAnsi" w:hAnsiTheme="minorHAnsi" w:cstheme="minorHAnsi"/>
          <w:sz w:val="22"/>
          <w:szCs w:val="22"/>
        </w:rPr>
        <w:t>screener informant will be asked for the identity of the parent</w:t>
      </w:r>
      <w:r w:rsidRPr="008551C5" w:rsidR="00B86198">
        <w:rPr>
          <w:rFonts w:asciiTheme="minorHAnsi" w:hAnsiTheme="minorHAnsi" w:cstheme="minorHAnsi"/>
          <w:sz w:val="22"/>
          <w:szCs w:val="22"/>
        </w:rPr>
        <w:t xml:space="preserve">, and </w:t>
      </w:r>
      <w:r w:rsidRPr="008551C5" w:rsidR="00AD2323">
        <w:rPr>
          <w:rFonts w:asciiTheme="minorHAnsi" w:hAnsiTheme="minorHAnsi" w:cstheme="minorHAnsi"/>
          <w:sz w:val="22"/>
          <w:szCs w:val="22"/>
        </w:rPr>
        <w:t xml:space="preserve">the contact information for the parent.  The parent will be contacted and presented with a screen to attest to being the parent of the selected minor, then presented with the parental </w:t>
      </w:r>
      <w:r w:rsidRPr="008551C5">
        <w:rPr>
          <w:rFonts w:asciiTheme="minorHAnsi" w:hAnsiTheme="minorHAnsi" w:cstheme="minorHAnsi"/>
          <w:sz w:val="22"/>
          <w:szCs w:val="22"/>
        </w:rPr>
        <w:t>permission</w:t>
      </w:r>
      <w:r w:rsidRPr="008551C5" w:rsidR="00AD2323">
        <w:rPr>
          <w:rFonts w:asciiTheme="minorHAnsi" w:hAnsiTheme="minorHAnsi" w:cstheme="minorHAnsi"/>
          <w:sz w:val="22"/>
          <w:szCs w:val="22"/>
        </w:rPr>
        <w:t xml:space="preserve"> form. </w:t>
      </w:r>
      <w:bookmarkEnd w:id="10"/>
      <w:r w:rsidRPr="008551C5" w:rsidR="00AD2323">
        <w:rPr>
          <w:rFonts w:asciiTheme="minorHAnsi" w:hAnsiTheme="minorHAnsi" w:cstheme="minorHAnsi"/>
          <w:sz w:val="22"/>
          <w:szCs w:val="22"/>
        </w:rPr>
        <w:t xml:space="preserve"> </w:t>
      </w:r>
      <w:r w:rsidRPr="008551C5" w:rsidR="00B86198">
        <w:rPr>
          <w:rFonts w:asciiTheme="minorHAnsi" w:hAnsiTheme="minorHAnsi" w:cstheme="minorHAnsi"/>
          <w:sz w:val="22"/>
          <w:szCs w:val="22"/>
        </w:rPr>
        <w:t xml:space="preserve">Once parental </w:t>
      </w:r>
      <w:r w:rsidRPr="008551C5">
        <w:rPr>
          <w:rFonts w:asciiTheme="minorHAnsi" w:hAnsiTheme="minorHAnsi" w:cstheme="minorHAnsi"/>
          <w:sz w:val="22"/>
          <w:szCs w:val="22"/>
        </w:rPr>
        <w:t>permission</w:t>
      </w:r>
      <w:r w:rsidRPr="008551C5" w:rsidR="00B86198">
        <w:rPr>
          <w:rFonts w:asciiTheme="minorHAnsi" w:hAnsiTheme="minorHAnsi" w:cstheme="minorHAnsi"/>
          <w:sz w:val="22"/>
          <w:szCs w:val="22"/>
        </w:rPr>
        <w:t xml:space="preserve"> has been obtained, the minor is asked before completing their NSFG survey for signed assent by keying their name. Minor respondents will have the option of choosing to receive their $40 token of appreciation via mailed check or digital gift card. As with adult online survey respondents, minors are asked to confirm the address for the mailed check or email address for the digital gift card redemption instructions.</w:t>
      </w:r>
    </w:p>
    <w:p w:rsidRPr="008551C5" w:rsidR="00E64D0C" w:rsidP="001655F4" w:rsidRDefault="00E64D0C" w14:paraId="42712105"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1F905F62" w14:textId="6E7C8101">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Once consent or parental permission and </w:t>
      </w:r>
      <w:r w:rsidRPr="008551C5" w:rsidR="00030274">
        <w:rPr>
          <w:rFonts w:asciiTheme="minorHAnsi" w:hAnsiTheme="minorHAnsi" w:cstheme="minorHAnsi"/>
          <w:sz w:val="22"/>
          <w:szCs w:val="22"/>
        </w:rPr>
        <w:t xml:space="preserve">minor </w:t>
      </w:r>
      <w:r w:rsidRPr="008551C5">
        <w:rPr>
          <w:rFonts w:asciiTheme="minorHAnsi" w:hAnsiTheme="minorHAnsi" w:cstheme="minorHAnsi"/>
          <w:sz w:val="22"/>
          <w:szCs w:val="22"/>
        </w:rPr>
        <w:t>assent has been obtained for a FTF NSFG survey, the interviewer will ask for a private location to conduct the interview. During the FTF NSFG survey</w:t>
      </w:r>
      <w:r w:rsidR="00D15105">
        <w:rPr>
          <w:rFonts w:asciiTheme="minorHAnsi" w:hAnsiTheme="minorHAnsi" w:cstheme="minorHAnsi"/>
          <w:sz w:val="22"/>
          <w:szCs w:val="22"/>
        </w:rPr>
        <w:t xml:space="preserve"> </w:t>
      </w:r>
      <w:r w:rsidR="00D15105">
        <w:rPr>
          <w:rFonts w:asciiTheme="minorHAnsi" w:hAnsiTheme="minorHAnsi" w:cstheme="minorHAnsi"/>
          <w:b/>
          <w:bCs/>
          <w:sz w:val="22"/>
          <w:szCs w:val="22"/>
        </w:rPr>
        <w:t>(Attachments I2 and J2)</w:t>
      </w:r>
      <w:r w:rsidRPr="008551C5">
        <w:rPr>
          <w:rFonts w:asciiTheme="minorHAnsi" w:hAnsiTheme="minorHAnsi" w:cstheme="minorHAnsi"/>
          <w:sz w:val="22"/>
          <w:szCs w:val="22"/>
        </w:rPr>
        <w:t xml:space="preserve">, the interviewer will use </w:t>
      </w:r>
      <w:r w:rsidRPr="008551C5" w:rsidR="00BD7E07">
        <w:rPr>
          <w:rFonts w:asciiTheme="minorHAnsi" w:hAnsiTheme="minorHAnsi" w:cstheme="minorHAnsi"/>
          <w:sz w:val="22"/>
          <w:szCs w:val="22"/>
        </w:rPr>
        <w:t>a showcard booklet for all respondents, and, for female respondents, a</w:t>
      </w:r>
      <w:r w:rsidRPr="008551C5">
        <w:rPr>
          <w:rFonts w:asciiTheme="minorHAnsi" w:hAnsiTheme="minorHAnsi" w:cstheme="minorHAnsi"/>
          <w:sz w:val="22"/>
          <w:szCs w:val="22"/>
        </w:rPr>
        <w:t xml:space="preserve"> paper </w:t>
      </w:r>
      <w:r w:rsidRPr="008551C5" w:rsidR="009C3294">
        <w:rPr>
          <w:rFonts w:asciiTheme="minorHAnsi" w:hAnsiTheme="minorHAnsi" w:cstheme="minorHAnsi"/>
          <w:sz w:val="22"/>
          <w:szCs w:val="22"/>
        </w:rPr>
        <w:t>l</w:t>
      </w:r>
      <w:r w:rsidRPr="008551C5">
        <w:rPr>
          <w:rFonts w:asciiTheme="minorHAnsi" w:hAnsiTheme="minorHAnsi" w:cstheme="minorHAnsi"/>
          <w:sz w:val="22"/>
          <w:szCs w:val="22"/>
        </w:rPr>
        <w:t xml:space="preserve">ife </w:t>
      </w:r>
      <w:r w:rsidRPr="008551C5" w:rsidR="009C3294">
        <w:rPr>
          <w:rFonts w:asciiTheme="minorHAnsi" w:hAnsiTheme="minorHAnsi" w:cstheme="minorHAnsi"/>
          <w:sz w:val="22"/>
          <w:szCs w:val="22"/>
        </w:rPr>
        <w:t>h</w:t>
      </w:r>
      <w:r w:rsidRPr="008551C5">
        <w:rPr>
          <w:rFonts w:asciiTheme="minorHAnsi" w:hAnsiTheme="minorHAnsi" w:cstheme="minorHAnsi"/>
          <w:sz w:val="22"/>
          <w:szCs w:val="22"/>
        </w:rPr>
        <w:t xml:space="preserve">istory </w:t>
      </w:r>
      <w:r w:rsidRPr="008551C5" w:rsidR="009C3294">
        <w:rPr>
          <w:rFonts w:asciiTheme="minorHAnsi" w:hAnsiTheme="minorHAnsi" w:cstheme="minorHAnsi"/>
          <w:sz w:val="22"/>
          <w:szCs w:val="22"/>
        </w:rPr>
        <w:t>c</w:t>
      </w:r>
      <w:r w:rsidRPr="008551C5">
        <w:rPr>
          <w:rFonts w:asciiTheme="minorHAnsi" w:hAnsiTheme="minorHAnsi" w:cstheme="minorHAnsi"/>
          <w:sz w:val="22"/>
          <w:szCs w:val="22"/>
        </w:rPr>
        <w:t xml:space="preserve">alendar. The interviewer will </w:t>
      </w:r>
      <w:r w:rsidRPr="008551C5">
        <w:rPr>
          <w:rFonts w:asciiTheme="minorHAnsi" w:hAnsiTheme="minorHAnsi" w:cstheme="minorHAnsi"/>
          <w:sz w:val="22"/>
          <w:szCs w:val="22"/>
        </w:rPr>
        <w:lastRenderedPageBreak/>
        <w:t>read questions to the respondent and enter the responses into the tablet computer. To address infectious disease-related concerns, the interviewer will clean the tablet and the laminated showcard booklet with the sanitizing wipes prior to use by the respondent. The interviewer will perform this cleaning in the presence of the respondent. The tablet and showcard booklet are</w:t>
      </w:r>
      <w:r w:rsidRPr="008551C5" w:rsidR="002961F6">
        <w:rPr>
          <w:rFonts w:asciiTheme="minorHAnsi" w:hAnsiTheme="minorHAnsi" w:cstheme="minorHAnsi"/>
          <w:sz w:val="22"/>
          <w:szCs w:val="22"/>
        </w:rPr>
        <w:t xml:space="preserve"> also</w:t>
      </w:r>
      <w:r w:rsidRPr="008551C5">
        <w:rPr>
          <w:rFonts w:asciiTheme="minorHAnsi" w:hAnsiTheme="minorHAnsi" w:cstheme="minorHAnsi"/>
          <w:sz w:val="22"/>
          <w:szCs w:val="22"/>
        </w:rPr>
        <w:t xml:space="preserve"> wiped down after each </w:t>
      </w:r>
      <w:r w:rsidRPr="008551C5" w:rsidR="00BD7E07">
        <w:rPr>
          <w:rFonts w:asciiTheme="minorHAnsi" w:hAnsiTheme="minorHAnsi" w:cstheme="minorHAnsi"/>
          <w:sz w:val="22"/>
          <w:szCs w:val="22"/>
        </w:rPr>
        <w:t>interview</w:t>
      </w:r>
      <w:r w:rsidRPr="008551C5">
        <w:rPr>
          <w:rFonts w:asciiTheme="minorHAnsi" w:hAnsiTheme="minorHAnsi" w:cstheme="minorHAnsi"/>
          <w:sz w:val="22"/>
          <w:szCs w:val="22"/>
        </w:rPr>
        <w:t xml:space="preserve">. </w:t>
      </w:r>
    </w:p>
    <w:p w:rsidRPr="008551C5" w:rsidR="00B86198" w:rsidP="001655F4" w:rsidRDefault="001942B1" w14:paraId="4468FC7B" w14:textId="49221D27">
      <w:pPr>
        <w:tabs>
          <w:tab w:val="left" w:pos="-1440"/>
          <w:tab w:val="left" w:pos="720"/>
        </w:tabs>
        <w:ind w:left="810" w:hanging="810"/>
        <w:rPr>
          <w:rFonts w:asciiTheme="minorHAnsi" w:hAnsiTheme="minorHAnsi" w:cstheme="minorHAnsi"/>
          <w:sz w:val="22"/>
          <w:szCs w:val="22"/>
        </w:rPr>
      </w:pPr>
      <w:r w:rsidRPr="008551C5">
        <w:rPr>
          <w:rFonts w:asciiTheme="minorHAnsi" w:hAnsiTheme="minorHAnsi" w:cstheme="minorHAnsi"/>
          <w:sz w:val="22"/>
          <w:szCs w:val="22"/>
        </w:rPr>
        <w:tab/>
      </w:r>
      <w:r w:rsidRPr="008551C5" w:rsidR="006475B7">
        <w:rPr>
          <w:rFonts w:asciiTheme="minorHAnsi" w:hAnsiTheme="minorHAnsi" w:cstheme="minorHAnsi"/>
          <w:sz w:val="22"/>
          <w:szCs w:val="22"/>
        </w:rPr>
        <w:tab/>
      </w:r>
      <w:r w:rsidRPr="008551C5" w:rsidR="006475B7">
        <w:rPr>
          <w:rFonts w:asciiTheme="minorHAnsi" w:hAnsiTheme="minorHAnsi" w:cstheme="minorHAnsi"/>
          <w:sz w:val="22"/>
          <w:szCs w:val="22"/>
        </w:rPr>
        <w:tab/>
      </w:r>
      <w:r w:rsidRPr="008551C5" w:rsidR="00B86198">
        <w:rPr>
          <w:rFonts w:asciiTheme="minorHAnsi" w:hAnsiTheme="minorHAnsi" w:cstheme="minorHAnsi"/>
          <w:sz w:val="22"/>
          <w:szCs w:val="22"/>
        </w:rPr>
        <w:t>Prior to beginning the respondent self-administered section</w:t>
      </w:r>
      <w:r w:rsidRPr="008551C5" w:rsidR="002961F6">
        <w:rPr>
          <w:rFonts w:asciiTheme="minorHAnsi" w:hAnsiTheme="minorHAnsi" w:cstheme="minorHAnsi"/>
          <w:sz w:val="22"/>
          <w:szCs w:val="22"/>
        </w:rPr>
        <w:t xml:space="preserve">, the final section of the NSFG survey, </w:t>
      </w:r>
      <w:r w:rsidRPr="008551C5" w:rsidR="00B86198">
        <w:rPr>
          <w:rFonts w:asciiTheme="minorHAnsi" w:hAnsiTheme="minorHAnsi" w:cstheme="minorHAnsi"/>
          <w:sz w:val="22"/>
          <w:szCs w:val="22"/>
        </w:rPr>
        <w:t xml:space="preserve">the interviewer will lead the respondent through a brief computer tutorial to make sure that the respondent is comfortable using the tablet computer. The interviewer will then move away from the tablet to </w:t>
      </w:r>
      <w:r w:rsidRPr="008551C5" w:rsidR="002961F6">
        <w:rPr>
          <w:rFonts w:asciiTheme="minorHAnsi" w:hAnsiTheme="minorHAnsi" w:cstheme="minorHAnsi"/>
          <w:sz w:val="22"/>
          <w:szCs w:val="22"/>
        </w:rPr>
        <w:t xml:space="preserve">give </w:t>
      </w:r>
      <w:r w:rsidRPr="008551C5" w:rsidR="00B86198">
        <w:rPr>
          <w:rFonts w:asciiTheme="minorHAnsi" w:hAnsiTheme="minorHAnsi" w:cstheme="minorHAnsi"/>
          <w:sz w:val="22"/>
          <w:szCs w:val="22"/>
        </w:rPr>
        <w:t xml:space="preserve">the respondent privacy so he/she can complete the self-administered section of the questionnaire. During the self-administered section, the interviewer will complete the interviewer observations </w:t>
      </w:r>
      <w:r w:rsidRPr="008551C5" w:rsidR="002961F6">
        <w:rPr>
          <w:rFonts w:asciiTheme="minorHAnsi" w:hAnsiTheme="minorHAnsi" w:cstheme="minorHAnsi"/>
          <w:b/>
          <w:bCs/>
          <w:sz w:val="22"/>
          <w:szCs w:val="22"/>
        </w:rPr>
        <w:t xml:space="preserve">(Attachment L) </w:t>
      </w:r>
      <w:r w:rsidRPr="008551C5" w:rsidR="00B86198">
        <w:rPr>
          <w:rFonts w:asciiTheme="minorHAnsi" w:hAnsiTheme="minorHAnsi" w:cstheme="minorHAnsi"/>
          <w:sz w:val="22"/>
          <w:szCs w:val="22"/>
        </w:rPr>
        <w:t xml:space="preserve">on paper. At the end of the self-administered section, there is a password screen so that the questionnaire program will lock, preventing the interviewer from going back to the self-administered section to review answers. </w:t>
      </w:r>
    </w:p>
    <w:p w:rsidRPr="008551C5" w:rsidR="00B86198" w:rsidP="001655F4" w:rsidRDefault="001942B1" w14:paraId="0AAAD281" w14:textId="6485EE5E">
      <w:pPr>
        <w:tabs>
          <w:tab w:val="left" w:pos="-1440"/>
          <w:tab w:val="left" w:pos="720"/>
        </w:tabs>
        <w:ind w:left="810" w:hanging="810"/>
        <w:rPr>
          <w:rFonts w:asciiTheme="minorHAnsi" w:hAnsiTheme="minorHAnsi" w:cstheme="minorHAnsi"/>
          <w:sz w:val="22"/>
          <w:szCs w:val="22"/>
        </w:rPr>
      </w:pPr>
      <w:r w:rsidRPr="008551C5">
        <w:rPr>
          <w:rFonts w:asciiTheme="minorHAnsi" w:hAnsiTheme="minorHAnsi" w:cstheme="minorHAnsi"/>
          <w:sz w:val="22"/>
          <w:szCs w:val="22"/>
        </w:rPr>
        <w:tab/>
      </w:r>
      <w:r w:rsidRPr="008551C5" w:rsidR="006475B7">
        <w:rPr>
          <w:rFonts w:asciiTheme="minorHAnsi" w:hAnsiTheme="minorHAnsi" w:cstheme="minorHAnsi"/>
          <w:sz w:val="22"/>
          <w:szCs w:val="22"/>
        </w:rPr>
        <w:tab/>
      </w:r>
      <w:r w:rsidRPr="008551C5" w:rsidR="006475B7">
        <w:rPr>
          <w:rFonts w:asciiTheme="minorHAnsi" w:hAnsiTheme="minorHAnsi" w:cstheme="minorHAnsi"/>
          <w:sz w:val="22"/>
          <w:szCs w:val="22"/>
        </w:rPr>
        <w:tab/>
      </w:r>
      <w:r w:rsidRPr="008551C5" w:rsidR="00B86198">
        <w:rPr>
          <w:rFonts w:asciiTheme="minorHAnsi" w:hAnsiTheme="minorHAnsi" w:cstheme="minorHAnsi"/>
          <w:sz w:val="22"/>
          <w:szCs w:val="22"/>
        </w:rPr>
        <w:t xml:space="preserve">In multimode-eligible households that choose to complete the NSFG survey online, once consent or parental permission and </w:t>
      </w:r>
      <w:r w:rsidRPr="008551C5" w:rsidR="002961F6">
        <w:rPr>
          <w:rFonts w:asciiTheme="minorHAnsi" w:hAnsiTheme="minorHAnsi" w:cstheme="minorHAnsi"/>
          <w:sz w:val="22"/>
          <w:szCs w:val="22"/>
        </w:rPr>
        <w:t xml:space="preserve">minor </w:t>
      </w:r>
      <w:r w:rsidRPr="008551C5" w:rsidR="00B86198">
        <w:rPr>
          <w:rFonts w:asciiTheme="minorHAnsi" w:hAnsiTheme="minorHAnsi" w:cstheme="minorHAnsi"/>
          <w:sz w:val="22"/>
          <w:szCs w:val="22"/>
        </w:rPr>
        <w:t>assent has been obtained</w:t>
      </w:r>
      <w:r w:rsidRPr="008551C5" w:rsidR="002961F6">
        <w:rPr>
          <w:rFonts w:asciiTheme="minorHAnsi" w:hAnsiTheme="minorHAnsi" w:cstheme="minorHAnsi"/>
          <w:sz w:val="22"/>
          <w:szCs w:val="22"/>
        </w:rPr>
        <w:t xml:space="preserve">, </w:t>
      </w:r>
      <w:r w:rsidRPr="008551C5" w:rsidR="00B86198">
        <w:rPr>
          <w:rFonts w:asciiTheme="minorHAnsi" w:hAnsiTheme="minorHAnsi" w:cstheme="minorHAnsi"/>
          <w:sz w:val="22"/>
          <w:szCs w:val="22"/>
        </w:rPr>
        <w:t xml:space="preserve">the selected respondent will read </w:t>
      </w:r>
      <w:r w:rsidRPr="008551C5" w:rsidR="002961F6">
        <w:rPr>
          <w:rFonts w:asciiTheme="minorHAnsi" w:hAnsiTheme="minorHAnsi" w:cstheme="minorHAnsi"/>
          <w:sz w:val="22"/>
          <w:szCs w:val="22"/>
        </w:rPr>
        <w:t xml:space="preserve">all </w:t>
      </w:r>
      <w:r w:rsidRPr="008551C5" w:rsidR="00B86198">
        <w:rPr>
          <w:rFonts w:asciiTheme="minorHAnsi" w:hAnsiTheme="minorHAnsi" w:cstheme="minorHAnsi"/>
          <w:sz w:val="22"/>
          <w:szCs w:val="22"/>
        </w:rPr>
        <w:t>the questions to themselves and enter responses into the</w:t>
      </w:r>
      <w:r w:rsidRPr="008551C5" w:rsidR="00BD7E07">
        <w:rPr>
          <w:rFonts w:asciiTheme="minorHAnsi" w:hAnsiTheme="minorHAnsi" w:cstheme="minorHAnsi"/>
          <w:sz w:val="22"/>
          <w:szCs w:val="22"/>
        </w:rPr>
        <w:t xml:space="preserve"> online</w:t>
      </w:r>
      <w:r w:rsidRPr="008551C5" w:rsidR="00B86198">
        <w:rPr>
          <w:rFonts w:asciiTheme="minorHAnsi" w:hAnsiTheme="minorHAnsi" w:cstheme="minorHAnsi"/>
          <w:sz w:val="22"/>
          <w:szCs w:val="22"/>
        </w:rPr>
        <w:t xml:space="preserve"> survey </w:t>
      </w:r>
      <w:r w:rsidRPr="008551C5" w:rsidR="00BD7E07">
        <w:rPr>
          <w:rFonts w:asciiTheme="minorHAnsi" w:hAnsiTheme="minorHAnsi" w:cstheme="minorHAnsi"/>
          <w:sz w:val="22"/>
          <w:szCs w:val="22"/>
        </w:rPr>
        <w:t>application</w:t>
      </w:r>
      <w:r w:rsidRPr="008551C5" w:rsidR="00B86198">
        <w:rPr>
          <w:rFonts w:asciiTheme="minorHAnsi" w:hAnsiTheme="minorHAnsi" w:cstheme="minorHAnsi"/>
          <w:sz w:val="22"/>
          <w:szCs w:val="22"/>
        </w:rPr>
        <w:t>.</w:t>
      </w:r>
    </w:p>
    <w:p w:rsidRPr="008551C5" w:rsidR="00882CE6" w:rsidP="001655F4" w:rsidRDefault="00882CE6" w14:paraId="5EF185B2"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6320F940" w14:textId="2F5159DF">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Upon leaving the </w:t>
      </w:r>
      <w:r w:rsidRPr="008551C5" w:rsidR="002961F6">
        <w:rPr>
          <w:rFonts w:asciiTheme="minorHAnsi" w:hAnsiTheme="minorHAnsi" w:cstheme="minorHAnsi"/>
          <w:sz w:val="22"/>
          <w:szCs w:val="22"/>
        </w:rPr>
        <w:t xml:space="preserve">respondent’s </w:t>
      </w:r>
      <w:r w:rsidRPr="008551C5">
        <w:rPr>
          <w:rFonts w:asciiTheme="minorHAnsi" w:hAnsiTheme="minorHAnsi" w:cstheme="minorHAnsi"/>
          <w:sz w:val="22"/>
          <w:szCs w:val="22"/>
        </w:rPr>
        <w:t xml:space="preserve">home after the FTF interview, the interviewer will enter the information she recorded on the paper interviewer observations </w:t>
      </w:r>
      <w:r w:rsidRPr="008551C5" w:rsidR="002961F6">
        <w:rPr>
          <w:rFonts w:asciiTheme="minorHAnsi" w:hAnsiTheme="minorHAnsi" w:cstheme="minorHAnsi"/>
          <w:sz w:val="22"/>
          <w:szCs w:val="22"/>
        </w:rPr>
        <w:t>form</w:t>
      </w:r>
      <w:r w:rsidRPr="008551C5">
        <w:rPr>
          <w:rFonts w:asciiTheme="minorHAnsi" w:hAnsiTheme="minorHAnsi" w:cstheme="minorHAnsi"/>
          <w:sz w:val="22"/>
          <w:szCs w:val="22"/>
        </w:rPr>
        <w:t xml:space="preserve"> into her tablet. This will allow the information to be transmitted to RTI with the </w:t>
      </w:r>
      <w:r w:rsidRPr="008551C5" w:rsidR="002961F6">
        <w:rPr>
          <w:rFonts w:asciiTheme="minorHAnsi" w:hAnsiTheme="minorHAnsi" w:cstheme="minorHAnsi"/>
          <w:sz w:val="22"/>
          <w:szCs w:val="22"/>
        </w:rPr>
        <w:t xml:space="preserve">respondent’s main </w:t>
      </w:r>
      <w:r w:rsidRPr="008551C5">
        <w:rPr>
          <w:rFonts w:asciiTheme="minorHAnsi" w:hAnsiTheme="minorHAnsi" w:cstheme="minorHAnsi"/>
          <w:sz w:val="22"/>
          <w:szCs w:val="22"/>
        </w:rPr>
        <w:t>survey data. The interviewer will then shred the hardcopy form. When the interviewer returns home, she will transmit the completed case (along with any record of actions) back to RTI.</w:t>
      </w:r>
    </w:p>
    <w:p w:rsidRPr="008551C5" w:rsidR="00882CE6" w:rsidP="001655F4" w:rsidRDefault="00882CE6" w14:paraId="6BC50672"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3AB2F228" w14:textId="72A2D4A7">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As part of follow-up, FTF-only households or selected FTF-only household members who, before the screener or before the main survey, express a specific concern about participating in the study are mailed a letter that addresses their concern. An interviewer will re-visit the household after sufficient time has elapsed for the letter to arrive. </w:t>
      </w:r>
    </w:p>
    <w:p w:rsidRPr="008551C5" w:rsidR="00B86198" w:rsidP="001655F4" w:rsidRDefault="001942B1" w14:paraId="7EBA78D9" w14:textId="423DA1CD">
      <w:pPr>
        <w:tabs>
          <w:tab w:val="left" w:pos="-1440"/>
          <w:tab w:val="left" w:pos="720"/>
        </w:tabs>
        <w:ind w:left="720" w:hanging="360"/>
        <w:rPr>
          <w:rFonts w:asciiTheme="minorHAnsi" w:hAnsiTheme="minorHAnsi" w:cstheme="minorHAnsi"/>
          <w:sz w:val="22"/>
          <w:szCs w:val="22"/>
        </w:rPr>
      </w:pPr>
      <w:r w:rsidRPr="008551C5">
        <w:rPr>
          <w:rFonts w:asciiTheme="minorHAnsi" w:hAnsiTheme="minorHAnsi" w:cstheme="minorHAnsi"/>
          <w:sz w:val="22"/>
          <w:szCs w:val="22"/>
        </w:rPr>
        <w:tab/>
      </w:r>
      <w:r w:rsidRPr="008551C5">
        <w:rPr>
          <w:rFonts w:asciiTheme="minorHAnsi" w:hAnsiTheme="minorHAnsi" w:cstheme="minorHAnsi"/>
          <w:sz w:val="22"/>
          <w:szCs w:val="22"/>
        </w:rPr>
        <w:tab/>
      </w:r>
      <w:r w:rsidRPr="008551C5" w:rsidR="00B86198">
        <w:rPr>
          <w:rFonts w:asciiTheme="minorHAnsi" w:hAnsiTheme="minorHAnsi" w:cstheme="minorHAnsi"/>
          <w:sz w:val="22"/>
          <w:szCs w:val="22"/>
        </w:rPr>
        <w:t xml:space="preserve">Multimode-eligible selected household members who do not immediately complete their online NSFG </w:t>
      </w:r>
      <w:r w:rsidRPr="008551C5" w:rsidR="00584FB3">
        <w:rPr>
          <w:rFonts w:asciiTheme="minorHAnsi" w:hAnsiTheme="minorHAnsi" w:cstheme="minorHAnsi"/>
          <w:sz w:val="22"/>
          <w:szCs w:val="22"/>
        </w:rPr>
        <w:t xml:space="preserve">main </w:t>
      </w:r>
      <w:r w:rsidRPr="008551C5" w:rsidR="00B86198">
        <w:rPr>
          <w:rFonts w:asciiTheme="minorHAnsi" w:hAnsiTheme="minorHAnsi" w:cstheme="minorHAnsi"/>
          <w:sz w:val="22"/>
          <w:szCs w:val="22"/>
        </w:rPr>
        <w:t xml:space="preserve">survey after completion of the brief online </w:t>
      </w:r>
      <w:r w:rsidRPr="008551C5" w:rsidR="00584FB3">
        <w:rPr>
          <w:rFonts w:asciiTheme="minorHAnsi" w:hAnsiTheme="minorHAnsi" w:cstheme="minorHAnsi"/>
          <w:sz w:val="22"/>
          <w:szCs w:val="22"/>
        </w:rPr>
        <w:t xml:space="preserve">household </w:t>
      </w:r>
      <w:r w:rsidRPr="008551C5" w:rsidR="00B86198">
        <w:rPr>
          <w:rFonts w:asciiTheme="minorHAnsi" w:hAnsiTheme="minorHAnsi" w:cstheme="minorHAnsi"/>
          <w:sz w:val="22"/>
          <w:szCs w:val="22"/>
        </w:rPr>
        <w:t>screening survey and who have consented to receiving</w:t>
      </w:r>
      <w:r w:rsidRPr="008551C5" w:rsidR="009D00BF">
        <w:rPr>
          <w:rFonts w:asciiTheme="minorHAnsi" w:hAnsiTheme="minorHAnsi" w:cstheme="minorHAnsi"/>
          <w:sz w:val="22"/>
          <w:szCs w:val="22"/>
        </w:rPr>
        <w:t xml:space="preserve"> email and/or text communications (or for whom email and/or cell number has been provided by a screener respondent)</w:t>
      </w:r>
      <w:r w:rsidRPr="008551C5" w:rsidR="00B86198">
        <w:rPr>
          <w:rFonts w:asciiTheme="minorHAnsi" w:hAnsiTheme="minorHAnsi" w:cstheme="minorHAnsi"/>
          <w:sz w:val="22"/>
          <w:szCs w:val="22"/>
        </w:rPr>
        <w:t xml:space="preserve"> are sent an electronic reminder via email and/or text depending on available information</w:t>
      </w:r>
      <w:r w:rsidR="00E17215">
        <w:rPr>
          <w:rFonts w:asciiTheme="minorHAnsi" w:hAnsiTheme="minorHAnsi" w:cstheme="minorHAnsi"/>
          <w:sz w:val="22"/>
          <w:szCs w:val="22"/>
        </w:rPr>
        <w:t xml:space="preserve"> </w:t>
      </w:r>
      <w:r w:rsidR="00E17215">
        <w:rPr>
          <w:rFonts w:asciiTheme="minorHAnsi" w:hAnsiTheme="minorHAnsi" w:cstheme="minorHAnsi"/>
          <w:b/>
          <w:bCs/>
          <w:sz w:val="22"/>
          <w:szCs w:val="22"/>
        </w:rPr>
        <w:t>(Attachment G9)</w:t>
      </w:r>
      <w:r w:rsidRPr="008551C5" w:rsidR="00B86198">
        <w:rPr>
          <w:rFonts w:asciiTheme="minorHAnsi" w:hAnsiTheme="minorHAnsi" w:cstheme="minorHAnsi"/>
          <w:sz w:val="22"/>
          <w:szCs w:val="22"/>
        </w:rPr>
        <w:t xml:space="preserve">. A mailed reminder letter is sent to the selected adult on the same day as the electronic reminder. Nonresponding selected household members are sent a second electronic and mailed reminder, as necessary. Selected household members who do not complete their online NSFG survey after the second reminder are sent a third and final electronic reminder. Two weeks after selection for the NSFG survey, but not before week 5 of the quarter, selected household members who have not completed their online NSFG </w:t>
      </w:r>
      <w:r w:rsidRPr="008551C5" w:rsidR="00584FB3">
        <w:rPr>
          <w:rFonts w:asciiTheme="minorHAnsi" w:hAnsiTheme="minorHAnsi" w:cstheme="minorHAnsi"/>
          <w:sz w:val="22"/>
          <w:szCs w:val="22"/>
        </w:rPr>
        <w:t xml:space="preserve">main </w:t>
      </w:r>
      <w:r w:rsidRPr="008551C5" w:rsidR="00B86198">
        <w:rPr>
          <w:rFonts w:asciiTheme="minorHAnsi" w:hAnsiTheme="minorHAnsi" w:cstheme="minorHAnsi"/>
          <w:sz w:val="22"/>
          <w:szCs w:val="22"/>
        </w:rPr>
        <w:t xml:space="preserve">survey and have received the three main survey reminders are assigned to an interviewer for FTF contact following the above steps starting at Step 3. The online NSFG </w:t>
      </w:r>
      <w:r w:rsidRPr="008551C5" w:rsidR="00584FB3">
        <w:rPr>
          <w:rFonts w:asciiTheme="minorHAnsi" w:hAnsiTheme="minorHAnsi" w:cstheme="minorHAnsi"/>
          <w:sz w:val="22"/>
          <w:szCs w:val="22"/>
        </w:rPr>
        <w:t xml:space="preserve">main </w:t>
      </w:r>
      <w:r w:rsidRPr="008551C5" w:rsidR="00B86198">
        <w:rPr>
          <w:rFonts w:asciiTheme="minorHAnsi" w:hAnsiTheme="minorHAnsi" w:cstheme="minorHAnsi"/>
          <w:sz w:val="22"/>
          <w:szCs w:val="22"/>
        </w:rPr>
        <w:t>survey completion option remains open</w:t>
      </w:r>
      <w:r w:rsidRPr="008551C5" w:rsidR="00CA04F7">
        <w:rPr>
          <w:rFonts w:asciiTheme="minorHAnsi" w:hAnsiTheme="minorHAnsi" w:cstheme="minorHAnsi"/>
          <w:sz w:val="22"/>
          <w:szCs w:val="22"/>
        </w:rPr>
        <w:t xml:space="preserve"> for the respondent, even</w:t>
      </w:r>
      <w:r w:rsidRPr="008551C5" w:rsidR="00B86198">
        <w:rPr>
          <w:rFonts w:asciiTheme="minorHAnsi" w:hAnsiTheme="minorHAnsi" w:cstheme="minorHAnsi"/>
          <w:sz w:val="22"/>
          <w:szCs w:val="22"/>
        </w:rPr>
        <w:t xml:space="preserve"> after </w:t>
      </w:r>
      <w:r w:rsidRPr="008551C5" w:rsidR="00CA04F7">
        <w:rPr>
          <w:rFonts w:asciiTheme="minorHAnsi" w:hAnsiTheme="minorHAnsi" w:cstheme="minorHAnsi"/>
          <w:sz w:val="22"/>
          <w:szCs w:val="22"/>
        </w:rPr>
        <w:t>assignment to an interviewer</w:t>
      </w:r>
      <w:r w:rsidRPr="008551C5" w:rsidR="00B86198">
        <w:rPr>
          <w:rFonts w:asciiTheme="minorHAnsi" w:hAnsiTheme="minorHAnsi" w:cstheme="minorHAnsi"/>
          <w:sz w:val="22"/>
          <w:szCs w:val="22"/>
        </w:rPr>
        <w:t>.</w:t>
      </w:r>
    </w:p>
    <w:p w:rsidRPr="008551C5" w:rsidR="00B86198" w:rsidP="001655F4" w:rsidRDefault="00B86198" w14:paraId="52BB098D" w14:textId="77777777">
      <w:pPr>
        <w:tabs>
          <w:tab w:val="left" w:pos="-1440"/>
          <w:tab w:val="left" w:pos="720"/>
        </w:tabs>
        <w:ind w:left="810" w:hanging="810"/>
        <w:rPr>
          <w:rFonts w:asciiTheme="minorHAnsi" w:hAnsiTheme="minorHAnsi" w:cstheme="minorHAnsi"/>
          <w:sz w:val="22"/>
          <w:szCs w:val="22"/>
        </w:rPr>
      </w:pPr>
    </w:p>
    <w:p w:rsidRPr="008551C5" w:rsidR="00B86198" w:rsidP="001655F4" w:rsidRDefault="00B86198" w14:paraId="6C6A55A3" w14:textId="3471092B">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After the reminders and letters described above have been sent, if there has been no response to the screener or to the main survey by the 13</w:t>
      </w:r>
      <w:r w:rsidRPr="008551C5">
        <w:rPr>
          <w:rFonts w:asciiTheme="minorHAnsi" w:hAnsiTheme="minorHAnsi" w:cstheme="minorHAnsi"/>
          <w:sz w:val="22"/>
          <w:szCs w:val="22"/>
          <w:vertAlign w:val="superscript"/>
        </w:rPr>
        <w:t>th</w:t>
      </w:r>
      <w:r w:rsidRPr="008551C5">
        <w:rPr>
          <w:rFonts w:asciiTheme="minorHAnsi" w:hAnsiTheme="minorHAnsi" w:cstheme="minorHAnsi"/>
          <w:sz w:val="22"/>
          <w:szCs w:val="22"/>
        </w:rPr>
        <w:t xml:space="preserve"> week of the quarter, a </w:t>
      </w:r>
      <w:r w:rsidRPr="008551C5" w:rsidR="005449F3">
        <w:rPr>
          <w:rFonts w:asciiTheme="minorHAnsi" w:hAnsiTheme="minorHAnsi" w:cstheme="minorHAnsi"/>
          <w:sz w:val="22"/>
          <w:szCs w:val="22"/>
        </w:rPr>
        <w:t xml:space="preserve">50% </w:t>
      </w:r>
      <w:r w:rsidRPr="008551C5">
        <w:rPr>
          <w:rFonts w:asciiTheme="minorHAnsi" w:hAnsiTheme="minorHAnsi" w:cstheme="minorHAnsi"/>
          <w:sz w:val="22"/>
          <w:szCs w:val="22"/>
        </w:rPr>
        <w:t xml:space="preserve">subsample of FTF-only and multimode-selected households and respondents who do not respond to repeated contact attempts are offered a higher token of appreciation amount and receive targeted </w:t>
      </w:r>
      <w:r w:rsidRPr="008551C5">
        <w:rPr>
          <w:rFonts w:asciiTheme="minorHAnsi" w:hAnsiTheme="minorHAnsi" w:cstheme="minorHAnsi"/>
          <w:sz w:val="22"/>
          <w:szCs w:val="22"/>
        </w:rPr>
        <w:lastRenderedPageBreak/>
        <w:t xml:space="preserve">contact attempts. </w:t>
      </w:r>
      <w:r w:rsidRPr="008551C5" w:rsidR="001E457B">
        <w:rPr>
          <w:rFonts w:asciiTheme="minorHAnsi" w:hAnsiTheme="minorHAnsi" w:cstheme="minorHAnsi"/>
          <w:sz w:val="22"/>
          <w:szCs w:val="22"/>
        </w:rPr>
        <w:t xml:space="preserve">This “Phase 3” protocol was described earlier in “Details of NSFG Sample </w:t>
      </w:r>
      <w:r w:rsidR="00320D30">
        <w:rPr>
          <w:rFonts w:asciiTheme="minorHAnsi" w:hAnsiTheme="minorHAnsi" w:cstheme="minorHAnsi"/>
          <w:sz w:val="22"/>
          <w:szCs w:val="22"/>
        </w:rPr>
        <w:t>Selection</w:t>
      </w:r>
      <w:r w:rsidR="00E17215">
        <w:rPr>
          <w:rFonts w:asciiTheme="minorHAnsi" w:hAnsiTheme="minorHAnsi" w:cstheme="minorHAnsi"/>
          <w:sz w:val="22"/>
          <w:szCs w:val="22"/>
        </w:rPr>
        <w:t>,</w:t>
      </w:r>
      <w:r w:rsidRPr="008551C5" w:rsidR="00053ECF">
        <w:rPr>
          <w:rFonts w:asciiTheme="minorHAnsi" w:hAnsiTheme="minorHAnsi" w:cstheme="minorHAnsi"/>
          <w:sz w:val="22"/>
          <w:szCs w:val="22"/>
        </w:rPr>
        <w:t>”</w:t>
      </w:r>
      <w:r w:rsidRPr="008551C5" w:rsidR="0033121E">
        <w:rPr>
          <w:rFonts w:asciiTheme="minorHAnsi" w:hAnsiTheme="minorHAnsi" w:cstheme="minorHAnsi"/>
          <w:sz w:val="22"/>
          <w:szCs w:val="22"/>
        </w:rPr>
        <w:t xml:space="preserve"> stage </w:t>
      </w:r>
      <w:r w:rsidRPr="008551C5" w:rsidR="001E457B">
        <w:rPr>
          <w:rFonts w:asciiTheme="minorHAnsi" w:hAnsiTheme="minorHAnsi" w:cstheme="minorHAnsi"/>
          <w:sz w:val="22"/>
          <w:szCs w:val="22"/>
        </w:rPr>
        <w:t xml:space="preserve">5.  </w:t>
      </w:r>
      <w:r w:rsidRPr="008551C5">
        <w:rPr>
          <w:rFonts w:asciiTheme="minorHAnsi" w:hAnsiTheme="minorHAnsi" w:cstheme="minorHAnsi"/>
          <w:sz w:val="22"/>
          <w:szCs w:val="22"/>
        </w:rPr>
        <w:t xml:space="preserve">For households who have not responded to the screener, an additional </w:t>
      </w:r>
      <w:r w:rsidRPr="008551C5" w:rsidR="003327A7">
        <w:rPr>
          <w:rFonts w:asciiTheme="minorHAnsi" w:hAnsiTheme="minorHAnsi" w:cstheme="minorHAnsi"/>
          <w:sz w:val="22"/>
          <w:szCs w:val="22"/>
        </w:rPr>
        <w:t xml:space="preserve">“Phase 3” </w:t>
      </w:r>
      <w:r w:rsidRPr="008551C5">
        <w:rPr>
          <w:rFonts w:asciiTheme="minorHAnsi" w:hAnsiTheme="minorHAnsi" w:cstheme="minorHAnsi"/>
          <w:sz w:val="22"/>
          <w:szCs w:val="22"/>
        </w:rPr>
        <w:t xml:space="preserve">lead letter </w:t>
      </w:r>
      <w:r w:rsidRPr="008551C5" w:rsidR="005449F3">
        <w:rPr>
          <w:rFonts w:asciiTheme="minorHAnsi" w:hAnsiTheme="minorHAnsi" w:cstheme="minorHAnsi"/>
          <w:b/>
          <w:bCs/>
          <w:sz w:val="22"/>
          <w:szCs w:val="22"/>
        </w:rPr>
        <w:t>(Attachment G1)</w:t>
      </w:r>
      <w:r w:rsidRPr="008551C5">
        <w:rPr>
          <w:rFonts w:asciiTheme="minorHAnsi" w:hAnsiTheme="minorHAnsi" w:cstheme="minorHAnsi"/>
          <w:b/>
          <w:bCs/>
          <w:sz w:val="22"/>
          <w:szCs w:val="22"/>
        </w:rPr>
        <w:t xml:space="preserve"> </w:t>
      </w:r>
      <w:r w:rsidRPr="008551C5">
        <w:rPr>
          <w:rFonts w:asciiTheme="minorHAnsi" w:hAnsiTheme="minorHAnsi" w:cstheme="minorHAnsi"/>
          <w:sz w:val="22"/>
          <w:szCs w:val="22"/>
        </w:rPr>
        <w:t xml:space="preserve">is sent, with an advance $5 incentive. For sample persons who have been chosen for the main interview and not yet responded, an additional </w:t>
      </w:r>
      <w:r w:rsidRPr="008551C5" w:rsidR="003327A7">
        <w:rPr>
          <w:rFonts w:asciiTheme="minorHAnsi" w:hAnsiTheme="minorHAnsi" w:cstheme="minorHAnsi"/>
          <w:sz w:val="22"/>
          <w:szCs w:val="22"/>
        </w:rPr>
        <w:t xml:space="preserve">“Phase 3” </w:t>
      </w:r>
      <w:r w:rsidRPr="008551C5">
        <w:rPr>
          <w:rFonts w:asciiTheme="minorHAnsi" w:hAnsiTheme="minorHAnsi" w:cstheme="minorHAnsi"/>
          <w:sz w:val="22"/>
          <w:szCs w:val="22"/>
        </w:rPr>
        <w:t xml:space="preserve">lead letter </w:t>
      </w:r>
      <w:r w:rsidRPr="008551C5" w:rsidR="005449F3">
        <w:rPr>
          <w:rFonts w:asciiTheme="minorHAnsi" w:hAnsiTheme="minorHAnsi" w:cstheme="minorHAnsi"/>
          <w:b/>
          <w:bCs/>
          <w:sz w:val="22"/>
          <w:szCs w:val="22"/>
        </w:rPr>
        <w:t>(Attachment G2)</w:t>
      </w:r>
      <w:r w:rsidRPr="008551C5">
        <w:rPr>
          <w:rFonts w:asciiTheme="minorHAnsi" w:hAnsiTheme="minorHAnsi" w:cstheme="minorHAnsi"/>
          <w:i/>
          <w:iCs/>
          <w:sz w:val="22"/>
          <w:szCs w:val="22"/>
        </w:rPr>
        <w:t xml:space="preserve"> </w:t>
      </w:r>
      <w:r w:rsidRPr="008551C5">
        <w:rPr>
          <w:rFonts w:asciiTheme="minorHAnsi" w:hAnsiTheme="minorHAnsi" w:cstheme="minorHAnsi"/>
          <w:sz w:val="22"/>
          <w:szCs w:val="22"/>
        </w:rPr>
        <w:t>is sent</w:t>
      </w:r>
      <w:r w:rsidRPr="008551C5" w:rsidR="009D00BF">
        <w:rPr>
          <w:rFonts w:asciiTheme="minorHAnsi" w:hAnsiTheme="minorHAnsi" w:cstheme="minorHAnsi"/>
          <w:sz w:val="22"/>
          <w:szCs w:val="22"/>
        </w:rPr>
        <w:t>.</w:t>
      </w:r>
      <w:r w:rsidRPr="008551C5">
        <w:rPr>
          <w:rFonts w:asciiTheme="minorHAnsi" w:hAnsiTheme="minorHAnsi" w:cstheme="minorHAnsi"/>
          <w:sz w:val="22"/>
          <w:szCs w:val="22"/>
        </w:rPr>
        <w:t xml:space="preserve"> Then</w:t>
      </w:r>
      <w:r w:rsidRPr="008551C5" w:rsidR="009D00BF">
        <w:rPr>
          <w:rFonts w:asciiTheme="minorHAnsi" w:hAnsiTheme="minorHAnsi" w:cstheme="minorHAnsi"/>
          <w:sz w:val="22"/>
          <w:szCs w:val="22"/>
        </w:rPr>
        <w:t>,</w:t>
      </w:r>
      <w:r w:rsidRPr="008551C5">
        <w:rPr>
          <w:rFonts w:asciiTheme="minorHAnsi" w:hAnsiTheme="minorHAnsi" w:cstheme="minorHAnsi"/>
          <w:sz w:val="22"/>
          <w:szCs w:val="22"/>
        </w:rPr>
        <w:t xml:space="preserve"> FTF contact attempts are made mirroring the above steps starting at Step 3</w:t>
      </w:r>
      <w:r w:rsidRPr="008551C5" w:rsidR="009D00BF">
        <w:rPr>
          <w:rFonts w:asciiTheme="minorHAnsi" w:hAnsiTheme="minorHAnsi" w:cstheme="minorHAnsi"/>
          <w:sz w:val="22"/>
          <w:szCs w:val="22"/>
        </w:rPr>
        <w:t>, but with an increased incentive amount:</w:t>
      </w:r>
      <w:r w:rsidRPr="008551C5">
        <w:rPr>
          <w:rFonts w:asciiTheme="minorHAnsi" w:hAnsiTheme="minorHAnsi" w:cstheme="minorHAnsi"/>
          <w:sz w:val="22"/>
          <w:szCs w:val="22"/>
        </w:rPr>
        <w:t xml:space="preserve"> those who are selected for the main survey are offered an additional $40 in advance of agreeing to the main survey. This $40 is in addition to the $40 the selected household member will be given when </w:t>
      </w:r>
      <w:r w:rsidRPr="008551C5" w:rsidR="00FC6052">
        <w:rPr>
          <w:rFonts w:asciiTheme="minorHAnsi" w:hAnsiTheme="minorHAnsi" w:cstheme="minorHAnsi"/>
          <w:sz w:val="22"/>
          <w:szCs w:val="22"/>
        </w:rPr>
        <w:t xml:space="preserve">he/she agrees to take part in </w:t>
      </w:r>
      <w:r w:rsidRPr="008551C5">
        <w:rPr>
          <w:rFonts w:asciiTheme="minorHAnsi" w:hAnsiTheme="minorHAnsi" w:cstheme="minorHAnsi"/>
          <w:sz w:val="22"/>
          <w:szCs w:val="22"/>
        </w:rPr>
        <w:t xml:space="preserve"> the main survey.</w:t>
      </w:r>
    </w:p>
    <w:p w:rsidRPr="008551C5" w:rsidR="00882CE6" w:rsidP="001655F4" w:rsidRDefault="00882CE6" w14:paraId="79B7517C" w14:textId="77777777">
      <w:pPr>
        <w:tabs>
          <w:tab w:val="left" w:pos="-1440"/>
          <w:tab w:val="left" w:pos="720"/>
        </w:tabs>
        <w:ind w:left="720"/>
        <w:rPr>
          <w:rFonts w:asciiTheme="minorHAnsi" w:hAnsiTheme="minorHAnsi" w:cstheme="minorHAnsi"/>
          <w:sz w:val="22"/>
          <w:szCs w:val="22"/>
        </w:rPr>
      </w:pPr>
    </w:p>
    <w:p w:rsidRPr="008551C5" w:rsidR="00CA4920" w:rsidP="001655F4" w:rsidRDefault="00B86198" w14:paraId="6CA5804F" w14:textId="140AEBCE">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In Year 1, Quarters 1 and 2, a subsample</w:t>
      </w:r>
      <w:r w:rsidRPr="008551C5" w:rsidR="003327A7">
        <w:rPr>
          <w:rFonts w:asciiTheme="minorHAnsi" w:hAnsiTheme="minorHAnsi" w:cstheme="minorHAnsi"/>
          <w:sz w:val="22"/>
          <w:szCs w:val="22"/>
        </w:rPr>
        <w:t>, referred to as Phase 4,</w:t>
      </w:r>
      <w:r w:rsidRPr="008551C5">
        <w:rPr>
          <w:rFonts w:asciiTheme="minorHAnsi" w:hAnsiTheme="minorHAnsi" w:cstheme="minorHAnsi"/>
          <w:sz w:val="22"/>
          <w:szCs w:val="22"/>
        </w:rPr>
        <w:t xml:space="preserve"> of remaining nonrespondents after Step 11 has been in place for 4 weeks will be mailed a short survey</w:t>
      </w:r>
      <w:r w:rsidRPr="008551C5" w:rsidR="005449F3">
        <w:rPr>
          <w:rFonts w:asciiTheme="minorHAnsi" w:hAnsiTheme="minorHAnsi" w:cstheme="minorHAnsi"/>
          <w:sz w:val="22"/>
          <w:szCs w:val="22"/>
        </w:rPr>
        <w:t xml:space="preserve"> with a $1 TOA included </w:t>
      </w:r>
      <w:r w:rsidRPr="008551C5" w:rsidR="005449F3">
        <w:rPr>
          <w:rFonts w:asciiTheme="minorHAnsi" w:hAnsiTheme="minorHAnsi" w:cstheme="minorHAnsi"/>
          <w:b/>
          <w:bCs/>
          <w:sz w:val="22"/>
          <w:szCs w:val="22"/>
        </w:rPr>
        <w:t>(See Attachment N)</w:t>
      </w:r>
      <w:r w:rsidRPr="008551C5">
        <w:rPr>
          <w:rFonts w:asciiTheme="minorHAnsi" w:hAnsiTheme="minorHAnsi" w:cstheme="minorHAnsi"/>
          <w:sz w:val="22"/>
          <w:szCs w:val="22"/>
        </w:rPr>
        <w:t>.</w:t>
      </w:r>
      <w:r w:rsidRPr="008551C5" w:rsidR="001C2543">
        <w:rPr>
          <w:rFonts w:asciiTheme="minorHAnsi" w:hAnsiTheme="minorHAnsi" w:cstheme="minorHAnsi"/>
          <w:sz w:val="22"/>
          <w:szCs w:val="22"/>
        </w:rPr>
        <w:t xml:space="preserve"> This procedure is described in more detail below within “Nonresponse Bias Analysis” and “Mode Experiment with</w:t>
      </w:r>
      <w:r w:rsidRPr="008551C5" w:rsidR="0061029B">
        <w:rPr>
          <w:rFonts w:asciiTheme="minorHAnsi" w:hAnsiTheme="minorHAnsi" w:cstheme="minorHAnsi"/>
          <w:sz w:val="22"/>
          <w:szCs w:val="22"/>
        </w:rPr>
        <w:t xml:space="preserve"> the</w:t>
      </w:r>
      <w:r w:rsidRPr="008551C5" w:rsidR="001C2543">
        <w:rPr>
          <w:rFonts w:asciiTheme="minorHAnsi" w:hAnsiTheme="minorHAnsi" w:cstheme="minorHAnsi"/>
          <w:sz w:val="22"/>
          <w:szCs w:val="22"/>
        </w:rPr>
        <w:t xml:space="preserve"> </w:t>
      </w:r>
      <w:r w:rsidRPr="008551C5" w:rsidR="0061029B">
        <w:rPr>
          <w:rFonts w:asciiTheme="minorHAnsi" w:hAnsiTheme="minorHAnsi" w:cstheme="minorHAnsi"/>
          <w:sz w:val="22"/>
          <w:szCs w:val="22"/>
        </w:rPr>
        <w:t>h</w:t>
      </w:r>
      <w:r w:rsidRPr="008551C5" w:rsidR="001C2543">
        <w:rPr>
          <w:rFonts w:asciiTheme="minorHAnsi" w:hAnsiTheme="minorHAnsi" w:cstheme="minorHAnsi"/>
          <w:sz w:val="22"/>
          <w:szCs w:val="22"/>
        </w:rPr>
        <w:t xml:space="preserve">ousehold </w:t>
      </w:r>
      <w:r w:rsidRPr="008551C5" w:rsidR="0061029B">
        <w:rPr>
          <w:rFonts w:asciiTheme="minorHAnsi" w:hAnsiTheme="minorHAnsi" w:cstheme="minorHAnsi"/>
          <w:sz w:val="22"/>
          <w:szCs w:val="22"/>
        </w:rPr>
        <w:t>s</w:t>
      </w:r>
      <w:r w:rsidRPr="008551C5" w:rsidR="001C2543">
        <w:rPr>
          <w:rFonts w:asciiTheme="minorHAnsi" w:hAnsiTheme="minorHAnsi" w:cstheme="minorHAnsi"/>
          <w:sz w:val="22"/>
          <w:szCs w:val="22"/>
        </w:rPr>
        <w:t xml:space="preserve">creener and </w:t>
      </w:r>
      <w:r w:rsidRPr="008551C5" w:rsidR="0061029B">
        <w:rPr>
          <w:rFonts w:asciiTheme="minorHAnsi" w:hAnsiTheme="minorHAnsi" w:cstheme="minorHAnsi"/>
          <w:sz w:val="22"/>
          <w:szCs w:val="22"/>
        </w:rPr>
        <w:t>m</w:t>
      </w:r>
      <w:r w:rsidRPr="008551C5" w:rsidR="001C2543">
        <w:rPr>
          <w:rFonts w:asciiTheme="minorHAnsi" w:hAnsiTheme="minorHAnsi" w:cstheme="minorHAnsi"/>
          <w:sz w:val="22"/>
          <w:szCs w:val="22"/>
        </w:rPr>
        <w:t xml:space="preserve">ain </w:t>
      </w:r>
      <w:r w:rsidRPr="008551C5" w:rsidR="0061029B">
        <w:rPr>
          <w:rFonts w:asciiTheme="minorHAnsi" w:hAnsiTheme="minorHAnsi" w:cstheme="minorHAnsi"/>
          <w:sz w:val="22"/>
          <w:szCs w:val="22"/>
        </w:rPr>
        <w:t>i</w:t>
      </w:r>
      <w:r w:rsidRPr="008551C5" w:rsidR="001C2543">
        <w:rPr>
          <w:rFonts w:asciiTheme="minorHAnsi" w:hAnsiTheme="minorHAnsi" w:cstheme="minorHAnsi"/>
          <w:sz w:val="22"/>
          <w:szCs w:val="22"/>
        </w:rPr>
        <w:t>nterview</w:t>
      </w:r>
      <w:r w:rsidRPr="008551C5" w:rsidR="002C74DA">
        <w:rPr>
          <w:rFonts w:asciiTheme="minorHAnsi" w:hAnsiTheme="minorHAnsi" w:cstheme="minorHAnsi"/>
          <w:sz w:val="22"/>
          <w:szCs w:val="22"/>
        </w:rPr>
        <w:t>.”</w:t>
      </w:r>
      <w:r w:rsidRPr="008551C5" w:rsidR="001C2543">
        <w:rPr>
          <w:rFonts w:asciiTheme="minorHAnsi" w:hAnsiTheme="minorHAnsi" w:cstheme="minorHAnsi"/>
          <w:sz w:val="22"/>
          <w:szCs w:val="22"/>
        </w:rPr>
        <w:t xml:space="preserve"> </w:t>
      </w:r>
      <w:r w:rsidRPr="008551C5">
        <w:rPr>
          <w:rFonts w:asciiTheme="minorHAnsi" w:hAnsiTheme="minorHAnsi" w:cstheme="minorHAnsi"/>
          <w:sz w:val="22"/>
          <w:szCs w:val="22"/>
        </w:rPr>
        <w:t xml:space="preserve"> For nonrespondents to the</w:t>
      </w:r>
      <w:r w:rsidRPr="008551C5" w:rsidR="003327A7">
        <w:rPr>
          <w:rFonts w:asciiTheme="minorHAnsi" w:hAnsiTheme="minorHAnsi" w:cstheme="minorHAnsi"/>
          <w:sz w:val="22"/>
          <w:szCs w:val="22"/>
        </w:rPr>
        <w:t xml:space="preserve"> household</w:t>
      </w:r>
      <w:r w:rsidRPr="008551C5">
        <w:rPr>
          <w:rFonts w:asciiTheme="minorHAnsi" w:hAnsiTheme="minorHAnsi" w:cstheme="minorHAnsi"/>
          <w:sz w:val="22"/>
          <w:szCs w:val="22"/>
        </w:rPr>
        <w:t xml:space="preserve"> screener, the survey will be used to determine eligibility</w:t>
      </w:r>
      <w:r w:rsidRPr="008551C5" w:rsidR="005449F3">
        <w:rPr>
          <w:rFonts w:asciiTheme="minorHAnsi" w:hAnsiTheme="minorHAnsi" w:cstheme="minorHAnsi"/>
          <w:sz w:val="22"/>
          <w:szCs w:val="22"/>
        </w:rPr>
        <w:t>, by asking whether any household members are ages 15-49.</w:t>
      </w:r>
      <w:r w:rsidRPr="008551C5">
        <w:rPr>
          <w:rFonts w:asciiTheme="minorHAnsi" w:hAnsiTheme="minorHAnsi" w:cstheme="minorHAnsi"/>
          <w:sz w:val="22"/>
          <w:szCs w:val="22"/>
        </w:rPr>
        <w:t xml:space="preserve"> For nonrespondents to the main interview, the survey will be used to collect limited information from main interview nonrespondents for nonresponse bias analyses, </w:t>
      </w:r>
      <w:r w:rsidRPr="008551C5" w:rsidR="00BB2A8C">
        <w:rPr>
          <w:rFonts w:asciiTheme="minorHAnsi" w:hAnsiTheme="minorHAnsi" w:cstheme="minorHAnsi"/>
          <w:sz w:val="22"/>
          <w:szCs w:val="22"/>
        </w:rPr>
        <w:t>such as number of live births/biological children, ever smoked 100 cigarettes, and health coverage in the past 12 months</w:t>
      </w:r>
      <w:r w:rsidRPr="008551C5" w:rsidR="00462881">
        <w:rPr>
          <w:rFonts w:asciiTheme="minorHAnsi" w:hAnsiTheme="minorHAnsi" w:cstheme="minorHAnsi"/>
          <w:sz w:val="22"/>
          <w:szCs w:val="22"/>
        </w:rPr>
        <w:t>.  The questions will be limited</w:t>
      </w:r>
      <w:r w:rsidRPr="008551C5" w:rsidR="005449F3">
        <w:rPr>
          <w:rFonts w:asciiTheme="minorHAnsi" w:hAnsiTheme="minorHAnsi" w:cstheme="minorHAnsi"/>
          <w:sz w:val="22"/>
          <w:szCs w:val="22"/>
        </w:rPr>
        <w:t xml:space="preserve"> t</w:t>
      </w:r>
      <w:r w:rsidRPr="008551C5" w:rsidR="00BB2A8C">
        <w:rPr>
          <w:rFonts w:asciiTheme="minorHAnsi" w:hAnsiTheme="minorHAnsi" w:cstheme="minorHAnsi"/>
          <w:sz w:val="22"/>
          <w:szCs w:val="22"/>
        </w:rPr>
        <w:t xml:space="preserve">o </w:t>
      </w:r>
      <w:r w:rsidRPr="008551C5" w:rsidR="00462881">
        <w:rPr>
          <w:rFonts w:asciiTheme="minorHAnsi" w:hAnsiTheme="minorHAnsi" w:cstheme="minorHAnsi"/>
          <w:sz w:val="22"/>
          <w:szCs w:val="22"/>
        </w:rPr>
        <w:t xml:space="preserve">what will </w:t>
      </w:r>
      <w:r w:rsidRPr="008551C5" w:rsidR="00BB2A8C">
        <w:rPr>
          <w:rFonts w:asciiTheme="minorHAnsi" w:hAnsiTheme="minorHAnsi" w:cstheme="minorHAnsi"/>
          <w:sz w:val="22"/>
          <w:szCs w:val="22"/>
        </w:rPr>
        <w:t>fit in a one-page questionnaire</w:t>
      </w:r>
      <w:r w:rsidR="00E17215">
        <w:rPr>
          <w:rFonts w:asciiTheme="minorHAnsi" w:hAnsiTheme="minorHAnsi" w:cstheme="minorHAnsi"/>
          <w:sz w:val="22"/>
          <w:szCs w:val="22"/>
        </w:rPr>
        <w:t xml:space="preserve"> </w:t>
      </w:r>
      <w:r w:rsidR="00E17215">
        <w:rPr>
          <w:rFonts w:asciiTheme="minorHAnsi" w:hAnsiTheme="minorHAnsi" w:cstheme="minorHAnsi"/>
          <w:b/>
          <w:bCs/>
          <w:sz w:val="22"/>
          <w:szCs w:val="22"/>
        </w:rPr>
        <w:t>(Attachment N3)</w:t>
      </w:r>
      <w:r w:rsidRPr="008551C5" w:rsidR="00CA4920">
        <w:rPr>
          <w:rFonts w:asciiTheme="minorHAnsi" w:hAnsiTheme="minorHAnsi" w:cstheme="minorHAnsi"/>
          <w:sz w:val="22"/>
          <w:szCs w:val="22"/>
        </w:rPr>
        <w:t>.</w:t>
      </w:r>
    </w:p>
    <w:p w:rsidRPr="008551C5" w:rsidR="000213C5" w:rsidP="000213C5" w:rsidRDefault="00714A5A" w14:paraId="3090EA29" w14:textId="7A6610E1">
      <w:pPr>
        <w:pStyle w:val="Heading2"/>
        <w:ind w:firstLine="360"/>
        <w:rPr>
          <w:rFonts w:asciiTheme="minorHAnsi" w:hAnsiTheme="minorHAnsi" w:cstheme="minorHAnsi"/>
          <w:i w:val="0"/>
          <w:iCs w:val="0"/>
          <w:sz w:val="22"/>
          <w:szCs w:val="22"/>
        </w:rPr>
      </w:pPr>
      <w:bookmarkStart w:name="_Toc79140734" w:id="11"/>
      <w:r w:rsidRPr="008551C5">
        <w:rPr>
          <w:rFonts w:asciiTheme="minorHAnsi" w:hAnsiTheme="minorHAnsi" w:cstheme="minorHAnsi"/>
          <w:i w:val="0"/>
          <w:iCs w:val="0"/>
          <w:sz w:val="22"/>
          <w:szCs w:val="22"/>
        </w:rPr>
        <w:t>Quality contro</w:t>
      </w:r>
      <w:r w:rsidRPr="008551C5" w:rsidR="005C7129">
        <w:rPr>
          <w:rFonts w:asciiTheme="minorHAnsi" w:hAnsiTheme="minorHAnsi" w:cstheme="minorHAnsi"/>
          <w:i w:val="0"/>
          <w:iCs w:val="0"/>
          <w:sz w:val="22"/>
          <w:szCs w:val="22"/>
        </w:rPr>
        <w:t>l</w:t>
      </w:r>
      <w:bookmarkEnd w:id="11"/>
    </w:p>
    <w:p w:rsidRPr="008551C5" w:rsidR="000213C5" w:rsidP="000213C5" w:rsidRDefault="000213C5" w14:paraId="2FB6339B" w14:textId="77777777">
      <w:pPr>
        <w:rPr>
          <w:rFonts w:asciiTheme="minorHAnsi" w:hAnsiTheme="minorHAnsi" w:cstheme="minorHAnsi"/>
          <w:sz w:val="22"/>
          <w:szCs w:val="22"/>
        </w:rPr>
      </w:pPr>
    </w:p>
    <w:p w:rsidRPr="008551C5" w:rsidR="00033AB0" w:rsidP="00882CE6" w:rsidRDefault="00B53E74" w14:paraId="3173F0F1" w14:textId="2D22786F">
      <w:pPr>
        <w:spacing w:line="276" w:lineRule="auto"/>
        <w:ind w:firstLine="720"/>
        <w:rPr>
          <w:rFonts w:asciiTheme="minorHAnsi" w:hAnsiTheme="minorHAnsi" w:cstheme="minorHAnsi"/>
          <w:sz w:val="22"/>
          <w:szCs w:val="22"/>
        </w:rPr>
      </w:pPr>
      <w:r w:rsidRPr="008551C5">
        <w:rPr>
          <w:rFonts w:asciiTheme="minorHAnsi" w:hAnsiTheme="minorHAnsi" w:cstheme="minorHAnsi"/>
          <w:b/>
          <w:bCs/>
          <w:sz w:val="22"/>
          <w:szCs w:val="22"/>
        </w:rPr>
        <w:t xml:space="preserve"> </w:t>
      </w:r>
      <w:r w:rsidRPr="008551C5">
        <w:rPr>
          <w:rFonts w:asciiTheme="minorHAnsi" w:hAnsiTheme="minorHAnsi" w:cstheme="minorHAnsi"/>
          <w:sz w:val="22"/>
          <w:szCs w:val="22"/>
        </w:rPr>
        <w:t xml:space="preserve">Quality control for NSFG data collection in 2022-2029 is achieved in several ways.  </w:t>
      </w:r>
    </w:p>
    <w:p w:rsidRPr="008551C5" w:rsidR="00882CE6" w:rsidP="00882CE6" w:rsidRDefault="00882CE6" w14:paraId="1E731643" w14:textId="77777777">
      <w:pPr>
        <w:spacing w:line="276" w:lineRule="auto"/>
        <w:ind w:firstLine="720"/>
        <w:rPr>
          <w:rFonts w:asciiTheme="minorHAnsi" w:hAnsiTheme="minorHAnsi" w:cstheme="minorHAnsi"/>
          <w:sz w:val="22"/>
          <w:szCs w:val="22"/>
        </w:rPr>
      </w:pPr>
    </w:p>
    <w:p w:rsidRPr="008551C5" w:rsidR="00033AB0" w:rsidP="00882CE6" w:rsidRDefault="00033AB0" w14:paraId="0AF0B6C1" w14:textId="1532265F">
      <w:pPr>
        <w:pStyle w:val="ListParagraph"/>
        <w:numPr>
          <w:ilvl w:val="0"/>
          <w:numId w:val="13"/>
        </w:numPr>
        <w:spacing w:line="240" w:lineRule="auto"/>
        <w:rPr>
          <w:rFonts w:eastAsia="Times New Roman" w:asciiTheme="minorHAnsi" w:hAnsiTheme="minorHAnsi" w:cstheme="minorHAnsi"/>
        </w:rPr>
      </w:pPr>
      <w:r w:rsidRPr="008551C5">
        <w:rPr>
          <w:rFonts w:eastAsia="Times New Roman" w:asciiTheme="minorHAnsi" w:hAnsiTheme="minorHAnsi" w:cstheme="minorHAnsi"/>
        </w:rPr>
        <w:t>T</w:t>
      </w:r>
      <w:r w:rsidRPr="008551C5" w:rsidR="00B53E74">
        <w:rPr>
          <w:rFonts w:eastAsia="Times New Roman" w:asciiTheme="minorHAnsi" w:hAnsiTheme="minorHAnsi" w:cstheme="minorHAnsi"/>
        </w:rPr>
        <w:t>he use of c</w:t>
      </w:r>
      <w:r w:rsidRPr="008551C5" w:rsidR="00714A5A">
        <w:rPr>
          <w:rFonts w:eastAsia="Times New Roman" w:asciiTheme="minorHAnsi" w:hAnsiTheme="minorHAnsi" w:cstheme="minorHAnsi"/>
        </w:rPr>
        <w:t>omputer</w:t>
      </w:r>
      <w:r w:rsidRPr="008551C5" w:rsidR="00195837">
        <w:rPr>
          <w:rFonts w:eastAsia="Times New Roman" w:asciiTheme="minorHAnsi" w:hAnsiTheme="minorHAnsi" w:cstheme="minorHAnsi"/>
        </w:rPr>
        <w:t>-</w:t>
      </w:r>
      <w:r w:rsidRPr="008551C5" w:rsidR="00714A5A">
        <w:rPr>
          <w:rFonts w:eastAsia="Times New Roman" w:asciiTheme="minorHAnsi" w:hAnsiTheme="minorHAnsi" w:cstheme="minorHAnsi"/>
        </w:rPr>
        <w:t xml:space="preserve">assisted </w:t>
      </w:r>
      <w:r w:rsidRPr="008551C5" w:rsidR="00B53E74">
        <w:rPr>
          <w:rFonts w:eastAsia="Times New Roman" w:asciiTheme="minorHAnsi" w:hAnsiTheme="minorHAnsi" w:cstheme="minorHAnsi"/>
        </w:rPr>
        <w:t>survey administration</w:t>
      </w:r>
      <w:r w:rsidRPr="008551C5" w:rsidR="00E84CF8">
        <w:rPr>
          <w:rFonts w:eastAsia="Times New Roman" w:asciiTheme="minorHAnsi" w:hAnsiTheme="minorHAnsi" w:cstheme="minorHAnsi"/>
        </w:rPr>
        <w:t xml:space="preserve"> (</w:t>
      </w:r>
      <w:r w:rsidRPr="008551C5" w:rsidR="00B53E74">
        <w:rPr>
          <w:rFonts w:eastAsia="Times New Roman" w:asciiTheme="minorHAnsi" w:hAnsiTheme="minorHAnsi" w:cstheme="minorHAnsi"/>
        </w:rPr>
        <w:t>whether in person or online)</w:t>
      </w:r>
      <w:r w:rsidRPr="008551C5" w:rsidR="00E84CF8">
        <w:rPr>
          <w:rFonts w:eastAsia="Times New Roman" w:asciiTheme="minorHAnsi" w:hAnsiTheme="minorHAnsi" w:cstheme="minorHAnsi"/>
        </w:rPr>
        <w:t xml:space="preserve"> </w:t>
      </w:r>
      <w:r w:rsidRPr="008551C5" w:rsidR="00714A5A">
        <w:rPr>
          <w:rFonts w:eastAsia="Times New Roman" w:asciiTheme="minorHAnsi" w:hAnsiTheme="minorHAnsi" w:cstheme="minorHAnsi"/>
        </w:rPr>
        <w:t>improves data quality</w:t>
      </w:r>
      <w:r w:rsidRPr="008551C5" w:rsidR="00B21F0A">
        <w:rPr>
          <w:rFonts w:eastAsia="Times New Roman" w:asciiTheme="minorHAnsi" w:hAnsiTheme="minorHAnsi" w:cstheme="minorHAnsi"/>
        </w:rPr>
        <w:t xml:space="preserve"> </w:t>
      </w:r>
      <w:r w:rsidRPr="008551C5" w:rsidR="00B53E74">
        <w:rPr>
          <w:rFonts w:eastAsia="Times New Roman" w:asciiTheme="minorHAnsi" w:hAnsiTheme="minorHAnsi" w:cstheme="minorHAnsi"/>
        </w:rPr>
        <w:t xml:space="preserve">and consistency by ensuring correct routing through the instrument and allowing resolution of inconsistencies directly with the respondent.  </w:t>
      </w:r>
    </w:p>
    <w:p w:rsidRPr="008551C5" w:rsidR="00A05E87" w:rsidP="00A05E87" w:rsidRDefault="00A05E87" w14:paraId="73AAE7B9" w14:textId="77777777">
      <w:pPr>
        <w:pStyle w:val="ListParagraph"/>
        <w:spacing w:line="240" w:lineRule="auto"/>
        <w:rPr>
          <w:rFonts w:eastAsia="Times New Roman" w:asciiTheme="minorHAnsi" w:hAnsiTheme="minorHAnsi" w:cstheme="minorHAnsi"/>
        </w:rPr>
      </w:pPr>
    </w:p>
    <w:p w:rsidRPr="008551C5" w:rsidR="00033AB0" w:rsidP="00882CE6" w:rsidRDefault="00033AB0" w14:paraId="627E0217" w14:textId="091131A9">
      <w:pPr>
        <w:pStyle w:val="ListParagraph"/>
        <w:numPr>
          <w:ilvl w:val="0"/>
          <w:numId w:val="13"/>
        </w:numPr>
        <w:spacing w:line="240" w:lineRule="auto"/>
        <w:rPr>
          <w:rFonts w:eastAsia="Times New Roman" w:asciiTheme="minorHAnsi" w:hAnsiTheme="minorHAnsi" w:cstheme="minorHAnsi"/>
        </w:rPr>
      </w:pPr>
      <w:r w:rsidRPr="008551C5">
        <w:rPr>
          <w:rFonts w:eastAsia="Times New Roman" w:asciiTheme="minorHAnsi" w:hAnsiTheme="minorHAnsi" w:cstheme="minorHAnsi"/>
        </w:rPr>
        <w:t xml:space="preserve">For interviewer-administered interviews, the instrument permits the entry of interviewer comments that are routinely reviewed by survey staff to assess the need for any data edits or improvements to the survey instrument.  </w:t>
      </w:r>
    </w:p>
    <w:p w:rsidRPr="008551C5" w:rsidR="00A05E87" w:rsidP="00A05E87" w:rsidRDefault="00A05E87" w14:paraId="49597CAF" w14:textId="77777777">
      <w:pPr>
        <w:pStyle w:val="ListParagraph"/>
        <w:spacing w:line="240" w:lineRule="auto"/>
        <w:rPr>
          <w:rFonts w:eastAsia="Times New Roman" w:asciiTheme="minorHAnsi" w:hAnsiTheme="minorHAnsi" w:cstheme="minorHAnsi"/>
        </w:rPr>
      </w:pPr>
    </w:p>
    <w:p w:rsidRPr="008551C5" w:rsidR="00527E31" w:rsidP="00882CE6" w:rsidRDefault="00527E31" w14:paraId="67D51183" w14:textId="0B0491C9">
      <w:pPr>
        <w:pStyle w:val="ListParagraph"/>
        <w:numPr>
          <w:ilvl w:val="0"/>
          <w:numId w:val="13"/>
        </w:numPr>
        <w:spacing w:line="240" w:lineRule="auto"/>
        <w:rPr>
          <w:rFonts w:eastAsia="Times New Roman" w:asciiTheme="minorHAnsi" w:hAnsiTheme="minorHAnsi" w:cstheme="minorHAnsi"/>
        </w:rPr>
      </w:pPr>
      <w:r w:rsidRPr="008551C5">
        <w:rPr>
          <w:rFonts w:eastAsia="Times New Roman" w:asciiTheme="minorHAnsi" w:hAnsiTheme="minorHAnsi" w:cstheme="minorHAnsi"/>
        </w:rPr>
        <w:t>The contractor employs a “Workflow and Control System” which allows the monitoring of the flow of data from the start of data collection through the creation of data files for analysis and delivery.  This allows tracking and managing events relating to advanced mailings, reminders, map generation, incentives, progress of interviews in the field, QA/QC outcomes, verification follow-up, and other information that will aid in smoothly controlling data collection operations. Organization of the many detailed and parallel processes is essential for quality control of operations and ultimately the data files.</w:t>
      </w:r>
    </w:p>
    <w:p w:rsidRPr="008551C5" w:rsidR="00A05E87" w:rsidP="00A05E87" w:rsidRDefault="00A05E87" w14:paraId="5AA52710" w14:textId="77777777">
      <w:pPr>
        <w:pStyle w:val="ListParagraph"/>
        <w:spacing w:line="240" w:lineRule="auto"/>
        <w:rPr>
          <w:rFonts w:eastAsia="Times New Roman" w:asciiTheme="minorHAnsi" w:hAnsiTheme="minorHAnsi" w:cstheme="minorHAnsi"/>
        </w:rPr>
      </w:pPr>
    </w:p>
    <w:p w:rsidRPr="008551C5" w:rsidR="009E554E" w:rsidP="00A05E87" w:rsidRDefault="00714A5A" w14:paraId="1C870F9A" w14:textId="7E88A169">
      <w:pPr>
        <w:pStyle w:val="ListParagraph"/>
        <w:numPr>
          <w:ilvl w:val="0"/>
          <w:numId w:val="13"/>
        </w:numPr>
        <w:spacing w:line="240" w:lineRule="auto"/>
        <w:rPr>
          <w:rFonts w:eastAsia="Times New Roman" w:asciiTheme="minorHAnsi" w:hAnsiTheme="minorHAnsi" w:cstheme="minorHAnsi"/>
        </w:rPr>
      </w:pPr>
      <w:r w:rsidRPr="008551C5">
        <w:rPr>
          <w:rFonts w:eastAsia="Times New Roman" w:asciiTheme="minorHAnsi" w:hAnsiTheme="minorHAnsi" w:cstheme="minorHAnsi"/>
        </w:rPr>
        <w:t>The "Verification" interview</w:t>
      </w:r>
      <w:r w:rsidRPr="008551C5" w:rsidR="005F434D">
        <w:rPr>
          <w:rFonts w:eastAsia="Times New Roman" w:asciiTheme="minorHAnsi" w:hAnsiTheme="minorHAnsi" w:cstheme="minorHAnsi"/>
        </w:rPr>
        <w:t xml:space="preserve"> </w:t>
      </w:r>
      <w:r w:rsidRPr="008551C5" w:rsidR="005A08AA">
        <w:rPr>
          <w:rFonts w:eastAsia="Times New Roman" w:asciiTheme="minorHAnsi" w:hAnsiTheme="minorHAnsi" w:cstheme="minorHAnsi"/>
          <w:b/>
          <w:bCs/>
        </w:rPr>
        <w:t>(Attachment K)</w:t>
      </w:r>
      <w:r w:rsidRPr="008551C5" w:rsidR="005A08AA">
        <w:rPr>
          <w:rFonts w:eastAsia="Times New Roman" w:asciiTheme="minorHAnsi" w:hAnsiTheme="minorHAnsi" w:cstheme="minorHAnsi"/>
        </w:rPr>
        <w:t xml:space="preserve"> </w:t>
      </w:r>
      <w:r w:rsidRPr="008551C5" w:rsidR="005F434D">
        <w:rPr>
          <w:rFonts w:eastAsia="Times New Roman" w:asciiTheme="minorHAnsi" w:hAnsiTheme="minorHAnsi" w:cstheme="minorHAnsi"/>
        </w:rPr>
        <w:t>will be employed as</w:t>
      </w:r>
      <w:r w:rsidRPr="008551C5">
        <w:rPr>
          <w:rFonts w:eastAsia="Times New Roman" w:asciiTheme="minorHAnsi" w:hAnsiTheme="minorHAnsi" w:cstheme="minorHAnsi"/>
        </w:rPr>
        <w:t xml:space="preserve"> a quality control procedure </w:t>
      </w:r>
      <w:r w:rsidRPr="008551C5" w:rsidR="003A3323">
        <w:rPr>
          <w:rFonts w:eastAsia="Times New Roman" w:asciiTheme="minorHAnsi" w:hAnsiTheme="minorHAnsi" w:cstheme="minorHAnsi"/>
        </w:rPr>
        <w:t>for FTF interviews</w:t>
      </w:r>
      <w:r w:rsidRPr="008551C5" w:rsidR="009E554E">
        <w:rPr>
          <w:rFonts w:eastAsia="Times New Roman" w:asciiTheme="minorHAnsi" w:hAnsiTheme="minorHAnsi" w:cstheme="minorHAnsi"/>
        </w:rPr>
        <w:t>.  The main purpose of verification interviews is to reduce the risk of—and identify—interview falsification and, to a lesser extent, to ascertain if the interviewer inadvertently contacted the wrong HU. Both reasons are related to interviewer error, whether deliberate or accidental. Therefore, verification interviews as described below will be conducted for FTF screeners and main interviews, but not conducted for web screeners and web main surveys.</w:t>
      </w:r>
    </w:p>
    <w:p w:rsidRPr="008551C5" w:rsidR="00714A5A" w:rsidP="00882CE6" w:rsidRDefault="009E554E" w14:paraId="3F01AE3F" w14:textId="5DE9C79D">
      <w:pPr>
        <w:ind w:left="720" w:firstLine="720"/>
        <w:rPr>
          <w:rFonts w:asciiTheme="minorHAnsi" w:hAnsiTheme="minorHAnsi" w:cstheme="minorHAnsi"/>
          <w:sz w:val="22"/>
          <w:szCs w:val="22"/>
        </w:rPr>
      </w:pPr>
      <w:r w:rsidRPr="008551C5">
        <w:rPr>
          <w:rFonts w:asciiTheme="minorHAnsi" w:hAnsiTheme="minorHAnsi" w:cstheme="minorHAnsi"/>
          <w:sz w:val="22"/>
          <w:szCs w:val="22"/>
        </w:rPr>
        <w:lastRenderedPageBreak/>
        <w:t>Verification procedures will involve</w:t>
      </w:r>
      <w:r w:rsidRPr="008551C5" w:rsidR="00714A5A">
        <w:rPr>
          <w:rFonts w:asciiTheme="minorHAnsi" w:hAnsiTheme="minorHAnsi" w:cstheme="minorHAnsi"/>
          <w:sz w:val="22"/>
          <w:szCs w:val="22"/>
        </w:rPr>
        <w:t xml:space="preserve"> a random sample of </w:t>
      </w:r>
      <w:r w:rsidRPr="008551C5" w:rsidR="0078017E">
        <w:rPr>
          <w:rFonts w:asciiTheme="minorHAnsi" w:hAnsiTheme="minorHAnsi" w:cstheme="minorHAnsi"/>
          <w:sz w:val="22"/>
          <w:szCs w:val="22"/>
        </w:rPr>
        <w:t xml:space="preserve">10% of </w:t>
      </w:r>
      <w:r w:rsidRPr="008551C5" w:rsidR="00714A5A">
        <w:rPr>
          <w:rFonts w:asciiTheme="minorHAnsi" w:hAnsiTheme="minorHAnsi" w:cstheme="minorHAnsi"/>
          <w:sz w:val="22"/>
          <w:szCs w:val="22"/>
        </w:rPr>
        <w:t>both</w:t>
      </w:r>
      <w:r w:rsidRPr="008551C5" w:rsidR="00C22072">
        <w:rPr>
          <w:rFonts w:asciiTheme="minorHAnsi" w:hAnsiTheme="minorHAnsi" w:cstheme="minorHAnsi"/>
          <w:sz w:val="22"/>
          <w:szCs w:val="22"/>
        </w:rPr>
        <w:t xml:space="preserve"> screened households and</w:t>
      </w:r>
      <w:r w:rsidRPr="008551C5" w:rsidR="00714A5A">
        <w:rPr>
          <w:rFonts w:asciiTheme="minorHAnsi" w:hAnsiTheme="minorHAnsi" w:cstheme="minorHAnsi"/>
          <w:sz w:val="22"/>
          <w:szCs w:val="22"/>
        </w:rPr>
        <w:t xml:space="preserve"> </w:t>
      </w:r>
      <w:r w:rsidRPr="008551C5" w:rsidR="00C22072">
        <w:rPr>
          <w:rFonts w:asciiTheme="minorHAnsi" w:hAnsiTheme="minorHAnsi" w:cstheme="minorHAnsi"/>
          <w:sz w:val="22"/>
          <w:szCs w:val="22"/>
        </w:rPr>
        <w:t xml:space="preserve">interviewed </w:t>
      </w:r>
      <w:r w:rsidRPr="008551C5" w:rsidR="00714A5A">
        <w:rPr>
          <w:rFonts w:asciiTheme="minorHAnsi" w:hAnsiTheme="minorHAnsi" w:cstheme="minorHAnsi"/>
          <w:sz w:val="22"/>
          <w:szCs w:val="22"/>
        </w:rPr>
        <w:t>respondents</w:t>
      </w:r>
      <w:r w:rsidRPr="008551C5">
        <w:rPr>
          <w:rFonts w:asciiTheme="minorHAnsi" w:hAnsiTheme="minorHAnsi" w:cstheme="minorHAnsi"/>
          <w:sz w:val="22"/>
          <w:szCs w:val="22"/>
        </w:rPr>
        <w:t>, to be</w:t>
      </w:r>
      <w:r w:rsidRPr="008551C5" w:rsidR="00C22072">
        <w:rPr>
          <w:rFonts w:asciiTheme="minorHAnsi" w:hAnsiTheme="minorHAnsi" w:cstheme="minorHAnsi"/>
          <w:sz w:val="22"/>
          <w:szCs w:val="22"/>
        </w:rPr>
        <w:t xml:space="preserve"> </w:t>
      </w:r>
      <w:r w:rsidRPr="008551C5" w:rsidR="00714A5A">
        <w:rPr>
          <w:rFonts w:asciiTheme="minorHAnsi" w:hAnsiTheme="minorHAnsi" w:cstheme="minorHAnsi"/>
          <w:sz w:val="22"/>
          <w:szCs w:val="22"/>
        </w:rPr>
        <w:t xml:space="preserve">contacted </w:t>
      </w:r>
      <w:r w:rsidRPr="008551C5" w:rsidR="005B7428">
        <w:rPr>
          <w:rFonts w:asciiTheme="minorHAnsi" w:hAnsiTheme="minorHAnsi" w:cstheme="minorHAnsi"/>
          <w:sz w:val="22"/>
          <w:szCs w:val="22"/>
        </w:rPr>
        <w:t xml:space="preserve">by </w:t>
      </w:r>
      <w:r w:rsidRPr="008551C5" w:rsidR="00714A5A">
        <w:rPr>
          <w:rFonts w:asciiTheme="minorHAnsi" w:hAnsiTheme="minorHAnsi" w:cstheme="minorHAnsi"/>
          <w:sz w:val="22"/>
          <w:szCs w:val="22"/>
        </w:rPr>
        <w:t>telephone after the interview to verify that the interview was conducted</w:t>
      </w:r>
      <w:r w:rsidRPr="008551C5" w:rsidR="0078017E">
        <w:rPr>
          <w:rFonts w:asciiTheme="minorHAnsi" w:hAnsiTheme="minorHAnsi" w:cstheme="minorHAnsi"/>
          <w:sz w:val="22"/>
          <w:szCs w:val="22"/>
        </w:rPr>
        <w:t xml:space="preserve">.  </w:t>
      </w:r>
      <w:r w:rsidRPr="008551C5" w:rsidR="00EE287C">
        <w:rPr>
          <w:rFonts w:asciiTheme="minorHAnsi" w:hAnsiTheme="minorHAnsi" w:cstheme="minorHAnsi"/>
          <w:sz w:val="22"/>
          <w:szCs w:val="22"/>
        </w:rPr>
        <w:t xml:space="preserve">If no phone number was provided, additional verification methods will include </w:t>
      </w:r>
      <w:bookmarkStart w:name="_Hlk68757495" w:id="12"/>
      <w:r w:rsidRPr="008551C5" w:rsidR="00EE287C">
        <w:rPr>
          <w:rFonts w:asciiTheme="minorHAnsi" w:hAnsiTheme="minorHAnsi" w:cstheme="minorHAnsi"/>
          <w:sz w:val="22"/>
          <w:szCs w:val="22"/>
        </w:rPr>
        <w:t>timing data reviews and keystroke audits</w:t>
      </w:r>
      <w:bookmarkEnd w:id="12"/>
      <w:r w:rsidRPr="008551C5" w:rsidR="00EE287C">
        <w:rPr>
          <w:rFonts w:asciiTheme="minorHAnsi" w:hAnsiTheme="minorHAnsi" w:cstheme="minorHAnsi"/>
          <w:sz w:val="22"/>
          <w:szCs w:val="22"/>
        </w:rPr>
        <w:t>, and a GPS coordinate</w:t>
      </w:r>
      <w:r w:rsidRPr="008551C5" w:rsidR="00A82845">
        <w:rPr>
          <w:rFonts w:asciiTheme="minorHAnsi" w:hAnsiTheme="minorHAnsi" w:cstheme="minorHAnsi"/>
          <w:sz w:val="22"/>
          <w:szCs w:val="22"/>
        </w:rPr>
        <w:t>s</w:t>
      </w:r>
      <w:r w:rsidRPr="008551C5" w:rsidR="00EE287C">
        <w:rPr>
          <w:rFonts w:asciiTheme="minorHAnsi" w:hAnsiTheme="minorHAnsi" w:cstheme="minorHAnsi"/>
          <w:sz w:val="22"/>
          <w:szCs w:val="22"/>
        </w:rPr>
        <w:t xml:space="preserve"> history</w:t>
      </w:r>
      <w:r w:rsidRPr="008551C5" w:rsidR="00CA10EE">
        <w:rPr>
          <w:rFonts w:asciiTheme="minorHAnsi" w:hAnsiTheme="minorHAnsi" w:cstheme="minorHAnsi"/>
          <w:sz w:val="22"/>
          <w:szCs w:val="22"/>
        </w:rPr>
        <w:t>.</w:t>
      </w:r>
      <w:r w:rsidRPr="008551C5" w:rsidR="00EE287C">
        <w:rPr>
          <w:rFonts w:asciiTheme="minorHAnsi" w:hAnsiTheme="minorHAnsi" w:cstheme="minorHAnsi"/>
          <w:sz w:val="22"/>
          <w:szCs w:val="22"/>
        </w:rPr>
        <w:t xml:space="preserve">  </w:t>
      </w:r>
      <w:r w:rsidRPr="008551C5" w:rsidR="00807C33">
        <w:rPr>
          <w:rFonts w:asciiTheme="minorHAnsi" w:hAnsiTheme="minorHAnsi" w:cstheme="minorHAnsi"/>
          <w:sz w:val="22"/>
          <w:szCs w:val="22"/>
        </w:rPr>
        <w:t xml:space="preserve"> </w:t>
      </w:r>
      <w:r w:rsidRPr="008551C5" w:rsidR="00CA10EE">
        <w:rPr>
          <w:rFonts w:asciiTheme="minorHAnsi" w:hAnsiTheme="minorHAnsi" w:cstheme="minorHAnsi"/>
          <w:sz w:val="22"/>
          <w:szCs w:val="22"/>
        </w:rPr>
        <w:t>V</w:t>
      </w:r>
      <w:r w:rsidRPr="008551C5" w:rsidR="0078017E">
        <w:rPr>
          <w:rFonts w:asciiTheme="minorHAnsi" w:hAnsiTheme="minorHAnsi" w:cstheme="minorHAnsi"/>
          <w:sz w:val="22"/>
          <w:szCs w:val="22"/>
        </w:rPr>
        <w:t xml:space="preserve">erification of households confirms </w:t>
      </w:r>
      <w:r w:rsidRPr="008551C5" w:rsidR="00416C17">
        <w:rPr>
          <w:rFonts w:asciiTheme="minorHAnsi" w:hAnsiTheme="minorHAnsi" w:cstheme="minorHAnsi"/>
          <w:sz w:val="22"/>
          <w:szCs w:val="22"/>
        </w:rPr>
        <w:t>eligibility status (</w:t>
      </w:r>
      <w:r w:rsidRPr="008551C5" w:rsidR="0078017E">
        <w:rPr>
          <w:rFonts w:asciiTheme="minorHAnsi" w:hAnsiTheme="minorHAnsi" w:cstheme="minorHAnsi"/>
          <w:sz w:val="22"/>
          <w:szCs w:val="22"/>
        </w:rPr>
        <w:t xml:space="preserve">no household </w:t>
      </w:r>
      <w:r w:rsidRPr="008551C5" w:rsidR="00416C17">
        <w:rPr>
          <w:rFonts w:asciiTheme="minorHAnsi" w:hAnsiTheme="minorHAnsi" w:cstheme="minorHAnsi"/>
          <w:sz w:val="22"/>
          <w:szCs w:val="22"/>
        </w:rPr>
        <w:t xml:space="preserve">members aged </w:t>
      </w:r>
      <w:r w:rsidRPr="008551C5" w:rsidR="0078017E">
        <w:rPr>
          <w:rFonts w:asciiTheme="minorHAnsi" w:hAnsiTheme="minorHAnsi" w:cstheme="minorHAnsi"/>
          <w:sz w:val="22"/>
          <w:szCs w:val="22"/>
        </w:rPr>
        <w:t>15-49 years of age</w:t>
      </w:r>
      <w:r w:rsidRPr="008551C5" w:rsidR="00416C17">
        <w:rPr>
          <w:rFonts w:asciiTheme="minorHAnsi" w:hAnsiTheme="minorHAnsi" w:cstheme="minorHAnsi"/>
          <w:sz w:val="22"/>
          <w:szCs w:val="22"/>
        </w:rPr>
        <w:t>, if coded ineligible; someone in the household was 15-49 years of age if coded eligible)</w:t>
      </w:r>
      <w:r w:rsidRPr="008551C5" w:rsidR="005A08AA">
        <w:rPr>
          <w:rFonts w:asciiTheme="minorHAnsi" w:hAnsiTheme="minorHAnsi" w:cstheme="minorHAnsi"/>
          <w:sz w:val="22"/>
          <w:szCs w:val="22"/>
        </w:rPr>
        <w:t>.  V</w:t>
      </w:r>
      <w:r w:rsidRPr="008551C5" w:rsidR="0078017E">
        <w:rPr>
          <w:rFonts w:asciiTheme="minorHAnsi" w:hAnsiTheme="minorHAnsi" w:cstheme="minorHAnsi"/>
          <w:sz w:val="22"/>
          <w:szCs w:val="22"/>
        </w:rPr>
        <w:t xml:space="preserve">erification of respondents confirms that the person was interviewed and all procedures </w:t>
      </w:r>
      <w:r w:rsidRPr="008551C5" w:rsidR="007B4CC9">
        <w:rPr>
          <w:rFonts w:asciiTheme="minorHAnsi" w:hAnsiTheme="minorHAnsi" w:cstheme="minorHAnsi"/>
          <w:sz w:val="22"/>
          <w:szCs w:val="22"/>
        </w:rPr>
        <w:t xml:space="preserve">were followed:  </w:t>
      </w:r>
      <w:r w:rsidRPr="008551C5" w:rsidR="0078017E">
        <w:rPr>
          <w:rFonts w:asciiTheme="minorHAnsi" w:hAnsiTheme="minorHAnsi" w:cstheme="minorHAnsi"/>
          <w:sz w:val="22"/>
          <w:szCs w:val="22"/>
        </w:rPr>
        <w:t xml:space="preserve">signed a </w:t>
      </w:r>
      <w:r w:rsidRPr="008551C5" w:rsidR="00D74F11">
        <w:rPr>
          <w:rFonts w:asciiTheme="minorHAnsi" w:hAnsiTheme="minorHAnsi" w:cstheme="minorHAnsi"/>
          <w:sz w:val="22"/>
          <w:szCs w:val="22"/>
        </w:rPr>
        <w:t xml:space="preserve">consent </w:t>
      </w:r>
      <w:r w:rsidRPr="008551C5" w:rsidR="0078017E">
        <w:rPr>
          <w:rFonts w:asciiTheme="minorHAnsi" w:hAnsiTheme="minorHAnsi" w:cstheme="minorHAnsi"/>
          <w:sz w:val="22"/>
          <w:szCs w:val="22"/>
        </w:rPr>
        <w:t>form</w:t>
      </w:r>
      <w:r w:rsidRPr="008551C5" w:rsidR="005A08AA">
        <w:rPr>
          <w:rFonts w:asciiTheme="minorHAnsi" w:hAnsiTheme="minorHAnsi" w:cstheme="minorHAnsi"/>
          <w:sz w:val="22"/>
          <w:szCs w:val="22"/>
        </w:rPr>
        <w:t xml:space="preserve">, </w:t>
      </w:r>
      <w:r w:rsidRPr="008551C5" w:rsidR="00D74F11">
        <w:rPr>
          <w:rFonts w:asciiTheme="minorHAnsi" w:hAnsiTheme="minorHAnsi" w:cstheme="minorHAnsi"/>
          <w:sz w:val="22"/>
          <w:szCs w:val="22"/>
        </w:rPr>
        <w:t>if applicable</w:t>
      </w:r>
      <w:r w:rsidRPr="008551C5" w:rsidR="005A08AA">
        <w:rPr>
          <w:rFonts w:asciiTheme="minorHAnsi" w:hAnsiTheme="minorHAnsi" w:cstheme="minorHAnsi"/>
          <w:sz w:val="22"/>
          <w:szCs w:val="22"/>
        </w:rPr>
        <w:t>;</w:t>
      </w:r>
      <w:r w:rsidRPr="008551C5" w:rsidR="0078017E">
        <w:rPr>
          <w:rFonts w:asciiTheme="minorHAnsi" w:hAnsiTheme="minorHAnsi" w:cstheme="minorHAnsi"/>
          <w:sz w:val="22"/>
          <w:szCs w:val="22"/>
        </w:rPr>
        <w:t xml:space="preserve"> token of appreciation received</w:t>
      </w:r>
      <w:r w:rsidRPr="008551C5" w:rsidR="005A08AA">
        <w:rPr>
          <w:rFonts w:asciiTheme="minorHAnsi" w:hAnsiTheme="minorHAnsi" w:cstheme="minorHAnsi"/>
          <w:sz w:val="22"/>
          <w:szCs w:val="22"/>
        </w:rPr>
        <w:t>;</w:t>
      </w:r>
      <w:r w:rsidRPr="008551C5" w:rsidR="0078017E">
        <w:rPr>
          <w:rFonts w:asciiTheme="minorHAnsi" w:hAnsiTheme="minorHAnsi" w:cstheme="minorHAnsi"/>
          <w:sz w:val="22"/>
          <w:szCs w:val="22"/>
        </w:rPr>
        <w:t xml:space="preserve"> entered responses hi</w:t>
      </w:r>
      <w:r w:rsidRPr="008551C5" w:rsidR="005A08AA">
        <w:rPr>
          <w:rFonts w:asciiTheme="minorHAnsi" w:hAnsiTheme="minorHAnsi" w:cstheme="minorHAnsi"/>
          <w:sz w:val="22"/>
          <w:szCs w:val="22"/>
        </w:rPr>
        <w:t>m</w:t>
      </w:r>
      <w:r w:rsidRPr="008551C5" w:rsidR="0078017E">
        <w:rPr>
          <w:rFonts w:asciiTheme="minorHAnsi" w:hAnsiTheme="minorHAnsi" w:cstheme="minorHAnsi"/>
          <w:sz w:val="22"/>
          <w:szCs w:val="22"/>
        </w:rPr>
        <w:t>- or herself in</w:t>
      </w:r>
      <w:r w:rsidRPr="008551C5" w:rsidR="007B4CC9">
        <w:rPr>
          <w:rFonts w:asciiTheme="minorHAnsi" w:hAnsiTheme="minorHAnsi" w:cstheme="minorHAnsi"/>
          <w:sz w:val="22"/>
          <w:szCs w:val="22"/>
        </w:rPr>
        <w:t xml:space="preserve"> Computer Assisted Self</w:t>
      </w:r>
      <w:r w:rsidRPr="008551C5" w:rsidR="007D7943">
        <w:rPr>
          <w:rFonts w:asciiTheme="minorHAnsi" w:hAnsiTheme="minorHAnsi" w:cstheme="minorHAnsi"/>
          <w:sz w:val="22"/>
          <w:szCs w:val="22"/>
        </w:rPr>
        <w:t>-</w:t>
      </w:r>
      <w:r w:rsidRPr="008551C5" w:rsidR="007B4CC9">
        <w:rPr>
          <w:rFonts w:asciiTheme="minorHAnsi" w:hAnsiTheme="minorHAnsi" w:cstheme="minorHAnsi"/>
          <w:sz w:val="22"/>
          <w:szCs w:val="22"/>
        </w:rPr>
        <w:t>Interview (</w:t>
      </w:r>
      <w:r w:rsidRPr="008551C5" w:rsidR="0078017E">
        <w:rPr>
          <w:rFonts w:asciiTheme="minorHAnsi" w:hAnsiTheme="minorHAnsi" w:cstheme="minorHAnsi"/>
          <w:sz w:val="22"/>
          <w:szCs w:val="22"/>
        </w:rPr>
        <w:t>CASI</w:t>
      </w:r>
      <w:r w:rsidRPr="008551C5" w:rsidR="007B4CC9">
        <w:rPr>
          <w:rFonts w:asciiTheme="minorHAnsi" w:hAnsiTheme="minorHAnsi" w:cstheme="minorHAnsi"/>
          <w:sz w:val="22"/>
          <w:szCs w:val="22"/>
        </w:rPr>
        <w:t>)</w:t>
      </w:r>
      <w:r w:rsidRPr="008551C5" w:rsidR="00900132">
        <w:rPr>
          <w:rFonts w:asciiTheme="minorHAnsi" w:hAnsiTheme="minorHAnsi" w:cstheme="minorHAnsi"/>
          <w:sz w:val="22"/>
          <w:szCs w:val="22"/>
        </w:rPr>
        <w:t>.</w:t>
      </w:r>
      <w:r w:rsidRPr="008551C5" w:rsidR="00714A5A">
        <w:rPr>
          <w:rFonts w:asciiTheme="minorHAnsi" w:hAnsiTheme="minorHAnsi" w:cstheme="minorHAnsi"/>
          <w:b/>
          <w:bCs/>
          <w:sz w:val="22"/>
          <w:szCs w:val="22"/>
        </w:rPr>
        <w:tab/>
      </w:r>
    </w:p>
    <w:p w:rsidRPr="008551C5" w:rsidR="00714A5A" w:rsidP="0012002F" w:rsidRDefault="00714A5A" w14:paraId="48F3F205" w14:textId="65A65D91">
      <w:pPr>
        <w:pStyle w:val="Heading1"/>
        <w:rPr>
          <w:rFonts w:asciiTheme="minorHAnsi" w:hAnsiTheme="minorHAnsi" w:cstheme="minorHAnsi"/>
          <w:b/>
          <w:bCs/>
          <w:sz w:val="22"/>
          <w:szCs w:val="22"/>
        </w:rPr>
      </w:pPr>
      <w:bookmarkStart w:name="_Toc79140735" w:id="13"/>
      <w:r w:rsidRPr="008551C5">
        <w:rPr>
          <w:rFonts w:asciiTheme="minorHAnsi" w:hAnsiTheme="minorHAnsi" w:cstheme="minorHAnsi"/>
          <w:b/>
          <w:bCs/>
          <w:color w:val="auto"/>
          <w:sz w:val="22"/>
          <w:szCs w:val="22"/>
        </w:rPr>
        <w:t>3.  Methods to Maximize Response Rates</w:t>
      </w:r>
      <w:r w:rsidRPr="008551C5" w:rsidR="00EA0884">
        <w:rPr>
          <w:rFonts w:asciiTheme="minorHAnsi" w:hAnsiTheme="minorHAnsi" w:cstheme="minorHAnsi"/>
          <w:b/>
          <w:bCs/>
          <w:color w:val="auto"/>
          <w:sz w:val="22"/>
          <w:szCs w:val="22"/>
        </w:rPr>
        <w:t xml:space="preserve"> and Deal with No</w:t>
      </w:r>
      <w:r w:rsidRPr="008551C5" w:rsidR="007D7AB0">
        <w:rPr>
          <w:rFonts w:asciiTheme="minorHAnsi" w:hAnsiTheme="minorHAnsi" w:cstheme="minorHAnsi"/>
          <w:b/>
          <w:bCs/>
          <w:color w:val="auto"/>
          <w:sz w:val="22"/>
          <w:szCs w:val="22"/>
        </w:rPr>
        <w:t>n</w:t>
      </w:r>
      <w:r w:rsidRPr="008551C5" w:rsidR="00EA0884">
        <w:rPr>
          <w:rFonts w:asciiTheme="minorHAnsi" w:hAnsiTheme="minorHAnsi" w:cstheme="minorHAnsi"/>
          <w:b/>
          <w:bCs/>
          <w:color w:val="auto"/>
          <w:sz w:val="22"/>
          <w:szCs w:val="22"/>
        </w:rPr>
        <w:t>response</w:t>
      </w:r>
      <w:bookmarkEnd w:id="13"/>
    </w:p>
    <w:p w:rsidRPr="008551C5" w:rsidR="0012002F" w:rsidP="0012002F" w:rsidRDefault="0012002F" w14:paraId="72566731" w14:textId="77777777">
      <w:pPr>
        <w:widowControl/>
        <w:autoSpaceDE/>
        <w:autoSpaceDN/>
        <w:adjustRightInd/>
        <w:rPr>
          <w:rFonts w:asciiTheme="minorHAnsi" w:hAnsiTheme="minorHAnsi" w:cstheme="minorHAnsi"/>
          <w:b/>
          <w:bCs/>
          <w:sz w:val="22"/>
          <w:szCs w:val="22"/>
        </w:rPr>
      </w:pPr>
    </w:p>
    <w:p w:rsidRPr="008551C5" w:rsidR="00846328" w:rsidP="000920DF" w:rsidRDefault="00AC6C3A" w14:paraId="265551AB" w14:textId="23D7277F">
      <w:pPr>
        <w:rPr>
          <w:rFonts w:asciiTheme="minorHAnsi" w:hAnsiTheme="minorHAnsi" w:cstheme="minorHAnsi"/>
          <w:bCs/>
          <w:sz w:val="22"/>
          <w:szCs w:val="22"/>
        </w:rPr>
      </w:pPr>
      <w:r w:rsidRPr="008551C5">
        <w:rPr>
          <w:rFonts w:asciiTheme="minorHAnsi" w:hAnsiTheme="minorHAnsi" w:cstheme="minorHAnsi"/>
          <w:b/>
          <w:bCs/>
          <w:sz w:val="22"/>
          <w:szCs w:val="22"/>
        </w:rPr>
        <w:tab/>
      </w:r>
      <w:r w:rsidRPr="008551C5" w:rsidR="00846328">
        <w:rPr>
          <w:rFonts w:asciiTheme="minorHAnsi" w:hAnsiTheme="minorHAnsi" w:cstheme="minorHAnsi"/>
          <w:bCs/>
          <w:sz w:val="22"/>
          <w:szCs w:val="22"/>
        </w:rPr>
        <w:t>In the most recent four years of NSFG fieldwork for which public</w:t>
      </w:r>
      <w:r w:rsidRPr="008551C5" w:rsidR="00A94978">
        <w:rPr>
          <w:rFonts w:asciiTheme="minorHAnsi" w:hAnsiTheme="minorHAnsi" w:cstheme="minorHAnsi"/>
          <w:bCs/>
          <w:sz w:val="22"/>
          <w:szCs w:val="22"/>
        </w:rPr>
        <w:t>-</w:t>
      </w:r>
      <w:r w:rsidRPr="008551C5" w:rsidR="00846328">
        <w:rPr>
          <w:rFonts w:asciiTheme="minorHAnsi" w:hAnsiTheme="minorHAnsi" w:cstheme="minorHAnsi"/>
          <w:bCs/>
          <w:sz w:val="22"/>
          <w:szCs w:val="22"/>
        </w:rPr>
        <w:t>use data have been released (September 201</w:t>
      </w:r>
      <w:r w:rsidRPr="008551C5" w:rsidR="0012002F">
        <w:rPr>
          <w:rFonts w:asciiTheme="minorHAnsi" w:hAnsiTheme="minorHAnsi" w:cstheme="minorHAnsi"/>
          <w:bCs/>
          <w:sz w:val="22"/>
          <w:szCs w:val="22"/>
        </w:rPr>
        <w:t>5</w:t>
      </w:r>
      <w:r w:rsidRPr="008551C5" w:rsidR="00846328">
        <w:rPr>
          <w:rFonts w:asciiTheme="minorHAnsi" w:hAnsiTheme="minorHAnsi" w:cstheme="minorHAnsi"/>
          <w:bCs/>
          <w:sz w:val="22"/>
          <w:szCs w:val="22"/>
        </w:rPr>
        <w:t xml:space="preserve"> through September 201</w:t>
      </w:r>
      <w:r w:rsidRPr="008551C5" w:rsidR="0012002F">
        <w:rPr>
          <w:rFonts w:asciiTheme="minorHAnsi" w:hAnsiTheme="minorHAnsi" w:cstheme="minorHAnsi"/>
          <w:bCs/>
          <w:sz w:val="22"/>
          <w:szCs w:val="22"/>
        </w:rPr>
        <w:t>9</w:t>
      </w:r>
      <w:r w:rsidRPr="008551C5" w:rsidR="00846328">
        <w:rPr>
          <w:rFonts w:asciiTheme="minorHAnsi" w:hAnsiTheme="minorHAnsi" w:cstheme="minorHAnsi"/>
          <w:bCs/>
          <w:sz w:val="22"/>
          <w:szCs w:val="22"/>
        </w:rPr>
        <w:t xml:space="preserve">), </w:t>
      </w:r>
      <w:r w:rsidRPr="008551C5" w:rsidR="00CD0C69">
        <w:rPr>
          <w:rFonts w:asciiTheme="minorHAnsi" w:hAnsiTheme="minorHAnsi" w:cstheme="minorHAnsi"/>
          <w:bCs/>
          <w:sz w:val="22"/>
          <w:szCs w:val="22"/>
        </w:rPr>
        <w:t xml:space="preserve">20,441 </w:t>
      </w:r>
      <w:r w:rsidRPr="008551C5" w:rsidR="00846328">
        <w:rPr>
          <w:rFonts w:asciiTheme="minorHAnsi" w:hAnsiTheme="minorHAnsi" w:cstheme="minorHAnsi"/>
          <w:bCs/>
          <w:sz w:val="22"/>
          <w:szCs w:val="22"/>
        </w:rPr>
        <w:t xml:space="preserve">interviews have been </w:t>
      </w:r>
      <w:r w:rsidRPr="008551C5" w:rsidR="004F68F6">
        <w:rPr>
          <w:rFonts w:asciiTheme="minorHAnsi" w:hAnsiTheme="minorHAnsi" w:cstheme="minorHAnsi"/>
          <w:bCs/>
          <w:sz w:val="22"/>
          <w:szCs w:val="22"/>
        </w:rPr>
        <w:t>conducted</w:t>
      </w:r>
      <w:r w:rsidRPr="008551C5" w:rsidR="00846328">
        <w:rPr>
          <w:rFonts w:asciiTheme="minorHAnsi" w:hAnsiTheme="minorHAnsi" w:cstheme="minorHAnsi"/>
          <w:bCs/>
          <w:sz w:val="22"/>
          <w:szCs w:val="22"/>
        </w:rPr>
        <w:t xml:space="preserve"> </w:t>
      </w:r>
      <w:r w:rsidRPr="008551C5" w:rsidR="004F68F6">
        <w:rPr>
          <w:rFonts w:asciiTheme="minorHAnsi" w:hAnsiTheme="minorHAnsi" w:cstheme="minorHAnsi"/>
          <w:bCs/>
          <w:sz w:val="22"/>
          <w:szCs w:val="22"/>
        </w:rPr>
        <w:t xml:space="preserve">based on </w:t>
      </w:r>
      <w:r w:rsidRPr="008551C5" w:rsidR="00846328">
        <w:rPr>
          <w:rFonts w:asciiTheme="minorHAnsi" w:hAnsiTheme="minorHAnsi" w:cstheme="minorHAnsi"/>
          <w:bCs/>
          <w:sz w:val="22"/>
          <w:szCs w:val="22"/>
        </w:rPr>
        <w:t>a national sample of individuals aged 15-</w:t>
      </w:r>
      <w:r w:rsidRPr="008551C5" w:rsidR="00CD0C69">
        <w:rPr>
          <w:rFonts w:asciiTheme="minorHAnsi" w:hAnsiTheme="minorHAnsi" w:cstheme="minorHAnsi"/>
          <w:bCs/>
          <w:sz w:val="22"/>
          <w:szCs w:val="22"/>
        </w:rPr>
        <w:t>49</w:t>
      </w:r>
      <w:r w:rsidRPr="008551C5" w:rsidR="00846328">
        <w:rPr>
          <w:rFonts w:asciiTheme="minorHAnsi" w:hAnsiTheme="minorHAnsi" w:cstheme="minorHAnsi"/>
          <w:bCs/>
          <w:sz w:val="22"/>
          <w:szCs w:val="22"/>
        </w:rPr>
        <w:t xml:space="preserve"> –</w:t>
      </w:r>
      <w:r w:rsidRPr="008551C5" w:rsidR="00B01FCE">
        <w:rPr>
          <w:rFonts w:asciiTheme="minorHAnsi" w:hAnsiTheme="minorHAnsi" w:cstheme="minorHAnsi"/>
          <w:bCs/>
          <w:sz w:val="22"/>
          <w:szCs w:val="22"/>
        </w:rPr>
        <w:t xml:space="preserve"> </w:t>
      </w:r>
      <w:r w:rsidRPr="008551C5" w:rsidR="00CD0C69">
        <w:rPr>
          <w:rFonts w:asciiTheme="minorHAnsi" w:hAnsiTheme="minorHAnsi" w:cstheme="minorHAnsi"/>
          <w:bCs/>
          <w:sz w:val="22"/>
          <w:szCs w:val="22"/>
        </w:rPr>
        <w:t xml:space="preserve">9,746 </w:t>
      </w:r>
      <w:r w:rsidRPr="008551C5" w:rsidR="00846328">
        <w:rPr>
          <w:rFonts w:asciiTheme="minorHAnsi" w:hAnsiTheme="minorHAnsi" w:cstheme="minorHAnsi"/>
          <w:bCs/>
          <w:sz w:val="22"/>
          <w:szCs w:val="22"/>
        </w:rPr>
        <w:t xml:space="preserve"> males and </w:t>
      </w:r>
      <w:r w:rsidRPr="008551C5" w:rsidR="00CD0C69">
        <w:rPr>
          <w:rFonts w:asciiTheme="minorHAnsi" w:hAnsiTheme="minorHAnsi" w:cstheme="minorHAnsi"/>
          <w:bCs/>
          <w:sz w:val="22"/>
          <w:szCs w:val="22"/>
        </w:rPr>
        <w:t xml:space="preserve">11,695 </w:t>
      </w:r>
      <w:r w:rsidRPr="008551C5" w:rsidR="00846328">
        <w:rPr>
          <w:rFonts w:asciiTheme="minorHAnsi" w:hAnsiTheme="minorHAnsi" w:cstheme="minorHAnsi"/>
          <w:bCs/>
          <w:sz w:val="22"/>
          <w:szCs w:val="22"/>
        </w:rPr>
        <w:t xml:space="preserve"> females.  The response rate</w:t>
      </w:r>
      <w:r w:rsidRPr="008551C5" w:rsidR="00906545">
        <w:rPr>
          <w:rFonts w:asciiTheme="minorHAnsi" w:hAnsiTheme="minorHAnsi" w:cstheme="minorHAnsi"/>
          <w:bCs/>
          <w:sz w:val="22"/>
          <w:szCs w:val="22"/>
        </w:rPr>
        <w:t>s</w:t>
      </w:r>
      <w:r w:rsidRPr="008551C5" w:rsidR="00846328">
        <w:rPr>
          <w:rFonts w:asciiTheme="minorHAnsi" w:hAnsiTheme="minorHAnsi" w:cstheme="minorHAnsi"/>
          <w:bCs/>
          <w:sz w:val="22"/>
          <w:szCs w:val="22"/>
        </w:rPr>
        <w:t xml:space="preserve"> for this survey period </w:t>
      </w:r>
      <w:r w:rsidRPr="008551C5" w:rsidR="00906545">
        <w:rPr>
          <w:rFonts w:asciiTheme="minorHAnsi" w:hAnsiTheme="minorHAnsi" w:cstheme="minorHAnsi"/>
          <w:bCs/>
          <w:sz w:val="22"/>
          <w:szCs w:val="22"/>
        </w:rPr>
        <w:t xml:space="preserve">were 64.3% overall, 65.9% for females, and 62.4% for males. </w:t>
      </w:r>
      <w:r w:rsidRPr="008551C5" w:rsidR="00846328">
        <w:rPr>
          <w:rFonts w:asciiTheme="minorHAnsi" w:hAnsiTheme="minorHAnsi" w:cstheme="minorHAnsi"/>
          <w:bCs/>
          <w:sz w:val="22"/>
          <w:szCs w:val="22"/>
        </w:rPr>
        <w:t xml:space="preserve">This reflects a longer-term pattern of declining response rates, as also experienced by all household-based surveys conducted in the public and private sectors. </w:t>
      </w:r>
    </w:p>
    <w:p w:rsidRPr="008551C5" w:rsidR="00A05E87" w:rsidP="000920DF" w:rsidRDefault="00A05E87" w14:paraId="1012FDB2" w14:textId="77777777">
      <w:pPr>
        <w:rPr>
          <w:rFonts w:asciiTheme="minorHAnsi" w:hAnsiTheme="minorHAnsi" w:cstheme="minorHAnsi"/>
          <w:bCs/>
          <w:sz w:val="22"/>
          <w:szCs w:val="22"/>
        </w:rPr>
      </w:pPr>
    </w:p>
    <w:p w:rsidRPr="008551C5" w:rsidR="00DA6829" w:rsidP="000920DF" w:rsidRDefault="00AC6C3A" w14:paraId="7720E150" w14:textId="439B3EE0">
      <w:pPr>
        <w:ind w:firstLine="720"/>
        <w:rPr>
          <w:rFonts w:asciiTheme="minorHAnsi" w:hAnsiTheme="minorHAnsi" w:cstheme="minorHAnsi"/>
          <w:sz w:val="22"/>
          <w:szCs w:val="22"/>
        </w:rPr>
      </w:pPr>
      <w:r w:rsidRPr="008551C5">
        <w:rPr>
          <w:rFonts w:asciiTheme="minorHAnsi" w:hAnsiTheme="minorHAnsi" w:cstheme="minorHAnsi"/>
          <w:bCs/>
          <w:sz w:val="22"/>
          <w:szCs w:val="22"/>
        </w:rPr>
        <w:t xml:space="preserve">As discussed </w:t>
      </w:r>
      <w:r w:rsidRPr="008551C5" w:rsidR="00E84CF8">
        <w:rPr>
          <w:rFonts w:asciiTheme="minorHAnsi" w:hAnsiTheme="minorHAnsi" w:cstheme="minorHAnsi"/>
          <w:bCs/>
          <w:sz w:val="22"/>
          <w:szCs w:val="22"/>
        </w:rPr>
        <w:t>throughout these supporting statements</w:t>
      </w:r>
      <w:r w:rsidRPr="008551C5">
        <w:rPr>
          <w:rFonts w:asciiTheme="minorHAnsi" w:hAnsiTheme="minorHAnsi" w:cstheme="minorHAnsi"/>
          <w:bCs/>
          <w:sz w:val="22"/>
          <w:szCs w:val="22"/>
        </w:rPr>
        <w:t xml:space="preserve">, </w:t>
      </w:r>
      <w:r w:rsidRPr="008551C5" w:rsidR="00E84CF8">
        <w:rPr>
          <w:rFonts w:asciiTheme="minorHAnsi" w:hAnsiTheme="minorHAnsi" w:cstheme="minorHAnsi"/>
          <w:bCs/>
          <w:sz w:val="22"/>
          <w:szCs w:val="22"/>
        </w:rPr>
        <w:t xml:space="preserve">several strategies </w:t>
      </w:r>
      <w:r w:rsidRPr="008551C5" w:rsidR="00846328">
        <w:rPr>
          <w:rFonts w:asciiTheme="minorHAnsi" w:hAnsiTheme="minorHAnsi" w:cstheme="minorHAnsi"/>
          <w:bCs/>
          <w:sz w:val="22"/>
          <w:szCs w:val="22"/>
        </w:rPr>
        <w:t xml:space="preserve">have been put </w:t>
      </w:r>
      <w:r w:rsidRPr="008551C5" w:rsidR="00E84CF8">
        <w:rPr>
          <w:rFonts w:asciiTheme="minorHAnsi" w:hAnsiTheme="minorHAnsi" w:cstheme="minorHAnsi"/>
          <w:bCs/>
          <w:sz w:val="22"/>
          <w:szCs w:val="22"/>
        </w:rPr>
        <w:t xml:space="preserve">in place </w:t>
      </w:r>
      <w:r w:rsidRPr="008551C5" w:rsidR="0012002F">
        <w:rPr>
          <w:rFonts w:asciiTheme="minorHAnsi" w:hAnsiTheme="minorHAnsi" w:cstheme="minorHAnsi"/>
          <w:bCs/>
          <w:sz w:val="22"/>
          <w:szCs w:val="22"/>
        </w:rPr>
        <w:t xml:space="preserve">for NSFG </w:t>
      </w:r>
      <w:r w:rsidRPr="008551C5" w:rsidR="00E84CF8">
        <w:rPr>
          <w:rFonts w:asciiTheme="minorHAnsi" w:hAnsiTheme="minorHAnsi" w:cstheme="minorHAnsi"/>
          <w:bCs/>
          <w:sz w:val="22"/>
          <w:szCs w:val="22"/>
        </w:rPr>
        <w:t>to maximize response rates and avert refusals</w:t>
      </w:r>
      <w:r w:rsidRPr="008551C5" w:rsidR="00BC5F0C">
        <w:rPr>
          <w:rFonts w:asciiTheme="minorHAnsi" w:hAnsiTheme="minorHAnsi" w:cstheme="minorHAnsi"/>
          <w:bCs/>
          <w:sz w:val="22"/>
          <w:szCs w:val="22"/>
        </w:rPr>
        <w:t xml:space="preserve">. These strategies are consistent with those in place </w:t>
      </w:r>
      <w:r w:rsidRPr="008551C5" w:rsidR="004F68F6">
        <w:rPr>
          <w:rFonts w:asciiTheme="minorHAnsi" w:hAnsiTheme="minorHAnsi" w:cstheme="minorHAnsi"/>
          <w:bCs/>
          <w:sz w:val="22"/>
          <w:szCs w:val="22"/>
        </w:rPr>
        <w:t>since the 2002 NSFG</w:t>
      </w:r>
      <w:r w:rsidRPr="008551C5" w:rsidR="00BC5F0C">
        <w:rPr>
          <w:rFonts w:asciiTheme="minorHAnsi" w:hAnsiTheme="minorHAnsi" w:cstheme="minorHAnsi"/>
          <w:bCs/>
          <w:sz w:val="22"/>
          <w:szCs w:val="22"/>
        </w:rPr>
        <w:t xml:space="preserve"> but modernized </w:t>
      </w:r>
      <w:r w:rsidRPr="008551C5" w:rsidR="004F68F6">
        <w:rPr>
          <w:rFonts w:asciiTheme="minorHAnsi" w:hAnsiTheme="minorHAnsi" w:cstheme="minorHAnsi"/>
          <w:bCs/>
          <w:sz w:val="22"/>
          <w:szCs w:val="22"/>
        </w:rPr>
        <w:t>and</w:t>
      </w:r>
      <w:r w:rsidRPr="008551C5" w:rsidR="00BC5F0C">
        <w:rPr>
          <w:rFonts w:asciiTheme="minorHAnsi" w:hAnsiTheme="minorHAnsi" w:cstheme="minorHAnsi"/>
          <w:bCs/>
          <w:sz w:val="22"/>
          <w:szCs w:val="22"/>
        </w:rPr>
        <w:t xml:space="preserve"> </w:t>
      </w:r>
      <w:r w:rsidRPr="008551C5" w:rsidR="004F68F6">
        <w:rPr>
          <w:rFonts w:asciiTheme="minorHAnsi" w:hAnsiTheme="minorHAnsi" w:cstheme="minorHAnsi"/>
          <w:bCs/>
          <w:sz w:val="22"/>
          <w:szCs w:val="22"/>
        </w:rPr>
        <w:t xml:space="preserve">also </w:t>
      </w:r>
      <w:r w:rsidRPr="008551C5" w:rsidR="00BC5F0C">
        <w:rPr>
          <w:rFonts w:asciiTheme="minorHAnsi" w:hAnsiTheme="minorHAnsi" w:cstheme="minorHAnsi"/>
          <w:bCs/>
          <w:sz w:val="22"/>
          <w:szCs w:val="22"/>
        </w:rPr>
        <w:t xml:space="preserve">adapted </w:t>
      </w:r>
      <w:r w:rsidRPr="008551C5" w:rsidR="002E0A5B">
        <w:rPr>
          <w:rFonts w:asciiTheme="minorHAnsi" w:hAnsiTheme="minorHAnsi" w:cstheme="minorHAnsi"/>
          <w:bCs/>
          <w:sz w:val="22"/>
          <w:szCs w:val="22"/>
        </w:rPr>
        <w:t xml:space="preserve">for </w:t>
      </w:r>
      <w:r w:rsidRPr="008551C5" w:rsidR="00BC5F0C">
        <w:rPr>
          <w:rFonts w:asciiTheme="minorHAnsi" w:hAnsiTheme="minorHAnsi" w:cstheme="minorHAnsi"/>
          <w:bCs/>
          <w:sz w:val="22"/>
          <w:szCs w:val="22"/>
        </w:rPr>
        <w:t>online interviews.</w:t>
      </w:r>
      <w:r w:rsidRPr="008551C5" w:rsidR="00E84CF8">
        <w:rPr>
          <w:rFonts w:asciiTheme="minorHAnsi" w:hAnsiTheme="minorHAnsi" w:cstheme="minorHAnsi"/>
          <w:bCs/>
          <w:sz w:val="22"/>
          <w:szCs w:val="22"/>
        </w:rPr>
        <w:t xml:space="preserve"> </w:t>
      </w:r>
      <w:r w:rsidRPr="008551C5" w:rsidR="00BC5F0C">
        <w:rPr>
          <w:rFonts w:asciiTheme="minorHAnsi" w:hAnsiTheme="minorHAnsi" w:cstheme="minorHAnsi"/>
          <w:bCs/>
          <w:sz w:val="22"/>
          <w:szCs w:val="22"/>
        </w:rPr>
        <w:t xml:space="preserve">These strategies include </w:t>
      </w:r>
      <w:r w:rsidRPr="008551C5" w:rsidR="00E84CF8">
        <w:rPr>
          <w:rFonts w:asciiTheme="minorHAnsi" w:hAnsiTheme="minorHAnsi" w:cstheme="minorHAnsi"/>
          <w:bCs/>
          <w:sz w:val="22"/>
          <w:szCs w:val="22"/>
        </w:rPr>
        <w:t>detailed advance letters and informational materials, a user-friendly</w:t>
      </w:r>
      <w:r w:rsidRPr="008551C5" w:rsidR="002E0A5B">
        <w:rPr>
          <w:rFonts w:asciiTheme="minorHAnsi" w:hAnsiTheme="minorHAnsi" w:cstheme="minorHAnsi"/>
          <w:bCs/>
          <w:sz w:val="22"/>
          <w:szCs w:val="22"/>
        </w:rPr>
        <w:t xml:space="preserve"> </w:t>
      </w:r>
      <w:hyperlink w:history="1" r:id="rId11">
        <w:r w:rsidRPr="008551C5" w:rsidR="002E0A5B">
          <w:rPr>
            <w:rStyle w:val="Hyperlink"/>
            <w:rFonts w:asciiTheme="minorHAnsi" w:hAnsiTheme="minorHAnsi" w:cstheme="minorHAnsi"/>
            <w:bCs/>
            <w:sz w:val="22"/>
            <w:szCs w:val="22"/>
          </w:rPr>
          <w:t>survey</w:t>
        </w:r>
        <w:r w:rsidRPr="008551C5" w:rsidR="00E84CF8">
          <w:rPr>
            <w:rStyle w:val="Hyperlink"/>
            <w:rFonts w:asciiTheme="minorHAnsi" w:hAnsiTheme="minorHAnsi" w:cstheme="minorHAnsi"/>
            <w:bCs/>
            <w:sz w:val="22"/>
            <w:szCs w:val="22"/>
          </w:rPr>
          <w:t xml:space="preserve"> webpage</w:t>
        </w:r>
      </w:hyperlink>
      <w:r w:rsidRPr="008551C5" w:rsidR="00E84CF8">
        <w:rPr>
          <w:rFonts w:asciiTheme="minorHAnsi" w:hAnsiTheme="minorHAnsi" w:cstheme="minorHAnsi"/>
          <w:bCs/>
          <w:sz w:val="22"/>
          <w:szCs w:val="22"/>
        </w:rPr>
        <w:t xml:space="preserve">, highly trained </w:t>
      </w:r>
      <w:r w:rsidRPr="008551C5">
        <w:rPr>
          <w:rFonts w:asciiTheme="minorHAnsi" w:hAnsiTheme="minorHAnsi" w:cstheme="minorHAnsi"/>
          <w:bCs/>
          <w:sz w:val="22"/>
          <w:szCs w:val="22"/>
        </w:rPr>
        <w:t>interviewers</w:t>
      </w:r>
      <w:r w:rsidRPr="008551C5" w:rsidR="00E84CF8">
        <w:rPr>
          <w:rFonts w:asciiTheme="minorHAnsi" w:hAnsiTheme="minorHAnsi" w:cstheme="minorHAnsi"/>
          <w:bCs/>
          <w:sz w:val="22"/>
          <w:szCs w:val="22"/>
        </w:rPr>
        <w:t>, toll-free</w:t>
      </w:r>
      <w:r w:rsidRPr="008551C5" w:rsidR="00F15FE6">
        <w:rPr>
          <w:rFonts w:asciiTheme="minorHAnsi" w:hAnsiTheme="minorHAnsi" w:cstheme="minorHAnsi"/>
          <w:bCs/>
          <w:sz w:val="22"/>
          <w:szCs w:val="22"/>
        </w:rPr>
        <w:t xml:space="preserve"> </w:t>
      </w:r>
      <w:r w:rsidRPr="008551C5">
        <w:rPr>
          <w:rFonts w:asciiTheme="minorHAnsi" w:hAnsiTheme="minorHAnsi" w:cstheme="minorHAnsi"/>
          <w:bCs/>
          <w:sz w:val="22"/>
          <w:szCs w:val="22"/>
        </w:rPr>
        <w:t xml:space="preserve">numbers at both </w:t>
      </w:r>
      <w:r w:rsidRPr="008551C5" w:rsidR="0012002F">
        <w:rPr>
          <w:rFonts w:asciiTheme="minorHAnsi" w:hAnsiTheme="minorHAnsi" w:cstheme="minorHAnsi"/>
          <w:bCs/>
          <w:sz w:val="22"/>
          <w:szCs w:val="22"/>
        </w:rPr>
        <w:t>RTI</w:t>
      </w:r>
      <w:r w:rsidRPr="008551C5">
        <w:rPr>
          <w:rFonts w:asciiTheme="minorHAnsi" w:hAnsiTheme="minorHAnsi" w:cstheme="minorHAnsi"/>
          <w:bCs/>
          <w:sz w:val="22"/>
          <w:szCs w:val="22"/>
        </w:rPr>
        <w:t xml:space="preserve"> and at NCHS</w:t>
      </w:r>
      <w:r w:rsidRPr="008551C5" w:rsidR="00E84CF8">
        <w:rPr>
          <w:rFonts w:asciiTheme="minorHAnsi" w:hAnsiTheme="minorHAnsi" w:cstheme="minorHAnsi"/>
          <w:bCs/>
          <w:sz w:val="22"/>
          <w:szCs w:val="22"/>
        </w:rPr>
        <w:t xml:space="preserve">, </w:t>
      </w:r>
      <w:r w:rsidRPr="008551C5" w:rsidR="00BC5F0C">
        <w:rPr>
          <w:rFonts w:asciiTheme="minorHAnsi" w:hAnsiTheme="minorHAnsi" w:cstheme="minorHAnsi"/>
          <w:bCs/>
          <w:sz w:val="22"/>
          <w:szCs w:val="22"/>
        </w:rPr>
        <w:t xml:space="preserve">multi-phase </w:t>
      </w:r>
      <w:r w:rsidRPr="008551C5" w:rsidR="00027730">
        <w:rPr>
          <w:rFonts w:asciiTheme="minorHAnsi" w:hAnsiTheme="minorHAnsi" w:cstheme="minorHAnsi"/>
          <w:bCs/>
          <w:sz w:val="22"/>
          <w:szCs w:val="22"/>
        </w:rPr>
        <w:t>data collection</w:t>
      </w:r>
      <w:r w:rsidRPr="008551C5" w:rsidR="00BC5F0C">
        <w:rPr>
          <w:rFonts w:asciiTheme="minorHAnsi" w:hAnsiTheme="minorHAnsi" w:cstheme="minorHAnsi"/>
          <w:bCs/>
          <w:sz w:val="22"/>
          <w:szCs w:val="22"/>
        </w:rPr>
        <w:t xml:space="preserve"> protocols, </w:t>
      </w:r>
      <w:r w:rsidRPr="008551C5" w:rsidR="00E84CF8">
        <w:rPr>
          <w:rFonts w:asciiTheme="minorHAnsi" w:hAnsiTheme="minorHAnsi" w:cstheme="minorHAnsi"/>
          <w:bCs/>
          <w:sz w:val="22"/>
          <w:szCs w:val="22"/>
        </w:rPr>
        <w:t>and active</w:t>
      </w:r>
      <w:r w:rsidRPr="008551C5">
        <w:rPr>
          <w:rFonts w:asciiTheme="minorHAnsi" w:hAnsiTheme="minorHAnsi" w:cstheme="minorHAnsi"/>
          <w:bCs/>
          <w:sz w:val="22"/>
          <w:szCs w:val="22"/>
        </w:rPr>
        <w:t xml:space="preserve"> survey management </w:t>
      </w:r>
      <w:r w:rsidRPr="008551C5" w:rsidR="00E84CF8">
        <w:rPr>
          <w:rFonts w:asciiTheme="minorHAnsi" w:hAnsiTheme="minorHAnsi" w:cstheme="minorHAnsi"/>
          <w:bCs/>
          <w:sz w:val="22"/>
          <w:szCs w:val="22"/>
        </w:rPr>
        <w:t xml:space="preserve">(also known as “responsive design”).  Responsive survey design uses </w:t>
      </w:r>
      <w:r w:rsidRPr="008551C5">
        <w:rPr>
          <w:rFonts w:asciiTheme="minorHAnsi" w:hAnsiTheme="minorHAnsi" w:cstheme="minorHAnsi"/>
          <w:bCs/>
          <w:sz w:val="22"/>
          <w:szCs w:val="22"/>
        </w:rPr>
        <w:t>daily paradata</w:t>
      </w:r>
      <w:r w:rsidRPr="008551C5" w:rsidR="00C7047C">
        <w:rPr>
          <w:rFonts w:asciiTheme="minorHAnsi" w:hAnsiTheme="minorHAnsi" w:cstheme="minorHAnsi"/>
          <w:bCs/>
          <w:sz w:val="22"/>
          <w:szCs w:val="22"/>
        </w:rPr>
        <w:t>,</w:t>
      </w:r>
      <w:r w:rsidRPr="008551C5">
        <w:rPr>
          <w:rFonts w:asciiTheme="minorHAnsi" w:hAnsiTheme="minorHAnsi" w:cstheme="minorHAnsi"/>
          <w:bCs/>
          <w:sz w:val="22"/>
          <w:szCs w:val="22"/>
        </w:rPr>
        <w:t xml:space="preserve"> </w:t>
      </w:r>
      <w:r w:rsidRPr="008551C5" w:rsidR="00C7047C">
        <w:rPr>
          <w:rFonts w:asciiTheme="minorHAnsi" w:hAnsiTheme="minorHAnsi" w:cstheme="minorHAnsi"/>
          <w:bCs/>
          <w:sz w:val="22"/>
          <w:szCs w:val="22"/>
        </w:rPr>
        <w:t xml:space="preserve">which </w:t>
      </w:r>
      <w:r w:rsidRPr="008551C5" w:rsidR="00027730">
        <w:rPr>
          <w:rFonts w:asciiTheme="minorHAnsi" w:hAnsiTheme="minorHAnsi" w:cstheme="minorHAnsi"/>
          <w:bCs/>
          <w:sz w:val="22"/>
          <w:szCs w:val="22"/>
        </w:rPr>
        <w:t>includes</w:t>
      </w:r>
      <w:r w:rsidRPr="008551C5" w:rsidR="00C7047C">
        <w:rPr>
          <w:rFonts w:asciiTheme="minorHAnsi" w:hAnsiTheme="minorHAnsi" w:cstheme="minorHAnsi"/>
          <w:bCs/>
          <w:sz w:val="22"/>
          <w:szCs w:val="22"/>
        </w:rPr>
        <w:t xml:space="preserve"> </w:t>
      </w:r>
      <w:r w:rsidRPr="008551C5" w:rsidR="00083B54">
        <w:rPr>
          <w:rFonts w:asciiTheme="minorHAnsi" w:hAnsiTheme="minorHAnsi" w:cstheme="minorHAnsi"/>
          <w:bCs/>
          <w:sz w:val="22"/>
          <w:szCs w:val="22"/>
        </w:rPr>
        <w:t>data about the fieldwork</w:t>
      </w:r>
      <w:r w:rsidRPr="008551C5" w:rsidR="00C7047C">
        <w:rPr>
          <w:rFonts w:asciiTheme="minorHAnsi" w:hAnsiTheme="minorHAnsi" w:cstheme="minorHAnsi"/>
          <w:bCs/>
          <w:sz w:val="22"/>
          <w:szCs w:val="22"/>
        </w:rPr>
        <w:t xml:space="preserve">, </w:t>
      </w:r>
      <w:r w:rsidRPr="008551C5">
        <w:rPr>
          <w:rFonts w:asciiTheme="minorHAnsi" w:hAnsiTheme="minorHAnsi" w:cstheme="minorHAnsi"/>
          <w:bCs/>
          <w:sz w:val="22"/>
          <w:szCs w:val="22"/>
        </w:rPr>
        <w:t>to allocate interviewer effort</w:t>
      </w:r>
      <w:r w:rsidRPr="008551C5" w:rsidR="002C3DE3">
        <w:rPr>
          <w:rFonts w:asciiTheme="minorHAnsi" w:hAnsiTheme="minorHAnsi" w:cstheme="minorHAnsi"/>
          <w:bCs/>
          <w:sz w:val="22"/>
          <w:szCs w:val="22"/>
        </w:rPr>
        <w:t xml:space="preserve"> most cost-effectively</w:t>
      </w:r>
      <w:r w:rsidRPr="008551C5">
        <w:rPr>
          <w:rFonts w:asciiTheme="minorHAnsi" w:hAnsiTheme="minorHAnsi" w:cstheme="minorHAnsi"/>
          <w:bCs/>
          <w:sz w:val="22"/>
          <w:szCs w:val="22"/>
        </w:rPr>
        <w:t xml:space="preserve">. </w:t>
      </w:r>
      <w:r w:rsidRPr="008551C5" w:rsidR="00BC5F0C">
        <w:rPr>
          <w:rFonts w:asciiTheme="minorHAnsi" w:hAnsiTheme="minorHAnsi" w:cstheme="minorHAnsi"/>
          <w:bCs/>
          <w:sz w:val="22"/>
          <w:szCs w:val="22"/>
        </w:rPr>
        <w:t>This princip</w:t>
      </w:r>
      <w:r w:rsidRPr="008551C5" w:rsidR="007B4CC9">
        <w:rPr>
          <w:rFonts w:asciiTheme="minorHAnsi" w:hAnsiTheme="minorHAnsi" w:cstheme="minorHAnsi"/>
          <w:bCs/>
          <w:sz w:val="22"/>
          <w:szCs w:val="22"/>
        </w:rPr>
        <w:t>le</w:t>
      </w:r>
      <w:r w:rsidRPr="008551C5" w:rsidR="002E0A5B">
        <w:rPr>
          <w:rFonts w:asciiTheme="minorHAnsi" w:hAnsiTheme="minorHAnsi" w:cstheme="minorHAnsi"/>
          <w:bCs/>
          <w:sz w:val="22"/>
          <w:szCs w:val="22"/>
        </w:rPr>
        <w:t>,</w:t>
      </w:r>
      <w:r w:rsidRPr="008551C5" w:rsidR="00BC5F0C">
        <w:rPr>
          <w:rFonts w:asciiTheme="minorHAnsi" w:hAnsiTheme="minorHAnsi" w:cstheme="minorHAnsi"/>
          <w:bCs/>
          <w:sz w:val="22"/>
          <w:szCs w:val="22"/>
        </w:rPr>
        <w:t xml:space="preserve"> as well as the multi-phase model involving selecting a subset of </w:t>
      </w:r>
      <w:r w:rsidRPr="008551C5" w:rsidR="00943CAA">
        <w:rPr>
          <w:rFonts w:asciiTheme="minorHAnsi" w:hAnsiTheme="minorHAnsi" w:cstheme="minorHAnsi"/>
          <w:bCs/>
          <w:sz w:val="22"/>
          <w:szCs w:val="22"/>
        </w:rPr>
        <w:t>nonrespondents</w:t>
      </w:r>
      <w:r w:rsidRPr="008551C5" w:rsidR="00BC5F0C">
        <w:rPr>
          <w:rFonts w:asciiTheme="minorHAnsi" w:hAnsiTheme="minorHAnsi" w:cstheme="minorHAnsi"/>
          <w:bCs/>
          <w:sz w:val="22"/>
          <w:szCs w:val="22"/>
        </w:rPr>
        <w:t xml:space="preserve"> for </w:t>
      </w:r>
      <w:r w:rsidRPr="008551C5" w:rsidR="00470C9D">
        <w:rPr>
          <w:rFonts w:asciiTheme="minorHAnsi" w:hAnsiTheme="minorHAnsi" w:cstheme="minorHAnsi"/>
          <w:bCs/>
          <w:sz w:val="22"/>
          <w:szCs w:val="22"/>
        </w:rPr>
        <w:t>follow-up</w:t>
      </w:r>
      <w:r w:rsidRPr="008551C5" w:rsidR="00BC5F0C">
        <w:rPr>
          <w:rFonts w:asciiTheme="minorHAnsi" w:hAnsiTheme="minorHAnsi" w:cstheme="minorHAnsi"/>
          <w:bCs/>
          <w:sz w:val="22"/>
          <w:szCs w:val="22"/>
        </w:rPr>
        <w:t>, has been documented in a number of published reports that guided</w:t>
      </w:r>
      <w:r w:rsidRPr="008551C5" w:rsidR="002E0A5B">
        <w:rPr>
          <w:rFonts w:asciiTheme="minorHAnsi" w:hAnsiTheme="minorHAnsi" w:cstheme="minorHAnsi"/>
          <w:bCs/>
          <w:sz w:val="22"/>
          <w:szCs w:val="22"/>
        </w:rPr>
        <w:t xml:space="preserve"> NSFG designs from 2002 through 2011-2019</w:t>
      </w:r>
      <w:r w:rsidRPr="008551C5" w:rsidR="00BC5F0C">
        <w:rPr>
          <w:rFonts w:asciiTheme="minorHAnsi" w:hAnsiTheme="minorHAnsi" w:cstheme="minorHAnsi"/>
          <w:bCs/>
          <w:sz w:val="22"/>
          <w:szCs w:val="22"/>
        </w:rPr>
        <w:t xml:space="preserve"> and continue to guide the current design </w:t>
      </w:r>
      <w:r w:rsidRPr="008551C5" w:rsidR="00BC5F0C">
        <w:rPr>
          <w:rFonts w:asciiTheme="minorHAnsi" w:hAnsiTheme="minorHAnsi" w:cstheme="minorHAnsi"/>
          <w:sz w:val="22"/>
          <w:szCs w:val="22"/>
        </w:rPr>
        <w:fldChar w:fldCharType="begin"/>
      </w:r>
      <w:r w:rsidRPr="008551C5" w:rsidR="00BC5F0C">
        <w:rPr>
          <w:rFonts w:asciiTheme="minorHAnsi" w:hAnsiTheme="minorHAnsi" w:cstheme="minorHAnsi"/>
          <w:sz w:val="22"/>
          <w:szCs w:val="22"/>
        </w:rPr>
        <w:instrText xml:space="preserve"> ADDIN EN.CITE &lt;EndNote&gt;&lt;Cite&gt;&lt;Author&gt;Schouten&lt;/Author&gt;&lt;Year&gt;2017&lt;/Year&gt;&lt;RecNum&gt;1283&lt;/RecNum&gt;&lt;DisplayText&gt;(Schouten, Peytchev and Wagner, 2017)&lt;/DisplayText&gt;&lt;record&gt;&lt;rec-number&gt;1283&lt;/rec-number&gt;&lt;foreign-keys&gt;&lt;key app="EN" db-id="pxe0eptdr05fxpepweypvst6sz9xrps9r55a" timestamp="1504893566"&gt;1283&lt;/key&gt;&lt;/foreign-keys&gt;&lt;ref-type name="Book"&gt;6&lt;/ref-type&gt;&lt;contributors&gt;&lt;authors&gt;&lt;author&gt;Schouten, Barry&lt;/author&gt;&lt;author&gt;Peytchev, Andy&lt;/author&gt;&lt;author&gt;Wagner, James&lt;/author&gt;&lt;/authors&gt;&lt;/contributors&gt;&lt;titles&gt;&lt;title&gt;Adaptive Survey Design&lt;/title&gt;&lt;secondary-title&gt;Statistics in the Social and Behavioral Sciences Series&lt;/secondary-title&gt;&lt;/titles&gt;&lt;dates&gt;&lt;year&gt;2017&lt;/year&gt;&lt;/dates&gt;&lt;pub-location&gt;Boca Raton, FL&lt;/pub-location&gt;&lt;publisher&gt;CRC Press&lt;/publisher&gt;&lt;isbn&gt;9781498767873&lt;/isbn&gt;&lt;urls&gt;&lt;/urls&gt;&lt;/record&gt;&lt;/Cite&gt;&lt;/EndNote&gt;</w:instrText>
      </w:r>
      <w:r w:rsidRPr="008551C5" w:rsidR="00BC5F0C">
        <w:rPr>
          <w:rFonts w:asciiTheme="minorHAnsi" w:hAnsiTheme="minorHAnsi" w:cstheme="minorHAnsi"/>
          <w:sz w:val="22"/>
          <w:szCs w:val="22"/>
        </w:rPr>
        <w:fldChar w:fldCharType="separate"/>
      </w:r>
      <w:r w:rsidRPr="008551C5" w:rsidR="00BC5F0C">
        <w:rPr>
          <w:rFonts w:asciiTheme="minorHAnsi" w:hAnsiTheme="minorHAnsi" w:cstheme="minorHAnsi"/>
          <w:sz w:val="22"/>
          <w:szCs w:val="22"/>
        </w:rPr>
        <w:t>(Schouten, Peytchev and Wagner, 2017</w:t>
      </w:r>
      <w:r w:rsidRPr="008551C5" w:rsidR="00BC5F0C">
        <w:rPr>
          <w:rFonts w:asciiTheme="minorHAnsi" w:hAnsiTheme="minorHAnsi" w:cstheme="minorHAnsi"/>
          <w:sz w:val="22"/>
          <w:szCs w:val="22"/>
        </w:rPr>
        <w:fldChar w:fldCharType="end"/>
      </w:r>
      <w:r w:rsidRPr="008551C5" w:rsidR="00BC5F0C">
        <w:rPr>
          <w:rFonts w:asciiTheme="minorHAnsi" w:hAnsiTheme="minorHAnsi" w:cstheme="minorHAnsi"/>
          <w:sz w:val="22"/>
          <w:szCs w:val="22"/>
        </w:rPr>
        <w:t xml:space="preserve">; </w:t>
      </w:r>
      <w:r w:rsidRPr="008551C5" w:rsidR="001C3135">
        <w:rPr>
          <w:rFonts w:asciiTheme="minorHAnsi" w:hAnsiTheme="minorHAnsi" w:cstheme="minorHAnsi"/>
          <w:sz w:val="22"/>
          <w:szCs w:val="22"/>
        </w:rPr>
        <w:t>Groves et al., 2005; Groves and Heeringa, 2006; Groves et al., 2009; Lepkowski et al., 2010; Lepkowski et al., 2013</w:t>
      </w:r>
      <w:r w:rsidRPr="008551C5" w:rsidR="006D557B">
        <w:rPr>
          <w:rFonts w:asciiTheme="minorHAnsi" w:hAnsiTheme="minorHAnsi" w:cstheme="minorHAnsi"/>
          <w:sz w:val="22"/>
          <w:szCs w:val="22"/>
        </w:rPr>
        <w:t>; National Center for Health Statistics, 2016</w:t>
      </w:r>
      <w:r w:rsidRPr="008551C5" w:rsidR="003C1793">
        <w:rPr>
          <w:rFonts w:asciiTheme="minorHAnsi" w:hAnsiTheme="minorHAnsi" w:cstheme="minorHAnsi"/>
          <w:sz w:val="22"/>
          <w:szCs w:val="22"/>
        </w:rPr>
        <w:t>, 2017</w:t>
      </w:r>
      <w:r w:rsidRPr="008551C5" w:rsidR="001C3135">
        <w:rPr>
          <w:rFonts w:asciiTheme="minorHAnsi" w:hAnsiTheme="minorHAnsi" w:cstheme="minorHAnsi"/>
          <w:sz w:val="22"/>
          <w:szCs w:val="22"/>
        </w:rPr>
        <w:t>).</w:t>
      </w:r>
    </w:p>
    <w:p w:rsidRPr="008551C5" w:rsidR="00A05E87" w:rsidP="000920DF" w:rsidRDefault="00A05E87" w14:paraId="35C7ED78" w14:textId="77777777">
      <w:pPr>
        <w:ind w:firstLine="720"/>
        <w:rPr>
          <w:rFonts w:asciiTheme="minorHAnsi" w:hAnsiTheme="minorHAnsi" w:cstheme="minorHAnsi"/>
          <w:sz w:val="22"/>
          <w:szCs w:val="22"/>
        </w:rPr>
      </w:pPr>
    </w:p>
    <w:p w:rsidRPr="008551C5" w:rsidR="00430E03" w:rsidP="000920DF" w:rsidRDefault="00430E03" w14:paraId="293E9F68" w14:textId="51EDE31E">
      <w:pPr>
        <w:ind w:firstLine="720"/>
        <w:rPr>
          <w:rFonts w:asciiTheme="minorHAnsi" w:hAnsiTheme="minorHAnsi" w:cstheme="minorHAnsi"/>
          <w:sz w:val="22"/>
          <w:szCs w:val="22"/>
        </w:rPr>
      </w:pPr>
      <w:r w:rsidRPr="008551C5">
        <w:rPr>
          <w:rFonts w:asciiTheme="minorHAnsi" w:hAnsiTheme="minorHAnsi" w:cstheme="minorHAnsi"/>
          <w:sz w:val="22"/>
          <w:szCs w:val="22"/>
        </w:rPr>
        <w:t>Several measures will be taken to reach the response rate goals stated in the contract of no less than 60% overall and within subgroups defined by age, sex, and Hispanic origin and race</w:t>
      </w:r>
      <w:r w:rsidRPr="008551C5" w:rsidR="00B01FCE">
        <w:rPr>
          <w:rFonts w:asciiTheme="minorHAnsi" w:hAnsiTheme="minorHAnsi" w:cstheme="minorHAnsi"/>
          <w:sz w:val="22"/>
          <w:szCs w:val="22"/>
        </w:rPr>
        <w:t>:</w:t>
      </w:r>
    </w:p>
    <w:p w:rsidRPr="008551C5" w:rsidR="00A05E87" w:rsidP="000920DF" w:rsidRDefault="00A05E87" w14:paraId="2E2EDD87" w14:textId="77777777">
      <w:pPr>
        <w:ind w:firstLine="720"/>
        <w:rPr>
          <w:rFonts w:asciiTheme="minorHAnsi" w:hAnsiTheme="minorHAnsi" w:cstheme="minorHAnsi"/>
          <w:sz w:val="22"/>
          <w:szCs w:val="22"/>
        </w:rPr>
      </w:pPr>
    </w:p>
    <w:p w:rsidRPr="008551C5" w:rsidR="00430E03" w:rsidP="00320D30" w:rsidRDefault="00430E03" w14:paraId="237FE701" w14:textId="4303979A">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t>RTI will actively monitor paradata such as record of calls to ensure that contact attempts have been made at various times of day and days of the week, to strategize further actions and to reallocate resources, if necessary, to target subgroups where response rates are insufficient.</w:t>
      </w:r>
    </w:p>
    <w:p w:rsidRPr="008551C5" w:rsidR="00A05E87" w:rsidP="000920DF" w:rsidRDefault="00A05E87" w14:paraId="7BDBBEE4" w14:textId="77777777">
      <w:pPr>
        <w:pStyle w:val="ListParagraph"/>
        <w:spacing w:line="240" w:lineRule="auto"/>
        <w:ind w:left="360"/>
        <w:rPr>
          <w:rFonts w:asciiTheme="minorHAnsi" w:hAnsiTheme="minorHAnsi" w:cstheme="minorHAnsi"/>
        </w:rPr>
      </w:pPr>
    </w:p>
    <w:p w:rsidRPr="008551C5" w:rsidR="00A05E87" w:rsidP="000920DF" w:rsidRDefault="00430E03" w14:paraId="73C9E0DE" w14:textId="5F7739A5">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t>RTI will focus effort on male sample members, given that higher nonresponse rates among males is not unique to the NSFG and has been documented in other large national FTF face surveys in the US</w:t>
      </w:r>
      <w:r w:rsidRPr="008551C5" w:rsidR="00A254B2">
        <w:rPr>
          <w:rFonts w:asciiTheme="minorHAnsi" w:hAnsiTheme="minorHAnsi" w:cstheme="minorHAnsi"/>
        </w:rPr>
        <w:t xml:space="preserve"> (Wright et al, 2005)</w:t>
      </w:r>
      <w:r w:rsidRPr="008551C5">
        <w:rPr>
          <w:rFonts w:asciiTheme="minorHAnsi" w:hAnsiTheme="minorHAnsi" w:cstheme="minorHAnsi"/>
        </w:rPr>
        <w:t>. We will increase response rates for males by actively managing their cases throughout data collection—monitoring rates on a daily basis, directing interviewing effort, and including design features that aim at increasing response rates, particularly for men.</w:t>
      </w:r>
    </w:p>
    <w:p w:rsidRPr="008551C5" w:rsidR="00A05E87" w:rsidP="000920DF" w:rsidRDefault="00A05E87" w14:paraId="0E425C16" w14:textId="77777777">
      <w:pPr>
        <w:pStyle w:val="ListParagraph"/>
        <w:spacing w:line="240" w:lineRule="auto"/>
        <w:ind w:left="360"/>
        <w:rPr>
          <w:rFonts w:asciiTheme="minorHAnsi" w:hAnsiTheme="minorHAnsi" w:cstheme="minorHAnsi"/>
        </w:rPr>
      </w:pPr>
    </w:p>
    <w:p w:rsidRPr="008551C5" w:rsidR="00430E03" w:rsidP="000920DF" w:rsidRDefault="002E0A5B" w14:paraId="4667E054" w14:textId="7BEB55AA">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t>A</w:t>
      </w:r>
      <w:r w:rsidRPr="008551C5" w:rsidR="00E96E68">
        <w:rPr>
          <w:rFonts w:asciiTheme="minorHAnsi" w:hAnsiTheme="minorHAnsi" w:cstheme="minorHAnsi"/>
        </w:rPr>
        <w:t xml:space="preserve"> portion of </w:t>
      </w:r>
      <w:r w:rsidRPr="008551C5" w:rsidR="00430E03">
        <w:rPr>
          <w:rFonts w:asciiTheme="minorHAnsi" w:hAnsiTheme="minorHAnsi" w:cstheme="minorHAnsi"/>
        </w:rPr>
        <w:t>PSU</w:t>
      </w:r>
      <w:r w:rsidRPr="008551C5" w:rsidR="00E96E68">
        <w:rPr>
          <w:rFonts w:asciiTheme="minorHAnsi" w:hAnsiTheme="minorHAnsi" w:cstheme="minorHAnsi"/>
        </w:rPr>
        <w:t>s</w:t>
      </w:r>
      <w:r w:rsidRPr="008551C5" w:rsidR="00430E03">
        <w:rPr>
          <w:rFonts w:asciiTheme="minorHAnsi" w:hAnsiTheme="minorHAnsi" w:cstheme="minorHAnsi"/>
        </w:rPr>
        <w:t xml:space="preserve"> will have two FIs, </w:t>
      </w:r>
      <w:r w:rsidRPr="008551C5" w:rsidR="00E96E68">
        <w:rPr>
          <w:rFonts w:asciiTheme="minorHAnsi" w:hAnsiTheme="minorHAnsi" w:cstheme="minorHAnsi"/>
        </w:rPr>
        <w:t>making it</w:t>
      </w:r>
      <w:r w:rsidRPr="008551C5" w:rsidR="00430E03">
        <w:rPr>
          <w:rFonts w:asciiTheme="minorHAnsi" w:hAnsiTheme="minorHAnsi" w:cstheme="minorHAnsi"/>
        </w:rPr>
        <w:t xml:space="preserve"> feasible to reassign refusal cases for </w:t>
      </w:r>
      <w:r w:rsidRPr="008551C5" w:rsidR="00470C9D">
        <w:rPr>
          <w:rFonts w:asciiTheme="minorHAnsi" w:hAnsiTheme="minorHAnsi" w:cstheme="minorHAnsi"/>
        </w:rPr>
        <w:t>follow-up</w:t>
      </w:r>
      <w:r w:rsidRPr="008551C5" w:rsidR="00430E03">
        <w:rPr>
          <w:rFonts w:asciiTheme="minorHAnsi" w:hAnsiTheme="minorHAnsi" w:cstheme="minorHAnsi"/>
        </w:rPr>
        <w:t xml:space="preserve"> by an experienced interviewer.  Another advantage of this staffing model is that each FI can increase her </w:t>
      </w:r>
      <w:r w:rsidRPr="008551C5" w:rsidR="00430E03">
        <w:rPr>
          <w:rFonts w:asciiTheme="minorHAnsi" w:hAnsiTheme="minorHAnsi" w:cstheme="minorHAnsi"/>
        </w:rPr>
        <w:lastRenderedPageBreak/>
        <w:t xml:space="preserve">contact attempts during the most productive time periods (e.g., evenings and weekends), while reducing visits during unproductive times. </w:t>
      </w:r>
    </w:p>
    <w:p w:rsidRPr="008551C5" w:rsidR="00A05E87" w:rsidP="000920DF" w:rsidRDefault="00A05E87" w14:paraId="30B7C3C5" w14:textId="77777777">
      <w:pPr>
        <w:pStyle w:val="ListParagraph"/>
        <w:spacing w:line="240" w:lineRule="auto"/>
        <w:ind w:left="360"/>
        <w:rPr>
          <w:rFonts w:asciiTheme="minorHAnsi" w:hAnsiTheme="minorHAnsi" w:cstheme="minorHAnsi"/>
        </w:rPr>
      </w:pPr>
    </w:p>
    <w:p w:rsidRPr="008551C5" w:rsidR="00430E03" w:rsidP="000920DF" w:rsidRDefault="002E0A5B" w14:paraId="6D095449" w14:textId="6F7986A4">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t>T</w:t>
      </w:r>
      <w:r w:rsidRPr="008551C5" w:rsidR="00CB1CE5">
        <w:rPr>
          <w:rFonts w:asciiTheme="minorHAnsi" w:hAnsiTheme="minorHAnsi" w:cstheme="minorHAnsi"/>
        </w:rPr>
        <w:t xml:space="preserve">he construction and implementation of the phased design is key to achieving the desired response rate. For phase 3, nonrespondents are subsampled so that higher incentives and </w:t>
      </w:r>
      <w:r w:rsidR="00A3238D">
        <w:rPr>
          <w:rFonts w:asciiTheme="minorHAnsi" w:hAnsiTheme="minorHAnsi" w:cstheme="minorHAnsi"/>
        </w:rPr>
        <w:t>more focused</w:t>
      </w:r>
      <w:r w:rsidRPr="008551C5" w:rsidR="00CB1CE5">
        <w:rPr>
          <w:rFonts w:asciiTheme="minorHAnsi" w:hAnsiTheme="minorHAnsi" w:cstheme="minorHAnsi"/>
        </w:rPr>
        <w:t xml:space="preserve"> effort</w:t>
      </w:r>
      <w:r w:rsidR="00E25600">
        <w:rPr>
          <w:rFonts w:asciiTheme="minorHAnsi" w:hAnsiTheme="minorHAnsi" w:cstheme="minorHAnsi"/>
        </w:rPr>
        <w:t xml:space="preserve"> on fewer sample cases</w:t>
      </w:r>
      <w:r w:rsidRPr="008551C5" w:rsidR="00CB1CE5">
        <w:rPr>
          <w:rFonts w:asciiTheme="minorHAnsi" w:hAnsiTheme="minorHAnsi" w:cstheme="minorHAnsi"/>
        </w:rPr>
        <w:t xml:space="preserve"> can be implemented to achieve a substantial increase in weighted response rates.</w:t>
      </w:r>
    </w:p>
    <w:p w:rsidRPr="008551C5" w:rsidR="00A05E87" w:rsidP="000920DF" w:rsidRDefault="00A05E87" w14:paraId="2B334CF5" w14:textId="77777777">
      <w:pPr>
        <w:pStyle w:val="ListParagraph"/>
        <w:spacing w:line="240" w:lineRule="auto"/>
        <w:ind w:left="360"/>
        <w:rPr>
          <w:rFonts w:asciiTheme="minorHAnsi" w:hAnsiTheme="minorHAnsi" w:cstheme="minorHAnsi"/>
        </w:rPr>
      </w:pPr>
    </w:p>
    <w:p w:rsidRPr="008551C5" w:rsidR="00CB1CE5" w:rsidP="000920DF" w:rsidRDefault="00CB1CE5" w14:paraId="3F079BBF" w14:textId="14DE3210">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t>RTI will use customized procedures for dealing with controlled access areas in sample PSUs. Controlled access (such as apartment buildings or communities where the FI cannot readily access the doors of selected dwelling units) are becoming more common, as are doorbell cameras, which people can use to screen visitors without actually coming to the door</w:t>
      </w:r>
      <w:r w:rsidRPr="008551C5" w:rsidR="00622CAA">
        <w:rPr>
          <w:rFonts w:asciiTheme="minorHAnsi" w:hAnsiTheme="minorHAnsi" w:cstheme="minorHAnsi"/>
        </w:rPr>
        <w:t xml:space="preserve">.  Protocols that have been successful on other similar surveys (such as the National Study of Drug Use and Health) will be adapted to the NSFG, such as early identification (to maximize the amount of time </w:t>
      </w:r>
      <w:r w:rsidRPr="008551C5" w:rsidR="00C26789">
        <w:rPr>
          <w:rFonts w:asciiTheme="minorHAnsi" w:hAnsiTheme="minorHAnsi" w:cstheme="minorHAnsi"/>
        </w:rPr>
        <w:t>for efforts to gain access and cooperation</w:t>
      </w:r>
      <w:r w:rsidRPr="008551C5" w:rsidR="00622CAA">
        <w:rPr>
          <w:rFonts w:asciiTheme="minorHAnsi" w:hAnsiTheme="minorHAnsi" w:cstheme="minorHAnsi"/>
        </w:rPr>
        <w:t>), and having FSs communicate directly with municipal areas, housing directors, HOAs, or landlords to arrange for access and providing them more detailed information about the study.</w:t>
      </w:r>
      <w:r w:rsidRPr="008551C5" w:rsidR="00D24E8B">
        <w:rPr>
          <w:rFonts w:asciiTheme="minorHAnsi" w:hAnsiTheme="minorHAnsi" w:cstheme="minorHAnsi"/>
        </w:rPr>
        <w:t xml:space="preserve">  Design features, such as the addition of the web mode, are expected to further help gain participation in controlled access situations.</w:t>
      </w:r>
    </w:p>
    <w:p w:rsidRPr="008551C5" w:rsidR="00315A8C" w:rsidP="000920DF" w:rsidRDefault="00315A8C" w14:paraId="7D678E65" w14:textId="77777777">
      <w:pPr>
        <w:pStyle w:val="ListParagraph"/>
        <w:spacing w:line="240" w:lineRule="auto"/>
        <w:ind w:left="360"/>
        <w:rPr>
          <w:rFonts w:asciiTheme="minorHAnsi" w:hAnsiTheme="minorHAnsi" w:cstheme="minorHAnsi"/>
        </w:rPr>
      </w:pPr>
    </w:p>
    <w:p w:rsidRPr="008551C5" w:rsidR="002833D9" w:rsidP="000709D4" w:rsidRDefault="007C2D33" w14:paraId="0C903455" w14:textId="43EFE7EC">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t>Interviewers</w:t>
      </w:r>
      <w:r w:rsidRPr="008551C5" w:rsidR="002A0788">
        <w:rPr>
          <w:rFonts w:asciiTheme="minorHAnsi" w:hAnsiTheme="minorHAnsi" w:cstheme="minorHAnsi"/>
        </w:rPr>
        <w:t xml:space="preserve"> will go through a rigorous training program that includes </w:t>
      </w:r>
      <w:r w:rsidRPr="008551C5" w:rsidR="002E0A5B">
        <w:rPr>
          <w:rFonts w:asciiTheme="minorHAnsi" w:hAnsiTheme="minorHAnsi" w:cstheme="minorHAnsi"/>
        </w:rPr>
        <w:t xml:space="preserve">strategies for </w:t>
      </w:r>
      <w:r w:rsidRPr="008551C5" w:rsidR="002A0788">
        <w:rPr>
          <w:rFonts w:asciiTheme="minorHAnsi" w:hAnsiTheme="minorHAnsi" w:cstheme="minorHAnsi"/>
        </w:rPr>
        <w:t xml:space="preserve">refusal aversion and </w:t>
      </w:r>
      <w:r w:rsidR="00E17215">
        <w:rPr>
          <w:rFonts w:asciiTheme="minorHAnsi" w:hAnsiTheme="minorHAnsi" w:cstheme="minorHAnsi"/>
        </w:rPr>
        <w:t>addressing respondent concerns</w:t>
      </w:r>
      <w:r w:rsidRPr="008551C5" w:rsidR="002A0788">
        <w:rPr>
          <w:rFonts w:asciiTheme="minorHAnsi" w:hAnsiTheme="minorHAnsi" w:cstheme="minorHAnsi"/>
        </w:rPr>
        <w:t xml:space="preserve">. </w:t>
      </w:r>
      <w:r w:rsidRPr="008551C5" w:rsidR="006C1A9C">
        <w:rPr>
          <w:rFonts w:asciiTheme="minorHAnsi" w:hAnsiTheme="minorHAnsi" w:cstheme="minorHAnsi"/>
        </w:rPr>
        <w:t>In addition, letters will be used that are tailored to the concern raised by re</w:t>
      </w:r>
      <w:r w:rsidRPr="008551C5">
        <w:rPr>
          <w:rFonts w:asciiTheme="minorHAnsi" w:hAnsiTheme="minorHAnsi" w:cstheme="minorHAnsi"/>
        </w:rPr>
        <w:t>luctant</w:t>
      </w:r>
      <w:r w:rsidRPr="008551C5" w:rsidR="006C1A9C">
        <w:rPr>
          <w:rFonts w:asciiTheme="minorHAnsi" w:hAnsiTheme="minorHAnsi" w:cstheme="minorHAnsi"/>
        </w:rPr>
        <w:t xml:space="preserve"> household members, and interviewers will have copies of these letters for refusal aversion</w:t>
      </w:r>
      <w:r w:rsidRPr="008551C5" w:rsidR="002A0788">
        <w:rPr>
          <w:rFonts w:asciiTheme="minorHAnsi" w:hAnsiTheme="minorHAnsi" w:cstheme="minorHAnsi"/>
        </w:rPr>
        <w:t>.</w:t>
      </w:r>
    </w:p>
    <w:p w:rsidRPr="008551C5" w:rsidR="0061029B" w:rsidP="000920DF" w:rsidRDefault="00AC6C3A" w14:paraId="0D8A0DD7" w14:textId="11696F0B">
      <w:pPr>
        <w:ind w:firstLine="720"/>
        <w:rPr>
          <w:rFonts w:asciiTheme="minorHAnsi" w:hAnsiTheme="minorHAnsi" w:cstheme="minorHAnsi"/>
          <w:b/>
          <w:sz w:val="22"/>
          <w:szCs w:val="22"/>
        </w:rPr>
      </w:pPr>
      <w:r w:rsidRPr="008551C5">
        <w:rPr>
          <w:rFonts w:asciiTheme="minorHAnsi" w:hAnsiTheme="minorHAnsi" w:cstheme="minorHAnsi"/>
          <w:b/>
          <w:sz w:val="22"/>
          <w:szCs w:val="22"/>
          <w:u w:val="single"/>
        </w:rPr>
        <w:t>Incentives</w:t>
      </w:r>
    </w:p>
    <w:p w:rsidRPr="008551C5" w:rsidR="002A0788" w:rsidP="000920DF" w:rsidRDefault="00507860" w14:paraId="40EB8E84" w14:textId="009920C0">
      <w:pPr>
        <w:ind w:firstLine="720"/>
        <w:rPr>
          <w:rFonts w:asciiTheme="minorHAnsi" w:hAnsiTheme="minorHAnsi" w:cstheme="minorHAnsi"/>
          <w:sz w:val="22"/>
          <w:szCs w:val="22"/>
        </w:rPr>
      </w:pPr>
      <w:r w:rsidRPr="008551C5">
        <w:rPr>
          <w:rFonts w:asciiTheme="minorHAnsi" w:hAnsiTheme="minorHAnsi" w:cstheme="minorHAnsi"/>
          <w:sz w:val="22"/>
          <w:szCs w:val="22"/>
        </w:rPr>
        <w:t>Over the past several decades, the challenges facing household</w:t>
      </w:r>
      <w:r w:rsidRPr="008551C5" w:rsidR="004F41D7">
        <w:rPr>
          <w:rFonts w:asciiTheme="minorHAnsi" w:hAnsiTheme="minorHAnsi" w:cstheme="minorHAnsi"/>
          <w:sz w:val="22"/>
          <w:szCs w:val="22"/>
        </w:rPr>
        <w:t>-</w:t>
      </w:r>
      <w:r w:rsidRPr="008551C5">
        <w:rPr>
          <w:rFonts w:asciiTheme="minorHAnsi" w:hAnsiTheme="minorHAnsi" w:cstheme="minorHAnsi"/>
          <w:sz w:val="22"/>
          <w:szCs w:val="22"/>
        </w:rPr>
        <w:t xml:space="preserve">based surveys have </w:t>
      </w:r>
      <w:r w:rsidRPr="008551C5" w:rsidR="00655415">
        <w:rPr>
          <w:rFonts w:asciiTheme="minorHAnsi" w:hAnsiTheme="minorHAnsi" w:cstheme="minorHAnsi"/>
          <w:sz w:val="22"/>
          <w:szCs w:val="22"/>
        </w:rPr>
        <w:t xml:space="preserve">only </w:t>
      </w:r>
      <w:r w:rsidRPr="008551C5">
        <w:rPr>
          <w:rFonts w:asciiTheme="minorHAnsi" w:hAnsiTheme="minorHAnsi" w:cstheme="minorHAnsi"/>
          <w:sz w:val="22"/>
          <w:szCs w:val="22"/>
        </w:rPr>
        <w:t>grown</w:t>
      </w:r>
      <w:r w:rsidRPr="008551C5" w:rsidR="002A0788">
        <w:rPr>
          <w:rFonts w:asciiTheme="minorHAnsi" w:hAnsiTheme="minorHAnsi" w:cstheme="minorHAnsi"/>
          <w:sz w:val="22"/>
          <w:szCs w:val="22"/>
        </w:rPr>
        <w:t>.</w:t>
      </w:r>
      <w:r w:rsidRPr="008551C5">
        <w:rPr>
          <w:rFonts w:asciiTheme="minorHAnsi" w:hAnsiTheme="minorHAnsi" w:cstheme="minorHAnsi"/>
          <w:bCs/>
          <w:sz w:val="22"/>
          <w:szCs w:val="22"/>
        </w:rPr>
        <w:t xml:space="preserve">  I</w:t>
      </w:r>
      <w:r w:rsidRPr="008551C5" w:rsidR="0024182D">
        <w:rPr>
          <w:rFonts w:asciiTheme="minorHAnsi" w:hAnsiTheme="minorHAnsi" w:cstheme="minorHAnsi"/>
          <w:bCs/>
          <w:sz w:val="22"/>
          <w:szCs w:val="22"/>
        </w:rPr>
        <w:t xml:space="preserve">ncentives </w:t>
      </w:r>
      <w:r w:rsidRPr="008551C5">
        <w:rPr>
          <w:rFonts w:asciiTheme="minorHAnsi" w:hAnsiTheme="minorHAnsi" w:cstheme="minorHAnsi"/>
          <w:bCs/>
          <w:sz w:val="22"/>
          <w:szCs w:val="22"/>
        </w:rPr>
        <w:t xml:space="preserve">have been approved for use with the NSFG since 1995, and the </w:t>
      </w:r>
      <w:r w:rsidRPr="008551C5" w:rsidR="00C6765E">
        <w:rPr>
          <w:rFonts w:asciiTheme="minorHAnsi" w:hAnsiTheme="minorHAnsi" w:cstheme="minorHAnsi"/>
          <w:bCs/>
          <w:sz w:val="22"/>
          <w:szCs w:val="22"/>
        </w:rPr>
        <w:t>same</w:t>
      </w:r>
      <w:r w:rsidRPr="008551C5">
        <w:rPr>
          <w:rFonts w:asciiTheme="minorHAnsi" w:hAnsiTheme="minorHAnsi" w:cstheme="minorHAnsi"/>
          <w:bCs/>
          <w:sz w:val="22"/>
          <w:szCs w:val="22"/>
        </w:rPr>
        <w:t xml:space="preserve"> incentive structure</w:t>
      </w:r>
      <w:r w:rsidRPr="008551C5" w:rsidR="00C6765E">
        <w:rPr>
          <w:rFonts w:asciiTheme="minorHAnsi" w:hAnsiTheme="minorHAnsi" w:cstheme="minorHAnsi"/>
          <w:bCs/>
          <w:sz w:val="22"/>
          <w:szCs w:val="22"/>
        </w:rPr>
        <w:t xml:space="preserve"> was used throughout NSFG’s continuous fieldwork</w:t>
      </w:r>
      <w:r w:rsidRPr="008551C5" w:rsidR="0053189C">
        <w:rPr>
          <w:rFonts w:asciiTheme="minorHAnsi" w:hAnsiTheme="minorHAnsi" w:cstheme="minorHAnsi"/>
          <w:bCs/>
          <w:sz w:val="22"/>
          <w:szCs w:val="22"/>
        </w:rPr>
        <w:t xml:space="preserve"> in 2006-2010 and 2011-</w:t>
      </w:r>
      <w:r w:rsidRPr="008551C5" w:rsidR="00C6765E">
        <w:rPr>
          <w:rFonts w:asciiTheme="minorHAnsi" w:hAnsiTheme="minorHAnsi" w:cstheme="minorHAnsi"/>
          <w:bCs/>
          <w:sz w:val="22"/>
          <w:szCs w:val="22"/>
        </w:rPr>
        <w:t>2019</w:t>
      </w:r>
      <w:r w:rsidRPr="008551C5">
        <w:rPr>
          <w:rFonts w:asciiTheme="minorHAnsi" w:hAnsiTheme="minorHAnsi" w:cstheme="minorHAnsi"/>
          <w:bCs/>
          <w:sz w:val="22"/>
          <w:szCs w:val="22"/>
        </w:rPr>
        <w:t xml:space="preserve">.  </w:t>
      </w:r>
      <w:r w:rsidRPr="008551C5" w:rsidR="002A0788">
        <w:rPr>
          <w:rFonts w:asciiTheme="minorHAnsi" w:hAnsiTheme="minorHAnsi" w:cstheme="minorHAnsi"/>
          <w:sz w:val="22"/>
          <w:szCs w:val="22"/>
        </w:rPr>
        <w:t>It is well-documented that</w:t>
      </w:r>
      <w:r w:rsidRPr="008551C5" w:rsidR="00AC6C3A">
        <w:rPr>
          <w:rFonts w:asciiTheme="minorHAnsi" w:hAnsiTheme="minorHAnsi" w:cstheme="minorHAnsi"/>
          <w:sz w:val="22"/>
          <w:szCs w:val="22"/>
        </w:rPr>
        <w:t xml:space="preserve"> for long, sensitive</w:t>
      </w:r>
      <w:r w:rsidRPr="008551C5" w:rsidR="00BA65C9">
        <w:rPr>
          <w:rFonts w:asciiTheme="minorHAnsi" w:hAnsiTheme="minorHAnsi" w:cstheme="minorHAnsi"/>
          <w:sz w:val="22"/>
          <w:szCs w:val="22"/>
        </w:rPr>
        <w:t xml:space="preserve">, </w:t>
      </w:r>
      <w:r w:rsidRPr="008551C5" w:rsidR="00AC6C3A">
        <w:rPr>
          <w:rFonts w:asciiTheme="minorHAnsi" w:hAnsiTheme="minorHAnsi" w:cstheme="minorHAnsi"/>
          <w:sz w:val="22"/>
          <w:szCs w:val="22"/>
        </w:rPr>
        <w:t xml:space="preserve">in-person surveys, incentives do help raise response rates and help to control fieldwork costs when standard good survey practice is not enough.  </w:t>
      </w:r>
      <w:r w:rsidRPr="008551C5" w:rsidR="00655415">
        <w:rPr>
          <w:rFonts w:asciiTheme="minorHAnsi" w:hAnsiTheme="minorHAnsi" w:cstheme="minorHAnsi"/>
          <w:sz w:val="22"/>
          <w:szCs w:val="22"/>
        </w:rPr>
        <w:t xml:space="preserve">The 2-phase fieldwork and incentive structure used by NSFG </w:t>
      </w:r>
      <w:r w:rsidRPr="008551C5" w:rsidR="0053189C">
        <w:rPr>
          <w:rFonts w:asciiTheme="minorHAnsi" w:hAnsiTheme="minorHAnsi" w:cstheme="minorHAnsi"/>
          <w:sz w:val="22"/>
          <w:szCs w:val="22"/>
        </w:rPr>
        <w:t xml:space="preserve">in 2006-2010 and 2011-2019 </w:t>
      </w:r>
      <w:r w:rsidRPr="008551C5" w:rsidR="00655415">
        <w:rPr>
          <w:rFonts w:asciiTheme="minorHAnsi" w:hAnsiTheme="minorHAnsi" w:cstheme="minorHAnsi"/>
          <w:sz w:val="22"/>
          <w:szCs w:val="22"/>
        </w:rPr>
        <w:t xml:space="preserve">has also proven to be generally cost-effective and efficient in helping to slow the pace of overall response rate declines over the past </w:t>
      </w:r>
      <w:r w:rsidRPr="008551C5" w:rsidR="00C6765E">
        <w:rPr>
          <w:rFonts w:asciiTheme="minorHAnsi" w:hAnsiTheme="minorHAnsi" w:cstheme="minorHAnsi"/>
          <w:sz w:val="22"/>
          <w:szCs w:val="22"/>
        </w:rPr>
        <w:t xml:space="preserve">two </w:t>
      </w:r>
      <w:r w:rsidRPr="008551C5" w:rsidR="00655415">
        <w:rPr>
          <w:rFonts w:asciiTheme="minorHAnsi" w:hAnsiTheme="minorHAnsi" w:cstheme="minorHAnsi"/>
          <w:sz w:val="22"/>
          <w:szCs w:val="22"/>
        </w:rPr>
        <w:t>decade</w:t>
      </w:r>
      <w:r w:rsidRPr="008551C5" w:rsidR="00C6765E">
        <w:rPr>
          <w:rFonts w:asciiTheme="minorHAnsi" w:hAnsiTheme="minorHAnsi" w:cstheme="minorHAnsi"/>
          <w:sz w:val="22"/>
          <w:szCs w:val="22"/>
        </w:rPr>
        <w:t>s</w:t>
      </w:r>
      <w:r w:rsidRPr="008551C5" w:rsidR="003514A5">
        <w:rPr>
          <w:rFonts w:asciiTheme="minorHAnsi" w:hAnsiTheme="minorHAnsi" w:cstheme="minorHAnsi"/>
          <w:sz w:val="22"/>
          <w:szCs w:val="22"/>
        </w:rPr>
        <w:t>.</w:t>
      </w:r>
      <w:r w:rsidRPr="008551C5" w:rsidR="00655415">
        <w:rPr>
          <w:rFonts w:asciiTheme="minorHAnsi" w:hAnsiTheme="minorHAnsi" w:cstheme="minorHAnsi"/>
          <w:sz w:val="22"/>
          <w:szCs w:val="22"/>
        </w:rPr>
        <w:t xml:space="preserve"> </w:t>
      </w:r>
      <w:r w:rsidRPr="008551C5" w:rsidR="002A0788">
        <w:rPr>
          <w:rFonts w:asciiTheme="minorHAnsi" w:hAnsiTheme="minorHAnsi" w:cstheme="minorHAnsi"/>
          <w:sz w:val="22"/>
          <w:szCs w:val="22"/>
        </w:rPr>
        <w:t xml:space="preserve"> The 2022-2029 design will include the same incentives</w:t>
      </w:r>
      <w:r w:rsidRPr="008551C5" w:rsidR="00315BF8">
        <w:rPr>
          <w:rFonts w:asciiTheme="minorHAnsi" w:hAnsiTheme="minorHAnsi" w:cstheme="minorHAnsi"/>
          <w:sz w:val="22"/>
          <w:szCs w:val="22"/>
        </w:rPr>
        <w:t xml:space="preserve">, in amount and structure, </w:t>
      </w:r>
      <w:r w:rsidRPr="008551C5" w:rsidR="002A0788">
        <w:rPr>
          <w:rFonts w:asciiTheme="minorHAnsi" w:hAnsiTheme="minorHAnsi" w:cstheme="minorHAnsi"/>
          <w:sz w:val="22"/>
          <w:szCs w:val="22"/>
        </w:rPr>
        <w:t xml:space="preserve">as </w:t>
      </w:r>
      <w:r w:rsidRPr="008551C5" w:rsidR="00315BF8">
        <w:rPr>
          <w:rFonts w:asciiTheme="minorHAnsi" w:hAnsiTheme="minorHAnsi" w:cstheme="minorHAnsi"/>
          <w:sz w:val="22"/>
          <w:szCs w:val="22"/>
        </w:rPr>
        <w:t xml:space="preserve">used in </w:t>
      </w:r>
      <w:r w:rsidRPr="008551C5" w:rsidR="00C41898">
        <w:rPr>
          <w:rFonts w:asciiTheme="minorHAnsi" w:hAnsiTheme="minorHAnsi" w:cstheme="minorHAnsi"/>
          <w:sz w:val="22"/>
          <w:szCs w:val="22"/>
        </w:rPr>
        <w:t>NSFG data collection for</w:t>
      </w:r>
      <w:r w:rsidRPr="008551C5" w:rsidR="00315BF8">
        <w:rPr>
          <w:rFonts w:asciiTheme="minorHAnsi" w:hAnsiTheme="minorHAnsi" w:cstheme="minorHAnsi"/>
          <w:sz w:val="22"/>
          <w:szCs w:val="22"/>
        </w:rPr>
        <w:t xml:space="preserve"> 2011-2019</w:t>
      </w:r>
      <w:r w:rsidRPr="008551C5" w:rsidR="002A0788">
        <w:rPr>
          <w:rFonts w:asciiTheme="minorHAnsi" w:hAnsiTheme="minorHAnsi" w:cstheme="minorHAnsi"/>
          <w:sz w:val="22"/>
          <w:szCs w:val="22"/>
        </w:rPr>
        <w:t xml:space="preserve"> </w:t>
      </w:r>
      <w:r w:rsidRPr="008551C5" w:rsidR="00C267CD">
        <w:rPr>
          <w:rFonts w:asciiTheme="minorHAnsi" w:hAnsiTheme="minorHAnsi" w:cstheme="minorHAnsi"/>
          <w:sz w:val="22"/>
          <w:szCs w:val="22"/>
        </w:rPr>
        <w:t>(for Phase 1, $40 upon agreeing to do the interview; for Phase 3, $5 prepaid incentive for the screener, $40 at the start of the interview and an additional $40 upon completion) (</w:t>
      </w:r>
      <w:r w:rsidRPr="008551C5" w:rsidR="002A0788">
        <w:rPr>
          <w:rFonts w:asciiTheme="minorHAnsi" w:hAnsiTheme="minorHAnsi" w:cstheme="minorHAnsi"/>
          <w:sz w:val="22"/>
          <w:szCs w:val="22"/>
        </w:rPr>
        <w:t xml:space="preserve">see </w:t>
      </w:r>
      <w:r w:rsidRPr="008551C5" w:rsidR="00315BF8">
        <w:rPr>
          <w:rFonts w:asciiTheme="minorHAnsi" w:hAnsiTheme="minorHAnsi" w:cstheme="minorHAnsi"/>
          <w:sz w:val="22"/>
          <w:szCs w:val="22"/>
        </w:rPr>
        <w:t xml:space="preserve">“Main steps in NSFG </w:t>
      </w:r>
      <w:r w:rsidRPr="008551C5" w:rsidR="00C26789">
        <w:rPr>
          <w:rFonts w:asciiTheme="minorHAnsi" w:hAnsiTheme="minorHAnsi" w:cstheme="minorHAnsi"/>
          <w:sz w:val="22"/>
          <w:szCs w:val="22"/>
        </w:rPr>
        <w:t xml:space="preserve"> data collection</w:t>
      </w:r>
      <w:r w:rsidRPr="008551C5" w:rsidR="00315BF8">
        <w:rPr>
          <w:rFonts w:asciiTheme="minorHAnsi" w:hAnsiTheme="minorHAnsi" w:cstheme="minorHAnsi"/>
          <w:sz w:val="22"/>
          <w:szCs w:val="22"/>
        </w:rPr>
        <w:t>”</w:t>
      </w:r>
      <w:r w:rsidRPr="008551C5" w:rsidR="002A0788">
        <w:rPr>
          <w:rFonts w:asciiTheme="minorHAnsi" w:hAnsiTheme="minorHAnsi" w:cstheme="minorHAnsi"/>
          <w:sz w:val="22"/>
          <w:szCs w:val="22"/>
        </w:rPr>
        <w:t xml:space="preserve"> above)</w:t>
      </w:r>
      <w:r w:rsidRPr="008551C5" w:rsidR="00C267CD">
        <w:rPr>
          <w:rFonts w:asciiTheme="minorHAnsi" w:hAnsiTheme="minorHAnsi" w:cstheme="minorHAnsi"/>
          <w:sz w:val="22"/>
          <w:szCs w:val="22"/>
        </w:rPr>
        <w:t>. However</w:t>
      </w:r>
      <w:r w:rsidRPr="008551C5" w:rsidR="006C1A9C">
        <w:rPr>
          <w:rFonts w:asciiTheme="minorHAnsi" w:hAnsiTheme="minorHAnsi" w:cstheme="minorHAnsi"/>
          <w:sz w:val="22"/>
          <w:szCs w:val="22"/>
        </w:rPr>
        <w:t>,</w:t>
      </w:r>
      <w:r w:rsidRPr="008551C5" w:rsidR="00C267CD">
        <w:rPr>
          <w:rFonts w:asciiTheme="minorHAnsi" w:hAnsiTheme="minorHAnsi" w:cstheme="minorHAnsi"/>
          <w:sz w:val="22"/>
          <w:szCs w:val="22"/>
        </w:rPr>
        <w:t xml:space="preserve"> it will also</w:t>
      </w:r>
      <w:r w:rsidRPr="008551C5" w:rsidR="002A0788">
        <w:rPr>
          <w:rFonts w:asciiTheme="minorHAnsi" w:hAnsiTheme="minorHAnsi" w:cstheme="minorHAnsi"/>
          <w:sz w:val="22"/>
          <w:szCs w:val="22"/>
        </w:rPr>
        <w:t xml:space="preserve"> include a $2 prepaid incentive in the introductory letter before the screener survey, which is the first contact attempt for sample households. </w:t>
      </w:r>
      <w:r w:rsidRPr="008551C5" w:rsidR="00C267CD">
        <w:rPr>
          <w:rFonts w:asciiTheme="minorHAnsi" w:hAnsiTheme="minorHAnsi" w:cstheme="minorHAnsi"/>
          <w:sz w:val="22"/>
          <w:szCs w:val="22"/>
        </w:rPr>
        <w:t>For online respondents, the choice of a mailed check or an electronic gift card will be offered.</w:t>
      </w:r>
      <w:r w:rsidRPr="008551C5" w:rsidR="00CB52AC">
        <w:rPr>
          <w:rFonts w:asciiTheme="minorHAnsi" w:hAnsiTheme="minorHAnsi" w:cstheme="minorHAnsi"/>
          <w:sz w:val="22"/>
          <w:szCs w:val="22"/>
        </w:rPr>
        <w:t xml:space="preserve">  The Phase 4 NRFU mailed survey requests will include a $1 prepaid incentive.</w:t>
      </w:r>
    </w:p>
    <w:p w:rsidRPr="008551C5" w:rsidR="00235ABC" w:rsidP="000920DF" w:rsidRDefault="00235ABC" w14:paraId="0F7AFDBC" w14:textId="77777777">
      <w:pPr>
        <w:rPr>
          <w:rFonts w:asciiTheme="minorHAnsi" w:hAnsiTheme="minorHAnsi" w:cstheme="minorHAnsi"/>
          <w:sz w:val="22"/>
          <w:szCs w:val="22"/>
        </w:rPr>
      </w:pPr>
    </w:p>
    <w:p w:rsidRPr="008551C5" w:rsidR="00D6010F" w:rsidP="000920DF" w:rsidRDefault="00AC6C3A" w14:paraId="251D1CC8" w14:textId="10B62ACB">
      <w:pPr>
        <w:ind w:firstLine="720"/>
        <w:rPr>
          <w:rFonts w:asciiTheme="minorHAnsi" w:hAnsiTheme="minorHAnsi" w:cstheme="minorHAnsi"/>
          <w:b/>
          <w:sz w:val="22"/>
          <w:szCs w:val="22"/>
          <w:u w:val="single"/>
        </w:rPr>
      </w:pPr>
      <w:r w:rsidRPr="008551C5">
        <w:rPr>
          <w:rFonts w:asciiTheme="minorHAnsi" w:hAnsiTheme="minorHAnsi" w:cstheme="minorHAnsi"/>
          <w:b/>
          <w:sz w:val="22"/>
          <w:szCs w:val="22"/>
          <w:u w:val="single"/>
        </w:rPr>
        <w:t xml:space="preserve">Nonresponse Bias </w:t>
      </w:r>
      <w:r w:rsidRPr="008551C5" w:rsidR="00C62767">
        <w:rPr>
          <w:rFonts w:asciiTheme="minorHAnsi" w:hAnsiTheme="minorHAnsi" w:cstheme="minorHAnsi"/>
          <w:b/>
          <w:sz w:val="22"/>
          <w:szCs w:val="22"/>
          <w:u w:val="single"/>
        </w:rPr>
        <w:t>Analysis</w:t>
      </w:r>
    </w:p>
    <w:p w:rsidRPr="008551C5" w:rsidR="00315A8C" w:rsidP="000920DF" w:rsidRDefault="00315A8C" w14:paraId="379458D5" w14:textId="77777777">
      <w:pPr>
        <w:ind w:firstLine="720"/>
        <w:rPr>
          <w:rFonts w:asciiTheme="minorHAnsi" w:hAnsiTheme="minorHAnsi" w:cstheme="minorHAnsi"/>
          <w:sz w:val="22"/>
          <w:szCs w:val="22"/>
        </w:rPr>
      </w:pPr>
    </w:p>
    <w:p w:rsidRPr="008551C5" w:rsidR="00CB52AC" w:rsidP="000920DF" w:rsidRDefault="007A6617" w14:paraId="0AB44AD6" w14:textId="02EDEC36">
      <w:pPr>
        <w:ind w:firstLine="720"/>
        <w:rPr>
          <w:rFonts w:asciiTheme="minorHAnsi" w:hAnsiTheme="minorHAnsi" w:cstheme="minorHAnsi"/>
          <w:sz w:val="22"/>
          <w:szCs w:val="22"/>
        </w:rPr>
      </w:pPr>
      <w:r w:rsidRPr="008551C5">
        <w:rPr>
          <w:rFonts w:asciiTheme="minorHAnsi" w:hAnsiTheme="minorHAnsi" w:cstheme="minorHAnsi"/>
          <w:sz w:val="22"/>
          <w:szCs w:val="22"/>
        </w:rPr>
        <w:t>The</w:t>
      </w:r>
      <w:r w:rsidRPr="008551C5" w:rsidR="00D6010F">
        <w:rPr>
          <w:rFonts w:asciiTheme="minorHAnsi" w:hAnsiTheme="minorHAnsi" w:cstheme="minorHAnsi"/>
          <w:sz w:val="22"/>
          <w:szCs w:val="22"/>
        </w:rPr>
        <w:t xml:space="preserve"> overall strategy for evaluating nonresponse bias</w:t>
      </w:r>
      <w:r w:rsidRPr="008551C5">
        <w:rPr>
          <w:rFonts w:asciiTheme="minorHAnsi" w:hAnsiTheme="minorHAnsi" w:cstheme="minorHAnsi"/>
          <w:sz w:val="22"/>
          <w:szCs w:val="22"/>
        </w:rPr>
        <w:t xml:space="preserve"> </w:t>
      </w:r>
      <w:r w:rsidRPr="008551C5" w:rsidR="00D6010F">
        <w:rPr>
          <w:rFonts w:asciiTheme="minorHAnsi" w:hAnsiTheme="minorHAnsi" w:cstheme="minorHAnsi"/>
          <w:sz w:val="22"/>
          <w:szCs w:val="22"/>
        </w:rPr>
        <w:t xml:space="preserve">can be categorized into three types of analysis.  The first will be to examine descriptive statistics </w:t>
      </w:r>
      <w:r w:rsidRPr="008551C5">
        <w:rPr>
          <w:rFonts w:asciiTheme="minorHAnsi" w:hAnsiTheme="minorHAnsi" w:cstheme="minorHAnsi"/>
          <w:sz w:val="22"/>
          <w:szCs w:val="22"/>
        </w:rPr>
        <w:t>of nonresponse rates, as a prerequisite for the potential for nonresponse bias</w:t>
      </w:r>
      <w:r w:rsidRPr="008551C5" w:rsidR="00D6010F">
        <w:rPr>
          <w:rFonts w:asciiTheme="minorHAnsi" w:hAnsiTheme="minorHAnsi" w:cstheme="minorHAnsi"/>
          <w:sz w:val="22"/>
          <w:szCs w:val="22"/>
        </w:rPr>
        <w:t xml:space="preserve">.  The second and third will be investigations into </w:t>
      </w:r>
      <w:r w:rsidRPr="008551C5" w:rsidR="00D6010F">
        <w:rPr>
          <w:rFonts w:asciiTheme="minorHAnsi" w:hAnsiTheme="minorHAnsi" w:cstheme="minorHAnsi"/>
          <w:i/>
          <w:iCs/>
          <w:sz w:val="22"/>
          <w:szCs w:val="22"/>
        </w:rPr>
        <w:t>ignorable</w:t>
      </w:r>
      <w:r w:rsidRPr="008551C5" w:rsidR="00D6010F">
        <w:rPr>
          <w:rFonts w:asciiTheme="minorHAnsi" w:hAnsiTheme="minorHAnsi" w:cstheme="minorHAnsi"/>
          <w:sz w:val="22"/>
          <w:szCs w:val="22"/>
        </w:rPr>
        <w:t xml:space="preserve"> and </w:t>
      </w:r>
      <w:r w:rsidRPr="008551C5" w:rsidR="00D6010F">
        <w:rPr>
          <w:rFonts w:asciiTheme="minorHAnsi" w:hAnsiTheme="minorHAnsi" w:cstheme="minorHAnsi"/>
          <w:i/>
          <w:iCs/>
          <w:sz w:val="22"/>
          <w:szCs w:val="22"/>
        </w:rPr>
        <w:t>nonignorable</w:t>
      </w:r>
      <w:r w:rsidRPr="008551C5" w:rsidR="00D6010F">
        <w:rPr>
          <w:rFonts w:asciiTheme="minorHAnsi" w:hAnsiTheme="minorHAnsi" w:cstheme="minorHAnsi"/>
          <w:sz w:val="22"/>
          <w:szCs w:val="22"/>
        </w:rPr>
        <w:t xml:space="preserve"> nonresponse bias</w:t>
      </w:r>
      <w:r w:rsidRPr="008551C5" w:rsidR="00D35A1F">
        <w:rPr>
          <w:rFonts w:asciiTheme="minorHAnsi" w:hAnsiTheme="minorHAnsi" w:cstheme="minorHAnsi"/>
          <w:sz w:val="22"/>
          <w:szCs w:val="22"/>
        </w:rPr>
        <w:t>,</w:t>
      </w:r>
      <w:r w:rsidRPr="008551C5">
        <w:rPr>
          <w:rFonts w:asciiTheme="minorHAnsi" w:hAnsiTheme="minorHAnsi" w:cstheme="minorHAnsi"/>
          <w:sz w:val="22"/>
          <w:szCs w:val="22"/>
        </w:rPr>
        <w:t xml:space="preserve"> </w:t>
      </w:r>
      <w:r w:rsidRPr="008551C5" w:rsidR="00D6010F">
        <w:rPr>
          <w:rFonts w:asciiTheme="minorHAnsi" w:hAnsiTheme="minorHAnsi" w:cstheme="minorHAnsi"/>
          <w:sz w:val="22"/>
          <w:szCs w:val="22"/>
        </w:rPr>
        <w:t>respectively</w:t>
      </w:r>
      <w:r w:rsidRPr="008551C5" w:rsidR="00D35A1F">
        <w:rPr>
          <w:rFonts w:asciiTheme="minorHAnsi" w:hAnsiTheme="minorHAnsi" w:cstheme="minorHAnsi"/>
          <w:sz w:val="22"/>
          <w:szCs w:val="22"/>
        </w:rPr>
        <w:t xml:space="preserve"> (Little and Rubin, 2019)</w:t>
      </w:r>
      <w:r w:rsidRPr="008551C5" w:rsidR="00D6010F">
        <w:rPr>
          <w:rFonts w:asciiTheme="minorHAnsi" w:hAnsiTheme="minorHAnsi" w:cstheme="minorHAnsi"/>
          <w:sz w:val="22"/>
          <w:szCs w:val="22"/>
        </w:rPr>
        <w:t>.  The former is evidenced by observable differences in demographic characteristics and key survey outcomes that are corrected</w:t>
      </w:r>
      <w:r w:rsidRPr="008551C5" w:rsidR="00CB52AC">
        <w:rPr>
          <w:rFonts w:asciiTheme="minorHAnsi" w:hAnsiTheme="minorHAnsi" w:cstheme="minorHAnsi"/>
          <w:sz w:val="22"/>
          <w:szCs w:val="22"/>
        </w:rPr>
        <w:t xml:space="preserve"> for</w:t>
      </w:r>
      <w:r w:rsidRPr="008551C5" w:rsidR="00D6010F">
        <w:rPr>
          <w:rFonts w:asciiTheme="minorHAnsi" w:hAnsiTheme="minorHAnsi" w:cstheme="minorHAnsi"/>
          <w:sz w:val="22"/>
          <w:szCs w:val="22"/>
        </w:rPr>
        <w:t xml:space="preserve"> in the NSFG estimates.  Analysis of ignorable nonresponse bias also offers the opportunity to assess the overall efficacy of each phase of data collection, since meaningful mitigation of nonresponse bias</w:t>
      </w:r>
      <w:r w:rsidRPr="008551C5" w:rsidR="00CB52AC">
        <w:rPr>
          <w:rFonts w:asciiTheme="minorHAnsi" w:hAnsiTheme="minorHAnsi" w:cstheme="minorHAnsi"/>
          <w:sz w:val="22"/>
          <w:szCs w:val="22"/>
        </w:rPr>
        <w:t xml:space="preserve"> can be gauged by whether or not the data collected in each phase results in </w:t>
      </w:r>
      <w:r w:rsidRPr="008551C5" w:rsidR="00CB52AC">
        <w:rPr>
          <w:rFonts w:asciiTheme="minorHAnsi" w:hAnsiTheme="minorHAnsi" w:cstheme="minorHAnsi"/>
          <w:i/>
          <w:iCs/>
          <w:sz w:val="22"/>
          <w:szCs w:val="22"/>
        </w:rPr>
        <w:t>differences</w:t>
      </w:r>
      <w:r w:rsidRPr="008551C5" w:rsidR="00CB52AC">
        <w:rPr>
          <w:rFonts w:asciiTheme="minorHAnsi" w:hAnsiTheme="minorHAnsi" w:cstheme="minorHAnsi"/>
          <w:sz w:val="22"/>
          <w:szCs w:val="22"/>
        </w:rPr>
        <w:t xml:space="preserve"> in estimates on key survey outcomes</w:t>
      </w:r>
      <w:r w:rsidRPr="008551C5" w:rsidR="00BC6E24">
        <w:rPr>
          <w:rFonts w:asciiTheme="minorHAnsi" w:hAnsiTheme="minorHAnsi" w:cstheme="minorHAnsi"/>
          <w:sz w:val="22"/>
          <w:szCs w:val="22"/>
        </w:rPr>
        <w:t>, compared to a prior phase</w:t>
      </w:r>
      <w:r w:rsidRPr="008551C5" w:rsidR="00CB52AC">
        <w:rPr>
          <w:rFonts w:asciiTheme="minorHAnsi" w:hAnsiTheme="minorHAnsi" w:cstheme="minorHAnsi"/>
          <w:sz w:val="22"/>
          <w:szCs w:val="22"/>
        </w:rPr>
        <w:t>.  In other words, to be of value, the protocol in the NRFU phase should result in gaining the cooperation of sample members who differ on key outcomes from those already interviewed.</w:t>
      </w:r>
    </w:p>
    <w:p w:rsidRPr="008551C5" w:rsidR="00315A8C" w:rsidP="000920DF" w:rsidRDefault="00315A8C" w14:paraId="7C8B8D3C" w14:textId="77777777">
      <w:pPr>
        <w:ind w:firstLine="720"/>
        <w:rPr>
          <w:rFonts w:asciiTheme="minorHAnsi" w:hAnsiTheme="minorHAnsi" w:cstheme="minorHAnsi"/>
          <w:sz w:val="22"/>
          <w:szCs w:val="22"/>
        </w:rPr>
      </w:pPr>
    </w:p>
    <w:p w:rsidRPr="008551C5" w:rsidR="007A6617" w:rsidP="000920DF" w:rsidRDefault="00D6010F" w14:paraId="60969126" w14:textId="65A11336">
      <w:pPr>
        <w:ind w:firstLine="720"/>
        <w:rPr>
          <w:rFonts w:asciiTheme="minorHAnsi" w:hAnsiTheme="minorHAnsi" w:cstheme="minorHAnsi"/>
          <w:sz w:val="22"/>
          <w:szCs w:val="22"/>
        </w:rPr>
      </w:pPr>
      <w:r w:rsidRPr="008551C5">
        <w:rPr>
          <w:rFonts w:asciiTheme="minorHAnsi" w:hAnsiTheme="minorHAnsi" w:cstheme="minorHAnsi"/>
          <w:sz w:val="22"/>
          <w:szCs w:val="22"/>
        </w:rPr>
        <w:t xml:space="preserve">Nonignorable nonresponse bias is of greatest interest and generally requires special designs to measure.  Our Phase 4 NRFU data collection is designed with this goal in mind.  </w:t>
      </w:r>
      <w:r w:rsidRPr="008551C5" w:rsidR="007A6617">
        <w:rPr>
          <w:rFonts w:asciiTheme="minorHAnsi" w:hAnsiTheme="minorHAnsi" w:cstheme="minorHAnsi"/>
          <w:sz w:val="22"/>
          <w:szCs w:val="22"/>
        </w:rPr>
        <w:t xml:space="preserve"> </w:t>
      </w:r>
      <w:r w:rsidRPr="008551C5" w:rsidR="005F434D">
        <w:rPr>
          <w:rFonts w:asciiTheme="minorHAnsi" w:hAnsiTheme="minorHAnsi" w:cstheme="minorHAnsi"/>
          <w:sz w:val="22"/>
          <w:szCs w:val="22"/>
        </w:rPr>
        <w:t>As described earlier in “Main steps in data collection</w:t>
      </w:r>
      <w:r w:rsidRPr="008551C5" w:rsidR="006E78B3">
        <w:rPr>
          <w:rFonts w:asciiTheme="minorHAnsi" w:hAnsiTheme="minorHAnsi" w:cstheme="minorHAnsi"/>
          <w:sz w:val="22"/>
          <w:szCs w:val="22"/>
        </w:rPr>
        <w:t>,</w:t>
      </w:r>
      <w:r w:rsidRPr="008551C5" w:rsidR="005F434D">
        <w:rPr>
          <w:rFonts w:asciiTheme="minorHAnsi" w:hAnsiTheme="minorHAnsi" w:cstheme="minorHAnsi"/>
          <w:sz w:val="22"/>
          <w:szCs w:val="22"/>
        </w:rPr>
        <w:t>” #1</w:t>
      </w:r>
      <w:r w:rsidRPr="008551C5" w:rsidR="00BC6E24">
        <w:rPr>
          <w:rFonts w:asciiTheme="minorHAnsi" w:hAnsiTheme="minorHAnsi" w:cstheme="minorHAnsi"/>
          <w:sz w:val="22"/>
          <w:szCs w:val="22"/>
        </w:rPr>
        <w:t>2</w:t>
      </w:r>
      <w:r w:rsidRPr="008551C5" w:rsidR="005F434D">
        <w:rPr>
          <w:rFonts w:asciiTheme="minorHAnsi" w:hAnsiTheme="minorHAnsi" w:cstheme="minorHAnsi"/>
          <w:sz w:val="22"/>
          <w:szCs w:val="22"/>
        </w:rPr>
        <w:t>, nonresponse follow-up</w:t>
      </w:r>
      <w:r w:rsidRPr="008551C5" w:rsidR="007A6617">
        <w:rPr>
          <w:rFonts w:asciiTheme="minorHAnsi" w:hAnsiTheme="minorHAnsi" w:cstheme="minorHAnsi"/>
          <w:sz w:val="22"/>
          <w:szCs w:val="22"/>
        </w:rPr>
        <w:t xml:space="preserve"> will be conducted in Quarters 1 and 2 of 2022 for screener nonrespondents and for main survey nonrespondents using </w:t>
      </w:r>
      <w:r w:rsidRPr="008551C5" w:rsidR="00324FC7">
        <w:rPr>
          <w:rFonts w:asciiTheme="minorHAnsi" w:hAnsiTheme="minorHAnsi" w:cstheme="minorHAnsi"/>
          <w:sz w:val="22"/>
          <w:szCs w:val="22"/>
        </w:rPr>
        <w:t>short, mailed</w:t>
      </w:r>
      <w:r w:rsidRPr="008551C5" w:rsidR="007A6617">
        <w:rPr>
          <w:rFonts w:asciiTheme="minorHAnsi" w:hAnsiTheme="minorHAnsi" w:cstheme="minorHAnsi"/>
          <w:sz w:val="22"/>
          <w:szCs w:val="22"/>
        </w:rPr>
        <w:t xml:space="preserve"> instruments to provide information on NSFG nonrespondents</w:t>
      </w:r>
      <w:r w:rsidR="0012018C">
        <w:rPr>
          <w:rFonts w:asciiTheme="minorHAnsi" w:hAnsiTheme="minorHAnsi" w:cstheme="minorHAnsi"/>
          <w:sz w:val="22"/>
          <w:szCs w:val="22"/>
        </w:rPr>
        <w:t xml:space="preserve"> </w:t>
      </w:r>
      <w:r w:rsidR="0012018C">
        <w:rPr>
          <w:rFonts w:asciiTheme="minorHAnsi" w:hAnsiTheme="minorHAnsi" w:cstheme="minorHAnsi"/>
          <w:b/>
          <w:bCs/>
          <w:sz w:val="22"/>
          <w:szCs w:val="22"/>
        </w:rPr>
        <w:t>(Attachment N3)</w:t>
      </w:r>
      <w:r w:rsidRPr="008551C5" w:rsidR="007A6617">
        <w:rPr>
          <w:rFonts w:asciiTheme="minorHAnsi" w:hAnsiTheme="minorHAnsi" w:cstheme="minorHAnsi"/>
          <w:sz w:val="22"/>
          <w:szCs w:val="22"/>
        </w:rPr>
        <w:t>.</w:t>
      </w:r>
    </w:p>
    <w:p w:rsidRPr="008551C5" w:rsidR="00315A8C" w:rsidP="000920DF" w:rsidRDefault="00315A8C" w14:paraId="122A7C44" w14:textId="77777777">
      <w:pPr>
        <w:ind w:firstLine="720"/>
        <w:rPr>
          <w:rFonts w:asciiTheme="minorHAnsi" w:hAnsiTheme="minorHAnsi" w:cstheme="minorHAnsi"/>
          <w:sz w:val="22"/>
          <w:szCs w:val="22"/>
        </w:rPr>
      </w:pPr>
    </w:p>
    <w:p w:rsidRPr="008551C5" w:rsidR="00D6010F" w:rsidP="000920DF" w:rsidRDefault="00D6010F" w14:paraId="71963880" w14:textId="2B30F659">
      <w:pPr>
        <w:ind w:firstLine="720"/>
        <w:rPr>
          <w:rFonts w:asciiTheme="minorHAnsi" w:hAnsiTheme="minorHAnsi" w:cstheme="minorHAnsi"/>
          <w:sz w:val="22"/>
          <w:szCs w:val="22"/>
        </w:rPr>
      </w:pPr>
      <w:r w:rsidRPr="008551C5">
        <w:rPr>
          <w:rFonts w:asciiTheme="minorHAnsi" w:hAnsiTheme="minorHAnsi" w:cstheme="minorHAnsi"/>
          <w:sz w:val="22"/>
          <w:szCs w:val="22"/>
        </w:rPr>
        <w:t xml:space="preserve">As described in Section 4 of Supporting Statement A, comparable estimates to benchmark NSFG key outcomes against are difficult to identify, either because of population coverage incompatibilities or scope (e.g., pregnancies resulting in a live birth vs. all pregnancies).  </w:t>
      </w:r>
      <w:r w:rsidRPr="008551C5" w:rsidR="007A6617">
        <w:rPr>
          <w:rFonts w:asciiTheme="minorHAnsi" w:hAnsiTheme="minorHAnsi" w:cstheme="minorHAnsi"/>
          <w:sz w:val="22"/>
          <w:szCs w:val="22"/>
        </w:rPr>
        <w:t>However, w</w:t>
      </w:r>
      <w:r w:rsidRPr="008551C5">
        <w:rPr>
          <w:rFonts w:asciiTheme="minorHAnsi" w:hAnsiTheme="minorHAnsi" w:cstheme="minorHAnsi"/>
          <w:sz w:val="22"/>
          <w:szCs w:val="22"/>
        </w:rPr>
        <w:t>e can still make use of benchmark estimates for comparisons of change over time that should be less susceptible to measurement differences across surveys.</w:t>
      </w:r>
      <w:r w:rsidRPr="008551C5" w:rsidR="007A6617">
        <w:rPr>
          <w:rFonts w:asciiTheme="minorHAnsi" w:hAnsiTheme="minorHAnsi" w:cstheme="minorHAnsi"/>
          <w:sz w:val="22"/>
          <w:szCs w:val="22"/>
        </w:rPr>
        <w:t xml:space="preserve"> Examples of the planned analyses within the three domains—nonresponse rates, ignorable nonresponse bias, and nonignorable bias—are presented in </w:t>
      </w:r>
      <w:r w:rsidRPr="008551C5" w:rsidR="00D35A1F">
        <w:rPr>
          <w:rFonts w:asciiTheme="minorHAnsi" w:hAnsiTheme="minorHAnsi" w:cstheme="minorHAnsi"/>
          <w:sz w:val="22"/>
          <w:szCs w:val="22"/>
        </w:rPr>
        <w:t>the table below</w:t>
      </w:r>
      <w:r w:rsidRPr="008551C5" w:rsidR="007A6617">
        <w:rPr>
          <w:rFonts w:asciiTheme="minorHAnsi" w:hAnsiTheme="minorHAnsi" w:cstheme="minorHAnsi"/>
          <w:sz w:val="22"/>
          <w:szCs w:val="22"/>
        </w:rPr>
        <w:t>.</w:t>
      </w:r>
    </w:p>
    <w:p w:rsidRPr="008551C5" w:rsidR="007A6617" w:rsidP="00320D30" w:rsidRDefault="007A6617" w14:paraId="1803F98B" w14:textId="77777777">
      <w:pPr>
        <w:pStyle w:val="NoSpacing"/>
        <w:rPr>
          <w:rFonts w:asciiTheme="minorHAnsi" w:hAnsiTheme="minorHAnsi" w:cstheme="minorHAnsi"/>
          <w:b/>
          <w:bCs/>
          <w:sz w:val="22"/>
          <w:szCs w:val="22"/>
        </w:rPr>
      </w:pPr>
    </w:p>
    <w:p w:rsidRPr="008551C5" w:rsidR="007A6617" w:rsidP="000920DF" w:rsidRDefault="007A6617" w14:paraId="4255FDB3" w14:textId="654352DC">
      <w:pPr>
        <w:pStyle w:val="NoSpacing"/>
        <w:rPr>
          <w:rFonts w:asciiTheme="minorHAnsi" w:hAnsiTheme="minorHAnsi" w:cstheme="minorHAnsi"/>
          <w:sz w:val="22"/>
          <w:szCs w:val="22"/>
        </w:rPr>
      </w:pPr>
      <w:r w:rsidRPr="008551C5">
        <w:rPr>
          <w:rFonts w:asciiTheme="minorHAnsi" w:hAnsiTheme="minorHAnsi" w:cstheme="minorHAnsi"/>
          <w:sz w:val="22"/>
          <w:szCs w:val="22"/>
        </w:rPr>
        <w:t>Three Types of Nonresponse Bias Analyses to be Conducted for NSFG 2022 - 2029.</w:t>
      </w:r>
    </w:p>
    <w:tbl>
      <w:tblPr>
        <w:tblStyle w:val="TableGrid"/>
        <w:tblW w:w="0" w:type="auto"/>
        <w:tblLook w:val="04A0" w:firstRow="1" w:lastRow="0" w:firstColumn="1" w:lastColumn="0" w:noHBand="0" w:noVBand="1"/>
      </w:tblPr>
      <w:tblGrid>
        <w:gridCol w:w="3415"/>
        <w:gridCol w:w="5935"/>
      </w:tblGrid>
      <w:tr w:rsidRPr="008551C5" w:rsidR="007A6617" w:rsidTr="006C1A9C" w14:paraId="70436D81" w14:textId="77777777">
        <w:tc>
          <w:tcPr>
            <w:tcW w:w="3415" w:type="dxa"/>
          </w:tcPr>
          <w:p w:rsidRPr="008551C5" w:rsidR="007A6617" w:rsidP="000920DF" w:rsidRDefault="007A6617" w14:paraId="77F285FA" w14:textId="77777777">
            <w:pPr>
              <w:pStyle w:val="NoSpacing"/>
              <w:rPr>
                <w:rFonts w:asciiTheme="minorHAnsi" w:hAnsiTheme="minorHAnsi" w:cstheme="minorHAnsi"/>
                <w:b/>
                <w:bCs/>
                <w:sz w:val="22"/>
                <w:szCs w:val="22"/>
              </w:rPr>
            </w:pPr>
            <w:r w:rsidRPr="008551C5">
              <w:rPr>
                <w:rFonts w:asciiTheme="minorHAnsi" w:hAnsiTheme="minorHAnsi" w:cstheme="minorHAnsi"/>
                <w:b/>
                <w:bCs/>
                <w:sz w:val="22"/>
                <w:szCs w:val="22"/>
              </w:rPr>
              <w:t>Analysis Type</w:t>
            </w:r>
          </w:p>
        </w:tc>
        <w:tc>
          <w:tcPr>
            <w:tcW w:w="5935" w:type="dxa"/>
          </w:tcPr>
          <w:p w:rsidRPr="008551C5" w:rsidR="007A6617" w:rsidP="000920DF" w:rsidRDefault="007A6617" w14:paraId="2E0AD2BD" w14:textId="77777777">
            <w:pPr>
              <w:pStyle w:val="NoSpacing"/>
              <w:rPr>
                <w:rFonts w:asciiTheme="minorHAnsi" w:hAnsiTheme="minorHAnsi" w:cstheme="minorHAnsi"/>
                <w:b/>
                <w:bCs/>
                <w:sz w:val="22"/>
                <w:szCs w:val="22"/>
              </w:rPr>
            </w:pPr>
            <w:r w:rsidRPr="008551C5">
              <w:rPr>
                <w:rFonts w:asciiTheme="minorHAnsi" w:hAnsiTheme="minorHAnsi" w:cstheme="minorHAnsi"/>
                <w:b/>
                <w:bCs/>
                <w:sz w:val="22"/>
                <w:szCs w:val="22"/>
              </w:rPr>
              <w:t>Examples</w:t>
            </w:r>
          </w:p>
        </w:tc>
      </w:tr>
      <w:tr w:rsidRPr="008551C5" w:rsidR="007A6617" w:rsidTr="006C1A9C" w14:paraId="78800423" w14:textId="77777777">
        <w:tc>
          <w:tcPr>
            <w:tcW w:w="3415" w:type="dxa"/>
          </w:tcPr>
          <w:p w:rsidRPr="008551C5" w:rsidR="007A6617" w:rsidP="00320D30" w:rsidRDefault="007A6617" w14:paraId="65CCEDB0" w14:textId="77777777">
            <w:pPr>
              <w:pStyle w:val="NoSpacing"/>
              <w:rPr>
                <w:rFonts w:asciiTheme="minorHAnsi" w:hAnsiTheme="minorHAnsi" w:cstheme="minorHAnsi"/>
                <w:sz w:val="22"/>
                <w:szCs w:val="22"/>
              </w:rPr>
            </w:pPr>
            <w:r w:rsidRPr="008551C5">
              <w:rPr>
                <w:rFonts w:asciiTheme="minorHAnsi" w:hAnsiTheme="minorHAnsi" w:cstheme="minorHAnsi"/>
                <w:sz w:val="22"/>
                <w:szCs w:val="22"/>
              </w:rPr>
              <w:t>1. Descriptive Statistics on Response Rates</w:t>
            </w:r>
          </w:p>
        </w:tc>
        <w:tc>
          <w:tcPr>
            <w:tcW w:w="5935" w:type="dxa"/>
          </w:tcPr>
          <w:p w:rsidRPr="008551C5" w:rsidR="007A6617" w:rsidP="000920DF" w:rsidRDefault="007A6617" w14:paraId="01C774A6" w14:textId="77777777">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Tables of response rates by data collection phase, pertinent sampling frame variables, paradata, and demographics</w:t>
            </w:r>
          </w:p>
          <w:p w:rsidRPr="008551C5" w:rsidR="007A6617" w:rsidP="000920DF" w:rsidRDefault="007A6617" w14:paraId="5BD2B382" w14:textId="77777777">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Plots of trends in response rates over quarterly sample releases</w:t>
            </w:r>
          </w:p>
          <w:p w:rsidRPr="008551C5" w:rsidR="007A6617" w:rsidP="000920DF" w:rsidRDefault="007A6617" w14:paraId="3D3D6CB4" w14:textId="77777777">
            <w:pPr>
              <w:pStyle w:val="NoSpacing"/>
              <w:rPr>
                <w:rFonts w:asciiTheme="minorHAnsi" w:hAnsiTheme="minorHAnsi" w:cstheme="minorHAnsi"/>
                <w:sz w:val="22"/>
                <w:szCs w:val="22"/>
              </w:rPr>
            </w:pPr>
          </w:p>
        </w:tc>
      </w:tr>
      <w:tr w:rsidRPr="008551C5" w:rsidR="007A6617" w:rsidTr="006C1A9C" w14:paraId="7D612F83" w14:textId="77777777">
        <w:tc>
          <w:tcPr>
            <w:tcW w:w="3415" w:type="dxa"/>
          </w:tcPr>
          <w:p w:rsidRPr="008551C5" w:rsidR="007A6617" w:rsidP="00320D30" w:rsidRDefault="007A6617" w14:paraId="622BAF3E" w14:textId="77777777">
            <w:pPr>
              <w:pStyle w:val="NoSpacing"/>
              <w:rPr>
                <w:rFonts w:asciiTheme="minorHAnsi" w:hAnsiTheme="minorHAnsi" w:cstheme="minorHAnsi"/>
                <w:sz w:val="22"/>
                <w:szCs w:val="22"/>
              </w:rPr>
            </w:pPr>
            <w:r w:rsidRPr="008551C5">
              <w:rPr>
                <w:rFonts w:asciiTheme="minorHAnsi" w:hAnsiTheme="minorHAnsi" w:cstheme="minorHAnsi"/>
                <w:sz w:val="22"/>
                <w:szCs w:val="22"/>
              </w:rPr>
              <w:t>2. Investigations into Ignorable Nonresponse Bias</w:t>
            </w:r>
          </w:p>
        </w:tc>
        <w:tc>
          <w:tcPr>
            <w:tcW w:w="5935" w:type="dxa"/>
          </w:tcPr>
          <w:p w:rsidRPr="008551C5" w:rsidR="007A6617" w:rsidP="000920DF" w:rsidRDefault="007A6617" w14:paraId="40EED988" w14:textId="77777777">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Tables comparing base-weighted demographic distributions of respondents against target population figures derived from the American Community Survey</w:t>
            </w:r>
          </w:p>
          <w:p w:rsidRPr="008551C5" w:rsidR="007A6617" w:rsidP="000920DF" w:rsidRDefault="007A6617" w14:paraId="261C017C" w14:textId="6DBB61EB">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Presentation and</w:t>
            </w:r>
            <w:r w:rsidRPr="008551C5" w:rsidR="008A691B">
              <w:rPr>
                <w:rFonts w:asciiTheme="minorHAnsi" w:hAnsiTheme="minorHAnsi" w:cstheme="minorHAnsi"/>
                <w:sz w:val="22"/>
                <w:szCs w:val="22"/>
              </w:rPr>
              <w:t xml:space="preserve"> interpretation of</w:t>
            </w:r>
            <w:r w:rsidRPr="008551C5">
              <w:rPr>
                <w:rFonts w:asciiTheme="minorHAnsi" w:hAnsiTheme="minorHAnsi" w:cstheme="minorHAnsi"/>
                <w:sz w:val="22"/>
                <w:szCs w:val="22"/>
              </w:rPr>
              <w:t xml:space="preserve"> parameters of the response propensity model(s) utilized to adjust for unit nonresponse</w:t>
            </w:r>
          </w:p>
          <w:p w:rsidRPr="008551C5" w:rsidR="007A6617" w:rsidP="000920DF" w:rsidRDefault="007A6617" w14:paraId="1B71CC0A" w14:textId="77777777">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Tables comparing base-weighted key outcomes of respondents from Phases 1 and 2 against respondents from Phase 3</w:t>
            </w:r>
          </w:p>
          <w:p w:rsidRPr="008551C5" w:rsidR="007A6617" w:rsidP="000920DF" w:rsidRDefault="007A6617" w14:paraId="77AD54E0" w14:textId="77777777">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Tables comparing base-weighted key outcomes using respondents from Phases 1 and 2 against base-weighted key outcomes using respondents from Phases 1, 2, and 3</w:t>
            </w:r>
          </w:p>
          <w:p w:rsidRPr="008551C5" w:rsidR="007A6617" w:rsidP="000920DF" w:rsidRDefault="007A6617" w14:paraId="4F9E0CE3" w14:textId="77777777">
            <w:pPr>
              <w:pStyle w:val="NoSpacing"/>
              <w:rPr>
                <w:rFonts w:asciiTheme="minorHAnsi" w:hAnsiTheme="minorHAnsi" w:cstheme="minorHAnsi"/>
                <w:sz w:val="22"/>
                <w:szCs w:val="22"/>
              </w:rPr>
            </w:pPr>
          </w:p>
        </w:tc>
      </w:tr>
      <w:tr w:rsidRPr="008551C5" w:rsidR="007A6617" w:rsidTr="006C1A9C" w14:paraId="13473519" w14:textId="77777777">
        <w:tc>
          <w:tcPr>
            <w:tcW w:w="3415" w:type="dxa"/>
          </w:tcPr>
          <w:p w:rsidRPr="008551C5" w:rsidR="007A6617" w:rsidP="00320D30" w:rsidRDefault="007A6617" w14:paraId="1468A6A2" w14:textId="77777777">
            <w:pPr>
              <w:pStyle w:val="NoSpacing"/>
              <w:rPr>
                <w:rFonts w:asciiTheme="minorHAnsi" w:hAnsiTheme="minorHAnsi" w:cstheme="minorHAnsi"/>
                <w:sz w:val="22"/>
                <w:szCs w:val="22"/>
              </w:rPr>
            </w:pPr>
            <w:r w:rsidRPr="008551C5">
              <w:rPr>
                <w:rFonts w:asciiTheme="minorHAnsi" w:hAnsiTheme="minorHAnsi" w:cstheme="minorHAnsi"/>
                <w:sz w:val="22"/>
                <w:szCs w:val="22"/>
              </w:rPr>
              <w:t>3. Investigations into Nonignorable Nonresponse Bias</w:t>
            </w:r>
          </w:p>
        </w:tc>
        <w:tc>
          <w:tcPr>
            <w:tcW w:w="5935" w:type="dxa"/>
          </w:tcPr>
          <w:p w:rsidRPr="008551C5" w:rsidR="007A6617" w:rsidP="000920DF" w:rsidRDefault="007A6617" w14:paraId="0DCD5A04" w14:textId="77777777">
            <w:pPr>
              <w:pStyle w:val="NoSpacing"/>
              <w:widowControl/>
              <w:numPr>
                <w:ilvl w:val="0"/>
                <w:numId w:val="20"/>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Tables comparing distributions of key outcomes and demographics derived from the Phase 4 NRFU one-page questionnaire versus distributions observed for respondents in (1) Phase 3 only and (2) Phases 1, 2, and 3 combined</w:t>
            </w:r>
          </w:p>
          <w:p w:rsidRPr="008551C5" w:rsidR="007A6617" w:rsidP="000920DF" w:rsidRDefault="007A6617" w14:paraId="1A02F1AB" w14:textId="77777777">
            <w:pPr>
              <w:pStyle w:val="NoSpacing"/>
              <w:widowControl/>
              <w:numPr>
                <w:ilvl w:val="0"/>
                <w:numId w:val="20"/>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Compare trends in estimates to estimates of change in other surveys (e.g., from the National Health Interview Survey)</w:t>
            </w:r>
          </w:p>
          <w:p w:rsidRPr="008551C5" w:rsidR="007A6617" w:rsidP="000920DF" w:rsidRDefault="007A6617" w14:paraId="7DFDF905" w14:textId="77777777">
            <w:pPr>
              <w:pStyle w:val="NoSpacing"/>
              <w:rPr>
                <w:rFonts w:asciiTheme="minorHAnsi" w:hAnsiTheme="minorHAnsi" w:cstheme="minorHAnsi"/>
                <w:sz w:val="22"/>
                <w:szCs w:val="22"/>
              </w:rPr>
            </w:pPr>
          </w:p>
        </w:tc>
      </w:tr>
    </w:tbl>
    <w:p w:rsidRPr="008551C5" w:rsidR="007A6617" w:rsidP="00320D30" w:rsidRDefault="007A6617" w14:paraId="2DCCB25C" w14:textId="7F013517">
      <w:pPr>
        <w:pStyle w:val="NoSpacing"/>
        <w:rPr>
          <w:rFonts w:asciiTheme="minorHAnsi" w:hAnsiTheme="minorHAnsi" w:cstheme="minorHAnsi"/>
          <w:sz w:val="22"/>
          <w:szCs w:val="22"/>
        </w:rPr>
      </w:pPr>
    </w:p>
    <w:p w:rsidRPr="008551C5" w:rsidR="009831AD" w:rsidP="00320D30" w:rsidRDefault="009831AD" w14:paraId="549D7F2C" w14:textId="1F982CCA">
      <w:pPr>
        <w:pStyle w:val="NoSpacing"/>
        <w:rPr>
          <w:rFonts w:asciiTheme="minorHAnsi" w:hAnsiTheme="minorHAnsi" w:cstheme="minorHAnsi"/>
          <w:sz w:val="22"/>
          <w:szCs w:val="22"/>
        </w:rPr>
      </w:pPr>
      <w:r w:rsidRPr="008551C5">
        <w:rPr>
          <w:rFonts w:asciiTheme="minorHAnsi" w:hAnsiTheme="minorHAnsi" w:cstheme="minorHAnsi"/>
          <w:sz w:val="22"/>
          <w:szCs w:val="22"/>
        </w:rPr>
        <w:t>For more details</w:t>
      </w:r>
      <w:r w:rsidRPr="008551C5" w:rsidR="00122429">
        <w:rPr>
          <w:rFonts w:asciiTheme="minorHAnsi" w:hAnsiTheme="minorHAnsi" w:cstheme="minorHAnsi"/>
          <w:sz w:val="22"/>
          <w:szCs w:val="22"/>
        </w:rPr>
        <w:t xml:space="preserve"> on the NSFG’s plan for nonresponse bias analyses</w:t>
      </w:r>
      <w:r w:rsidRPr="008551C5">
        <w:rPr>
          <w:rFonts w:asciiTheme="minorHAnsi" w:hAnsiTheme="minorHAnsi" w:cstheme="minorHAnsi"/>
          <w:sz w:val="22"/>
          <w:szCs w:val="22"/>
        </w:rPr>
        <w:t xml:space="preserve">, see </w:t>
      </w:r>
      <w:r w:rsidRPr="008551C5">
        <w:rPr>
          <w:rFonts w:asciiTheme="minorHAnsi" w:hAnsiTheme="minorHAnsi" w:cstheme="minorHAnsi"/>
          <w:b/>
          <w:bCs/>
          <w:sz w:val="22"/>
          <w:szCs w:val="22"/>
        </w:rPr>
        <w:t>Attachment N.</w:t>
      </w:r>
    </w:p>
    <w:p w:rsidRPr="008551C5" w:rsidR="00315A8C" w:rsidP="00320D30" w:rsidRDefault="00FF08A5" w14:paraId="0A028EC5" w14:textId="77777777">
      <w:pPr>
        <w:pStyle w:val="ListParagraph"/>
        <w:spacing w:line="240" w:lineRule="auto"/>
        <w:ind w:left="0"/>
        <w:rPr>
          <w:rFonts w:asciiTheme="minorHAnsi" w:hAnsiTheme="minorHAnsi" w:cstheme="minorHAnsi"/>
        </w:rPr>
      </w:pPr>
      <w:r w:rsidRPr="008551C5">
        <w:rPr>
          <w:rFonts w:asciiTheme="minorHAnsi" w:hAnsiTheme="minorHAnsi" w:cstheme="minorHAnsi"/>
        </w:rPr>
        <w:tab/>
      </w:r>
    </w:p>
    <w:p w:rsidRPr="008551C5" w:rsidR="007B7894" w:rsidP="00320D30" w:rsidRDefault="00FF08A5" w14:paraId="4876DC6D" w14:textId="0507743A">
      <w:pPr>
        <w:pStyle w:val="ListParagraph"/>
        <w:spacing w:line="240" w:lineRule="auto"/>
        <w:ind w:left="0" w:firstLine="720"/>
        <w:rPr>
          <w:rFonts w:asciiTheme="minorHAnsi" w:hAnsiTheme="minorHAnsi" w:cstheme="minorHAnsi"/>
        </w:rPr>
      </w:pPr>
      <w:r w:rsidRPr="008551C5">
        <w:rPr>
          <w:rFonts w:asciiTheme="minorHAnsi" w:hAnsiTheme="minorHAnsi" w:cstheme="minorHAnsi"/>
        </w:rPr>
        <w:t xml:space="preserve">These efforts build </w:t>
      </w:r>
      <w:r w:rsidRPr="008551C5" w:rsidR="00655415">
        <w:rPr>
          <w:rFonts w:asciiTheme="minorHAnsi" w:hAnsiTheme="minorHAnsi" w:cstheme="minorHAnsi"/>
        </w:rPr>
        <w:t xml:space="preserve">upon </w:t>
      </w:r>
      <w:r w:rsidRPr="008551C5" w:rsidR="007566F5">
        <w:rPr>
          <w:rFonts w:asciiTheme="minorHAnsi" w:hAnsiTheme="minorHAnsi" w:cstheme="minorHAnsi"/>
        </w:rPr>
        <w:t xml:space="preserve">the same principles guiding </w:t>
      </w:r>
      <w:r w:rsidRPr="008551C5" w:rsidR="00601E69">
        <w:rPr>
          <w:rFonts w:asciiTheme="minorHAnsi" w:hAnsiTheme="minorHAnsi" w:cstheme="minorHAnsi"/>
        </w:rPr>
        <w:t xml:space="preserve">nonresponse bias analyses conducted in the prior NSFGs, </w:t>
      </w:r>
      <w:r w:rsidRPr="008551C5" w:rsidR="00D80292">
        <w:rPr>
          <w:rFonts w:asciiTheme="minorHAnsi" w:hAnsiTheme="minorHAnsi" w:cstheme="minorHAnsi"/>
        </w:rPr>
        <w:t xml:space="preserve">in </w:t>
      </w:r>
      <w:r w:rsidRPr="008551C5" w:rsidR="00601E69">
        <w:rPr>
          <w:rFonts w:asciiTheme="minorHAnsi" w:hAnsiTheme="minorHAnsi" w:cstheme="minorHAnsi"/>
        </w:rPr>
        <w:t xml:space="preserve">2006-2010 and 2011-2019, which are described in greater detail on the NSFG webpage.  </w:t>
      </w:r>
    </w:p>
    <w:p w:rsidRPr="008551C5" w:rsidR="00AC6C3A" w:rsidP="00601E69" w:rsidRDefault="00AC6C3A" w14:paraId="12F30A82" w14:textId="689EC3FF">
      <w:pPr>
        <w:pStyle w:val="Heading1"/>
        <w:rPr>
          <w:rFonts w:asciiTheme="minorHAnsi" w:hAnsiTheme="minorHAnsi" w:cstheme="minorHAnsi"/>
          <w:b/>
          <w:bCs/>
          <w:color w:val="auto"/>
          <w:sz w:val="22"/>
          <w:szCs w:val="22"/>
        </w:rPr>
      </w:pPr>
      <w:bookmarkStart w:name="_Toc79140736" w:id="14"/>
      <w:r w:rsidRPr="008551C5">
        <w:rPr>
          <w:rFonts w:asciiTheme="minorHAnsi" w:hAnsiTheme="minorHAnsi" w:cstheme="minorHAnsi"/>
          <w:b/>
          <w:bCs/>
          <w:color w:val="auto"/>
          <w:sz w:val="22"/>
          <w:szCs w:val="22"/>
        </w:rPr>
        <w:t>4.  Tests of Procedures or Methods</w:t>
      </w:r>
      <w:r w:rsidRPr="008551C5" w:rsidR="008D13C0">
        <w:rPr>
          <w:rFonts w:asciiTheme="minorHAnsi" w:hAnsiTheme="minorHAnsi" w:cstheme="minorHAnsi"/>
          <w:b/>
          <w:bCs/>
          <w:color w:val="auto"/>
          <w:sz w:val="22"/>
          <w:szCs w:val="22"/>
        </w:rPr>
        <w:t xml:space="preserve"> to be Undertaken</w:t>
      </w:r>
      <w:bookmarkEnd w:id="14"/>
    </w:p>
    <w:p w:rsidRPr="008551C5" w:rsidR="006E5825" w:rsidP="006E5825" w:rsidRDefault="006E5825" w14:paraId="2DD1EA2D" w14:textId="77777777">
      <w:pPr>
        <w:rPr>
          <w:rFonts w:asciiTheme="minorHAnsi" w:hAnsiTheme="minorHAnsi" w:cstheme="minorHAnsi"/>
          <w:sz w:val="22"/>
          <w:szCs w:val="22"/>
        </w:rPr>
      </w:pPr>
    </w:p>
    <w:p w:rsidRPr="008551C5" w:rsidR="00A61238" w:rsidP="000920DF" w:rsidRDefault="00A61238" w14:paraId="26A1CDA1" w14:textId="18C2ED8C">
      <w:pPr>
        <w:pStyle w:val="Heading2"/>
        <w:spacing w:before="0" w:after="0"/>
        <w:ind w:left="720"/>
        <w:rPr>
          <w:rFonts w:asciiTheme="minorHAnsi" w:hAnsiTheme="minorHAnsi" w:cstheme="minorHAnsi"/>
          <w:i w:val="0"/>
          <w:iCs w:val="0"/>
          <w:sz w:val="22"/>
          <w:szCs w:val="22"/>
          <w:u w:val="single"/>
        </w:rPr>
      </w:pPr>
      <w:bookmarkStart w:name="_Toc79140737" w:id="15"/>
      <w:r w:rsidRPr="008551C5">
        <w:rPr>
          <w:rFonts w:asciiTheme="minorHAnsi" w:hAnsiTheme="minorHAnsi" w:cstheme="minorHAnsi"/>
          <w:i w:val="0"/>
          <w:iCs w:val="0"/>
          <w:sz w:val="22"/>
          <w:szCs w:val="22"/>
          <w:u w:val="single"/>
        </w:rPr>
        <w:t>Mode experiment with the household screener and main interview</w:t>
      </w:r>
      <w:bookmarkEnd w:id="15"/>
    </w:p>
    <w:p w:rsidR="000920DF" w:rsidP="000920DF" w:rsidRDefault="000920DF" w14:paraId="11B98B72" w14:textId="77777777">
      <w:pPr>
        <w:tabs>
          <w:tab w:val="left" w:pos="6300"/>
        </w:tabs>
        <w:ind w:firstLine="720"/>
        <w:rPr>
          <w:rFonts w:asciiTheme="minorHAnsi" w:hAnsiTheme="minorHAnsi" w:cstheme="minorHAnsi"/>
          <w:sz w:val="22"/>
          <w:szCs w:val="22"/>
        </w:rPr>
      </w:pPr>
    </w:p>
    <w:p w:rsidR="007A3C62" w:rsidP="000920DF" w:rsidRDefault="00AB1B4B" w14:paraId="6148DC04" w14:textId="74296DB4">
      <w:pPr>
        <w:tabs>
          <w:tab w:val="left" w:pos="6300"/>
        </w:tabs>
        <w:ind w:firstLine="720"/>
        <w:rPr>
          <w:rFonts w:asciiTheme="minorHAnsi" w:hAnsiTheme="minorHAnsi" w:cstheme="minorHAnsi"/>
          <w:sz w:val="22"/>
          <w:szCs w:val="22"/>
        </w:rPr>
      </w:pPr>
      <w:r w:rsidRPr="008551C5">
        <w:rPr>
          <w:rFonts w:asciiTheme="minorHAnsi" w:hAnsiTheme="minorHAnsi" w:cstheme="minorHAnsi"/>
          <w:sz w:val="22"/>
          <w:szCs w:val="22"/>
        </w:rPr>
        <w:t>This</w:t>
      </w:r>
      <w:r w:rsidRPr="008551C5" w:rsidR="00A61238">
        <w:rPr>
          <w:rFonts w:asciiTheme="minorHAnsi" w:hAnsiTheme="minorHAnsi" w:cstheme="minorHAnsi"/>
          <w:sz w:val="22"/>
          <w:szCs w:val="22"/>
        </w:rPr>
        <w:t xml:space="preserve"> experiment </w:t>
      </w:r>
      <w:r w:rsidRPr="008551C5">
        <w:rPr>
          <w:rFonts w:asciiTheme="minorHAnsi" w:hAnsiTheme="minorHAnsi" w:cstheme="minorHAnsi"/>
          <w:sz w:val="22"/>
          <w:szCs w:val="22"/>
        </w:rPr>
        <w:t>involves implementing</w:t>
      </w:r>
      <w:r w:rsidRPr="008551C5" w:rsidR="00A61238">
        <w:rPr>
          <w:rFonts w:asciiTheme="minorHAnsi" w:hAnsiTheme="minorHAnsi" w:cstheme="minorHAnsi"/>
          <w:sz w:val="22"/>
          <w:szCs w:val="22"/>
        </w:rPr>
        <w:t xml:space="preserve"> a multimode design that adds a web screener and a web main survey to the in-person data collection</w:t>
      </w:r>
      <w:r w:rsidRPr="008551C5" w:rsidR="00444554">
        <w:rPr>
          <w:rFonts w:asciiTheme="minorHAnsi" w:hAnsiTheme="minorHAnsi" w:cstheme="minorHAnsi"/>
          <w:sz w:val="22"/>
          <w:szCs w:val="22"/>
        </w:rPr>
        <w:t xml:space="preserve"> </w:t>
      </w:r>
      <w:r w:rsidRPr="008551C5" w:rsidR="00A61238">
        <w:rPr>
          <w:rFonts w:asciiTheme="minorHAnsi" w:hAnsiTheme="minorHAnsi" w:cstheme="minorHAnsi"/>
          <w:sz w:val="22"/>
          <w:szCs w:val="22"/>
        </w:rPr>
        <w:t xml:space="preserve">and </w:t>
      </w:r>
      <w:r w:rsidRPr="008551C5">
        <w:rPr>
          <w:rFonts w:asciiTheme="minorHAnsi" w:hAnsiTheme="minorHAnsi" w:cstheme="minorHAnsi"/>
          <w:sz w:val="22"/>
          <w:szCs w:val="22"/>
        </w:rPr>
        <w:t>will be evaluated as to</w:t>
      </w:r>
      <w:r w:rsidRPr="008551C5" w:rsidR="00A61238">
        <w:rPr>
          <w:rFonts w:asciiTheme="minorHAnsi" w:hAnsiTheme="minorHAnsi" w:cstheme="minorHAnsi"/>
          <w:sz w:val="22"/>
          <w:szCs w:val="22"/>
        </w:rPr>
        <w:t xml:space="preserve"> how this new design impacts response rates, cost, demographic composition, and survey estimates.</w:t>
      </w:r>
    </w:p>
    <w:p w:rsidR="00A2316D" w:rsidP="000920DF" w:rsidRDefault="00A2316D" w14:paraId="558AE6D7" w14:textId="77777777">
      <w:pPr>
        <w:tabs>
          <w:tab w:val="left" w:pos="6300"/>
        </w:tabs>
        <w:ind w:firstLine="720"/>
        <w:rPr>
          <w:rFonts w:asciiTheme="minorHAnsi" w:hAnsiTheme="minorHAnsi" w:cstheme="minorHAnsi"/>
          <w:sz w:val="22"/>
          <w:szCs w:val="22"/>
        </w:rPr>
      </w:pPr>
    </w:p>
    <w:p w:rsidR="00A3238D" w:rsidP="00A3238D" w:rsidRDefault="00A61238" w14:paraId="3A3D6823" w14:textId="77777777">
      <w:pPr>
        <w:widowControl/>
        <w:autoSpaceDE/>
        <w:autoSpaceDN/>
        <w:adjustRightInd/>
        <w:ind w:firstLine="720"/>
        <w:rPr>
          <w:rFonts w:asciiTheme="minorHAnsi" w:hAnsiTheme="minorHAnsi" w:cstheme="minorHAnsi"/>
          <w:sz w:val="22"/>
          <w:szCs w:val="22"/>
        </w:rPr>
      </w:pPr>
      <w:r w:rsidRPr="008551C5">
        <w:rPr>
          <w:rFonts w:asciiTheme="minorHAnsi" w:hAnsiTheme="minorHAnsi" w:cstheme="minorHAnsi"/>
          <w:sz w:val="22"/>
          <w:szCs w:val="22"/>
        </w:rPr>
        <w:t xml:space="preserve"> The mode experiment will test an integrated web and in-person design for the screener and main survey in Quarters 1 and 2 of 2022, with implementation to the full sample starting in Quarter 3. The mode experiment also provides the basis for the electronic </w:t>
      </w:r>
      <w:r w:rsidRPr="008551C5" w:rsidR="009C3294">
        <w:rPr>
          <w:rFonts w:asciiTheme="minorHAnsi" w:hAnsiTheme="minorHAnsi" w:cstheme="minorHAnsi"/>
          <w:sz w:val="22"/>
          <w:szCs w:val="22"/>
        </w:rPr>
        <w:t>life history calendar</w:t>
      </w:r>
      <w:r w:rsidRPr="008551C5">
        <w:rPr>
          <w:rFonts w:asciiTheme="minorHAnsi" w:hAnsiTheme="minorHAnsi" w:cstheme="minorHAnsi"/>
          <w:sz w:val="22"/>
          <w:szCs w:val="22"/>
        </w:rPr>
        <w:t xml:space="preserve"> (</w:t>
      </w:r>
      <w:r w:rsidRPr="008551C5" w:rsidR="002C3030">
        <w:rPr>
          <w:rFonts w:asciiTheme="minorHAnsi" w:hAnsiTheme="minorHAnsi" w:cstheme="minorHAnsi"/>
          <w:sz w:val="22"/>
          <w:szCs w:val="22"/>
        </w:rPr>
        <w:t>L</w:t>
      </w:r>
      <w:r w:rsidRPr="008551C5">
        <w:rPr>
          <w:rFonts w:asciiTheme="minorHAnsi" w:hAnsiTheme="minorHAnsi" w:cstheme="minorHAnsi"/>
          <w:sz w:val="22"/>
          <w:szCs w:val="22"/>
        </w:rPr>
        <w:t xml:space="preserve">HC), discussed in this section. Sample cases assigned to the multimode design that complete by web will be administered the electronic </w:t>
      </w:r>
      <w:r w:rsidRPr="008551C5" w:rsidR="002C3030">
        <w:rPr>
          <w:rFonts w:asciiTheme="minorHAnsi" w:hAnsiTheme="minorHAnsi" w:cstheme="minorHAnsi"/>
          <w:sz w:val="22"/>
          <w:szCs w:val="22"/>
        </w:rPr>
        <w:t>L</w:t>
      </w:r>
      <w:r w:rsidRPr="008551C5">
        <w:rPr>
          <w:rFonts w:asciiTheme="minorHAnsi" w:hAnsiTheme="minorHAnsi" w:cstheme="minorHAnsi"/>
          <w:sz w:val="22"/>
          <w:szCs w:val="22"/>
        </w:rPr>
        <w:t xml:space="preserve">HC.  The multimode data collection design includes three phases. Screener and main survey data are collected by web during Phase 1, in the first four weeks of data collection. In-person data collection is Phase 2, which starts in week 5, and lasts eight weeks.  Phase 3 (similar to “Phase 2” of the 2011-2019 NSFG) focuses on nonresponse </w:t>
      </w:r>
      <w:r w:rsidRPr="008551C5" w:rsidR="00470C9D">
        <w:rPr>
          <w:rFonts w:asciiTheme="minorHAnsi" w:hAnsiTheme="minorHAnsi" w:cstheme="minorHAnsi"/>
          <w:sz w:val="22"/>
          <w:szCs w:val="22"/>
        </w:rPr>
        <w:t>follow-up</w:t>
      </w:r>
      <w:r w:rsidRPr="008551C5">
        <w:rPr>
          <w:rFonts w:asciiTheme="minorHAnsi" w:hAnsiTheme="minorHAnsi" w:cstheme="minorHAnsi"/>
          <w:sz w:val="22"/>
          <w:szCs w:val="22"/>
        </w:rPr>
        <w:t>.  It starts in week 13 for a subsample of screener and main survey nonrespondents, using in-person data collection focused on the selected nonrespondents, and increased incentives (as described above under “Incentives</w:t>
      </w:r>
      <w:r w:rsidRPr="008551C5" w:rsidR="00444554">
        <w:rPr>
          <w:rFonts w:asciiTheme="minorHAnsi" w:hAnsiTheme="minorHAnsi" w:cstheme="minorHAnsi"/>
          <w:sz w:val="22"/>
          <w:szCs w:val="22"/>
        </w:rPr>
        <w:t>.</w:t>
      </w:r>
      <w:r w:rsidRPr="008551C5">
        <w:rPr>
          <w:rFonts w:asciiTheme="minorHAnsi" w:hAnsiTheme="minorHAnsi" w:cstheme="minorHAnsi"/>
          <w:sz w:val="22"/>
          <w:szCs w:val="22"/>
        </w:rPr>
        <w:t>” Screener and main survey data collection concludes at the end of week 16.  Related to this experiment, design changes may be considered to optimize the performance of the experimental features, including:  adjustments to proportion of subsample for phase 3 protocol; duration of phases (number of days/weeks).  The nature and magnitude of changes, if needed, is not predictable in advance of data collection.</w:t>
      </w:r>
      <w:r w:rsidR="00A3238D">
        <w:rPr>
          <w:rFonts w:asciiTheme="minorHAnsi" w:hAnsiTheme="minorHAnsi" w:cstheme="minorHAnsi"/>
          <w:sz w:val="22"/>
          <w:szCs w:val="22"/>
        </w:rPr>
        <w:t xml:space="preserve"> </w:t>
      </w:r>
      <w:r w:rsidRPr="003149DD" w:rsidR="00A3238D">
        <w:rPr>
          <w:rFonts w:asciiTheme="minorHAnsi" w:hAnsiTheme="minorHAnsi" w:eastAsiaTheme="minorHAnsi" w:cstheme="minorHAnsi"/>
          <w:sz w:val="22"/>
          <w:szCs w:val="22"/>
        </w:rPr>
        <w:t>The data collection design for the first year by mode condition, quarter, and phase, is presented in Figure 2.</w:t>
      </w:r>
    </w:p>
    <w:p w:rsidRPr="003149DD" w:rsidR="00A3238D" w:rsidP="00A3238D" w:rsidRDefault="00A3238D" w14:paraId="60D0EC17" w14:textId="77777777">
      <w:pPr>
        <w:widowControl/>
        <w:autoSpaceDE/>
        <w:autoSpaceDN/>
        <w:adjustRightInd/>
        <w:rPr>
          <w:rFonts w:asciiTheme="minorHAnsi" w:hAnsiTheme="minorHAnsi" w:eastAsiaTheme="minorHAnsi" w:cstheme="minorHAnsi"/>
          <w:sz w:val="22"/>
          <w:szCs w:val="22"/>
        </w:rPr>
      </w:pPr>
    </w:p>
    <w:p w:rsidRPr="003149DD" w:rsidR="00A3238D" w:rsidP="00A3238D" w:rsidRDefault="00A3238D" w14:paraId="49FE2557" w14:textId="2B527C5B">
      <w:pPr>
        <w:widowControl/>
        <w:autoSpaceDE/>
        <w:autoSpaceDN/>
        <w:adjustRightInd/>
        <w:rPr>
          <w:rFonts w:asciiTheme="minorHAnsi" w:hAnsiTheme="minorHAnsi" w:cstheme="minorHAnsi"/>
          <w:sz w:val="22"/>
          <w:szCs w:val="22"/>
        </w:rPr>
      </w:pPr>
      <w:r w:rsidRPr="003149DD">
        <w:rPr>
          <w:rFonts w:asciiTheme="minorHAnsi" w:hAnsiTheme="minorHAnsi" w:cstheme="minorHAnsi"/>
          <w:noProof/>
          <w:sz w:val="22"/>
          <w:szCs w:val="22"/>
        </w:rPr>
        <w:drawing>
          <wp:inline distT="0" distB="0" distL="0" distR="0" wp14:anchorId="32EDEDE6" wp14:editId="6CCC7136">
            <wp:extent cx="6048246" cy="1667934"/>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12"/>
                    <a:stretch>
                      <a:fillRect/>
                    </a:stretch>
                  </pic:blipFill>
                  <pic:spPr>
                    <a:xfrm>
                      <a:off x="0" y="0"/>
                      <a:ext cx="6050184" cy="1668468"/>
                    </a:xfrm>
                    <a:prstGeom prst="rect">
                      <a:avLst/>
                    </a:prstGeom>
                  </pic:spPr>
                </pic:pic>
              </a:graphicData>
            </a:graphic>
          </wp:inline>
        </w:drawing>
      </w:r>
    </w:p>
    <w:p w:rsidRPr="00DC73CE" w:rsidR="00A3238D" w:rsidP="00A3238D" w:rsidRDefault="00A3238D" w14:paraId="35EB6587" w14:textId="77777777">
      <w:pPr>
        <w:keepNext/>
        <w:keepLines/>
        <w:widowControl/>
        <w:autoSpaceDE/>
        <w:autoSpaceDN/>
        <w:adjustRightInd/>
        <w:spacing w:after="60"/>
        <w:ind w:left="1267" w:hanging="1267"/>
        <w:rPr>
          <w:rFonts w:asciiTheme="minorHAnsi" w:hAnsiTheme="minorHAnsi" w:cstheme="minorHAnsi"/>
          <w:b/>
          <w:bCs/>
          <w:sz w:val="18"/>
          <w:szCs w:val="18"/>
        </w:rPr>
      </w:pPr>
      <w:r w:rsidRPr="003149DD">
        <w:rPr>
          <w:rFonts w:asciiTheme="minorHAnsi" w:hAnsiTheme="minorHAnsi" w:cstheme="minorHAnsi"/>
          <w:b/>
          <w:bCs/>
          <w:sz w:val="18"/>
          <w:szCs w:val="18"/>
        </w:rPr>
        <w:t xml:space="preserve">Figure 2. </w:t>
      </w:r>
      <w:r w:rsidRPr="003149DD">
        <w:rPr>
          <w:rFonts w:asciiTheme="minorHAnsi" w:hAnsiTheme="minorHAnsi" w:cstheme="minorHAnsi"/>
          <w:b/>
          <w:bCs/>
          <w:sz w:val="18"/>
          <w:szCs w:val="18"/>
        </w:rPr>
        <w:tab/>
        <w:t>Multimode and FTF Mode Split-Sample Design in Quarter 1 and 2 of 2022, and Multimode Continuation in Quarter 3 and 4.</w:t>
      </w:r>
    </w:p>
    <w:p w:rsidR="00A3238D" w:rsidP="00A3238D" w:rsidRDefault="00A3238D" w14:paraId="22A2CD9A" w14:textId="77777777">
      <w:pPr>
        <w:widowControl/>
        <w:autoSpaceDE/>
        <w:autoSpaceDN/>
        <w:adjustRightInd/>
        <w:ind w:firstLine="720"/>
        <w:rPr>
          <w:rFonts w:asciiTheme="minorHAnsi" w:hAnsiTheme="minorHAnsi" w:cstheme="minorHAnsi"/>
          <w:sz w:val="22"/>
          <w:szCs w:val="22"/>
        </w:rPr>
      </w:pPr>
    </w:p>
    <w:p w:rsidRPr="003149DD" w:rsidR="00A3238D" w:rsidP="00A3238D" w:rsidRDefault="00A3238D" w14:paraId="5AB65374" w14:textId="33720B52">
      <w:pPr>
        <w:widowControl/>
        <w:autoSpaceDE/>
        <w:autoSpaceDN/>
        <w:adjustRightInd/>
        <w:ind w:firstLine="720"/>
        <w:rPr>
          <w:rFonts w:asciiTheme="minorHAnsi" w:hAnsiTheme="minorHAnsi" w:eastAsiaTheme="minorHAnsi" w:cstheme="minorHAnsi"/>
          <w:sz w:val="22"/>
          <w:szCs w:val="22"/>
        </w:rPr>
      </w:pPr>
      <w:r>
        <w:rPr>
          <w:rFonts w:asciiTheme="minorHAnsi" w:hAnsiTheme="minorHAnsi" w:eastAsiaTheme="minorHAnsi" w:cstheme="minorHAnsi"/>
          <w:sz w:val="22"/>
          <w:szCs w:val="22"/>
        </w:rPr>
        <w:t>Figure 2 also shows the</w:t>
      </w:r>
      <w:r w:rsidRPr="003149DD">
        <w:rPr>
          <w:rFonts w:asciiTheme="minorHAnsi" w:hAnsiTheme="minorHAnsi" w:eastAsiaTheme="minorHAnsi" w:cstheme="minorHAnsi"/>
          <w:sz w:val="22"/>
          <w:szCs w:val="22"/>
        </w:rPr>
        <w:t xml:space="preserve"> split-sample design </w:t>
      </w:r>
      <w:r>
        <w:rPr>
          <w:rFonts w:asciiTheme="minorHAnsi" w:hAnsiTheme="minorHAnsi" w:eastAsiaTheme="minorHAnsi" w:cstheme="minorHAnsi"/>
          <w:sz w:val="22"/>
          <w:szCs w:val="22"/>
        </w:rPr>
        <w:t xml:space="preserve">that </w:t>
      </w:r>
      <w:r w:rsidRPr="003149DD">
        <w:rPr>
          <w:rFonts w:asciiTheme="minorHAnsi" w:hAnsiTheme="minorHAnsi" w:eastAsiaTheme="minorHAnsi" w:cstheme="minorHAnsi"/>
          <w:sz w:val="22"/>
          <w:szCs w:val="22"/>
        </w:rPr>
        <w:t xml:space="preserve">will be used in Quarters 1 and 2 of 2022 to evaluate differences attributable to the change in modes, assigning 4,818 sampled addresses to the multimode design and 4,818 to the FTF-only design.. This allocation is expected to allow detection of a 2.5 percentage point difference in screener response rates and a 3.5 percentage point difference in main survey response rates, at an error rate of .05 and power of .80. For key survey estimates, the median percentage point detectable difference for unweighted estimates is 4.8 for females and 5.3 for males. The weighted percentage point detectable differences are 7.9 for females and 7.2 for males. </w:t>
      </w:r>
    </w:p>
    <w:p w:rsidR="00A61238" w:rsidP="000920DF" w:rsidRDefault="00A61238" w14:paraId="7BCBAFAA" w14:textId="1FAC600F">
      <w:pPr>
        <w:tabs>
          <w:tab w:val="left" w:pos="6300"/>
        </w:tabs>
        <w:ind w:firstLine="720"/>
        <w:rPr>
          <w:rFonts w:asciiTheme="minorHAnsi" w:hAnsiTheme="minorHAnsi" w:cstheme="minorHAnsi"/>
          <w:sz w:val="22"/>
          <w:szCs w:val="22"/>
        </w:rPr>
      </w:pPr>
    </w:p>
    <w:p w:rsidR="00B97D80" w:rsidP="000920DF" w:rsidRDefault="005A11C9" w14:paraId="62752720" w14:textId="5F897DC7">
      <w:pPr>
        <w:tabs>
          <w:tab w:val="left" w:pos="720"/>
        </w:tabs>
        <w:rPr>
          <w:rFonts w:asciiTheme="minorHAnsi" w:hAnsiTheme="minorHAnsi" w:cstheme="minorHAnsi"/>
          <w:sz w:val="22"/>
          <w:szCs w:val="22"/>
        </w:rPr>
      </w:pPr>
      <w:r w:rsidRPr="008551C5">
        <w:rPr>
          <w:rFonts w:asciiTheme="minorHAnsi" w:hAnsiTheme="minorHAnsi" w:cstheme="minorHAnsi"/>
          <w:sz w:val="22"/>
          <w:szCs w:val="22"/>
        </w:rPr>
        <w:tab/>
      </w:r>
      <w:r w:rsidRPr="008551C5" w:rsidR="00A61238">
        <w:rPr>
          <w:rFonts w:asciiTheme="minorHAnsi" w:hAnsiTheme="minorHAnsi" w:cstheme="minorHAnsi"/>
          <w:sz w:val="22"/>
          <w:szCs w:val="22"/>
        </w:rPr>
        <w:t>Another experimental</w:t>
      </w:r>
      <w:r w:rsidRPr="008551C5" w:rsidR="00AB1B4B">
        <w:rPr>
          <w:rFonts w:asciiTheme="minorHAnsi" w:hAnsiTheme="minorHAnsi" w:cstheme="minorHAnsi"/>
          <w:sz w:val="22"/>
          <w:szCs w:val="22"/>
        </w:rPr>
        <w:t xml:space="preserve"> element</w:t>
      </w:r>
      <w:r w:rsidRPr="008551C5" w:rsidR="00A61238">
        <w:rPr>
          <w:rFonts w:asciiTheme="minorHAnsi" w:hAnsiTheme="minorHAnsi" w:cstheme="minorHAnsi"/>
          <w:sz w:val="22"/>
          <w:szCs w:val="22"/>
        </w:rPr>
        <w:t xml:space="preserve"> within this experiment involves a short</w:t>
      </w:r>
      <w:r w:rsidR="00A2316D">
        <w:rPr>
          <w:rFonts w:asciiTheme="minorHAnsi" w:hAnsiTheme="minorHAnsi" w:cstheme="minorHAnsi"/>
          <w:sz w:val="22"/>
          <w:szCs w:val="22"/>
        </w:rPr>
        <w:t>.</w:t>
      </w:r>
      <w:r w:rsidRPr="008551C5" w:rsidR="00A61238">
        <w:rPr>
          <w:rFonts w:asciiTheme="minorHAnsi" w:hAnsiTheme="minorHAnsi" w:cstheme="minorHAnsi"/>
          <w:sz w:val="22"/>
          <w:szCs w:val="22"/>
        </w:rPr>
        <w:t xml:space="preserve"> mailed survey to nonrespondents after week 16</w:t>
      </w:r>
      <w:r w:rsidR="001D620A">
        <w:rPr>
          <w:rFonts w:asciiTheme="minorHAnsi" w:hAnsiTheme="minorHAnsi" w:cstheme="minorHAnsi"/>
          <w:sz w:val="22"/>
          <w:szCs w:val="22"/>
        </w:rPr>
        <w:t xml:space="preserve"> </w:t>
      </w:r>
      <w:r w:rsidR="001D620A">
        <w:rPr>
          <w:rFonts w:asciiTheme="minorHAnsi" w:hAnsiTheme="minorHAnsi" w:cstheme="minorHAnsi"/>
          <w:b/>
          <w:bCs/>
          <w:sz w:val="22"/>
          <w:szCs w:val="22"/>
        </w:rPr>
        <w:t>(Attachment N3)</w:t>
      </w:r>
      <w:r w:rsidRPr="008551C5" w:rsidR="00A61238">
        <w:rPr>
          <w:rFonts w:asciiTheme="minorHAnsi" w:hAnsiTheme="minorHAnsi" w:cstheme="minorHAnsi"/>
          <w:sz w:val="22"/>
          <w:szCs w:val="22"/>
        </w:rPr>
        <w:t>, in order to evaluate the feasibility and utility of using a follow-up to ascertain eligibility and some limited information on nonrespondents. This “Phase 4” will be implemented on a test basis in Quarters 1 and 2.  This test is mentioned in the section on nonresponse bias analysis.</w:t>
      </w:r>
      <w:r w:rsidRPr="008551C5" w:rsidR="00B97D80">
        <w:rPr>
          <w:rFonts w:asciiTheme="minorHAnsi" w:hAnsiTheme="minorHAnsi" w:cstheme="minorHAnsi"/>
          <w:sz w:val="22"/>
          <w:szCs w:val="22"/>
        </w:rPr>
        <w:t xml:space="preserve">  Evaluation of the experiment will include comparison between modes of response rates, costs, and key survey estimates.</w:t>
      </w:r>
    </w:p>
    <w:p w:rsidR="00A2316D" w:rsidP="000920DF" w:rsidRDefault="00A2316D" w14:paraId="38AB17D5" w14:textId="77777777">
      <w:pPr>
        <w:tabs>
          <w:tab w:val="left" w:pos="720"/>
        </w:tabs>
        <w:rPr>
          <w:rFonts w:asciiTheme="minorHAnsi" w:hAnsiTheme="minorHAnsi" w:cstheme="minorHAnsi"/>
          <w:sz w:val="22"/>
          <w:szCs w:val="22"/>
        </w:rPr>
      </w:pPr>
    </w:p>
    <w:p w:rsidRPr="008551C5" w:rsidR="00B97D80" w:rsidP="00D56815" w:rsidRDefault="00A2316D" w14:paraId="50FA0B4F" w14:textId="7F3CFA40">
      <w:pPr>
        <w:widowControl/>
        <w:autoSpaceDE/>
        <w:autoSpaceDN/>
        <w:adjustRightInd/>
        <w:rPr>
          <w:rFonts w:asciiTheme="minorHAnsi" w:hAnsiTheme="minorHAnsi" w:cstheme="minorHAnsi"/>
          <w:sz w:val="22"/>
          <w:szCs w:val="22"/>
        </w:rPr>
      </w:pPr>
      <w:r w:rsidRPr="003149DD">
        <w:rPr>
          <w:rFonts w:asciiTheme="minorHAnsi" w:hAnsiTheme="minorHAnsi" w:eastAsiaTheme="minorHAnsi" w:cstheme="minorHAnsi"/>
          <w:sz w:val="22"/>
          <w:szCs w:val="22"/>
        </w:rPr>
        <w:tab/>
        <w:t>From Quarter 3 of 2022, the data collection will proceed with the multimode design, informed by the results of the experimental comparisons.</w:t>
      </w:r>
    </w:p>
    <w:p w:rsidR="00EB2199" w:rsidP="000920DF" w:rsidRDefault="00EB2199" w14:paraId="07F603E1" w14:textId="59299CB2">
      <w:pPr>
        <w:pStyle w:val="Heading2"/>
        <w:ind w:left="720"/>
        <w:rPr>
          <w:rFonts w:asciiTheme="minorHAnsi" w:hAnsiTheme="minorHAnsi" w:cstheme="minorHAnsi"/>
          <w:bCs w:val="0"/>
          <w:i w:val="0"/>
          <w:iCs w:val="0"/>
          <w:sz w:val="22"/>
          <w:szCs w:val="22"/>
          <w:u w:val="single"/>
        </w:rPr>
      </w:pPr>
      <w:bookmarkStart w:name="_Toc79140738" w:id="16"/>
      <w:r w:rsidRPr="008551C5">
        <w:rPr>
          <w:rFonts w:asciiTheme="minorHAnsi" w:hAnsiTheme="minorHAnsi" w:cstheme="minorHAnsi"/>
          <w:bCs w:val="0"/>
          <w:i w:val="0"/>
          <w:iCs w:val="0"/>
          <w:sz w:val="22"/>
          <w:szCs w:val="22"/>
          <w:u w:val="single"/>
        </w:rPr>
        <w:t>Experiment with electronic life history calendar</w:t>
      </w:r>
      <w:bookmarkEnd w:id="16"/>
    </w:p>
    <w:p w:rsidRPr="000920DF" w:rsidR="000920DF" w:rsidP="000920DF" w:rsidRDefault="000920DF" w14:paraId="2C6D3966" w14:textId="77777777"/>
    <w:p w:rsidRPr="008551C5" w:rsidR="00B97D80" w:rsidP="000920DF" w:rsidRDefault="00B97D80" w14:paraId="1B103F44" w14:textId="6FB4ED2E">
      <w:pPr>
        <w:tabs>
          <w:tab w:val="left" w:pos="6300"/>
        </w:tabs>
        <w:ind w:firstLine="720"/>
        <w:rPr>
          <w:rFonts w:asciiTheme="minorHAnsi" w:hAnsiTheme="minorHAnsi" w:cstheme="minorHAnsi"/>
          <w:sz w:val="22"/>
          <w:szCs w:val="22"/>
        </w:rPr>
      </w:pPr>
      <w:r w:rsidRPr="008551C5">
        <w:rPr>
          <w:rFonts w:asciiTheme="minorHAnsi" w:hAnsiTheme="minorHAnsi" w:cstheme="minorHAnsi"/>
          <w:sz w:val="22"/>
          <w:szCs w:val="22"/>
        </w:rPr>
        <w:t>The introduction of a web mode of data collection requires a mode change to the current</w:t>
      </w:r>
      <w:r w:rsidRPr="008551C5" w:rsidR="00B97F6D">
        <w:rPr>
          <w:rFonts w:asciiTheme="minorHAnsi" w:hAnsiTheme="minorHAnsi" w:cstheme="minorHAnsi"/>
          <w:sz w:val="22"/>
          <w:szCs w:val="22"/>
        </w:rPr>
        <w:t xml:space="preserve"> paper</w:t>
      </w:r>
      <w:r w:rsidRPr="008551C5">
        <w:rPr>
          <w:rFonts w:asciiTheme="minorHAnsi" w:hAnsiTheme="minorHAnsi" w:cstheme="minorHAnsi"/>
          <w:sz w:val="22"/>
          <w:szCs w:val="22"/>
        </w:rPr>
        <w:t xml:space="preserve"> </w:t>
      </w:r>
      <w:r w:rsidRPr="008551C5" w:rsidR="002C74DA">
        <w:rPr>
          <w:rFonts w:asciiTheme="minorHAnsi" w:hAnsiTheme="minorHAnsi" w:cstheme="minorHAnsi"/>
          <w:sz w:val="22"/>
          <w:szCs w:val="22"/>
        </w:rPr>
        <w:t>l</w:t>
      </w:r>
      <w:r w:rsidRPr="008551C5">
        <w:rPr>
          <w:rFonts w:asciiTheme="minorHAnsi" w:hAnsiTheme="minorHAnsi" w:cstheme="minorHAnsi"/>
          <w:sz w:val="22"/>
          <w:szCs w:val="22"/>
        </w:rPr>
        <w:t>ife history calendar</w:t>
      </w:r>
      <w:r w:rsidRPr="008551C5" w:rsidR="00444554">
        <w:rPr>
          <w:rFonts w:asciiTheme="minorHAnsi" w:hAnsiTheme="minorHAnsi" w:cstheme="minorHAnsi"/>
          <w:sz w:val="22"/>
          <w:szCs w:val="22"/>
        </w:rPr>
        <w:t>,</w:t>
      </w:r>
      <w:r w:rsidRPr="008551C5">
        <w:rPr>
          <w:rFonts w:asciiTheme="minorHAnsi" w:hAnsiTheme="minorHAnsi" w:cstheme="minorHAnsi"/>
          <w:sz w:val="22"/>
          <w:szCs w:val="22"/>
        </w:rPr>
        <w:t xml:space="preserve"> mentioned in #9 of the </w:t>
      </w:r>
      <w:r w:rsidRPr="008551C5" w:rsidR="002C3030">
        <w:rPr>
          <w:rFonts w:asciiTheme="minorHAnsi" w:hAnsiTheme="minorHAnsi" w:cstheme="minorHAnsi"/>
          <w:sz w:val="22"/>
          <w:szCs w:val="22"/>
        </w:rPr>
        <w:t>“</w:t>
      </w:r>
      <w:r w:rsidRPr="008551C5">
        <w:rPr>
          <w:rFonts w:asciiTheme="minorHAnsi" w:hAnsiTheme="minorHAnsi" w:cstheme="minorHAnsi"/>
          <w:sz w:val="22"/>
          <w:szCs w:val="22"/>
        </w:rPr>
        <w:t xml:space="preserve">Main Steps in </w:t>
      </w:r>
      <w:r w:rsidRPr="008551C5" w:rsidR="00027730">
        <w:rPr>
          <w:rFonts w:asciiTheme="minorHAnsi" w:hAnsiTheme="minorHAnsi" w:cstheme="minorHAnsi"/>
          <w:sz w:val="22"/>
          <w:szCs w:val="22"/>
        </w:rPr>
        <w:t>data collection</w:t>
      </w:r>
      <w:r w:rsidRPr="008551C5" w:rsidR="002C74DA">
        <w:rPr>
          <w:rFonts w:asciiTheme="minorHAnsi" w:hAnsiTheme="minorHAnsi" w:cstheme="minorHAnsi"/>
          <w:sz w:val="22"/>
          <w:szCs w:val="22"/>
        </w:rPr>
        <w:t>.”</w:t>
      </w:r>
      <w:r w:rsidRPr="008551C5">
        <w:rPr>
          <w:rFonts w:asciiTheme="minorHAnsi" w:hAnsiTheme="minorHAnsi" w:cstheme="minorHAnsi"/>
          <w:sz w:val="22"/>
          <w:szCs w:val="22"/>
        </w:rPr>
        <w:t xml:space="preserve">  This calendar is in paper form in FTF interviews and is a recall aid for respondents to write on to help remember details of past events asked about in the survey.  The calendar will be converted to electronic form and retain features of the  </w:t>
      </w:r>
      <w:r w:rsidR="00533BE9">
        <w:rPr>
          <w:rFonts w:asciiTheme="minorHAnsi" w:hAnsiTheme="minorHAnsi" w:cstheme="minorHAnsi"/>
          <w:sz w:val="22"/>
          <w:szCs w:val="22"/>
        </w:rPr>
        <w:t xml:space="preserve">paper </w:t>
      </w:r>
      <w:r w:rsidRPr="008551C5">
        <w:rPr>
          <w:rFonts w:asciiTheme="minorHAnsi" w:hAnsiTheme="minorHAnsi" w:cstheme="minorHAnsi"/>
          <w:sz w:val="22"/>
          <w:szCs w:val="22"/>
        </w:rPr>
        <w:t xml:space="preserve">calendar, adapting the display for devices including </w:t>
      </w:r>
      <w:r w:rsidR="00094D0A">
        <w:rPr>
          <w:rFonts w:asciiTheme="minorHAnsi" w:hAnsiTheme="minorHAnsi" w:cstheme="minorHAnsi"/>
          <w:sz w:val="22"/>
          <w:szCs w:val="22"/>
        </w:rPr>
        <w:t>smart phones</w:t>
      </w:r>
      <w:r w:rsidRPr="008551C5">
        <w:rPr>
          <w:rFonts w:asciiTheme="minorHAnsi" w:hAnsiTheme="minorHAnsi" w:cstheme="minorHAnsi"/>
          <w:sz w:val="22"/>
          <w:szCs w:val="22"/>
        </w:rPr>
        <w:t xml:space="preserve">.  Development of the electronic calendar will involve small-scale lab tests before fieldwork launch.  Evaluation after data collection begins will involve </w:t>
      </w:r>
      <w:r w:rsidRPr="008551C5" w:rsidR="00130A35">
        <w:rPr>
          <w:rFonts w:asciiTheme="minorHAnsi" w:hAnsiTheme="minorHAnsi" w:cstheme="minorHAnsi"/>
          <w:sz w:val="22"/>
          <w:szCs w:val="22"/>
        </w:rPr>
        <w:t xml:space="preserve">respondent </w:t>
      </w:r>
      <w:r w:rsidRPr="008551C5">
        <w:rPr>
          <w:rFonts w:asciiTheme="minorHAnsi" w:hAnsiTheme="minorHAnsi" w:cstheme="minorHAnsi"/>
          <w:sz w:val="22"/>
          <w:szCs w:val="22"/>
        </w:rPr>
        <w:t>debriefing questions</w:t>
      </w:r>
      <w:r w:rsidR="0012018C">
        <w:rPr>
          <w:rFonts w:asciiTheme="minorHAnsi" w:hAnsiTheme="minorHAnsi" w:cstheme="minorHAnsi"/>
          <w:sz w:val="22"/>
          <w:szCs w:val="22"/>
        </w:rPr>
        <w:t xml:space="preserve"> </w:t>
      </w:r>
      <w:r w:rsidR="0012018C">
        <w:rPr>
          <w:rFonts w:asciiTheme="minorHAnsi" w:hAnsiTheme="minorHAnsi" w:cstheme="minorHAnsi"/>
          <w:b/>
          <w:bCs/>
          <w:sz w:val="22"/>
          <w:szCs w:val="22"/>
        </w:rPr>
        <w:t>(Attachment I3)</w:t>
      </w:r>
      <w:r w:rsidRPr="008551C5">
        <w:rPr>
          <w:rFonts w:asciiTheme="minorHAnsi" w:hAnsiTheme="minorHAnsi" w:cstheme="minorHAnsi"/>
          <w:sz w:val="22"/>
          <w:szCs w:val="22"/>
        </w:rPr>
        <w:t>, and comparisons of online v</w:t>
      </w:r>
      <w:r w:rsidRPr="008551C5" w:rsidR="005025D1">
        <w:rPr>
          <w:rFonts w:asciiTheme="minorHAnsi" w:hAnsiTheme="minorHAnsi" w:cstheme="minorHAnsi"/>
          <w:sz w:val="22"/>
          <w:szCs w:val="22"/>
        </w:rPr>
        <w:t>ersus</w:t>
      </w:r>
      <w:r w:rsidRPr="008551C5">
        <w:rPr>
          <w:rFonts w:asciiTheme="minorHAnsi" w:hAnsiTheme="minorHAnsi" w:cstheme="minorHAnsi"/>
          <w:sz w:val="22"/>
          <w:szCs w:val="22"/>
        </w:rPr>
        <w:t xml:space="preserve"> FTF modes for how often the calendar was used, key estimates derived from the calendar and </w:t>
      </w:r>
      <w:r w:rsidRPr="008551C5" w:rsidR="00AE1988">
        <w:rPr>
          <w:rFonts w:asciiTheme="minorHAnsi" w:hAnsiTheme="minorHAnsi" w:cstheme="minorHAnsi"/>
          <w:sz w:val="22"/>
          <w:szCs w:val="22"/>
        </w:rPr>
        <w:t xml:space="preserve">logical </w:t>
      </w:r>
      <w:r w:rsidRPr="008551C5">
        <w:rPr>
          <w:rFonts w:asciiTheme="minorHAnsi" w:hAnsiTheme="minorHAnsi" w:cstheme="minorHAnsi"/>
          <w:sz w:val="22"/>
          <w:szCs w:val="22"/>
        </w:rPr>
        <w:t>inconsistencies in the data.</w:t>
      </w:r>
      <w:r w:rsidR="00EE78FB">
        <w:rPr>
          <w:rFonts w:asciiTheme="minorHAnsi" w:hAnsiTheme="minorHAnsi" w:cstheme="minorHAnsi"/>
          <w:sz w:val="22"/>
          <w:szCs w:val="22"/>
        </w:rPr>
        <w:t xml:space="preserve">  Interviewers will be asked questions about the respondent’s calendar usage as part of </w:t>
      </w:r>
      <w:r w:rsidRPr="008551C5" w:rsidR="00EE78FB">
        <w:rPr>
          <w:rFonts w:asciiTheme="minorHAnsi" w:hAnsiTheme="minorHAnsi" w:cstheme="minorHAnsi"/>
          <w:sz w:val="22"/>
          <w:szCs w:val="22"/>
        </w:rPr>
        <w:t>the interviewer observations</w:t>
      </w:r>
      <w:r w:rsidR="00E243DE">
        <w:rPr>
          <w:rFonts w:asciiTheme="minorHAnsi" w:hAnsiTheme="minorHAnsi" w:cstheme="minorHAnsi"/>
          <w:sz w:val="22"/>
          <w:szCs w:val="22"/>
        </w:rPr>
        <w:t xml:space="preserve"> </w:t>
      </w:r>
      <w:r w:rsidR="00EE78FB">
        <w:rPr>
          <w:rFonts w:asciiTheme="minorHAnsi" w:hAnsiTheme="minorHAnsi" w:cstheme="minorHAnsi"/>
          <w:sz w:val="22"/>
          <w:szCs w:val="22"/>
        </w:rPr>
        <w:t>(Attachment L) that are filled out while the respondent is completing CASI portion of the survey.</w:t>
      </w:r>
    </w:p>
    <w:p w:rsidR="005E6CAC" w:rsidP="000920DF" w:rsidRDefault="00EB2199" w14:paraId="482C183E" w14:textId="41772BD5">
      <w:pPr>
        <w:pStyle w:val="Heading2"/>
        <w:ind w:left="720"/>
        <w:rPr>
          <w:rFonts w:asciiTheme="minorHAnsi" w:hAnsiTheme="minorHAnsi" w:cstheme="minorHAnsi"/>
          <w:bCs w:val="0"/>
          <w:i w:val="0"/>
          <w:iCs w:val="0"/>
          <w:sz w:val="22"/>
          <w:szCs w:val="22"/>
          <w:u w:val="single"/>
        </w:rPr>
      </w:pPr>
      <w:bookmarkStart w:name="_Toc79140739" w:id="17"/>
      <w:r w:rsidRPr="008551C5">
        <w:rPr>
          <w:rFonts w:asciiTheme="minorHAnsi" w:hAnsiTheme="minorHAnsi" w:cstheme="minorHAnsi"/>
          <w:bCs w:val="0"/>
          <w:i w:val="0"/>
          <w:iCs w:val="0"/>
          <w:sz w:val="22"/>
          <w:szCs w:val="22"/>
          <w:u w:val="single"/>
        </w:rPr>
        <w:t>Experiment with incentive amounts</w:t>
      </w:r>
      <w:bookmarkEnd w:id="17"/>
    </w:p>
    <w:p w:rsidRPr="000920DF" w:rsidR="000920DF" w:rsidP="000920DF" w:rsidRDefault="000920DF" w14:paraId="13D95E3A" w14:textId="77777777"/>
    <w:p w:rsidRPr="008551C5" w:rsidR="00C407DE" w:rsidP="000920DF" w:rsidRDefault="00DA6829" w14:paraId="00477358" w14:textId="5C954C72">
      <w:pPr>
        <w:tabs>
          <w:tab w:val="left" w:pos="720"/>
          <w:tab w:val="left" w:pos="6300"/>
        </w:tabs>
        <w:rPr>
          <w:rFonts w:asciiTheme="minorHAnsi" w:hAnsiTheme="minorHAnsi" w:cstheme="minorHAnsi"/>
          <w:sz w:val="22"/>
          <w:szCs w:val="22"/>
        </w:rPr>
      </w:pPr>
      <w:r w:rsidRPr="008551C5">
        <w:rPr>
          <w:rFonts w:asciiTheme="minorHAnsi" w:hAnsiTheme="minorHAnsi" w:cstheme="minorHAnsi"/>
          <w:bCs/>
          <w:sz w:val="22"/>
          <w:szCs w:val="22"/>
        </w:rPr>
        <w:tab/>
      </w:r>
      <w:r w:rsidRPr="008551C5" w:rsidR="00C407DE">
        <w:rPr>
          <w:rFonts w:asciiTheme="minorHAnsi" w:hAnsiTheme="minorHAnsi" w:cstheme="minorHAnsi"/>
          <w:bCs/>
          <w:sz w:val="22"/>
          <w:szCs w:val="22"/>
        </w:rPr>
        <w:t>Incentive use has been accompanied by related experiments conducted since the 1995 NSFG</w:t>
      </w:r>
      <w:r w:rsidRPr="008551C5" w:rsidR="00D55327">
        <w:rPr>
          <w:rFonts w:asciiTheme="minorHAnsi" w:hAnsiTheme="minorHAnsi" w:cstheme="minorHAnsi"/>
          <w:bCs/>
          <w:sz w:val="22"/>
          <w:szCs w:val="22"/>
        </w:rPr>
        <w:t xml:space="preserve"> </w:t>
      </w:r>
      <w:r w:rsidRPr="008551C5" w:rsidR="00D55327">
        <w:rPr>
          <w:rFonts w:asciiTheme="minorHAnsi" w:hAnsiTheme="minorHAnsi" w:cstheme="minorHAnsi"/>
          <w:b/>
          <w:sz w:val="22"/>
          <w:szCs w:val="22"/>
        </w:rPr>
        <w:t>(Attachment D1)</w:t>
      </w:r>
      <w:r w:rsidRPr="008551C5" w:rsidR="00C407DE">
        <w:rPr>
          <w:rFonts w:asciiTheme="minorHAnsi" w:hAnsiTheme="minorHAnsi" w:cstheme="minorHAnsi"/>
          <w:b/>
          <w:sz w:val="22"/>
          <w:szCs w:val="22"/>
        </w:rPr>
        <w:t>.</w:t>
      </w:r>
      <w:r w:rsidRPr="008551C5" w:rsidR="00C407DE">
        <w:rPr>
          <w:rFonts w:asciiTheme="minorHAnsi" w:hAnsiTheme="minorHAnsi" w:cstheme="minorHAnsi"/>
          <w:bCs/>
          <w:sz w:val="22"/>
          <w:szCs w:val="22"/>
        </w:rPr>
        <w:t xml:space="preserve">  </w:t>
      </w:r>
      <w:r w:rsidRPr="008551C5" w:rsidR="00C407DE">
        <w:rPr>
          <w:rFonts w:asciiTheme="minorHAnsi" w:hAnsiTheme="minorHAnsi" w:cstheme="minorHAnsi"/>
          <w:sz w:val="22"/>
          <w:szCs w:val="22"/>
        </w:rPr>
        <w:t xml:space="preserve">It is likely that the magnitude of the effect of incentives will have changed since the last experiment conducted in 2014, and it would be prudent to re-evaluate.  </w:t>
      </w:r>
      <w:r w:rsidRPr="008551C5" w:rsidR="00CA5709">
        <w:rPr>
          <w:rFonts w:asciiTheme="minorHAnsi" w:hAnsiTheme="minorHAnsi" w:cstheme="minorHAnsi"/>
          <w:sz w:val="22"/>
          <w:szCs w:val="22"/>
        </w:rPr>
        <w:t>Experiments could be conducted</w:t>
      </w:r>
      <w:r w:rsidRPr="008551C5" w:rsidR="005A11C9">
        <w:rPr>
          <w:rFonts w:asciiTheme="minorHAnsi" w:hAnsiTheme="minorHAnsi" w:cstheme="minorHAnsi"/>
          <w:sz w:val="22"/>
          <w:szCs w:val="22"/>
        </w:rPr>
        <w:t>, for example,</w:t>
      </w:r>
      <w:r w:rsidRPr="008551C5" w:rsidR="00CA5709">
        <w:rPr>
          <w:rFonts w:asciiTheme="minorHAnsi" w:hAnsiTheme="minorHAnsi" w:cstheme="minorHAnsi"/>
          <w:sz w:val="22"/>
          <w:szCs w:val="22"/>
        </w:rPr>
        <w:t xml:space="preserve"> on increases to c</w:t>
      </w:r>
      <w:r w:rsidRPr="008551C5" w:rsidR="00C407DE">
        <w:rPr>
          <w:rFonts w:asciiTheme="minorHAnsi" w:hAnsiTheme="minorHAnsi" w:cstheme="minorHAnsi"/>
          <w:sz w:val="22"/>
          <w:szCs w:val="22"/>
        </w:rPr>
        <w:t xml:space="preserve">urrent incentive amounts </w:t>
      </w:r>
      <w:r w:rsidRPr="008551C5" w:rsidR="005A11C9">
        <w:rPr>
          <w:rFonts w:asciiTheme="minorHAnsi" w:hAnsiTheme="minorHAnsi" w:cstheme="minorHAnsi"/>
          <w:sz w:val="22"/>
          <w:szCs w:val="22"/>
        </w:rPr>
        <w:t>and/</w:t>
      </w:r>
      <w:r w:rsidRPr="008551C5" w:rsidR="00C407DE">
        <w:rPr>
          <w:rFonts w:asciiTheme="minorHAnsi" w:hAnsiTheme="minorHAnsi" w:cstheme="minorHAnsi"/>
          <w:sz w:val="22"/>
          <w:szCs w:val="22"/>
        </w:rPr>
        <w:t xml:space="preserve">or </w:t>
      </w:r>
      <w:r w:rsidRPr="008551C5" w:rsidR="005A11C9">
        <w:rPr>
          <w:rFonts w:asciiTheme="minorHAnsi" w:hAnsiTheme="minorHAnsi" w:cstheme="minorHAnsi"/>
          <w:sz w:val="22"/>
          <w:szCs w:val="22"/>
        </w:rPr>
        <w:t>modifying</w:t>
      </w:r>
      <w:r w:rsidRPr="008551C5" w:rsidR="00C407DE">
        <w:rPr>
          <w:rFonts w:asciiTheme="minorHAnsi" w:hAnsiTheme="minorHAnsi" w:cstheme="minorHAnsi"/>
          <w:sz w:val="22"/>
          <w:szCs w:val="22"/>
        </w:rPr>
        <w:t xml:space="preserve"> points in the design</w:t>
      </w:r>
      <w:r w:rsidRPr="008551C5" w:rsidR="005A11C9">
        <w:rPr>
          <w:rFonts w:asciiTheme="minorHAnsi" w:hAnsiTheme="minorHAnsi" w:cstheme="minorHAnsi"/>
          <w:sz w:val="22"/>
          <w:szCs w:val="22"/>
        </w:rPr>
        <w:t xml:space="preserve"> at which they are offered</w:t>
      </w:r>
      <w:r w:rsidRPr="008551C5" w:rsidR="00C407DE">
        <w:rPr>
          <w:rFonts w:asciiTheme="minorHAnsi" w:hAnsiTheme="minorHAnsi" w:cstheme="minorHAnsi"/>
          <w:sz w:val="22"/>
          <w:szCs w:val="22"/>
        </w:rPr>
        <w:t>.</w:t>
      </w:r>
    </w:p>
    <w:p w:rsidR="00C407DE" w:rsidP="000920DF" w:rsidRDefault="00C407DE" w14:paraId="775E1FA4" w14:textId="1500945D">
      <w:pPr>
        <w:pStyle w:val="Heading2"/>
        <w:ind w:left="720"/>
        <w:rPr>
          <w:rFonts w:asciiTheme="minorHAnsi" w:hAnsiTheme="minorHAnsi" w:cstheme="minorHAnsi"/>
          <w:bCs w:val="0"/>
          <w:i w:val="0"/>
          <w:iCs w:val="0"/>
          <w:sz w:val="22"/>
          <w:szCs w:val="22"/>
          <w:u w:val="single"/>
        </w:rPr>
      </w:pPr>
      <w:bookmarkStart w:name="_Toc79140740" w:id="18"/>
      <w:r w:rsidRPr="008551C5">
        <w:rPr>
          <w:rFonts w:asciiTheme="minorHAnsi" w:hAnsiTheme="minorHAnsi" w:cstheme="minorHAnsi"/>
          <w:bCs w:val="0"/>
          <w:i w:val="0"/>
          <w:iCs w:val="0"/>
          <w:sz w:val="22"/>
          <w:szCs w:val="22"/>
          <w:u w:val="single"/>
        </w:rPr>
        <w:t>Experiments with mailed materials: invitations to participate and reminder mailings</w:t>
      </w:r>
      <w:bookmarkEnd w:id="18"/>
    </w:p>
    <w:p w:rsidRPr="000920DF" w:rsidR="000920DF" w:rsidP="000920DF" w:rsidRDefault="000920DF" w14:paraId="52487D97" w14:textId="77777777"/>
    <w:p w:rsidRPr="008551C5" w:rsidR="00242C7F" w:rsidP="000920DF" w:rsidRDefault="00DA6829" w14:paraId="78D3908F" w14:textId="1D0C41F9">
      <w:pPr>
        <w:tabs>
          <w:tab w:val="left" w:pos="720"/>
          <w:tab w:val="left" w:pos="6300"/>
        </w:tabs>
        <w:rPr>
          <w:rFonts w:asciiTheme="minorHAnsi" w:hAnsiTheme="minorHAnsi" w:cstheme="minorHAnsi"/>
          <w:sz w:val="22"/>
          <w:szCs w:val="22"/>
        </w:rPr>
      </w:pPr>
      <w:r w:rsidRPr="008551C5">
        <w:rPr>
          <w:rFonts w:asciiTheme="minorHAnsi" w:hAnsiTheme="minorHAnsi" w:cstheme="minorHAnsi"/>
          <w:sz w:val="22"/>
          <w:szCs w:val="22"/>
        </w:rPr>
        <w:tab/>
      </w:r>
      <w:r w:rsidRPr="008551C5" w:rsidR="00242C7F">
        <w:rPr>
          <w:rFonts w:asciiTheme="minorHAnsi" w:hAnsiTheme="minorHAnsi" w:cstheme="minorHAnsi"/>
          <w:sz w:val="22"/>
          <w:szCs w:val="22"/>
        </w:rPr>
        <w:t>The goal of introductory and reminder materials is to facilitate efforts to gain cooperation</w:t>
      </w:r>
      <w:r w:rsidRPr="008551C5" w:rsidR="00027730">
        <w:rPr>
          <w:rFonts w:asciiTheme="minorHAnsi" w:hAnsiTheme="minorHAnsi" w:cstheme="minorHAnsi"/>
          <w:sz w:val="22"/>
          <w:szCs w:val="22"/>
        </w:rPr>
        <w:t>,</w:t>
      </w:r>
      <w:r w:rsidRPr="008551C5" w:rsidR="00242C7F">
        <w:rPr>
          <w:rFonts w:asciiTheme="minorHAnsi" w:hAnsiTheme="minorHAnsi" w:cstheme="minorHAnsi"/>
          <w:sz w:val="22"/>
          <w:szCs w:val="22"/>
        </w:rPr>
        <w:t xml:space="preserve"> reduce FI contacting and travel costs</w:t>
      </w:r>
      <w:r w:rsidRPr="008551C5" w:rsidR="00027730">
        <w:rPr>
          <w:rFonts w:asciiTheme="minorHAnsi" w:hAnsiTheme="minorHAnsi" w:cstheme="minorHAnsi"/>
          <w:sz w:val="22"/>
          <w:szCs w:val="22"/>
        </w:rPr>
        <w:t>,</w:t>
      </w:r>
      <w:r w:rsidRPr="008551C5" w:rsidR="00242C7F">
        <w:rPr>
          <w:rFonts w:asciiTheme="minorHAnsi" w:hAnsiTheme="minorHAnsi" w:cstheme="minorHAnsi"/>
          <w:sz w:val="22"/>
          <w:szCs w:val="22"/>
        </w:rPr>
        <w:t xml:space="preserve"> and enhance response rates.  Toward this end, experiments will be considered to develop more targeted introductory materials, including those tailored for controlled access settings.  The contractor’s experience with tailoring materials on other major national surveys such as NCHS’s NHANES will inform any proposed re-designs of these materials.</w:t>
      </w:r>
    </w:p>
    <w:p w:rsidR="008B0DB5" w:rsidP="000920DF" w:rsidRDefault="008B0DB5" w14:paraId="2AF7D603" w14:textId="2E7D9DFD">
      <w:pPr>
        <w:pStyle w:val="Heading2"/>
        <w:ind w:left="720"/>
        <w:rPr>
          <w:rFonts w:asciiTheme="minorHAnsi" w:hAnsiTheme="minorHAnsi" w:cstheme="minorHAnsi"/>
          <w:bCs w:val="0"/>
          <w:i w:val="0"/>
          <w:iCs w:val="0"/>
          <w:sz w:val="22"/>
          <w:szCs w:val="22"/>
          <w:u w:val="single"/>
        </w:rPr>
      </w:pPr>
      <w:bookmarkStart w:name="_Toc79140741" w:id="19"/>
      <w:r w:rsidRPr="008551C5">
        <w:rPr>
          <w:rFonts w:asciiTheme="minorHAnsi" w:hAnsiTheme="minorHAnsi" w:cstheme="minorHAnsi"/>
          <w:bCs w:val="0"/>
          <w:i w:val="0"/>
          <w:iCs w:val="0"/>
          <w:sz w:val="22"/>
          <w:szCs w:val="22"/>
          <w:u w:val="single"/>
        </w:rPr>
        <w:t>Experiments with measuring and correcting for nonresponse</w:t>
      </w:r>
      <w:bookmarkEnd w:id="19"/>
    </w:p>
    <w:p w:rsidRPr="000920DF" w:rsidR="000920DF" w:rsidP="000920DF" w:rsidRDefault="000920DF" w14:paraId="2422BD51" w14:textId="77777777"/>
    <w:p w:rsidRPr="008551C5" w:rsidR="00A2316D" w:rsidP="00A2316D" w:rsidRDefault="00A35E89" w14:paraId="4C9FEC69" w14:textId="3FA770CC">
      <w:pPr>
        <w:tabs>
          <w:tab w:val="left" w:pos="6300"/>
        </w:tabs>
        <w:ind w:firstLine="720"/>
        <w:rPr>
          <w:rFonts w:asciiTheme="minorHAnsi" w:hAnsiTheme="minorHAnsi" w:cstheme="minorHAnsi"/>
          <w:sz w:val="22"/>
          <w:szCs w:val="22"/>
        </w:rPr>
      </w:pPr>
      <w:r w:rsidRPr="008551C5">
        <w:rPr>
          <w:rFonts w:asciiTheme="minorHAnsi" w:hAnsiTheme="minorHAnsi" w:cstheme="minorHAnsi"/>
          <w:sz w:val="22"/>
          <w:szCs w:val="22"/>
        </w:rPr>
        <w:t xml:space="preserve">Nonresponse provides the potential for bias in survey estimates. Experiments </w:t>
      </w:r>
      <w:r w:rsidRPr="008551C5" w:rsidR="005A11C9">
        <w:rPr>
          <w:rFonts w:asciiTheme="minorHAnsi" w:hAnsiTheme="minorHAnsi" w:cstheme="minorHAnsi"/>
          <w:sz w:val="22"/>
          <w:szCs w:val="22"/>
        </w:rPr>
        <w:t xml:space="preserve">will be considered that are </w:t>
      </w:r>
      <w:r w:rsidRPr="008551C5">
        <w:rPr>
          <w:rFonts w:asciiTheme="minorHAnsi" w:hAnsiTheme="minorHAnsi" w:cstheme="minorHAnsi"/>
          <w:sz w:val="22"/>
          <w:szCs w:val="22"/>
        </w:rPr>
        <w:t>related to the collection of auxiliary information that can be used to measure nonresponse bias, to inform data collection effort, and to improve nonresponse adjustments. For example, the screener and main survey two-stage design provides an opportunity to collect information on selected sample members and the household, including those who do not complete the main survey.</w:t>
      </w:r>
      <w:r w:rsidR="00A2316D">
        <w:rPr>
          <w:rFonts w:asciiTheme="minorHAnsi" w:hAnsiTheme="minorHAnsi" w:cstheme="minorHAnsi"/>
          <w:sz w:val="22"/>
          <w:szCs w:val="22"/>
        </w:rPr>
        <w:t xml:space="preserve"> The Phase 4 nonresponse questionnaires </w:t>
      </w:r>
      <w:r w:rsidR="00A2316D">
        <w:rPr>
          <w:rFonts w:asciiTheme="minorHAnsi" w:hAnsiTheme="minorHAnsi" w:cstheme="minorHAnsi"/>
          <w:b/>
          <w:bCs/>
          <w:sz w:val="22"/>
          <w:szCs w:val="22"/>
        </w:rPr>
        <w:t xml:space="preserve">(Attachment N3) </w:t>
      </w:r>
      <w:r w:rsidR="00A2316D">
        <w:rPr>
          <w:rFonts w:asciiTheme="minorHAnsi" w:hAnsiTheme="minorHAnsi" w:cstheme="minorHAnsi"/>
          <w:sz w:val="22"/>
          <w:szCs w:val="22"/>
        </w:rPr>
        <w:t>will be used for measuring—and potential for adjustment for—nonresponse.</w:t>
      </w:r>
    </w:p>
    <w:p w:rsidRPr="008551C5" w:rsidR="00730D48" w:rsidP="000920DF" w:rsidRDefault="00730D48" w14:paraId="39C75215" w14:textId="2E3D689D">
      <w:pPr>
        <w:tabs>
          <w:tab w:val="left" w:pos="6300"/>
        </w:tabs>
        <w:ind w:firstLine="720"/>
        <w:rPr>
          <w:rFonts w:asciiTheme="minorHAnsi" w:hAnsiTheme="minorHAnsi" w:cstheme="minorHAnsi"/>
          <w:sz w:val="22"/>
          <w:szCs w:val="22"/>
        </w:rPr>
      </w:pPr>
    </w:p>
    <w:p w:rsidRPr="008551C5" w:rsidR="00AC6C3A" w:rsidP="000920DF" w:rsidRDefault="00AC6C3A" w14:paraId="34D9A3BF" w14:textId="4FC7652C">
      <w:pPr>
        <w:pStyle w:val="Heading1"/>
        <w:tabs>
          <w:tab w:val="left" w:pos="360"/>
        </w:tabs>
        <w:ind w:left="360" w:hanging="360"/>
        <w:rPr>
          <w:rFonts w:asciiTheme="minorHAnsi" w:hAnsiTheme="minorHAnsi" w:cstheme="minorHAnsi"/>
          <w:b/>
          <w:bCs/>
          <w:color w:val="auto"/>
          <w:sz w:val="22"/>
          <w:szCs w:val="22"/>
        </w:rPr>
      </w:pPr>
      <w:bookmarkStart w:name="_Toc79140742" w:id="20"/>
      <w:r w:rsidRPr="008551C5">
        <w:rPr>
          <w:rFonts w:asciiTheme="minorHAnsi" w:hAnsiTheme="minorHAnsi" w:cstheme="minorHAnsi"/>
          <w:b/>
          <w:bCs/>
          <w:color w:val="auto"/>
          <w:sz w:val="22"/>
          <w:szCs w:val="22"/>
        </w:rPr>
        <w:t xml:space="preserve">5.  </w:t>
      </w:r>
      <w:r w:rsidRPr="008551C5" w:rsidR="00EF6CD4">
        <w:rPr>
          <w:rFonts w:asciiTheme="minorHAnsi" w:hAnsiTheme="minorHAnsi" w:cstheme="minorHAnsi"/>
          <w:b/>
          <w:bCs/>
          <w:color w:val="auto"/>
          <w:sz w:val="22"/>
          <w:szCs w:val="22"/>
        </w:rPr>
        <w:t xml:space="preserve">Individuals Consulted on </w:t>
      </w:r>
      <w:r w:rsidRPr="008551C5">
        <w:rPr>
          <w:rFonts w:asciiTheme="minorHAnsi" w:hAnsiTheme="minorHAnsi" w:cstheme="minorHAnsi"/>
          <w:b/>
          <w:bCs/>
          <w:color w:val="auto"/>
          <w:sz w:val="22"/>
          <w:szCs w:val="22"/>
        </w:rPr>
        <w:t xml:space="preserve">Statistical </w:t>
      </w:r>
      <w:r w:rsidRPr="008551C5" w:rsidR="00EF6CD4">
        <w:rPr>
          <w:rFonts w:asciiTheme="minorHAnsi" w:hAnsiTheme="minorHAnsi" w:cstheme="minorHAnsi"/>
          <w:b/>
          <w:bCs/>
          <w:color w:val="auto"/>
          <w:sz w:val="22"/>
          <w:szCs w:val="22"/>
        </w:rPr>
        <w:t>Aspects and Individual</w:t>
      </w:r>
      <w:r w:rsidRPr="008551C5" w:rsidR="00EB2199">
        <w:rPr>
          <w:rFonts w:asciiTheme="minorHAnsi" w:hAnsiTheme="minorHAnsi" w:cstheme="minorHAnsi"/>
          <w:b/>
          <w:bCs/>
          <w:color w:val="auto"/>
          <w:sz w:val="22"/>
          <w:szCs w:val="22"/>
        </w:rPr>
        <w:t>s</w:t>
      </w:r>
      <w:r w:rsidRPr="008551C5" w:rsidR="00EF6CD4">
        <w:rPr>
          <w:rFonts w:asciiTheme="minorHAnsi" w:hAnsiTheme="minorHAnsi" w:cstheme="minorHAnsi"/>
          <w:b/>
          <w:bCs/>
          <w:color w:val="auto"/>
          <w:sz w:val="22"/>
          <w:szCs w:val="22"/>
        </w:rPr>
        <w:t xml:space="preserve"> Collecting and/or Analyzing Data</w:t>
      </w:r>
      <w:bookmarkEnd w:id="20"/>
      <w:r w:rsidRPr="008551C5">
        <w:rPr>
          <w:rFonts w:asciiTheme="minorHAnsi" w:hAnsiTheme="minorHAnsi" w:cstheme="minorHAnsi"/>
          <w:b/>
          <w:bCs/>
          <w:color w:val="auto"/>
          <w:sz w:val="22"/>
          <w:szCs w:val="22"/>
        </w:rPr>
        <w:t xml:space="preserve"> </w:t>
      </w:r>
    </w:p>
    <w:p w:rsidRPr="008551C5" w:rsidR="004E66B6" w:rsidP="000920DF" w:rsidRDefault="004E66B6" w14:paraId="1C6B9935" w14:textId="77777777">
      <w:pPr>
        <w:ind w:firstLine="720"/>
        <w:rPr>
          <w:rFonts w:asciiTheme="minorHAnsi" w:hAnsiTheme="minorHAnsi" w:cstheme="minorHAnsi"/>
          <w:sz w:val="22"/>
          <w:szCs w:val="22"/>
        </w:rPr>
      </w:pPr>
    </w:p>
    <w:p w:rsidRPr="008551C5" w:rsidR="00AC6C3A" w:rsidP="000920DF" w:rsidRDefault="00AC6C3A" w14:paraId="66E1427F" w14:textId="65ABA74E">
      <w:pPr>
        <w:rPr>
          <w:rFonts w:asciiTheme="minorHAnsi" w:hAnsiTheme="minorHAnsi" w:cstheme="minorHAnsi"/>
          <w:sz w:val="22"/>
          <w:szCs w:val="22"/>
        </w:rPr>
      </w:pPr>
      <w:r w:rsidRPr="008551C5">
        <w:rPr>
          <w:rFonts w:asciiTheme="minorHAnsi" w:hAnsiTheme="minorHAnsi" w:cstheme="minorHAnsi"/>
          <w:sz w:val="22"/>
          <w:szCs w:val="22"/>
        </w:rPr>
        <w:t>The</w:t>
      </w:r>
      <w:r w:rsidRPr="008551C5" w:rsidR="00CE086E">
        <w:rPr>
          <w:rFonts w:asciiTheme="minorHAnsi" w:hAnsiTheme="minorHAnsi" w:cstheme="minorHAnsi"/>
          <w:sz w:val="22"/>
          <w:szCs w:val="22"/>
        </w:rPr>
        <w:t xml:space="preserve"> </w:t>
      </w:r>
      <w:r w:rsidRPr="008551C5" w:rsidR="00E45642">
        <w:rPr>
          <w:rFonts w:asciiTheme="minorHAnsi" w:hAnsiTheme="minorHAnsi" w:cstheme="minorHAnsi"/>
          <w:sz w:val="22"/>
          <w:szCs w:val="22"/>
        </w:rPr>
        <w:t xml:space="preserve">NCHS </w:t>
      </w:r>
      <w:r w:rsidRPr="008551C5">
        <w:rPr>
          <w:rFonts w:asciiTheme="minorHAnsi" w:hAnsiTheme="minorHAnsi" w:cstheme="minorHAnsi"/>
          <w:sz w:val="22"/>
          <w:szCs w:val="22"/>
        </w:rPr>
        <w:t xml:space="preserve">statistical consultant on </w:t>
      </w:r>
      <w:r w:rsidRPr="008551C5" w:rsidR="00D70A8C">
        <w:rPr>
          <w:rFonts w:asciiTheme="minorHAnsi" w:hAnsiTheme="minorHAnsi" w:cstheme="minorHAnsi"/>
          <w:sz w:val="22"/>
          <w:szCs w:val="22"/>
        </w:rPr>
        <w:t xml:space="preserve">NSFG </w:t>
      </w:r>
      <w:r w:rsidRPr="008551C5">
        <w:rPr>
          <w:rFonts w:asciiTheme="minorHAnsi" w:hAnsiTheme="minorHAnsi" w:cstheme="minorHAnsi"/>
          <w:sz w:val="22"/>
          <w:szCs w:val="22"/>
        </w:rPr>
        <w:t xml:space="preserve">sample design, variance estimation, and statistical methods </w:t>
      </w:r>
      <w:r w:rsidRPr="008551C5" w:rsidR="00CE086E">
        <w:rPr>
          <w:rFonts w:asciiTheme="minorHAnsi" w:hAnsiTheme="minorHAnsi" w:cstheme="minorHAnsi"/>
          <w:sz w:val="22"/>
          <w:szCs w:val="22"/>
        </w:rPr>
        <w:t>is</w:t>
      </w:r>
      <w:r w:rsidRPr="008551C5">
        <w:rPr>
          <w:rFonts w:asciiTheme="minorHAnsi" w:hAnsiTheme="minorHAnsi" w:cstheme="minorHAnsi"/>
          <w:sz w:val="22"/>
          <w:szCs w:val="22"/>
        </w:rPr>
        <w:t xml:space="preserve">: </w:t>
      </w:r>
    </w:p>
    <w:p w:rsidRPr="008551C5" w:rsidR="002945DF" w:rsidP="000920DF" w:rsidRDefault="002945DF" w14:paraId="0415D7FA" w14:textId="18786C5C">
      <w:pPr>
        <w:ind w:firstLine="720"/>
        <w:rPr>
          <w:rStyle w:val="Hyperlink"/>
          <w:rFonts w:asciiTheme="minorHAnsi" w:hAnsiTheme="minorHAnsi" w:cstheme="minorHAnsi"/>
          <w:sz w:val="22"/>
          <w:szCs w:val="22"/>
        </w:rPr>
      </w:pPr>
    </w:p>
    <w:p w:rsidRPr="008551C5" w:rsidR="002945DF" w:rsidP="000920DF" w:rsidRDefault="002945DF" w14:paraId="5EE1CBDA" w14:textId="4FF1300C">
      <w:pPr>
        <w:ind w:firstLine="720"/>
        <w:rPr>
          <w:rStyle w:val="Hyperlink"/>
          <w:rFonts w:asciiTheme="minorHAnsi" w:hAnsiTheme="minorHAnsi" w:cstheme="minorHAnsi"/>
          <w:color w:val="auto"/>
          <w:sz w:val="22"/>
          <w:szCs w:val="22"/>
          <w:u w:val="none"/>
        </w:rPr>
      </w:pPr>
      <w:r w:rsidRPr="008551C5">
        <w:rPr>
          <w:rStyle w:val="Hyperlink"/>
          <w:rFonts w:asciiTheme="minorHAnsi" w:hAnsiTheme="minorHAnsi" w:cstheme="minorHAnsi"/>
          <w:color w:val="auto"/>
          <w:sz w:val="22"/>
          <w:szCs w:val="22"/>
          <w:u w:val="none"/>
        </w:rPr>
        <w:t>Hee-Choon Shin, Ph.D.</w:t>
      </w:r>
    </w:p>
    <w:p w:rsidRPr="008551C5" w:rsidR="002945DF" w:rsidP="000920DF" w:rsidRDefault="002945DF" w14:paraId="72CD179F" w14:textId="2635E14F">
      <w:pPr>
        <w:ind w:firstLine="720"/>
        <w:rPr>
          <w:rStyle w:val="Hyperlink"/>
          <w:rFonts w:asciiTheme="minorHAnsi" w:hAnsiTheme="minorHAnsi" w:cstheme="minorHAnsi"/>
          <w:color w:val="auto"/>
          <w:sz w:val="22"/>
          <w:szCs w:val="22"/>
          <w:u w:val="none"/>
        </w:rPr>
      </w:pPr>
      <w:r w:rsidRPr="008551C5">
        <w:rPr>
          <w:rStyle w:val="Hyperlink"/>
          <w:rFonts w:asciiTheme="minorHAnsi" w:hAnsiTheme="minorHAnsi" w:cstheme="minorHAnsi"/>
          <w:color w:val="auto"/>
          <w:sz w:val="22"/>
          <w:szCs w:val="22"/>
          <w:u w:val="none"/>
        </w:rPr>
        <w:t>Mathematical Statistician</w:t>
      </w:r>
    </w:p>
    <w:p w:rsidRPr="008551C5" w:rsidR="00F57D1D" w:rsidP="000920DF" w:rsidRDefault="00F57D1D" w14:paraId="7C114E97" w14:textId="568616C1">
      <w:pPr>
        <w:ind w:firstLine="720"/>
        <w:rPr>
          <w:rStyle w:val="Hyperlink"/>
          <w:rFonts w:asciiTheme="minorHAnsi" w:hAnsiTheme="minorHAnsi" w:cstheme="minorHAnsi"/>
          <w:color w:val="auto"/>
          <w:sz w:val="22"/>
          <w:szCs w:val="22"/>
          <w:u w:val="none"/>
        </w:rPr>
      </w:pPr>
      <w:r w:rsidRPr="008551C5">
        <w:rPr>
          <w:rStyle w:val="Hyperlink"/>
          <w:rFonts w:asciiTheme="minorHAnsi" w:hAnsiTheme="minorHAnsi" w:cstheme="minorHAnsi"/>
          <w:color w:val="auto"/>
          <w:sz w:val="22"/>
          <w:szCs w:val="22"/>
          <w:u w:val="none"/>
        </w:rPr>
        <w:t>Collaboration Center for Statistical Research and Survey Design</w:t>
      </w:r>
    </w:p>
    <w:p w:rsidRPr="008551C5" w:rsidR="002945DF" w:rsidP="000920DF" w:rsidRDefault="002945DF" w14:paraId="04E08795" w14:textId="1F3FF4DC">
      <w:pPr>
        <w:ind w:firstLine="720"/>
        <w:rPr>
          <w:rStyle w:val="Hyperlink"/>
          <w:rFonts w:asciiTheme="minorHAnsi" w:hAnsiTheme="minorHAnsi" w:cstheme="minorHAnsi"/>
          <w:color w:val="auto"/>
          <w:sz w:val="22"/>
          <w:szCs w:val="22"/>
          <w:u w:val="none"/>
        </w:rPr>
      </w:pPr>
      <w:r w:rsidRPr="008551C5">
        <w:rPr>
          <w:rStyle w:val="Hyperlink"/>
          <w:rFonts w:asciiTheme="minorHAnsi" w:hAnsiTheme="minorHAnsi" w:cstheme="minorHAnsi"/>
          <w:color w:val="auto"/>
          <w:sz w:val="22"/>
          <w:szCs w:val="22"/>
          <w:u w:val="none"/>
        </w:rPr>
        <w:t>NCHS Division of Research and Methodology</w:t>
      </w:r>
    </w:p>
    <w:p w:rsidRPr="008551C5" w:rsidR="00C77992" w:rsidP="000920DF" w:rsidRDefault="00C77992" w14:paraId="1271FF8F"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3311 Toledo Road</w:t>
      </w:r>
    </w:p>
    <w:p w:rsidRPr="008551C5" w:rsidR="00C77992" w:rsidP="000920DF" w:rsidRDefault="00C77992" w14:paraId="70DC30D9"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Hyattsville, MD 20782</w:t>
      </w:r>
    </w:p>
    <w:p w:rsidRPr="008551C5" w:rsidR="00D50C94" w:rsidP="000920DF" w:rsidRDefault="00D50C94" w14:paraId="7059F904" w14:textId="2E9E5F26">
      <w:pPr>
        <w:ind w:firstLine="720"/>
        <w:rPr>
          <w:rStyle w:val="Hyperlink"/>
          <w:rFonts w:asciiTheme="minorHAnsi" w:hAnsiTheme="minorHAnsi" w:cstheme="minorHAnsi"/>
          <w:color w:val="auto"/>
          <w:sz w:val="22"/>
          <w:szCs w:val="22"/>
          <w:u w:val="none"/>
        </w:rPr>
      </w:pPr>
      <w:r w:rsidRPr="008551C5">
        <w:rPr>
          <w:rStyle w:val="Hyperlink"/>
          <w:rFonts w:asciiTheme="minorHAnsi" w:hAnsiTheme="minorHAnsi" w:cstheme="minorHAnsi"/>
          <w:color w:val="auto"/>
          <w:sz w:val="22"/>
          <w:szCs w:val="22"/>
          <w:u w:val="none"/>
        </w:rPr>
        <w:t>301-458-4307</w:t>
      </w:r>
      <w:r w:rsidRPr="008551C5" w:rsidR="00E345F5">
        <w:rPr>
          <w:rStyle w:val="Hyperlink"/>
          <w:rFonts w:asciiTheme="minorHAnsi" w:hAnsiTheme="minorHAnsi" w:cstheme="minorHAnsi"/>
          <w:color w:val="auto"/>
          <w:sz w:val="22"/>
          <w:szCs w:val="22"/>
          <w:u w:val="none"/>
        </w:rPr>
        <w:tab/>
      </w:r>
      <w:hyperlink w:history="1" r:id="rId13">
        <w:r w:rsidRPr="008551C5" w:rsidR="00E345F5">
          <w:rPr>
            <w:rStyle w:val="Hyperlink"/>
            <w:rFonts w:asciiTheme="minorHAnsi" w:hAnsiTheme="minorHAnsi" w:cstheme="minorHAnsi"/>
            <w:sz w:val="22"/>
            <w:szCs w:val="22"/>
          </w:rPr>
          <w:t>wmi7@cdc.gov</w:t>
        </w:r>
      </w:hyperlink>
      <w:r w:rsidRPr="008551C5" w:rsidR="00E345F5">
        <w:rPr>
          <w:rStyle w:val="Hyperlink"/>
          <w:rFonts w:asciiTheme="minorHAnsi" w:hAnsiTheme="minorHAnsi" w:cstheme="minorHAnsi"/>
          <w:color w:val="auto"/>
          <w:sz w:val="22"/>
          <w:szCs w:val="22"/>
          <w:u w:val="none"/>
        </w:rPr>
        <w:t xml:space="preserve"> </w:t>
      </w:r>
    </w:p>
    <w:p w:rsidRPr="008551C5" w:rsidR="002945DF" w:rsidP="000920DF" w:rsidRDefault="002945DF" w14:paraId="060AD1EC" w14:textId="74604110">
      <w:pPr>
        <w:ind w:firstLine="720"/>
        <w:rPr>
          <w:rStyle w:val="Hyperlink"/>
          <w:rFonts w:asciiTheme="minorHAnsi" w:hAnsiTheme="minorHAnsi" w:cstheme="minorHAnsi"/>
          <w:sz w:val="22"/>
          <w:szCs w:val="22"/>
        </w:rPr>
      </w:pPr>
    </w:p>
    <w:p w:rsidRPr="008551C5" w:rsidR="00D53ADD" w:rsidP="000920DF" w:rsidRDefault="00E45642" w14:paraId="41FE84A9" w14:textId="477BD6F2">
      <w:pPr>
        <w:rPr>
          <w:rFonts w:asciiTheme="minorHAnsi" w:hAnsiTheme="minorHAnsi" w:cstheme="minorHAnsi"/>
          <w:sz w:val="22"/>
          <w:szCs w:val="22"/>
        </w:rPr>
      </w:pPr>
      <w:r w:rsidRPr="008551C5">
        <w:rPr>
          <w:rFonts w:asciiTheme="minorHAnsi" w:hAnsiTheme="minorHAnsi" w:cstheme="minorHAnsi"/>
          <w:sz w:val="22"/>
          <w:szCs w:val="22"/>
        </w:rPr>
        <w:t xml:space="preserve">The NCHS individual responsible for </w:t>
      </w:r>
      <w:r w:rsidRPr="008551C5" w:rsidR="00D53ADD">
        <w:rPr>
          <w:rFonts w:asciiTheme="minorHAnsi" w:hAnsiTheme="minorHAnsi" w:cstheme="minorHAnsi"/>
          <w:sz w:val="22"/>
          <w:szCs w:val="22"/>
        </w:rPr>
        <w:t>NSFG-RTI contract management including modifications, receipt/approval of contract deliverables, and all other contract actions</w:t>
      </w:r>
      <w:r w:rsidRPr="008551C5">
        <w:rPr>
          <w:rFonts w:asciiTheme="minorHAnsi" w:hAnsiTheme="minorHAnsi" w:cstheme="minorHAnsi"/>
          <w:sz w:val="22"/>
          <w:szCs w:val="22"/>
        </w:rPr>
        <w:t xml:space="preserve"> is</w:t>
      </w:r>
      <w:r w:rsidRPr="008551C5" w:rsidR="00D53ADD">
        <w:rPr>
          <w:rFonts w:asciiTheme="minorHAnsi" w:hAnsiTheme="minorHAnsi" w:cstheme="minorHAnsi"/>
          <w:sz w:val="22"/>
          <w:szCs w:val="22"/>
        </w:rPr>
        <w:t>:</w:t>
      </w:r>
    </w:p>
    <w:p w:rsidRPr="008551C5" w:rsidR="00AC6C3A" w:rsidP="000920DF" w:rsidRDefault="00AC6C3A" w14:paraId="07B59E13" w14:textId="77777777">
      <w:pPr>
        <w:ind w:firstLine="720"/>
        <w:rPr>
          <w:rFonts w:asciiTheme="minorHAnsi" w:hAnsiTheme="minorHAnsi" w:cstheme="minorHAnsi"/>
          <w:sz w:val="22"/>
          <w:szCs w:val="22"/>
        </w:rPr>
      </w:pPr>
    </w:p>
    <w:p w:rsidRPr="008551C5" w:rsidR="00AC6C3A" w:rsidP="000920DF" w:rsidRDefault="00DF2118" w14:paraId="5D7DE0D8"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Joyce C. Abma</w:t>
      </w:r>
      <w:r w:rsidRPr="008551C5" w:rsidR="00AC6C3A">
        <w:rPr>
          <w:rFonts w:asciiTheme="minorHAnsi" w:hAnsiTheme="minorHAnsi" w:cstheme="minorHAnsi"/>
          <w:sz w:val="22"/>
          <w:szCs w:val="22"/>
        </w:rPr>
        <w:t>, Ph.D.</w:t>
      </w:r>
    </w:p>
    <w:p w:rsidRPr="008551C5" w:rsidR="00AC6C3A" w:rsidP="000920DF" w:rsidRDefault="00DF2118" w14:paraId="4127A32C" w14:textId="4B3BB534">
      <w:pPr>
        <w:ind w:firstLine="720"/>
        <w:rPr>
          <w:rFonts w:asciiTheme="minorHAnsi" w:hAnsiTheme="minorHAnsi" w:cstheme="minorHAnsi"/>
          <w:sz w:val="22"/>
          <w:szCs w:val="22"/>
        </w:rPr>
      </w:pPr>
      <w:r w:rsidRPr="008551C5">
        <w:rPr>
          <w:rFonts w:asciiTheme="minorHAnsi" w:hAnsiTheme="minorHAnsi" w:cstheme="minorHAnsi"/>
          <w:sz w:val="22"/>
          <w:szCs w:val="22"/>
        </w:rPr>
        <w:t>Contracting Officer Representative</w:t>
      </w:r>
      <w:r w:rsidRPr="008551C5" w:rsidR="00AC6C3A">
        <w:rPr>
          <w:rFonts w:asciiTheme="minorHAnsi" w:hAnsiTheme="minorHAnsi" w:cstheme="minorHAnsi"/>
          <w:sz w:val="22"/>
          <w:szCs w:val="22"/>
        </w:rPr>
        <w:t>, NSFG</w:t>
      </w:r>
    </w:p>
    <w:p w:rsidRPr="008551C5" w:rsidR="00880E20" w:rsidP="000920DF" w:rsidRDefault="00880E20" w14:paraId="4CA35CAA" w14:textId="0E0FF0F0">
      <w:pPr>
        <w:ind w:firstLine="720"/>
        <w:rPr>
          <w:rFonts w:asciiTheme="minorHAnsi" w:hAnsiTheme="minorHAnsi" w:cstheme="minorHAnsi"/>
          <w:sz w:val="22"/>
          <w:szCs w:val="22"/>
        </w:rPr>
      </w:pPr>
      <w:r w:rsidRPr="008551C5">
        <w:rPr>
          <w:rFonts w:asciiTheme="minorHAnsi" w:hAnsiTheme="minorHAnsi" w:cstheme="minorHAnsi"/>
          <w:sz w:val="22"/>
          <w:szCs w:val="22"/>
        </w:rPr>
        <w:t>Senior Social Scientist</w:t>
      </w:r>
    </w:p>
    <w:p w:rsidRPr="008551C5" w:rsidR="00AC6C3A" w:rsidP="000920DF" w:rsidRDefault="00EB2199" w14:paraId="5D30700C" w14:textId="7551F01C">
      <w:pPr>
        <w:ind w:firstLine="720"/>
        <w:rPr>
          <w:rFonts w:asciiTheme="minorHAnsi" w:hAnsiTheme="minorHAnsi" w:cstheme="minorHAnsi"/>
          <w:sz w:val="22"/>
          <w:szCs w:val="22"/>
        </w:rPr>
      </w:pPr>
      <w:r w:rsidRPr="008551C5">
        <w:rPr>
          <w:rFonts w:asciiTheme="minorHAnsi" w:hAnsiTheme="minorHAnsi" w:cstheme="minorHAnsi"/>
          <w:sz w:val="22"/>
          <w:szCs w:val="22"/>
        </w:rPr>
        <w:t>NCHS Division of Vital Statistics/Reproductive Statistics Branch</w:t>
      </w:r>
    </w:p>
    <w:p w:rsidRPr="008551C5" w:rsidR="004339F0" w:rsidP="000920DF" w:rsidRDefault="004339F0" w14:paraId="637547EC" w14:textId="1E0316F2">
      <w:pPr>
        <w:ind w:firstLine="720"/>
        <w:rPr>
          <w:rFonts w:asciiTheme="minorHAnsi" w:hAnsiTheme="minorHAnsi" w:cstheme="minorHAnsi"/>
          <w:sz w:val="22"/>
          <w:szCs w:val="22"/>
        </w:rPr>
      </w:pPr>
      <w:r w:rsidRPr="008551C5">
        <w:rPr>
          <w:rFonts w:asciiTheme="minorHAnsi" w:hAnsiTheme="minorHAnsi" w:cstheme="minorHAnsi"/>
          <w:sz w:val="22"/>
          <w:szCs w:val="22"/>
        </w:rPr>
        <w:t>3311 Toledo Road</w:t>
      </w:r>
    </w:p>
    <w:p w:rsidRPr="008551C5" w:rsidR="00AC6C3A" w:rsidP="000920DF" w:rsidRDefault="00AC6C3A" w14:paraId="26475A8C"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Hyattsville, MD 20782</w:t>
      </w:r>
    </w:p>
    <w:p w:rsidRPr="008551C5" w:rsidR="00AC6C3A" w:rsidP="000920DF" w:rsidRDefault="00AC6C3A" w14:paraId="1A696CB3" w14:textId="7ABD6448">
      <w:pPr>
        <w:ind w:firstLine="720"/>
        <w:rPr>
          <w:rFonts w:asciiTheme="minorHAnsi" w:hAnsiTheme="minorHAnsi" w:cstheme="minorHAnsi"/>
          <w:sz w:val="22"/>
          <w:szCs w:val="22"/>
        </w:rPr>
      </w:pPr>
      <w:r w:rsidRPr="008551C5">
        <w:rPr>
          <w:rFonts w:asciiTheme="minorHAnsi" w:hAnsiTheme="minorHAnsi" w:cstheme="minorHAnsi"/>
          <w:sz w:val="22"/>
          <w:szCs w:val="22"/>
        </w:rPr>
        <w:t>301-458-4</w:t>
      </w:r>
      <w:r w:rsidRPr="008551C5" w:rsidR="00DF2118">
        <w:rPr>
          <w:rFonts w:asciiTheme="minorHAnsi" w:hAnsiTheme="minorHAnsi" w:cstheme="minorHAnsi"/>
          <w:sz w:val="22"/>
          <w:szCs w:val="22"/>
        </w:rPr>
        <w:t>058</w:t>
      </w:r>
      <w:r w:rsidRPr="008551C5" w:rsidR="006D72A7">
        <w:rPr>
          <w:rFonts w:asciiTheme="minorHAnsi" w:hAnsiTheme="minorHAnsi" w:cstheme="minorHAnsi"/>
          <w:sz w:val="22"/>
          <w:szCs w:val="22"/>
        </w:rPr>
        <w:tab/>
      </w:r>
      <w:hyperlink w:history="1" r:id="rId14">
        <w:r w:rsidRPr="008551C5" w:rsidR="00DF2118">
          <w:rPr>
            <w:rStyle w:val="Hyperlink"/>
            <w:rFonts w:asciiTheme="minorHAnsi" w:hAnsiTheme="minorHAnsi" w:cstheme="minorHAnsi"/>
            <w:color w:val="070FB9"/>
            <w:sz w:val="22"/>
            <w:szCs w:val="22"/>
          </w:rPr>
          <w:t>jabma@cdc.gov</w:t>
        </w:r>
      </w:hyperlink>
      <w:r w:rsidRPr="008551C5" w:rsidR="00BA2AB7">
        <w:rPr>
          <w:rStyle w:val="Hyperlink"/>
          <w:rFonts w:asciiTheme="minorHAnsi" w:hAnsiTheme="minorHAnsi" w:cstheme="minorHAnsi"/>
          <w:color w:val="auto"/>
          <w:sz w:val="22"/>
          <w:szCs w:val="22"/>
        </w:rPr>
        <w:t xml:space="preserve"> </w:t>
      </w:r>
      <w:r w:rsidRPr="008551C5" w:rsidR="005259C2">
        <w:rPr>
          <w:rStyle w:val="Hyperlink"/>
          <w:rFonts w:asciiTheme="minorHAnsi" w:hAnsiTheme="minorHAnsi" w:cstheme="minorHAnsi"/>
          <w:color w:val="auto"/>
          <w:sz w:val="22"/>
          <w:szCs w:val="22"/>
        </w:rPr>
        <w:t xml:space="preserve"> </w:t>
      </w:r>
    </w:p>
    <w:p w:rsidRPr="008551C5" w:rsidR="00AC6C3A" w:rsidP="000920DF" w:rsidRDefault="00AC6C3A" w14:paraId="597BDF93" w14:textId="77777777">
      <w:pPr>
        <w:ind w:firstLine="720"/>
        <w:rPr>
          <w:rFonts w:asciiTheme="minorHAnsi" w:hAnsiTheme="minorHAnsi" w:cstheme="minorHAnsi"/>
          <w:color w:val="000000"/>
          <w:sz w:val="22"/>
          <w:szCs w:val="22"/>
        </w:rPr>
      </w:pPr>
    </w:p>
    <w:p w:rsidRPr="008551C5" w:rsidR="00CE086E" w:rsidP="000920DF" w:rsidRDefault="00CE086E" w14:paraId="57BE4BBB" w14:textId="6BA8C053">
      <w:pPr>
        <w:rPr>
          <w:rFonts w:asciiTheme="minorHAnsi" w:hAnsiTheme="minorHAnsi" w:cstheme="minorHAnsi"/>
          <w:color w:val="000000"/>
          <w:sz w:val="22"/>
          <w:szCs w:val="22"/>
        </w:rPr>
      </w:pPr>
      <w:r w:rsidRPr="008551C5">
        <w:rPr>
          <w:rFonts w:asciiTheme="minorHAnsi" w:hAnsiTheme="minorHAnsi" w:cstheme="minorHAnsi"/>
          <w:color w:val="000000"/>
          <w:sz w:val="22"/>
          <w:szCs w:val="22"/>
        </w:rPr>
        <w:t xml:space="preserve">The </w:t>
      </w:r>
      <w:r w:rsidRPr="008551C5" w:rsidR="00E45642">
        <w:rPr>
          <w:rFonts w:asciiTheme="minorHAnsi" w:hAnsiTheme="minorHAnsi" w:cstheme="minorHAnsi"/>
          <w:color w:val="000000"/>
          <w:sz w:val="22"/>
          <w:szCs w:val="22"/>
        </w:rPr>
        <w:t xml:space="preserve">NCHS </w:t>
      </w:r>
      <w:r w:rsidRPr="008551C5">
        <w:rPr>
          <w:rFonts w:asciiTheme="minorHAnsi" w:hAnsiTheme="minorHAnsi" w:cstheme="minorHAnsi"/>
          <w:color w:val="000000"/>
          <w:sz w:val="22"/>
          <w:szCs w:val="22"/>
        </w:rPr>
        <w:t xml:space="preserve">individual responsible for analysis of the survey, obtaining all survey clearances, and supervision of the work of the NCHS/NSFG team is: </w:t>
      </w:r>
    </w:p>
    <w:p w:rsidRPr="008551C5" w:rsidR="00CE086E" w:rsidP="000920DF" w:rsidRDefault="00CE086E" w14:paraId="3A6C34E1" w14:textId="77777777">
      <w:pPr>
        <w:ind w:firstLine="720"/>
        <w:rPr>
          <w:rFonts w:asciiTheme="minorHAnsi" w:hAnsiTheme="minorHAnsi" w:cstheme="minorHAnsi"/>
          <w:sz w:val="22"/>
          <w:szCs w:val="22"/>
        </w:rPr>
      </w:pPr>
    </w:p>
    <w:p w:rsidRPr="008551C5" w:rsidR="00CE086E" w:rsidP="000920DF" w:rsidRDefault="00CE086E" w14:paraId="64355D73" w14:textId="77777777">
      <w:pPr>
        <w:rPr>
          <w:rFonts w:asciiTheme="minorHAnsi" w:hAnsiTheme="minorHAnsi" w:cstheme="minorHAnsi"/>
          <w:sz w:val="22"/>
          <w:szCs w:val="22"/>
        </w:rPr>
      </w:pPr>
      <w:r w:rsidRPr="008551C5">
        <w:rPr>
          <w:rFonts w:asciiTheme="minorHAnsi" w:hAnsiTheme="minorHAnsi" w:cstheme="minorHAnsi"/>
          <w:sz w:val="22"/>
          <w:szCs w:val="22"/>
        </w:rPr>
        <w:tab/>
        <w:t>Anjani Chandra, Ph.D.</w:t>
      </w:r>
    </w:p>
    <w:p w:rsidRPr="008551C5" w:rsidR="00CE086E" w:rsidP="000920DF" w:rsidRDefault="00CE086E" w14:paraId="6E4EEA14"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Principal Investigator for NSFG at NCHS</w:t>
      </w:r>
    </w:p>
    <w:p w:rsidRPr="008551C5" w:rsidR="00CE086E" w:rsidP="000920DF" w:rsidRDefault="00CE086E" w14:paraId="6476F148" w14:textId="77777777">
      <w:pPr>
        <w:rPr>
          <w:rFonts w:asciiTheme="minorHAnsi" w:hAnsiTheme="minorHAnsi" w:cstheme="minorHAnsi"/>
          <w:sz w:val="22"/>
          <w:szCs w:val="22"/>
        </w:rPr>
      </w:pPr>
      <w:r w:rsidRPr="008551C5">
        <w:rPr>
          <w:rFonts w:asciiTheme="minorHAnsi" w:hAnsiTheme="minorHAnsi" w:cstheme="minorHAnsi"/>
          <w:sz w:val="22"/>
          <w:szCs w:val="22"/>
        </w:rPr>
        <w:tab/>
        <w:t>NSFG Team Lead and Senior Health Scientist</w:t>
      </w:r>
    </w:p>
    <w:p w:rsidRPr="008551C5" w:rsidR="00CE086E" w:rsidP="000920DF" w:rsidRDefault="00CE086E" w14:paraId="42134646"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NCHS Division of Vital Statistics/Reproductive Statistics Branch</w:t>
      </w:r>
    </w:p>
    <w:p w:rsidRPr="008551C5" w:rsidR="00CE086E" w:rsidP="000920DF" w:rsidRDefault="00CE086E" w14:paraId="787BD394"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3311 Toledo Road</w:t>
      </w:r>
    </w:p>
    <w:p w:rsidRPr="008551C5" w:rsidR="00CE086E" w:rsidP="000920DF" w:rsidRDefault="00CE086E" w14:paraId="4170C10A"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Hyattsville, MD 20782</w:t>
      </w:r>
    </w:p>
    <w:p w:rsidRPr="008551C5" w:rsidR="00CE086E" w:rsidP="000920DF" w:rsidRDefault="00CE086E" w14:paraId="1DAA623E" w14:textId="055D03D5">
      <w:pPr>
        <w:widowControl/>
        <w:autoSpaceDE/>
        <w:autoSpaceDN/>
        <w:adjustRightInd/>
        <w:rPr>
          <w:rStyle w:val="Hyperlink"/>
          <w:rFonts w:asciiTheme="minorHAnsi" w:hAnsiTheme="minorHAnsi" w:cstheme="minorHAnsi"/>
          <w:color w:val="070FB9"/>
          <w:sz w:val="22"/>
          <w:szCs w:val="22"/>
        </w:rPr>
      </w:pPr>
      <w:r w:rsidRPr="008551C5">
        <w:rPr>
          <w:rFonts w:asciiTheme="minorHAnsi" w:hAnsiTheme="minorHAnsi" w:cstheme="minorHAnsi"/>
          <w:sz w:val="22"/>
          <w:szCs w:val="22"/>
        </w:rPr>
        <w:tab/>
        <w:t>301-458-4138</w:t>
      </w:r>
      <w:r w:rsidRPr="008551C5">
        <w:rPr>
          <w:rFonts w:asciiTheme="minorHAnsi" w:hAnsiTheme="minorHAnsi" w:cstheme="minorHAnsi"/>
          <w:sz w:val="22"/>
          <w:szCs w:val="22"/>
        </w:rPr>
        <w:tab/>
      </w:r>
      <w:hyperlink w:history="1" r:id="rId15">
        <w:r w:rsidRPr="008551C5">
          <w:rPr>
            <w:rStyle w:val="Hyperlink"/>
            <w:rFonts w:asciiTheme="minorHAnsi" w:hAnsiTheme="minorHAnsi" w:cstheme="minorHAnsi"/>
            <w:color w:val="070FB9"/>
            <w:sz w:val="22"/>
            <w:szCs w:val="22"/>
          </w:rPr>
          <w:t>achandra@cdc.gov</w:t>
        </w:r>
      </w:hyperlink>
    </w:p>
    <w:p w:rsidRPr="008551C5" w:rsidR="00CE086E" w:rsidP="000920DF" w:rsidRDefault="00CE086E" w14:paraId="2C87B48C" w14:textId="77777777">
      <w:pPr>
        <w:widowControl/>
        <w:autoSpaceDE/>
        <w:autoSpaceDN/>
        <w:adjustRightInd/>
        <w:rPr>
          <w:rStyle w:val="Hyperlink"/>
          <w:rFonts w:asciiTheme="minorHAnsi" w:hAnsiTheme="minorHAnsi" w:cstheme="minorHAnsi"/>
          <w:color w:val="070FB9"/>
          <w:sz w:val="22"/>
          <w:szCs w:val="22"/>
        </w:rPr>
      </w:pPr>
    </w:p>
    <w:p w:rsidRPr="008551C5" w:rsidR="00CE086E" w:rsidP="000920DF" w:rsidRDefault="00CE086E" w14:paraId="5918A21E" w14:textId="21105069">
      <w:pPr>
        <w:widowControl/>
        <w:autoSpaceDE/>
        <w:autoSpaceDN/>
        <w:adjustRightInd/>
        <w:rPr>
          <w:rFonts w:asciiTheme="minorHAnsi" w:hAnsiTheme="minorHAnsi" w:cstheme="minorHAnsi"/>
          <w:bCs/>
          <w:color w:val="000000"/>
          <w:sz w:val="22"/>
          <w:szCs w:val="22"/>
        </w:rPr>
      </w:pPr>
      <w:r w:rsidRPr="008551C5">
        <w:rPr>
          <w:rFonts w:asciiTheme="minorHAnsi" w:hAnsiTheme="minorHAnsi" w:cstheme="minorHAnsi"/>
          <w:bCs/>
          <w:color w:val="000000"/>
          <w:sz w:val="22"/>
          <w:szCs w:val="22"/>
        </w:rPr>
        <w:t>In addition to Drs. Chandra and Abma, the NSFG team at NCHS includes four other individuals who significantly contribute to the management, conduct, and dissemination of the NSFG, including preparation of this OMB clearance package:  Gladys Martinez, Ph.D., Kimberly Daniels, Ph.D., Colleen Nugent, Ph.D., and Jennifer Sayers, M.S.</w:t>
      </w:r>
    </w:p>
    <w:p w:rsidRPr="008551C5" w:rsidR="00CE086E" w:rsidP="000920DF" w:rsidRDefault="00CE086E" w14:paraId="09E99B1F" w14:textId="77777777">
      <w:pPr>
        <w:widowControl/>
        <w:autoSpaceDE/>
        <w:autoSpaceDN/>
        <w:adjustRightInd/>
        <w:rPr>
          <w:rFonts w:asciiTheme="minorHAnsi" w:hAnsiTheme="minorHAnsi" w:cstheme="minorHAnsi"/>
          <w:bCs/>
          <w:color w:val="000000"/>
          <w:sz w:val="22"/>
          <w:szCs w:val="22"/>
        </w:rPr>
      </w:pPr>
    </w:p>
    <w:p w:rsidRPr="008551C5" w:rsidR="00CE086E" w:rsidP="000920DF" w:rsidRDefault="00CE086E" w14:paraId="6D263865" w14:textId="2550E0D2">
      <w:pPr>
        <w:rPr>
          <w:rFonts w:asciiTheme="minorHAnsi" w:hAnsiTheme="minorHAnsi" w:cstheme="minorHAnsi"/>
          <w:color w:val="000000"/>
          <w:sz w:val="22"/>
          <w:szCs w:val="22"/>
        </w:rPr>
      </w:pPr>
      <w:r w:rsidRPr="008551C5">
        <w:rPr>
          <w:rFonts w:asciiTheme="minorHAnsi" w:hAnsiTheme="minorHAnsi" w:cstheme="minorHAnsi"/>
          <w:color w:val="000000"/>
          <w:sz w:val="22"/>
          <w:szCs w:val="22"/>
        </w:rPr>
        <w:t xml:space="preserve">The NCHS security steward for the NSFG data systems is: </w:t>
      </w:r>
    </w:p>
    <w:p w:rsidRPr="008551C5" w:rsidR="00CE086E" w:rsidP="000920DF" w:rsidRDefault="00CE086E" w14:paraId="6E4E7D37" w14:textId="77777777">
      <w:pPr>
        <w:ind w:firstLine="720"/>
        <w:rPr>
          <w:rFonts w:asciiTheme="minorHAnsi" w:hAnsiTheme="minorHAnsi" w:cstheme="minorHAnsi"/>
          <w:sz w:val="22"/>
          <w:szCs w:val="22"/>
        </w:rPr>
      </w:pPr>
    </w:p>
    <w:p w:rsidRPr="008551C5" w:rsidR="00CE086E" w:rsidP="000920DF" w:rsidRDefault="00CE086E" w14:paraId="54269101" w14:textId="77777777">
      <w:pPr>
        <w:rPr>
          <w:rFonts w:asciiTheme="minorHAnsi" w:hAnsiTheme="minorHAnsi" w:cstheme="minorHAnsi"/>
          <w:sz w:val="22"/>
          <w:szCs w:val="22"/>
        </w:rPr>
      </w:pPr>
      <w:r w:rsidRPr="008551C5">
        <w:rPr>
          <w:rFonts w:asciiTheme="minorHAnsi" w:hAnsiTheme="minorHAnsi" w:cstheme="minorHAnsi"/>
          <w:sz w:val="22"/>
          <w:szCs w:val="22"/>
        </w:rPr>
        <w:tab/>
        <w:t>Dawn McCammon</w:t>
      </w:r>
    </w:p>
    <w:p w:rsidRPr="008551C5" w:rsidR="00CE086E" w:rsidP="000920DF" w:rsidRDefault="00CE086E" w14:paraId="6695AE19" w14:textId="77777777">
      <w:pPr>
        <w:rPr>
          <w:rFonts w:asciiTheme="minorHAnsi" w:hAnsiTheme="minorHAnsi" w:cstheme="minorHAnsi"/>
          <w:sz w:val="22"/>
          <w:szCs w:val="22"/>
        </w:rPr>
      </w:pPr>
      <w:r w:rsidRPr="008551C5">
        <w:rPr>
          <w:rFonts w:asciiTheme="minorHAnsi" w:hAnsiTheme="minorHAnsi" w:cstheme="minorHAnsi"/>
          <w:sz w:val="22"/>
          <w:szCs w:val="22"/>
        </w:rPr>
        <w:tab/>
        <w:t>IT Specialist</w:t>
      </w:r>
    </w:p>
    <w:p w:rsidRPr="008551C5" w:rsidR="00CE086E" w:rsidP="000920DF" w:rsidRDefault="00CE086E" w14:paraId="4B51E564" w14:textId="2B38761C">
      <w:pPr>
        <w:rPr>
          <w:rFonts w:asciiTheme="minorHAnsi" w:hAnsiTheme="minorHAnsi" w:cstheme="minorHAnsi"/>
          <w:sz w:val="22"/>
          <w:szCs w:val="22"/>
        </w:rPr>
      </w:pPr>
      <w:r w:rsidRPr="008551C5">
        <w:rPr>
          <w:rFonts w:asciiTheme="minorHAnsi" w:hAnsiTheme="minorHAnsi" w:cstheme="minorHAnsi"/>
          <w:sz w:val="22"/>
          <w:szCs w:val="22"/>
        </w:rPr>
        <w:tab/>
        <w:t>Research Triangle Park Stirrup Creek</w:t>
      </w:r>
    </w:p>
    <w:p w:rsidRPr="008551C5" w:rsidR="00CE086E" w:rsidP="000920DF" w:rsidRDefault="00CE086E" w14:paraId="1FDA000D" w14:textId="523A8C7C">
      <w:pPr>
        <w:ind w:firstLine="720"/>
        <w:rPr>
          <w:rFonts w:asciiTheme="minorHAnsi" w:hAnsiTheme="minorHAnsi" w:cstheme="minorHAnsi"/>
          <w:sz w:val="22"/>
          <w:szCs w:val="22"/>
        </w:rPr>
      </w:pPr>
      <w:r w:rsidRPr="008551C5">
        <w:rPr>
          <w:rFonts w:asciiTheme="minorHAnsi" w:hAnsiTheme="minorHAnsi" w:cstheme="minorHAnsi"/>
          <w:sz w:val="22"/>
          <w:szCs w:val="22"/>
        </w:rPr>
        <w:t>Durham,</w:t>
      </w:r>
      <w:r w:rsidRPr="008551C5" w:rsidR="00C77992">
        <w:rPr>
          <w:rFonts w:asciiTheme="minorHAnsi" w:hAnsiTheme="minorHAnsi" w:cstheme="minorHAnsi"/>
          <w:sz w:val="22"/>
          <w:szCs w:val="22"/>
        </w:rPr>
        <w:t xml:space="preserve"> </w:t>
      </w:r>
      <w:r w:rsidRPr="008551C5">
        <w:rPr>
          <w:rFonts w:asciiTheme="minorHAnsi" w:hAnsiTheme="minorHAnsi" w:cstheme="minorHAnsi"/>
          <w:sz w:val="22"/>
          <w:szCs w:val="22"/>
        </w:rPr>
        <w:t>NC 27703</w:t>
      </w:r>
    </w:p>
    <w:p w:rsidRPr="008551C5" w:rsidR="00CE086E" w:rsidP="000920DF" w:rsidRDefault="00CE086E" w14:paraId="0940BA95" w14:textId="464FB61C">
      <w:pPr>
        <w:ind w:firstLine="720"/>
        <w:rPr>
          <w:rFonts w:asciiTheme="minorHAnsi" w:hAnsiTheme="minorHAnsi" w:cstheme="minorHAnsi"/>
          <w:sz w:val="22"/>
          <w:szCs w:val="22"/>
        </w:rPr>
      </w:pPr>
      <w:r w:rsidRPr="008551C5">
        <w:rPr>
          <w:rFonts w:asciiTheme="minorHAnsi" w:hAnsiTheme="minorHAnsi" w:cstheme="minorHAnsi"/>
          <w:sz w:val="22"/>
          <w:szCs w:val="22"/>
        </w:rPr>
        <w:t>919-541-5102</w:t>
      </w:r>
      <w:r w:rsidRPr="008551C5">
        <w:rPr>
          <w:rFonts w:asciiTheme="minorHAnsi" w:hAnsiTheme="minorHAnsi" w:cstheme="minorHAnsi"/>
          <w:sz w:val="22"/>
          <w:szCs w:val="22"/>
        </w:rPr>
        <w:tab/>
      </w:r>
      <w:hyperlink w:history="1" r:id="rId16">
        <w:r w:rsidRPr="008551C5" w:rsidR="00E45642">
          <w:rPr>
            <w:rStyle w:val="Hyperlink"/>
            <w:rFonts w:asciiTheme="minorHAnsi" w:hAnsiTheme="minorHAnsi" w:cstheme="minorHAnsi"/>
            <w:sz w:val="22"/>
            <w:szCs w:val="22"/>
          </w:rPr>
          <w:t>dok1@cdc.gov</w:t>
        </w:r>
      </w:hyperlink>
      <w:r w:rsidRPr="008551C5" w:rsidR="00E45642">
        <w:rPr>
          <w:rFonts w:asciiTheme="minorHAnsi" w:hAnsiTheme="minorHAnsi" w:cstheme="minorHAnsi"/>
          <w:sz w:val="22"/>
          <w:szCs w:val="22"/>
        </w:rPr>
        <w:t xml:space="preserve"> </w:t>
      </w:r>
    </w:p>
    <w:p w:rsidRPr="008551C5" w:rsidR="00CE086E" w:rsidP="000920DF" w:rsidRDefault="00CE086E" w14:paraId="1342A107" w14:textId="77777777">
      <w:pPr>
        <w:rPr>
          <w:rFonts w:asciiTheme="minorHAnsi" w:hAnsiTheme="minorHAnsi" w:cstheme="minorHAnsi"/>
          <w:sz w:val="22"/>
          <w:szCs w:val="22"/>
        </w:rPr>
      </w:pPr>
    </w:p>
    <w:p w:rsidRPr="008551C5" w:rsidR="00AC6C3A" w:rsidP="000920DF" w:rsidRDefault="00917F34" w14:paraId="003CEE5C" w14:textId="23661AF7">
      <w:pPr>
        <w:rPr>
          <w:rFonts w:asciiTheme="minorHAnsi" w:hAnsiTheme="minorHAnsi" w:cstheme="minorHAnsi"/>
          <w:sz w:val="22"/>
          <w:szCs w:val="22"/>
        </w:rPr>
      </w:pPr>
      <w:r w:rsidRPr="008551C5">
        <w:rPr>
          <w:rFonts w:asciiTheme="minorHAnsi" w:hAnsiTheme="minorHAnsi" w:cstheme="minorHAnsi"/>
          <w:sz w:val="22"/>
          <w:szCs w:val="22"/>
        </w:rPr>
        <w:t xml:space="preserve">The </w:t>
      </w:r>
      <w:r w:rsidRPr="008551C5" w:rsidR="00E45642">
        <w:rPr>
          <w:rFonts w:asciiTheme="minorHAnsi" w:hAnsiTheme="minorHAnsi" w:cstheme="minorHAnsi"/>
          <w:sz w:val="22"/>
          <w:szCs w:val="22"/>
        </w:rPr>
        <w:t xml:space="preserve">contractor staff supervising </w:t>
      </w:r>
      <w:r w:rsidRPr="008551C5">
        <w:rPr>
          <w:rFonts w:asciiTheme="minorHAnsi" w:hAnsiTheme="minorHAnsi" w:cstheme="minorHAnsi"/>
          <w:sz w:val="22"/>
          <w:szCs w:val="22"/>
        </w:rPr>
        <w:t>NSFG s</w:t>
      </w:r>
      <w:r w:rsidRPr="008551C5" w:rsidR="00AC6C3A">
        <w:rPr>
          <w:rFonts w:asciiTheme="minorHAnsi" w:hAnsiTheme="minorHAnsi" w:cstheme="minorHAnsi"/>
          <w:sz w:val="22"/>
          <w:szCs w:val="22"/>
        </w:rPr>
        <w:t>ample selection</w:t>
      </w:r>
      <w:r w:rsidRPr="008551C5">
        <w:rPr>
          <w:rFonts w:asciiTheme="minorHAnsi" w:hAnsiTheme="minorHAnsi" w:cstheme="minorHAnsi"/>
          <w:sz w:val="22"/>
          <w:szCs w:val="22"/>
        </w:rPr>
        <w:t>,</w:t>
      </w:r>
      <w:r w:rsidRPr="008551C5" w:rsidR="00AC6C3A">
        <w:rPr>
          <w:rFonts w:asciiTheme="minorHAnsi" w:hAnsiTheme="minorHAnsi" w:cstheme="minorHAnsi"/>
          <w:sz w:val="22"/>
          <w:szCs w:val="22"/>
        </w:rPr>
        <w:t xml:space="preserve"> data collection</w:t>
      </w:r>
      <w:r w:rsidRPr="008551C5">
        <w:rPr>
          <w:rFonts w:asciiTheme="minorHAnsi" w:hAnsiTheme="minorHAnsi" w:cstheme="minorHAnsi"/>
          <w:sz w:val="22"/>
          <w:szCs w:val="22"/>
        </w:rPr>
        <w:t>, and production of contract deliverables</w:t>
      </w:r>
      <w:r w:rsidRPr="008551C5" w:rsidR="00E45642">
        <w:rPr>
          <w:rFonts w:asciiTheme="minorHAnsi" w:hAnsiTheme="minorHAnsi" w:cstheme="minorHAnsi"/>
          <w:sz w:val="22"/>
          <w:szCs w:val="22"/>
        </w:rPr>
        <w:t xml:space="preserve"> are</w:t>
      </w:r>
      <w:r w:rsidRPr="008551C5" w:rsidR="00AC6C3A">
        <w:rPr>
          <w:rFonts w:asciiTheme="minorHAnsi" w:hAnsiTheme="minorHAnsi" w:cstheme="minorHAnsi"/>
          <w:sz w:val="22"/>
          <w:szCs w:val="22"/>
        </w:rPr>
        <w:t>:</w:t>
      </w:r>
    </w:p>
    <w:p w:rsidRPr="008551C5" w:rsidR="003B453B" w:rsidP="000920DF" w:rsidRDefault="003B453B" w14:paraId="1F254CA6" w14:textId="77777777">
      <w:pPr>
        <w:rPr>
          <w:rFonts w:asciiTheme="minorHAnsi" w:hAnsiTheme="minorHAnsi" w:cstheme="minorHAnsi"/>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8551C5" w:rsidR="008439E5" w:rsidTr="003B453B" w14:paraId="064E84CD" w14:textId="77777777">
        <w:tc>
          <w:tcPr>
            <w:tcW w:w="4675" w:type="dxa"/>
          </w:tcPr>
          <w:p w:rsidRPr="008551C5" w:rsidR="008439E5" w:rsidP="000920DF" w:rsidRDefault="008439E5" w14:paraId="4BC37839" w14:textId="77777777">
            <w:pPr>
              <w:ind w:left="720"/>
              <w:rPr>
                <w:rFonts w:asciiTheme="minorHAnsi" w:hAnsiTheme="minorHAnsi" w:cstheme="minorHAnsi"/>
                <w:color w:val="000000"/>
                <w:sz w:val="22"/>
                <w:szCs w:val="22"/>
              </w:rPr>
            </w:pPr>
            <w:r w:rsidRPr="008551C5">
              <w:rPr>
                <w:rFonts w:asciiTheme="minorHAnsi" w:hAnsiTheme="minorHAnsi" w:cstheme="minorHAnsi"/>
                <w:color w:val="000000"/>
                <w:sz w:val="22"/>
                <w:szCs w:val="22"/>
              </w:rPr>
              <w:t>Andy Peytchev, Ph.D.</w:t>
            </w:r>
          </w:p>
          <w:p w:rsidRPr="008551C5" w:rsidR="008439E5" w:rsidP="000920DF" w:rsidRDefault="008439E5" w14:paraId="24E7F74E" w14:textId="77777777">
            <w:pPr>
              <w:ind w:left="720"/>
              <w:rPr>
                <w:rFonts w:asciiTheme="minorHAnsi" w:hAnsiTheme="minorHAnsi" w:cstheme="minorHAnsi"/>
                <w:color w:val="000000"/>
                <w:sz w:val="22"/>
                <w:szCs w:val="22"/>
              </w:rPr>
            </w:pPr>
            <w:r w:rsidRPr="008551C5">
              <w:rPr>
                <w:rFonts w:asciiTheme="minorHAnsi" w:hAnsiTheme="minorHAnsi" w:cstheme="minorHAnsi"/>
                <w:color w:val="000000"/>
                <w:sz w:val="22"/>
                <w:szCs w:val="22"/>
              </w:rPr>
              <w:t>Principal Investigator for NSFG at RTI</w:t>
            </w:r>
          </w:p>
          <w:p w:rsidRPr="008551C5" w:rsidR="008439E5" w:rsidP="000920DF" w:rsidRDefault="008439E5" w14:paraId="72072195"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RTI International</w:t>
            </w:r>
          </w:p>
          <w:p w:rsidRPr="008551C5" w:rsidR="008439E5" w:rsidP="000920DF" w:rsidRDefault="008439E5" w14:paraId="16A03E74"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3040 E. Cornwallis Rd</w:t>
            </w:r>
          </w:p>
          <w:p w:rsidRPr="008551C5" w:rsidR="008439E5" w:rsidP="000920DF" w:rsidRDefault="008439E5" w14:paraId="1C889C38"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Research Triangle Park, NC 27709</w:t>
            </w:r>
          </w:p>
          <w:p w:rsidRPr="008551C5" w:rsidR="008439E5" w:rsidP="000920DF" w:rsidRDefault="008439E5" w14:paraId="6C2D6432" w14:textId="39F9E052">
            <w:pPr>
              <w:ind w:firstLine="720"/>
              <w:rPr>
                <w:rFonts w:asciiTheme="minorHAnsi" w:hAnsiTheme="minorHAnsi" w:cstheme="minorHAnsi"/>
                <w:sz w:val="22"/>
                <w:szCs w:val="22"/>
              </w:rPr>
            </w:pPr>
            <w:r w:rsidRPr="008551C5">
              <w:rPr>
                <w:rFonts w:asciiTheme="minorHAnsi" w:hAnsiTheme="minorHAnsi" w:cstheme="minorHAnsi"/>
                <w:color w:val="000000"/>
                <w:sz w:val="22"/>
                <w:szCs w:val="22"/>
              </w:rPr>
              <w:t>984-242-9366</w:t>
            </w:r>
            <w:r w:rsidRPr="008551C5">
              <w:rPr>
                <w:rFonts w:asciiTheme="minorHAnsi" w:hAnsiTheme="minorHAnsi" w:cstheme="minorHAnsi"/>
                <w:color w:val="000000"/>
                <w:sz w:val="22"/>
                <w:szCs w:val="22"/>
              </w:rPr>
              <w:tab/>
            </w:r>
            <w:hyperlink w:history="1" r:id="rId17">
              <w:r w:rsidRPr="008551C5">
                <w:rPr>
                  <w:rStyle w:val="Hyperlink"/>
                  <w:rFonts w:asciiTheme="minorHAnsi" w:hAnsiTheme="minorHAnsi" w:cstheme="minorHAnsi"/>
                  <w:sz w:val="22"/>
                  <w:szCs w:val="22"/>
                </w:rPr>
                <w:t>apeytchev@rti.org</w:t>
              </w:r>
            </w:hyperlink>
          </w:p>
        </w:tc>
        <w:tc>
          <w:tcPr>
            <w:tcW w:w="4675" w:type="dxa"/>
          </w:tcPr>
          <w:p w:rsidRPr="008551C5" w:rsidR="008439E5" w:rsidP="000920DF" w:rsidRDefault="008439E5" w14:paraId="2217212D"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Susan Kinsey</w:t>
            </w:r>
          </w:p>
          <w:p w:rsidRPr="008551C5" w:rsidR="008439E5" w:rsidP="000920DF" w:rsidRDefault="008439E5" w14:paraId="6C6084A0"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Project Director for NSFG at RTI</w:t>
            </w:r>
          </w:p>
          <w:p w:rsidRPr="008551C5" w:rsidR="008439E5" w:rsidP="000920DF" w:rsidRDefault="008439E5" w14:paraId="4DCCE0B1"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RTI International</w:t>
            </w:r>
          </w:p>
          <w:p w:rsidRPr="008551C5" w:rsidR="008439E5" w:rsidP="000920DF" w:rsidRDefault="008439E5" w14:paraId="47D4B5CD"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3040 E. Cornwallis Rd</w:t>
            </w:r>
          </w:p>
          <w:p w:rsidRPr="008551C5" w:rsidR="008439E5" w:rsidP="000920DF" w:rsidRDefault="008439E5" w14:paraId="464F4899"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Research Triangle Park, NC 27709</w:t>
            </w:r>
          </w:p>
          <w:p w:rsidRPr="008551C5" w:rsidR="008439E5" w:rsidP="000920DF" w:rsidRDefault="008439E5" w14:paraId="6AA0E83A"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919-417-1814</w:t>
            </w:r>
            <w:r w:rsidRPr="008551C5">
              <w:rPr>
                <w:rFonts w:asciiTheme="minorHAnsi" w:hAnsiTheme="minorHAnsi" w:cstheme="minorHAnsi"/>
                <w:color w:val="000000"/>
                <w:sz w:val="22"/>
                <w:szCs w:val="22"/>
              </w:rPr>
              <w:tab/>
            </w:r>
            <w:hyperlink w:history="1" r:id="rId18">
              <w:r w:rsidRPr="008551C5">
                <w:rPr>
                  <w:rStyle w:val="Hyperlink"/>
                  <w:rFonts w:asciiTheme="minorHAnsi" w:hAnsiTheme="minorHAnsi" w:cstheme="minorHAnsi"/>
                  <w:sz w:val="22"/>
                  <w:szCs w:val="22"/>
                </w:rPr>
                <w:t>shk@rti.org</w:t>
              </w:r>
            </w:hyperlink>
          </w:p>
          <w:p w:rsidRPr="008551C5" w:rsidR="008439E5" w:rsidP="000920DF" w:rsidRDefault="008439E5" w14:paraId="2469B4EC" w14:textId="77777777">
            <w:pPr>
              <w:rPr>
                <w:rFonts w:asciiTheme="minorHAnsi" w:hAnsiTheme="minorHAnsi" w:cstheme="minorHAnsi"/>
                <w:sz w:val="22"/>
                <w:szCs w:val="22"/>
              </w:rPr>
            </w:pPr>
          </w:p>
        </w:tc>
      </w:tr>
    </w:tbl>
    <w:p w:rsidRPr="008551C5" w:rsidR="00A54FEA" w:rsidP="000920DF" w:rsidRDefault="00A54FEA" w14:paraId="1CF661A9" w14:textId="6E678682">
      <w:pPr>
        <w:tabs>
          <w:tab w:val="left" w:pos="-1440"/>
        </w:tabs>
        <w:ind w:left="720" w:hanging="720"/>
        <w:rPr>
          <w:rFonts w:asciiTheme="minorHAnsi" w:hAnsiTheme="minorHAnsi" w:cstheme="minorHAnsi"/>
          <w:b/>
          <w:sz w:val="22"/>
          <w:szCs w:val="22"/>
        </w:rPr>
      </w:pPr>
    </w:p>
    <w:p w:rsidRPr="008551C5" w:rsidR="009D1FAA" w:rsidP="000920DF" w:rsidRDefault="009D1FAA" w14:paraId="14A029BB" w14:textId="77777777">
      <w:pPr>
        <w:tabs>
          <w:tab w:val="left" w:pos="-1440"/>
        </w:tabs>
        <w:ind w:left="720" w:hanging="720"/>
        <w:rPr>
          <w:rFonts w:asciiTheme="minorHAnsi" w:hAnsiTheme="minorHAnsi" w:cstheme="minorHAnsi"/>
          <w:b/>
          <w:sz w:val="22"/>
          <w:szCs w:val="22"/>
        </w:rPr>
      </w:pPr>
    </w:p>
    <w:p w:rsidRPr="008551C5" w:rsidR="00730D48" w:rsidP="000920DF" w:rsidRDefault="00730D48" w14:paraId="793A37E7" w14:textId="77777777">
      <w:pPr>
        <w:widowControl/>
        <w:autoSpaceDE/>
        <w:autoSpaceDN/>
        <w:adjustRightInd/>
        <w:rPr>
          <w:rFonts w:asciiTheme="minorHAnsi" w:hAnsiTheme="minorHAnsi" w:eastAsiaTheme="majorEastAsia" w:cstheme="minorHAnsi"/>
          <w:b/>
          <w:bCs/>
          <w:sz w:val="22"/>
          <w:szCs w:val="22"/>
        </w:rPr>
      </w:pPr>
      <w:r w:rsidRPr="008551C5">
        <w:rPr>
          <w:rFonts w:asciiTheme="minorHAnsi" w:hAnsiTheme="minorHAnsi" w:cstheme="minorHAnsi"/>
          <w:b/>
          <w:bCs/>
          <w:sz w:val="22"/>
          <w:szCs w:val="22"/>
        </w:rPr>
        <w:br w:type="page"/>
      </w:r>
    </w:p>
    <w:p w:rsidRPr="008551C5" w:rsidR="00A13866" w:rsidP="00A13866" w:rsidRDefault="00A13866" w14:paraId="360216AF" w14:textId="77777777">
      <w:pPr>
        <w:pStyle w:val="Heading1"/>
        <w:rPr>
          <w:rFonts w:asciiTheme="minorHAnsi" w:hAnsiTheme="minorHAnsi" w:cstheme="minorHAnsi"/>
          <w:b/>
          <w:bCs/>
          <w:color w:val="auto"/>
          <w:sz w:val="22"/>
          <w:szCs w:val="22"/>
        </w:rPr>
      </w:pPr>
      <w:bookmarkStart w:name="_Toc79140743" w:id="21"/>
      <w:r w:rsidRPr="008551C5">
        <w:rPr>
          <w:rFonts w:asciiTheme="minorHAnsi" w:hAnsiTheme="minorHAnsi" w:cstheme="minorHAnsi"/>
          <w:b/>
          <w:bCs/>
          <w:color w:val="auto"/>
          <w:sz w:val="22"/>
          <w:szCs w:val="22"/>
        </w:rPr>
        <w:t>REFERENCES</w:t>
      </w:r>
      <w:bookmarkEnd w:id="21"/>
    </w:p>
    <w:p w:rsidRPr="008551C5" w:rsidR="00A13866" w:rsidP="00A13866" w:rsidRDefault="00A13866" w14:paraId="092CFC10" w14:textId="77777777">
      <w:pPr>
        <w:widowControl/>
        <w:rPr>
          <w:rFonts w:asciiTheme="minorHAnsi" w:hAnsiTheme="minorHAnsi" w:cstheme="minorHAnsi"/>
          <w:sz w:val="22"/>
          <w:szCs w:val="22"/>
        </w:rPr>
      </w:pPr>
      <w:r w:rsidRPr="008551C5">
        <w:rPr>
          <w:rFonts w:asciiTheme="minorHAnsi" w:hAnsiTheme="minorHAnsi" w:cstheme="minorHAnsi"/>
          <w:bCs/>
          <w:i/>
          <w:sz w:val="22"/>
          <w:szCs w:val="22"/>
        </w:rPr>
        <w:t>(This list includes all references cited in Supporting Statements A&amp;B and Attachment C; other attachments include their own reference lists.)</w:t>
      </w:r>
    </w:p>
    <w:p w:rsidRPr="008551C5" w:rsidR="00A13866" w:rsidP="00A13866" w:rsidRDefault="00A13866" w14:paraId="1DCEA60A" w14:textId="77777777">
      <w:pPr>
        <w:widowControl/>
        <w:ind w:left="720" w:hanging="720"/>
        <w:rPr>
          <w:rFonts w:asciiTheme="minorHAnsi" w:hAnsiTheme="minorHAnsi" w:cstheme="minorHAnsi"/>
          <w:sz w:val="22"/>
          <w:szCs w:val="22"/>
        </w:rPr>
      </w:pPr>
    </w:p>
    <w:p w:rsidRPr="008551C5" w:rsidR="00A13866" w:rsidP="00A13866" w:rsidRDefault="00883A8E" w14:paraId="1BC49844" w14:textId="77777777">
      <w:pPr>
        <w:ind w:left="720" w:hanging="720"/>
        <w:rPr>
          <w:rStyle w:val="title-text"/>
          <w:rFonts w:asciiTheme="minorHAnsi" w:hAnsiTheme="minorHAnsi" w:cstheme="minorHAnsi"/>
          <w:sz w:val="22"/>
          <w:szCs w:val="22"/>
        </w:rPr>
      </w:pPr>
      <w:hyperlink w:history="1" r:id="rId19">
        <w:r w:rsidRPr="008551C5" w:rsidR="00A13866">
          <w:rPr>
            <w:rStyle w:val="title-text"/>
            <w:rFonts w:asciiTheme="minorHAnsi" w:hAnsiTheme="minorHAnsi" w:cstheme="minorHAnsi"/>
            <w:sz w:val="22"/>
            <w:szCs w:val="22"/>
          </w:rPr>
          <w:t>Abdallah I</w:t>
        </w:r>
      </w:hyperlink>
      <w:r w:rsidRPr="008551C5" w:rsidR="00A13866">
        <w:rPr>
          <w:rStyle w:val="title-text"/>
          <w:rFonts w:asciiTheme="minorHAnsi" w:hAnsiTheme="minorHAnsi" w:cstheme="minorHAnsi"/>
          <w:sz w:val="22"/>
          <w:szCs w:val="22"/>
        </w:rPr>
        <w:t xml:space="preserve">, </w:t>
      </w:r>
      <w:hyperlink w:history="1" r:id="rId20">
        <w:r w:rsidRPr="008551C5" w:rsidR="00A13866">
          <w:rPr>
            <w:rStyle w:val="title-text"/>
            <w:rFonts w:asciiTheme="minorHAnsi" w:hAnsiTheme="minorHAnsi" w:cstheme="minorHAnsi"/>
            <w:sz w:val="22"/>
            <w:szCs w:val="22"/>
          </w:rPr>
          <w:t>Conserve D</w:t>
        </w:r>
      </w:hyperlink>
      <w:r w:rsidRPr="008551C5" w:rsidR="00A13866">
        <w:rPr>
          <w:rStyle w:val="title-text"/>
          <w:rFonts w:asciiTheme="minorHAnsi" w:hAnsiTheme="minorHAnsi" w:cstheme="minorHAnsi"/>
          <w:sz w:val="22"/>
          <w:szCs w:val="22"/>
        </w:rPr>
        <w:t xml:space="preserve">, </w:t>
      </w:r>
      <w:hyperlink w:history="1" r:id="rId21">
        <w:r w:rsidRPr="008551C5" w:rsidR="00A13866">
          <w:rPr>
            <w:rStyle w:val="title-text"/>
            <w:rFonts w:asciiTheme="minorHAnsi" w:hAnsiTheme="minorHAnsi" w:cstheme="minorHAnsi"/>
            <w:sz w:val="22"/>
            <w:szCs w:val="22"/>
          </w:rPr>
          <w:t>Burgess TL</w:t>
        </w:r>
      </w:hyperlink>
      <w:r w:rsidRPr="008551C5" w:rsidR="00A13866">
        <w:rPr>
          <w:rStyle w:val="title-text"/>
          <w:rFonts w:asciiTheme="minorHAnsi" w:hAnsiTheme="minorHAnsi" w:cstheme="minorHAnsi"/>
          <w:sz w:val="22"/>
          <w:szCs w:val="22"/>
        </w:rPr>
        <w:t xml:space="preserve">, </w:t>
      </w:r>
      <w:hyperlink w:history="1" r:id="rId22">
        <w:r w:rsidRPr="008551C5" w:rsidR="00A13866">
          <w:rPr>
            <w:rStyle w:val="title-text"/>
            <w:rFonts w:asciiTheme="minorHAnsi" w:hAnsiTheme="minorHAnsi" w:cstheme="minorHAnsi"/>
            <w:sz w:val="22"/>
            <w:szCs w:val="22"/>
          </w:rPr>
          <w:t>Adegbite AH</w:t>
        </w:r>
      </w:hyperlink>
      <w:r w:rsidRPr="008551C5" w:rsidR="00A13866">
        <w:rPr>
          <w:rStyle w:val="title-text"/>
          <w:rFonts w:asciiTheme="minorHAnsi" w:hAnsiTheme="minorHAnsi" w:cstheme="minorHAnsi"/>
          <w:sz w:val="22"/>
          <w:szCs w:val="22"/>
        </w:rPr>
        <w:t xml:space="preserve">, </w:t>
      </w:r>
      <w:hyperlink w:history="1" r:id="rId23">
        <w:r w:rsidRPr="008551C5" w:rsidR="00A13866">
          <w:rPr>
            <w:rStyle w:val="title-text"/>
            <w:rFonts w:asciiTheme="minorHAnsi" w:hAnsiTheme="minorHAnsi" w:cstheme="minorHAnsi"/>
            <w:sz w:val="22"/>
            <w:szCs w:val="22"/>
          </w:rPr>
          <w:t>Oraka E</w:t>
        </w:r>
      </w:hyperlink>
      <w:r w:rsidRPr="008551C5" w:rsidR="00A13866">
        <w:rPr>
          <w:rStyle w:val="title-text"/>
          <w:rFonts w:asciiTheme="minorHAnsi" w:hAnsiTheme="minorHAnsi" w:cstheme="minorHAnsi"/>
          <w:sz w:val="22"/>
          <w:szCs w:val="22"/>
        </w:rPr>
        <w:t xml:space="preserve">. 2020. Correlates of HIV-related risk behaviors among self-identified heterosexual men who have sex with men (HMSM): national survey of family growth (2002, 2006-2010, and 2011-2017). </w:t>
      </w:r>
      <w:hyperlink w:tooltip="AIDS care." w:history="1" r:id="rId24">
        <w:r w:rsidRPr="008551C5" w:rsidR="00A13866">
          <w:rPr>
            <w:rStyle w:val="title-text"/>
            <w:rFonts w:asciiTheme="minorHAnsi" w:hAnsiTheme="minorHAnsi" w:cstheme="minorHAnsi"/>
            <w:sz w:val="22"/>
            <w:szCs w:val="22"/>
          </w:rPr>
          <w:t>AIDS Care, 1-9.</w:t>
        </w:r>
      </w:hyperlink>
      <w:r w:rsidRPr="008551C5" w:rsidR="00A13866">
        <w:rPr>
          <w:rStyle w:val="title-text"/>
          <w:rFonts w:asciiTheme="minorHAnsi" w:hAnsiTheme="minorHAnsi" w:cstheme="minorHAnsi"/>
          <w:sz w:val="22"/>
          <w:szCs w:val="22"/>
        </w:rPr>
        <w:t xml:space="preserve"> DOI: 10.1080/09540121.2020.1724254.</w:t>
      </w:r>
    </w:p>
    <w:p w:rsidRPr="008551C5" w:rsidR="00A13866" w:rsidP="00A13866" w:rsidRDefault="00A13866" w14:paraId="601218E1" w14:textId="77777777">
      <w:pPr>
        <w:widowControl/>
        <w:ind w:left="720" w:hanging="720"/>
        <w:rPr>
          <w:rFonts w:asciiTheme="minorHAnsi" w:hAnsiTheme="minorHAnsi" w:cstheme="minorHAnsi"/>
          <w:sz w:val="22"/>
          <w:szCs w:val="22"/>
        </w:rPr>
      </w:pPr>
    </w:p>
    <w:p w:rsidRPr="008551C5" w:rsidR="00A13866" w:rsidP="00A13866" w:rsidRDefault="00A13866" w14:paraId="31516813"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Abma J, Chandra A, Mosher W, Peterson L, Piccinino L.  1997.  Fertility, Family Planning, and Women's Health: New Data from the 1995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23(19).  Hyattsville, MD: National Center for Health Statistics.  </w:t>
      </w:r>
    </w:p>
    <w:p w:rsidRPr="008551C5" w:rsidR="00A13866" w:rsidP="00A13866" w:rsidRDefault="00A13866" w14:paraId="1B126FCE" w14:textId="77777777">
      <w:pPr>
        <w:widowControl/>
        <w:ind w:left="720" w:hanging="720"/>
        <w:rPr>
          <w:rFonts w:asciiTheme="minorHAnsi" w:hAnsiTheme="minorHAnsi" w:cstheme="minorHAnsi"/>
          <w:sz w:val="22"/>
          <w:szCs w:val="22"/>
        </w:rPr>
      </w:pPr>
    </w:p>
    <w:p w:rsidRPr="008551C5" w:rsidR="00A13866" w:rsidP="00A13866" w:rsidRDefault="00A13866" w14:paraId="2D57EF94"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Abma J, Driscoll A, Moore K.  1998.  Differing Degrees of Control over First Intercourse and Young Women's First Partners: Data from the 1995 National Survey of Family Growth.</w:t>
      </w:r>
      <w:r w:rsidRPr="008551C5">
        <w:rPr>
          <w:rFonts w:asciiTheme="minorHAnsi" w:hAnsiTheme="minorHAnsi" w:cstheme="minorHAnsi"/>
          <w:i/>
          <w:iCs/>
          <w:sz w:val="22"/>
          <w:szCs w:val="22"/>
        </w:rPr>
        <w:t xml:space="preserve">  </w:t>
      </w:r>
      <w:r w:rsidRPr="008551C5">
        <w:rPr>
          <w:rFonts w:asciiTheme="minorHAnsi" w:hAnsiTheme="minorHAnsi" w:cstheme="minorHAnsi"/>
          <w:sz w:val="22"/>
          <w:szCs w:val="22"/>
          <w:u w:val="single"/>
        </w:rPr>
        <w:t>Family Planning Perspectives</w:t>
      </w:r>
      <w:r w:rsidRPr="008551C5">
        <w:rPr>
          <w:rFonts w:asciiTheme="minorHAnsi" w:hAnsiTheme="minorHAnsi" w:cstheme="minorHAnsi"/>
          <w:i/>
          <w:iCs/>
          <w:sz w:val="22"/>
          <w:szCs w:val="22"/>
        </w:rPr>
        <w:t xml:space="preserve"> </w:t>
      </w:r>
      <w:r w:rsidRPr="008551C5">
        <w:rPr>
          <w:rFonts w:asciiTheme="minorHAnsi" w:hAnsiTheme="minorHAnsi" w:cstheme="minorHAnsi"/>
          <w:sz w:val="22"/>
          <w:szCs w:val="22"/>
        </w:rPr>
        <w:t>30(1):12-18.</w:t>
      </w:r>
    </w:p>
    <w:p w:rsidRPr="008551C5" w:rsidR="00A13866" w:rsidP="00A13866" w:rsidRDefault="00A13866" w14:paraId="218ECE05" w14:textId="77777777">
      <w:pPr>
        <w:widowControl/>
        <w:ind w:left="720" w:hanging="720"/>
        <w:rPr>
          <w:rFonts w:asciiTheme="minorHAnsi" w:hAnsiTheme="minorHAnsi" w:cstheme="minorHAnsi"/>
          <w:sz w:val="22"/>
          <w:szCs w:val="22"/>
        </w:rPr>
      </w:pPr>
    </w:p>
    <w:p w:rsidRPr="008551C5" w:rsidR="00A13866" w:rsidP="00A13866" w:rsidRDefault="00A13866" w14:paraId="7E8253B4"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Abma J, Martinez G.  Sexual Activity and Contraceptive Use among Teens in the United States, 2011-2015. 2017. </w:t>
      </w:r>
      <w:r w:rsidRPr="008551C5">
        <w:rPr>
          <w:rFonts w:asciiTheme="minorHAnsi" w:hAnsiTheme="minorHAnsi" w:cstheme="minorHAnsi"/>
          <w:sz w:val="22"/>
          <w:szCs w:val="22"/>
          <w:u w:val="single"/>
        </w:rPr>
        <w:t>National health statistics reports</w:t>
      </w:r>
      <w:r w:rsidRPr="008551C5">
        <w:rPr>
          <w:rFonts w:asciiTheme="minorHAnsi" w:hAnsiTheme="minorHAnsi" w:cstheme="minorHAnsi"/>
          <w:sz w:val="22"/>
          <w:szCs w:val="22"/>
        </w:rPr>
        <w:t xml:space="preserve"> 104. Hyattsville, MD: National Center for Health Statistics.</w:t>
      </w:r>
    </w:p>
    <w:p w:rsidRPr="008551C5" w:rsidR="00A13866" w:rsidP="00A13866" w:rsidRDefault="00A13866" w14:paraId="68D221F1" w14:textId="77777777">
      <w:pPr>
        <w:tabs>
          <w:tab w:val="left" w:pos="-1440"/>
        </w:tabs>
        <w:ind w:left="720" w:hanging="720"/>
        <w:rPr>
          <w:rFonts w:asciiTheme="minorHAnsi" w:hAnsiTheme="minorHAnsi" w:cstheme="minorHAnsi"/>
          <w:sz w:val="22"/>
          <w:szCs w:val="22"/>
        </w:rPr>
      </w:pPr>
    </w:p>
    <w:p w:rsidRPr="008551C5" w:rsidR="00A13866" w:rsidP="00A13866" w:rsidRDefault="00A13866" w14:paraId="606CF6A3"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Abma J, Martinez G, Mosher W, Dawson B.  2004.  Teenagers in the United States: Sexual Activity, Contraceptive Use, and Childbearing, 2002.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23(24).  Hyattsville, MD: National Center for Health Statistics.  </w:t>
      </w:r>
    </w:p>
    <w:p w:rsidRPr="008551C5" w:rsidR="00A13866" w:rsidP="00A13866" w:rsidRDefault="00A13866" w14:paraId="4F3EAE1F" w14:textId="77777777">
      <w:pPr>
        <w:tabs>
          <w:tab w:val="left" w:pos="-1440"/>
        </w:tabs>
        <w:ind w:left="720" w:hanging="720"/>
        <w:rPr>
          <w:rFonts w:asciiTheme="minorHAnsi" w:hAnsiTheme="minorHAnsi" w:cstheme="minorHAnsi"/>
          <w:sz w:val="22"/>
          <w:szCs w:val="22"/>
        </w:rPr>
      </w:pPr>
    </w:p>
    <w:p w:rsidRPr="008551C5" w:rsidR="00A13866" w:rsidP="00A13866" w:rsidRDefault="00A13866" w14:paraId="32AAAC1C" w14:textId="77777777">
      <w:pPr>
        <w:pStyle w:val="NormalWeb"/>
        <w:tabs>
          <w:tab w:val="left" w:pos="540"/>
        </w:tabs>
        <w:spacing w:before="0" w:beforeAutospacing="0" w:after="0" w:afterAutospacing="0"/>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Adimora AA, Schoenbach VJ, Doherty IA. 2007. Concurrent sexual partnerships among men in the United States.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97(12):2230-2237. </w:t>
      </w:r>
    </w:p>
    <w:p w:rsidRPr="008551C5" w:rsidR="00A13866" w:rsidP="00A13866" w:rsidRDefault="00A13866" w14:paraId="589987A3" w14:textId="77777777">
      <w:pPr>
        <w:widowControl/>
        <w:ind w:left="720" w:hanging="720"/>
        <w:rPr>
          <w:rFonts w:asciiTheme="minorHAnsi" w:hAnsiTheme="minorHAnsi" w:cstheme="minorHAnsi"/>
          <w:sz w:val="22"/>
          <w:szCs w:val="22"/>
        </w:rPr>
      </w:pPr>
    </w:p>
    <w:p w:rsidRPr="008551C5" w:rsidR="00A13866" w:rsidP="00A13866" w:rsidRDefault="00A13866" w14:paraId="14F54D69"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Adimora AA, Schoenbach VJ, Taylor EM, Khan MR, Schwartz MJ.  2011.  Concurrent Partnerships, Nonmonogamous Partners, and Substance Use Among Women in the United States.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101 (1): 128-136.</w:t>
      </w:r>
    </w:p>
    <w:p w:rsidRPr="008551C5" w:rsidR="00A13866" w:rsidP="00A13866" w:rsidRDefault="00A13866" w14:paraId="21A77CC7" w14:textId="77777777">
      <w:pPr>
        <w:widowControl/>
        <w:rPr>
          <w:rFonts w:asciiTheme="minorHAnsi" w:hAnsiTheme="minorHAnsi" w:cstheme="minorHAnsi"/>
          <w:sz w:val="22"/>
          <w:szCs w:val="22"/>
        </w:rPr>
      </w:pPr>
    </w:p>
    <w:p w:rsidRPr="008551C5" w:rsidR="00A13866" w:rsidP="00A13866" w:rsidRDefault="00A13866" w14:paraId="316AAAA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Adimora AA, Hughes, JP, Wang, J, Haley, DF, Colin, CE et al.  2014.  Characteristics of multiple and concurrent partnerships among women at high risk of HIV infection.  </w:t>
      </w:r>
      <w:r w:rsidRPr="008551C5">
        <w:rPr>
          <w:rFonts w:asciiTheme="minorHAnsi" w:hAnsiTheme="minorHAnsi" w:cstheme="minorHAnsi"/>
          <w:sz w:val="22"/>
          <w:szCs w:val="22"/>
          <w:u w:val="single"/>
        </w:rPr>
        <w:t>Journal of Acquired Immune Deficiency Syndromes</w:t>
      </w:r>
      <w:r w:rsidRPr="008551C5">
        <w:rPr>
          <w:rFonts w:asciiTheme="minorHAnsi" w:hAnsiTheme="minorHAnsi" w:cstheme="minorHAnsi"/>
          <w:sz w:val="22"/>
          <w:szCs w:val="22"/>
        </w:rPr>
        <w:t xml:space="preserve"> 65(1): 99-106.</w:t>
      </w:r>
    </w:p>
    <w:p w:rsidRPr="008551C5" w:rsidR="00A13866" w:rsidP="00A13866" w:rsidRDefault="00A13866" w14:paraId="6421594D" w14:textId="77777777">
      <w:pPr>
        <w:widowControl/>
        <w:ind w:left="720" w:hanging="720"/>
        <w:rPr>
          <w:rFonts w:asciiTheme="minorHAnsi" w:hAnsiTheme="minorHAnsi" w:cstheme="minorHAnsi"/>
          <w:sz w:val="22"/>
          <w:szCs w:val="22"/>
        </w:rPr>
      </w:pPr>
    </w:p>
    <w:p w:rsidRPr="008551C5" w:rsidR="00A13866" w:rsidP="00A13866" w:rsidRDefault="00883A8E" w14:paraId="6E6BC53F" w14:textId="77777777">
      <w:pPr>
        <w:ind w:left="720" w:hanging="720"/>
        <w:rPr>
          <w:rFonts w:asciiTheme="minorHAnsi" w:hAnsiTheme="minorHAnsi" w:cstheme="minorHAnsi"/>
          <w:sz w:val="22"/>
          <w:szCs w:val="22"/>
        </w:rPr>
      </w:pPr>
      <w:hyperlink w:history="1" r:id="rId25">
        <w:r w:rsidRPr="008551C5" w:rsidR="00A13866">
          <w:rPr>
            <w:rFonts w:asciiTheme="minorHAnsi" w:hAnsiTheme="minorHAnsi" w:cstheme="minorHAnsi"/>
            <w:sz w:val="22"/>
            <w:szCs w:val="22"/>
          </w:rPr>
          <w:t>Agénor M</w:t>
        </w:r>
      </w:hyperlink>
      <w:r w:rsidRPr="008551C5" w:rsidR="00A13866">
        <w:rPr>
          <w:rFonts w:asciiTheme="minorHAnsi" w:hAnsiTheme="minorHAnsi" w:cstheme="minorHAnsi"/>
          <w:sz w:val="22"/>
          <w:szCs w:val="22"/>
        </w:rPr>
        <w:t xml:space="preserve">, </w:t>
      </w:r>
      <w:hyperlink w:history="1" r:id="rId26">
        <w:r w:rsidRPr="008551C5" w:rsidR="00A13866">
          <w:rPr>
            <w:rFonts w:asciiTheme="minorHAnsi" w:hAnsiTheme="minorHAnsi" w:cstheme="minorHAnsi"/>
            <w:sz w:val="22"/>
            <w:szCs w:val="22"/>
          </w:rPr>
          <w:t>Murchison GR</w:t>
        </w:r>
      </w:hyperlink>
      <w:r w:rsidRPr="008551C5" w:rsidR="00A13866">
        <w:rPr>
          <w:rFonts w:asciiTheme="minorHAnsi" w:hAnsiTheme="minorHAnsi" w:cstheme="minorHAnsi"/>
          <w:sz w:val="22"/>
          <w:szCs w:val="22"/>
        </w:rPr>
        <w:t xml:space="preserve">, </w:t>
      </w:r>
      <w:hyperlink w:history="1" r:id="rId27">
        <w:r w:rsidRPr="008551C5" w:rsidR="00A13866">
          <w:rPr>
            <w:rFonts w:asciiTheme="minorHAnsi" w:hAnsiTheme="minorHAnsi" w:cstheme="minorHAnsi"/>
            <w:sz w:val="22"/>
            <w:szCs w:val="22"/>
          </w:rPr>
          <w:t>Chen JT</w:t>
        </w:r>
      </w:hyperlink>
      <w:r w:rsidRPr="008551C5" w:rsidR="00A13866">
        <w:rPr>
          <w:rFonts w:asciiTheme="minorHAnsi" w:hAnsiTheme="minorHAnsi" w:cstheme="minorHAnsi"/>
          <w:sz w:val="22"/>
          <w:szCs w:val="22"/>
        </w:rPr>
        <w:t xml:space="preserve">, et al. 2019. Affordable Care Act on human papillomavirus vaccination initiation among lesbian, bisexual, and heterosexual U.S. women. </w:t>
      </w:r>
      <w:hyperlink w:tooltip="Health services research." w:history="1" r:id="rId28">
        <w:r w:rsidRPr="008551C5" w:rsidR="00A13866">
          <w:rPr>
            <w:rFonts w:asciiTheme="minorHAnsi" w:hAnsiTheme="minorHAnsi" w:cstheme="minorHAnsi"/>
            <w:sz w:val="22"/>
            <w:szCs w:val="22"/>
          </w:rPr>
          <w:t>Health Serv Res.</w:t>
        </w:r>
      </w:hyperlink>
      <w:r w:rsidRPr="008551C5" w:rsidR="00A13866">
        <w:rPr>
          <w:rFonts w:asciiTheme="minorHAnsi" w:hAnsiTheme="minorHAnsi" w:cstheme="minorHAnsi"/>
          <w:sz w:val="22"/>
          <w:szCs w:val="22"/>
        </w:rPr>
        <w:t xml:space="preserve"> DOI: 10.1111/1475-6773.13231.</w:t>
      </w:r>
    </w:p>
    <w:p w:rsidRPr="008551C5" w:rsidR="00A13866" w:rsidP="00A13866" w:rsidRDefault="00A13866" w14:paraId="377AFFC4" w14:textId="77777777">
      <w:pPr>
        <w:widowControl/>
        <w:ind w:left="720" w:hanging="720"/>
        <w:rPr>
          <w:rFonts w:asciiTheme="minorHAnsi" w:hAnsiTheme="minorHAnsi" w:cstheme="minorHAnsi"/>
          <w:sz w:val="22"/>
          <w:szCs w:val="22"/>
        </w:rPr>
      </w:pPr>
    </w:p>
    <w:p w:rsidRPr="008551C5" w:rsidR="00A13866" w:rsidP="00A13866" w:rsidRDefault="00A13866" w14:paraId="04B2E20A"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Agénor M, Muzney, CA, Schick, V., Austin, E.L., Potter, J. 2017. Sexual orientation and sexual health services utilization among women in the United States. </w:t>
      </w:r>
      <w:r w:rsidRPr="008551C5">
        <w:rPr>
          <w:rFonts w:asciiTheme="minorHAnsi" w:hAnsiTheme="minorHAnsi" w:cstheme="minorHAnsi"/>
          <w:sz w:val="22"/>
          <w:szCs w:val="22"/>
          <w:u w:val="single"/>
        </w:rPr>
        <w:t>Preventive Medicine</w:t>
      </w:r>
      <w:r w:rsidRPr="008551C5">
        <w:rPr>
          <w:rFonts w:asciiTheme="minorHAnsi" w:hAnsiTheme="minorHAnsi" w:cstheme="minorHAnsi"/>
          <w:sz w:val="22"/>
          <w:szCs w:val="22"/>
        </w:rPr>
        <w:t>. 95: 74-81.</w:t>
      </w:r>
    </w:p>
    <w:p w:rsidRPr="008551C5" w:rsidR="00A13866" w:rsidP="00A13866" w:rsidRDefault="00A13866" w14:paraId="5D965952" w14:textId="77777777">
      <w:pPr>
        <w:widowControl/>
        <w:ind w:left="720" w:hanging="720"/>
        <w:rPr>
          <w:rFonts w:asciiTheme="minorHAnsi" w:hAnsiTheme="minorHAnsi" w:cstheme="minorHAnsi"/>
          <w:sz w:val="22"/>
          <w:szCs w:val="22"/>
        </w:rPr>
      </w:pPr>
    </w:p>
    <w:p w:rsidRPr="008551C5" w:rsidR="00A13866" w:rsidP="00A13866" w:rsidRDefault="00A13866" w14:paraId="6BED87C3"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Aholou TM, McCree DH, Oraka E, Jeffries WL, Rose CE, DiNenno E, Sutton MY.   2017.  Sexual Risk and Protective Behaviors Among Reproductive-Aged Women in the United States. </w:t>
      </w:r>
      <w:r w:rsidRPr="008551C5">
        <w:rPr>
          <w:rFonts w:asciiTheme="minorHAnsi" w:hAnsiTheme="minorHAnsi" w:cstheme="minorHAnsi"/>
          <w:sz w:val="22"/>
          <w:szCs w:val="22"/>
          <w:u w:val="single"/>
        </w:rPr>
        <w:t>Journal of Women’s Health</w:t>
      </w:r>
      <w:r w:rsidRPr="008551C5">
        <w:rPr>
          <w:rFonts w:asciiTheme="minorHAnsi" w:hAnsiTheme="minorHAnsi" w:cstheme="minorHAnsi"/>
          <w:sz w:val="22"/>
          <w:szCs w:val="22"/>
        </w:rPr>
        <w:t>.  [Epub ahead of print].</w:t>
      </w:r>
    </w:p>
    <w:p w:rsidRPr="008551C5" w:rsidR="00A13866" w:rsidP="00A13866" w:rsidRDefault="00A13866" w14:paraId="127E300A" w14:textId="77777777">
      <w:pPr>
        <w:widowControl/>
        <w:ind w:left="720" w:hanging="720"/>
        <w:rPr>
          <w:rFonts w:asciiTheme="minorHAnsi" w:hAnsiTheme="minorHAnsi" w:cstheme="minorHAnsi"/>
          <w:sz w:val="22"/>
          <w:szCs w:val="22"/>
        </w:rPr>
      </w:pPr>
    </w:p>
    <w:p w:rsidRPr="008551C5" w:rsidR="00A13866" w:rsidP="00A13866" w:rsidRDefault="00A13866" w14:paraId="0E05AE34"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American College of Obstetrics &amp; Gynecology, 2013.  Addressing health risks of noncoital sexual activity. No. 582.  http://www.acog.org/-/media/Committee-Opinions/Committee-on-Adolescent-Health-Care/co582.pdf?dmc=1&amp;ts=20150122T1302073957.</w:t>
      </w:r>
    </w:p>
    <w:p w:rsidRPr="008551C5" w:rsidR="00A13866" w:rsidP="00A13866" w:rsidRDefault="00A13866" w14:paraId="0AF8A7B5" w14:textId="77777777">
      <w:pPr>
        <w:widowControl/>
        <w:ind w:left="720" w:hanging="720"/>
        <w:rPr>
          <w:rFonts w:asciiTheme="minorHAnsi" w:hAnsiTheme="minorHAnsi" w:cstheme="minorHAnsi"/>
          <w:sz w:val="22"/>
          <w:szCs w:val="22"/>
        </w:rPr>
      </w:pPr>
    </w:p>
    <w:p w:rsidRPr="008551C5" w:rsidR="00A13866" w:rsidP="00A13866" w:rsidRDefault="00A13866" w14:paraId="004681AE"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American College of Obstetrics and Gynecology.  2011.  Tobacco Use and Women’s Health. No. 503.  http://www.acog.org/Resources-And-Publications/Committee-Opinions/Committee-on-Health-Care-for-Underserved-Women/Tobacco-Use-and-Womens-Health</w:t>
      </w:r>
    </w:p>
    <w:p w:rsidRPr="008551C5" w:rsidR="00A13866" w:rsidP="00A13866" w:rsidRDefault="00A13866" w14:paraId="2BE9A928" w14:textId="77777777">
      <w:pPr>
        <w:widowControl/>
        <w:ind w:left="720" w:hanging="720"/>
        <w:rPr>
          <w:rFonts w:asciiTheme="minorHAnsi" w:hAnsiTheme="minorHAnsi" w:cstheme="minorHAnsi"/>
          <w:sz w:val="22"/>
          <w:szCs w:val="22"/>
        </w:rPr>
      </w:pPr>
    </w:p>
    <w:p w:rsidRPr="008551C5" w:rsidR="00A13866" w:rsidP="00A13866" w:rsidRDefault="00A13866" w14:paraId="3E0B3F2C"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Andersen BA, Ostergaard L, Puho E, MV Skriver &amp; HC Schonheyder. 2005.  Ectopic Pregnancies and Reproductive Capacity after Chlamydia Trachomatis Positive and Negative Test Results: A Historical Follow-Up Study.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32(6):377-381.</w:t>
      </w:r>
    </w:p>
    <w:p w:rsidRPr="008551C5" w:rsidR="00A13866" w:rsidP="00A13866" w:rsidRDefault="00A13866" w14:paraId="50834277" w14:textId="77777777">
      <w:pPr>
        <w:widowControl/>
        <w:ind w:left="720" w:hanging="720"/>
        <w:rPr>
          <w:rFonts w:asciiTheme="minorHAnsi" w:hAnsiTheme="minorHAnsi" w:cstheme="minorHAnsi"/>
          <w:sz w:val="22"/>
          <w:szCs w:val="22"/>
        </w:rPr>
      </w:pPr>
    </w:p>
    <w:p w:rsidRPr="008551C5" w:rsidR="00A13866" w:rsidP="00A13866" w:rsidRDefault="00A13866" w14:paraId="5699B40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Anderson JE, Brackbill R, Mosher W.  1996.  Condom Use for Disease Prevention among Unmarried U.S. Women.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28(1):25-28.</w:t>
      </w:r>
    </w:p>
    <w:p w:rsidRPr="008551C5" w:rsidR="00A13866" w:rsidP="00A13866" w:rsidRDefault="00A13866" w14:paraId="619B9654" w14:textId="77777777">
      <w:pPr>
        <w:widowControl/>
        <w:ind w:left="720" w:hanging="720"/>
        <w:rPr>
          <w:rFonts w:asciiTheme="minorHAnsi" w:hAnsiTheme="minorHAnsi" w:cstheme="minorHAnsi"/>
          <w:sz w:val="22"/>
          <w:szCs w:val="22"/>
        </w:rPr>
      </w:pPr>
    </w:p>
    <w:p w:rsidRPr="008551C5" w:rsidR="00A13866" w:rsidP="00A13866" w:rsidRDefault="00A13866" w14:paraId="28E2FA0C"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Anderson JE, Carey JW, Taveras S.  2000.  HIV Testing among the General US Population and Persons at Increased Risk: Information from National Surveys, 1987-1996.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90(7):1089-1095.</w:t>
      </w:r>
    </w:p>
    <w:p w:rsidRPr="008551C5" w:rsidR="00A13866" w:rsidP="00A13866" w:rsidRDefault="00A13866" w14:paraId="269F568F" w14:textId="77777777">
      <w:pPr>
        <w:widowControl/>
        <w:ind w:left="720" w:hanging="720"/>
        <w:rPr>
          <w:rFonts w:asciiTheme="minorHAnsi" w:hAnsiTheme="minorHAnsi" w:cstheme="minorHAnsi"/>
          <w:sz w:val="22"/>
          <w:szCs w:val="22"/>
        </w:rPr>
      </w:pPr>
    </w:p>
    <w:p w:rsidRPr="008551C5" w:rsidR="00A13866" w:rsidP="00A13866" w:rsidRDefault="00A13866" w14:paraId="49C86844" w14:textId="77777777">
      <w:pPr>
        <w:tabs>
          <w:tab w:val="left" w:pos="-1440"/>
          <w:tab w:val="num" w:pos="720"/>
        </w:tabs>
        <w:ind w:left="720" w:right="-360" w:hanging="720"/>
        <w:rPr>
          <w:rFonts w:asciiTheme="minorHAnsi" w:hAnsiTheme="minorHAnsi" w:cstheme="minorHAnsi"/>
          <w:sz w:val="22"/>
          <w:szCs w:val="22"/>
          <w:lang w:val="fr-FR"/>
        </w:rPr>
      </w:pPr>
      <w:r w:rsidRPr="008551C5">
        <w:rPr>
          <w:rFonts w:asciiTheme="minorHAnsi" w:hAnsiTheme="minorHAnsi" w:cstheme="minorHAnsi"/>
          <w:sz w:val="22"/>
          <w:szCs w:val="22"/>
          <w:lang w:val="fr-FR"/>
        </w:rPr>
        <w:t xml:space="preserve">Anderson JE, Chandra A, Mosher WD.  </w:t>
      </w:r>
      <w:r w:rsidRPr="008551C5">
        <w:rPr>
          <w:rFonts w:asciiTheme="minorHAnsi" w:hAnsiTheme="minorHAnsi" w:cstheme="minorHAnsi"/>
          <w:sz w:val="22"/>
          <w:szCs w:val="22"/>
        </w:rPr>
        <w:t xml:space="preserve">2005.  HIV Testing in the United States, 2002.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363.   Hyattsville, MD: National Center for Health Statistics.  </w:t>
      </w:r>
    </w:p>
    <w:p w:rsidRPr="008551C5" w:rsidR="00A13866" w:rsidP="00A13866" w:rsidRDefault="00A13866" w14:paraId="2854DB03" w14:textId="77777777">
      <w:pPr>
        <w:tabs>
          <w:tab w:val="left" w:pos="-1440"/>
          <w:tab w:val="num" w:pos="720"/>
        </w:tabs>
        <w:ind w:left="720" w:right="-360" w:hanging="720"/>
        <w:rPr>
          <w:rFonts w:asciiTheme="minorHAnsi" w:hAnsiTheme="minorHAnsi" w:cstheme="minorHAnsi"/>
          <w:bCs/>
          <w:sz w:val="22"/>
          <w:szCs w:val="22"/>
          <w:lang w:val="fr-FR"/>
        </w:rPr>
      </w:pPr>
    </w:p>
    <w:p w:rsidRPr="008551C5" w:rsidR="00A13866" w:rsidP="00A13866" w:rsidRDefault="00A13866" w14:paraId="5A62C18E"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lang w:val="fr-FR"/>
        </w:rPr>
        <w:t xml:space="preserve">Anderson JE, Mosher WD, Chandra A.  </w:t>
      </w:r>
      <w:r w:rsidRPr="008551C5">
        <w:rPr>
          <w:rFonts w:asciiTheme="minorHAnsi" w:hAnsiTheme="minorHAnsi" w:cstheme="minorHAnsi"/>
          <w:sz w:val="22"/>
          <w:szCs w:val="22"/>
        </w:rPr>
        <w:t xml:space="preserve">2006.  Measuring HIV Risk in the US Population aged 15-44: Results of the 2002 NSFG.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377. Hyattsville, MD: National Center for Health Statistics.</w:t>
      </w:r>
    </w:p>
    <w:p w:rsidRPr="008551C5" w:rsidR="00A13866" w:rsidP="00A13866" w:rsidRDefault="00A13866" w14:paraId="19A838A8" w14:textId="77777777">
      <w:pPr>
        <w:widowControl/>
        <w:ind w:left="720" w:hanging="720"/>
        <w:rPr>
          <w:rFonts w:asciiTheme="minorHAnsi" w:hAnsiTheme="minorHAnsi" w:cstheme="minorHAnsi"/>
          <w:sz w:val="22"/>
          <w:szCs w:val="22"/>
        </w:rPr>
      </w:pPr>
    </w:p>
    <w:p w:rsidRPr="008551C5" w:rsidR="00A13866" w:rsidP="00A13866" w:rsidRDefault="00A13866" w14:paraId="6592573A" w14:textId="77777777">
      <w:pPr>
        <w:tabs>
          <w:tab w:val="left" w:pos="-1440"/>
        </w:tabs>
        <w:ind w:left="720" w:right="-720" w:hanging="720"/>
        <w:rPr>
          <w:rFonts w:asciiTheme="minorHAnsi" w:hAnsiTheme="minorHAnsi" w:cstheme="minorHAnsi"/>
          <w:sz w:val="22"/>
          <w:szCs w:val="22"/>
        </w:rPr>
      </w:pPr>
      <w:r w:rsidRPr="008551C5">
        <w:rPr>
          <w:rFonts w:asciiTheme="minorHAnsi" w:hAnsiTheme="minorHAnsi" w:cstheme="minorHAnsi"/>
          <w:sz w:val="22"/>
          <w:szCs w:val="22"/>
        </w:rPr>
        <w:t xml:space="preserve">Anderson JE, Sansom S.  2006.  HIV Testing Among U.S. Women During Prenatal Care: Findings from the 2002 National Survey of Family Growth.  </w:t>
      </w:r>
      <w:r w:rsidRPr="008551C5">
        <w:rPr>
          <w:rFonts w:asciiTheme="minorHAnsi" w:hAnsiTheme="minorHAnsi" w:cstheme="minorHAnsi"/>
          <w:sz w:val="22"/>
          <w:szCs w:val="22"/>
          <w:u w:val="single"/>
        </w:rPr>
        <w:t>Maternal and Child Health Journal</w:t>
      </w:r>
      <w:r w:rsidRPr="008551C5">
        <w:rPr>
          <w:rFonts w:asciiTheme="minorHAnsi" w:hAnsiTheme="minorHAnsi" w:cstheme="minorHAnsi"/>
          <w:sz w:val="22"/>
          <w:szCs w:val="22"/>
        </w:rPr>
        <w:t xml:space="preserve"> 10(5):413-417.  </w:t>
      </w:r>
    </w:p>
    <w:p w:rsidRPr="008551C5" w:rsidR="00A13866" w:rsidP="00A13866" w:rsidRDefault="00A13866" w14:paraId="3A292FE0" w14:textId="77777777">
      <w:pPr>
        <w:widowControl/>
        <w:ind w:left="720" w:hanging="720"/>
        <w:rPr>
          <w:rFonts w:asciiTheme="minorHAnsi" w:hAnsiTheme="minorHAnsi" w:cstheme="minorHAnsi"/>
          <w:sz w:val="22"/>
          <w:szCs w:val="22"/>
        </w:rPr>
      </w:pPr>
    </w:p>
    <w:p w:rsidRPr="008551C5" w:rsidR="00A13866" w:rsidP="00A13866" w:rsidRDefault="00A13866" w14:paraId="591E7C1D"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Aral SO, Leichliter JS. 2010. Non-monogamy: risk factor for STI transmission and acquisition and determinant of STI spread in populations. </w:t>
      </w:r>
      <w:r w:rsidRPr="008551C5">
        <w:rPr>
          <w:rFonts w:asciiTheme="minorHAnsi" w:hAnsiTheme="minorHAnsi" w:cstheme="minorHAnsi"/>
          <w:sz w:val="22"/>
          <w:szCs w:val="22"/>
          <w:u w:val="single"/>
        </w:rPr>
        <w:t>Sexually Transmitted Infections</w:t>
      </w:r>
      <w:r w:rsidRPr="008551C5">
        <w:rPr>
          <w:rFonts w:asciiTheme="minorHAnsi" w:hAnsiTheme="minorHAnsi" w:cstheme="minorHAnsi"/>
          <w:sz w:val="22"/>
          <w:szCs w:val="22"/>
        </w:rPr>
        <w:t xml:space="preserve">  86(3):29-36. </w:t>
      </w:r>
    </w:p>
    <w:p w:rsidRPr="008551C5" w:rsidR="00A13866" w:rsidP="00A13866" w:rsidRDefault="00A13866" w14:paraId="018C5947" w14:textId="77777777">
      <w:pPr>
        <w:pStyle w:val="NoSpacing"/>
        <w:ind w:left="720" w:hanging="720"/>
        <w:rPr>
          <w:rFonts w:asciiTheme="minorHAnsi" w:hAnsiTheme="minorHAnsi" w:cstheme="minorHAnsi"/>
          <w:sz w:val="22"/>
          <w:szCs w:val="22"/>
        </w:rPr>
      </w:pPr>
    </w:p>
    <w:p w:rsidRPr="008551C5" w:rsidR="00A13866" w:rsidP="00A13866" w:rsidRDefault="00A13866" w14:paraId="0049AC20"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Aral S, Mosher W, Cates W Jr.  1991.  Self-reported Pelvic Inflammatory Disease in the United States, 1988.  </w:t>
      </w:r>
      <w:r w:rsidRPr="008551C5">
        <w:rPr>
          <w:rFonts w:asciiTheme="minorHAnsi" w:hAnsiTheme="minorHAnsi" w:cstheme="minorHAnsi"/>
          <w:sz w:val="22"/>
          <w:szCs w:val="22"/>
          <w:u w:val="single"/>
        </w:rPr>
        <w:t>Journal of the American Medical Association</w:t>
      </w:r>
      <w:r w:rsidRPr="008551C5">
        <w:rPr>
          <w:rFonts w:asciiTheme="minorHAnsi" w:hAnsiTheme="minorHAnsi" w:cstheme="minorHAnsi"/>
          <w:sz w:val="22"/>
          <w:szCs w:val="22"/>
        </w:rPr>
        <w:t xml:space="preserve"> 266(18):2570-2573. </w:t>
      </w:r>
    </w:p>
    <w:p w:rsidRPr="008551C5" w:rsidR="00A13866" w:rsidP="00A13866" w:rsidRDefault="00A13866" w14:paraId="255CE500" w14:textId="77777777">
      <w:pPr>
        <w:tabs>
          <w:tab w:val="left" w:pos="700"/>
        </w:tabs>
        <w:kinsoku w:val="0"/>
        <w:overflowPunct w:val="0"/>
        <w:spacing w:before="120"/>
        <w:ind w:left="720" w:right="525" w:hanging="720"/>
        <w:rPr>
          <w:rFonts w:asciiTheme="minorHAnsi" w:hAnsiTheme="minorHAnsi" w:cstheme="minorHAnsi"/>
          <w:sz w:val="22"/>
          <w:szCs w:val="22"/>
        </w:rPr>
      </w:pPr>
      <w:r w:rsidRPr="008551C5">
        <w:rPr>
          <w:rFonts w:asciiTheme="minorHAnsi" w:hAnsiTheme="minorHAnsi" w:cstheme="minorHAnsi"/>
          <w:sz w:val="22"/>
          <w:szCs w:val="22"/>
        </w:rPr>
        <w:t>Axinn WG, Bardos ME, West BT. 2018.  General population estimates of the association between college experience and the odds of forced intercourse. Social Science Research 70:131–43.  DOI:10.1016/j.ssresearch.2017.10.006.</w:t>
      </w:r>
    </w:p>
    <w:p w:rsidRPr="008551C5" w:rsidR="00A13866" w:rsidP="00A13866" w:rsidRDefault="00A13866" w14:paraId="77C9F7C4" w14:textId="77777777">
      <w:pPr>
        <w:pStyle w:val="NoSpacing"/>
        <w:ind w:left="720" w:hanging="720"/>
        <w:rPr>
          <w:rFonts w:asciiTheme="minorHAnsi" w:hAnsiTheme="minorHAnsi" w:cstheme="minorHAnsi"/>
          <w:sz w:val="22"/>
          <w:szCs w:val="22"/>
        </w:rPr>
      </w:pPr>
    </w:p>
    <w:p w:rsidRPr="008551C5" w:rsidR="00A13866" w:rsidP="00A13866" w:rsidRDefault="00A13866" w14:paraId="1A330893"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Badgett LMV, Durso LE, Schneebaum A. 2013. New Patterns of Poverty in the Lesbian, Gay, and Bisexual Community. The Williams Institute.</w:t>
      </w:r>
    </w:p>
    <w:p w:rsidRPr="008551C5" w:rsidR="00A13866" w:rsidP="00A13866" w:rsidRDefault="00A13866" w14:paraId="32DCB84F" w14:textId="77777777">
      <w:pPr>
        <w:pStyle w:val="Default"/>
        <w:ind w:left="720" w:hanging="720"/>
        <w:rPr>
          <w:rFonts w:asciiTheme="minorHAnsi" w:hAnsiTheme="minorHAnsi" w:cstheme="minorHAnsi"/>
          <w:color w:val="auto"/>
          <w:sz w:val="22"/>
          <w:szCs w:val="22"/>
        </w:rPr>
      </w:pPr>
    </w:p>
    <w:p w:rsidRPr="008551C5" w:rsidR="00A13866" w:rsidP="00A13866" w:rsidRDefault="00A13866" w14:paraId="58977E6C" w14:textId="77777777">
      <w:pPr>
        <w:pStyle w:val="Default"/>
        <w:ind w:left="720" w:hanging="720"/>
        <w:rPr>
          <w:rFonts w:asciiTheme="minorHAnsi" w:hAnsiTheme="minorHAnsi" w:cstheme="minorHAnsi"/>
          <w:color w:val="auto"/>
          <w:sz w:val="22"/>
          <w:szCs w:val="22"/>
          <w:lang w:val="fr-FR"/>
        </w:rPr>
      </w:pPr>
      <w:r w:rsidRPr="008551C5">
        <w:rPr>
          <w:rFonts w:asciiTheme="minorHAnsi" w:hAnsiTheme="minorHAnsi" w:cstheme="minorHAnsi"/>
          <w:color w:val="auto"/>
          <w:sz w:val="22"/>
          <w:szCs w:val="22"/>
        </w:rPr>
        <w:t>Baggaley RF, White RG, Boily MC. 2008.  Systematic review of orogenital HIV-1 transmission probabilities. I</w:t>
      </w:r>
      <w:r w:rsidRPr="008551C5">
        <w:rPr>
          <w:rFonts w:asciiTheme="minorHAnsi" w:hAnsiTheme="minorHAnsi" w:cstheme="minorHAnsi"/>
          <w:color w:val="auto"/>
          <w:sz w:val="22"/>
          <w:szCs w:val="22"/>
          <w:u w:val="single"/>
        </w:rPr>
        <w:t>nternational Journal of Epidemiology</w:t>
      </w:r>
      <w:r w:rsidRPr="008551C5">
        <w:rPr>
          <w:rFonts w:asciiTheme="minorHAnsi" w:hAnsiTheme="minorHAnsi" w:cstheme="minorHAnsi"/>
          <w:color w:val="auto"/>
          <w:sz w:val="22"/>
          <w:szCs w:val="22"/>
        </w:rPr>
        <w:t>. 37(6):1255–65.</w:t>
      </w:r>
    </w:p>
    <w:p w:rsidRPr="008551C5" w:rsidR="00A13866" w:rsidP="00A13866" w:rsidRDefault="00A13866" w14:paraId="46D9D943" w14:textId="77777777">
      <w:pPr>
        <w:widowControl/>
        <w:ind w:left="720" w:hanging="720"/>
        <w:rPr>
          <w:rFonts w:asciiTheme="minorHAnsi" w:hAnsiTheme="minorHAnsi" w:cstheme="minorHAnsi"/>
          <w:sz w:val="22"/>
          <w:szCs w:val="22"/>
        </w:rPr>
      </w:pPr>
    </w:p>
    <w:p w:rsidRPr="008551C5" w:rsidR="00A13866" w:rsidP="00A13866" w:rsidRDefault="00A13866" w14:paraId="2E70CBFD"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Baggaley RF, Dimitrov D, Owen BN, Pickles M, Butler AR, Masse B, Boily M-C. 2013.  Heterosexual anal intercourse: a neglected risk factor for HIV? </w:t>
      </w:r>
      <w:r w:rsidRPr="008551C5">
        <w:rPr>
          <w:rFonts w:asciiTheme="minorHAnsi" w:hAnsiTheme="minorHAnsi" w:cstheme="minorHAnsi"/>
          <w:sz w:val="22"/>
          <w:szCs w:val="22"/>
          <w:u w:val="single"/>
        </w:rPr>
        <w:t>American Journal of Reproductive Immunology</w:t>
      </w:r>
      <w:r w:rsidRPr="008551C5">
        <w:rPr>
          <w:rFonts w:asciiTheme="minorHAnsi" w:hAnsiTheme="minorHAnsi" w:cstheme="minorHAnsi"/>
          <w:sz w:val="22"/>
          <w:szCs w:val="22"/>
        </w:rPr>
        <w:t xml:space="preserve"> 69 (Suppl. 1): 95–105.</w:t>
      </w:r>
    </w:p>
    <w:p w:rsidRPr="008551C5" w:rsidR="00A13866" w:rsidP="00A13866" w:rsidRDefault="00A13866" w14:paraId="384E6AEC" w14:textId="77777777">
      <w:pPr>
        <w:widowControl/>
        <w:ind w:left="720" w:hanging="720"/>
        <w:rPr>
          <w:rFonts w:asciiTheme="minorHAnsi" w:hAnsiTheme="minorHAnsi" w:cstheme="minorHAnsi"/>
          <w:sz w:val="22"/>
          <w:szCs w:val="22"/>
          <w:lang w:val="fr-FR"/>
        </w:rPr>
      </w:pPr>
    </w:p>
    <w:p w:rsidRPr="008551C5" w:rsidR="00A13866" w:rsidP="00A13866" w:rsidRDefault="00A13866" w14:paraId="3368BA8C" w14:textId="77777777">
      <w:pPr>
        <w:pStyle w:val="NormalWeb"/>
        <w:tabs>
          <w:tab w:val="left" w:pos="540"/>
        </w:tabs>
        <w:spacing w:before="0" w:beforeAutospacing="0" w:after="0" w:afterAutospacing="0" w:line="211" w:lineRule="atLeast"/>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Bauer GR, Jairam JA. 2008. Are lesbians really women who have sex with women (WSW)? Methodological concerns in measuring sexual orientation in health research. </w:t>
      </w:r>
      <w:r w:rsidRPr="008551C5">
        <w:rPr>
          <w:rFonts w:asciiTheme="minorHAnsi" w:hAnsiTheme="minorHAnsi" w:cstheme="minorHAnsi"/>
          <w:sz w:val="22"/>
          <w:szCs w:val="22"/>
          <w:u w:val="single"/>
        </w:rPr>
        <w:t>Women and Health</w:t>
      </w:r>
      <w:r w:rsidRPr="008551C5">
        <w:rPr>
          <w:rFonts w:asciiTheme="minorHAnsi" w:hAnsiTheme="minorHAnsi" w:cstheme="minorHAnsi"/>
          <w:sz w:val="22"/>
          <w:szCs w:val="22"/>
        </w:rPr>
        <w:t xml:space="preserve"> 48(4):383-408. </w:t>
      </w:r>
    </w:p>
    <w:p w:rsidRPr="008551C5" w:rsidR="00A13866" w:rsidP="00A13866" w:rsidRDefault="00A13866" w14:paraId="53C96C64" w14:textId="77777777">
      <w:pPr>
        <w:pStyle w:val="NormalWeb"/>
        <w:tabs>
          <w:tab w:val="left" w:pos="540"/>
        </w:tabs>
        <w:spacing w:before="0" w:beforeAutospacing="0" w:after="0" w:afterAutospacing="0" w:line="211" w:lineRule="atLeast"/>
        <w:ind w:left="720" w:hanging="720"/>
        <w:rPr>
          <w:rFonts w:asciiTheme="minorHAnsi" w:hAnsiTheme="minorHAnsi" w:cstheme="minorHAnsi"/>
          <w:sz w:val="22"/>
          <w:szCs w:val="22"/>
        </w:rPr>
      </w:pPr>
    </w:p>
    <w:p w:rsidRPr="008551C5" w:rsidR="00A13866" w:rsidP="00A13866" w:rsidRDefault="00A13866" w14:paraId="715028DE" w14:textId="77777777">
      <w:pPr>
        <w:pStyle w:val="NormalWeb"/>
        <w:tabs>
          <w:tab w:val="left" w:pos="540"/>
        </w:tabs>
        <w:spacing w:before="0" w:beforeAutospacing="0" w:after="0" w:afterAutospacing="0" w:line="211" w:lineRule="atLeast"/>
        <w:ind w:left="720" w:hanging="7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Bauer GR, Jairam JA, Baidoobonso SM. 2010. Sexual Health, Risk Behaviors, and Substance Use in Heterosexual-Identified Women with Female Sex Partners: 2002 US National Survey of Family Growth. </w:t>
      </w:r>
      <w:r w:rsidRPr="008551C5">
        <w:rPr>
          <w:rFonts w:asciiTheme="minorHAnsi" w:hAnsiTheme="minorHAnsi" w:cstheme="minorHAnsi"/>
          <w:color w:val="auto"/>
          <w:sz w:val="22"/>
          <w:szCs w:val="22"/>
          <w:u w:val="single"/>
        </w:rPr>
        <w:t>Sexually Transmitted Diseases Journal</w:t>
      </w:r>
      <w:r w:rsidRPr="008551C5">
        <w:rPr>
          <w:rFonts w:asciiTheme="minorHAnsi" w:hAnsiTheme="minorHAnsi" w:cstheme="minorHAnsi"/>
          <w:color w:val="auto"/>
          <w:sz w:val="22"/>
          <w:szCs w:val="22"/>
        </w:rPr>
        <w:t xml:space="preserve"> 37(9):531-537. </w:t>
      </w:r>
    </w:p>
    <w:p w:rsidRPr="008551C5" w:rsidR="00A13866" w:rsidP="00A13866" w:rsidRDefault="00A13866" w14:paraId="2B3CC61C" w14:textId="77777777">
      <w:pPr>
        <w:pStyle w:val="NormalWeb"/>
        <w:tabs>
          <w:tab w:val="left" w:pos="540"/>
        </w:tabs>
        <w:spacing w:before="0" w:beforeAutospacing="0" w:after="0" w:afterAutospacing="0" w:line="211" w:lineRule="atLeast"/>
        <w:ind w:left="720" w:hanging="720"/>
        <w:rPr>
          <w:rFonts w:asciiTheme="minorHAnsi" w:hAnsiTheme="minorHAnsi" w:cstheme="minorHAnsi"/>
          <w:color w:val="auto"/>
          <w:sz w:val="22"/>
          <w:szCs w:val="22"/>
        </w:rPr>
      </w:pPr>
    </w:p>
    <w:p w:rsidRPr="008551C5" w:rsidR="00A13866" w:rsidP="00A13866" w:rsidRDefault="00A13866" w14:paraId="5588E495" w14:textId="77777777">
      <w:pPr>
        <w:pStyle w:val="NormalWeb"/>
        <w:tabs>
          <w:tab w:val="left" w:pos="540"/>
        </w:tabs>
        <w:spacing w:before="0" w:beforeAutospacing="0" w:after="0" w:afterAutospacing="0" w:line="211" w:lineRule="atLeast"/>
        <w:ind w:left="720" w:hanging="7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Benson LS, Martins SL, Whitaker AK.  2015. Correlates of Heterosexual Anal Intercourse among Women in the 2006-2010 National Survey of Family Growth.  </w:t>
      </w:r>
      <w:r w:rsidRPr="008551C5">
        <w:rPr>
          <w:rFonts w:asciiTheme="minorHAnsi" w:hAnsiTheme="minorHAnsi" w:cstheme="minorHAnsi"/>
          <w:color w:val="auto"/>
          <w:sz w:val="22"/>
          <w:szCs w:val="22"/>
          <w:u w:val="single"/>
        </w:rPr>
        <w:t>Journal of Sexual Medicine.</w:t>
      </w:r>
      <w:r w:rsidRPr="008551C5">
        <w:rPr>
          <w:rFonts w:asciiTheme="minorHAnsi" w:hAnsiTheme="minorHAnsi" w:cstheme="minorHAnsi"/>
          <w:color w:val="auto"/>
          <w:sz w:val="22"/>
          <w:szCs w:val="22"/>
        </w:rPr>
        <w:t xml:space="preserve">  12(8) 1746-52.</w:t>
      </w:r>
    </w:p>
    <w:p w:rsidRPr="008551C5" w:rsidR="00A13866" w:rsidP="00A13866" w:rsidRDefault="00A13866" w14:paraId="7FB5FBBF" w14:textId="77777777">
      <w:pPr>
        <w:widowControl/>
        <w:ind w:left="720" w:hanging="720"/>
        <w:rPr>
          <w:rFonts w:asciiTheme="minorHAnsi" w:hAnsiTheme="minorHAnsi" w:cstheme="minorHAnsi"/>
          <w:sz w:val="22"/>
          <w:szCs w:val="22"/>
          <w:lang w:val="fr-FR"/>
        </w:rPr>
      </w:pPr>
    </w:p>
    <w:p w:rsidRPr="008551C5" w:rsidR="00A13866" w:rsidP="00A13866" w:rsidRDefault="00A13866" w14:paraId="0387C381"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lang w:val="fr-FR"/>
        </w:rPr>
        <w:t xml:space="preserve">Boehmer U, Bowen DJ, Bauer GR. 2007.  </w:t>
      </w:r>
      <w:r w:rsidRPr="008551C5">
        <w:rPr>
          <w:rFonts w:asciiTheme="minorHAnsi" w:hAnsiTheme="minorHAnsi" w:cstheme="minorHAnsi"/>
          <w:sz w:val="22"/>
          <w:szCs w:val="22"/>
        </w:rPr>
        <w:t xml:space="preserve">Overweight and Obesity in Sexual-Minority Women:  Evidence from Population-Based Data.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97(6): 1-7.</w:t>
      </w:r>
    </w:p>
    <w:p w:rsidRPr="008551C5" w:rsidR="00A13866" w:rsidP="00A13866" w:rsidRDefault="00A13866" w14:paraId="0A63DBBF" w14:textId="77777777">
      <w:pPr>
        <w:widowControl/>
        <w:ind w:left="720" w:hanging="720"/>
        <w:rPr>
          <w:rFonts w:asciiTheme="minorHAnsi" w:hAnsiTheme="minorHAnsi" w:cstheme="minorHAnsi"/>
          <w:b/>
          <w:bCs/>
          <w:sz w:val="22"/>
          <w:szCs w:val="22"/>
        </w:rPr>
      </w:pPr>
    </w:p>
    <w:p w:rsidRPr="008551C5" w:rsidR="00A13866" w:rsidP="00A13866" w:rsidRDefault="00A13866" w14:paraId="33F1E47C"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Boyer D, Fine D.  1992.  Sexual Abuse as a Factor in Adolescent Pregnancy and Child Maltreatment.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24:4</w:t>
      </w:r>
      <w:r w:rsidRPr="008551C5">
        <w:rPr>
          <w:rFonts w:asciiTheme="minorHAnsi" w:hAnsiTheme="minorHAnsi" w:cstheme="minorHAnsi"/>
          <w:sz w:val="22"/>
          <w:szCs w:val="22"/>
        </w:rPr>
        <w:noBreakHyphen/>
        <w:t>11, 19.</w:t>
      </w:r>
    </w:p>
    <w:p w:rsidRPr="008551C5" w:rsidR="00A13866" w:rsidP="00A13866" w:rsidRDefault="00A13866" w14:paraId="61D7486E" w14:textId="77777777">
      <w:pPr>
        <w:widowControl/>
        <w:ind w:left="720" w:hanging="720"/>
        <w:rPr>
          <w:rFonts w:asciiTheme="minorHAnsi" w:hAnsiTheme="minorHAnsi" w:cstheme="minorHAnsi"/>
          <w:sz w:val="22"/>
          <w:szCs w:val="22"/>
        </w:rPr>
      </w:pPr>
    </w:p>
    <w:p w:rsidRPr="008551C5" w:rsidR="00A13866" w:rsidP="00A13866" w:rsidRDefault="00A13866" w14:paraId="1B028692" w14:textId="77777777">
      <w:pPr>
        <w:widowControl/>
        <w:ind w:left="720" w:hanging="720"/>
        <w:rPr>
          <w:rFonts w:asciiTheme="minorHAnsi" w:hAnsiTheme="minorHAnsi" w:cstheme="minorHAnsi"/>
          <w:sz w:val="22"/>
          <w:szCs w:val="22"/>
        </w:rPr>
      </w:pPr>
      <w:r w:rsidRPr="008551C5">
        <w:rPr>
          <w:rFonts w:asciiTheme="minorHAnsi" w:hAnsiTheme="minorHAnsi" w:cstheme="minorHAnsi"/>
          <w:color w:val="000000"/>
          <w:sz w:val="22"/>
          <w:szCs w:val="22"/>
        </w:rPr>
        <w:t xml:space="preserve">Bramlett MD, Mosher WD. 2002. Cohabitation, Marriage, Divorce, and Remarriage in the United States. </w:t>
      </w:r>
      <w:r w:rsidRPr="008551C5">
        <w:rPr>
          <w:rFonts w:asciiTheme="minorHAnsi" w:hAnsiTheme="minorHAnsi" w:cstheme="minorHAnsi"/>
          <w:color w:val="000000"/>
          <w:sz w:val="22"/>
          <w:szCs w:val="22"/>
          <w:u w:val="single"/>
        </w:rPr>
        <w:t>Vital and Health Statistics</w:t>
      </w:r>
      <w:r w:rsidRPr="008551C5">
        <w:rPr>
          <w:rFonts w:asciiTheme="minorHAnsi" w:hAnsiTheme="minorHAnsi" w:cstheme="minorHAnsi"/>
          <w:color w:val="000000"/>
          <w:sz w:val="22"/>
          <w:szCs w:val="22"/>
        </w:rPr>
        <w:t xml:space="preserve"> 23(22). Hyattsville, MD: National Center for Health Statistics. </w:t>
      </w:r>
    </w:p>
    <w:p w:rsidRPr="008551C5" w:rsidR="00A13866" w:rsidP="00A13866" w:rsidRDefault="00A13866" w14:paraId="4AF14403" w14:textId="77777777">
      <w:pPr>
        <w:widowControl/>
        <w:ind w:left="720" w:hanging="720"/>
        <w:rPr>
          <w:rFonts w:asciiTheme="minorHAnsi" w:hAnsiTheme="minorHAnsi" w:cstheme="minorHAnsi"/>
          <w:sz w:val="22"/>
          <w:szCs w:val="22"/>
        </w:rPr>
      </w:pPr>
    </w:p>
    <w:p w:rsidRPr="008551C5" w:rsidR="00A13866" w:rsidP="00A13866" w:rsidRDefault="00A13866" w14:paraId="24CB110A"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Bankole A, Darroch JE, Singh S. 1999. Determinants of Trends in Condom Use in the United States, 1988-1995.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31(6):264-271. </w:t>
      </w:r>
    </w:p>
    <w:p w:rsidRPr="008551C5" w:rsidR="00A13866" w:rsidP="00A13866" w:rsidRDefault="00A13866" w14:paraId="1D598055" w14:textId="77777777">
      <w:pPr>
        <w:widowControl/>
        <w:ind w:left="720" w:hanging="720"/>
        <w:rPr>
          <w:rFonts w:asciiTheme="minorHAnsi" w:hAnsiTheme="minorHAnsi" w:cstheme="minorHAnsi"/>
          <w:sz w:val="22"/>
          <w:szCs w:val="22"/>
        </w:rPr>
      </w:pPr>
    </w:p>
    <w:p w:rsidRPr="008551C5" w:rsidR="00A13866" w:rsidP="00A13866" w:rsidRDefault="00A13866" w14:paraId="0D9CEC3D"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Brewer TH, Zhao W, Metsch LR, Coltes A, Zenilman J.  2007.   High-risk behaviors in women who use crack: Knowledge of HIV serostatus and risk behavior. </w:t>
      </w:r>
      <w:r w:rsidRPr="008551C5">
        <w:rPr>
          <w:rFonts w:asciiTheme="minorHAnsi" w:hAnsiTheme="minorHAnsi" w:cstheme="minorHAnsi"/>
          <w:sz w:val="22"/>
          <w:szCs w:val="22"/>
          <w:u w:val="single"/>
        </w:rPr>
        <w:t>Annals of Epidemiology</w:t>
      </w:r>
      <w:r w:rsidRPr="008551C5">
        <w:rPr>
          <w:rFonts w:asciiTheme="minorHAnsi" w:hAnsiTheme="minorHAnsi" w:cstheme="minorHAnsi"/>
          <w:sz w:val="22"/>
          <w:szCs w:val="22"/>
        </w:rPr>
        <w:t>. 17: 533</w:t>
      </w:r>
      <w:r w:rsidRPr="008551C5">
        <w:rPr>
          <w:rFonts w:eastAsia="AdvTT6120e2aa+22" w:asciiTheme="minorHAnsi" w:hAnsiTheme="minorHAnsi" w:cstheme="minorHAnsi"/>
          <w:sz w:val="22"/>
          <w:szCs w:val="22"/>
        </w:rPr>
        <w:t>−</w:t>
      </w:r>
      <w:r w:rsidRPr="008551C5">
        <w:rPr>
          <w:rFonts w:asciiTheme="minorHAnsi" w:hAnsiTheme="minorHAnsi" w:cstheme="minorHAnsi"/>
          <w:sz w:val="22"/>
          <w:szCs w:val="22"/>
        </w:rPr>
        <w:t xml:space="preserve">539.  </w:t>
      </w:r>
    </w:p>
    <w:p w:rsidRPr="008551C5" w:rsidR="00A13866" w:rsidP="00A13866" w:rsidRDefault="00A13866" w14:paraId="581F8BD8" w14:textId="77777777">
      <w:pPr>
        <w:widowControl/>
        <w:ind w:left="720" w:hanging="720"/>
        <w:rPr>
          <w:rFonts w:asciiTheme="minorHAnsi" w:hAnsiTheme="minorHAnsi" w:cstheme="minorHAnsi"/>
          <w:sz w:val="22"/>
          <w:szCs w:val="22"/>
        </w:rPr>
      </w:pPr>
    </w:p>
    <w:p w:rsidRPr="008551C5" w:rsidR="00A13866" w:rsidP="00A13866" w:rsidRDefault="00A13866" w14:paraId="4D44B356"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Brewster KL, Tillman KH.  2008.  Who’s Doing It?  Patterns and Predictors of Youths’ Oral Sexual Experiences.  </w:t>
      </w:r>
      <w:r w:rsidRPr="008551C5">
        <w:rPr>
          <w:rFonts w:asciiTheme="minorHAnsi" w:hAnsiTheme="minorHAnsi" w:cstheme="minorHAnsi"/>
          <w:sz w:val="22"/>
          <w:szCs w:val="22"/>
          <w:u w:val="single"/>
        </w:rPr>
        <w:t xml:space="preserve">Journal of Adolescent Health </w:t>
      </w:r>
      <w:r w:rsidRPr="008551C5">
        <w:rPr>
          <w:rFonts w:asciiTheme="minorHAnsi" w:hAnsiTheme="minorHAnsi" w:cstheme="minorHAnsi"/>
          <w:sz w:val="22"/>
          <w:szCs w:val="22"/>
        </w:rPr>
        <w:t xml:space="preserve">42(1): 73-80. </w:t>
      </w:r>
    </w:p>
    <w:p w:rsidRPr="008551C5" w:rsidR="00A13866" w:rsidP="00A13866" w:rsidRDefault="00A13866" w14:paraId="5FA0CA39" w14:textId="77777777">
      <w:pPr>
        <w:tabs>
          <w:tab w:val="left" w:pos="-1440"/>
        </w:tabs>
        <w:ind w:left="720" w:hanging="720"/>
        <w:rPr>
          <w:rFonts w:asciiTheme="minorHAnsi" w:hAnsiTheme="minorHAnsi" w:cstheme="minorHAnsi"/>
          <w:sz w:val="22"/>
          <w:szCs w:val="22"/>
        </w:rPr>
      </w:pPr>
    </w:p>
    <w:p w:rsidRPr="008551C5" w:rsidR="00A13866" w:rsidP="00A13866" w:rsidRDefault="00883A8E" w14:paraId="367AE0B2" w14:textId="77777777">
      <w:pPr>
        <w:ind w:left="720" w:hanging="720"/>
        <w:rPr>
          <w:rFonts w:asciiTheme="minorHAnsi" w:hAnsiTheme="minorHAnsi" w:cstheme="minorHAnsi"/>
          <w:sz w:val="22"/>
          <w:szCs w:val="22"/>
        </w:rPr>
      </w:pPr>
      <w:hyperlink w:history="1" w:anchor="!" r:id="rId29">
        <w:r w:rsidRPr="008551C5" w:rsidR="00A13866">
          <w:rPr>
            <w:rFonts w:asciiTheme="minorHAnsi" w:hAnsiTheme="minorHAnsi" w:cstheme="minorHAnsi"/>
            <w:sz w:val="22"/>
            <w:szCs w:val="22"/>
          </w:rPr>
          <w:t>Brookmeyer</w:t>
        </w:r>
      </w:hyperlink>
      <w:r w:rsidRPr="008551C5" w:rsidR="00A13866">
        <w:rPr>
          <w:rFonts w:asciiTheme="minorHAnsi" w:hAnsiTheme="minorHAnsi" w:cstheme="minorHAnsi"/>
          <w:sz w:val="22"/>
          <w:szCs w:val="22"/>
        </w:rPr>
        <w:t xml:space="preserve"> KA, </w:t>
      </w:r>
      <w:hyperlink w:history="1" w:anchor="!" r:id="rId30">
        <w:r w:rsidRPr="008551C5" w:rsidR="00A13866">
          <w:rPr>
            <w:rFonts w:asciiTheme="minorHAnsi" w:hAnsiTheme="minorHAnsi" w:cstheme="minorHAnsi"/>
            <w:sz w:val="22"/>
            <w:szCs w:val="22"/>
          </w:rPr>
          <w:t>Haderxhanaj</w:t>
        </w:r>
      </w:hyperlink>
      <w:r w:rsidRPr="008551C5" w:rsidR="00A13866">
        <w:rPr>
          <w:rFonts w:asciiTheme="minorHAnsi" w:hAnsiTheme="minorHAnsi" w:cstheme="minorHAnsi"/>
          <w:sz w:val="22"/>
          <w:szCs w:val="22"/>
        </w:rPr>
        <w:t xml:space="preserve"> LT, </w:t>
      </w:r>
      <w:hyperlink w:history="1" w:anchor="!" r:id="rId31">
        <w:r w:rsidRPr="008551C5" w:rsidR="00A13866">
          <w:rPr>
            <w:rFonts w:asciiTheme="minorHAnsi" w:hAnsiTheme="minorHAnsi" w:cstheme="minorHAnsi"/>
            <w:sz w:val="22"/>
            <w:szCs w:val="22"/>
          </w:rPr>
          <w:t xml:space="preserve"> Hogben</w:t>
        </w:r>
      </w:hyperlink>
      <w:r w:rsidRPr="008551C5" w:rsidR="00A13866">
        <w:rPr>
          <w:rFonts w:asciiTheme="minorHAnsi" w:hAnsiTheme="minorHAnsi" w:cstheme="minorHAnsi"/>
          <w:sz w:val="22"/>
          <w:szCs w:val="22"/>
        </w:rPr>
        <w:t xml:space="preserve"> M, </w:t>
      </w:r>
      <w:hyperlink w:history="1" w:anchor="!" r:id="rId32">
        <w:r w:rsidRPr="008551C5" w:rsidR="00A13866">
          <w:rPr>
            <w:rFonts w:asciiTheme="minorHAnsi" w:hAnsiTheme="minorHAnsi" w:cstheme="minorHAnsi"/>
            <w:sz w:val="22"/>
            <w:szCs w:val="22"/>
          </w:rPr>
          <w:t>Leichliter</w:t>
        </w:r>
      </w:hyperlink>
      <w:r w:rsidRPr="008551C5" w:rsidR="00A13866">
        <w:rPr>
          <w:rFonts w:asciiTheme="minorHAnsi" w:hAnsiTheme="minorHAnsi" w:cstheme="minorHAnsi"/>
          <w:sz w:val="22"/>
          <w:szCs w:val="22"/>
        </w:rPr>
        <w:t xml:space="preserve"> J. 2019.  </w:t>
      </w:r>
      <w:r w:rsidRPr="008551C5" w:rsidR="00A13866">
        <w:rPr>
          <w:rStyle w:val="title-text"/>
          <w:rFonts w:asciiTheme="minorHAnsi" w:hAnsiTheme="minorHAnsi" w:cstheme="minorHAnsi"/>
          <w:sz w:val="22"/>
          <w:szCs w:val="22"/>
          <w:lang w:val="en"/>
        </w:rPr>
        <w:t xml:space="preserve">Sexual risk behaviors and STDs among persons who inject drugs: A national study. Prev Med. </w:t>
      </w:r>
      <w:r w:rsidRPr="008551C5" w:rsidR="00A13866">
        <w:rPr>
          <w:rFonts w:asciiTheme="minorHAnsi" w:hAnsiTheme="minorHAnsi" w:cstheme="minorHAnsi"/>
          <w:sz w:val="22"/>
          <w:szCs w:val="22"/>
        </w:rPr>
        <w:t xml:space="preserve"> DOI: </w:t>
      </w:r>
      <w:r w:rsidRPr="008551C5" w:rsidR="00A13866">
        <w:rPr>
          <w:rStyle w:val="title-text"/>
          <w:rFonts w:asciiTheme="minorHAnsi" w:hAnsiTheme="minorHAnsi" w:cstheme="minorHAnsi"/>
          <w:sz w:val="22"/>
          <w:szCs w:val="22"/>
          <w:lang w:val="en"/>
        </w:rPr>
        <w:t>10.1016/j.ypmed.2019.105779</w:t>
      </w:r>
      <w:r w:rsidRPr="008551C5" w:rsidR="00A13866">
        <w:rPr>
          <w:rFonts w:asciiTheme="minorHAnsi" w:hAnsiTheme="minorHAnsi" w:cstheme="minorHAnsi"/>
          <w:color w:val="0000FF"/>
          <w:sz w:val="22"/>
          <w:szCs w:val="22"/>
        </w:rPr>
        <w:t>.</w:t>
      </w:r>
    </w:p>
    <w:p w:rsidRPr="008551C5" w:rsidR="00A13866" w:rsidP="00A13866" w:rsidRDefault="00A13866" w14:paraId="230AED66" w14:textId="77777777">
      <w:pPr>
        <w:widowControl/>
        <w:rPr>
          <w:rFonts w:asciiTheme="minorHAnsi" w:hAnsiTheme="minorHAnsi" w:cstheme="minorHAnsi"/>
          <w:sz w:val="22"/>
          <w:szCs w:val="22"/>
        </w:rPr>
      </w:pPr>
    </w:p>
    <w:p w:rsidRPr="008551C5" w:rsidR="00A13866" w:rsidP="00A13866" w:rsidRDefault="00A13866" w14:paraId="754228A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Brown JW, Villarruel AM, Oakley D, Eribes C. 2003. Exploring Contraceptive Pill Taking Among Hispanic Women in the United States. </w:t>
      </w:r>
      <w:r w:rsidRPr="008551C5">
        <w:rPr>
          <w:rFonts w:asciiTheme="minorHAnsi" w:hAnsiTheme="minorHAnsi" w:cstheme="minorHAnsi"/>
          <w:sz w:val="22"/>
          <w:szCs w:val="22"/>
          <w:u w:val="single"/>
        </w:rPr>
        <w:t>Health Education and Behavior</w:t>
      </w:r>
      <w:r w:rsidRPr="008551C5">
        <w:rPr>
          <w:rFonts w:asciiTheme="minorHAnsi" w:hAnsiTheme="minorHAnsi" w:cstheme="minorHAnsi"/>
          <w:sz w:val="22"/>
          <w:szCs w:val="22"/>
        </w:rPr>
        <w:t xml:space="preserve"> 30(6):663-682. </w:t>
      </w:r>
    </w:p>
    <w:p w:rsidRPr="008551C5" w:rsidR="00A13866" w:rsidP="00A13866" w:rsidRDefault="00A13866" w14:paraId="061DD31B" w14:textId="77777777">
      <w:pPr>
        <w:widowControl/>
        <w:ind w:left="720" w:hanging="720"/>
        <w:rPr>
          <w:rFonts w:asciiTheme="minorHAnsi" w:hAnsiTheme="minorHAnsi" w:cstheme="minorHAnsi"/>
          <w:sz w:val="22"/>
          <w:szCs w:val="22"/>
        </w:rPr>
      </w:pPr>
    </w:p>
    <w:p w:rsidRPr="008551C5" w:rsidR="00A13866" w:rsidP="00A13866" w:rsidRDefault="00A13866" w14:paraId="413856D9" w14:textId="77777777">
      <w:pPr>
        <w:ind w:left="720" w:hanging="720"/>
        <w:rPr>
          <w:rFonts w:asciiTheme="minorHAnsi" w:hAnsiTheme="minorHAnsi" w:cstheme="minorHAnsi"/>
          <w:bCs/>
          <w:sz w:val="22"/>
          <w:szCs w:val="22"/>
        </w:rPr>
      </w:pPr>
      <w:r w:rsidRPr="008551C5">
        <w:rPr>
          <w:rFonts w:asciiTheme="minorHAnsi" w:hAnsiTheme="minorHAnsi" w:cstheme="minorHAnsi"/>
          <w:bCs/>
          <w:sz w:val="22"/>
          <w:szCs w:val="22"/>
        </w:rPr>
        <w:t xml:space="preserve">Brunner LR, Hogue CJ.  2005.  The role of body weight in oral contraceptive failure: results from the 1995 national survey of family growth.  </w:t>
      </w:r>
      <w:r w:rsidRPr="008551C5">
        <w:rPr>
          <w:rFonts w:asciiTheme="minorHAnsi" w:hAnsiTheme="minorHAnsi" w:cstheme="minorHAnsi"/>
          <w:bCs/>
          <w:sz w:val="22"/>
          <w:szCs w:val="22"/>
          <w:u w:val="single"/>
        </w:rPr>
        <w:t>Annals of Epidemiology</w:t>
      </w:r>
      <w:r w:rsidRPr="008551C5">
        <w:rPr>
          <w:rFonts w:asciiTheme="minorHAnsi" w:hAnsiTheme="minorHAnsi" w:cstheme="minorHAnsi"/>
          <w:bCs/>
          <w:sz w:val="22"/>
          <w:szCs w:val="22"/>
        </w:rPr>
        <w:t xml:space="preserve"> 15(7):492-9, Jan 2005. </w:t>
      </w:r>
    </w:p>
    <w:p w:rsidRPr="008551C5" w:rsidR="00A13866" w:rsidP="00A13866" w:rsidRDefault="00A13866" w14:paraId="2968AAD6" w14:textId="77777777">
      <w:pPr>
        <w:ind w:left="720" w:hanging="720"/>
        <w:rPr>
          <w:rFonts w:asciiTheme="minorHAnsi" w:hAnsiTheme="minorHAnsi" w:cstheme="minorHAnsi"/>
          <w:bCs/>
          <w:sz w:val="22"/>
          <w:szCs w:val="22"/>
        </w:rPr>
      </w:pPr>
    </w:p>
    <w:p w:rsidRPr="008551C5" w:rsidR="00A13866" w:rsidP="00A13866" w:rsidRDefault="00A13866" w14:paraId="2F6E8BB7"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Brunner-Huber LR, Toth JL.  2007.  Obesity and Oral Contraceptive Failure: Findings from the 2002 National Survey of Family Growth.  </w:t>
      </w:r>
      <w:r w:rsidRPr="008551C5">
        <w:rPr>
          <w:rFonts w:asciiTheme="minorHAnsi" w:hAnsiTheme="minorHAnsi" w:cstheme="minorHAnsi"/>
          <w:sz w:val="22"/>
          <w:szCs w:val="22"/>
          <w:u w:val="single"/>
        </w:rPr>
        <w:t>American Journal of Epidemiology</w:t>
      </w:r>
      <w:r w:rsidRPr="008551C5">
        <w:rPr>
          <w:rFonts w:asciiTheme="minorHAnsi" w:hAnsiTheme="minorHAnsi" w:cstheme="minorHAnsi"/>
          <w:sz w:val="22"/>
          <w:szCs w:val="22"/>
        </w:rPr>
        <w:t xml:space="preserve"> 166(11):1306-1311.</w:t>
      </w:r>
    </w:p>
    <w:p w:rsidRPr="008551C5" w:rsidR="00A13866" w:rsidP="00A13866" w:rsidRDefault="00A13866" w14:paraId="3EF2B942" w14:textId="77777777">
      <w:pPr>
        <w:pStyle w:val="NoSpacing"/>
        <w:ind w:left="720" w:hanging="720"/>
        <w:rPr>
          <w:rFonts w:asciiTheme="minorHAnsi" w:hAnsiTheme="minorHAnsi" w:cstheme="minorHAnsi"/>
          <w:sz w:val="22"/>
          <w:szCs w:val="22"/>
        </w:rPr>
      </w:pPr>
    </w:p>
    <w:p w:rsidRPr="008551C5" w:rsidR="00A13866" w:rsidP="00A13866" w:rsidRDefault="00A13866" w14:paraId="00B9E149"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Bryant-Genevier MM, Martin CE, Terplan M. 2014. Reproductive Health Needs Among Drug Treatment Clients. </w:t>
      </w:r>
      <w:r w:rsidRPr="008551C5">
        <w:rPr>
          <w:rFonts w:asciiTheme="minorHAnsi" w:hAnsiTheme="minorHAnsi" w:cstheme="minorHAnsi"/>
          <w:sz w:val="22"/>
          <w:szCs w:val="22"/>
          <w:u w:val="single"/>
        </w:rPr>
        <w:t>Obstetrics and Gynecology</w:t>
      </w:r>
      <w:r w:rsidRPr="008551C5">
        <w:rPr>
          <w:rFonts w:asciiTheme="minorHAnsi" w:hAnsiTheme="minorHAnsi" w:cstheme="minorHAnsi"/>
          <w:sz w:val="22"/>
          <w:szCs w:val="22"/>
        </w:rPr>
        <w:t xml:space="preserve"> 123(1): 104S.</w:t>
      </w:r>
    </w:p>
    <w:p w:rsidRPr="008551C5" w:rsidR="00A13866" w:rsidP="00A13866" w:rsidRDefault="00A13866" w14:paraId="76046BDB" w14:textId="77777777">
      <w:pPr>
        <w:pStyle w:val="NoSpacing"/>
        <w:ind w:left="720" w:hanging="720"/>
        <w:rPr>
          <w:rFonts w:asciiTheme="minorHAnsi" w:hAnsiTheme="minorHAnsi" w:cstheme="minorHAnsi"/>
          <w:sz w:val="22"/>
          <w:szCs w:val="22"/>
        </w:rPr>
      </w:pPr>
    </w:p>
    <w:p w:rsidRPr="008551C5" w:rsidR="00A13866" w:rsidP="00A13866" w:rsidRDefault="00A13866" w14:paraId="22AAB58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Callegaria LS, Nelsonc KM, Arterburnd DE, Pragera SW, Schiffa MS, Bimla Schwarzg E. 2014. Factors associated with lack of effective contraception among obese women in the United States. </w:t>
      </w:r>
      <w:r w:rsidRPr="008551C5">
        <w:rPr>
          <w:rFonts w:asciiTheme="minorHAnsi" w:hAnsiTheme="minorHAnsi" w:cstheme="minorHAnsi"/>
          <w:sz w:val="22"/>
          <w:szCs w:val="22"/>
          <w:u w:val="single"/>
        </w:rPr>
        <w:t>Contraception</w:t>
      </w:r>
      <w:r w:rsidRPr="008551C5">
        <w:rPr>
          <w:rFonts w:asciiTheme="minorHAnsi" w:hAnsiTheme="minorHAnsi" w:cstheme="minorHAnsi"/>
          <w:sz w:val="22"/>
          <w:szCs w:val="22"/>
        </w:rPr>
        <w:t xml:space="preserve"> 90:265-71.</w:t>
      </w:r>
    </w:p>
    <w:p w:rsidRPr="008551C5" w:rsidR="00A13866" w:rsidP="00A13866" w:rsidRDefault="00A13866" w14:paraId="0A03FDDA" w14:textId="77777777">
      <w:pPr>
        <w:widowControl/>
        <w:ind w:left="720" w:hanging="720"/>
        <w:rPr>
          <w:rFonts w:asciiTheme="minorHAnsi" w:hAnsiTheme="minorHAnsi" w:cstheme="minorHAnsi"/>
          <w:sz w:val="22"/>
          <w:szCs w:val="22"/>
        </w:rPr>
      </w:pPr>
    </w:p>
    <w:p w:rsidRPr="008551C5" w:rsidR="00A13866" w:rsidP="00A13866" w:rsidRDefault="00A13866" w14:paraId="562E51E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Cates W Jr, Rolfs RT Jr, Aral SO.  1990.  Sexually Transmitted Diseases, Pelvic Inflammatory Disease, and Infertility: An Epidemiologic Update.  </w:t>
      </w:r>
      <w:r w:rsidRPr="008551C5">
        <w:rPr>
          <w:rFonts w:asciiTheme="minorHAnsi" w:hAnsiTheme="minorHAnsi" w:cstheme="minorHAnsi"/>
          <w:sz w:val="22"/>
          <w:szCs w:val="22"/>
          <w:u w:val="single"/>
        </w:rPr>
        <w:t>Epidemiologic Reviews</w:t>
      </w:r>
      <w:r w:rsidRPr="008551C5">
        <w:rPr>
          <w:rFonts w:asciiTheme="minorHAnsi" w:hAnsiTheme="minorHAnsi" w:cstheme="minorHAnsi"/>
          <w:sz w:val="22"/>
          <w:szCs w:val="22"/>
        </w:rPr>
        <w:t xml:space="preserve"> 12:199-220.</w:t>
      </w:r>
    </w:p>
    <w:p w:rsidRPr="008551C5" w:rsidR="00A13866" w:rsidP="00A13866" w:rsidRDefault="00A13866" w14:paraId="4A0A3170" w14:textId="77777777">
      <w:pPr>
        <w:widowControl/>
        <w:ind w:left="720" w:hanging="720"/>
        <w:rPr>
          <w:rFonts w:asciiTheme="minorHAnsi" w:hAnsiTheme="minorHAnsi" w:cstheme="minorHAnsi"/>
          <w:sz w:val="22"/>
          <w:szCs w:val="22"/>
        </w:rPr>
      </w:pPr>
    </w:p>
    <w:p w:rsidRPr="008551C5" w:rsidR="00A13866" w:rsidP="00A13866" w:rsidRDefault="00A13866" w14:paraId="041779F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Cates W Jr, Wasserheit JN, Marchbanks PA.  1994.  Pelvic Inflammatory Disease and Tubal Infertility: The Preventable Conditions.  </w:t>
      </w:r>
      <w:r w:rsidRPr="008551C5">
        <w:rPr>
          <w:rFonts w:asciiTheme="minorHAnsi" w:hAnsiTheme="minorHAnsi" w:cstheme="minorHAnsi"/>
          <w:sz w:val="22"/>
          <w:szCs w:val="22"/>
          <w:u w:val="single"/>
        </w:rPr>
        <w:t>Annals of the NY Academy of Sciences</w:t>
      </w:r>
      <w:r w:rsidRPr="008551C5">
        <w:rPr>
          <w:rFonts w:asciiTheme="minorHAnsi" w:hAnsiTheme="minorHAnsi" w:cstheme="minorHAnsi"/>
          <w:sz w:val="22"/>
          <w:szCs w:val="22"/>
        </w:rPr>
        <w:t xml:space="preserve"> 709:179-95.</w:t>
      </w:r>
    </w:p>
    <w:p w:rsidRPr="008551C5" w:rsidR="00A13866" w:rsidP="00A13866" w:rsidRDefault="00A13866" w14:paraId="13ADEDBE" w14:textId="77777777">
      <w:pPr>
        <w:widowControl/>
        <w:ind w:left="720" w:hanging="720"/>
        <w:rPr>
          <w:rFonts w:asciiTheme="minorHAnsi" w:hAnsiTheme="minorHAnsi" w:cstheme="minorHAnsi"/>
          <w:sz w:val="22"/>
          <w:szCs w:val="22"/>
        </w:rPr>
      </w:pPr>
    </w:p>
    <w:p w:rsidRPr="008551C5" w:rsidR="00A13866" w:rsidP="00A13866" w:rsidRDefault="00A13866" w14:paraId="128647AD"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Centers for Disease Control and Prevention.  2011.  Characteristics associated with HIV infection among heterosexuals in urban areas with high AIDS prevalence – 24 Cities, United States, 2006-2007. </w:t>
      </w:r>
      <w:r w:rsidRPr="008551C5">
        <w:rPr>
          <w:rFonts w:asciiTheme="minorHAnsi" w:hAnsiTheme="minorHAnsi" w:cstheme="minorHAnsi"/>
          <w:sz w:val="22"/>
          <w:szCs w:val="22"/>
          <w:u w:val="single"/>
        </w:rPr>
        <w:t>MMWR</w:t>
      </w:r>
      <w:r w:rsidRPr="008551C5">
        <w:rPr>
          <w:rFonts w:asciiTheme="minorHAnsi" w:hAnsiTheme="minorHAnsi" w:cstheme="minorHAnsi"/>
          <w:sz w:val="22"/>
          <w:szCs w:val="22"/>
        </w:rPr>
        <w:t>.  60(31):1045-1049.</w:t>
      </w:r>
    </w:p>
    <w:p w:rsidRPr="008551C5" w:rsidR="00A13866" w:rsidP="00A13866" w:rsidRDefault="00A13866" w14:paraId="44786D6C" w14:textId="77777777">
      <w:pPr>
        <w:pStyle w:val="Default"/>
        <w:ind w:left="720" w:hanging="720"/>
        <w:rPr>
          <w:rFonts w:asciiTheme="minorHAnsi" w:hAnsiTheme="minorHAnsi" w:cstheme="minorHAnsi"/>
          <w:strike/>
          <w:color w:val="FF0000"/>
          <w:sz w:val="22"/>
          <w:szCs w:val="22"/>
        </w:rPr>
      </w:pPr>
    </w:p>
    <w:p w:rsidRPr="008551C5" w:rsidR="00A13866" w:rsidP="00A13866" w:rsidRDefault="00A13866" w14:paraId="5B0A9D34"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Centers for Disease Control and Prevention. 2016. Sexually Transmitted Disease Surveillance 2015. Atlanta: U.S. Department of Health and Human Services.</w:t>
      </w:r>
    </w:p>
    <w:p w:rsidRPr="008551C5" w:rsidR="00A13866" w:rsidP="00A13866" w:rsidRDefault="00A13866" w14:paraId="413DACFB" w14:textId="77777777">
      <w:pPr>
        <w:widowControl/>
        <w:ind w:left="720" w:hanging="720"/>
        <w:rPr>
          <w:rFonts w:asciiTheme="minorHAnsi" w:hAnsiTheme="minorHAnsi" w:cstheme="minorHAnsi"/>
          <w:sz w:val="22"/>
          <w:szCs w:val="22"/>
        </w:rPr>
      </w:pPr>
    </w:p>
    <w:p w:rsidRPr="008551C5" w:rsidR="00A13866" w:rsidP="00A13866" w:rsidRDefault="00A13866" w14:paraId="7621F1E5"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Chabot MJ, Lewis C, de Bocanegra HT, Darney P. 2011.  Correlates of Receiving Reproductive Health Care Services Among U.S. Men Aged 15 to 44 Years. </w:t>
      </w:r>
      <w:r w:rsidRPr="008551C5">
        <w:rPr>
          <w:rFonts w:asciiTheme="minorHAnsi" w:hAnsiTheme="minorHAnsi" w:cstheme="minorHAnsi"/>
          <w:sz w:val="22"/>
          <w:szCs w:val="22"/>
          <w:u w:val="single"/>
        </w:rPr>
        <w:t>American Journal of Men’s Health</w:t>
      </w:r>
      <w:r w:rsidRPr="008551C5">
        <w:rPr>
          <w:rFonts w:asciiTheme="minorHAnsi" w:hAnsiTheme="minorHAnsi" w:cstheme="minorHAnsi"/>
          <w:sz w:val="22"/>
          <w:szCs w:val="22"/>
        </w:rPr>
        <w:t xml:space="preserve"> 5(4):358-366.</w:t>
      </w:r>
    </w:p>
    <w:p w:rsidRPr="008551C5" w:rsidR="00A13866" w:rsidP="00A13866" w:rsidRDefault="00A13866" w14:paraId="0F49E0CB" w14:textId="77777777">
      <w:pPr>
        <w:ind w:left="720" w:hanging="720"/>
        <w:rPr>
          <w:rFonts w:asciiTheme="minorHAnsi" w:hAnsiTheme="minorHAnsi" w:cstheme="minorHAnsi"/>
          <w:sz w:val="22"/>
          <w:szCs w:val="22"/>
        </w:rPr>
      </w:pPr>
    </w:p>
    <w:p w:rsidRPr="008551C5" w:rsidR="00A13866" w:rsidP="00A13866" w:rsidRDefault="00A13866" w14:paraId="2041964D"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Chandra A. 1995.   Health Aspects of Pregnancy and Childbirth: United States, 1982 and 1988.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23(18).  Hyattsville, MD: National Center for Health Statistics.</w:t>
      </w:r>
    </w:p>
    <w:p w:rsidRPr="008551C5" w:rsidR="00A13866" w:rsidP="00A13866" w:rsidRDefault="00A13866" w14:paraId="0F2FD78D" w14:textId="77777777">
      <w:pPr>
        <w:widowControl/>
        <w:ind w:left="720" w:hanging="720"/>
        <w:rPr>
          <w:rFonts w:asciiTheme="minorHAnsi" w:hAnsiTheme="minorHAnsi" w:cstheme="minorHAnsi"/>
          <w:sz w:val="22"/>
          <w:szCs w:val="22"/>
        </w:rPr>
      </w:pPr>
    </w:p>
    <w:p w:rsidRPr="008551C5" w:rsidR="00A13866" w:rsidP="00A13866" w:rsidRDefault="00A13866" w14:paraId="396CEBF4"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Chandra A, Billioux VG, Copen CE, Balaji A, DiNenno E. 2012a. HIV Testing in the U.S. Household Population Aged 15–44: Data From the National Survey of Family Growth, 2006–2010. </w:t>
      </w:r>
      <w:r w:rsidRPr="008551C5">
        <w:rPr>
          <w:rFonts w:asciiTheme="minorHAnsi" w:hAnsiTheme="minorHAnsi" w:cstheme="minorHAnsi"/>
          <w:sz w:val="22"/>
          <w:szCs w:val="22"/>
          <w:u w:val="single"/>
        </w:rPr>
        <w:t>National Health Statistics Reports</w:t>
      </w:r>
      <w:r w:rsidRPr="008551C5">
        <w:rPr>
          <w:rFonts w:asciiTheme="minorHAnsi" w:hAnsiTheme="minorHAnsi" w:cstheme="minorHAnsi"/>
          <w:sz w:val="22"/>
          <w:szCs w:val="22"/>
        </w:rPr>
        <w:t xml:space="preserve"> No. 58. Hyattsville, MD: National Center for Health Statistics.</w:t>
      </w:r>
    </w:p>
    <w:p w:rsidRPr="008551C5" w:rsidR="00A13866" w:rsidP="00A13866" w:rsidRDefault="00A13866" w14:paraId="22A4BE2B" w14:textId="77777777">
      <w:pPr>
        <w:widowControl/>
        <w:ind w:left="720" w:hanging="720"/>
        <w:rPr>
          <w:rFonts w:asciiTheme="minorHAnsi" w:hAnsiTheme="minorHAnsi" w:cstheme="minorHAnsi"/>
          <w:sz w:val="22"/>
          <w:szCs w:val="22"/>
        </w:rPr>
      </w:pPr>
    </w:p>
    <w:p w:rsidRPr="008551C5" w:rsidR="00A13866" w:rsidP="00A13866" w:rsidRDefault="00A13866" w14:paraId="252038E3" w14:textId="77777777">
      <w:pPr>
        <w:widowControl/>
        <w:adjustRightInd/>
        <w:ind w:left="720" w:hanging="720"/>
        <w:rPr>
          <w:rFonts w:asciiTheme="minorHAnsi" w:hAnsiTheme="minorHAnsi" w:cstheme="minorHAnsi"/>
          <w:color w:val="211E1E"/>
          <w:sz w:val="22"/>
          <w:szCs w:val="22"/>
        </w:rPr>
      </w:pPr>
      <w:r w:rsidRPr="008551C5">
        <w:rPr>
          <w:rFonts w:asciiTheme="minorHAnsi" w:hAnsiTheme="minorHAnsi" w:cstheme="minorHAnsi"/>
          <w:sz w:val="22"/>
          <w:szCs w:val="22"/>
        </w:rPr>
        <w:t xml:space="preserve">Chandra A, Billioux VG, Copen CE,  Sionean C. 2012b.  HIV Risk-related Behaviors in the United States Household Population aged 15-44:  Data from the National Survey of Family Growth, 2002 and 2006-2010. </w:t>
      </w:r>
      <w:r w:rsidRPr="008551C5">
        <w:rPr>
          <w:rFonts w:asciiTheme="minorHAnsi" w:hAnsiTheme="minorHAnsi" w:cstheme="minorHAnsi"/>
          <w:sz w:val="22"/>
          <w:szCs w:val="22"/>
          <w:u w:val="single"/>
        </w:rPr>
        <w:t>National Health Statistics Reports</w:t>
      </w:r>
      <w:r w:rsidRPr="008551C5">
        <w:rPr>
          <w:rFonts w:asciiTheme="minorHAnsi" w:hAnsiTheme="minorHAnsi" w:cstheme="minorHAnsi"/>
          <w:color w:val="211E1E"/>
          <w:sz w:val="22"/>
          <w:szCs w:val="22"/>
        </w:rPr>
        <w:t xml:space="preserve"> No 46. Hyattsville, MD: National Center for Health Statistics.  </w:t>
      </w:r>
    </w:p>
    <w:p w:rsidRPr="008551C5" w:rsidR="00A13866" w:rsidP="00A13866" w:rsidRDefault="00A13866" w14:paraId="603317F5" w14:textId="77777777">
      <w:pPr>
        <w:widowControl/>
        <w:adjustRightInd/>
        <w:ind w:left="720" w:hanging="720"/>
        <w:rPr>
          <w:rFonts w:asciiTheme="minorHAnsi" w:hAnsiTheme="minorHAnsi" w:cstheme="minorHAnsi"/>
          <w:color w:val="211E1E"/>
          <w:sz w:val="22"/>
          <w:szCs w:val="22"/>
        </w:rPr>
      </w:pPr>
    </w:p>
    <w:p w:rsidRPr="008551C5" w:rsidR="00A13866" w:rsidP="00A13866" w:rsidRDefault="00A13866" w14:paraId="232AF463" w14:textId="77777777">
      <w:pPr>
        <w:widowControl/>
        <w:adjustRightInd/>
        <w:ind w:left="720" w:hanging="720"/>
        <w:rPr>
          <w:rFonts w:asciiTheme="minorHAnsi" w:hAnsiTheme="minorHAnsi" w:cstheme="minorHAnsi"/>
          <w:bCs/>
          <w:color w:val="211E1E"/>
          <w:sz w:val="22"/>
          <w:szCs w:val="22"/>
        </w:rPr>
      </w:pPr>
      <w:r w:rsidRPr="008551C5">
        <w:rPr>
          <w:rFonts w:asciiTheme="minorHAnsi" w:hAnsiTheme="minorHAnsi" w:cstheme="minorHAnsi"/>
          <w:bCs/>
          <w:color w:val="211E1E"/>
          <w:sz w:val="22"/>
          <w:szCs w:val="22"/>
        </w:rPr>
        <w:t xml:space="preserve">Chandra A, Copen CE, Mosher, WD. 2012c. Sexual Behavior, Sexual Attraction, and Sexual Identity in the United States: Data from the 2006–2010 National Survey of Family Growth.  In Amanda Baumle (Ed.) </w:t>
      </w:r>
      <w:r w:rsidRPr="008551C5">
        <w:rPr>
          <w:rFonts w:asciiTheme="minorHAnsi" w:hAnsiTheme="minorHAnsi" w:cstheme="minorHAnsi"/>
          <w:bCs/>
          <w:color w:val="211E1E"/>
          <w:sz w:val="22"/>
          <w:szCs w:val="22"/>
          <w:u w:val="single"/>
        </w:rPr>
        <w:t>International Handbook on the Demography of Sexuality</w:t>
      </w:r>
      <w:r w:rsidRPr="008551C5">
        <w:rPr>
          <w:rFonts w:asciiTheme="minorHAnsi" w:hAnsiTheme="minorHAnsi" w:cstheme="minorHAnsi"/>
          <w:bCs/>
          <w:color w:val="211E1E"/>
          <w:sz w:val="22"/>
          <w:szCs w:val="22"/>
        </w:rPr>
        <w:t xml:space="preserve">.  New York, NY.  Springer Publishing Company. </w:t>
      </w:r>
      <w:r w:rsidRPr="008551C5">
        <w:rPr>
          <w:rFonts w:asciiTheme="minorHAnsi" w:hAnsiTheme="minorHAnsi" w:cstheme="minorHAnsi"/>
          <w:bCs/>
          <w:i/>
          <w:color w:val="211E1E"/>
          <w:sz w:val="22"/>
          <w:szCs w:val="22"/>
        </w:rPr>
        <w:t xml:space="preserve">  </w:t>
      </w:r>
    </w:p>
    <w:p w:rsidRPr="008551C5" w:rsidR="00A13866" w:rsidP="00A13866" w:rsidRDefault="00A13866" w14:paraId="41EE4066" w14:textId="77777777">
      <w:pPr>
        <w:pStyle w:val="Default"/>
        <w:ind w:left="720" w:hanging="720"/>
        <w:rPr>
          <w:rFonts w:asciiTheme="minorHAnsi" w:hAnsiTheme="minorHAnsi" w:cstheme="minorHAnsi"/>
          <w:color w:val="auto"/>
          <w:sz w:val="22"/>
          <w:szCs w:val="22"/>
        </w:rPr>
      </w:pPr>
    </w:p>
    <w:p w:rsidRPr="008551C5" w:rsidR="00A13866" w:rsidP="00A13866" w:rsidRDefault="00A13866" w14:paraId="6C295900" w14:textId="77777777">
      <w:pPr>
        <w:pStyle w:val="Default"/>
        <w:ind w:left="720" w:hanging="720"/>
        <w:rPr>
          <w:rFonts w:asciiTheme="minorHAnsi" w:hAnsiTheme="minorHAnsi" w:cstheme="minorHAnsi"/>
          <w:color w:val="211E1E"/>
          <w:sz w:val="22"/>
          <w:szCs w:val="22"/>
        </w:rPr>
      </w:pPr>
      <w:r w:rsidRPr="008551C5">
        <w:rPr>
          <w:rFonts w:asciiTheme="minorHAnsi" w:hAnsiTheme="minorHAnsi" w:cstheme="minorHAnsi"/>
          <w:color w:val="211E1E"/>
          <w:sz w:val="22"/>
          <w:szCs w:val="22"/>
        </w:rPr>
        <w:t xml:space="preserve">Chandra A, Copen CE, Stephen EH.  2013.  Infertility and impaired fecundity in the United States, 1982–2010: Data from the National Survey of Family Growth. </w:t>
      </w:r>
      <w:r w:rsidRPr="008551C5">
        <w:rPr>
          <w:rFonts w:asciiTheme="minorHAnsi" w:hAnsiTheme="minorHAnsi" w:cstheme="minorHAnsi"/>
          <w:color w:val="211E1E"/>
          <w:sz w:val="22"/>
          <w:szCs w:val="22"/>
          <w:u w:val="single"/>
        </w:rPr>
        <w:t xml:space="preserve">National Health Statistics Reports </w:t>
      </w:r>
      <w:r w:rsidRPr="008551C5">
        <w:rPr>
          <w:rFonts w:asciiTheme="minorHAnsi" w:hAnsiTheme="minorHAnsi" w:cstheme="minorHAnsi"/>
          <w:color w:val="211E1E"/>
          <w:sz w:val="22"/>
          <w:szCs w:val="22"/>
        </w:rPr>
        <w:t>No. 67. Hyattsville, MD: National Center for Health Statistics.</w:t>
      </w:r>
    </w:p>
    <w:p w:rsidRPr="008551C5" w:rsidR="00A13866" w:rsidP="00A13866" w:rsidRDefault="00A13866" w14:paraId="09484DF0" w14:textId="77777777">
      <w:pPr>
        <w:pStyle w:val="Default"/>
        <w:ind w:left="720" w:hanging="720"/>
        <w:rPr>
          <w:rFonts w:asciiTheme="minorHAnsi" w:hAnsiTheme="minorHAnsi" w:cstheme="minorHAnsi"/>
          <w:color w:val="auto"/>
          <w:sz w:val="22"/>
          <w:szCs w:val="22"/>
        </w:rPr>
      </w:pPr>
    </w:p>
    <w:p w:rsidRPr="008551C5" w:rsidR="00A13866" w:rsidP="00A13866" w:rsidRDefault="00A13866" w14:paraId="35E2AA42" w14:textId="77777777">
      <w:pPr>
        <w:pStyle w:val="Default"/>
        <w:ind w:left="720" w:hanging="720"/>
        <w:rPr>
          <w:rFonts w:asciiTheme="minorHAnsi" w:hAnsiTheme="minorHAnsi" w:cstheme="minorHAnsi"/>
          <w:color w:val="auto"/>
          <w:sz w:val="22"/>
          <w:szCs w:val="22"/>
        </w:rPr>
      </w:pPr>
      <w:r w:rsidRPr="008551C5">
        <w:rPr>
          <w:rFonts w:asciiTheme="minorHAnsi" w:hAnsiTheme="minorHAnsi" w:cstheme="minorHAnsi"/>
          <w:color w:val="211E1E"/>
          <w:sz w:val="22"/>
          <w:szCs w:val="22"/>
        </w:rPr>
        <w:t xml:space="preserve">Chandra A, Copen CE, Stephen EH. 2014.  Infertility service use in the United States: Data from the National Survey of Family Growth, 1982–2010. </w:t>
      </w:r>
      <w:r w:rsidRPr="008551C5">
        <w:rPr>
          <w:rFonts w:asciiTheme="minorHAnsi" w:hAnsiTheme="minorHAnsi" w:cstheme="minorHAnsi"/>
          <w:color w:val="211E1E"/>
          <w:sz w:val="22"/>
          <w:szCs w:val="22"/>
          <w:u w:val="single"/>
        </w:rPr>
        <w:t>National Health Statistics Reports</w:t>
      </w:r>
      <w:r w:rsidRPr="008551C5">
        <w:rPr>
          <w:rFonts w:asciiTheme="minorHAnsi" w:hAnsiTheme="minorHAnsi" w:cstheme="minorHAnsi"/>
          <w:color w:val="211E1E"/>
          <w:sz w:val="22"/>
          <w:szCs w:val="22"/>
        </w:rPr>
        <w:t xml:space="preserve"> No. 73. Hyattsville, MD: National Center for Health Statistics.</w:t>
      </w:r>
    </w:p>
    <w:p w:rsidRPr="008551C5" w:rsidR="00A13866" w:rsidP="00A13866" w:rsidRDefault="00A13866" w14:paraId="53AA770C" w14:textId="77777777">
      <w:pPr>
        <w:widowControl/>
        <w:ind w:left="720" w:hanging="720"/>
        <w:rPr>
          <w:rFonts w:asciiTheme="minorHAnsi" w:hAnsiTheme="minorHAnsi" w:cstheme="minorHAnsi"/>
          <w:sz w:val="22"/>
          <w:szCs w:val="22"/>
        </w:rPr>
      </w:pPr>
    </w:p>
    <w:p w:rsidRPr="008551C5" w:rsidR="00A13866" w:rsidP="00A13866" w:rsidRDefault="00A13866" w14:paraId="4DA5F5BA"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Chandra A, Martinez GM, Mosher WD, Abma JC, Jones J. 2005.   Fertility, Family Planning, and Reproductive Health of U.S. Women: Data from the 2002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23(25).  Hyattsville, MD: National Center for Health Statistics.</w:t>
      </w:r>
    </w:p>
    <w:p w:rsidRPr="008551C5" w:rsidR="00A13866" w:rsidP="00A13866" w:rsidRDefault="00A13866" w14:paraId="72D0CFC3" w14:textId="77777777">
      <w:pPr>
        <w:widowControl/>
        <w:ind w:left="720" w:hanging="720"/>
        <w:rPr>
          <w:rFonts w:asciiTheme="minorHAnsi" w:hAnsiTheme="minorHAnsi" w:cstheme="minorHAnsi"/>
          <w:sz w:val="22"/>
          <w:szCs w:val="22"/>
        </w:rPr>
      </w:pPr>
    </w:p>
    <w:p w:rsidRPr="008551C5" w:rsidR="00A13866" w:rsidP="00A13866" w:rsidRDefault="00A13866" w14:paraId="4FBF5AF5" w14:textId="77777777">
      <w:pPr>
        <w:widowControl/>
        <w:autoSpaceDE/>
        <w:autoSpaceDN/>
        <w:adjustRightInd/>
        <w:spacing w:line="211" w:lineRule="atLeast"/>
        <w:ind w:left="720" w:hanging="720"/>
        <w:rPr>
          <w:rFonts w:asciiTheme="minorHAnsi" w:hAnsiTheme="minorHAnsi" w:cstheme="minorHAnsi"/>
          <w:sz w:val="22"/>
          <w:szCs w:val="22"/>
        </w:rPr>
      </w:pPr>
      <w:r w:rsidRPr="008551C5">
        <w:rPr>
          <w:rFonts w:asciiTheme="minorHAnsi" w:hAnsiTheme="minorHAnsi" w:cstheme="minorHAnsi"/>
          <w:color w:val="000000"/>
          <w:sz w:val="22"/>
          <w:szCs w:val="22"/>
        </w:rPr>
        <w:t xml:space="preserve">Chandra A, Mosher WD, Copen CE, Sionean C. 2011. Sexual Behavior, Sexual Attraction, and Sexual Identity in the United States: Data from the 2006-2008 National Survey of Family Growth. </w:t>
      </w:r>
      <w:r w:rsidRPr="008551C5">
        <w:rPr>
          <w:rFonts w:asciiTheme="minorHAnsi" w:hAnsiTheme="minorHAnsi" w:cstheme="minorHAnsi"/>
          <w:color w:val="000000"/>
          <w:sz w:val="22"/>
          <w:szCs w:val="22"/>
          <w:u w:val="single"/>
        </w:rPr>
        <w:t>National Health Statistics Reports</w:t>
      </w:r>
      <w:r w:rsidRPr="008551C5">
        <w:rPr>
          <w:rFonts w:asciiTheme="minorHAnsi" w:hAnsiTheme="minorHAnsi" w:cstheme="minorHAnsi"/>
          <w:color w:val="000000"/>
          <w:sz w:val="22"/>
          <w:szCs w:val="22"/>
        </w:rPr>
        <w:t xml:space="preserve"> </w:t>
      </w:r>
      <w:r w:rsidRPr="008551C5">
        <w:rPr>
          <w:rFonts w:asciiTheme="minorHAnsi" w:hAnsiTheme="minorHAnsi" w:cstheme="minorHAnsi"/>
          <w:sz w:val="22"/>
          <w:szCs w:val="22"/>
        </w:rPr>
        <w:t xml:space="preserve">No. 36. Hyattsville, MD: National Center for Health Statistics. </w:t>
      </w:r>
    </w:p>
    <w:p w:rsidRPr="008551C5" w:rsidR="00A13866" w:rsidP="00A13866" w:rsidRDefault="00A13866" w14:paraId="7B11513A" w14:textId="77777777">
      <w:pPr>
        <w:pStyle w:val="Default"/>
        <w:rPr>
          <w:rFonts w:asciiTheme="minorHAnsi" w:hAnsiTheme="minorHAnsi" w:cstheme="minorHAnsi"/>
          <w:color w:val="211E1E"/>
          <w:sz w:val="22"/>
          <w:szCs w:val="22"/>
        </w:rPr>
      </w:pPr>
    </w:p>
    <w:p w:rsidRPr="008551C5" w:rsidR="00A13866" w:rsidP="00A13866" w:rsidRDefault="00A13866" w14:paraId="6266114F" w14:textId="77777777">
      <w:pPr>
        <w:pStyle w:val="Default"/>
        <w:ind w:left="720" w:hanging="7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Cherpes TL, Meyn LA, Hillier SL. 2005.  Cunnilingus and vaginal intercourse are risk factors for herpes simplex virus type 1 acquisition in women. </w:t>
      </w:r>
      <w:r w:rsidRPr="008551C5">
        <w:rPr>
          <w:rFonts w:asciiTheme="minorHAnsi" w:hAnsiTheme="minorHAnsi" w:cstheme="minorHAnsi"/>
          <w:color w:val="auto"/>
          <w:sz w:val="22"/>
          <w:szCs w:val="22"/>
          <w:u w:val="single"/>
        </w:rPr>
        <w:t>Sexually Transmitted Diseases</w:t>
      </w:r>
      <w:r w:rsidRPr="008551C5">
        <w:rPr>
          <w:rFonts w:asciiTheme="minorHAnsi" w:hAnsiTheme="minorHAnsi" w:cstheme="minorHAnsi"/>
          <w:color w:val="auto"/>
          <w:sz w:val="22"/>
          <w:szCs w:val="22"/>
        </w:rPr>
        <w:t xml:space="preserve">. 32(2):84–9. </w:t>
      </w:r>
    </w:p>
    <w:p w:rsidRPr="008551C5" w:rsidR="00A13866" w:rsidP="00A13866" w:rsidRDefault="00A13866" w14:paraId="00B2EBA1" w14:textId="77777777">
      <w:pPr>
        <w:widowControl/>
        <w:ind w:left="720" w:hanging="720"/>
        <w:rPr>
          <w:rFonts w:asciiTheme="minorHAnsi" w:hAnsiTheme="minorHAnsi" w:cstheme="minorHAnsi"/>
          <w:sz w:val="22"/>
          <w:szCs w:val="22"/>
        </w:rPr>
      </w:pPr>
    </w:p>
    <w:p w:rsidRPr="008551C5" w:rsidR="00A13866" w:rsidP="00A13866" w:rsidRDefault="00A13866" w14:paraId="6B06307D"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Chesson HW, Blandford JM, Gift TL, Tao G. Irwin KL.  2004.  The Estimated Direct Medical Cost of Sexually Transmitted Diseases among American Youth, 2000.  </w:t>
      </w:r>
      <w:r w:rsidRPr="008551C5">
        <w:rPr>
          <w:rFonts w:asciiTheme="minorHAnsi" w:hAnsiTheme="minorHAnsi" w:cstheme="minorHAnsi"/>
          <w:sz w:val="22"/>
          <w:szCs w:val="22"/>
          <w:u w:val="single"/>
        </w:rPr>
        <w:t>Perspectives on Sexual and Reproductive Health</w:t>
      </w:r>
      <w:r w:rsidRPr="008551C5">
        <w:rPr>
          <w:rFonts w:asciiTheme="minorHAnsi" w:hAnsiTheme="minorHAnsi" w:cstheme="minorHAnsi"/>
          <w:sz w:val="22"/>
          <w:szCs w:val="22"/>
        </w:rPr>
        <w:t xml:space="preserve"> 36(1):11-19.</w:t>
      </w:r>
    </w:p>
    <w:p w:rsidRPr="008551C5" w:rsidR="00A13866" w:rsidP="00A13866" w:rsidRDefault="00A13866" w14:paraId="677F23AB" w14:textId="77777777">
      <w:pPr>
        <w:widowControl/>
        <w:ind w:left="720" w:hanging="720"/>
        <w:rPr>
          <w:rFonts w:asciiTheme="minorHAnsi" w:hAnsiTheme="minorHAnsi" w:cstheme="minorHAnsi"/>
          <w:sz w:val="22"/>
          <w:szCs w:val="22"/>
        </w:rPr>
      </w:pPr>
    </w:p>
    <w:p w:rsidRPr="008551C5" w:rsidR="00A13866" w:rsidP="00A13866" w:rsidRDefault="00A13866" w14:paraId="13885108"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Child Trends, Inc. 2005.  New Data on Oral Sex Among Teens.  Child Trends DataBank Indicator. Child Trends, Inc., Washington, DC.</w:t>
      </w:r>
    </w:p>
    <w:p w:rsidRPr="008551C5" w:rsidR="00A13866" w:rsidP="00A13866" w:rsidRDefault="00A13866" w14:paraId="6F9967AF" w14:textId="77777777">
      <w:pPr>
        <w:widowControl/>
        <w:ind w:left="720" w:hanging="720"/>
        <w:rPr>
          <w:rFonts w:asciiTheme="minorHAnsi" w:hAnsiTheme="minorHAnsi" w:cstheme="minorHAnsi"/>
          <w:sz w:val="22"/>
          <w:szCs w:val="22"/>
        </w:rPr>
      </w:pPr>
    </w:p>
    <w:p w:rsidRPr="008551C5" w:rsidR="00A13866" w:rsidP="00A13866" w:rsidRDefault="00A13866" w14:paraId="6B2BA539" w14:textId="77777777">
      <w:pPr>
        <w:widowControl/>
        <w:ind w:left="720" w:hanging="720"/>
        <w:rPr>
          <w:rFonts w:asciiTheme="minorHAnsi" w:hAnsiTheme="minorHAnsi" w:cstheme="minorHAnsi"/>
          <w:color w:val="211E1E"/>
          <w:sz w:val="22"/>
          <w:szCs w:val="22"/>
        </w:rPr>
      </w:pPr>
      <w:r w:rsidRPr="008551C5">
        <w:rPr>
          <w:rFonts w:asciiTheme="minorHAnsi" w:hAnsiTheme="minorHAnsi" w:cstheme="minorHAnsi"/>
          <w:color w:val="211E1E"/>
          <w:sz w:val="22"/>
          <w:szCs w:val="22"/>
        </w:rPr>
        <w:t xml:space="preserve">Copen CE, Chandra A, Martinez G. 2012. Prevalence and timing of oral sex with opposite-sex partners among females and males aged 15–24 years: United States, 2007–2010. </w:t>
      </w:r>
      <w:r w:rsidRPr="008551C5">
        <w:rPr>
          <w:rFonts w:asciiTheme="minorHAnsi" w:hAnsiTheme="minorHAnsi" w:cstheme="minorHAnsi"/>
          <w:color w:val="211E1E"/>
          <w:sz w:val="22"/>
          <w:szCs w:val="22"/>
          <w:u w:val="single"/>
        </w:rPr>
        <w:t>National Health Statistics Reports</w:t>
      </w:r>
      <w:r w:rsidRPr="008551C5">
        <w:rPr>
          <w:rFonts w:asciiTheme="minorHAnsi" w:hAnsiTheme="minorHAnsi" w:cstheme="minorHAnsi"/>
          <w:color w:val="211E1E"/>
          <w:sz w:val="22"/>
          <w:szCs w:val="22"/>
        </w:rPr>
        <w:t xml:space="preserve"> No. 56. Hyattsville, MD: National Center for Health Statistics.</w:t>
      </w:r>
    </w:p>
    <w:p w:rsidRPr="008551C5" w:rsidR="00A13866" w:rsidP="00A13866" w:rsidRDefault="00A13866" w14:paraId="046E7745" w14:textId="77777777">
      <w:pPr>
        <w:widowControl/>
        <w:ind w:left="720" w:hanging="720"/>
        <w:rPr>
          <w:rFonts w:asciiTheme="minorHAnsi" w:hAnsiTheme="minorHAnsi" w:cstheme="minorHAnsi"/>
          <w:sz w:val="22"/>
          <w:szCs w:val="22"/>
        </w:rPr>
      </w:pPr>
    </w:p>
    <w:p w:rsidRPr="008551C5" w:rsidR="00A13866" w:rsidP="00A13866" w:rsidRDefault="00A13866" w14:paraId="1CE23369" w14:textId="77777777">
      <w:pPr>
        <w:widowControl/>
        <w:ind w:left="720" w:hanging="720"/>
        <w:rPr>
          <w:rFonts w:asciiTheme="minorHAnsi" w:hAnsiTheme="minorHAnsi" w:cstheme="minorHAnsi"/>
          <w:color w:val="211E1E"/>
          <w:sz w:val="22"/>
          <w:szCs w:val="22"/>
        </w:rPr>
      </w:pPr>
      <w:r w:rsidRPr="008551C5">
        <w:rPr>
          <w:rFonts w:asciiTheme="minorHAnsi" w:hAnsiTheme="minorHAnsi" w:cstheme="minorHAnsi"/>
          <w:color w:val="211E1E"/>
          <w:sz w:val="22"/>
          <w:szCs w:val="22"/>
        </w:rPr>
        <w:t>Copen CE, Chandra A, Febo-Vazquez I. 2015.  HIV testing in the past year among the U.S. household population aged 15–44: 2011–2013.</w:t>
      </w:r>
      <w:r w:rsidRPr="008551C5">
        <w:rPr>
          <w:rFonts w:asciiTheme="minorHAnsi" w:hAnsiTheme="minorHAnsi" w:cstheme="minorHAnsi"/>
          <w:sz w:val="22"/>
          <w:szCs w:val="22"/>
        </w:rPr>
        <w:t xml:space="preserve"> </w:t>
      </w:r>
      <w:r w:rsidRPr="008551C5">
        <w:rPr>
          <w:rFonts w:asciiTheme="minorHAnsi" w:hAnsiTheme="minorHAnsi" w:cstheme="minorHAnsi"/>
          <w:color w:val="211E1E"/>
          <w:sz w:val="22"/>
          <w:szCs w:val="22"/>
          <w:u w:val="single"/>
        </w:rPr>
        <w:t>National Center for Health Statistics data brief</w:t>
      </w:r>
      <w:r w:rsidRPr="008551C5">
        <w:rPr>
          <w:rFonts w:asciiTheme="minorHAnsi" w:hAnsiTheme="minorHAnsi" w:cstheme="minorHAnsi"/>
          <w:sz w:val="22"/>
          <w:szCs w:val="22"/>
        </w:rPr>
        <w:t xml:space="preserve">, </w:t>
      </w:r>
      <w:r w:rsidRPr="008551C5">
        <w:rPr>
          <w:rFonts w:asciiTheme="minorHAnsi" w:hAnsiTheme="minorHAnsi" w:cstheme="minorHAnsi"/>
          <w:color w:val="211E1E"/>
          <w:sz w:val="22"/>
          <w:szCs w:val="22"/>
        </w:rPr>
        <w:t>No. 202. Hyattsville, MD: National Center for Health Statistics.</w:t>
      </w:r>
    </w:p>
    <w:p w:rsidRPr="008551C5" w:rsidR="00A13866" w:rsidP="00A13866" w:rsidRDefault="00A13866" w14:paraId="2CDB1677" w14:textId="77777777">
      <w:pPr>
        <w:widowControl/>
        <w:ind w:left="720" w:hanging="720"/>
        <w:rPr>
          <w:rFonts w:asciiTheme="minorHAnsi" w:hAnsiTheme="minorHAnsi" w:cstheme="minorHAnsi"/>
          <w:color w:val="211E1E"/>
          <w:sz w:val="22"/>
          <w:szCs w:val="22"/>
        </w:rPr>
      </w:pPr>
    </w:p>
    <w:p w:rsidRPr="008551C5" w:rsidR="00A13866" w:rsidP="00A13866" w:rsidRDefault="00A13866" w14:paraId="6BF9AC78"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Copen CE, Chandra A, Febo-Vazquez I. 2016.  Sexual behavior, sexual attraction, and sexual orientation among adults aged 18–44 in the United States: Data from the 2011–2013 National Survey of Family Growth. </w:t>
      </w:r>
      <w:r w:rsidRPr="008551C5">
        <w:rPr>
          <w:rFonts w:asciiTheme="minorHAnsi" w:hAnsiTheme="minorHAnsi" w:cstheme="minorHAnsi"/>
          <w:color w:val="211E1E"/>
          <w:sz w:val="22"/>
          <w:szCs w:val="22"/>
          <w:u w:val="single"/>
        </w:rPr>
        <w:t>National Health Statistics Reports</w:t>
      </w:r>
      <w:r w:rsidRPr="008551C5">
        <w:rPr>
          <w:rFonts w:asciiTheme="minorHAnsi" w:hAnsiTheme="minorHAnsi" w:cstheme="minorHAnsi"/>
          <w:sz w:val="22"/>
          <w:szCs w:val="22"/>
        </w:rPr>
        <w:t xml:space="preserve"> No 88. Hyattsville, MD: National Center for Health Statistics. </w:t>
      </w:r>
      <w:r w:rsidRPr="008551C5">
        <w:rPr>
          <w:rFonts w:asciiTheme="minorHAnsi" w:hAnsiTheme="minorHAnsi" w:cstheme="minorHAnsi"/>
          <w:sz w:val="22"/>
          <w:szCs w:val="22"/>
          <w:lang w:val="en"/>
        </w:rPr>
        <w:t xml:space="preserve"> </w:t>
      </w:r>
    </w:p>
    <w:p w:rsidRPr="008551C5" w:rsidR="00A13866" w:rsidP="00A13866" w:rsidRDefault="00A13866" w14:paraId="645A5E3E" w14:textId="77777777">
      <w:pPr>
        <w:widowControl/>
        <w:ind w:left="720" w:hanging="720"/>
        <w:rPr>
          <w:rFonts w:asciiTheme="minorHAnsi" w:hAnsiTheme="minorHAnsi" w:cstheme="minorHAnsi"/>
          <w:color w:val="000000"/>
          <w:sz w:val="22"/>
          <w:szCs w:val="22"/>
        </w:rPr>
      </w:pPr>
    </w:p>
    <w:p w:rsidRPr="008551C5" w:rsidR="00A13866" w:rsidP="00A13866" w:rsidRDefault="00A13866" w14:paraId="79DE6B07" w14:textId="77777777">
      <w:pPr>
        <w:widowControl/>
        <w:ind w:left="720" w:hanging="720"/>
        <w:rPr>
          <w:rFonts w:asciiTheme="minorHAnsi" w:hAnsiTheme="minorHAnsi" w:cstheme="minorHAnsi"/>
          <w:color w:val="000000"/>
          <w:sz w:val="22"/>
          <w:szCs w:val="22"/>
        </w:rPr>
      </w:pPr>
      <w:r w:rsidRPr="008551C5">
        <w:rPr>
          <w:rFonts w:asciiTheme="minorHAnsi" w:hAnsiTheme="minorHAnsi" w:cstheme="minorHAnsi"/>
          <w:color w:val="000000"/>
          <w:sz w:val="22"/>
          <w:szCs w:val="22"/>
        </w:rPr>
        <w:t>Copen CE, Dittus PJ, Leichliter JS.  2016.  Confidentiality concerns and sexual and reproductive health care among adolescents and young adults aged 15–25. NCHS data brief, no 266. Hyattsville, MD: National Center for Health Statistics.</w:t>
      </w:r>
    </w:p>
    <w:p w:rsidRPr="008551C5" w:rsidR="00A13866" w:rsidP="00A13866" w:rsidRDefault="00A13866" w14:paraId="64BCEB12" w14:textId="77777777">
      <w:pPr>
        <w:widowControl/>
        <w:ind w:left="720" w:hanging="720"/>
        <w:rPr>
          <w:rFonts w:asciiTheme="minorHAnsi" w:hAnsiTheme="minorHAnsi" w:cstheme="minorHAnsi"/>
          <w:color w:val="000000"/>
          <w:sz w:val="22"/>
          <w:szCs w:val="22"/>
        </w:rPr>
      </w:pPr>
    </w:p>
    <w:p w:rsidRPr="008551C5" w:rsidR="00A13866" w:rsidP="00A13866" w:rsidRDefault="00A13866" w14:paraId="3E92F15F" w14:textId="77777777">
      <w:pPr>
        <w:ind w:left="720" w:hanging="720"/>
        <w:rPr>
          <w:rStyle w:val="title-text"/>
          <w:rFonts w:asciiTheme="minorHAnsi" w:hAnsiTheme="minorHAnsi" w:cstheme="minorHAnsi"/>
          <w:sz w:val="22"/>
          <w:szCs w:val="22"/>
        </w:rPr>
      </w:pPr>
      <w:r w:rsidRPr="008551C5">
        <w:rPr>
          <w:rStyle w:val="title-text"/>
          <w:rFonts w:asciiTheme="minorHAnsi" w:hAnsiTheme="minorHAnsi" w:cstheme="minorHAnsi"/>
          <w:sz w:val="22"/>
          <w:szCs w:val="22"/>
        </w:rPr>
        <w:t xml:space="preserve">Copen CE, Leichliter JS, Spicknall IH, Aral SO.  2019.  STI risk reduction strategies among US adolescents and adults with multiple opposite-sex sex partners or perceived partner non-monogamy, 2011-2017. Sex Transm Dis. 46(11):722-727. </w:t>
      </w:r>
      <w:r w:rsidRPr="008551C5">
        <w:rPr>
          <w:rFonts w:asciiTheme="minorHAnsi" w:hAnsiTheme="minorHAnsi" w:cstheme="minorHAnsi"/>
          <w:sz w:val="22"/>
          <w:szCs w:val="22"/>
        </w:rPr>
        <w:t>DOI:</w:t>
      </w:r>
      <w:r w:rsidRPr="008551C5">
        <w:rPr>
          <w:rFonts w:asciiTheme="minorHAnsi" w:hAnsiTheme="minorHAnsi" w:cstheme="minorHAnsi"/>
          <w:sz w:val="22"/>
          <w:szCs w:val="22"/>
          <w:lang w:val="en"/>
        </w:rPr>
        <w:t xml:space="preserve"> </w:t>
      </w:r>
      <w:r w:rsidRPr="008551C5">
        <w:rPr>
          <w:rStyle w:val="title-text"/>
          <w:rFonts w:asciiTheme="minorHAnsi" w:hAnsiTheme="minorHAnsi" w:cstheme="minorHAnsi"/>
          <w:sz w:val="22"/>
          <w:szCs w:val="22"/>
        </w:rPr>
        <w:t>10.1097/OLQ.0000000000001067.</w:t>
      </w:r>
    </w:p>
    <w:p w:rsidRPr="008551C5" w:rsidR="00A13866" w:rsidP="00A13866" w:rsidRDefault="00A13866" w14:paraId="2642AF91" w14:textId="77777777">
      <w:pPr>
        <w:widowControl/>
        <w:ind w:left="720" w:hanging="720"/>
        <w:rPr>
          <w:rFonts w:asciiTheme="minorHAnsi" w:hAnsiTheme="minorHAnsi" w:cstheme="minorHAnsi"/>
          <w:color w:val="000000"/>
          <w:sz w:val="22"/>
          <w:szCs w:val="22"/>
        </w:rPr>
      </w:pPr>
    </w:p>
    <w:p w:rsidRPr="008551C5" w:rsidR="00A13866" w:rsidP="00A13866" w:rsidRDefault="00A13866" w14:paraId="67561049" w14:textId="77777777">
      <w:pPr>
        <w:widowControl/>
        <w:ind w:left="720" w:hanging="720"/>
        <w:rPr>
          <w:rFonts w:asciiTheme="minorHAnsi" w:hAnsiTheme="minorHAnsi" w:cstheme="minorHAnsi"/>
          <w:color w:val="000000"/>
          <w:sz w:val="22"/>
          <w:szCs w:val="22"/>
          <w:lang w:val="en"/>
        </w:rPr>
      </w:pPr>
      <w:r w:rsidRPr="008551C5">
        <w:rPr>
          <w:rFonts w:asciiTheme="minorHAnsi" w:hAnsiTheme="minorHAnsi" w:cstheme="minorHAnsi"/>
          <w:color w:val="000000"/>
          <w:sz w:val="22"/>
          <w:szCs w:val="22"/>
          <w:lang w:val="en"/>
        </w:rPr>
        <w:t xml:space="preserve">Dahlhamer JM, Galinsky AM, Joestl SS, Ward BW.  2014. Sexual orientation in the 2013 National Health Interview Survey: A quality assessment. Vital Health Stat 2(169). </w:t>
      </w:r>
    </w:p>
    <w:p w:rsidRPr="008551C5" w:rsidR="00A13866" w:rsidP="00A13866" w:rsidRDefault="00A13866" w14:paraId="6BBBACB7" w14:textId="77777777">
      <w:pPr>
        <w:widowControl/>
        <w:ind w:left="720" w:hanging="720"/>
        <w:rPr>
          <w:rFonts w:asciiTheme="minorHAnsi" w:hAnsiTheme="minorHAnsi" w:cstheme="minorHAnsi"/>
          <w:color w:val="000000"/>
          <w:sz w:val="22"/>
          <w:szCs w:val="22"/>
          <w:lang w:val="en"/>
        </w:rPr>
      </w:pPr>
    </w:p>
    <w:p w:rsidRPr="008551C5" w:rsidR="00A13866" w:rsidP="00A13866" w:rsidRDefault="00A13866" w14:paraId="19DDCD69" w14:textId="77777777">
      <w:pPr>
        <w:widowControl/>
        <w:ind w:left="720" w:hanging="720"/>
        <w:rPr>
          <w:rFonts w:asciiTheme="minorHAnsi" w:hAnsiTheme="minorHAnsi" w:cstheme="minorHAnsi"/>
          <w:color w:val="000000"/>
          <w:sz w:val="22"/>
          <w:szCs w:val="22"/>
          <w:lang w:val="en"/>
        </w:rPr>
      </w:pPr>
      <w:r w:rsidRPr="008551C5">
        <w:rPr>
          <w:rFonts w:asciiTheme="minorHAnsi" w:hAnsiTheme="minorHAnsi" w:cstheme="minorHAnsi"/>
          <w:color w:val="000000"/>
          <w:sz w:val="22"/>
          <w:szCs w:val="22"/>
          <w:lang w:val="en"/>
        </w:rPr>
        <w:t xml:space="preserve">Daniels K, Abma JE. Unmarried men’s contraceptive use at recent sexual intercourse:  United States, 2011-2015.  2017.   </w:t>
      </w:r>
      <w:r w:rsidRPr="008551C5">
        <w:rPr>
          <w:rFonts w:asciiTheme="minorHAnsi" w:hAnsiTheme="minorHAnsi" w:cstheme="minorHAnsi"/>
          <w:color w:val="000000"/>
          <w:sz w:val="22"/>
          <w:szCs w:val="22"/>
          <w:u w:val="single"/>
          <w:lang w:val="en"/>
        </w:rPr>
        <w:t>NCHS Data Brief</w:t>
      </w:r>
      <w:r w:rsidRPr="008551C5">
        <w:rPr>
          <w:rFonts w:asciiTheme="minorHAnsi" w:hAnsiTheme="minorHAnsi" w:cstheme="minorHAnsi"/>
          <w:color w:val="000000"/>
          <w:sz w:val="22"/>
          <w:szCs w:val="22"/>
          <w:lang w:val="en"/>
        </w:rPr>
        <w:t xml:space="preserve"> No. 284. Hyattsville, MD: National Center for Health Statistics. </w:t>
      </w:r>
    </w:p>
    <w:p w:rsidRPr="008551C5" w:rsidR="00A13866" w:rsidP="00A13866" w:rsidRDefault="00A13866" w14:paraId="6D1E0265" w14:textId="77777777">
      <w:pPr>
        <w:widowControl/>
        <w:ind w:left="720" w:hanging="720"/>
        <w:rPr>
          <w:rFonts w:asciiTheme="minorHAnsi" w:hAnsiTheme="minorHAnsi" w:cstheme="minorHAnsi"/>
          <w:color w:val="000000"/>
          <w:sz w:val="22"/>
          <w:szCs w:val="22"/>
          <w:lang w:val="en"/>
        </w:rPr>
      </w:pPr>
    </w:p>
    <w:p w:rsidRPr="008551C5" w:rsidR="00A13866" w:rsidP="00A13866" w:rsidRDefault="00A13866" w14:paraId="334EC0F2" w14:textId="77777777">
      <w:pPr>
        <w:widowControl/>
        <w:ind w:left="720" w:hanging="720"/>
        <w:rPr>
          <w:rFonts w:asciiTheme="minorHAnsi" w:hAnsiTheme="minorHAnsi" w:cstheme="minorHAnsi"/>
          <w:color w:val="000000"/>
          <w:sz w:val="22"/>
          <w:szCs w:val="22"/>
          <w:lang w:val="en"/>
        </w:rPr>
      </w:pPr>
      <w:r w:rsidRPr="008551C5">
        <w:rPr>
          <w:rFonts w:asciiTheme="minorHAnsi" w:hAnsiTheme="minorHAnsi" w:cstheme="minorHAnsi"/>
          <w:color w:val="000000"/>
          <w:sz w:val="22"/>
          <w:szCs w:val="22"/>
          <w:lang w:val="en"/>
        </w:rPr>
        <w:t xml:space="preserve">Daniels K, Daugherty J, Jones J. Current contraceptive status among women aged 15–44: United States, 2011–2013. 2014.  </w:t>
      </w:r>
      <w:r w:rsidRPr="008551C5">
        <w:rPr>
          <w:rFonts w:asciiTheme="minorHAnsi" w:hAnsiTheme="minorHAnsi" w:cstheme="minorHAnsi"/>
          <w:color w:val="000000"/>
          <w:sz w:val="22"/>
          <w:szCs w:val="22"/>
          <w:u w:val="single"/>
          <w:lang w:val="en"/>
        </w:rPr>
        <w:t>NCHS Data Brief</w:t>
      </w:r>
      <w:r w:rsidRPr="008551C5">
        <w:rPr>
          <w:rFonts w:asciiTheme="minorHAnsi" w:hAnsiTheme="minorHAnsi" w:cstheme="minorHAnsi"/>
          <w:color w:val="000000"/>
          <w:sz w:val="22"/>
          <w:szCs w:val="22"/>
          <w:lang w:val="en"/>
        </w:rPr>
        <w:t xml:space="preserve"> No. 173. Hyattsville, MD: National Center for Health Statistics. </w:t>
      </w:r>
    </w:p>
    <w:p w:rsidRPr="008551C5" w:rsidR="00A13866" w:rsidP="00A13866" w:rsidRDefault="00A13866" w14:paraId="6F4CDF40" w14:textId="77777777">
      <w:pPr>
        <w:widowControl/>
        <w:ind w:left="720" w:hanging="720"/>
        <w:rPr>
          <w:rFonts w:asciiTheme="minorHAnsi" w:hAnsiTheme="minorHAnsi" w:cstheme="minorHAnsi"/>
          <w:color w:val="000000"/>
          <w:sz w:val="22"/>
          <w:szCs w:val="22"/>
          <w:lang w:val="en"/>
        </w:rPr>
      </w:pPr>
    </w:p>
    <w:p w:rsidRPr="008551C5" w:rsidR="00A13866" w:rsidP="00A13866" w:rsidRDefault="00A13866" w14:paraId="731D8432" w14:textId="77777777">
      <w:pPr>
        <w:widowControl/>
        <w:ind w:left="720" w:hanging="720"/>
        <w:rPr>
          <w:rFonts w:asciiTheme="minorHAnsi" w:hAnsiTheme="minorHAnsi" w:cstheme="minorHAnsi"/>
          <w:color w:val="000000"/>
          <w:sz w:val="22"/>
          <w:szCs w:val="22"/>
          <w:lang w:val="en"/>
        </w:rPr>
      </w:pPr>
      <w:r w:rsidRPr="008551C5">
        <w:rPr>
          <w:rFonts w:asciiTheme="minorHAnsi" w:hAnsiTheme="minorHAnsi" w:cstheme="minorHAnsi"/>
          <w:color w:val="211E1E"/>
          <w:sz w:val="22"/>
          <w:szCs w:val="22"/>
        </w:rPr>
        <w:t>Daniels K, Daugherty J, Jones J, Mosher W. 2015.  Current contraceptive use and variation by selected characteristics among women aged 15–44: United States, 2011–2013. National health statistics reports; no 86. Hyattsville, MD: National Center for Health Statistics.</w:t>
      </w:r>
    </w:p>
    <w:p w:rsidRPr="008551C5" w:rsidR="00A13866" w:rsidP="00A13866" w:rsidRDefault="00A13866" w14:paraId="4E656C5F" w14:textId="77777777">
      <w:pPr>
        <w:widowControl/>
        <w:rPr>
          <w:rFonts w:asciiTheme="minorHAnsi" w:hAnsiTheme="minorHAnsi" w:cstheme="minorHAnsi"/>
          <w:color w:val="000000"/>
          <w:sz w:val="22"/>
          <w:szCs w:val="22"/>
          <w:lang w:val="en"/>
        </w:rPr>
      </w:pPr>
    </w:p>
    <w:p w:rsidRPr="008551C5" w:rsidR="00A13866" w:rsidP="00A13866" w:rsidRDefault="00A13866" w14:paraId="23FB5C3E"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Darroch D, Landry D, Oslak S.  1999.  Sexual Partnership Patterns as a Behavioral Risk Factor for Sexually Transmitted Diseases.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31(5):228-236.</w:t>
      </w:r>
    </w:p>
    <w:p w:rsidRPr="008551C5" w:rsidR="00A13866" w:rsidP="00A13866" w:rsidRDefault="00A13866" w14:paraId="7D0E874B" w14:textId="77777777">
      <w:pPr>
        <w:ind w:left="720" w:hanging="720"/>
        <w:rPr>
          <w:rFonts w:asciiTheme="minorHAnsi" w:hAnsiTheme="minorHAnsi" w:cstheme="minorHAnsi"/>
          <w:sz w:val="22"/>
          <w:szCs w:val="22"/>
        </w:rPr>
      </w:pPr>
    </w:p>
    <w:p w:rsidRPr="008551C5" w:rsidR="00A13866" w:rsidP="00A13866" w:rsidRDefault="00A13866" w14:paraId="3169411B"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Davern M, Rockwood TH, Sherrod R, and Campbell S. </w:t>
      </w:r>
      <w:r w:rsidRPr="008551C5">
        <w:rPr>
          <w:rFonts w:asciiTheme="minorHAnsi" w:hAnsiTheme="minorHAnsi" w:cstheme="minorHAnsi"/>
          <w:b/>
          <w:sz w:val="22"/>
          <w:szCs w:val="22"/>
        </w:rPr>
        <w:t xml:space="preserve"> </w:t>
      </w:r>
      <w:r w:rsidRPr="008551C5">
        <w:rPr>
          <w:rFonts w:asciiTheme="minorHAnsi" w:hAnsiTheme="minorHAnsi" w:cstheme="minorHAnsi"/>
          <w:bCs/>
          <w:sz w:val="22"/>
          <w:szCs w:val="22"/>
        </w:rPr>
        <w:t>2003.</w:t>
      </w:r>
      <w:r w:rsidRPr="008551C5">
        <w:rPr>
          <w:rFonts w:asciiTheme="minorHAnsi" w:hAnsiTheme="minorHAnsi" w:cstheme="minorHAnsi"/>
          <w:b/>
          <w:sz w:val="22"/>
          <w:szCs w:val="22"/>
        </w:rPr>
        <w:t xml:space="preserve"> </w:t>
      </w:r>
      <w:r w:rsidRPr="008551C5">
        <w:rPr>
          <w:rStyle w:val="Strong"/>
          <w:rFonts w:asciiTheme="minorHAnsi" w:hAnsiTheme="minorHAnsi" w:cstheme="minorHAnsi"/>
          <w:b w:val="0"/>
          <w:bCs w:val="0"/>
          <w:sz w:val="22"/>
          <w:szCs w:val="22"/>
        </w:rPr>
        <w:t xml:space="preserve">Prepaid Monetary </w:t>
      </w:r>
      <w:r w:rsidRPr="008551C5">
        <w:rPr>
          <w:rStyle w:val="Strong"/>
          <w:rFonts w:asciiTheme="minorHAnsi" w:hAnsiTheme="minorHAnsi" w:cstheme="minorHAnsi"/>
          <w:b w:val="0"/>
          <w:bCs w:val="0"/>
          <w:sz w:val="22"/>
          <w:szCs w:val="22"/>
          <w:shd w:val="clear" w:color="auto" w:fill="FFFFFF"/>
        </w:rPr>
        <w:t>Incentives</w:t>
      </w:r>
      <w:r w:rsidRPr="008551C5">
        <w:rPr>
          <w:rStyle w:val="Strong"/>
          <w:rFonts w:asciiTheme="minorHAnsi" w:hAnsiTheme="minorHAnsi" w:cstheme="minorHAnsi"/>
          <w:b w:val="0"/>
          <w:bCs w:val="0"/>
          <w:sz w:val="22"/>
          <w:szCs w:val="22"/>
        </w:rPr>
        <w:t xml:space="preserve"> and Data Quality in Face-to-Face Interviews: Data from the 1996 </w:t>
      </w:r>
      <w:r w:rsidRPr="008551C5">
        <w:rPr>
          <w:rStyle w:val="Strong"/>
          <w:rFonts w:asciiTheme="minorHAnsi" w:hAnsiTheme="minorHAnsi" w:cstheme="minorHAnsi"/>
          <w:b w:val="0"/>
          <w:bCs w:val="0"/>
          <w:sz w:val="22"/>
          <w:szCs w:val="22"/>
          <w:shd w:val="clear" w:color="auto" w:fill="FFFFFF"/>
        </w:rPr>
        <w:t>Survey</w:t>
      </w:r>
      <w:r w:rsidRPr="008551C5">
        <w:rPr>
          <w:rStyle w:val="Strong"/>
          <w:rFonts w:asciiTheme="minorHAnsi" w:hAnsiTheme="minorHAnsi" w:cstheme="minorHAnsi"/>
          <w:b w:val="0"/>
          <w:bCs w:val="0"/>
          <w:sz w:val="22"/>
          <w:szCs w:val="22"/>
        </w:rPr>
        <w:t xml:space="preserve"> of Income and Program Participation Incentive Experiment. </w:t>
      </w:r>
      <w:r w:rsidRPr="008551C5">
        <w:rPr>
          <w:rFonts w:asciiTheme="minorHAnsi" w:hAnsiTheme="minorHAnsi" w:cstheme="minorHAnsi"/>
          <w:sz w:val="22"/>
          <w:szCs w:val="22"/>
          <w:u w:val="single"/>
        </w:rPr>
        <w:t>Public Opinion Quarterly</w:t>
      </w:r>
      <w:r w:rsidRPr="008551C5">
        <w:rPr>
          <w:rFonts w:asciiTheme="minorHAnsi" w:hAnsiTheme="minorHAnsi" w:cstheme="minorHAnsi"/>
          <w:sz w:val="22"/>
          <w:szCs w:val="22"/>
        </w:rPr>
        <w:t xml:space="preserve"> 67: 139-147.</w:t>
      </w:r>
      <w:r w:rsidRPr="008551C5">
        <w:rPr>
          <w:rFonts w:asciiTheme="minorHAnsi" w:hAnsiTheme="minorHAnsi" w:cstheme="minorHAnsi"/>
          <w:b/>
          <w:bCs/>
          <w:sz w:val="22"/>
          <w:szCs w:val="22"/>
        </w:rPr>
        <w:t xml:space="preserve"> </w:t>
      </w:r>
    </w:p>
    <w:p w:rsidRPr="008551C5" w:rsidR="00A13866" w:rsidP="00A13866" w:rsidRDefault="00A13866" w14:paraId="2DF38233" w14:textId="77777777">
      <w:pPr>
        <w:widowControl/>
        <w:ind w:left="720" w:hanging="720"/>
        <w:rPr>
          <w:rFonts w:asciiTheme="minorHAnsi" w:hAnsiTheme="minorHAnsi" w:cstheme="minorHAnsi"/>
          <w:sz w:val="22"/>
          <w:szCs w:val="22"/>
        </w:rPr>
      </w:pPr>
    </w:p>
    <w:p w:rsidRPr="008551C5" w:rsidR="00A13866" w:rsidP="00A13866" w:rsidRDefault="00A13866" w14:paraId="71D6ACC0"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D’Souza G, Cullen K, Bowie J, Thorpe R, Fakhry C.  2014. Differences in Oral Sexual Behaviors by Gender, Age, and Race Explain Observed Differences in Prevalence of Oral Human Papillomavirus Infection. </w:t>
      </w:r>
      <w:r w:rsidRPr="008551C5">
        <w:rPr>
          <w:rFonts w:asciiTheme="minorHAnsi" w:hAnsiTheme="minorHAnsi" w:cstheme="minorHAnsi"/>
          <w:sz w:val="22"/>
          <w:szCs w:val="22"/>
          <w:u w:val="single"/>
        </w:rPr>
        <w:t>PLoS ONE</w:t>
      </w:r>
      <w:r w:rsidRPr="008551C5">
        <w:rPr>
          <w:rFonts w:asciiTheme="minorHAnsi" w:hAnsiTheme="minorHAnsi" w:cstheme="minorHAnsi"/>
          <w:sz w:val="22"/>
          <w:szCs w:val="22"/>
        </w:rPr>
        <w:t xml:space="preserve"> 9(1): e86023. doi:10.1371/journal.pone.0086023</w:t>
      </w:r>
    </w:p>
    <w:p w:rsidRPr="008551C5" w:rsidR="00A13866" w:rsidP="00A13866" w:rsidRDefault="00A13866" w14:paraId="53AE33DD" w14:textId="77777777">
      <w:pPr>
        <w:widowControl/>
        <w:ind w:left="720" w:hanging="720"/>
        <w:rPr>
          <w:rFonts w:asciiTheme="minorHAnsi" w:hAnsiTheme="minorHAnsi" w:cstheme="minorHAnsi"/>
          <w:sz w:val="22"/>
          <w:szCs w:val="22"/>
        </w:rPr>
      </w:pPr>
    </w:p>
    <w:p w:rsidRPr="008551C5" w:rsidR="00A13866" w:rsidP="00A13866" w:rsidRDefault="00A13866" w14:paraId="5D0897B3"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Edwards S, Carne C. 1998. Oral Sex and the Transmission of Non-viral STIs. </w:t>
      </w:r>
      <w:r w:rsidRPr="008551C5">
        <w:rPr>
          <w:rFonts w:asciiTheme="minorHAnsi" w:hAnsiTheme="minorHAnsi" w:cstheme="minorHAnsi"/>
          <w:sz w:val="22"/>
          <w:szCs w:val="22"/>
          <w:u w:val="single"/>
        </w:rPr>
        <w:t>Sexually Transmitted Infections</w:t>
      </w:r>
      <w:r w:rsidRPr="008551C5">
        <w:rPr>
          <w:rFonts w:asciiTheme="minorHAnsi" w:hAnsiTheme="minorHAnsi" w:cstheme="minorHAnsi"/>
          <w:sz w:val="22"/>
          <w:szCs w:val="22"/>
        </w:rPr>
        <w:t xml:space="preserve"> 74:95-100.</w:t>
      </w:r>
    </w:p>
    <w:p w:rsidRPr="008551C5" w:rsidR="00A13866" w:rsidP="00A13866" w:rsidRDefault="00A13866" w14:paraId="2DB095E1" w14:textId="77777777">
      <w:pPr>
        <w:widowControl/>
        <w:ind w:left="720" w:hanging="720"/>
        <w:rPr>
          <w:rFonts w:asciiTheme="minorHAnsi" w:hAnsiTheme="minorHAnsi" w:cstheme="minorHAnsi"/>
          <w:sz w:val="22"/>
          <w:szCs w:val="22"/>
        </w:rPr>
      </w:pPr>
    </w:p>
    <w:p w:rsidRPr="008551C5" w:rsidR="00A13866" w:rsidP="00A13866" w:rsidRDefault="00A13866" w14:paraId="6A72A92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Eisenberg ML, Shindel AW, Smith JF, Breyer BN, Lipshultz LI. 2010. Socioeconomic, Anthropomorphic, and Demographic Predictors of Adult Sexual Activity in the United States: Data from the National Survey of Family Growth. </w:t>
      </w:r>
      <w:r w:rsidRPr="008551C5">
        <w:rPr>
          <w:rFonts w:asciiTheme="minorHAnsi" w:hAnsiTheme="minorHAnsi" w:cstheme="minorHAnsi"/>
          <w:sz w:val="22"/>
          <w:szCs w:val="22"/>
          <w:u w:val="single"/>
        </w:rPr>
        <w:t>Journal of Sexual Medicine</w:t>
      </w:r>
      <w:r w:rsidRPr="008551C5">
        <w:rPr>
          <w:rFonts w:asciiTheme="minorHAnsi" w:hAnsiTheme="minorHAnsi" w:cstheme="minorHAnsi"/>
          <w:sz w:val="22"/>
          <w:szCs w:val="22"/>
        </w:rPr>
        <w:t xml:space="preserve"> 7(1):50-8.</w:t>
      </w:r>
    </w:p>
    <w:p w:rsidRPr="008551C5" w:rsidR="00A13866" w:rsidP="00A13866" w:rsidRDefault="00A13866" w14:paraId="4BCF79BB" w14:textId="77777777">
      <w:pPr>
        <w:widowControl/>
        <w:ind w:left="720" w:hanging="720"/>
        <w:rPr>
          <w:rFonts w:asciiTheme="minorHAnsi" w:hAnsiTheme="minorHAnsi" w:cstheme="minorHAnsi"/>
          <w:strike/>
          <w:sz w:val="22"/>
          <w:szCs w:val="22"/>
        </w:rPr>
      </w:pPr>
    </w:p>
    <w:p w:rsidRPr="008551C5" w:rsidR="00A13866" w:rsidP="00A13866" w:rsidRDefault="00A13866" w14:paraId="717DE8DA" w14:textId="77777777">
      <w:pPr>
        <w:widowControl/>
        <w:ind w:left="720" w:hanging="720"/>
        <w:rPr>
          <w:rFonts w:asciiTheme="minorHAnsi" w:hAnsiTheme="minorHAnsi" w:cstheme="minorHAnsi"/>
          <w:sz w:val="22"/>
          <w:szCs w:val="22"/>
        </w:rPr>
      </w:pPr>
      <w:bookmarkStart w:name="OLE_LINK13" w:id="22"/>
      <w:r w:rsidRPr="008551C5">
        <w:rPr>
          <w:rFonts w:asciiTheme="minorHAnsi" w:hAnsiTheme="minorHAnsi" w:cstheme="minorHAnsi"/>
          <w:sz w:val="22"/>
          <w:szCs w:val="22"/>
        </w:rPr>
        <w:t>Eng TR, Butler WT, eds.  1997</w:t>
      </w:r>
      <w:bookmarkEnd w:id="22"/>
      <w:r w:rsidRPr="008551C5">
        <w:rPr>
          <w:rFonts w:asciiTheme="minorHAnsi" w:hAnsiTheme="minorHAnsi" w:cstheme="minorHAnsi"/>
          <w:sz w:val="22"/>
          <w:szCs w:val="22"/>
        </w:rPr>
        <w:t xml:space="preserve">.  </w:t>
      </w:r>
      <w:r w:rsidRPr="008551C5">
        <w:rPr>
          <w:rFonts w:asciiTheme="minorHAnsi" w:hAnsiTheme="minorHAnsi" w:cstheme="minorHAnsi"/>
          <w:sz w:val="22"/>
          <w:szCs w:val="22"/>
          <w:u w:val="single"/>
        </w:rPr>
        <w:t>The Hidden Epidemic: Confronting Sexually Transmitted Diseases</w:t>
      </w:r>
      <w:r w:rsidRPr="008551C5">
        <w:rPr>
          <w:rFonts w:asciiTheme="minorHAnsi" w:hAnsiTheme="minorHAnsi" w:cstheme="minorHAnsi"/>
          <w:sz w:val="22"/>
          <w:szCs w:val="22"/>
        </w:rPr>
        <w:t xml:space="preserve">.  Washington, DC: Institute of Medicine and National Academy Press.  </w:t>
      </w:r>
    </w:p>
    <w:p w:rsidRPr="008551C5" w:rsidR="00A13866" w:rsidP="00A13866" w:rsidRDefault="00A13866" w14:paraId="065ADEF2" w14:textId="77777777">
      <w:pPr>
        <w:widowControl/>
        <w:ind w:left="720" w:hanging="720"/>
        <w:rPr>
          <w:rFonts w:asciiTheme="minorHAnsi" w:hAnsiTheme="minorHAnsi" w:cstheme="minorHAnsi"/>
          <w:sz w:val="22"/>
          <w:szCs w:val="22"/>
        </w:rPr>
      </w:pPr>
    </w:p>
    <w:p w:rsidRPr="008551C5" w:rsidR="00A13866" w:rsidP="00A13866" w:rsidRDefault="00A13866" w14:paraId="6727A52E"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Everett BG, Higgins JA, Haider S, Carpenter E.  2019. Do sexual minorities receive appropriate sexual and reproductive health care and counseling? J Womens Health 28(1):53–62. DOI: 10.1089/jwh.2017.6866.</w:t>
      </w:r>
      <w:r w:rsidRPr="008551C5">
        <w:rPr>
          <w:rFonts w:asciiTheme="minorHAnsi" w:hAnsiTheme="minorHAnsi" w:cstheme="minorHAnsi"/>
          <w:sz w:val="22"/>
          <w:szCs w:val="22"/>
          <w:lang w:val="en"/>
        </w:rPr>
        <w:t xml:space="preserve"> </w:t>
      </w:r>
    </w:p>
    <w:p w:rsidRPr="008551C5" w:rsidR="00A13866" w:rsidP="00A13866" w:rsidRDefault="00A13866" w14:paraId="76F8C98C" w14:textId="77777777">
      <w:pPr>
        <w:widowControl/>
        <w:rPr>
          <w:rFonts w:asciiTheme="minorHAnsi" w:hAnsiTheme="minorHAnsi" w:cstheme="minorHAnsi"/>
          <w:sz w:val="22"/>
          <w:szCs w:val="22"/>
        </w:rPr>
      </w:pPr>
    </w:p>
    <w:p w:rsidRPr="008551C5" w:rsidR="00A13866" w:rsidP="00A13866" w:rsidRDefault="00A13866" w14:paraId="4158F90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Finer L, JE Darroch &amp; S Singh.  1999.  Sexual Partnership Patterns as a Behavioral Risk Factor for Sexually Transmitted Diseases.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31(5):228-236.</w:t>
      </w:r>
    </w:p>
    <w:p w:rsidRPr="008551C5" w:rsidR="00A13866" w:rsidP="00A13866" w:rsidRDefault="00A13866" w14:paraId="0D5603B8" w14:textId="77777777">
      <w:pPr>
        <w:widowControl/>
        <w:ind w:left="720" w:hanging="720"/>
        <w:rPr>
          <w:rFonts w:asciiTheme="minorHAnsi" w:hAnsiTheme="minorHAnsi" w:cstheme="minorHAnsi"/>
          <w:sz w:val="22"/>
          <w:szCs w:val="22"/>
        </w:rPr>
      </w:pPr>
    </w:p>
    <w:p w:rsidRPr="008551C5" w:rsidR="00A13866" w:rsidP="00A13866" w:rsidRDefault="00A13866" w14:paraId="37D96796"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8551C5">
        <w:rPr>
          <w:rFonts w:asciiTheme="minorHAnsi" w:hAnsiTheme="minorHAnsi" w:cstheme="minorHAnsi"/>
          <w:sz w:val="22"/>
          <w:szCs w:val="22"/>
        </w:rPr>
        <w:t xml:space="preserve">Ford C, Pence BW, Miller WC, Resnick MD, Bearinger LH, Pettingell S, Cohen M. 2005. Predicting Adolescents’ Longitudinal Risk for Sexually Transmitted Infection: Results from the National Longitudinal Study of Adolescent Health. </w:t>
      </w:r>
      <w:r w:rsidRPr="008551C5">
        <w:rPr>
          <w:rFonts w:asciiTheme="minorHAnsi" w:hAnsiTheme="minorHAnsi" w:cstheme="minorHAnsi"/>
          <w:sz w:val="22"/>
          <w:szCs w:val="22"/>
          <w:u w:val="single"/>
        </w:rPr>
        <w:t>Archives of Pediatrics and Adolescent Medicine</w:t>
      </w:r>
      <w:r w:rsidRPr="008551C5">
        <w:rPr>
          <w:rFonts w:asciiTheme="minorHAnsi" w:hAnsiTheme="minorHAnsi" w:cstheme="minorHAnsi"/>
          <w:sz w:val="22"/>
          <w:szCs w:val="22"/>
        </w:rPr>
        <w:t>. 159(July).</w:t>
      </w:r>
    </w:p>
    <w:p w:rsidRPr="008551C5" w:rsidR="00A13866" w:rsidP="00A13866" w:rsidRDefault="00A13866" w14:paraId="2A67B2BF" w14:textId="77777777">
      <w:pPr>
        <w:widowControl/>
        <w:ind w:left="720" w:hanging="720"/>
        <w:rPr>
          <w:rFonts w:asciiTheme="minorHAnsi" w:hAnsiTheme="minorHAnsi" w:cstheme="minorHAnsi"/>
          <w:sz w:val="22"/>
          <w:szCs w:val="22"/>
        </w:rPr>
      </w:pPr>
    </w:p>
    <w:p w:rsidRPr="008551C5" w:rsidR="00A13866" w:rsidP="00A13866" w:rsidRDefault="00A13866" w14:paraId="67410747"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Ford JL. 2011. Racial and Ethnic Disparities in Human Papillomavirus Awareness and Vaccination among Young Adult Women. </w:t>
      </w:r>
      <w:r w:rsidRPr="008551C5">
        <w:rPr>
          <w:rFonts w:asciiTheme="minorHAnsi" w:hAnsiTheme="minorHAnsi" w:cstheme="minorHAnsi"/>
          <w:sz w:val="22"/>
          <w:szCs w:val="22"/>
          <w:u w:val="single"/>
        </w:rPr>
        <w:t>Public Health Nursing</w:t>
      </w:r>
      <w:r w:rsidRPr="008551C5">
        <w:rPr>
          <w:rFonts w:asciiTheme="minorHAnsi" w:hAnsiTheme="minorHAnsi" w:cstheme="minorHAnsi"/>
          <w:sz w:val="22"/>
          <w:szCs w:val="22"/>
        </w:rPr>
        <w:t xml:space="preserve"> 28(6):485-93. </w:t>
      </w:r>
    </w:p>
    <w:p w:rsidRPr="008551C5" w:rsidR="00A13866" w:rsidP="00A13866" w:rsidRDefault="00A13866" w14:paraId="44C109FB" w14:textId="77777777">
      <w:pPr>
        <w:widowControl/>
        <w:ind w:left="720" w:hanging="720"/>
        <w:rPr>
          <w:rFonts w:asciiTheme="minorHAnsi" w:hAnsiTheme="minorHAnsi" w:cstheme="minorHAnsi"/>
          <w:sz w:val="22"/>
          <w:szCs w:val="22"/>
        </w:rPr>
      </w:pPr>
    </w:p>
    <w:p w:rsidRPr="008551C5" w:rsidR="00A13866" w:rsidP="00A13866" w:rsidRDefault="00A13866" w14:paraId="3CA8BE3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Freeman P, Walker BC, Harris DR, et al.  2011. Methamphetamine use and risk for HIV among young men who have sex with men in 8 US cities. </w:t>
      </w:r>
      <w:r w:rsidRPr="008551C5">
        <w:rPr>
          <w:rFonts w:asciiTheme="minorHAnsi" w:hAnsiTheme="minorHAnsi" w:cstheme="minorHAnsi"/>
          <w:sz w:val="22"/>
          <w:szCs w:val="22"/>
          <w:u w:val="single"/>
        </w:rPr>
        <w:t>Archives of Pediatric and Adolescent Medicine</w:t>
      </w:r>
      <w:r w:rsidRPr="008551C5">
        <w:rPr>
          <w:rFonts w:asciiTheme="minorHAnsi" w:hAnsiTheme="minorHAnsi" w:cstheme="minorHAnsi"/>
          <w:sz w:val="22"/>
          <w:szCs w:val="22"/>
        </w:rPr>
        <w:t xml:space="preserve">. 165(8):736-740. </w:t>
      </w:r>
    </w:p>
    <w:p w:rsidRPr="008551C5" w:rsidR="00A13866" w:rsidP="00A13866" w:rsidRDefault="00A13866" w14:paraId="3095601A" w14:textId="77777777">
      <w:pPr>
        <w:widowControl/>
        <w:ind w:left="720" w:hanging="720"/>
        <w:rPr>
          <w:rFonts w:asciiTheme="minorHAnsi" w:hAnsiTheme="minorHAnsi" w:cstheme="minorHAnsi"/>
          <w:sz w:val="22"/>
          <w:szCs w:val="22"/>
        </w:rPr>
      </w:pPr>
    </w:p>
    <w:p w:rsidRPr="008551C5" w:rsidR="00A13866" w:rsidP="00A13866" w:rsidRDefault="00A13866" w14:paraId="6D949A69"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Fryer CD, Hirsch R, Porter KS et al. 2007.  Drug use and sexual behaviors reported by adults: United States, 1999–2002.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384. Hyattsville, MD: National Center for Health Statistics.</w:t>
      </w:r>
    </w:p>
    <w:p w:rsidRPr="008551C5" w:rsidR="00A13866" w:rsidP="00A13866" w:rsidRDefault="00A13866" w14:paraId="78F4AD98" w14:textId="77777777">
      <w:pPr>
        <w:widowControl/>
        <w:ind w:left="720" w:hanging="720"/>
        <w:rPr>
          <w:rFonts w:asciiTheme="minorHAnsi" w:hAnsiTheme="minorHAnsi" w:cstheme="minorHAnsi"/>
          <w:sz w:val="22"/>
          <w:szCs w:val="22"/>
        </w:rPr>
      </w:pPr>
    </w:p>
    <w:p w:rsidRPr="008551C5" w:rsidR="00A13866" w:rsidP="00A13866" w:rsidRDefault="00A13866" w14:paraId="5DB49F5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Fu H, Darroch JE, Henshaw SK, Kolb E.  1998.  Measuring the Extent of Abortion Underreporting in the 1995 NSFG.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30(3):128-33, 8. </w:t>
      </w:r>
    </w:p>
    <w:p w:rsidRPr="008551C5" w:rsidR="00A13866" w:rsidP="00A13866" w:rsidRDefault="00A13866" w14:paraId="7552E2CA" w14:textId="77777777">
      <w:pPr>
        <w:widowControl/>
        <w:ind w:left="720" w:hanging="720"/>
        <w:rPr>
          <w:rFonts w:asciiTheme="minorHAnsi" w:hAnsiTheme="minorHAnsi" w:cstheme="minorHAnsi"/>
          <w:sz w:val="22"/>
          <w:szCs w:val="22"/>
        </w:rPr>
      </w:pPr>
    </w:p>
    <w:p w:rsidRPr="008551C5" w:rsidR="00A13866" w:rsidP="00A13866" w:rsidRDefault="00A13866" w14:paraId="07D35313"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Gates GJ. 2010. </w:t>
      </w:r>
      <w:r w:rsidRPr="008551C5">
        <w:rPr>
          <w:rFonts w:asciiTheme="minorHAnsi" w:hAnsiTheme="minorHAnsi" w:cstheme="minorHAnsi"/>
          <w:sz w:val="22"/>
          <w:szCs w:val="22"/>
          <w:u w:val="single"/>
        </w:rPr>
        <w:t>Sexual minorities in the 2008 General Social Survey: Coming out and demographic characteristics</w:t>
      </w:r>
      <w:r w:rsidRPr="008551C5">
        <w:rPr>
          <w:rFonts w:asciiTheme="minorHAnsi" w:hAnsiTheme="minorHAnsi" w:cstheme="minorHAnsi"/>
          <w:sz w:val="22"/>
          <w:szCs w:val="22"/>
        </w:rPr>
        <w:t xml:space="preserve">. The Williams Institute. </w:t>
      </w:r>
    </w:p>
    <w:p w:rsidRPr="008551C5" w:rsidR="00A13866" w:rsidP="00A13866" w:rsidRDefault="00A13866" w14:paraId="5126C4C3" w14:textId="77777777">
      <w:pPr>
        <w:widowControl/>
        <w:ind w:left="720" w:hanging="720"/>
        <w:rPr>
          <w:rFonts w:asciiTheme="minorHAnsi" w:hAnsiTheme="minorHAnsi" w:cstheme="minorHAnsi"/>
          <w:sz w:val="22"/>
          <w:szCs w:val="22"/>
        </w:rPr>
      </w:pPr>
    </w:p>
    <w:p w:rsidRPr="008551C5" w:rsidR="00A13866" w:rsidP="00A13866" w:rsidRDefault="00A13866" w14:paraId="575743E8"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German, D, Nguyen, TQ, Ogbue, CP, Flynn, C.  2015. Condomless anal intercourse among males and females at high risk for heterosexual HIV infection.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42(6): 317-23.</w:t>
      </w:r>
    </w:p>
    <w:p w:rsidRPr="008551C5" w:rsidR="00A13866" w:rsidP="00A13866" w:rsidRDefault="00A13866" w14:paraId="49D4F7AB" w14:textId="77777777">
      <w:pPr>
        <w:pStyle w:val="NoSpacing"/>
        <w:ind w:left="720" w:hanging="720"/>
        <w:rPr>
          <w:rFonts w:asciiTheme="minorHAnsi" w:hAnsiTheme="minorHAnsi" w:cstheme="minorHAnsi"/>
          <w:sz w:val="22"/>
          <w:szCs w:val="22"/>
        </w:rPr>
      </w:pPr>
    </w:p>
    <w:p w:rsidRPr="008551C5" w:rsidR="00A13866" w:rsidP="00A13866" w:rsidRDefault="00A13866" w14:paraId="0A2E338A"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Gibson-Davis C, Rackin H. 2014. Marriage or Carriage? Trends in Union Context and Birth Type by Education. </w:t>
      </w:r>
      <w:r w:rsidRPr="008551C5">
        <w:rPr>
          <w:rFonts w:asciiTheme="minorHAnsi" w:hAnsiTheme="minorHAnsi" w:cstheme="minorHAnsi"/>
          <w:sz w:val="22"/>
          <w:szCs w:val="22"/>
          <w:u w:val="single"/>
        </w:rPr>
        <w:t>Journal of Marriage and Family</w:t>
      </w:r>
      <w:r w:rsidRPr="008551C5">
        <w:rPr>
          <w:rFonts w:asciiTheme="minorHAnsi" w:hAnsiTheme="minorHAnsi" w:cstheme="minorHAnsi"/>
          <w:sz w:val="22"/>
          <w:szCs w:val="22"/>
        </w:rPr>
        <w:t xml:space="preserve"> 76:506-19.</w:t>
      </w:r>
    </w:p>
    <w:p w:rsidRPr="008551C5" w:rsidR="00A13866" w:rsidP="00A13866" w:rsidRDefault="00A13866" w14:paraId="297BF57F" w14:textId="77777777">
      <w:pPr>
        <w:widowControl/>
        <w:ind w:left="720" w:hanging="720"/>
        <w:rPr>
          <w:rFonts w:asciiTheme="minorHAnsi" w:hAnsiTheme="minorHAnsi" w:cstheme="minorHAnsi"/>
          <w:sz w:val="22"/>
          <w:szCs w:val="22"/>
        </w:rPr>
      </w:pPr>
    </w:p>
    <w:p w:rsidRPr="008551C5" w:rsidR="00A13866" w:rsidP="00A13866" w:rsidRDefault="00A13866" w14:paraId="1385E41A"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Gillum RF, Sullins DP. 2008. Cigarette smoking during pregnancy: Independent associations with religious participation. </w:t>
      </w:r>
      <w:r w:rsidRPr="008551C5">
        <w:rPr>
          <w:rFonts w:asciiTheme="minorHAnsi" w:hAnsiTheme="minorHAnsi" w:cstheme="minorHAnsi"/>
          <w:sz w:val="22"/>
          <w:szCs w:val="22"/>
          <w:u w:val="single"/>
        </w:rPr>
        <w:t>Southern Medical Journal</w:t>
      </w:r>
      <w:r w:rsidRPr="008551C5">
        <w:rPr>
          <w:rFonts w:asciiTheme="minorHAnsi" w:hAnsiTheme="minorHAnsi" w:cstheme="minorHAnsi"/>
          <w:sz w:val="22"/>
          <w:szCs w:val="22"/>
        </w:rPr>
        <w:t xml:space="preserve"> 101(7):686-692.</w:t>
      </w:r>
    </w:p>
    <w:p w:rsidRPr="008551C5" w:rsidR="00A13866" w:rsidP="00A13866" w:rsidRDefault="00A13866" w14:paraId="128C808E" w14:textId="77777777">
      <w:pPr>
        <w:widowControl/>
        <w:ind w:left="720" w:hanging="720"/>
        <w:rPr>
          <w:rFonts w:asciiTheme="minorHAnsi" w:hAnsiTheme="minorHAnsi" w:cstheme="minorHAnsi"/>
          <w:sz w:val="22"/>
          <w:szCs w:val="22"/>
        </w:rPr>
      </w:pPr>
    </w:p>
    <w:p w:rsidRPr="008551C5" w:rsidR="00A13866" w:rsidP="00A13866" w:rsidRDefault="00A13866" w14:paraId="332C8986"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Goodwin PY, Mosher WD, Chandra A. 2010.  Marriage and cohabitation in the United States: A statistical portrait based on Cycle 6 (2002) of the National Survey of Family Growth. </w:t>
      </w:r>
      <w:r w:rsidRPr="008551C5">
        <w:rPr>
          <w:rFonts w:asciiTheme="minorHAnsi" w:hAnsiTheme="minorHAnsi" w:cstheme="minorHAnsi"/>
          <w:sz w:val="22"/>
          <w:szCs w:val="22"/>
          <w:u w:val="single"/>
        </w:rPr>
        <w:t>Vital Health Stat</w:t>
      </w:r>
      <w:r w:rsidRPr="008551C5">
        <w:rPr>
          <w:rFonts w:asciiTheme="minorHAnsi" w:hAnsiTheme="minorHAnsi" w:cstheme="minorHAnsi"/>
          <w:sz w:val="22"/>
          <w:szCs w:val="22"/>
        </w:rPr>
        <w:t xml:space="preserve"> 23(28). Hyattsville, MD: National Center for Health Statistics. </w:t>
      </w:r>
    </w:p>
    <w:p w:rsidRPr="008551C5" w:rsidR="00A13866" w:rsidP="00A13866" w:rsidRDefault="00A13866" w14:paraId="4EA4AD86" w14:textId="77777777">
      <w:pPr>
        <w:ind w:left="720" w:hanging="720"/>
        <w:rPr>
          <w:rFonts w:asciiTheme="minorHAnsi" w:hAnsiTheme="minorHAnsi" w:cstheme="minorHAnsi"/>
          <w:sz w:val="22"/>
          <w:szCs w:val="22"/>
        </w:rPr>
      </w:pPr>
    </w:p>
    <w:p w:rsidRPr="008551C5" w:rsidR="00A13866" w:rsidP="00A13866" w:rsidRDefault="00A13866" w14:paraId="1EA1D156"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Groves R, Benson G, Mosher W, et al.  2005.  Plan and Operation of Cycle 6 of the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1(42). Hyattsville, MD: National Center for Health Statistics.  Available at: </w:t>
      </w:r>
      <w:hyperlink w:history="1" r:id="rId33">
        <w:r w:rsidRPr="008551C5">
          <w:rPr>
            <w:rStyle w:val="Hyperlink"/>
            <w:rFonts w:asciiTheme="minorHAnsi" w:hAnsiTheme="minorHAnsi" w:cstheme="minorHAnsi"/>
            <w:sz w:val="22"/>
            <w:szCs w:val="22"/>
          </w:rPr>
          <w:t>http://www.cdc.gov/nchs/data/series/sr_01/sr01_042.pdf</w:t>
        </w:r>
      </w:hyperlink>
      <w:r w:rsidRPr="008551C5">
        <w:rPr>
          <w:rFonts w:asciiTheme="minorHAnsi" w:hAnsiTheme="minorHAnsi" w:cstheme="minorHAnsi"/>
          <w:sz w:val="22"/>
          <w:szCs w:val="22"/>
        </w:rPr>
        <w:t xml:space="preserve">. </w:t>
      </w:r>
    </w:p>
    <w:p w:rsidRPr="008551C5" w:rsidR="00A13866" w:rsidP="00A13866" w:rsidRDefault="00A13866" w14:paraId="40E89A0C" w14:textId="77777777">
      <w:pPr>
        <w:tabs>
          <w:tab w:val="left" w:pos="-1440"/>
        </w:tabs>
        <w:ind w:left="720" w:hanging="720"/>
        <w:rPr>
          <w:rFonts w:asciiTheme="minorHAnsi" w:hAnsiTheme="minorHAnsi" w:cstheme="minorHAnsi"/>
          <w:color w:val="000000"/>
          <w:sz w:val="22"/>
          <w:szCs w:val="22"/>
        </w:rPr>
      </w:pPr>
    </w:p>
    <w:p w:rsidRPr="008551C5" w:rsidR="00A13866" w:rsidP="00A13866" w:rsidRDefault="00A13866" w14:paraId="366A94FA"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Groves RM, Couper MP, Presser S, et al.  2006.  </w:t>
      </w:r>
      <w:r w:rsidRPr="008551C5">
        <w:rPr>
          <w:rStyle w:val="Strong"/>
          <w:rFonts w:asciiTheme="minorHAnsi" w:hAnsiTheme="minorHAnsi" w:cstheme="minorHAnsi"/>
          <w:sz w:val="22"/>
          <w:szCs w:val="22"/>
        </w:rPr>
        <w:t xml:space="preserve">Experiments in Producing Nonresponse Bias. </w:t>
      </w:r>
      <w:r w:rsidRPr="008551C5">
        <w:rPr>
          <w:rFonts w:asciiTheme="minorHAnsi" w:hAnsiTheme="minorHAnsi" w:cstheme="minorHAnsi"/>
          <w:sz w:val="22"/>
          <w:szCs w:val="22"/>
          <w:u w:val="single"/>
        </w:rPr>
        <w:t>Public Opinion Quarterly</w:t>
      </w:r>
      <w:r w:rsidRPr="008551C5">
        <w:rPr>
          <w:rFonts w:asciiTheme="minorHAnsi" w:hAnsiTheme="minorHAnsi" w:cstheme="minorHAnsi"/>
          <w:sz w:val="22"/>
          <w:szCs w:val="22"/>
        </w:rPr>
        <w:t xml:space="preserve"> 70: 720-736. 2006.</w:t>
      </w:r>
    </w:p>
    <w:p w:rsidRPr="008551C5" w:rsidR="00A13866" w:rsidP="00A13866" w:rsidRDefault="00A13866" w14:paraId="31E213C3" w14:textId="77777777">
      <w:pPr>
        <w:ind w:left="720" w:hanging="720"/>
        <w:rPr>
          <w:rFonts w:asciiTheme="minorHAnsi" w:hAnsiTheme="minorHAnsi" w:cstheme="minorHAnsi"/>
          <w:sz w:val="22"/>
          <w:szCs w:val="22"/>
        </w:rPr>
      </w:pPr>
    </w:p>
    <w:p w:rsidRPr="008551C5" w:rsidR="00A13866" w:rsidP="00A13866" w:rsidRDefault="00A13866" w14:paraId="491CEA9E"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Groves R, Heeringa SG.  2006. Responsive Design for Household Surveys: Tools for actively controlling survey errors and costs.  </w:t>
      </w:r>
      <w:r w:rsidRPr="008551C5">
        <w:rPr>
          <w:rFonts w:asciiTheme="minorHAnsi" w:hAnsiTheme="minorHAnsi" w:cstheme="minorHAnsi"/>
          <w:sz w:val="22"/>
          <w:szCs w:val="22"/>
          <w:u w:val="single"/>
        </w:rPr>
        <w:t>Journal of the Royal Statistical Society</w:t>
      </w:r>
      <w:r w:rsidRPr="008551C5">
        <w:rPr>
          <w:rFonts w:asciiTheme="minorHAnsi" w:hAnsiTheme="minorHAnsi" w:cstheme="minorHAnsi"/>
          <w:sz w:val="22"/>
          <w:szCs w:val="22"/>
        </w:rPr>
        <w:t xml:space="preserve"> A169, Part 3: 439-457. </w:t>
      </w:r>
    </w:p>
    <w:p w:rsidRPr="008551C5" w:rsidR="00A13866" w:rsidP="00A13866" w:rsidRDefault="00A13866" w14:paraId="756193E0" w14:textId="77777777">
      <w:pPr>
        <w:ind w:left="720" w:hanging="720"/>
        <w:rPr>
          <w:rFonts w:asciiTheme="minorHAnsi" w:hAnsiTheme="minorHAnsi" w:cstheme="minorHAnsi"/>
          <w:sz w:val="22"/>
          <w:szCs w:val="22"/>
        </w:rPr>
      </w:pPr>
    </w:p>
    <w:p w:rsidRPr="008551C5" w:rsidR="00A13866" w:rsidP="00A13866" w:rsidRDefault="00A13866" w14:paraId="3B72E878"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Groves R, Mosher WD, et al.  2009.  Planning and Development of the Continuous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1(48).  Hyattsville, MD: National Center for Health Statistics. 2009.  Available at: </w:t>
      </w:r>
      <w:hyperlink w:history="1" r:id="rId34">
        <w:r w:rsidRPr="008551C5">
          <w:rPr>
            <w:rStyle w:val="Hyperlink"/>
            <w:rFonts w:asciiTheme="minorHAnsi" w:hAnsiTheme="minorHAnsi" w:cstheme="minorHAnsi"/>
            <w:sz w:val="22"/>
            <w:szCs w:val="22"/>
          </w:rPr>
          <w:t>http://www.cdc.gov/nchs/data/series/sr_01/sr01_048.pdf</w:t>
        </w:r>
      </w:hyperlink>
      <w:r w:rsidRPr="008551C5">
        <w:rPr>
          <w:rFonts w:asciiTheme="minorHAnsi" w:hAnsiTheme="minorHAnsi" w:cstheme="minorHAnsi"/>
          <w:sz w:val="22"/>
          <w:szCs w:val="22"/>
        </w:rPr>
        <w:t>.</w:t>
      </w:r>
    </w:p>
    <w:p w:rsidRPr="008551C5" w:rsidR="00A13866" w:rsidP="00A13866" w:rsidRDefault="00A13866" w14:paraId="424D133E" w14:textId="77777777">
      <w:pPr>
        <w:widowControl/>
        <w:ind w:left="720" w:hanging="720"/>
        <w:rPr>
          <w:rFonts w:asciiTheme="minorHAnsi" w:hAnsiTheme="minorHAnsi" w:cstheme="minorHAnsi"/>
          <w:sz w:val="22"/>
          <w:szCs w:val="22"/>
        </w:rPr>
      </w:pPr>
    </w:p>
    <w:p w:rsidRPr="008551C5" w:rsidR="00A13866" w:rsidP="00A13866" w:rsidRDefault="00A13866" w14:paraId="21E80E96" w14:textId="77777777">
      <w:pPr>
        <w:widowControl/>
        <w:ind w:left="720" w:hanging="720"/>
        <w:rPr>
          <w:rStyle w:val="Hyperlink"/>
          <w:rFonts w:asciiTheme="minorHAnsi" w:hAnsiTheme="minorHAnsi" w:eastAsiaTheme="minorHAnsi" w:cstheme="minorHAnsi"/>
          <w:sz w:val="22"/>
          <w:szCs w:val="22"/>
        </w:rPr>
      </w:pPr>
      <w:r w:rsidRPr="008551C5">
        <w:rPr>
          <w:rFonts w:asciiTheme="minorHAnsi" w:hAnsiTheme="minorHAnsi" w:cstheme="minorHAnsi"/>
          <w:sz w:val="22"/>
          <w:szCs w:val="22"/>
        </w:rPr>
        <w:t xml:space="preserve">Haderxhanaj, LT; Gift, TL; Loosier, PS; Cramer, RC; Leichliter, JS.  2014.  Trends in Receipt of Sexually Transmitted Disease Services Among Women 15 to 44 Years Old in the United States, 2002 to 2006–2010. </w:t>
      </w:r>
      <w:r w:rsidRPr="008551C5">
        <w:rPr>
          <w:rFonts w:asciiTheme="minorHAnsi" w:hAnsiTheme="minorHAnsi" w:cstheme="minorHAnsi"/>
          <w:sz w:val="22"/>
          <w:szCs w:val="22"/>
          <w:u w:val="single"/>
        </w:rPr>
        <w:t xml:space="preserve"> Sexually Transmitted Diseases.</w:t>
      </w:r>
      <w:r w:rsidRPr="008551C5">
        <w:rPr>
          <w:rFonts w:asciiTheme="minorHAnsi" w:hAnsiTheme="minorHAnsi" w:eastAsiaTheme="minorHAnsi" w:cstheme="minorHAnsi"/>
          <w:sz w:val="22"/>
          <w:szCs w:val="22"/>
        </w:rPr>
        <w:t xml:space="preserve"> </w:t>
      </w:r>
      <w:hyperlink w:history="1" r:id="rId35">
        <w:r w:rsidRPr="008551C5">
          <w:rPr>
            <w:rFonts w:asciiTheme="minorHAnsi" w:hAnsiTheme="minorHAnsi" w:cstheme="minorHAnsi"/>
            <w:sz w:val="22"/>
            <w:szCs w:val="22"/>
          </w:rPr>
          <w:t>41 (1): 67–73</w:t>
        </w:r>
      </w:hyperlink>
      <w:r w:rsidRPr="008551C5">
        <w:rPr>
          <w:rFonts w:asciiTheme="minorHAnsi" w:hAnsiTheme="minorHAnsi" w:cstheme="minorHAnsi"/>
          <w:sz w:val="22"/>
          <w:szCs w:val="22"/>
        </w:rPr>
        <w:t>.</w:t>
      </w:r>
    </w:p>
    <w:p w:rsidRPr="008551C5" w:rsidR="00A13866" w:rsidP="00A13866" w:rsidRDefault="00A13866" w14:paraId="5E845AE5" w14:textId="77777777">
      <w:pPr>
        <w:widowControl/>
        <w:ind w:left="720" w:hanging="720"/>
        <w:rPr>
          <w:rFonts w:asciiTheme="minorHAnsi" w:hAnsiTheme="minorHAnsi" w:cstheme="minorHAnsi"/>
          <w:sz w:val="22"/>
          <w:szCs w:val="22"/>
        </w:rPr>
      </w:pPr>
    </w:p>
    <w:p w:rsidRPr="008551C5" w:rsidR="00A13866" w:rsidP="00A13866" w:rsidRDefault="00A13866" w14:paraId="169FEB3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Haderxhanaj LT, Leichliter JS, Aral SO, Chesson HW. 2014a. Sex in a Lifetime: Sexual Behaviors in the United States by Lifetime Number of Sex Partners, 2006-2010. </w:t>
      </w:r>
      <w:r w:rsidRPr="008551C5">
        <w:rPr>
          <w:rFonts w:asciiTheme="minorHAnsi" w:hAnsiTheme="minorHAnsi" w:cstheme="minorHAnsi"/>
          <w:sz w:val="22"/>
          <w:szCs w:val="22"/>
          <w:u w:val="single"/>
        </w:rPr>
        <w:t>Sexually Transmitted Disease</w:t>
      </w:r>
      <w:r w:rsidRPr="008551C5">
        <w:rPr>
          <w:rFonts w:asciiTheme="minorHAnsi" w:hAnsiTheme="minorHAnsi" w:cstheme="minorHAnsi"/>
          <w:sz w:val="22"/>
          <w:szCs w:val="22"/>
        </w:rPr>
        <w:t>s 41(6):345-52.</w:t>
      </w:r>
    </w:p>
    <w:p w:rsidRPr="008551C5" w:rsidR="00A13866" w:rsidP="00A13866" w:rsidRDefault="00A13866" w14:paraId="100E9524" w14:textId="77777777">
      <w:pPr>
        <w:widowControl/>
        <w:ind w:left="720" w:hanging="720"/>
        <w:rPr>
          <w:rFonts w:asciiTheme="minorHAnsi" w:hAnsiTheme="minorHAnsi" w:cstheme="minorHAnsi"/>
          <w:sz w:val="22"/>
          <w:szCs w:val="22"/>
        </w:rPr>
      </w:pPr>
    </w:p>
    <w:p w:rsidRPr="008551C5" w:rsidR="00A13866" w:rsidP="00A13866" w:rsidRDefault="00A13866" w14:paraId="1A7C2D7E"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Haderxhanaj LT, Dittus PJ, Loosier PS, Rhodes SD, Bloom FR, Leichliter JS. 2014b. Acculturation, Sexual Behaviors, and Health Care Access Among Hispanic and Non-Hispanic White Adolescents and Young Adults in the United States, 2006-2010. </w:t>
      </w:r>
      <w:r w:rsidRPr="008551C5">
        <w:rPr>
          <w:rFonts w:asciiTheme="minorHAnsi" w:hAnsiTheme="minorHAnsi" w:cstheme="minorHAnsi"/>
          <w:sz w:val="22"/>
          <w:szCs w:val="22"/>
          <w:u w:val="single"/>
        </w:rPr>
        <w:t>Journal of Adolescent Health</w:t>
      </w:r>
      <w:r w:rsidRPr="008551C5">
        <w:rPr>
          <w:rFonts w:asciiTheme="minorHAnsi" w:hAnsiTheme="minorHAnsi" w:cstheme="minorHAnsi"/>
          <w:sz w:val="22"/>
          <w:szCs w:val="22"/>
        </w:rPr>
        <w:t xml:space="preserve"> 55(5):716-19.</w:t>
      </w:r>
    </w:p>
    <w:p w:rsidRPr="008551C5" w:rsidR="00A13866" w:rsidP="00A13866" w:rsidRDefault="00A13866" w14:paraId="28EA0315" w14:textId="77777777">
      <w:pPr>
        <w:widowControl/>
        <w:ind w:left="720" w:hanging="720"/>
        <w:rPr>
          <w:rFonts w:asciiTheme="minorHAnsi" w:hAnsiTheme="minorHAnsi" w:cstheme="minorHAnsi"/>
          <w:sz w:val="22"/>
          <w:szCs w:val="22"/>
        </w:rPr>
      </w:pPr>
    </w:p>
    <w:p w:rsidRPr="008551C5" w:rsidR="00A13866" w:rsidP="00A13866" w:rsidRDefault="00A13866" w14:paraId="3484FAF8"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Haderxhanaj, LT, Rhodes, SD, Romaguera, RA, Bloom, FR, Leichliter, JS.  2015.  Hispanic men in the United States: Acculturation and recent sexual behavior with female partners, 2006-2010. </w:t>
      </w:r>
      <w:r w:rsidRPr="008551C5">
        <w:rPr>
          <w:rFonts w:asciiTheme="minorHAnsi" w:hAnsiTheme="minorHAnsi" w:cstheme="minorHAnsi"/>
          <w:sz w:val="22"/>
          <w:szCs w:val="22"/>
          <w:u w:val="single"/>
        </w:rPr>
        <w:t>American Journal of Public Health 105(8)</w:t>
      </w:r>
      <w:r w:rsidRPr="008551C5">
        <w:rPr>
          <w:rFonts w:asciiTheme="minorHAnsi" w:hAnsiTheme="minorHAnsi" w:cstheme="minorHAnsi"/>
          <w:sz w:val="22"/>
          <w:szCs w:val="22"/>
        </w:rPr>
        <w:t>: e126-33.</w:t>
      </w:r>
    </w:p>
    <w:p w:rsidRPr="008551C5" w:rsidR="00A13866" w:rsidP="00A13866" w:rsidRDefault="00A13866" w14:paraId="6C9CDABA" w14:textId="77777777">
      <w:pPr>
        <w:pStyle w:val="NoSpacing"/>
        <w:ind w:left="720" w:hanging="720"/>
        <w:rPr>
          <w:rFonts w:asciiTheme="minorHAnsi" w:hAnsiTheme="minorHAnsi" w:cstheme="minorHAnsi"/>
          <w:sz w:val="22"/>
          <w:szCs w:val="22"/>
        </w:rPr>
      </w:pPr>
    </w:p>
    <w:p w:rsidRPr="008551C5" w:rsidR="00A13866" w:rsidP="00A13866" w:rsidRDefault="00A13866" w14:paraId="587FFB38"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Hall KS, Moreau C, Trussell J. 2013. The Link Between Substance Use and Reproductive Health Service Utilization Among Young US Women. </w:t>
      </w:r>
      <w:r w:rsidRPr="008551C5">
        <w:rPr>
          <w:rFonts w:asciiTheme="minorHAnsi" w:hAnsiTheme="minorHAnsi" w:cstheme="minorHAnsi"/>
          <w:sz w:val="22"/>
          <w:szCs w:val="22"/>
          <w:u w:val="single"/>
        </w:rPr>
        <w:t>Substance Abuse</w:t>
      </w:r>
      <w:r w:rsidRPr="008551C5">
        <w:rPr>
          <w:rFonts w:asciiTheme="minorHAnsi" w:hAnsiTheme="minorHAnsi" w:cstheme="minorHAnsi"/>
          <w:sz w:val="22"/>
          <w:szCs w:val="22"/>
        </w:rPr>
        <w:t xml:space="preserve"> 34:283-1.</w:t>
      </w:r>
    </w:p>
    <w:p w:rsidRPr="008551C5" w:rsidR="00A13866" w:rsidP="00A13866" w:rsidRDefault="00A13866" w14:paraId="40D571AE" w14:textId="77777777">
      <w:pPr>
        <w:widowControl/>
        <w:ind w:left="720" w:hanging="720"/>
        <w:rPr>
          <w:rFonts w:asciiTheme="minorHAnsi" w:hAnsiTheme="minorHAnsi" w:cstheme="minorHAnsi"/>
          <w:sz w:val="22"/>
          <w:szCs w:val="22"/>
        </w:rPr>
      </w:pPr>
    </w:p>
    <w:p w:rsidRPr="008551C5" w:rsidR="00A13866" w:rsidP="00A13866" w:rsidRDefault="00A13866" w14:paraId="5776EDFC"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Halpern-Felsher BL, Cornell JL, Kropp KY, Tschann JM. 2005.  Oral versus Vaginal Sex among Adolescents: Perceptions, Attitudes, and Behavior.  </w:t>
      </w:r>
      <w:r w:rsidRPr="008551C5">
        <w:rPr>
          <w:rFonts w:asciiTheme="minorHAnsi" w:hAnsiTheme="minorHAnsi" w:cstheme="minorHAnsi"/>
          <w:sz w:val="22"/>
          <w:szCs w:val="22"/>
          <w:u w:val="single"/>
        </w:rPr>
        <w:t xml:space="preserve">Pediatrics </w:t>
      </w:r>
      <w:r w:rsidRPr="008551C5">
        <w:rPr>
          <w:rFonts w:asciiTheme="minorHAnsi" w:hAnsiTheme="minorHAnsi" w:cstheme="minorHAnsi"/>
          <w:sz w:val="22"/>
          <w:szCs w:val="22"/>
        </w:rPr>
        <w:t>115:845-851.</w:t>
      </w:r>
    </w:p>
    <w:p w:rsidRPr="008551C5" w:rsidR="00A13866" w:rsidP="00A13866" w:rsidRDefault="00A13866" w14:paraId="0894CB38" w14:textId="77777777">
      <w:pPr>
        <w:widowControl/>
        <w:ind w:left="720" w:hanging="720"/>
        <w:rPr>
          <w:rFonts w:asciiTheme="minorHAnsi" w:hAnsiTheme="minorHAnsi" w:cstheme="minorHAnsi"/>
          <w:sz w:val="22"/>
          <w:szCs w:val="22"/>
        </w:rPr>
      </w:pPr>
    </w:p>
    <w:p w:rsidRPr="008551C5" w:rsidR="00A13866" w:rsidP="00A13866" w:rsidRDefault="00A13866" w14:paraId="4F44E1A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Hamilton DT, Morris M. 2010. Consistency of self-reported sexual behavior in surveys. </w:t>
      </w:r>
      <w:r w:rsidRPr="008551C5">
        <w:rPr>
          <w:rFonts w:asciiTheme="minorHAnsi" w:hAnsiTheme="minorHAnsi" w:cstheme="minorHAnsi"/>
          <w:sz w:val="22"/>
          <w:szCs w:val="22"/>
          <w:u w:val="single"/>
        </w:rPr>
        <w:t>Archives of Sexual Behavior.</w:t>
      </w:r>
      <w:r w:rsidRPr="008551C5">
        <w:rPr>
          <w:rFonts w:asciiTheme="minorHAnsi" w:hAnsiTheme="minorHAnsi" w:cstheme="minorHAnsi"/>
          <w:sz w:val="22"/>
          <w:szCs w:val="22"/>
        </w:rPr>
        <w:t xml:space="preserve"> 39(4):842– 60. </w:t>
      </w:r>
    </w:p>
    <w:p w:rsidRPr="008551C5" w:rsidR="00A13866" w:rsidP="00A13866" w:rsidRDefault="00A13866" w14:paraId="2092D536" w14:textId="77777777">
      <w:pPr>
        <w:widowControl/>
        <w:ind w:left="720" w:hanging="720"/>
        <w:rPr>
          <w:rFonts w:asciiTheme="minorHAnsi" w:hAnsiTheme="minorHAnsi" w:cstheme="minorHAnsi"/>
          <w:sz w:val="22"/>
          <w:szCs w:val="22"/>
        </w:rPr>
      </w:pPr>
    </w:p>
    <w:p w:rsidRPr="008551C5" w:rsidR="00A13866" w:rsidP="00A13866" w:rsidRDefault="00A13866" w14:paraId="3C0A3BE7" w14:textId="77777777">
      <w:pPr>
        <w:widowControl/>
        <w:ind w:left="720" w:hanging="720"/>
        <w:rPr>
          <w:rFonts w:asciiTheme="minorHAnsi" w:hAnsiTheme="minorHAnsi" w:cstheme="minorHAnsi"/>
          <w:color w:val="141412"/>
          <w:sz w:val="22"/>
          <w:szCs w:val="22"/>
          <w:shd w:val="clear" w:color="auto" w:fill="FFFFFF"/>
        </w:rPr>
      </w:pPr>
      <w:r w:rsidRPr="008551C5">
        <w:rPr>
          <w:rFonts w:asciiTheme="minorHAnsi" w:hAnsiTheme="minorHAnsi" w:cstheme="minorHAnsi"/>
          <w:color w:val="141412"/>
          <w:sz w:val="22"/>
          <w:szCs w:val="22"/>
          <w:shd w:val="clear" w:color="auto" w:fill="FFFFFF"/>
        </w:rPr>
        <w:t>Hatcher RA, Nelson AL, Trussell J, Cwiak C, et al., eds. 2018. Contraceptive technology. 21st ed. New York, NY: Ayer Company Publishers, Inc.,</w:t>
      </w:r>
    </w:p>
    <w:p w:rsidRPr="008551C5" w:rsidR="00A13866" w:rsidP="00A13866" w:rsidRDefault="00A13866" w14:paraId="6FA8EB1A" w14:textId="77777777">
      <w:pPr>
        <w:widowControl/>
        <w:rPr>
          <w:rFonts w:asciiTheme="minorHAnsi" w:hAnsiTheme="minorHAnsi" w:cstheme="minorHAnsi"/>
          <w:sz w:val="22"/>
          <w:szCs w:val="22"/>
        </w:rPr>
      </w:pPr>
    </w:p>
    <w:p w:rsidRPr="008551C5" w:rsidR="00A13866" w:rsidP="00A13866" w:rsidRDefault="00A13866" w14:paraId="3E502AA6"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Hawkins DA.  2001.  Oral Sex and HIV Transmission.  </w:t>
      </w:r>
      <w:r w:rsidRPr="008551C5">
        <w:rPr>
          <w:rFonts w:asciiTheme="minorHAnsi" w:hAnsiTheme="minorHAnsi" w:cstheme="minorHAnsi"/>
          <w:sz w:val="22"/>
          <w:szCs w:val="22"/>
          <w:u w:val="single"/>
        </w:rPr>
        <w:t>Sexually Transmitted Infections</w:t>
      </w:r>
      <w:r w:rsidRPr="008551C5">
        <w:rPr>
          <w:rFonts w:asciiTheme="minorHAnsi" w:hAnsiTheme="minorHAnsi" w:cstheme="minorHAnsi"/>
          <w:sz w:val="22"/>
          <w:szCs w:val="22"/>
        </w:rPr>
        <w:t xml:space="preserve"> 77:307-308.</w:t>
      </w:r>
    </w:p>
    <w:p w:rsidRPr="008551C5" w:rsidR="00A13866" w:rsidP="00A13866" w:rsidRDefault="00A13866" w14:paraId="2480F2DB" w14:textId="77777777">
      <w:pPr>
        <w:rPr>
          <w:rFonts w:asciiTheme="minorHAnsi" w:hAnsiTheme="minorHAnsi" w:cstheme="minorHAnsi"/>
          <w:sz w:val="22"/>
          <w:szCs w:val="22"/>
        </w:rPr>
      </w:pPr>
    </w:p>
    <w:p w:rsidRPr="008551C5" w:rsidR="00A13866" w:rsidP="00A13866" w:rsidRDefault="00883A8E" w14:paraId="01F17927" w14:textId="77777777">
      <w:pPr>
        <w:ind w:left="720" w:hanging="720"/>
        <w:rPr>
          <w:rFonts w:asciiTheme="minorHAnsi" w:hAnsiTheme="minorHAnsi" w:cstheme="minorHAnsi"/>
          <w:sz w:val="22"/>
          <w:szCs w:val="22"/>
        </w:rPr>
      </w:pPr>
      <w:hyperlink w:history="1" r:id="rId36">
        <w:r w:rsidRPr="008551C5" w:rsidR="00A13866">
          <w:rPr>
            <w:rStyle w:val="title-text"/>
            <w:rFonts w:asciiTheme="minorHAnsi" w:hAnsiTheme="minorHAnsi" w:cstheme="minorHAnsi"/>
            <w:sz w:val="22"/>
            <w:szCs w:val="22"/>
          </w:rPr>
          <w:t>Hawks L</w:t>
        </w:r>
      </w:hyperlink>
      <w:r w:rsidRPr="008551C5" w:rsidR="00A13866">
        <w:rPr>
          <w:rStyle w:val="title-text"/>
          <w:rFonts w:asciiTheme="minorHAnsi" w:hAnsiTheme="minorHAnsi" w:cstheme="minorHAnsi"/>
          <w:sz w:val="22"/>
          <w:szCs w:val="22"/>
        </w:rPr>
        <w:t xml:space="preserve">, </w:t>
      </w:r>
      <w:hyperlink w:history="1" r:id="rId37">
        <w:r w:rsidRPr="008551C5" w:rsidR="00A13866">
          <w:rPr>
            <w:rStyle w:val="title-text"/>
            <w:rFonts w:asciiTheme="minorHAnsi" w:hAnsiTheme="minorHAnsi" w:cstheme="minorHAnsi"/>
            <w:sz w:val="22"/>
            <w:szCs w:val="22"/>
          </w:rPr>
          <w:t>Woolhandler S</w:t>
        </w:r>
      </w:hyperlink>
      <w:r w:rsidRPr="008551C5" w:rsidR="00A13866">
        <w:rPr>
          <w:rStyle w:val="title-text"/>
          <w:rFonts w:asciiTheme="minorHAnsi" w:hAnsiTheme="minorHAnsi" w:cstheme="minorHAnsi"/>
          <w:sz w:val="22"/>
          <w:szCs w:val="22"/>
        </w:rPr>
        <w:t xml:space="preserve">, </w:t>
      </w:r>
      <w:hyperlink w:history="1" r:id="rId38">
        <w:r w:rsidRPr="008551C5" w:rsidR="00A13866">
          <w:rPr>
            <w:rStyle w:val="title-text"/>
            <w:rFonts w:asciiTheme="minorHAnsi" w:hAnsiTheme="minorHAnsi" w:cstheme="minorHAnsi"/>
            <w:sz w:val="22"/>
            <w:szCs w:val="22"/>
          </w:rPr>
          <w:t>Himmelstein DU</w:t>
        </w:r>
      </w:hyperlink>
      <w:r w:rsidRPr="008551C5" w:rsidR="00A13866">
        <w:rPr>
          <w:rStyle w:val="title-text"/>
          <w:rFonts w:asciiTheme="minorHAnsi" w:hAnsiTheme="minorHAnsi" w:cstheme="minorHAnsi"/>
          <w:sz w:val="22"/>
          <w:szCs w:val="22"/>
        </w:rPr>
        <w:t xml:space="preserve">, </w:t>
      </w:r>
      <w:hyperlink w:history="1" r:id="rId39">
        <w:r w:rsidRPr="008551C5" w:rsidR="00A13866">
          <w:rPr>
            <w:rStyle w:val="title-text"/>
            <w:rFonts w:asciiTheme="minorHAnsi" w:hAnsiTheme="minorHAnsi" w:cstheme="minorHAnsi"/>
            <w:sz w:val="22"/>
            <w:szCs w:val="22"/>
          </w:rPr>
          <w:t>Bor DH</w:t>
        </w:r>
      </w:hyperlink>
      <w:r w:rsidRPr="008551C5" w:rsidR="00A13866">
        <w:rPr>
          <w:rStyle w:val="title-text"/>
          <w:rFonts w:asciiTheme="minorHAnsi" w:hAnsiTheme="minorHAnsi" w:cstheme="minorHAnsi"/>
          <w:sz w:val="22"/>
          <w:szCs w:val="22"/>
        </w:rPr>
        <w:t xml:space="preserve">, </w:t>
      </w:r>
      <w:hyperlink w:history="1" r:id="rId40">
        <w:r w:rsidRPr="008551C5" w:rsidR="00A13866">
          <w:rPr>
            <w:rStyle w:val="title-text"/>
            <w:rFonts w:asciiTheme="minorHAnsi" w:hAnsiTheme="minorHAnsi" w:cstheme="minorHAnsi"/>
            <w:sz w:val="22"/>
            <w:szCs w:val="22"/>
          </w:rPr>
          <w:t>Gaffney A</w:t>
        </w:r>
      </w:hyperlink>
      <w:r w:rsidRPr="008551C5" w:rsidR="00A13866">
        <w:rPr>
          <w:rStyle w:val="title-text"/>
          <w:rFonts w:asciiTheme="minorHAnsi" w:hAnsiTheme="minorHAnsi" w:cstheme="minorHAnsi"/>
          <w:sz w:val="22"/>
          <w:szCs w:val="22"/>
        </w:rPr>
        <w:t xml:space="preserve">, </w:t>
      </w:r>
      <w:hyperlink w:history="1" r:id="rId41">
        <w:r w:rsidRPr="008551C5" w:rsidR="00A13866">
          <w:rPr>
            <w:rStyle w:val="title-text"/>
            <w:rFonts w:asciiTheme="minorHAnsi" w:hAnsiTheme="minorHAnsi" w:cstheme="minorHAnsi"/>
            <w:sz w:val="22"/>
            <w:szCs w:val="22"/>
          </w:rPr>
          <w:t>McCormick D</w:t>
        </w:r>
      </w:hyperlink>
      <w:r w:rsidRPr="008551C5" w:rsidR="00A13866">
        <w:rPr>
          <w:rStyle w:val="title-text"/>
          <w:rFonts w:asciiTheme="minorHAnsi" w:hAnsiTheme="minorHAnsi" w:cstheme="minorHAnsi"/>
          <w:sz w:val="22"/>
          <w:szCs w:val="22"/>
        </w:rPr>
        <w:t>. 2019.  Association between forced sexual initiation and health outcomes among us women. JAMA Intern Med.  DOI: 10.1001/jamainternmed.2019.3500.</w:t>
      </w:r>
    </w:p>
    <w:p w:rsidRPr="008551C5" w:rsidR="00A13866" w:rsidP="00A13866" w:rsidRDefault="00A13866" w14:paraId="27C18C7C" w14:textId="77777777">
      <w:pPr>
        <w:widowControl/>
        <w:ind w:left="720" w:hanging="720"/>
        <w:rPr>
          <w:rFonts w:asciiTheme="minorHAnsi" w:hAnsiTheme="minorHAnsi" w:cstheme="minorHAnsi"/>
          <w:sz w:val="22"/>
          <w:szCs w:val="22"/>
        </w:rPr>
      </w:pPr>
    </w:p>
    <w:p w:rsidRPr="008551C5" w:rsidR="00A13866" w:rsidP="00A13866" w:rsidRDefault="00A13866" w14:paraId="4737372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Hewitt M, Devesa S, Breen N. 2002. Papanicolaou Test Use Among Reproductive-Age Women at High Risk for Cervical Cancer: Analyses of the 1995 National Survey of Family Growth.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92(4):666-669. </w:t>
      </w:r>
    </w:p>
    <w:p w:rsidRPr="008551C5" w:rsidR="00A13866" w:rsidP="00A13866" w:rsidRDefault="00A13866" w14:paraId="2C4CD127" w14:textId="77777777">
      <w:pPr>
        <w:widowControl/>
        <w:ind w:left="720" w:hanging="720"/>
        <w:rPr>
          <w:rFonts w:asciiTheme="minorHAnsi" w:hAnsiTheme="minorHAnsi" w:cstheme="minorHAnsi"/>
          <w:sz w:val="22"/>
          <w:szCs w:val="22"/>
        </w:rPr>
      </w:pPr>
    </w:p>
    <w:p w:rsidRPr="008551C5" w:rsidR="00A13866" w:rsidP="00A13866" w:rsidRDefault="00A13866" w14:paraId="1A009F29"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Hillis SD, Owens LM, Marchbanks PA, Amsterdam LF, MacKenzie WR.  1997.  Recurrent Chlamydial Infections Increase the Risks of Hospitalization for Ectopic Pregnancy and Pelvic Inflammatory Disease.  </w:t>
      </w:r>
      <w:r w:rsidRPr="008551C5">
        <w:rPr>
          <w:rFonts w:asciiTheme="minorHAnsi" w:hAnsiTheme="minorHAnsi" w:cstheme="minorHAnsi"/>
          <w:sz w:val="22"/>
          <w:szCs w:val="22"/>
          <w:u w:val="single"/>
        </w:rPr>
        <w:t>American Journal of Obstetrics and Gynecology</w:t>
      </w:r>
      <w:r w:rsidRPr="008551C5">
        <w:rPr>
          <w:rFonts w:asciiTheme="minorHAnsi" w:hAnsiTheme="minorHAnsi" w:cstheme="minorHAnsi"/>
          <w:sz w:val="22"/>
          <w:szCs w:val="22"/>
        </w:rPr>
        <w:t xml:space="preserve"> 176 (1 Pt 1):103-7.</w:t>
      </w:r>
    </w:p>
    <w:p w:rsidRPr="008551C5" w:rsidR="00A13866" w:rsidP="00A13866" w:rsidRDefault="00A13866" w14:paraId="24E6A124" w14:textId="77777777">
      <w:pPr>
        <w:rPr>
          <w:rFonts w:asciiTheme="minorHAnsi" w:hAnsiTheme="minorHAnsi" w:cstheme="minorHAnsi"/>
          <w:sz w:val="22"/>
          <w:szCs w:val="22"/>
        </w:rPr>
      </w:pPr>
    </w:p>
    <w:p w:rsidRPr="008551C5" w:rsidR="00A13866" w:rsidP="00A13866" w:rsidRDefault="00A13866" w14:paraId="3EC0B33A"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Hoover, K.W., Tao, K.L., Peters, P.J. 2017. Nationally representative prevalence estimates of gay, bisexual, and other men who have sex with men who have served in the U.S. military. </w:t>
      </w:r>
      <w:r w:rsidRPr="008551C5">
        <w:rPr>
          <w:rFonts w:asciiTheme="minorHAnsi" w:hAnsiTheme="minorHAnsi" w:cstheme="minorHAnsi"/>
          <w:sz w:val="22"/>
          <w:szCs w:val="22"/>
          <w:u w:val="single"/>
        </w:rPr>
        <w:t>PLoS One.</w:t>
      </w:r>
      <w:r w:rsidRPr="008551C5">
        <w:rPr>
          <w:rFonts w:asciiTheme="minorHAnsi" w:hAnsiTheme="minorHAnsi" w:cstheme="minorHAnsi"/>
          <w:sz w:val="22"/>
          <w:szCs w:val="22"/>
        </w:rPr>
        <w:t xml:space="preserve"> 12(8): e0182222 </w:t>
      </w:r>
    </w:p>
    <w:p w:rsidRPr="008551C5" w:rsidR="00A13866" w:rsidP="00A13866" w:rsidRDefault="00A13866" w14:paraId="01A8870D" w14:textId="77777777">
      <w:pPr>
        <w:widowControl/>
        <w:rPr>
          <w:rFonts w:asciiTheme="minorHAnsi" w:hAnsiTheme="minorHAnsi" w:cstheme="minorHAnsi"/>
          <w:sz w:val="22"/>
          <w:szCs w:val="22"/>
        </w:rPr>
      </w:pPr>
    </w:p>
    <w:p w:rsidRPr="008551C5" w:rsidR="00A13866" w:rsidP="00A13866" w:rsidRDefault="00A13866" w14:paraId="39519C1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Institute of Medicine. 2011.  The health of lesbian, gay, bisexual and transgender people: Building a better understanding.  The National Academies Press.  Washington , D.C.</w:t>
      </w:r>
    </w:p>
    <w:p w:rsidRPr="008551C5" w:rsidR="00A13866" w:rsidP="00A13866" w:rsidRDefault="00A13866" w14:paraId="0ADD27AC" w14:textId="77777777">
      <w:pPr>
        <w:widowControl/>
        <w:ind w:left="720" w:hanging="720"/>
        <w:rPr>
          <w:rFonts w:asciiTheme="minorHAnsi" w:hAnsiTheme="minorHAnsi" w:cstheme="minorHAnsi"/>
          <w:sz w:val="22"/>
          <w:szCs w:val="22"/>
        </w:rPr>
      </w:pPr>
    </w:p>
    <w:p w:rsidRPr="008551C5" w:rsidR="00A13866" w:rsidP="00A13866" w:rsidRDefault="00A13866" w14:paraId="6147BB36"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Jagannathan R.  2001.  Relying on Surveys to Understand Abortion Behavior: Some Cautionary Evidence.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91(11):1825-1831.</w:t>
      </w:r>
    </w:p>
    <w:p w:rsidRPr="008551C5" w:rsidR="00A13866" w:rsidP="00A13866" w:rsidRDefault="00A13866" w14:paraId="17E5FCA2" w14:textId="77777777">
      <w:pPr>
        <w:widowControl/>
        <w:ind w:left="720" w:hanging="720"/>
        <w:rPr>
          <w:rFonts w:asciiTheme="minorHAnsi" w:hAnsiTheme="minorHAnsi" w:cstheme="minorHAnsi"/>
          <w:sz w:val="22"/>
          <w:szCs w:val="22"/>
        </w:rPr>
      </w:pPr>
    </w:p>
    <w:p w:rsidRPr="008551C5" w:rsidR="00A13866" w:rsidP="00A13866" w:rsidRDefault="00A13866" w14:paraId="6D19898C" w14:textId="77777777">
      <w:pPr>
        <w:tabs>
          <w:tab w:val="left" w:pos="-1440"/>
        </w:tabs>
        <w:ind w:left="720" w:right="-360" w:hanging="720"/>
        <w:rPr>
          <w:rFonts w:asciiTheme="minorHAnsi" w:hAnsiTheme="minorHAnsi" w:cstheme="minorHAnsi"/>
          <w:sz w:val="22"/>
          <w:szCs w:val="22"/>
        </w:rPr>
      </w:pPr>
      <w:r w:rsidRPr="008551C5">
        <w:rPr>
          <w:rFonts w:asciiTheme="minorHAnsi" w:hAnsiTheme="minorHAnsi" w:cstheme="minorHAnsi"/>
          <w:sz w:val="22"/>
          <w:szCs w:val="22"/>
        </w:rPr>
        <w:t xml:space="preserve">Jeffries WL, Dodge B.  2007.  Male Bisexuality and Condom Use at Last Encounter: Results from a National Survey.  </w:t>
      </w:r>
      <w:r w:rsidRPr="008551C5">
        <w:rPr>
          <w:rFonts w:asciiTheme="minorHAnsi" w:hAnsiTheme="minorHAnsi" w:cstheme="minorHAnsi"/>
          <w:sz w:val="22"/>
          <w:szCs w:val="22"/>
          <w:u w:val="single"/>
        </w:rPr>
        <w:t>Journal of Sex Research</w:t>
      </w:r>
      <w:r w:rsidRPr="008551C5">
        <w:rPr>
          <w:rFonts w:asciiTheme="minorHAnsi" w:hAnsiTheme="minorHAnsi" w:cstheme="minorHAnsi"/>
          <w:sz w:val="22"/>
          <w:szCs w:val="22"/>
        </w:rPr>
        <w:t xml:space="preserve"> 44(3):  278-289, Aug 2007.</w:t>
      </w:r>
    </w:p>
    <w:p w:rsidRPr="008551C5" w:rsidR="00A13866" w:rsidP="00A13866" w:rsidRDefault="00A13866" w14:paraId="07BEB0A1" w14:textId="77777777">
      <w:pPr>
        <w:tabs>
          <w:tab w:val="left" w:pos="-1440"/>
        </w:tabs>
        <w:ind w:left="720" w:hanging="720"/>
        <w:rPr>
          <w:rFonts w:asciiTheme="minorHAnsi" w:hAnsiTheme="minorHAnsi" w:cstheme="minorHAnsi"/>
          <w:sz w:val="22"/>
          <w:szCs w:val="22"/>
        </w:rPr>
      </w:pPr>
    </w:p>
    <w:p w:rsidRPr="008551C5" w:rsidR="00A13866" w:rsidP="00A13866" w:rsidRDefault="00A13866" w14:paraId="398AD233"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Jeffries WL.  2009.  A comparative analysis of homosexual behaviors, sex role preferences, and anal sex proclivities in Latino and non-Latino men.  </w:t>
      </w:r>
      <w:r w:rsidRPr="008551C5">
        <w:rPr>
          <w:rFonts w:asciiTheme="minorHAnsi" w:hAnsiTheme="minorHAnsi" w:cstheme="minorHAnsi"/>
          <w:sz w:val="22"/>
          <w:szCs w:val="22"/>
          <w:u w:val="single"/>
        </w:rPr>
        <w:t>Archives of Sexual Behavior</w:t>
      </w:r>
      <w:r w:rsidRPr="008551C5">
        <w:rPr>
          <w:rFonts w:asciiTheme="minorHAnsi" w:hAnsiTheme="minorHAnsi" w:cstheme="minorHAnsi"/>
          <w:sz w:val="22"/>
          <w:szCs w:val="22"/>
        </w:rPr>
        <w:t>. 35(5): 765-778.</w:t>
      </w:r>
    </w:p>
    <w:p w:rsidRPr="008551C5" w:rsidR="00A13866" w:rsidP="00A13866" w:rsidRDefault="00A13866" w14:paraId="1DAED3D5" w14:textId="77777777">
      <w:pPr>
        <w:tabs>
          <w:tab w:val="left" w:pos="-1440"/>
        </w:tabs>
        <w:ind w:left="720" w:right="-360" w:hanging="720"/>
        <w:rPr>
          <w:rFonts w:asciiTheme="minorHAnsi" w:hAnsiTheme="minorHAnsi" w:cstheme="minorHAnsi"/>
          <w:sz w:val="22"/>
          <w:szCs w:val="22"/>
        </w:rPr>
      </w:pPr>
    </w:p>
    <w:p w:rsidRPr="008551C5" w:rsidR="00A13866" w:rsidP="00A13866" w:rsidRDefault="00A13866" w14:paraId="57015C08" w14:textId="77777777">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Jeffries WL. 2009.  Sociodemographic, sexual and HIV and other sexually transmitted disease risk profiles of nonhomosexual-identified men who have sex with men. </w:t>
      </w:r>
      <w:r w:rsidRPr="008551C5">
        <w:rPr>
          <w:rFonts w:asciiTheme="minorHAnsi" w:hAnsiTheme="minorHAnsi" w:cstheme="minorHAnsi"/>
          <w:color w:val="auto"/>
          <w:sz w:val="22"/>
          <w:szCs w:val="22"/>
          <w:u w:val="single"/>
        </w:rPr>
        <w:t>American Journal of Public Health</w:t>
      </w:r>
      <w:r w:rsidRPr="008551C5">
        <w:rPr>
          <w:rFonts w:asciiTheme="minorHAnsi" w:hAnsiTheme="minorHAnsi" w:cstheme="minorHAnsi"/>
          <w:color w:val="auto"/>
          <w:sz w:val="22"/>
          <w:szCs w:val="22"/>
        </w:rPr>
        <w:t xml:space="preserve"> 99(6):1042-1045. </w:t>
      </w:r>
    </w:p>
    <w:p w:rsidRPr="008551C5" w:rsidR="00A13866" w:rsidP="00A13866" w:rsidRDefault="00A13866" w14:paraId="6A348DF3" w14:textId="77777777">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Jeffries WL. 2010. HIV Testing Among Bisexual Men in the United States. AIDS </w:t>
      </w:r>
      <w:r w:rsidRPr="008551C5">
        <w:rPr>
          <w:rFonts w:asciiTheme="minorHAnsi" w:hAnsiTheme="minorHAnsi" w:cstheme="minorHAnsi"/>
          <w:color w:val="auto"/>
          <w:sz w:val="22"/>
          <w:szCs w:val="22"/>
          <w:u w:val="single"/>
        </w:rPr>
        <w:t>Education and Prevention</w:t>
      </w:r>
      <w:r w:rsidRPr="008551C5">
        <w:rPr>
          <w:rFonts w:asciiTheme="minorHAnsi" w:hAnsiTheme="minorHAnsi" w:cstheme="minorHAnsi"/>
          <w:color w:val="auto"/>
          <w:sz w:val="22"/>
          <w:szCs w:val="22"/>
        </w:rPr>
        <w:t xml:space="preserve"> 22(4):356-70. </w:t>
      </w:r>
    </w:p>
    <w:p w:rsidRPr="008551C5" w:rsidR="00A13866" w:rsidP="00A13866" w:rsidRDefault="00A13866" w14:paraId="7D368475" w14:textId="77777777">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2"/>
          <w:szCs w:val="22"/>
        </w:rPr>
      </w:pPr>
      <w:r w:rsidRPr="008551C5">
        <w:rPr>
          <w:rFonts w:asciiTheme="minorHAnsi" w:hAnsiTheme="minorHAnsi" w:cstheme="minorHAnsi"/>
          <w:sz w:val="22"/>
          <w:szCs w:val="22"/>
        </w:rPr>
        <w:t xml:space="preserve">Jeffries WL. 2011. The Number of Recent Sex Partners Among Bisexual Men in the United States. </w:t>
      </w:r>
      <w:r w:rsidRPr="008551C5">
        <w:rPr>
          <w:rFonts w:asciiTheme="minorHAnsi" w:hAnsiTheme="minorHAnsi" w:cstheme="minorHAnsi"/>
          <w:sz w:val="22"/>
          <w:szCs w:val="22"/>
          <w:u w:val="single"/>
        </w:rPr>
        <w:t>Perspect Sex Reprod Health</w:t>
      </w:r>
      <w:r w:rsidRPr="008551C5">
        <w:rPr>
          <w:rFonts w:asciiTheme="minorHAnsi" w:hAnsiTheme="minorHAnsi" w:cstheme="minorHAnsi"/>
          <w:sz w:val="22"/>
          <w:szCs w:val="22"/>
        </w:rPr>
        <w:t xml:space="preserve"> 43(3):151-7.</w:t>
      </w:r>
    </w:p>
    <w:p w:rsidRPr="008551C5" w:rsidR="00A13866" w:rsidP="00A13866" w:rsidRDefault="00A13866" w14:paraId="2F846CE6" w14:textId="77777777">
      <w:pPr>
        <w:widowControl/>
        <w:tabs>
          <w:tab w:val="left" w:pos="540"/>
        </w:tabs>
        <w:autoSpaceDE/>
        <w:autoSpaceDN/>
        <w:adjustRightInd/>
        <w:spacing w:before="26" w:after="240" w:line="211" w:lineRule="atLeast"/>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Jones E, Forrest JD.  1992.  Underreporting of Abortion in Surveys of U.S. Women: 1976 to 1988.  </w:t>
      </w:r>
      <w:r w:rsidRPr="008551C5">
        <w:rPr>
          <w:rFonts w:asciiTheme="minorHAnsi" w:hAnsiTheme="minorHAnsi" w:cstheme="minorHAnsi"/>
          <w:sz w:val="22"/>
          <w:szCs w:val="22"/>
          <w:u w:val="single"/>
        </w:rPr>
        <w:t>Demography</w:t>
      </w:r>
      <w:r w:rsidRPr="008551C5">
        <w:rPr>
          <w:rFonts w:asciiTheme="minorHAnsi" w:hAnsiTheme="minorHAnsi" w:cstheme="minorHAnsi"/>
          <w:sz w:val="22"/>
          <w:szCs w:val="22"/>
        </w:rPr>
        <w:t xml:space="preserve"> 29(1):113-126.</w:t>
      </w:r>
    </w:p>
    <w:p w:rsidRPr="008551C5" w:rsidR="00A13866" w:rsidP="00A13866" w:rsidRDefault="00A13866" w14:paraId="065278B8"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Jones RK, Kost K.  2007.  Underreporting of Induced and Spontaneous Abortion in the United States:  An Analysis of the 2002 National Survey of Family Growth.  </w:t>
      </w:r>
      <w:r w:rsidRPr="008551C5">
        <w:rPr>
          <w:rFonts w:asciiTheme="minorHAnsi" w:hAnsiTheme="minorHAnsi" w:cstheme="minorHAnsi"/>
          <w:sz w:val="22"/>
          <w:szCs w:val="22"/>
          <w:u w:val="single"/>
        </w:rPr>
        <w:t>Studies in Family Planning</w:t>
      </w:r>
      <w:r w:rsidRPr="008551C5">
        <w:rPr>
          <w:rFonts w:asciiTheme="minorHAnsi" w:hAnsiTheme="minorHAnsi" w:cstheme="minorHAnsi"/>
          <w:sz w:val="22"/>
          <w:szCs w:val="22"/>
        </w:rPr>
        <w:t xml:space="preserve"> 38(3):  187-197.  </w:t>
      </w:r>
    </w:p>
    <w:p w:rsidRPr="008551C5" w:rsidR="00A13866" w:rsidP="00A13866" w:rsidRDefault="00A13866" w14:paraId="24EDD10F" w14:textId="77777777">
      <w:pPr>
        <w:widowControl/>
        <w:ind w:left="720" w:hanging="720"/>
        <w:rPr>
          <w:rFonts w:asciiTheme="minorHAnsi" w:hAnsiTheme="minorHAnsi" w:cstheme="minorHAnsi"/>
          <w:sz w:val="22"/>
          <w:szCs w:val="22"/>
        </w:rPr>
      </w:pPr>
    </w:p>
    <w:p w:rsidRPr="008551C5" w:rsidR="00A13866" w:rsidP="00A13866" w:rsidRDefault="00A13866" w14:paraId="5279F85A"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Kandel, D, Kandel, E.  2015.  The Gateway Hypothesis of substance abuse: Developmental, biological and societal perspectives.  </w:t>
      </w:r>
      <w:hyperlink w:tooltip="Show source title details" w:history="1" r:id="rId42">
        <w:r w:rsidRPr="008551C5">
          <w:rPr>
            <w:rFonts w:asciiTheme="minorHAnsi" w:hAnsiTheme="minorHAnsi" w:cstheme="minorHAnsi"/>
            <w:sz w:val="22"/>
            <w:szCs w:val="22"/>
            <w:u w:val="single"/>
          </w:rPr>
          <w:t>Acta Paediatrica, International Journal of Paediatrics</w:t>
        </w:r>
      </w:hyperlink>
      <w:r w:rsidRPr="008551C5">
        <w:rPr>
          <w:rFonts w:asciiTheme="minorHAnsi" w:hAnsiTheme="minorHAnsi" w:cstheme="minorHAnsi"/>
          <w:sz w:val="22"/>
          <w:szCs w:val="22"/>
        </w:rPr>
        <w:t xml:space="preserve"> 104(2) 130-137.</w:t>
      </w:r>
    </w:p>
    <w:p w:rsidRPr="008551C5" w:rsidR="00A13866" w:rsidP="00A13866" w:rsidRDefault="00A13866" w14:paraId="2C396E9C" w14:textId="77777777">
      <w:pPr>
        <w:tabs>
          <w:tab w:val="left" w:pos="-1440"/>
        </w:tabs>
        <w:ind w:left="720" w:hanging="720"/>
        <w:rPr>
          <w:rFonts w:asciiTheme="minorHAnsi" w:hAnsiTheme="minorHAnsi" w:cstheme="minorHAnsi"/>
          <w:sz w:val="22"/>
          <w:szCs w:val="22"/>
        </w:rPr>
      </w:pPr>
    </w:p>
    <w:p w:rsidRPr="008551C5" w:rsidR="00A13866" w:rsidP="00A13866" w:rsidRDefault="00A13866" w14:paraId="32552F50"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Kaneshiro B, Edelman A, Carlson N, Nichols M, Jensen J.  2008a.  The relationship between body mass index and unintended pregnancy: Results from the 2002 National Survey of Family Growth.  </w:t>
      </w:r>
      <w:r w:rsidRPr="008551C5">
        <w:rPr>
          <w:rFonts w:asciiTheme="minorHAnsi" w:hAnsiTheme="minorHAnsi" w:cstheme="minorHAnsi"/>
          <w:sz w:val="22"/>
          <w:szCs w:val="22"/>
          <w:u w:val="single"/>
        </w:rPr>
        <w:t>Contraception</w:t>
      </w:r>
      <w:r w:rsidRPr="008551C5">
        <w:rPr>
          <w:rFonts w:asciiTheme="minorHAnsi" w:hAnsiTheme="minorHAnsi" w:cstheme="minorHAnsi"/>
          <w:sz w:val="22"/>
          <w:szCs w:val="22"/>
        </w:rPr>
        <w:t xml:space="preserve"> 77:234-238.</w:t>
      </w:r>
    </w:p>
    <w:p w:rsidRPr="008551C5" w:rsidR="00A13866" w:rsidP="00A13866" w:rsidRDefault="00A13866" w14:paraId="0904E556" w14:textId="77777777">
      <w:pPr>
        <w:tabs>
          <w:tab w:val="left" w:pos="-1440"/>
        </w:tabs>
        <w:ind w:left="720" w:hanging="720"/>
        <w:rPr>
          <w:rFonts w:asciiTheme="minorHAnsi" w:hAnsiTheme="minorHAnsi" w:cstheme="minorHAnsi"/>
          <w:sz w:val="22"/>
          <w:szCs w:val="22"/>
        </w:rPr>
      </w:pPr>
    </w:p>
    <w:p w:rsidRPr="008551C5" w:rsidR="00A13866" w:rsidP="00A13866" w:rsidRDefault="00A13866" w14:paraId="1BDEBC7B"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Kaneshiro  B, Jensen  JT, Carlson NE, Harvey SM, Nichols MD, Edelman AB.  2008b.  Body mass index and sexual behavior. </w:t>
      </w:r>
      <w:r w:rsidRPr="008551C5">
        <w:rPr>
          <w:rFonts w:asciiTheme="minorHAnsi" w:hAnsiTheme="minorHAnsi" w:cstheme="minorHAnsi"/>
          <w:sz w:val="22"/>
          <w:szCs w:val="22"/>
          <w:u w:val="single"/>
        </w:rPr>
        <w:t>Obstetrics and Gynecology</w:t>
      </w:r>
      <w:r w:rsidRPr="008551C5">
        <w:rPr>
          <w:rFonts w:asciiTheme="minorHAnsi" w:hAnsiTheme="minorHAnsi" w:cstheme="minorHAnsi"/>
          <w:sz w:val="22"/>
          <w:szCs w:val="22"/>
        </w:rPr>
        <w:t xml:space="preserve"> 112(3): 586-592.</w:t>
      </w:r>
    </w:p>
    <w:p w:rsidRPr="008551C5" w:rsidR="00A13866" w:rsidP="00A13866" w:rsidRDefault="00A13866" w14:paraId="4AF182EA" w14:textId="77777777">
      <w:pPr>
        <w:tabs>
          <w:tab w:val="left" w:pos="-1440"/>
        </w:tabs>
        <w:ind w:left="720" w:hanging="720"/>
        <w:rPr>
          <w:rFonts w:asciiTheme="minorHAnsi" w:hAnsiTheme="minorHAnsi" w:cstheme="minorHAnsi"/>
          <w:sz w:val="22"/>
          <w:szCs w:val="22"/>
        </w:rPr>
      </w:pPr>
    </w:p>
    <w:p w:rsidRPr="008551C5" w:rsidR="00A13866" w:rsidP="00A13866" w:rsidRDefault="00A13866" w14:paraId="2E3828BF"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Kaneshiro, B.  2012.  Contraceptive Use Among Obese Women.  </w:t>
      </w:r>
      <w:r w:rsidRPr="008551C5">
        <w:rPr>
          <w:rFonts w:asciiTheme="minorHAnsi" w:hAnsiTheme="minorHAnsi" w:cstheme="minorHAnsi"/>
          <w:sz w:val="22"/>
          <w:szCs w:val="22"/>
          <w:u w:val="single"/>
        </w:rPr>
        <w:t>Seminars in Reproductive Medicine</w:t>
      </w:r>
      <w:r w:rsidRPr="008551C5">
        <w:rPr>
          <w:rFonts w:asciiTheme="minorHAnsi" w:hAnsiTheme="minorHAnsi" w:cstheme="minorHAnsi"/>
          <w:sz w:val="22"/>
          <w:szCs w:val="22"/>
        </w:rPr>
        <w:t xml:space="preserve"> 30(6): 459-464.</w:t>
      </w:r>
    </w:p>
    <w:p w:rsidRPr="008551C5" w:rsidR="00A13866" w:rsidP="00A13866" w:rsidRDefault="00A13866" w14:paraId="3B7FE3C8" w14:textId="77777777">
      <w:pPr>
        <w:tabs>
          <w:tab w:val="left" w:pos="-1440"/>
        </w:tabs>
        <w:ind w:left="720" w:hanging="720"/>
        <w:rPr>
          <w:rFonts w:asciiTheme="minorHAnsi" w:hAnsiTheme="minorHAnsi" w:cstheme="minorHAnsi"/>
          <w:sz w:val="22"/>
          <w:szCs w:val="22"/>
        </w:rPr>
      </w:pPr>
    </w:p>
    <w:p w:rsidRPr="008551C5" w:rsidR="00A13866" w:rsidP="00A13866" w:rsidRDefault="00A13866" w14:paraId="34523291"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Kirby D, G Lepore &amp; J Ryan.  2005.  Sexual risk and protective factors: Factors affecting teen sexual behavior, pregnancy, childbearing, and sexually transmitted disease—Which are important? Which can you change? Washington, DC: The National Campaign to Prevent Teen Pregnancy.</w:t>
      </w:r>
    </w:p>
    <w:p w:rsidRPr="008551C5" w:rsidR="00A13866" w:rsidP="00A13866" w:rsidRDefault="00A13866" w14:paraId="506AC662" w14:textId="77777777">
      <w:pPr>
        <w:ind w:left="720" w:hanging="720"/>
        <w:rPr>
          <w:rFonts w:asciiTheme="minorHAnsi" w:hAnsiTheme="minorHAnsi" w:cstheme="minorHAnsi"/>
          <w:sz w:val="22"/>
          <w:szCs w:val="22"/>
        </w:rPr>
      </w:pPr>
    </w:p>
    <w:p w:rsidRPr="008551C5" w:rsidR="00A13866" w:rsidP="00A13866" w:rsidRDefault="00A13866" w14:paraId="2B49720C"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Kulka R.  2002. The Use of Incentives to Survey ‘Hard to Reach’ Respondents.  Pages 256-287 in Federal Committee on Statistical Methodology, </w:t>
      </w:r>
      <w:r w:rsidRPr="008551C5">
        <w:rPr>
          <w:rFonts w:asciiTheme="minorHAnsi" w:hAnsiTheme="minorHAnsi" w:cstheme="minorHAnsi"/>
          <w:iCs/>
          <w:sz w:val="22"/>
          <w:szCs w:val="22"/>
          <w:u w:val="single"/>
        </w:rPr>
        <w:t xml:space="preserve">Statistical Policy Working Paper </w:t>
      </w:r>
      <w:r w:rsidRPr="008551C5">
        <w:rPr>
          <w:rFonts w:asciiTheme="minorHAnsi" w:hAnsiTheme="minorHAnsi" w:cstheme="minorHAnsi"/>
          <w:iCs/>
          <w:sz w:val="22"/>
          <w:szCs w:val="22"/>
        </w:rPr>
        <w:t>No. 23</w:t>
      </w:r>
      <w:r w:rsidRPr="008551C5">
        <w:rPr>
          <w:rFonts w:asciiTheme="minorHAnsi" w:hAnsiTheme="minorHAnsi" w:cstheme="minorHAnsi"/>
          <w:sz w:val="22"/>
          <w:szCs w:val="22"/>
        </w:rPr>
        <w:t>, Volume 2</w:t>
      </w:r>
      <w:r w:rsidRPr="008551C5">
        <w:rPr>
          <w:rFonts w:asciiTheme="minorHAnsi" w:hAnsiTheme="minorHAnsi" w:cstheme="minorHAnsi"/>
          <w:b/>
          <w:sz w:val="22"/>
          <w:szCs w:val="22"/>
        </w:rPr>
        <w:t xml:space="preserve">.  </w:t>
      </w:r>
    </w:p>
    <w:p w:rsidRPr="008551C5" w:rsidR="00A13866" w:rsidP="00A13866" w:rsidRDefault="00A13866" w14:paraId="3BA90509" w14:textId="77777777">
      <w:pPr>
        <w:ind w:left="720" w:hanging="720"/>
        <w:rPr>
          <w:rFonts w:asciiTheme="minorHAnsi" w:hAnsiTheme="minorHAnsi" w:cstheme="minorHAnsi"/>
          <w:sz w:val="22"/>
          <w:szCs w:val="22"/>
        </w:rPr>
      </w:pPr>
    </w:p>
    <w:p w:rsidRPr="008551C5" w:rsidR="00A13866" w:rsidP="00A13866" w:rsidRDefault="00A13866" w14:paraId="5E32F978" w14:textId="77777777">
      <w:pPr>
        <w:pStyle w:val="EndNoteBibliography"/>
        <w:numPr>
          <w:ilvl w:val="0"/>
          <w:numId w:val="0"/>
        </w:numPr>
        <w:ind w:left="720" w:hanging="720"/>
        <w:rPr>
          <w:rStyle w:val="title-text"/>
          <w:rFonts w:asciiTheme="minorHAnsi" w:hAnsiTheme="minorHAnsi" w:cstheme="minorHAnsi"/>
          <w:noProof w:val="0"/>
        </w:rPr>
      </w:pPr>
      <w:r w:rsidRPr="008551C5">
        <w:rPr>
          <w:rStyle w:val="title-text"/>
          <w:rFonts w:asciiTheme="minorHAnsi" w:hAnsiTheme="minorHAnsi" w:cstheme="minorHAnsi"/>
          <w:noProof w:val="0"/>
        </w:rPr>
        <w:t>Kumar S, Patel C, Tao G.  2020.  Chlamydia Screening Among Women Aged 15-44 years Who Reported Anal Sex During the Past 12 Months in the United Sates, 2013-2017, Sexually Transmitted Diseases: September 23, 2020 - Volume Publish Ahead of Print - Issue - DOI: 10.1097/OLQ.0000000000001301.</w:t>
      </w:r>
    </w:p>
    <w:p w:rsidRPr="008551C5" w:rsidR="00A13866" w:rsidP="00A13866" w:rsidRDefault="00A13866" w14:paraId="64994A35" w14:textId="77777777">
      <w:pPr>
        <w:pStyle w:val="EndNoteBibliography"/>
        <w:numPr>
          <w:ilvl w:val="0"/>
          <w:numId w:val="0"/>
        </w:numPr>
        <w:ind w:left="720" w:hanging="720"/>
        <w:rPr>
          <w:rFonts w:asciiTheme="minorHAnsi" w:hAnsiTheme="minorHAnsi" w:cstheme="minorHAnsi"/>
          <w:noProof w:val="0"/>
        </w:rPr>
      </w:pPr>
      <w:r w:rsidRPr="008551C5">
        <w:rPr>
          <w:rFonts w:asciiTheme="minorHAnsi" w:hAnsiTheme="minorHAnsi" w:cstheme="minorHAnsi"/>
        </w:rPr>
        <w:t xml:space="preserve">Lansky A, Finlayson T, Johnson C, et al. 2014. Estimating the Number of Persons Who Inject Drugs in the United States by Meta-Analysis to Calculate National Rates of HIV and Hepatitis C Virus Infections. </w:t>
      </w:r>
      <w:r w:rsidRPr="008551C5">
        <w:rPr>
          <w:rFonts w:asciiTheme="minorHAnsi" w:hAnsiTheme="minorHAnsi" w:cstheme="minorHAnsi"/>
          <w:u w:val="single"/>
        </w:rPr>
        <w:t>PLOS ONE</w:t>
      </w:r>
      <w:r w:rsidRPr="008551C5">
        <w:rPr>
          <w:rFonts w:asciiTheme="minorHAnsi" w:hAnsiTheme="minorHAnsi" w:cstheme="minorHAnsi"/>
        </w:rPr>
        <w:t xml:space="preserve"> 9(5):e97596.</w:t>
      </w:r>
    </w:p>
    <w:p w:rsidRPr="008551C5" w:rsidR="00A13866" w:rsidP="00A13866" w:rsidRDefault="00A13866" w14:paraId="67C0B662"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Laumann EO, Gagnon JH, Michael RT, and Michaels S.  1994.  </w:t>
      </w:r>
      <w:r w:rsidRPr="008551C5">
        <w:rPr>
          <w:rFonts w:asciiTheme="minorHAnsi" w:hAnsiTheme="minorHAnsi" w:cstheme="minorHAnsi"/>
          <w:sz w:val="22"/>
          <w:szCs w:val="22"/>
          <w:u w:val="single"/>
        </w:rPr>
        <w:t>The Social Organization Sexuality:  Sexual Practices in the United States</w:t>
      </w:r>
      <w:r w:rsidRPr="008551C5">
        <w:rPr>
          <w:rFonts w:asciiTheme="minorHAnsi" w:hAnsiTheme="minorHAnsi" w:cstheme="minorHAnsi"/>
          <w:sz w:val="22"/>
          <w:szCs w:val="22"/>
        </w:rPr>
        <w:t>.  Chicago:  University of Chicago Press.</w:t>
      </w:r>
    </w:p>
    <w:p w:rsidRPr="008551C5" w:rsidR="00A13866" w:rsidP="00A13866" w:rsidRDefault="00A13866" w14:paraId="6721B35A" w14:textId="77777777">
      <w:pPr>
        <w:ind w:left="630" w:hanging="630"/>
        <w:rPr>
          <w:rFonts w:asciiTheme="minorHAnsi" w:hAnsiTheme="minorHAnsi" w:cstheme="minorHAnsi"/>
          <w:sz w:val="22"/>
          <w:szCs w:val="22"/>
        </w:rPr>
      </w:pPr>
    </w:p>
    <w:p w:rsidRPr="008551C5" w:rsidR="00A13866" w:rsidP="00A13866" w:rsidRDefault="00A13866" w14:paraId="12EA772A"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Leichliter JS, Aral SO. 2009. Black women in the United States decrease their number of recent sex partners: temporal trends from the national survey of family growth.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36(1):1-3.</w:t>
      </w:r>
    </w:p>
    <w:p w:rsidRPr="008551C5" w:rsidR="00A13866" w:rsidP="00A13866" w:rsidRDefault="00A13866" w14:paraId="47EA3636" w14:textId="77777777">
      <w:pPr>
        <w:ind w:left="720" w:hanging="720"/>
        <w:rPr>
          <w:rFonts w:asciiTheme="minorHAnsi" w:hAnsiTheme="minorHAnsi" w:cstheme="minorHAnsi"/>
          <w:sz w:val="22"/>
          <w:szCs w:val="22"/>
        </w:rPr>
      </w:pPr>
    </w:p>
    <w:p w:rsidRPr="008551C5" w:rsidR="00A13866" w:rsidP="00A13866" w:rsidRDefault="00A13866" w14:paraId="7F2E990B"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Leichliter JS, Chandra A, Aral SO. 2013. Correlates of Self-Reported Pelvic Inflammatory Disease Treatment in Sexually Experienced Reproductive-Aged Women in the United States, 1995 and 2006-2010.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40(5):413-18.</w:t>
      </w:r>
    </w:p>
    <w:p w:rsidRPr="008551C5" w:rsidR="00A13866" w:rsidP="00A13866" w:rsidRDefault="00A13866" w14:paraId="39B23C9F" w14:textId="77777777">
      <w:pPr>
        <w:pStyle w:val="NoSpacing"/>
        <w:ind w:left="720" w:hanging="720"/>
        <w:rPr>
          <w:rFonts w:asciiTheme="minorHAnsi" w:hAnsiTheme="minorHAnsi" w:cstheme="minorHAnsi"/>
          <w:sz w:val="22"/>
          <w:szCs w:val="22"/>
        </w:rPr>
      </w:pPr>
    </w:p>
    <w:p w:rsidRPr="008551C5" w:rsidR="00A13866" w:rsidP="00A13866" w:rsidRDefault="00A13866" w14:paraId="05CC82E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Leichliter JS, Chandra A, Liddon N, Fenton KA, Aral SO.  2007.  Prevalence and Correlates of Heterosexual Anal and Oral Sex in Adolescents and Adults in the United States.  </w:t>
      </w:r>
      <w:r w:rsidRPr="008551C5">
        <w:rPr>
          <w:rFonts w:asciiTheme="minorHAnsi" w:hAnsiTheme="minorHAnsi" w:cstheme="minorHAnsi"/>
          <w:sz w:val="22"/>
          <w:szCs w:val="22"/>
          <w:u w:val="single"/>
        </w:rPr>
        <w:t>Journal of Infectious Diseases</w:t>
      </w:r>
      <w:r w:rsidRPr="008551C5">
        <w:rPr>
          <w:rFonts w:asciiTheme="minorHAnsi" w:hAnsiTheme="minorHAnsi" w:cstheme="minorHAnsi"/>
          <w:sz w:val="22"/>
          <w:szCs w:val="22"/>
        </w:rPr>
        <w:t xml:space="preserve"> 196 (15 December): 1852-1859.</w:t>
      </w:r>
    </w:p>
    <w:p w:rsidRPr="008551C5" w:rsidR="00A13866" w:rsidP="00A13866" w:rsidRDefault="00A13866" w14:paraId="11C64A95" w14:textId="77777777">
      <w:pPr>
        <w:widowControl/>
        <w:ind w:left="720" w:hanging="720"/>
        <w:rPr>
          <w:rFonts w:asciiTheme="minorHAnsi" w:hAnsiTheme="minorHAnsi" w:cstheme="minorHAnsi"/>
          <w:sz w:val="22"/>
          <w:szCs w:val="22"/>
        </w:rPr>
      </w:pPr>
    </w:p>
    <w:p w:rsidRPr="008551C5" w:rsidR="00A13866" w:rsidP="00A13866" w:rsidRDefault="00A13866" w14:paraId="7F28033A" w14:textId="77777777">
      <w:pPr>
        <w:pStyle w:val="NormalWeb"/>
        <w:tabs>
          <w:tab w:val="left" w:pos="540"/>
        </w:tabs>
        <w:spacing w:before="0" w:beforeAutospacing="0" w:after="240" w:afterAutospacing="0" w:line="211" w:lineRule="atLeast"/>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Leichliter JS, Chesson HW, Sternberg M, Aral SO. 2010. The concentration of sexual behaviours in the USA: a closer examination of subpopulations. </w:t>
      </w:r>
      <w:r w:rsidRPr="008551C5">
        <w:rPr>
          <w:rFonts w:asciiTheme="minorHAnsi" w:hAnsiTheme="minorHAnsi" w:cstheme="minorHAnsi"/>
          <w:sz w:val="22"/>
          <w:szCs w:val="22"/>
          <w:u w:val="single"/>
        </w:rPr>
        <w:t>Sex Transm Infect</w:t>
      </w:r>
      <w:r w:rsidRPr="008551C5">
        <w:rPr>
          <w:rFonts w:asciiTheme="minorHAnsi" w:hAnsiTheme="minorHAnsi" w:cstheme="minorHAnsi"/>
          <w:sz w:val="22"/>
          <w:szCs w:val="22"/>
        </w:rPr>
        <w:t xml:space="preserve"> 86(3):45-51. </w:t>
      </w:r>
    </w:p>
    <w:p w:rsidRPr="008551C5" w:rsidR="00A13866" w:rsidP="00A13866" w:rsidRDefault="00A13866" w14:paraId="3D10C4C0" w14:textId="77777777">
      <w:pPr>
        <w:pStyle w:val="NoSpacing"/>
        <w:ind w:left="720" w:hanging="720"/>
        <w:rPr>
          <w:rStyle w:val="Hyperlink"/>
          <w:rFonts w:asciiTheme="minorHAnsi" w:hAnsiTheme="minorHAnsi" w:cstheme="minorHAnsi"/>
          <w:sz w:val="22"/>
          <w:szCs w:val="22"/>
        </w:rPr>
      </w:pPr>
      <w:r w:rsidRPr="008551C5">
        <w:rPr>
          <w:rFonts w:asciiTheme="minorHAnsi" w:hAnsiTheme="minorHAnsi" w:cstheme="minorHAnsi"/>
          <w:sz w:val="22"/>
          <w:szCs w:val="22"/>
        </w:rPr>
        <w:t xml:space="preserve">Leichliter JS, Copen C, Dittus PJ. 2017. Confidentiality Issues and Use of Sexually Transmitted Disease Services Among Sexually Experienced Persons Aged 15–25 Years — United States, 2013–2015. </w:t>
      </w:r>
      <w:r w:rsidRPr="008551C5">
        <w:rPr>
          <w:rFonts w:asciiTheme="minorHAnsi" w:hAnsiTheme="minorHAnsi" w:cstheme="minorHAnsi"/>
          <w:sz w:val="22"/>
          <w:szCs w:val="22"/>
          <w:u w:val="single"/>
        </w:rPr>
        <w:t>MMWR Morbidity and  Mortality Weekly Report</w:t>
      </w:r>
      <w:r w:rsidRPr="008551C5">
        <w:rPr>
          <w:rFonts w:asciiTheme="minorHAnsi" w:hAnsiTheme="minorHAnsi" w:cstheme="minorHAnsi"/>
          <w:sz w:val="22"/>
          <w:szCs w:val="22"/>
        </w:rPr>
        <w:t xml:space="preserve"> 2017;66:237–241. DOI:</w:t>
      </w:r>
      <w:r w:rsidRPr="008551C5">
        <w:rPr>
          <w:rFonts w:asciiTheme="minorHAnsi" w:hAnsiTheme="minorHAnsi" w:cstheme="minorHAnsi"/>
          <w:color w:val="333333"/>
          <w:sz w:val="22"/>
          <w:szCs w:val="22"/>
        </w:rPr>
        <w:t xml:space="preserve"> </w:t>
      </w:r>
      <w:hyperlink w:tgtFrame="_self" w:history="1" r:id="rId43">
        <w:r w:rsidRPr="008551C5">
          <w:rPr>
            <w:rStyle w:val="Hyperlink"/>
            <w:rFonts w:asciiTheme="minorHAnsi" w:hAnsiTheme="minorHAnsi" w:cstheme="minorHAnsi"/>
            <w:sz w:val="22"/>
            <w:szCs w:val="22"/>
          </w:rPr>
          <w:t>http://dx.doi.org/10.15585/mmwr.mm6609a1</w:t>
        </w:r>
      </w:hyperlink>
      <w:r w:rsidRPr="008551C5">
        <w:rPr>
          <w:rStyle w:val="Hyperlink"/>
          <w:rFonts w:asciiTheme="minorHAnsi" w:hAnsiTheme="minorHAnsi" w:cstheme="minorHAnsi"/>
          <w:sz w:val="22"/>
          <w:szCs w:val="22"/>
        </w:rPr>
        <w:t>.</w:t>
      </w:r>
    </w:p>
    <w:p w:rsidRPr="008551C5" w:rsidR="00A13866" w:rsidP="00A13866" w:rsidRDefault="00A13866" w14:paraId="4758DD2E" w14:textId="77777777">
      <w:pPr>
        <w:ind w:left="630" w:hanging="630"/>
        <w:rPr>
          <w:rFonts w:asciiTheme="minorHAnsi" w:hAnsiTheme="minorHAnsi" w:cstheme="minorHAnsi"/>
          <w:sz w:val="22"/>
          <w:szCs w:val="22"/>
        </w:rPr>
      </w:pPr>
    </w:p>
    <w:p w:rsidRPr="008551C5" w:rsidR="00A13866" w:rsidP="00A13866" w:rsidRDefault="00883A8E" w14:paraId="372A08F9" w14:textId="77777777">
      <w:pPr>
        <w:ind w:left="630" w:hanging="630"/>
        <w:rPr>
          <w:rStyle w:val="title-text"/>
          <w:rFonts w:asciiTheme="minorHAnsi" w:hAnsiTheme="minorHAnsi" w:cstheme="minorHAnsi"/>
          <w:sz w:val="22"/>
          <w:szCs w:val="22"/>
        </w:rPr>
      </w:pPr>
      <w:hyperlink w:history="1" r:id="rId44">
        <w:r w:rsidRPr="008551C5" w:rsidR="00A13866">
          <w:rPr>
            <w:rFonts w:asciiTheme="minorHAnsi" w:hAnsiTheme="minorHAnsi" w:cstheme="minorHAnsi"/>
            <w:sz w:val="22"/>
            <w:szCs w:val="22"/>
          </w:rPr>
          <w:t>Leichliter JS</w:t>
        </w:r>
      </w:hyperlink>
      <w:r w:rsidRPr="008551C5" w:rsidR="00A13866">
        <w:rPr>
          <w:rFonts w:asciiTheme="minorHAnsi" w:hAnsiTheme="minorHAnsi" w:cstheme="minorHAnsi"/>
          <w:sz w:val="22"/>
          <w:szCs w:val="22"/>
        </w:rPr>
        <w:t xml:space="preserve">, </w:t>
      </w:r>
      <w:hyperlink w:history="1" r:id="rId45">
        <w:r w:rsidRPr="008551C5" w:rsidR="00A13866">
          <w:rPr>
            <w:rFonts w:asciiTheme="minorHAnsi" w:hAnsiTheme="minorHAnsi" w:cstheme="minorHAnsi"/>
            <w:sz w:val="22"/>
            <w:szCs w:val="22"/>
          </w:rPr>
          <w:t>Dittus PJ</w:t>
        </w:r>
      </w:hyperlink>
      <w:r w:rsidRPr="008551C5" w:rsidR="00A13866">
        <w:rPr>
          <w:rFonts w:asciiTheme="minorHAnsi" w:hAnsiTheme="minorHAnsi" w:cstheme="minorHAnsi"/>
          <w:sz w:val="22"/>
          <w:szCs w:val="22"/>
        </w:rPr>
        <w:t xml:space="preserve">, </w:t>
      </w:r>
      <w:hyperlink w:history="1" r:id="rId46">
        <w:r w:rsidRPr="008551C5" w:rsidR="00A13866">
          <w:rPr>
            <w:rFonts w:asciiTheme="minorHAnsi" w:hAnsiTheme="minorHAnsi" w:cstheme="minorHAnsi"/>
            <w:sz w:val="22"/>
            <w:szCs w:val="22"/>
          </w:rPr>
          <w:t>Copen CE</w:t>
        </w:r>
      </w:hyperlink>
      <w:r w:rsidRPr="008551C5" w:rsidR="00A13866">
        <w:rPr>
          <w:rFonts w:asciiTheme="minorHAnsi" w:hAnsiTheme="minorHAnsi" w:cstheme="minorHAnsi"/>
          <w:sz w:val="22"/>
          <w:szCs w:val="22"/>
        </w:rPr>
        <w:t xml:space="preserve">, </w:t>
      </w:r>
      <w:hyperlink w:history="1" r:id="rId47">
        <w:r w:rsidRPr="008551C5" w:rsidR="00A13866">
          <w:rPr>
            <w:rFonts w:asciiTheme="minorHAnsi" w:hAnsiTheme="minorHAnsi" w:cstheme="minorHAnsi"/>
            <w:sz w:val="22"/>
            <w:szCs w:val="22"/>
          </w:rPr>
          <w:t>Aral SO</w:t>
        </w:r>
      </w:hyperlink>
      <w:r w:rsidRPr="008551C5" w:rsidR="00A13866">
        <w:rPr>
          <w:rFonts w:asciiTheme="minorHAnsi" w:hAnsiTheme="minorHAnsi" w:cstheme="minorHAnsi"/>
          <w:sz w:val="22"/>
          <w:szCs w:val="22"/>
        </w:rPr>
        <w:t>.</w:t>
      </w:r>
      <w:r w:rsidRPr="008551C5" w:rsidR="00A13866">
        <w:rPr>
          <w:rFonts w:asciiTheme="minorHAnsi" w:hAnsiTheme="minorHAnsi" w:cstheme="minorHAnsi"/>
          <w:sz w:val="22"/>
          <w:szCs w:val="22"/>
          <w:lang w:val="en"/>
        </w:rPr>
        <w:t xml:space="preserve"> 2019. </w:t>
      </w:r>
      <w:r w:rsidRPr="008551C5" w:rsidR="00A13866">
        <w:rPr>
          <w:rFonts w:asciiTheme="minorHAnsi" w:hAnsiTheme="minorHAnsi" w:cstheme="minorHAnsi"/>
          <w:sz w:val="22"/>
          <w:szCs w:val="22"/>
        </w:rPr>
        <w:t xml:space="preserve">Trends in factors indicating increased risk for STI among key subpopulations in the United States, 2002-2015. </w:t>
      </w:r>
      <w:hyperlink w:tooltip="Sexually transmitted infections." w:history="1" r:id="rId48">
        <w:r w:rsidRPr="008551C5" w:rsidR="00A13866">
          <w:rPr>
            <w:rFonts w:asciiTheme="minorHAnsi" w:hAnsiTheme="minorHAnsi" w:cstheme="minorHAnsi"/>
            <w:sz w:val="22"/>
            <w:szCs w:val="22"/>
          </w:rPr>
          <w:t>Sex Transm Infect</w:t>
        </w:r>
      </w:hyperlink>
      <w:r w:rsidRPr="008551C5" w:rsidR="00A13866">
        <w:rPr>
          <w:rFonts w:asciiTheme="minorHAnsi" w:hAnsiTheme="minorHAnsi" w:cstheme="minorHAnsi"/>
          <w:sz w:val="22"/>
          <w:szCs w:val="22"/>
        </w:rPr>
        <w:t xml:space="preserve">. DOI: </w:t>
      </w:r>
      <w:r w:rsidRPr="008551C5" w:rsidR="00A13866">
        <w:rPr>
          <w:rStyle w:val="title-text"/>
          <w:rFonts w:asciiTheme="minorHAnsi" w:hAnsiTheme="minorHAnsi" w:cstheme="minorHAnsi"/>
          <w:sz w:val="22"/>
          <w:szCs w:val="22"/>
        </w:rPr>
        <w:t>10.1136/sextrans-2019-054045.</w:t>
      </w:r>
    </w:p>
    <w:p w:rsidRPr="008551C5" w:rsidR="00A13866" w:rsidP="00A13866" w:rsidRDefault="00A13866" w14:paraId="62A71B6F" w14:textId="77777777">
      <w:pPr>
        <w:ind w:left="630" w:hanging="630"/>
        <w:rPr>
          <w:rStyle w:val="title-text"/>
          <w:rFonts w:asciiTheme="minorHAnsi" w:hAnsiTheme="minorHAnsi" w:cstheme="minorHAnsi"/>
          <w:sz w:val="22"/>
          <w:szCs w:val="22"/>
        </w:rPr>
      </w:pPr>
    </w:p>
    <w:p w:rsidRPr="008551C5" w:rsidR="00A13866" w:rsidP="00A13866" w:rsidRDefault="00A13866" w14:paraId="3FD46F81"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Leichliter JS,  Haderxhanaj LT, Chesson HW, Aral SO.  2013.  Temporal trends in sexual behavior among men who have sex with men in the United States, 2002 to 2006-2010.  </w:t>
      </w:r>
      <w:r w:rsidRPr="008551C5">
        <w:rPr>
          <w:rFonts w:asciiTheme="minorHAnsi" w:hAnsiTheme="minorHAnsi" w:cstheme="minorHAnsi"/>
          <w:sz w:val="22"/>
          <w:szCs w:val="22"/>
          <w:u w:val="single"/>
        </w:rPr>
        <w:t xml:space="preserve">Journal of Acquired Immune Deficiency Syndrome </w:t>
      </w:r>
      <w:r w:rsidRPr="008551C5">
        <w:rPr>
          <w:rFonts w:asciiTheme="minorHAnsi" w:hAnsiTheme="minorHAnsi" w:cstheme="minorHAnsi"/>
          <w:sz w:val="22"/>
          <w:szCs w:val="22"/>
        </w:rPr>
        <w:t>63(2): 254-258</w:t>
      </w:r>
    </w:p>
    <w:p w:rsidRPr="008551C5" w:rsidR="00A13866" w:rsidP="00A13866" w:rsidRDefault="00A13866" w14:paraId="53C67D35" w14:textId="77777777">
      <w:pPr>
        <w:pStyle w:val="NoSpacing"/>
        <w:ind w:left="720" w:hanging="720"/>
        <w:rPr>
          <w:rFonts w:asciiTheme="minorHAnsi" w:hAnsiTheme="minorHAnsi" w:cstheme="minorHAnsi"/>
          <w:sz w:val="22"/>
          <w:szCs w:val="22"/>
        </w:rPr>
      </w:pPr>
    </w:p>
    <w:p w:rsidRPr="008551C5" w:rsidR="00A13866" w:rsidP="00A13866" w:rsidRDefault="00883A8E" w14:paraId="00BE2FD4" w14:textId="77777777">
      <w:pPr>
        <w:ind w:left="630" w:hanging="630"/>
        <w:rPr>
          <w:rStyle w:val="title-text"/>
          <w:rFonts w:asciiTheme="minorHAnsi" w:hAnsiTheme="minorHAnsi" w:cstheme="minorHAnsi"/>
          <w:sz w:val="22"/>
          <w:szCs w:val="22"/>
        </w:rPr>
      </w:pPr>
      <w:hyperlink w:history="1" r:id="rId49">
        <w:r w:rsidRPr="008551C5" w:rsidR="00A13866">
          <w:rPr>
            <w:rFonts w:asciiTheme="minorHAnsi" w:hAnsiTheme="minorHAnsi" w:cstheme="minorHAnsi"/>
            <w:sz w:val="22"/>
            <w:szCs w:val="22"/>
          </w:rPr>
          <w:t>Leichliter JS</w:t>
        </w:r>
      </w:hyperlink>
      <w:r w:rsidRPr="008551C5" w:rsidR="00A13866">
        <w:rPr>
          <w:rFonts w:asciiTheme="minorHAnsi" w:hAnsiTheme="minorHAnsi" w:cstheme="minorHAnsi"/>
          <w:sz w:val="22"/>
          <w:szCs w:val="22"/>
        </w:rPr>
        <w:t xml:space="preserve">, </w:t>
      </w:r>
      <w:hyperlink w:history="1" r:id="rId50">
        <w:r w:rsidRPr="008551C5" w:rsidR="00A13866">
          <w:rPr>
            <w:rFonts w:asciiTheme="minorHAnsi" w:hAnsiTheme="minorHAnsi" w:cstheme="minorHAnsi"/>
            <w:sz w:val="22"/>
            <w:szCs w:val="22"/>
          </w:rPr>
          <w:t>Haderxhanaj LT</w:t>
        </w:r>
      </w:hyperlink>
      <w:r w:rsidRPr="008551C5" w:rsidR="00A13866">
        <w:rPr>
          <w:rFonts w:asciiTheme="minorHAnsi" w:hAnsiTheme="minorHAnsi" w:cstheme="minorHAnsi"/>
          <w:sz w:val="22"/>
          <w:szCs w:val="22"/>
        </w:rPr>
        <w:t xml:space="preserve">, </w:t>
      </w:r>
      <w:hyperlink w:history="1" r:id="rId51">
        <w:r w:rsidRPr="008551C5" w:rsidR="00A13866">
          <w:rPr>
            <w:rFonts w:asciiTheme="minorHAnsi" w:hAnsiTheme="minorHAnsi" w:cstheme="minorHAnsi"/>
            <w:sz w:val="22"/>
            <w:szCs w:val="22"/>
          </w:rPr>
          <w:t>Gift TL</w:t>
        </w:r>
      </w:hyperlink>
      <w:r w:rsidRPr="008551C5" w:rsidR="00A13866">
        <w:rPr>
          <w:rFonts w:asciiTheme="minorHAnsi" w:hAnsiTheme="minorHAnsi" w:cstheme="minorHAnsi"/>
          <w:sz w:val="22"/>
          <w:szCs w:val="22"/>
        </w:rPr>
        <w:t xml:space="preserve">, </w:t>
      </w:r>
      <w:hyperlink w:history="1" r:id="rId52">
        <w:r w:rsidRPr="008551C5" w:rsidR="00A13866">
          <w:rPr>
            <w:rFonts w:asciiTheme="minorHAnsi" w:hAnsiTheme="minorHAnsi" w:cstheme="minorHAnsi"/>
            <w:sz w:val="22"/>
            <w:szCs w:val="22"/>
          </w:rPr>
          <w:t>Dittus PJ</w:t>
        </w:r>
      </w:hyperlink>
      <w:r w:rsidRPr="008551C5" w:rsidR="00A13866">
        <w:rPr>
          <w:rFonts w:asciiTheme="minorHAnsi" w:hAnsiTheme="minorHAnsi" w:cstheme="minorHAnsi"/>
          <w:sz w:val="22"/>
          <w:szCs w:val="22"/>
        </w:rPr>
        <w:t xml:space="preserve">. 2019.  Sexually transmissible infection testing among pregnant women in the US, 2011-15. </w:t>
      </w:r>
      <w:hyperlink w:tooltip="Sexual health." w:history="1" r:id="rId53">
        <w:r w:rsidRPr="008551C5" w:rsidR="00A13866">
          <w:rPr>
            <w:rFonts w:asciiTheme="minorHAnsi" w:hAnsiTheme="minorHAnsi" w:cstheme="minorHAnsi"/>
            <w:sz w:val="22"/>
            <w:szCs w:val="22"/>
          </w:rPr>
          <w:t>Sex Health.</w:t>
        </w:r>
      </w:hyperlink>
      <w:r w:rsidRPr="008551C5" w:rsidR="00A13866">
        <w:rPr>
          <w:rFonts w:asciiTheme="minorHAnsi" w:hAnsiTheme="minorHAnsi" w:cstheme="minorHAnsi"/>
          <w:sz w:val="22"/>
          <w:szCs w:val="22"/>
        </w:rPr>
        <w:t xml:space="preserve"> DOI:10.1071/SH19002. </w:t>
      </w:r>
    </w:p>
    <w:p w:rsidRPr="008551C5" w:rsidR="00A13866" w:rsidP="00A13866" w:rsidRDefault="00A13866" w14:paraId="1B3D75C4" w14:textId="77777777">
      <w:pPr>
        <w:pStyle w:val="NoSpacing"/>
        <w:ind w:left="720" w:hanging="720"/>
        <w:rPr>
          <w:rFonts w:asciiTheme="minorHAnsi" w:hAnsiTheme="minorHAnsi" w:cstheme="minorHAnsi"/>
          <w:sz w:val="22"/>
          <w:szCs w:val="22"/>
        </w:rPr>
      </w:pPr>
    </w:p>
    <w:p w:rsidRPr="008551C5" w:rsidR="00A13866" w:rsidP="00A13866" w:rsidRDefault="00A13866" w14:paraId="1FDB97F4"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Lepkowski JM, Mosher WD, Davis KE, et al. 2006. National Survey of Family Growth, Cycle 6: Sample design, weighting, imputation, and variance estimation. National Center for Health Statistics. Vital Health Stat 2(142).  Available at: http://www.cdc.gov/nchs/data/series/sr_02/sr02_142.pdf.  </w:t>
      </w:r>
    </w:p>
    <w:p w:rsidRPr="008551C5" w:rsidR="00A13866" w:rsidP="00A13866" w:rsidRDefault="00A13866" w14:paraId="46613003" w14:textId="77777777">
      <w:pPr>
        <w:ind w:left="720" w:hanging="720"/>
        <w:rPr>
          <w:rFonts w:asciiTheme="minorHAnsi" w:hAnsiTheme="minorHAnsi" w:cstheme="minorHAnsi"/>
          <w:sz w:val="22"/>
          <w:szCs w:val="22"/>
        </w:rPr>
      </w:pPr>
    </w:p>
    <w:p w:rsidRPr="008551C5" w:rsidR="00A13866" w:rsidP="00A13866" w:rsidRDefault="00A13866" w14:paraId="197BC669"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Lepkowski J, et al.  2010.  The 2006-2010 National Survey of Family Growth: Sample Design and Analysis of a Continuous Survey.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2(150)</w:t>
      </w:r>
      <w:r w:rsidRPr="008551C5">
        <w:rPr>
          <w:rFonts w:asciiTheme="minorHAnsi" w:hAnsiTheme="minorHAnsi" w:cstheme="minorHAnsi"/>
          <w:b/>
          <w:sz w:val="22"/>
          <w:szCs w:val="22"/>
        </w:rPr>
        <w:t>.</w:t>
      </w:r>
      <w:r w:rsidRPr="008551C5">
        <w:rPr>
          <w:rFonts w:asciiTheme="minorHAnsi" w:hAnsiTheme="minorHAnsi" w:cstheme="minorHAnsi"/>
          <w:sz w:val="22"/>
          <w:szCs w:val="22"/>
        </w:rPr>
        <w:t xml:space="preserve">  Hyattsville, MD: National Center for Health Statistics.  Available at: http://www.cdc.gov/nchs/data/series/sr_02/sr02_150.pdf </w:t>
      </w:r>
    </w:p>
    <w:p w:rsidRPr="008551C5" w:rsidR="00A13866" w:rsidP="00A13866" w:rsidRDefault="00A13866" w14:paraId="3C7767BC" w14:textId="77777777">
      <w:pPr>
        <w:ind w:left="720" w:hanging="720"/>
        <w:rPr>
          <w:rFonts w:asciiTheme="minorHAnsi" w:hAnsiTheme="minorHAnsi" w:cstheme="minorHAnsi"/>
          <w:sz w:val="22"/>
          <w:szCs w:val="22"/>
        </w:rPr>
      </w:pPr>
    </w:p>
    <w:p w:rsidRPr="008551C5" w:rsidR="00A13866" w:rsidP="00A13866" w:rsidRDefault="00A13866" w14:paraId="4BD37CF9"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Lepkowski J, Mosher WD, Groves RM, et al.  2013.  Responsive Design, Weighting, and Variance Estimation in the 2006–2010 National Survey of Family Growth.</w:t>
      </w:r>
      <w:r w:rsidRPr="008551C5">
        <w:rPr>
          <w:rFonts w:asciiTheme="minorHAnsi" w:hAnsiTheme="minorHAnsi" w:cstheme="minorHAnsi"/>
          <w:b/>
          <w:sz w:val="22"/>
          <w:szCs w:val="22"/>
        </w:rPr>
        <w:t xml:space="preserve"> </w:t>
      </w:r>
      <w:r w:rsidRPr="008551C5">
        <w:rPr>
          <w:rFonts w:asciiTheme="minorHAnsi" w:hAnsiTheme="minorHAnsi" w:cstheme="minorHAnsi"/>
          <w:sz w:val="22"/>
          <w:szCs w:val="22"/>
        </w:rPr>
        <w:t xml:space="preserve">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 (158).  Hyattsville, MD: National Center for Health Statistics.  Available at: http://www.cdc.gov/nchs/data/series/sr_02/sr02_158.pdf </w:t>
      </w:r>
    </w:p>
    <w:p w:rsidRPr="008551C5" w:rsidR="00A13866" w:rsidP="00A13866" w:rsidRDefault="00A13866" w14:paraId="0B6E48F5" w14:textId="77777777">
      <w:pPr>
        <w:widowControl/>
        <w:ind w:left="720" w:hanging="720"/>
        <w:rPr>
          <w:rFonts w:asciiTheme="minorHAnsi" w:hAnsiTheme="minorHAnsi" w:cstheme="minorHAnsi"/>
          <w:sz w:val="22"/>
          <w:szCs w:val="22"/>
        </w:rPr>
      </w:pPr>
    </w:p>
    <w:p w:rsidRPr="008551C5" w:rsidR="00A13866" w:rsidP="00A13866" w:rsidRDefault="00A13866" w14:paraId="20F1931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lang w:val="fr-FR"/>
        </w:rPr>
        <w:t xml:space="preserve">Lindberg LD, Jones R, Santelli JS.  </w:t>
      </w:r>
      <w:r w:rsidRPr="008551C5">
        <w:rPr>
          <w:rFonts w:asciiTheme="minorHAnsi" w:hAnsiTheme="minorHAnsi" w:cstheme="minorHAnsi"/>
          <w:sz w:val="22"/>
          <w:szCs w:val="22"/>
        </w:rPr>
        <w:t xml:space="preserve">2008.  Noncoital sexual activities among adolescents.  </w:t>
      </w:r>
      <w:r w:rsidRPr="008551C5">
        <w:rPr>
          <w:rFonts w:asciiTheme="minorHAnsi" w:hAnsiTheme="minorHAnsi" w:cstheme="minorHAnsi"/>
          <w:sz w:val="22"/>
          <w:szCs w:val="22"/>
          <w:u w:val="single"/>
        </w:rPr>
        <w:t xml:space="preserve">Journal of Adolescent Health, </w:t>
      </w:r>
      <w:r w:rsidRPr="008551C5">
        <w:rPr>
          <w:rFonts w:asciiTheme="minorHAnsi" w:hAnsiTheme="minorHAnsi" w:cstheme="minorHAnsi"/>
          <w:sz w:val="22"/>
          <w:szCs w:val="22"/>
        </w:rPr>
        <w:t>43(3): 231-238.</w:t>
      </w:r>
    </w:p>
    <w:p w:rsidRPr="008551C5" w:rsidR="00A13866" w:rsidP="00A13866" w:rsidRDefault="00A13866" w14:paraId="6EA44951" w14:textId="77777777">
      <w:pPr>
        <w:widowControl/>
        <w:ind w:left="720" w:hanging="720"/>
        <w:rPr>
          <w:rFonts w:asciiTheme="minorHAnsi" w:hAnsiTheme="minorHAnsi" w:cstheme="minorHAnsi"/>
          <w:sz w:val="22"/>
          <w:szCs w:val="22"/>
        </w:rPr>
      </w:pPr>
    </w:p>
    <w:p w:rsidRPr="008551C5" w:rsidR="00A13866" w:rsidP="00A13866" w:rsidRDefault="00A13866" w14:paraId="2F9DAD93" w14:textId="77777777">
      <w:pPr>
        <w:widowControl/>
        <w:ind w:left="720" w:hanging="720"/>
        <w:rPr>
          <w:rFonts w:asciiTheme="minorHAnsi" w:hAnsiTheme="minorHAnsi" w:cstheme="minorHAnsi"/>
          <w:sz w:val="22"/>
          <w:szCs w:val="22"/>
          <w:lang w:val="fr-FR"/>
        </w:rPr>
      </w:pPr>
      <w:r w:rsidRPr="008551C5">
        <w:rPr>
          <w:rFonts w:asciiTheme="minorHAnsi" w:hAnsiTheme="minorHAnsi" w:cstheme="minorHAnsi"/>
          <w:sz w:val="22"/>
          <w:szCs w:val="22"/>
          <w:lang w:val="fr-FR"/>
        </w:rPr>
        <w:t xml:space="preserve">Lindberg, L, Jerman, J. 2016.  Recent Patterns of Same-Sex Behaviors, Sexual Attraction, Sexual Identity and Related Attitudes Among Adolescents and Young Adults in the United States. </w:t>
      </w:r>
      <w:r w:rsidRPr="008551C5">
        <w:rPr>
          <w:rFonts w:asciiTheme="minorHAnsi" w:hAnsiTheme="minorHAnsi" w:cstheme="minorHAnsi"/>
          <w:sz w:val="22"/>
          <w:szCs w:val="22"/>
          <w:u w:val="single"/>
        </w:rPr>
        <w:t>Journal of Adolescent Health</w:t>
      </w:r>
      <w:r w:rsidRPr="008551C5">
        <w:rPr>
          <w:rFonts w:asciiTheme="minorHAnsi" w:hAnsiTheme="minorHAnsi" w:cstheme="minorHAnsi"/>
          <w:sz w:val="22"/>
          <w:szCs w:val="22"/>
          <w:lang w:val="fr-FR"/>
        </w:rPr>
        <w:t xml:space="preserve"> 58(2): Supplement, page 102.</w:t>
      </w:r>
    </w:p>
    <w:p w:rsidRPr="008551C5" w:rsidR="00A13866" w:rsidP="00A13866" w:rsidRDefault="00A13866" w14:paraId="4F18B1B3" w14:textId="77777777">
      <w:pPr>
        <w:widowControl/>
        <w:ind w:left="720" w:hanging="720"/>
        <w:rPr>
          <w:rFonts w:asciiTheme="minorHAnsi" w:hAnsiTheme="minorHAnsi" w:cstheme="minorHAnsi"/>
          <w:sz w:val="22"/>
          <w:szCs w:val="22"/>
          <w:lang w:val="fr-FR"/>
        </w:rPr>
      </w:pPr>
    </w:p>
    <w:p w:rsidRPr="008551C5" w:rsidR="00A13866" w:rsidP="00A13866" w:rsidRDefault="00A13866" w14:paraId="0165FCF1" w14:textId="77777777">
      <w:pPr>
        <w:widowControl/>
        <w:ind w:left="720" w:hanging="720"/>
        <w:rPr>
          <w:rFonts w:asciiTheme="minorHAnsi" w:hAnsiTheme="minorHAnsi" w:cstheme="minorHAnsi"/>
          <w:sz w:val="22"/>
          <w:szCs w:val="22"/>
          <w:lang w:val="fr-FR"/>
        </w:rPr>
      </w:pPr>
      <w:r w:rsidRPr="008551C5">
        <w:rPr>
          <w:rFonts w:asciiTheme="minorHAnsi" w:hAnsiTheme="minorHAnsi" w:cstheme="minorHAnsi"/>
          <w:sz w:val="22"/>
          <w:szCs w:val="22"/>
          <w:lang w:val="fr-FR"/>
        </w:rPr>
        <w:t>Little R, Rubin D.  2019. Statistical analysis of missing data. 3rd Edition. New York, NY: John Wiley &amp; Sons.</w:t>
      </w:r>
    </w:p>
    <w:p w:rsidRPr="008551C5" w:rsidR="00A13866" w:rsidP="00A13866" w:rsidRDefault="00A13866" w14:paraId="40A56605" w14:textId="77777777">
      <w:pPr>
        <w:widowControl/>
        <w:ind w:left="720" w:hanging="720"/>
        <w:rPr>
          <w:rFonts w:asciiTheme="minorHAnsi" w:hAnsiTheme="minorHAnsi" w:cstheme="minorHAnsi"/>
          <w:sz w:val="22"/>
          <w:szCs w:val="22"/>
        </w:rPr>
      </w:pPr>
    </w:p>
    <w:p w:rsidRPr="008551C5" w:rsidR="00A13866" w:rsidP="00A13866" w:rsidRDefault="00A13866" w14:paraId="244797B3" w14:textId="77777777">
      <w:pPr>
        <w:ind w:left="720" w:hanging="720"/>
        <w:rPr>
          <w:rFonts w:asciiTheme="minorHAnsi" w:hAnsiTheme="minorHAnsi" w:cstheme="minorHAnsi"/>
          <w:bCs/>
          <w:sz w:val="22"/>
          <w:szCs w:val="22"/>
        </w:rPr>
      </w:pPr>
      <w:r w:rsidRPr="008551C5">
        <w:rPr>
          <w:rFonts w:asciiTheme="minorHAnsi" w:hAnsiTheme="minorHAnsi" w:cstheme="minorHAnsi"/>
          <w:bCs/>
          <w:sz w:val="22"/>
          <w:szCs w:val="22"/>
        </w:rPr>
        <w:t xml:space="preserve">Magnusson, BM, Masho, SW, Lapane, KL.  2011.  Adolescent and sexual history factors influencing reproductive control among women aged 18-44. </w:t>
      </w:r>
      <w:r w:rsidRPr="008551C5">
        <w:rPr>
          <w:rFonts w:asciiTheme="minorHAnsi" w:hAnsiTheme="minorHAnsi" w:cstheme="minorHAnsi"/>
          <w:sz w:val="22"/>
          <w:szCs w:val="22"/>
          <w:u w:val="single"/>
        </w:rPr>
        <w:t>Sexual Health.</w:t>
      </w:r>
      <w:r w:rsidRPr="008551C5">
        <w:rPr>
          <w:rFonts w:asciiTheme="minorHAnsi" w:hAnsiTheme="minorHAnsi" w:cstheme="minorHAnsi"/>
          <w:sz w:val="22"/>
          <w:szCs w:val="22"/>
        </w:rPr>
        <w:t xml:space="preserve"> </w:t>
      </w:r>
      <w:r w:rsidRPr="008551C5">
        <w:rPr>
          <w:rFonts w:asciiTheme="minorHAnsi" w:hAnsiTheme="minorHAnsi" w:cstheme="minorHAnsi"/>
          <w:bCs/>
          <w:sz w:val="22"/>
          <w:szCs w:val="22"/>
        </w:rPr>
        <w:t xml:space="preserve">8: 95-101. </w:t>
      </w:r>
    </w:p>
    <w:p w:rsidRPr="008551C5" w:rsidR="00A13866" w:rsidP="00A13866" w:rsidRDefault="00A13866" w14:paraId="699370B6" w14:textId="77777777">
      <w:pPr>
        <w:widowControl/>
        <w:rPr>
          <w:rFonts w:asciiTheme="minorHAnsi" w:hAnsiTheme="minorHAnsi" w:cstheme="minorHAnsi"/>
          <w:sz w:val="22"/>
          <w:szCs w:val="22"/>
        </w:rPr>
      </w:pPr>
    </w:p>
    <w:p w:rsidRPr="008551C5" w:rsidR="00A13866" w:rsidP="00A13866" w:rsidRDefault="00A13866" w14:paraId="5857E948" w14:textId="77777777">
      <w:pPr>
        <w:widowControl/>
        <w:ind w:left="720" w:hanging="720"/>
        <w:rPr>
          <w:rFonts w:asciiTheme="minorHAnsi" w:hAnsiTheme="minorHAnsi" w:cstheme="minorHAnsi"/>
          <w:sz w:val="22"/>
          <w:szCs w:val="22"/>
        </w:rPr>
      </w:pPr>
      <w:r w:rsidRPr="008551C5">
        <w:rPr>
          <w:rFonts w:asciiTheme="minorHAnsi" w:hAnsiTheme="minorHAnsi" w:cstheme="minorHAnsi"/>
          <w:bCs/>
          <w:sz w:val="22"/>
          <w:szCs w:val="22"/>
        </w:rPr>
        <w:t xml:space="preserve">Manlove J, Terry-Humen E, Ikramullah E.  2006.  Young Teenagers and Older Sexual Partners: Correlates and Consequences for Males and Females.  </w:t>
      </w:r>
      <w:r w:rsidRPr="008551C5">
        <w:rPr>
          <w:rFonts w:asciiTheme="minorHAnsi" w:hAnsiTheme="minorHAnsi" w:cstheme="minorHAnsi"/>
          <w:sz w:val="22"/>
          <w:szCs w:val="22"/>
          <w:u w:val="single"/>
        </w:rPr>
        <w:t>Perspectives on Sexual and Reproductive Health</w:t>
      </w:r>
      <w:r w:rsidRPr="008551C5">
        <w:rPr>
          <w:rFonts w:asciiTheme="minorHAnsi" w:hAnsiTheme="minorHAnsi" w:cstheme="minorHAnsi"/>
          <w:sz w:val="22"/>
          <w:szCs w:val="22"/>
        </w:rPr>
        <w:t xml:space="preserve"> 38(4):197-207. </w:t>
      </w:r>
    </w:p>
    <w:p w:rsidRPr="008551C5" w:rsidR="00A13866" w:rsidP="00A13866" w:rsidRDefault="00A13866" w14:paraId="3F9D4FF7" w14:textId="77777777">
      <w:pPr>
        <w:widowControl/>
        <w:ind w:left="720" w:hanging="720"/>
        <w:rPr>
          <w:rFonts w:asciiTheme="minorHAnsi" w:hAnsiTheme="minorHAnsi" w:cstheme="minorHAnsi"/>
          <w:sz w:val="22"/>
          <w:szCs w:val="22"/>
        </w:rPr>
      </w:pPr>
    </w:p>
    <w:p w:rsidRPr="008551C5" w:rsidR="00A13866" w:rsidP="00A13866" w:rsidRDefault="00A13866" w14:paraId="11118449"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Martin JA, Hamilton BE, Osterman MJK, Driscoll AK. Births: Final Data for 2019. 2021. National Vital Statistics Reports; vol 70 no 2. Hyattsville, MD: National Center for Health Statistics. DOI: https://dx.doi.org/10.15620/cdc:100472.</w:t>
      </w:r>
    </w:p>
    <w:p w:rsidRPr="008551C5" w:rsidR="00A13866" w:rsidP="00A13866" w:rsidRDefault="00A13866" w14:paraId="680C97EB" w14:textId="77777777">
      <w:pPr>
        <w:widowControl/>
        <w:ind w:left="720" w:hanging="720"/>
        <w:rPr>
          <w:rFonts w:asciiTheme="minorHAnsi" w:hAnsiTheme="minorHAnsi" w:cstheme="minorHAnsi"/>
          <w:sz w:val="22"/>
          <w:szCs w:val="22"/>
        </w:rPr>
      </w:pPr>
    </w:p>
    <w:p w:rsidRPr="008551C5" w:rsidR="00A13866" w:rsidP="00A13866" w:rsidRDefault="00A13866" w14:paraId="462D0370"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Martinez GM, Abma JC. Sexual activity and contraceptive use among teenagers aged 15–19 in the United States, 2015–2017. 2020. NCHS Data Brief, no 366. Hyattsville, MD: National Center for Health Statistics. </w:t>
      </w:r>
    </w:p>
    <w:p w:rsidRPr="008551C5" w:rsidR="00A13866" w:rsidP="00A13866" w:rsidRDefault="00A13866" w14:paraId="47E9BD33" w14:textId="77777777">
      <w:pPr>
        <w:widowControl/>
        <w:rPr>
          <w:rFonts w:asciiTheme="minorHAnsi" w:hAnsiTheme="minorHAnsi" w:eastAsiaTheme="minorHAnsi" w:cstheme="minorHAnsi"/>
          <w:color w:val="000000"/>
          <w:sz w:val="22"/>
          <w:szCs w:val="22"/>
        </w:rPr>
      </w:pPr>
    </w:p>
    <w:p w:rsidRPr="008551C5" w:rsidR="00A13866" w:rsidP="00A13866" w:rsidRDefault="00A13866" w14:paraId="6D0C1B60"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Martinez GM, Chandra, A, Abma JC, Jones J, Mosher WD.  2006.  Fertility, Contraception, and Fatherhood: Data on Men and Women from the 2002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23(26).  Hyattsville, MD:  National Center for Health Statistics. </w:t>
      </w:r>
    </w:p>
    <w:p w:rsidRPr="008551C5" w:rsidR="00A13866" w:rsidP="00A13866" w:rsidRDefault="00A13866" w14:paraId="04832784" w14:textId="77777777">
      <w:pPr>
        <w:tabs>
          <w:tab w:val="left" w:pos="-1440"/>
        </w:tabs>
        <w:ind w:left="720" w:right="-720" w:hanging="720"/>
        <w:rPr>
          <w:rFonts w:asciiTheme="minorHAnsi" w:hAnsiTheme="minorHAnsi" w:cstheme="minorHAnsi"/>
          <w:sz w:val="22"/>
          <w:szCs w:val="22"/>
        </w:rPr>
      </w:pPr>
    </w:p>
    <w:p w:rsidRPr="008551C5" w:rsidR="00A13866" w:rsidP="00A13866" w:rsidRDefault="00A13866" w14:paraId="368FAD53" w14:textId="77777777">
      <w:pPr>
        <w:widowControl/>
        <w:ind w:left="720" w:hanging="720"/>
        <w:rPr>
          <w:rFonts w:asciiTheme="minorHAnsi" w:hAnsiTheme="minorHAnsi" w:cstheme="minorHAnsi"/>
          <w:sz w:val="22"/>
          <w:szCs w:val="22"/>
        </w:rPr>
      </w:pPr>
      <w:r w:rsidRPr="008551C5">
        <w:rPr>
          <w:rFonts w:asciiTheme="minorHAnsi" w:hAnsiTheme="minorHAnsi" w:cstheme="minorHAnsi"/>
          <w:color w:val="211E1E"/>
          <w:sz w:val="22"/>
          <w:szCs w:val="22"/>
        </w:rPr>
        <w:t xml:space="preserve">Martinez GM, Chandra A, Febo-Vazquez I, Mosher WD. 2013. Use of family planning and related medical services among women aged 15–44 in the United States: National Survey of Family Growth, 2006–2010. </w:t>
      </w:r>
      <w:r w:rsidRPr="008551C5">
        <w:rPr>
          <w:rFonts w:asciiTheme="minorHAnsi" w:hAnsiTheme="minorHAnsi" w:cstheme="minorHAnsi"/>
          <w:color w:val="211E1E"/>
          <w:sz w:val="22"/>
          <w:szCs w:val="22"/>
          <w:u w:val="single"/>
        </w:rPr>
        <w:t>National Health Statistics Reports</w:t>
      </w:r>
      <w:r w:rsidRPr="008551C5">
        <w:rPr>
          <w:rFonts w:asciiTheme="minorHAnsi" w:hAnsiTheme="minorHAnsi" w:cstheme="minorHAnsi"/>
          <w:color w:val="211E1E"/>
          <w:sz w:val="22"/>
          <w:szCs w:val="22"/>
        </w:rPr>
        <w:t xml:space="preserve"> No. 68. Hyattsville, MD: National Center for Health Statistics. </w:t>
      </w:r>
    </w:p>
    <w:p w:rsidRPr="008551C5" w:rsidR="00A13866" w:rsidP="00A13866" w:rsidRDefault="00A13866" w14:paraId="40F90FBC" w14:textId="77777777">
      <w:pPr>
        <w:widowControl/>
        <w:ind w:left="720" w:hanging="720"/>
        <w:rPr>
          <w:rFonts w:asciiTheme="minorHAnsi" w:hAnsiTheme="minorHAnsi" w:cstheme="minorHAnsi"/>
          <w:sz w:val="22"/>
          <w:szCs w:val="22"/>
        </w:rPr>
      </w:pPr>
    </w:p>
    <w:p w:rsidRPr="008551C5" w:rsidR="00A13866" w:rsidP="00A13866" w:rsidRDefault="00A13866" w14:paraId="2DDD7D2F" w14:textId="77777777">
      <w:pPr>
        <w:tabs>
          <w:tab w:val="left" w:pos="-1440"/>
        </w:tabs>
        <w:ind w:left="720" w:right="-720" w:hanging="720"/>
        <w:rPr>
          <w:rFonts w:asciiTheme="minorHAnsi" w:hAnsiTheme="minorHAnsi" w:cstheme="minorHAnsi"/>
          <w:sz w:val="22"/>
          <w:szCs w:val="22"/>
        </w:rPr>
      </w:pPr>
      <w:r w:rsidRPr="008551C5">
        <w:rPr>
          <w:rFonts w:asciiTheme="minorHAnsi" w:hAnsiTheme="minorHAnsi" w:cstheme="minorHAnsi"/>
          <w:sz w:val="22"/>
          <w:szCs w:val="22"/>
        </w:rPr>
        <w:t xml:space="preserve">Martinez GM, Copen CE, Abma JC. 2011.  Teenagers in the United States: Sexual Activity, Contraceptive Use, and Childbearing, 2006-2010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23(31).</w:t>
      </w:r>
    </w:p>
    <w:p w:rsidRPr="008551C5" w:rsidR="00A13866" w:rsidP="00A13866" w:rsidRDefault="00A13866" w14:paraId="25183E68" w14:textId="77777777">
      <w:pPr>
        <w:widowControl/>
        <w:ind w:left="720" w:hanging="720"/>
        <w:rPr>
          <w:rFonts w:asciiTheme="minorHAnsi" w:hAnsiTheme="minorHAnsi" w:eastAsiaTheme="minorHAnsi" w:cstheme="minorHAnsi"/>
          <w:sz w:val="22"/>
          <w:szCs w:val="22"/>
        </w:rPr>
      </w:pPr>
    </w:p>
    <w:p w:rsidRPr="008551C5" w:rsidR="00A13866" w:rsidP="00A13866" w:rsidRDefault="00A13866" w14:paraId="2E1ED674" w14:textId="77777777">
      <w:pPr>
        <w:widowControl/>
        <w:ind w:left="720" w:hanging="720"/>
        <w:rPr>
          <w:rFonts w:asciiTheme="minorHAnsi" w:hAnsiTheme="minorHAnsi" w:cstheme="minorHAnsi"/>
          <w:sz w:val="22"/>
          <w:szCs w:val="22"/>
        </w:rPr>
      </w:pPr>
      <w:r w:rsidRPr="008551C5">
        <w:rPr>
          <w:rFonts w:asciiTheme="minorHAnsi" w:hAnsiTheme="minorHAnsi" w:cstheme="minorHAnsi"/>
          <w:color w:val="211E1E"/>
          <w:sz w:val="22"/>
          <w:szCs w:val="22"/>
        </w:rPr>
        <w:t xml:space="preserve">Martinez GM, Daniels K, Chandra A.  2012. Fertility of men and women aged 15–44 years in the United States: National Survey of Family Growth, 2006–2010. </w:t>
      </w:r>
      <w:r w:rsidRPr="008551C5">
        <w:rPr>
          <w:rFonts w:asciiTheme="minorHAnsi" w:hAnsiTheme="minorHAnsi" w:cstheme="minorHAnsi"/>
          <w:color w:val="211E1E"/>
          <w:sz w:val="22"/>
          <w:szCs w:val="22"/>
          <w:u w:val="single"/>
        </w:rPr>
        <w:t>National Health Statistics Reports</w:t>
      </w:r>
      <w:r w:rsidRPr="008551C5">
        <w:rPr>
          <w:rFonts w:asciiTheme="minorHAnsi" w:hAnsiTheme="minorHAnsi" w:cstheme="minorHAnsi"/>
          <w:color w:val="211E1E"/>
          <w:sz w:val="22"/>
          <w:szCs w:val="22"/>
        </w:rPr>
        <w:t xml:space="preserve"> No. 51. Hyattsville, MD: National Center for Health Statistics.</w:t>
      </w:r>
    </w:p>
    <w:p w:rsidRPr="008551C5" w:rsidR="00A13866" w:rsidP="00A13866" w:rsidRDefault="00A13866" w14:paraId="7015DC3B" w14:textId="77777777">
      <w:pPr>
        <w:widowControl/>
        <w:ind w:left="720" w:hanging="720"/>
        <w:rPr>
          <w:rFonts w:asciiTheme="minorHAnsi" w:hAnsiTheme="minorHAnsi" w:eastAsiaTheme="minorHAnsi" w:cstheme="minorHAnsi"/>
          <w:sz w:val="22"/>
          <w:szCs w:val="22"/>
        </w:rPr>
      </w:pPr>
    </w:p>
    <w:p w:rsidRPr="008551C5" w:rsidR="00A13866" w:rsidP="00A13866" w:rsidRDefault="00A13866" w14:paraId="11AEB733" w14:textId="77777777">
      <w:pPr>
        <w:widowControl/>
        <w:ind w:left="720" w:hanging="720"/>
        <w:rPr>
          <w:rFonts w:asciiTheme="minorHAnsi" w:hAnsiTheme="minorHAnsi" w:eastAsiaTheme="minorHAnsi" w:cstheme="minorHAnsi"/>
          <w:sz w:val="22"/>
          <w:szCs w:val="22"/>
        </w:rPr>
      </w:pPr>
      <w:r w:rsidRPr="008551C5">
        <w:rPr>
          <w:rFonts w:asciiTheme="minorHAnsi" w:hAnsiTheme="minorHAnsi" w:eastAsiaTheme="minorHAnsi" w:cstheme="minorHAnsi"/>
          <w:sz w:val="22"/>
          <w:szCs w:val="22"/>
        </w:rPr>
        <w:t xml:space="preserve">Martinez GM, Daniels K, Febo-Vazquez I. 2018. Fertility of men and women aged 15-44 in the United States: National Survey of Family Growth, 2011-2015. National Health Statistics Reports; no 113. Hyattsville, MD: National Center for Health Statistics. Available from: https://www.cdc.gov/nchs/data/nhsr/nhsr113.pdf. </w:t>
      </w:r>
    </w:p>
    <w:p w:rsidRPr="008551C5" w:rsidR="00A13866" w:rsidP="00A13866" w:rsidRDefault="00A13866" w14:paraId="76B6EB6D" w14:textId="77777777">
      <w:pPr>
        <w:widowControl/>
        <w:ind w:left="720" w:hanging="720"/>
        <w:rPr>
          <w:rFonts w:asciiTheme="minorHAnsi" w:hAnsiTheme="minorHAnsi" w:eastAsiaTheme="minorHAnsi" w:cstheme="minorHAnsi"/>
          <w:sz w:val="22"/>
          <w:szCs w:val="22"/>
        </w:rPr>
      </w:pPr>
    </w:p>
    <w:p w:rsidRPr="008551C5" w:rsidR="00A13866" w:rsidP="00A13866" w:rsidRDefault="00A13866" w14:paraId="6272B4E0" w14:textId="77777777">
      <w:pPr>
        <w:widowControl/>
        <w:ind w:left="720" w:hanging="720"/>
        <w:rPr>
          <w:rFonts w:asciiTheme="minorHAnsi" w:hAnsiTheme="minorHAnsi" w:eastAsiaTheme="minorHAnsi" w:cstheme="minorHAnsi"/>
          <w:sz w:val="22"/>
          <w:szCs w:val="22"/>
        </w:rPr>
      </w:pPr>
      <w:r w:rsidRPr="008551C5">
        <w:rPr>
          <w:rFonts w:asciiTheme="minorHAnsi" w:hAnsiTheme="minorHAnsi" w:eastAsiaTheme="minorHAnsi" w:cstheme="minorHAnsi"/>
          <w:sz w:val="22"/>
          <w:szCs w:val="22"/>
        </w:rPr>
        <w:t xml:space="preserve">Martinez GM, Qin J, Saraiya M, Sawaya GF. 2019. Receipt of pelvic examinations among women aged 15–44 in the United States, 1988–2017. NCHS Data Brief, no 339. Hyattsville, MD: National Center for Health Statistics. </w:t>
      </w:r>
    </w:p>
    <w:p w:rsidRPr="008551C5" w:rsidR="00A13866" w:rsidP="00A13866" w:rsidRDefault="00A13866" w14:paraId="6591CE03" w14:textId="77777777">
      <w:pPr>
        <w:widowControl/>
        <w:ind w:left="720" w:hanging="720"/>
        <w:rPr>
          <w:rFonts w:asciiTheme="minorHAnsi" w:hAnsiTheme="minorHAnsi" w:cstheme="minorHAnsi"/>
          <w:sz w:val="22"/>
          <w:szCs w:val="22"/>
        </w:rPr>
      </w:pPr>
    </w:p>
    <w:p w:rsidRPr="008551C5" w:rsidR="00A13866" w:rsidP="00A13866" w:rsidRDefault="00A13866" w14:paraId="259944B9" w14:textId="77777777">
      <w:pPr>
        <w:ind w:left="720" w:hanging="720"/>
        <w:rPr>
          <w:rFonts w:asciiTheme="minorHAnsi" w:hAnsiTheme="minorHAnsi" w:cstheme="minorHAnsi"/>
          <w:sz w:val="22"/>
          <w:szCs w:val="22"/>
        </w:rPr>
      </w:pPr>
      <w:r w:rsidRPr="008551C5">
        <w:rPr>
          <w:rFonts w:asciiTheme="minorHAnsi" w:hAnsiTheme="minorHAnsi" w:cstheme="minorHAnsi"/>
          <w:color w:val="211E1E"/>
          <w:sz w:val="22"/>
          <w:szCs w:val="22"/>
        </w:rPr>
        <w:t>Masho SW, Chambers GJ, Wallenborn JT, Ferrance JL. 2017. Associations of Partner Age Gap at Sexual Debut with Teenage Parenthood and Lifetime Number of Partners.</w:t>
      </w:r>
      <w:r w:rsidRPr="008551C5">
        <w:rPr>
          <w:rFonts w:asciiTheme="minorHAnsi" w:hAnsiTheme="minorHAnsi" w:cstheme="minorHAnsi"/>
          <w:sz w:val="22"/>
          <w:szCs w:val="22"/>
        </w:rPr>
        <w:t xml:space="preserve"> </w:t>
      </w:r>
      <w:r w:rsidRPr="008551C5">
        <w:rPr>
          <w:rFonts w:asciiTheme="minorHAnsi" w:hAnsiTheme="minorHAnsi" w:cstheme="minorHAnsi"/>
          <w:color w:val="211E1E"/>
          <w:sz w:val="22"/>
          <w:szCs w:val="22"/>
          <w:u w:val="single"/>
        </w:rPr>
        <w:t>Perspectives on Sexual and Reproductive Health.</w:t>
      </w:r>
      <w:r w:rsidRPr="008551C5">
        <w:rPr>
          <w:rFonts w:asciiTheme="minorHAnsi" w:hAnsiTheme="minorHAnsi" w:cstheme="minorHAnsi"/>
          <w:color w:val="211E1E"/>
          <w:sz w:val="22"/>
          <w:szCs w:val="22"/>
        </w:rPr>
        <w:t xml:space="preserve"> 49(2): 77-83.</w:t>
      </w:r>
    </w:p>
    <w:p w:rsidRPr="008551C5" w:rsidR="00A13866" w:rsidP="00A13866" w:rsidRDefault="00A13866" w14:paraId="03EE3BD0" w14:textId="77777777">
      <w:pPr>
        <w:widowControl/>
        <w:ind w:left="720" w:hanging="720"/>
        <w:rPr>
          <w:rFonts w:asciiTheme="minorHAnsi" w:hAnsiTheme="minorHAnsi" w:cstheme="minorHAnsi"/>
          <w:sz w:val="22"/>
          <w:szCs w:val="22"/>
        </w:rPr>
      </w:pPr>
    </w:p>
    <w:p w:rsidRPr="008551C5" w:rsidR="00A13866" w:rsidP="00A13866" w:rsidRDefault="00A13866" w14:paraId="65793C6E" w14:textId="77777777">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2"/>
          <w:szCs w:val="22"/>
        </w:rPr>
      </w:pPr>
      <w:r w:rsidRPr="008551C5">
        <w:rPr>
          <w:rFonts w:asciiTheme="minorHAnsi" w:hAnsiTheme="minorHAnsi" w:cstheme="minorHAnsi"/>
          <w:color w:val="000000"/>
          <w:sz w:val="22"/>
          <w:szCs w:val="22"/>
        </w:rPr>
        <w:t xml:space="preserve">McCabe J, Brewster KL, Tillman KH. 2011. Patterns and Correlates of Same-Sex Sexual Activity among U.S. Teenagers and Young Adults. </w:t>
      </w:r>
      <w:r w:rsidRPr="008551C5">
        <w:rPr>
          <w:rFonts w:asciiTheme="minorHAnsi" w:hAnsiTheme="minorHAnsi" w:cstheme="minorHAnsi"/>
          <w:sz w:val="22"/>
          <w:szCs w:val="22"/>
          <w:u w:val="single"/>
        </w:rPr>
        <w:t>Perspect Sex Reprod Health</w:t>
      </w:r>
      <w:r w:rsidRPr="008551C5">
        <w:rPr>
          <w:rFonts w:asciiTheme="minorHAnsi" w:hAnsiTheme="minorHAnsi" w:cstheme="minorHAnsi"/>
          <w:sz w:val="22"/>
          <w:szCs w:val="22"/>
        </w:rPr>
        <w:t xml:space="preserve"> 43(3):142-50.</w:t>
      </w:r>
      <w:r w:rsidRPr="008551C5">
        <w:rPr>
          <w:rFonts w:asciiTheme="minorHAnsi" w:hAnsiTheme="minorHAnsi" w:cstheme="minorHAnsi"/>
          <w:color w:val="000000"/>
          <w:sz w:val="22"/>
          <w:szCs w:val="22"/>
        </w:rPr>
        <w:t xml:space="preserve"> </w:t>
      </w:r>
    </w:p>
    <w:p w:rsidRPr="008551C5" w:rsidR="00A13866" w:rsidP="00A13866" w:rsidRDefault="00A13866" w14:paraId="771025B1"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McNally J, Mosher W.  1991.  AIDS-Related Knowledge and Behavior among Women 15-44 Years of Age: United States, 1988.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200.  Hyattsville, MD: National Center for Health Statistics.</w:t>
      </w:r>
    </w:p>
    <w:p w:rsidRPr="008551C5" w:rsidR="00A13866" w:rsidP="00A13866" w:rsidRDefault="00A13866" w14:paraId="4183006B" w14:textId="77777777">
      <w:pPr>
        <w:widowControl/>
        <w:ind w:left="720" w:hanging="720"/>
        <w:rPr>
          <w:rFonts w:asciiTheme="minorHAnsi" w:hAnsiTheme="minorHAnsi" w:cstheme="minorHAnsi"/>
          <w:sz w:val="22"/>
          <w:szCs w:val="22"/>
        </w:rPr>
      </w:pPr>
    </w:p>
    <w:p w:rsidRPr="008551C5" w:rsidR="00A13866" w:rsidP="00A13866" w:rsidRDefault="00A13866" w14:paraId="59B3F24B"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Melbostad HS, Badger GJ, Matusiewicz AK, Heil SH.  2017. Contraceptive use among female smokers.  </w:t>
      </w:r>
      <w:r w:rsidRPr="008551C5">
        <w:rPr>
          <w:rFonts w:asciiTheme="minorHAnsi" w:hAnsiTheme="minorHAnsi" w:cstheme="minorHAnsi"/>
          <w:sz w:val="22"/>
          <w:szCs w:val="22"/>
          <w:u w:val="single"/>
        </w:rPr>
        <w:t>Drug &amp; Alcohol Dependence.</w:t>
      </w:r>
      <w:r w:rsidRPr="008551C5">
        <w:rPr>
          <w:rFonts w:asciiTheme="minorHAnsi" w:hAnsiTheme="minorHAnsi" w:cstheme="minorHAnsi"/>
          <w:color w:val="333333"/>
          <w:sz w:val="22"/>
          <w:szCs w:val="22"/>
          <w:lang w:val="en"/>
        </w:rPr>
        <w:t xml:space="preserve"> </w:t>
      </w:r>
      <w:r w:rsidRPr="008551C5">
        <w:rPr>
          <w:rFonts w:asciiTheme="minorHAnsi" w:hAnsiTheme="minorHAnsi" w:cstheme="minorHAnsi"/>
          <w:sz w:val="22"/>
          <w:szCs w:val="22"/>
        </w:rPr>
        <w:t>Volume 171 , e141 - e142.</w:t>
      </w:r>
    </w:p>
    <w:p w:rsidRPr="008551C5" w:rsidR="00A13866" w:rsidP="00A13866" w:rsidRDefault="00A13866" w14:paraId="676316E3" w14:textId="77777777">
      <w:pPr>
        <w:widowControl/>
        <w:ind w:left="720" w:hanging="720"/>
        <w:rPr>
          <w:rFonts w:asciiTheme="minorHAnsi" w:hAnsiTheme="minorHAnsi" w:cstheme="minorHAnsi"/>
          <w:sz w:val="22"/>
          <w:szCs w:val="22"/>
        </w:rPr>
      </w:pPr>
    </w:p>
    <w:p w:rsidRPr="008551C5" w:rsidR="00A13866" w:rsidP="00A13866" w:rsidRDefault="00A13866" w14:paraId="5F71F507"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Miller HG, Cain VS, Rogers DM, Gribble JN, Turner CF. 1999.  Correlates of Sexually Transmitted Bacterial Infections among US Women in 1995.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31(5):228-236.</w:t>
      </w:r>
    </w:p>
    <w:p w:rsidRPr="008551C5" w:rsidR="00A13866" w:rsidP="00A13866" w:rsidRDefault="00A13866" w14:paraId="31D20355" w14:textId="77777777">
      <w:pPr>
        <w:widowControl/>
        <w:ind w:left="720" w:hanging="720"/>
        <w:rPr>
          <w:rFonts w:asciiTheme="minorHAnsi" w:hAnsiTheme="minorHAnsi" w:cstheme="minorHAnsi"/>
          <w:sz w:val="22"/>
          <w:szCs w:val="22"/>
        </w:rPr>
      </w:pPr>
    </w:p>
    <w:p w:rsidRPr="008551C5" w:rsidR="00A13866" w:rsidP="00A13866" w:rsidRDefault="00A13866" w14:paraId="60D69C08"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Montaquila, J. M., J. M. Brick, D. Williams, K. Kim and D. Han. 2013. "A Study of Two-Phase Mail Survey Data Collection Methods." Journal of Survey Statistics and Methodology 1(1): 66-87.</w:t>
      </w:r>
    </w:p>
    <w:p w:rsidRPr="008551C5" w:rsidR="00A13866" w:rsidP="00A13866" w:rsidRDefault="00A13866" w14:paraId="242CDC0A" w14:textId="77777777">
      <w:pPr>
        <w:widowControl/>
        <w:ind w:left="720" w:hanging="720"/>
        <w:rPr>
          <w:rFonts w:asciiTheme="minorHAnsi" w:hAnsiTheme="minorHAnsi" w:cstheme="minorHAnsi"/>
          <w:sz w:val="22"/>
          <w:szCs w:val="22"/>
        </w:rPr>
      </w:pPr>
    </w:p>
    <w:p w:rsidRPr="008551C5" w:rsidR="00A13866" w:rsidP="00A13866" w:rsidRDefault="00A13866" w14:paraId="68022C25" w14:textId="77777777">
      <w:pPr>
        <w:pStyle w:val="PlainText"/>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Moore KA, Nord C, Peterson J. 1989. Nonvoluntary sexual activity among adolescents.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21(3): 110-114.</w:t>
      </w:r>
    </w:p>
    <w:p w:rsidRPr="008551C5" w:rsidR="00A13866" w:rsidP="00A13866" w:rsidRDefault="00A13866" w14:paraId="36647058" w14:textId="77777777">
      <w:pPr>
        <w:widowControl/>
        <w:ind w:left="720" w:hanging="720"/>
        <w:rPr>
          <w:rFonts w:asciiTheme="minorHAnsi" w:hAnsiTheme="minorHAnsi" w:cstheme="minorHAnsi"/>
          <w:sz w:val="22"/>
          <w:szCs w:val="22"/>
        </w:rPr>
      </w:pPr>
    </w:p>
    <w:p w:rsidRPr="008551C5" w:rsidR="00A13866" w:rsidP="00A13866" w:rsidRDefault="00A13866" w14:paraId="46369ED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Mosher WD, Pratt WF.  1993.  AIDS-related Behavior among Women 15-44 Years of Age: United States, 1988 and 1990.  </w:t>
      </w:r>
      <w:r w:rsidRPr="008551C5">
        <w:rPr>
          <w:rFonts w:asciiTheme="minorHAnsi" w:hAnsiTheme="minorHAnsi" w:cstheme="minorHAnsi"/>
          <w:sz w:val="22"/>
          <w:szCs w:val="22"/>
          <w:u w:val="single"/>
        </w:rPr>
        <w:t xml:space="preserve">Advance Data </w:t>
      </w:r>
      <w:r w:rsidRPr="008551C5">
        <w:rPr>
          <w:rFonts w:asciiTheme="minorHAnsi" w:hAnsiTheme="minorHAnsi" w:cstheme="minorHAnsi"/>
          <w:sz w:val="22"/>
          <w:szCs w:val="22"/>
        </w:rPr>
        <w:t>No. 239.  Hyattsville, MD: National Center for Health Statistics.</w:t>
      </w:r>
    </w:p>
    <w:p w:rsidRPr="008551C5" w:rsidR="00A13866" w:rsidP="00A13866" w:rsidRDefault="00A13866" w14:paraId="38783A6E" w14:textId="77777777">
      <w:pPr>
        <w:widowControl/>
        <w:ind w:left="720" w:hanging="720"/>
        <w:rPr>
          <w:rFonts w:asciiTheme="minorHAnsi" w:hAnsiTheme="minorHAnsi" w:cstheme="minorHAnsi"/>
          <w:sz w:val="22"/>
          <w:szCs w:val="22"/>
        </w:rPr>
      </w:pPr>
    </w:p>
    <w:p w:rsidRPr="008551C5" w:rsidR="00A13866" w:rsidP="00A13866" w:rsidRDefault="00A13866" w14:paraId="77665AC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Mosher W, Chandra A, Jones J. 2005.  Sexual Behavior and Selected Health Measures: Men and Women 15-44 Years of Age, United States, 2002.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362. Hyattsville, MD: National Center for Health Statistics.</w:t>
      </w:r>
    </w:p>
    <w:p w:rsidRPr="008551C5" w:rsidR="00A13866" w:rsidP="00A13866" w:rsidRDefault="00A13866" w14:paraId="2CB4CBA6" w14:textId="77777777">
      <w:pPr>
        <w:ind w:left="720" w:hanging="720"/>
        <w:rPr>
          <w:rFonts w:asciiTheme="minorHAnsi" w:hAnsiTheme="minorHAnsi" w:cstheme="minorHAnsi"/>
          <w:color w:val="1F497D"/>
          <w:sz w:val="22"/>
          <w:szCs w:val="22"/>
        </w:rPr>
      </w:pPr>
    </w:p>
    <w:p w:rsidRPr="008551C5" w:rsidR="00A13866" w:rsidP="00A13866" w:rsidRDefault="00A13866" w14:paraId="2EF56CDB"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Mosher WD, Jones J. 2010.  Use of contraception in the United States: 1982–2008. National Center for Health Statistics. </w:t>
      </w:r>
      <w:r w:rsidRPr="008551C5">
        <w:rPr>
          <w:rFonts w:asciiTheme="minorHAnsi" w:hAnsiTheme="minorHAnsi" w:cstheme="minorHAnsi"/>
          <w:sz w:val="22"/>
          <w:szCs w:val="22"/>
          <w:u w:val="single"/>
        </w:rPr>
        <w:t>Vital Health Stat</w:t>
      </w:r>
      <w:r w:rsidRPr="008551C5">
        <w:rPr>
          <w:rFonts w:asciiTheme="minorHAnsi" w:hAnsiTheme="minorHAnsi" w:cstheme="minorHAnsi"/>
          <w:sz w:val="22"/>
          <w:szCs w:val="22"/>
        </w:rPr>
        <w:t xml:space="preserve"> 23(29). </w:t>
      </w:r>
    </w:p>
    <w:p w:rsidRPr="008551C5" w:rsidR="00A13866" w:rsidP="00A13866" w:rsidRDefault="00A13866" w14:paraId="185DE753" w14:textId="77777777">
      <w:pPr>
        <w:pStyle w:val="NoSpacing"/>
        <w:ind w:left="720" w:hanging="720"/>
        <w:rPr>
          <w:rFonts w:asciiTheme="minorHAnsi" w:hAnsiTheme="minorHAnsi" w:cstheme="minorHAnsi"/>
          <w:sz w:val="22"/>
          <w:szCs w:val="22"/>
        </w:rPr>
      </w:pPr>
    </w:p>
    <w:p w:rsidRPr="008551C5" w:rsidR="00A13866" w:rsidP="00A13866" w:rsidRDefault="00A13866" w14:paraId="658025DB" w14:textId="77777777">
      <w:pPr>
        <w:pStyle w:val="NoSpacing"/>
        <w:ind w:left="720" w:hanging="720"/>
        <w:rPr>
          <w:rFonts w:asciiTheme="minorHAnsi" w:hAnsiTheme="minorHAnsi" w:cstheme="minorHAnsi"/>
          <w:color w:val="000000"/>
          <w:sz w:val="22"/>
          <w:szCs w:val="22"/>
        </w:rPr>
      </w:pPr>
      <w:r w:rsidRPr="008551C5">
        <w:rPr>
          <w:rFonts w:asciiTheme="minorHAnsi" w:hAnsiTheme="minorHAnsi" w:cstheme="minorHAnsi"/>
          <w:color w:val="000000"/>
          <w:sz w:val="22"/>
          <w:szCs w:val="22"/>
        </w:rPr>
        <w:t xml:space="preserve">Mosher W, Jones J, Abma J.  2015.  Nonuse of contraception among women at risk of unintended pregnancy in the United States. Contraception 92(2):170–6. DOI:10.1016/j.contraception.2015.05.004. </w:t>
      </w:r>
    </w:p>
    <w:p w:rsidRPr="008551C5" w:rsidR="00A13866" w:rsidP="00A13866" w:rsidRDefault="00A13866" w14:paraId="00392013" w14:textId="77777777">
      <w:pPr>
        <w:pStyle w:val="NoSpacing"/>
        <w:ind w:left="720" w:hanging="720"/>
        <w:rPr>
          <w:rFonts w:asciiTheme="minorHAnsi" w:hAnsiTheme="minorHAnsi" w:cstheme="minorHAnsi"/>
          <w:color w:val="000000"/>
          <w:sz w:val="22"/>
          <w:szCs w:val="22"/>
        </w:rPr>
      </w:pPr>
    </w:p>
    <w:p w:rsidRPr="008551C5" w:rsidR="00A13866" w:rsidP="00A13866" w:rsidRDefault="00A13866" w14:paraId="2A902064" w14:textId="77777777">
      <w:pPr>
        <w:pStyle w:val="NoSpacing"/>
        <w:ind w:left="720" w:hanging="720"/>
        <w:rPr>
          <w:rFonts w:asciiTheme="minorHAnsi" w:hAnsiTheme="minorHAnsi" w:cstheme="minorHAnsi"/>
          <w:color w:val="000000"/>
          <w:sz w:val="22"/>
          <w:szCs w:val="22"/>
        </w:rPr>
      </w:pPr>
      <w:r w:rsidRPr="008551C5">
        <w:rPr>
          <w:rFonts w:asciiTheme="minorHAnsi" w:hAnsiTheme="minorHAnsi" w:cstheme="minorHAnsi"/>
          <w:sz w:val="22"/>
          <w:szCs w:val="22"/>
        </w:rPr>
        <w:t xml:space="preserve">Mullany, B, Barlow, A, Neault, N, et al. </w:t>
      </w:r>
      <w:r w:rsidRPr="008551C5">
        <w:rPr>
          <w:rFonts w:asciiTheme="minorHAnsi" w:hAnsiTheme="minorHAnsi" w:cstheme="minorHAnsi"/>
          <w:color w:val="000000"/>
          <w:sz w:val="22"/>
          <w:szCs w:val="22"/>
        </w:rPr>
        <w:t xml:space="preserve">2013.  Consistency in the reporting of sensitive behaviors by adolescent American Indian women: A comparison of interviewing methods.  </w:t>
      </w:r>
      <w:r w:rsidRPr="008551C5">
        <w:rPr>
          <w:rFonts w:asciiTheme="minorHAnsi" w:hAnsiTheme="minorHAnsi" w:cstheme="minorHAnsi"/>
          <w:color w:val="000000"/>
          <w:sz w:val="22"/>
          <w:szCs w:val="22"/>
          <w:u w:val="single"/>
        </w:rPr>
        <w:t>American Indian and Alaskan Native Mental Health Research</w:t>
      </w:r>
      <w:r w:rsidRPr="008551C5">
        <w:rPr>
          <w:rFonts w:asciiTheme="minorHAnsi" w:hAnsiTheme="minorHAnsi" w:cstheme="minorHAnsi"/>
          <w:color w:val="000000"/>
          <w:sz w:val="22"/>
          <w:szCs w:val="22"/>
        </w:rPr>
        <w:t xml:space="preserve"> 20(2): 42-51.</w:t>
      </w:r>
    </w:p>
    <w:p w:rsidRPr="008551C5" w:rsidR="00A13866" w:rsidP="00A13866" w:rsidRDefault="00A13866" w14:paraId="76376B9A" w14:textId="77777777">
      <w:pPr>
        <w:pStyle w:val="NoSpacing"/>
        <w:ind w:left="720" w:hanging="720"/>
        <w:rPr>
          <w:rFonts w:asciiTheme="minorHAnsi" w:hAnsiTheme="minorHAnsi" w:cstheme="minorHAnsi"/>
          <w:color w:val="000000"/>
          <w:sz w:val="22"/>
          <w:szCs w:val="22"/>
        </w:rPr>
      </w:pPr>
    </w:p>
    <w:p w:rsidRPr="008551C5" w:rsidR="00A13866" w:rsidP="00A13866" w:rsidRDefault="00A13866" w14:paraId="4727E1EA"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National Center for Health Statistics. 2017.  2013-2015 National Survey of Family Growth (NSFG): Sample Design Documentation.  Hyattsville, MD. Available from</w:t>
      </w:r>
    </w:p>
    <w:p w:rsidRPr="008551C5" w:rsidR="00A13866" w:rsidP="00A13866" w:rsidRDefault="00A13866" w14:paraId="6012A84B"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ab/>
      </w:r>
      <w:hyperlink w:history="1" r:id="rId54">
        <w:r w:rsidRPr="008551C5">
          <w:rPr>
            <w:rStyle w:val="Hyperlink"/>
            <w:rFonts w:asciiTheme="minorHAnsi" w:hAnsiTheme="minorHAnsi" w:cstheme="minorHAnsi"/>
            <w:sz w:val="22"/>
            <w:szCs w:val="22"/>
          </w:rPr>
          <w:t>https://www.cdc.gov/nchs/data/nsfg/NSFG_2013-2015_Sample_Design_Documentation.pdf</w:t>
        </w:r>
      </w:hyperlink>
      <w:r w:rsidRPr="008551C5">
        <w:rPr>
          <w:rFonts w:asciiTheme="minorHAnsi" w:hAnsiTheme="minorHAnsi" w:cstheme="minorHAnsi"/>
          <w:sz w:val="22"/>
          <w:szCs w:val="22"/>
        </w:rPr>
        <w:t xml:space="preserve"> </w:t>
      </w:r>
    </w:p>
    <w:p w:rsidRPr="008551C5" w:rsidR="00A13866" w:rsidP="00A13866" w:rsidRDefault="00A13866" w14:paraId="46CF40BA" w14:textId="77777777">
      <w:pPr>
        <w:ind w:left="720" w:hanging="720"/>
        <w:rPr>
          <w:rFonts w:asciiTheme="minorHAnsi" w:hAnsiTheme="minorHAnsi" w:cstheme="minorHAnsi"/>
          <w:sz w:val="22"/>
          <w:szCs w:val="22"/>
        </w:rPr>
      </w:pPr>
    </w:p>
    <w:p w:rsidRPr="008551C5" w:rsidR="00A13866" w:rsidP="00A13866" w:rsidRDefault="00A13866" w14:paraId="17F30699"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National Center for Health Statistics. 2016.  2011-2013 National Survey of Family Growth (NSFG): Summary of Design and Data Collection Methods.  Hyattsville, MD.  2016. Available from </w:t>
      </w:r>
      <w:hyperlink w:history="1" r:id="rId55">
        <w:r w:rsidRPr="008551C5">
          <w:rPr>
            <w:rStyle w:val="Hyperlink"/>
            <w:rFonts w:asciiTheme="minorHAnsi" w:hAnsiTheme="minorHAnsi" w:cstheme="minorHAnsi"/>
            <w:sz w:val="22"/>
            <w:szCs w:val="22"/>
          </w:rPr>
          <w:t>https://www.cdc.gov/nchs/data/nsfg/nsfg_2011_2013_designanddatacollectionmethods.pdf</w:t>
        </w:r>
      </w:hyperlink>
    </w:p>
    <w:p w:rsidRPr="008551C5" w:rsidR="00A13866" w:rsidP="00A13866" w:rsidRDefault="00A13866" w14:paraId="6150EC0E" w14:textId="77777777">
      <w:pPr>
        <w:ind w:left="720" w:hanging="720"/>
        <w:rPr>
          <w:rFonts w:asciiTheme="minorHAnsi" w:hAnsiTheme="minorHAnsi" w:cstheme="minorHAnsi"/>
          <w:sz w:val="22"/>
          <w:szCs w:val="22"/>
        </w:rPr>
      </w:pPr>
    </w:p>
    <w:p w:rsidRPr="008551C5" w:rsidR="00A13866" w:rsidP="00A13866" w:rsidRDefault="00A13866" w14:paraId="787CB212"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National Center for Health Statistics.  2017. 2013-2015 National Survey of Family Growth (NSFG): Summary of Design and Data Collection Methods.  Hyattsville, MD.  Available from</w:t>
      </w:r>
    </w:p>
    <w:p w:rsidRPr="008551C5" w:rsidR="00A13866" w:rsidP="00A13866" w:rsidRDefault="00A13866" w14:paraId="62C84656"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ab/>
      </w:r>
      <w:hyperlink w:history="1" r:id="rId56">
        <w:r w:rsidRPr="008551C5">
          <w:rPr>
            <w:rStyle w:val="Hyperlink"/>
            <w:rFonts w:asciiTheme="minorHAnsi" w:hAnsiTheme="minorHAnsi" w:cstheme="minorHAnsi"/>
            <w:sz w:val="22"/>
            <w:szCs w:val="22"/>
          </w:rPr>
          <w:t>https://www.cdc.gov/nchs/data/nsfg/NSFG_2013-2015_Summary_Design_Data_Collection.pdf</w:t>
        </w:r>
      </w:hyperlink>
    </w:p>
    <w:p w:rsidRPr="008551C5" w:rsidR="00A13866" w:rsidP="00A13866" w:rsidRDefault="00A13866" w14:paraId="383F3D5D" w14:textId="77777777">
      <w:pPr>
        <w:ind w:left="720" w:hanging="720"/>
        <w:rPr>
          <w:rFonts w:asciiTheme="minorHAnsi" w:hAnsiTheme="minorHAnsi" w:cstheme="minorHAnsi"/>
          <w:sz w:val="22"/>
          <w:szCs w:val="22"/>
        </w:rPr>
      </w:pPr>
    </w:p>
    <w:p w:rsidRPr="008551C5" w:rsidR="00A13866" w:rsidP="00A13866" w:rsidRDefault="00A13866" w14:paraId="6D21F6BE" w14:textId="77777777">
      <w:pPr>
        <w:ind w:left="720" w:hanging="720"/>
        <w:rPr>
          <w:rStyle w:val="Hyperlink"/>
          <w:rFonts w:asciiTheme="minorHAnsi" w:hAnsiTheme="minorHAnsi" w:cstheme="minorHAnsi"/>
          <w:sz w:val="22"/>
          <w:szCs w:val="22"/>
        </w:rPr>
      </w:pPr>
      <w:r w:rsidRPr="008551C5">
        <w:rPr>
          <w:rFonts w:asciiTheme="minorHAnsi" w:hAnsiTheme="minorHAnsi" w:cstheme="minorHAnsi"/>
          <w:sz w:val="22"/>
          <w:szCs w:val="22"/>
        </w:rPr>
        <w:t xml:space="preserve">National HIV/AIDS Strategy for the United States: updated to 2020. July 2015 Available from: </w:t>
      </w:r>
      <w:r w:rsidRPr="008551C5">
        <w:rPr>
          <w:rStyle w:val="Hyperlink"/>
          <w:rFonts w:asciiTheme="minorHAnsi" w:hAnsiTheme="minorHAnsi" w:cstheme="minorHAnsi"/>
          <w:sz w:val="22"/>
          <w:szCs w:val="22"/>
        </w:rPr>
        <w:t>https://www.aids.gov/federal-resources/national-hiv-aids-strategy/nhas-update.pdf</w:t>
      </w:r>
    </w:p>
    <w:p w:rsidRPr="008551C5" w:rsidR="00A13866" w:rsidP="00A13866" w:rsidRDefault="00A13866" w14:paraId="4B03CEAF" w14:textId="77777777">
      <w:pPr>
        <w:shd w:val="clear" w:color="auto" w:fill="FFFFFF"/>
        <w:spacing w:line="270" w:lineRule="atLeast"/>
        <w:outlineLvl w:val="3"/>
        <w:rPr>
          <w:rFonts w:asciiTheme="minorHAnsi" w:hAnsiTheme="minorHAnsi" w:cstheme="minorHAnsi"/>
          <w:color w:val="333333"/>
          <w:sz w:val="22"/>
          <w:szCs w:val="22"/>
          <w:lang w:val="en"/>
        </w:rPr>
      </w:pPr>
    </w:p>
    <w:p w:rsidRPr="008551C5" w:rsidR="00A13866" w:rsidP="00A13866" w:rsidRDefault="00A13866" w14:paraId="6C1CEC8F" w14:textId="77777777">
      <w:pPr>
        <w:shd w:val="clear" w:color="auto" w:fill="FFFFFF"/>
        <w:spacing w:line="270" w:lineRule="atLeast"/>
        <w:ind w:left="720" w:hanging="720"/>
        <w:outlineLvl w:val="3"/>
        <w:rPr>
          <w:rFonts w:asciiTheme="minorHAnsi" w:hAnsiTheme="minorHAnsi" w:cstheme="minorHAnsi"/>
          <w:color w:val="333333"/>
          <w:sz w:val="22"/>
          <w:szCs w:val="22"/>
          <w:lang w:val="en"/>
        </w:rPr>
      </w:pPr>
      <w:r w:rsidRPr="008551C5">
        <w:rPr>
          <w:rFonts w:asciiTheme="minorHAnsi" w:hAnsiTheme="minorHAnsi" w:cstheme="minorHAnsi"/>
          <w:sz w:val="22"/>
          <w:szCs w:val="22"/>
        </w:rPr>
        <w:t xml:space="preserve">NSFG Key Statistics.  2018.  Wantedness of sexual intercourse, females and males, 2015-2017.  Available from: </w:t>
      </w:r>
      <w:hyperlink w:history="1" w:anchor="teenagers" r:id="rId57">
        <w:r w:rsidRPr="008551C5">
          <w:rPr>
            <w:rStyle w:val="Hyperlink"/>
            <w:rFonts w:asciiTheme="minorHAnsi" w:hAnsiTheme="minorHAnsi" w:cstheme="minorHAnsi"/>
            <w:sz w:val="22"/>
            <w:szCs w:val="22"/>
          </w:rPr>
          <w:t>https://www.cdc.gov/nchs/nsfg/key_statistics/t_2015-2017.htm#teenagers</w:t>
        </w:r>
      </w:hyperlink>
      <w:r w:rsidRPr="008551C5">
        <w:rPr>
          <w:rFonts w:asciiTheme="minorHAnsi" w:hAnsiTheme="minorHAnsi" w:cstheme="minorHAnsi"/>
          <w:sz w:val="22"/>
          <w:szCs w:val="22"/>
        </w:rPr>
        <w:t xml:space="preserve"> </w:t>
      </w:r>
      <w:r w:rsidRPr="008551C5">
        <w:rPr>
          <w:rFonts w:asciiTheme="minorHAnsi" w:hAnsiTheme="minorHAnsi" w:cstheme="minorHAnsi"/>
          <w:color w:val="333333"/>
          <w:sz w:val="22"/>
          <w:szCs w:val="22"/>
          <w:lang w:val="en"/>
        </w:rPr>
        <w:t xml:space="preserve"> </w:t>
      </w:r>
    </w:p>
    <w:p w:rsidRPr="008551C5" w:rsidR="00A13866" w:rsidP="00A13866" w:rsidRDefault="00A13866" w14:paraId="2CAC13C0" w14:textId="77777777">
      <w:pPr>
        <w:ind w:left="720" w:hanging="720"/>
        <w:rPr>
          <w:rFonts w:asciiTheme="minorHAnsi" w:hAnsiTheme="minorHAnsi" w:cstheme="minorHAnsi"/>
          <w:sz w:val="22"/>
          <w:szCs w:val="22"/>
        </w:rPr>
      </w:pPr>
    </w:p>
    <w:p w:rsidRPr="008551C5" w:rsidR="00A13866" w:rsidP="00A13866" w:rsidRDefault="00A13866" w14:paraId="607E7282"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Nearns J, Baldwin JA, Clayton H. 2009. Social, behavioral, and health care factors associated with recent testing among sexually active non-Hispanic black women in the United States. </w:t>
      </w:r>
      <w:r w:rsidRPr="008551C5">
        <w:rPr>
          <w:rFonts w:asciiTheme="minorHAnsi" w:hAnsiTheme="minorHAnsi" w:cstheme="minorHAnsi"/>
          <w:sz w:val="22"/>
          <w:szCs w:val="22"/>
          <w:u w:val="single"/>
        </w:rPr>
        <w:t>Women's Health Issues</w:t>
      </w:r>
      <w:r w:rsidRPr="008551C5">
        <w:rPr>
          <w:rFonts w:asciiTheme="minorHAnsi" w:hAnsiTheme="minorHAnsi" w:cstheme="minorHAnsi"/>
          <w:sz w:val="22"/>
          <w:szCs w:val="22"/>
        </w:rPr>
        <w:t xml:space="preserve"> 19(1):52-60.</w:t>
      </w:r>
    </w:p>
    <w:p w:rsidRPr="008551C5" w:rsidR="00A13866" w:rsidP="00A13866" w:rsidRDefault="00A13866" w14:paraId="6DFBC32F" w14:textId="77777777">
      <w:pPr>
        <w:ind w:left="720" w:hanging="720"/>
        <w:rPr>
          <w:rFonts w:asciiTheme="minorHAnsi" w:hAnsiTheme="minorHAnsi" w:cstheme="minorHAnsi"/>
          <w:sz w:val="22"/>
          <w:szCs w:val="22"/>
        </w:rPr>
      </w:pPr>
    </w:p>
    <w:p w:rsidRPr="008551C5" w:rsidR="00A13866" w:rsidP="00A13866" w:rsidRDefault="00A13866" w14:paraId="6E7BD9BB"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Nugent CN, Daugherty J. 2018. A demographic, attitudinal, and behavioral profile of cohabiting adults in the United States, 2011–2015. National Health Statistics Reports; no 111. Hyattsville, MD: National Center for Health Statistics. </w:t>
      </w:r>
    </w:p>
    <w:p w:rsidRPr="008551C5" w:rsidR="00A13866" w:rsidP="00A13866" w:rsidRDefault="00A13866" w14:paraId="205CDE49" w14:textId="77777777">
      <w:pPr>
        <w:ind w:left="720" w:hanging="720"/>
        <w:rPr>
          <w:rFonts w:asciiTheme="minorHAnsi" w:hAnsiTheme="minorHAnsi" w:cstheme="minorHAnsi"/>
          <w:sz w:val="22"/>
          <w:szCs w:val="22"/>
        </w:rPr>
      </w:pPr>
    </w:p>
    <w:p w:rsidRPr="008551C5" w:rsidR="00A13866" w:rsidP="00A13866" w:rsidRDefault="00A13866" w14:paraId="25C85A08"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Page R, Ellison C, Lee J. 2009. Does religiosity affect health risk behaviors in pregnant and postpartum women? </w:t>
      </w:r>
      <w:r w:rsidRPr="008551C5">
        <w:rPr>
          <w:rFonts w:asciiTheme="minorHAnsi" w:hAnsiTheme="minorHAnsi" w:cstheme="minorHAnsi"/>
          <w:sz w:val="22"/>
          <w:szCs w:val="22"/>
          <w:u w:val="single"/>
        </w:rPr>
        <w:t>Maternal and Child Health Journal</w:t>
      </w:r>
      <w:r w:rsidRPr="008551C5">
        <w:rPr>
          <w:rFonts w:asciiTheme="minorHAnsi" w:hAnsiTheme="minorHAnsi" w:cstheme="minorHAnsi"/>
          <w:sz w:val="22"/>
          <w:szCs w:val="22"/>
        </w:rPr>
        <w:t xml:space="preserve"> 13(5):621-32.</w:t>
      </w:r>
    </w:p>
    <w:p w:rsidRPr="008551C5" w:rsidR="00A13866" w:rsidP="00A13866" w:rsidRDefault="00A13866" w14:paraId="1232B1A3" w14:textId="77777777">
      <w:pPr>
        <w:ind w:left="720" w:hanging="720"/>
        <w:rPr>
          <w:rFonts w:asciiTheme="minorHAnsi" w:hAnsiTheme="minorHAnsi" w:cstheme="minorHAnsi"/>
          <w:sz w:val="22"/>
          <w:szCs w:val="22"/>
        </w:rPr>
      </w:pPr>
    </w:p>
    <w:bookmarkStart w:name="_Hlk68694681" w:id="23"/>
    <w:p w:rsidRPr="008551C5" w:rsidR="00A13866" w:rsidP="00A13866" w:rsidRDefault="00A13866" w14:paraId="3DD56DB1"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fldChar w:fldCharType="begin"/>
      </w:r>
      <w:r w:rsidRPr="008551C5">
        <w:rPr>
          <w:rFonts w:asciiTheme="minorHAnsi" w:hAnsiTheme="minorHAnsi" w:cstheme="minorHAnsi"/>
          <w:sz w:val="22"/>
          <w:szCs w:val="22"/>
        </w:rPr>
        <w:instrText xml:space="preserve"> HYPERLINK "https://www.ncbi.nlm.nih.gov/pubmed/?term=Paschen-Wolff%20MM%5BAuthor%5D&amp;cauthor=true&amp;cauthor_uid=30756210" </w:instrText>
      </w:r>
      <w:r w:rsidRPr="008551C5">
        <w:rPr>
          <w:rFonts w:asciiTheme="minorHAnsi" w:hAnsiTheme="minorHAnsi" w:cstheme="minorHAnsi"/>
          <w:sz w:val="22"/>
          <w:szCs w:val="22"/>
        </w:rPr>
        <w:fldChar w:fldCharType="separate"/>
      </w:r>
      <w:r w:rsidRPr="008551C5">
        <w:rPr>
          <w:rFonts w:asciiTheme="minorHAnsi" w:hAnsiTheme="minorHAnsi" w:cstheme="minorHAnsi"/>
          <w:sz w:val="22"/>
          <w:szCs w:val="22"/>
        </w:rPr>
        <w:t>Paschen-Wolff MM</w:t>
      </w:r>
      <w:r w:rsidRPr="008551C5">
        <w:rPr>
          <w:rFonts w:asciiTheme="minorHAnsi" w:hAnsiTheme="minorHAnsi" w:cstheme="minorHAnsi"/>
          <w:sz w:val="22"/>
          <w:szCs w:val="22"/>
        </w:rPr>
        <w:fldChar w:fldCharType="end"/>
      </w:r>
      <w:r w:rsidRPr="008551C5">
        <w:rPr>
          <w:rFonts w:asciiTheme="minorHAnsi" w:hAnsiTheme="minorHAnsi" w:cstheme="minorHAnsi"/>
          <w:sz w:val="22"/>
          <w:szCs w:val="22"/>
        </w:rPr>
        <w:t xml:space="preserve">, </w:t>
      </w:r>
      <w:hyperlink w:history="1" r:id="rId58">
        <w:r w:rsidRPr="008551C5">
          <w:rPr>
            <w:rFonts w:asciiTheme="minorHAnsi" w:hAnsiTheme="minorHAnsi" w:cstheme="minorHAnsi"/>
            <w:sz w:val="22"/>
            <w:szCs w:val="22"/>
          </w:rPr>
          <w:t>Kelvin E</w:t>
        </w:r>
      </w:hyperlink>
      <w:r w:rsidRPr="008551C5">
        <w:rPr>
          <w:rFonts w:asciiTheme="minorHAnsi" w:hAnsiTheme="minorHAnsi" w:cstheme="minorHAnsi"/>
          <w:sz w:val="22"/>
          <w:szCs w:val="22"/>
        </w:rPr>
        <w:t xml:space="preserve">, </w:t>
      </w:r>
      <w:hyperlink w:history="1" r:id="rId59">
        <w:r w:rsidRPr="008551C5">
          <w:rPr>
            <w:rFonts w:asciiTheme="minorHAnsi" w:hAnsiTheme="minorHAnsi" w:cstheme="minorHAnsi"/>
            <w:sz w:val="22"/>
            <w:szCs w:val="22"/>
          </w:rPr>
          <w:t>Wells BE</w:t>
        </w:r>
      </w:hyperlink>
      <w:r w:rsidRPr="008551C5">
        <w:rPr>
          <w:rFonts w:asciiTheme="minorHAnsi" w:hAnsiTheme="minorHAnsi" w:cstheme="minorHAnsi"/>
          <w:sz w:val="22"/>
          <w:szCs w:val="22"/>
        </w:rPr>
        <w:t xml:space="preserve">, </w:t>
      </w:r>
      <w:hyperlink w:history="1" r:id="rId60">
        <w:r w:rsidRPr="008551C5">
          <w:rPr>
            <w:rFonts w:asciiTheme="minorHAnsi" w:hAnsiTheme="minorHAnsi" w:cstheme="minorHAnsi"/>
            <w:sz w:val="22"/>
            <w:szCs w:val="22"/>
          </w:rPr>
          <w:t>Campbell ANC</w:t>
        </w:r>
      </w:hyperlink>
      <w:r w:rsidRPr="008551C5">
        <w:rPr>
          <w:rFonts w:asciiTheme="minorHAnsi" w:hAnsiTheme="minorHAnsi" w:cstheme="minorHAnsi"/>
          <w:sz w:val="22"/>
          <w:szCs w:val="22"/>
        </w:rPr>
        <w:t xml:space="preserve">, </w:t>
      </w:r>
      <w:hyperlink w:history="1" r:id="rId61">
        <w:r w:rsidRPr="008551C5">
          <w:rPr>
            <w:rFonts w:asciiTheme="minorHAnsi" w:hAnsiTheme="minorHAnsi" w:cstheme="minorHAnsi"/>
            <w:sz w:val="22"/>
            <w:szCs w:val="22"/>
          </w:rPr>
          <w:t>Grosskopf NA</w:t>
        </w:r>
      </w:hyperlink>
      <w:r w:rsidRPr="008551C5">
        <w:rPr>
          <w:rFonts w:asciiTheme="minorHAnsi" w:hAnsiTheme="minorHAnsi" w:cstheme="minorHAnsi"/>
          <w:sz w:val="22"/>
          <w:szCs w:val="22"/>
        </w:rPr>
        <w:t xml:space="preserve">, </w:t>
      </w:r>
      <w:hyperlink w:history="1" r:id="rId62">
        <w:r w:rsidRPr="008551C5">
          <w:rPr>
            <w:rFonts w:asciiTheme="minorHAnsi" w:hAnsiTheme="minorHAnsi" w:cstheme="minorHAnsi"/>
            <w:sz w:val="22"/>
            <w:szCs w:val="22"/>
          </w:rPr>
          <w:t>Grov C</w:t>
        </w:r>
      </w:hyperlink>
      <w:r w:rsidRPr="008551C5">
        <w:rPr>
          <w:rFonts w:asciiTheme="minorHAnsi" w:hAnsiTheme="minorHAnsi" w:cstheme="minorHAnsi"/>
          <w:sz w:val="22"/>
          <w:szCs w:val="22"/>
        </w:rPr>
        <w:t>.</w:t>
      </w:r>
      <w:r w:rsidRPr="008551C5">
        <w:rPr>
          <w:rFonts w:asciiTheme="minorHAnsi" w:hAnsiTheme="minorHAnsi" w:cstheme="minorHAnsi"/>
          <w:sz w:val="22"/>
          <w:szCs w:val="22"/>
          <w:lang w:val="en"/>
        </w:rPr>
        <w:t xml:space="preserve"> 2019. </w:t>
      </w:r>
      <w:r w:rsidRPr="008551C5">
        <w:rPr>
          <w:rFonts w:asciiTheme="minorHAnsi" w:hAnsiTheme="minorHAnsi" w:cstheme="minorHAnsi"/>
          <w:sz w:val="22"/>
          <w:szCs w:val="22"/>
        </w:rPr>
        <w:t xml:space="preserve">Changing trends in substance use and sexual risk disparities among sexual minority women as a function of sexual identity, behavior, and attraction: Findings from the National Survey of Family Growth, 2002–2015. </w:t>
      </w:r>
      <w:hyperlink w:tooltip="Archives of sexual behavior." w:history="1" r:id="rId63">
        <w:r w:rsidRPr="008551C5">
          <w:rPr>
            <w:rFonts w:asciiTheme="minorHAnsi" w:hAnsiTheme="minorHAnsi" w:cstheme="minorHAnsi"/>
            <w:sz w:val="22"/>
            <w:szCs w:val="22"/>
          </w:rPr>
          <w:t>Arch</w:t>
        </w:r>
      </w:hyperlink>
      <w:r w:rsidRPr="008551C5">
        <w:rPr>
          <w:rFonts w:asciiTheme="minorHAnsi" w:hAnsiTheme="minorHAnsi" w:cstheme="minorHAnsi"/>
          <w:sz w:val="22"/>
          <w:szCs w:val="22"/>
        </w:rPr>
        <w:t xml:space="preserve"> Sex Behav 48(4):1137-1158. DOI: 10.1007/s10508-018-1333-1.</w:t>
      </w:r>
    </w:p>
    <w:bookmarkEnd w:id="23"/>
    <w:p w:rsidRPr="008551C5" w:rsidR="00A13866" w:rsidP="00A13866" w:rsidRDefault="00A13866" w14:paraId="3FDDF0F9" w14:textId="77777777">
      <w:pPr>
        <w:rPr>
          <w:rFonts w:asciiTheme="minorHAnsi" w:hAnsiTheme="minorHAnsi" w:cstheme="minorHAnsi"/>
          <w:sz w:val="22"/>
          <w:szCs w:val="22"/>
        </w:rPr>
      </w:pPr>
    </w:p>
    <w:p w:rsidRPr="008551C5" w:rsidR="00A13866" w:rsidP="00A13866" w:rsidRDefault="00A13866" w14:paraId="407259D9"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Petersen H, Walker CK, Kahn JG, Washington AE, Eschenbach DA, Faro S. 1991.  Pelvic Inflammatory Disease: Key Treatment Issues and Options.  </w:t>
      </w:r>
      <w:r w:rsidRPr="008551C5">
        <w:rPr>
          <w:rFonts w:asciiTheme="minorHAnsi" w:hAnsiTheme="minorHAnsi" w:cstheme="minorHAnsi"/>
          <w:sz w:val="22"/>
          <w:szCs w:val="22"/>
          <w:u w:val="single"/>
        </w:rPr>
        <w:t>Journal of the American Medical Association</w:t>
      </w:r>
      <w:r w:rsidRPr="008551C5">
        <w:rPr>
          <w:rFonts w:asciiTheme="minorHAnsi" w:hAnsiTheme="minorHAnsi" w:cstheme="minorHAnsi"/>
          <w:sz w:val="22"/>
          <w:szCs w:val="22"/>
        </w:rPr>
        <w:t xml:space="preserve"> 266(18):2605-11. </w:t>
      </w:r>
    </w:p>
    <w:p w:rsidRPr="008551C5" w:rsidR="00A13866" w:rsidP="00A13866" w:rsidRDefault="00A13866" w14:paraId="7DEDA80E" w14:textId="77777777">
      <w:pPr>
        <w:widowControl/>
        <w:jc w:val="both"/>
        <w:rPr>
          <w:rFonts w:asciiTheme="minorHAnsi" w:hAnsiTheme="minorHAnsi" w:cstheme="minorHAnsi"/>
          <w:sz w:val="22"/>
          <w:szCs w:val="22"/>
        </w:rPr>
      </w:pPr>
    </w:p>
    <w:p w:rsidRPr="008551C5" w:rsidR="00A13866" w:rsidP="00A13866" w:rsidRDefault="00A13866" w14:paraId="21551334" w14:textId="77777777">
      <w:pPr>
        <w:ind w:left="720" w:hanging="720"/>
        <w:rPr>
          <w:rStyle w:val="title-text"/>
          <w:rFonts w:asciiTheme="minorHAnsi" w:hAnsiTheme="minorHAnsi" w:cstheme="minorHAnsi"/>
          <w:sz w:val="22"/>
          <w:szCs w:val="22"/>
        </w:rPr>
      </w:pPr>
      <w:r w:rsidRPr="008551C5">
        <w:rPr>
          <w:rStyle w:val="title-text"/>
          <w:rFonts w:asciiTheme="minorHAnsi" w:hAnsiTheme="minorHAnsi" w:cstheme="minorHAnsi"/>
          <w:sz w:val="22"/>
          <w:szCs w:val="22"/>
        </w:rPr>
        <w:t>Porsch L, Zhang H, Paschen-Wolff M, Grosskopf N, Grov C. 2020. Dimensions of sexual orientation as predictors of sti-related outcomes among women: An Examination of 2011-2017 National Survey of Family Growth Data [published online ahead of print, 2020 Jun 30]. J Womens Health (Larchmt). DOI: 10.1089/jwh.2019.8289.</w:t>
      </w:r>
    </w:p>
    <w:p w:rsidRPr="008551C5" w:rsidR="00A13866" w:rsidP="00A13866" w:rsidRDefault="00A13866" w14:paraId="57CE7DF1" w14:textId="77777777">
      <w:pPr>
        <w:widowControl/>
        <w:jc w:val="both"/>
        <w:rPr>
          <w:rFonts w:asciiTheme="minorHAnsi" w:hAnsiTheme="minorHAnsi" w:cstheme="minorHAnsi"/>
          <w:sz w:val="22"/>
          <w:szCs w:val="22"/>
        </w:rPr>
      </w:pPr>
    </w:p>
    <w:p w:rsidRPr="008551C5" w:rsidR="00A13866" w:rsidP="00A13866" w:rsidRDefault="00A13866" w14:paraId="27C26E67"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Qin J, Saraiya M, Martinez G, Sawaya GF. 2020. Prevalence of Potentially Unnecessary Bimanual Pelvic Examinations and Papanicolaou Tests Among Adolescent Girls and Young Women Aged 15-20 Years in the United States. JAMA Internal Med. Published online January 06, 2020. doi:https://doi.org/10.1001/jamainternmed.2019.5727</w:t>
      </w:r>
    </w:p>
    <w:p w:rsidRPr="008551C5" w:rsidR="00A13866" w:rsidP="00A13866" w:rsidRDefault="00A13866" w14:paraId="691235D0" w14:textId="77777777">
      <w:pPr>
        <w:tabs>
          <w:tab w:val="left" w:pos="-1440"/>
        </w:tabs>
        <w:ind w:left="720" w:hanging="720"/>
        <w:rPr>
          <w:rFonts w:asciiTheme="minorHAnsi" w:hAnsiTheme="minorHAnsi" w:cstheme="minorHAnsi"/>
          <w:sz w:val="22"/>
          <w:szCs w:val="22"/>
        </w:rPr>
      </w:pPr>
    </w:p>
    <w:p w:rsidRPr="008551C5" w:rsidR="00A13866" w:rsidP="00A13866" w:rsidRDefault="00A13866" w14:paraId="7AA768F1"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Reese, BM, Haydon, AA, Herring, AH, Halpern, CT.  2013.  The association between sequences of sexual initiation and the likelihood of teenage pregnancy.  </w:t>
      </w:r>
      <w:r w:rsidRPr="008551C5">
        <w:rPr>
          <w:rFonts w:asciiTheme="minorHAnsi" w:hAnsiTheme="minorHAnsi" w:cstheme="minorHAnsi"/>
          <w:sz w:val="22"/>
          <w:szCs w:val="22"/>
          <w:u w:val="single"/>
        </w:rPr>
        <w:t>Journal of Adolescent Health</w:t>
      </w:r>
      <w:r w:rsidRPr="008551C5">
        <w:rPr>
          <w:rFonts w:asciiTheme="minorHAnsi" w:hAnsiTheme="minorHAnsi" w:cstheme="minorHAnsi"/>
          <w:sz w:val="22"/>
          <w:szCs w:val="22"/>
        </w:rPr>
        <w:t xml:space="preserve"> 52(2): 228-233.</w:t>
      </w:r>
    </w:p>
    <w:p w:rsidRPr="008551C5" w:rsidR="00A13866" w:rsidP="00A13866" w:rsidRDefault="00A13866" w14:paraId="0371D37A" w14:textId="77777777">
      <w:pPr>
        <w:ind w:left="720" w:hanging="720"/>
        <w:rPr>
          <w:rFonts w:asciiTheme="minorHAnsi" w:hAnsiTheme="minorHAnsi" w:cstheme="minorHAnsi"/>
          <w:sz w:val="22"/>
          <w:szCs w:val="22"/>
        </w:rPr>
      </w:pPr>
    </w:p>
    <w:p w:rsidRPr="008551C5" w:rsidR="00A13866" w:rsidP="00A13866" w:rsidRDefault="00A13866" w14:paraId="40CA8E6A" w14:textId="77777777">
      <w:pPr>
        <w:pStyle w:val="EndNoteBibliography"/>
        <w:numPr>
          <w:ilvl w:val="0"/>
          <w:numId w:val="0"/>
        </w:numPr>
        <w:ind w:left="720" w:hanging="720"/>
        <w:rPr>
          <w:rFonts w:asciiTheme="minorHAnsi" w:hAnsiTheme="minorHAnsi" w:cstheme="minorHAnsi"/>
          <w:noProof w:val="0"/>
        </w:rPr>
      </w:pPr>
      <w:r w:rsidRPr="008551C5">
        <w:rPr>
          <w:rStyle w:val="title-text"/>
          <w:rFonts w:asciiTheme="minorHAnsi" w:hAnsiTheme="minorHAnsi" w:cstheme="minorHAnsi"/>
          <w:noProof w:val="0"/>
        </w:rPr>
        <w:t>Reich J, et al. 2020.  "How Sexual Orientation Effects Sexual Health Discussions and Care with Providers: A Study Using the National Survey for Family Growth 2011-2017" SMSNA 2020; Abstract 010.</w:t>
      </w:r>
    </w:p>
    <w:p w:rsidRPr="008551C5" w:rsidR="00A13866" w:rsidP="00A13866" w:rsidRDefault="00A13866" w14:paraId="35C660F5"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Remez L.  2000.  Oral Sex Among Adolescents: Is it Sex or is it Abstinence?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32(6):298-304.  </w:t>
      </w:r>
    </w:p>
    <w:p w:rsidRPr="008551C5" w:rsidR="00A13866" w:rsidP="00A13866" w:rsidRDefault="00A13866" w14:paraId="168278CA" w14:textId="77777777">
      <w:pPr>
        <w:widowControl/>
        <w:ind w:left="720" w:hanging="720"/>
        <w:rPr>
          <w:rFonts w:asciiTheme="minorHAnsi" w:hAnsiTheme="minorHAnsi" w:cstheme="minorHAnsi"/>
          <w:sz w:val="22"/>
          <w:szCs w:val="22"/>
        </w:rPr>
      </w:pPr>
    </w:p>
    <w:p w:rsidRPr="008551C5" w:rsidR="00A13866" w:rsidP="00A13866" w:rsidRDefault="00A13866" w14:paraId="2660926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Rothenberg RB, Scarlett M, del Rio C, Reznik D, O’Daniels C.  1998.  Oral Transmission of HIV.  </w:t>
      </w:r>
      <w:r w:rsidRPr="008551C5">
        <w:rPr>
          <w:rFonts w:asciiTheme="minorHAnsi" w:hAnsiTheme="minorHAnsi" w:cstheme="minorHAnsi"/>
          <w:sz w:val="22"/>
          <w:szCs w:val="22"/>
          <w:u w:val="single"/>
        </w:rPr>
        <w:t>Acquired Immune Deficiency Syndromes</w:t>
      </w:r>
      <w:r w:rsidRPr="008551C5">
        <w:rPr>
          <w:rFonts w:asciiTheme="minorHAnsi" w:hAnsiTheme="minorHAnsi" w:cstheme="minorHAnsi"/>
          <w:sz w:val="22"/>
          <w:szCs w:val="22"/>
        </w:rPr>
        <w:t xml:space="preserve"> 12:2095-2105.  </w:t>
      </w:r>
    </w:p>
    <w:p w:rsidRPr="008551C5" w:rsidR="00A13866" w:rsidP="00A13866" w:rsidRDefault="00A13866" w14:paraId="61DE76E0" w14:textId="77777777">
      <w:pPr>
        <w:widowControl/>
        <w:ind w:left="720" w:hanging="720"/>
        <w:rPr>
          <w:rFonts w:asciiTheme="minorHAnsi" w:hAnsiTheme="minorHAnsi" w:cstheme="minorHAnsi"/>
          <w:sz w:val="22"/>
          <w:szCs w:val="22"/>
        </w:rPr>
      </w:pPr>
    </w:p>
    <w:p w:rsidRPr="008551C5" w:rsidR="00A13866" w:rsidP="00A13866" w:rsidRDefault="00A13866" w14:paraId="2E836550"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Rust, K.   1985. Variance estimation for complex estimators in sample surveys.  </w:t>
      </w:r>
      <w:r w:rsidRPr="008551C5">
        <w:rPr>
          <w:rFonts w:asciiTheme="minorHAnsi" w:hAnsiTheme="minorHAnsi" w:cstheme="minorHAnsi"/>
          <w:sz w:val="22"/>
          <w:szCs w:val="22"/>
          <w:u w:val="single"/>
        </w:rPr>
        <w:t>J Official Stat</w:t>
      </w:r>
      <w:r w:rsidRPr="008551C5">
        <w:rPr>
          <w:rFonts w:asciiTheme="minorHAnsi" w:hAnsiTheme="minorHAnsi" w:cstheme="minorHAnsi"/>
          <w:sz w:val="22"/>
          <w:szCs w:val="22"/>
        </w:rPr>
        <w:t xml:space="preserve"> 1:381-97.</w:t>
      </w:r>
    </w:p>
    <w:p w:rsidRPr="008551C5" w:rsidR="00A13866" w:rsidP="00A13866" w:rsidRDefault="00A13866" w14:paraId="01D28429" w14:textId="77777777">
      <w:pPr>
        <w:widowControl/>
        <w:ind w:left="720" w:hanging="720"/>
        <w:rPr>
          <w:rFonts w:asciiTheme="minorHAnsi" w:hAnsiTheme="minorHAnsi" w:cstheme="minorHAnsi"/>
          <w:sz w:val="22"/>
          <w:szCs w:val="22"/>
        </w:rPr>
      </w:pPr>
    </w:p>
    <w:p w:rsidRPr="008551C5" w:rsidR="00A13866" w:rsidP="00A13866" w:rsidRDefault="00A13866" w14:paraId="0424C10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Ryan S, Franzetta K, Manlove J, Schelar E. 2008.  Older Sexual Partners During Adolescence: Links to Reproductive Health Outcomes in Young Adulthood.  </w:t>
      </w:r>
      <w:r w:rsidRPr="008551C5">
        <w:rPr>
          <w:rFonts w:asciiTheme="minorHAnsi" w:hAnsiTheme="minorHAnsi" w:cstheme="minorHAnsi"/>
          <w:sz w:val="22"/>
          <w:szCs w:val="22"/>
          <w:u w:val="single"/>
        </w:rPr>
        <w:t>Perspectives on Sexual and Reproductive Health</w:t>
      </w:r>
      <w:r w:rsidRPr="008551C5">
        <w:rPr>
          <w:rFonts w:asciiTheme="minorHAnsi" w:hAnsiTheme="minorHAnsi" w:cstheme="minorHAnsi"/>
          <w:sz w:val="22"/>
          <w:szCs w:val="22"/>
        </w:rPr>
        <w:t xml:space="preserve"> 40(1):17-26.</w:t>
      </w:r>
    </w:p>
    <w:p w:rsidRPr="008551C5" w:rsidR="00A13866" w:rsidP="00A13866" w:rsidRDefault="00A13866" w14:paraId="110F1DB8" w14:textId="77777777">
      <w:pPr>
        <w:widowControl/>
        <w:ind w:left="720" w:hanging="720"/>
        <w:rPr>
          <w:rFonts w:asciiTheme="minorHAnsi" w:hAnsiTheme="minorHAnsi" w:cstheme="minorHAnsi"/>
          <w:b/>
          <w:bCs/>
          <w:sz w:val="22"/>
          <w:szCs w:val="22"/>
        </w:rPr>
      </w:pPr>
    </w:p>
    <w:p w:rsidRPr="008551C5" w:rsidR="00A13866" w:rsidP="00A13866" w:rsidRDefault="00A13866" w14:paraId="0BF3C7F8"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Sanders SA, Reinisch JM.  1999.  Would You say You ‘Had Sex’ if…?  </w:t>
      </w:r>
      <w:r w:rsidRPr="008551C5">
        <w:rPr>
          <w:rFonts w:asciiTheme="minorHAnsi" w:hAnsiTheme="minorHAnsi" w:cstheme="minorHAnsi"/>
          <w:sz w:val="22"/>
          <w:szCs w:val="22"/>
          <w:u w:val="single"/>
        </w:rPr>
        <w:t>Journal of the American Medical Association</w:t>
      </w:r>
      <w:r w:rsidRPr="008551C5">
        <w:rPr>
          <w:rFonts w:asciiTheme="minorHAnsi" w:hAnsiTheme="minorHAnsi" w:cstheme="minorHAnsi"/>
          <w:sz w:val="22"/>
          <w:szCs w:val="22"/>
        </w:rPr>
        <w:t xml:space="preserve"> 281:275-277.</w:t>
      </w:r>
    </w:p>
    <w:p w:rsidRPr="008551C5" w:rsidR="00A13866" w:rsidP="00A13866" w:rsidRDefault="00A13866" w14:paraId="224B3F2A" w14:textId="777777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8551C5" w:rsidR="00A13866" w:rsidP="00A13866" w:rsidRDefault="00A13866" w14:paraId="3BC2E3B8"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Santelli J, Lindberg LD, Finer LB, Singh S. 2000.  The Association of Sexual Behaviors with Socioeconomic Status, Family Structure, and Race/Ethnicity among U.S. Adolescents.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90(10):1582-1588.</w:t>
      </w:r>
    </w:p>
    <w:p w:rsidRPr="008551C5" w:rsidR="00A13866" w:rsidP="00A13866" w:rsidRDefault="00A13866" w14:paraId="3EA6E78B" w14:textId="77777777">
      <w:pPr>
        <w:ind w:left="720" w:hanging="720"/>
        <w:rPr>
          <w:rFonts w:asciiTheme="minorHAnsi" w:hAnsiTheme="minorHAnsi" w:cstheme="minorHAnsi"/>
          <w:color w:val="FF0000"/>
          <w:sz w:val="22"/>
          <w:szCs w:val="22"/>
        </w:rPr>
      </w:pPr>
    </w:p>
    <w:p w:rsidRPr="008551C5" w:rsidR="00A13866" w:rsidP="00A13866" w:rsidRDefault="00A13866" w14:paraId="240D8BA0"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Saslow D, Solomon D, Lawson HW, et al. 2012. ACS-ASCCP-ASCP Cervical Cancer Guideline Committee. American Cancer Society, American Society for Colposcopy and Cervical Pathology, and American Society for Clinical Pathology screening guidelines for the prevention and early detection of cervical cancer. CA Cancer J Clin. 62(3):147-172. doi:10.3322/caac.21139.</w:t>
      </w:r>
    </w:p>
    <w:p w:rsidRPr="008551C5" w:rsidR="00A13866" w:rsidP="00A13866" w:rsidRDefault="00A13866" w14:paraId="36B24195" w14:textId="77777777">
      <w:pPr>
        <w:widowControl/>
        <w:ind w:left="720" w:hanging="720"/>
        <w:rPr>
          <w:rFonts w:asciiTheme="minorHAnsi" w:hAnsiTheme="minorHAnsi" w:cstheme="minorHAnsi"/>
          <w:sz w:val="22"/>
          <w:szCs w:val="22"/>
        </w:rPr>
      </w:pPr>
    </w:p>
    <w:p w:rsidRPr="008551C5" w:rsidR="00A13866" w:rsidP="00A13866" w:rsidRDefault="00A13866" w14:paraId="6F8ABD67"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Satterwhite CL, Torrone E, Meites E, Dunne EF, Mahajan R, Ocfemia MC, Su J, Xu F, Weinstock H. 2013.  Sexually transmitted infections among US women and men: prevalence and incidence estimates, 2008.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40(3):187-93.</w:t>
      </w:r>
    </w:p>
    <w:p w:rsidRPr="008551C5" w:rsidR="00A13866" w:rsidP="00A13866" w:rsidRDefault="00A13866" w14:paraId="3891152D" w14:textId="77777777">
      <w:pPr>
        <w:widowControl/>
        <w:ind w:left="720" w:hanging="720"/>
        <w:rPr>
          <w:rFonts w:asciiTheme="minorHAnsi" w:hAnsiTheme="minorHAnsi" w:cstheme="minorHAnsi"/>
          <w:sz w:val="22"/>
          <w:szCs w:val="22"/>
        </w:rPr>
      </w:pPr>
    </w:p>
    <w:p w:rsidRPr="008551C5" w:rsidR="00A13866" w:rsidP="00A13866" w:rsidRDefault="00A13866" w14:paraId="30E6237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Schouten BS, Peytchev A, Wagner J.  2017. </w:t>
      </w:r>
      <w:r w:rsidRPr="008551C5">
        <w:rPr>
          <w:rFonts w:asciiTheme="minorHAnsi" w:hAnsiTheme="minorHAnsi" w:cstheme="minorHAnsi"/>
          <w:sz w:val="22"/>
          <w:szCs w:val="22"/>
          <w:u w:val="single"/>
        </w:rPr>
        <w:t>Adaptive Survey Design</w:t>
      </w:r>
      <w:r w:rsidRPr="008551C5">
        <w:rPr>
          <w:rFonts w:asciiTheme="minorHAnsi" w:hAnsiTheme="minorHAnsi" w:cstheme="minorHAnsi"/>
          <w:sz w:val="22"/>
          <w:szCs w:val="22"/>
        </w:rPr>
        <w:t>. Boca Raton, FL, CRC Press.</w:t>
      </w:r>
    </w:p>
    <w:p w:rsidRPr="008551C5" w:rsidR="00A13866" w:rsidP="00A13866" w:rsidRDefault="00A13866" w14:paraId="07EB1D9E" w14:textId="77777777">
      <w:pPr>
        <w:widowControl/>
        <w:ind w:left="720" w:hanging="720"/>
        <w:rPr>
          <w:rFonts w:asciiTheme="minorHAnsi" w:hAnsiTheme="minorHAnsi" w:cstheme="minorHAnsi"/>
          <w:sz w:val="22"/>
          <w:szCs w:val="22"/>
        </w:rPr>
      </w:pPr>
    </w:p>
    <w:p w:rsidRPr="008551C5" w:rsidR="00A13866" w:rsidP="00A13866" w:rsidRDefault="00A13866" w14:paraId="61DBEF44"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Schuster MA, RM Bell &amp; DE Kanouse.  1996.  The Sexual Practices of Adolescent Virgins: Genital Sexual Activities of High School Students Who Have Never Had Vaginal Intercourse.  </w:t>
      </w:r>
      <w:r w:rsidRPr="008551C5">
        <w:rPr>
          <w:rFonts w:asciiTheme="minorHAnsi" w:hAnsiTheme="minorHAnsi" w:cstheme="minorHAnsi"/>
          <w:sz w:val="22"/>
          <w:szCs w:val="22"/>
          <w:u w:val="single"/>
        </w:rPr>
        <w:t xml:space="preserve">American Journal of Public Health </w:t>
      </w:r>
      <w:r w:rsidRPr="008551C5">
        <w:rPr>
          <w:rFonts w:asciiTheme="minorHAnsi" w:hAnsiTheme="minorHAnsi" w:cstheme="minorHAnsi"/>
          <w:sz w:val="22"/>
          <w:szCs w:val="22"/>
        </w:rPr>
        <w:t>86(11):1570-1576.</w:t>
      </w:r>
    </w:p>
    <w:p w:rsidRPr="008551C5" w:rsidR="00A13866" w:rsidP="00A13866" w:rsidRDefault="00A13866" w14:paraId="4D76FEBC" w14:textId="77777777">
      <w:pPr>
        <w:rPr>
          <w:rFonts w:asciiTheme="minorHAnsi" w:hAnsiTheme="minorHAnsi" w:cstheme="minorHAnsi"/>
          <w:sz w:val="22"/>
          <w:szCs w:val="22"/>
        </w:rPr>
      </w:pPr>
    </w:p>
    <w:p w:rsidRPr="008551C5" w:rsidR="00A13866" w:rsidP="00A13866" w:rsidRDefault="00A13866" w14:paraId="691755E0"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Singer E. 2002.  The Use of Incentives to Reduce Nonresponse in Household Surveys,” pages 163-178 in R Groves et al. (editors), </w:t>
      </w:r>
      <w:r w:rsidRPr="008551C5">
        <w:rPr>
          <w:rFonts w:asciiTheme="minorHAnsi" w:hAnsiTheme="minorHAnsi" w:cstheme="minorHAnsi"/>
          <w:sz w:val="22"/>
          <w:szCs w:val="22"/>
          <w:u w:val="single"/>
        </w:rPr>
        <w:t>Survey Nonresponse</w:t>
      </w:r>
      <w:r w:rsidRPr="008551C5">
        <w:rPr>
          <w:rFonts w:asciiTheme="minorHAnsi" w:hAnsiTheme="minorHAnsi" w:cstheme="minorHAnsi"/>
          <w:sz w:val="22"/>
          <w:szCs w:val="22"/>
        </w:rPr>
        <w:t xml:space="preserve">.  Wiley.  </w:t>
      </w:r>
    </w:p>
    <w:p w:rsidRPr="008551C5" w:rsidR="00A13866" w:rsidP="00A13866" w:rsidRDefault="00A13866" w14:paraId="3F465B93" w14:textId="77777777">
      <w:pPr>
        <w:widowControl/>
        <w:ind w:left="720" w:hanging="720"/>
        <w:rPr>
          <w:rFonts w:asciiTheme="minorHAnsi" w:hAnsiTheme="minorHAnsi" w:cstheme="minorHAnsi"/>
          <w:sz w:val="22"/>
          <w:szCs w:val="22"/>
        </w:rPr>
      </w:pPr>
    </w:p>
    <w:p w:rsidRPr="008551C5" w:rsidR="00A13866" w:rsidP="00A13866" w:rsidRDefault="00A13866" w14:paraId="0933F125" w14:textId="77777777">
      <w:pPr>
        <w:pStyle w:val="NormalWeb"/>
        <w:tabs>
          <w:tab w:val="left" w:pos="540"/>
        </w:tabs>
        <w:spacing w:before="0" w:beforeAutospacing="0" w:after="240" w:afterAutospacing="0" w:line="211" w:lineRule="atLeast"/>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Stockman JJ, Campbell JC, Celentano DD. 2010. Sexual violence and STD risk behaviors among a nationally representative sample of heterosexual American women: The importance of sexual coercion. </w:t>
      </w:r>
      <w:r w:rsidRPr="008551C5">
        <w:rPr>
          <w:rFonts w:asciiTheme="minorHAnsi" w:hAnsiTheme="minorHAnsi" w:cstheme="minorHAnsi"/>
          <w:sz w:val="22"/>
          <w:szCs w:val="22"/>
          <w:u w:val="single"/>
        </w:rPr>
        <w:t xml:space="preserve">Journal of Acquired Immune Deficiency Syndromes </w:t>
      </w:r>
      <w:r w:rsidRPr="008551C5">
        <w:rPr>
          <w:rFonts w:asciiTheme="minorHAnsi" w:hAnsiTheme="minorHAnsi" w:cstheme="minorHAnsi"/>
          <w:sz w:val="22"/>
          <w:szCs w:val="22"/>
        </w:rPr>
        <w:t xml:space="preserve">53(1):136-143. </w:t>
      </w:r>
    </w:p>
    <w:p w:rsidRPr="008551C5" w:rsidR="00A13866" w:rsidP="00A13866" w:rsidRDefault="00A13866" w14:paraId="28B6CAA5"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Tao G, Tian LH, Peterman TA.  2007.  Estimating Chlamydia Screening Rates by Using Reported Sexually Transmitted Disease Test for Sexually Active Women aged 16 to 25 Years in the United States.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34(3):  180-2.</w:t>
      </w:r>
    </w:p>
    <w:p w:rsidRPr="008551C5" w:rsidR="00A13866" w:rsidP="00A13866" w:rsidRDefault="00A13866" w14:paraId="0788EA3F" w14:textId="77777777">
      <w:pPr>
        <w:widowControl/>
        <w:ind w:left="720" w:hanging="720"/>
        <w:rPr>
          <w:rFonts w:asciiTheme="minorHAnsi" w:hAnsiTheme="minorHAnsi" w:cstheme="minorHAnsi"/>
          <w:sz w:val="22"/>
          <w:szCs w:val="22"/>
        </w:rPr>
      </w:pPr>
    </w:p>
    <w:p w:rsidRPr="008551C5" w:rsidR="00A13866" w:rsidP="00A13866" w:rsidRDefault="00A13866" w14:paraId="2A8F1F3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Tao G.  2008.  Sexual Orientation and Related Viral Sexually Transmitted Disease Rates among US Women Aged 15 to 44 Years.  </w:t>
      </w:r>
      <w:r w:rsidRPr="008551C5">
        <w:rPr>
          <w:rFonts w:asciiTheme="minorHAnsi" w:hAnsiTheme="minorHAnsi" w:cstheme="minorHAnsi"/>
          <w:sz w:val="22"/>
          <w:szCs w:val="22"/>
          <w:u w:val="single"/>
        </w:rPr>
        <w:t xml:space="preserve">American Journal of Public Health </w:t>
      </w:r>
      <w:r w:rsidRPr="008551C5">
        <w:rPr>
          <w:rFonts w:asciiTheme="minorHAnsi" w:hAnsiTheme="minorHAnsi" w:cstheme="minorHAnsi"/>
          <w:sz w:val="22"/>
          <w:szCs w:val="22"/>
        </w:rPr>
        <w:t xml:space="preserve"> 98 (6): 1007-1009</w:t>
      </w:r>
    </w:p>
    <w:p w:rsidRPr="008551C5" w:rsidR="00A13866" w:rsidP="00A13866" w:rsidRDefault="00A13866" w14:paraId="4FAE7BBE"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 </w:t>
      </w:r>
    </w:p>
    <w:p w:rsidRPr="008551C5" w:rsidR="00A13866" w:rsidP="00A13866" w:rsidRDefault="00A13866" w14:paraId="73CE0947"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White House Office of National AIDS Policy. 2010.  National HIV/AIDS Strategy for the United States. Washington, DC: White House, July 13 2010.</w:t>
      </w:r>
    </w:p>
    <w:p w:rsidRPr="008551C5" w:rsidR="00A13866" w:rsidP="00A13866" w:rsidRDefault="00A13866" w14:paraId="4246E027" w14:textId="77777777">
      <w:pPr>
        <w:ind w:left="720" w:hanging="720"/>
        <w:rPr>
          <w:rFonts w:asciiTheme="minorHAnsi" w:hAnsiTheme="minorHAnsi" w:cstheme="minorHAnsi"/>
          <w:sz w:val="22"/>
          <w:szCs w:val="22"/>
        </w:rPr>
      </w:pPr>
    </w:p>
    <w:p w:rsidRPr="008551C5" w:rsidR="00A13866" w:rsidP="00A13866" w:rsidRDefault="00A13866" w14:paraId="34121FA5"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White House Office of National AIDS Policy.  2014.  National HIV/AIDS Strategy: Update of 2014 Federal Actions to Achieve National Goals and Improve Outcomes Along the HIV Care Continuum.  Washington, D.C: White House.  December 2014.</w:t>
      </w:r>
    </w:p>
    <w:p w:rsidRPr="008551C5" w:rsidR="00A13866" w:rsidP="00A13866" w:rsidRDefault="00A13866" w14:paraId="3654D0DD" w14:textId="77777777">
      <w:pPr>
        <w:tabs>
          <w:tab w:val="left" w:pos="-1440"/>
        </w:tabs>
        <w:ind w:left="720" w:hanging="720"/>
        <w:rPr>
          <w:rFonts w:asciiTheme="minorHAnsi" w:hAnsiTheme="minorHAnsi" w:cstheme="minorHAnsi"/>
          <w:color w:val="FF0000"/>
          <w:sz w:val="22"/>
          <w:szCs w:val="22"/>
        </w:rPr>
      </w:pPr>
    </w:p>
    <w:p w:rsidRPr="008551C5" w:rsidR="00A13866" w:rsidP="00A13866" w:rsidRDefault="00A13866" w14:paraId="6EDD728B"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Turner C, Ku L, Rogers S, Lindberg L, Pleck JH, Sonenstein FL.  1998.  Adolescent Sexual Behavior, Drug Use and Violence: New Survey Technology Detects Elevated Prevalence among U.S. Males.  </w:t>
      </w:r>
      <w:r w:rsidRPr="008551C5">
        <w:rPr>
          <w:rFonts w:asciiTheme="minorHAnsi" w:hAnsiTheme="minorHAnsi" w:cstheme="minorHAnsi"/>
          <w:bCs/>
          <w:sz w:val="22"/>
          <w:szCs w:val="22"/>
          <w:u w:val="single"/>
        </w:rPr>
        <w:t>Science</w:t>
      </w:r>
      <w:r w:rsidRPr="008551C5">
        <w:rPr>
          <w:rFonts w:asciiTheme="minorHAnsi" w:hAnsiTheme="minorHAnsi" w:cstheme="minorHAnsi"/>
          <w:b/>
          <w:bCs/>
          <w:sz w:val="22"/>
          <w:szCs w:val="22"/>
        </w:rPr>
        <w:t xml:space="preserve"> </w:t>
      </w:r>
      <w:r w:rsidRPr="008551C5">
        <w:rPr>
          <w:rFonts w:asciiTheme="minorHAnsi" w:hAnsiTheme="minorHAnsi" w:cstheme="minorHAnsi"/>
          <w:sz w:val="22"/>
          <w:szCs w:val="22"/>
        </w:rPr>
        <w:t>280:867-73.</w:t>
      </w:r>
    </w:p>
    <w:p w:rsidRPr="008551C5" w:rsidR="00A13866" w:rsidP="00A13866" w:rsidRDefault="00A13866" w14:paraId="40802A8B" w14:textId="77777777">
      <w:pPr>
        <w:widowControl/>
        <w:ind w:left="720" w:hanging="720"/>
        <w:rPr>
          <w:rFonts w:asciiTheme="minorHAnsi" w:hAnsiTheme="minorHAnsi" w:cstheme="minorHAnsi"/>
          <w:sz w:val="22"/>
          <w:szCs w:val="22"/>
        </w:rPr>
      </w:pPr>
    </w:p>
    <w:p w:rsidRPr="008551C5" w:rsidR="00A13866" w:rsidP="00A13866" w:rsidRDefault="00A13866" w14:paraId="0FECEDA4"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Turner CF, Villarroel M, Chromy J et al. 2005.  Same-Gender Sex among US Adults: Trends across the 20th Century and During the 1990s.  </w:t>
      </w:r>
      <w:r w:rsidRPr="008551C5">
        <w:rPr>
          <w:rFonts w:asciiTheme="minorHAnsi" w:hAnsiTheme="minorHAnsi" w:cstheme="minorHAnsi"/>
          <w:sz w:val="22"/>
          <w:szCs w:val="22"/>
          <w:u w:val="single"/>
        </w:rPr>
        <w:t>Public Opinion Quarterly</w:t>
      </w:r>
      <w:r w:rsidRPr="008551C5">
        <w:rPr>
          <w:rFonts w:asciiTheme="minorHAnsi" w:hAnsiTheme="minorHAnsi" w:cstheme="minorHAnsi"/>
          <w:sz w:val="22"/>
          <w:szCs w:val="22"/>
        </w:rPr>
        <w:t>, 69(3):439-62.</w:t>
      </w:r>
      <w:bookmarkStart w:name="ref2" w:id="24"/>
      <w:bookmarkEnd w:id="24"/>
    </w:p>
    <w:p w:rsidRPr="008551C5" w:rsidR="00A13866" w:rsidP="00A13866" w:rsidRDefault="00A13866" w14:paraId="0F656993" w14:textId="77777777">
      <w:pPr>
        <w:widowControl/>
        <w:ind w:left="720" w:hanging="720"/>
        <w:rPr>
          <w:rFonts w:asciiTheme="minorHAnsi" w:hAnsiTheme="minorHAnsi" w:cstheme="minorHAnsi"/>
          <w:sz w:val="22"/>
          <w:szCs w:val="22"/>
        </w:rPr>
      </w:pPr>
    </w:p>
    <w:p w:rsidRPr="008551C5" w:rsidR="00A13866" w:rsidP="00A13866" w:rsidRDefault="00A13866" w14:paraId="408FDA5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Tyler CP, Whiteman MK., Kraft JM et al.  2014.  Dual Use of Condoms with Other Contraceptive Methods Among Adolescents and Young Women in the United States.</w:t>
      </w:r>
      <w:r w:rsidRPr="008551C5">
        <w:rPr>
          <w:rFonts w:asciiTheme="minorHAnsi" w:hAnsiTheme="minorHAnsi" w:cstheme="minorHAnsi"/>
          <w:sz w:val="22"/>
          <w:szCs w:val="22"/>
          <w:lang w:val="en"/>
        </w:rPr>
        <w:t xml:space="preserve"> </w:t>
      </w:r>
      <w:hyperlink w:tooltip="Go to Journal of Adolescent Health on ScienceDirect" w:history="1" r:id="rId64">
        <w:r w:rsidRPr="008551C5">
          <w:rPr>
            <w:rFonts w:asciiTheme="minorHAnsi" w:hAnsiTheme="minorHAnsi" w:cstheme="minorHAnsi"/>
            <w:sz w:val="22"/>
            <w:szCs w:val="22"/>
            <w:u w:val="single"/>
          </w:rPr>
          <w:t>Journal of Adolescent Health</w:t>
        </w:r>
      </w:hyperlink>
      <w:r w:rsidRPr="008551C5">
        <w:rPr>
          <w:rFonts w:asciiTheme="minorHAnsi" w:hAnsiTheme="minorHAnsi" w:cstheme="minorHAnsi"/>
          <w:sz w:val="22"/>
          <w:szCs w:val="22"/>
        </w:rPr>
        <w:t>, 54(2): 169-175</w:t>
      </w:r>
    </w:p>
    <w:p w:rsidRPr="008551C5" w:rsidR="00A13866" w:rsidP="00A13866" w:rsidRDefault="00A13866" w14:paraId="69B7D5FA" w14:textId="77777777">
      <w:pPr>
        <w:widowControl/>
        <w:ind w:left="720" w:hanging="720"/>
        <w:rPr>
          <w:rFonts w:asciiTheme="minorHAnsi" w:hAnsiTheme="minorHAnsi" w:cstheme="minorHAnsi"/>
          <w:sz w:val="22"/>
          <w:szCs w:val="22"/>
        </w:rPr>
      </w:pPr>
    </w:p>
    <w:p w:rsidRPr="008551C5" w:rsidR="00A13866" w:rsidP="00A13866" w:rsidRDefault="00A13866" w14:paraId="4C98D5A0"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lang w:val="en"/>
        </w:rPr>
        <w:t xml:space="preserve">US Department of Health and Human Services. 2014.  The health consequences of smoking—50 years of progress: a report of the Surgeon General. Atlanta, GA: US Department of Health and Human Services, CDC; </w:t>
      </w:r>
      <w:r w:rsidRPr="008551C5">
        <w:rPr>
          <w:rFonts w:asciiTheme="minorHAnsi" w:hAnsiTheme="minorHAnsi" w:cstheme="minorHAnsi"/>
          <w:sz w:val="22"/>
          <w:szCs w:val="22"/>
          <w:u w:val="single"/>
          <w:lang w:val="en"/>
        </w:rPr>
        <w:t>http://www.surgeongeneral.gov/library/reports/50-years-of-progress/full-report.pdf. </w:t>
      </w:r>
    </w:p>
    <w:p w:rsidRPr="008551C5" w:rsidR="00A13866" w:rsidP="00A13866" w:rsidRDefault="00A13866" w14:paraId="1E4833FE" w14:textId="77777777">
      <w:pPr>
        <w:ind w:left="720" w:hanging="720"/>
        <w:rPr>
          <w:rFonts w:asciiTheme="minorHAnsi" w:hAnsiTheme="minorHAnsi" w:cstheme="minorHAnsi"/>
          <w:sz w:val="22"/>
          <w:szCs w:val="22"/>
        </w:rPr>
      </w:pPr>
    </w:p>
    <w:p w:rsidRPr="008551C5" w:rsidR="00A13866" w:rsidP="00A13866" w:rsidRDefault="00A13866" w14:paraId="52FF5B15"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Vahratian A. 2009. Prevalence of overweight and obesity among women of childbearing age: results from the 2002 National Survey of Family Growth. </w:t>
      </w:r>
      <w:r w:rsidRPr="008551C5">
        <w:rPr>
          <w:rFonts w:asciiTheme="minorHAnsi" w:hAnsiTheme="minorHAnsi" w:cstheme="minorHAnsi"/>
          <w:sz w:val="22"/>
          <w:szCs w:val="22"/>
          <w:u w:val="single"/>
        </w:rPr>
        <w:t>Maternal and Child Health Journal</w:t>
      </w:r>
      <w:r w:rsidRPr="008551C5">
        <w:rPr>
          <w:rFonts w:asciiTheme="minorHAnsi" w:hAnsiTheme="minorHAnsi" w:cstheme="minorHAnsi"/>
          <w:sz w:val="22"/>
          <w:szCs w:val="22"/>
        </w:rPr>
        <w:t xml:space="preserve"> 13(2):268-73. </w:t>
      </w:r>
    </w:p>
    <w:p w:rsidRPr="008551C5" w:rsidR="00A13866" w:rsidP="00A13866" w:rsidRDefault="00A13866" w14:paraId="29561D3B" w14:textId="77777777">
      <w:pPr>
        <w:widowControl/>
        <w:ind w:left="720" w:hanging="720"/>
        <w:rPr>
          <w:rFonts w:asciiTheme="minorHAnsi" w:hAnsiTheme="minorHAnsi" w:cstheme="minorHAnsi"/>
          <w:sz w:val="22"/>
          <w:szCs w:val="22"/>
        </w:rPr>
      </w:pPr>
    </w:p>
    <w:p w:rsidRPr="008551C5" w:rsidR="00A13866" w:rsidP="00A13866" w:rsidRDefault="00A13866" w14:paraId="67AC29C9" w14:textId="77777777">
      <w:pPr>
        <w:widowControl/>
        <w:tabs>
          <w:tab w:val="left" w:pos="540"/>
        </w:tabs>
        <w:autoSpaceDE/>
        <w:autoSpaceDN/>
        <w:adjustRightInd/>
        <w:spacing w:before="26" w:after="240" w:line="211" w:lineRule="atLeast"/>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van Gelder MMHJ, Reefhuis J, Herron AM, Williams ML, Roeleveld N. 2011. Reproductive Health Characteristics of Marijuana and Cocaine Users: Results from the 2002 National Survey of Family Growth. </w:t>
      </w:r>
      <w:r w:rsidRPr="008551C5">
        <w:rPr>
          <w:rFonts w:asciiTheme="minorHAnsi" w:hAnsiTheme="minorHAnsi" w:cstheme="minorHAnsi"/>
          <w:sz w:val="22"/>
          <w:szCs w:val="22"/>
          <w:u w:val="single"/>
        </w:rPr>
        <w:t>Perspectives on Sexual and Reproductive Health</w:t>
      </w:r>
      <w:r w:rsidRPr="008551C5">
        <w:rPr>
          <w:rFonts w:asciiTheme="minorHAnsi" w:hAnsiTheme="minorHAnsi" w:cstheme="minorHAnsi"/>
          <w:sz w:val="22"/>
          <w:szCs w:val="22"/>
        </w:rPr>
        <w:t xml:space="preserve"> 43(3):164-72.</w:t>
      </w:r>
    </w:p>
    <w:p w:rsidRPr="008551C5" w:rsidR="00A13866" w:rsidP="00A13866" w:rsidRDefault="00A13866" w14:paraId="52CBFD8D" w14:textId="77777777">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2"/>
          <w:szCs w:val="22"/>
        </w:rPr>
      </w:pPr>
      <w:r w:rsidRPr="008551C5">
        <w:rPr>
          <w:rFonts w:asciiTheme="minorHAnsi" w:hAnsiTheme="minorHAnsi" w:cstheme="minorHAnsi"/>
          <w:sz w:val="22"/>
          <w:szCs w:val="22"/>
        </w:rPr>
        <w:t xml:space="preserve">Van Handel M, Lyons B, Oraka E, Nasrullah M, DiNenno E, Dietz P. 2015. Factors associated with time since last HIV test among persons at high risk for HIV infection, National Survey of Family Growth, 2006-2010. </w:t>
      </w:r>
      <w:r w:rsidRPr="008551C5">
        <w:rPr>
          <w:rFonts w:asciiTheme="minorHAnsi" w:hAnsiTheme="minorHAnsi" w:cstheme="minorHAnsi"/>
          <w:sz w:val="22"/>
          <w:szCs w:val="22"/>
          <w:u w:val="single"/>
        </w:rPr>
        <w:t>AIDS Patient Care and STDs</w:t>
      </w:r>
      <w:r w:rsidRPr="008551C5">
        <w:rPr>
          <w:rFonts w:asciiTheme="minorHAnsi" w:hAnsiTheme="minorHAnsi" w:cstheme="minorHAnsi"/>
          <w:sz w:val="22"/>
          <w:szCs w:val="22"/>
        </w:rPr>
        <w:t>. 29(10): 533-40.</w:t>
      </w:r>
    </w:p>
    <w:p w:rsidRPr="008551C5" w:rsidR="00A13866" w:rsidP="00A13866" w:rsidRDefault="00A13866" w14:paraId="76CAFBE3"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Volpe E, Hardie T, Cerulli C, Sommers M, Morrison-Beedy D.  2013. What’s age got to do with it? Partner age difference, power, intimate partner violence, and sexual risk in urban adolescents. </w:t>
      </w:r>
      <w:r w:rsidRPr="008551C5">
        <w:rPr>
          <w:rFonts w:asciiTheme="minorHAnsi" w:hAnsiTheme="minorHAnsi" w:cstheme="minorHAnsi"/>
          <w:sz w:val="22"/>
          <w:szCs w:val="22"/>
          <w:u w:val="single"/>
        </w:rPr>
        <w:t>Journal of Interpersonal Violence 28(10): 2068-2087.</w:t>
      </w:r>
      <w:r w:rsidRPr="008551C5">
        <w:rPr>
          <w:rFonts w:asciiTheme="minorHAnsi" w:hAnsiTheme="minorHAnsi" w:cstheme="minorHAnsi"/>
          <w:sz w:val="22"/>
          <w:szCs w:val="22"/>
        </w:rPr>
        <w:t xml:space="preserve"> </w:t>
      </w:r>
    </w:p>
    <w:p w:rsidRPr="008551C5" w:rsidR="00A13866" w:rsidP="00A13866" w:rsidRDefault="00A13866" w14:paraId="642E225B" w14:textId="77777777">
      <w:pPr>
        <w:pStyle w:val="NoSpacing"/>
        <w:ind w:left="720" w:hanging="720"/>
        <w:rPr>
          <w:rFonts w:asciiTheme="minorHAnsi" w:hAnsiTheme="minorHAnsi" w:cstheme="minorHAnsi"/>
          <w:sz w:val="22"/>
          <w:szCs w:val="22"/>
        </w:rPr>
      </w:pPr>
    </w:p>
    <w:p w:rsidRPr="008551C5" w:rsidR="00A13866" w:rsidP="00A13866" w:rsidRDefault="00A13866" w14:paraId="58E8F6AA"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Ward BW, Dahlhamer JM, Galinsky AM, Joestl SS. 2014.Sexual orientation and health among U.S. adults: National Health Interview Survey, 2013. National health statistics reports; no 77. Hyattsville, MD: National Center for Health Statistics. </w:t>
      </w:r>
    </w:p>
    <w:p w:rsidRPr="008551C5" w:rsidR="00A13866" w:rsidP="00A13866" w:rsidRDefault="00A13866" w14:paraId="7C4BD064" w14:textId="77777777">
      <w:pPr>
        <w:pStyle w:val="NoSpacing"/>
        <w:ind w:left="720" w:hanging="720"/>
        <w:rPr>
          <w:rFonts w:asciiTheme="minorHAnsi" w:hAnsiTheme="minorHAnsi" w:cstheme="minorHAnsi"/>
          <w:sz w:val="22"/>
          <w:szCs w:val="22"/>
        </w:rPr>
      </w:pPr>
    </w:p>
    <w:p w:rsidRPr="008551C5" w:rsidR="00A13866" w:rsidP="00A13866" w:rsidRDefault="00A13866" w14:paraId="0386771B"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Wheldon CW, Kirby RS. 2013. Are There Differing Patterns of Health Care Access and Utilization Among Male Sexual Minorities in the United States?  </w:t>
      </w:r>
      <w:r w:rsidRPr="008551C5">
        <w:rPr>
          <w:rFonts w:asciiTheme="minorHAnsi" w:hAnsiTheme="minorHAnsi" w:cstheme="minorHAnsi"/>
          <w:sz w:val="22"/>
          <w:szCs w:val="22"/>
          <w:u w:val="single"/>
        </w:rPr>
        <w:t>Journal of Gay &amp; Lesbian Social Services</w:t>
      </w:r>
      <w:r w:rsidRPr="008551C5">
        <w:rPr>
          <w:rFonts w:asciiTheme="minorHAnsi" w:hAnsiTheme="minorHAnsi" w:cstheme="minorHAnsi"/>
          <w:sz w:val="22"/>
          <w:szCs w:val="22"/>
        </w:rPr>
        <w:t xml:space="preserve"> 25:24-36.</w:t>
      </w:r>
    </w:p>
    <w:p w:rsidRPr="008551C5" w:rsidR="00A13866" w:rsidP="00A13866" w:rsidRDefault="00A13866" w14:paraId="5893F424" w14:textId="77777777">
      <w:pPr>
        <w:pStyle w:val="NoSpacing"/>
        <w:ind w:left="720" w:hanging="720"/>
        <w:rPr>
          <w:rFonts w:asciiTheme="minorHAnsi" w:hAnsiTheme="minorHAnsi" w:cstheme="minorHAnsi"/>
          <w:sz w:val="22"/>
          <w:szCs w:val="22"/>
        </w:rPr>
      </w:pPr>
    </w:p>
    <w:p w:rsidRPr="008551C5" w:rsidR="00A13866" w:rsidP="00A13866" w:rsidRDefault="00A13866" w14:paraId="3F09DECC"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White House Office of National AIDS Policy. 2010.  National HIV/AIDS Strategy for the United States. Washington, DC: White House, July 13 2010.</w:t>
      </w:r>
    </w:p>
    <w:p w:rsidRPr="008551C5" w:rsidR="00A13866" w:rsidP="00A13866" w:rsidRDefault="00A13866" w14:paraId="78B50A27" w14:textId="77777777">
      <w:pPr>
        <w:ind w:left="720" w:hanging="720"/>
        <w:rPr>
          <w:rFonts w:asciiTheme="minorHAnsi" w:hAnsiTheme="minorHAnsi" w:cstheme="minorHAnsi"/>
          <w:sz w:val="22"/>
          <w:szCs w:val="22"/>
        </w:rPr>
      </w:pPr>
    </w:p>
    <w:p w:rsidRPr="008551C5" w:rsidR="00A13866" w:rsidP="00A13866" w:rsidRDefault="00A13866" w14:paraId="54537666"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White House Office of National AIDS Policy.  2014.  National HIV/AIDS Strategy: Update of 2014 Federal Actions to Achieve National Goals and Improve Outcomes Along the HIV Care Continuum.  Washington, D.C: White House.  December 2014.</w:t>
      </w:r>
    </w:p>
    <w:p w:rsidRPr="008551C5" w:rsidR="00A13866" w:rsidP="00A13866" w:rsidRDefault="00A13866" w14:paraId="20F20731" w14:textId="77777777">
      <w:pPr>
        <w:ind w:left="720" w:hanging="720"/>
        <w:rPr>
          <w:rFonts w:asciiTheme="minorHAnsi" w:hAnsiTheme="minorHAnsi" w:cstheme="minorHAnsi"/>
          <w:sz w:val="22"/>
          <w:szCs w:val="22"/>
        </w:rPr>
      </w:pPr>
    </w:p>
    <w:p w:rsidRPr="008551C5" w:rsidR="00A13866" w:rsidP="00A13866" w:rsidRDefault="00A13866" w14:paraId="000A9801" w14:textId="77777777">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Williams CM, Brett KM, Abma JC. 2009. Coercive first intercourse and unintended first births. </w:t>
      </w:r>
      <w:r w:rsidRPr="008551C5">
        <w:rPr>
          <w:rFonts w:asciiTheme="minorHAnsi" w:hAnsiTheme="minorHAnsi" w:cstheme="minorHAnsi"/>
          <w:color w:val="auto"/>
          <w:sz w:val="22"/>
          <w:szCs w:val="22"/>
          <w:u w:val="single"/>
        </w:rPr>
        <w:t>Violence Victims</w:t>
      </w:r>
      <w:r w:rsidRPr="008551C5">
        <w:rPr>
          <w:rFonts w:asciiTheme="minorHAnsi" w:hAnsiTheme="minorHAnsi" w:cstheme="minorHAnsi"/>
          <w:color w:val="auto"/>
          <w:sz w:val="22"/>
          <w:szCs w:val="22"/>
        </w:rPr>
        <w:t xml:space="preserve"> 24(3):351-63. </w:t>
      </w:r>
    </w:p>
    <w:p w:rsidRPr="008551C5" w:rsidR="00A13866" w:rsidP="00A13866" w:rsidRDefault="00A13866" w14:paraId="3176107E"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Williams CM, Clear ER, Coker AL. 2013. Sexual Coercion and Sexual Violence at First Intercourse Associated With Sexually Transmitted Infections.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40(10): 771-75.</w:t>
      </w:r>
    </w:p>
    <w:p w:rsidRPr="008551C5" w:rsidR="00A13866" w:rsidP="00A13866" w:rsidRDefault="00A13866" w14:paraId="1963791C" w14:textId="77777777">
      <w:pPr>
        <w:pStyle w:val="NoSpacing"/>
        <w:ind w:left="720" w:hanging="720"/>
        <w:rPr>
          <w:rFonts w:asciiTheme="minorHAnsi" w:hAnsiTheme="minorHAnsi" w:cstheme="minorHAnsi"/>
          <w:sz w:val="22"/>
          <w:szCs w:val="22"/>
        </w:rPr>
      </w:pPr>
    </w:p>
    <w:p w:rsidRPr="008551C5" w:rsidR="00A13866" w:rsidP="00A13866" w:rsidRDefault="00A13866" w14:paraId="1829E54A"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Wilson JB.  1993.  Human Immunodeficiency Virus Antibody Testing in Women 15-44 Years of Age: U.S., 1990.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238.  Hyattsville, MD: National Center for Health Statistics. </w:t>
      </w:r>
    </w:p>
    <w:p w:rsidRPr="008551C5" w:rsidR="00A13866" w:rsidP="00A13866" w:rsidRDefault="00A13866" w14:paraId="1A4E119D" w14:textId="77777777">
      <w:pPr>
        <w:widowControl/>
        <w:ind w:left="720" w:hanging="720"/>
        <w:rPr>
          <w:rFonts w:asciiTheme="minorHAnsi" w:hAnsiTheme="minorHAnsi" w:cstheme="minorHAnsi"/>
          <w:sz w:val="22"/>
          <w:szCs w:val="22"/>
        </w:rPr>
      </w:pPr>
    </w:p>
    <w:p w:rsidRPr="008551C5" w:rsidR="00A13866" w:rsidP="00A13866" w:rsidRDefault="00A13866" w14:paraId="400683A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Wright D, Butler D, Eyerman J. 2005. Non-response bias from the National Household Survey on Drug Abuse incentive experiment. </w:t>
      </w:r>
      <w:r w:rsidRPr="008551C5">
        <w:rPr>
          <w:rFonts w:asciiTheme="minorHAnsi" w:hAnsiTheme="minorHAnsi" w:cstheme="minorHAnsi"/>
          <w:sz w:val="22"/>
          <w:szCs w:val="22"/>
          <w:u w:val="single"/>
        </w:rPr>
        <w:t>Journal of Economic and Social Measurement</w:t>
      </w:r>
      <w:r w:rsidRPr="008551C5">
        <w:rPr>
          <w:rFonts w:asciiTheme="minorHAnsi" w:hAnsiTheme="minorHAnsi" w:cstheme="minorHAnsi"/>
          <w:sz w:val="22"/>
          <w:szCs w:val="22"/>
        </w:rPr>
        <w:t>. 30:219-231.</w:t>
      </w:r>
    </w:p>
    <w:p w:rsidRPr="008551C5" w:rsidR="00A13866" w:rsidP="00A13866" w:rsidRDefault="00A13866" w14:paraId="54F6ADA2" w14:textId="77777777">
      <w:pPr>
        <w:ind w:left="720" w:hanging="720"/>
        <w:rPr>
          <w:rFonts w:asciiTheme="minorHAnsi" w:hAnsiTheme="minorHAnsi" w:cstheme="minorHAnsi"/>
          <w:sz w:val="22"/>
          <w:szCs w:val="22"/>
        </w:rPr>
      </w:pPr>
    </w:p>
    <w:p w:rsidRPr="008551C5" w:rsidR="00A13866" w:rsidP="00A13866" w:rsidRDefault="00A13866" w14:paraId="1670109F"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Xu F, Sternberg MR, Markowitz LE. 2010. Men who have sex with men in the United States: Demographic and behavioral characteristics and prevalence of HIV and HSV-2 infection: Results from National Health and Nutrition Examination Survey, 2001–2006.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37(6):399–405.</w:t>
      </w:r>
    </w:p>
    <w:p w:rsidR="001427DC" w:rsidP="001427DC" w:rsidRDefault="00956671" w14:paraId="46F5F866" w14:textId="74997A54">
      <w:pPr>
        <w:widowControl/>
        <w:ind w:left="720"/>
        <w:jc w:val="both"/>
        <w:rPr>
          <w:rFonts w:asciiTheme="minorHAnsi" w:hAnsiTheme="minorHAnsi" w:cstheme="minorHAnsi"/>
          <w:b/>
          <w:bCs/>
          <w:color w:val="FF0000"/>
        </w:rPr>
      </w:pPr>
      <w:r w:rsidRPr="008551C5">
        <w:rPr>
          <w:rFonts w:asciiTheme="minorHAnsi" w:hAnsiTheme="minorHAnsi" w:cstheme="minorHAnsi"/>
          <w:b/>
          <w:bCs/>
          <w:color w:val="FF0000"/>
          <w:sz w:val="22"/>
          <w:szCs w:val="22"/>
        </w:rPr>
        <w:softHyphen/>
      </w:r>
    </w:p>
    <w:sectPr w:rsidR="001427DC" w:rsidSect="007D1D9D">
      <w:headerReference w:type="even" r:id="rId65"/>
      <w:headerReference w:type="default" r:id="rId66"/>
      <w:footerReference w:type="even" r:id="rId67"/>
      <w:footerReference w:type="default" r:id="rId68"/>
      <w:headerReference w:type="first" r:id="rId69"/>
      <w:footerReference w:type="first" r:id="rId70"/>
      <w:type w:val="continuous"/>
      <w:pgSz w:w="12240" w:h="15840" w:code="1"/>
      <w:pgMar w:top="1440"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7467E" w14:textId="77777777" w:rsidR="008A5D0F" w:rsidRDefault="008A5D0F">
      <w:r>
        <w:separator/>
      </w:r>
    </w:p>
  </w:endnote>
  <w:endnote w:type="continuationSeparator" w:id="0">
    <w:p w14:paraId="477B4C4E" w14:textId="77777777" w:rsidR="008A5D0F" w:rsidRDefault="008A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dvTT6120e2aa+2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E04D8" w14:textId="77777777" w:rsidR="00447040" w:rsidRDefault="00447040">
    <w:pPr>
      <w:pStyle w:val="Footer"/>
    </w:pPr>
  </w:p>
  <w:p w14:paraId="7EEDE452" w14:textId="77777777" w:rsidR="00447040" w:rsidRDefault="00447040"/>
  <w:p w14:paraId="71F4F158" w14:textId="77777777" w:rsidR="00447040" w:rsidRDefault="004470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962661"/>
      <w:docPartObj>
        <w:docPartGallery w:val="Page Numbers (Bottom of Page)"/>
        <w:docPartUnique/>
      </w:docPartObj>
    </w:sdtPr>
    <w:sdtEndPr>
      <w:rPr>
        <w:rFonts w:asciiTheme="minorHAnsi" w:hAnsiTheme="minorHAnsi" w:cstheme="minorHAnsi"/>
        <w:noProof/>
        <w:sz w:val="18"/>
        <w:szCs w:val="18"/>
      </w:rPr>
    </w:sdtEndPr>
    <w:sdtContent>
      <w:p w14:paraId="7608E7D9" w14:textId="514EA416" w:rsidR="00447040" w:rsidRPr="000920DF" w:rsidRDefault="00447040">
        <w:pPr>
          <w:pStyle w:val="Footer"/>
          <w:jc w:val="center"/>
          <w:rPr>
            <w:rFonts w:asciiTheme="minorHAnsi" w:hAnsiTheme="minorHAnsi" w:cstheme="minorHAnsi"/>
            <w:sz w:val="18"/>
            <w:szCs w:val="18"/>
          </w:rPr>
        </w:pPr>
        <w:r w:rsidRPr="000920DF">
          <w:rPr>
            <w:rFonts w:asciiTheme="minorHAnsi" w:hAnsiTheme="minorHAnsi" w:cstheme="minorHAnsi"/>
            <w:sz w:val="18"/>
            <w:szCs w:val="18"/>
          </w:rPr>
          <w:fldChar w:fldCharType="begin"/>
        </w:r>
        <w:r w:rsidRPr="00601764">
          <w:rPr>
            <w:rFonts w:asciiTheme="minorHAnsi" w:hAnsiTheme="minorHAnsi" w:cstheme="minorHAnsi"/>
            <w:sz w:val="18"/>
            <w:szCs w:val="18"/>
          </w:rPr>
          <w:instrText xml:space="preserve"> PAGE   \* MERGEFORMAT </w:instrText>
        </w:r>
        <w:r w:rsidRPr="000920DF">
          <w:rPr>
            <w:rFonts w:asciiTheme="minorHAnsi" w:hAnsiTheme="minorHAnsi" w:cstheme="minorHAnsi"/>
            <w:sz w:val="18"/>
            <w:szCs w:val="18"/>
          </w:rPr>
          <w:fldChar w:fldCharType="separate"/>
        </w:r>
        <w:r w:rsidRPr="00601764">
          <w:rPr>
            <w:rFonts w:asciiTheme="minorHAnsi" w:hAnsiTheme="minorHAnsi" w:cstheme="minorHAnsi"/>
            <w:noProof/>
            <w:sz w:val="18"/>
            <w:szCs w:val="18"/>
          </w:rPr>
          <w:t>2</w:t>
        </w:r>
        <w:r w:rsidRPr="000920DF">
          <w:rPr>
            <w:rFonts w:asciiTheme="minorHAnsi" w:hAnsiTheme="minorHAnsi" w:cstheme="minorHAnsi"/>
            <w:noProof/>
            <w:sz w:val="18"/>
            <w:szCs w:val="18"/>
          </w:rPr>
          <w:fldChar w:fldCharType="end"/>
        </w:r>
      </w:p>
    </w:sdtContent>
  </w:sdt>
  <w:p w14:paraId="5FEB045D" w14:textId="77777777" w:rsidR="00447040" w:rsidRDefault="004470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1E651" w14:textId="77777777" w:rsidR="00447040" w:rsidRDefault="0044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8D544" w14:textId="77777777" w:rsidR="008A5D0F" w:rsidRDefault="008A5D0F">
      <w:r>
        <w:separator/>
      </w:r>
    </w:p>
  </w:footnote>
  <w:footnote w:type="continuationSeparator" w:id="0">
    <w:p w14:paraId="255720B3" w14:textId="77777777" w:rsidR="008A5D0F" w:rsidRDefault="008A5D0F">
      <w:r>
        <w:continuationSeparator/>
      </w:r>
    </w:p>
  </w:footnote>
  <w:footnote w:id="1">
    <w:p w14:paraId="551A2B24" w14:textId="77777777" w:rsidR="00447040" w:rsidRDefault="00447040" w:rsidP="00AD2323">
      <w:pPr>
        <w:pStyle w:val="FootnoteText"/>
      </w:pPr>
      <w:r w:rsidRPr="00027730">
        <w:rPr>
          <w:rStyle w:val="FootnoteReference"/>
          <w:vertAlign w:val="superscript"/>
        </w:rPr>
        <w:footnoteRef/>
      </w:r>
      <w:r>
        <w:t xml:space="preserve"> </w:t>
      </w:r>
      <w:r w:rsidRPr="00030274">
        <w:rPr>
          <w:i/>
          <w:iCs/>
          <w:sz w:val="18"/>
          <w:szCs w:val="18"/>
        </w:rPr>
        <w:t>Emancipated minors - 15–17-year-olds who are married, cohabiting, or living away from their parents for other reasons - are rare in a sample of this size. Emancipated minors have been excluded from the continuous NSFG because the number of emancipated minors selected for the NSFG is so small that excluding this group is unlikely to have any noticeable impact on estimates. Using current IRB rules, however, including them would require special procedures that are too complex and too costly for the NSFG.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13DEB" w14:textId="77777777" w:rsidR="00447040" w:rsidRDefault="00447040">
    <w:pPr>
      <w:pStyle w:val="Header"/>
    </w:pPr>
  </w:p>
  <w:p w14:paraId="1F70349B" w14:textId="77777777" w:rsidR="00447040" w:rsidRDefault="00447040"/>
  <w:p w14:paraId="3D23626C" w14:textId="77777777" w:rsidR="00447040" w:rsidRDefault="004470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2672D" w14:textId="77777777" w:rsidR="00447040" w:rsidRDefault="00447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9ED2" w14:textId="77777777" w:rsidR="00447040" w:rsidRDefault="00447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numFmt w:val="decimal"/>
      <w:lvlText w:val=""/>
      <w:lvlJc w:val="left"/>
    </w:lvl>
  </w:abstractNum>
  <w:abstractNum w:abstractNumId="9" w15:restartNumberingAfterBreak="0">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singleLevel"/>
    <w:tmpl w:val="00000000"/>
    <w:lvl w:ilvl="0">
      <w:start w:val="1"/>
      <w:numFmt w:val="lowerLetter"/>
      <w:pStyle w:val="Quicka"/>
      <w:lvlText w:val="%1)"/>
      <w:lvlJc w:val="left"/>
      <w:pPr>
        <w:tabs>
          <w:tab w:val="num" w:pos="1440"/>
        </w:tabs>
      </w:pPr>
    </w:lvl>
  </w:abstractNum>
  <w:abstractNum w:abstractNumId="15" w15:restartNumberingAfterBreak="0">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singleLevel"/>
    <w:tmpl w:val="00000000"/>
    <w:lvl w:ilvl="0">
      <w:start w:val="1"/>
      <w:numFmt w:val="upperLetter"/>
      <w:pStyle w:val="QuickA0"/>
      <w:lvlText w:val="%1."/>
      <w:lvlJc w:val="left"/>
      <w:pPr>
        <w:tabs>
          <w:tab w:val="num" w:pos="720"/>
        </w:tabs>
      </w:pPr>
      <w:rPr>
        <w:b/>
        <w:bCs/>
      </w:rPr>
    </w:lvl>
  </w:abstractNum>
  <w:abstractNum w:abstractNumId="19" w15:restartNumberingAfterBreak="0">
    <w:nsid w:val="00000402"/>
    <w:multiLevelType w:val="multilevel"/>
    <w:tmpl w:val="918AC5A6"/>
    <w:lvl w:ilvl="0">
      <w:start w:val="1"/>
      <w:numFmt w:val="decimal"/>
      <w:lvlText w:val="%1."/>
      <w:lvlJc w:val="left"/>
      <w:pPr>
        <w:ind w:left="700" w:hanging="540"/>
      </w:pPr>
      <w:rPr>
        <w:rFonts w:ascii="Times New Roman" w:hAnsi="Times New Roman" w:cs="Times New Roman"/>
        <w:b w:val="0"/>
        <w:bCs w:val="0"/>
        <w:i w:val="0"/>
        <w:spacing w:val="-5"/>
        <w:w w:val="99"/>
        <w:sz w:val="24"/>
        <w:szCs w:val="24"/>
      </w:rPr>
    </w:lvl>
    <w:lvl w:ilvl="1">
      <w:numFmt w:val="bullet"/>
      <w:lvlText w:val="•"/>
      <w:lvlJc w:val="left"/>
      <w:pPr>
        <w:ind w:left="1598" w:hanging="540"/>
      </w:pPr>
    </w:lvl>
    <w:lvl w:ilvl="2">
      <w:numFmt w:val="bullet"/>
      <w:lvlText w:val="•"/>
      <w:lvlJc w:val="left"/>
      <w:pPr>
        <w:ind w:left="2496" w:hanging="540"/>
      </w:pPr>
    </w:lvl>
    <w:lvl w:ilvl="3">
      <w:numFmt w:val="bullet"/>
      <w:lvlText w:val="•"/>
      <w:lvlJc w:val="left"/>
      <w:pPr>
        <w:ind w:left="3394" w:hanging="540"/>
      </w:pPr>
    </w:lvl>
    <w:lvl w:ilvl="4">
      <w:numFmt w:val="bullet"/>
      <w:lvlText w:val="•"/>
      <w:lvlJc w:val="left"/>
      <w:pPr>
        <w:ind w:left="4292" w:hanging="540"/>
      </w:pPr>
    </w:lvl>
    <w:lvl w:ilvl="5">
      <w:numFmt w:val="bullet"/>
      <w:lvlText w:val="•"/>
      <w:lvlJc w:val="left"/>
      <w:pPr>
        <w:ind w:left="5190" w:hanging="540"/>
      </w:pPr>
    </w:lvl>
    <w:lvl w:ilvl="6">
      <w:numFmt w:val="bullet"/>
      <w:lvlText w:val="•"/>
      <w:lvlJc w:val="left"/>
      <w:pPr>
        <w:ind w:left="6088" w:hanging="540"/>
      </w:pPr>
    </w:lvl>
    <w:lvl w:ilvl="7">
      <w:numFmt w:val="bullet"/>
      <w:lvlText w:val="•"/>
      <w:lvlJc w:val="left"/>
      <w:pPr>
        <w:ind w:left="6986" w:hanging="540"/>
      </w:pPr>
    </w:lvl>
    <w:lvl w:ilvl="8">
      <w:numFmt w:val="bullet"/>
      <w:lvlText w:val="•"/>
      <w:lvlJc w:val="left"/>
      <w:pPr>
        <w:ind w:left="7884" w:hanging="540"/>
      </w:pPr>
    </w:lvl>
  </w:abstractNum>
  <w:abstractNum w:abstractNumId="20" w15:restartNumberingAfterBreak="0">
    <w:nsid w:val="07D92EF5"/>
    <w:multiLevelType w:val="hybridMultilevel"/>
    <w:tmpl w:val="324CE45A"/>
    <w:lvl w:ilvl="0" w:tplc="025A7B2E">
      <w:numFmt w:val="bullet"/>
      <w:lvlText w:val=""/>
      <w:lvlJc w:val="left"/>
      <w:pPr>
        <w:ind w:left="1084" w:hanging="360"/>
      </w:pPr>
      <w:rPr>
        <w:rFonts w:ascii="Symbol" w:eastAsia="Symbol" w:hAnsi="Symbol" w:cs="Symbol" w:hint="default"/>
        <w:w w:val="99"/>
        <w:sz w:val="22"/>
        <w:szCs w:val="22"/>
      </w:rPr>
    </w:lvl>
    <w:lvl w:ilvl="1" w:tplc="F8AEC14A">
      <w:numFmt w:val="bullet"/>
      <w:lvlText w:val="•"/>
      <w:lvlJc w:val="left"/>
      <w:pPr>
        <w:ind w:left="1385" w:hanging="360"/>
      </w:pPr>
      <w:rPr>
        <w:rFonts w:hint="default"/>
      </w:rPr>
    </w:lvl>
    <w:lvl w:ilvl="2" w:tplc="C07C0CC2">
      <w:numFmt w:val="bullet"/>
      <w:lvlText w:val="•"/>
      <w:lvlJc w:val="left"/>
      <w:pPr>
        <w:ind w:left="1690" w:hanging="360"/>
      </w:pPr>
      <w:rPr>
        <w:rFonts w:hint="default"/>
      </w:rPr>
    </w:lvl>
    <w:lvl w:ilvl="3" w:tplc="C92C2B7C">
      <w:numFmt w:val="bullet"/>
      <w:lvlText w:val="•"/>
      <w:lvlJc w:val="left"/>
      <w:pPr>
        <w:ind w:left="1995" w:hanging="360"/>
      </w:pPr>
      <w:rPr>
        <w:rFonts w:hint="default"/>
      </w:rPr>
    </w:lvl>
    <w:lvl w:ilvl="4" w:tplc="A874E90E">
      <w:numFmt w:val="bullet"/>
      <w:lvlText w:val="•"/>
      <w:lvlJc w:val="left"/>
      <w:pPr>
        <w:ind w:left="2301" w:hanging="360"/>
      </w:pPr>
      <w:rPr>
        <w:rFonts w:hint="default"/>
      </w:rPr>
    </w:lvl>
    <w:lvl w:ilvl="5" w:tplc="73B423FC">
      <w:numFmt w:val="bullet"/>
      <w:lvlText w:val="•"/>
      <w:lvlJc w:val="left"/>
      <w:pPr>
        <w:ind w:left="2606" w:hanging="360"/>
      </w:pPr>
      <w:rPr>
        <w:rFonts w:hint="default"/>
      </w:rPr>
    </w:lvl>
    <w:lvl w:ilvl="6" w:tplc="BBB49C90">
      <w:numFmt w:val="bullet"/>
      <w:lvlText w:val="•"/>
      <w:lvlJc w:val="left"/>
      <w:pPr>
        <w:ind w:left="2911" w:hanging="360"/>
      </w:pPr>
      <w:rPr>
        <w:rFonts w:hint="default"/>
      </w:rPr>
    </w:lvl>
    <w:lvl w:ilvl="7" w:tplc="B908FC32">
      <w:numFmt w:val="bullet"/>
      <w:lvlText w:val="•"/>
      <w:lvlJc w:val="left"/>
      <w:pPr>
        <w:ind w:left="3216" w:hanging="360"/>
      </w:pPr>
      <w:rPr>
        <w:rFonts w:hint="default"/>
      </w:rPr>
    </w:lvl>
    <w:lvl w:ilvl="8" w:tplc="9158817E">
      <w:numFmt w:val="bullet"/>
      <w:lvlText w:val="•"/>
      <w:lvlJc w:val="left"/>
      <w:pPr>
        <w:ind w:left="3522" w:hanging="360"/>
      </w:pPr>
      <w:rPr>
        <w:rFonts w:hint="default"/>
      </w:rPr>
    </w:lvl>
  </w:abstractNum>
  <w:abstractNum w:abstractNumId="21" w15:restartNumberingAfterBreak="0">
    <w:nsid w:val="08624BEB"/>
    <w:multiLevelType w:val="hybridMultilevel"/>
    <w:tmpl w:val="19F05266"/>
    <w:lvl w:ilvl="0" w:tplc="FB1E775C">
      <w:start w:val="1"/>
      <w:numFmt w:val="decimal"/>
      <w:lvlText w:val="%1."/>
      <w:lvlJc w:val="left"/>
      <w:pPr>
        <w:ind w:left="720" w:hanging="360"/>
      </w:pPr>
      <w:rPr>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E41B98"/>
    <w:multiLevelType w:val="hybridMultilevel"/>
    <w:tmpl w:val="893E8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6524C4"/>
    <w:multiLevelType w:val="hybridMultilevel"/>
    <w:tmpl w:val="3B10643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2524089B"/>
    <w:multiLevelType w:val="hybridMultilevel"/>
    <w:tmpl w:val="A7FA9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6263837"/>
    <w:multiLevelType w:val="hybridMultilevel"/>
    <w:tmpl w:val="BDBC55CC"/>
    <w:lvl w:ilvl="0" w:tplc="E19A7594">
      <w:start w:val="1"/>
      <w:numFmt w:val="decimal"/>
      <w:lvlText w:val="%1."/>
      <w:lvlJc w:val="left"/>
      <w:pPr>
        <w:ind w:left="920" w:hanging="561"/>
        <w:jc w:val="right"/>
      </w:pPr>
      <w:rPr>
        <w:rFonts w:ascii="Times New Roman" w:eastAsia="Times New Roman" w:hAnsi="Times New Roman" w:cs="Times New Roman" w:hint="default"/>
        <w:spacing w:val="-2"/>
        <w:w w:val="100"/>
        <w:sz w:val="24"/>
        <w:szCs w:val="24"/>
      </w:rPr>
    </w:lvl>
    <w:lvl w:ilvl="1" w:tplc="4614CD24">
      <w:numFmt w:val="bullet"/>
      <w:lvlText w:val="•"/>
      <w:lvlJc w:val="left"/>
      <w:pPr>
        <w:ind w:left="1876" w:hanging="561"/>
      </w:pPr>
      <w:rPr>
        <w:rFonts w:hint="default"/>
      </w:rPr>
    </w:lvl>
    <w:lvl w:ilvl="2" w:tplc="69984280">
      <w:numFmt w:val="bullet"/>
      <w:lvlText w:val="•"/>
      <w:lvlJc w:val="left"/>
      <w:pPr>
        <w:ind w:left="2832" w:hanging="561"/>
      </w:pPr>
      <w:rPr>
        <w:rFonts w:hint="default"/>
      </w:rPr>
    </w:lvl>
    <w:lvl w:ilvl="3" w:tplc="78141D26">
      <w:numFmt w:val="bullet"/>
      <w:lvlText w:val="•"/>
      <w:lvlJc w:val="left"/>
      <w:pPr>
        <w:ind w:left="3788" w:hanging="561"/>
      </w:pPr>
      <w:rPr>
        <w:rFonts w:hint="default"/>
      </w:rPr>
    </w:lvl>
    <w:lvl w:ilvl="4" w:tplc="B1E8B3A8">
      <w:numFmt w:val="bullet"/>
      <w:lvlText w:val="•"/>
      <w:lvlJc w:val="left"/>
      <w:pPr>
        <w:ind w:left="4744" w:hanging="561"/>
      </w:pPr>
      <w:rPr>
        <w:rFonts w:hint="default"/>
      </w:rPr>
    </w:lvl>
    <w:lvl w:ilvl="5" w:tplc="C20E115E">
      <w:numFmt w:val="bullet"/>
      <w:lvlText w:val="•"/>
      <w:lvlJc w:val="left"/>
      <w:pPr>
        <w:ind w:left="5700" w:hanging="561"/>
      </w:pPr>
      <w:rPr>
        <w:rFonts w:hint="default"/>
      </w:rPr>
    </w:lvl>
    <w:lvl w:ilvl="6" w:tplc="AA2E0FF0">
      <w:numFmt w:val="bullet"/>
      <w:lvlText w:val="•"/>
      <w:lvlJc w:val="left"/>
      <w:pPr>
        <w:ind w:left="6656" w:hanging="561"/>
      </w:pPr>
      <w:rPr>
        <w:rFonts w:hint="default"/>
      </w:rPr>
    </w:lvl>
    <w:lvl w:ilvl="7" w:tplc="B79C88AA">
      <w:numFmt w:val="bullet"/>
      <w:lvlText w:val="•"/>
      <w:lvlJc w:val="left"/>
      <w:pPr>
        <w:ind w:left="7612" w:hanging="561"/>
      </w:pPr>
      <w:rPr>
        <w:rFonts w:hint="default"/>
      </w:rPr>
    </w:lvl>
    <w:lvl w:ilvl="8" w:tplc="7ED41F14">
      <w:numFmt w:val="bullet"/>
      <w:lvlText w:val="•"/>
      <w:lvlJc w:val="left"/>
      <w:pPr>
        <w:ind w:left="8568" w:hanging="561"/>
      </w:pPr>
      <w:rPr>
        <w:rFonts w:hint="default"/>
      </w:rPr>
    </w:lvl>
  </w:abstractNum>
  <w:abstractNum w:abstractNumId="26" w15:restartNumberingAfterBreak="0">
    <w:nsid w:val="2C6D0E7B"/>
    <w:multiLevelType w:val="hybridMultilevel"/>
    <w:tmpl w:val="4952551E"/>
    <w:lvl w:ilvl="0" w:tplc="04090015">
      <w:start w:val="1"/>
      <w:numFmt w:val="upperLetter"/>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E16E3D"/>
    <w:multiLevelType w:val="hybridMultilevel"/>
    <w:tmpl w:val="FFEEDC24"/>
    <w:lvl w:ilvl="0" w:tplc="EB92F458">
      <w:start w:val="3"/>
      <w:numFmt w:val="upperLetter"/>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643DC7"/>
    <w:multiLevelType w:val="hybridMultilevel"/>
    <w:tmpl w:val="609CB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085908"/>
    <w:multiLevelType w:val="hybridMultilevel"/>
    <w:tmpl w:val="24702558"/>
    <w:lvl w:ilvl="0" w:tplc="2148334E">
      <w:start w:val="1"/>
      <w:numFmt w:val="lowerLetter"/>
      <w:lvlText w:val="(%1)"/>
      <w:lvlJc w:val="left"/>
      <w:pPr>
        <w:ind w:left="720" w:hanging="360"/>
      </w:pPr>
      <w:rPr>
        <w:rFonts w:asciiTheme="minorHAnsi" w:eastAsia="Times New Roman" w:hAnsiTheme="minorHAnsi" w:cstheme="minorHAnsi"/>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57583"/>
    <w:multiLevelType w:val="hybridMultilevel"/>
    <w:tmpl w:val="733637EA"/>
    <w:lvl w:ilvl="0" w:tplc="14CACC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7A0AA7"/>
    <w:multiLevelType w:val="hybridMultilevel"/>
    <w:tmpl w:val="BE44D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0A065B"/>
    <w:multiLevelType w:val="multilevel"/>
    <w:tmpl w:val="93546CF0"/>
    <w:lvl w:ilvl="0">
      <w:start w:val="1"/>
      <w:numFmt w:val="decimal"/>
      <w:lvlText w:val="%1"/>
      <w:lvlJc w:val="left"/>
      <w:pPr>
        <w:ind w:left="2160" w:hanging="720"/>
      </w:pPr>
      <w:rPr>
        <w:rFonts w:hint="default"/>
      </w:rPr>
    </w:lvl>
    <w:lvl w:ilvl="1">
      <w:start w:val="7"/>
      <w:numFmt w:val="decimal"/>
      <w:lvlText w:val="%1.%2"/>
      <w:lvlJc w:val="left"/>
      <w:pPr>
        <w:ind w:left="2160" w:hanging="720"/>
      </w:pPr>
      <w:rPr>
        <w:rFonts w:hint="default"/>
      </w:rPr>
    </w:lvl>
    <w:lvl w:ilvl="2">
      <w:start w:val="7"/>
      <w:numFmt w:val="decimal"/>
      <w:lvlText w:val="%1.%2.%3"/>
      <w:lvlJc w:val="left"/>
      <w:pPr>
        <w:ind w:left="2160" w:hanging="720"/>
      </w:pPr>
      <w:rPr>
        <w:rFonts w:ascii="Arial" w:eastAsia="Arial" w:hAnsi="Arial" w:cs="Arial" w:hint="default"/>
        <w:b/>
        <w:bCs/>
        <w:spacing w:val="-15"/>
        <w:w w:val="100"/>
        <w:sz w:val="24"/>
        <w:szCs w:val="24"/>
      </w:rPr>
    </w:lvl>
    <w:lvl w:ilvl="3">
      <w:numFmt w:val="bullet"/>
      <w:lvlText w:val=""/>
      <w:lvlJc w:val="left"/>
      <w:pPr>
        <w:ind w:left="2073" w:hanging="274"/>
      </w:pPr>
      <w:rPr>
        <w:rFonts w:ascii="Wingdings" w:eastAsia="Wingdings" w:hAnsi="Wingdings" w:cs="Wingdings" w:hint="default"/>
        <w:w w:val="99"/>
        <w:sz w:val="22"/>
        <w:szCs w:val="22"/>
      </w:rPr>
    </w:lvl>
    <w:lvl w:ilvl="4">
      <w:numFmt w:val="bullet"/>
      <w:lvlText w:val="•"/>
      <w:lvlJc w:val="left"/>
      <w:pPr>
        <w:ind w:left="5520" w:hanging="274"/>
      </w:pPr>
      <w:rPr>
        <w:rFonts w:hint="default"/>
      </w:rPr>
    </w:lvl>
    <w:lvl w:ilvl="5">
      <w:numFmt w:val="bullet"/>
      <w:lvlText w:val="•"/>
      <w:lvlJc w:val="left"/>
      <w:pPr>
        <w:ind w:left="6640" w:hanging="274"/>
      </w:pPr>
      <w:rPr>
        <w:rFonts w:hint="default"/>
      </w:rPr>
    </w:lvl>
    <w:lvl w:ilvl="6">
      <w:numFmt w:val="bullet"/>
      <w:lvlText w:val="•"/>
      <w:lvlJc w:val="left"/>
      <w:pPr>
        <w:ind w:left="7760" w:hanging="274"/>
      </w:pPr>
      <w:rPr>
        <w:rFonts w:hint="default"/>
      </w:rPr>
    </w:lvl>
    <w:lvl w:ilvl="7">
      <w:numFmt w:val="bullet"/>
      <w:lvlText w:val="•"/>
      <w:lvlJc w:val="left"/>
      <w:pPr>
        <w:ind w:left="8880" w:hanging="274"/>
      </w:pPr>
      <w:rPr>
        <w:rFonts w:hint="default"/>
      </w:rPr>
    </w:lvl>
    <w:lvl w:ilvl="8">
      <w:numFmt w:val="bullet"/>
      <w:lvlText w:val="•"/>
      <w:lvlJc w:val="left"/>
      <w:pPr>
        <w:ind w:left="10000" w:hanging="274"/>
      </w:pPr>
      <w:rPr>
        <w:rFonts w:hint="default"/>
      </w:rPr>
    </w:lvl>
  </w:abstractNum>
  <w:abstractNum w:abstractNumId="33" w15:restartNumberingAfterBreak="0">
    <w:nsid w:val="3D6B7E0E"/>
    <w:multiLevelType w:val="hybridMultilevel"/>
    <w:tmpl w:val="958CB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4251C"/>
    <w:multiLevelType w:val="hybridMultilevel"/>
    <w:tmpl w:val="E0E42228"/>
    <w:lvl w:ilvl="0" w:tplc="FAE4C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5441337"/>
    <w:multiLevelType w:val="hybridMultilevel"/>
    <w:tmpl w:val="51C67DCA"/>
    <w:lvl w:ilvl="0" w:tplc="01D0D498">
      <w:start w:val="1"/>
      <w:numFmt w:val="decimal"/>
      <w:pStyle w:val="EndNoteBibliography"/>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937745"/>
    <w:multiLevelType w:val="hybridMultilevel"/>
    <w:tmpl w:val="ABD49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AB5E77"/>
    <w:multiLevelType w:val="hybridMultilevel"/>
    <w:tmpl w:val="69D69D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E274330"/>
    <w:multiLevelType w:val="hybridMultilevel"/>
    <w:tmpl w:val="F72ABF5A"/>
    <w:lvl w:ilvl="0" w:tplc="88E069D8">
      <w:start w:val="1"/>
      <w:numFmt w:val="upperLetter"/>
      <w:lvlText w:val="%1."/>
      <w:lvlJc w:val="left"/>
      <w:pPr>
        <w:ind w:left="720" w:hanging="360"/>
      </w:pPr>
      <w:rPr>
        <w:rFonts w:hint="default"/>
        <w:b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28147E"/>
    <w:multiLevelType w:val="hybridMultilevel"/>
    <w:tmpl w:val="D610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C55FE"/>
    <w:multiLevelType w:val="hybridMultilevel"/>
    <w:tmpl w:val="B810E1F2"/>
    <w:lvl w:ilvl="0" w:tplc="211A258C">
      <w:numFmt w:val="bullet"/>
      <w:lvlText w:val=""/>
      <w:lvlJc w:val="left"/>
      <w:pPr>
        <w:ind w:left="1080" w:hanging="360"/>
      </w:pPr>
      <w:rPr>
        <w:rFonts w:ascii="Wingdings" w:eastAsia="Times New Roman"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0C5024"/>
    <w:multiLevelType w:val="multilevel"/>
    <w:tmpl w:val="36CCA6D2"/>
    <w:lvl w:ilvl="0">
      <w:start w:val="1"/>
      <w:numFmt w:val="decimal"/>
      <w:lvlText w:val="%1"/>
      <w:lvlJc w:val="left"/>
      <w:pPr>
        <w:ind w:left="2160" w:hanging="721"/>
      </w:pPr>
      <w:rPr>
        <w:rFonts w:hint="default"/>
      </w:rPr>
    </w:lvl>
    <w:lvl w:ilvl="1">
      <w:start w:val="1"/>
      <w:numFmt w:val="decimal"/>
      <w:lvlText w:val="%1.%2"/>
      <w:lvlJc w:val="left"/>
      <w:pPr>
        <w:ind w:left="2160" w:hanging="721"/>
      </w:pPr>
      <w:rPr>
        <w:rFonts w:ascii="Arial" w:eastAsia="Arial" w:hAnsi="Arial" w:cs="Arial" w:hint="default"/>
        <w:b/>
        <w:bCs/>
        <w:color w:val="09357D"/>
        <w:w w:val="99"/>
        <w:sz w:val="28"/>
        <w:szCs w:val="28"/>
      </w:rPr>
    </w:lvl>
    <w:lvl w:ilvl="2">
      <w:start w:val="1"/>
      <w:numFmt w:val="decimal"/>
      <w:lvlText w:val="%1.%2.%3"/>
      <w:lvlJc w:val="left"/>
      <w:pPr>
        <w:ind w:left="2160" w:hanging="720"/>
      </w:pPr>
      <w:rPr>
        <w:rFonts w:ascii="Arial" w:eastAsia="Arial" w:hAnsi="Arial" w:cs="Arial" w:hint="default"/>
        <w:b/>
        <w:bCs/>
        <w:spacing w:val="-15"/>
        <w:w w:val="100"/>
        <w:sz w:val="24"/>
        <w:szCs w:val="24"/>
      </w:rPr>
    </w:lvl>
    <w:lvl w:ilvl="3">
      <w:start w:val="1"/>
      <w:numFmt w:val="decimal"/>
      <w:lvlText w:val="%1.%2.%3.%4"/>
      <w:lvlJc w:val="left"/>
      <w:pPr>
        <w:ind w:left="2448" w:hanging="1008"/>
      </w:pPr>
      <w:rPr>
        <w:rFonts w:ascii="Arial" w:eastAsia="Arial" w:hAnsi="Arial" w:cs="Arial" w:hint="default"/>
        <w:b/>
        <w:bCs/>
        <w:i/>
        <w:spacing w:val="-13"/>
        <w:w w:val="100"/>
        <w:sz w:val="24"/>
        <w:szCs w:val="24"/>
      </w:rPr>
    </w:lvl>
    <w:lvl w:ilvl="4">
      <w:numFmt w:val="bullet"/>
      <w:lvlText w:val=""/>
      <w:lvlJc w:val="left"/>
      <w:pPr>
        <w:ind w:left="2073" w:hanging="274"/>
      </w:pPr>
      <w:rPr>
        <w:rFonts w:ascii="Wingdings" w:eastAsia="Wingdings" w:hAnsi="Wingdings" w:cs="Wingdings" w:hint="default"/>
        <w:w w:val="99"/>
        <w:sz w:val="22"/>
        <w:szCs w:val="22"/>
      </w:rPr>
    </w:lvl>
    <w:lvl w:ilvl="5">
      <w:numFmt w:val="bullet"/>
      <w:lvlText w:val="•"/>
      <w:lvlJc w:val="left"/>
      <w:pPr>
        <w:ind w:left="6115" w:hanging="274"/>
      </w:pPr>
      <w:rPr>
        <w:rFonts w:hint="default"/>
      </w:rPr>
    </w:lvl>
    <w:lvl w:ilvl="6">
      <w:numFmt w:val="bullet"/>
      <w:lvlText w:val="•"/>
      <w:lvlJc w:val="left"/>
      <w:pPr>
        <w:ind w:left="7340" w:hanging="274"/>
      </w:pPr>
      <w:rPr>
        <w:rFonts w:hint="default"/>
      </w:rPr>
    </w:lvl>
    <w:lvl w:ilvl="7">
      <w:numFmt w:val="bullet"/>
      <w:lvlText w:val="•"/>
      <w:lvlJc w:val="left"/>
      <w:pPr>
        <w:ind w:left="8565" w:hanging="274"/>
      </w:pPr>
      <w:rPr>
        <w:rFonts w:hint="default"/>
      </w:rPr>
    </w:lvl>
    <w:lvl w:ilvl="8">
      <w:numFmt w:val="bullet"/>
      <w:lvlText w:val="•"/>
      <w:lvlJc w:val="left"/>
      <w:pPr>
        <w:ind w:left="9790" w:hanging="274"/>
      </w:pPr>
      <w:rPr>
        <w:rFonts w:hint="default"/>
      </w:rPr>
    </w:lvl>
  </w:abstractNum>
  <w:abstractNum w:abstractNumId="42" w15:restartNumberingAfterBreak="0">
    <w:nsid w:val="7F89705B"/>
    <w:multiLevelType w:val="hybridMultilevel"/>
    <w:tmpl w:val="55949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 w:ilvl="0">
        <w:start w:val="1"/>
        <w:numFmt w:val="decimal"/>
        <w:pStyle w:val="Quick1"/>
        <w:lvlText w:val="%1."/>
        <w:lvlJc w:val="left"/>
      </w:lvl>
    </w:lvlOverride>
  </w:num>
  <w:num w:numId="2">
    <w:abstractNumId w:val="14"/>
    <w:lvlOverride w:ilvl="0">
      <w:startOverride w:val="1"/>
      <w:lvl w:ilvl="0">
        <w:start w:val="1"/>
        <w:numFmt w:val="lowerLetter"/>
        <w:pStyle w:val="Quicka"/>
        <w:lvlText w:val="%1)"/>
        <w:lvlJc w:val="left"/>
      </w:lvl>
    </w:lvlOverride>
  </w:num>
  <w:num w:numId="3">
    <w:abstractNumId w:val="18"/>
    <w:lvlOverride w:ilvl="0">
      <w:startOverride w:val="7"/>
      <w:lvl w:ilvl="0">
        <w:start w:val="7"/>
        <w:numFmt w:val="upperLetter"/>
        <w:pStyle w:val="QuickA0"/>
        <w:lvlText w:val="%1."/>
        <w:lvlJc w:val="left"/>
      </w:lvl>
    </w:lvlOverride>
  </w:num>
  <w:num w:numId="4">
    <w:abstractNumId w:val="28"/>
  </w:num>
  <w:num w:numId="5">
    <w:abstractNumId w:val="23"/>
  </w:num>
  <w:num w:numId="6">
    <w:abstractNumId w:val="33"/>
  </w:num>
  <w:num w:numId="7">
    <w:abstractNumId w:val="40"/>
  </w:num>
  <w:num w:numId="8">
    <w:abstractNumId w:val="18"/>
    <w:lvlOverride w:ilvl="0">
      <w:lvl w:ilvl="0">
        <w:start w:val="1"/>
        <w:numFmt w:val="upperLetter"/>
        <w:pStyle w:val="QuickA0"/>
        <w:lvlText w:val="%1."/>
        <w:lvlJc w:val="left"/>
        <w:pPr>
          <w:ind w:left="0" w:firstLine="0"/>
        </w:pPr>
        <w:rPr>
          <w:b/>
          <w:bCs/>
        </w:rPr>
      </w:lvl>
    </w:lvlOverride>
  </w:num>
  <w:num w:numId="9">
    <w:abstractNumId w:val="27"/>
  </w:num>
  <w:num w:numId="10">
    <w:abstractNumId w:val="38"/>
  </w:num>
  <w:num w:numId="11">
    <w:abstractNumId w:val="36"/>
  </w:num>
  <w:num w:numId="12">
    <w:abstractNumId w:val="39"/>
  </w:num>
  <w:num w:numId="13">
    <w:abstractNumId w:val="29"/>
  </w:num>
  <w:num w:numId="14">
    <w:abstractNumId w:val="22"/>
  </w:num>
  <w:num w:numId="15">
    <w:abstractNumId w:val="20"/>
  </w:num>
  <w:num w:numId="16">
    <w:abstractNumId w:val="32"/>
  </w:num>
  <w:num w:numId="17">
    <w:abstractNumId w:val="41"/>
  </w:num>
  <w:num w:numId="18">
    <w:abstractNumId w:val="26"/>
  </w:num>
  <w:num w:numId="19">
    <w:abstractNumId w:val="42"/>
  </w:num>
  <w:num w:numId="20">
    <w:abstractNumId w:val="31"/>
  </w:num>
  <w:num w:numId="21">
    <w:abstractNumId w:val="25"/>
  </w:num>
  <w:num w:numId="22">
    <w:abstractNumId w:val="35"/>
  </w:num>
  <w:num w:numId="23">
    <w:abstractNumId w:val="19"/>
  </w:num>
  <w:num w:numId="24">
    <w:abstractNumId w:val="21"/>
  </w:num>
  <w:num w:numId="25">
    <w:abstractNumId w:val="37"/>
  </w:num>
  <w:num w:numId="26">
    <w:abstractNumId w:val="34"/>
  </w:num>
  <w:num w:numId="27">
    <w:abstractNumId w:val="24"/>
  </w:num>
  <w:num w:numId="2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5A"/>
    <w:rsid w:val="000035F1"/>
    <w:rsid w:val="000041F2"/>
    <w:rsid w:val="00006F4F"/>
    <w:rsid w:val="00010B9D"/>
    <w:rsid w:val="00011A00"/>
    <w:rsid w:val="0001256D"/>
    <w:rsid w:val="000144D6"/>
    <w:rsid w:val="00016CB6"/>
    <w:rsid w:val="0001711C"/>
    <w:rsid w:val="000172DC"/>
    <w:rsid w:val="000213C5"/>
    <w:rsid w:val="00021F18"/>
    <w:rsid w:val="00022CAA"/>
    <w:rsid w:val="00022DBD"/>
    <w:rsid w:val="00023A2F"/>
    <w:rsid w:val="00023D61"/>
    <w:rsid w:val="000240CA"/>
    <w:rsid w:val="000243D6"/>
    <w:rsid w:val="00025D8F"/>
    <w:rsid w:val="00026837"/>
    <w:rsid w:val="00026EE1"/>
    <w:rsid w:val="0002742A"/>
    <w:rsid w:val="00027730"/>
    <w:rsid w:val="00030274"/>
    <w:rsid w:val="0003082F"/>
    <w:rsid w:val="00030DEC"/>
    <w:rsid w:val="0003257D"/>
    <w:rsid w:val="00033AB0"/>
    <w:rsid w:val="00041552"/>
    <w:rsid w:val="000441FC"/>
    <w:rsid w:val="00044BEF"/>
    <w:rsid w:val="000450D0"/>
    <w:rsid w:val="000458A1"/>
    <w:rsid w:val="00045A6F"/>
    <w:rsid w:val="00045AB4"/>
    <w:rsid w:val="00046B90"/>
    <w:rsid w:val="00047F40"/>
    <w:rsid w:val="00050280"/>
    <w:rsid w:val="000502BB"/>
    <w:rsid w:val="000503A5"/>
    <w:rsid w:val="00053ECF"/>
    <w:rsid w:val="0005476B"/>
    <w:rsid w:val="000565C9"/>
    <w:rsid w:val="0005750C"/>
    <w:rsid w:val="00057CC4"/>
    <w:rsid w:val="000604BC"/>
    <w:rsid w:val="00066129"/>
    <w:rsid w:val="00066307"/>
    <w:rsid w:val="00067D49"/>
    <w:rsid w:val="0007062C"/>
    <w:rsid w:val="000709D4"/>
    <w:rsid w:val="00071C0B"/>
    <w:rsid w:val="00071D9C"/>
    <w:rsid w:val="00072670"/>
    <w:rsid w:val="000726AB"/>
    <w:rsid w:val="00073322"/>
    <w:rsid w:val="000751FD"/>
    <w:rsid w:val="00075680"/>
    <w:rsid w:val="0007653A"/>
    <w:rsid w:val="0008177E"/>
    <w:rsid w:val="00083B54"/>
    <w:rsid w:val="0008404A"/>
    <w:rsid w:val="000853DF"/>
    <w:rsid w:val="000864E4"/>
    <w:rsid w:val="0008655F"/>
    <w:rsid w:val="000877C7"/>
    <w:rsid w:val="0009109C"/>
    <w:rsid w:val="00091EE8"/>
    <w:rsid w:val="000920DF"/>
    <w:rsid w:val="00094D0A"/>
    <w:rsid w:val="000955C9"/>
    <w:rsid w:val="000A01A6"/>
    <w:rsid w:val="000A1274"/>
    <w:rsid w:val="000A1945"/>
    <w:rsid w:val="000A2960"/>
    <w:rsid w:val="000A3502"/>
    <w:rsid w:val="000A3A79"/>
    <w:rsid w:val="000A593B"/>
    <w:rsid w:val="000A7445"/>
    <w:rsid w:val="000B0A49"/>
    <w:rsid w:val="000B2D8C"/>
    <w:rsid w:val="000B2EDA"/>
    <w:rsid w:val="000B4F58"/>
    <w:rsid w:val="000B5087"/>
    <w:rsid w:val="000B54DB"/>
    <w:rsid w:val="000B6A93"/>
    <w:rsid w:val="000C025C"/>
    <w:rsid w:val="000C1760"/>
    <w:rsid w:val="000C308E"/>
    <w:rsid w:val="000C35A9"/>
    <w:rsid w:val="000C5787"/>
    <w:rsid w:val="000C5AFD"/>
    <w:rsid w:val="000C7F3E"/>
    <w:rsid w:val="000D1D82"/>
    <w:rsid w:val="000D2670"/>
    <w:rsid w:val="000D3354"/>
    <w:rsid w:val="000D4140"/>
    <w:rsid w:val="000E06BD"/>
    <w:rsid w:val="000E3BDA"/>
    <w:rsid w:val="000E469C"/>
    <w:rsid w:val="000E7550"/>
    <w:rsid w:val="000E7786"/>
    <w:rsid w:val="000F05DF"/>
    <w:rsid w:val="000F17F8"/>
    <w:rsid w:val="000F2372"/>
    <w:rsid w:val="000F3279"/>
    <w:rsid w:val="000F3443"/>
    <w:rsid w:val="000F3A62"/>
    <w:rsid w:val="001024E5"/>
    <w:rsid w:val="00102C9C"/>
    <w:rsid w:val="00102F3E"/>
    <w:rsid w:val="00103481"/>
    <w:rsid w:val="00106927"/>
    <w:rsid w:val="00106932"/>
    <w:rsid w:val="0011126F"/>
    <w:rsid w:val="00111FE0"/>
    <w:rsid w:val="0011205E"/>
    <w:rsid w:val="0011216C"/>
    <w:rsid w:val="001126DB"/>
    <w:rsid w:val="00114C7F"/>
    <w:rsid w:val="001175AC"/>
    <w:rsid w:val="00117E5D"/>
    <w:rsid w:val="0012002F"/>
    <w:rsid w:val="0012011D"/>
    <w:rsid w:val="0012018C"/>
    <w:rsid w:val="00121D7F"/>
    <w:rsid w:val="001221C0"/>
    <w:rsid w:val="00122429"/>
    <w:rsid w:val="001227F2"/>
    <w:rsid w:val="00122A17"/>
    <w:rsid w:val="00123E62"/>
    <w:rsid w:val="00125CBD"/>
    <w:rsid w:val="00130A35"/>
    <w:rsid w:val="00131378"/>
    <w:rsid w:val="00131B00"/>
    <w:rsid w:val="00131F05"/>
    <w:rsid w:val="001321F5"/>
    <w:rsid w:val="00132E78"/>
    <w:rsid w:val="001334B7"/>
    <w:rsid w:val="00135B88"/>
    <w:rsid w:val="001376AB"/>
    <w:rsid w:val="00137B31"/>
    <w:rsid w:val="001427DC"/>
    <w:rsid w:val="00142BF5"/>
    <w:rsid w:val="00143194"/>
    <w:rsid w:val="00143570"/>
    <w:rsid w:val="001435D7"/>
    <w:rsid w:val="00143EAE"/>
    <w:rsid w:val="0014439E"/>
    <w:rsid w:val="001445F2"/>
    <w:rsid w:val="00145D9F"/>
    <w:rsid w:val="00146125"/>
    <w:rsid w:val="00146E37"/>
    <w:rsid w:val="00146F61"/>
    <w:rsid w:val="00147024"/>
    <w:rsid w:val="0015003F"/>
    <w:rsid w:val="001532E0"/>
    <w:rsid w:val="00154051"/>
    <w:rsid w:val="00154C0D"/>
    <w:rsid w:val="00154EB1"/>
    <w:rsid w:val="00154EB8"/>
    <w:rsid w:val="001553EB"/>
    <w:rsid w:val="00156BF1"/>
    <w:rsid w:val="00160F94"/>
    <w:rsid w:val="00161F9B"/>
    <w:rsid w:val="00162149"/>
    <w:rsid w:val="0016265B"/>
    <w:rsid w:val="001628B3"/>
    <w:rsid w:val="00163AE8"/>
    <w:rsid w:val="00164837"/>
    <w:rsid w:val="00164997"/>
    <w:rsid w:val="001655F4"/>
    <w:rsid w:val="00167533"/>
    <w:rsid w:val="00167E0D"/>
    <w:rsid w:val="001710DD"/>
    <w:rsid w:val="00171B08"/>
    <w:rsid w:val="001729F2"/>
    <w:rsid w:val="00172B9C"/>
    <w:rsid w:val="00175740"/>
    <w:rsid w:val="001766A8"/>
    <w:rsid w:val="00176BF7"/>
    <w:rsid w:val="00180A24"/>
    <w:rsid w:val="00180D53"/>
    <w:rsid w:val="001811AA"/>
    <w:rsid w:val="001821DE"/>
    <w:rsid w:val="0018221A"/>
    <w:rsid w:val="001826B9"/>
    <w:rsid w:val="00182B1E"/>
    <w:rsid w:val="001830CC"/>
    <w:rsid w:val="0018366A"/>
    <w:rsid w:val="0019091E"/>
    <w:rsid w:val="0019251E"/>
    <w:rsid w:val="00193869"/>
    <w:rsid w:val="001942B1"/>
    <w:rsid w:val="001943F4"/>
    <w:rsid w:val="00194580"/>
    <w:rsid w:val="00195837"/>
    <w:rsid w:val="00196C74"/>
    <w:rsid w:val="00196EBF"/>
    <w:rsid w:val="001970C7"/>
    <w:rsid w:val="001974BF"/>
    <w:rsid w:val="00197573"/>
    <w:rsid w:val="001A063B"/>
    <w:rsid w:val="001A1F78"/>
    <w:rsid w:val="001A22F4"/>
    <w:rsid w:val="001A4D69"/>
    <w:rsid w:val="001A551A"/>
    <w:rsid w:val="001A67D6"/>
    <w:rsid w:val="001A79E1"/>
    <w:rsid w:val="001A7E92"/>
    <w:rsid w:val="001B14AE"/>
    <w:rsid w:val="001B1515"/>
    <w:rsid w:val="001B15EF"/>
    <w:rsid w:val="001B29B4"/>
    <w:rsid w:val="001B5821"/>
    <w:rsid w:val="001B5D64"/>
    <w:rsid w:val="001B672D"/>
    <w:rsid w:val="001C0FB5"/>
    <w:rsid w:val="001C1DF6"/>
    <w:rsid w:val="001C2213"/>
    <w:rsid w:val="001C2543"/>
    <w:rsid w:val="001C3135"/>
    <w:rsid w:val="001C3F9E"/>
    <w:rsid w:val="001C4789"/>
    <w:rsid w:val="001C69D0"/>
    <w:rsid w:val="001C7766"/>
    <w:rsid w:val="001D0FA0"/>
    <w:rsid w:val="001D15DD"/>
    <w:rsid w:val="001D18BF"/>
    <w:rsid w:val="001D2DB1"/>
    <w:rsid w:val="001D3B27"/>
    <w:rsid w:val="001D42AF"/>
    <w:rsid w:val="001D620A"/>
    <w:rsid w:val="001D6221"/>
    <w:rsid w:val="001E13F4"/>
    <w:rsid w:val="001E27D5"/>
    <w:rsid w:val="001E30B6"/>
    <w:rsid w:val="001E396E"/>
    <w:rsid w:val="001E457B"/>
    <w:rsid w:val="001E51E0"/>
    <w:rsid w:val="001E58C4"/>
    <w:rsid w:val="001E5AE6"/>
    <w:rsid w:val="001E6523"/>
    <w:rsid w:val="001E6F96"/>
    <w:rsid w:val="001F0E46"/>
    <w:rsid w:val="001F2185"/>
    <w:rsid w:val="001F387B"/>
    <w:rsid w:val="001F5B76"/>
    <w:rsid w:val="001F65C4"/>
    <w:rsid w:val="001F717C"/>
    <w:rsid w:val="00201C5B"/>
    <w:rsid w:val="00202438"/>
    <w:rsid w:val="00203C27"/>
    <w:rsid w:val="00203FC8"/>
    <w:rsid w:val="002040B2"/>
    <w:rsid w:val="0020426D"/>
    <w:rsid w:val="00204891"/>
    <w:rsid w:val="002055E5"/>
    <w:rsid w:val="00206848"/>
    <w:rsid w:val="002071BA"/>
    <w:rsid w:val="002074D0"/>
    <w:rsid w:val="00207B01"/>
    <w:rsid w:val="0021014A"/>
    <w:rsid w:val="00214668"/>
    <w:rsid w:val="002148AB"/>
    <w:rsid w:val="00215032"/>
    <w:rsid w:val="00215CAD"/>
    <w:rsid w:val="0021616C"/>
    <w:rsid w:val="00217232"/>
    <w:rsid w:val="00217B87"/>
    <w:rsid w:val="00220720"/>
    <w:rsid w:val="002210E4"/>
    <w:rsid w:val="002279A8"/>
    <w:rsid w:val="002304BE"/>
    <w:rsid w:val="002316C8"/>
    <w:rsid w:val="00232A55"/>
    <w:rsid w:val="00232BF9"/>
    <w:rsid w:val="00234FF6"/>
    <w:rsid w:val="00235ABC"/>
    <w:rsid w:val="00236920"/>
    <w:rsid w:val="00236A06"/>
    <w:rsid w:val="002371A2"/>
    <w:rsid w:val="00237659"/>
    <w:rsid w:val="0023771C"/>
    <w:rsid w:val="0024182D"/>
    <w:rsid w:val="0024250D"/>
    <w:rsid w:val="0024255D"/>
    <w:rsid w:val="00242C7F"/>
    <w:rsid w:val="002442FC"/>
    <w:rsid w:val="00244E40"/>
    <w:rsid w:val="00244FFF"/>
    <w:rsid w:val="00247489"/>
    <w:rsid w:val="00250EFE"/>
    <w:rsid w:val="0025155A"/>
    <w:rsid w:val="00251FED"/>
    <w:rsid w:val="002528BD"/>
    <w:rsid w:val="00254AA2"/>
    <w:rsid w:val="00254E2A"/>
    <w:rsid w:val="0025557D"/>
    <w:rsid w:val="002556E8"/>
    <w:rsid w:val="00256187"/>
    <w:rsid w:val="00256BDF"/>
    <w:rsid w:val="00256F45"/>
    <w:rsid w:val="002576B8"/>
    <w:rsid w:val="00260536"/>
    <w:rsid w:val="00261003"/>
    <w:rsid w:val="00261AB6"/>
    <w:rsid w:val="00261EFF"/>
    <w:rsid w:val="00262A3D"/>
    <w:rsid w:val="0026531A"/>
    <w:rsid w:val="0026677B"/>
    <w:rsid w:val="00266CBA"/>
    <w:rsid w:val="0026789B"/>
    <w:rsid w:val="0027024A"/>
    <w:rsid w:val="00270DEA"/>
    <w:rsid w:val="00272B18"/>
    <w:rsid w:val="00274280"/>
    <w:rsid w:val="00274A73"/>
    <w:rsid w:val="00274E6B"/>
    <w:rsid w:val="002753A6"/>
    <w:rsid w:val="00276C29"/>
    <w:rsid w:val="00277065"/>
    <w:rsid w:val="00277F79"/>
    <w:rsid w:val="00280280"/>
    <w:rsid w:val="002805E7"/>
    <w:rsid w:val="00280AE1"/>
    <w:rsid w:val="00280BD6"/>
    <w:rsid w:val="002811A1"/>
    <w:rsid w:val="00281212"/>
    <w:rsid w:val="002821A4"/>
    <w:rsid w:val="00282437"/>
    <w:rsid w:val="002833D9"/>
    <w:rsid w:val="00283BDE"/>
    <w:rsid w:val="00284966"/>
    <w:rsid w:val="002852D1"/>
    <w:rsid w:val="00285496"/>
    <w:rsid w:val="00286C36"/>
    <w:rsid w:val="00287767"/>
    <w:rsid w:val="00291772"/>
    <w:rsid w:val="00293032"/>
    <w:rsid w:val="0029427F"/>
    <w:rsid w:val="002945DF"/>
    <w:rsid w:val="00295438"/>
    <w:rsid w:val="002956F1"/>
    <w:rsid w:val="002961F6"/>
    <w:rsid w:val="002966FF"/>
    <w:rsid w:val="00297751"/>
    <w:rsid w:val="00297922"/>
    <w:rsid w:val="002A0788"/>
    <w:rsid w:val="002A1B25"/>
    <w:rsid w:val="002A2158"/>
    <w:rsid w:val="002A5AA9"/>
    <w:rsid w:val="002A6A34"/>
    <w:rsid w:val="002A7D5A"/>
    <w:rsid w:val="002B0FDB"/>
    <w:rsid w:val="002B35CC"/>
    <w:rsid w:val="002B3BC1"/>
    <w:rsid w:val="002B482F"/>
    <w:rsid w:val="002B4CF6"/>
    <w:rsid w:val="002B618B"/>
    <w:rsid w:val="002B791A"/>
    <w:rsid w:val="002C1BF3"/>
    <w:rsid w:val="002C2369"/>
    <w:rsid w:val="002C3030"/>
    <w:rsid w:val="002C30FF"/>
    <w:rsid w:val="002C3DE3"/>
    <w:rsid w:val="002C74DA"/>
    <w:rsid w:val="002D0120"/>
    <w:rsid w:val="002D1AEF"/>
    <w:rsid w:val="002D1D32"/>
    <w:rsid w:val="002D34FE"/>
    <w:rsid w:val="002D3A00"/>
    <w:rsid w:val="002D3B59"/>
    <w:rsid w:val="002D3B94"/>
    <w:rsid w:val="002D3B9F"/>
    <w:rsid w:val="002D4C62"/>
    <w:rsid w:val="002D50E6"/>
    <w:rsid w:val="002D5F7D"/>
    <w:rsid w:val="002D64A5"/>
    <w:rsid w:val="002D64F6"/>
    <w:rsid w:val="002E0A5B"/>
    <w:rsid w:val="002E0F2D"/>
    <w:rsid w:val="002E1200"/>
    <w:rsid w:val="002E1476"/>
    <w:rsid w:val="002E1B29"/>
    <w:rsid w:val="002E1FD3"/>
    <w:rsid w:val="002E2861"/>
    <w:rsid w:val="002E47A9"/>
    <w:rsid w:val="002E617D"/>
    <w:rsid w:val="002F0931"/>
    <w:rsid w:val="002F21C4"/>
    <w:rsid w:val="002F2281"/>
    <w:rsid w:val="002F2688"/>
    <w:rsid w:val="002F4871"/>
    <w:rsid w:val="002F4930"/>
    <w:rsid w:val="002F4BE6"/>
    <w:rsid w:val="002F6401"/>
    <w:rsid w:val="002F6A61"/>
    <w:rsid w:val="002F6E02"/>
    <w:rsid w:val="002F7840"/>
    <w:rsid w:val="00301530"/>
    <w:rsid w:val="00302BAA"/>
    <w:rsid w:val="00303561"/>
    <w:rsid w:val="003035D7"/>
    <w:rsid w:val="0030365B"/>
    <w:rsid w:val="0030598F"/>
    <w:rsid w:val="00306B17"/>
    <w:rsid w:val="003101FE"/>
    <w:rsid w:val="00312B13"/>
    <w:rsid w:val="0031463B"/>
    <w:rsid w:val="003149DD"/>
    <w:rsid w:val="003149E6"/>
    <w:rsid w:val="00314AB6"/>
    <w:rsid w:val="003157C6"/>
    <w:rsid w:val="00315A8C"/>
    <w:rsid w:val="00315BF8"/>
    <w:rsid w:val="003209A0"/>
    <w:rsid w:val="00320AC3"/>
    <w:rsid w:val="00320D30"/>
    <w:rsid w:val="003216F1"/>
    <w:rsid w:val="0032213B"/>
    <w:rsid w:val="00323CE3"/>
    <w:rsid w:val="00324054"/>
    <w:rsid w:val="00324FC7"/>
    <w:rsid w:val="003254C1"/>
    <w:rsid w:val="00327A2F"/>
    <w:rsid w:val="00327FDB"/>
    <w:rsid w:val="0033121E"/>
    <w:rsid w:val="00331FC9"/>
    <w:rsid w:val="003327A7"/>
    <w:rsid w:val="00333B23"/>
    <w:rsid w:val="00335425"/>
    <w:rsid w:val="003354E0"/>
    <w:rsid w:val="0033554C"/>
    <w:rsid w:val="003365AF"/>
    <w:rsid w:val="003366EA"/>
    <w:rsid w:val="003368DD"/>
    <w:rsid w:val="0034048D"/>
    <w:rsid w:val="00342F01"/>
    <w:rsid w:val="00343654"/>
    <w:rsid w:val="00343991"/>
    <w:rsid w:val="003439E0"/>
    <w:rsid w:val="00345E8F"/>
    <w:rsid w:val="00347065"/>
    <w:rsid w:val="00350390"/>
    <w:rsid w:val="00350AC6"/>
    <w:rsid w:val="0035113F"/>
    <w:rsid w:val="003514A5"/>
    <w:rsid w:val="0035253B"/>
    <w:rsid w:val="00352892"/>
    <w:rsid w:val="0035494F"/>
    <w:rsid w:val="00354AFA"/>
    <w:rsid w:val="003569ED"/>
    <w:rsid w:val="00357297"/>
    <w:rsid w:val="003605B5"/>
    <w:rsid w:val="003606BC"/>
    <w:rsid w:val="00360BE7"/>
    <w:rsid w:val="00360FAF"/>
    <w:rsid w:val="00362835"/>
    <w:rsid w:val="00364A1D"/>
    <w:rsid w:val="00364B65"/>
    <w:rsid w:val="00365AA9"/>
    <w:rsid w:val="00365B64"/>
    <w:rsid w:val="003676E9"/>
    <w:rsid w:val="00367734"/>
    <w:rsid w:val="00367FD5"/>
    <w:rsid w:val="003705D9"/>
    <w:rsid w:val="00370BFA"/>
    <w:rsid w:val="00371073"/>
    <w:rsid w:val="00374657"/>
    <w:rsid w:val="00374921"/>
    <w:rsid w:val="00374B15"/>
    <w:rsid w:val="00375836"/>
    <w:rsid w:val="0038112E"/>
    <w:rsid w:val="0038275E"/>
    <w:rsid w:val="003845E2"/>
    <w:rsid w:val="00387AAF"/>
    <w:rsid w:val="00392DD0"/>
    <w:rsid w:val="0039331A"/>
    <w:rsid w:val="00394DDB"/>
    <w:rsid w:val="00395B63"/>
    <w:rsid w:val="003A1180"/>
    <w:rsid w:val="003A1C1F"/>
    <w:rsid w:val="003A2FE9"/>
    <w:rsid w:val="003A3323"/>
    <w:rsid w:val="003A44E9"/>
    <w:rsid w:val="003A4C4B"/>
    <w:rsid w:val="003A52FE"/>
    <w:rsid w:val="003A5552"/>
    <w:rsid w:val="003A66C5"/>
    <w:rsid w:val="003A7E58"/>
    <w:rsid w:val="003B0733"/>
    <w:rsid w:val="003B0D07"/>
    <w:rsid w:val="003B0EF6"/>
    <w:rsid w:val="003B2252"/>
    <w:rsid w:val="003B2B15"/>
    <w:rsid w:val="003B2FC0"/>
    <w:rsid w:val="003B3E98"/>
    <w:rsid w:val="003B3EB1"/>
    <w:rsid w:val="003B453B"/>
    <w:rsid w:val="003B49C6"/>
    <w:rsid w:val="003B5E16"/>
    <w:rsid w:val="003B7EC0"/>
    <w:rsid w:val="003C1793"/>
    <w:rsid w:val="003C181A"/>
    <w:rsid w:val="003C1C2E"/>
    <w:rsid w:val="003C2B33"/>
    <w:rsid w:val="003C2DC1"/>
    <w:rsid w:val="003C396F"/>
    <w:rsid w:val="003C3E67"/>
    <w:rsid w:val="003C4BDD"/>
    <w:rsid w:val="003C594B"/>
    <w:rsid w:val="003C727D"/>
    <w:rsid w:val="003D0202"/>
    <w:rsid w:val="003D13EF"/>
    <w:rsid w:val="003D16C3"/>
    <w:rsid w:val="003D2D27"/>
    <w:rsid w:val="003D43BD"/>
    <w:rsid w:val="003D46CB"/>
    <w:rsid w:val="003D58F9"/>
    <w:rsid w:val="003D69DC"/>
    <w:rsid w:val="003E0B4B"/>
    <w:rsid w:val="003E128D"/>
    <w:rsid w:val="003E3C2A"/>
    <w:rsid w:val="003E42A6"/>
    <w:rsid w:val="003E4E16"/>
    <w:rsid w:val="003E5B1A"/>
    <w:rsid w:val="003E6715"/>
    <w:rsid w:val="003F1213"/>
    <w:rsid w:val="003F1788"/>
    <w:rsid w:val="003F3464"/>
    <w:rsid w:val="003F3496"/>
    <w:rsid w:val="003F351D"/>
    <w:rsid w:val="003F4106"/>
    <w:rsid w:val="003F5435"/>
    <w:rsid w:val="003F7333"/>
    <w:rsid w:val="003F7989"/>
    <w:rsid w:val="00401116"/>
    <w:rsid w:val="00401BFD"/>
    <w:rsid w:val="004024FC"/>
    <w:rsid w:val="004050B0"/>
    <w:rsid w:val="00405DB8"/>
    <w:rsid w:val="00406340"/>
    <w:rsid w:val="004065B7"/>
    <w:rsid w:val="00407E3B"/>
    <w:rsid w:val="0041094F"/>
    <w:rsid w:val="0041096F"/>
    <w:rsid w:val="004121C8"/>
    <w:rsid w:val="00413370"/>
    <w:rsid w:val="004134AC"/>
    <w:rsid w:val="0041411B"/>
    <w:rsid w:val="00414C4F"/>
    <w:rsid w:val="00416C17"/>
    <w:rsid w:val="00416CE8"/>
    <w:rsid w:val="00421457"/>
    <w:rsid w:val="004218A9"/>
    <w:rsid w:val="00421DF8"/>
    <w:rsid w:val="00422F3A"/>
    <w:rsid w:val="004232E9"/>
    <w:rsid w:val="00423A8F"/>
    <w:rsid w:val="00423D84"/>
    <w:rsid w:val="0042591A"/>
    <w:rsid w:val="0042668A"/>
    <w:rsid w:val="004267F9"/>
    <w:rsid w:val="00426978"/>
    <w:rsid w:val="004302B2"/>
    <w:rsid w:val="00430E03"/>
    <w:rsid w:val="0043117F"/>
    <w:rsid w:val="00431FDF"/>
    <w:rsid w:val="00433222"/>
    <w:rsid w:val="004334B9"/>
    <w:rsid w:val="004339F0"/>
    <w:rsid w:val="00433EA7"/>
    <w:rsid w:val="004344E5"/>
    <w:rsid w:val="0043499E"/>
    <w:rsid w:val="00435804"/>
    <w:rsid w:val="004410D7"/>
    <w:rsid w:val="00442C3E"/>
    <w:rsid w:val="00444363"/>
    <w:rsid w:val="00444554"/>
    <w:rsid w:val="0044494C"/>
    <w:rsid w:val="00446511"/>
    <w:rsid w:val="004468E6"/>
    <w:rsid w:val="00447040"/>
    <w:rsid w:val="004503D4"/>
    <w:rsid w:val="004515AA"/>
    <w:rsid w:val="00451630"/>
    <w:rsid w:val="004547CB"/>
    <w:rsid w:val="00455A6C"/>
    <w:rsid w:val="00455E66"/>
    <w:rsid w:val="004562F4"/>
    <w:rsid w:val="00457894"/>
    <w:rsid w:val="00457EE4"/>
    <w:rsid w:val="004608E7"/>
    <w:rsid w:val="00460CC6"/>
    <w:rsid w:val="00460F44"/>
    <w:rsid w:val="00461472"/>
    <w:rsid w:val="00462881"/>
    <w:rsid w:val="0046324E"/>
    <w:rsid w:val="00463935"/>
    <w:rsid w:val="00463F3F"/>
    <w:rsid w:val="00464C73"/>
    <w:rsid w:val="004668A7"/>
    <w:rsid w:val="00466A55"/>
    <w:rsid w:val="00467E64"/>
    <w:rsid w:val="00470540"/>
    <w:rsid w:val="00470C9D"/>
    <w:rsid w:val="004721EB"/>
    <w:rsid w:val="00472FED"/>
    <w:rsid w:val="00476099"/>
    <w:rsid w:val="00477BEA"/>
    <w:rsid w:val="0048317F"/>
    <w:rsid w:val="0048385C"/>
    <w:rsid w:val="004843BB"/>
    <w:rsid w:val="0048661F"/>
    <w:rsid w:val="00486F4F"/>
    <w:rsid w:val="004875AA"/>
    <w:rsid w:val="00487637"/>
    <w:rsid w:val="0048769D"/>
    <w:rsid w:val="004879C2"/>
    <w:rsid w:val="00492372"/>
    <w:rsid w:val="00493CD9"/>
    <w:rsid w:val="00493F45"/>
    <w:rsid w:val="004957F0"/>
    <w:rsid w:val="00496586"/>
    <w:rsid w:val="0049677F"/>
    <w:rsid w:val="004A00B9"/>
    <w:rsid w:val="004A01F9"/>
    <w:rsid w:val="004A1B6A"/>
    <w:rsid w:val="004A2094"/>
    <w:rsid w:val="004A3571"/>
    <w:rsid w:val="004A3658"/>
    <w:rsid w:val="004A4C73"/>
    <w:rsid w:val="004A4D45"/>
    <w:rsid w:val="004A5427"/>
    <w:rsid w:val="004A5BE1"/>
    <w:rsid w:val="004A7703"/>
    <w:rsid w:val="004B0058"/>
    <w:rsid w:val="004B1DA1"/>
    <w:rsid w:val="004B4316"/>
    <w:rsid w:val="004B55FF"/>
    <w:rsid w:val="004B61D2"/>
    <w:rsid w:val="004B7016"/>
    <w:rsid w:val="004C0206"/>
    <w:rsid w:val="004C3895"/>
    <w:rsid w:val="004C38E7"/>
    <w:rsid w:val="004C4205"/>
    <w:rsid w:val="004C423E"/>
    <w:rsid w:val="004C725C"/>
    <w:rsid w:val="004C75A1"/>
    <w:rsid w:val="004D13C5"/>
    <w:rsid w:val="004D2D20"/>
    <w:rsid w:val="004D2E70"/>
    <w:rsid w:val="004D39CD"/>
    <w:rsid w:val="004D4148"/>
    <w:rsid w:val="004D50A2"/>
    <w:rsid w:val="004D5DBC"/>
    <w:rsid w:val="004D7085"/>
    <w:rsid w:val="004E20C7"/>
    <w:rsid w:val="004E2F90"/>
    <w:rsid w:val="004E3DA4"/>
    <w:rsid w:val="004E3EBF"/>
    <w:rsid w:val="004E4FEA"/>
    <w:rsid w:val="004E5F69"/>
    <w:rsid w:val="004E6561"/>
    <w:rsid w:val="004E659A"/>
    <w:rsid w:val="004E66B6"/>
    <w:rsid w:val="004E677D"/>
    <w:rsid w:val="004E7930"/>
    <w:rsid w:val="004F02C4"/>
    <w:rsid w:val="004F0B16"/>
    <w:rsid w:val="004F0B40"/>
    <w:rsid w:val="004F0B52"/>
    <w:rsid w:val="004F276C"/>
    <w:rsid w:val="004F350E"/>
    <w:rsid w:val="004F41D7"/>
    <w:rsid w:val="004F4C7C"/>
    <w:rsid w:val="004F68F6"/>
    <w:rsid w:val="004F742C"/>
    <w:rsid w:val="0050158B"/>
    <w:rsid w:val="005025D1"/>
    <w:rsid w:val="00503198"/>
    <w:rsid w:val="00504699"/>
    <w:rsid w:val="00505269"/>
    <w:rsid w:val="00507860"/>
    <w:rsid w:val="00510A49"/>
    <w:rsid w:val="005125E7"/>
    <w:rsid w:val="00513537"/>
    <w:rsid w:val="00513721"/>
    <w:rsid w:val="00514D69"/>
    <w:rsid w:val="00516309"/>
    <w:rsid w:val="00516A69"/>
    <w:rsid w:val="00516C60"/>
    <w:rsid w:val="005175EE"/>
    <w:rsid w:val="00520261"/>
    <w:rsid w:val="00520C21"/>
    <w:rsid w:val="0052170A"/>
    <w:rsid w:val="00521901"/>
    <w:rsid w:val="005246B1"/>
    <w:rsid w:val="00524C49"/>
    <w:rsid w:val="005254BB"/>
    <w:rsid w:val="005259C2"/>
    <w:rsid w:val="00525BA6"/>
    <w:rsid w:val="00526CFF"/>
    <w:rsid w:val="00527E31"/>
    <w:rsid w:val="0053118A"/>
    <w:rsid w:val="0053189C"/>
    <w:rsid w:val="0053355E"/>
    <w:rsid w:val="00533BE9"/>
    <w:rsid w:val="00535C4F"/>
    <w:rsid w:val="00536386"/>
    <w:rsid w:val="00537E39"/>
    <w:rsid w:val="00540326"/>
    <w:rsid w:val="00542C9C"/>
    <w:rsid w:val="005449F3"/>
    <w:rsid w:val="00545195"/>
    <w:rsid w:val="0054637C"/>
    <w:rsid w:val="0055083F"/>
    <w:rsid w:val="00550BE6"/>
    <w:rsid w:val="00553331"/>
    <w:rsid w:val="0055408E"/>
    <w:rsid w:val="00554EF7"/>
    <w:rsid w:val="00555307"/>
    <w:rsid w:val="00555438"/>
    <w:rsid w:val="00557650"/>
    <w:rsid w:val="00560C5F"/>
    <w:rsid w:val="00562550"/>
    <w:rsid w:val="00562D6A"/>
    <w:rsid w:val="0056302A"/>
    <w:rsid w:val="005633A8"/>
    <w:rsid w:val="0056432F"/>
    <w:rsid w:val="00564971"/>
    <w:rsid w:val="00565329"/>
    <w:rsid w:val="00567667"/>
    <w:rsid w:val="005678B6"/>
    <w:rsid w:val="00570022"/>
    <w:rsid w:val="00570CCA"/>
    <w:rsid w:val="00572E25"/>
    <w:rsid w:val="005765F1"/>
    <w:rsid w:val="00580235"/>
    <w:rsid w:val="00580586"/>
    <w:rsid w:val="005810CC"/>
    <w:rsid w:val="00582045"/>
    <w:rsid w:val="00584859"/>
    <w:rsid w:val="00584FB3"/>
    <w:rsid w:val="0058537A"/>
    <w:rsid w:val="00585C9A"/>
    <w:rsid w:val="00587367"/>
    <w:rsid w:val="005873C0"/>
    <w:rsid w:val="00587606"/>
    <w:rsid w:val="00587CF7"/>
    <w:rsid w:val="0059062F"/>
    <w:rsid w:val="005915E0"/>
    <w:rsid w:val="005938BF"/>
    <w:rsid w:val="005948F9"/>
    <w:rsid w:val="00594E38"/>
    <w:rsid w:val="005950FE"/>
    <w:rsid w:val="0059527D"/>
    <w:rsid w:val="005956F6"/>
    <w:rsid w:val="005961B2"/>
    <w:rsid w:val="00597FC7"/>
    <w:rsid w:val="005A0191"/>
    <w:rsid w:val="005A022C"/>
    <w:rsid w:val="005A08AA"/>
    <w:rsid w:val="005A0A53"/>
    <w:rsid w:val="005A0AF7"/>
    <w:rsid w:val="005A11C9"/>
    <w:rsid w:val="005A11CD"/>
    <w:rsid w:val="005A2656"/>
    <w:rsid w:val="005A3148"/>
    <w:rsid w:val="005A55A9"/>
    <w:rsid w:val="005A6B4B"/>
    <w:rsid w:val="005B3742"/>
    <w:rsid w:val="005B7428"/>
    <w:rsid w:val="005C1D14"/>
    <w:rsid w:val="005C4EF6"/>
    <w:rsid w:val="005C5B61"/>
    <w:rsid w:val="005C6961"/>
    <w:rsid w:val="005C7129"/>
    <w:rsid w:val="005D0164"/>
    <w:rsid w:val="005D1614"/>
    <w:rsid w:val="005D3D46"/>
    <w:rsid w:val="005D58B9"/>
    <w:rsid w:val="005D5966"/>
    <w:rsid w:val="005D7787"/>
    <w:rsid w:val="005D7912"/>
    <w:rsid w:val="005E0053"/>
    <w:rsid w:val="005E0311"/>
    <w:rsid w:val="005E05CF"/>
    <w:rsid w:val="005E0CA7"/>
    <w:rsid w:val="005E0CCA"/>
    <w:rsid w:val="005E1196"/>
    <w:rsid w:val="005E19DB"/>
    <w:rsid w:val="005E285F"/>
    <w:rsid w:val="005E2A24"/>
    <w:rsid w:val="005E2AC1"/>
    <w:rsid w:val="005E2F0E"/>
    <w:rsid w:val="005E353C"/>
    <w:rsid w:val="005E3F6A"/>
    <w:rsid w:val="005E417C"/>
    <w:rsid w:val="005E44D5"/>
    <w:rsid w:val="005E5367"/>
    <w:rsid w:val="005E5E13"/>
    <w:rsid w:val="005E5E8B"/>
    <w:rsid w:val="005E6CAC"/>
    <w:rsid w:val="005F0B31"/>
    <w:rsid w:val="005F0C9D"/>
    <w:rsid w:val="005F302C"/>
    <w:rsid w:val="005F3C94"/>
    <w:rsid w:val="005F434D"/>
    <w:rsid w:val="005F481F"/>
    <w:rsid w:val="005F5006"/>
    <w:rsid w:val="005F5F33"/>
    <w:rsid w:val="00600B80"/>
    <w:rsid w:val="00600C71"/>
    <w:rsid w:val="006013B9"/>
    <w:rsid w:val="00601764"/>
    <w:rsid w:val="00601E69"/>
    <w:rsid w:val="00601F8C"/>
    <w:rsid w:val="006020AC"/>
    <w:rsid w:val="00602DB9"/>
    <w:rsid w:val="00602ED0"/>
    <w:rsid w:val="0060315E"/>
    <w:rsid w:val="0060457E"/>
    <w:rsid w:val="00605308"/>
    <w:rsid w:val="00607941"/>
    <w:rsid w:val="006079B6"/>
    <w:rsid w:val="00607D2A"/>
    <w:rsid w:val="0061029B"/>
    <w:rsid w:val="006104FF"/>
    <w:rsid w:val="00610C72"/>
    <w:rsid w:val="00611E0E"/>
    <w:rsid w:val="006123F0"/>
    <w:rsid w:val="00612BBC"/>
    <w:rsid w:val="00613AFB"/>
    <w:rsid w:val="00615F56"/>
    <w:rsid w:val="00617040"/>
    <w:rsid w:val="0061763B"/>
    <w:rsid w:val="00617772"/>
    <w:rsid w:val="0062019A"/>
    <w:rsid w:val="00620619"/>
    <w:rsid w:val="00620D43"/>
    <w:rsid w:val="0062102F"/>
    <w:rsid w:val="00621226"/>
    <w:rsid w:val="00621785"/>
    <w:rsid w:val="006228AE"/>
    <w:rsid w:val="00622CAA"/>
    <w:rsid w:val="00622CB7"/>
    <w:rsid w:val="006235F4"/>
    <w:rsid w:val="0062370F"/>
    <w:rsid w:val="0062414A"/>
    <w:rsid w:val="0062510E"/>
    <w:rsid w:val="00625F12"/>
    <w:rsid w:val="00630D63"/>
    <w:rsid w:val="0063171D"/>
    <w:rsid w:val="006317BA"/>
    <w:rsid w:val="00633339"/>
    <w:rsid w:val="00634F8A"/>
    <w:rsid w:val="006368E0"/>
    <w:rsid w:val="006373A2"/>
    <w:rsid w:val="00640555"/>
    <w:rsid w:val="00640D2D"/>
    <w:rsid w:val="006436D1"/>
    <w:rsid w:val="00646E80"/>
    <w:rsid w:val="006475B7"/>
    <w:rsid w:val="0064787C"/>
    <w:rsid w:val="00647D47"/>
    <w:rsid w:val="00652FD7"/>
    <w:rsid w:val="00653562"/>
    <w:rsid w:val="00653C0E"/>
    <w:rsid w:val="00655340"/>
    <w:rsid w:val="00655415"/>
    <w:rsid w:val="006554F1"/>
    <w:rsid w:val="006564C5"/>
    <w:rsid w:val="006567B7"/>
    <w:rsid w:val="006570C4"/>
    <w:rsid w:val="0065746C"/>
    <w:rsid w:val="0065783C"/>
    <w:rsid w:val="006600AB"/>
    <w:rsid w:val="00661774"/>
    <w:rsid w:val="00661E87"/>
    <w:rsid w:val="006630EF"/>
    <w:rsid w:val="00663770"/>
    <w:rsid w:val="00664304"/>
    <w:rsid w:val="00664B30"/>
    <w:rsid w:val="00666347"/>
    <w:rsid w:val="006666A5"/>
    <w:rsid w:val="006704AC"/>
    <w:rsid w:val="006706D2"/>
    <w:rsid w:val="00670971"/>
    <w:rsid w:val="00670CE0"/>
    <w:rsid w:val="00672C69"/>
    <w:rsid w:val="00673589"/>
    <w:rsid w:val="00674050"/>
    <w:rsid w:val="00674D52"/>
    <w:rsid w:val="006751FF"/>
    <w:rsid w:val="006763BC"/>
    <w:rsid w:val="006809D9"/>
    <w:rsid w:val="00683E38"/>
    <w:rsid w:val="00684DCC"/>
    <w:rsid w:val="00685B72"/>
    <w:rsid w:val="00685DF6"/>
    <w:rsid w:val="00686526"/>
    <w:rsid w:val="0068663A"/>
    <w:rsid w:val="006877E4"/>
    <w:rsid w:val="006910C3"/>
    <w:rsid w:val="006912EA"/>
    <w:rsid w:val="00692CA0"/>
    <w:rsid w:val="006932EE"/>
    <w:rsid w:val="006936B3"/>
    <w:rsid w:val="00694876"/>
    <w:rsid w:val="006952CF"/>
    <w:rsid w:val="006A0DE3"/>
    <w:rsid w:val="006A1922"/>
    <w:rsid w:val="006A34D2"/>
    <w:rsid w:val="006A3845"/>
    <w:rsid w:val="006A699B"/>
    <w:rsid w:val="006B199D"/>
    <w:rsid w:val="006B2290"/>
    <w:rsid w:val="006B46D0"/>
    <w:rsid w:val="006B54DD"/>
    <w:rsid w:val="006B5EE7"/>
    <w:rsid w:val="006B7ED0"/>
    <w:rsid w:val="006C00C8"/>
    <w:rsid w:val="006C0546"/>
    <w:rsid w:val="006C1558"/>
    <w:rsid w:val="006C1A9C"/>
    <w:rsid w:val="006C20F2"/>
    <w:rsid w:val="006C2A21"/>
    <w:rsid w:val="006C3403"/>
    <w:rsid w:val="006C6745"/>
    <w:rsid w:val="006D25CC"/>
    <w:rsid w:val="006D33A7"/>
    <w:rsid w:val="006D4708"/>
    <w:rsid w:val="006D557B"/>
    <w:rsid w:val="006D72A7"/>
    <w:rsid w:val="006D767E"/>
    <w:rsid w:val="006D78A9"/>
    <w:rsid w:val="006E097C"/>
    <w:rsid w:val="006E33AD"/>
    <w:rsid w:val="006E4AAF"/>
    <w:rsid w:val="006E55AD"/>
    <w:rsid w:val="006E5825"/>
    <w:rsid w:val="006E74D6"/>
    <w:rsid w:val="006E78B3"/>
    <w:rsid w:val="006E78F6"/>
    <w:rsid w:val="006E7C81"/>
    <w:rsid w:val="006F03BC"/>
    <w:rsid w:val="006F2027"/>
    <w:rsid w:val="006F29B8"/>
    <w:rsid w:val="006F2E88"/>
    <w:rsid w:val="006F30A1"/>
    <w:rsid w:val="006F47DB"/>
    <w:rsid w:val="006F48BA"/>
    <w:rsid w:val="006F6D5F"/>
    <w:rsid w:val="00700BA7"/>
    <w:rsid w:val="0070111B"/>
    <w:rsid w:val="007035CB"/>
    <w:rsid w:val="00703A07"/>
    <w:rsid w:val="007040D7"/>
    <w:rsid w:val="00705218"/>
    <w:rsid w:val="00705BFD"/>
    <w:rsid w:val="00706CCD"/>
    <w:rsid w:val="007071D3"/>
    <w:rsid w:val="00710EB5"/>
    <w:rsid w:val="00712613"/>
    <w:rsid w:val="00714A5A"/>
    <w:rsid w:val="00714D6B"/>
    <w:rsid w:val="00715B2B"/>
    <w:rsid w:val="00716409"/>
    <w:rsid w:val="007171CA"/>
    <w:rsid w:val="00717D76"/>
    <w:rsid w:val="007203AF"/>
    <w:rsid w:val="00722393"/>
    <w:rsid w:val="00723B47"/>
    <w:rsid w:val="00725FB7"/>
    <w:rsid w:val="007270E3"/>
    <w:rsid w:val="00730D48"/>
    <w:rsid w:val="007328FD"/>
    <w:rsid w:val="00734584"/>
    <w:rsid w:val="00735732"/>
    <w:rsid w:val="00735BE6"/>
    <w:rsid w:val="00735E6D"/>
    <w:rsid w:val="007361A9"/>
    <w:rsid w:val="007365BA"/>
    <w:rsid w:val="007371D3"/>
    <w:rsid w:val="00737843"/>
    <w:rsid w:val="007405D9"/>
    <w:rsid w:val="007424DB"/>
    <w:rsid w:val="007424ED"/>
    <w:rsid w:val="007432CD"/>
    <w:rsid w:val="00743341"/>
    <w:rsid w:val="00743A91"/>
    <w:rsid w:val="00743E0F"/>
    <w:rsid w:val="0074444F"/>
    <w:rsid w:val="0074574A"/>
    <w:rsid w:val="00745E12"/>
    <w:rsid w:val="007503F9"/>
    <w:rsid w:val="00751372"/>
    <w:rsid w:val="00751D89"/>
    <w:rsid w:val="00752698"/>
    <w:rsid w:val="0075351F"/>
    <w:rsid w:val="00755BC9"/>
    <w:rsid w:val="00755EC0"/>
    <w:rsid w:val="0075622E"/>
    <w:rsid w:val="007566F5"/>
    <w:rsid w:val="00757FD3"/>
    <w:rsid w:val="007609F5"/>
    <w:rsid w:val="007614DD"/>
    <w:rsid w:val="0076191E"/>
    <w:rsid w:val="00763227"/>
    <w:rsid w:val="00764499"/>
    <w:rsid w:val="00764D2B"/>
    <w:rsid w:val="0076656D"/>
    <w:rsid w:val="00766613"/>
    <w:rsid w:val="00771DD7"/>
    <w:rsid w:val="0077423F"/>
    <w:rsid w:val="00774351"/>
    <w:rsid w:val="007751AD"/>
    <w:rsid w:val="00777CFB"/>
    <w:rsid w:val="0078017E"/>
    <w:rsid w:val="00780801"/>
    <w:rsid w:val="007814BA"/>
    <w:rsid w:val="00781F7A"/>
    <w:rsid w:val="00782287"/>
    <w:rsid w:val="00782303"/>
    <w:rsid w:val="007831EE"/>
    <w:rsid w:val="00783249"/>
    <w:rsid w:val="00783F8B"/>
    <w:rsid w:val="00784190"/>
    <w:rsid w:val="007848EF"/>
    <w:rsid w:val="007855FF"/>
    <w:rsid w:val="007860B0"/>
    <w:rsid w:val="00786587"/>
    <w:rsid w:val="00786592"/>
    <w:rsid w:val="00786818"/>
    <w:rsid w:val="00786EE8"/>
    <w:rsid w:val="00787AF6"/>
    <w:rsid w:val="00787D97"/>
    <w:rsid w:val="0079010B"/>
    <w:rsid w:val="00792EC6"/>
    <w:rsid w:val="00793D4B"/>
    <w:rsid w:val="00794574"/>
    <w:rsid w:val="0079637D"/>
    <w:rsid w:val="007A0272"/>
    <w:rsid w:val="007A1AC6"/>
    <w:rsid w:val="007A1DF0"/>
    <w:rsid w:val="007A31C1"/>
    <w:rsid w:val="007A32C1"/>
    <w:rsid w:val="007A3C62"/>
    <w:rsid w:val="007A4469"/>
    <w:rsid w:val="007A4C43"/>
    <w:rsid w:val="007A5585"/>
    <w:rsid w:val="007A56AE"/>
    <w:rsid w:val="007A6617"/>
    <w:rsid w:val="007A6DF6"/>
    <w:rsid w:val="007B0AB9"/>
    <w:rsid w:val="007B3964"/>
    <w:rsid w:val="007B47E9"/>
    <w:rsid w:val="007B4AB7"/>
    <w:rsid w:val="007B4CC9"/>
    <w:rsid w:val="007B5107"/>
    <w:rsid w:val="007B5B94"/>
    <w:rsid w:val="007B7894"/>
    <w:rsid w:val="007C0144"/>
    <w:rsid w:val="007C08C5"/>
    <w:rsid w:val="007C0A31"/>
    <w:rsid w:val="007C1ADB"/>
    <w:rsid w:val="007C2D33"/>
    <w:rsid w:val="007C605C"/>
    <w:rsid w:val="007C61EB"/>
    <w:rsid w:val="007C7282"/>
    <w:rsid w:val="007C7E0A"/>
    <w:rsid w:val="007D0162"/>
    <w:rsid w:val="007D0336"/>
    <w:rsid w:val="007D0A62"/>
    <w:rsid w:val="007D1AAD"/>
    <w:rsid w:val="007D1D9D"/>
    <w:rsid w:val="007D288C"/>
    <w:rsid w:val="007D2C28"/>
    <w:rsid w:val="007D2E20"/>
    <w:rsid w:val="007D2FE6"/>
    <w:rsid w:val="007D3F9F"/>
    <w:rsid w:val="007D4D95"/>
    <w:rsid w:val="007D57F0"/>
    <w:rsid w:val="007D62D0"/>
    <w:rsid w:val="007D72AB"/>
    <w:rsid w:val="007D7518"/>
    <w:rsid w:val="007D7943"/>
    <w:rsid w:val="007D7AB0"/>
    <w:rsid w:val="007E0DBB"/>
    <w:rsid w:val="007E2B8A"/>
    <w:rsid w:val="007E536F"/>
    <w:rsid w:val="007E53EA"/>
    <w:rsid w:val="007E5489"/>
    <w:rsid w:val="007E6CC2"/>
    <w:rsid w:val="007E7926"/>
    <w:rsid w:val="007E7C23"/>
    <w:rsid w:val="007F021C"/>
    <w:rsid w:val="007F14E5"/>
    <w:rsid w:val="007F15AA"/>
    <w:rsid w:val="007F2679"/>
    <w:rsid w:val="007F2904"/>
    <w:rsid w:val="007F2933"/>
    <w:rsid w:val="007F54AF"/>
    <w:rsid w:val="00800AAA"/>
    <w:rsid w:val="00802781"/>
    <w:rsid w:val="008039CB"/>
    <w:rsid w:val="0080440E"/>
    <w:rsid w:val="008050E5"/>
    <w:rsid w:val="008075D3"/>
    <w:rsid w:val="00807C33"/>
    <w:rsid w:val="00810C53"/>
    <w:rsid w:val="00811577"/>
    <w:rsid w:val="00812233"/>
    <w:rsid w:val="00812268"/>
    <w:rsid w:val="00812650"/>
    <w:rsid w:val="00814490"/>
    <w:rsid w:val="00815499"/>
    <w:rsid w:val="0081605C"/>
    <w:rsid w:val="00820797"/>
    <w:rsid w:val="00821509"/>
    <w:rsid w:val="00821866"/>
    <w:rsid w:val="00823283"/>
    <w:rsid w:val="00824B3F"/>
    <w:rsid w:val="0082581D"/>
    <w:rsid w:val="00825B08"/>
    <w:rsid w:val="00827D99"/>
    <w:rsid w:val="008312E3"/>
    <w:rsid w:val="00834E8A"/>
    <w:rsid w:val="00835D9D"/>
    <w:rsid w:val="008372FE"/>
    <w:rsid w:val="0084312E"/>
    <w:rsid w:val="008434A3"/>
    <w:rsid w:val="008439E5"/>
    <w:rsid w:val="008446D0"/>
    <w:rsid w:val="00845869"/>
    <w:rsid w:val="00846328"/>
    <w:rsid w:val="00846F4F"/>
    <w:rsid w:val="00850F19"/>
    <w:rsid w:val="00850F92"/>
    <w:rsid w:val="008535F3"/>
    <w:rsid w:val="008551C5"/>
    <w:rsid w:val="008552E9"/>
    <w:rsid w:val="0085721D"/>
    <w:rsid w:val="0085793D"/>
    <w:rsid w:val="008626D1"/>
    <w:rsid w:val="0086327C"/>
    <w:rsid w:val="00864E18"/>
    <w:rsid w:val="0086540F"/>
    <w:rsid w:val="00866772"/>
    <w:rsid w:val="00867B10"/>
    <w:rsid w:val="00870F6D"/>
    <w:rsid w:val="00871F6E"/>
    <w:rsid w:val="008725C7"/>
    <w:rsid w:val="00872FBC"/>
    <w:rsid w:val="00874DE7"/>
    <w:rsid w:val="008771C7"/>
    <w:rsid w:val="00880E20"/>
    <w:rsid w:val="00882CE6"/>
    <w:rsid w:val="00883A8E"/>
    <w:rsid w:val="0088612E"/>
    <w:rsid w:val="00890B9C"/>
    <w:rsid w:val="008924A5"/>
    <w:rsid w:val="008935EB"/>
    <w:rsid w:val="00894698"/>
    <w:rsid w:val="00895467"/>
    <w:rsid w:val="00895919"/>
    <w:rsid w:val="00896B4F"/>
    <w:rsid w:val="00896EE2"/>
    <w:rsid w:val="00897A47"/>
    <w:rsid w:val="00897EC4"/>
    <w:rsid w:val="008A0951"/>
    <w:rsid w:val="008A16C6"/>
    <w:rsid w:val="008A1EB1"/>
    <w:rsid w:val="008A316B"/>
    <w:rsid w:val="008A446C"/>
    <w:rsid w:val="008A5D0F"/>
    <w:rsid w:val="008A6359"/>
    <w:rsid w:val="008A677A"/>
    <w:rsid w:val="008A67F1"/>
    <w:rsid w:val="008A691B"/>
    <w:rsid w:val="008A6F6A"/>
    <w:rsid w:val="008A77AF"/>
    <w:rsid w:val="008B0DB5"/>
    <w:rsid w:val="008B0FD4"/>
    <w:rsid w:val="008B43EA"/>
    <w:rsid w:val="008B4DCB"/>
    <w:rsid w:val="008B4E6F"/>
    <w:rsid w:val="008B6DCB"/>
    <w:rsid w:val="008C0C76"/>
    <w:rsid w:val="008C1933"/>
    <w:rsid w:val="008C2F9C"/>
    <w:rsid w:val="008C3826"/>
    <w:rsid w:val="008C74BE"/>
    <w:rsid w:val="008D13C0"/>
    <w:rsid w:val="008D2912"/>
    <w:rsid w:val="008D2AF5"/>
    <w:rsid w:val="008D39F6"/>
    <w:rsid w:val="008D45DC"/>
    <w:rsid w:val="008D6E6F"/>
    <w:rsid w:val="008E0D4E"/>
    <w:rsid w:val="008E12D7"/>
    <w:rsid w:val="008E13C3"/>
    <w:rsid w:val="008E2C37"/>
    <w:rsid w:val="008E3005"/>
    <w:rsid w:val="008E397B"/>
    <w:rsid w:val="008E406F"/>
    <w:rsid w:val="008E4671"/>
    <w:rsid w:val="008E51F7"/>
    <w:rsid w:val="008E62E3"/>
    <w:rsid w:val="008F0C4D"/>
    <w:rsid w:val="008F1194"/>
    <w:rsid w:val="008F40D4"/>
    <w:rsid w:val="008F5512"/>
    <w:rsid w:val="008F5D51"/>
    <w:rsid w:val="008F6209"/>
    <w:rsid w:val="008F6575"/>
    <w:rsid w:val="008F6A7C"/>
    <w:rsid w:val="008F6B04"/>
    <w:rsid w:val="008F78C0"/>
    <w:rsid w:val="00900132"/>
    <w:rsid w:val="00900587"/>
    <w:rsid w:val="00901DCC"/>
    <w:rsid w:val="0090346A"/>
    <w:rsid w:val="0090484A"/>
    <w:rsid w:val="009056EC"/>
    <w:rsid w:val="009057E2"/>
    <w:rsid w:val="00905837"/>
    <w:rsid w:val="00906545"/>
    <w:rsid w:val="00906604"/>
    <w:rsid w:val="009066AD"/>
    <w:rsid w:val="00906E4F"/>
    <w:rsid w:val="00910093"/>
    <w:rsid w:val="009102E9"/>
    <w:rsid w:val="00910BC3"/>
    <w:rsid w:val="00911A4C"/>
    <w:rsid w:val="009122A3"/>
    <w:rsid w:val="00914AF1"/>
    <w:rsid w:val="0091507F"/>
    <w:rsid w:val="0091573F"/>
    <w:rsid w:val="00916460"/>
    <w:rsid w:val="00917F34"/>
    <w:rsid w:val="00920F0D"/>
    <w:rsid w:val="00921E25"/>
    <w:rsid w:val="00921F69"/>
    <w:rsid w:val="0092353B"/>
    <w:rsid w:val="009238C1"/>
    <w:rsid w:val="009239E8"/>
    <w:rsid w:val="00924E54"/>
    <w:rsid w:val="0092663B"/>
    <w:rsid w:val="00926A06"/>
    <w:rsid w:val="00927A13"/>
    <w:rsid w:val="00930B88"/>
    <w:rsid w:val="00931A9E"/>
    <w:rsid w:val="009353FE"/>
    <w:rsid w:val="00942657"/>
    <w:rsid w:val="00943CAA"/>
    <w:rsid w:val="00944AAF"/>
    <w:rsid w:val="00945549"/>
    <w:rsid w:val="00946FA2"/>
    <w:rsid w:val="00947235"/>
    <w:rsid w:val="00950DEF"/>
    <w:rsid w:val="00951FF6"/>
    <w:rsid w:val="009533C8"/>
    <w:rsid w:val="009536ED"/>
    <w:rsid w:val="00953B31"/>
    <w:rsid w:val="00953DC0"/>
    <w:rsid w:val="00954D65"/>
    <w:rsid w:val="009551ED"/>
    <w:rsid w:val="00955E6B"/>
    <w:rsid w:val="00956671"/>
    <w:rsid w:val="00956C78"/>
    <w:rsid w:val="009607BF"/>
    <w:rsid w:val="0096134A"/>
    <w:rsid w:val="009615B1"/>
    <w:rsid w:val="00962FF6"/>
    <w:rsid w:val="00964671"/>
    <w:rsid w:val="00965686"/>
    <w:rsid w:val="00965F74"/>
    <w:rsid w:val="00966EBB"/>
    <w:rsid w:val="00967705"/>
    <w:rsid w:val="009700A1"/>
    <w:rsid w:val="00970C35"/>
    <w:rsid w:val="00971551"/>
    <w:rsid w:val="00972DD9"/>
    <w:rsid w:val="009744C7"/>
    <w:rsid w:val="00976CCE"/>
    <w:rsid w:val="00982BFC"/>
    <w:rsid w:val="009831AD"/>
    <w:rsid w:val="0098530B"/>
    <w:rsid w:val="009871E8"/>
    <w:rsid w:val="00987A2D"/>
    <w:rsid w:val="00987DA1"/>
    <w:rsid w:val="00993696"/>
    <w:rsid w:val="00993E3B"/>
    <w:rsid w:val="009946C3"/>
    <w:rsid w:val="00996007"/>
    <w:rsid w:val="00997E7C"/>
    <w:rsid w:val="00997EDF"/>
    <w:rsid w:val="00997F3F"/>
    <w:rsid w:val="009A05B8"/>
    <w:rsid w:val="009A0AC3"/>
    <w:rsid w:val="009A2550"/>
    <w:rsid w:val="009A28DD"/>
    <w:rsid w:val="009A4F87"/>
    <w:rsid w:val="009A656D"/>
    <w:rsid w:val="009A6599"/>
    <w:rsid w:val="009A6830"/>
    <w:rsid w:val="009A79CF"/>
    <w:rsid w:val="009B025C"/>
    <w:rsid w:val="009B0D57"/>
    <w:rsid w:val="009B2A1F"/>
    <w:rsid w:val="009B33E9"/>
    <w:rsid w:val="009B3D1A"/>
    <w:rsid w:val="009B4E22"/>
    <w:rsid w:val="009B5ADB"/>
    <w:rsid w:val="009B6299"/>
    <w:rsid w:val="009B729E"/>
    <w:rsid w:val="009C124C"/>
    <w:rsid w:val="009C1CFC"/>
    <w:rsid w:val="009C2669"/>
    <w:rsid w:val="009C2A31"/>
    <w:rsid w:val="009C3294"/>
    <w:rsid w:val="009C3E92"/>
    <w:rsid w:val="009C4129"/>
    <w:rsid w:val="009C4E30"/>
    <w:rsid w:val="009C5DD1"/>
    <w:rsid w:val="009C5E84"/>
    <w:rsid w:val="009C6613"/>
    <w:rsid w:val="009C6C88"/>
    <w:rsid w:val="009D00BF"/>
    <w:rsid w:val="009D1FAA"/>
    <w:rsid w:val="009D3A7C"/>
    <w:rsid w:val="009D505E"/>
    <w:rsid w:val="009D515F"/>
    <w:rsid w:val="009D526B"/>
    <w:rsid w:val="009D5602"/>
    <w:rsid w:val="009D5E22"/>
    <w:rsid w:val="009D792C"/>
    <w:rsid w:val="009D7B0D"/>
    <w:rsid w:val="009E0288"/>
    <w:rsid w:val="009E1612"/>
    <w:rsid w:val="009E1C01"/>
    <w:rsid w:val="009E2BC5"/>
    <w:rsid w:val="009E49BC"/>
    <w:rsid w:val="009E554E"/>
    <w:rsid w:val="009E6DBB"/>
    <w:rsid w:val="009F25E6"/>
    <w:rsid w:val="009F2A40"/>
    <w:rsid w:val="009F3FC0"/>
    <w:rsid w:val="009F485E"/>
    <w:rsid w:val="009F71AB"/>
    <w:rsid w:val="009F7B4A"/>
    <w:rsid w:val="00A00C1D"/>
    <w:rsid w:val="00A03734"/>
    <w:rsid w:val="00A05E87"/>
    <w:rsid w:val="00A10677"/>
    <w:rsid w:val="00A111CD"/>
    <w:rsid w:val="00A11E29"/>
    <w:rsid w:val="00A11F22"/>
    <w:rsid w:val="00A12173"/>
    <w:rsid w:val="00A13866"/>
    <w:rsid w:val="00A138DE"/>
    <w:rsid w:val="00A15146"/>
    <w:rsid w:val="00A1648D"/>
    <w:rsid w:val="00A177EF"/>
    <w:rsid w:val="00A21572"/>
    <w:rsid w:val="00A2316D"/>
    <w:rsid w:val="00A23BBB"/>
    <w:rsid w:val="00A25081"/>
    <w:rsid w:val="00A25403"/>
    <w:rsid w:val="00A254B2"/>
    <w:rsid w:val="00A27825"/>
    <w:rsid w:val="00A30C31"/>
    <w:rsid w:val="00A30F7E"/>
    <w:rsid w:val="00A3154C"/>
    <w:rsid w:val="00A3178C"/>
    <w:rsid w:val="00A3238D"/>
    <w:rsid w:val="00A32D94"/>
    <w:rsid w:val="00A33DC3"/>
    <w:rsid w:val="00A33FC8"/>
    <w:rsid w:val="00A347F1"/>
    <w:rsid w:val="00A3487B"/>
    <w:rsid w:val="00A35E89"/>
    <w:rsid w:val="00A365F9"/>
    <w:rsid w:val="00A366D9"/>
    <w:rsid w:val="00A378BC"/>
    <w:rsid w:val="00A37D4F"/>
    <w:rsid w:val="00A37EAC"/>
    <w:rsid w:val="00A41BF2"/>
    <w:rsid w:val="00A4201B"/>
    <w:rsid w:val="00A4201E"/>
    <w:rsid w:val="00A425B0"/>
    <w:rsid w:val="00A4380E"/>
    <w:rsid w:val="00A439FF"/>
    <w:rsid w:val="00A44EF1"/>
    <w:rsid w:val="00A460B1"/>
    <w:rsid w:val="00A46FE1"/>
    <w:rsid w:val="00A51159"/>
    <w:rsid w:val="00A516A7"/>
    <w:rsid w:val="00A53060"/>
    <w:rsid w:val="00A54EDE"/>
    <w:rsid w:val="00A54FEA"/>
    <w:rsid w:val="00A55763"/>
    <w:rsid w:val="00A57178"/>
    <w:rsid w:val="00A57B32"/>
    <w:rsid w:val="00A57C56"/>
    <w:rsid w:val="00A60642"/>
    <w:rsid w:val="00A60FFA"/>
    <w:rsid w:val="00A61238"/>
    <w:rsid w:val="00A62018"/>
    <w:rsid w:val="00A6460F"/>
    <w:rsid w:val="00A64B75"/>
    <w:rsid w:val="00A667EB"/>
    <w:rsid w:val="00A72758"/>
    <w:rsid w:val="00A7299B"/>
    <w:rsid w:val="00A7317D"/>
    <w:rsid w:val="00A73765"/>
    <w:rsid w:val="00A749C7"/>
    <w:rsid w:val="00A75968"/>
    <w:rsid w:val="00A778CE"/>
    <w:rsid w:val="00A77A8F"/>
    <w:rsid w:val="00A80061"/>
    <w:rsid w:val="00A80681"/>
    <w:rsid w:val="00A8076B"/>
    <w:rsid w:val="00A8122D"/>
    <w:rsid w:val="00A8138D"/>
    <w:rsid w:val="00A81759"/>
    <w:rsid w:val="00A81A03"/>
    <w:rsid w:val="00A820A0"/>
    <w:rsid w:val="00A82845"/>
    <w:rsid w:val="00A829D0"/>
    <w:rsid w:val="00A82A32"/>
    <w:rsid w:val="00A82EDD"/>
    <w:rsid w:val="00A846E8"/>
    <w:rsid w:val="00A84F42"/>
    <w:rsid w:val="00A85CF9"/>
    <w:rsid w:val="00A9333E"/>
    <w:rsid w:val="00A93D0F"/>
    <w:rsid w:val="00A94978"/>
    <w:rsid w:val="00A96317"/>
    <w:rsid w:val="00A97893"/>
    <w:rsid w:val="00A97CE9"/>
    <w:rsid w:val="00AA19CA"/>
    <w:rsid w:val="00AA2306"/>
    <w:rsid w:val="00AA2FD2"/>
    <w:rsid w:val="00AA46E0"/>
    <w:rsid w:val="00AB0170"/>
    <w:rsid w:val="00AB088E"/>
    <w:rsid w:val="00AB1573"/>
    <w:rsid w:val="00AB1B4B"/>
    <w:rsid w:val="00AB21ED"/>
    <w:rsid w:val="00AB49A5"/>
    <w:rsid w:val="00AB5585"/>
    <w:rsid w:val="00AC1BB6"/>
    <w:rsid w:val="00AC2B90"/>
    <w:rsid w:val="00AC2CF4"/>
    <w:rsid w:val="00AC34FB"/>
    <w:rsid w:val="00AC484F"/>
    <w:rsid w:val="00AC5A23"/>
    <w:rsid w:val="00AC5C8D"/>
    <w:rsid w:val="00AC6C3A"/>
    <w:rsid w:val="00AC74C7"/>
    <w:rsid w:val="00AD2194"/>
    <w:rsid w:val="00AD228A"/>
    <w:rsid w:val="00AD2323"/>
    <w:rsid w:val="00AD2717"/>
    <w:rsid w:val="00AD4B8D"/>
    <w:rsid w:val="00AD6854"/>
    <w:rsid w:val="00AD692C"/>
    <w:rsid w:val="00AD7AF7"/>
    <w:rsid w:val="00AE06EC"/>
    <w:rsid w:val="00AE1774"/>
    <w:rsid w:val="00AE1988"/>
    <w:rsid w:val="00AE448E"/>
    <w:rsid w:val="00AE5F65"/>
    <w:rsid w:val="00AE6A97"/>
    <w:rsid w:val="00AE73EB"/>
    <w:rsid w:val="00AF169C"/>
    <w:rsid w:val="00AF47AA"/>
    <w:rsid w:val="00AF640D"/>
    <w:rsid w:val="00AF7816"/>
    <w:rsid w:val="00B00960"/>
    <w:rsid w:val="00B01FCE"/>
    <w:rsid w:val="00B0264E"/>
    <w:rsid w:val="00B02814"/>
    <w:rsid w:val="00B02AEA"/>
    <w:rsid w:val="00B03613"/>
    <w:rsid w:val="00B1038F"/>
    <w:rsid w:val="00B14328"/>
    <w:rsid w:val="00B15FC4"/>
    <w:rsid w:val="00B169C1"/>
    <w:rsid w:val="00B16BFC"/>
    <w:rsid w:val="00B17141"/>
    <w:rsid w:val="00B17CCF"/>
    <w:rsid w:val="00B205C7"/>
    <w:rsid w:val="00B20924"/>
    <w:rsid w:val="00B20C8B"/>
    <w:rsid w:val="00B21AF6"/>
    <w:rsid w:val="00B21F0A"/>
    <w:rsid w:val="00B2201A"/>
    <w:rsid w:val="00B23173"/>
    <w:rsid w:val="00B23B19"/>
    <w:rsid w:val="00B25CF3"/>
    <w:rsid w:val="00B27261"/>
    <w:rsid w:val="00B30422"/>
    <w:rsid w:val="00B3106B"/>
    <w:rsid w:val="00B31F3F"/>
    <w:rsid w:val="00B351CF"/>
    <w:rsid w:val="00B36463"/>
    <w:rsid w:val="00B365F8"/>
    <w:rsid w:val="00B37CED"/>
    <w:rsid w:val="00B42966"/>
    <w:rsid w:val="00B442E3"/>
    <w:rsid w:val="00B452D8"/>
    <w:rsid w:val="00B45B09"/>
    <w:rsid w:val="00B461BF"/>
    <w:rsid w:val="00B46644"/>
    <w:rsid w:val="00B4739B"/>
    <w:rsid w:val="00B5020E"/>
    <w:rsid w:val="00B51413"/>
    <w:rsid w:val="00B53891"/>
    <w:rsid w:val="00B53A11"/>
    <w:rsid w:val="00B53E74"/>
    <w:rsid w:val="00B54F82"/>
    <w:rsid w:val="00B604EF"/>
    <w:rsid w:val="00B6399E"/>
    <w:rsid w:val="00B64F71"/>
    <w:rsid w:val="00B66E41"/>
    <w:rsid w:val="00B6783E"/>
    <w:rsid w:val="00B70BD4"/>
    <w:rsid w:val="00B70C58"/>
    <w:rsid w:val="00B716EA"/>
    <w:rsid w:val="00B722BA"/>
    <w:rsid w:val="00B73984"/>
    <w:rsid w:val="00B73D54"/>
    <w:rsid w:val="00B745C1"/>
    <w:rsid w:val="00B751DB"/>
    <w:rsid w:val="00B76404"/>
    <w:rsid w:val="00B77F1F"/>
    <w:rsid w:val="00B8100D"/>
    <w:rsid w:val="00B81403"/>
    <w:rsid w:val="00B83DD9"/>
    <w:rsid w:val="00B86198"/>
    <w:rsid w:val="00B863F9"/>
    <w:rsid w:val="00B86722"/>
    <w:rsid w:val="00B870E0"/>
    <w:rsid w:val="00B90645"/>
    <w:rsid w:val="00B91255"/>
    <w:rsid w:val="00B915CD"/>
    <w:rsid w:val="00B923B2"/>
    <w:rsid w:val="00B92D4C"/>
    <w:rsid w:val="00B9414D"/>
    <w:rsid w:val="00B94F47"/>
    <w:rsid w:val="00B970D3"/>
    <w:rsid w:val="00B97D80"/>
    <w:rsid w:val="00B97F6D"/>
    <w:rsid w:val="00BA02A4"/>
    <w:rsid w:val="00BA2AB7"/>
    <w:rsid w:val="00BA312F"/>
    <w:rsid w:val="00BA38EB"/>
    <w:rsid w:val="00BA5197"/>
    <w:rsid w:val="00BA6552"/>
    <w:rsid w:val="00BA65C9"/>
    <w:rsid w:val="00BA730E"/>
    <w:rsid w:val="00BB10B7"/>
    <w:rsid w:val="00BB2A8C"/>
    <w:rsid w:val="00BB2AD2"/>
    <w:rsid w:val="00BB2C82"/>
    <w:rsid w:val="00BB30E0"/>
    <w:rsid w:val="00BB3E45"/>
    <w:rsid w:val="00BB3FC1"/>
    <w:rsid w:val="00BB5732"/>
    <w:rsid w:val="00BB59C1"/>
    <w:rsid w:val="00BB6B8D"/>
    <w:rsid w:val="00BC08B4"/>
    <w:rsid w:val="00BC14F8"/>
    <w:rsid w:val="00BC3728"/>
    <w:rsid w:val="00BC3BD9"/>
    <w:rsid w:val="00BC51DC"/>
    <w:rsid w:val="00BC5F0C"/>
    <w:rsid w:val="00BC6E24"/>
    <w:rsid w:val="00BC7B9F"/>
    <w:rsid w:val="00BD2DE4"/>
    <w:rsid w:val="00BD5469"/>
    <w:rsid w:val="00BD7A8F"/>
    <w:rsid w:val="00BD7B89"/>
    <w:rsid w:val="00BD7E07"/>
    <w:rsid w:val="00BE02F0"/>
    <w:rsid w:val="00BE1F2F"/>
    <w:rsid w:val="00BE24BF"/>
    <w:rsid w:val="00BE36A2"/>
    <w:rsid w:val="00BE3E9F"/>
    <w:rsid w:val="00BE419D"/>
    <w:rsid w:val="00BE45D8"/>
    <w:rsid w:val="00BE46C6"/>
    <w:rsid w:val="00BE608E"/>
    <w:rsid w:val="00BE634F"/>
    <w:rsid w:val="00BE6867"/>
    <w:rsid w:val="00BE7E6E"/>
    <w:rsid w:val="00BF1239"/>
    <w:rsid w:val="00BF1654"/>
    <w:rsid w:val="00BF20F5"/>
    <w:rsid w:val="00BF2F68"/>
    <w:rsid w:val="00BF5168"/>
    <w:rsid w:val="00BF6E25"/>
    <w:rsid w:val="00BF7DF4"/>
    <w:rsid w:val="00C008D3"/>
    <w:rsid w:val="00C0191D"/>
    <w:rsid w:val="00C01AC2"/>
    <w:rsid w:val="00C0322B"/>
    <w:rsid w:val="00C03C23"/>
    <w:rsid w:val="00C04252"/>
    <w:rsid w:val="00C04AA5"/>
    <w:rsid w:val="00C06780"/>
    <w:rsid w:val="00C06DB9"/>
    <w:rsid w:val="00C07F63"/>
    <w:rsid w:val="00C1010A"/>
    <w:rsid w:val="00C1092E"/>
    <w:rsid w:val="00C10C65"/>
    <w:rsid w:val="00C10DCF"/>
    <w:rsid w:val="00C10E91"/>
    <w:rsid w:val="00C11B3B"/>
    <w:rsid w:val="00C1276F"/>
    <w:rsid w:val="00C12E2B"/>
    <w:rsid w:val="00C13011"/>
    <w:rsid w:val="00C13648"/>
    <w:rsid w:val="00C15DE4"/>
    <w:rsid w:val="00C165E5"/>
    <w:rsid w:val="00C17F6C"/>
    <w:rsid w:val="00C20069"/>
    <w:rsid w:val="00C203FC"/>
    <w:rsid w:val="00C213AD"/>
    <w:rsid w:val="00C22072"/>
    <w:rsid w:val="00C225E1"/>
    <w:rsid w:val="00C24959"/>
    <w:rsid w:val="00C26789"/>
    <w:rsid w:val="00C267CD"/>
    <w:rsid w:val="00C270B5"/>
    <w:rsid w:val="00C27C56"/>
    <w:rsid w:val="00C304DB"/>
    <w:rsid w:val="00C314D5"/>
    <w:rsid w:val="00C32C7B"/>
    <w:rsid w:val="00C346D1"/>
    <w:rsid w:val="00C37523"/>
    <w:rsid w:val="00C37EB0"/>
    <w:rsid w:val="00C400A8"/>
    <w:rsid w:val="00C407DE"/>
    <w:rsid w:val="00C4172D"/>
    <w:rsid w:val="00C41898"/>
    <w:rsid w:val="00C41D9C"/>
    <w:rsid w:val="00C43191"/>
    <w:rsid w:val="00C4338C"/>
    <w:rsid w:val="00C43934"/>
    <w:rsid w:val="00C441C4"/>
    <w:rsid w:val="00C44DF9"/>
    <w:rsid w:val="00C450B6"/>
    <w:rsid w:val="00C478DF"/>
    <w:rsid w:val="00C53F3B"/>
    <w:rsid w:val="00C54993"/>
    <w:rsid w:val="00C54EBB"/>
    <w:rsid w:val="00C56417"/>
    <w:rsid w:val="00C56EC1"/>
    <w:rsid w:val="00C60118"/>
    <w:rsid w:val="00C60F8B"/>
    <w:rsid w:val="00C62631"/>
    <w:rsid w:val="00C62767"/>
    <w:rsid w:val="00C63AE6"/>
    <w:rsid w:val="00C648B5"/>
    <w:rsid w:val="00C64952"/>
    <w:rsid w:val="00C6765E"/>
    <w:rsid w:val="00C7010F"/>
    <w:rsid w:val="00C7047C"/>
    <w:rsid w:val="00C727AB"/>
    <w:rsid w:val="00C72D63"/>
    <w:rsid w:val="00C73E3F"/>
    <w:rsid w:val="00C75F39"/>
    <w:rsid w:val="00C7645A"/>
    <w:rsid w:val="00C76F93"/>
    <w:rsid w:val="00C778AA"/>
    <w:rsid w:val="00C77992"/>
    <w:rsid w:val="00C81557"/>
    <w:rsid w:val="00C843F3"/>
    <w:rsid w:val="00C85BC4"/>
    <w:rsid w:val="00C860A1"/>
    <w:rsid w:val="00C91006"/>
    <w:rsid w:val="00C91A0F"/>
    <w:rsid w:val="00C92337"/>
    <w:rsid w:val="00C94C53"/>
    <w:rsid w:val="00C95C3F"/>
    <w:rsid w:val="00C96029"/>
    <w:rsid w:val="00CA04F7"/>
    <w:rsid w:val="00CA0F79"/>
    <w:rsid w:val="00CA10EE"/>
    <w:rsid w:val="00CA261B"/>
    <w:rsid w:val="00CA269F"/>
    <w:rsid w:val="00CA32AC"/>
    <w:rsid w:val="00CA32D8"/>
    <w:rsid w:val="00CA39AD"/>
    <w:rsid w:val="00CA485E"/>
    <w:rsid w:val="00CA4920"/>
    <w:rsid w:val="00CA5709"/>
    <w:rsid w:val="00CA580A"/>
    <w:rsid w:val="00CA6EBC"/>
    <w:rsid w:val="00CB1CE5"/>
    <w:rsid w:val="00CB24AF"/>
    <w:rsid w:val="00CB4B6B"/>
    <w:rsid w:val="00CB4C05"/>
    <w:rsid w:val="00CB52AC"/>
    <w:rsid w:val="00CB5313"/>
    <w:rsid w:val="00CB68AD"/>
    <w:rsid w:val="00CB7B04"/>
    <w:rsid w:val="00CC2ECC"/>
    <w:rsid w:val="00CC3431"/>
    <w:rsid w:val="00CC3D1E"/>
    <w:rsid w:val="00CC3D4D"/>
    <w:rsid w:val="00CC4223"/>
    <w:rsid w:val="00CC4724"/>
    <w:rsid w:val="00CC50AC"/>
    <w:rsid w:val="00CC514F"/>
    <w:rsid w:val="00CC63C1"/>
    <w:rsid w:val="00CC6DAD"/>
    <w:rsid w:val="00CC73C6"/>
    <w:rsid w:val="00CD0C31"/>
    <w:rsid w:val="00CD0C69"/>
    <w:rsid w:val="00CD1E1B"/>
    <w:rsid w:val="00CD35C3"/>
    <w:rsid w:val="00CD4842"/>
    <w:rsid w:val="00CE086E"/>
    <w:rsid w:val="00CE1EF2"/>
    <w:rsid w:val="00CE314A"/>
    <w:rsid w:val="00CE3EAC"/>
    <w:rsid w:val="00CE4EA9"/>
    <w:rsid w:val="00CE54B4"/>
    <w:rsid w:val="00CE5989"/>
    <w:rsid w:val="00CF0614"/>
    <w:rsid w:val="00CF19CC"/>
    <w:rsid w:val="00CF231A"/>
    <w:rsid w:val="00CF2E4E"/>
    <w:rsid w:val="00CF32F9"/>
    <w:rsid w:val="00CF370F"/>
    <w:rsid w:val="00CF39BD"/>
    <w:rsid w:val="00CF47AC"/>
    <w:rsid w:val="00CF490C"/>
    <w:rsid w:val="00CF49D5"/>
    <w:rsid w:val="00CF4E45"/>
    <w:rsid w:val="00CF657B"/>
    <w:rsid w:val="00CF668C"/>
    <w:rsid w:val="00CF69C3"/>
    <w:rsid w:val="00CF7E8F"/>
    <w:rsid w:val="00D01390"/>
    <w:rsid w:val="00D016BB"/>
    <w:rsid w:val="00D0267A"/>
    <w:rsid w:val="00D02877"/>
    <w:rsid w:val="00D03624"/>
    <w:rsid w:val="00D03AB6"/>
    <w:rsid w:val="00D03C2C"/>
    <w:rsid w:val="00D046BA"/>
    <w:rsid w:val="00D06EE8"/>
    <w:rsid w:val="00D074A2"/>
    <w:rsid w:val="00D10322"/>
    <w:rsid w:val="00D11A25"/>
    <w:rsid w:val="00D13A77"/>
    <w:rsid w:val="00D13A98"/>
    <w:rsid w:val="00D14489"/>
    <w:rsid w:val="00D15105"/>
    <w:rsid w:val="00D15535"/>
    <w:rsid w:val="00D16609"/>
    <w:rsid w:val="00D17E9F"/>
    <w:rsid w:val="00D20A25"/>
    <w:rsid w:val="00D20A7A"/>
    <w:rsid w:val="00D20BAA"/>
    <w:rsid w:val="00D21084"/>
    <w:rsid w:val="00D211F1"/>
    <w:rsid w:val="00D2196C"/>
    <w:rsid w:val="00D22DBF"/>
    <w:rsid w:val="00D22F6A"/>
    <w:rsid w:val="00D231E7"/>
    <w:rsid w:val="00D24E8B"/>
    <w:rsid w:val="00D25050"/>
    <w:rsid w:val="00D26E75"/>
    <w:rsid w:val="00D27447"/>
    <w:rsid w:val="00D275F2"/>
    <w:rsid w:val="00D30637"/>
    <w:rsid w:val="00D30CE1"/>
    <w:rsid w:val="00D35628"/>
    <w:rsid w:val="00D35A1F"/>
    <w:rsid w:val="00D360EC"/>
    <w:rsid w:val="00D378A6"/>
    <w:rsid w:val="00D37D88"/>
    <w:rsid w:val="00D407E7"/>
    <w:rsid w:val="00D40921"/>
    <w:rsid w:val="00D40F2F"/>
    <w:rsid w:val="00D41FBE"/>
    <w:rsid w:val="00D424D9"/>
    <w:rsid w:val="00D42968"/>
    <w:rsid w:val="00D4310F"/>
    <w:rsid w:val="00D448D9"/>
    <w:rsid w:val="00D44B00"/>
    <w:rsid w:val="00D4714A"/>
    <w:rsid w:val="00D47150"/>
    <w:rsid w:val="00D477B6"/>
    <w:rsid w:val="00D50C94"/>
    <w:rsid w:val="00D530F9"/>
    <w:rsid w:val="00D5316A"/>
    <w:rsid w:val="00D53217"/>
    <w:rsid w:val="00D53ADD"/>
    <w:rsid w:val="00D55327"/>
    <w:rsid w:val="00D56815"/>
    <w:rsid w:val="00D572B2"/>
    <w:rsid w:val="00D572EC"/>
    <w:rsid w:val="00D57622"/>
    <w:rsid w:val="00D6010F"/>
    <w:rsid w:val="00D602E4"/>
    <w:rsid w:val="00D60312"/>
    <w:rsid w:val="00D60816"/>
    <w:rsid w:val="00D60DCE"/>
    <w:rsid w:val="00D64D09"/>
    <w:rsid w:val="00D66A05"/>
    <w:rsid w:val="00D67EE1"/>
    <w:rsid w:val="00D706AF"/>
    <w:rsid w:val="00D7092C"/>
    <w:rsid w:val="00D70A8C"/>
    <w:rsid w:val="00D7342D"/>
    <w:rsid w:val="00D73F71"/>
    <w:rsid w:val="00D749BE"/>
    <w:rsid w:val="00D74E4D"/>
    <w:rsid w:val="00D74EEC"/>
    <w:rsid w:val="00D74F11"/>
    <w:rsid w:val="00D75897"/>
    <w:rsid w:val="00D76233"/>
    <w:rsid w:val="00D76C88"/>
    <w:rsid w:val="00D771E7"/>
    <w:rsid w:val="00D80292"/>
    <w:rsid w:val="00D80479"/>
    <w:rsid w:val="00D83A31"/>
    <w:rsid w:val="00D84C64"/>
    <w:rsid w:val="00D8511C"/>
    <w:rsid w:val="00D85530"/>
    <w:rsid w:val="00D86019"/>
    <w:rsid w:val="00D86D73"/>
    <w:rsid w:val="00D87212"/>
    <w:rsid w:val="00D877F4"/>
    <w:rsid w:val="00D91AF2"/>
    <w:rsid w:val="00D927E1"/>
    <w:rsid w:val="00D932C2"/>
    <w:rsid w:val="00D93BBC"/>
    <w:rsid w:val="00D940AE"/>
    <w:rsid w:val="00D954B2"/>
    <w:rsid w:val="00D9552D"/>
    <w:rsid w:val="00D95FFC"/>
    <w:rsid w:val="00D96B0F"/>
    <w:rsid w:val="00DA11E9"/>
    <w:rsid w:val="00DA168A"/>
    <w:rsid w:val="00DA16FE"/>
    <w:rsid w:val="00DA1884"/>
    <w:rsid w:val="00DA356D"/>
    <w:rsid w:val="00DA4135"/>
    <w:rsid w:val="00DA548E"/>
    <w:rsid w:val="00DA6512"/>
    <w:rsid w:val="00DA6829"/>
    <w:rsid w:val="00DA6F66"/>
    <w:rsid w:val="00DA7006"/>
    <w:rsid w:val="00DB1854"/>
    <w:rsid w:val="00DB1922"/>
    <w:rsid w:val="00DB197F"/>
    <w:rsid w:val="00DB3125"/>
    <w:rsid w:val="00DB3A65"/>
    <w:rsid w:val="00DC0D30"/>
    <w:rsid w:val="00DC2D31"/>
    <w:rsid w:val="00DC2E4A"/>
    <w:rsid w:val="00DC41DA"/>
    <w:rsid w:val="00DC4B51"/>
    <w:rsid w:val="00DC6FBC"/>
    <w:rsid w:val="00DC702C"/>
    <w:rsid w:val="00DC7CA5"/>
    <w:rsid w:val="00DD05D6"/>
    <w:rsid w:val="00DD1204"/>
    <w:rsid w:val="00DD304C"/>
    <w:rsid w:val="00DD3BD3"/>
    <w:rsid w:val="00DD4F5C"/>
    <w:rsid w:val="00DD7FB4"/>
    <w:rsid w:val="00DE0694"/>
    <w:rsid w:val="00DE24DE"/>
    <w:rsid w:val="00DE3302"/>
    <w:rsid w:val="00DE33F4"/>
    <w:rsid w:val="00DE46B2"/>
    <w:rsid w:val="00DE61E3"/>
    <w:rsid w:val="00DF074E"/>
    <w:rsid w:val="00DF2118"/>
    <w:rsid w:val="00DF218F"/>
    <w:rsid w:val="00DF26F2"/>
    <w:rsid w:val="00DF34CF"/>
    <w:rsid w:val="00DF3D12"/>
    <w:rsid w:val="00DF6990"/>
    <w:rsid w:val="00DF6C74"/>
    <w:rsid w:val="00DF703A"/>
    <w:rsid w:val="00E00073"/>
    <w:rsid w:val="00E0057D"/>
    <w:rsid w:val="00E00C92"/>
    <w:rsid w:val="00E01B28"/>
    <w:rsid w:val="00E01F41"/>
    <w:rsid w:val="00E02202"/>
    <w:rsid w:val="00E022B4"/>
    <w:rsid w:val="00E02C35"/>
    <w:rsid w:val="00E03EE1"/>
    <w:rsid w:val="00E047BD"/>
    <w:rsid w:val="00E049C4"/>
    <w:rsid w:val="00E059FE"/>
    <w:rsid w:val="00E07BFB"/>
    <w:rsid w:val="00E12D0B"/>
    <w:rsid w:val="00E144A3"/>
    <w:rsid w:val="00E1538A"/>
    <w:rsid w:val="00E15923"/>
    <w:rsid w:val="00E17215"/>
    <w:rsid w:val="00E1754D"/>
    <w:rsid w:val="00E20BB3"/>
    <w:rsid w:val="00E22105"/>
    <w:rsid w:val="00E22A8D"/>
    <w:rsid w:val="00E22D5B"/>
    <w:rsid w:val="00E243DE"/>
    <w:rsid w:val="00E2499E"/>
    <w:rsid w:val="00E2557D"/>
    <w:rsid w:val="00E25600"/>
    <w:rsid w:val="00E2694F"/>
    <w:rsid w:val="00E26F94"/>
    <w:rsid w:val="00E27237"/>
    <w:rsid w:val="00E273EF"/>
    <w:rsid w:val="00E306DB"/>
    <w:rsid w:val="00E31A05"/>
    <w:rsid w:val="00E31EC5"/>
    <w:rsid w:val="00E33242"/>
    <w:rsid w:val="00E33815"/>
    <w:rsid w:val="00E345F5"/>
    <w:rsid w:val="00E356BF"/>
    <w:rsid w:val="00E41E48"/>
    <w:rsid w:val="00E42CF8"/>
    <w:rsid w:val="00E4306D"/>
    <w:rsid w:val="00E44170"/>
    <w:rsid w:val="00E45642"/>
    <w:rsid w:val="00E45E41"/>
    <w:rsid w:val="00E47173"/>
    <w:rsid w:val="00E50A2E"/>
    <w:rsid w:val="00E5289C"/>
    <w:rsid w:val="00E5307F"/>
    <w:rsid w:val="00E537C5"/>
    <w:rsid w:val="00E54D1B"/>
    <w:rsid w:val="00E568EF"/>
    <w:rsid w:val="00E56D0A"/>
    <w:rsid w:val="00E60433"/>
    <w:rsid w:val="00E61DC2"/>
    <w:rsid w:val="00E63568"/>
    <w:rsid w:val="00E64D0C"/>
    <w:rsid w:val="00E6561A"/>
    <w:rsid w:val="00E66545"/>
    <w:rsid w:val="00E67461"/>
    <w:rsid w:val="00E67777"/>
    <w:rsid w:val="00E705ED"/>
    <w:rsid w:val="00E70693"/>
    <w:rsid w:val="00E71CA0"/>
    <w:rsid w:val="00E72390"/>
    <w:rsid w:val="00E7535C"/>
    <w:rsid w:val="00E761A4"/>
    <w:rsid w:val="00E76837"/>
    <w:rsid w:val="00E76B6D"/>
    <w:rsid w:val="00E779F8"/>
    <w:rsid w:val="00E807EB"/>
    <w:rsid w:val="00E8243E"/>
    <w:rsid w:val="00E83FDB"/>
    <w:rsid w:val="00E8493A"/>
    <w:rsid w:val="00E84CF8"/>
    <w:rsid w:val="00E84D33"/>
    <w:rsid w:val="00E85146"/>
    <w:rsid w:val="00E858D2"/>
    <w:rsid w:val="00E870B1"/>
    <w:rsid w:val="00E92474"/>
    <w:rsid w:val="00E9372F"/>
    <w:rsid w:val="00E94E1D"/>
    <w:rsid w:val="00E9530D"/>
    <w:rsid w:val="00E9584E"/>
    <w:rsid w:val="00E96E3A"/>
    <w:rsid w:val="00E96E68"/>
    <w:rsid w:val="00EA0884"/>
    <w:rsid w:val="00EA0D80"/>
    <w:rsid w:val="00EA18AF"/>
    <w:rsid w:val="00EA2D25"/>
    <w:rsid w:val="00EA534C"/>
    <w:rsid w:val="00EB1D4D"/>
    <w:rsid w:val="00EB1EC9"/>
    <w:rsid w:val="00EB2199"/>
    <w:rsid w:val="00EB2E54"/>
    <w:rsid w:val="00EB42A3"/>
    <w:rsid w:val="00EB6451"/>
    <w:rsid w:val="00EB6805"/>
    <w:rsid w:val="00EB6E00"/>
    <w:rsid w:val="00EB7050"/>
    <w:rsid w:val="00EB79B4"/>
    <w:rsid w:val="00EC3837"/>
    <w:rsid w:val="00EC3BC6"/>
    <w:rsid w:val="00EC56DC"/>
    <w:rsid w:val="00EC700C"/>
    <w:rsid w:val="00ED07E2"/>
    <w:rsid w:val="00ED56D8"/>
    <w:rsid w:val="00ED648F"/>
    <w:rsid w:val="00EE0530"/>
    <w:rsid w:val="00EE259F"/>
    <w:rsid w:val="00EE287C"/>
    <w:rsid w:val="00EE3EBA"/>
    <w:rsid w:val="00EE78FB"/>
    <w:rsid w:val="00EF0ACA"/>
    <w:rsid w:val="00EF16FA"/>
    <w:rsid w:val="00EF41BD"/>
    <w:rsid w:val="00EF41C2"/>
    <w:rsid w:val="00EF475F"/>
    <w:rsid w:val="00EF4A9C"/>
    <w:rsid w:val="00EF52E9"/>
    <w:rsid w:val="00EF555C"/>
    <w:rsid w:val="00EF59FB"/>
    <w:rsid w:val="00EF6064"/>
    <w:rsid w:val="00EF6CD4"/>
    <w:rsid w:val="00EF7D6C"/>
    <w:rsid w:val="00EF7E68"/>
    <w:rsid w:val="00EF7F4B"/>
    <w:rsid w:val="00F001A8"/>
    <w:rsid w:val="00F001B1"/>
    <w:rsid w:val="00F0122D"/>
    <w:rsid w:val="00F01B1F"/>
    <w:rsid w:val="00F02AEB"/>
    <w:rsid w:val="00F04601"/>
    <w:rsid w:val="00F075E2"/>
    <w:rsid w:val="00F077F6"/>
    <w:rsid w:val="00F10087"/>
    <w:rsid w:val="00F10461"/>
    <w:rsid w:val="00F11787"/>
    <w:rsid w:val="00F12982"/>
    <w:rsid w:val="00F12EE2"/>
    <w:rsid w:val="00F12F8A"/>
    <w:rsid w:val="00F13C1F"/>
    <w:rsid w:val="00F13F62"/>
    <w:rsid w:val="00F14DC5"/>
    <w:rsid w:val="00F15FE6"/>
    <w:rsid w:val="00F17FB0"/>
    <w:rsid w:val="00F20C2D"/>
    <w:rsid w:val="00F22A10"/>
    <w:rsid w:val="00F23099"/>
    <w:rsid w:val="00F23143"/>
    <w:rsid w:val="00F23BBF"/>
    <w:rsid w:val="00F24920"/>
    <w:rsid w:val="00F25D5C"/>
    <w:rsid w:val="00F26159"/>
    <w:rsid w:val="00F26856"/>
    <w:rsid w:val="00F2735C"/>
    <w:rsid w:val="00F275CE"/>
    <w:rsid w:val="00F3059C"/>
    <w:rsid w:val="00F3225D"/>
    <w:rsid w:val="00F3358C"/>
    <w:rsid w:val="00F33687"/>
    <w:rsid w:val="00F33792"/>
    <w:rsid w:val="00F33862"/>
    <w:rsid w:val="00F33A0B"/>
    <w:rsid w:val="00F34CBE"/>
    <w:rsid w:val="00F35261"/>
    <w:rsid w:val="00F369C0"/>
    <w:rsid w:val="00F36A30"/>
    <w:rsid w:val="00F379CB"/>
    <w:rsid w:val="00F418B9"/>
    <w:rsid w:val="00F42F7B"/>
    <w:rsid w:val="00F44C9D"/>
    <w:rsid w:val="00F450E3"/>
    <w:rsid w:val="00F451D9"/>
    <w:rsid w:val="00F46C4D"/>
    <w:rsid w:val="00F47622"/>
    <w:rsid w:val="00F54D59"/>
    <w:rsid w:val="00F5574A"/>
    <w:rsid w:val="00F55B3F"/>
    <w:rsid w:val="00F568F6"/>
    <w:rsid w:val="00F57D1D"/>
    <w:rsid w:val="00F608F2"/>
    <w:rsid w:val="00F61032"/>
    <w:rsid w:val="00F6319F"/>
    <w:rsid w:val="00F631A8"/>
    <w:rsid w:val="00F63F53"/>
    <w:rsid w:val="00F64038"/>
    <w:rsid w:val="00F64791"/>
    <w:rsid w:val="00F64C83"/>
    <w:rsid w:val="00F67FFC"/>
    <w:rsid w:val="00F7207A"/>
    <w:rsid w:val="00F72A4F"/>
    <w:rsid w:val="00F73966"/>
    <w:rsid w:val="00F75007"/>
    <w:rsid w:val="00F77AC0"/>
    <w:rsid w:val="00F8173E"/>
    <w:rsid w:val="00F820D2"/>
    <w:rsid w:val="00F83C6C"/>
    <w:rsid w:val="00F84D9B"/>
    <w:rsid w:val="00F92521"/>
    <w:rsid w:val="00F92E9E"/>
    <w:rsid w:val="00F93291"/>
    <w:rsid w:val="00F933A1"/>
    <w:rsid w:val="00F9463A"/>
    <w:rsid w:val="00F94738"/>
    <w:rsid w:val="00F9696C"/>
    <w:rsid w:val="00F97ABF"/>
    <w:rsid w:val="00FA5D64"/>
    <w:rsid w:val="00FB1C03"/>
    <w:rsid w:val="00FB2D25"/>
    <w:rsid w:val="00FB67FC"/>
    <w:rsid w:val="00FB6A39"/>
    <w:rsid w:val="00FB70EC"/>
    <w:rsid w:val="00FC1056"/>
    <w:rsid w:val="00FC2236"/>
    <w:rsid w:val="00FC24D9"/>
    <w:rsid w:val="00FC3367"/>
    <w:rsid w:val="00FC499A"/>
    <w:rsid w:val="00FC568B"/>
    <w:rsid w:val="00FC6052"/>
    <w:rsid w:val="00FC6F53"/>
    <w:rsid w:val="00FD0390"/>
    <w:rsid w:val="00FD0869"/>
    <w:rsid w:val="00FD0B60"/>
    <w:rsid w:val="00FD4186"/>
    <w:rsid w:val="00FD58CC"/>
    <w:rsid w:val="00FD5FBD"/>
    <w:rsid w:val="00FD6AF3"/>
    <w:rsid w:val="00FD745C"/>
    <w:rsid w:val="00FD74A8"/>
    <w:rsid w:val="00FE278A"/>
    <w:rsid w:val="00FE5836"/>
    <w:rsid w:val="00FE7495"/>
    <w:rsid w:val="00FF08A5"/>
    <w:rsid w:val="00FF0931"/>
    <w:rsid w:val="00FF11BD"/>
    <w:rsid w:val="00FF440A"/>
    <w:rsid w:val="00FF569D"/>
    <w:rsid w:val="00FF67F0"/>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640EEF5"/>
  <w15:docId w15:val="{9373B513-2F78-436E-8AD4-A48A01D0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11B"/>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A620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0111B"/>
  </w:style>
  <w:style w:type="paragraph" w:customStyle="1" w:styleId="Level1">
    <w:name w:val="Level 1"/>
    <w:basedOn w:val="Normal"/>
    <w:rsid w:val="0070111B"/>
    <w:pPr>
      <w:ind w:left="720" w:hanging="720"/>
    </w:pPr>
  </w:style>
  <w:style w:type="paragraph" w:customStyle="1" w:styleId="Style">
    <w:name w:val="Style"/>
    <w:basedOn w:val="Normal"/>
    <w:rsid w:val="0070111B"/>
    <w:pPr>
      <w:ind w:left="720" w:hanging="720"/>
    </w:pPr>
  </w:style>
  <w:style w:type="paragraph" w:customStyle="1" w:styleId="a">
    <w:name w:val="_"/>
    <w:basedOn w:val="Normal"/>
    <w:rsid w:val="0070111B"/>
    <w:pPr>
      <w:ind w:left="720" w:hanging="720"/>
    </w:pPr>
  </w:style>
  <w:style w:type="paragraph" w:customStyle="1" w:styleId="Quick1">
    <w:name w:val="Quick 1."/>
    <w:basedOn w:val="Normal"/>
    <w:rsid w:val="0070111B"/>
    <w:pPr>
      <w:numPr>
        <w:numId w:val="1"/>
      </w:numPr>
      <w:ind w:left="720" w:hanging="720"/>
    </w:pPr>
  </w:style>
  <w:style w:type="paragraph" w:customStyle="1" w:styleId="Quicka">
    <w:name w:val="Quick a)"/>
    <w:basedOn w:val="Normal"/>
    <w:rsid w:val="0070111B"/>
    <w:pPr>
      <w:numPr>
        <w:numId w:val="2"/>
      </w:numPr>
      <w:ind w:left="1440" w:hanging="720"/>
    </w:pPr>
  </w:style>
  <w:style w:type="paragraph" w:customStyle="1" w:styleId="QuickA0">
    <w:name w:val="Quick A."/>
    <w:basedOn w:val="Normal"/>
    <w:rsid w:val="0070111B"/>
    <w:pPr>
      <w:numPr>
        <w:numId w:val="3"/>
      </w:numPr>
      <w:ind w:left="720" w:hanging="720"/>
    </w:pPr>
  </w:style>
  <w:style w:type="paragraph" w:styleId="Header">
    <w:name w:val="header"/>
    <w:basedOn w:val="Normal"/>
    <w:link w:val="HeaderChar"/>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basedOn w:val="DefaultParagraphFont"/>
    <w:uiPriority w:val="99"/>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uiPriority w:val="39"/>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82303"/>
    <w:rPr>
      <w:rFonts w:ascii="Tahoma" w:hAnsi="Tahoma"/>
      <w:sz w:val="16"/>
      <w:szCs w:val="16"/>
    </w:rPr>
  </w:style>
  <w:style w:type="paragraph" w:styleId="ListParagraph">
    <w:name w:val="List Paragraph"/>
    <w:basedOn w:val="Normal"/>
    <w:link w:val="ListParagraphChar"/>
    <w:uiPriority w:val="1"/>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AC6C3A"/>
    <w:rPr>
      <w:b/>
      <w:bCs/>
    </w:rPr>
  </w:style>
  <w:style w:type="character" w:styleId="CommentReference">
    <w:name w:val="annotation reference"/>
    <w:basedOn w:val="DefaultParagraphFont"/>
    <w:uiPriority w:val="99"/>
    <w:rsid w:val="00F63F53"/>
    <w:rPr>
      <w:sz w:val="16"/>
      <w:szCs w:val="16"/>
    </w:rPr>
  </w:style>
  <w:style w:type="paragraph" w:styleId="CommentText">
    <w:name w:val="annotation text"/>
    <w:basedOn w:val="Normal"/>
    <w:link w:val="CommentTextChar"/>
    <w:uiPriority w:val="99"/>
    <w:rsid w:val="00F63F53"/>
    <w:rPr>
      <w:sz w:val="20"/>
      <w:szCs w:val="20"/>
    </w:rPr>
  </w:style>
  <w:style w:type="character" w:customStyle="1" w:styleId="CommentTextChar">
    <w:name w:val="Comment Text Char"/>
    <w:basedOn w:val="DefaultParagraphFont"/>
    <w:link w:val="CommentText"/>
    <w:uiPriority w:val="99"/>
    <w:rsid w:val="00F63F53"/>
    <w:rPr>
      <w:rFonts w:ascii="Courier" w:hAnsi="Courier"/>
    </w:rPr>
  </w:style>
  <w:style w:type="paragraph" w:styleId="CommentSubject">
    <w:name w:val="annotation subject"/>
    <w:basedOn w:val="CommentText"/>
    <w:next w:val="CommentText"/>
    <w:link w:val="CommentSubjectChar"/>
    <w:uiPriority w:val="99"/>
    <w:rsid w:val="00F63F53"/>
    <w:rPr>
      <w:b/>
      <w:bCs/>
    </w:rPr>
  </w:style>
  <w:style w:type="character" w:customStyle="1" w:styleId="CommentSubjectChar">
    <w:name w:val="Comment Subject Char"/>
    <w:basedOn w:val="CommentTextChar"/>
    <w:link w:val="CommentSubject"/>
    <w:uiPriority w:val="99"/>
    <w:rsid w:val="00F63F53"/>
    <w:rPr>
      <w:rFonts w:ascii="Courier" w:hAnsi="Courier"/>
      <w:b/>
      <w:bCs/>
    </w:rPr>
  </w:style>
  <w:style w:type="character" w:styleId="FollowedHyperlink">
    <w:name w:val="FollowedHyperlink"/>
    <w:basedOn w:val="DefaultParagraphFont"/>
    <w:uiPriority w:val="99"/>
    <w:rsid w:val="00DF6990"/>
    <w:rPr>
      <w:color w:val="800080" w:themeColor="followedHyperlink"/>
      <w:u w:val="single"/>
    </w:rPr>
  </w:style>
  <w:style w:type="paragraph" w:styleId="NormalWeb">
    <w:name w:val="Normal (Web)"/>
    <w:basedOn w:val="Normal"/>
    <w:uiPriority w:val="99"/>
    <w:rsid w:val="000A3A79"/>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0A3A79"/>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0A3A7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A3A79"/>
    <w:rPr>
      <w:rFonts w:ascii="Consolas" w:hAnsi="Consolas"/>
      <w:sz w:val="21"/>
      <w:szCs w:val="21"/>
    </w:rPr>
  </w:style>
  <w:style w:type="paragraph" w:styleId="NoSpacing">
    <w:name w:val="No Spacing"/>
    <w:uiPriority w:val="1"/>
    <w:qFormat/>
    <w:rsid w:val="000A3A79"/>
    <w:pPr>
      <w:widowControl w:val="0"/>
      <w:autoSpaceDE w:val="0"/>
      <w:autoSpaceDN w:val="0"/>
      <w:adjustRightInd w:val="0"/>
    </w:pPr>
    <w:rPr>
      <w:sz w:val="24"/>
      <w:szCs w:val="24"/>
    </w:rPr>
  </w:style>
  <w:style w:type="paragraph" w:styleId="Subtitle">
    <w:name w:val="Subtitle"/>
    <w:basedOn w:val="Normal"/>
    <w:next w:val="Normal"/>
    <w:link w:val="SubtitleChar"/>
    <w:qFormat/>
    <w:rsid w:val="00A348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487B"/>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rsid w:val="00A6201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62018"/>
    <w:pPr>
      <w:widowControl/>
      <w:autoSpaceDE/>
      <w:autoSpaceDN/>
      <w:adjustRightInd/>
      <w:spacing w:line="259" w:lineRule="auto"/>
      <w:outlineLvl w:val="9"/>
    </w:pPr>
  </w:style>
  <w:style w:type="paragraph" w:styleId="TOC1">
    <w:name w:val="toc 1"/>
    <w:basedOn w:val="Normal"/>
    <w:next w:val="Normal"/>
    <w:autoRedefine/>
    <w:uiPriority w:val="39"/>
    <w:unhideWhenUsed/>
    <w:rsid w:val="00A62018"/>
    <w:pPr>
      <w:spacing w:after="100"/>
    </w:pPr>
  </w:style>
  <w:style w:type="paragraph" w:styleId="TOC2">
    <w:name w:val="toc 2"/>
    <w:basedOn w:val="Normal"/>
    <w:next w:val="Normal"/>
    <w:autoRedefine/>
    <w:uiPriority w:val="39"/>
    <w:unhideWhenUsed/>
    <w:rsid w:val="003149DD"/>
    <w:pPr>
      <w:tabs>
        <w:tab w:val="right" w:leader="dot" w:pos="9350"/>
      </w:tabs>
      <w:spacing w:after="100"/>
      <w:ind w:left="240"/>
    </w:pPr>
    <w:rPr>
      <w:rFonts w:cstheme="minorHAnsi"/>
      <w:noProof/>
    </w:rPr>
  </w:style>
  <w:style w:type="character" w:styleId="UnresolvedMention">
    <w:name w:val="Unresolved Mention"/>
    <w:basedOn w:val="DefaultParagraphFont"/>
    <w:uiPriority w:val="99"/>
    <w:semiHidden/>
    <w:unhideWhenUsed/>
    <w:rsid w:val="007C7E0A"/>
    <w:rPr>
      <w:color w:val="605E5C"/>
      <w:shd w:val="clear" w:color="auto" w:fill="E1DFDD"/>
    </w:rPr>
  </w:style>
  <w:style w:type="paragraph" w:styleId="BodyText">
    <w:name w:val="Body Text"/>
    <w:basedOn w:val="Normal"/>
    <w:link w:val="BodyTextChar"/>
    <w:semiHidden/>
    <w:unhideWhenUsed/>
    <w:rsid w:val="00527E31"/>
    <w:pPr>
      <w:spacing w:after="120"/>
    </w:pPr>
  </w:style>
  <w:style w:type="character" w:customStyle="1" w:styleId="BodyTextChar">
    <w:name w:val="Body Text Char"/>
    <w:basedOn w:val="DefaultParagraphFont"/>
    <w:link w:val="BodyText"/>
    <w:semiHidden/>
    <w:rsid w:val="00527E31"/>
    <w:rPr>
      <w:rFonts w:ascii="Courier" w:hAnsi="Courier"/>
      <w:sz w:val="24"/>
      <w:szCs w:val="24"/>
    </w:rPr>
  </w:style>
  <w:style w:type="paragraph" w:styleId="FootnoteText">
    <w:name w:val="footnote text"/>
    <w:basedOn w:val="Normal"/>
    <w:link w:val="FootnoteTextChar"/>
    <w:semiHidden/>
    <w:unhideWhenUsed/>
    <w:rsid w:val="001E396E"/>
    <w:rPr>
      <w:sz w:val="20"/>
      <w:szCs w:val="20"/>
    </w:rPr>
  </w:style>
  <w:style w:type="character" w:customStyle="1" w:styleId="FootnoteTextChar">
    <w:name w:val="Footnote Text Char"/>
    <w:basedOn w:val="DefaultParagraphFont"/>
    <w:link w:val="FootnoteText"/>
    <w:semiHidden/>
    <w:rsid w:val="001E396E"/>
    <w:rPr>
      <w:rFonts w:ascii="Courier" w:hAnsi="Courier"/>
    </w:rPr>
  </w:style>
  <w:style w:type="character" w:customStyle="1" w:styleId="HeaderChar">
    <w:name w:val="Header Char"/>
    <w:basedOn w:val="DefaultParagraphFont"/>
    <w:link w:val="Header"/>
    <w:rsid w:val="00A13866"/>
    <w:rPr>
      <w:rFonts w:ascii="Courier" w:hAnsi="Courier"/>
      <w:sz w:val="24"/>
      <w:szCs w:val="24"/>
    </w:rPr>
  </w:style>
  <w:style w:type="character" w:customStyle="1" w:styleId="FooterChar">
    <w:name w:val="Footer Char"/>
    <w:basedOn w:val="DefaultParagraphFont"/>
    <w:link w:val="Footer"/>
    <w:uiPriority w:val="99"/>
    <w:rsid w:val="00A13866"/>
    <w:rPr>
      <w:rFonts w:ascii="Courier" w:hAnsi="Courier"/>
      <w:sz w:val="24"/>
      <w:szCs w:val="24"/>
    </w:rPr>
  </w:style>
  <w:style w:type="character" w:customStyle="1" w:styleId="BalloonTextChar">
    <w:name w:val="Balloon Text Char"/>
    <w:basedOn w:val="DefaultParagraphFont"/>
    <w:link w:val="BalloonText"/>
    <w:uiPriority w:val="99"/>
    <w:semiHidden/>
    <w:rsid w:val="00A13866"/>
    <w:rPr>
      <w:rFonts w:ascii="Tahoma" w:hAnsi="Tahoma"/>
      <w:sz w:val="16"/>
      <w:szCs w:val="16"/>
    </w:rPr>
  </w:style>
  <w:style w:type="character" w:customStyle="1" w:styleId="title-text">
    <w:name w:val="title-text"/>
    <w:basedOn w:val="DefaultParagraphFont"/>
    <w:rsid w:val="00A13866"/>
  </w:style>
  <w:style w:type="character" w:customStyle="1" w:styleId="ListParagraphChar">
    <w:name w:val="List Paragraph Char"/>
    <w:basedOn w:val="DefaultParagraphFont"/>
    <w:link w:val="ListParagraph"/>
    <w:uiPriority w:val="1"/>
    <w:rsid w:val="00A13866"/>
    <w:rPr>
      <w:rFonts w:ascii="Calibri" w:eastAsia="Calibri" w:hAnsi="Calibri"/>
      <w:sz w:val="22"/>
      <w:szCs w:val="22"/>
    </w:rPr>
  </w:style>
  <w:style w:type="paragraph" w:customStyle="1" w:styleId="EndNoteBibliography">
    <w:name w:val="EndNote Bibliography"/>
    <w:basedOn w:val="Normal"/>
    <w:link w:val="EndNoteBibliographyChar"/>
    <w:rsid w:val="00A13866"/>
    <w:pPr>
      <w:widowControl/>
      <w:numPr>
        <w:numId w:val="22"/>
      </w:numPr>
      <w:autoSpaceDE/>
      <w:autoSpaceDN/>
      <w:adjustRightInd/>
      <w:spacing w:after="160"/>
    </w:pPr>
    <w:rPr>
      <w:rFonts w:ascii="Calibri" w:eastAsiaTheme="minorHAnsi" w:hAnsi="Calibri" w:cs="Calibri"/>
      <w:noProof/>
      <w:sz w:val="22"/>
      <w:szCs w:val="22"/>
    </w:rPr>
  </w:style>
  <w:style w:type="character" w:customStyle="1" w:styleId="EndNoteBibliographyChar">
    <w:name w:val="EndNote Bibliography Char"/>
    <w:basedOn w:val="ListParagraphChar"/>
    <w:link w:val="EndNoteBibliography"/>
    <w:rsid w:val="00A13866"/>
    <w:rPr>
      <w:rFonts w:ascii="Calibri" w:eastAsiaTheme="minorHAns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27528">
      <w:bodyDiv w:val="1"/>
      <w:marLeft w:val="0"/>
      <w:marRight w:val="0"/>
      <w:marTop w:val="0"/>
      <w:marBottom w:val="0"/>
      <w:divBdr>
        <w:top w:val="none" w:sz="0" w:space="0" w:color="auto"/>
        <w:left w:val="none" w:sz="0" w:space="0" w:color="auto"/>
        <w:bottom w:val="none" w:sz="0" w:space="0" w:color="auto"/>
        <w:right w:val="none" w:sz="0" w:space="0" w:color="auto"/>
      </w:divBdr>
    </w:div>
    <w:div w:id="329798545">
      <w:bodyDiv w:val="1"/>
      <w:marLeft w:val="0"/>
      <w:marRight w:val="0"/>
      <w:marTop w:val="0"/>
      <w:marBottom w:val="0"/>
      <w:divBdr>
        <w:top w:val="none" w:sz="0" w:space="0" w:color="auto"/>
        <w:left w:val="none" w:sz="0" w:space="0" w:color="auto"/>
        <w:bottom w:val="none" w:sz="0" w:space="0" w:color="auto"/>
        <w:right w:val="none" w:sz="0" w:space="0" w:color="auto"/>
      </w:divBdr>
    </w:div>
    <w:div w:id="408190289">
      <w:bodyDiv w:val="1"/>
      <w:marLeft w:val="0"/>
      <w:marRight w:val="0"/>
      <w:marTop w:val="0"/>
      <w:marBottom w:val="0"/>
      <w:divBdr>
        <w:top w:val="none" w:sz="0" w:space="0" w:color="auto"/>
        <w:left w:val="none" w:sz="0" w:space="0" w:color="auto"/>
        <w:bottom w:val="none" w:sz="0" w:space="0" w:color="auto"/>
        <w:right w:val="none" w:sz="0" w:space="0" w:color="auto"/>
      </w:divBdr>
    </w:div>
    <w:div w:id="515123505">
      <w:bodyDiv w:val="1"/>
      <w:marLeft w:val="0"/>
      <w:marRight w:val="0"/>
      <w:marTop w:val="0"/>
      <w:marBottom w:val="0"/>
      <w:divBdr>
        <w:top w:val="none" w:sz="0" w:space="0" w:color="auto"/>
        <w:left w:val="none" w:sz="0" w:space="0" w:color="auto"/>
        <w:bottom w:val="none" w:sz="0" w:space="0" w:color="auto"/>
        <w:right w:val="none" w:sz="0" w:space="0" w:color="auto"/>
      </w:divBdr>
    </w:div>
    <w:div w:id="613024524">
      <w:bodyDiv w:val="1"/>
      <w:marLeft w:val="0"/>
      <w:marRight w:val="0"/>
      <w:marTop w:val="0"/>
      <w:marBottom w:val="0"/>
      <w:divBdr>
        <w:top w:val="none" w:sz="0" w:space="0" w:color="auto"/>
        <w:left w:val="none" w:sz="0" w:space="0" w:color="auto"/>
        <w:bottom w:val="none" w:sz="0" w:space="0" w:color="auto"/>
        <w:right w:val="none" w:sz="0" w:space="0" w:color="auto"/>
      </w:divBdr>
    </w:div>
    <w:div w:id="672419062">
      <w:bodyDiv w:val="1"/>
      <w:marLeft w:val="0"/>
      <w:marRight w:val="0"/>
      <w:marTop w:val="0"/>
      <w:marBottom w:val="0"/>
      <w:divBdr>
        <w:top w:val="none" w:sz="0" w:space="0" w:color="auto"/>
        <w:left w:val="none" w:sz="0" w:space="0" w:color="auto"/>
        <w:bottom w:val="none" w:sz="0" w:space="0" w:color="auto"/>
        <w:right w:val="none" w:sz="0" w:space="0" w:color="auto"/>
      </w:divBdr>
    </w:div>
    <w:div w:id="679501582">
      <w:bodyDiv w:val="1"/>
      <w:marLeft w:val="0"/>
      <w:marRight w:val="0"/>
      <w:marTop w:val="0"/>
      <w:marBottom w:val="0"/>
      <w:divBdr>
        <w:top w:val="none" w:sz="0" w:space="0" w:color="auto"/>
        <w:left w:val="none" w:sz="0" w:space="0" w:color="auto"/>
        <w:bottom w:val="none" w:sz="0" w:space="0" w:color="auto"/>
        <w:right w:val="none" w:sz="0" w:space="0" w:color="auto"/>
      </w:divBdr>
    </w:div>
    <w:div w:id="734014310">
      <w:bodyDiv w:val="1"/>
      <w:marLeft w:val="0"/>
      <w:marRight w:val="0"/>
      <w:marTop w:val="0"/>
      <w:marBottom w:val="0"/>
      <w:divBdr>
        <w:top w:val="none" w:sz="0" w:space="0" w:color="auto"/>
        <w:left w:val="none" w:sz="0" w:space="0" w:color="auto"/>
        <w:bottom w:val="none" w:sz="0" w:space="0" w:color="auto"/>
        <w:right w:val="none" w:sz="0" w:space="0" w:color="auto"/>
      </w:divBdr>
    </w:div>
    <w:div w:id="754671125">
      <w:bodyDiv w:val="1"/>
      <w:marLeft w:val="0"/>
      <w:marRight w:val="0"/>
      <w:marTop w:val="0"/>
      <w:marBottom w:val="0"/>
      <w:divBdr>
        <w:top w:val="none" w:sz="0" w:space="0" w:color="auto"/>
        <w:left w:val="none" w:sz="0" w:space="0" w:color="auto"/>
        <w:bottom w:val="none" w:sz="0" w:space="0" w:color="auto"/>
        <w:right w:val="none" w:sz="0" w:space="0" w:color="auto"/>
      </w:divBdr>
    </w:div>
    <w:div w:id="776608184">
      <w:bodyDiv w:val="1"/>
      <w:marLeft w:val="0"/>
      <w:marRight w:val="0"/>
      <w:marTop w:val="0"/>
      <w:marBottom w:val="0"/>
      <w:divBdr>
        <w:top w:val="none" w:sz="0" w:space="0" w:color="auto"/>
        <w:left w:val="none" w:sz="0" w:space="0" w:color="auto"/>
        <w:bottom w:val="none" w:sz="0" w:space="0" w:color="auto"/>
        <w:right w:val="none" w:sz="0" w:space="0" w:color="auto"/>
      </w:divBdr>
      <w:divsChild>
        <w:div w:id="1781486592">
          <w:marLeft w:val="0"/>
          <w:marRight w:val="0"/>
          <w:marTop w:val="0"/>
          <w:marBottom w:val="0"/>
          <w:divBdr>
            <w:top w:val="none" w:sz="0" w:space="0" w:color="auto"/>
            <w:left w:val="none" w:sz="0" w:space="0" w:color="auto"/>
            <w:bottom w:val="none" w:sz="0" w:space="0" w:color="auto"/>
            <w:right w:val="none" w:sz="0" w:space="0" w:color="auto"/>
          </w:divBdr>
        </w:div>
      </w:divsChild>
    </w:div>
    <w:div w:id="805708145">
      <w:bodyDiv w:val="1"/>
      <w:marLeft w:val="0"/>
      <w:marRight w:val="0"/>
      <w:marTop w:val="0"/>
      <w:marBottom w:val="0"/>
      <w:divBdr>
        <w:top w:val="none" w:sz="0" w:space="0" w:color="auto"/>
        <w:left w:val="none" w:sz="0" w:space="0" w:color="auto"/>
        <w:bottom w:val="none" w:sz="0" w:space="0" w:color="auto"/>
        <w:right w:val="none" w:sz="0" w:space="0" w:color="auto"/>
      </w:divBdr>
    </w:div>
    <w:div w:id="825324135">
      <w:bodyDiv w:val="1"/>
      <w:marLeft w:val="0"/>
      <w:marRight w:val="0"/>
      <w:marTop w:val="0"/>
      <w:marBottom w:val="0"/>
      <w:divBdr>
        <w:top w:val="none" w:sz="0" w:space="0" w:color="auto"/>
        <w:left w:val="none" w:sz="0" w:space="0" w:color="auto"/>
        <w:bottom w:val="none" w:sz="0" w:space="0" w:color="auto"/>
        <w:right w:val="none" w:sz="0" w:space="0" w:color="auto"/>
      </w:divBdr>
    </w:div>
    <w:div w:id="847058758">
      <w:bodyDiv w:val="1"/>
      <w:marLeft w:val="0"/>
      <w:marRight w:val="0"/>
      <w:marTop w:val="0"/>
      <w:marBottom w:val="0"/>
      <w:divBdr>
        <w:top w:val="none" w:sz="0" w:space="0" w:color="auto"/>
        <w:left w:val="none" w:sz="0" w:space="0" w:color="auto"/>
        <w:bottom w:val="none" w:sz="0" w:space="0" w:color="auto"/>
        <w:right w:val="none" w:sz="0" w:space="0" w:color="auto"/>
      </w:divBdr>
    </w:div>
    <w:div w:id="1251937216">
      <w:bodyDiv w:val="1"/>
      <w:marLeft w:val="0"/>
      <w:marRight w:val="0"/>
      <w:marTop w:val="0"/>
      <w:marBottom w:val="0"/>
      <w:divBdr>
        <w:top w:val="none" w:sz="0" w:space="0" w:color="auto"/>
        <w:left w:val="none" w:sz="0" w:space="0" w:color="auto"/>
        <w:bottom w:val="none" w:sz="0" w:space="0" w:color="auto"/>
        <w:right w:val="none" w:sz="0" w:space="0" w:color="auto"/>
      </w:divBdr>
    </w:div>
    <w:div w:id="1271232305">
      <w:bodyDiv w:val="1"/>
      <w:marLeft w:val="0"/>
      <w:marRight w:val="0"/>
      <w:marTop w:val="0"/>
      <w:marBottom w:val="0"/>
      <w:divBdr>
        <w:top w:val="none" w:sz="0" w:space="0" w:color="auto"/>
        <w:left w:val="none" w:sz="0" w:space="0" w:color="auto"/>
        <w:bottom w:val="none" w:sz="0" w:space="0" w:color="auto"/>
        <w:right w:val="none" w:sz="0" w:space="0" w:color="auto"/>
      </w:divBdr>
    </w:div>
    <w:div w:id="1439524416">
      <w:bodyDiv w:val="1"/>
      <w:marLeft w:val="0"/>
      <w:marRight w:val="0"/>
      <w:marTop w:val="0"/>
      <w:marBottom w:val="0"/>
      <w:divBdr>
        <w:top w:val="none" w:sz="0" w:space="0" w:color="auto"/>
        <w:left w:val="none" w:sz="0" w:space="0" w:color="auto"/>
        <w:bottom w:val="none" w:sz="0" w:space="0" w:color="auto"/>
        <w:right w:val="none" w:sz="0" w:space="0" w:color="auto"/>
      </w:divBdr>
    </w:div>
    <w:div w:id="1473526230">
      <w:bodyDiv w:val="1"/>
      <w:marLeft w:val="0"/>
      <w:marRight w:val="0"/>
      <w:marTop w:val="0"/>
      <w:marBottom w:val="0"/>
      <w:divBdr>
        <w:top w:val="none" w:sz="0" w:space="0" w:color="auto"/>
        <w:left w:val="none" w:sz="0" w:space="0" w:color="auto"/>
        <w:bottom w:val="none" w:sz="0" w:space="0" w:color="auto"/>
        <w:right w:val="none" w:sz="0" w:space="0" w:color="auto"/>
      </w:divBdr>
    </w:div>
    <w:div w:id="1537504461">
      <w:bodyDiv w:val="1"/>
      <w:marLeft w:val="0"/>
      <w:marRight w:val="0"/>
      <w:marTop w:val="0"/>
      <w:marBottom w:val="0"/>
      <w:divBdr>
        <w:top w:val="none" w:sz="0" w:space="0" w:color="auto"/>
        <w:left w:val="none" w:sz="0" w:space="0" w:color="auto"/>
        <w:bottom w:val="none" w:sz="0" w:space="0" w:color="auto"/>
        <w:right w:val="none" w:sz="0" w:space="0" w:color="auto"/>
      </w:divBdr>
    </w:div>
    <w:div w:id="1763254017">
      <w:bodyDiv w:val="1"/>
      <w:marLeft w:val="0"/>
      <w:marRight w:val="0"/>
      <w:marTop w:val="0"/>
      <w:marBottom w:val="0"/>
      <w:divBdr>
        <w:top w:val="none" w:sz="0" w:space="0" w:color="auto"/>
        <w:left w:val="none" w:sz="0" w:space="0" w:color="auto"/>
        <w:bottom w:val="none" w:sz="0" w:space="0" w:color="auto"/>
        <w:right w:val="none" w:sz="0" w:space="0" w:color="auto"/>
      </w:divBdr>
    </w:div>
    <w:div w:id="1870028084">
      <w:bodyDiv w:val="1"/>
      <w:marLeft w:val="0"/>
      <w:marRight w:val="0"/>
      <w:marTop w:val="0"/>
      <w:marBottom w:val="0"/>
      <w:divBdr>
        <w:top w:val="none" w:sz="0" w:space="0" w:color="auto"/>
        <w:left w:val="none" w:sz="0" w:space="0" w:color="auto"/>
        <w:bottom w:val="none" w:sz="0" w:space="0" w:color="auto"/>
        <w:right w:val="none" w:sz="0" w:space="0" w:color="auto"/>
      </w:divBdr>
    </w:div>
    <w:div w:id="1932809115">
      <w:bodyDiv w:val="1"/>
      <w:marLeft w:val="0"/>
      <w:marRight w:val="0"/>
      <w:marTop w:val="0"/>
      <w:marBottom w:val="0"/>
      <w:divBdr>
        <w:top w:val="none" w:sz="0" w:space="0" w:color="auto"/>
        <w:left w:val="none" w:sz="0" w:space="0" w:color="auto"/>
        <w:bottom w:val="none" w:sz="0" w:space="0" w:color="auto"/>
        <w:right w:val="none" w:sz="0" w:space="0" w:color="auto"/>
      </w:divBdr>
      <w:divsChild>
        <w:div w:id="916402993">
          <w:marLeft w:val="0"/>
          <w:marRight w:val="0"/>
          <w:marTop w:val="0"/>
          <w:marBottom w:val="0"/>
          <w:divBdr>
            <w:top w:val="none" w:sz="0" w:space="0" w:color="auto"/>
            <w:left w:val="none" w:sz="0" w:space="0" w:color="auto"/>
            <w:bottom w:val="none" w:sz="0" w:space="0" w:color="auto"/>
            <w:right w:val="none" w:sz="0" w:space="0" w:color="auto"/>
          </w:divBdr>
        </w:div>
      </w:divsChild>
    </w:div>
    <w:div w:id="2023389965">
      <w:bodyDiv w:val="1"/>
      <w:marLeft w:val="0"/>
      <w:marRight w:val="0"/>
      <w:marTop w:val="0"/>
      <w:marBottom w:val="0"/>
      <w:divBdr>
        <w:top w:val="none" w:sz="0" w:space="0" w:color="auto"/>
        <w:left w:val="none" w:sz="0" w:space="0" w:color="auto"/>
        <w:bottom w:val="none" w:sz="0" w:space="0" w:color="auto"/>
        <w:right w:val="none" w:sz="0" w:space="0" w:color="auto"/>
      </w:divBdr>
    </w:div>
    <w:div w:id="20878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Murchison%20GR%5BAuthor%5D&amp;cauthor=true&amp;cauthor_uid=31709542" TargetMode="External"/><Relationship Id="rId21" Type="http://schemas.openxmlformats.org/officeDocument/2006/relationships/hyperlink" Target="https://www.ncbi.nlm.nih.gov/pubmed/?term=Burgess%20TL%5BAuthor%5D&amp;cauthor=true&amp;cauthor_uid=32024380" TargetMode="External"/><Relationship Id="rId42" Type="http://schemas.openxmlformats.org/officeDocument/2006/relationships/hyperlink" Target="http://www.scopus.com/source/sourceInfo.url?sourceId=14410&amp;origin=resultslist" TargetMode="External"/><Relationship Id="rId47" Type="http://schemas.openxmlformats.org/officeDocument/2006/relationships/hyperlink" Target="https://www.ncbi.nlm.nih.gov/pubmed/?term=Aral%20SO%5BAuthor%5D&amp;cauthor=true&amp;cauthor_uid=31350378" TargetMode="External"/><Relationship Id="rId63" Type="http://schemas.openxmlformats.org/officeDocument/2006/relationships/hyperlink" Target="https://www.ncbi.nlm.nih.gov/pubmed/30756210"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k1@cdc.gov" TargetMode="External"/><Relationship Id="rId29" Type="http://schemas.openxmlformats.org/officeDocument/2006/relationships/hyperlink" Target="https://www.sciencedirect.com/science/article/pii/S0091743519302555?via%3Dihub" TargetMode="External"/><Relationship Id="rId11" Type="http://schemas.openxmlformats.org/officeDocument/2006/relationships/hyperlink" Target="https://www.cdc.gov/nchs/nsfg/index.htm" TargetMode="External"/><Relationship Id="rId24" Type="http://schemas.openxmlformats.org/officeDocument/2006/relationships/hyperlink" Target="https://www.ncbi.nlm.nih.gov/pubmed/32024380" TargetMode="External"/><Relationship Id="rId32" Type="http://schemas.openxmlformats.org/officeDocument/2006/relationships/hyperlink" Target="https://www.sciencedirect.com/science/article/pii/S0091743519302555?via%3Dihub" TargetMode="External"/><Relationship Id="rId37" Type="http://schemas.openxmlformats.org/officeDocument/2006/relationships/hyperlink" Target="https://www.ncbi.nlm.nih.gov/pubmed/?term=Woolhandler%20S%5BAuthor%5D&amp;cauthor=true&amp;cauthor_uid=31524926" TargetMode="External"/><Relationship Id="rId40" Type="http://schemas.openxmlformats.org/officeDocument/2006/relationships/hyperlink" Target="https://www.ncbi.nlm.nih.gov/pubmed/?term=Gaffney%20A%5BAuthor%5D&amp;cauthor=true&amp;cauthor_uid=31524926" TargetMode="External"/><Relationship Id="rId45" Type="http://schemas.openxmlformats.org/officeDocument/2006/relationships/hyperlink" Target="https://www.ncbi.nlm.nih.gov/pubmed/?term=Dittus%20PJ%5BAuthor%5D&amp;cauthor=true&amp;cauthor_uid=31350378" TargetMode="External"/><Relationship Id="rId53" Type="http://schemas.openxmlformats.org/officeDocument/2006/relationships/hyperlink" Target="https://www.ncbi.nlm.nih.gov/pubmed/31677644" TargetMode="External"/><Relationship Id="rId58" Type="http://schemas.openxmlformats.org/officeDocument/2006/relationships/hyperlink" Target="https://www.ncbi.nlm.nih.gov/pubmed/?term=Kelvin%20E%5BAuthor%5D&amp;cauthor=true&amp;cauthor_uid=30756210"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ncbi.nlm.nih.gov/pubmed/?term=Grosskopf%20NA%5BAuthor%5D&amp;cauthor=true&amp;cauthor_uid=30756210" TargetMode="External"/><Relationship Id="rId19" Type="http://schemas.openxmlformats.org/officeDocument/2006/relationships/hyperlink" Target="https://www.ncbi.nlm.nih.gov/pubmed/?term=Abdallah%20I%5BAuthor%5D&amp;cauthor=true&amp;cauthor_uid=32024380" TargetMode="External"/><Relationship Id="rId14" Type="http://schemas.openxmlformats.org/officeDocument/2006/relationships/hyperlink" Target="mailto:jabma@cdc.gov" TargetMode="External"/><Relationship Id="rId22" Type="http://schemas.openxmlformats.org/officeDocument/2006/relationships/hyperlink" Target="https://www.ncbi.nlm.nih.gov/pubmed/?term=Adegbite%20AH%5BAuthor%5D&amp;cauthor=true&amp;cauthor_uid=32024380" TargetMode="External"/><Relationship Id="rId27" Type="http://schemas.openxmlformats.org/officeDocument/2006/relationships/hyperlink" Target="https://www.ncbi.nlm.nih.gov/pubmed/?term=Chen%20JT%5BAuthor%5D&amp;cauthor=true&amp;cauthor_uid=31709542" TargetMode="External"/><Relationship Id="rId30" Type="http://schemas.openxmlformats.org/officeDocument/2006/relationships/hyperlink" Target="https://www.sciencedirect.com/science/article/pii/S0091743519302555?via%3Dihub" TargetMode="External"/><Relationship Id="rId35" Type="http://schemas.openxmlformats.org/officeDocument/2006/relationships/hyperlink" Target="http://journals.lww.com/stdjournal/toc/2014/01000" TargetMode="External"/><Relationship Id="rId43" Type="http://schemas.openxmlformats.org/officeDocument/2006/relationships/hyperlink" Target="http://dx.doi.org/10.15585/mmwr.mm6609a1" TargetMode="External"/><Relationship Id="rId48" Type="http://schemas.openxmlformats.org/officeDocument/2006/relationships/hyperlink" Target="https://www.ncbi.nlm.nih.gov/pubmed/31350378" TargetMode="External"/><Relationship Id="rId56" Type="http://schemas.openxmlformats.org/officeDocument/2006/relationships/hyperlink" Target="https://www.cdc.gov/nchs/data/nsfg/NSFG_2013-2015_Summary_Design_Data_Collection.pdf" TargetMode="External"/><Relationship Id="rId64" Type="http://schemas.openxmlformats.org/officeDocument/2006/relationships/hyperlink" Target="http://www.sciencedirect.com/science/journal/1054139X" TargetMode="External"/><Relationship Id="rId69" Type="http://schemas.openxmlformats.org/officeDocument/2006/relationships/header" Target="header3.xml"/><Relationship Id="rId8" Type="http://schemas.openxmlformats.org/officeDocument/2006/relationships/hyperlink" Target="mailto:wmosher@cdc.gov" TargetMode="External"/><Relationship Id="rId51" Type="http://schemas.openxmlformats.org/officeDocument/2006/relationships/hyperlink" Target="https://www.ncbi.nlm.nih.gov/pubmed/?term=Gift%20TL%5BAuthor%5D&amp;cauthor=true&amp;cauthor_uid=31677644"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apeytchev@rti.org" TargetMode="External"/><Relationship Id="rId25" Type="http://schemas.openxmlformats.org/officeDocument/2006/relationships/hyperlink" Target="https://www.ncbi.nlm.nih.gov/pubmed/?term=Ag%C3%A9nor%20M%5BAuthor%5D&amp;cauthor=true&amp;cauthor_uid=31709542" TargetMode="External"/><Relationship Id="rId33" Type="http://schemas.openxmlformats.org/officeDocument/2006/relationships/hyperlink" Target="http://www.cdc.gov/nchs/data/series/sr_01/sr01_042.pdf" TargetMode="External"/><Relationship Id="rId38" Type="http://schemas.openxmlformats.org/officeDocument/2006/relationships/hyperlink" Target="https://www.ncbi.nlm.nih.gov/pubmed/?term=Himmelstein%20DU%5BAuthor%5D&amp;cauthor=true&amp;cauthor_uid=31524926" TargetMode="External"/><Relationship Id="rId46" Type="http://schemas.openxmlformats.org/officeDocument/2006/relationships/hyperlink" Target="https://www.ncbi.nlm.nih.gov/pubmed/?term=Copen%20CE%5BAuthor%5D&amp;cauthor=true&amp;cauthor_uid=31350378" TargetMode="External"/><Relationship Id="rId59" Type="http://schemas.openxmlformats.org/officeDocument/2006/relationships/hyperlink" Target="https://www.ncbi.nlm.nih.gov/pubmed/?term=Wells%20BE%5BAuthor%5D&amp;cauthor=true&amp;cauthor_uid=30756210" TargetMode="External"/><Relationship Id="rId67" Type="http://schemas.openxmlformats.org/officeDocument/2006/relationships/footer" Target="footer1.xml"/><Relationship Id="rId20" Type="http://schemas.openxmlformats.org/officeDocument/2006/relationships/hyperlink" Target="https://www.ncbi.nlm.nih.gov/pubmed/?term=Conserve%20D%5BAuthor%5D&amp;cauthor=true&amp;cauthor_uid=32024380" TargetMode="External"/><Relationship Id="rId41" Type="http://schemas.openxmlformats.org/officeDocument/2006/relationships/hyperlink" Target="https://www.ncbi.nlm.nih.gov/pubmed/?term=McCormick%20D%5BAuthor%5D&amp;cauthor=true&amp;cauthor_uid=31524926" TargetMode="External"/><Relationship Id="rId54" Type="http://schemas.openxmlformats.org/officeDocument/2006/relationships/hyperlink" Target="https://www.cdc.gov/nchs/data/nsfg/NSFG_2013-2015_Sample_Design_Documentation.pdf" TargetMode="External"/><Relationship Id="rId62" Type="http://schemas.openxmlformats.org/officeDocument/2006/relationships/hyperlink" Target="https://www.ncbi.nlm.nih.gov/pubmed/?term=Grov%20C%5BAuthor%5D&amp;cauthor=true&amp;cauthor_uid=30756210"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chandra@cdc.gov" TargetMode="External"/><Relationship Id="rId23" Type="http://schemas.openxmlformats.org/officeDocument/2006/relationships/hyperlink" Target="https://www.ncbi.nlm.nih.gov/pubmed/?term=Oraka%20E%5BAuthor%5D&amp;cauthor=true&amp;cauthor_uid=32024380" TargetMode="External"/><Relationship Id="rId28" Type="http://schemas.openxmlformats.org/officeDocument/2006/relationships/hyperlink" Target="https://www.ncbi.nlm.nih.gov/pubmed/31709542" TargetMode="External"/><Relationship Id="rId36" Type="http://schemas.openxmlformats.org/officeDocument/2006/relationships/hyperlink" Target="https://www.ncbi.nlm.nih.gov/pubmed/?term=Hawks%20L%5BAuthor%5D&amp;cauthor=true&amp;cauthor_uid=31524926" TargetMode="External"/><Relationship Id="rId49" Type="http://schemas.openxmlformats.org/officeDocument/2006/relationships/hyperlink" Target="https://www.ncbi.nlm.nih.gov/pubmed/?term=Leichliter%20JS%5BAuthor%5D&amp;cauthor=true&amp;cauthor_uid=31677644" TargetMode="External"/><Relationship Id="rId57" Type="http://schemas.openxmlformats.org/officeDocument/2006/relationships/hyperlink" Target="https://www.cdc.gov/nchs/nsfg/key_statistics/t_2015-2017.htm" TargetMode="External"/><Relationship Id="rId10" Type="http://schemas.openxmlformats.org/officeDocument/2006/relationships/image" Target="media/image1.png"/><Relationship Id="rId31" Type="http://schemas.openxmlformats.org/officeDocument/2006/relationships/hyperlink" Target="https://www.sciencedirect.com/science/article/pii/S0091743519302555?via%3Dihub" TargetMode="External"/><Relationship Id="rId44" Type="http://schemas.openxmlformats.org/officeDocument/2006/relationships/hyperlink" Target="https://www.ncbi.nlm.nih.gov/pubmed/?term=Leichliter%20JS%5BAuthor%5D&amp;cauthor=true&amp;cauthor_uid=31350378" TargetMode="External"/><Relationship Id="rId52" Type="http://schemas.openxmlformats.org/officeDocument/2006/relationships/hyperlink" Target="https://www.ncbi.nlm.nih.gov/pubmed/?term=Dittus%20PJ%5BAuthor%5D&amp;cauthor=true&amp;cauthor_uid=31677644" TargetMode="External"/><Relationship Id="rId60" Type="http://schemas.openxmlformats.org/officeDocument/2006/relationships/hyperlink" Target="https://www.ncbi.nlm.nih.gov/pubmed/?term=Campbell%20ANC%5BAuthor%5D&amp;cauthor=true&amp;cauthor_uid=30756210"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nchs/data/nsfg/NSFG-2017-2019-Sample-Design-Documentation-508.pdf" TargetMode="External"/><Relationship Id="rId13" Type="http://schemas.openxmlformats.org/officeDocument/2006/relationships/hyperlink" Target="mailto:wmi7@cdc.gov" TargetMode="External"/><Relationship Id="rId18" Type="http://schemas.openxmlformats.org/officeDocument/2006/relationships/hyperlink" Target="mailto:shk@rti.org" TargetMode="External"/><Relationship Id="rId39" Type="http://schemas.openxmlformats.org/officeDocument/2006/relationships/hyperlink" Target="https://www.ncbi.nlm.nih.gov/pubmed/?term=Bor%20DH%5BAuthor%5D&amp;cauthor=true&amp;cauthor_uid=31524926" TargetMode="External"/><Relationship Id="rId34" Type="http://schemas.openxmlformats.org/officeDocument/2006/relationships/hyperlink" Target="http://www.cdc.gov/nchs/data/series/sr_01/sr01_048.pdf" TargetMode="External"/><Relationship Id="rId50" Type="http://schemas.openxmlformats.org/officeDocument/2006/relationships/hyperlink" Target="https://www.ncbi.nlm.nih.gov/pubmed/?term=Haderxhanaj%20LT%5BAuthor%5D&amp;cauthor=true&amp;cauthor_uid=31677644" TargetMode="External"/><Relationship Id="rId55" Type="http://schemas.openxmlformats.org/officeDocument/2006/relationships/hyperlink" Target="https://www.cdc.gov/nchs/data/nsfg/nsfg_2011_2013_designanddatacollectionmetho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E5C1-85C2-4EA8-8BC0-50FF5927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14040</Words>
  <Characters>88337</Characters>
  <Application>Microsoft Office Word</Application>
  <DocSecurity>0</DocSecurity>
  <Lines>736</Lines>
  <Paragraphs>204</Paragraphs>
  <ScaleCrop>false</ScaleCrop>
  <HeadingPairs>
    <vt:vector size="2" baseType="variant">
      <vt:variant>
        <vt:lpstr>Title</vt:lpstr>
      </vt:variant>
      <vt:variant>
        <vt:i4>1</vt:i4>
      </vt:variant>
    </vt:vector>
  </HeadingPairs>
  <TitlesOfParts>
    <vt:vector size="1" baseType="lpstr">
      <vt:lpstr/>
    </vt:vector>
  </TitlesOfParts>
  <Company>NCHS</Company>
  <LinksUpToDate>false</LinksUpToDate>
  <CharactersWithSpaces>102173</CharactersWithSpaces>
  <SharedDoc>false</SharedDoc>
  <HLinks>
    <vt:vector size="36" baseType="variant">
      <vt:variant>
        <vt:i4>524414</vt:i4>
      </vt:variant>
      <vt:variant>
        <vt:i4>15</vt:i4>
      </vt:variant>
      <vt:variant>
        <vt:i4>0</vt:i4>
      </vt:variant>
      <vt:variant>
        <vt:i4>5</vt:i4>
      </vt:variant>
      <vt:variant>
        <vt:lpwstr>mailto:bgroves@isr.umich.edu</vt:lpwstr>
      </vt:variant>
      <vt:variant>
        <vt:lpwstr/>
      </vt:variant>
      <vt:variant>
        <vt:i4>7405652</vt:i4>
      </vt:variant>
      <vt:variant>
        <vt:i4>12</vt:i4>
      </vt:variant>
      <vt:variant>
        <vt:i4>0</vt:i4>
      </vt:variant>
      <vt:variant>
        <vt:i4>5</vt:i4>
      </vt:variant>
      <vt:variant>
        <vt:lpwstr>mailto:wmosher@cdc.gov</vt:lpwstr>
      </vt:variant>
      <vt:variant>
        <vt:lpwstr/>
      </vt:variant>
      <vt:variant>
        <vt:i4>7929922</vt:i4>
      </vt:variant>
      <vt:variant>
        <vt:i4>9</vt:i4>
      </vt:variant>
      <vt:variant>
        <vt:i4>0</vt:i4>
      </vt:variant>
      <vt:variant>
        <vt:i4>5</vt:i4>
      </vt:variant>
      <vt:variant>
        <vt:lpwstr>mailto:KEDavis@cdc.gov</vt:lpwstr>
      </vt:variant>
      <vt:variant>
        <vt:lpwstr/>
      </vt:variant>
      <vt:variant>
        <vt:i4>131096</vt:i4>
      </vt:variant>
      <vt:variant>
        <vt:i4>6</vt:i4>
      </vt:variant>
      <vt:variant>
        <vt:i4>0</vt:i4>
      </vt:variant>
      <vt:variant>
        <vt:i4>5</vt:i4>
      </vt:variant>
      <vt:variant>
        <vt:lpwstr>http://www.cdc.gov/nchs/nsfg.htm</vt:lpwstr>
      </vt:variant>
      <vt:variant>
        <vt:lpwstr/>
      </vt:variant>
      <vt:variant>
        <vt:i4>131096</vt:i4>
      </vt:variant>
      <vt:variant>
        <vt:i4>3</vt:i4>
      </vt:variant>
      <vt:variant>
        <vt:i4>0</vt:i4>
      </vt:variant>
      <vt:variant>
        <vt:i4>5</vt:i4>
      </vt:variant>
      <vt:variant>
        <vt:lpwstr>http://www.cdc.gov/nchs/nsfg.htm</vt:lpwstr>
      </vt:variant>
      <vt:variant>
        <vt:lpwstr/>
      </vt:variant>
      <vt:variant>
        <vt:i4>7405652</vt:i4>
      </vt:variant>
      <vt:variant>
        <vt:i4>0</vt:i4>
      </vt:variant>
      <vt:variant>
        <vt:i4>0</vt:i4>
      </vt:variant>
      <vt:variant>
        <vt:i4>5</vt:i4>
      </vt:variant>
      <vt:variant>
        <vt:lpwstr>mailto:wmosher@cdc.gov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wdm1</dc:creator>
  <cp:lastModifiedBy>Macaluso, Renita (CDC/DDPHSS/OS/OSI)</cp:lastModifiedBy>
  <cp:revision>8</cp:revision>
  <cp:lastPrinted>2018-06-04T14:35:00Z</cp:lastPrinted>
  <dcterms:created xsi:type="dcterms:W3CDTF">2021-08-11T20:02:00Z</dcterms:created>
  <dcterms:modified xsi:type="dcterms:W3CDTF">2021-12-02T14:44:00Z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2021-03-14T23:35:52Z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7330dd2f-96e9-448d-a02f-0c8187d013c5</vt:lpwstr>
  </property>
  <property fmtid="{D5CDD505-2E9C-101B-9397-08002B2CF9AE}" pid="8" name="MSIP_Label_7b94a7b8-f06c-4dfe-bdcc-9b548fd58c31_ContentBits">
    <vt:lpwstr>0</vt:lpwstr>
  </property>
</Properties>
</file>