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4349" w:rsidP="008B4349" w:rsidRDefault="008B4349" w14:paraId="5C4357AD" w14:textId="04DBE011">
      <w:pPr>
        <w:pBdr>
          <w:bottom w:val="single" w:color="auto" w:sz="6" w:space="1"/>
        </w:pBdr>
      </w:pPr>
    </w:p>
    <w:p w:rsidR="008B4349" w:rsidP="008B4349" w:rsidRDefault="008B4349" w14:paraId="1E877EC3" w14:textId="7E8C4770">
      <w:r>
        <w:t xml:space="preserve">FROM: </w:t>
      </w:r>
      <w:r>
        <w:tab/>
      </w:r>
      <w:r>
        <w:tab/>
      </w:r>
      <w:r>
        <w:tab/>
        <w:t>James Wagner and Wen Chang</w:t>
      </w:r>
    </w:p>
    <w:p w:rsidR="008B4349" w:rsidP="008B4349" w:rsidRDefault="008B4349" w14:paraId="4F16BC6E" w14:textId="77777777">
      <w:r>
        <w:t xml:space="preserve">TO: </w:t>
      </w:r>
      <w:r>
        <w:tab/>
      </w:r>
      <w:r>
        <w:tab/>
      </w:r>
      <w:r>
        <w:tab/>
        <w:t>Anjani Chandra, Joyce Abma</w:t>
      </w:r>
    </w:p>
    <w:p w:rsidR="008B4349" w:rsidP="008B4349" w:rsidRDefault="008B4349" w14:paraId="3647ADA4" w14:textId="2AEBF248">
      <w:r>
        <w:t xml:space="preserve">LAST UPDATED: </w:t>
      </w:r>
      <w:r>
        <w:tab/>
      </w:r>
      <w:r w:rsidR="000814B4">
        <w:t>09</w:t>
      </w:r>
      <w:r>
        <w:t>/</w:t>
      </w:r>
      <w:r w:rsidR="00366836">
        <w:t>21</w:t>
      </w:r>
      <w:r>
        <w:t>/20</w:t>
      </w:r>
      <w:r w:rsidR="00366836">
        <w:t>20</w:t>
      </w:r>
    </w:p>
    <w:p w:rsidR="008B4349" w:rsidP="008B4349" w:rsidRDefault="008B4349" w14:paraId="76DD32B5" w14:textId="3534CD41">
      <w:pPr>
        <w:pBdr>
          <w:bottom w:val="single" w:color="auto" w:sz="6" w:space="1"/>
        </w:pBdr>
      </w:pPr>
      <w:r>
        <w:t xml:space="preserve">SUBJECT: </w:t>
      </w:r>
      <w:r>
        <w:tab/>
      </w:r>
      <w:r>
        <w:tab/>
      </w:r>
      <w:r w:rsidR="00366836">
        <w:t>Final Results of</w:t>
      </w:r>
      <w:r>
        <w:t xml:space="preserve"> the Mailed Screening Survey Experiment</w:t>
      </w:r>
      <w:r w:rsidR="00366836">
        <w:t>s</w:t>
      </w:r>
    </w:p>
    <w:p w:rsidR="009835C8" w:rsidP="009835C8" w:rsidRDefault="009835C8" w14:paraId="58BB4008" w14:textId="185C3797">
      <w:r>
        <w:t xml:space="preserve">ISR recently completed two quarters (Q31-Q32) of an experiment that tested the costs and response rates associated with a mailed screening survey. These two quarters </w:t>
      </w:r>
      <w:r w:rsidR="007D2916">
        <w:t xml:space="preserve">of experimentation </w:t>
      </w:r>
      <w:r>
        <w:t xml:space="preserve">build upon experiments that were conducted in four previous quarters (Q24-Q27). </w:t>
      </w:r>
      <w:r w:rsidR="007D2916">
        <w:t>Overall, t</w:t>
      </w:r>
      <w:r>
        <w:t xml:space="preserve">hese experiments tested whether mailed screeners maintain the quality of the data and increase efficiency, since a response to a mailed screener means the interviewer does not have to go to the household to conduct the screener. However, given the uncertainties, including what would be the rate of returned screeners, we proposed an experiment to evaluate whether this leads to reduced costs and proves operationally feasible, while maintaining screener and main response rates, in comparison to the current protocol of personal visits to the household for each screener. </w:t>
      </w:r>
    </w:p>
    <w:p w:rsidR="00CC466B" w:rsidP="009835C8" w:rsidRDefault="00CC466B" w14:paraId="33A943EA" w14:textId="7F072C78">
      <w:r>
        <w:t>We focused the experiment on a subgroup of the sample – a stratum of housing units predicted to be likely ineligible</w:t>
      </w:r>
      <w:r w:rsidR="00890693">
        <w:t>, that is, largely composed of households with persons older than the NSFG age-eligible group</w:t>
      </w:r>
      <w:r>
        <w:t>. This stratum had an eligibility rate of about 17%</w:t>
      </w:r>
      <w:r w:rsidR="007D2916">
        <w:t xml:space="preserve"> and averaged about 700 cases per quarter</w:t>
      </w:r>
      <w:r>
        <w:t xml:space="preserve">. This group </w:t>
      </w:r>
      <w:r w:rsidR="00311014">
        <w:t xml:space="preserve">of </w:t>
      </w:r>
      <w:r w:rsidR="00890693">
        <w:t xml:space="preserve">older individuals </w:t>
      </w:r>
      <w:r>
        <w:t>was expected to be more likely to respond to a mailed survey, and less likely to be eligible (and, therefore, less likely to require personal visits).</w:t>
      </w:r>
    </w:p>
    <w:p w:rsidR="00CC466B" w:rsidP="00CC466B" w:rsidRDefault="007D2916" w14:paraId="6B522369" w14:textId="4D7ECFD1">
      <w:r>
        <w:t>In the initial experiments, conducted f</w:t>
      </w:r>
      <w:r w:rsidR="00CC466B">
        <w:t>rom Q24-Q27, the cases in the low eligibility stratum were randomized to three arms: 1) mailed screener with $0 prepaid incentive, 2) mailed screener with $2 prepaid incentive, and 3) control. Arms 1 and 2 were each assigned about 150 cases</w:t>
      </w:r>
      <w:r w:rsidR="00890693">
        <w:t xml:space="preserve"> per quarter</w:t>
      </w:r>
      <w:r w:rsidR="00CC466B">
        <w:t>, and the balance (about 400 cases per quarter) was allocated to the control arm. The sample was a systematic selection from the low eligibility stratum across cases sorted by PSU, SSU, and walking order within SSU.</w:t>
      </w:r>
    </w:p>
    <w:p w:rsidR="009835C8" w:rsidP="009835C8" w:rsidRDefault="009835C8" w14:paraId="6204B370" w14:textId="4753D95F">
      <w:r>
        <w:t xml:space="preserve">In </w:t>
      </w:r>
      <w:r w:rsidR="007D2916">
        <w:t>the first three quarters of the experiment (Q24-Q26)</w:t>
      </w:r>
      <w:r>
        <w:t xml:space="preserve">, the mailed screener was sent using a USPS Priority mail envelope along with a cover letter, a study brochure, and a prepaid return envelope. After two quarters (Q24-Q25) </w:t>
      </w:r>
      <w:r w:rsidR="007D2916">
        <w:t>the experimental approaches</w:t>
      </w:r>
      <w:r>
        <w:t xml:space="preserve"> proved to be less cost effective than expected. Therefore, we modified the protocol in Q26 and Q27. In Q26, we released the mailed screener two weeks before the field period began, and returned the sample to the interviewing staff at the beginning of the field period to continue screening. In Q27, we used a </w:t>
      </w:r>
      <w:r w:rsidR="00311014">
        <w:t xml:space="preserve">standard mailer – a </w:t>
      </w:r>
      <w:r w:rsidR="007D2916">
        <w:t xml:space="preserve">less expensive </w:t>
      </w:r>
      <w:r>
        <w:t>regular</w:t>
      </w:r>
      <w:r w:rsidR="00CC466B">
        <w:t>, large</w:t>
      </w:r>
      <w:r>
        <w:t xml:space="preserve"> envelope</w:t>
      </w:r>
      <w:r w:rsidR="00311014">
        <w:t xml:space="preserve"> --</w:t>
      </w:r>
      <w:r>
        <w:t xml:space="preserve"> to test cost efficiency of the approach. </w:t>
      </w:r>
      <w:r w:rsidR="007D2916">
        <w:t xml:space="preserve">The standard mailer cost about 20% of what the priority mailer had cost. </w:t>
      </w:r>
      <w:r>
        <w:t xml:space="preserve">The results from Q27 were positive, but not conclusive due to small samples sizes. </w:t>
      </w:r>
    </w:p>
    <w:p w:rsidR="00B5113C" w:rsidP="00B5113C" w:rsidRDefault="009835C8" w14:paraId="2BFF59EB" w14:textId="45B32AB9">
      <w:r>
        <w:t>Further, as reported</w:t>
      </w:r>
      <w:r w:rsidR="00AF19AD">
        <w:t xml:space="preserve"> in previous </w:t>
      </w:r>
      <w:r w:rsidR="00FC0B31">
        <w:t>memoranda,</w:t>
      </w:r>
      <w:r>
        <w:t xml:space="preserve"> </w:t>
      </w:r>
      <w:r w:rsidR="00B5113C">
        <w:t>there was an operational error</w:t>
      </w:r>
      <w:r w:rsidR="00E65C34">
        <w:t xml:space="preserve"> in Q27</w:t>
      </w:r>
      <w:r w:rsidR="00B5113C">
        <w:t>. The</w:t>
      </w:r>
      <w:r w:rsidR="004C03AB">
        <w:t xml:space="preserve"> no</w:t>
      </w:r>
      <w:r w:rsidR="001F1D87">
        <w:t>-</w:t>
      </w:r>
      <w:r w:rsidR="00B5113C">
        <w:t>incentive</w:t>
      </w:r>
      <w:r w:rsidR="004C03AB">
        <w:t xml:space="preserve"> mailed screener treatment</w:t>
      </w:r>
      <w:r w:rsidR="00B5113C">
        <w:t xml:space="preserve"> was assigned to sample in </w:t>
      </w:r>
      <w:r w:rsidR="00132252">
        <w:t xml:space="preserve">small </w:t>
      </w:r>
      <w:r w:rsidR="00B5113C">
        <w:t xml:space="preserve">MSAs while the incentive condition was </w:t>
      </w:r>
      <w:r w:rsidR="004C03AB">
        <w:t xml:space="preserve">disproportionately </w:t>
      </w:r>
      <w:r w:rsidR="00B5113C">
        <w:t xml:space="preserve">assigned to cases in </w:t>
      </w:r>
      <w:r w:rsidR="00132252">
        <w:t xml:space="preserve">large </w:t>
      </w:r>
      <w:r w:rsidR="00B5113C">
        <w:t xml:space="preserve">MSAs or non-MSA counties. Therefore, in </w:t>
      </w:r>
      <w:r>
        <w:t>Q27</w:t>
      </w:r>
      <w:r w:rsidR="00B5113C">
        <w:t>, the incentive and urbanicity were</w:t>
      </w:r>
      <w:r w:rsidR="004C03AB">
        <w:t xml:space="preserve"> largely</w:t>
      </w:r>
      <w:r w:rsidR="00B5113C">
        <w:t xml:space="preserve"> confounded.</w:t>
      </w:r>
      <w:r>
        <w:t xml:space="preserve"> </w:t>
      </w:r>
    </w:p>
    <w:p w:rsidR="00AE45A2" w:rsidP="00B5113C" w:rsidRDefault="00B5113C" w14:paraId="7E294AB5" w14:textId="5550CE92">
      <w:r>
        <w:t>In our summary of those experiments, we reported the overall results, i.e.</w:t>
      </w:r>
      <w:r w:rsidR="001F1D87">
        <w:t>,</w:t>
      </w:r>
      <w:r>
        <w:t xml:space="preserve"> combined across the four quarters. We also reported costs </w:t>
      </w:r>
      <w:r w:rsidR="00311014">
        <w:t xml:space="preserve">separately </w:t>
      </w:r>
      <w:r>
        <w:t xml:space="preserve">from Q26 and Q27 that demonstrate potential savings using the Q27 approach. </w:t>
      </w:r>
      <w:r w:rsidR="007D2916">
        <w:t>For completeness, we include those results here as well. Table 1 shows the cumulative Q24-Q27 response rates and yield by treatment.</w:t>
      </w:r>
    </w:p>
    <w:p w:rsidR="00AE45A2" w:rsidRDefault="00AE45A2" w14:paraId="1811A436" w14:textId="77777777">
      <w:r>
        <w:br w:type="page"/>
      </w:r>
    </w:p>
    <w:p w:rsidRPr="006A372C" w:rsidR="00CC466B" w:rsidP="00CC466B" w:rsidRDefault="00CC466B" w14:paraId="4A4A8796" w14:textId="56C09438">
      <w:pPr>
        <w:spacing w:after="0"/>
        <w:rPr>
          <w:b/>
        </w:rPr>
      </w:pPr>
      <w:r>
        <w:rPr>
          <w:b/>
        </w:rPr>
        <w:lastRenderedPageBreak/>
        <w:t>Table 1. Q24-Q27 Response Rates, Eligibility and Yield by Treatment Condition</w:t>
      </w:r>
    </w:p>
    <w:tbl>
      <w:tblPr>
        <w:tblStyle w:val="PlainTable21"/>
        <w:tblW w:w="8560" w:type="dxa"/>
        <w:tblLook w:val="06A0" w:firstRow="1" w:lastRow="0" w:firstColumn="1" w:lastColumn="0" w:noHBand="1" w:noVBand="1"/>
      </w:tblPr>
      <w:tblGrid>
        <w:gridCol w:w="4480"/>
        <w:gridCol w:w="1360"/>
        <w:gridCol w:w="1360"/>
        <w:gridCol w:w="1360"/>
      </w:tblGrid>
      <w:tr w:rsidRPr="005A2C33" w:rsidR="00CC466B" w:rsidTr="00B35EED" w14:paraId="7FB9C77C"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CC466B" w:rsidP="00B35EED" w:rsidRDefault="00CC466B" w14:paraId="0007CD6F" w14:textId="77777777">
            <w:pPr>
              <w:rPr>
                <w:rFonts w:ascii="Calibri" w:hAnsi="Calibri" w:eastAsia="Times New Roman" w:cs="Times New Roman"/>
                <w:color w:val="000000"/>
              </w:rPr>
            </w:pPr>
            <w:r w:rsidRPr="005A2C33">
              <w:rPr>
                <w:rFonts w:ascii="Calibri" w:hAnsi="Calibri" w:eastAsia="Times New Roman" w:cs="Times New Roman"/>
                <w:color w:val="000000"/>
              </w:rPr>
              <w:t> </w:t>
            </w:r>
          </w:p>
        </w:tc>
        <w:tc>
          <w:tcPr>
            <w:tcW w:w="1360" w:type="dxa"/>
            <w:hideMark/>
          </w:tcPr>
          <w:p w:rsidRPr="005A2C33" w:rsidR="00CC466B" w:rsidP="00B35EED" w:rsidRDefault="00CC466B" w14:paraId="4660CF53"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Mail+$2</w:t>
            </w:r>
          </w:p>
        </w:tc>
        <w:tc>
          <w:tcPr>
            <w:tcW w:w="1360" w:type="dxa"/>
            <w:hideMark/>
          </w:tcPr>
          <w:p w:rsidRPr="005A2C33" w:rsidR="00CC466B" w:rsidP="00B35EED" w:rsidRDefault="00CC466B" w14:paraId="0AFE7F3F"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Mail</w:t>
            </w:r>
          </w:p>
        </w:tc>
        <w:tc>
          <w:tcPr>
            <w:tcW w:w="1360" w:type="dxa"/>
            <w:hideMark/>
          </w:tcPr>
          <w:p w:rsidRPr="005A2C33" w:rsidR="00CC466B" w:rsidP="00B35EED" w:rsidRDefault="00CC466B" w14:paraId="606437B3"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Control</w:t>
            </w:r>
          </w:p>
        </w:tc>
      </w:tr>
      <w:tr w:rsidRPr="005A2C33" w:rsidR="00CC466B" w:rsidTr="00B35EED" w14:paraId="42F9B00C"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CC466B" w:rsidP="00B35EED" w:rsidRDefault="00CC466B" w14:paraId="1526CABF" w14:textId="77777777">
            <w:pPr>
              <w:rPr>
                <w:rFonts w:ascii="Calibri" w:hAnsi="Calibri" w:eastAsia="Times New Roman" w:cs="Times New Roman"/>
                <w:color w:val="000000"/>
              </w:rPr>
            </w:pPr>
            <w:r w:rsidRPr="005A2C33">
              <w:rPr>
                <w:rFonts w:ascii="Calibri" w:hAnsi="Calibri" w:eastAsia="Times New Roman" w:cs="Times New Roman"/>
                <w:color w:val="000000"/>
              </w:rPr>
              <w:t>Sample Size</w:t>
            </w:r>
          </w:p>
        </w:tc>
        <w:tc>
          <w:tcPr>
            <w:tcW w:w="1360" w:type="dxa"/>
            <w:noWrap/>
            <w:hideMark/>
          </w:tcPr>
          <w:p w:rsidRPr="005A2C33" w:rsidR="00CC466B" w:rsidP="00B35EED" w:rsidRDefault="00CC466B" w14:paraId="0C3CCE0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589</w:t>
            </w:r>
          </w:p>
        </w:tc>
        <w:tc>
          <w:tcPr>
            <w:tcW w:w="1360" w:type="dxa"/>
            <w:noWrap/>
            <w:hideMark/>
          </w:tcPr>
          <w:p w:rsidRPr="005A2C33" w:rsidR="00CC466B" w:rsidP="00B35EED" w:rsidRDefault="00CC466B" w14:paraId="13B9288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588</w:t>
            </w:r>
          </w:p>
        </w:tc>
        <w:tc>
          <w:tcPr>
            <w:tcW w:w="1360" w:type="dxa"/>
            <w:noWrap/>
            <w:hideMark/>
          </w:tcPr>
          <w:p w:rsidRPr="005A2C33" w:rsidR="00CC466B" w:rsidP="00B35EED" w:rsidRDefault="00CC466B" w14:paraId="4153B2A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1536</w:t>
            </w:r>
          </w:p>
        </w:tc>
      </w:tr>
      <w:tr w:rsidRPr="005A2C33" w:rsidR="00CC466B" w:rsidTr="00B35EED" w14:paraId="53226B43"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CC466B" w:rsidP="00B35EED" w:rsidRDefault="00CC466B" w14:paraId="7FE38E1A" w14:textId="77777777">
            <w:pPr>
              <w:rPr>
                <w:rFonts w:ascii="Calibri" w:hAnsi="Calibri" w:eastAsia="Times New Roman" w:cs="Times New Roman"/>
                <w:color w:val="000000"/>
              </w:rPr>
            </w:pPr>
            <w:r w:rsidRPr="005A2C33">
              <w:rPr>
                <w:rFonts w:ascii="Calibri" w:hAnsi="Calibri" w:eastAsia="Times New Roman" w:cs="Times New Roman"/>
                <w:color w:val="000000"/>
              </w:rPr>
              <w:t>Mail Return Rate</w:t>
            </w:r>
          </w:p>
        </w:tc>
        <w:tc>
          <w:tcPr>
            <w:tcW w:w="1360" w:type="dxa"/>
            <w:hideMark/>
          </w:tcPr>
          <w:p w:rsidRPr="005A2C33" w:rsidR="00CC466B" w:rsidP="00B35EED" w:rsidRDefault="00CC466B" w14:paraId="57CF822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18.0%</w:t>
            </w:r>
          </w:p>
        </w:tc>
        <w:tc>
          <w:tcPr>
            <w:tcW w:w="1360" w:type="dxa"/>
            <w:hideMark/>
          </w:tcPr>
          <w:p w:rsidRPr="005A2C33" w:rsidR="00CC466B" w:rsidP="00B35EED" w:rsidRDefault="00CC466B" w14:paraId="4EC175E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10.9%</w:t>
            </w:r>
          </w:p>
        </w:tc>
        <w:tc>
          <w:tcPr>
            <w:tcW w:w="1360" w:type="dxa"/>
            <w:hideMark/>
          </w:tcPr>
          <w:p w:rsidRPr="005A2C33" w:rsidR="00CC466B" w:rsidP="00B35EED" w:rsidRDefault="00CC466B" w14:paraId="6ED3EC7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NA</w:t>
            </w:r>
          </w:p>
        </w:tc>
      </w:tr>
      <w:tr w:rsidRPr="005A2C33" w:rsidR="00CC466B" w:rsidTr="00B35EED" w14:paraId="32E3E173"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CC466B" w:rsidP="00B35EED" w:rsidRDefault="00CC466B" w14:paraId="6A79DCCD" w14:textId="77777777">
            <w:pPr>
              <w:rPr>
                <w:rFonts w:ascii="Calibri" w:hAnsi="Calibri" w:eastAsia="Times New Roman" w:cs="Times New Roman"/>
                <w:color w:val="000000"/>
              </w:rPr>
            </w:pPr>
            <w:r w:rsidRPr="005A2C33">
              <w:rPr>
                <w:rFonts w:ascii="Calibri" w:hAnsi="Calibri" w:eastAsia="Times New Roman" w:cs="Times New Roman"/>
                <w:color w:val="000000"/>
              </w:rPr>
              <w:t>Unweighted Eligibility Rate</w:t>
            </w:r>
          </w:p>
        </w:tc>
        <w:tc>
          <w:tcPr>
            <w:tcW w:w="1360" w:type="dxa"/>
            <w:hideMark/>
          </w:tcPr>
          <w:p w:rsidRPr="005A2C33" w:rsidR="00CC466B" w:rsidP="00B35EED" w:rsidRDefault="00CC466B" w14:paraId="6018A127"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20.0%</w:t>
            </w:r>
          </w:p>
        </w:tc>
        <w:tc>
          <w:tcPr>
            <w:tcW w:w="1360" w:type="dxa"/>
            <w:hideMark/>
          </w:tcPr>
          <w:p w:rsidRPr="005A2C33" w:rsidR="00CC466B" w:rsidP="00B35EED" w:rsidRDefault="00CC466B" w14:paraId="2BEB389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16.5%</w:t>
            </w:r>
          </w:p>
        </w:tc>
        <w:tc>
          <w:tcPr>
            <w:tcW w:w="1360" w:type="dxa"/>
            <w:hideMark/>
          </w:tcPr>
          <w:p w:rsidRPr="005A2C33" w:rsidR="00CC466B" w:rsidP="00B35EED" w:rsidRDefault="00CC466B" w14:paraId="79E720D7"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19.6</w:t>
            </w:r>
            <w:r>
              <w:rPr>
                <w:rFonts w:ascii="Calibri" w:hAnsi="Calibri" w:eastAsia="Times New Roman" w:cs="Times New Roman"/>
                <w:color w:val="000000"/>
              </w:rPr>
              <w:t>%</w:t>
            </w:r>
          </w:p>
        </w:tc>
      </w:tr>
      <w:tr w:rsidRPr="005A2C33" w:rsidR="00CC466B" w:rsidTr="00B35EED" w14:paraId="6936D3F7"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CC466B" w:rsidP="00B35EED" w:rsidRDefault="00CC466B" w14:paraId="6B4CD0AA" w14:textId="77777777">
            <w:pPr>
              <w:rPr>
                <w:rFonts w:ascii="Calibri" w:hAnsi="Calibri" w:eastAsia="Times New Roman" w:cs="Times New Roman"/>
                <w:color w:val="000000"/>
              </w:rPr>
            </w:pPr>
            <w:r w:rsidRPr="005A2C33">
              <w:rPr>
                <w:rFonts w:ascii="Calibri" w:hAnsi="Calibri" w:eastAsia="Times New Roman" w:cs="Times New Roman"/>
                <w:color w:val="000000"/>
              </w:rPr>
              <w:t>Unweighted Screening Response Rate</w:t>
            </w:r>
          </w:p>
        </w:tc>
        <w:tc>
          <w:tcPr>
            <w:tcW w:w="1360" w:type="dxa"/>
            <w:hideMark/>
          </w:tcPr>
          <w:p w:rsidRPr="005A2C33" w:rsidR="00CC466B" w:rsidP="00B35EED" w:rsidRDefault="00CC466B" w14:paraId="7CEE0C6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96.4%</w:t>
            </w:r>
          </w:p>
        </w:tc>
        <w:tc>
          <w:tcPr>
            <w:tcW w:w="1360" w:type="dxa"/>
            <w:hideMark/>
          </w:tcPr>
          <w:p w:rsidRPr="005A2C33" w:rsidR="00CC466B" w:rsidP="00B35EED" w:rsidRDefault="00CC466B" w14:paraId="535FCFC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97.2%</w:t>
            </w:r>
          </w:p>
        </w:tc>
        <w:tc>
          <w:tcPr>
            <w:tcW w:w="1360" w:type="dxa"/>
            <w:hideMark/>
          </w:tcPr>
          <w:p w:rsidRPr="005A2C33" w:rsidR="00CC466B" w:rsidP="00B35EED" w:rsidRDefault="00CC466B" w14:paraId="1DB2A37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97.6</w:t>
            </w:r>
            <w:r>
              <w:rPr>
                <w:rFonts w:ascii="Calibri" w:hAnsi="Calibri" w:eastAsia="Times New Roman" w:cs="Times New Roman"/>
                <w:color w:val="000000"/>
              </w:rPr>
              <w:t>%</w:t>
            </w:r>
          </w:p>
        </w:tc>
      </w:tr>
      <w:tr w:rsidRPr="005A2C33" w:rsidR="00CC466B" w:rsidTr="00B35EED" w14:paraId="37BAF79E"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CC466B" w:rsidP="00B35EED" w:rsidRDefault="00CC466B" w14:paraId="776E9799" w14:textId="77777777">
            <w:pPr>
              <w:rPr>
                <w:rFonts w:ascii="Calibri" w:hAnsi="Calibri" w:eastAsia="Times New Roman" w:cs="Times New Roman"/>
                <w:color w:val="000000"/>
              </w:rPr>
            </w:pPr>
            <w:r w:rsidRPr="005A2C33">
              <w:rPr>
                <w:rFonts w:ascii="Calibri" w:hAnsi="Calibri" w:eastAsia="Times New Roman" w:cs="Times New Roman"/>
                <w:color w:val="000000"/>
              </w:rPr>
              <w:t>Unweighted Main Response Rate</w:t>
            </w:r>
          </w:p>
        </w:tc>
        <w:tc>
          <w:tcPr>
            <w:tcW w:w="1360" w:type="dxa"/>
            <w:hideMark/>
          </w:tcPr>
          <w:p w:rsidRPr="005A2C33" w:rsidR="00CC466B" w:rsidP="00B35EED" w:rsidRDefault="00CC466B" w14:paraId="68BAC5D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78.7%</w:t>
            </w:r>
          </w:p>
        </w:tc>
        <w:tc>
          <w:tcPr>
            <w:tcW w:w="1360" w:type="dxa"/>
            <w:hideMark/>
          </w:tcPr>
          <w:p w:rsidRPr="005A2C33" w:rsidR="00CC466B" w:rsidP="00B35EED" w:rsidRDefault="00CC466B" w14:paraId="60457DB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77.8%</w:t>
            </w:r>
          </w:p>
        </w:tc>
        <w:tc>
          <w:tcPr>
            <w:tcW w:w="1360" w:type="dxa"/>
            <w:hideMark/>
          </w:tcPr>
          <w:p w:rsidRPr="005A2C33" w:rsidR="00CC466B" w:rsidP="00B35EED" w:rsidRDefault="00CC466B" w14:paraId="64F575F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81</w:t>
            </w:r>
            <w:r>
              <w:rPr>
                <w:rFonts w:ascii="Calibri" w:hAnsi="Calibri" w:eastAsia="Times New Roman" w:cs="Times New Roman"/>
                <w:color w:val="000000"/>
              </w:rPr>
              <w:t>.0%</w:t>
            </w:r>
          </w:p>
        </w:tc>
      </w:tr>
      <w:tr w:rsidRPr="005A2C33" w:rsidR="00CC466B" w:rsidTr="00B35EED" w14:paraId="53AC6076"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CC466B" w:rsidP="00B35EED" w:rsidRDefault="00CC466B" w14:paraId="1ABA4A68" w14:textId="77777777">
            <w:pPr>
              <w:rPr>
                <w:rFonts w:ascii="Calibri" w:hAnsi="Calibri" w:eastAsia="Times New Roman" w:cs="Times New Roman"/>
                <w:color w:val="000000"/>
              </w:rPr>
            </w:pPr>
            <w:r w:rsidRPr="005A2C33">
              <w:rPr>
                <w:rFonts w:ascii="Calibri" w:hAnsi="Calibri" w:eastAsia="Times New Roman" w:cs="Times New Roman"/>
                <w:color w:val="000000"/>
              </w:rPr>
              <w:t>Weighted Screening Response Rate</w:t>
            </w:r>
          </w:p>
        </w:tc>
        <w:tc>
          <w:tcPr>
            <w:tcW w:w="1360" w:type="dxa"/>
            <w:hideMark/>
          </w:tcPr>
          <w:p w:rsidRPr="005A2C33" w:rsidR="00CC466B" w:rsidP="00B35EED" w:rsidRDefault="00CC466B" w14:paraId="77C541B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93.3%</w:t>
            </w:r>
          </w:p>
        </w:tc>
        <w:tc>
          <w:tcPr>
            <w:tcW w:w="1360" w:type="dxa"/>
            <w:hideMark/>
          </w:tcPr>
          <w:p w:rsidRPr="005A2C33" w:rsidR="00CC466B" w:rsidP="00B35EED" w:rsidRDefault="00CC466B" w14:paraId="6577ADD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94.1%</w:t>
            </w:r>
          </w:p>
        </w:tc>
        <w:tc>
          <w:tcPr>
            <w:tcW w:w="1360" w:type="dxa"/>
            <w:hideMark/>
          </w:tcPr>
          <w:p w:rsidRPr="005A2C33" w:rsidR="00CC466B" w:rsidP="00B35EED" w:rsidRDefault="00CC466B" w14:paraId="3B55550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94.4%</w:t>
            </w:r>
          </w:p>
        </w:tc>
      </w:tr>
      <w:tr w:rsidRPr="005A2C33" w:rsidR="00CC466B" w:rsidTr="00B35EED" w14:paraId="288374BE"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CC466B" w:rsidP="00B35EED" w:rsidRDefault="00CC466B" w14:paraId="16FD6410" w14:textId="77777777">
            <w:pPr>
              <w:rPr>
                <w:rFonts w:ascii="Calibri" w:hAnsi="Calibri" w:eastAsia="Times New Roman" w:cs="Times New Roman"/>
                <w:color w:val="000000"/>
              </w:rPr>
            </w:pPr>
            <w:r w:rsidRPr="005A2C33">
              <w:rPr>
                <w:rFonts w:ascii="Calibri" w:hAnsi="Calibri" w:eastAsia="Times New Roman" w:cs="Times New Roman"/>
                <w:color w:val="000000"/>
              </w:rPr>
              <w:t>Weighted Main Response Rate</w:t>
            </w:r>
          </w:p>
        </w:tc>
        <w:tc>
          <w:tcPr>
            <w:tcW w:w="1360" w:type="dxa"/>
            <w:hideMark/>
          </w:tcPr>
          <w:p w:rsidRPr="005A2C33" w:rsidR="00CC466B" w:rsidP="00B35EED" w:rsidRDefault="00CC466B" w14:paraId="11F4817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63.4%</w:t>
            </w:r>
          </w:p>
        </w:tc>
        <w:tc>
          <w:tcPr>
            <w:tcW w:w="1360" w:type="dxa"/>
            <w:hideMark/>
          </w:tcPr>
          <w:p w:rsidRPr="005A2C33" w:rsidR="00CC466B" w:rsidP="00B35EED" w:rsidRDefault="00CC466B" w14:paraId="6C16BEC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61.3%</w:t>
            </w:r>
          </w:p>
        </w:tc>
        <w:tc>
          <w:tcPr>
            <w:tcW w:w="1360" w:type="dxa"/>
            <w:hideMark/>
          </w:tcPr>
          <w:p w:rsidRPr="005A2C33" w:rsidR="00CC466B" w:rsidP="00B35EED" w:rsidRDefault="00CC466B" w14:paraId="3FA1429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72.6%</w:t>
            </w:r>
          </w:p>
        </w:tc>
      </w:tr>
      <w:tr w:rsidRPr="005A2C33" w:rsidR="00CC466B" w:rsidTr="00B35EED" w14:paraId="141DED65" w14:textId="77777777">
        <w:trPr>
          <w:trHeight w:val="315"/>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CC466B" w:rsidP="00B35EED" w:rsidRDefault="00CC466B" w14:paraId="56225C1D" w14:textId="77777777">
            <w:pPr>
              <w:rPr>
                <w:rFonts w:ascii="Calibri" w:hAnsi="Calibri" w:eastAsia="Times New Roman" w:cs="Times New Roman"/>
                <w:color w:val="000000"/>
              </w:rPr>
            </w:pPr>
            <w:r w:rsidRPr="005A2C33">
              <w:rPr>
                <w:rFonts w:ascii="Calibri" w:hAnsi="Calibri" w:eastAsia="Times New Roman" w:cs="Times New Roman"/>
                <w:color w:val="000000"/>
              </w:rPr>
              <w:t>Completed Interviews</w:t>
            </w:r>
          </w:p>
        </w:tc>
        <w:tc>
          <w:tcPr>
            <w:tcW w:w="1360" w:type="dxa"/>
            <w:hideMark/>
          </w:tcPr>
          <w:p w:rsidRPr="005A2C33" w:rsidR="00CC466B" w:rsidP="00B35EED" w:rsidRDefault="00CC466B" w14:paraId="7F349C1F"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59</w:t>
            </w:r>
          </w:p>
        </w:tc>
        <w:tc>
          <w:tcPr>
            <w:tcW w:w="1360" w:type="dxa"/>
            <w:hideMark/>
          </w:tcPr>
          <w:p w:rsidRPr="005A2C33" w:rsidR="00CC466B" w:rsidP="00B35EED" w:rsidRDefault="00CC466B" w14:paraId="20565E6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49</w:t>
            </w:r>
          </w:p>
        </w:tc>
        <w:tc>
          <w:tcPr>
            <w:tcW w:w="1360" w:type="dxa"/>
            <w:hideMark/>
          </w:tcPr>
          <w:p w:rsidRPr="005A2C33" w:rsidR="00CC466B" w:rsidP="00B35EED" w:rsidRDefault="00CC466B" w14:paraId="2C715D8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158</w:t>
            </w:r>
          </w:p>
        </w:tc>
      </w:tr>
    </w:tbl>
    <w:p w:rsidR="00CC466B" w:rsidP="00B5113C" w:rsidRDefault="00CC466B" w14:paraId="2CB735B7" w14:textId="32D04AF5"/>
    <w:p w:rsidR="00446236" w:rsidP="00B5113C" w:rsidRDefault="00CC466B" w14:paraId="3115F56F" w14:textId="30AB328D">
      <w:r>
        <w:t>We did find lower response rates in the mailed condition. We think this is partly explained by the shortened field period</w:t>
      </w:r>
      <w:r w:rsidR="00311014">
        <w:t xml:space="preserve"> (for quarters other than Q26)</w:t>
      </w:r>
      <w:r>
        <w:t xml:space="preserve">. Two weeks of the </w:t>
      </w:r>
      <w:r w:rsidR="00311014">
        <w:t xml:space="preserve">12-week </w:t>
      </w:r>
      <w:r>
        <w:t xml:space="preserve">face-to-face field period were lost to the mailed survey field period. </w:t>
      </w:r>
      <w:r w:rsidR="00ED1AC5">
        <w:t xml:space="preserve">Related to these response rates are the costs associated with each treatment. </w:t>
      </w:r>
      <w:r w:rsidR="00446236">
        <w:t>Table 2 presents the</w:t>
      </w:r>
      <w:r w:rsidR="00ED1AC5">
        <w:t xml:space="preserve"> detailed</w:t>
      </w:r>
      <w:r w:rsidR="00446236">
        <w:t xml:space="preserve"> costs by treatment.</w:t>
      </w:r>
      <w:r w:rsidR="00ED1AC5">
        <w:t xml:space="preserve"> Although the “Mail +$2” treatment did reduce screening costs, the main interviewing was more expensive on these cases. This led that treatment to have higher costs than the control group. The highest costs were observed in the mailed screener arm that did not include an incentive.</w:t>
      </w:r>
    </w:p>
    <w:p w:rsidRPr="005A2C33" w:rsidR="00CC466B" w:rsidP="00CC466B" w:rsidRDefault="00CC466B" w14:paraId="20A6789A" w14:textId="60A00393">
      <w:pPr>
        <w:spacing w:after="0"/>
        <w:rPr>
          <w:b/>
        </w:rPr>
      </w:pPr>
      <w:r w:rsidRPr="005A2C33">
        <w:rPr>
          <w:b/>
        </w:rPr>
        <w:t xml:space="preserve">Table 2. </w:t>
      </w:r>
      <w:r w:rsidR="00446236">
        <w:rPr>
          <w:b/>
        </w:rPr>
        <w:t xml:space="preserve">Detailed </w:t>
      </w:r>
      <w:r w:rsidRPr="005A2C33">
        <w:rPr>
          <w:b/>
        </w:rPr>
        <w:t xml:space="preserve">Costs by </w:t>
      </w:r>
      <w:r w:rsidR="00446236">
        <w:rPr>
          <w:b/>
        </w:rPr>
        <w:t>Treatment</w:t>
      </w:r>
      <w:r w:rsidR="00EA5317">
        <w:rPr>
          <w:b/>
        </w:rPr>
        <w:t>, Q24-Q27</w:t>
      </w:r>
    </w:p>
    <w:tbl>
      <w:tblPr>
        <w:tblStyle w:val="PlainTable21"/>
        <w:tblW w:w="10316" w:type="dxa"/>
        <w:tblLook w:val="06A0" w:firstRow="1" w:lastRow="0" w:firstColumn="1" w:lastColumn="0" w:noHBand="1" w:noVBand="1"/>
      </w:tblPr>
      <w:tblGrid>
        <w:gridCol w:w="6345"/>
        <w:gridCol w:w="1418"/>
        <w:gridCol w:w="1277"/>
        <w:gridCol w:w="1276"/>
      </w:tblGrid>
      <w:tr w:rsidRPr="005A2C33" w:rsidR="00CC466B" w:rsidTr="00B35EED" w14:paraId="68A6AF95"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345" w:type="dxa"/>
            <w:hideMark/>
          </w:tcPr>
          <w:p w:rsidRPr="005A2C33" w:rsidR="00CC466B" w:rsidP="00B35EED" w:rsidRDefault="00CC466B" w14:paraId="2D6D7F0B" w14:textId="77777777">
            <w:pPr>
              <w:jc w:val="right"/>
              <w:rPr>
                <w:rFonts w:ascii="Calibri" w:hAnsi="Calibri" w:eastAsia="Times New Roman" w:cs="Times New Roman"/>
                <w:color w:val="000000"/>
              </w:rPr>
            </w:pPr>
            <w:r w:rsidRPr="005A2C33">
              <w:rPr>
                <w:rFonts w:ascii="Calibri" w:hAnsi="Calibri" w:eastAsia="Times New Roman" w:cs="Times New Roman"/>
                <w:color w:val="000000"/>
              </w:rPr>
              <w:t> </w:t>
            </w:r>
          </w:p>
        </w:tc>
        <w:tc>
          <w:tcPr>
            <w:tcW w:w="1418" w:type="dxa"/>
            <w:hideMark/>
          </w:tcPr>
          <w:p w:rsidRPr="005A2C33" w:rsidR="00CC466B" w:rsidP="00B35EED" w:rsidRDefault="00CC466B" w14:paraId="5CAF8D54" w14:textId="77777777">
            <w:pPr>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Mail+$2</w:t>
            </w:r>
          </w:p>
        </w:tc>
        <w:tc>
          <w:tcPr>
            <w:tcW w:w="1277" w:type="dxa"/>
            <w:hideMark/>
          </w:tcPr>
          <w:p w:rsidRPr="005A2C33" w:rsidR="00CC466B" w:rsidP="00B35EED" w:rsidRDefault="00CC466B" w14:paraId="55CDC288" w14:textId="77777777">
            <w:pPr>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Mail</w:t>
            </w:r>
          </w:p>
        </w:tc>
        <w:tc>
          <w:tcPr>
            <w:tcW w:w="1276" w:type="dxa"/>
            <w:hideMark/>
          </w:tcPr>
          <w:p w:rsidRPr="005A2C33" w:rsidR="00CC466B" w:rsidP="00B35EED" w:rsidRDefault="00CC466B" w14:paraId="51ACAE47" w14:textId="77777777">
            <w:pPr>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Control</w:t>
            </w:r>
          </w:p>
        </w:tc>
      </w:tr>
      <w:tr w:rsidRPr="005A2C33" w:rsidR="00CC466B" w:rsidTr="00B35EED" w14:paraId="20252B67" w14:textId="77777777">
        <w:trPr>
          <w:trHeight w:val="300"/>
        </w:trPr>
        <w:tc>
          <w:tcPr>
            <w:cnfStyle w:val="001000000000" w:firstRow="0" w:lastRow="0" w:firstColumn="1" w:lastColumn="0" w:oddVBand="0" w:evenVBand="0" w:oddHBand="0" w:evenHBand="0" w:firstRowFirstColumn="0" w:firstRowLastColumn="0" w:lastRowFirstColumn="0" w:lastRowLastColumn="0"/>
            <w:tcW w:w="6345" w:type="dxa"/>
            <w:hideMark/>
          </w:tcPr>
          <w:p w:rsidRPr="00170A16" w:rsidR="00CC466B" w:rsidP="00B35EED" w:rsidRDefault="00CC466B" w14:paraId="5DAAE681" w14:textId="77777777">
            <w:pPr>
              <w:rPr>
                <w:rFonts w:ascii="Calibri" w:hAnsi="Calibri" w:eastAsia="Times New Roman" w:cs="Times New Roman"/>
                <w:color w:val="000000"/>
              </w:rPr>
            </w:pPr>
            <w:r w:rsidRPr="00170A16">
              <w:rPr>
                <w:rFonts w:ascii="Calibri" w:hAnsi="Calibri" w:eastAsia="Times New Roman" w:cs="Times New Roman"/>
                <w:color w:val="000000"/>
              </w:rPr>
              <w:t>Incentive for Sample Size = 700</w:t>
            </w:r>
          </w:p>
        </w:tc>
        <w:tc>
          <w:tcPr>
            <w:tcW w:w="1418" w:type="dxa"/>
            <w:hideMark/>
          </w:tcPr>
          <w:p w:rsidRPr="005A2C33" w:rsidR="00CC466B" w:rsidP="00B35EED" w:rsidRDefault="00CC466B" w14:paraId="0059DAF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 xml:space="preserve">$1,400.00 </w:t>
            </w:r>
          </w:p>
        </w:tc>
        <w:tc>
          <w:tcPr>
            <w:tcW w:w="1277" w:type="dxa"/>
            <w:hideMark/>
          </w:tcPr>
          <w:p w:rsidRPr="005A2C33" w:rsidR="00CC466B" w:rsidP="00B35EED" w:rsidRDefault="00CC466B" w14:paraId="123262D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 xml:space="preserve">$0.00 </w:t>
            </w:r>
          </w:p>
        </w:tc>
        <w:tc>
          <w:tcPr>
            <w:tcW w:w="1276" w:type="dxa"/>
            <w:hideMark/>
          </w:tcPr>
          <w:p w:rsidRPr="005A2C33" w:rsidR="00CC466B" w:rsidP="00B35EED" w:rsidRDefault="00CC466B" w14:paraId="3205B608"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 xml:space="preserve">$0.00 </w:t>
            </w:r>
          </w:p>
        </w:tc>
      </w:tr>
      <w:tr w:rsidRPr="005A2C33" w:rsidR="00CC466B" w:rsidTr="00B35EED" w14:paraId="7321CB1A" w14:textId="77777777">
        <w:trPr>
          <w:trHeight w:val="300"/>
        </w:trPr>
        <w:tc>
          <w:tcPr>
            <w:cnfStyle w:val="001000000000" w:firstRow="0" w:lastRow="0" w:firstColumn="1" w:lastColumn="0" w:oddVBand="0" w:evenVBand="0" w:oddHBand="0" w:evenHBand="0" w:firstRowFirstColumn="0" w:firstRowLastColumn="0" w:lastRowFirstColumn="0" w:lastRowLastColumn="0"/>
            <w:tcW w:w="6345" w:type="dxa"/>
            <w:hideMark/>
          </w:tcPr>
          <w:p w:rsidRPr="00170A16" w:rsidR="00CC466B" w:rsidP="00B35EED" w:rsidRDefault="00CC466B" w14:paraId="4CFED9F2" w14:textId="77777777">
            <w:pPr>
              <w:rPr>
                <w:rFonts w:ascii="Calibri" w:hAnsi="Calibri" w:eastAsia="Times New Roman" w:cs="Times New Roman"/>
                <w:color w:val="000000"/>
              </w:rPr>
            </w:pPr>
            <w:r w:rsidRPr="00170A16">
              <w:rPr>
                <w:rFonts w:ascii="Calibri" w:hAnsi="Calibri" w:eastAsia="Times New Roman" w:cs="Times New Roman"/>
                <w:color w:val="000000"/>
              </w:rPr>
              <w:t>Addl Mailing Materials for Sample Size = 700</w:t>
            </w:r>
          </w:p>
        </w:tc>
        <w:tc>
          <w:tcPr>
            <w:tcW w:w="1418" w:type="dxa"/>
            <w:hideMark/>
          </w:tcPr>
          <w:p w:rsidRPr="005A2C33" w:rsidR="00CC466B" w:rsidP="00B35EED" w:rsidRDefault="00CC466B" w14:paraId="67FBF659"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 xml:space="preserve">$350.00 </w:t>
            </w:r>
          </w:p>
        </w:tc>
        <w:tc>
          <w:tcPr>
            <w:tcW w:w="1277" w:type="dxa"/>
            <w:hideMark/>
          </w:tcPr>
          <w:p w:rsidRPr="005A2C33" w:rsidR="00CC466B" w:rsidP="00B35EED" w:rsidRDefault="00CC466B" w14:paraId="4826A194"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 xml:space="preserve">$350.00 </w:t>
            </w:r>
          </w:p>
        </w:tc>
        <w:tc>
          <w:tcPr>
            <w:tcW w:w="1276" w:type="dxa"/>
            <w:hideMark/>
          </w:tcPr>
          <w:p w:rsidRPr="005A2C33" w:rsidR="00CC466B" w:rsidP="00B35EED" w:rsidRDefault="00CC466B" w14:paraId="0D117E2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 xml:space="preserve">$0.00 </w:t>
            </w:r>
          </w:p>
        </w:tc>
      </w:tr>
      <w:tr w:rsidRPr="005A2C33" w:rsidR="00CC466B" w:rsidTr="00B35EED" w14:paraId="2F681832" w14:textId="77777777">
        <w:trPr>
          <w:trHeight w:val="300"/>
        </w:trPr>
        <w:tc>
          <w:tcPr>
            <w:cnfStyle w:val="001000000000" w:firstRow="0" w:lastRow="0" w:firstColumn="1" w:lastColumn="0" w:oddVBand="0" w:evenVBand="0" w:oddHBand="0" w:evenHBand="0" w:firstRowFirstColumn="0" w:firstRowLastColumn="0" w:lastRowFirstColumn="0" w:lastRowLastColumn="0"/>
            <w:tcW w:w="6345" w:type="dxa"/>
            <w:hideMark/>
          </w:tcPr>
          <w:p w:rsidRPr="00170A16" w:rsidR="00CC466B" w:rsidP="00B35EED" w:rsidRDefault="00CC466B" w14:paraId="727986F9" w14:textId="77777777">
            <w:pPr>
              <w:rPr>
                <w:rFonts w:ascii="Calibri" w:hAnsi="Calibri" w:eastAsia="Times New Roman" w:cs="Times New Roman"/>
                <w:color w:val="000000"/>
              </w:rPr>
            </w:pPr>
            <w:r w:rsidRPr="00170A16">
              <w:rPr>
                <w:rFonts w:ascii="Calibri" w:hAnsi="Calibri" w:eastAsia="Times New Roman" w:cs="Times New Roman"/>
                <w:color w:val="000000"/>
              </w:rPr>
              <w:t>Implementation of Mailing for Sample Size = 700</w:t>
            </w:r>
          </w:p>
        </w:tc>
        <w:tc>
          <w:tcPr>
            <w:tcW w:w="1418" w:type="dxa"/>
            <w:hideMark/>
          </w:tcPr>
          <w:p w:rsidRPr="005A2C33" w:rsidR="00CC466B" w:rsidP="00B35EED" w:rsidRDefault="00CC466B" w14:paraId="3B3BF944"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 xml:space="preserve">$2,121.00 </w:t>
            </w:r>
          </w:p>
        </w:tc>
        <w:tc>
          <w:tcPr>
            <w:tcW w:w="1277" w:type="dxa"/>
            <w:hideMark/>
          </w:tcPr>
          <w:p w:rsidRPr="005A2C33" w:rsidR="00CC466B" w:rsidP="00B35EED" w:rsidRDefault="00CC466B" w14:paraId="06D67475"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 xml:space="preserve">$2,121.00 </w:t>
            </w:r>
          </w:p>
        </w:tc>
        <w:tc>
          <w:tcPr>
            <w:tcW w:w="1276" w:type="dxa"/>
            <w:hideMark/>
          </w:tcPr>
          <w:p w:rsidRPr="005A2C33" w:rsidR="00CC466B" w:rsidP="00B35EED" w:rsidRDefault="00CC466B" w14:paraId="6C3E5C4E"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 xml:space="preserve">$0.00 </w:t>
            </w:r>
          </w:p>
        </w:tc>
      </w:tr>
      <w:tr w:rsidRPr="005A2C33" w:rsidR="00CC466B" w:rsidTr="00B35EED" w14:paraId="44F8476E" w14:textId="77777777">
        <w:trPr>
          <w:trHeight w:val="300"/>
        </w:trPr>
        <w:tc>
          <w:tcPr>
            <w:cnfStyle w:val="001000000000" w:firstRow="0" w:lastRow="0" w:firstColumn="1" w:lastColumn="0" w:oddVBand="0" w:evenVBand="0" w:oddHBand="0" w:evenHBand="0" w:firstRowFirstColumn="0" w:firstRowLastColumn="0" w:lastRowFirstColumn="0" w:lastRowLastColumn="0"/>
            <w:tcW w:w="6345" w:type="dxa"/>
            <w:hideMark/>
          </w:tcPr>
          <w:p w:rsidRPr="00170A16" w:rsidR="00CC466B" w:rsidP="00B35EED" w:rsidRDefault="00CC466B" w14:paraId="4774F361" w14:textId="77777777">
            <w:pPr>
              <w:rPr>
                <w:rFonts w:ascii="Calibri" w:hAnsi="Calibri" w:eastAsia="Times New Roman" w:cs="Times New Roman"/>
                <w:color w:val="000000"/>
              </w:rPr>
            </w:pPr>
            <w:r w:rsidRPr="00170A16">
              <w:rPr>
                <w:rFonts w:ascii="Calibri" w:hAnsi="Calibri" w:eastAsia="Times New Roman" w:cs="Times New Roman"/>
                <w:color w:val="000000"/>
              </w:rPr>
              <w:t>Mailer for Sample Size = 700</w:t>
            </w:r>
          </w:p>
        </w:tc>
        <w:tc>
          <w:tcPr>
            <w:tcW w:w="1418" w:type="dxa"/>
            <w:hideMark/>
          </w:tcPr>
          <w:p w:rsidRPr="005A2C33" w:rsidR="00CC466B" w:rsidP="00B35EED" w:rsidRDefault="00CC466B" w14:paraId="6CA9B96F"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 xml:space="preserve">$4,655.00 </w:t>
            </w:r>
          </w:p>
        </w:tc>
        <w:tc>
          <w:tcPr>
            <w:tcW w:w="1277" w:type="dxa"/>
            <w:hideMark/>
          </w:tcPr>
          <w:p w:rsidRPr="005A2C33" w:rsidR="00CC466B" w:rsidP="00B35EED" w:rsidRDefault="00CC466B" w14:paraId="463BD86D"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 xml:space="preserve">$4,655.00 </w:t>
            </w:r>
          </w:p>
        </w:tc>
        <w:tc>
          <w:tcPr>
            <w:tcW w:w="1276" w:type="dxa"/>
            <w:hideMark/>
          </w:tcPr>
          <w:p w:rsidRPr="005A2C33" w:rsidR="00CC466B" w:rsidP="00B35EED" w:rsidRDefault="00CC466B" w14:paraId="00EAA63E"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 xml:space="preserve">$0.00 </w:t>
            </w:r>
          </w:p>
        </w:tc>
      </w:tr>
      <w:tr w:rsidRPr="005A2C33" w:rsidR="00CC466B" w:rsidTr="00B35EED" w14:paraId="6F484EBC" w14:textId="77777777">
        <w:trPr>
          <w:trHeight w:val="300"/>
        </w:trPr>
        <w:tc>
          <w:tcPr>
            <w:cnfStyle w:val="001000000000" w:firstRow="0" w:lastRow="0" w:firstColumn="1" w:lastColumn="0" w:oddVBand="0" w:evenVBand="0" w:oddHBand="0" w:evenHBand="0" w:firstRowFirstColumn="0" w:firstRowLastColumn="0" w:lastRowFirstColumn="0" w:lastRowLastColumn="0"/>
            <w:tcW w:w="6345" w:type="dxa"/>
            <w:hideMark/>
          </w:tcPr>
          <w:p w:rsidRPr="00170A16" w:rsidR="00CC466B" w:rsidP="00B35EED" w:rsidRDefault="00CC466B" w14:paraId="03D91591" w14:textId="77777777">
            <w:pPr>
              <w:rPr>
                <w:rFonts w:ascii="Calibri" w:hAnsi="Calibri" w:eastAsia="Times New Roman" w:cs="Times New Roman"/>
                <w:color w:val="000000"/>
              </w:rPr>
            </w:pPr>
            <w:r>
              <w:rPr>
                <w:rFonts w:ascii="Calibri" w:hAnsi="Calibri" w:eastAsia="Times New Roman" w:cs="Times New Roman"/>
                <w:color w:val="000000"/>
              </w:rPr>
              <w:t>Percentage</w:t>
            </w:r>
            <w:r w:rsidRPr="00170A16">
              <w:rPr>
                <w:rFonts w:ascii="Calibri" w:hAnsi="Calibri" w:eastAsia="Times New Roman" w:cs="Times New Roman"/>
                <w:color w:val="000000"/>
              </w:rPr>
              <w:t xml:space="preserve"> of Sampling Resulting in Completed Main </w:t>
            </w:r>
            <w:r>
              <w:rPr>
                <w:rFonts w:ascii="Calibri" w:hAnsi="Calibri" w:eastAsia="Times New Roman" w:cs="Times New Roman"/>
                <w:color w:val="000000"/>
              </w:rPr>
              <w:t>Iw</w:t>
            </w:r>
          </w:p>
        </w:tc>
        <w:tc>
          <w:tcPr>
            <w:tcW w:w="1418" w:type="dxa"/>
            <w:hideMark/>
          </w:tcPr>
          <w:p w:rsidRPr="005A2C33" w:rsidR="00CC466B" w:rsidP="00B35EED" w:rsidRDefault="00CC466B" w14:paraId="3A1D090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10.0%</w:t>
            </w:r>
          </w:p>
        </w:tc>
        <w:tc>
          <w:tcPr>
            <w:tcW w:w="1277" w:type="dxa"/>
            <w:hideMark/>
          </w:tcPr>
          <w:p w:rsidRPr="005A2C33" w:rsidR="00CC466B" w:rsidP="00B35EED" w:rsidRDefault="00CC466B" w14:paraId="06EF677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8.3%</w:t>
            </w:r>
          </w:p>
        </w:tc>
        <w:tc>
          <w:tcPr>
            <w:tcW w:w="1276" w:type="dxa"/>
            <w:hideMark/>
          </w:tcPr>
          <w:p w:rsidRPr="005A2C33" w:rsidR="00CC466B" w:rsidP="00B35EED" w:rsidRDefault="00CC466B" w14:paraId="29605276"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10.3%</w:t>
            </w:r>
          </w:p>
        </w:tc>
      </w:tr>
      <w:tr w:rsidRPr="005A2C33" w:rsidR="00CC466B" w:rsidTr="00B35EED" w14:paraId="3233E8CF" w14:textId="77777777">
        <w:trPr>
          <w:trHeight w:val="300"/>
        </w:trPr>
        <w:tc>
          <w:tcPr>
            <w:cnfStyle w:val="001000000000" w:firstRow="0" w:lastRow="0" w:firstColumn="1" w:lastColumn="0" w:oddVBand="0" w:evenVBand="0" w:oddHBand="0" w:evenHBand="0" w:firstRowFirstColumn="0" w:firstRowLastColumn="0" w:lastRowFirstColumn="0" w:lastRowLastColumn="0"/>
            <w:tcW w:w="6345" w:type="dxa"/>
            <w:hideMark/>
          </w:tcPr>
          <w:p w:rsidRPr="00170A16" w:rsidR="00CC466B" w:rsidP="00B35EED" w:rsidRDefault="00CC466B" w14:paraId="44016248" w14:textId="77777777">
            <w:pPr>
              <w:rPr>
                <w:rFonts w:ascii="Calibri" w:hAnsi="Calibri" w:eastAsia="Times New Roman" w:cs="Times New Roman"/>
                <w:color w:val="000000"/>
              </w:rPr>
            </w:pPr>
            <w:r w:rsidRPr="00170A16">
              <w:rPr>
                <w:rFonts w:ascii="Calibri" w:hAnsi="Calibri" w:eastAsia="Times New Roman" w:cs="Times New Roman"/>
                <w:color w:val="000000"/>
              </w:rPr>
              <w:t>Mailing Costs per Completed</w:t>
            </w:r>
            <w:r>
              <w:rPr>
                <w:rFonts w:ascii="Calibri" w:hAnsi="Calibri" w:eastAsia="Times New Roman" w:cs="Times New Roman"/>
                <w:color w:val="000000"/>
              </w:rPr>
              <w:t xml:space="preserve"> Main</w:t>
            </w:r>
            <w:r w:rsidRPr="00170A16">
              <w:rPr>
                <w:rFonts w:ascii="Calibri" w:hAnsi="Calibri" w:eastAsia="Times New Roman" w:cs="Times New Roman"/>
                <w:color w:val="000000"/>
              </w:rPr>
              <w:t xml:space="preserve"> Iw</w:t>
            </w:r>
          </w:p>
        </w:tc>
        <w:tc>
          <w:tcPr>
            <w:tcW w:w="1418" w:type="dxa"/>
            <w:hideMark/>
          </w:tcPr>
          <w:p w:rsidRPr="005A2C33" w:rsidR="00CC466B" w:rsidP="00B35EED" w:rsidRDefault="00CC466B" w14:paraId="042431DC"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 xml:space="preserve">$121.59 </w:t>
            </w:r>
          </w:p>
        </w:tc>
        <w:tc>
          <w:tcPr>
            <w:tcW w:w="1277" w:type="dxa"/>
            <w:hideMark/>
          </w:tcPr>
          <w:p w:rsidRPr="005A2C33" w:rsidR="00CC466B" w:rsidP="00B35EED" w:rsidRDefault="00CC466B" w14:paraId="7B99864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 xml:space="preserve">$122.16 </w:t>
            </w:r>
          </w:p>
        </w:tc>
        <w:tc>
          <w:tcPr>
            <w:tcW w:w="1276" w:type="dxa"/>
            <w:hideMark/>
          </w:tcPr>
          <w:p w:rsidRPr="005A2C33" w:rsidR="00CC466B" w:rsidP="00B35EED" w:rsidRDefault="00CC466B" w14:paraId="4BC07ACD"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 xml:space="preserve">$0.00 </w:t>
            </w:r>
          </w:p>
        </w:tc>
      </w:tr>
      <w:tr w:rsidRPr="005A2C33" w:rsidR="00CC466B" w:rsidTr="00B35EED" w14:paraId="6968C174" w14:textId="77777777">
        <w:trPr>
          <w:trHeight w:val="300"/>
        </w:trPr>
        <w:tc>
          <w:tcPr>
            <w:cnfStyle w:val="001000000000" w:firstRow="0" w:lastRow="0" w:firstColumn="1" w:lastColumn="0" w:oddVBand="0" w:evenVBand="0" w:oddHBand="0" w:evenHBand="0" w:firstRowFirstColumn="0" w:firstRowLastColumn="0" w:lastRowFirstColumn="0" w:lastRowLastColumn="0"/>
            <w:tcW w:w="6345" w:type="dxa"/>
          </w:tcPr>
          <w:p w:rsidRPr="00170A16" w:rsidR="00CC466B" w:rsidP="00B35EED" w:rsidRDefault="00CC466B" w14:paraId="0C771AFA" w14:textId="77777777">
            <w:pPr>
              <w:rPr>
                <w:rFonts w:ascii="Calibri" w:hAnsi="Calibri" w:eastAsia="Times New Roman" w:cs="Times New Roman"/>
                <w:color w:val="000000"/>
              </w:rPr>
            </w:pPr>
            <w:r w:rsidRPr="00170A16">
              <w:rPr>
                <w:rFonts w:ascii="Calibri" w:hAnsi="Calibri" w:eastAsia="Times New Roman" w:cs="Times New Roman"/>
                <w:color w:val="000000"/>
              </w:rPr>
              <w:t>Face-to-Face Screening Costs per Completed Screening Iw</w:t>
            </w:r>
          </w:p>
        </w:tc>
        <w:tc>
          <w:tcPr>
            <w:tcW w:w="1418" w:type="dxa"/>
          </w:tcPr>
          <w:p w:rsidRPr="005A2C33" w:rsidR="00CC466B" w:rsidP="00B35EED" w:rsidRDefault="00CC466B" w14:paraId="5052B120"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eastAsia="Times New Roman" w:cs="Times New Roman"/>
                <w:color w:val="000000"/>
              </w:rPr>
              <w:t>$39.47</w:t>
            </w:r>
          </w:p>
        </w:tc>
        <w:tc>
          <w:tcPr>
            <w:tcW w:w="1277" w:type="dxa"/>
          </w:tcPr>
          <w:p w:rsidRPr="005A2C33" w:rsidR="00CC466B" w:rsidP="00B35EED" w:rsidRDefault="00CC466B" w14:paraId="0F61FD55"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eastAsia="Times New Roman" w:cs="Times New Roman"/>
                <w:color w:val="000000"/>
              </w:rPr>
              <w:t>$41.60</w:t>
            </w:r>
          </w:p>
        </w:tc>
        <w:tc>
          <w:tcPr>
            <w:tcW w:w="1276" w:type="dxa"/>
          </w:tcPr>
          <w:p w:rsidRPr="005A2C33" w:rsidR="00CC466B" w:rsidP="00B35EED" w:rsidRDefault="00CC466B" w14:paraId="3D405E27"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eastAsia="Times New Roman" w:cs="Times New Roman"/>
                <w:color w:val="000000"/>
              </w:rPr>
              <w:t>$52.15</w:t>
            </w:r>
          </w:p>
        </w:tc>
      </w:tr>
      <w:tr w:rsidRPr="005A2C33" w:rsidR="00CC466B" w:rsidTr="00B35EED" w14:paraId="252CBC05" w14:textId="77777777">
        <w:trPr>
          <w:trHeight w:val="300"/>
        </w:trPr>
        <w:tc>
          <w:tcPr>
            <w:cnfStyle w:val="001000000000" w:firstRow="0" w:lastRow="0" w:firstColumn="1" w:lastColumn="0" w:oddVBand="0" w:evenVBand="0" w:oddHBand="0" w:evenHBand="0" w:firstRowFirstColumn="0" w:firstRowLastColumn="0" w:lastRowFirstColumn="0" w:lastRowLastColumn="0"/>
            <w:tcW w:w="6345" w:type="dxa"/>
            <w:hideMark/>
          </w:tcPr>
          <w:p w:rsidRPr="00170A16" w:rsidR="00CC466B" w:rsidP="00B35EED" w:rsidRDefault="00CC466B" w14:paraId="72D25D53" w14:textId="77777777">
            <w:pPr>
              <w:rPr>
                <w:rFonts w:ascii="Calibri" w:hAnsi="Calibri" w:eastAsia="Times New Roman" w:cs="Times New Roman"/>
                <w:color w:val="000000"/>
              </w:rPr>
            </w:pPr>
            <w:r w:rsidRPr="00170A16">
              <w:rPr>
                <w:rFonts w:ascii="Calibri" w:hAnsi="Calibri" w:eastAsia="Times New Roman" w:cs="Times New Roman"/>
                <w:color w:val="000000"/>
              </w:rPr>
              <w:t>Face-to-Face Screening Costs per Completed Main Iw</w:t>
            </w:r>
          </w:p>
        </w:tc>
        <w:tc>
          <w:tcPr>
            <w:tcW w:w="1418" w:type="dxa"/>
            <w:hideMark/>
          </w:tcPr>
          <w:p w:rsidRPr="005A2C33" w:rsidR="00CC466B" w:rsidP="00B35EED" w:rsidRDefault="00CC466B" w14:paraId="0B531F5C"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$323.7</w:t>
            </w:r>
            <w:r>
              <w:rPr>
                <w:rFonts w:ascii="Calibri" w:hAnsi="Calibri" w:eastAsia="Times New Roman" w:cs="Times New Roman"/>
                <w:color w:val="000000"/>
              </w:rPr>
              <w:t>8</w:t>
            </w:r>
            <w:r w:rsidRPr="005A2C33">
              <w:rPr>
                <w:rFonts w:ascii="Calibri" w:hAnsi="Calibri" w:eastAsia="Times New Roman" w:cs="Times New Roman"/>
                <w:color w:val="000000"/>
              </w:rPr>
              <w:t xml:space="preserve"> </w:t>
            </w:r>
          </w:p>
        </w:tc>
        <w:tc>
          <w:tcPr>
            <w:tcW w:w="1277" w:type="dxa"/>
            <w:hideMark/>
          </w:tcPr>
          <w:p w:rsidRPr="005A2C33" w:rsidR="00CC466B" w:rsidP="00B35EED" w:rsidRDefault="00CC466B" w14:paraId="0EE6B69C"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$412.6</w:t>
            </w:r>
            <w:r>
              <w:rPr>
                <w:rFonts w:ascii="Calibri" w:hAnsi="Calibri" w:eastAsia="Times New Roman" w:cs="Times New Roman"/>
                <w:color w:val="000000"/>
              </w:rPr>
              <w:t>4</w:t>
            </w:r>
            <w:r w:rsidRPr="005A2C33">
              <w:rPr>
                <w:rFonts w:ascii="Calibri" w:hAnsi="Calibri" w:eastAsia="Times New Roman" w:cs="Times New Roman"/>
                <w:color w:val="000000"/>
              </w:rPr>
              <w:t xml:space="preserve"> </w:t>
            </w:r>
          </w:p>
        </w:tc>
        <w:tc>
          <w:tcPr>
            <w:tcW w:w="1276" w:type="dxa"/>
            <w:hideMark/>
          </w:tcPr>
          <w:p w:rsidRPr="005A2C33" w:rsidR="00CC466B" w:rsidP="00B35EED" w:rsidRDefault="00CC466B" w14:paraId="43F83C4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$410.</w:t>
            </w:r>
            <w:r>
              <w:rPr>
                <w:rFonts w:ascii="Calibri" w:hAnsi="Calibri" w:eastAsia="Times New Roman" w:cs="Times New Roman"/>
                <w:color w:val="000000"/>
              </w:rPr>
              <w:t>61</w:t>
            </w:r>
            <w:r w:rsidRPr="005A2C33">
              <w:rPr>
                <w:rFonts w:ascii="Calibri" w:hAnsi="Calibri" w:eastAsia="Times New Roman" w:cs="Times New Roman"/>
                <w:color w:val="000000"/>
              </w:rPr>
              <w:t xml:space="preserve"> </w:t>
            </w:r>
          </w:p>
        </w:tc>
      </w:tr>
      <w:tr w:rsidRPr="005A2C33" w:rsidR="00CC466B" w:rsidTr="00B35EED" w14:paraId="3583E28D" w14:textId="77777777">
        <w:trPr>
          <w:trHeight w:val="315"/>
        </w:trPr>
        <w:tc>
          <w:tcPr>
            <w:cnfStyle w:val="001000000000" w:firstRow="0" w:lastRow="0" w:firstColumn="1" w:lastColumn="0" w:oddVBand="0" w:evenVBand="0" w:oddHBand="0" w:evenHBand="0" w:firstRowFirstColumn="0" w:firstRowLastColumn="0" w:lastRowFirstColumn="0" w:lastRowLastColumn="0"/>
            <w:tcW w:w="6345" w:type="dxa"/>
            <w:hideMark/>
          </w:tcPr>
          <w:p w:rsidRPr="00170A16" w:rsidR="00CC466B" w:rsidP="00B35EED" w:rsidRDefault="00CC466B" w14:paraId="4035D1F3" w14:textId="77777777">
            <w:pPr>
              <w:rPr>
                <w:rFonts w:ascii="Calibri" w:hAnsi="Calibri" w:eastAsia="Times New Roman" w:cs="Times New Roman"/>
                <w:color w:val="000000"/>
              </w:rPr>
            </w:pPr>
            <w:r w:rsidRPr="00170A16">
              <w:rPr>
                <w:rFonts w:ascii="Calibri" w:hAnsi="Calibri" w:eastAsia="Times New Roman" w:cs="Times New Roman"/>
                <w:color w:val="000000"/>
              </w:rPr>
              <w:t>Main Interviewing Costs per Completed Iw (main only)</w:t>
            </w:r>
          </w:p>
        </w:tc>
        <w:tc>
          <w:tcPr>
            <w:tcW w:w="1418" w:type="dxa"/>
            <w:hideMark/>
          </w:tcPr>
          <w:p w:rsidRPr="005A2C33" w:rsidR="00CC466B" w:rsidP="00B35EED" w:rsidRDefault="00CC466B" w14:paraId="6BC431B7"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w:t>
            </w:r>
            <w:r>
              <w:rPr>
                <w:rFonts w:ascii="Calibri" w:hAnsi="Calibri" w:eastAsia="Times New Roman" w:cs="Times New Roman"/>
                <w:color w:val="000000"/>
              </w:rPr>
              <w:t>176.95</w:t>
            </w:r>
            <w:r w:rsidRPr="005A2C33">
              <w:rPr>
                <w:rFonts w:ascii="Calibri" w:hAnsi="Calibri" w:eastAsia="Times New Roman" w:cs="Times New Roman"/>
                <w:color w:val="000000"/>
              </w:rPr>
              <w:t xml:space="preserve"> </w:t>
            </w:r>
          </w:p>
        </w:tc>
        <w:tc>
          <w:tcPr>
            <w:tcW w:w="1277" w:type="dxa"/>
            <w:hideMark/>
          </w:tcPr>
          <w:p w:rsidRPr="005A2C33" w:rsidR="00CC466B" w:rsidP="00B35EED" w:rsidRDefault="00CC466B" w14:paraId="60B41C89"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$179.5</w:t>
            </w:r>
            <w:r>
              <w:rPr>
                <w:rFonts w:ascii="Calibri" w:hAnsi="Calibri" w:eastAsia="Times New Roman" w:cs="Times New Roman"/>
                <w:color w:val="000000"/>
              </w:rPr>
              <w:t>4</w:t>
            </w:r>
            <w:r w:rsidRPr="005A2C33">
              <w:rPr>
                <w:rFonts w:ascii="Calibri" w:hAnsi="Calibri" w:eastAsia="Times New Roman" w:cs="Times New Roman"/>
                <w:color w:val="000000"/>
              </w:rPr>
              <w:t xml:space="preserve"> </w:t>
            </w:r>
          </w:p>
        </w:tc>
        <w:tc>
          <w:tcPr>
            <w:tcW w:w="1276" w:type="dxa"/>
            <w:hideMark/>
          </w:tcPr>
          <w:p w:rsidRPr="005A2C33" w:rsidR="00CC466B" w:rsidP="00B35EED" w:rsidRDefault="00CC466B" w14:paraId="78B792B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$152.</w:t>
            </w:r>
            <w:r>
              <w:rPr>
                <w:rFonts w:ascii="Calibri" w:hAnsi="Calibri" w:eastAsia="Times New Roman" w:cs="Times New Roman"/>
                <w:color w:val="000000"/>
              </w:rPr>
              <w:t>77</w:t>
            </w:r>
            <w:r w:rsidRPr="005A2C33">
              <w:rPr>
                <w:rFonts w:ascii="Calibri" w:hAnsi="Calibri" w:eastAsia="Times New Roman" w:cs="Times New Roman"/>
                <w:color w:val="000000"/>
              </w:rPr>
              <w:t xml:space="preserve"> </w:t>
            </w:r>
          </w:p>
        </w:tc>
      </w:tr>
      <w:tr w:rsidRPr="005A2C33" w:rsidR="00CC466B" w:rsidTr="00B35EED" w14:paraId="399F641C" w14:textId="77777777">
        <w:trPr>
          <w:trHeight w:val="315"/>
        </w:trPr>
        <w:tc>
          <w:tcPr>
            <w:cnfStyle w:val="001000000000" w:firstRow="0" w:lastRow="0" w:firstColumn="1" w:lastColumn="0" w:oddVBand="0" w:evenVBand="0" w:oddHBand="0" w:evenHBand="0" w:firstRowFirstColumn="0" w:firstRowLastColumn="0" w:lastRowFirstColumn="0" w:lastRowLastColumn="0"/>
            <w:tcW w:w="6345" w:type="dxa"/>
            <w:hideMark/>
          </w:tcPr>
          <w:p w:rsidRPr="00170A16" w:rsidR="00CC466B" w:rsidP="00B35EED" w:rsidRDefault="00CC466B" w14:paraId="1F970913" w14:textId="77777777">
            <w:pPr>
              <w:rPr>
                <w:rFonts w:ascii="Calibri" w:hAnsi="Calibri" w:eastAsia="Times New Roman" w:cs="Times New Roman"/>
                <w:color w:val="000000"/>
              </w:rPr>
            </w:pPr>
            <w:r w:rsidRPr="00170A16">
              <w:rPr>
                <w:rFonts w:ascii="Calibri" w:hAnsi="Calibri" w:eastAsia="Times New Roman" w:cs="Times New Roman"/>
                <w:color w:val="000000"/>
              </w:rPr>
              <w:t>Total Costs per Completed Main Iw</w:t>
            </w:r>
          </w:p>
        </w:tc>
        <w:tc>
          <w:tcPr>
            <w:tcW w:w="1418" w:type="dxa"/>
            <w:hideMark/>
          </w:tcPr>
          <w:p w:rsidRPr="005A2C33" w:rsidR="00CC466B" w:rsidP="00B35EED" w:rsidRDefault="00CC466B" w14:paraId="0043ED2E"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$622.</w:t>
            </w:r>
            <w:r>
              <w:rPr>
                <w:rFonts w:ascii="Calibri" w:hAnsi="Calibri" w:eastAsia="Times New Roman" w:cs="Times New Roman"/>
                <w:color w:val="000000"/>
              </w:rPr>
              <w:t>32</w:t>
            </w:r>
            <w:r w:rsidRPr="005A2C33">
              <w:rPr>
                <w:rFonts w:ascii="Calibri" w:hAnsi="Calibri" w:eastAsia="Times New Roman" w:cs="Times New Roman"/>
                <w:color w:val="000000"/>
              </w:rPr>
              <w:t xml:space="preserve"> </w:t>
            </w:r>
          </w:p>
        </w:tc>
        <w:tc>
          <w:tcPr>
            <w:tcW w:w="1277" w:type="dxa"/>
            <w:hideMark/>
          </w:tcPr>
          <w:p w:rsidRPr="005A2C33" w:rsidR="00CC466B" w:rsidP="00B35EED" w:rsidRDefault="00CC466B" w14:paraId="48EEB7EE"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$714.3</w:t>
            </w:r>
            <w:r>
              <w:rPr>
                <w:rFonts w:ascii="Calibri" w:hAnsi="Calibri" w:eastAsia="Times New Roman" w:cs="Times New Roman"/>
                <w:color w:val="000000"/>
              </w:rPr>
              <w:t>4</w:t>
            </w:r>
            <w:r w:rsidRPr="005A2C33">
              <w:rPr>
                <w:rFonts w:ascii="Calibri" w:hAnsi="Calibri" w:eastAsia="Times New Roman" w:cs="Times New Roman"/>
                <w:color w:val="000000"/>
              </w:rPr>
              <w:t xml:space="preserve"> </w:t>
            </w:r>
          </w:p>
        </w:tc>
        <w:tc>
          <w:tcPr>
            <w:tcW w:w="1276" w:type="dxa"/>
            <w:hideMark/>
          </w:tcPr>
          <w:p w:rsidRPr="005A2C33" w:rsidR="00CC466B" w:rsidP="00B35EED" w:rsidRDefault="00CC466B" w14:paraId="0913047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$563.</w:t>
            </w:r>
            <w:r>
              <w:rPr>
                <w:rFonts w:ascii="Calibri" w:hAnsi="Calibri" w:eastAsia="Times New Roman" w:cs="Times New Roman"/>
                <w:color w:val="000000"/>
              </w:rPr>
              <w:t>38</w:t>
            </w:r>
            <w:r w:rsidRPr="005A2C33">
              <w:rPr>
                <w:rFonts w:ascii="Calibri" w:hAnsi="Calibri" w:eastAsia="Times New Roman" w:cs="Times New Roman"/>
                <w:color w:val="000000"/>
              </w:rPr>
              <w:t xml:space="preserve"> </w:t>
            </w:r>
          </w:p>
        </w:tc>
      </w:tr>
    </w:tbl>
    <w:p w:rsidR="00ED1AC5" w:rsidP="00B5113C" w:rsidRDefault="00ED1AC5" w14:paraId="462BAC48" w14:textId="1D5A1C61">
      <w:r>
        <w:t xml:space="preserve">Having observed these results in Q24 and Q25, we decided to modify the protocol for Q26 and Q27. The response rates observed during </w:t>
      </w:r>
      <w:r w:rsidR="000F3E28">
        <w:t>Q</w:t>
      </w:r>
      <w:r w:rsidR="000E260B">
        <w:t xml:space="preserve">26 </w:t>
      </w:r>
      <w:r>
        <w:t xml:space="preserve">are presented in Table 3. We found that </w:t>
      </w:r>
      <w:r w:rsidR="000E260B">
        <w:t>mailing screeners two weeks earlier</w:t>
      </w:r>
      <w:r>
        <w:t xml:space="preserve"> did help address the lower main interview rate</w:t>
      </w:r>
      <w:r w:rsidR="00131BD0">
        <w:t>, although with only one quarter of data, any conclusions need to be tentative.</w:t>
      </w:r>
    </w:p>
    <w:p w:rsidRPr="006A372C" w:rsidR="00446236" w:rsidP="00446236" w:rsidRDefault="00446236" w14:paraId="6D442D3D" w14:textId="77777777">
      <w:pPr>
        <w:spacing w:after="0"/>
        <w:rPr>
          <w:b/>
        </w:rPr>
      </w:pPr>
      <w:r>
        <w:rPr>
          <w:b/>
        </w:rPr>
        <w:t xml:space="preserve">Table 3. Q26 (early mailing) Response Rates, Eligibility and Yield by Treatment Condition </w:t>
      </w:r>
    </w:p>
    <w:tbl>
      <w:tblPr>
        <w:tblStyle w:val="PlainTable21"/>
        <w:tblW w:w="8560" w:type="dxa"/>
        <w:tblLook w:val="06A0" w:firstRow="1" w:lastRow="0" w:firstColumn="1" w:lastColumn="0" w:noHBand="1" w:noVBand="1"/>
      </w:tblPr>
      <w:tblGrid>
        <w:gridCol w:w="4480"/>
        <w:gridCol w:w="1360"/>
        <w:gridCol w:w="1360"/>
        <w:gridCol w:w="1360"/>
      </w:tblGrid>
      <w:tr w:rsidRPr="005A2C33" w:rsidR="00446236" w:rsidTr="00B35EED" w14:paraId="079B668E"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6B886B14" w14:textId="77777777">
            <w:pPr>
              <w:rPr>
                <w:rFonts w:ascii="Calibri" w:hAnsi="Calibri" w:eastAsia="Times New Roman" w:cs="Times New Roman"/>
                <w:color w:val="000000"/>
              </w:rPr>
            </w:pPr>
            <w:r w:rsidRPr="005A2C33">
              <w:rPr>
                <w:rFonts w:ascii="Calibri" w:hAnsi="Calibri" w:eastAsia="Times New Roman" w:cs="Times New Roman"/>
                <w:color w:val="000000"/>
              </w:rPr>
              <w:t> </w:t>
            </w:r>
          </w:p>
        </w:tc>
        <w:tc>
          <w:tcPr>
            <w:tcW w:w="1360" w:type="dxa"/>
            <w:hideMark/>
          </w:tcPr>
          <w:p w:rsidRPr="005A2C33" w:rsidR="00446236" w:rsidP="00B35EED" w:rsidRDefault="00446236" w14:paraId="6B80CA16"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Mail+$2</w:t>
            </w:r>
          </w:p>
        </w:tc>
        <w:tc>
          <w:tcPr>
            <w:tcW w:w="1360" w:type="dxa"/>
            <w:hideMark/>
          </w:tcPr>
          <w:p w:rsidRPr="005A2C33" w:rsidR="00446236" w:rsidP="00B35EED" w:rsidRDefault="00446236" w14:paraId="46D59684"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Mail</w:t>
            </w:r>
          </w:p>
        </w:tc>
        <w:tc>
          <w:tcPr>
            <w:tcW w:w="1360" w:type="dxa"/>
            <w:hideMark/>
          </w:tcPr>
          <w:p w:rsidRPr="005A2C33" w:rsidR="00446236" w:rsidP="00B35EED" w:rsidRDefault="00446236" w14:paraId="0AFC2EC8"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Control</w:t>
            </w:r>
          </w:p>
        </w:tc>
      </w:tr>
      <w:tr w:rsidRPr="005A2C33" w:rsidR="00446236" w:rsidTr="00B35EED" w14:paraId="08F431F7"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6FBA1C64" w14:textId="77777777">
            <w:pPr>
              <w:rPr>
                <w:rFonts w:ascii="Calibri" w:hAnsi="Calibri" w:eastAsia="Times New Roman" w:cs="Times New Roman"/>
                <w:color w:val="000000"/>
              </w:rPr>
            </w:pPr>
            <w:r w:rsidRPr="005A2C33">
              <w:rPr>
                <w:rFonts w:ascii="Calibri" w:hAnsi="Calibri" w:eastAsia="Times New Roman" w:cs="Times New Roman"/>
                <w:color w:val="000000"/>
              </w:rPr>
              <w:t>Sample Size</w:t>
            </w:r>
          </w:p>
        </w:tc>
        <w:tc>
          <w:tcPr>
            <w:tcW w:w="1360" w:type="dxa"/>
            <w:noWrap/>
            <w:vAlign w:val="center"/>
            <w:hideMark/>
          </w:tcPr>
          <w:p w:rsidRPr="005A2C33" w:rsidR="00446236" w:rsidP="00B35EED" w:rsidRDefault="00446236" w14:paraId="51E01B1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150</w:t>
            </w:r>
          </w:p>
        </w:tc>
        <w:tc>
          <w:tcPr>
            <w:tcW w:w="1360" w:type="dxa"/>
            <w:noWrap/>
            <w:vAlign w:val="center"/>
            <w:hideMark/>
          </w:tcPr>
          <w:p w:rsidRPr="005A2C33" w:rsidR="00446236" w:rsidP="00B35EED" w:rsidRDefault="00446236" w14:paraId="1D7D323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150</w:t>
            </w:r>
          </w:p>
        </w:tc>
        <w:tc>
          <w:tcPr>
            <w:tcW w:w="1360" w:type="dxa"/>
            <w:noWrap/>
            <w:vAlign w:val="center"/>
            <w:hideMark/>
          </w:tcPr>
          <w:p w:rsidRPr="005A2C33" w:rsidR="00446236" w:rsidP="00B35EED" w:rsidRDefault="00446236" w14:paraId="66FCBD3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353</w:t>
            </w:r>
          </w:p>
        </w:tc>
      </w:tr>
      <w:tr w:rsidRPr="005A2C33" w:rsidR="00446236" w:rsidTr="00B35EED" w14:paraId="148A5426"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1B2D86AE" w14:textId="77777777">
            <w:pPr>
              <w:rPr>
                <w:rFonts w:ascii="Calibri" w:hAnsi="Calibri" w:eastAsia="Times New Roman" w:cs="Times New Roman"/>
                <w:color w:val="000000"/>
              </w:rPr>
            </w:pPr>
            <w:r w:rsidRPr="005A2C33">
              <w:rPr>
                <w:rFonts w:ascii="Calibri" w:hAnsi="Calibri" w:eastAsia="Times New Roman" w:cs="Times New Roman"/>
                <w:color w:val="000000"/>
              </w:rPr>
              <w:t>Mail Return Rate</w:t>
            </w:r>
          </w:p>
        </w:tc>
        <w:tc>
          <w:tcPr>
            <w:tcW w:w="1360" w:type="dxa"/>
            <w:vAlign w:val="center"/>
            <w:hideMark/>
          </w:tcPr>
          <w:p w:rsidRPr="005A2C33" w:rsidR="00446236" w:rsidP="00B35EED" w:rsidRDefault="00446236" w14:paraId="3C9492A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20.0%</w:t>
            </w:r>
          </w:p>
        </w:tc>
        <w:tc>
          <w:tcPr>
            <w:tcW w:w="1360" w:type="dxa"/>
            <w:vAlign w:val="center"/>
            <w:hideMark/>
          </w:tcPr>
          <w:p w:rsidRPr="005A2C33" w:rsidR="00446236" w:rsidP="00B35EED" w:rsidRDefault="00446236" w14:paraId="2ACB21E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8.7%</w:t>
            </w:r>
          </w:p>
        </w:tc>
        <w:tc>
          <w:tcPr>
            <w:tcW w:w="1360" w:type="dxa"/>
            <w:vAlign w:val="center"/>
            <w:hideMark/>
          </w:tcPr>
          <w:p w:rsidRPr="005A2C33" w:rsidR="00446236" w:rsidP="00B35EED" w:rsidRDefault="00446236" w14:paraId="4DDF8F5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NA</w:t>
            </w:r>
          </w:p>
        </w:tc>
      </w:tr>
      <w:tr w:rsidRPr="005A2C33" w:rsidR="00446236" w:rsidTr="00B35EED" w14:paraId="3C33B63E"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19CAE5FC" w14:textId="77777777">
            <w:pPr>
              <w:rPr>
                <w:rFonts w:ascii="Calibri" w:hAnsi="Calibri" w:eastAsia="Times New Roman" w:cs="Times New Roman"/>
                <w:color w:val="000000"/>
              </w:rPr>
            </w:pPr>
            <w:r w:rsidRPr="005A2C33">
              <w:rPr>
                <w:rFonts w:ascii="Calibri" w:hAnsi="Calibri" w:eastAsia="Times New Roman" w:cs="Times New Roman"/>
                <w:color w:val="000000"/>
              </w:rPr>
              <w:t>Unweighted Eligibility Rate</w:t>
            </w:r>
          </w:p>
        </w:tc>
        <w:tc>
          <w:tcPr>
            <w:tcW w:w="1360" w:type="dxa"/>
            <w:vAlign w:val="center"/>
            <w:hideMark/>
          </w:tcPr>
          <w:p w:rsidRPr="005A2C33" w:rsidR="00446236" w:rsidP="00B35EED" w:rsidRDefault="00446236" w14:paraId="17E5C68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22.5%</w:t>
            </w:r>
          </w:p>
        </w:tc>
        <w:tc>
          <w:tcPr>
            <w:tcW w:w="1360" w:type="dxa"/>
            <w:vAlign w:val="center"/>
            <w:hideMark/>
          </w:tcPr>
          <w:p w:rsidRPr="005A2C33" w:rsidR="00446236" w:rsidP="00B35EED" w:rsidRDefault="00446236" w14:paraId="64FDAB37"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17.6%</w:t>
            </w:r>
          </w:p>
        </w:tc>
        <w:tc>
          <w:tcPr>
            <w:tcW w:w="1360" w:type="dxa"/>
            <w:vAlign w:val="center"/>
            <w:hideMark/>
          </w:tcPr>
          <w:p w:rsidRPr="005A2C33" w:rsidR="00446236" w:rsidP="00B35EED" w:rsidRDefault="00446236" w14:paraId="729E411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19.7%</w:t>
            </w:r>
          </w:p>
        </w:tc>
      </w:tr>
      <w:tr w:rsidRPr="005A2C33" w:rsidR="00446236" w:rsidTr="00B35EED" w14:paraId="21A98F28"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26E34CDB" w14:textId="77777777">
            <w:pPr>
              <w:rPr>
                <w:rFonts w:ascii="Calibri" w:hAnsi="Calibri" w:eastAsia="Times New Roman" w:cs="Times New Roman"/>
                <w:color w:val="000000"/>
              </w:rPr>
            </w:pPr>
            <w:r w:rsidRPr="005A2C33">
              <w:rPr>
                <w:rFonts w:ascii="Calibri" w:hAnsi="Calibri" w:eastAsia="Times New Roman" w:cs="Times New Roman"/>
                <w:color w:val="000000"/>
              </w:rPr>
              <w:t>Unweighted Screening Response Rate</w:t>
            </w:r>
          </w:p>
        </w:tc>
        <w:tc>
          <w:tcPr>
            <w:tcW w:w="1360" w:type="dxa"/>
            <w:vAlign w:val="center"/>
            <w:hideMark/>
          </w:tcPr>
          <w:p w:rsidRPr="005A2C33" w:rsidR="00446236" w:rsidP="00B35EED" w:rsidRDefault="00446236" w14:paraId="7908295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97.7%</w:t>
            </w:r>
          </w:p>
        </w:tc>
        <w:tc>
          <w:tcPr>
            <w:tcW w:w="1360" w:type="dxa"/>
            <w:vAlign w:val="center"/>
            <w:hideMark/>
          </w:tcPr>
          <w:p w:rsidRPr="005A2C33" w:rsidR="00446236" w:rsidP="00B35EED" w:rsidRDefault="00446236" w14:paraId="4927399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98.3%</w:t>
            </w:r>
          </w:p>
        </w:tc>
        <w:tc>
          <w:tcPr>
            <w:tcW w:w="1360" w:type="dxa"/>
            <w:vAlign w:val="center"/>
            <w:hideMark/>
          </w:tcPr>
          <w:p w:rsidRPr="005A2C33" w:rsidR="00446236" w:rsidP="00B35EED" w:rsidRDefault="00446236" w14:paraId="00D90BE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98.6%</w:t>
            </w:r>
          </w:p>
        </w:tc>
      </w:tr>
      <w:tr w:rsidRPr="005A2C33" w:rsidR="00446236" w:rsidTr="00B35EED" w14:paraId="427FDA12"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00E5B1E6" w14:textId="77777777">
            <w:pPr>
              <w:rPr>
                <w:rFonts w:ascii="Calibri" w:hAnsi="Calibri" w:eastAsia="Times New Roman" w:cs="Times New Roman"/>
                <w:color w:val="000000"/>
              </w:rPr>
            </w:pPr>
            <w:r w:rsidRPr="005A2C33">
              <w:rPr>
                <w:rFonts w:ascii="Calibri" w:hAnsi="Calibri" w:eastAsia="Times New Roman" w:cs="Times New Roman"/>
                <w:color w:val="000000"/>
              </w:rPr>
              <w:t>Unweighted Main Response Rate</w:t>
            </w:r>
          </w:p>
        </w:tc>
        <w:tc>
          <w:tcPr>
            <w:tcW w:w="1360" w:type="dxa"/>
            <w:vAlign w:val="center"/>
            <w:hideMark/>
          </w:tcPr>
          <w:p w:rsidRPr="005A2C33" w:rsidR="00446236" w:rsidP="00B35EED" w:rsidRDefault="00446236" w14:paraId="06E684A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77.8%</w:t>
            </w:r>
          </w:p>
        </w:tc>
        <w:tc>
          <w:tcPr>
            <w:tcW w:w="1360" w:type="dxa"/>
            <w:vAlign w:val="center"/>
            <w:hideMark/>
          </w:tcPr>
          <w:p w:rsidRPr="005A2C33" w:rsidR="00446236" w:rsidP="00B35EED" w:rsidRDefault="00446236" w14:paraId="547BF6C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85.0%</w:t>
            </w:r>
          </w:p>
        </w:tc>
        <w:tc>
          <w:tcPr>
            <w:tcW w:w="1360" w:type="dxa"/>
            <w:vAlign w:val="center"/>
            <w:hideMark/>
          </w:tcPr>
          <w:p w:rsidRPr="005A2C33" w:rsidR="00446236" w:rsidP="00B35EED" w:rsidRDefault="00446236" w14:paraId="32B7713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82.2%</w:t>
            </w:r>
          </w:p>
        </w:tc>
      </w:tr>
      <w:tr w:rsidRPr="005A2C33" w:rsidR="00446236" w:rsidTr="00B35EED" w14:paraId="432459F8"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3DDDC51F" w14:textId="77777777">
            <w:pPr>
              <w:rPr>
                <w:rFonts w:ascii="Calibri" w:hAnsi="Calibri" w:eastAsia="Times New Roman" w:cs="Times New Roman"/>
                <w:color w:val="000000"/>
              </w:rPr>
            </w:pPr>
            <w:r w:rsidRPr="005A2C33">
              <w:rPr>
                <w:rFonts w:ascii="Calibri" w:hAnsi="Calibri" w:eastAsia="Times New Roman" w:cs="Times New Roman"/>
                <w:color w:val="000000"/>
              </w:rPr>
              <w:t>Weighted Screening Response Rate</w:t>
            </w:r>
          </w:p>
        </w:tc>
        <w:tc>
          <w:tcPr>
            <w:tcW w:w="1360" w:type="dxa"/>
            <w:vAlign w:val="center"/>
            <w:hideMark/>
          </w:tcPr>
          <w:p w:rsidRPr="005A2C33" w:rsidR="00446236" w:rsidP="00B35EED" w:rsidRDefault="00446236" w14:paraId="7FE0154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94.5%</w:t>
            </w:r>
          </w:p>
        </w:tc>
        <w:tc>
          <w:tcPr>
            <w:tcW w:w="1360" w:type="dxa"/>
            <w:vAlign w:val="center"/>
            <w:hideMark/>
          </w:tcPr>
          <w:p w:rsidRPr="005A2C33" w:rsidR="00446236" w:rsidP="00B35EED" w:rsidRDefault="00446236" w14:paraId="529CDE3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96.2%</w:t>
            </w:r>
          </w:p>
        </w:tc>
        <w:tc>
          <w:tcPr>
            <w:tcW w:w="1360" w:type="dxa"/>
            <w:vAlign w:val="center"/>
            <w:hideMark/>
          </w:tcPr>
          <w:p w:rsidRPr="005A2C33" w:rsidR="00446236" w:rsidP="00B35EED" w:rsidRDefault="00446236" w14:paraId="6704EDD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97.7%</w:t>
            </w:r>
          </w:p>
        </w:tc>
      </w:tr>
      <w:tr w:rsidRPr="005A2C33" w:rsidR="00446236" w:rsidTr="00B35EED" w14:paraId="32B38522"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649C6046" w14:textId="77777777">
            <w:pPr>
              <w:rPr>
                <w:rFonts w:ascii="Calibri" w:hAnsi="Calibri" w:eastAsia="Times New Roman" w:cs="Times New Roman"/>
                <w:color w:val="000000"/>
              </w:rPr>
            </w:pPr>
            <w:r w:rsidRPr="005A2C33">
              <w:rPr>
                <w:rFonts w:ascii="Calibri" w:hAnsi="Calibri" w:eastAsia="Times New Roman" w:cs="Times New Roman"/>
                <w:color w:val="000000"/>
              </w:rPr>
              <w:t>Weighted Main Response Rate</w:t>
            </w:r>
          </w:p>
        </w:tc>
        <w:tc>
          <w:tcPr>
            <w:tcW w:w="1360" w:type="dxa"/>
            <w:vAlign w:val="center"/>
            <w:hideMark/>
          </w:tcPr>
          <w:p w:rsidRPr="005A2C33" w:rsidR="00446236" w:rsidP="00B35EED" w:rsidRDefault="00446236" w14:paraId="5E264DD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63.0%</w:t>
            </w:r>
          </w:p>
        </w:tc>
        <w:tc>
          <w:tcPr>
            <w:tcW w:w="1360" w:type="dxa"/>
            <w:vAlign w:val="center"/>
            <w:hideMark/>
          </w:tcPr>
          <w:p w:rsidRPr="005A2C33" w:rsidR="00446236" w:rsidP="00B35EED" w:rsidRDefault="00446236" w14:paraId="7E845CCF"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80.2%</w:t>
            </w:r>
          </w:p>
        </w:tc>
        <w:tc>
          <w:tcPr>
            <w:tcW w:w="1360" w:type="dxa"/>
            <w:vAlign w:val="center"/>
            <w:hideMark/>
          </w:tcPr>
          <w:p w:rsidRPr="005A2C33" w:rsidR="00446236" w:rsidP="00B35EED" w:rsidRDefault="00446236" w14:paraId="36E9642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72.6%</w:t>
            </w:r>
          </w:p>
        </w:tc>
      </w:tr>
      <w:tr w:rsidRPr="005A2C33" w:rsidR="00446236" w:rsidTr="00B35EED" w14:paraId="2AB975C8" w14:textId="77777777">
        <w:trPr>
          <w:trHeight w:val="315"/>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2C072AD7" w14:textId="77777777">
            <w:pPr>
              <w:rPr>
                <w:rFonts w:ascii="Calibri" w:hAnsi="Calibri" w:eastAsia="Times New Roman" w:cs="Times New Roman"/>
                <w:color w:val="000000"/>
              </w:rPr>
            </w:pPr>
            <w:r w:rsidRPr="005A2C33">
              <w:rPr>
                <w:rFonts w:ascii="Calibri" w:hAnsi="Calibri" w:eastAsia="Times New Roman" w:cs="Times New Roman"/>
                <w:color w:val="000000"/>
              </w:rPr>
              <w:t>Completed Interviews</w:t>
            </w:r>
          </w:p>
        </w:tc>
        <w:tc>
          <w:tcPr>
            <w:tcW w:w="1360" w:type="dxa"/>
            <w:vAlign w:val="center"/>
            <w:hideMark/>
          </w:tcPr>
          <w:p w:rsidRPr="005A2C33" w:rsidR="00446236" w:rsidP="00B35EED" w:rsidRDefault="00446236" w14:paraId="2A034A8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21</w:t>
            </w:r>
          </w:p>
        </w:tc>
        <w:tc>
          <w:tcPr>
            <w:tcW w:w="1360" w:type="dxa"/>
            <w:vAlign w:val="center"/>
            <w:hideMark/>
          </w:tcPr>
          <w:p w:rsidRPr="005A2C33" w:rsidR="00446236" w:rsidP="00B35EED" w:rsidRDefault="00446236" w14:paraId="5B4E0CE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17</w:t>
            </w:r>
          </w:p>
        </w:tc>
        <w:tc>
          <w:tcPr>
            <w:tcW w:w="1360" w:type="dxa"/>
            <w:vAlign w:val="center"/>
            <w:hideMark/>
          </w:tcPr>
          <w:p w:rsidRPr="005A2C33" w:rsidR="00446236" w:rsidP="00B35EED" w:rsidRDefault="00446236" w14:paraId="5C5101A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37</w:t>
            </w:r>
          </w:p>
        </w:tc>
      </w:tr>
    </w:tbl>
    <w:p w:rsidR="00446236" w:rsidP="00446236" w:rsidRDefault="00446236" w14:paraId="27E834C7" w14:textId="77777777">
      <w:pPr>
        <w:spacing w:after="0"/>
        <w:rPr>
          <w:b/>
        </w:rPr>
      </w:pPr>
    </w:p>
    <w:p w:rsidR="00446236" w:rsidP="00446236" w:rsidRDefault="00131BD0" w14:paraId="123D75D6" w14:textId="0A24EBC5">
      <w:pPr>
        <w:spacing w:after="0"/>
      </w:pPr>
      <w:r>
        <w:t>Table 4 shows the results from Q27. Here the response rates looked similar. It was difficult to predict costs given the operational issue with the incentive randomization</w:t>
      </w:r>
      <w:r w:rsidR="00647CCB">
        <w:t>, described above</w:t>
      </w:r>
      <w:r>
        <w:t>. However, we did present some results that attempt to model the impact of incentives using the observed data. This analysis (presented in a previous memorandum)</w:t>
      </w:r>
      <w:r w:rsidR="00647CCB">
        <w:t xml:space="preserve"> suggested support for the hypothesis that the standard mailer with a $2 incentive was cost-effective, thus</w:t>
      </w:r>
      <w:r>
        <w:t xml:space="preserve"> led to the proposal to conduct two more quarters of experimentation.</w:t>
      </w:r>
    </w:p>
    <w:p w:rsidRPr="00131BD0" w:rsidR="00131BD0" w:rsidP="00446236" w:rsidRDefault="00131BD0" w14:paraId="60524B1E" w14:textId="77777777">
      <w:pPr>
        <w:spacing w:after="0"/>
      </w:pPr>
    </w:p>
    <w:p w:rsidRPr="006A372C" w:rsidR="00446236" w:rsidP="00446236" w:rsidRDefault="00446236" w14:paraId="5ADE476A" w14:textId="77777777">
      <w:pPr>
        <w:spacing w:after="0"/>
        <w:rPr>
          <w:b/>
        </w:rPr>
      </w:pPr>
      <w:r>
        <w:rPr>
          <w:b/>
        </w:rPr>
        <w:t>Table 4. Q27 (standard mailer) Response Rates, Eligibility and Yield by Treatment Condition</w:t>
      </w:r>
    </w:p>
    <w:tbl>
      <w:tblPr>
        <w:tblStyle w:val="PlainTable21"/>
        <w:tblW w:w="8560" w:type="dxa"/>
        <w:tblLook w:val="06A0" w:firstRow="1" w:lastRow="0" w:firstColumn="1" w:lastColumn="0" w:noHBand="1" w:noVBand="1"/>
      </w:tblPr>
      <w:tblGrid>
        <w:gridCol w:w="4480"/>
        <w:gridCol w:w="1360"/>
        <w:gridCol w:w="1360"/>
        <w:gridCol w:w="1360"/>
      </w:tblGrid>
      <w:tr w:rsidRPr="005A2C33" w:rsidR="00446236" w:rsidTr="00B35EED" w14:paraId="3128456D"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1C66A1F3" w14:textId="77777777">
            <w:pPr>
              <w:rPr>
                <w:rFonts w:ascii="Calibri" w:hAnsi="Calibri" w:eastAsia="Times New Roman" w:cs="Times New Roman"/>
                <w:color w:val="000000"/>
              </w:rPr>
            </w:pPr>
            <w:r w:rsidRPr="005A2C33">
              <w:rPr>
                <w:rFonts w:ascii="Calibri" w:hAnsi="Calibri" w:eastAsia="Times New Roman" w:cs="Times New Roman"/>
                <w:color w:val="000000"/>
              </w:rPr>
              <w:t> </w:t>
            </w:r>
          </w:p>
        </w:tc>
        <w:tc>
          <w:tcPr>
            <w:tcW w:w="1360" w:type="dxa"/>
            <w:hideMark/>
          </w:tcPr>
          <w:p w:rsidRPr="005A2C33" w:rsidR="00446236" w:rsidP="00B35EED" w:rsidRDefault="00446236" w14:paraId="285FA518"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Mail+$2</w:t>
            </w:r>
          </w:p>
        </w:tc>
        <w:tc>
          <w:tcPr>
            <w:tcW w:w="1360" w:type="dxa"/>
            <w:hideMark/>
          </w:tcPr>
          <w:p w:rsidRPr="005A2C33" w:rsidR="00446236" w:rsidP="00B35EED" w:rsidRDefault="00446236" w14:paraId="784D5DEF"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Mail</w:t>
            </w:r>
          </w:p>
        </w:tc>
        <w:tc>
          <w:tcPr>
            <w:tcW w:w="1360" w:type="dxa"/>
            <w:hideMark/>
          </w:tcPr>
          <w:p w:rsidRPr="005A2C33" w:rsidR="00446236" w:rsidP="00B35EED" w:rsidRDefault="00446236" w14:paraId="4B19A052"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sidRPr="005A2C33">
              <w:rPr>
                <w:rFonts w:ascii="Calibri" w:hAnsi="Calibri" w:eastAsia="Times New Roman" w:cs="Times New Roman"/>
                <w:color w:val="000000"/>
              </w:rPr>
              <w:t>Control</w:t>
            </w:r>
          </w:p>
        </w:tc>
      </w:tr>
      <w:tr w:rsidRPr="005A2C33" w:rsidR="00446236" w:rsidTr="00B35EED" w14:paraId="01977CB4"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70FC460E" w14:textId="77777777">
            <w:pPr>
              <w:rPr>
                <w:rFonts w:ascii="Calibri" w:hAnsi="Calibri" w:eastAsia="Times New Roman" w:cs="Times New Roman"/>
                <w:color w:val="000000"/>
              </w:rPr>
            </w:pPr>
            <w:r w:rsidRPr="005A2C33">
              <w:rPr>
                <w:rFonts w:ascii="Calibri" w:hAnsi="Calibri" w:eastAsia="Times New Roman" w:cs="Times New Roman"/>
                <w:color w:val="000000"/>
              </w:rPr>
              <w:t>Sample Size</w:t>
            </w:r>
          </w:p>
        </w:tc>
        <w:tc>
          <w:tcPr>
            <w:tcW w:w="1360" w:type="dxa"/>
            <w:noWrap/>
            <w:vAlign w:val="center"/>
            <w:hideMark/>
          </w:tcPr>
          <w:p w:rsidRPr="005A2C33" w:rsidR="00446236" w:rsidP="00B35EED" w:rsidRDefault="00446236" w14:paraId="191870A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150</w:t>
            </w:r>
          </w:p>
        </w:tc>
        <w:tc>
          <w:tcPr>
            <w:tcW w:w="1360" w:type="dxa"/>
            <w:noWrap/>
            <w:vAlign w:val="center"/>
            <w:hideMark/>
          </w:tcPr>
          <w:p w:rsidRPr="005A2C33" w:rsidR="00446236" w:rsidP="00B35EED" w:rsidRDefault="00446236" w14:paraId="59A6DAAF"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150</w:t>
            </w:r>
          </w:p>
        </w:tc>
        <w:tc>
          <w:tcPr>
            <w:tcW w:w="1360" w:type="dxa"/>
            <w:noWrap/>
            <w:vAlign w:val="center"/>
            <w:hideMark/>
          </w:tcPr>
          <w:p w:rsidRPr="005A2C33" w:rsidR="00446236" w:rsidP="00B35EED" w:rsidRDefault="00446236" w14:paraId="71205CDD"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300</w:t>
            </w:r>
          </w:p>
        </w:tc>
      </w:tr>
      <w:tr w:rsidRPr="005A2C33" w:rsidR="00446236" w:rsidTr="00B35EED" w14:paraId="1AAE8556"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2B97C6F4" w14:textId="77777777">
            <w:pPr>
              <w:rPr>
                <w:rFonts w:ascii="Calibri" w:hAnsi="Calibri" w:eastAsia="Times New Roman" w:cs="Times New Roman"/>
                <w:color w:val="000000"/>
              </w:rPr>
            </w:pPr>
            <w:r w:rsidRPr="005A2C33">
              <w:rPr>
                <w:rFonts w:ascii="Calibri" w:hAnsi="Calibri" w:eastAsia="Times New Roman" w:cs="Times New Roman"/>
                <w:color w:val="000000"/>
              </w:rPr>
              <w:t>Mail Return Rate</w:t>
            </w:r>
          </w:p>
        </w:tc>
        <w:tc>
          <w:tcPr>
            <w:tcW w:w="1360" w:type="dxa"/>
            <w:vAlign w:val="center"/>
            <w:hideMark/>
          </w:tcPr>
          <w:p w:rsidRPr="005A2C33" w:rsidR="00446236" w:rsidP="00B35EED" w:rsidRDefault="00446236" w14:paraId="78B8560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13.3%</w:t>
            </w:r>
          </w:p>
        </w:tc>
        <w:tc>
          <w:tcPr>
            <w:tcW w:w="1360" w:type="dxa"/>
            <w:vAlign w:val="center"/>
            <w:hideMark/>
          </w:tcPr>
          <w:p w:rsidRPr="005A2C33" w:rsidR="00446236" w:rsidP="00B35EED" w:rsidRDefault="00446236" w14:paraId="52C8682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10.7%</w:t>
            </w:r>
          </w:p>
        </w:tc>
        <w:tc>
          <w:tcPr>
            <w:tcW w:w="1360" w:type="dxa"/>
            <w:vAlign w:val="center"/>
            <w:hideMark/>
          </w:tcPr>
          <w:p w:rsidRPr="005A2C33" w:rsidR="00446236" w:rsidP="00B35EED" w:rsidRDefault="00446236" w14:paraId="6D4F6A5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NA</w:t>
            </w:r>
          </w:p>
        </w:tc>
      </w:tr>
      <w:tr w:rsidRPr="005A2C33" w:rsidR="00446236" w:rsidTr="00B35EED" w14:paraId="62F0E261"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343DFAE7" w14:textId="77777777">
            <w:pPr>
              <w:rPr>
                <w:rFonts w:ascii="Calibri" w:hAnsi="Calibri" w:eastAsia="Times New Roman" w:cs="Times New Roman"/>
                <w:color w:val="000000"/>
              </w:rPr>
            </w:pPr>
            <w:r w:rsidRPr="005A2C33">
              <w:rPr>
                <w:rFonts w:ascii="Calibri" w:hAnsi="Calibri" w:eastAsia="Times New Roman" w:cs="Times New Roman"/>
                <w:color w:val="000000"/>
              </w:rPr>
              <w:t>Unweighted Eligibility Rate</w:t>
            </w:r>
          </w:p>
        </w:tc>
        <w:tc>
          <w:tcPr>
            <w:tcW w:w="1360" w:type="dxa"/>
            <w:vAlign w:val="center"/>
            <w:hideMark/>
          </w:tcPr>
          <w:p w:rsidRPr="005A2C33" w:rsidR="00446236" w:rsidP="00B35EED" w:rsidRDefault="00446236" w14:paraId="48CF2E6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16.5%</w:t>
            </w:r>
          </w:p>
        </w:tc>
        <w:tc>
          <w:tcPr>
            <w:tcW w:w="1360" w:type="dxa"/>
            <w:vAlign w:val="center"/>
            <w:hideMark/>
          </w:tcPr>
          <w:p w:rsidRPr="005A2C33" w:rsidR="00446236" w:rsidP="00B35EED" w:rsidRDefault="00446236" w14:paraId="4F34385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20.0%</w:t>
            </w:r>
          </w:p>
        </w:tc>
        <w:tc>
          <w:tcPr>
            <w:tcW w:w="1360" w:type="dxa"/>
            <w:vAlign w:val="center"/>
            <w:hideMark/>
          </w:tcPr>
          <w:p w:rsidRPr="005A2C33" w:rsidR="00446236" w:rsidP="00B35EED" w:rsidRDefault="00446236" w14:paraId="2162B61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14.9%</w:t>
            </w:r>
          </w:p>
        </w:tc>
      </w:tr>
      <w:tr w:rsidRPr="005A2C33" w:rsidR="00446236" w:rsidTr="00B35EED" w14:paraId="04A2333B"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4E298266" w14:textId="77777777">
            <w:pPr>
              <w:rPr>
                <w:rFonts w:ascii="Calibri" w:hAnsi="Calibri" w:eastAsia="Times New Roman" w:cs="Times New Roman"/>
                <w:color w:val="000000"/>
              </w:rPr>
            </w:pPr>
            <w:r w:rsidRPr="005A2C33">
              <w:rPr>
                <w:rFonts w:ascii="Calibri" w:hAnsi="Calibri" w:eastAsia="Times New Roman" w:cs="Times New Roman"/>
                <w:color w:val="000000"/>
              </w:rPr>
              <w:t>Unweighted Screening Response Rate</w:t>
            </w:r>
          </w:p>
        </w:tc>
        <w:tc>
          <w:tcPr>
            <w:tcW w:w="1360" w:type="dxa"/>
            <w:vAlign w:val="center"/>
            <w:hideMark/>
          </w:tcPr>
          <w:p w:rsidRPr="005A2C33" w:rsidR="00446236" w:rsidP="00B35EED" w:rsidRDefault="00446236" w14:paraId="297C50C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96.8%</w:t>
            </w:r>
          </w:p>
        </w:tc>
        <w:tc>
          <w:tcPr>
            <w:tcW w:w="1360" w:type="dxa"/>
            <w:vAlign w:val="center"/>
            <w:hideMark/>
          </w:tcPr>
          <w:p w:rsidRPr="005A2C33" w:rsidR="00446236" w:rsidP="00B35EED" w:rsidRDefault="00446236" w14:paraId="2132E3D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97.7%</w:t>
            </w:r>
          </w:p>
        </w:tc>
        <w:tc>
          <w:tcPr>
            <w:tcW w:w="1360" w:type="dxa"/>
            <w:vAlign w:val="center"/>
            <w:hideMark/>
          </w:tcPr>
          <w:p w:rsidRPr="005A2C33" w:rsidR="00446236" w:rsidP="00B35EED" w:rsidRDefault="00446236" w14:paraId="385A8B6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98.3%</w:t>
            </w:r>
          </w:p>
        </w:tc>
      </w:tr>
      <w:tr w:rsidRPr="005A2C33" w:rsidR="00446236" w:rsidTr="00B35EED" w14:paraId="0F75FD33"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5D93FEE0" w14:textId="77777777">
            <w:pPr>
              <w:rPr>
                <w:rFonts w:ascii="Calibri" w:hAnsi="Calibri" w:eastAsia="Times New Roman" w:cs="Times New Roman"/>
                <w:color w:val="000000"/>
              </w:rPr>
            </w:pPr>
            <w:r w:rsidRPr="005A2C33">
              <w:rPr>
                <w:rFonts w:ascii="Calibri" w:hAnsi="Calibri" w:eastAsia="Times New Roman" w:cs="Times New Roman"/>
                <w:color w:val="000000"/>
              </w:rPr>
              <w:t>Unweighted Main Response Rate</w:t>
            </w:r>
          </w:p>
        </w:tc>
        <w:tc>
          <w:tcPr>
            <w:tcW w:w="1360" w:type="dxa"/>
            <w:vAlign w:val="center"/>
            <w:hideMark/>
          </w:tcPr>
          <w:p w:rsidRPr="005A2C33" w:rsidR="00446236" w:rsidP="00B35EED" w:rsidRDefault="00446236" w14:paraId="11A5CA2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75.0%</w:t>
            </w:r>
          </w:p>
        </w:tc>
        <w:tc>
          <w:tcPr>
            <w:tcW w:w="1360" w:type="dxa"/>
            <w:vAlign w:val="center"/>
            <w:hideMark/>
          </w:tcPr>
          <w:p w:rsidRPr="005A2C33" w:rsidR="00446236" w:rsidP="00B35EED" w:rsidRDefault="00446236" w14:paraId="20499197"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75.0%</w:t>
            </w:r>
          </w:p>
        </w:tc>
        <w:tc>
          <w:tcPr>
            <w:tcW w:w="1360" w:type="dxa"/>
            <w:vAlign w:val="center"/>
            <w:hideMark/>
          </w:tcPr>
          <w:p w:rsidRPr="005A2C33" w:rsidR="00446236" w:rsidP="00B35EED" w:rsidRDefault="00446236" w14:paraId="416309A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69.2%</w:t>
            </w:r>
          </w:p>
        </w:tc>
      </w:tr>
      <w:tr w:rsidRPr="005A2C33" w:rsidR="00446236" w:rsidTr="00B35EED" w14:paraId="4AC14A6F"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3C7F437A" w14:textId="77777777">
            <w:pPr>
              <w:rPr>
                <w:rFonts w:ascii="Calibri" w:hAnsi="Calibri" w:eastAsia="Times New Roman" w:cs="Times New Roman"/>
                <w:color w:val="000000"/>
              </w:rPr>
            </w:pPr>
            <w:r w:rsidRPr="005A2C33">
              <w:rPr>
                <w:rFonts w:ascii="Calibri" w:hAnsi="Calibri" w:eastAsia="Times New Roman" w:cs="Times New Roman"/>
                <w:color w:val="000000"/>
              </w:rPr>
              <w:t>Weighted Screening Response Rate</w:t>
            </w:r>
          </w:p>
        </w:tc>
        <w:tc>
          <w:tcPr>
            <w:tcW w:w="1360" w:type="dxa"/>
            <w:vAlign w:val="center"/>
            <w:hideMark/>
          </w:tcPr>
          <w:p w:rsidRPr="005A2C33" w:rsidR="00446236" w:rsidP="00B35EED" w:rsidRDefault="00446236" w14:paraId="794C70C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92.8%</w:t>
            </w:r>
          </w:p>
        </w:tc>
        <w:tc>
          <w:tcPr>
            <w:tcW w:w="1360" w:type="dxa"/>
            <w:vAlign w:val="center"/>
            <w:hideMark/>
          </w:tcPr>
          <w:p w:rsidRPr="005A2C33" w:rsidR="00446236" w:rsidP="00B35EED" w:rsidRDefault="00446236" w14:paraId="048EFA0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94.1%</w:t>
            </w:r>
          </w:p>
        </w:tc>
        <w:tc>
          <w:tcPr>
            <w:tcW w:w="1360" w:type="dxa"/>
            <w:vAlign w:val="center"/>
            <w:hideMark/>
          </w:tcPr>
          <w:p w:rsidRPr="005A2C33" w:rsidR="00446236" w:rsidP="00B35EED" w:rsidRDefault="00446236" w14:paraId="7C1B9F7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97.0%</w:t>
            </w:r>
          </w:p>
        </w:tc>
      </w:tr>
      <w:tr w:rsidRPr="005A2C33" w:rsidR="00446236" w:rsidTr="00B35EED" w14:paraId="0AF4E88E" w14:textId="77777777">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745152C5" w14:textId="77777777">
            <w:pPr>
              <w:rPr>
                <w:rFonts w:ascii="Calibri" w:hAnsi="Calibri" w:eastAsia="Times New Roman" w:cs="Times New Roman"/>
                <w:color w:val="000000"/>
              </w:rPr>
            </w:pPr>
            <w:r w:rsidRPr="005A2C33">
              <w:rPr>
                <w:rFonts w:ascii="Calibri" w:hAnsi="Calibri" w:eastAsia="Times New Roman" w:cs="Times New Roman"/>
                <w:color w:val="000000"/>
              </w:rPr>
              <w:t>Weighted Main Response Rate</w:t>
            </w:r>
          </w:p>
        </w:tc>
        <w:tc>
          <w:tcPr>
            <w:tcW w:w="1360" w:type="dxa"/>
            <w:vAlign w:val="center"/>
            <w:hideMark/>
          </w:tcPr>
          <w:p w:rsidRPr="005A2C33" w:rsidR="00446236" w:rsidP="00B35EED" w:rsidRDefault="00446236" w14:paraId="6EE1569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63.5%</w:t>
            </w:r>
          </w:p>
        </w:tc>
        <w:tc>
          <w:tcPr>
            <w:tcW w:w="1360" w:type="dxa"/>
            <w:vAlign w:val="center"/>
            <w:hideMark/>
          </w:tcPr>
          <w:p w:rsidRPr="005A2C33" w:rsidR="00446236" w:rsidP="00B35EED" w:rsidRDefault="00446236" w14:paraId="55C39E9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54.9%</w:t>
            </w:r>
          </w:p>
        </w:tc>
        <w:tc>
          <w:tcPr>
            <w:tcW w:w="1360" w:type="dxa"/>
            <w:vAlign w:val="center"/>
            <w:hideMark/>
          </w:tcPr>
          <w:p w:rsidRPr="005A2C33" w:rsidR="00446236" w:rsidP="00B35EED" w:rsidRDefault="00446236" w14:paraId="4CA9036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60.5%</w:t>
            </w:r>
          </w:p>
        </w:tc>
      </w:tr>
      <w:tr w:rsidRPr="005A2C33" w:rsidR="00446236" w:rsidTr="00B35EED" w14:paraId="15C2F0ED" w14:textId="77777777">
        <w:trPr>
          <w:trHeight w:val="315"/>
        </w:trPr>
        <w:tc>
          <w:tcPr>
            <w:cnfStyle w:val="001000000000" w:firstRow="0" w:lastRow="0" w:firstColumn="1" w:lastColumn="0" w:oddVBand="0" w:evenVBand="0" w:oddHBand="0" w:evenHBand="0" w:firstRowFirstColumn="0" w:firstRowLastColumn="0" w:lastRowFirstColumn="0" w:lastRowLastColumn="0"/>
            <w:tcW w:w="4480" w:type="dxa"/>
            <w:hideMark/>
          </w:tcPr>
          <w:p w:rsidRPr="005A2C33" w:rsidR="00446236" w:rsidP="00B35EED" w:rsidRDefault="00446236" w14:paraId="708A4A67" w14:textId="77777777">
            <w:pPr>
              <w:rPr>
                <w:rFonts w:ascii="Calibri" w:hAnsi="Calibri" w:eastAsia="Times New Roman" w:cs="Times New Roman"/>
                <w:color w:val="000000"/>
              </w:rPr>
            </w:pPr>
            <w:r w:rsidRPr="005A2C33">
              <w:rPr>
                <w:rFonts w:ascii="Calibri" w:hAnsi="Calibri" w:eastAsia="Times New Roman" w:cs="Times New Roman"/>
                <w:color w:val="000000"/>
              </w:rPr>
              <w:t>Completed Interviews</w:t>
            </w:r>
          </w:p>
        </w:tc>
        <w:tc>
          <w:tcPr>
            <w:tcW w:w="1360" w:type="dxa"/>
            <w:vAlign w:val="center"/>
            <w:hideMark/>
          </w:tcPr>
          <w:p w:rsidRPr="005A2C33" w:rsidR="00446236" w:rsidP="00B35EED" w:rsidRDefault="00446236" w14:paraId="045541D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12</w:t>
            </w:r>
          </w:p>
        </w:tc>
        <w:tc>
          <w:tcPr>
            <w:tcW w:w="1360" w:type="dxa"/>
            <w:vAlign w:val="center"/>
            <w:hideMark/>
          </w:tcPr>
          <w:p w:rsidRPr="005A2C33" w:rsidR="00446236" w:rsidP="00B35EED" w:rsidRDefault="00446236" w14:paraId="55CA8DB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15</w:t>
            </w:r>
          </w:p>
        </w:tc>
        <w:tc>
          <w:tcPr>
            <w:tcW w:w="1360" w:type="dxa"/>
            <w:vAlign w:val="center"/>
            <w:hideMark/>
          </w:tcPr>
          <w:p w:rsidRPr="005A2C33" w:rsidR="00446236" w:rsidP="00B35EED" w:rsidRDefault="00446236" w14:paraId="56ABBEC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000000"/>
              </w:rPr>
            </w:pPr>
            <w:r>
              <w:rPr>
                <w:rFonts w:ascii="Calibri" w:hAnsi="Calibri"/>
                <w:color w:val="000000"/>
              </w:rPr>
              <w:t>18</w:t>
            </w:r>
          </w:p>
        </w:tc>
      </w:tr>
    </w:tbl>
    <w:p w:rsidR="00446236" w:rsidP="00446236" w:rsidRDefault="00446236" w14:paraId="72A167A5" w14:textId="77777777"/>
    <w:p w:rsidR="00131BD0" w:rsidP="00131BD0" w:rsidRDefault="00131BD0" w14:paraId="46F047DE" w14:textId="4B622F26">
      <w:r>
        <w:t>I</w:t>
      </w:r>
      <w:r w:rsidR="00446236">
        <w:t xml:space="preserve">t was decided to conduct two more quarters of experimentation with the protocol deployed in Q27 (i.e. the standard large envelope). We also decided that </w:t>
      </w:r>
      <w:r w:rsidR="00FC0B31">
        <w:t xml:space="preserve">since </w:t>
      </w:r>
      <w:r w:rsidR="00446236">
        <w:t>the balance of the evidence indicated that the $2 incentive was cost effective</w:t>
      </w:r>
      <w:r w:rsidR="00FC0B31">
        <w:t>,</w:t>
      </w:r>
      <w:r w:rsidR="00446236">
        <w:t xml:space="preserve"> we </w:t>
      </w:r>
      <w:r w:rsidR="00FC0B31">
        <w:t xml:space="preserve">would </w:t>
      </w:r>
      <w:r w:rsidR="00446236">
        <w:t>offer a single experimental arm. This allowed us to accumulate 600 cases in two quarters.</w:t>
      </w:r>
      <w:r>
        <w:t xml:space="preserve"> The response rates for the two groups (“Standard Mailed +$2” and “Control”) are presented in Table 5. The weighted main response rate is somewhat smaller in the experimental condition (standard mailer with a $2 incentive). However, this difference is not statistically significant.</w:t>
      </w:r>
    </w:p>
    <w:tbl>
      <w:tblPr>
        <w:tblW w:w="6390" w:type="dxa"/>
        <w:tblInd w:w="108" w:type="dxa"/>
        <w:tblLook w:val="04A0" w:firstRow="1" w:lastRow="0" w:firstColumn="1" w:lastColumn="0" w:noHBand="0" w:noVBand="1"/>
      </w:tblPr>
      <w:tblGrid>
        <w:gridCol w:w="3960"/>
        <w:gridCol w:w="1170"/>
        <w:gridCol w:w="1260"/>
      </w:tblGrid>
      <w:tr w:rsidRPr="00235F35" w:rsidR="00446236" w:rsidTr="00446236" w14:paraId="3A8C7686" w14:textId="77777777">
        <w:trPr>
          <w:trHeight w:val="315"/>
        </w:trPr>
        <w:tc>
          <w:tcPr>
            <w:tcW w:w="6390" w:type="dxa"/>
            <w:gridSpan w:val="3"/>
            <w:tcBorders>
              <w:top w:val="nil"/>
              <w:left w:val="nil"/>
              <w:bottom w:val="nil"/>
              <w:right w:val="nil"/>
            </w:tcBorders>
            <w:shd w:val="clear" w:color="auto" w:fill="auto"/>
            <w:noWrap/>
            <w:vAlign w:val="center"/>
            <w:hideMark/>
          </w:tcPr>
          <w:p w:rsidR="00AE45A2" w:rsidP="00B35EED" w:rsidRDefault="00AE45A2" w14:paraId="536B2253" w14:textId="77777777">
            <w:pPr>
              <w:spacing w:after="0" w:line="240" w:lineRule="auto"/>
              <w:rPr>
                <w:rFonts w:ascii="Calibri" w:hAnsi="Calibri" w:eastAsia="Times New Roman" w:cs="Calibri"/>
                <w:b/>
                <w:bCs/>
                <w:color w:val="000000"/>
                <w:lang w:eastAsia="zh-TW"/>
              </w:rPr>
            </w:pPr>
          </w:p>
          <w:p w:rsidRPr="00235F35" w:rsidR="00446236" w:rsidP="00B35EED" w:rsidRDefault="00446236" w14:paraId="207B7035" w14:textId="77D5780A">
            <w:pPr>
              <w:spacing w:after="0" w:line="240" w:lineRule="auto"/>
              <w:rPr>
                <w:rFonts w:ascii="Calibri" w:hAnsi="Calibri" w:eastAsia="Times New Roman" w:cs="Calibri"/>
                <w:b/>
                <w:bCs/>
                <w:color w:val="000000"/>
                <w:lang w:eastAsia="zh-TW"/>
              </w:rPr>
            </w:pPr>
            <w:r>
              <w:rPr>
                <w:rFonts w:ascii="Calibri" w:hAnsi="Calibri" w:eastAsia="Times New Roman" w:cs="Calibri"/>
                <w:b/>
                <w:bCs/>
                <w:color w:val="000000"/>
                <w:lang w:eastAsia="zh-TW"/>
              </w:rPr>
              <w:t>Table 5</w:t>
            </w:r>
            <w:r w:rsidRPr="00235F35">
              <w:rPr>
                <w:rFonts w:ascii="Calibri" w:hAnsi="Calibri" w:eastAsia="Times New Roman" w:cs="Calibri"/>
                <w:b/>
                <w:bCs/>
                <w:color w:val="000000"/>
                <w:lang w:eastAsia="zh-TW"/>
              </w:rPr>
              <w:t>. Response Rates, Eligibility and Yield by Treatment Condition (Q31 and Q32 Combined)</w:t>
            </w:r>
          </w:p>
        </w:tc>
      </w:tr>
      <w:tr w:rsidRPr="00235F35" w:rsidR="00446236" w:rsidTr="00446236" w14:paraId="0D3823C9" w14:textId="77777777">
        <w:trPr>
          <w:trHeight w:val="315"/>
        </w:trPr>
        <w:tc>
          <w:tcPr>
            <w:tcW w:w="3960" w:type="dxa"/>
            <w:tcBorders>
              <w:top w:val="single" w:color="7F7F7F" w:sz="8" w:space="0"/>
              <w:left w:val="nil"/>
              <w:bottom w:val="single" w:color="7F7F7F" w:sz="8" w:space="0"/>
              <w:right w:val="nil"/>
            </w:tcBorders>
            <w:shd w:val="clear" w:color="auto" w:fill="auto"/>
            <w:vAlign w:val="center"/>
            <w:hideMark/>
          </w:tcPr>
          <w:p w:rsidRPr="00235F35" w:rsidR="00446236" w:rsidP="00B35EED" w:rsidRDefault="00446236" w14:paraId="39ABC148" w14:textId="77777777">
            <w:pPr>
              <w:spacing w:after="0" w:line="240" w:lineRule="auto"/>
              <w:rPr>
                <w:rFonts w:ascii="Calibri" w:hAnsi="Calibri" w:eastAsia="Times New Roman" w:cs="Calibri"/>
                <w:b/>
                <w:bCs/>
                <w:color w:val="000000"/>
                <w:lang w:eastAsia="zh-TW"/>
              </w:rPr>
            </w:pPr>
            <w:r w:rsidRPr="00235F35">
              <w:rPr>
                <w:rFonts w:ascii="Calibri" w:hAnsi="Calibri" w:eastAsia="Times New Roman" w:cs="Calibri"/>
                <w:b/>
                <w:bCs/>
                <w:color w:val="000000"/>
                <w:lang w:eastAsia="zh-TW"/>
              </w:rPr>
              <w:t> </w:t>
            </w:r>
          </w:p>
        </w:tc>
        <w:tc>
          <w:tcPr>
            <w:tcW w:w="1170" w:type="dxa"/>
            <w:tcBorders>
              <w:top w:val="single" w:color="7F7F7F" w:sz="8" w:space="0"/>
              <w:left w:val="nil"/>
              <w:bottom w:val="single" w:color="7F7F7F" w:sz="8" w:space="0"/>
              <w:right w:val="nil"/>
            </w:tcBorders>
            <w:shd w:val="clear" w:color="auto" w:fill="auto"/>
            <w:vAlign w:val="center"/>
            <w:hideMark/>
          </w:tcPr>
          <w:p w:rsidRPr="00235F35" w:rsidR="00446236" w:rsidP="00B35EED" w:rsidRDefault="00446236" w14:paraId="0D22AF64" w14:textId="76C8AFD4">
            <w:pPr>
              <w:spacing w:after="0" w:line="240" w:lineRule="auto"/>
              <w:rPr>
                <w:rFonts w:ascii="Calibri" w:hAnsi="Calibri" w:eastAsia="Times New Roman" w:cs="Calibri"/>
                <w:b/>
                <w:bCs/>
                <w:color w:val="000000"/>
                <w:lang w:eastAsia="zh-TW"/>
              </w:rPr>
            </w:pPr>
            <w:r>
              <w:rPr>
                <w:rFonts w:ascii="Calibri" w:hAnsi="Calibri" w:eastAsia="Times New Roman" w:cs="Calibri"/>
                <w:b/>
                <w:bCs/>
                <w:color w:val="000000"/>
                <w:lang w:eastAsia="zh-TW"/>
              </w:rPr>
              <w:t>Standard Mailer</w:t>
            </w:r>
            <w:r w:rsidRPr="00235F35">
              <w:rPr>
                <w:rFonts w:ascii="Calibri" w:hAnsi="Calibri" w:eastAsia="Times New Roman" w:cs="Calibri"/>
                <w:b/>
                <w:bCs/>
                <w:color w:val="000000"/>
                <w:lang w:eastAsia="zh-TW"/>
              </w:rPr>
              <w:t>+$2</w:t>
            </w:r>
          </w:p>
        </w:tc>
        <w:tc>
          <w:tcPr>
            <w:tcW w:w="1260" w:type="dxa"/>
            <w:tcBorders>
              <w:top w:val="single" w:color="7F7F7F" w:sz="8" w:space="0"/>
              <w:left w:val="nil"/>
              <w:bottom w:val="single" w:color="7F7F7F" w:sz="8" w:space="0"/>
              <w:right w:val="nil"/>
            </w:tcBorders>
            <w:shd w:val="clear" w:color="auto" w:fill="auto"/>
            <w:vAlign w:val="center"/>
            <w:hideMark/>
          </w:tcPr>
          <w:p w:rsidRPr="00235F35" w:rsidR="00446236" w:rsidP="00B35EED" w:rsidRDefault="00446236" w14:paraId="06AF46B4" w14:textId="77777777">
            <w:pPr>
              <w:spacing w:after="0" w:line="240" w:lineRule="auto"/>
              <w:rPr>
                <w:rFonts w:ascii="Calibri" w:hAnsi="Calibri" w:eastAsia="Times New Roman" w:cs="Calibri"/>
                <w:b/>
                <w:bCs/>
                <w:color w:val="000000"/>
                <w:lang w:eastAsia="zh-TW"/>
              </w:rPr>
            </w:pPr>
            <w:r w:rsidRPr="00235F35">
              <w:rPr>
                <w:rFonts w:ascii="Calibri" w:hAnsi="Calibri" w:eastAsia="Times New Roman" w:cs="Calibri"/>
                <w:b/>
                <w:bCs/>
                <w:color w:val="000000"/>
                <w:lang w:eastAsia="zh-TW"/>
              </w:rPr>
              <w:t>Control</w:t>
            </w:r>
          </w:p>
        </w:tc>
      </w:tr>
      <w:tr w:rsidRPr="00235F35" w:rsidR="00446236" w:rsidTr="00446236" w14:paraId="2D75ACDA" w14:textId="77777777">
        <w:trPr>
          <w:trHeight w:val="300"/>
        </w:trPr>
        <w:tc>
          <w:tcPr>
            <w:tcW w:w="3960" w:type="dxa"/>
            <w:tcBorders>
              <w:top w:val="nil"/>
              <w:left w:val="nil"/>
              <w:bottom w:val="nil"/>
              <w:right w:val="nil"/>
            </w:tcBorders>
            <w:shd w:val="clear" w:color="auto" w:fill="auto"/>
            <w:vAlign w:val="center"/>
            <w:hideMark/>
          </w:tcPr>
          <w:p w:rsidRPr="00235F35" w:rsidR="00446236" w:rsidP="00B35EED" w:rsidRDefault="00446236" w14:paraId="3DC198EE" w14:textId="77777777">
            <w:pPr>
              <w:spacing w:after="0" w:line="240" w:lineRule="auto"/>
              <w:rPr>
                <w:rFonts w:ascii="Calibri" w:hAnsi="Calibri" w:eastAsia="Times New Roman" w:cs="Calibri"/>
                <w:color w:val="000000"/>
                <w:lang w:eastAsia="zh-TW"/>
              </w:rPr>
            </w:pPr>
            <w:r w:rsidRPr="00235F35">
              <w:rPr>
                <w:rFonts w:ascii="Calibri" w:hAnsi="Calibri" w:eastAsia="Times New Roman" w:cs="Calibri"/>
                <w:color w:val="000000"/>
                <w:lang w:eastAsia="zh-TW"/>
              </w:rPr>
              <w:t>Sample Size</w:t>
            </w:r>
          </w:p>
        </w:tc>
        <w:tc>
          <w:tcPr>
            <w:tcW w:w="1170" w:type="dxa"/>
            <w:tcBorders>
              <w:top w:val="nil"/>
              <w:left w:val="nil"/>
              <w:bottom w:val="nil"/>
              <w:right w:val="nil"/>
            </w:tcBorders>
            <w:shd w:val="clear" w:color="auto" w:fill="auto"/>
            <w:noWrap/>
            <w:vAlign w:val="center"/>
            <w:hideMark/>
          </w:tcPr>
          <w:p w:rsidRPr="00235F35" w:rsidR="00446236" w:rsidP="00B35EED" w:rsidRDefault="00446236" w14:paraId="4714C42B" w14:textId="77777777">
            <w:pPr>
              <w:spacing w:after="0" w:line="240" w:lineRule="auto"/>
              <w:jc w:val="center"/>
              <w:rPr>
                <w:rFonts w:ascii="Calibri" w:hAnsi="Calibri" w:eastAsia="Times New Roman" w:cs="Calibri"/>
                <w:color w:val="000000"/>
                <w:lang w:eastAsia="zh-TW"/>
              </w:rPr>
            </w:pPr>
            <w:r w:rsidRPr="00235F35">
              <w:rPr>
                <w:rFonts w:ascii="Calibri" w:hAnsi="Calibri" w:eastAsia="Times New Roman" w:cs="Calibri"/>
                <w:color w:val="000000"/>
                <w:lang w:eastAsia="zh-TW"/>
              </w:rPr>
              <w:t>600</w:t>
            </w:r>
          </w:p>
        </w:tc>
        <w:tc>
          <w:tcPr>
            <w:tcW w:w="1260" w:type="dxa"/>
            <w:tcBorders>
              <w:top w:val="nil"/>
              <w:left w:val="nil"/>
              <w:bottom w:val="nil"/>
              <w:right w:val="nil"/>
            </w:tcBorders>
            <w:shd w:val="clear" w:color="auto" w:fill="auto"/>
            <w:noWrap/>
            <w:vAlign w:val="center"/>
            <w:hideMark/>
          </w:tcPr>
          <w:p w:rsidRPr="00235F35" w:rsidR="00446236" w:rsidP="00B35EED" w:rsidRDefault="00446236" w14:paraId="02B67A12" w14:textId="143AF8D4">
            <w:pPr>
              <w:spacing w:after="0" w:line="240" w:lineRule="auto"/>
              <w:jc w:val="center"/>
              <w:rPr>
                <w:rFonts w:ascii="Calibri" w:hAnsi="Calibri" w:eastAsia="Times New Roman" w:cs="Calibri"/>
                <w:color w:val="000000"/>
                <w:lang w:eastAsia="zh-TW"/>
              </w:rPr>
            </w:pPr>
            <w:r w:rsidRPr="00235F35">
              <w:rPr>
                <w:rFonts w:ascii="Calibri" w:hAnsi="Calibri" w:eastAsia="Times New Roman" w:cs="Calibri"/>
                <w:color w:val="000000"/>
                <w:lang w:eastAsia="zh-TW"/>
              </w:rPr>
              <w:t>1</w:t>
            </w:r>
            <w:r>
              <w:rPr>
                <w:rFonts w:ascii="Calibri" w:hAnsi="Calibri" w:eastAsia="Times New Roman" w:cs="Calibri"/>
                <w:color w:val="000000"/>
                <w:lang w:eastAsia="zh-TW"/>
              </w:rPr>
              <w:t>,</w:t>
            </w:r>
            <w:r w:rsidRPr="00235F35">
              <w:rPr>
                <w:rFonts w:ascii="Calibri" w:hAnsi="Calibri" w:eastAsia="Times New Roman" w:cs="Calibri"/>
                <w:color w:val="000000"/>
                <w:lang w:eastAsia="zh-TW"/>
              </w:rPr>
              <w:t>075</w:t>
            </w:r>
          </w:p>
        </w:tc>
      </w:tr>
      <w:tr w:rsidRPr="00235F35" w:rsidR="00446236" w:rsidTr="00446236" w14:paraId="5FCCC86A" w14:textId="77777777">
        <w:trPr>
          <w:trHeight w:val="300"/>
        </w:trPr>
        <w:tc>
          <w:tcPr>
            <w:tcW w:w="3960" w:type="dxa"/>
            <w:tcBorders>
              <w:top w:val="nil"/>
              <w:left w:val="nil"/>
              <w:bottom w:val="nil"/>
              <w:right w:val="nil"/>
            </w:tcBorders>
            <w:shd w:val="clear" w:color="auto" w:fill="auto"/>
            <w:vAlign w:val="center"/>
            <w:hideMark/>
          </w:tcPr>
          <w:p w:rsidRPr="00235F35" w:rsidR="00446236" w:rsidP="00B35EED" w:rsidRDefault="00446236" w14:paraId="1674F666" w14:textId="77777777">
            <w:pPr>
              <w:spacing w:after="0" w:line="240" w:lineRule="auto"/>
              <w:rPr>
                <w:rFonts w:ascii="Calibri" w:hAnsi="Calibri" w:eastAsia="Times New Roman" w:cs="Calibri"/>
                <w:color w:val="000000"/>
                <w:lang w:eastAsia="zh-TW"/>
              </w:rPr>
            </w:pPr>
            <w:r w:rsidRPr="00235F35">
              <w:rPr>
                <w:rFonts w:ascii="Calibri" w:hAnsi="Calibri" w:eastAsia="Times New Roman" w:cs="Calibri"/>
                <w:color w:val="000000"/>
                <w:lang w:eastAsia="zh-TW"/>
              </w:rPr>
              <w:t>Mail Return Rate</w:t>
            </w:r>
          </w:p>
        </w:tc>
        <w:tc>
          <w:tcPr>
            <w:tcW w:w="1170" w:type="dxa"/>
            <w:tcBorders>
              <w:top w:val="nil"/>
              <w:left w:val="nil"/>
              <w:bottom w:val="nil"/>
              <w:right w:val="nil"/>
            </w:tcBorders>
            <w:shd w:val="clear" w:color="auto" w:fill="auto"/>
            <w:vAlign w:val="center"/>
            <w:hideMark/>
          </w:tcPr>
          <w:p w:rsidRPr="00235F35" w:rsidR="00446236" w:rsidP="00B35EED" w:rsidRDefault="00446236" w14:paraId="201D7150" w14:textId="77777777">
            <w:pPr>
              <w:spacing w:after="0" w:line="240" w:lineRule="auto"/>
              <w:jc w:val="center"/>
              <w:rPr>
                <w:rFonts w:ascii="Calibri" w:hAnsi="Calibri" w:eastAsia="Times New Roman" w:cs="Calibri"/>
                <w:color w:val="000000"/>
                <w:lang w:eastAsia="zh-TW"/>
              </w:rPr>
            </w:pPr>
            <w:r w:rsidRPr="00235F35">
              <w:rPr>
                <w:rFonts w:ascii="Calibri" w:hAnsi="Calibri" w:eastAsia="Times New Roman" w:cs="Calibri"/>
                <w:color w:val="000000"/>
                <w:lang w:eastAsia="zh-TW"/>
              </w:rPr>
              <w:t>18.0%</w:t>
            </w:r>
          </w:p>
        </w:tc>
        <w:tc>
          <w:tcPr>
            <w:tcW w:w="1260" w:type="dxa"/>
            <w:tcBorders>
              <w:top w:val="nil"/>
              <w:left w:val="nil"/>
              <w:bottom w:val="nil"/>
              <w:right w:val="nil"/>
            </w:tcBorders>
            <w:shd w:val="clear" w:color="auto" w:fill="auto"/>
            <w:vAlign w:val="center"/>
            <w:hideMark/>
          </w:tcPr>
          <w:p w:rsidRPr="00235F35" w:rsidR="00446236" w:rsidP="00B35EED" w:rsidRDefault="00446236" w14:paraId="2490BDC4" w14:textId="77777777">
            <w:pPr>
              <w:spacing w:after="0" w:line="240" w:lineRule="auto"/>
              <w:jc w:val="center"/>
              <w:rPr>
                <w:rFonts w:ascii="Calibri" w:hAnsi="Calibri" w:eastAsia="Times New Roman" w:cs="Calibri"/>
                <w:color w:val="000000"/>
                <w:lang w:eastAsia="zh-TW"/>
              </w:rPr>
            </w:pPr>
            <w:r w:rsidRPr="00235F35">
              <w:rPr>
                <w:rFonts w:ascii="Calibri" w:hAnsi="Calibri" w:eastAsia="Times New Roman" w:cs="Calibri"/>
                <w:color w:val="000000"/>
                <w:lang w:eastAsia="zh-TW"/>
              </w:rPr>
              <w:t>NA</w:t>
            </w:r>
          </w:p>
        </w:tc>
      </w:tr>
      <w:tr w:rsidRPr="00235F35" w:rsidR="00446236" w:rsidTr="00446236" w14:paraId="398B8E7C" w14:textId="77777777">
        <w:trPr>
          <w:trHeight w:val="300"/>
        </w:trPr>
        <w:tc>
          <w:tcPr>
            <w:tcW w:w="3960" w:type="dxa"/>
            <w:tcBorders>
              <w:top w:val="nil"/>
              <w:left w:val="nil"/>
              <w:bottom w:val="nil"/>
              <w:right w:val="nil"/>
            </w:tcBorders>
            <w:shd w:val="clear" w:color="auto" w:fill="auto"/>
            <w:vAlign w:val="center"/>
            <w:hideMark/>
          </w:tcPr>
          <w:p w:rsidRPr="00235F35" w:rsidR="00446236" w:rsidP="00B35EED" w:rsidRDefault="00446236" w14:paraId="4E317DE6" w14:textId="77777777">
            <w:pPr>
              <w:spacing w:after="0" w:line="240" w:lineRule="auto"/>
              <w:rPr>
                <w:rFonts w:ascii="Calibri" w:hAnsi="Calibri" w:eastAsia="Times New Roman" w:cs="Calibri"/>
                <w:color w:val="000000"/>
                <w:lang w:eastAsia="zh-TW"/>
              </w:rPr>
            </w:pPr>
            <w:r w:rsidRPr="00235F35">
              <w:rPr>
                <w:rFonts w:ascii="Calibri" w:hAnsi="Calibri" w:eastAsia="Times New Roman" w:cs="Calibri"/>
                <w:color w:val="000000"/>
                <w:lang w:eastAsia="zh-TW"/>
              </w:rPr>
              <w:t>Unweighted Eligibility Rate</w:t>
            </w:r>
          </w:p>
        </w:tc>
        <w:tc>
          <w:tcPr>
            <w:tcW w:w="1170" w:type="dxa"/>
            <w:tcBorders>
              <w:top w:val="nil"/>
              <w:left w:val="nil"/>
              <w:bottom w:val="nil"/>
              <w:right w:val="nil"/>
            </w:tcBorders>
            <w:shd w:val="clear" w:color="auto" w:fill="auto"/>
            <w:vAlign w:val="center"/>
            <w:hideMark/>
          </w:tcPr>
          <w:p w:rsidRPr="00235F35" w:rsidR="00446236" w:rsidP="00B35EED" w:rsidRDefault="00446236" w14:paraId="5BB7AFE7" w14:textId="77777777">
            <w:pPr>
              <w:spacing w:after="0" w:line="240" w:lineRule="auto"/>
              <w:jc w:val="center"/>
              <w:rPr>
                <w:rFonts w:ascii="Calibri" w:hAnsi="Calibri" w:eastAsia="Times New Roman" w:cs="Calibri"/>
                <w:color w:val="000000"/>
                <w:lang w:eastAsia="zh-TW"/>
              </w:rPr>
            </w:pPr>
            <w:r w:rsidRPr="00235F35">
              <w:rPr>
                <w:rFonts w:ascii="Calibri" w:hAnsi="Calibri" w:eastAsia="Times New Roman" w:cs="Calibri"/>
                <w:color w:val="000000"/>
                <w:lang w:eastAsia="zh-TW"/>
              </w:rPr>
              <w:t>17.3%</w:t>
            </w:r>
          </w:p>
        </w:tc>
        <w:tc>
          <w:tcPr>
            <w:tcW w:w="1260" w:type="dxa"/>
            <w:tcBorders>
              <w:top w:val="nil"/>
              <w:left w:val="nil"/>
              <w:bottom w:val="nil"/>
              <w:right w:val="nil"/>
            </w:tcBorders>
            <w:shd w:val="clear" w:color="auto" w:fill="auto"/>
            <w:vAlign w:val="center"/>
            <w:hideMark/>
          </w:tcPr>
          <w:p w:rsidRPr="00235F35" w:rsidR="00446236" w:rsidP="00B35EED" w:rsidRDefault="00446236" w14:paraId="30E41878" w14:textId="77777777">
            <w:pPr>
              <w:spacing w:after="0" w:line="240" w:lineRule="auto"/>
              <w:jc w:val="center"/>
              <w:rPr>
                <w:rFonts w:ascii="Calibri" w:hAnsi="Calibri" w:eastAsia="Times New Roman" w:cs="Calibri"/>
                <w:color w:val="000000"/>
                <w:lang w:eastAsia="zh-TW"/>
              </w:rPr>
            </w:pPr>
            <w:r w:rsidRPr="00235F35">
              <w:rPr>
                <w:rFonts w:ascii="Calibri" w:hAnsi="Calibri" w:eastAsia="Times New Roman" w:cs="Calibri"/>
                <w:color w:val="000000"/>
                <w:lang w:eastAsia="zh-TW"/>
              </w:rPr>
              <w:t>13.80%</w:t>
            </w:r>
          </w:p>
        </w:tc>
      </w:tr>
      <w:tr w:rsidRPr="00235F35" w:rsidR="00446236" w:rsidTr="00446236" w14:paraId="6B56367C" w14:textId="77777777">
        <w:trPr>
          <w:trHeight w:val="300"/>
        </w:trPr>
        <w:tc>
          <w:tcPr>
            <w:tcW w:w="3960" w:type="dxa"/>
            <w:tcBorders>
              <w:top w:val="nil"/>
              <w:left w:val="nil"/>
              <w:bottom w:val="nil"/>
              <w:right w:val="nil"/>
            </w:tcBorders>
            <w:shd w:val="clear" w:color="auto" w:fill="auto"/>
            <w:vAlign w:val="center"/>
            <w:hideMark/>
          </w:tcPr>
          <w:p w:rsidRPr="00235F35" w:rsidR="00446236" w:rsidP="00B35EED" w:rsidRDefault="00446236" w14:paraId="39E5EB30" w14:textId="77777777">
            <w:pPr>
              <w:spacing w:after="0" w:line="240" w:lineRule="auto"/>
              <w:rPr>
                <w:rFonts w:ascii="Calibri" w:hAnsi="Calibri" w:eastAsia="Times New Roman" w:cs="Calibri"/>
                <w:color w:val="000000"/>
                <w:lang w:eastAsia="zh-TW"/>
              </w:rPr>
            </w:pPr>
            <w:r w:rsidRPr="00235F35">
              <w:rPr>
                <w:rFonts w:ascii="Calibri" w:hAnsi="Calibri" w:eastAsia="Times New Roman" w:cs="Calibri"/>
                <w:color w:val="000000"/>
                <w:lang w:eastAsia="zh-TW"/>
              </w:rPr>
              <w:t>Unweighted Screening Response Rate</w:t>
            </w:r>
          </w:p>
        </w:tc>
        <w:tc>
          <w:tcPr>
            <w:tcW w:w="1170" w:type="dxa"/>
            <w:tcBorders>
              <w:top w:val="nil"/>
              <w:left w:val="nil"/>
              <w:bottom w:val="nil"/>
              <w:right w:val="nil"/>
            </w:tcBorders>
            <w:shd w:val="clear" w:color="auto" w:fill="auto"/>
            <w:vAlign w:val="center"/>
            <w:hideMark/>
          </w:tcPr>
          <w:p w:rsidRPr="00235F35" w:rsidR="00446236" w:rsidP="00B35EED" w:rsidRDefault="00446236" w14:paraId="447C567F" w14:textId="77777777">
            <w:pPr>
              <w:spacing w:after="0" w:line="240" w:lineRule="auto"/>
              <w:jc w:val="center"/>
              <w:rPr>
                <w:rFonts w:ascii="Calibri" w:hAnsi="Calibri" w:eastAsia="Times New Roman" w:cs="Calibri"/>
                <w:color w:val="000000"/>
                <w:lang w:eastAsia="zh-TW"/>
              </w:rPr>
            </w:pPr>
            <w:r w:rsidRPr="00235F35">
              <w:rPr>
                <w:rFonts w:ascii="Calibri" w:hAnsi="Calibri" w:eastAsia="Times New Roman" w:cs="Calibri"/>
                <w:color w:val="000000"/>
                <w:lang w:eastAsia="zh-TW"/>
              </w:rPr>
              <w:t>96.4%</w:t>
            </w:r>
          </w:p>
        </w:tc>
        <w:tc>
          <w:tcPr>
            <w:tcW w:w="1260" w:type="dxa"/>
            <w:tcBorders>
              <w:top w:val="nil"/>
              <w:left w:val="nil"/>
              <w:bottom w:val="nil"/>
              <w:right w:val="nil"/>
            </w:tcBorders>
            <w:shd w:val="clear" w:color="auto" w:fill="auto"/>
            <w:vAlign w:val="center"/>
            <w:hideMark/>
          </w:tcPr>
          <w:p w:rsidRPr="00235F35" w:rsidR="00446236" w:rsidP="00B35EED" w:rsidRDefault="00446236" w14:paraId="710F199B" w14:textId="77777777">
            <w:pPr>
              <w:spacing w:after="0" w:line="240" w:lineRule="auto"/>
              <w:jc w:val="center"/>
              <w:rPr>
                <w:rFonts w:ascii="Calibri" w:hAnsi="Calibri" w:eastAsia="Times New Roman" w:cs="Calibri"/>
                <w:color w:val="000000"/>
                <w:lang w:eastAsia="zh-TW"/>
              </w:rPr>
            </w:pPr>
            <w:r w:rsidRPr="00235F35">
              <w:rPr>
                <w:rFonts w:ascii="Calibri" w:hAnsi="Calibri" w:eastAsia="Times New Roman" w:cs="Calibri"/>
                <w:color w:val="000000"/>
                <w:lang w:eastAsia="zh-TW"/>
              </w:rPr>
              <w:t>95.80%</w:t>
            </w:r>
          </w:p>
        </w:tc>
      </w:tr>
      <w:tr w:rsidRPr="00235F35" w:rsidR="00446236" w:rsidTr="00446236" w14:paraId="4162AA7F" w14:textId="77777777">
        <w:trPr>
          <w:trHeight w:val="300"/>
        </w:trPr>
        <w:tc>
          <w:tcPr>
            <w:tcW w:w="3960" w:type="dxa"/>
            <w:tcBorders>
              <w:top w:val="nil"/>
              <w:left w:val="nil"/>
              <w:bottom w:val="nil"/>
              <w:right w:val="nil"/>
            </w:tcBorders>
            <w:shd w:val="clear" w:color="auto" w:fill="auto"/>
            <w:vAlign w:val="center"/>
            <w:hideMark/>
          </w:tcPr>
          <w:p w:rsidRPr="00235F35" w:rsidR="00446236" w:rsidP="00B35EED" w:rsidRDefault="00446236" w14:paraId="65751188" w14:textId="77777777">
            <w:pPr>
              <w:spacing w:after="0" w:line="240" w:lineRule="auto"/>
              <w:rPr>
                <w:rFonts w:ascii="Calibri" w:hAnsi="Calibri" w:eastAsia="Times New Roman" w:cs="Calibri"/>
                <w:color w:val="000000"/>
                <w:lang w:eastAsia="zh-TW"/>
              </w:rPr>
            </w:pPr>
            <w:r w:rsidRPr="00235F35">
              <w:rPr>
                <w:rFonts w:ascii="Calibri" w:hAnsi="Calibri" w:eastAsia="Times New Roman" w:cs="Calibri"/>
                <w:color w:val="000000"/>
                <w:lang w:eastAsia="zh-TW"/>
              </w:rPr>
              <w:t>Unweighted Main Response Rate</w:t>
            </w:r>
          </w:p>
        </w:tc>
        <w:tc>
          <w:tcPr>
            <w:tcW w:w="1170" w:type="dxa"/>
            <w:tcBorders>
              <w:top w:val="nil"/>
              <w:left w:val="nil"/>
              <w:bottom w:val="nil"/>
              <w:right w:val="nil"/>
            </w:tcBorders>
            <w:shd w:val="clear" w:color="auto" w:fill="auto"/>
            <w:vAlign w:val="center"/>
            <w:hideMark/>
          </w:tcPr>
          <w:p w:rsidRPr="00235F35" w:rsidR="00446236" w:rsidP="00B35EED" w:rsidRDefault="00446236" w14:paraId="572E6A31" w14:textId="77777777">
            <w:pPr>
              <w:spacing w:after="0" w:line="240" w:lineRule="auto"/>
              <w:jc w:val="center"/>
              <w:rPr>
                <w:rFonts w:ascii="Calibri" w:hAnsi="Calibri" w:eastAsia="Times New Roman" w:cs="Calibri"/>
                <w:color w:val="000000"/>
                <w:lang w:eastAsia="zh-TW"/>
              </w:rPr>
            </w:pPr>
            <w:r w:rsidRPr="00235F35">
              <w:rPr>
                <w:rFonts w:ascii="Calibri" w:hAnsi="Calibri" w:eastAsia="Times New Roman" w:cs="Calibri"/>
                <w:color w:val="000000"/>
                <w:lang w:eastAsia="zh-TW"/>
              </w:rPr>
              <w:t>81.7%</w:t>
            </w:r>
          </w:p>
        </w:tc>
        <w:tc>
          <w:tcPr>
            <w:tcW w:w="1260" w:type="dxa"/>
            <w:tcBorders>
              <w:top w:val="nil"/>
              <w:left w:val="nil"/>
              <w:bottom w:val="nil"/>
              <w:right w:val="nil"/>
            </w:tcBorders>
            <w:shd w:val="clear" w:color="auto" w:fill="auto"/>
            <w:vAlign w:val="center"/>
            <w:hideMark/>
          </w:tcPr>
          <w:p w:rsidRPr="00235F35" w:rsidR="00446236" w:rsidP="00B35EED" w:rsidRDefault="00446236" w14:paraId="2AACC733" w14:textId="77777777">
            <w:pPr>
              <w:spacing w:after="0" w:line="240" w:lineRule="auto"/>
              <w:jc w:val="center"/>
              <w:rPr>
                <w:rFonts w:ascii="Calibri" w:hAnsi="Calibri" w:eastAsia="Times New Roman" w:cs="Calibri"/>
                <w:color w:val="000000"/>
                <w:lang w:eastAsia="zh-TW"/>
              </w:rPr>
            </w:pPr>
            <w:r w:rsidRPr="00235F35">
              <w:rPr>
                <w:rFonts w:ascii="Calibri" w:hAnsi="Calibri" w:eastAsia="Times New Roman" w:cs="Calibri"/>
                <w:color w:val="000000"/>
                <w:lang w:eastAsia="zh-TW"/>
              </w:rPr>
              <w:t>82.20%</w:t>
            </w:r>
          </w:p>
        </w:tc>
      </w:tr>
      <w:tr w:rsidRPr="00235F35" w:rsidR="00446236" w:rsidTr="00446236" w14:paraId="40E4F5EA" w14:textId="77777777">
        <w:trPr>
          <w:trHeight w:val="300"/>
        </w:trPr>
        <w:tc>
          <w:tcPr>
            <w:tcW w:w="3960" w:type="dxa"/>
            <w:tcBorders>
              <w:top w:val="nil"/>
              <w:left w:val="nil"/>
              <w:bottom w:val="nil"/>
              <w:right w:val="nil"/>
            </w:tcBorders>
            <w:shd w:val="clear" w:color="auto" w:fill="auto"/>
            <w:vAlign w:val="center"/>
            <w:hideMark/>
          </w:tcPr>
          <w:p w:rsidRPr="00235F35" w:rsidR="00446236" w:rsidP="00B35EED" w:rsidRDefault="00446236" w14:paraId="0133A21B" w14:textId="77777777">
            <w:pPr>
              <w:spacing w:after="0" w:line="240" w:lineRule="auto"/>
              <w:rPr>
                <w:rFonts w:ascii="Calibri" w:hAnsi="Calibri" w:eastAsia="Times New Roman" w:cs="Calibri"/>
                <w:color w:val="000000"/>
                <w:lang w:eastAsia="zh-TW"/>
              </w:rPr>
            </w:pPr>
            <w:r w:rsidRPr="00235F35">
              <w:rPr>
                <w:rFonts w:ascii="Calibri" w:hAnsi="Calibri" w:eastAsia="Times New Roman" w:cs="Calibri"/>
                <w:color w:val="000000"/>
                <w:lang w:eastAsia="zh-TW"/>
              </w:rPr>
              <w:t>Weighted Screening Response Rate</w:t>
            </w:r>
          </w:p>
        </w:tc>
        <w:tc>
          <w:tcPr>
            <w:tcW w:w="1170" w:type="dxa"/>
            <w:tcBorders>
              <w:top w:val="nil"/>
              <w:left w:val="nil"/>
              <w:bottom w:val="nil"/>
              <w:right w:val="nil"/>
            </w:tcBorders>
            <w:shd w:val="clear" w:color="auto" w:fill="auto"/>
            <w:vAlign w:val="center"/>
            <w:hideMark/>
          </w:tcPr>
          <w:p w:rsidRPr="00235F35" w:rsidR="00446236" w:rsidP="00B35EED" w:rsidRDefault="00446236" w14:paraId="34DEA2BA" w14:textId="77777777">
            <w:pPr>
              <w:spacing w:after="0" w:line="240" w:lineRule="auto"/>
              <w:jc w:val="center"/>
              <w:rPr>
                <w:rFonts w:ascii="Calibri" w:hAnsi="Calibri" w:eastAsia="Times New Roman" w:cs="Calibri"/>
                <w:color w:val="000000"/>
                <w:lang w:eastAsia="zh-TW"/>
              </w:rPr>
            </w:pPr>
            <w:r w:rsidRPr="00235F35">
              <w:rPr>
                <w:rFonts w:ascii="Calibri" w:hAnsi="Calibri" w:eastAsia="Times New Roman" w:cs="Calibri"/>
                <w:color w:val="000000"/>
                <w:lang w:eastAsia="zh-TW"/>
              </w:rPr>
              <w:t>93.7%</w:t>
            </w:r>
          </w:p>
        </w:tc>
        <w:tc>
          <w:tcPr>
            <w:tcW w:w="1260" w:type="dxa"/>
            <w:tcBorders>
              <w:top w:val="nil"/>
              <w:left w:val="nil"/>
              <w:bottom w:val="nil"/>
              <w:right w:val="nil"/>
            </w:tcBorders>
            <w:shd w:val="clear" w:color="auto" w:fill="auto"/>
            <w:vAlign w:val="center"/>
            <w:hideMark/>
          </w:tcPr>
          <w:p w:rsidRPr="00235F35" w:rsidR="00446236" w:rsidP="00B35EED" w:rsidRDefault="00446236" w14:paraId="5C1586E5" w14:textId="77777777">
            <w:pPr>
              <w:spacing w:after="0" w:line="240" w:lineRule="auto"/>
              <w:jc w:val="center"/>
              <w:rPr>
                <w:rFonts w:ascii="Calibri" w:hAnsi="Calibri" w:eastAsia="Times New Roman" w:cs="Calibri"/>
                <w:color w:val="000000"/>
                <w:lang w:eastAsia="zh-TW"/>
              </w:rPr>
            </w:pPr>
            <w:r w:rsidRPr="00235F35">
              <w:rPr>
                <w:rFonts w:ascii="Calibri" w:hAnsi="Calibri" w:eastAsia="Times New Roman" w:cs="Calibri"/>
                <w:color w:val="000000"/>
                <w:lang w:eastAsia="zh-TW"/>
              </w:rPr>
              <w:t>93.2%</w:t>
            </w:r>
          </w:p>
        </w:tc>
      </w:tr>
      <w:tr w:rsidRPr="00235F35" w:rsidR="00446236" w:rsidTr="00446236" w14:paraId="50562F14" w14:textId="77777777">
        <w:trPr>
          <w:trHeight w:val="300"/>
        </w:trPr>
        <w:tc>
          <w:tcPr>
            <w:tcW w:w="3960" w:type="dxa"/>
            <w:tcBorders>
              <w:top w:val="nil"/>
              <w:left w:val="nil"/>
              <w:bottom w:val="nil"/>
              <w:right w:val="nil"/>
            </w:tcBorders>
            <w:shd w:val="clear" w:color="auto" w:fill="auto"/>
            <w:vAlign w:val="center"/>
            <w:hideMark/>
          </w:tcPr>
          <w:p w:rsidRPr="00235F35" w:rsidR="00446236" w:rsidP="00B35EED" w:rsidRDefault="00446236" w14:paraId="2ABAF7C3" w14:textId="77777777">
            <w:pPr>
              <w:spacing w:after="0" w:line="240" w:lineRule="auto"/>
              <w:rPr>
                <w:rFonts w:ascii="Calibri" w:hAnsi="Calibri" w:eastAsia="Times New Roman" w:cs="Calibri"/>
                <w:color w:val="000000"/>
                <w:lang w:eastAsia="zh-TW"/>
              </w:rPr>
            </w:pPr>
            <w:r w:rsidRPr="00235F35">
              <w:rPr>
                <w:rFonts w:ascii="Calibri" w:hAnsi="Calibri" w:eastAsia="Times New Roman" w:cs="Calibri"/>
                <w:color w:val="000000"/>
                <w:lang w:eastAsia="zh-TW"/>
              </w:rPr>
              <w:t>Weighted Main Response Rate</w:t>
            </w:r>
          </w:p>
        </w:tc>
        <w:tc>
          <w:tcPr>
            <w:tcW w:w="1170" w:type="dxa"/>
            <w:tcBorders>
              <w:top w:val="nil"/>
              <w:left w:val="nil"/>
              <w:bottom w:val="nil"/>
              <w:right w:val="nil"/>
            </w:tcBorders>
            <w:shd w:val="clear" w:color="auto" w:fill="auto"/>
            <w:vAlign w:val="center"/>
            <w:hideMark/>
          </w:tcPr>
          <w:p w:rsidRPr="00235F35" w:rsidR="00446236" w:rsidP="00B35EED" w:rsidRDefault="00446236" w14:paraId="61BFC0F0" w14:textId="77777777">
            <w:pPr>
              <w:spacing w:after="0" w:line="240" w:lineRule="auto"/>
              <w:jc w:val="center"/>
              <w:rPr>
                <w:rFonts w:ascii="Calibri" w:hAnsi="Calibri" w:eastAsia="Times New Roman" w:cs="Calibri"/>
                <w:color w:val="000000"/>
                <w:lang w:eastAsia="zh-TW"/>
              </w:rPr>
            </w:pPr>
            <w:r w:rsidRPr="00235F35">
              <w:rPr>
                <w:rFonts w:ascii="Calibri" w:hAnsi="Calibri" w:eastAsia="Times New Roman" w:cs="Calibri"/>
                <w:color w:val="000000"/>
                <w:lang w:eastAsia="zh-TW"/>
              </w:rPr>
              <w:t>71.3%</w:t>
            </w:r>
          </w:p>
        </w:tc>
        <w:tc>
          <w:tcPr>
            <w:tcW w:w="1260" w:type="dxa"/>
            <w:tcBorders>
              <w:top w:val="nil"/>
              <w:left w:val="nil"/>
              <w:bottom w:val="nil"/>
              <w:right w:val="nil"/>
            </w:tcBorders>
            <w:shd w:val="clear" w:color="auto" w:fill="auto"/>
            <w:vAlign w:val="center"/>
            <w:hideMark/>
          </w:tcPr>
          <w:p w:rsidRPr="00235F35" w:rsidR="00446236" w:rsidP="00B35EED" w:rsidRDefault="00446236" w14:paraId="1459B3DF" w14:textId="77777777">
            <w:pPr>
              <w:spacing w:after="0" w:line="240" w:lineRule="auto"/>
              <w:jc w:val="center"/>
              <w:rPr>
                <w:rFonts w:ascii="Calibri" w:hAnsi="Calibri" w:eastAsia="Times New Roman" w:cs="Calibri"/>
                <w:color w:val="000000"/>
                <w:lang w:eastAsia="zh-TW"/>
              </w:rPr>
            </w:pPr>
            <w:r w:rsidRPr="00235F35">
              <w:rPr>
                <w:rFonts w:ascii="Calibri" w:hAnsi="Calibri" w:eastAsia="Times New Roman" w:cs="Calibri"/>
                <w:color w:val="000000"/>
                <w:lang w:eastAsia="zh-TW"/>
              </w:rPr>
              <w:t>77.9%</w:t>
            </w:r>
          </w:p>
        </w:tc>
      </w:tr>
      <w:tr w:rsidRPr="00235F35" w:rsidR="00446236" w:rsidTr="00446236" w14:paraId="5649E3FB" w14:textId="77777777">
        <w:trPr>
          <w:trHeight w:val="315"/>
        </w:trPr>
        <w:tc>
          <w:tcPr>
            <w:tcW w:w="3960" w:type="dxa"/>
            <w:tcBorders>
              <w:top w:val="nil"/>
              <w:left w:val="nil"/>
              <w:bottom w:val="single" w:color="7F7F7F" w:sz="8" w:space="0"/>
              <w:right w:val="nil"/>
            </w:tcBorders>
            <w:shd w:val="clear" w:color="auto" w:fill="auto"/>
            <w:vAlign w:val="center"/>
            <w:hideMark/>
          </w:tcPr>
          <w:p w:rsidRPr="00235F35" w:rsidR="00446236" w:rsidP="00B35EED" w:rsidRDefault="00446236" w14:paraId="1558ED88" w14:textId="77777777">
            <w:pPr>
              <w:spacing w:after="0" w:line="240" w:lineRule="auto"/>
              <w:rPr>
                <w:rFonts w:ascii="Calibri" w:hAnsi="Calibri" w:eastAsia="Times New Roman" w:cs="Calibri"/>
                <w:color w:val="000000"/>
                <w:lang w:eastAsia="zh-TW"/>
              </w:rPr>
            </w:pPr>
            <w:r w:rsidRPr="00235F35">
              <w:rPr>
                <w:rFonts w:ascii="Calibri" w:hAnsi="Calibri" w:eastAsia="Times New Roman" w:cs="Calibri"/>
                <w:color w:val="000000"/>
                <w:lang w:eastAsia="zh-TW"/>
              </w:rPr>
              <w:t>Completed Interviews</w:t>
            </w:r>
          </w:p>
        </w:tc>
        <w:tc>
          <w:tcPr>
            <w:tcW w:w="1170" w:type="dxa"/>
            <w:tcBorders>
              <w:top w:val="nil"/>
              <w:left w:val="nil"/>
              <w:bottom w:val="single" w:color="7F7F7F" w:sz="8" w:space="0"/>
              <w:right w:val="nil"/>
            </w:tcBorders>
            <w:shd w:val="clear" w:color="auto" w:fill="auto"/>
            <w:vAlign w:val="center"/>
            <w:hideMark/>
          </w:tcPr>
          <w:p w:rsidRPr="00235F35" w:rsidR="00446236" w:rsidP="00B35EED" w:rsidRDefault="00446236" w14:paraId="0F9D3707" w14:textId="77777777">
            <w:pPr>
              <w:spacing w:after="0" w:line="240" w:lineRule="auto"/>
              <w:jc w:val="center"/>
              <w:rPr>
                <w:rFonts w:ascii="Calibri" w:hAnsi="Calibri" w:eastAsia="Times New Roman" w:cs="Calibri"/>
                <w:color w:val="000000"/>
                <w:lang w:eastAsia="zh-TW"/>
              </w:rPr>
            </w:pPr>
            <w:r w:rsidRPr="00235F35">
              <w:rPr>
                <w:rFonts w:ascii="Calibri" w:hAnsi="Calibri" w:eastAsia="Times New Roman" w:cs="Calibri"/>
                <w:color w:val="000000"/>
                <w:lang w:eastAsia="zh-TW"/>
              </w:rPr>
              <w:t>58</w:t>
            </w:r>
          </w:p>
        </w:tc>
        <w:tc>
          <w:tcPr>
            <w:tcW w:w="1260" w:type="dxa"/>
            <w:tcBorders>
              <w:top w:val="nil"/>
              <w:left w:val="nil"/>
              <w:bottom w:val="single" w:color="7F7F7F" w:sz="8" w:space="0"/>
              <w:right w:val="nil"/>
            </w:tcBorders>
            <w:shd w:val="clear" w:color="auto" w:fill="auto"/>
            <w:vAlign w:val="center"/>
            <w:hideMark/>
          </w:tcPr>
          <w:p w:rsidRPr="00235F35" w:rsidR="00446236" w:rsidP="00B35EED" w:rsidRDefault="00446236" w14:paraId="1D54B900" w14:textId="77777777">
            <w:pPr>
              <w:spacing w:after="0" w:line="240" w:lineRule="auto"/>
              <w:jc w:val="center"/>
              <w:rPr>
                <w:rFonts w:ascii="Calibri" w:hAnsi="Calibri" w:eastAsia="Times New Roman" w:cs="Calibri"/>
                <w:color w:val="000000"/>
                <w:lang w:eastAsia="zh-TW"/>
              </w:rPr>
            </w:pPr>
            <w:r w:rsidRPr="00235F35">
              <w:rPr>
                <w:rFonts w:ascii="Calibri" w:hAnsi="Calibri" w:eastAsia="Times New Roman" w:cs="Calibri"/>
                <w:color w:val="000000"/>
                <w:lang w:eastAsia="zh-TW"/>
              </w:rPr>
              <w:t>83</w:t>
            </w:r>
          </w:p>
        </w:tc>
      </w:tr>
    </w:tbl>
    <w:p w:rsidR="00446236" w:rsidP="00446236" w:rsidRDefault="00446236" w14:paraId="6BBBE9C0" w14:textId="77777777"/>
    <w:p w:rsidR="00AE45A2" w:rsidP="00B5113C" w:rsidRDefault="00131BD0" w14:paraId="7F6B9DE2" w14:textId="6A5BF645">
      <w:r>
        <w:t xml:space="preserve">Table 6 examines the detailed costs of the treatment and control conditions. We find that with the observed mail return rate (Table 5) and the screening and main interview </w:t>
      </w:r>
      <w:r w:rsidR="009A3576">
        <w:t xml:space="preserve">response </w:t>
      </w:r>
      <w:r>
        <w:t>rates in each condition, the mailed screener did produce cost savings.</w:t>
      </w:r>
    </w:p>
    <w:p w:rsidR="00AE45A2" w:rsidRDefault="00AE45A2" w14:paraId="65039C64" w14:textId="77777777">
      <w:r>
        <w:br w:type="page"/>
      </w:r>
    </w:p>
    <w:tbl>
      <w:tblPr>
        <w:tblW w:w="8624" w:type="dxa"/>
        <w:tblInd w:w="108" w:type="dxa"/>
        <w:tblLook w:val="04A0" w:firstRow="1" w:lastRow="0" w:firstColumn="1" w:lastColumn="0" w:noHBand="0" w:noVBand="1"/>
      </w:tblPr>
      <w:tblGrid>
        <w:gridCol w:w="5100"/>
        <w:gridCol w:w="1700"/>
        <w:gridCol w:w="1824"/>
      </w:tblGrid>
      <w:tr w:rsidRPr="0056602A" w:rsidR="0056602A" w:rsidTr="003021C6" w14:paraId="7B8FF561" w14:textId="77777777">
        <w:trPr>
          <w:trHeight w:val="315"/>
        </w:trPr>
        <w:tc>
          <w:tcPr>
            <w:tcW w:w="8624" w:type="dxa"/>
            <w:gridSpan w:val="3"/>
            <w:tcBorders>
              <w:top w:val="nil"/>
              <w:left w:val="nil"/>
              <w:bottom w:val="single" w:color="808080" w:sz="8" w:space="0"/>
              <w:right w:val="nil"/>
            </w:tcBorders>
            <w:shd w:val="clear" w:color="auto" w:fill="auto"/>
            <w:noWrap/>
            <w:vAlign w:val="center"/>
            <w:hideMark/>
          </w:tcPr>
          <w:p w:rsidRPr="0056602A" w:rsidR="0056602A" w:rsidP="0056602A" w:rsidRDefault="0056602A" w14:paraId="77365CB8" w14:textId="4A5B6DEA">
            <w:pPr>
              <w:spacing w:after="0" w:line="240" w:lineRule="auto"/>
              <w:rPr>
                <w:rFonts w:ascii="Calibri" w:hAnsi="Calibri" w:eastAsia="Times New Roman" w:cs="Calibri"/>
                <w:b/>
                <w:color w:val="000000"/>
                <w:lang w:eastAsia="zh-TW"/>
              </w:rPr>
            </w:pPr>
            <w:r w:rsidRPr="0056602A">
              <w:rPr>
                <w:rFonts w:ascii="Calibri" w:hAnsi="Calibri" w:eastAsia="Times New Roman" w:cs="Calibri"/>
                <w:b/>
                <w:color w:val="000000"/>
                <w:lang w:eastAsia="zh-TW"/>
              </w:rPr>
              <w:lastRenderedPageBreak/>
              <w:t xml:space="preserve">Table 6. Estimated Detailed Costs (Q31 &amp; Q32 </w:t>
            </w:r>
            <w:r>
              <w:rPr>
                <w:rFonts w:ascii="Calibri" w:hAnsi="Calibri" w:eastAsia="Times New Roman" w:cs="Calibri"/>
                <w:b/>
                <w:color w:val="000000"/>
                <w:lang w:eastAsia="zh-TW"/>
              </w:rPr>
              <w:t>Cumulative</w:t>
            </w:r>
            <w:r w:rsidRPr="0056602A">
              <w:rPr>
                <w:rFonts w:ascii="Calibri" w:hAnsi="Calibri" w:eastAsia="Times New Roman" w:cs="Calibri"/>
                <w:b/>
                <w:color w:val="000000"/>
                <w:lang w:eastAsia="zh-TW"/>
              </w:rPr>
              <w:t>) </w:t>
            </w:r>
          </w:p>
        </w:tc>
      </w:tr>
      <w:tr w:rsidRPr="00D213F6" w:rsidR="00D213F6" w:rsidTr="00D213F6" w14:paraId="15D3DF31" w14:textId="77777777">
        <w:trPr>
          <w:trHeight w:val="300"/>
        </w:trPr>
        <w:tc>
          <w:tcPr>
            <w:tcW w:w="5100" w:type="dxa"/>
            <w:tcBorders>
              <w:top w:val="nil"/>
              <w:left w:val="nil"/>
              <w:bottom w:val="nil"/>
              <w:right w:val="single" w:color="auto" w:sz="8" w:space="0"/>
            </w:tcBorders>
            <w:shd w:val="clear" w:color="auto" w:fill="auto"/>
            <w:noWrap/>
            <w:hideMark/>
          </w:tcPr>
          <w:p w:rsidRPr="00D213F6" w:rsidR="00D213F6" w:rsidP="00D213F6" w:rsidRDefault="00D213F6" w14:paraId="5CC571DD" w14:textId="77777777">
            <w:pPr>
              <w:spacing w:after="0" w:line="240" w:lineRule="auto"/>
              <w:rPr>
                <w:rFonts w:ascii="Calibri" w:hAnsi="Calibri" w:eastAsia="Times New Roman" w:cs="Calibri"/>
                <w:color w:val="000000"/>
                <w:lang w:eastAsia="zh-TW"/>
              </w:rPr>
            </w:pPr>
            <w:r w:rsidRPr="00D213F6">
              <w:rPr>
                <w:rFonts w:ascii="Calibri" w:hAnsi="Calibri" w:eastAsia="Times New Roman" w:cs="Calibri"/>
                <w:color w:val="000000"/>
                <w:lang w:eastAsia="zh-TW"/>
              </w:rPr>
              <w:t> </w:t>
            </w:r>
          </w:p>
        </w:tc>
        <w:tc>
          <w:tcPr>
            <w:tcW w:w="1700" w:type="dxa"/>
            <w:tcBorders>
              <w:top w:val="nil"/>
              <w:left w:val="nil"/>
              <w:bottom w:val="nil"/>
              <w:right w:val="nil"/>
            </w:tcBorders>
            <w:shd w:val="clear" w:color="auto" w:fill="auto"/>
            <w:vAlign w:val="bottom"/>
            <w:hideMark/>
          </w:tcPr>
          <w:p w:rsidRPr="00D213F6" w:rsidR="00D213F6" w:rsidP="00D213F6" w:rsidRDefault="00D213F6" w14:paraId="1DAE0D38" w14:textId="77777777">
            <w:pPr>
              <w:spacing w:after="0" w:line="240" w:lineRule="auto"/>
              <w:rPr>
                <w:rFonts w:ascii="Calibri" w:hAnsi="Calibri" w:eastAsia="Times New Roman" w:cs="Calibri"/>
                <w:b/>
                <w:bCs/>
                <w:color w:val="000000"/>
                <w:lang w:eastAsia="zh-TW"/>
              </w:rPr>
            </w:pPr>
            <w:r w:rsidRPr="00D213F6">
              <w:rPr>
                <w:rFonts w:ascii="Calibri" w:hAnsi="Calibri" w:eastAsia="Times New Roman" w:cs="Calibri"/>
                <w:b/>
                <w:bCs/>
                <w:color w:val="000000"/>
                <w:lang w:eastAsia="zh-TW"/>
              </w:rPr>
              <w:t>Standard Mailer</w:t>
            </w:r>
          </w:p>
        </w:tc>
        <w:tc>
          <w:tcPr>
            <w:tcW w:w="1824" w:type="dxa"/>
            <w:vMerge w:val="restart"/>
            <w:tcBorders>
              <w:top w:val="nil"/>
              <w:left w:val="single" w:color="auto" w:sz="8" w:space="0"/>
              <w:bottom w:val="single" w:color="808080" w:sz="8" w:space="0"/>
              <w:right w:val="nil"/>
            </w:tcBorders>
            <w:shd w:val="clear" w:color="auto" w:fill="auto"/>
            <w:noWrap/>
            <w:vAlign w:val="center"/>
            <w:hideMark/>
          </w:tcPr>
          <w:p w:rsidRPr="00D213F6" w:rsidR="00D213F6" w:rsidP="00D213F6" w:rsidRDefault="00D213F6" w14:paraId="393DE055" w14:textId="77777777">
            <w:pPr>
              <w:spacing w:after="0" w:line="240" w:lineRule="auto"/>
              <w:jc w:val="center"/>
              <w:rPr>
                <w:rFonts w:ascii="Calibri" w:hAnsi="Calibri" w:eastAsia="Times New Roman" w:cs="Calibri"/>
                <w:b/>
                <w:bCs/>
                <w:color w:val="000000"/>
                <w:lang w:eastAsia="zh-TW"/>
              </w:rPr>
            </w:pPr>
            <w:r w:rsidRPr="00D213F6">
              <w:rPr>
                <w:rFonts w:ascii="Calibri" w:hAnsi="Calibri" w:eastAsia="Times New Roman" w:cs="Calibri"/>
                <w:b/>
                <w:bCs/>
                <w:color w:val="000000"/>
                <w:lang w:eastAsia="zh-TW"/>
              </w:rPr>
              <w:t>Control</w:t>
            </w:r>
          </w:p>
        </w:tc>
      </w:tr>
      <w:tr w:rsidRPr="00D213F6" w:rsidR="00D213F6" w:rsidTr="00D213F6" w14:paraId="0C5F78ED" w14:textId="77777777">
        <w:trPr>
          <w:trHeight w:val="315"/>
        </w:trPr>
        <w:tc>
          <w:tcPr>
            <w:tcW w:w="5100" w:type="dxa"/>
            <w:tcBorders>
              <w:top w:val="nil"/>
              <w:left w:val="nil"/>
              <w:bottom w:val="single" w:color="808080" w:sz="8" w:space="0"/>
              <w:right w:val="single" w:color="auto" w:sz="8" w:space="0"/>
            </w:tcBorders>
            <w:shd w:val="clear" w:color="auto" w:fill="auto"/>
            <w:vAlign w:val="center"/>
            <w:hideMark/>
          </w:tcPr>
          <w:p w:rsidRPr="00D213F6" w:rsidR="00D213F6" w:rsidP="00D213F6" w:rsidRDefault="00D213F6" w14:paraId="7C262B1F" w14:textId="77777777">
            <w:pPr>
              <w:spacing w:after="0" w:line="240" w:lineRule="auto"/>
              <w:rPr>
                <w:rFonts w:ascii="Calibri" w:hAnsi="Calibri" w:eastAsia="Times New Roman" w:cs="Calibri"/>
                <w:b/>
                <w:bCs/>
                <w:color w:val="000000"/>
                <w:lang w:eastAsia="zh-TW"/>
              </w:rPr>
            </w:pPr>
            <w:r w:rsidRPr="00D213F6">
              <w:rPr>
                <w:rFonts w:ascii="Calibri" w:hAnsi="Calibri" w:eastAsia="Times New Roman" w:cs="Calibri"/>
                <w:b/>
                <w:bCs/>
                <w:color w:val="000000"/>
                <w:lang w:eastAsia="zh-TW"/>
              </w:rPr>
              <w:t> </w:t>
            </w:r>
          </w:p>
        </w:tc>
        <w:tc>
          <w:tcPr>
            <w:tcW w:w="1700" w:type="dxa"/>
            <w:tcBorders>
              <w:top w:val="nil"/>
              <w:left w:val="nil"/>
              <w:bottom w:val="single" w:color="808080" w:sz="8" w:space="0"/>
              <w:right w:val="nil"/>
            </w:tcBorders>
            <w:shd w:val="clear" w:color="auto" w:fill="auto"/>
            <w:vAlign w:val="bottom"/>
            <w:hideMark/>
          </w:tcPr>
          <w:p w:rsidRPr="00D213F6" w:rsidR="00D213F6" w:rsidP="00D213F6" w:rsidRDefault="00D213F6" w14:paraId="5F5139AC" w14:textId="77777777">
            <w:pPr>
              <w:spacing w:after="0" w:line="240" w:lineRule="auto"/>
              <w:jc w:val="center"/>
              <w:rPr>
                <w:rFonts w:ascii="Calibri" w:hAnsi="Calibri" w:eastAsia="Times New Roman" w:cs="Calibri"/>
                <w:b/>
                <w:bCs/>
                <w:color w:val="000000"/>
                <w:lang w:eastAsia="zh-TW"/>
              </w:rPr>
            </w:pPr>
            <w:r w:rsidRPr="00D213F6">
              <w:rPr>
                <w:rFonts w:ascii="Calibri" w:hAnsi="Calibri" w:eastAsia="Times New Roman" w:cs="Calibri"/>
                <w:b/>
                <w:bCs/>
                <w:color w:val="000000"/>
                <w:lang w:eastAsia="zh-TW"/>
              </w:rPr>
              <w:t>Mail+$2</w:t>
            </w:r>
          </w:p>
        </w:tc>
        <w:tc>
          <w:tcPr>
            <w:tcW w:w="1824" w:type="dxa"/>
            <w:vMerge/>
            <w:tcBorders>
              <w:top w:val="nil"/>
              <w:left w:val="single" w:color="auto" w:sz="8" w:space="0"/>
              <w:bottom w:val="single" w:color="808080" w:sz="8" w:space="0"/>
              <w:right w:val="nil"/>
            </w:tcBorders>
            <w:vAlign w:val="center"/>
            <w:hideMark/>
          </w:tcPr>
          <w:p w:rsidRPr="00D213F6" w:rsidR="00D213F6" w:rsidP="00D213F6" w:rsidRDefault="00D213F6" w14:paraId="4A1E6D9A" w14:textId="77777777">
            <w:pPr>
              <w:spacing w:after="0" w:line="240" w:lineRule="auto"/>
              <w:rPr>
                <w:rFonts w:ascii="Calibri" w:hAnsi="Calibri" w:eastAsia="Times New Roman" w:cs="Calibri"/>
                <w:b/>
                <w:bCs/>
                <w:color w:val="000000"/>
                <w:lang w:eastAsia="zh-TW"/>
              </w:rPr>
            </w:pPr>
          </w:p>
        </w:tc>
      </w:tr>
      <w:tr w:rsidRPr="00D213F6" w:rsidR="00D213F6" w:rsidTr="00D213F6" w14:paraId="74F09487" w14:textId="77777777">
        <w:trPr>
          <w:trHeight w:val="288"/>
        </w:trPr>
        <w:tc>
          <w:tcPr>
            <w:tcW w:w="5100" w:type="dxa"/>
            <w:tcBorders>
              <w:top w:val="nil"/>
              <w:left w:val="nil"/>
              <w:bottom w:val="nil"/>
              <w:right w:val="single" w:color="auto" w:sz="8" w:space="0"/>
            </w:tcBorders>
            <w:shd w:val="clear" w:color="auto" w:fill="auto"/>
            <w:vAlign w:val="center"/>
            <w:hideMark/>
          </w:tcPr>
          <w:p w:rsidRPr="00D213F6" w:rsidR="00D213F6" w:rsidP="00D213F6" w:rsidRDefault="00D213F6" w14:paraId="45AED69E" w14:textId="77777777">
            <w:pPr>
              <w:spacing w:after="0" w:line="240" w:lineRule="auto"/>
              <w:rPr>
                <w:rFonts w:ascii="Calibri" w:hAnsi="Calibri" w:eastAsia="Times New Roman" w:cs="Calibri"/>
                <w:b/>
                <w:bCs/>
                <w:color w:val="000000"/>
                <w:sz w:val="18"/>
                <w:szCs w:val="18"/>
                <w:lang w:eastAsia="zh-TW"/>
              </w:rPr>
            </w:pPr>
            <w:r w:rsidRPr="00D213F6">
              <w:rPr>
                <w:rFonts w:ascii="Calibri" w:hAnsi="Calibri" w:eastAsia="Times New Roman" w:cs="Calibri"/>
                <w:b/>
                <w:bCs/>
                <w:color w:val="000000"/>
                <w:sz w:val="18"/>
                <w:szCs w:val="18"/>
                <w:lang w:eastAsia="zh-TW"/>
              </w:rPr>
              <w:t>Incentive for Sample Size = 700</w:t>
            </w:r>
          </w:p>
        </w:tc>
        <w:tc>
          <w:tcPr>
            <w:tcW w:w="1700" w:type="dxa"/>
            <w:tcBorders>
              <w:top w:val="nil"/>
              <w:left w:val="nil"/>
              <w:bottom w:val="nil"/>
              <w:right w:val="nil"/>
            </w:tcBorders>
            <w:shd w:val="clear" w:color="auto" w:fill="auto"/>
            <w:noWrap/>
            <w:vAlign w:val="center"/>
            <w:hideMark/>
          </w:tcPr>
          <w:p w:rsidRPr="00D213F6" w:rsidR="00D213F6" w:rsidP="00D213F6" w:rsidRDefault="00D213F6" w14:paraId="5F6C3FEA" w14:textId="45F286DF">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xml:space="preserve"> $        1400.00</w:t>
            </w:r>
          </w:p>
        </w:tc>
        <w:tc>
          <w:tcPr>
            <w:tcW w:w="1824" w:type="dxa"/>
            <w:tcBorders>
              <w:top w:val="nil"/>
              <w:left w:val="single" w:color="808080" w:sz="8" w:space="0"/>
              <w:bottom w:val="nil"/>
              <w:right w:val="nil"/>
            </w:tcBorders>
            <w:shd w:val="clear" w:color="auto" w:fill="auto"/>
            <w:noWrap/>
            <w:vAlign w:val="center"/>
            <w:hideMark/>
          </w:tcPr>
          <w:p w:rsidRPr="00D213F6" w:rsidR="00D213F6" w:rsidP="00D213F6" w:rsidRDefault="00D213F6" w14:paraId="56DCF003" w14:textId="77777777">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xml:space="preserve"> NA </w:t>
            </w:r>
          </w:p>
        </w:tc>
      </w:tr>
      <w:tr w:rsidRPr="00D213F6" w:rsidR="00D213F6" w:rsidTr="00D213F6" w14:paraId="55DD7A20" w14:textId="77777777">
        <w:trPr>
          <w:trHeight w:val="288"/>
        </w:trPr>
        <w:tc>
          <w:tcPr>
            <w:tcW w:w="5100" w:type="dxa"/>
            <w:tcBorders>
              <w:top w:val="nil"/>
              <w:left w:val="nil"/>
              <w:bottom w:val="nil"/>
              <w:right w:val="single" w:color="auto" w:sz="8" w:space="0"/>
            </w:tcBorders>
            <w:shd w:val="clear" w:color="auto" w:fill="auto"/>
            <w:vAlign w:val="center"/>
            <w:hideMark/>
          </w:tcPr>
          <w:p w:rsidRPr="00D213F6" w:rsidR="00D213F6" w:rsidP="00D213F6" w:rsidRDefault="00D213F6" w14:paraId="4C7EFF65" w14:textId="77777777">
            <w:pPr>
              <w:spacing w:after="0" w:line="240" w:lineRule="auto"/>
              <w:rPr>
                <w:rFonts w:ascii="Calibri" w:hAnsi="Calibri" w:eastAsia="Times New Roman" w:cs="Calibri"/>
                <w:b/>
                <w:bCs/>
                <w:color w:val="000000"/>
                <w:sz w:val="18"/>
                <w:szCs w:val="18"/>
                <w:lang w:eastAsia="zh-TW"/>
              </w:rPr>
            </w:pPr>
            <w:r w:rsidRPr="00D213F6">
              <w:rPr>
                <w:rFonts w:ascii="Calibri" w:hAnsi="Calibri" w:eastAsia="Times New Roman" w:cs="Calibri"/>
                <w:b/>
                <w:bCs/>
                <w:color w:val="000000"/>
                <w:sz w:val="18"/>
                <w:szCs w:val="18"/>
                <w:lang w:eastAsia="zh-TW"/>
              </w:rPr>
              <w:t>Addl Mailing Materials for Sample Size = 700</w:t>
            </w:r>
          </w:p>
        </w:tc>
        <w:tc>
          <w:tcPr>
            <w:tcW w:w="1700" w:type="dxa"/>
            <w:tcBorders>
              <w:top w:val="nil"/>
              <w:left w:val="nil"/>
              <w:bottom w:val="nil"/>
              <w:right w:val="nil"/>
            </w:tcBorders>
            <w:shd w:val="clear" w:color="auto" w:fill="auto"/>
            <w:noWrap/>
            <w:vAlign w:val="center"/>
            <w:hideMark/>
          </w:tcPr>
          <w:p w:rsidRPr="00D213F6" w:rsidR="00D213F6" w:rsidP="00D213F6" w:rsidRDefault="00D213F6" w14:paraId="3F18A560" w14:textId="6F8B0D85">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350.00</w:t>
            </w:r>
          </w:p>
        </w:tc>
        <w:tc>
          <w:tcPr>
            <w:tcW w:w="1824" w:type="dxa"/>
            <w:tcBorders>
              <w:top w:val="nil"/>
              <w:left w:val="single" w:color="auto" w:sz="8" w:space="0"/>
              <w:bottom w:val="nil"/>
              <w:right w:val="nil"/>
            </w:tcBorders>
            <w:shd w:val="clear" w:color="auto" w:fill="auto"/>
            <w:noWrap/>
            <w:vAlign w:val="center"/>
            <w:hideMark/>
          </w:tcPr>
          <w:p w:rsidRPr="00D213F6" w:rsidR="00D213F6" w:rsidP="00D213F6" w:rsidRDefault="00D213F6" w14:paraId="2F8D2BFE" w14:textId="77777777">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xml:space="preserve"> NA </w:t>
            </w:r>
          </w:p>
        </w:tc>
      </w:tr>
      <w:tr w:rsidRPr="00D213F6" w:rsidR="00D213F6" w:rsidTr="00D213F6" w14:paraId="18D3A894" w14:textId="77777777">
        <w:trPr>
          <w:trHeight w:val="288"/>
        </w:trPr>
        <w:tc>
          <w:tcPr>
            <w:tcW w:w="5100" w:type="dxa"/>
            <w:tcBorders>
              <w:top w:val="nil"/>
              <w:left w:val="nil"/>
              <w:bottom w:val="nil"/>
              <w:right w:val="single" w:color="auto" w:sz="8" w:space="0"/>
            </w:tcBorders>
            <w:shd w:val="clear" w:color="auto" w:fill="auto"/>
            <w:vAlign w:val="center"/>
            <w:hideMark/>
          </w:tcPr>
          <w:p w:rsidRPr="00D213F6" w:rsidR="00D213F6" w:rsidP="00D213F6" w:rsidRDefault="00D213F6" w14:paraId="2CA30913" w14:textId="77777777">
            <w:pPr>
              <w:spacing w:after="0" w:line="240" w:lineRule="auto"/>
              <w:rPr>
                <w:rFonts w:ascii="Calibri" w:hAnsi="Calibri" w:eastAsia="Times New Roman" w:cs="Calibri"/>
                <w:b/>
                <w:bCs/>
                <w:color w:val="000000"/>
                <w:sz w:val="18"/>
                <w:szCs w:val="18"/>
                <w:lang w:eastAsia="zh-TW"/>
              </w:rPr>
            </w:pPr>
            <w:r w:rsidRPr="00D213F6">
              <w:rPr>
                <w:rFonts w:ascii="Calibri" w:hAnsi="Calibri" w:eastAsia="Times New Roman" w:cs="Calibri"/>
                <w:b/>
                <w:bCs/>
                <w:color w:val="000000"/>
                <w:sz w:val="18"/>
                <w:szCs w:val="18"/>
                <w:lang w:eastAsia="zh-TW"/>
              </w:rPr>
              <w:t>Implementation of Mailing for Sample Size = 700</w:t>
            </w:r>
          </w:p>
        </w:tc>
        <w:tc>
          <w:tcPr>
            <w:tcW w:w="1700" w:type="dxa"/>
            <w:tcBorders>
              <w:top w:val="nil"/>
              <w:left w:val="nil"/>
              <w:bottom w:val="nil"/>
              <w:right w:val="nil"/>
            </w:tcBorders>
            <w:shd w:val="clear" w:color="auto" w:fill="auto"/>
            <w:noWrap/>
            <w:vAlign w:val="center"/>
            <w:hideMark/>
          </w:tcPr>
          <w:p w:rsidRPr="00D213F6" w:rsidR="00D213F6" w:rsidP="00D213F6" w:rsidRDefault="00D213F6" w14:paraId="059FE384" w14:textId="2FB9EE6C">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2121.28</w:t>
            </w:r>
          </w:p>
        </w:tc>
        <w:tc>
          <w:tcPr>
            <w:tcW w:w="1824" w:type="dxa"/>
            <w:tcBorders>
              <w:top w:val="nil"/>
              <w:left w:val="single" w:color="auto" w:sz="8" w:space="0"/>
              <w:bottom w:val="nil"/>
              <w:right w:val="nil"/>
            </w:tcBorders>
            <w:shd w:val="clear" w:color="auto" w:fill="auto"/>
            <w:noWrap/>
            <w:vAlign w:val="center"/>
            <w:hideMark/>
          </w:tcPr>
          <w:p w:rsidRPr="00D213F6" w:rsidR="00D213F6" w:rsidP="00D213F6" w:rsidRDefault="00D213F6" w14:paraId="61E7E89D" w14:textId="77777777">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xml:space="preserve"> NA </w:t>
            </w:r>
          </w:p>
        </w:tc>
      </w:tr>
      <w:tr w:rsidRPr="00D213F6" w:rsidR="00D213F6" w:rsidTr="00D213F6" w14:paraId="7F8FF018" w14:textId="77777777">
        <w:trPr>
          <w:trHeight w:val="288"/>
        </w:trPr>
        <w:tc>
          <w:tcPr>
            <w:tcW w:w="5100" w:type="dxa"/>
            <w:tcBorders>
              <w:top w:val="nil"/>
              <w:left w:val="nil"/>
              <w:bottom w:val="nil"/>
              <w:right w:val="single" w:color="auto" w:sz="8" w:space="0"/>
            </w:tcBorders>
            <w:shd w:val="clear" w:color="auto" w:fill="auto"/>
            <w:vAlign w:val="center"/>
            <w:hideMark/>
          </w:tcPr>
          <w:p w:rsidRPr="00D213F6" w:rsidR="00D213F6" w:rsidP="00D213F6" w:rsidRDefault="00D213F6" w14:paraId="0AF6EB91" w14:textId="77777777">
            <w:pPr>
              <w:spacing w:after="0" w:line="240" w:lineRule="auto"/>
              <w:rPr>
                <w:rFonts w:ascii="Calibri" w:hAnsi="Calibri" w:eastAsia="Times New Roman" w:cs="Calibri"/>
                <w:b/>
                <w:bCs/>
                <w:color w:val="000000"/>
                <w:sz w:val="18"/>
                <w:szCs w:val="18"/>
                <w:lang w:eastAsia="zh-TW"/>
              </w:rPr>
            </w:pPr>
            <w:r w:rsidRPr="00D213F6">
              <w:rPr>
                <w:rFonts w:ascii="Calibri" w:hAnsi="Calibri" w:eastAsia="Times New Roman" w:cs="Calibri"/>
                <w:b/>
                <w:bCs/>
                <w:color w:val="000000"/>
                <w:sz w:val="18"/>
                <w:szCs w:val="18"/>
                <w:lang w:eastAsia="zh-TW"/>
              </w:rPr>
              <w:t>Mailer for Sample Size = 700</w:t>
            </w:r>
          </w:p>
        </w:tc>
        <w:tc>
          <w:tcPr>
            <w:tcW w:w="1700" w:type="dxa"/>
            <w:tcBorders>
              <w:top w:val="nil"/>
              <w:left w:val="nil"/>
              <w:bottom w:val="nil"/>
              <w:right w:val="nil"/>
            </w:tcBorders>
            <w:shd w:val="clear" w:color="auto" w:fill="auto"/>
            <w:noWrap/>
            <w:vAlign w:val="center"/>
            <w:hideMark/>
          </w:tcPr>
          <w:p w:rsidRPr="00D213F6" w:rsidR="00D213F6" w:rsidP="00D213F6" w:rsidRDefault="00D213F6" w14:paraId="3DB7DD30" w14:textId="0AFC6CA5">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1085.00</w:t>
            </w:r>
          </w:p>
        </w:tc>
        <w:tc>
          <w:tcPr>
            <w:tcW w:w="1824" w:type="dxa"/>
            <w:tcBorders>
              <w:top w:val="nil"/>
              <w:left w:val="single" w:color="auto" w:sz="8" w:space="0"/>
              <w:bottom w:val="nil"/>
              <w:right w:val="nil"/>
            </w:tcBorders>
            <w:shd w:val="clear" w:color="auto" w:fill="auto"/>
            <w:noWrap/>
            <w:vAlign w:val="center"/>
            <w:hideMark/>
          </w:tcPr>
          <w:p w:rsidRPr="00D213F6" w:rsidR="00D213F6" w:rsidP="00D213F6" w:rsidRDefault="00D213F6" w14:paraId="51AD472A" w14:textId="77777777">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xml:space="preserve"> NA </w:t>
            </w:r>
          </w:p>
        </w:tc>
      </w:tr>
      <w:tr w:rsidRPr="00D213F6" w:rsidR="00D213F6" w:rsidTr="00D213F6" w14:paraId="729E35E3" w14:textId="77777777">
        <w:trPr>
          <w:trHeight w:val="288"/>
        </w:trPr>
        <w:tc>
          <w:tcPr>
            <w:tcW w:w="5100" w:type="dxa"/>
            <w:tcBorders>
              <w:top w:val="nil"/>
              <w:left w:val="nil"/>
              <w:bottom w:val="nil"/>
              <w:right w:val="single" w:color="auto" w:sz="8" w:space="0"/>
            </w:tcBorders>
            <w:shd w:val="clear" w:color="auto" w:fill="auto"/>
            <w:vAlign w:val="center"/>
            <w:hideMark/>
          </w:tcPr>
          <w:p w:rsidRPr="00D213F6" w:rsidR="00D213F6" w:rsidP="00D213F6" w:rsidRDefault="00D213F6" w14:paraId="4FFAC0C1" w14:textId="77777777">
            <w:pPr>
              <w:spacing w:after="0" w:line="240" w:lineRule="auto"/>
              <w:rPr>
                <w:rFonts w:ascii="Calibri" w:hAnsi="Calibri" w:eastAsia="Times New Roman" w:cs="Calibri"/>
                <w:b/>
                <w:bCs/>
                <w:color w:val="000000"/>
                <w:sz w:val="18"/>
                <w:szCs w:val="18"/>
                <w:lang w:eastAsia="zh-TW"/>
              </w:rPr>
            </w:pPr>
            <w:r w:rsidRPr="00D213F6">
              <w:rPr>
                <w:rFonts w:ascii="Calibri" w:hAnsi="Calibri" w:eastAsia="Times New Roman" w:cs="Calibri"/>
                <w:b/>
                <w:bCs/>
                <w:color w:val="000000"/>
                <w:sz w:val="18"/>
                <w:szCs w:val="18"/>
                <w:lang w:eastAsia="zh-TW"/>
              </w:rPr>
              <w:t>Percent of Sampling Resulting in Completed Main Iw</w:t>
            </w:r>
            <w:r w:rsidRPr="00D213F6">
              <w:rPr>
                <w:rFonts w:ascii="Calibri" w:hAnsi="Calibri" w:eastAsia="Times New Roman" w:cs="Calibri"/>
                <w:color w:val="000000"/>
                <w:sz w:val="16"/>
                <w:szCs w:val="16"/>
                <w:lang w:eastAsia="zh-TW"/>
              </w:rPr>
              <w:t> </w:t>
            </w:r>
          </w:p>
        </w:tc>
        <w:tc>
          <w:tcPr>
            <w:tcW w:w="1700" w:type="dxa"/>
            <w:tcBorders>
              <w:top w:val="nil"/>
              <w:left w:val="nil"/>
              <w:bottom w:val="nil"/>
              <w:right w:val="nil"/>
            </w:tcBorders>
            <w:shd w:val="clear" w:color="auto" w:fill="auto"/>
            <w:noWrap/>
            <w:vAlign w:val="center"/>
            <w:hideMark/>
          </w:tcPr>
          <w:p w:rsidRPr="00D213F6" w:rsidR="00D213F6" w:rsidP="00D213F6" w:rsidRDefault="00D213F6" w14:paraId="61C185A7" w14:textId="77777777">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9.7%</w:t>
            </w:r>
          </w:p>
        </w:tc>
        <w:tc>
          <w:tcPr>
            <w:tcW w:w="1824" w:type="dxa"/>
            <w:tcBorders>
              <w:top w:val="nil"/>
              <w:left w:val="single" w:color="auto" w:sz="8" w:space="0"/>
              <w:bottom w:val="nil"/>
              <w:right w:val="nil"/>
            </w:tcBorders>
            <w:shd w:val="clear" w:color="auto" w:fill="auto"/>
            <w:noWrap/>
            <w:vAlign w:val="center"/>
            <w:hideMark/>
          </w:tcPr>
          <w:p w:rsidRPr="00D213F6" w:rsidR="00D213F6" w:rsidP="00D213F6" w:rsidRDefault="00D213F6" w14:paraId="583133D4" w14:textId="77777777">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7.7%</w:t>
            </w:r>
          </w:p>
        </w:tc>
      </w:tr>
      <w:tr w:rsidRPr="00D213F6" w:rsidR="00D213F6" w:rsidTr="00D213F6" w14:paraId="10005C76" w14:textId="77777777">
        <w:trPr>
          <w:trHeight w:val="288"/>
        </w:trPr>
        <w:tc>
          <w:tcPr>
            <w:tcW w:w="5100" w:type="dxa"/>
            <w:tcBorders>
              <w:top w:val="nil"/>
              <w:left w:val="nil"/>
              <w:bottom w:val="nil"/>
              <w:right w:val="single" w:color="auto" w:sz="8" w:space="0"/>
            </w:tcBorders>
            <w:shd w:val="clear" w:color="auto" w:fill="auto"/>
            <w:vAlign w:val="center"/>
            <w:hideMark/>
          </w:tcPr>
          <w:p w:rsidRPr="00D213F6" w:rsidR="00D213F6" w:rsidP="00D213F6" w:rsidRDefault="00D213F6" w14:paraId="3A86388E" w14:textId="77777777">
            <w:pPr>
              <w:spacing w:after="0" w:line="240" w:lineRule="auto"/>
              <w:rPr>
                <w:rFonts w:ascii="Calibri" w:hAnsi="Calibri" w:eastAsia="Times New Roman" w:cs="Calibri"/>
                <w:b/>
                <w:bCs/>
                <w:color w:val="000000"/>
                <w:sz w:val="18"/>
                <w:szCs w:val="18"/>
                <w:lang w:eastAsia="zh-TW"/>
              </w:rPr>
            </w:pPr>
            <w:r w:rsidRPr="00D213F6">
              <w:rPr>
                <w:rFonts w:ascii="Calibri" w:hAnsi="Calibri" w:eastAsia="Times New Roman" w:cs="Calibri"/>
                <w:b/>
                <w:bCs/>
                <w:color w:val="000000"/>
                <w:sz w:val="18"/>
                <w:szCs w:val="18"/>
                <w:lang w:eastAsia="zh-TW"/>
              </w:rPr>
              <w:t>Mailing Costs per Completed Iw</w:t>
            </w:r>
          </w:p>
        </w:tc>
        <w:tc>
          <w:tcPr>
            <w:tcW w:w="1700" w:type="dxa"/>
            <w:tcBorders>
              <w:top w:val="nil"/>
              <w:left w:val="nil"/>
              <w:bottom w:val="nil"/>
              <w:right w:val="single" w:color="auto" w:sz="8" w:space="0"/>
            </w:tcBorders>
            <w:shd w:val="clear" w:color="auto" w:fill="auto"/>
            <w:noWrap/>
            <w:vAlign w:val="center"/>
            <w:hideMark/>
          </w:tcPr>
          <w:p w:rsidRPr="00D213F6" w:rsidR="00D213F6" w:rsidP="00D213F6" w:rsidRDefault="00D213F6" w14:paraId="4A34796D" w14:textId="3D048113">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xml:space="preserve">$   </w:t>
            </w:r>
            <w:r>
              <w:rPr>
                <w:rFonts w:ascii="Calibri" w:hAnsi="Calibri" w:eastAsia="Times New Roman" w:cs="Calibri"/>
                <w:color w:val="000000"/>
                <w:sz w:val="18"/>
                <w:szCs w:val="18"/>
                <w:lang w:eastAsia="zh-TW"/>
              </w:rPr>
              <w:t xml:space="preserve"> </w:t>
            </w:r>
            <w:r w:rsidR="000542CF">
              <w:rPr>
                <w:rFonts w:ascii="Calibri" w:hAnsi="Calibri" w:eastAsia="Times New Roman" w:cs="Calibri"/>
                <w:color w:val="000000"/>
                <w:sz w:val="18"/>
                <w:szCs w:val="18"/>
                <w:lang w:eastAsia="zh-TW"/>
              </w:rPr>
              <w:t xml:space="preserve"> </w:t>
            </w:r>
            <w:r w:rsidRPr="00D213F6">
              <w:rPr>
                <w:rFonts w:ascii="Calibri" w:hAnsi="Calibri" w:eastAsia="Times New Roman" w:cs="Calibri"/>
                <w:color w:val="000000"/>
                <w:sz w:val="18"/>
                <w:szCs w:val="18"/>
                <w:lang w:eastAsia="zh-TW"/>
              </w:rPr>
              <w:t xml:space="preserve">      73.22</w:t>
            </w:r>
          </w:p>
        </w:tc>
        <w:tc>
          <w:tcPr>
            <w:tcW w:w="1824" w:type="dxa"/>
            <w:tcBorders>
              <w:top w:val="nil"/>
              <w:left w:val="nil"/>
              <w:bottom w:val="nil"/>
              <w:right w:val="nil"/>
            </w:tcBorders>
            <w:shd w:val="clear" w:color="auto" w:fill="auto"/>
            <w:noWrap/>
            <w:vAlign w:val="center"/>
            <w:hideMark/>
          </w:tcPr>
          <w:p w:rsidRPr="00D213F6" w:rsidR="00D213F6" w:rsidP="00D213F6" w:rsidRDefault="00D213F6" w14:paraId="5A231C45" w14:textId="04992352">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xml:space="preserve">$   </w:t>
            </w:r>
            <w:r>
              <w:rPr>
                <w:rFonts w:ascii="Calibri" w:hAnsi="Calibri" w:eastAsia="Times New Roman" w:cs="Calibri"/>
                <w:color w:val="000000"/>
                <w:sz w:val="18"/>
                <w:szCs w:val="18"/>
                <w:lang w:eastAsia="zh-TW"/>
              </w:rPr>
              <w:t xml:space="preserve">  </w:t>
            </w:r>
            <w:r w:rsidR="000542CF">
              <w:rPr>
                <w:rFonts w:ascii="Calibri" w:hAnsi="Calibri" w:eastAsia="Times New Roman" w:cs="Calibri"/>
                <w:color w:val="000000"/>
                <w:sz w:val="18"/>
                <w:szCs w:val="18"/>
                <w:lang w:eastAsia="zh-TW"/>
              </w:rPr>
              <w:t xml:space="preserve"> </w:t>
            </w:r>
            <w:r w:rsidR="00117E6B">
              <w:rPr>
                <w:rFonts w:ascii="Calibri" w:hAnsi="Calibri" w:eastAsia="Times New Roman" w:cs="Calibri"/>
                <w:color w:val="000000"/>
                <w:sz w:val="18"/>
                <w:szCs w:val="18"/>
                <w:lang w:eastAsia="zh-TW"/>
              </w:rPr>
              <w:t xml:space="preserve"> </w:t>
            </w:r>
            <w:r w:rsidRPr="00D213F6">
              <w:rPr>
                <w:rFonts w:ascii="Calibri" w:hAnsi="Calibri" w:eastAsia="Times New Roman" w:cs="Calibri"/>
                <w:color w:val="000000"/>
                <w:sz w:val="18"/>
                <w:szCs w:val="18"/>
                <w:lang w:eastAsia="zh-TW"/>
              </w:rPr>
              <w:t xml:space="preserve">  </w:t>
            </w:r>
            <w:r>
              <w:rPr>
                <w:rFonts w:ascii="Calibri" w:hAnsi="Calibri" w:eastAsia="Times New Roman" w:cs="Calibri"/>
                <w:color w:val="000000"/>
                <w:sz w:val="18"/>
                <w:szCs w:val="18"/>
                <w:lang w:eastAsia="zh-TW"/>
              </w:rPr>
              <w:t xml:space="preserve"> </w:t>
            </w:r>
            <w:r w:rsidRPr="00D213F6">
              <w:rPr>
                <w:rFonts w:ascii="Calibri" w:hAnsi="Calibri" w:eastAsia="Times New Roman" w:cs="Calibri"/>
                <w:color w:val="000000"/>
                <w:sz w:val="18"/>
                <w:szCs w:val="18"/>
                <w:lang w:eastAsia="zh-TW"/>
              </w:rPr>
              <w:t xml:space="preserve">   </w:t>
            </w:r>
            <w:r>
              <w:rPr>
                <w:rFonts w:ascii="Calibri" w:hAnsi="Calibri" w:eastAsia="Times New Roman" w:cs="Calibri"/>
                <w:color w:val="000000"/>
                <w:sz w:val="18"/>
                <w:szCs w:val="18"/>
                <w:lang w:eastAsia="zh-TW"/>
              </w:rPr>
              <w:t xml:space="preserve"> </w:t>
            </w:r>
            <w:r w:rsidRPr="00D213F6">
              <w:rPr>
                <w:rFonts w:ascii="Calibri" w:hAnsi="Calibri" w:cs="Calibri"/>
                <w:color w:val="000000"/>
                <w:sz w:val="18"/>
                <w:szCs w:val="18"/>
              </w:rPr>
              <w:t>0.00</w:t>
            </w:r>
          </w:p>
        </w:tc>
      </w:tr>
      <w:tr w:rsidRPr="00D213F6" w:rsidR="00D213F6" w:rsidTr="00D213F6" w14:paraId="7F3F53D5" w14:textId="77777777">
        <w:trPr>
          <w:trHeight w:val="288"/>
        </w:trPr>
        <w:tc>
          <w:tcPr>
            <w:tcW w:w="5100" w:type="dxa"/>
            <w:tcBorders>
              <w:top w:val="nil"/>
              <w:left w:val="nil"/>
              <w:bottom w:val="nil"/>
              <w:right w:val="single" w:color="auto" w:sz="8" w:space="0"/>
            </w:tcBorders>
            <w:shd w:val="clear" w:color="auto" w:fill="auto"/>
            <w:vAlign w:val="center"/>
            <w:hideMark/>
          </w:tcPr>
          <w:p w:rsidRPr="00D213F6" w:rsidR="00D213F6" w:rsidP="00D213F6" w:rsidRDefault="00D213F6" w14:paraId="78E7C2BA" w14:textId="77777777">
            <w:pPr>
              <w:spacing w:after="0" w:line="240" w:lineRule="auto"/>
              <w:rPr>
                <w:rFonts w:ascii="Calibri" w:hAnsi="Calibri" w:eastAsia="Times New Roman" w:cs="Calibri"/>
                <w:b/>
                <w:bCs/>
                <w:color w:val="000000"/>
                <w:sz w:val="18"/>
                <w:szCs w:val="18"/>
                <w:lang w:eastAsia="zh-TW"/>
              </w:rPr>
            </w:pPr>
            <w:r w:rsidRPr="00D213F6">
              <w:rPr>
                <w:rFonts w:ascii="Calibri" w:hAnsi="Calibri" w:eastAsia="Times New Roman" w:cs="Calibri"/>
                <w:b/>
                <w:bCs/>
                <w:color w:val="000000"/>
                <w:sz w:val="18"/>
                <w:szCs w:val="18"/>
                <w:lang w:eastAsia="zh-TW"/>
              </w:rPr>
              <w:t>FtF Screening Costs per Completed Screening Iw</w:t>
            </w:r>
          </w:p>
        </w:tc>
        <w:tc>
          <w:tcPr>
            <w:tcW w:w="1700" w:type="dxa"/>
            <w:tcBorders>
              <w:top w:val="nil"/>
              <w:left w:val="nil"/>
              <w:bottom w:val="nil"/>
              <w:right w:val="nil"/>
            </w:tcBorders>
            <w:shd w:val="clear" w:color="auto" w:fill="auto"/>
            <w:noWrap/>
            <w:vAlign w:val="center"/>
            <w:hideMark/>
          </w:tcPr>
          <w:p w:rsidRPr="00D213F6" w:rsidR="00D213F6" w:rsidP="00D213F6" w:rsidRDefault="00D213F6" w14:paraId="6E264BAF" w14:textId="70D88267">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xml:space="preserve">$     </w:t>
            </w:r>
            <w:r w:rsidR="000542CF">
              <w:rPr>
                <w:rFonts w:ascii="Calibri" w:hAnsi="Calibri" w:eastAsia="Times New Roman" w:cs="Calibri"/>
                <w:color w:val="000000"/>
                <w:sz w:val="18"/>
                <w:szCs w:val="18"/>
                <w:lang w:eastAsia="zh-TW"/>
              </w:rPr>
              <w:t xml:space="preserve"> </w:t>
            </w:r>
            <w:r w:rsidRPr="00D213F6">
              <w:rPr>
                <w:rFonts w:ascii="Calibri" w:hAnsi="Calibri" w:eastAsia="Times New Roman" w:cs="Calibri"/>
                <w:color w:val="000000"/>
                <w:sz w:val="18"/>
                <w:szCs w:val="18"/>
                <w:lang w:eastAsia="zh-TW"/>
              </w:rPr>
              <w:t xml:space="preserve"> </w:t>
            </w:r>
            <w:r>
              <w:rPr>
                <w:rFonts w:ascii="Calibri" w:hAnsi="Calibri" w:eastAsia="Times New Roman" w:cs="Calibri"/>
                <w:color w:val="000000"/>
                <w:sz w:val="18"/>
                <w:szCs w:val="18"/>
                <w:lang w:eastAsia="zh-TW"/>
              </w:rPr>
              <w:t xml:space="preserve"> </w:t>
            </w:r>
            <w:r w:rsidRPr="00D213F6">
              <w:rPr>
                <w:rFonts w:ascii="Calibri" w:hAnsi="Calibri" w:eastAsia="Times New Roman" w:cs="Calibri"/>
                <w:color w:val="000000"/>
                <w:sz w:val="18"/>
                <w:szCs w:val="18"/>
                <w:lang w:eastAsia="zh-TW"/>
              </w:rPr>
              <w:t xml:space="preserve">   36.49</w:t>
            </w:r>
          </w:p>
        </w:tc>
        <w:tc>
          <w:tcPr>
            <w:tcW w:w="1824" w:type="dxa"/>
            <w:tcBorders>
              <w:top w:val="nil"/>
              <w:left w:val="single" w:color="auto" w:sz="8" w:space="0"/>
              <w:bottom w:val="nil"/>
              <w:right w:val="nil"/>
            </w:tcBorders>
            <w:shd w:val="clear" w:color="auto" w:fill="auto"/>
            <w:noWrap/>
            <w:vAlign w:val="center"/>
            <w:hideMark/>
          </w:tcPr>
          <w:p w:rsidRPr="00D213F6" w:rsidR="00D213F6" w:rsidP="00D213F6" w:rsidRDefault="00D213F6" w14:paraId="4E326AFD" w14:textId="79720A8E">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xml:space="preserve">$   </w:t>
            </w:r>
            <w:r>
              <w:rPr>
                <w:rFonts w:ascii="Calibri" w:hAnsi="Calibri" w:eastAsia="Times New Roman" w:cs="Calibri"/>
                <w:color w:val="000000"/>
                <w:sz w:val="18"/>
                <w:szCs w:val="18"/>
                <w:lang w:eastAsia="zh-TW"/>
              </w:rPr>
              <w:t xml:space="preserve"> </w:t>
            </w:r>
            <w:r w:rsidR="000542CF">
              <w:rPr>
                <w:rFonts w:ascii="Calibri" w:hAnsi="Calibri" w:eastAsia="Times New Roman" w:cs="Calibri"/>
                <w:color w:val="000000"/>
                <w:sz w:val="18"/>
                <w:szCs w:val="18"/>
                <w:lang w:eastAsia="zh-TW"/>
              </w:rPr>
              <w:t xml:space="preserve"> </w:t>
            </w:r>
            <w:r w:rsidRPr="00D213F6">
              <w:rPr>
                <w:rFonts w:ascii="Calibri" w:hAnsi="Calibri" w:eastAsia="Times New Roman" w:cs="Calibri"/>
                <w:color w:val="000000"/>
                <w:sz w:val="18"/>
                <w:szCs w:val="18"/>
                <w:lang w:eastAsia="zh-TW"/>
              </w:rPr>
              <w:t xml:space="preserve">  </w:t>
            </w:r>
            <w:r>
              <w:rPr>
                <w:rFonts w:ascii="Calibri" w:hAnsi="Calibri" w:eastAsia="Times New Roman" w:cs="Calibri"/>
                <w:color w:val="000000"/>
                <w:sz w:val="18"/>
                <w:szCs w:val="18"/>
                <w:lang w:eastAsia="zh-TW"/>
              </w:rPr>
              <w:t xml:space="preserve"> </w:t>
            </w:r>
            <w:r w:rsidRPr="00D213F6">
              <w:rPr>
                <w:rFonts w:ascii="Calibri" w:hAnsi="Calibri" w:eastAsia="Times New Roman" w:cs="Calibri"/>
                <w:color w:val="000000"/>
                <w:sz w:val="18"/>
                <w:szCs w:val="18"/>
                <w:lang w:eastAsia="zh-TW"/>
              </w:rPr>
              <w:t xml:space="preserve"> </w:t>
            </w:r>
            <w:r>
              <w:rPr>
                <w:rFonts w:ascii="Calibri" w:hAnsi="Calibri" w:eastAsia="Times New Roman" w:cs="Calibri"/>
                <w:color w:val="000000"/>
                <w:sz w:val="18"/>
                <w:szCs w:val="18"/>
                <w:lang w:eastAsia="zh-TW"/>
              </w:rPr>
              <w:t xml:space="preserve"> </w:t>
            </w:r>
            <w:r w:rsidRPr="00D213F6">
              <w:rPr>
                <w:rFonts w:ascii="Calibri" w:hAnsi="Calibri" w:eastAsia="Times New Roman" w:cs="Calibri"/>
                <w:color w:val="000000"/>
                <w:sz w:val="18"/>
                <w:szCs w:val="18"/>
                <w:lang w:eastAsia="zh-TW"/>
              </w:rPr>
              <w:t xml:space="preserve">  </w:t>
            </w:r>
            <w:r w:rsidRPr="00D213F6">
              <w:rPr>
                <w:rFonts w:ascii="Calibri" w:hAnsi="Calibri" w:cs="Calibri"/>
                <w:color w:val="000000"/>
                <w:sz w:val="18"/>
                <w:szCs w:val="18"/>
              </w:rPr>
              <w:t>41.92</w:t>
            </w:r>
          </w:p>
        </w:tc>
      </w:tr>
      <w:tr w:rsidRPr="00D213F6" w:rsidR="00D213F6" w:rsidTr="00D213F6" w14:paraId="4AB77D9A" w14:textId="77777777">
        <w:trPr>
          <w:trHeight w:val="288"/>
        </w:trPr>
        <w:tc>
          <w:tcPr>
            <w:tcW w:w="5100" w:type="dxa"/>
            <w:tcBorders>
              <w:top w:val="nil"/>
              <w:left w:val="nil"/>
              <w:bottom w:val="nil"/>
              <w:right w:val="single" w:color="auto" w:sz="8" w:space="0"/>
            </w:tcBorders>
            <w:shd w:val="clear" w:color="auto" w:fill="auto"/>
            <w:vAlign w:val="center"/>
            <w:hideMark/>
          </w:tcPr>
          <w:p w:rsidRPr="00D213F6" w:rsidR="00D213F6" w:rsidP="00D213F6" w:rsidRDefault="00D213F6" w14:paraId="3B80101C" w14:textId="77777777">
            <w:pPr>
              <w:spacing w:after="0" w:line="240" w:lineRule="auto"/>
              <w:rPr>
                <w:rFonts w:ascii="Calibri" w:hAnsi="Calibri" w:eastAsia="Times New Roman" w:cs="Calibri"/>
                <w:b/>
                <w:bCs/>
                <w:color w:val="000000"/>
                <w:sz w:val="18"/>
                <w:szCs w:val="18"/>
                <w:lang w:eastAsia="zh-TW"/>
              </w:rPr>
            </w:pPr>
            <w:r w:rsidRPr="00D213F6">
              <w:rPr>
                <w:rFonts w:ascii="Calibri" w:hAnsi="Calibri" w:eastAsia="Times New Roman" w:cs="Calibri"/>
                <w:b/>
                <w:bCs/>
                <w:color w:val="000000"/>
                <w:sz w:val="18"/>
                <w:szCs w:val="18"/>
                <w:lang w:eastAsia="zh-TW"/>
              </w:rPr>
              <w:t>FtF Screening Costs per Completed Main Iw</w:t>
            </w:r>
          </w:p>
        </w:tc>
        <w:tc>
          <w:tcPr>
            <w:tcW w:w="1700" w:type="dxa"/>
            <w:tcBorders>
              <w:top w:val="nil"/>
              <w:left w:val="nil"/>
              <w:bottom w:val="nil"/>
              <w:right w:val="nil"/>
            </w:tcBorders>
            <w:shd w:val="clear" w:color="auto" w:fill="auto"/>
            <w:noWrap/>
            <w:vAlign w:val="center"/>
            <w:hideMark/>
          </w:tcPr>
          <w:p w:rsidRPr="00D213F6" w:rsidR="00D213F6" w:rsidP="00D213F6" w:rsidRDefault="00D213F6" w14:paraId="3AF6D438" w14:textId="3D0F94B7">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xml:space="preserve">$   </w:t>
            </w:r>
            <w:r w:rsidR="000542CF">
              <w:rPr>
                <w:rFonts w:ascii="Calibri" w:hAnsi="Calibri" w:eastAsia="Times New Roman" w:cs="Calibri"/>
                <w:color w:val="000000"/>
                <w:sz w:val="18"/>
                <w:szCs w:val="18"/>
                <w:lang w:eastAsia="zh-TW"/>
              </w:rPr>
              <w:t xml:space="preserve"> </w:t>
            </w:r>
            <w:r w:rsidRPr="00D213F6">
              <w:rPr>
                <w:rFonts w:ascii="Calibri" w:hAnsi="Calibri" w:eastAsia="Times New Roman" w:cs="Calibri"/>
                <w:color w:val="000000"/>
                <w:sz w:val="18"/>
                <w:szCs w:val="18"/>
                <w:lang w:eastAsia="zh-TW"/>
              </w:rPr>
              <w:t xml:space="preserve">     322.73</w:t>
            </w:r>
          </w:p>
        </w:tc>
        <w:tc>
          <w:tcPr>
            <w:tcW w:w="1824" w:type="dxa"/>
            <w:tcBorders>
              <w:top w:val="nil"/>
              <w:left w:val="single" w:color="auto" w:sz="8" w:space="0"/>
              <w:bottom w:val="nil"/>
              <w:right w:val="nil"/>
            </w:tcBorders>
            <w:shd w:val="clear" w:color="auto" w:fill="auto"/>
            <w:noWrap/>
            <w:vAlign w:val="center"/>
            <w:hideMark/>
          </w:tcPr>
          <w:p w:rsidRPr="00D213F6" w:rsidR="00D213F6" w:rsidP="00D213F6" w:rsidRDefault="00D213F6" w14:paraId="2A383E37" w14:textId="270BD64F">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xml:space="preserve">$   </w:t>
            </w:r>
            <w:r>
              <w:rPr>
                <w:rFonts w:ascii="Calibri" w:hAnsi="Calibri" w:eastAsia="Times New Roman" w:cs="Calibri"/>
                <w:color w:val="000000"/>
                <w:sz w:val="18"/>
                <w:szCs w:val="18"/>
                <w:lang w:eastAsia="zh-TW"/>
              </w:rPr>
              <w:t xml:space="preserve"> </w:t>
            </w:r>
            <w:r w:rsidR="000542CF">
              <w:rPr>
                <w:rFonts w:ascii="Calibri" w:hAnsi="Calibri" w:eastAsia="Times New Roman" w:cs="Calibri"/>
                <w:color w:val="000000"/>
                <w:sz w:val="18"/>
                <w:szCs w:val="18"/>
                <w:lang w:eastAsia="zh-TW"/>
              </w:rPr>
              <w:t xml:space="preserve"> </w:t>
            </w:r>
            <w:r w:rsidRPr="00D213F6">
              <w:rPr>
                <w:rFonts w:ascii="Calibri" w:hAnsi="Calibri" w:eastAsia="Times New Roman" w:cs="Calibri"/>
                <w:color w:val="000000"/>
                <w:sz w:val="18"/>
                <w:szCs w:val="18"/>
                <w:lang w:eastAsia="zh-TW"/>
              </w:rPr>
              <w:t xml:space="preserve">     </w:t>
            </w:r>
            <w:r w:rsidRPr="00D213F6">
              <w:rPr>
                <w:rFonts w:ascii="Calibri" w:hAnsi="Calibri" w:cs="Calibri"/>
                <w:color w:val="000000"/>
                <w:sz w:val="18"/>
                <w:szCs w:val="18"/>
              </w:rPr>
              <w:t>464.14</w:t>
            </w:r>
          </w:p>
        </w:tc>
      </w:tr>
      <w:tr w:rsidRPr="00D213F6" w:rsidR="00D213F6" w:rsidTr="00D213F6" w14:paraId="31D4C459" w14:textId="77777777">
        <w:trPr>
          <w:trHeight w:val="288"/>
        </w:trPr>
        <w:tc>
          <w:tcPr>
            <w:tcW w:w="5100" w:type="dxa"/>
            <w:tcBorders>
              <w:top w:val="nil"/>
              <w:left w:val="nil"/>
              <w:bottom w:val="nil"/>
              <w:right w:val="single" w:color="auto" w:sz="8" w:space="0"/>
            </w:tcBorders>
            <w:shd w:val="clear" w:color="auto" w:fill="auto"/>
            <w:vAlign w:val="center"/>
            <w:hideMark/>
          </w:tcPr>
          <w:p w:rsidRPr="00D213F6" w:rsidR="00D213F6" w:rsidP="00D213F6" w:rsidRDefault="00D213F6" w14:paraId="7C5A4A91" w14:textId="77777777">
            <w:pPr>
              <w:spacing w:after="0" w:line="240" w:lineRule="auto"/>
              <w:rPr>
                <w:rFonts w:ascii="Calibri" w:hAnsi="Calibri" w:eastAsia="Times New Roman" w:cs="Calibri"/>
                <w:b/>
                <w:bCs/>
                <w:color w:val="000000"/>
                <w:sz w:val="18"/>
                <w:szCs w:val="18"/>
                <w:lang w:eastAsia="zh-TW"/>
              </w:rPr>
            </w:pPr>
            <w:r w:rsidRPr="00D213F6">
              <w:rPr>
                <w:rFonts w:ascii="Calibri" w:hAnsi="Calibri" w:eastAsia="Times New Roman" w:cs="Calibri"/>
                <w:b/>
                <w:bCs/>
                <w:color w:val="000000"/>
                <w:sz w:val="18"/>
                <w:szCs w:val="18"/>
                <w:lang w:eastAsia="zh-TW"/>
              </w:rPr>
              <w:t>Main Interviewing Costs per Completed Iw (including main only)</w:t>
            </w:r>
          </w:p>
        </w:tc>
        <w:tc>
          <w:tcPr>
            <w:tcW w:w="1700" w:type="dxa"/>
            <w:tcBorders>
              <w:top w:val="nil"/>
              <w:left w:val="nil"/>
              <w:bottom w:val="nil"/>
              <w:right w:val="nil"/>
            </w:tcBorders>
            <w:shd w:val="clear" w:color="auto" w:fill="auto"/>
            <w:noWrap/>
            <w:vAlign w:val="center"/>
            <w:hideMark/>
          </w:tcPr>
          <w:p w:rsidRPr="00D213F6" w:rsidR="00D213F6" w:rsidP="00D213F6" w:rsidRDefault="00D213F6" w14:paraId="2EEBA3C6" w14:textId="19C90E85">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xml:space="preserve">$   </w:t>
            </w:r>
            <w:r w:rsidR="000542CF">
              <w:rPr>
                <w:rFonts w:ascii="Calibri" w:hAnsi="Calibri" w:eastAsia="Times New Roman" w:cs="Calibri"/>
                <w:color w:val="000000"/>
                <w:sz w:val="18"/>
                <w:szCs w:val="18"/>
                <w:lang w:eastAsia="zh-TW"/>
              </w:rPr>
              <w:t xml:space="preserve"> </w:t>
            </w:r>
            <w:r w:rsidRPr="00D213F6">
              <w:rPr>
                <w:rFonts w:ascii="Calibri" w:hAnsi="Calibri" w:eastAsia="Times New Roman" w:cs="Calibri"/>
                <w:color w:val="000000"/>
                <w:sz w:val="18"/>
                <w:szCs w:val="18"/>
                <w:lang w:eastAsia="zh-TW"/>
              </w:rPr>
              <w:t xml:space="preserve">     177.48</w:t>
            </w:r>
          </w:p>
        </w:tc>
        <w:tc>
          <w:tcPr>
            <w:tcW w:w="1824" w:type="dxa"/>
            <w:tcBorders>
              <w:top w:val="nil"/>
              <w:left w:val="single" w:color="auto" w:sz="8" w:space="0"/>
              <w:bottom w:val="nil"/>
              <w:right w:val="nil"/>
            </w:tcBorders>
            <w:shd w:val="clear" w:color="auto" w:fill="auto"/>
            <w:noWrap/>
            <w:vAlign w:val="center"/>
            <w:hideMark/>
          </w:tcPr>
          <w:p w:rsidRPr="00D213F6" w:rsidR="00D213F6" w:rsidP="00D213F6" w:rsidRDefault="00D213F6" w14:paraId="20F6A997" w14:textId="0C295DC2">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xml:space="preserve">$   </w:t>
            </w:r>
            <w:r>
              <w:rPr>
                <w:rFonts w:ascii="Calibri" w:hAnsi="Calibri" w:eastAsia="Times New Roman" w:cs="Calibri"/>
                <w:color w:val="000000"/>
                <w:sz w:val="18"/>
                <w:szCs w:val="18"/>
                <w:lang w:eastAsia="zh-TW"/>
              </w:rPr>
              <w:t xml:space="preserve"> </w:t>
            </w:r>
            <w:r w:rsidR="000542CF">
              <w:rPr>
                <w:rFonts w:ascii="Calibri" w:hAnsi="Calibri" w:eastAsia="Times New Roman" w:cs="Calibri"/>
                <w:color w:val="000000"/>
                <w:sz w:val="18"/>
                <w:szCs w:val="18"/>
                <w:lang w:eastAsia="zh-TW"/>
              </w:rPr>
              <w:t xml:space="preserve"> </w:t>
            </w:r>
            <w:r w:rsidRPr="00D213F6">
              <w:rPr>
                <w:rFonts w:ascii="Calibri" w:hAnsi="Calibri" w:eastAsia="Times New Roman" w:cs="Calibri"/>
                <w:color w:val="000000"/>
                <w:sz w:val="18"/>
                <w:szCs w:val="18"/>
                <w:lang w:eastAsia="zh-TW"/>
              </w:rPr>
              <w:t xml:space="preserve">     </w:t>
            </w:r>
            <w:r w:rsidRPr="00D213F6">
              <w:rPr>
                <w:rFonts w:ascii="Calibri" w:hAnsi="Calibri" w:cs="Calibri"/>
                <w:color w:val="000000"/>
                <w:sz w:val="18"/>
                <w:szCs w:val="18"/>
              </w:rPr>
              <w:t>164.94</w:t>
            </w:r>
          </w:p>
        </w:tc>
      </w:tr>
      <w:tr w:rsidRPr="00D213F6" w:rsidR="00D213F6" w:rsidTr="00D213F6" w14:paraId="010C7B57" w14:textId="77777777">
        <w:trPr>
          <w:trHeight w:val="288"/>
        </w:trPr>
        <w:tc>
          <w:tcPr>
            <w:tcW w:w="5100" w:type="dxa"/>
            <w:tcBorders>
              <w:top w:val="nil"/>
              <w:left w:val="nil"/>
              <w:bottom w:val="single" w:color="808080" w:sz="8" w:space="0"/>
              <w:right w:val="single" w:color="auto" w:sz="8" w:space="0"/>
            </w:tcBorders>
            <w:shd w:val="clear" w:color="auto" w:fill="auto"/>
            <w:vAlign w:val="center"/>
            <w:hideMark/>
          </w:tcPr>
          <w:p w:rsidRPr="00D213F6" w:rsidR="00D213F6" w:rsidP="00D213F6" w:rsidRDefault="00D213F6" w14:paraId="4A7D508A" w14:textId="77777777">
            <w:pPr>
              <w:spacing w:after="0" w:line="240" w:lineRule="auto"/>
              <w:rPr>
                <w:rFonts w:ascii="Calibri" w:hAnsi="Calibri" w:eastAsia="Times New Roman" w:cs="Calibri"/>
                <w:b/>
                <w:bCs/>
                <w:color w:val="000000"/>
                <w:sz w:val="18"/>
                <w:szCs w:val="18"/>
                <w:lang w:eastAsia="zh-TW"/>
              </w:rPr>
            </w:pPr>
            <w:r w:rsidRPr="00D213F6">
              <w:rPr>
                <w:rFonts w:ascii="Calibri" w:hAnsi="Calibri" w:eastAsia="Times New Roman" w:cs="Calibri"/>
                <w:b/>
                <w:bCs/>
                <w:color w:val="000000"/>
                <w:sz w:val="18"/>
                <w:szCs w:val="18"/>
                <w:lang w:eastAsia="zh-TW"/>
              </w:rPr>
              <w:t>Total Costs per Completed Iw</w:t>
            </w:r>
            <w:r w:rsidRPr="00D213F6">
              <w:rPr>
                <w:rFonts w:ascii="Calibri" w:hAnsi="Calibri" w:eastAsia="Times New Roman" w:cs="Calibri"/>
                <w:color w:val="000000"/>
                <w:sz w:val="16"/>
                <w:szCs w:val="16"/>
                <w:lang w:eastAsia="zh-TW"/>
              </w:rPr>
              <w:t> </w:t>
            </w:r>
          </w:p>
        </w:tc>
        <w:tc>
          <w:tcPr>
            <w:tcW w:w="1700" w:type="dxa"/>
            <w:tcBorders>
              <w:top w:val="nil"/>
              <w:left w:val="nil"/>
              <w:bottom w:val="single" w:color="808080" w:sz="8" w:space="0"/>
              <w:right w:val="nil"/>
            </w:tcBorders>
            <w:shd w:val="clear" w:color="auto" w:fill="auto"/>
            <w:noWrap/>
            <w:vAlign w:val="center"/>
            <w:hideMark/>
          </w:tcPr>
          <w:p w:rsidRPr="00D213F6" w:rsidR="00D213F6" w:rsidP="00D213F6" w:rsidRDefault="00D213F6" w14:paraId="44879F8A" w14:textId="513EB638">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xml:space="preserve">$   </w:t>
            </w:r>
            <w:r w:rsidR="000542CF">
              <w:rPr>
                <w:rFonts w:ascii="Calibri" w:hAnsi="Calibri" w:eastAsia="Times New Roman" w:cs="Calibri"/>
                <w:color w:val="000000"/>
                <w:sz w:val="18"/>
                <w:szCs w:val="18"/>
                <w:lang w:eastAsia="zh-TW"/>
              </w:rPr>
              <w:t xml:space="preserve"> </w:t>
            </w:r>
            <w:r w:rsidRPr="00D213F6">
              <w:rPr>
                <w:rFonts w:ascii="Calibri" w:hAnsi="Calibri" w:eastAsia="Times New Roman" w:cs="Calibri"/>
                <w:color w:val="000000"/>
                <w:sz w:val="18"/>
                <w:szCs w:val="18"/>
                <w:lang w:eastAsia="zh-TW"/>
              </w:rPr>
              <w:t xml:space="preserve">     573.43</w:t>
            </w:r>
          </w:p>
        </w:tc>
        <w:tc>
          <w:tcPr>
            <w:tcW w:w="1824" w:type="dxa"/>
            <w:tcBorders>
              <w:top w:val="nil"/>
              <w:left w:val="single" w:color="auto" w:sz="8" w:space="0"/>
              <w:bottom w:val="single" w:color="808080" w:sz="8" w:space="0"/>
              <w:right w:val="nil"/>
            </w:tcBorders>
            <w:shd w:val="clear" w:color="auto" w:fill="auto"/>
            <w:noWrap/>
            <w:vAlign w:val="center"/>
            <w:hideMark/>
          </w:tcPr>
          <w:p w:rsidRPr="00D213F6" w:rsidR="00D213F6" w:rsidP="00D213F6" w:rsidRDefault="00D213F6" w14:paraId="22005012" w14:textId="29FE92C6">
            <w:pPr>
              <w:spacing w:after="0" w:line="240" w:lineRule="auto"/>
              <w:jc w:val="center"/>
              <w:rPr>
                <w:rFonts w:ascii="Calibri" w:hAnsi="Calibri" w:eastAsia="Times New Roman" w:cs="Calibri"/>
                <w:color w:val="000000"/>
                <w:sz w:val="18"/>
                <w:szCs w:val="18"/>
                <w:lang w:eastAsia="zh-TW"/>
              </w:rPr>
            </w:pPr>
            <w:r w:rsidRPr="00D213F6">
              <w:rPr>
                <w:rFonts w:ascii="Calibri" w:hAnsi="Calibri" w:eastAsia="Times New Roman" w:cs="Calibri"/>
                <w:color w:val="000000"/>
                <w:sz w:val="18"/>
                <w:szCs w:val="18"/>
                <w:lang w:eastAsia="zh-TW"/>
              </w:rPr>
              <w:t xml:space="preserve">$   </w:t>
            </w:r>
            <w:r>
              <w:rPr>
                <w:rFonts w:ascii="Calibri" w:hAnsi="Calibri" w:eastAsia="Times New Roman" w:cs="Calibri"/>
                <w:color w:val="000000"/>
                <w:sz w:val="18"/>
                <w:szCs w:val="18"/>
                <w:lang w:eastAsia="zh-TW"/>
              </w:rPr>
              <w:t xml:space="preserve"> </w:t>
            </w:r>
            <w:r w:rsidR="000542CF">
              <w:rPr>
                <w:rFonts w:ascii="Calibri" w:hAnsi="Calibri" w:eastAsia="Times New Roman" w:cs="Calibri"/>
                <w:color w:val="000000"/>
                <w:sz w:val="18"/>
                <w:szCs w:val="18"/>
                <w:lang w:eastAsia="zh-TW"/>
              </w:rPr>
              <w:t xml:space="preserve"> </w:t>
            </w:r>
            <w:r w:rsidRPr="00D213F6">
              <w:rPr>
                <w:rFonts w:ascii="Calibri" w:hAnsi="Calibri" w:eastAsia="Times New Roman" w:cs="Calibri"/>
                <w:color w:val="000000"/>
                <w:sz w:val="18"/>
                <w:szCs w:val="18"/>
                <w:lang w:eastAsia="zh-TW"/>
              </w:rPr>
              <w:t xml:space="preserve">     </w:t>
            </w:r>
            <w:r w:rsidRPr="00D213F6">
              <w:rPr>
                <w:rFonts w:ascii="Calibri" w:hAnsi="Calibri" w:cs="Calibri"/>
                <w:color w:val="000000"/>
                <w:sz w:val="18"/>
                <w:szCs w:val="18"/>
              </w:rPr>
              <w:t>629.08</w:t>
            </w:r>
          </w:p>
        </w:tc>
      </w:tr>
    </w:tbl>
    <w:p w:rsidR="00F87EEA" w:rsidP="00B5113C" w:rsidRDefault="00F87EEA" w14:paraId="740E8EA8" w14:textId="30949921"/>
    <w:p w:rsidR="0056602A" w:rsidP="00B5113C" w:rsidRDefault="0056602A" w14:paraId="4FC348C6" w14:textId="01ECBF5C">
      <w:r>
        <w:t>Given the experimentation conducted in Q31 and Q32, we would recommend adopting a mailed screener</w:t>
      </w:r>
      <w:r w:rsidR="00971290">
        <w:t xml:space="preserve">, with the other features noted above, </w:t>
      </w:r>
      <w:r>
        <w:t>for the likely ineligible stratum. It does appear that this design feature will lead to cost savings.</w:t>
      </w:r>
    </w:p>
    <w:p w:rsidR="0056602A" w:rsidP="00B5113C" w:rsidRDefault="0056602A" w14:paraId="07BC704D" w14:textId="5F1E52F7">
      <w:r>
        <w:t>We note that this might lead to lower main interview</w:t>
      </w:r>
      <w:r w:rsidR="009A3576">
        <w:t xml:space="preserve"> response</w:t>
      </w:r>
      <w:r>
        <w:t xml:space="preserve"> rates. We do not have sufficient evidence on this question. However, our focus on the low-eligibility stratum mitigates any damage. As can be seen from the counts in the bottom row of Table 5, there are not many interviews obtained from this group. </w:t>
      </w:r>
    </w:p>
    <w:p w:rsidR="0056602A" w:rsidP="00B5113C" w:rsidRDefault="0056602A" w14:paraId="516DC990" w14:textId="38EA8588">
      <w:r>
        <w:t xml:space="preserve">It might be worth considering expanding the use of mailed screeners in a number of ways. First, we recommend mailing the screener prior to the face-to-face field period. Although we did not do this during Q31 and Q32, we did it during Q26 and found that it improved phase 1 response rates. This might also lead to an improved main interview rate. Second, we recommend considering expanding the use of a mailed screener for cases in other strata (e.g. middle and high eligibility strata). We would expect that these strata are somewhat less likely to respond to a mail survey. But this is worth testing as a way to see if additional cost savings can be found. </w:t>
      </w:r>
    </w:p>
    <w:sectPr w:rsidR="0056602A" w:rsidSect="0004162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89045" w14:textId="77777777" w:rsidR="0070572D" w:rsidRDefault="0070572D" w:rsidP="002F154C">
      <w:pPr>
        <w:spacing w:after="0" w:line="240" w:lineRule="auto"/>
      </w:pPr>
      <w:r>
        <w:separator/>
      </w:r>
    </w:p>
  </w:endnote>
  <w:endnote w:type="continuationSeparator" w:id="0">
    <w:p w14:paraId="3FAF0998" w14:textId="77777777" w:rsidR="0070572D" w:rsidRDefault="0070572D" w:rsidP="002F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1F44D" w14:textId="77777777" w:rsidR="00FD2239" w:rsidRDefault="00FD2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883526"/>
      <w:docPartObj>
        <w:docPartGallery w:val="Page Numbers (Bottom of Page)"/>
        <w:docPartUnique/>
      </w:docPartObj>
    </w:sdtPr>
    <w:sdtEndPr>
      <w:rPr>
        <w:noProof/>
      </w:rPr>
    </w:sdtEndPr>
    <w:sdtContent>
      <w:p w14:paraId="710B4E95" w14:textId="7D5404DF" w:rsidR="00AE45A2" w:rsidRDefault="00AE45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39928B" w14:textId="77777777" w:rsidR="00AE45A2" w:rsidRDefault="00AE4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43EB" w14:textId="77777777" w:rsidR="00FD2239" w:rsidRDefault="00FD2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12AAD" w14:textId="77777777" w:rsidR="0070572D" w:rsidRDefault="0070572D" w:rsidP="002F154C">
      <w:pPr>
        <w:spacing w:after="0" w:line="240" w:lineRule="auto"/>
      </w:pPr>
      <w:r>
        <w:separator/>
      </w:r>
    </w:p>
  </w:footnote>
  <w:footnote w:type="continuationSeparator" w:id="0">
    <w:p w14:paraId="24B1E6BF" w14:textId="77777777" w:rsidR="0070572D" w:rsidRDefault="0070572D" w:rsidP="002F1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02674" w14:textId="77777777" w:rsidR="00FD2239" w:rsidRDefault="00FD2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B251C" w14:textId="2E91BD37" w:rsidR="00FD2239" w:rsidRDefault="00FD2239">
    <w:pPr>
      <w:pStyle w:val="Header"/>
    </w:pPr>
    <w:r w:rsidRPr="001E3341">
      <w:rPr>
        <w:rFonts w:ascii="Calibri" w:hAnsi="Calibri" w:cs="Calibri"/>
        <w:i/>
        <w:iCs/>
        <w:sz w:val="20"/>
        <w:szCs w:val="20"/>
      </w:rPr>
      <w:t>N</w:t>
    </w:r>
    <w:r>
      <w:rPr>
        <w:rFonts w:ascii="Calibri" w:hAnsi="Calibri" w:cs="Calibri"/>
        <w:i/>
        <w:iCs/>
        <w:sz w:val="20"/>
        <w:szCs w:val="20"/>
      </w:rPr>
      <w:t>SFG</w:t>
    </w:r>
    <w:r>
      <w:rPr>
        <w:rFonts w:ascii="Calibri" w:hAnsi="Calibri" w:cs="Calibri"/>
        <w:i/>
        <w:iCs/>
        <w:sz w:val="20"/>
        <w:szCs w:val="20"/>
      </w:rPr>
      <w:tab/>
      <w:t xml:space="preserve">OMB Attachment </w:t>
    </w:r>
    <w:r>
      <w:rPr>
        <w:rFonts w:ascii="Calibri" w:hAnsi="Calibri" w:cs="Calibri"/>
        <w:i/>
        <w:iCs/>
        <w:sz w:val="20"/>
        <w:szCs w:val="20"/>
      </w:rPr>
      <w:t>D2</w:t>
    </w:r>
    <w:r>
      <w:rPr>
        <w:rFonts w:ascii="Calibri" w:hAnsi="Calibri" w:cs="Calibri"/>
        <w:i/>
        <w:iCs/>
        <w:sz w:val="20"/>
        <w:szCs w:val="20"/>
      </w:rPr>
      <w:tab/>
      <w:t xml:space="preserve">OMB No. </w:t>
    </w:r>
    <w:r w:rsidRPr="00EF2435">
      <w:rPr>
        <w:rFonts w:ascii="Calibri" w:hAnsi="Calibri" w:cs="Calibri"/>
        <w:bCs/>
        <w:i/>
        <w:sz w:val="20"/>
        <w:szCs w:val="20"/>
      </w:rPr>
      <w:t>0920-0314</w:t>
    </w:r>
  </w:p>
  <w:p w14:paraId="77188794" w14:textId="77777777" w:rsidR="002E3419" w:rsidRDefault="002E3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DF307" w14:textId="77777777" w:rsidR="00FD2239" w:rsidRDefault="00FD2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D342CF"/>
    <w:multiLevelType w:val="hybridMultilevel"/>
    <w:tmpl w:val="9F9E0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3C"/>
    <w:rsid w:val="00041620"/>
    <w:rsid w:val="000542CF"/>
    <w:rsid w:val="000814B4"/>
    <w:rsid w:val="000E260B"/>
    <w:rsid w:val="000F3E28"/>
    <w:rsid w:val="00117E6B"/>
    <w:rsid w:val="00131BD0"/>
    <w:rsid w:val="00132252"/>
    <w:rsid w:val="00155A64"/>
    <w:rsid w:val="001808EA"/>
    <w:rsid w:val="001D3911"/>
    <w:rsid w:val="001E20F6"/>
    <w:rsid w:val="001E4471"/>
    <w:rsid w:val="001F1401"/>
    <w:rsid w:val="001F1D87"/>
    <w:rsid w:val="00210EE9"/>
    <w:rsid w:val="00235F35"/>
    <w:rsid w:val="00295E88"/>
    <w:rsid w:val="002E1CC1"/>
    <w:rsid w:val="002E3419"/>
    <w:rsid w:val="002F154C"/>
    <w:rsid w:val="00311014"/>
    <w:rsid w:val="00366836"/>
    <w:rsid w:val="003711DA"/>
    <w:rsid w:val="00394FDC"/>
    <w:rsid w:val="00446236"/>
    <w:rsid w:val="004C03AB"/>
    <w:rsid w:val="004E1BB4"/>
    <w:rsid w:val="00501492"/>
    <w:rsid w:val="00504D36"/>
    <w:rsid w:val="0056110A"/>
    <w:rsid w:val="0056602A"/>
    <w:rsid w:val="005D4141"/>
    <w:rsid w:val="00610654"/>
    <w:rsid w:val="00647CCB"/>
    <w:rsid w:val="0069151A"/>
    <w:rsid w:val="0070572D"/>
    <w:rsid w:val="00757B1B"/>
    <w:rsid w:val="007D2916"/>
    <w:rsid w:val="00890693"/>
    <w:rsid w:val="008B4349"/>
    <w:rsid w:val="00971290"/>
    <w:rsid w:val="009835C8"/>
    <w:rsid w:val="009A2E9D"/>
    <w:rsid w:val="009A3576"/>
    <w:rsid w:val="00A109F9"/>
    <w:rsid w:val="00A47230"/>
    <w:rsid w:val="00AE45A2"/>
    <w:rsid w:val="00AF19AD"/>
    <w:rsid w:val="00B16C4D"/>
    <w:rsid w:val="00B50304"/>
    <w:rsid w:val="00B5113C"/>
    <w:rsid w:val="00C56A0C"/>
    <w:rsid w:val="00C75BBF"/>
    <w:rsid w:val="00CC466B"/>
    <w:rsid w:val="00D1751C"/>
    <w:rsid w:val="00D213F6"/>
    <w:rsid w:val="00DC5926"/>
    <w:rsid w:val="00E305C9"/>
    <w:rsid w:val="00E65C34"/>
    <w:rsid w:val="00E70BDC"/>
    <w:rsid w:val="00E83661"/>
    <w:rsid w:val="00E847ED"/>
    <w:rsid w:val="00E958BD"/>
    <w:rsid w:val="00EA5317"/>
    <w:rsid w:val="00EC36C4"/>
    <w:rsid w:val="00ED1AC5"/>
    <w:rsid w:val="00EF6AB6"/>
    <w:rsid w:val="00F025D5"/>
    <w:rsid w:val="00F22C8E"/>
    <w:rsid w:val="00F61F28"/>
    <w:rsid w:val="00F73EC6"/>
    <w:rsid w:val="00F86CF1"/>
    <w:rsid w:val="00F87EEA"/>
    <w:rsid w:val="00FC0B31"/>
    <w:rsid w:val="00FD1E35"/>
    <w:rsid w:val="00FD2239"/>
    <w:rsid w:val="00FF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B9DCC7"/>
  <w15:docId w15:val="{30914830-D084-4DEE-A6DE-222760B8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13C"/>
    <w:pPr>
      <w:ind w:left="720"/>
      <w:contextualSpacing/>
    </w:pPr>
  </w:style>
  <w:style w:type="table" w:customStyle="1" w:styleId="PlainTable21">
    <w:name w:val="Plain Table 21"/>
    <w:basedOn w:val="TableNormal"/>
    <w:uiPriority w:val="42"/>
    <w:rsid w:val="0004162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41620"/>
    <w:rPr>
      <w:sz w:val="16"/>
      <w:szCs w:val="16"/>
    </w:rPr>
  </w:style>
  <w:style w:type="paragraph" w:styleId="CommentText">
    <w:name w:val="annotation text"/>
    <w:basedOn w:val="Normal"/>
    <w:link w:val="CommentTextChar"/>
    <w:uiPriority w:val="99"/>
    <w:semiHidden/>
    <w:unhideWhenUsed/>
    <w:rsid w:val="00041620"/>
    <w:pPr>
      <w:spacing w:line="240" w:lineRule="auto"/>
    </w:pPr>
    <w:rPr>
      <w:sz w:val="20"/>
      <w:szCs w:val="20"/>
    </w:rPr>
  </w:style>
  <w:style w:type="character" w:customStyle="1" w:styleId="CommentTextChar">
    <w:name w:val="Comment Text Char"/>
    <w:basedOn w:val="DefaultParagraphFont"/>
    <w:link w:val="CommentText"/>
    <w:uiPriority w:val="99"/>
    <w:semiHidden/>
    <w:rsid w:val="00041620"/>
    <w:rPr>
      <w:sz w:val="20"/>
      <w:szCs w:val="20"/>
    </w:rPr>
  </w:style>
  <w:style w:type="paragraph" w:styleId="CommentSubject">
    <w:name w:val="annotation subject"/>
    <w:basedOn w:val="CommentText"/>
    <w:next w:val="CommentText"/>
    <w:link w:val="CommentSubjectChar"/>
    <w:uiPriority w:val="99"/>
    <w:semiHidden/>
    <w:unhideWhenUsed/>
    <w:rsid w:val="00041620"/>
    <w:rPr>
      <w:b/>
      <w:bCs/>
    </w:rPr>
  </w:style>
  <w:style w:type="character" w:customStyle="1" w:styleId="CommentSubjectChar">
    <w:name w:val="Comment Subject Char"/>
    <w:basedOn w:val="CommentTextChar"/>
    <w:link w:val="CommentSubject"/>
    <w:uiPriority w:val="99"/>
    <w:semiHidden/>
    <w:rsid w:val="00041620"/>
    <w:rPr>
      <w:b/>
      <w:bCs/>
      <w:sz w:val="20"/>
      <w:szCs w:val="20"/>
    </w:rPr>
  </w:style>
  <w:style w:type="paragraph" w:styleId="BalloonText">
    <w:name w:val="Balloon Text"/>
    <w:basedOn w:val="Normal"/>
    <w:link w:val="BalloonTextChar"/>
    <w:uiPriority w:val="99"/>
    <w:semiHidden/>
    <w:unhideWhenUsed/>
    <w:rsid w:val="00041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620"/>
    <w:rPr>
      <w:rFonts w:ascii="Segoe UI" w:hAnsi="Segoe UI" w:cs="Segoe UI"/>
      <w:sz w:val="18"/>
      <w:szCs w:val="18"/>
    </w:rPr>
  </w:style>
  <w:style w:type="paragraph" w:styleId="Header">
    <w:name w:val="header"/>
    <w:basedOn w:val="Normal"/>
    <w:link w:val="HeaderChar"/>
    <w:uiPriority w:val="99"/>
    <w:unhideWhenUsed/>
    <w:rsid w:val="00AE4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5A2"/>
  </w:style>
  <w:style w:type="paragraph" w:styleId="Footer">
    <w:name w:val="footer"/>
    <w:basedOn w:val="Normal"/>
    <w:link w:val="FooterChar"/>
    <w:uiPriority w:val="99"/>
    <w:unhideWhenUsed/>
    <w:rsid w:val="00AE4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57536">
      <w:bodyDiv w:val="1"/>
      <w:marLeft w:val="0"/>
      <w:marRight w:val="0"/>
      <w:marTop w:val="0"/>
      <w:marBottom w:val="0"/>
      <w:divBdr>
        <w:top w:val="none" w:sz="0" w:space="0" w:color="auto"/>
        <w:left w:val="none" w:sz="0" w:space="0" w:color="auto"/>
        <w:bottom w:val="none" w:sz="0" w:space="0" w:color="auto"/>
        <w:right w:val="none" w:sz="0" w:space="0" w:color="auto"/>
      </w:divBdr>
    </w:div>
    <w:div w:id="475491624">
      <w:bodyDiv w:val="1"/>
      <w:marLeft w:val="0"/>
      <w:marRight w:val="0"/>
      <w:marTop w:val="0"/>
      <w:marBottom w:val="0"/>
      <w:divBdr>
        <w:top w:val="none" w:sz="0" w:space="0" w:color="auto"/>
        <w:left w:val="none" w:sz="0" w:space="0" w:color="auto"/>
        <w:bottom w:val="none" w:sz="0" w:space="0" w:color="auto"/>
        <w:right w:val="none" w:sz="0" w:space="0" w:color="auto"/>
      </w:divBdr>
    </w:div>
    <w:div w:id="585188172">
      <w:bodyDiv w:val="1"/>
      <w:marLeft w:val="0"/>
      <w:marRight w:val="0"/>
      <w:marTop w:val="0"/>
      <w:marBottom w:val="0"/>
      <w:divBdr>
        <w:top w:val="none" w:sz="0" w:space="0" w:color="auto"/>
        <w:left w:val="none" w:sz="0" w:space="0" w:color="auto"/>
        <w:bottom w:val="none" w:sz="0" w:space="0" w:color="auto"/>
        <w:right w:val="none" w:sz="0" w:space="0" w:color="auto"/>
      </w:divBdr>
    </w:div>
    <w:div w:id="611594241">
      <w:bodyDiv w:val="1"/>
      <w:marLeft w:val="0"/>
      <w:marRight w:val="0"/>
      <w:marTop w:val="0"/>
      <w:marBottom w:val="0"/>
      <w:divBdr>
        <w:top w:val="none" w:sz="0" w:space="0" w:color="auto"/>
        <w:left w:val="none" w:sz="0" w:space="0" w:color="auto"/>
        <w:bottom w:val="none" w:sz="0" w:space="0" w:color="auto"/>
        <w:right w:val="none" w:sz="0" w:space="0" w:color="auto"/>
      </w:divBdr>
    </w:div>
    <w:div w:id="1099180682">
      <w:bodyDiv w:val="1"/>
      <w:marLeft w:val="0"/>
      <w:marRight w:val="0"/>
      <w:marTop w:val="0"/>
      <w:marBottom w:val="0"/>
      <w:divBdr>
        <w:top w:val="none" w:sz="0" w:space="0" w:color="auto"/>
        <w:left w:val="none" w:sz="0" w:space="0" w:color="auto"/>
        <w:bottom w:val="none" w:sz="0" w:space="0" w:color="auto"/>
        <w:right w:val="none" w:sz="0" w:space="0" w:color="auto"/>
      </w:divBdr>
    </w:div>
    <w:div w:id="1229652948">
      <w:bodyDiv w:val="1"/>
      <w:marLeft w:val="0"/>
      <w:marRight w:val="0"/>
      <w:marTop w:val="0"/>
      <w:marBottom w:val="0"/>
      <w:divBdr>
        <w:top w:val="none" w:sz="0" w:space="0" w:color="auto"/>
        <w:left w:val="none" w:sz="0" w:space="0" w:color="auto"/>
        <w:bottom w:val="none" w:sz="0" w:space="0" w:color="auto"/>
        <w:right w:val="none" w:sz="0" w:space="0" w:color="auto"/>
      </w:divBdr>
    </w:div>
    <w:div w:id="1539464034">
      <w:bodyDiv w:val="1"/>
      <w:marLeft w:val="0"/>
      <w:marRight w:val="0"/>
      <w:marTop w:val="0"/>
      <w:marBottom w:val="0"/>
      <w:divBdr>
        <w:top w:val="none" w:sz="0" w:space="0" w:color="auto"/>
        <w:left w:val="none" w:sz="0" w:space="0" w:color="auto"/>
        <w:bottom w:val="none" w:sz="0" w:space="0" w:color="auto"/>
        <w:right w:val="none" w:sz="0" w:space="0" w:color="auto"/>
      </w:divBdr>
    </w:div>
    <w:div w:id="1560438722">
      <w:bodyDiv w:val="1"/>
      <w:marLeft w:val="0"/>
      <w:marRight w:val="0"/>
      <w:marTop w:val="0"/>
      <w:marBottom w:val="0"/>
      <w:divBdr>
        <w:top w:val="none" w:sz="0" w:space="0" w:color="auto"/>
        <w:left w:val="none" w:sz="0" w:space="0" w:color="auto"/>
        <w:bottom w:val="none" w:sz="0" w:space="0" w:color="auto"/>
        <w:right w:val="none" w:sz="0" w:space="0" w:color="auto"/>
      </w:divBdr>
    </w:div>
    <w:div w:id="1598750776">
      <w:bodyDiv w:val="1"/>
      <w:marLeft w:val="0"/>
      <w:marRight w:val="0"/>
      <w:marTop w:val="0"/>
      <w:marBottom w:val="0"/>
      <w:divBdr>
        <w:top w:val="none" w:sz="0" w:space="0" w:color="auto"/>
        <w:left w:val="none" w:sz="0" w:space="0" w:color="auto"/>
        <w:bottom w:val="none" w:sz="0" w:space="0" w:color="auto"/>
        <w:right w:val="none" w:sz="0" w:space="0" w:color="auto"/>
      </w:divBdr>
    </w:div>
    <w:div w:id="1638952426">
      <w:bodyDiv w:val="1"/>
      <w:marLeft w:val="0"/>
      <w:marRight w:val="0"/>
      <w:marTop w:val="0"/>
      <w:marBottom w:val="0"/>
      <w:divBdr>
        <w:top w:val="none" w:sz="0" w:space="0" w:color="auto"/>
        <w:left w:val="none" w:sz="0" w:space="0" w:color="auto"/>
        <w:bottom w:val="none" w:sz="0" w:space="0" w:color="auto"/>
        <w:right w:val="none" w:sz="0" w:space="0" w:color="auto"/>
      </w:divBdr>
    </w:div>
    <w:div w:id="1719743913">
      <w:bodyDiv w:val="1"/>
      <w:marLeft w:val="0"/>
      <w:marRight w:val="0"/>
      <w:marTop w:val="0"/>
      <w:marBottom w:val="0"/>
      <w:divBdr>
        <w:top w:val="none" w:sz="0" w:space="0" w:color="auto"/>
        <w:left w:val="none" w:sz="0" w:space="0" w:color="auto"/>
        <w:bottom w:val="none" w:sz="0" w:space="0" w:color="auto"/>
        <w:right w:val="none" w:sz="0" w:space="0" w:color="auto"/>
      </w:divBdr>
    </w:div>
    <w:div w:id="1980112484">
      <w:bodyDiv w:val="1"/>
      <w:marLeft w:val="0"/>
      <w:marRight w:val="0"/>
      <w:marTop w:val="0"/>
      <w:marBottom w:val="0"/>
      <w:divBdr>
        <w:top w:val="none" w:sz="0" w:space="0" w:color="auto"/>
        <w:left w:val="none" w:sz="0" w:space="0" w:color="auto"/>
        <w:bottom w:val="none" w:sz="0" w:space="0" w:color="auto"/>
        <w:right w:val="none" w:sz="0" w:space="0" w:color="auto"/>
      </w:divBdr>
    </w:div>
    <w:div w:id="202042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ISR</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Wagner</dc:creator>
  <cp:lastModifiedBy>Chandra, Anjani (CDC/DDPHSS/NCHS/DVS)</cp:lastModifiedBy>
  <cp:revision>3</cp:revision>
  <cp:lastPrinted>2020-01-15T19:56:00Z</cp:lastPrinted>
  <dcterms:created xsi:type="dcterms:W3CDTF">2021-04-04T21:15:00Z</dcterms:created>
  <dcterms:modified xsi:type="dcterms:W3CDTF">2021-04-04T21:17:00Z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2021-04-04T21:14:59Z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8ea70426-ccf5-44fc-9b71-1a7876568276</vt:lpwstr>
  </property>
  <property fmtid="{D5CDD505-2E9C-101B-9397-08002B2CF9AE}" pid="8" name="MSIP_Label_7b94a7b8-f06c-4dfe-bdcc-9b548fd58c31_ContentBits">
    <vt:lpwstr>0</vt:lpwstr>
  </property>
</Properties>
</file>