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0E75" w:rsidRDefault="00910E75" w14:paraId="7AC808F4" w14:textId="77777777">
      <w:pPr>
        <w:ind w:right="-540"/>
        <w:jc w:val="right"/>
        <w:rPr>
          <w:color w:val="0000FF"/>
          <w:sz w:val="18"/>
        </w:rPr>
      </w:pPr>
      <w:r>
        <w:rPr>
          <w:noProof/>
          <w:color w:val="0000FF"/>
          <w:sz w:val="20"/>
        </w:rPr>
        <w:pict w14:anchorId="3EF5A2F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31" style="position:absolute;left:0;text-align:left;margin-left:-54pt;margin-top:-45pt;width:48.25pt;height:49.5pt;z-index:251657216" type="#_x0000_t75">
            <v:imagedata o:title="logo-hhs" r:id="rId6"/>
          </v:shape>
        </w:pict>
      </w:r>
      <w:r>
        <w:rPr>
          <w:noProof/>
          <w:color w:val="0000FF"/>
          <w:sz w:val="18"/>
        </w:rPr>
        <w:pict w14:anchorId="707A10F5">
          <v:line id="_x0000_s1028" style="position:absolute;left:0;text-align:left;flip:y;z-index:251656192" strokecolor="blue" strokeweight="2.25pt" from="0,-9pt" to="522pt,-9pt"/>
        </w:pict>
      </w:r>
      <w:r>
        <w:rPr>
          <w:color w:val="0000FF"/>
          <w:sz w:val="18"/>
        </w:rPr>
        <w:t>Centers for Disease Control</w:t>
      </w:r>
    </w:p>
    <w:p w:rsidR="00910E75" w:rsidRDefault="00910E75" w14:paraId="670C662F" w14:textId="77777777">
      <w:pPr>
        <w:ind w:right="-540"/>
        <w:jc w:val="right"/>
        <w:rPr>
          <w:color w:val="0000FF"/>
          <w:sz w:val="18"/>
        </w:rPr>
      </w:pPr>
      <w:r>
        <w:rPr>
          <w:color w:val="0000FF"/>
          <w:sz w:val="18"/>
        </w:rPr>
        <w:t>and Prevention (CDC)</w:t>
      </w:r>
    </w:p>
    <w:p w:rsidR="0077140E" w:rsidRDefault="0077140E" w14:paraId="61B9087E" w14:textId="77777777">
      <w:pPr>
        <w:ind w:right="-540"/>
        <w:jc w:val="right"/>
        <w:rPr>
          <w:color w:val="0000FF"/>
          <w:sz w:val="18"/>
        </w:rPr>
      </w:pPr>
      <w:r>
        <w:rPr>
          <w:color w:val="0000FF"/>
          <w:sz w:val="18"/>
        </w:rPr>
        <w:t>Atlanta GA 30333</w:t>
      </w:r>
    </w:p>
    <w:p w:rsidR="00AF3EBA" w:rsidP="005C3D1E" w:rsidRDefault="00AF3EBA" w14:paraId="1287A770" w14:textId="77777777">
      <w:pPr>
        <w:ind w:left="7920" w:right="-540"/>
      </w:pPr>
    </w:p>
    <w:p w:rsidRPr="005842EC" w:rsidR="00AF3EBA" w:rsidP="00AF3EBA" w:rsidRDefault="00AF3EBA" w14:paraId="792F291C" w14:textId="77777777">
      <w:pPr>
        <w:pStyle w:val="NoSpacing"/>
        <w:rPr>
          <w:rFonts w:ascii="Times New Roman" w:hAnsi="Times New Roman"/>
        </w:rPr>
      </w:pPr>
    </w:p>
    <w:p w:rsidRPr="00FA4703" w:rsidR="00FA4703" w:rsidP="00FA4703" w:rsidRDefault="00FA4703" w14:paraId="21490492" w14:textId="77777777">
      <w:pPr>
        <w:spacing w:after="160" w:line="259" w:lineRule="auto"/>
        <w:rPr>
          <w:rFonts w:ascii="Calibri" w:hAnsi="Calibri" w:eastAsia="Calibri"/>
          <w:sz w:val="22"/>
          <w:szCs w:val="22"/>
        </w:rPr>
      </w:pPr>
      <w:r w:rsidRPr="00FA4703">
        <w:rPr>
          <w:rFonts w:ascii="Calibri" w:hAnsi="Calibri" w:eastAsia="Calibri"/>
          <w:sz w:val="22"/>
          <w:szCs w:val="22"/>
        </w:rPr>
        <w:t>April 5, 2021</w:t>
      </w:r>
    </w:p>
    <w:p w:rsidRPr="00FA4703" w:rsidR="00FA4703" w:rsidP="00FA4703" w:rsidRDefault="00FA4703" w14:paraId="09411003" w14:textId="77777777">
      <w:pPr>
        <w:rPr>
          <w:rFonts w:ascii="Calibri" w:hAnsi="Calibri" w:eastAsia="Calibri"/>
          <w:sz w:val="22"/>
          <w:szCs w:val="22"/>
        </w:rPr>
      </w:pPr>
      <w:r w:rsidRPr="00FA4703">
        <w:rPr>
          <w:rFonts w:ascii="Calibri" w:hAnsi="Calibri" w:eastAsia="Calibri"/>
          <w:sz w:val="22"/>
          <w:szCs w:val="22"/>
        </w:rPr>
        <w:t xml:space="preserve">Anjani Chandra, </w:t>
      </w:r>
      <w:proofErr w:type="gramStart"/>
      <w:r w:rsidRPr="00FA4703">
        <w:rPr>
          <w:rFonts w:ascii="Calibri" w:hAnsi="Calibri" w:eastAsia="Calibri"/>
          <w:sz w:val="22"/>
          <w:szCs w:val="22"/>
        </w:rPr>
        <w:t>Ph.D</w:t>
      </w:r>
      <w:proofErr w:type="gramEnd"/>
    </w:p>
    <w:p w:rsidRPr="00FA4703" w:rsidR="00FA4703" w:rsidP="00FA4703" w:rsidRDefault="00FA4703" w14:paraId="200FF4B2" w14:textId="77777777">
      <w:pPr>
        <w:rPr>
          <w:rFonts w:ascii="Calibri" w:hAnsi="Calibri" w:eastAsia="Calibri"/>
          <w:sz w:val="22"/>
          <w:szCs w:val="22"/>
        </w:rPr>
      </w:pPr>
      <w:r w:rsidRPr="00FA4703">
        <w:rPr>
          <w:rFonts w:ascii="Calibri" w:hAnsi="Calibri" w:eastAsia="Calibri"/>
          <w:sz w:val="22"/>
          <w:szCs w:val="22"/>
        </w:rPr>
        <w:t>Principal Investigator</w:t>
      </w:r>
    </w:p>
    <w:p w:rsidRPr="00FA4703" w:rsidR="00FA4703" w:rsidP="00FA4703" w:rsidRDefault="00FA4703" w14:paraId="1F2B0D95" w14:textId="77777777">
      <w:pPr>
        <w:rPr>
          <w:rFonts w:ascii="Calibri" w:hAnsi="Calibri" w:eastAsia="Calibri"/>
          <w:sz w:val="22"/>
          <w:szCs w:val="22"/>
        </w:rPr>
      </w:pPr>
      <w:r w:rsidRPr="00FA4703">
        <w:rPr>
          <w:rFonts w:ascii="Calibri" w:hAnsi="Calibri" w:eastAsia="Calibri"/>
          <w:sz w:val="22"/>
          <w:szCs w:val="22"/>
        </w:rPr>
        <w:t>National Survey of Family Growth</w:t>
      </w:r>
    </w:p>
    <w:p w:rsidRPr="00FA4703" w:rsidR="00FA4703" w:rsidP="00FA4703" w:rsidRDefault="00FA4703" w14:paraId="51B4DA74" w14:textId="77777777">
      <w:pPr>
        <w:rPr>
          <w:rFonts w:ascii="Calibri" w:hAnsi="Calibri" w:eastAsia="Calibri"/>
          <w:sz w:val="22"/>
          <w:szCs w:val="22"/>
        </w:rPr>
      </w:pPr>
      <w:r w:rsidRPr="00FA4703">
        <w:rPr>
          <w:rFonts w:ascii="Calibri" w:hAnsi="Calibri" w:eastAsia="Calibri"/>
          <w:sz w:val="22"/>
          <w:szCs w:val="22"/>
        </w:rPr>
        <w:t>National Center for Health Statistics</w:t>
      </w:r>
    </w:p>
    <w:p w:rsidRPr="00FA4703" w:rsidR="00FA4703" w:rsidP="00FA4703" w:rsidRDefault="00FA4703" w14:paraId="222D7F5D" w14:textId="77777777">
      <w:pPr>
        <w:rPr>
          <w:rFonts w:ascii="Calibri" w:hAnsi="Calibri" w:eastAsia="Calibri"/>
          <w:sz w:val="22"/>
          <w:szCs w:val="22"/>
        </w:rPr>
      </w:pPr>
      <w:r w:rsidRPr="00FA4703">
        <w:rPr>
          <w:rFonts w:ascii="Calibri" w:hAnsi="Calibri" w:eastAsia="Calibri"/>
          <w:sz w:val="22"/>
          <w:szCs w:val="22"/>
        </w:rPr>
        <w:t>Hyattsville, MD 20782</w:t>
      </w:r>
    </w:p>
    <w:p w:rsidRPr="00FA4703" w:rsidR="00FA4703" w:rsidP="00FA4703" w:rsidRDefault="00FA4703" w14:paraId="467BE9DA" w14:textId="77777777">
      <w:pPr>
        <w:rPr>
          <w:rFonts w:ascii="Calibri" w:hAnsi="Calibri" w:eastAsia="Calibri"/>
          <w:sz w:val="22"/>
          <w:szCs w:val="22"/>
        </w:rPr>
      </w:pPr>
    </w:p>
    <w:p w:rsidRPr="00FA4703" w:rsidR="00FA4703" w:rsidP="00FA4703" w:rsidRDefault="00FA4703" w14:paraId="1AC72C96" w14:textId="77777777">
      <w:pPr>
        <w:rPr>
          <w:rFonts w:ascii="Calibri" w:hAnsi="Calibri" w:eastAsia="Calibri"/>
          <w:sz w:val="22"/>
          <w:szCs w:val="22"/>
        </w:rPr>
      </w:pPr>
      <w:r w:rsidRPr="00FA4703">
        <w:rPr>
          <w:rFonts w:ascii="Calibri" w:hAnsi="Calibri" w:eastAsia="Calibri"/>
          <w:sz w:val="22"/>
          <w:szCs w:val="22"/>
        </w:rPr>
        <w:t>Dear Dr. Chandra,</w:t>
      </w:r>
    </w:p>
    <w:p w:rsidRPr="00FA4703" w:rsidR="00FA4703" w:rsidP="00FA4703" w:rsidRDefault="00FA4703" w14:paraId="6606288B" w14:textId="77777777">
      <w:pPr>
        <w:rPr>
          <w:rFonts w:ascii="Calibri" w:hAnsi="Calibri" w:eastAsia="Calibri"/>
          <w:sz w:val="22"/>
          <w:szCs w:val="22"/>
        </w:rPr>
      </w:pPr>
    </w:p>
    <w:p w:rsidRPr="00FA4703" w:rsidR="00FA4703" w:rsidP="00FA4703" w:rsidRDefault="00FA4703" w14:paraId="154E433A" w14:textId="77777777">
      <w:pPr>
        <w:rPr>
          <w:rFonts w:ascii="Calibri" w:hAnsi="Calibri" w:eastAsia="Calibri"/>
          <w:sz w:val="22"/>
          <w:szCs w:val="22"/>
        </w:rPr>
      </w:pPr>
      <w:r w:rsidRPr="00FA4703">
        <w:rPr>
          <w:rFonts w:ascii="Calibri" w:hAnsi="Calibri" w:eastAsia="Calibri"/>
          <w:sz w:val="22"/>
          <w:szCs w:val="22"/>
        </w:rPr>
        <w:t xml:space="preserve">I am pleased to write in support of the National Survey of Family Growth (NSFG) and to highlight some of the ways data from the survey has been a vital resource in support of the Division of STD Prevention’s (DSTDP) mission to assess population burden, determinants, </w:t>
      </w:r>
      <w:proofErr w:type="gramStart"/>
      <w:r w:rsidRPr="00FA4703">
        <w:rPr>
          <w:rFonts w:ascii="Calibri" w:hAnsi="Calibri" w:eastAsia="Calibri"/>
          <w:sz w:val="22"/>
          <w:szCs w:val="22"/>
        </w:rPr>
        <w:t>trends</w:t>
      </w:r>
      <w:proofErr w:type="gramEnd"/>
      <w:r w:rsidRPr="00FA4703">
        <w:rPr>
          <w:rFonts w:ascii="Calibri" w:hAnsi="Calibri" w:eastAsia="Calibri"/>
          <w:sz w:val="22"/>
          <w:szCs w:val="22"/>
        </w:rPr>
        <w:t xml:space="preserve"> and related outcomes/sequelae of sexually transmitted infections (STI) in key populations and strengthen the evidence base for STI prevention and control.</w:t>
      </w:r>
    </w:p>
    <w:p w:rsidRPr="00FA4703" w:rsidR="00FA4703" w:rsidP="00FA4703" w:rsidRDefault="00FA4703" w14:paraId="7675BCAB" w14:textId="77777777">
      <w:pPr>
        <w:rPr>
          <w:rFonts w:ascii="Calibri" w:hAnsi="Calibri" w:eastAsia="Calibri"/>
          <w:sz w:val="22"/>
          <w:szCs w:val="22"/>
        </w:rPr>
      </w:pPr>
    </w:p>
    <w:p w:rsidRPr="00FA4703" w:rsidR="00FA4703" w:rsidP="00FA4703" w:rsidRDefault="00FA4703" w14:paraId="1DD3D998" w14:textId="77777777">
      <w:pPr>
        <w:rPr>
          <w:rFonts w:ascii="Calibri" w:hAnsi="Calibri" w:eastAsia="Calibri"/>
          <w:sz w:val="22"/>
          <w:szCs w:val="22"/>
        </w:rPr>
      </w:pPr>
      <w:r w:rsidRPr="00FA4703">
        <w:rPr>
          <w:rFonts w:ascii="Calibri" w:hAnsi="Calibri" w:eastAsia="Calibri"/>
          <w:sz w:val="22"/>
          <w:szCs w:val="22"/>
        </w:rPr>
        <w:t xml:space="preserve">In 2019, DSTDP used data from the 2011-2015 NSFG to examine correlates of injection drug use (IDU) among women and men 15-44 and assess self-reported STI risk.  Importantly, the study found the odds of IDU were 2-9 times higher among women and men who reported a chlamydia, </w:t>
      </w:r>
      <w:proofErr w:type="gramStart"/>
      <w:r w:rsidRPr="00FA4703">
        <w:rPr>
          <w:rFonts w:ascii="Calibri" w:hAnsi="Calibri" w:eastAsia="Calibri"/>
          <w:sz w:val="22"/>
          <w:szCs w:val="22"/>
        </w:rPr>
        <w:t>gonorrhea</w:t>
      </w:r>
      <w:proofErr w:type="gramEnd"/>
      <w:r w:rsidRPr="00FA4703">
        <w:rPr>
          <w:rFonts w:ascii="Calibri" w:hAnsi="Calibri" w:eastAsia="Calibri"/>
          <w:sz w:val="22"/>
          <w:szCs w:val="22"/>
        </w:rPr>
        <w:t xml:space="preserve"> or syphilis diagnoses. The recent increase in syphilis, particularly among injection drug users, has been an important focus as the Division seeks to support efforts to better coordinate STI programs and services across health care settings that serve these populations.</w:t>
      </w:r>
    </w:p>
    <w:p w:rsidRPr="00FA4703" w:rsidR="00FA4703" w:rsidP="00FA4703" w:rsidRDefault="00FA4703" w14:paraId="634F5E3B" w14:textId="77777777">
      <w:pPr>
        <w:rPr>
          <w:rFonts w:ascii="Calibri" w:hAnsi="Calibri" w:eastAsia="Calibri"/>
          <w:sz w:val="22"/>
          <w:szCs w:val="22"/>
        </w:rPr>
      </w:pPr>
    </w:p>
    <w:p w:rsidRPr="00FA4703" w:rsidR="00FA4703" w:rsidP="00FA4703" w:rsidRDefault="00FA4703" w14:paraId="76DED83E" w14:textId="77777777">
      <w:pPr>
        <w:rPr>
          <w:rFonts w:ascii="Calibri" w:hAnsi="Calibri" w:eastAsia="Calibri"/>
          <w:sz w:val="22"/>
          <w:szCs w:val="22"/>
        </w:rPr>
      </w:pPr>
      <w:r w:rsidRPr="00FA4703">
        <w:rPr>
          <w:rFonts w:ascii="Calibri" w:hAnsi="Calibri" w:eastAsia="Calibri"/>
          <w:sz w:val="22"/>
          <w:szCs w:val="22"/>
        </w:rPr>
        <w:t xml:space="preserve">Increasing the uptake of CDC STI screening guidelines is an integral part of DSTDP’s mission to improve women and men’s health and to prevent adverse reproductive health outcomes.  In 2020, NSFG data from 2013-2017 were used to examine the prevalence of chlamydia screening among women who had recent anal sex.  The study found that chlamydia screening in the past 12 months among women who had anal sex was generally low (38%) but increased when a health care provider asked them about the types of sex they had (oral, anal, vaginal).  The NSFG staff has been incredibly responsive to our requests to add questions to elucidate the context of STI screening, such as questions on whether a health care provider conducted a sexual risk assessment.  The consistency of NSFG items to reliably assess </w:t>
      </w:r>
      <w:proofErr w:type="gramStart"/>
      <w:r w:rsidRPr="00FA4703">
        <w:rPr>
          <w:rFonts w:ascii="Calibri" w:hAnsi="Calibri" w:eastAsia="Calibri"/>
          <w:sz w:val="22"/>
          <w:szCs w:val="22"/>
        </w:rPr>
        <w:t>trends,  as</w:t>
      </w:r>
      <w:proofErr w:type="gramEnd"/>
      <w:r w:rsidRPr="00FA4703">
        <w:rPr>
          <w:rFonts w:ascii="Calibri" w:hAnsi="Calibri" w:eastAsia="Calibri"/>
          <w:sz w:val="22"/>
          <w:szCs w:val="22"/>
        </w:rPr>
        <w:t xml:space="preserve"> well as evolvement of questionnaires to reflect current STI data needs, makes NSFG data invaluable  when compared with traditional data sources for STI screening such as medical claims data where such information about STI risk is unavailable.</w:t>
      </w:r>
    </w:p>
    <w:p w:rsidRPr="00FA4703" w:rsidR="00FA4703" w:rsidP="00FA4703" w:rsidRDefault="00FA4703" w14:paraId="5E1AC86B" w14:textId="77777777">
      <w:pPr>
        <w:rPr>
          <w:rFonts w:ascii="Calibri" w:hAnsi="Calibri" w:eastAsia="Calibri"/>
          <w:sz w:val="22"/>
          <w:szCs w:val="22"/>
        </w:rPr>
      </w:pPr>
      <w:r w:rsidRPr="00FA4703">
        <w:rPr>
          <w:rFonts w:ascii="Calibri" w:hAnsi="Calibri" w:eastAsia="Calibri"/>
          <w:sz w:val="22"/>
          <w:szCs w:val="22"/>
        </w:rPr>
        <w:br/>
        <w:t>In 2021, several NSFG analyses using the full 8-years of continuous data collection (2011-2019) are planned or underway.  We are excited to continue our collaboration with NCHS and look forward to the project’s success.</w:t>
      </w:r>
    </w:p>
    <w:p w:rsidRPr="00FA4703" w:rsidR="00FA4703" w:rsidP="00FA4703" w:rsidRDefault="00FA4703" w14:paraId="4487A17D" w14:textId="77777777">
      <w:pPr>
        <w:rPr>
          <w:rFonts w:ascii="Calibri" w:hAnsi="Calibri" w:eastAsia="Calibri"/>
          <w:sz w:val="22"/>
          <w:szCs w:val="22"/>
        </w:rPr>
      </w:pPr>
    </w:p>
    <w:p w:rsidRPr="00FA4703" w:rsidR="00FA4703" w:rsidP="00FA4703" w:rsidRDefault="00FA4703" w14:paraId="224B127A" w14:textId="77777777">
      <w:pPr>
        <w:rPr>
          <w:rFonts w:ascii="Calibri" w:hAnsi="Calibri" w:eastAsia="Calibri"/>
          <w:sz w:val="22"/>
          <w:szCs w:val="22"/>
        </w:rPr>
      </w:pPr>
      <w:r w:rsidRPr="00FA4703">
        <w:rPr>
          <w:rFonts w:ascii="Calibri" w:hAnsi="Calibri" w:eastAsia="Calibri"/>
          <w:sz w:val="22"/>
          <w:szCs w:val="22"/>
        </w:rPr>
        <w:t>Sincerely,</w:t>
      </w:r>
    </w:p>
    <w:p w:rsidRPr="00FA4703" w:rsidR="00FA4703" w:rsidP="00FA4703" w:rsidRDefault="003D0456" w14:paraId="35109289" w14:textId="77777777">
      <w:pPr>
        <w:rPr>
          <w:rFonts w:ascii="Calibri" w:hAnsi="Calibri" w:eastAsia="Calibri"/>
          <w:sz w:val="22"/>
          <w:szCs w:val="22"/>
        </w:rPr>
      </w:pPr>
      <w:r>
        <w:rPr>
          <w:noProof/>
        </w:rPr>
        <w:pict w14:anchorId="15E9736E">
          <v:rect id="Ink 17" style="position:absolute;margin-left:86.3pt;margin-top:-4.8pt;width:84.4pt;height:31.8pt;z-index:251659264;visibility:visible" coordsize="2878,1021" coordorigin="1,1" o:spid="_x0000_s1033" filled="f" strokeweight="1mm">
            <v:stroke endcap="round"/>
            <v:path fillok="f" shadowok="f" insetpenok="f" o:extrusionok="f"/>
            <o:lock v:ext="edit" rotation="t" text="t"/>
            <o:ink i="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" annotation="t"/>
          </v:rect>
        </w:pict>
      </w:r>
    </w:p>
    <w:p w:rsidR="00FA4703" w:rsidP="00FA4703" w:rsidRDefault="003D0456" w14:paraId="57D25ECB" w14:textId="77777777">
      <w:pPr>
        <w:rPr>
          <w:rFonts w:ascii="Calibri" w:hAnsi="Calibri" w:eastAsia="Calibri"/>
          <w:sz w:val="22"/>
          <w:szCs w:val="22"/>
        </w:rPr>
      </w:pPr>
      <w:r>
        <w:rPr>
          <w:noProof/>
        </w:rPr>
        <w:pict w14:anchorId="37FDF025">
          <v:rect id="Ink 16" style="position:absolute;margin-left:2.95pt;margin-top:-14.35pt;width:81.35pt;height:30.65pt;z-index:251658240;visibility:visible" coordsize="2769,983" coordorigin="1,1" o:spid="_x0000_s1032" filled="f" strokeweight="1mm">
            <v:stroke endcap="round"/>
            <v:path fillok="f" shadowok="f" insetpenok="f" o:extrusionok="f"/>
            <o:lock v:ext="edit" rotation="t" text="t"/>
            <o:ink i="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" annotation="t"/>
          </v:rect>
        </w:pict>
      </w:r>
    </w:p>
    <w:p w:rsidRPr="00FA4703" w:rsidR="00FA4703" w:rsidP="00FA4703" w:rsidRDefault="00FA4703" w14:paraId="3C8B8775" w14:textId="77777777">
      <w:pPr>
        <w:rPr>
          <w:rFonts w:ascii="Calibri" w:hAnsi="Calibri" w:eastAsia="Calibri"/>
          <w:sz w:val="22"/>
          <w:szCs w:val="22"/>
        </w:rPr>
      </w:pPr>
      <w:r w:rsidRPr="00FA4703">
        <w:rPr>
          <w:rFonts w:ascii="Calibri" w:hAnsi="Calibri" w:eastAsia="Calibri"/>
          <w:sz w:val="22"/>
          <w:szCs w:val="22"/>
        </w:rPr>
        <w:t>Casey Copen, MPH, PhD</w:t>
      </w:r>
    </w:p>
    <w:p w:rsidRPr="00422A7E" w:rsidR="00D5341D" w:rsidP="00422A7E" w:rsidRDefault="00FA4703" w14:paraId="4FD87B0E" w14:textId="77777777">
      <w:pPr>
        <w:rPr>
          <w:rFonts w:ascii="Calibri" w:hAnsi="Calibri" w:eastAsia="Calibri"/>
          <w:sz w:val="22"/>
          <w:szCs w:val="22"/>
        </w:rPr>
      </w:pPr>
      <w:r w:rsidRPr="00FA4703">
        <w:rPr>
          <w:rFonts w:ascii="Calibri" w:hAnsi="Calibri" w:eastAsia="Calibri"/>
          <w:sz w:val="22"/>
          <w:szCs w:val="22"/>
        </w:rPr>
        <w:t>Behavioral Scientist</w:t>
      </w:r>
      <w:r>
        <w:rPr>
          <w:rFonts w:ascii="Calibri" w:hAnsi="Calibri" w:eastAsia="Calibri"/>
          <w:sz w:val="22"/>
          <w:szCs w:val="22"/>
        </w:rPr>
        <w:t>, DSTD</w:t>
      </w:r>
      <w:r w:rsidR="0068584C">
        <w:rPr>
          <w:rFonts w:ascii="Calibri" w:hAnsi="Calibri" w:eastAsia="Calibri"/>
          <w:sz w:val="22"/>
          <w:szCs w:val="22"/>
        </w:rPr>
        <w:t>P</w:t>
      </w:r>
    </w:p>
    <w:sectPr w:rsidRPr="00422A7E" w:rsidR="00D534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5668D" w14:textId="77777777" w:rsidR="003F1F1D" w:rsidRDefault="003F1F1D">
      <w:r>
        <w:separator/>
      </w:r>
    </w:p>
  </w:endnote>
  <w:endnote w:type="continuationSeparator" w:id="0">
    <w:p w14:paraId="57AD370D" w14:textId="77777777" w:rsidR="003F1F1D" w:rsidRDefault="003F1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B3A7D" w14:textId="77777777" w:rsidR="00422A7E" w:rsidRDefault="00422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FCD74" w14:textId="77777777" w:rsidR="00422A7E" w:rsidRDefault="00422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2657" w14:textId="77777777" w:rsidR="00422A7E" w:rsidRDefault="0042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2833A" w14:textId="77777777" w:rsidR="003F1F1D" w:rsidRDefault="003F1F1D">
      <w:r>
        <w:separator/>
      </w:r>
    </w:p>
  </w:footnote>
  <w:footnote w:type="continuationSeparator" w:id="0">
    <w:p w14:paraId="1FF03AC2" w14:textId="77777777" w:rsidR="003F1F1D" w:rsidRDefault="003F1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3116D" w14:textId="77777777" w:rsidR="00422A7E" w:rsidRDefault="0042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F12E4" w14:textId="77777777" w:rsidR="00910E75" w:rsidRDefault="00422A7E" w:rsidP="00422A7E">
    <w:pPr>
      <w:pStyle w:val="Header"/>
      <w:tabs>
        <w:tab w:val="clear" w:pos="4320"/>
        <w:tab w:val="clear" w:pos="8640"/>
        <w:tab w:val="center" w:pos="4680"/>
        <w:tab w:val="right" w:pos="9360"/>
      </w:tabs>
      <w:rPr>
        <w:color w:val="0000FF"/>
        <w:sz w:val="20"/>
      </w:rPr>
    </w:pPr>
    <w:r>
      <w:rPr>
        <w:sz w:val="20"/>
      </w:rPr>
      <w:t>NSFG</w:t>
    </w:r>
    <w:r w:rsidRPr="00422A7E">
      <w:rPr>
        <w:sz w:val="20"/>
      </w:rPr>
      <w:tab/>
    </w:r>
    <w:r>
      <w:rPr>
        <w:sz w:val="20"/>
      </w:rPr>
      <w:t>OMB Attachment E9</w:t>
    </w:r>
    <w:r w:rsidRPr="00422A7E">
      <w:rPr>
        <w:sz w:val="20"/>
      </w:rPr>
      <w:tab/>
    </w:r>
    <w:r>
      <w:rPr>
        <w:sz w:val="20"/>
      </w:rPr>
      <w:t>OMB No. 0920-0314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D2A11" w14:textId="77777777" w:rsidR="00422A7E" w:rsidRDefault="00422A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1612"/>
    <w:rsid w:val="000C1E3E"/>
    <w:rsid w:val="0019093C"/>
    <w:rsid w:val="00196860"/>
    <w:rsid w:val="00231612"/>
    <w:rsid w:val="00271885"/>
    <w:rsid w:val="002C18AB"/>
    <w:rsid w:val="002C59DD"/>
    <w:rsid w:val="00344848"/>
    <w:rsid w:val="003518F0"/>
    <w:rsid w:val="003D0456"/>
    <w:rsid w:val="003F1F1D"/>
    <w:rsid w:val="00422A7E"/>
    <w:rsid w:val="00517027"/>
    <w:rsid w:val="005322DB"/>
    <w:rsid w:val="005C3D1E"/>
    <w:rsid w:val="005D5F92"/>
    <w:rsid w:val="0068584C"/>
    <w:rsid w:val="00716075"/>
    <w:rsid w:val="0077140E"/>
    <w:rsid w:val="0081606A"/>
    <w:rsid w:val="00874448"/>
    <w:rsid w:val="008C6170"/>
    <w:rsid w:val="00910E75"/>
    <w:rsid w:val="00921E27"/>
    <w:rsid w:val="009C046C"/>
    <w:rsid w:val="00A53DF2"/>
    <w:rsid w:val="00AF3EBA"/>
    <w:rsid w:val="00B25343"/>
    <w:rsid w:val="00B37F14"/>
    <w:rsid w:val="00B80FA5"/>
    <w:rsid w:val="00BC3974"/>
    <w:rsid w:val="00BC69AA"/>
    <w:rsid w:val="00CB10DE"/>
    <w:rsid w:val="00D5341D"/>
    <w:rsid w:val="00D654C5"/>
    <w:rsid w:val="00D71183"/>
    <w:rsid w:val="00DC48DC"/>
    <w:rsid w:val="00F10AA6"/>
    <w:rsid w:val="00F854E9"/>
    <w:rsid w:val="00FA4703"/>
    <w:rsid w:val="00FA6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6A9F1C2"/>
  <w15:chartTrackingRefBased/>
  <w15:docId w15:val="{65FAA4CC-FE18-4F85-8AA2-D611ED32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xmsonormal">
    <w:name w:val="x_msonormal"/>
    <w:basedOn w:val="Normal"/>
    <w:rsid w:val="00D5341D"/>
    <w:pPr>
      <w:spacing w:before="100" w:beforeAutospacing="1" w:after="100" w:afterAutospacing="1"/>
    </w:pPr>
    <w:rPr>
      <w:rFonts w:eastAsia="Calibri"/>
    </w:rPr>
  </w:style>
  <w:style w:type="paragraph" w:styleId="NoSpacing">
    <w:name w:val="No Spacing"/>
    <w:uiPriority w:val="1"/>
    <w:qFormat/>
    <w:rsid w:val="00AF3EBA"/>
    <w:rPr>
      <w:rFonts w:ascii="Calibri" w:eastAsia="Calibri" w:hAnsi="Calibri"/>
      <w:sz w:val="22"/>
      <w:szCs w:val="22"/>
    </w:rPr>
  </w:style>
  <w:style w:type="character" w:styleId="CommentReference">
    <w:name w:val="annotation reference"/>
    <w:uiPriority w:val="99"/>
    <w:unhideWhenUsed/>
    <w:rsid w:val="00AF3EBA"/>
    <w:rPr>
      <w:sz w:val="16"/>
      <w:szCs w:val="16"/>
    </w:rPr>
  </w:style>
  <w:style w:type="paragraph" w:styleId="CommentText">
    <w:name w:val="annotation text"/>
    <w:basedOn w:val="Normal"/>
    <w:link w:val="CommentTextChar"/>
    <w:uiPriority w:val="99"/>
    <w:unhideWhenUsed/>
    <w:rsid w:val="00AF3EBA"/>
    <w:rPr>
      <w:sz w:val="20"/>
      <w:szCs w:val="20"/>
    </w:rPr>
  </w:style>
  <w:style w:type="character" w:customStyle="1" w:styleId="CommentTextChar">
    <w:name w:val="Comment Text Char"/>
    <w:basedOn w:val="DefaultParagraphFont"/>
    <w:link w:val="CommentText"/>
    <w:uiPriority w:val="99"/>
    <w:rsid w:val="00AF3EBA"/>
  </w:style>
  <w:style w:type="paragraph" w:styleId="BalloonText">
    <w:name w:val="Balloon Text"/>
    <w:basedOn w:val="Normal"/>
    <w:link w:val="BalloonTextChar"/>
    <w:rsid w:val="00AF3EBA"/>
    <w:rPr>
      <w:rFonts w:ascii="Segoe UI" w:hAnsi="Segoe UI" w:cs="Segoe UI"/>
      <w:sz w:val="18"/>
      <w:szCs w:val="18"/>
    </w:rPr>
  </w:style>
  <w:style w:type="character" w:customStyle="1" w:styleId="BalloonTextChar">
    <w:name w:val="Balloon Text Char"/>
    <w:link w:val="BalloonText"/>
    <w:rsid w:val="00AF3EBA"/>
    <w:rPr>
      <w:rFonts w:ascii="Segoe UI" w:hAnsi="Segoe UI" w:cs="Segoe UI"/>
      <w:sz w:val="18"/>
      <w:szCs w:val="18"/>
    </w:rPr>
  </w:style>
  <w:style w:type="paragraph" w:styleId="CommentSubject">
    <w:name w:val="annotation subject"/>
    <w:basedOn w:val="CommentText"/>
    <w:next w:val="CommentText"/>
    <w:link w:val="CommentSubjectChar"/>
    <w:rsid w:val="002C18AB"/>
    <w:rPr>
      <w:b/>
      <w:bCs/>
    </w:rPr>
  </w:style>
  <w:style w:type="character" w:customStyle="1" w:styleId="CommentSubjectChar">
    <w:name w:val="Comment Subject Char"/>
    <w:link w:val="CommentSubject"/>
    <w:rsid w:val="002C18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8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September 18, 2001</vt:lpstr>
    </vt:vector>
  </TitlesOfParts>
  <Company>CDC</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18, 2001</dc:title>
  <dc:subject/>
  <dc:creator>NIP</dc:creator>
  <cp:keywords/>
  <cp:lastModifiedBy>Macaluso, Renita (CDC/DDPHSS/OS/OSI)</cp:lastModifiedBy>
  <cp:revision>2</cp:revision>
  <cp:lastPrinted>2015-07-17T19:52:00Z</cp:lastPrinted>
  <dcterms:created xsi:type="dcterms:W3CDTF">2021-09-16T22:09:00Z</dcterms:created>
  <dcterms:modified xsi:type="dcterms:W3CDTF">2021-09-16T22:09:00Z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2021-04-02T13:00:01Z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feeaef29-6056-4d40-a9d3-bc09a85c100c</vt:lpwstr>
  </property>
  <property fmtid="{D5CDD505-2E9C-101B-9397-08002B2CF9AE}" pid="8" name="MSIP_Label_7b94a7b8-f06c-4dfe-bdcc-9b548fd58c31_ContentBits">
    <vt:lpwstr>0</vt:lpwstr>
  </property>
</Properties>
</file>