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77C1F" w:rsidR="00BA550E" w:rsidP="007F3FE5" w:rsidRDefault="00BA550E" w14:paraId="74CE93DE" w14:textId="77777777">
      <w:pPr>
        <w:widowControl/>
        <w:contextualSpacing/>
        <w:rPr>
          <w:bCs/>
        </w:rPr>
      </w:pPr>
    </w:p>
    <w:p w:rsidRPr="00177C1F" w:rsidR="00BA550E" w:rsidP="007F3FE5" w:rsidRDefault="00BA550E" w14:paraId="340BAFF9" w14:textId="77777777">
      <w:pPr>
        <w:widowControl/>
        <w:contextualSpacing/>
        <w:jc w:val="center"/>
        <w:rPr>
          <w:bCs/>
        </w:rPr>
      </w:pPr>
    </w:p>
    <w:p w:rsidRPr="00177C1F" w:rsidR="00BA550E" w:rsidP="007F3FE5" w:rsidRDefault="00BA550E" w14:paraId="3F6AB4E8" w14:textId="77777777">
      <w:pPr>
        <w:widowControl/>
        <w:contextualSpacing/>
        <w:jc w:val="center"/>
        <w:rPr>
          <w:bCs/>
        </w:rPr>
      </w:pPr>
    </w:p>
    <w:p w:rsidRPr="00177C1F" w:rsidR="00BA550E" w:rsidP="007F3FE5" w:rsidRDefault="00BA550E" w14:paraId="7BAAECC3" w14:textId="77777777">
      <w:pPr>
        <w:widowControl/>
        <w:contextualSpacing/>
        <w:jc w:val="center"/>
        <w:rPr>
          <w:bCs/>
        </w:rPr>
      </w:pPr>
    </w:p>
    <w:p w:rsidRPr="00177C1F" w:rsidR="00BA550E" w:rsidP="007F3FE5" w:rsidRDefault="00793601" w14:paraId="6749F5CA" w14:textId="77777777">
      <w:pPr>
        <w:widowControl/>
        <w:contextualSpacing/>
        <w:jc w:val="center"/>
        <w:rPr>
          <w:bCs/>
        </w:rPr>
      </w:pPr>
      <w:r w:rsidRPr="00177C1F">
        <w:rPr>
          <w:bCs/>
        </w:rPr>
        <w:t xml:space="preserve">Supporting </w:t>
      </w:r>
      <w:proofErr w:type="gramStart"/>
      <w:r w:rsidRPr="00177C1F">
        <w:rPr>
          <w:bCs/>
        </w:rPr>
        <w:t>Statement</w:t>
      </w:r>
      <w:proofErr w:type="gramEnd"/>
      <w:r w:rsidRPr="00177C1F">
        <w:rPr>
          <w:bCs/>
        </w:rPr>
        <w:t xml:space="preserve"> A</w:t>
      </w:r>
    </w:p>
    <w:p w:rsidRPr="00177C1F" w:rsidR="00BA550E" w:rsidP="007F3FE5" w:rsidRDefault="00BA550E" w14:paraId="1B673774" w14:textId="77777777">
      <w:pPr>
        <w:widowControl/>
        <w:contextualSpacing/>
        <w:jc w:val="center"/>
        <w:rPr>
          <w:bCs/>
        </w:rPr>
      </w:pPr>
    </w:p>
    <w:p w:rsidRPr="00177C1F" w:rsidR="00A47B8A" w:rsidP="00A47B8A" w:rsidRDefault="00A47B8A" w14:paraId="61C71449" w14:textId="77777777">
      <w:pPr>
        <w:widowControl/>
        <w:spacing w:line="360" w:lineRule="auto"/>
        <w:jc w:val="center"/>
        <w:rPr>
          <w:bCs/>
        </w:rPr>
      </w:pPr>
      <w:r w:rsidRPr="00177C1F">
        <w:rPr>
          <w:bCs/>
        </w:rPr>
        <w:t>Possession, Use, and Transfer of Select Agents and Toxins (42 CFR Part 73)</w:t>
      </w:r>
    </w:p>
    <w:p w:rsidRPr="00177C1F" w:rsidR="00A47B8A" w:rsidP="00A47B8A" w:rsidRDefault="00A47B8A" w14:paraId="2D6228BC" w14:textId="77777777">
      <w:pPr>
        <w:widowControl/>
        <w:spacing w:line="360" w:lineRule="auto"/>
        <w:jc w:val="center"/>
        <w:rPr>
          <w:bCs/>
        </w:rPr>
      </w:pPr>
      <w:r w:rsidRPr="00177C1F">
        <w:rPr>
          <w:bCs/>
        </w:rPr>
        <w:t xml:space="preserve">(OMB Control No. 0920-0576) </w:t>
      </w:r>
    </w:p>
    <w:p w:rsidRPr="00177C1F" w:rsidR="00A47B8A" w:rsidP="00A47B8A" w:rsidRDefault="00A47B8A" w14:paraId="29C18393" w14:textId="77777777">
      <w:pPr>
        <w:widowControl/>
        <w:spacing w:line="360" w:lineRule="auto"/>
        <w:jc w:val="center"/>
        <w:rPr>
          <w:bCs/>
        </w:rPr>
      </w:pPr>
    </w:p>
    <w:p w:rsidRPr="00177C1F" w:rsidR="00A47B8A" w:rsidP="00A47B8A" w:rsidRDefault="00A47B8A" w14:paraId="7FE1589E" w14:textId="77777777">
      <w:pPr>
        <w:widowControl/>
        <w:spacing w:line="360" w:lineRule="auto"/>
        <w:jc w:val="center"/>
        <w:rPr>
          <w:bCs/>
        </w:rPr>
      </w:pPr>
      <w:r w:rsidRPr="00177C1F">
        <w:rPr>
          <w:bCs/>
        </w:rPr>
        <w:t>Revision</w:t>
      </w:r>
    </w:p>
    <w:p w:rsidRPr="00177C1F" w:rsidR="00A47B8A" w:rsidP="00A47B8A" w:rsidRDefault="00A47B8A" w14:paraId="0311AAC6" w14:textId="77777777">
      <w:pPr>
        <w:widowControl/>
        <w:spacing w:line="360" w:lineRule="auto"/>
        <w:jc w:val="center"/>
        <w:rPr>
          <w:bCs/>
        </w:rPr>
      </w:pPr>
    </w:p>
    <w:p w:rsidRPr="00177C1F" w:rsidR="00A47B8A" w:rsidP="00A47B8A" w:rsidRDefault="00A47B8A" w14:paraId="57D12DB1" w14:textId="77777777">
      <w:pPr>
        <w:widowControl/>
        <w:spacing w:line="360" w:lineRule="auto"/>
        <w:jc w:val="center"/>
        <w:rPr>
          <w:bCs/>
        </w:rPr>
      </w:pPr>
      <w:r w:rsidRPr="00177C1F">
        <w:rPr>
          <w:bCs/>
        </w:rPr>
        <w:t>Centers for Disease Control and Prevention</w:t>
      </w:r>
    </w:p>
    <w:p w:rsidRPr="00177C1F" w:rsidR="00A47B8A" w:rsidP="00A47B8A" w:rsidRDefault="00A47B8A" w14:paraId="0ED2CF40" w14:textId="77777777">
      <w:pPr>
        <w:spacing w:line="360" w:lineRule="auto"/>
        <w:jc w:val="center"/>
      </w:pPr>
      <w:r w:rsidRPr="00177C1F">
        <w:t xml:space="preserve">Office of Public Health Preparedness and Response </w:t>
      </w:r>
    </w:p>
    <w:p w:rsidRPr="00177C1F" w:rsidR="00A47B8A" w:rsidP="00A47B8A" w:rsidRDefault="00A47B8A" w14:paraId="48657C9A" w14:textId="77777777">
      <w:pPr>
        <w:widowControl/>
        <w:tabs>
          <w:tab w:val="left" w:pos="-1440"/>
        </w:tabs>
        <w:spacing w:line="360" w:lineRule="auto"/>
        <w:jc w:val="center"/>
        <w:rPr>
          <w:bCs/>
        </w:rPr>
      </w:pPr>
      <w:r w:rsidRPr="00177C1F">
        <w:rPr>
          <w:bCs/>
        </w:rPr>
        <w:t>Division of Select Agents and Toxins</w:t>
      </w:r>
    </w:p>
    <w:p w:rsidRPr="00177C1F" w:rsidR="00A47B8A" w:rsidP="00A47B8A" w:rsidRDefault="00A47B8A" w14:paraId="7869FC2E" w14:textId="77777777">
      <w:pPr>
        <w:widowControl/>
        <w:tabs>
          <w:tab w:val="left" w:pos="-1440"/>
        </w:tabs>
        <w:spacing w:line="360" w:lineRule="auto"/>
        <w:jc w:val="center"/>
        <w:rPr>
          <w:bCs/>
        </w:rPr>
      </w:pPr>
    </w:p>
    <w:p w:rsidRPr="00177C1F" w:rsidR="00A47B8A" w:rsidP="00A47B8A" w:rsidRDefault="00A47B8A" w14:paraId="14FC618E" w14:textId="77777777">
      <w:pPr>
        <w:widowControl/>
        <w:tabs>
          <w:tab w:val="left" w:pos="-1440"/>
        </w:tabs>
        <w:spacing w:line="360" w:lineRule="auto"/>
        <w:jc w:val="center"/>
        <w:rPr>
          <w:bCs/>
        </w:rPr>
      </w:pPr>
    </w:p>
    <w:p w:rsidRPr="00177C1F" w:rsidR="00A47B8A" w:rsidP="00A47B8A" w:rsidRDefault="00A47B8A" w14:paraId="31374D58" w14:textId="77777777">
      <w:pPr>
        <w:widowControl/>
        <w:tabs>
          <w:tab w:val="left" w:pos="-1440"/>
        </w:tabs>
        <w:spacing w:line="276" w:lineRule="auto"/>
        <w:jc w:val="center"/>
        <w:rPr>
          <w:bCs/>
        </w:rPr>
      </w:pPr>
      <w:r w:rsidRPr="00177C1F">
        <w:rPr>
          <w:bCs/>
        </w:rPr>
        <w:t>Lori Bane</w:t>
      </w:r>
    </w:p>
    <w:p w:rsidRPr="00177C1F" w:rsidR="00A47B8A" w:rsidP="00A47B8A" w:rsidRDefault="00A47B8A" w14:paraId="319EEAC2" w14:textId="77777777">
      <w:pPr>
        <w:widowControl/>
        <w:tabs>
          <w:tab w:val="left" w:pos="-1440"/>
        </w:tabs>
        <w:spacing w:line="276" w:lineRule="auto"/>
        <w:jc w:val="center"/>
        <w:rPr>
          <w:bCs/>
        </w:rPr>
      </w:pPr>
      <w:r w:rsidRPr="00177C1F">
        <w:rPr>
          <w:bCs/>
        </w:rPr>
        <w:t>(404) 718-2006</w:t>
      </w:r>
    </w:p>
    <w:p w:rsidRPr="00177C1F" w:rsidR="00A47B8A" w:rsidP="00A47B8A" w:rsidRDefault="00A47B8A" w14:paraId="38A0DA63" w14:textId="77777777">
      <w:pPr>
        <w:widowControl/>
        <w:tabs>
          <w:tab w:val="left" w:pos="-1440"/>
        </w:tabs>
        <w:spacing w:line="276" w:lineRule="auto"/>
        <w:jc w:val="center"/>
        <w:rPr>
          <w:bCs/>
        </w:rPr>
      </w:pPr>
      <w:r w:rsidRPr="00177C1F">
        <w:rPr>
          <w:bCs/>
        </w:rPr>
        <w:t>(404) 718-2097 FAX</w:t>
      </w:r>
    </w:p>
    <w:p w:rsidRPr="00177C1F" w:rsidR="00A47B8A" w:rsidP="00A47B8A" w:rsidRDefault="0080021F" w14:paraId="0DE6CD80" w14:textId="77777777">
      <w:pPr>
        <w:widowControl/>
        <w:tabs>
          <w:tab w:val="left" w:pos="-1440"/>
        </w:tabs>
        <w:spacing w:line="276" w:lineRule="auto"/>
        <w:jc w:val="center"/>
      </w:pPr>
      <w:hyperlink w:history="1" r:id="rId7">
        <w:r w:rsidRPr="00177C1F" w:rsidR="00A47B8A">
          <w:rPr>
            <w:rStyle w:val="Hyperlink"/>
            <w:bCs/>
            <w:color w:val="auto"/>
          </w:rPr>
          <w:t>zoz1@cdc.gov</w:t>
        </w:r>
      </w:hyperlink>
    </w:p>
    <w:p w:rsidRPr="00177C1F" w:rsidR="00A47B8A" w:rsidP="00A47B8A" w:rsidRDefault="00394713" w14:paraId="6A66708E" w14:textId="77777777">
      <w:pPr>
        <w:widowControl/>
        <w:tabs>
          <w:tab w:val="left" w:pos="-1440"/>
        </w:tabs>
        <w:spacing w:line="276" w:lineRule="auto"/>
        <w:jc w:val="center"/>
        <w:rPr>
          <w:bCs/>
        </w:rPr>
      </w:pPr>
      <w:r>
        <w:rPr>
          <w:bCs/>
        </w:rPr>
        <w:t>June 4, 2020</w:t>
      </w:r>
    </w:p>
    <w:p w:rsidRPr="00177C1F" w:rsidR="00BA550E" w:rsidP="007F3FE5" w:rsidRDefault="00BA550E" w14:paraId="76F8D53E" w14:textId="77777777">
      <w:pPr>
        <w:widowControl/>
        <w:tabs>
          <w:tab w:val="left" w:pos="-1440"/>
        </w:tabs>
        <w:contextualSpacing/>
        <w:jc w:val="center"/>
        <w:rPr>
          <w:bCs/>
        </w:rPr>
      </w:pPr>
    </w:p>
    <w:p w:rsidRPr="00177C1F" w:rsidR="00BA550E" w:rsidP="007F3FE5" w:rsidRDefault="00BA550E" w14:paraId="4319ADAD" w14:textId="77777777">
      <w:pPr>
        <w:widowControl/>
        <w:contextualSpacing/>
        <w:jc w:val="center"/>
        <w:rPr>
          <w:bCs/>
        </w:rPr>
      </w:pPr>
    </w:p>
    <w:p w:rsidRPr="00177C1F" w:rsidR="00BA550E" w:rsidP="007F3FE5" w:rsidRDefault="00BA550E" w14:paraId="4B288CF4" w14:textId="77777777">
      <w:pPr>
        <w:widowControl/>
        <w:contextualSpacing/>
        <w:jc w:val="center"/>
        <w:rPr>
          <w:bCs/>
        </w:rPr>
      </w:pPr>
    </w:p>
    <w:p w:rsidRPr="00177C1F" w:rsidR="00BA550E" w:rsidP="007F3FE5" w:rsidRDefault="00BA550E" w14:paraId="6DB454F0" w14:textId="77777777">
      <w:pPr>
        <w:widowControl/>
        <w:contextualSpacing/>
        <w:jc w:val="center"/>
        <w:rPr>
          <w:bCs/>
        </w:rPr>
      </w:pPr>
    </w:p>
    <w:p w:rsidRPr="00177C1F" w:rsidR="00BA550E" w:rsidP="007F3FE5" w:rsidRDefault="00BA550E" w14:paraId="3A2B7565" w14:textId="77777777">
      <w:pPr>
        <w:widowControl/>
        <w:contextualSpacing/>
        <w:jc w:val="center"/>
        <w:rPr>
          <w:bCs/>
        </w:rPr>
      </w:pPr>
    </w:p>
    <w:p w:rsidRPr="00177C1F" w:rsidR="00BA550E" w:rsidP="007F3FE5" w:rsidRDefault="00BA550E" w14:paraId="3043876C" w14:textId="77777777">
      <w:pPr>
        <w:widowControl/>
        <w:contextualSpacing/>
        <w:jc w:val="center"/>
        <w:rPr>
          <w:bCs/>
        </w:rPr>
      </w:pPr>
    </w:p>
    <w:p w:rsidRPr="00177C1F" w:rsidR="00BA550E" w:rsidP="007F3FE5" w:rsidRDefault="00BA550E" w14:paraId="29AF0B02" w14:textId="77777777">
      <w:pPr>
        <w:widowControl/>
        <w:contextualSpacing/>
        <w:jc w:val="center"/>
        <w:rPr>
          <w:bCs/>
        </w:rPr>
      </w:pPr>
    </w:p>
    <w:p w:rsidRPr="00177C1F" w:rsidR="00BA550E" w:rsidP="007F3FE5" w:rsidRDefault="00BA550E" w14:paraId="3B461E39" w14:textId="77777777">
      <w:pPr>
        <w:widowControl/>
        <w:contextualSpacing/>
        <w:jc w:val="center"/>
        <w:rPr>
          <w:bCs/>
        </w:rPr>
      </w:pPr>
    </w:p>
    <w:p w:rsidRPr="00177C1F" w:rsidR="00BA550E" w:rsidP="007F3FE5" w:rsidRDefault="00BA550E" w14:paraId="0C024A06" w14:textId="77777777">
      <w:pPr>
        <w:widowControl/>
        <w:contextualSpacing/>
        <w:jc w:val="center"/>
        <w:rPr>
          <w:bCs/>
        </w:rPr>
      </w:pPr>
    </w:p>
    <w:p w:rsidRPr="00177C1F" w:rsidR="00D6788A" w:rsidP="007F3FE5" w:rsidRDefault="00D6788A" w14:paraId="4EDE8F70" w14:textId="77777777">
      <w:pPr>
        <w:widowControl/>
        <w:contextualSpacing/>
        <w:jc w:val="center"/>
        <w:rPr>
          <w:bCs/>
        </w:rPr>
      </w:pPr>
    </w:p>
    <w:p w:rsidRPr="00177C1F" w:rsidR="00D6788A" w:rsidP="007F3FE5" w:rsidRDefault="00D6788A" w14:paraId="4B318B90" w14:textId="77777777">
      <w:pPr>
        <w:widowControl/>
        <w:contextualSpacing/>
        <w:jc w:val="center"/>
        <w:rPr>
          <w:bCs/>
        </w:rPr>
      </w:pPr>
    </w:p>
    <w:p w:rsidRPr="00177C1F" w:rsidR="00D6788A" w:rsidP="007F3FE5" w:rsidRDefault="00D6788A" w14:paraId="46C3DEEA" w14:textId="77777777">
      <w:pPr>
        <w:widowControl/>
        <w:contextualSpacing/>
        <w:jc w:val="center"/>
        <w:rPr>
          <w:bCs/>
        </w:rPr>
      </w:pPr>
    </w:p>
    <w:p w:rsidRPr="00177C1F" w:rsidR="00D6788A" w:rsidP="007F3FE5" w:rsidRDefault="00D6788A" w14:paraId="634B9B69" w14:textId="77777777">
      <w:pPr>
        <w:widowControl/>
        <w:contextualSpacing/>
        <w:jc w:val="center"/>
        <w:rPr>
          <w:bCs/>
        </w:rPr>
      </w:pPr>
    </w:p>
    <w:p w:rsidRPr="00177C1F" w:rsidR="00D6788A" w:rsidP="007F3FE5" w:rsidRDefault="00D6788A" w14:paraId="6695F444" w14:textId="77777777">
      <w:pPr>
        <w:widowControl/>
        <w:contextualSpacing/>
        <w:jc w:val="center"/>
        <w:rPr>
          <w:bCs/>
        </w:rPr>
      </w:pPr>
    </w:p>
    <w:p w:rsidRPr="00177C1F" w:rsidR="00D6788A" w:rsidP="007F3FE5" w:rsidRDefault="00D6788A" w14:paraId="21C8CED7" w14:textId="77777777">
      <w:pPr>
        <w:widowControl/>
        <w:contextualSpacing/>
        <w:jc w:val="center"/>
        <w:rPr>
          <w:bCs/>
        </w:rPr>
      </w:pPr>
    </w:p>
    <w:p w:rsidRPr="00177C1F" w:rsidR="00D6788A" w:rsidP="007F3FE5" w:rsidRDefault="00D6788A" w14:paraId="2FB3C46E" w14:textId="77777777">
      <w:pPr>
        <w:widowControl/>
        <w:contextualSpacing/>
        <w:jc w:val="center"/>
        <w:rPr>
          <w:bCs/>
        </w:rPr>
      </w:pPr>
    </w:p>
    <w:p w:rsidRPr="00177C1F" w:rsidR="00D6788A" w:rsidP="007F3FE5" w:rsidRDefault="00D6788A" w14:paraId="1E837DE4" w14:textId="77777777">
      <w:pPr>
        <w:widowControl/>
        <w:contextualSpacing/>
        <w:jc w:val="center"/>
        <w:rPr>
          <w:bCs/>
        </w:rPr>
      </w:pPr>
    </w:p>
    <w:p w:rsidRPr="00177C1F" w:rsidR="00177C1F" w:rsidP="007F3FE5" w:rsidRDefault="00177C1F" w14:paraId="358143B5" w14:textId="77777777">
      <w:pPr>
        <w:pStyle w:val="TOC1"/>
        <w:tabs>
          <w:tab w:val="right" w:leader="dot" w:pos="9350"/>
        </w:tabs>
        <w:contextualSpacing/>
        <w:jc w:val="center"/>
        <w:rPr>
          <w:bCs/>
        </w:rPr>
      </w:pPr>
    </w:p>
    <w:p w:rsidRPr="00177C1F" w:rsidR="00177C1F" w:rsidP="007F3FE5" w:rsidRDefault="00177C1F" w14:paraId="3B0F5337" w14:textId="77777777">
      <w:pPr>
        <w:pStyle w:val="TOC1"/>
        <w:tabs>
          <w:tab w:val="right" w:leader="dot" w:pos="9350"/>
        </w:tabs>
        <w:contextualSpacing/>
        <w:jc w:val="center"/>
        <w:rPr>
          <w:bCs/>
        </w:rPr>
      </w:pPr>
    </w:p>
    <w:p w:rsidRPr="00177C1F" w:rsidR="00177C1F" w:rsidP="007F3FE5" w:rsidRDefault="00177C1F" w14:paraId="55F8445D" w14:textId="77777777">
      <w:pPr>
        <w:pStyle w:val="TOC1"/>
        <w:tabs>
          <w:tab w:val="right" w:leader="dot" w:pos="9350"/>
        </w:tabs>
        <w:contextualSpacing/>
        <w:jc w:val="center"/>
        <w:rPr>
          <w:bCs/>
        </w:rPr>
      </w:pPr>
    </w:p>
    <w:p w:rsidRPr="00177C1F" w:rsidR="00BA550E" w:rsidP="007F3FE5" w:rsidRDefault="00793601" w14:paraId="30638664" w14:textId="77777777">
      <w:pPr>
        <w:pStyle w:val="TOC1"/>
        <w:tabs>
          <w:tab w:val="right" w:leader="dot" w:pos="9350"/>
        </w:tabs>
        <w:contextualSpacing/>
        <w:jc w:val="center"/>
        <w:rPr>
          <w:bCs/>
        </w:rPr>
      </w:pPr>
      <w:r w:rsidRPr="00177C1F">
        <w:rPr>
          <w:bCs/>
        </w:rPr>
        <w:lastRenderedPageBreak/>
        <w:t>Table of Content</w:t>
      </w:r>
    </w:p>
    <w:p w:rsidRPr="00177C1F" w:rsidR="00BA550E" w:rsidP="007F3FE5" w:rsidRDefault="00BA550E" w14:paraId="752785AA" w14:textId="77777777">
      <w:pPr>
        <w:contextualSpacing/>
      </w:pPr>
    </w:p>
    <w:p w:rsidRPr="00DB5688" w:rsidR="00177C1F" w:rsidRDefault="00076283" w14:paraId="083FB4B6" w14:textId="77777777">
      <w:pPr>
        <w:pStyle w:val="TOC2"/>
        <w:tabs>
          <w:tab w:val="right" w:leader="dot" w:pos="9350"/>
        </w:tabs>
        <w:rPr>
          <w:rFonts w:ascii="Calibri" w:hAnsi="Calibri"/>
          <w:noProof/>
          <w:sz w:val="22"/>
          <w:szCs w:val="22"/>
        </w:rPr>
      </w:pPr>
      <w:r w:rsidRPr="00177C1F">
        <w:fldChar w:fldCharType="begin"/>
      </w:r>
      <w:r w:rsidRPr="00177C1F" w:rsidR="00793601">
        <w:instrText xml:space="preserve"> TOC \o "1-3" \h </w:instrText>
      </w:r>
      <w:r w:rsidRPr="00177C1F">
        <w:fldChar w:fldCharType="separate"/>
      </w:r>
      <w:hyperlink w:history="1" w:anchor="_Toc412817452">
        <w:r w:rsidRPr="00822DD3" w:rsidR="00177C1F">
          <w:rPr>
            <w:rStyle w:val="Hyperlink"/>
            <w:noProof/>
          </w:rPr>
          <w:t>A.  Justification</w:t>
        </w:r>
        <w:r w:rsidR="00177C1F">
          <w:rPr>
            <w:noProof/>
          </w:rPr>
          <w:tab/>
        </w:r>
        <w:r w:rsidR="00177C1F">
          <w:rPr>
            <w:noProof/>
          </w:rPr>
          <w:fldChar w:fldCharType="begin"/>
        </w:r>
        <w:r w:rsidR="00177C1F">
          <w:rPr>
            <w:noProof/>
          </w:rPr>
          <w:instrText xml:space="preserve"> PAGEREF _Toc412817452 \h </w:instrText>
        </w:r>
        <w:r w:rsidR="00177C1F">
          <w:rPr>
            <w:noProof/>
          </w:rPr>
        </w:r>
        <w:r w:rsidR="00177C1F">
          <w:rPr>
            <w:noProof/>
          </w:rPr>
          <w:fldChar w:fldCharType="separate"/>
        </w:r>
        <w:r w:rsidR="00177C1F">
          <w:rPr>
            <w:noProof/>
          </w:rPr>
          <w:t>3</w:t>
        </w:r>
        <w:r w:rsidR="00177C1F">
          <w:rPr>
            <w:noProof/>
          </w:rPr>
          <w:fldChar w:fldCharType="end"/>
        </w:r>
      </w:hyperlink>
    </w:p>
    <w:p w:rsidRPr="00DB5688" w:rsidR="00177C1F" w:rsidRDefault="0080021F" w14:paraId="0F04579A" w14:textId="77777777">
      <w:pPr>
        <w:pStyle w:val="TOC3"/>
        <w:tabs>
          <w:tab w:val="right" w:leader="dot" w:pos="9350"/>
        </w:tabs>
        <w:rPr>
          <w:rFonts w:ascii="Calibri" w:hAnsi="Calibri"/>
          <w:noProof/>
          <w:sz w:val="22"/>
          <w:szCs w:val="22"/>
        </w:rPr>
      </w:pPr>
      <w:hyperlink w:history="1" w:anchor="_Toc412817453">
        <w:r w:rsidRPr="00822DD3" w:rsidR="00177C1F">
          <w:rPr>
            <w:rStyle w:val="Hyperlink"/>
            <w:noProof/>
          </w:rPr>
          <w:t>1.  Circumstances Making the Collection of Information Necessary</w:t>
        </w:r>
        <w:r w:rsidR="00177C1F">
          <w:rPr>
            <w:noProof/>
          </w:rPr>
          <w:tab/>
        </w:r>
        <w:r w:rsidR="00177C1F">
          <w:rPr>
            <w:noProof/>
          </w:rPr>
          <w:fldChar w:fldCharType="begin"/>
        </w:r>
        <w:r w:rsidR="00177C1F">
          <w:rPr>
            <w:noProof/>
          </w:rPr>
          <w:instrText xml:space="preserve"> PAGEREF _Toc412817453 \h </w:instrText>
        </w:r>
        <w:r w:rsidR="00177C1F">
          <w:rPr>
            <w:noProof/>
          </w:rPr>
        </w:r>
        <w:r w:rsidR="00177C1F">
          <w:rPr>
            <w:noProof/>
          </w:rPr>
          <w:fldChar w:fldCharType="separate"/>
        </w:r>
        <w:r w:rsidR="00177C1F">
          <w:rPr>
            <w:noProof/>
          </w:rPr>
          <w:t>3</w:t>
        </w:r>
        <w:r w:rsidR="00177C1F">
          <w:rPr>
            <w:noProof/>
          </w:rPr>
          <w:fldChar w:fldCharType="end"/>
        </w:r>
      </w:hyperlink>
    </w:p>
    <w:p w:rsidRPr="00DB5688" w:rsidR="00177C1F" w:rsidRDefault="0080021F" w14:paraId="34A16C3D" w14:textId="77777777">
      <w:pPr>
        <w:pStyle w:val="TOC3"/>
        <w:tabs>
          <w:tab w:val="right" w:leader="dot" w:pos="9350"/>
        </w:tabs>
        <w:rPr>
          <w:rFonts w:ascii="Calibri" w:hAnsi="Calibri"/>
          <w:noProof/>
          <w:sz w:val="22"/>
          <w:szCs w:val="22"/>
        </w:rPr>
      </w:pPr>
      <w:hyperlink w:history="1" w:anchor="_Toc412817454">
        <w:r w:rsidRPr="00822DD3" w:rsidR="00177C1F">
          <w:rPr>
            <w:rStyle w:val="Hyperlink"/>
            <w:noProof/>
          </w:rPr>
          <w:t>2.  Purpose and Use of Information Collection</w:t>
        </w:r>
        <w:r w:rsidR="00177C1F">
          <w:rPr>
            <w:noProof/>
          </w:rPr>
          <w:tab/>
        </w:r>
        <w:r w:rsidR="00177C1F">
          <w:rPr>
            <w:noProof/>
          </w:rPr>
          <w:fldChar w:fldCharType="begin"/>
        </w:r>
        <w:r w:rsidR="00177C1F">
          <w:rPr>
            <w:noProof/>
          </w:rPr>
          <w:instrText xml:space="preserve"> PAGEREF _Toc412817454 \h </w:instrText>
        </w:r>
        <w:r w:rsidR="00177C1F">
          <w:rPr>
            <w:noProof/>
          </w:rPr>
        </w:r>
        <w:r w:rsidR="00177C1F">
          <w:rPr>
            <w:noProof/>
          </w:rPr>
          <w:fldChar w:fldCharType="separate"/>
        </w:r>
        <w:r w:rsidR="00177C1F">
          <w:rPr>
            <w:noProof/>
          </w:rPr>
          <w:t>5</w:t>
        </w:r>
        <w:r w:rsidR="00177C1F">
          <w:rPr>
            <w:noProof/>
          </w:rPr>
          <w:fldChar w:fldCharType="end"/>
        </w:r>
      </w:hyperlink>
    </w:p>
    <w:p w:rsidRPr="00DB5688" w:rsidR="00177C1F" w:rsidRDefault="0080021F" w14:paraId="2FC229F7" w14:textId="77777777">
      <w:pPr>
        <w:pStyle w:val="TOC3"/>
        <w:tabs>
          <w:tab w:val="right" w:leader="dot" w:pos="9350"/>
        </w:tabs>
        <w:rPr>
          <w:rFonts w:ascii="Calibri" w:hAnsi="Calibri"/>
          <w:noProof/>
          <w:sz w:val="22"/>
          <w:szCs w:val="22"/>
        </w:rPr>
      </w:pPr>
      <w:hyperlink w:history="1" w:anchor="_Toc412817455">
        <w:r w:rsidRPr="00822DD3" w:rsidR="00177C1F">
          <w:rPr>
            <w:rStyle w:val="Hyperlink"/>
            <w:noProof/>
          </w:rPr>
          <w:t>3.  Use of Improved Technology and Burden Reduction</w:t>
        </w:r>
        <w:r w:rsidR="00177C1F">
          <w:rPr>
            <w:noProof/>
          </w:rPr>
          <w:tab/>
        </w:r>
        <w:r w:rsidR="00177C1F">
          <w:rPr>
            <w:noProof/>
          </w:rPr>
          <w:fldChar w:fldCharType="begin"/>
        </w:r>
        <w:r w:rsidR="00177C1F">
          <w:rPr>
            <w:noProof/>
          </w:rPr>
          <w:instrText xml:space="preserve"> PAGEREF _Toc412817455 \h </w:instrText>
        </w:r>
        <w:r w:rsidR="00177C1F">
          <w:rPr>
            <w:noProof/>
          </w:rPr>
        </w:r>
        <w:r w:rsidR="00177C1F">
          <w:rPr>
            <w:noProof/>
          </w:rPr>
          <w:fldChar w:fldCharType="separate"/>
        </w:r>
        <w:r w:rsidR="00177C1F">
          <w:rPr>
            <w:noProof/>
          </w:rPr>
          <w:t>5</w:t>
        </w:r>
        <w:r w:rsidR="00177C1F">
          <w:rPr>
            <w:noProof/>
          </w:rPr>
          <w:fldChar w:fldCharType="end"/>
        </w:r>
      </w:hyperlink>
    </w:p>
    <w:p w:rsidRPr="00DB5688" w:rsidR="00177C1F" w:rsidRDefault="0080021F" w14:paraId="46D0BF59" w14:textId="77777777">
      <w:pPr>
        <w:pStyle w:val="TOC3"/>
        <w:tabs>
          <w:tab w:val="right" w:leader="dot" w:pos="9350"/>
        </w:tabs>
        <w:rPr>
          <w:rFonts w:ascii="Calibri" w:hAnsi="Calibri"/>
          <w:noProof/>
          <w:sz w:val="22"/>
          <w:szCs w:val="22"/>
        </w:rPr>
      </w:pPr>
      <w:hyperlink w:history="1" w:anchor="_Toc412817456">
        <w:r w:rsidRPr="00822DD3" w:rsidR="00177C1F">
          <w:rPr>
            <w:rStyle w:val="Hyperlink"/>
            <w:noProof/>
          </w:rPr>
          <w:t>4. Efforts to Identify Duplication and Use of Similar Information</w:t>
        </w:r>
        <w:r w:rsidR="00177C1F">
          <w:rPr>
            <w:noProof/>
          </w:rPr>
          <w:tab/>
        </w:r>
        <w:r w:rsidR="00177C1F">
          <w:rPr>
            <w:noProof/>
          </w:rPr>
          <w:fldChar w:fldCharType="begin"/>
        </w:r>
        <w:r w:rsidR="00177C1F">
          <w:rPr>
            <w:noProof/>
          </w:rPr>
          <w:instrText xml:space="preserve"> PAGEREF _Toc412817456 \h </w:instrText>
        </w:r>
        <w:r w:rsidR="00177C1F">
          <w:rPr>
            <w:noProof/>
          </w:rPr>
        </w:r>
        <w:r w:rsidR="00177C1F">
          <w:rPr>
            <w:noProof/>
          </w:rPr>
          <w:fldChar w:fldCharType="separate"/>
        </w:r>
        <w:r w:rsidR="00177C1F">
          <w:rPr>
            <w:noProof/>
          </w:rPr>
          <w:t>5</w:t>
        </w:r>
        <w:r w:rsidR="00177C1F">
          <w:rPr>
            <w:noProof/>
          </w:rPr>
          <w:fldChar w:fldCharType="end"/>
        </w:r>
      </w:hyperlink>
    </w:p>
    <w:p w:rsidRPr="00DB5688" w:rsidR="00177C1F" w:rsidRDefault="0080021F" w14:paraId="51499245" w14:textId="77777777">
      <w:pPr>
        <w:pStyle w:val="TOC3"/>
        <w:tabs>
          <w:tab w:val="right" w:leader="dot" w:pos="9350"/>
        </w:tabs>
        <w:rPr>
          <w:rFonts w:ascii="Calibri" w:hAnsi="Calibri"/>
          <w:noProof/>
          <w:sz w:val="22"/>
          <w:szCs w:val="22"/>
        </w:rPr>
      </w:pPr>
      <w:hyperlink w:history="1" w:anchor="_Toc412817457">
        <w:r w:rsidRPr="00822DD3" w:rsidR="00177C1F">
          <w:rPr>
            <w:rStyle w:val="Hyperlink"/>
            <w:noProof/>
          </w:rPr>
          <w:t>5.  Impact on Small Businesses or Other Small Entities</w:t>
        </w:r>
        <w:r w:rsidR="00177C1F">
          <w:rPr>
            <w:noProof/>
          </w:rPr>
          <w:tab/>
        </w:r>
        <w:r w:rsidR="00177C1F">
          <w:rPr>
            <w:noProof/>
          </w:rPr>
          <w:fldChar w:fldCharType="begin"/>
        </w:r>
        <w:r w:rsidR="00177C1F">
          <w:rPr>
            <w:noProof/>
          </w:rPr>
          <w:instrText xml:space="preserve"> PAGEREF _Toc412817457 \h </w:instrText>
        </w:r>
        <w:r w:rsidR="00177C1F">
          <w:rPr>
            <w:noProof/>
          </w:rPr>
        </w:r>
        <w:r w:rsidR="00177C1F">
          <w:rPr>
            <w:noProof/>
          </w:rPr>
          <w:fldChar w:fldCharType="separate"/>
        </w:r>
        <w:r w:rsidR="00177C1F">
          <w:rPr>
            <w:noProof/>
          </w:rPr>
          <w:t>6</w:t>
        </w:r>
        <w:r w:rsidR="00177C1F">
          <w:rPr>
            <w:noProof/>
          </w:rPr>
          <w:fldChar w:fldCharType="end"/>
        </w:r>
      </w:hyperlink>
    </w:p>
    <w:p w:rsidRPr="00DB5688" w:rsidR="00177C1F" w:rsidRDefault="0080021F" w14:paraId="0E7D5236" w14:textId="77777777">
      <w:pPr>
        <w:pStyle w:val="TOC3"/>
        <w:tabs>
          <w:tab w:val="right" w:leader="dot" w:pos="9350"/>
        </w:tabs>
        <w:rPr>
          <w:rFonts w:ascii="Calibri" w:hAnsi="Calibri"/>
          <w:noProof/>
          <w:sz w:val="22"/>
          <w:szCs w:val="22"/>
        </w:rPr>
      </w:pPr>
      <w:hyperlink w:history="1" w:anchor="_Toc412817458">
        <w:r w:rsidRPr="00822DD3" w:rsidR="00177C1F">
          <w:rPr>
            <w:rStyle w:val="Hyperlink"/>
            <w:noProof/>
          </w:rPr>
          <w:t>6.  Consequences of Collecting the Information Less Frequently</w:t>
        </w:r>
        <w:r w:rsidR="00177C1F">
          <w:rPr>
            <w:noProof/>
          </w:rPr>
          <w:tab/>
        </w:r>
        <w:r w:rsidR="00177C1F">
          <w:rPr>
            <w:noProof/>
          </w:rPr>
          <w:fldChar w:fldCharType="begin"/>
        </w:r>
        <w:r w:rsidR="00177C1F">
          <w:rPr>
            <w:noProof/>
          </w:rPr>
          <w:instrText xml:space="preserve"> PAGEREF _Toc412817458 \h </w:instrText>
        </w:r>
        <w:r w:rsidR="00177C1F">
          <w:rPr>
            <w:noProof/>
          </w:rPr>
        </w:r>
        <w:r w:rsidR="00177C1F">
          <w:rPr>
            <w:noProof/>
          </w:rPr>
          <w:fldChar w:fldCharType="separate"/>
        </w:r>
        <w:r w:rsidR="00177C1F">
          <w:rPr>
            <w:noProof/>
          </w:rPr>
          <w:t>6</w:t>
        </w:r>
        <w:r w:rsidR="00177C1F">
          <w:rPr>
            <w:noProof/>
          </w:rPr>
          <w:fldChar w:fldCharType="end"/>
        </w:r>
      </w:hyperlink>
    </w:p>
    <w:p w:rsidRPr="00DB5688" w:rsidR="00177C1F" w:rsidRDefault="0080021F" w14:paraId="78C79FBB" w14:textId="77777777">
      <w:pPr>
        <w:pStyle w:val="TOC3"/>
        <w:tabs>
          <w:tab w:val="right" w:leader="dot" w:pos="9350"/>
        </w:tabs>
        <w:rPr>
          <w:rFonts w:ascii="Calibri" w:hAnsi="Calibri"/>
          <w:noProof/>
          <w:sz w:val="22"/>
          <w:szCs w:val="22"/>
        </w:rPr>
      </w:pPr>
      <w:hyperlink w:history="1" w:anchor="_Toc412817459">
        <w:r w:rsidRPr="00822DD3" w:rsidR="00177C1F">
          <w:rPr>
            <w:rStyle w:val="Hyperlink"/>
            <w:noProof/>
          </w:rPr>
          <w:t>7.  Special Circumstances Relating to the Guidelines of 5 CFR 1320.5</w:t>
        </w:r>
        <w:r w:rsidR="00177C1F">
          <w:rPr>
            <w:noProof/>
          </w:rPr>
          <w:tab/>
        </w:r>
        <w:r w:rsidR="00177C1F">
          <w:rPr>
            <w:noProof/>
          </w:rPr>
          <w:fldChar w:fldCharType="begin"/>
        </w:r>
        <w:r w:rsidR="00177C1F">
          <w:rPr>
            <w:noProof/>
          </w:rPr>
          <w:instrText xml:space="preserve"> PAGEREF _Toc412817459 \h </w:instrText>
        </w:r>
        <w:r w:rsidR="00177C1F">
          <w:rPr>
            <w:noProof/>
          </w:rPr>
        </w:r>
        <w:r w:rsidR="00177C1F">
          <w:rPr>
            <w:noProof/>
          </w:rPr>
          <w:fldChar w:fldCharType="separate"/>
        </w:r>
        <w:r w:rsidR="00177C1F">
          <w:rPr>
            <w:noProof/>
          </w:rPr>
          <w:t>6</w:t>
        </w:r>
        <w:r w:rsidR="00177C1F">
          <w:rPr>
            <w:noProof/>
          </w:rPr>
          <w:fldChar w:fldCharType="end"/>
        </w:r>
      </w:hyperlink>
    </w:p>
    <w:p w:rsidRPr="00DB5688" w:rsidR="00177C1F" w:rsidRDefault="0080021F" w14:paraId="1D47B907" w14:textId="77777777">
      <w:pPr>
        <w:pStyle w:val="TOC3"/>
        <w:tabs>
          <w:tab w:val="right" w:leader="dot" w:pos="9350"/>
        </w:tabs>
        <w:rPr>
          <w:rFonts w:ascii="Calibri" w:hAnsi="Calibri"/>
          <w:noProof/>
          <w:sz w:val="22"/>
          <w:szCs w:val="22"/>
        </w:rPr>
      </w:pPr>
      <w:hyperlink w:history="1" w:anchor="_Toc412817460">
        <w:r w:rsidRPr="00822DD3" w:rsidR="00177C1F">
          <w:rPr>
            <w:rStyle w:val="Hyperlink"/>
            <w:noProof/>
          </w:rPr>
          <w:t xml:space="preserve">8.  Comments in Response to the Federal Register Notice and Efforts to Consult Outside the </w:t>
        </w:r>
        <w:r w:rsidR="00177C1F">
          <w:rPr>
            <w:rStyle w:val="Hyperlink"/>
            <w:noProof/>
          </w:rPr>
          <w:t xml:space="preserve">    </w:t>
        </w:r>
        <w:r w:rsidRPr="00822DD3" w:rsidR="00177C1F">
          <w:rPr>
            <w:rStyle w:val="Hyperlink"/>
            <w:noProof/>
          </w:rPr>
          <w:t>Agency</w:t>
        </w:r>
        <w:r w:rsidR="00177C1F">
          <w:rPr>
            <w:noProof/>
          </w:rPr>
          <w:tab/>
        </w:r>
        <w:r w:rsidR="00177C1F">
          <w:rPr>
            <w:noProof/>
          </w:rPr>
          <w:fldChar w:fldCharType="begin"/>
        </w:r>
        <w:r w:rsidR="00177C1F">
          <w:rPr>
            <w:noProof/>
          </w:rPr>
          <w:instrText xml:space="preserve"> PAGEREF _Toc412817460 \h </w:instrText>
        </w:r>
        <w:r w:rsidR="00177C1F">
          <w:rPr>
            <w:noProof/>
          </w:rPr>
        </w:r>
        <w:r w:rsidR="00177C1F">
          <w:rPr>
            <w:noProof/>
          </w:rPr>
          <w:fldChar w:fldCharType="separate"/>
        </w:r>
        <w:r w:rsidR="00177C1F">
          <w:rPr>
            <w:noProof/>
          </w:rPr>
          <w:t>6</w:t>
        </w:r>
        <w:r w:rsidR="00177C1F">
          <w:rPr>
            <w:noProof/>
          </w:rPr>
          <w:fldChar w:fldCharType="end"/>
        </w:r>
      </w:hyperlink>
    </w:p>
    <w:p w:rsidRPr="00DB5688" w:rsidR="00177C1F" w:rsidRDefault="0080021F" w14:paraId="63921131" w14:textId="77777777">
      <w:pPr>
        <w:pStyle w:val="TOC3"/>
        <w:tabs>
          <w:tab w:val="right" w:leader="dot" w:pos="9350"/>
        </w:tabs>
        <w:rPr>
          <w:rFonts w:ascii="Calibri" w:hAnsi="Calibri"/>
          <w:noProof/>
          <w:sz w:val="22"/>
          <w:szCs w:val="22"/>
        </w:rPr>
      </w:pPr>
      <w:hyperlink w:history="1" w:anchor="_Toc412817461">
        <w:r w:rsidRPr="00822DD3" w:rsidR="00177C1F">
          <w:rPr>
            <w:rStyle w:val="Hyperlink"/>
            <w:noProof/>
          </w:rPr>
          <w:t>9.  Explanation of Any Payment or Gift to Respondents</w:t>
        </w:r>
        <w:r w:rsidR="00177C1F">
          <w:rPr>
            <w:noProof/>
          </w:rPr>
          <w:tab/>
        </w:r>
        <w:r w:rsidR="00177C1F">
          <w:rPr>
            <w:noProof/>
          </w:rPr>
          <w:fldChar w:fldCharType="begin"/>
        </w:r>
        <w:r w:rsidR="00177C1F">
          <w:rPr>
            <w:noProof/>
          </w:rPr>
          <w:instrText xml:space="preserve"> PAGEREF _Toc412817461 \h </w:instrText>
        </w:r>
        <w:r w:rsidR="00177C1F">
          <w:rPr>
            <w:noProof/>
          </w:rPr>
        </w:r>
        <w:r w:rsidR="00177C1F">
          <w:rPr>
            <w:noProof/>
          </w:rPr>
          <w:fldChar w:fldCharType="separate"/>
        </w:r>
        <w:r w:rsidR="00177C1F">
          <w:rPr>
            <w:noProof/>
          </w:rPr>
          <w:t>7</w:t>
        </w:r>
        <w:r w:rsidR="00177C1F">
          <w:rPr>
            <w:noProof/>
          </w:rPr>
          <w:fldChar w:fldCharType="end"/>
        </w:r>
      </w:hyperlink>
    </w:p>
    <w:p w:rsidRPr="00DB5688" w:rsidR="00177C1F" w:rsidRDefault="0080021F" w14:paraId="75AA61DC" w14:textId="77777777">
      <w:pPr>
        <w:pStyle w:val="TOC3"/>
        <w:tabs>
          <w:tab w:val="right" w:leader="dot" w:pos="9350"/>
        </w:tabs>
        <w:rPr>
          <w:rFonts w:ascii="Calibri" w:hAnsi="Calibri"/>
          <w:noProof/>
          <w:sz w:val="22"/>
          <w:szCs w:val="22"/>
        </w:rPr>
      </w:pPr>
      <w:hyperlink w:history="1" w:anchor="_Toc412817462">
        <w:r w:rsidRPr="00822DD3" w:rsidR="00177C1F">
          <w:rPr>
            <w:rStyle w:val="Hyperlink"/>
            <w:noProof/>
          </w:rPr>
          <w:t>10.  Assurance of Confidentiality Provided to Respondents</w:t>
        </w:r>
        <w:r w:rsidR="00177C1F">
          <w:rPr>
            <w:noProof/>
          </w:rPr>
          <w:tab/>
        </w:r>
        <w:r w:rsidR="00177C1F">
          <w:rPr>
            <w:noProof/>
          </w:rPr>
          <w:fldChar w:fldCharType="begin"/>
        </w:r>
        <w:r w:rsidR="00177C1F">
          <w:rPr>
            <w:noProof/>
          </w:rPr>
          <w:instrText xml:space="preserve"> PAGEREF _Toc412817462 \h </w:instrText>
        </w:r>
        <w:r w:rsidR="00177C1F">
          <w:rPr>
            <w:noProof/>
          </w:rPr>
        </w:r>
        <w:r w:rsidR="00177C1F">
          <w:rPr>
            <w:noProof/>
          </w:rPr>
          <w:fldChar w:fldCharType="separate"/>
        </w:r>
        <w:r w:rsidR="00177C1F">
          <w:rPr>
            <w:noProof/>
          </w:rPr>
          <w:t>7</w:t>
        </w:r>
        <w:r w:rsidR="00177C1F">
          <w:rPr>
            <w:noProof/>
          </w:rPr>
          <w:fldChar w:fldCharType="end"/>
        </w:r>
      </w:hyperlink>
    </w:p>
    <w:p w:rsidRPr="00DB5688" w:rsidR="00177C1F" w:rsidRDefault="0080021F" w14:paraId="247925B1" w14:textId="77777777">
      <w:pPr>
        <w:pStyle w:val="TOC3"/>
        <w:tabs>
          <w:tab w:val="right" w:leader="dot" w:pos="9350"/>
        </w:tabs>
        <w:rPr>
          <w:rFonts w:ascii="Calibri" w:hAnsi="Calibri"/>
          <w:noProof/>
          <w:sz w:val="22"/>
          <w:szCs w:val="22"/>
        </w:rPr>
      </w:pPr>
      <w:hyperlink w:history="1" w:anchor="_Toc412817463">
        <w:r w:rsidRPr="00822DD3" w:rsidR="00177C1F">
          <w:rPr>
            <w:rStyle w:val="Hyperlink"/>
            <w:noProof/>
          </w:rPr>
          <w:t>11.  Justification of Sensitive Questions</w:t>
        </w:r>
        <w:r w:rsidR="00177C1F">
          <w:rPr>
            <w:noProof/>
          </w:rPr>
          <w:tab/>
        </w:r>
        <w:r w:rsidR="00177C1F">
          <w:rPr>
            <w:noProof/>
          </w:rPr>
          <w:fldChar w:fldCharType="begin"/>
        </w:r>
        <w:r w:rsidR="00177C1F">
          <w:rPr>
            <w:noProof/>
          </w:rPr>
          <w:instrText xml:space="preserve"> PAGEREF _Toc412817463 \h </w:instrText>
        </w:r>
        <w:r w:rsidR="00177C1F">
          <w:rPr>
            <w:noProof/>
          </w:rPr>
        </w:r>
        <w:r w:rsidR="00177C1F">
          <w:rPr>
            <w:noProof/>
          </w:rPr>
          <w:fldChar w:fldCharType="separate"/>
        </w:r>
        <w:r w:rsidR="00177C1F">
          <w:rPr>
            <w:noProof/>
          </w:rPr>
          <w:t>9</w:t>
        </w:r>
        <w:r w:rsidR="00177C1F">
          <w:rPr>
            <w:noProof/>
          </w:rPr>
          <w:fldChar w:fldCharType="end"/>
        </w:r>
      </w:hyperlink>
    </w:p>
    <w:p w:rsidRPr="00DB5688" w:rsidR="00177C1F" w:rsidRDefault="0080021F" w14:paraId="56A7B903" w14:textId="77777777">
      <w:pPr>
        <w:pStyle w:val="TOC3"/>
        <w:tabs>
          <w:tab w:val="right" w:leader="dot" w:pos="9350"/>
        </w:tabs>
        <w:rPr>
          <w:rFonts w:ascii="Calibri" w:hAnsi="Calibri"/>
          <w:noProof/>
          <w:sz w:val="22"/>
          <w:szCs w:val="22"/>
        </w:rPr>
      </w:pPr>
      <w:hyperlink w:history="1" w:anchor="_Toc412817464">
        <w:r w:rsidRPr="00822DD3" w:rsidR="00177C1F">
          <w:rPr>
            <w:rStyle w:val="Hyperlink"/>
            <w:noProof/>
          </w:rPr>
          <w:t>12.  Estimates of Annualized Burden Hours and Costs</w:t>
        </w:r>
        <w:r w:rsidR="00177C1F">
          <w:rPr>
            <w:noProof/>
          </w:rPr>
          <w:tab/>
        </w:r>
        <w:r w:rsidR="00177C1F">
          <w:rPr>
            <w:noProof/>
          </w:rPr>
          <w:fldChar w:fldCharType="begin"/>
        </w:r>
        <w:r w:rsidR="00177C1F">
          <w:rPr>
            <w:noProof/>
          </w:rPr>
          <w:instrText xml:space="preserve"> PAGEREF _Toc412817464 \h </w:instrText>
        </w:r>
        <w:r w:rsidR="00177C1F">
          <w:rPr>
            <w:noProof/>
          </w:rPr>
        </w:r>
        <w:r w:rsidR="00177C1F">
          <w:rPr>
            <w:noProof/>
          </w:rPr>
          <w:fldChar w:fldCharType="separate"/>
        </w:r>
        <w:r w:rsidR="00177C1F">
          <w:rPr>
            <w:noProof/>
          </w:rPr>
          <w:t>9</w:t>
        </w:r>
        <w:r w:rsidR="00177C1F">
          <w:rPr>
            <w:noProof/>
          </w:rPr>
          <w:fldChar w:fldCharType="end"/>
        </w:r>
      </w:hyperlink>
    </w:p>
    <w:p w:rsidRPr="00DB5688" w:rsidR="00177C1F" w:rsidRDefault="0080021F" w14:paraId="7B718D64" w14:textId="77777777">
      <w:pPr>
        <w:pStyle w:val="TOC3"/>
        <w:tabs>
          <w:tab w:val="right" w:leader="dot" w:pos="9350"/>
        </w:tabs>
        <w:rPr>
          <w:rFonts w:ascii="Calibri" w:hAnsi="Calibri"/>
          <w:noProof/>
          <w:sz w:val="22"/>
          <w:szCs w:val="22"/>
        </w:rPr>
      </w:pPr>
      <w:hyperlink w:history="1" w:anchor="_Toc412817465">
        <w:r w:rsidRPr="00822DD3" w:rsidR="00177C1F">
          <w:rPr>
            <w:rStyle w:val="Hyperlink"/>
            <w:noProof/>
          </w:rPr>
          <w:t>13.  Estimates of Other Total Annual Cost Burden to Respondents or Record keepers</w:t>
        </w:r>
        <w:r w:rsidR="00177C1F">
          <w:rPr>
            <w:noProof/>
          </w:rPr>
          <w:tab/>
        </w:r>
        <w:r w:rsidR="00177C1F">
          <w:rPr>
            <w:noProof/>
          </w:rPr>
          <w:fldChar w:fldCharType="begin"/>
        </w:r>
        <w:r w:rsidR="00177C1F">
          <w:rPr>
            <w:noProof/>
          </w:rPr>
          <w:instrText xml:space="preserve"> PAGEREF _Toc412817465 \h </w:instrText>
        </w:r>
        <w:r w:rsidR="00177C1F">
          <w:rPr>
            <w:noProof/>
          </w:rPr>
        </w:r>
        <w:r w:rsidR="00177C1F">
          <w:rPr>
            <w:noProof/>
          </w:rPr>
          <w:fldChar w:fldCharType="separate"/>
        </w:r>
        <w:r w:rsidR="00177C1F">
          <w:rPr>
            <w:noProof/>
          </w:rPr>
          <w:t>11</w:t>
        </w:r>
        <w:r w:rsidR="00177C1F">
          <w:rPr>
            <w:noProof/>
          </w:rPr>
          <w:fldChar w:fldCharType="end"/>
        </w:r>
      </w:hyperlink>
    </w:p>
    <w:p w:rsidRPr="00DB5688" w:rsidR="00177C1F" w:rsidRDefault="0080021F" w14:paraId="4E4A2558" w14:textId="77777777">
      <w:pPr>
        <w:pStyle w:val="TOC3"/>
        <w:tabs>
          <w:tab w:val="right" w:leader="dot" w:pos="9350"/>
        </w:tabs>
        <w:rPr>
          <w:rFonts w:ascii="Calibri" w:hAnsi="Calibri"/>
          <w:noProof/>
          <w:sz w:val="22"/>
          <w:szCs w:val="22"/>
        </w:rPr>
      </w:pPr>
      <w:hyperlink w:history="1" w:anchor="_Toc412817466">
        <w:r w:rsidRPr="008C4B44" w:rsidR="00177C1F">
          <w:rPr>
            <w:rStyle w:val="Hyperlink"/>
            <w:noProof/>
          </w:rPr>
          <w:t>14.  Annualized Cost to the Government</w:t>
        </w:r>
        <w:r w:rsidR="00177C1F">
          <w:rPr>
            <w:noProof/>
          </w:rPr>
          <w:tab/>
        </w:r>
        <w:r w:rsidR="00177C1F">
          <w:rPr>
            <w:noProof/>
          </w:rPr>
          <w:fldChar w:fldCharType="begin"/>
        </w:r>
        <w:r w:rsidR="00177C1F">
          <w:rPr>
            <w:noProof/>
          </w:rPr>
          <w:instrText xml:space="preserve"> PAGEREF _Toc412817466 \h </w:instrText>
        </w:r>
        <w:r w:rsidR="00177C1F">
          <w:rPr>
            <w:noProof/>
          </w:rPr>
        </w:r>
        <w:r w:rsidR="00177C1F">
          <w:rPr>
            <w:noProof/>
          </w:rPr>
          <w:fldChar w:fldCharType="separate"/>
        </w:r>
        <w:r w:rsidR="00177C1F">
          <w:rPr>
            <w:noProof/>
          </w:rPr>
          <w:t>11</w:t>
        </w:r>
        <w:r w:rsidR="00177C1F">
          <w:rPr>
            <w:noProof/>
          </w:rPr>
          <w:fldChar w:fldCharType="end"/>
        </w:r>
      </w:hyperlink>
    </w:p>
    <w:p w:rsidRPr="00DB5688" w:rsidR="00177C1F" w:rsidRDefault="0080021F" w14:paraId="0D879017" w14:textId="77777777">
      <w:pPr>
        <w:pStyle w:val="TOC3"/>
        <w:tabs>
          <w:tab w:val="right" w:leader="dot" w:pos="9350"/>
        </w:tabs>
        <w:rPr>
          <w:rFonts w:ascii="Calibri" w:hAnsi="Calibri"/>
          <w:noProof/>
          <w:sz w:val="22"/>
          <w:szCs w:val="22"/>
        </w:rPr>
      </w:pPr>
      <w:hyperlink w:history="1" w:anchor="_Toc412817467">
        <w:r w:rsidRPr="00822DD3" w:rsidR="00177C1F">
          <w:rPr>
            <w:rStyle w:val="Hyperlink"/>
            <w:noProof/>
          </w:rPr>
          <w:t>15.  Explanation for Program Changes or Adjustments</w:t>
        </w:r>
        <w:r w:rsidR="00177C1F">
          <w:rPr>
            <w:noProof/>
          </w:rPr>
          <w:tab/>
        </w:r>
        <w:r w:rsidR="00177C1F">
          <w:rPr>
            <w:noProof/>
          </w:rPr>
          <w:fldChar w:fldCharType="begin"/>
        </w:r>
        <w:r w:rsidR="00177C1F">
          <w:rPr>
            <w:noProof/>
          </w:rPr>
          <w:instrText xml:space="preserve"> PAGEREF _Toc412817467 \h </w:instrText>
        </w:r>
        <w:r w:rsidR="00177C1F">
          <w:rPr>
            <w:noProof/>
          </w:rPr>
        </w:r>
        <w:r w:rsidR="00177C1F">
          <w:rPr>
            <w:noProof/>
          </w:rPr>
          <w:fldChar w:fldCharType="separate"/>
        </w:r>
        <w:r w:rsidR="00177C1F">
          <w:rPr>
            <w:noProof/>
          </w:rPr>
          <w:t>12</w:t>
        </w:r>
        <w:r w:rsidR="00177C1F">
          <w:rPr>
            <w:noProof/>
          </w:rPr>
          <w:fldChar w:fldCharType="end"/>
        </w:r>
      </w:hyperlink>
    </w:p>
    <w:p w:rsidRPr="00DB5688" w:rsidR="00177C1F" w:rsidRDefault="0080021F" w14:paraId="24AF8425" w14:textId="77777777">
      <w:pPr>
        <w:pStyle w:val="TOC3"/>
        <w:tabs>
          <w:tab w:val="right" w:leader="dot" w:pos="9350"/>
        </w:tabs>
        <w:rPr>
          <w:rFonts w:ascii="Calibri" w:hAnsi="Calibri"/>
          <w:noProof/>
          <w:sz w:val="22"/>
          <w:szCs w:val="22"/>
        </w:rPr>
      </w:pPr>
      <w:hyperlink w:history="1" w:anchor="_Toc412817468">
        <w:r w:rsidRPr="00822DD3" w:rsidR="00177C1F">
          <w:rPr>
            <w:rStyle w:val="Hyperlink"/>
            <w:noProof/>
          </w:rPr>
          <w:t>16.  Plans for Tabulation and Publication and Project Time Schedule</w:t>
        </w:r>
        <w:r w:rsidR="00177C1F">
          <w:rPr>
            <w:noProof/>
          </w:rPr>
          <w:tab/>
        </w:r>
        <w:r w:rsidR="00177C1F">
          <w:rPr>
            <w:noProof/>
          </w:rPr>
          <w:fldChar w:fldCharType="begin"/>
        </w:r>
        <w:r w:rsidR="00177C1F">
          <w:rPr>
            <w:noProof/>
          </w:rPr>
          <w:instrText xml:space="preserve"> PAGEREF _Toc412817468 \h </w:instrText>
        </w:r>
        <w:r w:rsidR="00177C1F">
          <w:rPr>
            <w:noProof/>
          </w:rPr>
        </w:r>
        <w:r w:rsidR="00177C1F">
          <w:rPr>
            <w:noProof/>
          </w:rPr>
          <w:fldChar w:fldCharType="separate"/>
        </w:r>
        <w:r w:rsidR="00177C1F">
          <w:rPr>
            <w:noProof/>
          </w:rPr>
          <w:t>12</w:t>
        </w:r>
        <w:r w:rsidR="00177C1F">
          <w:rPr>
            <w:noProof/>
          </w:rPr>
          <w:fldChar w:fldCharType="end"/>
        </w:r>
      </w:hyperlink>
    </w:p>
    <w:p w:rsidRPr="00DB5688" w:rsidR="00177C1F" w:rsidRDefault="0080021F" w14:paraId="7C6D4559" w14:textId="77777777">
      <w:pPr>
        <w:pStyle w:val="TOC3"/>
        <w:tabs>
          <w:tab w:val="right" w:leader="dot" w:pos="9350"/>
        </w:tabs>
        <w:rPr>
          <w:rFonts w:ascii="Calibri" w:hAnsi="Calibri"/>
          <w:noProof/>
          <w:sz w:val="22"/>
          <w:szCs w:val="22"/>
        </w:rPr>
      </w:pPr>
      <w:hyperlink w:history="1" w:anchor="_Toc412817469">
        <w:r w:rsidRPr="00822DD3" w:rsidR="00177C1F">
          <w:rPr>
            <w:rStyle w:val="Hyperlink"/>
            <w:noProof/>
          </w:rPr>
          <w:t>17.  Reason(s) Display of OMB Expiration Date is Inappropriate</w:t>
        </w:r>
        <w:r w:rsidR="00177C1F">
          <w:rPr>
            <w:noProof/>
          </w:rPr>
          <w:tab/>
        </w:r>
        <w:r w:rsidR="00177C1F">
          <w:rPr>
            <w:noProof/>
          </w:rPr>
          <w:fldChar w:fldCharType="begin"/>
        </w:r>
        <w:r w:rsidR="00177C1F">
          <w:rPr>
            <w:noProof/>
          </w:rPr>
          <w:instrText xml:space="preserve"> PAGEREF _Toc412817469 \h </w:instrText>
        </w:r>
        <w:r w:rsidR="00177C1F">
          <w:rPr>
            <w:noProof/>
          </w:rPr>
        </w:r>
        <w:r w:rsidR="00177C1F">
          <w:rPr>
            <w:noProof/>
          </w:rPr>
          <w:fldChar w:fldCharType="separate"/>
        </w:r>
        <w:r w:rsidR="00177C1F">
          <w:rPr>
            <w:noProof/>
          </w:rPr>
          <w:t>12</w:t>
        </w:r>
        <w:r w:rsidR="00177C1F">
          <w:rPr>
            <w:noProof/>
          </w:rPr>
          <w:fldChar w:fldCharType="end"/>
        </w:r>
      </w:hyperlink>
    </w:p>
    <w:p w:rsidRPr="00DB5688" w:rsidR="00177C1F" w:rsidRDefault="0080021F" w14:paraId="070A533C" w14:textId="77777777">
      <w:pPr>
        <w:pStyle w:val="TOC3"/>
        <w:tabs>
          <w:tab w:val="right" w:leader="dot" w:pos="9350"/>
        </w:tabs>
        <w:rPr>
          <w:rFonts w:ascii="Calibri" w:hAnsi="Calibri"/>
          <w:noProof/>
          <w:sz w:val="22"/>
          <w:szCs w:val="22"/>
        </w:rPr>
      </w:pPr>
      <w:hyperlink w:history="1" w:anchor="_Toc412817470">
        <w:r w:rsidRPr="00822DD3" w:rsidR="00177C1F">
          <w:rPr>
            <w:rStyle w:val="Hyperlink"/>
            <w:noProof/>
          </w:rPr>
          <w:t>18.  Exceptions to Certification for Paperwork Reduction Act Submission</w:t>
        </w:r>
        <w:r w:rsidR="00177C1F">
          <w:rPr>
            <w:noProof/>
          </w:rPr>
          <w:tab/>
        </w:r>
        <w:r w:rsidR="00177C1F">
          <w:rPr>
            <w:noProof/>
          </w:rPr>
          <w:fldChar w:fldCharType="begin"/>
        </w:r>
        <w:r w:rsidR="00177C1F">
          <w:rPr>
            <w:noProof/>
          </w:rPr>
          <w:instrText xml:space="preserve"> PAGEREF _Toc412817470 \h </w:instrText>
        </w:r>
        <w:r w:rsidR="00177C1F">
          <w:rPr>
            <w:noProof/>
          </w:rPr>
        </w:r>
        <w:r w:rsidR="00177C1F">
          <w:rPr>
            <w:noProof/>
          </w:rPr>
          <w:fldChar w:fldCharType="separate"/>
        </w:r>
        <w:r w:rsidR="00177C1F">
          <w:rPr>
            <w:noProof/>
          </w:rPr>
          <w:t>12</w:t>
        </w:r>
        <w:r w:rsidR="00177C1F">
          <w:rPr>
            <w:noProof/>
          </w:rPr>
          <w:fldChar w:fldCharType="end"/>
        </w:r>
      </w:hyperlink>
    </w:p>
    <w:p w:rsidRPr="00DB5688" w:rsidR="00177C1F" w:rsidRDefault="0080021F" w14:paraId="3227C77D" w14:textId="77777777">
      <w:pPr>
        <w:pStyle w:val="TOC2"/>
        <w:tabs>
          <w:tab w:val="right" w:leader="dot" w:pos="9350"/>
        </w:tabs>
        <w:rPr>
          <w:rFonts w:ascii="Calibri" w:hAnsi="Calibri"/>
          <w:noProof/>
          <w:sz w:val="22"/>
          <w:szCs w:val="22"/>
        </w:rPr>
      </w:pPr>
      <w:hyperlink w:history="1" w:anchor="_Toc412817471">
        <w:r w:rsidRPr="00822DD3" w:rsidR="00177C1F">
          <w:rPr>
            <w:rStyle w:val="Hyperlink"/>
            <w:noProof/>
          </w:rPr>
          <w:t>List of Attachments:</w:t>
        </w:r>
        <w:r w:rsidR="00177C1F">
          <w:rPr>
            <w:noProof/>
          </w:rPr>
          <w:tab/>
        </w:r>
        <w:r w:rsidR="00177C1F">
          <w:rPr>
            <w:noProof/>
          </w:rPr>
          <w:fldChar w:fldCharType="begin"/>
        </w:r>
        <w:r w:rsidR="00177C1F">
          <w:rPr>
            <w:noProof/>
          </w:rPr>
          <w:instrText xml:space="preserve"> PAGEREF _Toc412817471 \h </w:instrText>
        </w:r>
        <w:r w:rsidR="00177C1F">
          <w:rPr>
            <w:noProof/>
          </w:rPr>
        </w:r>
        <w:r w:rsidR="00177C1F">
          <w:rPr>
            <w:noProof/>
          </w:rPr>
          <w:fldChar w:fldCharType="separate"/>
        </w:r>
        <w:r w:rsidR="00177C1F">
          <w:rPr>
            <w:noProof/>
          </w:rPr>
          <w:t>13</w:t>
        </w:r>
        <w:r w:rsidR="00177C1F">
          <w:rPr>
            <w:noProof/>
          </w:rPr>
          <w:fldChar w:fldCharType="end"/>
        </w:r>
      </w:hyperlink>
    </w:p>
    <w:p w:rsidRPr="00177C1F" w:rsidR="00BA550E" w:rsidP="007F3FE5" w:rsidRDefault="00076283" w14:paraId="3B1CE412" w14:textId="77777777">
      <w:pPr>
        <w:pStyle w:val="TOC1"/>
        <w:tabs>
          <w:tab w:val="right" w:leader="dot" w:pos="9350"/>
        </w:tabs>
        <w:contextualSpacing/>
      </w:pPr>
      <w:r w:rsidRPr="00177C1F">
        <w:fldChar w:fldCharType="end"/>
      </w:r>
    </w:p>
    <w:p w:rsidRPr="00177C1F" w:rsidR="00BA550E" w:rsidP="007F3FE5" w:rsidRDefault="00BA550E" w14:paraId="5E666253" w14:textId="77777777">
      <w:pPr>
        <w:pStyle w:val="TOC1"/>
        <w:tabs>
          <w:tab w:val="right" w:leader="dot" w:pos="9350"/>
        </w:tabs>
        <w:contextualSpacing/>
      </w:pPr>
    </w:p>
    <w:p w:rsidRPr="00177C1F" w:rsidR="00BA550E" w:rsidP="007F3FE5" w:rsidRDefault="00BA550E" w14:paraId="18D6F78D" w14:textId="77777777">
      <w:pPr>
        <w:pStyle w:val="TOC1"/>
        <w:tabs>
          <w:tab w:val="right" w:leader="dot" w:pos="9350"/>
        </w:tabs>
        <w:contextualSpacing/>
      </w:pPr>
    </w:p>
    <w:p w:rsidRPr="00177C1F" w:rsidR="00BA550E" w:rsidP="007F3FE5" w:rsidRDefault="00BA550E" w14:paraId="09E39732" w14:textId="77777777">
      <w:pPr>
        <w:pStyle w:val="TOC1"/>
        <w:tabs>
          <w:tab w:val="right" w:leader="dot" w:pos="9350"/>
        </w:tabs>
        <w:contextualSpacing/>
      </w:pPr>
    </w:p>
    <w:p w:rsidRPr="00177C1F" w:rsidR="00BA550E" w:rsidP="007F3FE5" w:rsidRDefault="00BA550E" w14:paraId="7B2C0AC3" w14:textId="77777777">
      <w:pPr>
        <w:pStyle w:val="TOC1"/>
        <w:tabs>
          <w:tab w:val="right" w:leader="dot" w:pos="9350"/>
        </w:tabs>
        <w:contextualSpacing/>
      </w:pPr>
    </w:p>
    <w:p w:rsidRPr="00177C1F" w:rsidR="00BA550E" w:rsidP="007F3FE5" w:rsidRDefault="00D6788A" w14:paraId="63A5E47B" w14:textId="77777777">
      <w:pPr>
        <w:widowControl/>
        <w:contextualSpacing/>
        <w:jc w:val="center"/>
        <w:rPr>
          <w:bCs/>
        </w:rPr>
      </w:pPr>
      <w:r w:rsidRPr="00177C1F">
        <w:rPr>
          <w:bCs/>
        </w:rPr>
        <w:br w:type="page"/>
      </w:r>
    </w:p>
    <w:p w:rsidRPr="00177C1F" w:rsidR="00BA550E" w:rsidP="007F3FE5" w:rsidRDefault="00793601" w14:paraId="6E3B3672" w14:textId="77777777">
      <w:pPr>
        <w:widowControl/>
        <w:contextualSpacing/>
        <w:jc w:val="center"/>
        <w:rPr>
          <w:bCs/>
        </w:rPr>
      </w:pPr>
      <w:r w:rsidRPr="00177C1F">
        <w:rPr>
          <w:bCs/>
        </w:rPr>
        <w:lastRenderedPageBreak/>
        <w:t xml:space="preserve">Supporting </w:t>
      </w:r>
      <w:proofErr w:type="gramStart"/>
      <w:r w:rsidRPr="00177C1F">
        <w:rPr>
          <w:bCs/>
        </w:rPr>
        <w:t>Statement</w:t>
      </w:r>
      <w:proofErr w:type="gramEnd"/>
      <w:r w:rsidRPr="00177C1F">
        <w:rPr>
          <w:bCs/>
        </w:rPr>
        <w:t xml:space="preserve"> A</w:t>
      </w:r>
    </w:p>
    <w:p w:rsidR="00BA550E" w:rsidP="007F3FE5" w:rsidRDefault="000543E5" w14:paraId="70A4A59A" w14:textId="26F93EC7">
      <w:pPr>
        <w:widowControl/>
        <w:contextualSpacing/>
        <w:rPr>
          <w:bCs/>
        </w:rPr>
      </w:pPr>
      <w:r>
        <w:rPr>
          <w:noProof/>
        </w:rPr>
        <mc:AlternateContent>
          <mc:Choice Requires="wps">
            <w:drawing>
              <wp:anchor distT="0" distB="0" distL="114300" distR="114300" simplePos="0" relativeHeight="251657728" behindDoc="0" locked="0" layoutInCell="1" allowOverlap="1" wp14:editId="2125173D" wp14:anchorId="0878E242">
                <wp:simplePos x="0" y="0"/>
                <wp:positionH relativeFrom="column">
                  <wp:align>center</wp:align>
                </wp:positionH>
                <wp:positionV relativeFrom="paragraph">
                  <wp:posOffset>59055</wp:posOffset>
                </wp:positionV>
                <wp:extent cx="5819775" cy="3162300"/>
                <wp:effectExtent l="12700" t="11430" r="635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162300"/>
                        </a:xfrm>
                        <a:prstGeom prst="rect">
                          <a:avLst/>
                        </a:prstGeom>
                        <a:solidFill>
                          <a:srgbClr val="FFFFFF"/>
                        </a:solidFill>
                        <a:ln w="9525">
                          <a:solidFill>
                            <a:srgbClr val="000000"/>
                          </a:solidFill>
                          <a:miter lim="800000"/>
                          <a:headEnd/>
                          <a:tailEnd/>
                        </a:ln>
                      </wps:spPr>
                      <wps:txbx>
                        <w:txbxContent>
                          <w:p w:rsidR="00434838" w:rsidP="00CB1AEC" w:rsidRDefault="00434838" w14:paraId="6C6366F3" w14:textId="77777777">
                            <w:pPr>
                              <w:numPr>
                                <w:ilvl w:val="0"/>
                                <w:numId w:val="4"/>
                              </w:numPr>
                            </w:pPr>
                            <w:r>
                              <w:t xml:space="preserve">The goal of the study is to support the </w:t>
                            </w:r>
                            <w:r w:rsidRPr="00CB1AEC">
                              <w:t>Public Health Safety and Bioterrorism Preparedness and Response Act of 2002 and ensure select agents or toxins are managed appropriately to prevent any threats to human health or safety.</w:t>
                            </w:r>
                          </w:p>
                          <w:p w:rsidR="00434838" w:rsidP="00CB1AEC" w:rsidRDefault="00434838" w14:paraId="3C717855" w14:textId="77777777">
                            <w:pPr>
                              <w:numPr>
                                <w:ilvl w:val="0"/>
                                <w:numId w:val="4"/>
                              </w:numPr>
                            </w:pPr>
                            <w:r>
                              <w:t>The intended use of the study is</w:t>
                            </w:r>
                            <w:r w:rsidRPr="00CB1AEC">
                              <w:t xml:space="preserve"> </w:t>
                            </w:r>
                            <w:r>
                              <w:t>to fulfill the requirements</w:t>
                            </w:r>
                            <w:r w:rsidRPr="00CB1AEC">
                              <w:t xml:space="preserve"> promulgated by HHS under this part </w:t>
                            </w:r>
                            <w:proofErr w:type="gramStart"/>
                            <w:r w:rsidRPr="00CB1AEC">
                              <w:t>and also</w:t>
                            </w:r>
                            <w:proofErr w:type="gramEnd"/>
                            <w:r w:rsidRPr="00CB1AEC">
                              <w:t xml:space="preserve"> subject to corresponding regulations promulgated by USDA at 9 CFR Part 121 and 7 CFR Part 331.  </w:t>
                            </w:r>
                          </w:p>
                          <w:p w:rsidR="00434838" w:rsidP="00CB1AEC" w:rsidRDefault="00434838" w14:paraId="682218B0" w14:textId="77777777">
                            <w:pPr>
                              <w:numPr>
                                <w:ilvl w:val="0"/>
                                <w:numId w:val="4"/>
                              </w:numPr>
                            </w:pPr>
                            <w:r>
                              <w:t xml:space="preserve">The method used to collect data/information is an </w:t>
                            </w:r>
                            <w:r w:rsidRPr="00CB1AEC">
                              <w:t xml:space="preserve">electronic data collection system that uses electronic forms, which are available on the Federal Select Agent Program website at http://www.selectagents.gov/forms.html in a pdf-fillable format for electronic submission.  </w:t>
                            </w:r>
                          </w:p>
                          <w:p w:rsidR="00434838" w:rsidP="00CB1AEC" w:rsidRDefault="00434838" w14:paraId="7F1A0089" w14:textId="77777777">
                            <w:pPr>
                              <w:numPr>
                                <w:ilvl w:val="0"/>
                                <w:numId w:val="4"/>
                              </w:numPr>
                            </w:pPr>
                            <w:r>
                              <w:t xml:space="preserve">The subpopulation to be studied are those individuals or entities </w:t>
                            </w:r>
                            <w:r w:rsidRPr="00CB1AEC">
                              <w:t>request</w:t>
                            </w:r>
                            <w:r>
                              <w:t>ing</w:t>
                            </w:r>
                            <w:r w:rsidRPr="00CB1AEC">
                              <w:t xml:space="preserve"> the possession and use of select agents and toxins or any changes to the entity’s registration, transfer of select agents and toxins, report the theft, loss or release of a select agent or toxin and report the identification of a select agent or toxin contained in a specimen presented for diagnosis, verification, or proficiency testing.  </w:t>
                            </w:r>
                          </w:p>
                          <w:p w:rsidR="00434838" w:rsidP="00CB1AEC" w:rsidRDefault="00434838" w14:paraId="2393777D" w14:textId="77777777">
                            <w:pPr>
                              <w:numPr>
                                <w:ilvl w:val="0"/>
                                <w:numId w:val="4"/>
                              </w:numPr>
                            </w:pPr>
                            <w:r w:rsidRPr="00CB1AEC">
                              <w:t xml:space="preserve">This collection of information does not employ statistical methods.  The data collection is mandated by 42 CFR 73.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878E242">
                <v:stroke joinstyle="miter"/>
                <v:path gradientshapeok="t" o:connecttype="rect"/>
              </v:shapetype>
              <v:shape id="Text Box 2" style="position:absolute;margin-left:0;margin-top:4.65pt;width:458.25pt;height:249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">
                <v:textbox>
                  <w:txbxContent>
                    <w:p w:rsidR="00434838" w:rsidP="00CB1AEC" w:rsidRDefault="00434838" w14:paraId="6C6366F3" w14:textId="77777777">
                      <w:pPr>
                        <w:numPr>
                          <w:ilvl w:val="0"/>
                          <w:numId w:val="4"/>
                        </w:numPr>
                      </w:pPr>
                      <w:r>
                        <w:t xml:space="preserve">The goal of the study is to support the </w:t>
                      </w:r>
                      <w:r w:rsidRPr="00CB1AEC">
                        <w:t>Public Health Safety and Bioterrorism Preparedness and Response Act of 2002 and ensure select agents or toxins are managed appropriately to prevent any threats to human health or safety.</w:t>
                      </w:r>
                    </w:p>
                    <w:p w:rsidR="00434838" w:rsidP="00CB1AEC" w:rsidRDefault="00434838" w14:paraId="3C717855" w14:textId="77777777">
                      <w:pPr>
                        <w:numPr>
                          <w:ilvl w:val="0"/>
                          <w:numId w:val="4"/>
                        </w:numPr>
                      </w:pPr>
                      <w:r>
                        <w:t>The intended use of the study is</w:t>
                      </w:r>
                      <w:r w:rsidRPr="00CB1AEC">
                        <w:t xml:space="preserve"> </w:t>
                      </w:r>
                      <w:r>
                        <w:t>to fulfill the requirements</w:t>
                      </w:r>
                      <w:r w:rsidRPr="00CB1AEC">
                        <w:t xml:space="preserve"> promulgated by HHS under this part </w:t>
                      </w:r>
                      <w:proofErr w:type="gramStart"/>
                      <w:r w:rsidRPr="00CB1AEC">
                        <w:t>and also</w:t>
                      </w:r>
                      <w:proofErr w:type="gramEnd"/>
                      <w:r w:rsidRPr="00CB1AEC">
                        <w:t xml:space="preserve"> subject to corresponding regulations promulgated by USDA at 9 CFR Part 121 and 7 CFR Part 331.  </w:t>
                      </w:r>
                    </w:p>
                    <w:p w:rsidR="00434838" w:rsidP="00CB1AEC" w:rsidRDefault="00434838" w14:paraId="682218B0" w14:textId="77777777">
                      <w:pPr>
                        <w:numPr>
                          <w:ilvl w:val="0"/>
                          <w:numId w:val="4"/>
                        </w:numPr>
                      </w:pPr>
                      <w:r>
                        <w:t xml:space="preserve">The method used to collect data/information is an </w:t>
                      </w:r>
                      <w:r w:rsidRPr="00CB1AEC">
                        <w:t xml:space="preserve">electronic data collection system that uses electronic forms, which are available on the Federal Select Agent Program website at http://www.selectagents.gov/forms.html in a pdf-fillable format for electronic submission.  </w:t>
                      </w:r>
                    </w:p>
                    <w:p w:rsidR="00434838" w:rsidP="00CB1AEC" w:rsidRDefault="00434838" w14:paraId="7F1A0089" w14:textId="77777777">
                      <w:pPr>
                        <w:numPr>
                          <w:ilvl w:val="0"/>
                          <w:numId w:val="4"/>
                        </w:numPr>
                      </w:pPr>
                      <w:r>
                        <w:t xml:space="preserve">The subpopulation to be studied are those individuals or entities </w:t>
                      </w:r>
                      <w:r w:rsidRPr="00CB1AEC">
                        <w:t>request</w:t>
                      </w:r>
                      <w:r>
                        <w:t>ing</w:t>
                      </w:r>
                      <w:r w:rsidRPr="00CB1AEC">
                        <w:t xml:space="preserve"> the possession and use of select agents and toxins or any changes to the entity’s registration, transfer of select agents and toxins, report the theft, loss or release of a select agent or toxin and report the identification of a select agent or toxin contained in a specimen presented for diagnosis, verification, or proficiency testing.  </w:t>
                      </w:r>
                    </w:p>
                    <w:p w:rsidR="00434838" w:rsidP="00CB1AEC" w:rsidRDefault="00434838" w14:paraId="2393777D" w14:textId="77777777">
                      <w:pPr>
                        <w:numPr>
                          <w:ilvl w:val="0"/>
                          <w:numId w:val="4"/>
                        </w:numPr>
                      </w:pPr>
                      <w:r w:rsidRPr="00CB1AEC">
                        <w:t xml:space="preserve">This collection of information does not employ statistical methods.  The data collection is mandated by 42 CFR 73.  </w:t>
                      </w:r>
                    </w:p>
                  </w:txbxContent>
                </v:textbox>
              </v:shape>
            </w:pict>
          </mc:Fallback>
        </mc:AlternateContent>
      </w:r>
    </w:p>
    <w:p w:rsidR="00016741" w:rsidP="007F3FE5" w:rsidRDefault="00016741" w14:paraId="7771FE40" w14:textId="77777777">
      <w:pPr>
        <w:widowControl/>
        <w:contextualSpacing/>
        <w:rPr>
          <w:bCs/>
        </w:rPr>
      </w:pPr>
    </w:p>
    <w:p w:rsidR="00016741" w:rsidP="007F3FE5" w:rsidRDefault="00016741" w14:paraId="6B33E072" w14:textId="77777777">
      <w:pPr>
        <w:widowControl/>
        <w:contextualSpacing/>
        <w:rPr>
          <w:bCs/>
        </w:rPr>
      </w:pPr>
    </w:p>
    <w:p w:rsidR="00016741" w:rsidP="007F3FE5" w:rsidRDefault="00016741" w14:paraId="403677B7" w14:textId="77777777">
      <w:pPr>
        <w:widowControl/>
        <w:contextualSpacing/>
        <w:rPr>
          <w:bCs/>
        </w:rPr>
      </w:pPr>
    </w:p>
    <w:p w:rsidR="00016741" w:rsidP="007F3FE5" w:rsidRDefault="00016741" w14:paraId="049B7C87" w14:textId="77777777">
      <w:pPr>
        <w:widowControl/>
        <w:contextualSpacing/>
        <w:rPr>
          <w:bCs/>
        </w:rPr>
      </w:pPr>
    </w:p>
    <w:p w:rsidR="00016741" w:rsidP="007F3FE5" w:rsidRDefault="00016741" w14:paraId="5C0500BD" w14:textId="77777777">
      <w:pPr>
        <w:widowControl/>
        <w:contextualSpacing/>
        <w:rPr>
          <w:bCs/>
        </w:rPr>
      </w:pPr>
    </w:p>
    <w:p w:rsidR="00016741" w:rsidP="007F3FE5" w:rsidRDefault="00016741" w14:paraId="46FA2741" w14:textId="77777777">
      <w:pPr>
        <w:widowControl/>
        <w:contextualSpacing/>
        <w:rPr>
          <w:bCs/>
        </w:rPr>
      </w:pPr>
    </w:p>
    <w:p w:rsidR="00016741" w:rsidP="007F3FE5" w:rsidRDefault="00016741" w14:paraId="05C0C53B" w14:textId="77777777">
      <w:pPr>
        <w:widowControl/>
        <w:contextualSpacing/>
        <w:rPr>
          <w:bCs/>
        </w:rPr>
      </w:pPr>
    </w:p>
    <w:p w:rsidR="00016741" w:rsidP="007F3FE5" w:rsidRDefault="00016741" w14:paraId="4F5B0907" w14:textId="77777777">
      <w:pPr>
        <w:widowControl/>
        <w:contextualSpacing/>
        <w:rPr>
          <w:bCs/>
        </w:rPr>
      </w:pPr>
    </w:p>
    <w:p w:rsidR="00016741" w:rsidP="007F3FE5" w:rsidRDefault="00016741" w14:paraId="72762BE7" w14:textId="77777777">
      <w:pPr>
        <w:widowControl/>
        <w:contextualSpacing/>
        <w:rPr>
          <w:bCs/>
        </w:rPr>
      </w:pPr>
    </w:p>
    <w:p w:rsidR="00016741" w:rsidP="007F3FE5" w:rsidRDefault="00016741" w14:paraId="3A7F3F5E" w14:textId="77777777">
      <w:pPr>
        <w:widowControl/>
        <w:contextualSpacing/>
        <w:rPr>
          <w:bCs/>
        </w:rPr>
      </w:pPr>
    </w:p>
    <w:p w:rsidR="00016741" w:rsidP="007F3FE5" w:rsidRDefault="00016741" w14:paraId="3EAEDC21" w14:textId="77777777">
      <w:pPr>
        <w:widowControl/>
        <w:contextualSpacing/>
        <w:rPr>
          <w:bCs/>
        </w:rPr>
      </w:pPr>
    </w:p>
    <w:p w:rsidR="00016741" w:rsidP="007F3FE5" w:rsidRDefault="00016741" w14:paraId="553FB5CE" w14:textId="77777777">
      <w:pPr>
        <w:widowControl/>
        <w:contextualSpacing/>
        <w:rPr>
          <w:bCs/>
        </w:rPr>
      </w:pPr>
    </w:p>
    <w:p w:rsidR="00016741" w:rsidP="007F3FE5" w:rsidRDefault="00016741" w14:paraId="082E752F" w14:textId="77777777">
      <w:pPr>
        <w:widowControl/>
        <w:contextualSpacing/>
        <w:rPr>
          <w:bCs/>
        </w:rPr>
      </w:pPr>
    </w:p>
    <w:p w:rsidR="00016741" w:rsidP="007F3FE5" w:rsidRDefault="00016741" w14:paraId="79523B47" w14:textId="77777777">
      <w:pPr>
        <w:widowControl/>
        <w:contextualSpacing/>
        <w:rPr>
          <w:bCs/>
        </w:rPr>
      </w:pPr>
    </w:p>
    <w:p w:rsidR="00016741" w:rsidP="007F3FE5" w:rsidRDefault="00016741" w14:paraId="62B8FD44" w14:textId="77777777">
      <w:pPr>
        <w:widowControl/>
        <w:contextualSpacing/>
        <w:rPr>
          <w:bCs/>
        </w:rPr>
      </w:pPr>
    </w:p>
    <w:p w:rsidR="00016741" w:rsidP="007F3FE5" w:rsidRDefault="00016741" w14:paraId="6DD8F7E3" w14:textId="77777777">
      <w:pPr>
        <w:widowControl/>
        <w:contextualSpacing/>
        <w:rPr>
          <w:bCs/>
        </w:rPr>
      </w:pPr>
    </w:p>
    <w:p w:rsidR="00016741" w:rsidP="007F3FE5" w:rsidRDefault="00016741" w14:paraId="37AAA5AB" w14:textId="77777777">
      <w:pPr>
        <w:widowControl/>
        <w:contextualSpacing/>
        <w:rPr>
          <w:bCs/>
        </w:rPr>
      </w:pPr>
    </w:p>
    <w:p w:rsidR="00016741" w:rsidP="007F3FE5" w:rsidRDefault="00016741" w14:paraId="28A261AC" w14:textId="77777777">
      <w:pPr>
        <w:widowControl/>
        <w:contextualSpacing/>
        <w:rPr>
          <w:bCs/>
        </w:rPr>
      </w:pPr>
    </w:p>
    <w:p w:rsidR="00016741" w:rsidP="007F3FE5" w:rsidRDefault="00016741" w14:paraId="7889C113" w14:textId="77777777">
      <w:pPr>
        <w:widowControl/>
        <w:contextualSpacing/>
        <w:rPr>
          <w:bCs/>
        </w:rPr>
      </w:pPr>
    </w:p>
    <w:p w:rsidRPr="00177C1F" w:rsidR="00BA550E" w:rsidP="00177C1F" w:rsidRDefault="00793601" w14:paraId="57C0DB94" w14:textId="77777777">
      <w:pPr>
        <w:pStyle w:val="Heading2"/>
        <w:rPr>
          <w:rFonts w:ascii="Times New Roman" w:hAnsi="Times New Roman"/>
          <w:sz w:val="24"/>
          <w:szCs w:val="24"/>
        </w:rPr>
      </w:pPr>
      <w:bookmarkStart w:name="_Toc412817452" w:id="0"/>
      <w:r w:rsidRPr="00177C1F">
        <w:rPr>
          <w:rFonts w:ascii="Times New Roman" w:hAnsi="Times New Roman"/>
          <w:sz w:val="24"/>
          <w:szCs w:val="24"/>
        </w:rPr>
        <w:t>A.  Justification</w:t>
      </w:r>
      <w:bookmarkEnd w:id="0"/>
    </w:p>
    <w:p w:rsidRPr="00177C1F" w:rsidR="00BA550E" w:rsidP="007F3FE5" w:rsidRDefault="00BA550E" w14:paraId="1CB4A957" w14:textId="77777777">
      <w:pPr>
        <w:widowControl/>
        <w:contextualSpacing/>
      </w:pPr>
    </w:p>
    <w:p w:rsidRPr="00177C1F" w:rsidR="00010E55" w:rsidP="007F3FE5" w:rsidRDefault="00010E55" w14:paraId="59D129A6" w14:textId="77777777">
      <w:pPr>
        <w:widowControl/>
        <w:contextualSpacing/>
      </w:pPr>
      <w:r w:rsidRPr="00177C1F">
        <w:t xml:space="preserve">This is </w:t>
      </w:r>
      <w:r w:rsidR="001C5890">
        <w:t xml:space="preserve">a </w:t>
      </w:r>
      <w:r w:rsidRPr="00177C1F">
        <w:t xml:space="preserve">request for revision to OMB Control No. 0920-0576: Possession, Use, and Transfer of Select Agents and Toxins; Final Rule.  The data collection and reporting requirements are required under 42 CFR Part 73 (Attachment 1).  This request reflects revisions to the forms </w:t>
      </w:r>
      <w:r w:rsidRPr="00177C1F" w:rsidR="001D4504">
        <w:t>since Office of Management and Budget</w:t>
      </w:r>
      <w:r w:rsidRPr="00177C1F" w:rsidR="009812F9">
        <w:t xml:space="preserve"> (OMB)</w:t>
      </w:r>
      <w:r w:rsidRPr="00177C1F" w:rsidR="001D4504">
        <w:t xml:space="preserve">’s approval in </w:t>
      </w:r>
      <w:r w:rsidR="00435D0C">
        <w:t>October 2017</w:t>
      </w:r>
      <w:r w:rsidRPr="00177C1F" w:rsidR="001D4504">
        <w:t xml:space="preserve">.  </w:t>
      </w:r>
      <w:r w:rsidRPr="00177C1F">
        <w:t xml:space="preserve">The revisions to the data collection are primarily changes to the forms to clarify instructions, correct editorial errors from previous submission, and reformat the structure of the forms based on the day-to-day processing of these forms.  </w:t>
      </w:r>
      <w:r w:rsidR="00714B99">
        <w:t xml:space="preserve">Changes were made to the following forms: </w:t>
      </w:r>
      <w:r w:rsidRPr="00714B99" w:rsidR="00714B99">
        <w:t>Report of Identification of a Select Agent or Toxin</w:t>
      </w:r>
      <w:r w:rsidR="00714B99">
        <w:t xml:space="preserve">, </w:t>
      </w:r>
      <w:r w:rsidRPr="00714B99" w:rsidR="00714B99">
        <w:t>Request of Exemption</w:t>
      </w:r>
      <w:r w:rsidR="00714B99">
        <w:t xml:space="preserve">, </w:t>
      </w:r>
      <w:r w:rsidRPr="00B1624D" w:rsidR="00B1624D">
        <w:t>R</w:t>
      </w:r>
      <w:r w:rsidR="00B1624D">
        <w:t xml:space="preserve">eport of a Release/Loss/Theft, and Request, and </w:t>
      </w:r>
      <w:r w:rsidRPr="00177C1F" w:rsidR="00714B99">
        <w:t>Request to Transfer Select Agents and Toxins</w:t>
      </w:r>
      <w:r w:rsidR="005A7AC9">
        <w:t>.</w:t>
      </w:r>
      <w:r w:rsidRPr="00714B99" w:rsidDel="00714B99" w:rsidR="00714B99">
        <w:t xml:space="preserve"> </w:t>
      </w:r>
      <w:r w:rsidR="00714B99">
        <w:t>The</w:t>
      </w:r>
      <w:r w:rsidR="005A7AC9">
        <w:t xml:space="preserve"> </w:t>
      </w:r>
      <w:r w:rsidRPr="00177C1F">
        <w:t>Centers for Disease Control and Prevention (CDC) is requesting a 3-year approval for this data collection.  CDC in conjunction with U.S. D</w:t>
      </w:r>
      <w:r w:rsidRPr="00177C1F" w:rsidR="002702CB">
        <w:t>epartment of Agriculture</w:t>
      </w:r>
      <w:r w:rsidRPr="00177C1F" w:rsidR="00B966F7">
        <w:t xml:space="preserve"> (USDA)</w:t>
      </w:r>
      <w:r w:rsidRPr="00177C1F" w:rsidR="002702CB">
        <w:t>/</w:t>
      </w:r>
      <w:r w:rsidRPr="00177C1F" w:rsidR="00B966F7">
        <w:rPr>
          <w:bCs/>
        </w:rPr>
        <w:t xml:space="preserve"> Animal and Plant Health Inspection Service (APHIS)</w:t>
      </w:r>
      <w:r w:rsidRPr="00177C1F" w:rsidR="00626C52">
        <w:t xml:space="preserve"> </w:t>
      </w:r>
      <w:r w:rsidRPr="00177C1F">
        <w:t xml:space="preserve">will be using the same forms for this data collection. </w:t>
      </w:r>
    </w:p>
    <w:p w:rsidRPr="00177C1F" w:rsidR="00BA550E" w:rsidP="007F3FE5" w:rsidRDefault="00BA550E" w14:paraId="4837A43D" w14:textId="77777777">
      <w:pPr>
        <w:widowControl/>
        <w:contextualSpacing/>
        <w:rPr>
          <w:bCs/>
        </w:rPr>
      </w:pPr>
    </w:p>
    <w:p w:rsidRPr="00177C1F" w:rsidR="00BA550E" w:rsidP="00177C1F" w:rsidRDefault="00793601" w14:paraId="19A49752" w14:textId="77777777">
      <w:pPr>
        <w:pStyle w:val="Heading3"/>
        <w:rPr>
          <w:rFonts w:ascii="Times New Roman" w:hAnsi="Times New Roman"/>
          <w:color w:val="auto"/>
          <w:sz w:val="24"/>
          <w:szCs w:val="24"/>
        </w:rPr>
      </w:pPr>
      <w:bookmarkStart w:name="_Toc412817453" w:id="1"/>
      <w:r w:rsidRPr="00177C1F">
        <w:rPr>
          <w:rFonts w:ascii="Times New Roman" w:hAnsi="Times New Roman"/>
          <w:color w:val="auto"/>
          <w:sz w:val="24"/>
          <w:szCs w:val="24"/>
        </w:rPr>
        <w:t>1.  Circumstances Making the Collection of Information Necessary</w:t>
      </w:r>
      <w:bookmarkEnd w:id="1"/>
    </w:p>
    <w:p w:rsidRPr="00177C1F" w:rsidR="00BA550E" w:rsidP="007F3FE5" w:rsidRDefault="00BA550E" w14:paraId="5A4DF27D" w14:textId="77777777">
      <w:pPr>
        <w:widowControl/>
        <w:contextualSpacing/>
        <w:rPr>
          <w:bCs/>
        </w:rPr>
      </w:pPr>
    </w:p>
    <w:p w:rsidRPr="00177C1F" w:rsidR="00BA550E" w:rsidP="00B966F7" w:rsidRDefault="00245C9F" w14:paraId="7B5C8D1C" w14:textId="77777777">
      <w:pPr>
        <w:widowControl/>
        <w:contextualSpacing/>
        <w:rPr>
          <w:bCs/>
        </w:rPr>
      </w:pPr>
      <w:r w:rsidRPr="00177C1F">
        <w:rPr>
          <w:bCs/>
        </w:rPr>
        <w:t xml:space="preserve">Subtitle A of the Public Health Security and Bioterrorism Preparedness and Response Act of 2002, (42 U.S.C. 262a), requires the United States Department of Health and Human Services (HHS) to regulate the possession, use, and transfer of biological agents or toxins that have the potential to pose a severe threat to public health and safety (select agents and toxins).   Subtitle B of the Public Health Security and Bioterrorism Preparedness and Response Act of 2002 (which may be cited as the Agricultural Bioterrorism Protection Act of 2002), (7 U.S.C. 8401), requires </w:t>
      </w:r>
      <w:r w:rsidRPr="00177C1F">
        <w:rPr>
          <w:bCs/>
        </w:rPr>
        <w:lastRenderedPageBreak/>
        <w:t>the USDA to regulate the possession, use, and transfer of biological agents or toxins that have the potential to pose a severe threat to animal or plant health, or animal or plant products (select agents and toxins).  Accordingly, HHS and USDA have promulgated regulations requiring individuals or entities that possess, use, or transfer select agents and toxins to register with the CDC or APHIS.  See 42 C.F.R. Part 73, 7 C.F.R. Part 331, and 9 C.F.R. Part 121 (the select agent regulations). The Federal Select Agent Program (FSAP) is the collaboration of the CDC, Division of Select Agents and Toxins (DSAT) and the APHIS Agriculture Select Agent Services (</w:t>
      </w:r>
      <w:proofErr w:type="spellStart"/>
      <w:r w:rsidRPr="00177C1F">
        <w:rPr>
          <w:bCs/>
        </w:rPr>
        <w:t>AgSAS</w:t>
      </w:r>
      <w:proofErr w:type="spellEnd"/>
      <w:r w:rsidRPr="00177C1F">
        <w:rPr>
          <w:bCs/>
        </w:rPr>
        <w:t>) to administer the select agent regulations in a manner to minimize the administrative burden on persons subject to the select agent regulations.  The FSAP administers the select agent regulations in close coordination with the Federal Bureau of Investigation’s Criminal Justice Information Services (CJIS).  Accordingly, CDC and APHIS have adopted an identical system to collect information for the possession, use, and transfer of select agents and toxins.</w:t>
      </w:r>
    </w:p>
    <w:p w:rsidRPr="00177C1F" w:rsidR="00D6788A" w:rsidP="007F3FE5" w:rsidRDefault="00D6788A" w14:paraId="289E5400" w14:textId="77777777">
      <w:pPr>
        <w:widowControl/>
        <w:contextualSpacing/>
        <w:rPr>
          <w:bCs/>
        </w:rPr>
      </w:pPr>
    </w:p>
    <w:p w:rsidRPr="00177C1F" w:rsidR="003E07E7" w:rsidP="007F3FE5" w:rsidRDefault="003E07E7" w14:paraId="5D093BF8" w14:textId="77777777">
      <w:pPr>
        <w:widowControl/>
        <w:contextualSpacing/>
        <w:rPr>
          <w:bCs/>
        </w:rPr>
      </w:pPr>
    </w:p>
    <w:p w:rsidRPr="00177C1F" w:rsidR="00BA550E" w:rsidP="00177C1F" w:rsidRDefault="00793601" w14:paraId="464E8D3C" w14:textId="77777777">
      <w:pPr>
        <w:pStyle w:val="Heading3"/>
        <w:rPr>
          <w:rFonts w:ascii="Times New Roman" w:hAnsi="Times New Roman"/>
          <w:color w:val="auto"/>
          <w:sz w:val="24"/>
          <w:szCs w:val="24"/>
        </w:rPr>
      </w:pPr>
      <w:bookmarkStart w:name="_Toc412817454" w:id="2"/>
      <w:r w:rsidRPr="00177C1F">
        <w:rPr>
          <w:rFonts w:ascii="Times New Roman" w:hAnsi="Times New Roman"/>
          <w:color w:val="auto"/>
          <w:sz w:val="24"/>
          <w:szCs w:val="24"/>
        </w:rPr>
        <w:t>2.  Purpose and Use of Information Collection</w:t>
      </w:r>
      <w:bookmarkEnd w:id="2"/>
    </w:p>
    <w:p w:rsidRPr="00177C1F" w:rsidR="00BA550E" w:rsidP="007F3FE5" w:rsidRDefault="00BA550E" w14:paraId="4E8CFF1A" w14:textId="77777777">
      <w:pPr>
        <w:widowControl/>
        <w:contextualSpacing/>
        <w:rPr>
          <w:bCs/>
        </w:rPr>
      </w:pPr>
    </w:p>
    <w:p w:rsidR="00BA550E" w:rsidP="007F3FE5" w:rsidRDefault="00793601" w14:paraId="12236D27" w14:textId="77777777">
      <w:pPr>
        <w:widowControl/>
        <w:contextualSpacing/>
        <w:rPr>
          <w:bCs/>
        </w:rPr>
      </w:pPr>
      <w:r w:rsidRPr="00177C1F">
        <w:rPr>
          <w:bCs/>
        </w:rPr>
        <w:t xml:space="preserve">The agents and toxins subject to the HHS data collection are those that pose a serious threat to public health and safety.  These agents and toxins are further identified as non-overlap or overlap agents or toxins.  These agents and toxins are subject to requirements promulgated by HHS under </w:t>
      </w:r>
      <w:r w:rsidR="00B1624D">
        <w:rPr>
          <w:bCs/>
        </w:rPr>
        <w:t>42 CFR Part 73</w:t>
      </w:r>
      <w:r w:rsidRPr="00177C1F">
        <w:rPr>
          <w:bCs/>
        </w:rPr>
        <w:t xml:space="preserve"> </w:t>
      </w:r>
      <w:proofErr w:type="gramStart"/>
      <w:r w:rsidRPr="00177C1F">
        <w:rPr>
          <w:bCs/>
        </w:rPr>
        <w:t>and also</w:t>
      </w:r>
      <w:proofErr w:type="gramEnd"/>
      <w:r w:rsidRPr="00177C1F">
        <w:rPr>
          <w:bCs/>
        </w:rPr>
        <w:t xml:space="preserve"> subject to corresponding regulations promulgated by USDA at 9 CFR Part 121 and 7 CFR Part 331.  This information will assist with meeting the goals of the Public Health Safety and Bioterrorism Preparedness and Response Act of 2002 and ensure select agents or toxins are managed appropriately to prevent any threats to human health or safety.</w:t>
      </w:r>
      <w:r w:rsidRPr="00177C1F" w:rsidR="00DA18CA">
        <w:rPr>
          <w:bCs/>
        </w:rPr>
        <w:t xml:space="preserve"> </w:t>
      </w:r>
    </w:p>
    <w:p w:rsidR="006C74E3" w:rsidP="007F3FE5" w:rsidRDefault="006C74E3" w14:paraId="741F2970" w14:textId="77777777">
      <w:pPr>
        <w:widowControl/>
        <w:contextualSpacing/>
        <w:rPr>
          <w:bCs/>
        </w:rPr>
      </w:pPr>
    </w:p>
    <w:p w:rsidR="00563120" w:rsidP="007F3FE5" w:rsidRDefault="00563120" w14:paraId="6A859756" w14:textId="77777777">
      <w:pPr>
        <w:widowControl/>
        <w:contextualSpacing/>
        <w:rPr>
          <w:bCs/>
        </w:rPr>
      </w:pPr>
      <w:r>
        <w:rPr>
          <w:bCs/>
        </w:rPr>
        <w:t>Request for Exclusion</w:t>
      </w:r>
      <w:r w:rsidR="00BA59E7">
        <w:rPr>
          <w:bCs/>
        </w:rPr>
        <w:t xml:space="preserve">: </w:t>
      </w:r>
      <w:r w:rsidRPr="00E0526D" w:rsidR="00BA59E7">
        <w:t>An attenuated strain of a select agent or a select toxin modified to be less potent or toxic may be excluded from the requirements of this part based upon a determination by the HHS Secretary that the attenuated strain or modified toxin does not pose a severe threat to public health and safety</w:t>
      </w:r>
      <w:r w:rsidR="00BA59E7">
        <w:t xml:space="preserve"> </w:t>
      </w:r>
      <w:r w:rsidR="00BA59E7">
        <w:rPr>
          <w:rFonts w:ascii="Times New Roman TUR" w:hAnsi="Times New Roman TUR" w:cs="Times New Roman TUR"/>
          <w:bCs/>
        </w:rPr>
        <w:t>(42 CFR 73.3 and 4 (e))</w:t>
      </w:r>
      <w:r w:rsidRPr="00657099" w:rsidR="00BA59E7">
        <w:rPr>
          <w:rFonts w:ascii="Times New Roman TUR" w:hAnsi="Times New Roman TUR" w:cs="Times New Roman TUR"/>
          <w:bCs/>
        </w:rPr>
        <w:t>.</w:t>
      </w:r>
      <w:r w:rsidR="00342839">
        <w:rPr>
          <w:rFonts w:ascii="Times New Roman TUR" w:hAnsi="Times New Roman TUR" w:cs="Times New Roman TUR"/>
          <w:bCs/>
        </w:rPr>
        <w:t xml:space="preserve"> </w:t>
      </w:r>
      <w:r w:rsidRPr="00657099" w:rsidR="00342839">
        <w:rPr>
          <w:rFonts w:ascii="Times New Roman TUR" w:hAnsi="Times New Roman TUR" w:cs="Times New Roman TUR"/>
          <w:bCs/>
        </w:rPr>
        <w:t>CDC has not developed standardized forms to use in the above situation.  Rather, the entity should provide the information as requested in the appropriate section of the regulation.</w:t>
      </w:r>
    </w:p>
    <w:p w:rsidR="00563120" w:rsidP="007F3FE5" w:rsidRDefault="00563120" w14:paraId="220B9C94" w14:textId="77777777">
      <w:pPr>
        <w:widowControl/>
        <w:contextualSpacing/>
        <w:rPr>
          <w:bCs/>
        </w:rPr>
      </w:pPr>
    </w:p>
    <w:p w:rsidRPr="006C74E3" w:rsidR="00563120" w:rsidP="00563120" w:rsidRDefault="00563120" w14:paraId="3282A78B" w14:textId="77777777">
      <w:pPr>
        <w:widowControl/>
        <w:contextualSpacing/>
        <w:rPr>
          <w:bCs/>
        </w:rPr>
      </w:pPr>
      <w:r w:rsidRPr="006C74E3">
        <w:rPr>
          <w:bCs/>
        </w:rPr>
        <w:t xml:space="preserve">The Report of Identification of Select Agent or Toxin form (42 CFR 73.5(a) (b) and 73.6(a) (b)) is used by clinical or diagnostic laboratories and other entities to notify FSAP that a select agent or toxin identified as the result of diagnosis, verification, or proficiency testing have been disposed of in a proper manner.   </w:t>
      </w:r>
    </w:p>
    <w:p w:rsidR="00563120" w:rsidP="007F3FE5" w:rsidRDefault="00563120" w14:paraId="596247CD" w14:textId="77777777">
      <w:pPr>
        <w:widowControl/>
        <w:contextualSpacing/>
        <w:rPr>
          <w:bCs/>
        </w:rPr>
      </w:pPr>
    </w:p>
    <w:p w:rsidRPr="00177C1F" w:rsidR="00563120" w:rsidP="00563120" w:rsidRDefault="00563120" w14:paraId="2A69682E" w14:textId="77777777">
      <w:pPr>
        <w:widowControl/>
        <w:contextualSpacing/>
        <w:rPr>
          <w:bCs/>
        </w:rPr>
      </w:pPr>
      <w:r w:rsidRPr="006C74E3">
        <w:rPr>
          <w:bCs/>
        </w:rPr>
        <w:t xml:space="preserve">The Request for Exemption form (42 CFR 73.5(d)(e) and 73.6(d)(e)) is used by entities that are using an investigational product that are, bear, or contain select agents or toxins.     </w:t>
      </w:r>
    </w:p>
    <w:p w:rsidRPr="00177C1F" w:rsidR="00563120" w:rsidP="007F3FE5" w:rsidRDefault="00563120" w14:paraId="28CE64FC" w14:textId="77777777">
      <w:pPr>
        <w:widowControl/>
        <w:contextualSpacing/>
        <w:rPr>
          <w:bCs/>
        </w:rPr>
      </w:pPr>
    </w:p>
    <w:p w:rsidRPr="006C74E3" w:rsidR="006C74E3" w:rsidP="006C74E3" w:rsidRDefault="006C74E3" w14:paraId="1104DAD6" w14:textId="77777777">
      <w:pPr>
        <w:widowControl/>
        <w:contextualSpacing/>
        <w:rPr>
          <w:bCs/>
        </w:rPr>
      </w:pPr>
      <w:r w:rsidRPr="006C74E3">
        <w:rPr>
          <w:bCs/>
        </w:rPr>
        <w:t xml:space="preserve">The Application for Registration (42 CFR, 73.7(d)) is used by entities to register with FSAP.  The Application for Registration requests facility information; a list of select agents or toxins in use, possession, or for transfer by the entity; characterization of the select agent or toxin; and laboratory information.  This form is also used by the entity to amend their registration (42 CFR, 73.7(h) (1)) if any changes occur in the information submitted. When applying for an amendment to a certificate of registration, an entity must obtain the relevant portion of the application package and submit the information requested in the package to FSAP.  </w:t>
      </w:r>
    </w:p>
    <w:p w:rsidR="006C74E3" w:rsidP="006C74E3" w:rsidRDefault="006C74E3" w14:paraId="024BFB91" w14:textId="77777777">
      <w:pPr>
        <w:widowControl/>
        <w:contextualSpacing/>
        <w:rPr>
          <w:bCs/>
        </w:rPr>
      </w:pPr>
    </w:p>
    <w:p w:rsidR="00563120" w:rsidP="006C74E3" w:rsidRDefault="00295157" w14:paraId="37FEA984" w14:textId="77777777">
      <w:pPr>
        <w:widowControl/>
        <w:contextualSpacing/>
        <w:rPr>
          <w:bCs/>
        </w:rPr>
      </w:pPr>
      <w:r>
        <w:rPr>
          <w:bCs/>
        </w:rPr>
        <w:t xml:space="preserve">The </w:t>
      </w:r>
      <w:r w:rsidR="00563120">
        <w:rPr>
          <w:bCs/>
        </w:rPr>
        <w:t>Amendment to a Certificate of Registration</w:t>
      </w:r>
      <w:r>
        <w:rPr>
          <w:bCs/>
        </w:rPr>
        <w:t xml:space="preserve"> Form is used to amend a Certificate of Registration.</w:t>
      </w:r>
    </w:p>
    <w:p w:rsidR="00563120" w:rsidP="006C74E3" w:rsidRDefault="00563120" w14:paraId="3FB9FD81" w14:textId="77777777">
      <w:pPr>
        <w:widowControl/>
        <w:contextualSpacing/>
        <w:rPr>
          <w:bCs/>
        </w:rPr>
      </w:pPr>
    </w:p>
    <w:p w:rsidR="00911C14" w:rsidP="00911C14" w:rsidRDefault="00563120" w14:paraId="5D3F1275" w14:textId="77777777">
      <w:r>
        <w:rPr>
          <w:bCs/>
        </w:rPr>
        <w:t>Documentation of Self-Inspection</w:t>
      </w:r>
      <w:r w:rsidR="00911C14">
        <w:rPr>
          <w:bCs/>
        </w:rPr>
        <w:t>:</w:t>
      </w:r>
      <w:r w:rsidRPr="00911C14" w:rsidR="00911C14">
        <w:t xml:space="preserve"> </w:t>
      </w:r>
      <w:r w:rsidRPr="00454D62" w:rsidR="00911C14">
        <w:t xml:space="preserve">Prior to issuance of a certificate of registration, CDC inspects entities to ensure compliance with this regulation (42 CFR 73.18).  As part of the inspection process, the entity may need to respond to written requests from CDC.  </w:t>
      </w:r>
      <w:r w:rsidRPr="00657099" w:rsidR="00342839">
        <w:rPr>
          <w:rFonts w:ascii="Times New Roman TUR" w:hAnsi="Times New Roman TUR" w:cs="Times New Roman TUR"/>
          <w:bCs/>
        </w:rPr>
        <w:t>CDC has not developed standardized forms to use in the above situation.  Rather, the entity should provide the information as requested in the appropriate section of the regulation.</w:t>
      </w:r>
    </w:p>
    <w:p w:rsidR="00563120" w:rsidP="006C74E3" w:rsidRDefault="00563120" w14:paraId="57B3EF1D" w14:textId="77777777">
      <w:pPr>
        <w:widowControl/>
        <w:contextualSpacing/>
        <w:rPr>
          <w:bCs/>
        </w:rPr>
      </w:pPr>
    </w:p>
    <w:p w:rsidR="00563120" w:rsidP="006C74E3" w:rsidRDefault="00563120" w14:paraId="2CE918DB" w14:textId="77777777">
      <w:pPr>
        <w:widowControl/>
        <w:contextualSpacing/>
        <w:rPr>
          <w:bCs/>
        </w:rPr>
      </w:pPr>
      <w:r>
        <w:rPr>
          <w:bCs/>
        </w:rPr>
        <w:t>Request for Expedited Review</w:t>
      </w:r>
      <w:r w:rsidR="00911C14">
        <w:rPr>
          <w:bCs/>
        </w:rPr>
        <w:t xml:space="preserve">: </w:t>
      </w:r>
      <w:r w:rsidRPr="00657099" w:rsidR="00911C14">
        <w:rPr>
          <w:rFonts w:ascii="Times New Roman TUR" w:hAnsi="Times New Roman TUR" w:cs="Times New Roman TUR"/>
          <w:bCs/>
        </w:rPr>
        <w:t xml:space="preserve">An entity may apply to the HHS Secretary for an expedited review of an individual by the Attorney General (42 CFR 73.10(e)).  To apply for this expedited review, an entity must submit a request in writing to the HHS Secretary establishing the need for such action.  </w:t>
      </w:r>
      <w:r w:rsidRPr="00657099" w:rsidR="00342839">
        <w:rPr>
          <w:rFonts w:ascii="Times New Roman TUR" w:hAnsi="Times New Roman TUR" w:cs="Times New Roman TUR"/>
          <w:bCs/>
        </w:rPr>
        <w:t>CDC has not developed standardized forms to use in the above situation.  Rather, the entity should provide the information as requested in the appropriate section of the regulation.</w:t>
      </w:r>
    </w:p>
    <w:p w:rsidR="00563120" w:rsidP="006C74E3" w:rsidRDefault="00563120" w14:paraId="056B63ED" w14:textId="77777777">
      <w:pPr>
        <w:widowControl/>
        <w:contextualSpacing/>
        <w:rPr>
          <w:bCs/>
        </w:rPr>
      </w:pPr>
    </w:p>
    <w:p w:rsidR="00563120" w:rsidP="006C74E3" w:rsidRDefault="00563120" w14:paraId="03E530D3" w14:textId="77777777">
      <w:pPr>
        <w:widowControl/>
        <w:contextualSpacing/>
        <w:rPr>
          <w:bCs/>
        </w:rPr>
      </w:pPr>
      <w:r>
        <w:rPr>
          <w:bCs/>
        </w:rPr>
        <w:t>Security Plan</w:t>
      </w:r>
      <w:r w:rsidR="00F2752E">
        <w:rPr>
          <w:bCs/>
        </w:rPr>
        <w:t>:</w:t>
      </w:r>
      <w:r>
        <w:rPr>
          <w:bCs/>
        </w:rPr>
        <w:t xml:space="preserve"> </w:t>
      </w:r>
      <w:r w:rsidR="00F2752E">
        <w:t xml:space="preserve">An individual or entity required to register under this part must develop and implement a written security plan. The security plan must be </w:t>
      </w:r>
      <w:proofErr w:type="gramStart"/>
      <w:r w:rsidR="00F2752E">
        <w:t>sufficient</w:t>
      </w:r>
      <w:proofErr w:type="gramEnd"/>
      <w:r w:rsidR="00F2752E">
        <w:t xml:space="preserve"> to safeguard the select agent or toxin against unauthorized access, theft, loss, or release </w:t>
      </w:r>
      <w:r w:rsidR="00F2752E">
        <w:rPr>
          <w:rFonts w:ascii="Times New Roman TUR" w:hAnsi="Times New Roman TUR" w:cs="Times New Roman TUR"/>
          <w:bCs/>
        </w:rPr>
        <w:t>(42 CFR 73.11(a))</w:t>
      </w:r>
      <w:r w:rsidRPr="00657099" w:rsidR="00F2752E">
        <w:rPr>
          <w:rFonts w:ascii="Times New Roman TUR" w:hAnsi="Times New Roman TUR" w:cs="Times New Roman TUR"/>
          <w:bCs/>
        </w:rPr>
        <w:t xml:space="preserve">. </w:t>
      </w:r>
      <w:r w:rsidRPr="00657099" w:rsidR="00342839">
        <w:rPr>
          <w:rFonts w:ascii="Times New Roman TUR" w:hAnsi="Times New Roman TUR" w:cs="Times New Roman TUR"/>
          <w:bCs/>
        </w:rPr>
        <w:t>CDC has not developed standardized forms to use in the above situation.  Rather, the entity should provide the information as requested in the appropriate section of the regulation.</w:t>
      </w:r>
      <w:r w:rsidRPr="00657099" w:rsidR="00F2752E">
        <w:rPr>
          <w:rFonts w:ascii="Times New Roman TUR" w:hAnsi="Times New Roman TUR" w:cs="Times New Roman TUR"/>
          <w:bCs/>
        </w:rPr>
        <w:t xml:space="preserve"> </w:t>
      </w:r>
    </w:p>
    <w:p w:rsidR="00563120" w:rsidP="006C74E3" w:rsidRDefault="00563120" w14:paraId="0A8ECB33" w14:textId="77777777">
      <w:pPr>
        <w:widowControl/>
        <w:contextualSpacing/>
        <w:rPr>
          <w:bCs/>
        </w:rPr>
      </w:pPr>
    </w:p>
    <w:p w:rsidR="00563120" w:rsidP="006C74E3" w:rsidRDefault="00342839" w14:paraId="23160E04" w14:textId="77777777">
      <w:pPr>
        <w:widowControl/>
        <w:contextualSpacing/>
        <w:rPr>
          <w:bCs/>
        </w:rPr>
      </w:pPr>
      <w:r>
        <w:rPr>
          <w:bCs/>
        </w:rPr>
        <w:t xml:space="preserve">Biosafety Plan: </w:t>
      </w:r>
      <w:r w:rsidRPr="006F13A3">
        <w:t xml:space="preserve">An individual or entity required to register under this part must develop and implement a written biosafety plan that is commensurate with the risk of the select agent or toxin, given its intended use. The biosafety plan must contain </w:t>
      </w:r>
      <w:proofErr w:type="gramStart"/>
      <w:r w:rsidRPr="006F13A3">
        <w:t>sufficient</w:t>
      </w:r>
      <w:proofErr w:type="gramEnd"/>
      <w:r w:rsidRPr="006F13A3">
        <w:t xml:space="preserve"> information and documentation to describe the biosafety and containment procedures for the select agent or toxin, including any animals (including arthropods) or plants intentionally or accidentally exposed to or infected with a select agent</w:t>
      </w:r>
      <w:r>
        <w:t xml:space="preserve"> </w:t>
      </w:r>
      <w:r>
        <w:rPr>
          <w:rFonts w:ascii="Times New Roman TUR" w:hAnsi="Times New Roman TUR" w:cs="Times New Roman TUR"/>
          <w:bCs/>
        </w:rPr>
        <w:t>(42 CFR 73.12(a))</w:t>
      </w:r>
      <w:r w:rsidRPr="00657099">
        <w:rPr>
          <w:rFonts w:ascii="Times New Roman TUR" w:hAnsi="Times New Roman TUR" w:cs="Times New Roman TUR"/>
          <w:bCs/>
        </w:rPr>
        <w:t>.  CDC has not developed standardized forms to use in the above situation.  Rather, the entity should provide the information as requested in the appropriate section of the regulation.</w:t>
      </w:r>
    </w:p>
    <w:p w:rsidR="00563120" w:rsidP="006C74E3" w:rsidRDefault="00563120" w14:paraId="2024628E" w14:textId="77777777">
      <w:pPr>
        <w:widowControl/>
        <w:contextualSpacing/>
        <w:rPr>
          <w:bCs/>
        </w:rPr>
      </w:pPr>
    </w:p>
    <w:p w:rsidR="00342839" w:rsidP="00342839" w:rsidRDefault="00563120" w14:paraId="2EE5B6C8" w14:textId="77777777">
      <w:r>
        <w:rPr>
          <w:bCs/>
        </w:rPr>
        <w:t>Request Regard</w:t>
      </w:r>
      <w:r w:rsidR="00342839">
        <w:rPr>
          <w:bCs/>
        </w:rPr>
        <w:t>ing a Restricted Experiment:</w:t>
      </w:r>
      <w:r w:rsidRPr="00342839" w:rsidR="00342839">
        <w:t xml:space="preserve"> </w:t>
      </w:r>
      <w:r w:rsidR="00342839">
        <w:t>An individual or entity may not conduct, or possess products resulting from, the following experiments unless approved by and conducted in accordance with the conditions prescribed by the HHS Secretary:</w:t>
      </w:r>
    </w:p>
    <w:p w:rsidR="00342839" w:rsidP="00342839" w:rsidRDefault="00342839" w14:paraId="3DA1DE4A" w14:textId="77777777">
      <w:r>
        <w:t xml:space="preserve">(1) Experiments that involve the deliberate transfer of, or selection for, a drug resistance trait to select agents that are not known to acquire the trait naturally, if such acquisition could compromise the control of disease agents in humans, veterinary medicine, or agriculture. </w:t>
      </w:r>
    </w:p>
    <w:p w:rsidRPr="00657099" w:rsidR="00342839" w:rsidP="00342839" w:rsidRDefault="00342839" w14:paraId="05D9893D" w14:textId="77777777">
      <w:pPr>
        <w:rPr>
          <w:rFonts w:ascii="Times New Roman TUR" w:hAnsi="Times New Roman TUR" w:cs="Times New Roman TUR"/>
          <w:bCs/>
        </w:rPr>
      </w:pPr>
      <w:r>
        <w:t xml:space="preserve">(2) Experiments involving the deliberate formation of synthetic or recombinant DNA containing genes for the biosynthesis of select toxins lethal for vertebrates at an </w:t>
      </w:r>
      <w:proofErr w:type="gramStart"/>
      <w:r>
        <w:t>LD[</w:t>
      </w:r>
      <w:proofErr w:type="gramEnd"/>
      <w:r>
        <w:t xml:space="preserve">50] &lt; 100 ng/kg body weight </w:t>
      </w:r>
      <w:r>
        <w:rPr>
          <w:rFonts w:ascii="Times New Roman TUR" w:hAnsi="Times New Roman TUR" w:cs="Times New Roman TUR"/>
          <w:bCs/>
        </w:rPr>
        <w:t>(42 CFR 73.13 (a))</w:t>
      </w:r>
      <w:r w:rsidRPr="00657099">
        <w:rPr>
          <w:rFonts w:ascii="Times New Roman TUR" w:hAnsi="Times New Roman TUR" w:cs="Times New Roman TUR"/>
          <w:bCs/>
        </w:rPr>
        <w:t>.  CDC has not developed standardized forms to use in the above situation.  Rather, the entity should provide the information as requested in the appropriate section of the regulation.</w:t>
      </w:r>
    </w:p>
    <w:p w:rsidR="00563120" w:rsidP="006C74E3" w:rsidRDefault="00563120" w14:paraId="0572A029" w14:textId="77777777">
      <w:pPr>
        <w:widowControl/>
        <w:contextualSpacing/>
        <w:rPr>
          <w:bCs/>
        </w:rPr>
      </w:pPr>
    </w:p>
    <w:p w:rsidR="00563120" w:rsidP="006C74E3" w:rsidRDefault="00563120" w14:paraId="197704D0" w14:textId="77777777">
      <w:pPr>
        <w:widowControl/>
        <w:contextualSpacing/>
        <w:rPr>
          <w:bCs/>
        </w:rPr>
      </w:pPr>
    </w:p>
    <w:p w:rsidR="00563120" w:rsidP="006C74E3" w:rsidRDefault="00563120" w14:paraId="060050B8" w14:textId="77777777">
      <w:pPr>
        <w:widowControl/>
        <w:contextualSpacing/>
        <w:rPr>
          <w:bCs/>
        </w:rPr>
      </w:pPr>
      <w:r>
        <w:rPr>
          <w:bCs/>
        </w:rPr>
        <w:lastRenderedPageBreak/>
        <w:t>Incident</w:t>
      </w:r>
      <w:r w:rsidR="00342839">
        <w:rPr>
          <w:bCs/>
        </w:rPr>
        <w:t xml:space="preserve"> Response Plan: </w:t>
      </w:r>
      <w:r w:rsidRPr="00A92B2B" w:rsidR="00342839">
        <w:t xml:space="preserve">An individual or entity required to register under this part must develop and implement a written incident response plan based upon a </w:t>
      </w:r>
      <w:r w:rsidRPr="00A92B2B" w:rsidR="00B1624D">
        <w:t>site-specific</w:t>
      </w:r>
      <w:r w:rsidRPr="00A92B2B" w:rsidR="00342839">
        <w:t xml:space="preserve"> risk assessment. The incident response plan must be coordinated with any entity-wide plans, kept in the workplace, and available to employees for review</w:t>
      </w:r>
      <w:r w:rsidR="00342839">
        <w:t xml:space="preserve"> </w:t>
      </w:r>
      <w:r w:rsidR="00342839">
        <w:rPr>
          <w:rFonts w:ascii="Times New Roman TUR" w:hAnsi="Times New Roman TUR" w:cs="Times New Roman TUR"/>
          <w:bCs/>
        </w:rPr>
        <w:t>(42 CFR 73.14 (a))</w:t>
      </w:r>
      <w:r w:rsidRPr="00657099" w:rsidR="00342839">
        <w:rPr>
          <w:rFonts w:ascii="Times New Roman TUR" w:hAnsi="Times New Roman TUR" w:cs="Times New Roman TUR"/>
          <w:bCs/>
        </w:rPr>
        <w:t>.  CDC has not developed standardized forms to use in the above situation.  Rather, the entity should provide the information as requested in the appropriate section of the regulation.</w:t>
      </w:r>
    </w:p>
    <w:p w:rsidR="00563120" w:rsidP="006C74E3" w:rsidRDefault="00563120" w14:paraId="55255C50" w14:textId="77777777">
      <w:pPr>
        <w:widowControl/>
        <w:contextualSpacing/>
        <w:rPr>
          <w:bCs/>
        </w:rPr>
      </w:pPr>
    </w:p>
    <w:p w:rsidR="00563120" w:rsidP="006C74E3" w:rsidRDefault="00342839" w14:paraId="15534F1E" w14:textId="77777777">
      <w:pPr>
        <w:widowControl/>
        <w:contextualSpacing/>
        <w:rPr>
          <w:bCs/>
        </w:rPr>
      </w:pPr>
      <w:r>
        <w:rPr>
          <w:bCs/>
        </w:rPr>
        <w:t xml:space="preserve">Training: </w:t>
      </w:r>
      <w:r w:rsidRPr="00BD78BB">
        <w:rPr>
          <w:rFonts w:ascii="Times New Roman TUR" w:hAnsi="Times New Roman TUR" w:cs="Times New Roman TUR"/>
          <w:bCs/>
        </w:rPr>
        <w:t xml:space="preserve">The Responsible Official must ensure a record of the training provided to </w:t>
      </w:r>
      <w:proofErr w:type="gramStart"/>
      <w:r w:rsidRPr="00BD78BB">
        <w:rPr>
          <w:rFonts w:ascii="Times New Roman TUR" w:hAnsi="Times New Roman TUR" w:cs="Times New Roman TUR"/>
          <w:bCs/>
        </w:rPr>
        <w:t>each individual</w:t>
      </w:r>
      <w:proofErr w:type="gramEnd"/>
      <w:r w:rsidRPr="00BD78BB">
        <w:rPr>
          <w:rFonts w:ascii="Times New Roman TUR" w:hAnsi="Times New Roman TUR" w:cs="Times New Roman TUR"/>
          <w:bCs/>
        </w:rPr>
        <w:t xml:space="preserve"> with access to select agents and toxins and each escorted individual (e.g., laboratory workers, visitors, etc.) is maintained. The record must include the name of the individual, the date of the training, a description of the training provided, and the means used to verify that the employee understood the training</w:t>
      </w:r>
      <w:r>
        <w:rPr>
          <w:rFonts w:ascii="Times New Roman TUR" w:hAnsi="Times New Roman TUR" w:cs="Times New Roman TUR"/>
          <w:bCs/>
        </w:rPr>
        <w:t xml:space="preserve"> (42 CFR 73.16(d))</w:t>
      </w:r>
      <w:r w:rsidRPr="00657099">
        <w:rPr>
          <w:rFonts w:ascii="Times New Roman TUR" w:hAnsi="Times New Roman TUR" w:cs="Times New Roman TUR"/>
          <w:bCs/>
        </w:rPr>
        <w:t>.  CDC has not developed standardized forms to use in the above situation.  Rather, the entity should provide the information as requested in the appropriate section of the regulation.</w:t>
      </w:r>
    </w:p>
    <w:p w:rsidRPr="006C74E3" w:rsidR="00563120" w:rsidP="006C74E3" w:rsidRDefault="00563120" w14:paraId="380EF483" w14:textId="77777777">
      <w:pPr>
        <w:widowControl/>
        <w:contextualSpacing/>
        <w:rPr>
          <w:bCs/>
        </w:rPr>
      </w:pPr>
    </w:p>
    <w:p w:rsidRPr="006C74E3" w:rsidR="006C74E3" w:rsidP="006C74E3" w:rsidRDefault="006C74E3" w14:paraId="30C70B6D" w14:textId="77777777">
      <w:pPr>
        <w:widowControl/>
        <w:contextualSpacing/>
        <w:rPr>
          <w:bCs/>
        </w:rPr>
      </w:pPr>
      <w:r w:rsidRPr="006C74E3">
        <w:rPr>
          <w:bCs/>
        </w:rPr>
        <w:t>The Request to Transfer Select Agent or Toxin form (42 CFR 73.16) is used by entities requesting pre-authorization from FSAP to receive or send a select agent or toxin.</w:t>
      </w:r>
    </w:p>
    <w:p w:rsidR="006C74E3" w:rsidP="006C74E3" w:rsidRDefault="006C74E3" w14:paraId="5F0E1329" w14:textId="77777777">
      <w:pPr>
        <w:widowControl/>
        <w:contextualSpacing/>
        <w:rPr>
          <w:bCs/>
        </w:rPr>
      </w:pPr>
    </w:p>
    <w:p w:rsidR="00342839" w:rsidP="00342839" w:rsidRDefault="00563120" w14:paraId="3A01FF6F" w14:textId="77777777">
      <w:r>
        <w:rPr>
          <w:bCs/>
        </w:rPr>
        <w:t>Records</w:t>
      </w:r>
      <w:r w:rsidR="00342839">
        <w:rPr>
          <w:bCs/>
        </w:rPr>
        <w:t xml:space="preserve">: </w:t>
      </w:r>
      <w:r w:rsidRPr="00835A10" w:rsidR="00342839">
        <w:t xml:space="preserve">An individual or entity required to register under this part must maintain complete records relating to the activities covered by </w:t>
      </w:r>
      <w:r w:rsidR="00342839">
        <w:t xml:space="preserve">the select agent regulations </w:t>
      </w:r>
      <w:r w:rsidR="00342839">
        <w:rPr>
          <w:rFonts w:ascii="Times New Roman TUR" w:hAnsi="Times New Roman TUR" w:cs="Times New Roman TUR"/>
          <w:bCs/>
        </w:rPr>
        <w:t>(42 CFR 73.17 (a))</w:t>
      </w:r>
      <w:r w:rsidRPr="00657099" w:rsidR="00342839">
        <w:rPr>
          <w:rFonts w:ascii="Times New Roman TUR" w:hAnsi="Times New Roman TUR" w:cs="Times New Roman TUR"/>
          <w:bCs/>
        </w:rPr>
        <w:t>.  CDC has not developed standardized forms to use in the above situation.  Rather, the entity should provide the information as requested in the appropriate section of the regulation.</w:t>
      </w:r>
    </w:p>
    <w:p w:rsidRPr="006C74E3" w:rsidR="00563120" w:rsidP="006C74E3" w:rsidRDefault="00563120" w14:paraId="79B1229B" w14:textId="77777777">
      <w:pPr>
        <w:widowControl/>
        <w:contextualSpacing/>
        <w:rPr>
          <w:bCs/>
        </w:rPr>
      </w:pPr>
    </w:p>
    <w:p w:rsidRPr="006C74E3" w:rsidR="006C74E3" w:rsidP="006C74E3" w:rsidRDefault="006C74E3" w14:paraId="1B8999FC" w14:textId="77777777">
      <w:pPr>
        <w:widowControl/>
        <w:contextualSpacing/>
        <w:rPr>
          <w:bCs/>
        </w:rPr>
      </w:pPr>
      <w:r w:rsidRPr="006C74E3">
        <w:rPr>
          <w:bCs/>
        </w:rPr>
        <w:t xml:space="preserve">The Report of </w:t>
      </w:r>
      <w:r w:rsidR="000B596F">
        <w:rPr>
          <w:bCs/>
        </w:rPr>
        <w:t xml:space="preserve">Potential </w:t>
      </w:r>
      <w:r w:rsidRPr="006C74E3">
        <w:rPr>
          <w:bCs/>
        </w:rPr>
        <w:t>Theft, Loss, or Release of Select Agent or Toxin form (42 CFR 73.19(a) (b)) is completed by entities whenever there is theft, loss, or release of a select agent or toxin.</w:t>
      </w:r>
    </w:p>
    <w:p w:rsidRPr="006C74E3" w:rsidR="006C74E3" w:rsidP="006C74E3" w:rsidRDefault="006C74E3" w14:paraId="08E50DD3" w14:textId="77777777">
      <w:pPr>
        <w:widowControl/>
        <w:contextualSpacing/>
        <w:rPr>
          <w:bCs/>
        </w:rPr>
      </w:pPr>
      <w:r w:rsidRPr="006C74E3">
        <w:rPr>
          <w:bCs/>
        </w:rPr>
        <w:t xml:space="preserve"> </w:t>
      </w:r>
    </w:p>
    <w:p w:rsidRPr="00177C1F" w:rsidR="00BA550E" w:rsidP="00177C1F" w:rsidRDefault="00793601" w14:paraId="565010BF" w14:textId="77777777">
      <w:pPr>
        <w:pStyle w:val="Heading3"/>
        <w:rPr>
          <w:rFonts w:ascii="Times New Roman" w:hAnsi="Times New Roman"/>
          <w:color w:val="auto"/>
          <w:sz w:val="24"/>
          <w:szCs w:val="24"/>
        </w:rPr>
      </w:pPr>
      <w:bookmarkStart w:name="_Toc412817455" w:id="3"/>
      <w:r w:rsidRPr="00177C1F">
        <w:rPr>
          <w:rFonts w:ascii="Times New Roman" w:hAnsi="Times New Roman"/>
          <w:color w:val="auto"/>
          <w:sz w:val="24"/>
          <w:szCs w:val="24"/>
        </w:rPr>
        <w:t>3.  Use of Improved Technology and Burden Reduction</w:t>
      </w:r>
      <w:bookmarkEnd w:id="3"/>
      <w:r w:rsidRPr="00177C1F">
        <w:rPr>
          <w:rFonts w:ascii="Times New Roman" w:hAnsi="Times New Roman"/>
          <w:color w:val="auto"/>
          <w:sz w:val="24"/>
          <w:szCs w:val="24"/>
        </w:rPr>
        <w:t xml:space="preserve">  </w:t>
      </w:r>
    </w:p>
    <w:p w:rsidRPr="00177C1F" w:rsidR="00D6788A" w:rsidP="007F3FE5" w:rsidRDefault="00D6788A" w14:paraId="589F58F6" w14:textId="77777777">
      <w:pPr>
        <w:contextualSpacing/>
        <w:rPr>
          <w:bCs/>
        </w:rPr>
      </w:pPr>
    </w:p>
    <w:p w:rsidRPr="00177C1F" w:rsidR="00975D0A" w:rsidP="007F3FE5" w:rsidRDefault="00975D0A" w14:paraId="7424AC95" w14:textId="7657F628">
      <w:pPr>
        <w:contextualSpacing/>
      </w:pPr>
      <w:r w:rsidRPr="00177C1F">
        <w:rPr>
          <w:bCs/>
        </w:rPr>
        <w:t xml:space="preserve">CDC/DSAT has implemented </w:t>
      </w:r>
      <w:r w:rsidR="002860D5">
        <w:rPr>
          <w:bCs/>
        </w:rPr>
        <w:t>a</w:t>
      </w:r>
      <w:r w:rsidR="002860D5">
        <w:rPr>
          <w:lang w:val="en"/>
        </w:rPr>
        <w:t xml:space="preserve"> secure information system, eFSAP.  The </w:t>
      </w:r>
      <w:r w:rsidR="00194800">
        <w:rPr>
          <w:lang w:val="en"/>
        </w:rPr>
        <w:t xml:space="preserve">IT system </w:t>
      </w:r>
      <w:r w:rsidR="002860D5">
        <w:rPr>
          <w:lang w:val="en"/>
        </w:rPr>
        <w:t>is used to submit select agent program information</w:t>
      </w:r>
      <w:r w:rsidR="00194800">
        <w:rPr>
          <w:lang w:val="en"/>
        </w:rPr>
        <w:t xml:space="preserve"> using a </w:t>
      </w:r>
      <w:r w:rsidR="002860D5">
        <w:rPr>
          <w:lang w:val="en"/>
        </w:rPr>
        <w:t xml:space="preserve">two-way portal </w:t>
      </w:r>
      <w:r w:rsidR="00194800">
        <w:rPr>
          <w:lang w:val="en"/>
        </w:rPr>
        <w:t xml:space="preserve">that is </w:t>
      </w:r>
      <w:r w:rsidR="002860D5">
        <w:rPr>
          <w:lang w:val="en"/>
        </w:rPr>
        <w:t>accessible by both FSAP and the regulated community. </w:t>
      </w:r>
      <w:r w:rsidR="008070D5">
        <w:rPr>
          <w:lang w:val="en"/>
        </w:rPr>
        <w:t>eFSAP</w:t>
      </w:r>
      <w:r w:rsidR="002860D5">
        <w:rPr>
          <w:lang w:val="en"/>
        </w:rPr>
        <w:t xml:space="preserve"> increase</w:t>
      </w:r>
      <w:r w:rsidR="00194800">
        <w:rPr>
          <w:lang w:val="en"/>
        </w:rPr>
        <w:t>s</w:t>
      </w:r>
      <w:r w:rsidR="002860D5">
        <w:rPr>
          <w:lang w:val="en"/>
        </w:rPr>
        <w:t xml:space="preserve"> efficiency by greatly enhancing information exchange </w:t>
      </w:r>
      <w:r w:rsidR="008070D5">
        <w:rPr>
          <w:lang w:val="en"/>
        </w:rPr>
        <w:t xml:space="preserve">using </w:t>
      </w:r>
      <w:r w:rsidRPr="00177C1F">
        <w:rPr>
          <w:bCs/>
        </w:rPr>
        <w:t xml:space="preserve">electronic forms which are available on the Federal Select Agent Program website at </w:t>
      </w:r>
      <w:hyperlink w:history="1" r:id="rId8">
        <w:r w:rsidRPr="00177C1F" w:rsidR="0049473E">
          <w:rPr>
            <w:rStyle w:val="Hyperlink"/>
            <w:color w:val="auto"/>
          </w:rPr>
          <w:t>http://www.selectagents.gov/forms.html</w:t>
        </w:r>
      </w:hyperlink>
      <w:r w:rsidRPr="00177C1F">
        <w:rPr>
          <w:bCs/>
        </w:rPr>
        <w:t xml:space="preserve"> in a pdf-fillable format for electronic submission.  The use of </w:t>
      </w:r>
      <w:r w:rsidR="00194800">
        <w:rPr>
          <w:bCs/>
        </w:rPr>
        <w:t xml:space="preserve">eFSAP </w:t>
      </w:r>
      <w:r w:rsidRPr="00177C1F">
        <w:rPr>
          <w:bCs/>
        </w:rPr>
        <w:t xml:space="preserve">allows respondents to </w:t>
      </w:r>
      <w:r w:rsidR="00194800">
        <w:rPr>
          <w:bCs/>
        </w:rPr>
        <w:t xml:space="preserve">copy previous information and </w:t>
      </w:r>
      <w:r w:rsidRPr="00177C1F">
        <w:rPr>
          <w:bCs/>
        </w:rPr>
        <w:t>amend any future submissions.</w:t>
      </w:r>
      <w:r w:rsidR="00194800">
        <w:rPr>
          <w:bCs/>
        </w:rPr>
        <w:t xml:space="preserve">  The environment </w:t>
      </w:r>
      <w:r w:rsidRPr="00177C1F">
        <w:t>provide</w:t>
      </w:r>
      <w:r w:rsidR="00194800">
        <w:t>s</w:t>
      </w:r>
      <w:r w:rsidRPr="00177C1F">
        <w:t xml:space="preserve"> for the electronic exchange of information for creating, amending, and submitting registration applications; requests for approvals for transfers, exemptions, or exclusions; and reports of identification and theft, loss, or release of a select agent or toxin.</w:t>
      </w:r>
    </w:p>
    <w:p w:rsidRPr="00177C1F" w:rsidR="00BA550E" w:rsidP="007F3FE5" w:rsidRDefault="00BA550E" w14:paraId="3DFDBA74" w14:textId="77777777">
      <w:pPr>
        <w:contextualSpacing/>
      </w:pPr>
    </w:p>
    <w:p w:rsidRPr="00177C1F" w:rsidR="00BA550E" w:rsidP="00177C1F" w:rsidRDefault="00793601" w14:paraId="49E6C463" w14:textId="77777777">
      <w:pPr>
        <w:pStyle w:val="Heading3"/>
        <w:rPr>
          <w:rFonts w:ascii="Times New Roman" w:hAnsi="Times New Roman"/>
          <w:color w:val="auto"/>
          <w:sz w:val="24"/>
          <w:szCs w:val="24"/>
        </w:rPr>
      </w:pPr>
      <w:bookmarkStart w:name="_Toc412817456" w:id="4"/>
      <w:r w:rsidRPr="00177C1F">
        <w:rPr>
          <w:rFonts w:ascii="Times New Roman" w:hAnsi="Times New Roman"/>
          <w:color w:val="auto"/>
          <w:sz w:val="24"/>
          <w:szCs w:val="24"/>
        </w:rPr>
        <w:t>4. Efforts to Identify Duplication and Use of Similar Information</w:t>
      </w:r>
      <w:bookmarkEnd w:id="4"/>
    </w:p>
    <w:p w:rsidRPr="00177C1F" w:rsidR="00BA550E" w:rsidP="007F3FE5" w:rsidRDefault="00BA550E" w14:paraId="3508F869" w14:textId="77777777">
      <w:pPr>
        <w:widowControl/>
        <w:contextualSpacing/>
        <w:rPr>
          <w:bCs/>
        </w:rPr>
      </w:pPr>
    </w:p>
    <w:p w:rsidRPr="00177C1F" w:rsidR="00BA550E" w:rsidP="007F3FE5" w:rsidRDefault="00BA550E" w14:paraId="342EA3F2" w14:textId="77777777">
      <w:pPr>
        <w:contextualSpacing/>
        <w:sectPr w:rsidRPr="00177C1F" w:rsidR="00BA550E">
          <w:footerReference w:type="default" r:id="rId9"/>
          <w:pgSz w:w="12240" w:h="15840"/>
          <w:pgMar w:top="1440" w:right="1440" w:bottom="1440" w:left="1440" w:header="720" w:footer="720" w:gutter="0"/>
          <w:cols w:space="720"/>
          <w:titlePg/>
        </w:sectPr>
      </w:pPr>
    </w:p>
    <w:p w:rsidRPr="00177C1F" w:rsidR="00BA550E" w:rsidP="007F3FE5" w:rsidRDefault="00C4301C" w14:paraId="7C543F8C" w14:textId="14ADCBE9">
      <w:pPr>
        <w:widowControl/>
        <w:contextualSpacing/>
        <w:rPr>
          <w:bCs/>
        </w:rPr>
      </w:pPr>
      <w:r w:rsidRPr="00177C1F">
        <w:rPr>
          <w:bCs/>
        </w:rPr>
        <w:t>The FSAP</w:t>
      </w:r>
      <w:r w:rsidRPr="00177C1F" w:rsidR="00793601">
        <w:rPr>
          <w:bCs/>
        </w:rPr>
        <w:t xml:space="preserve"> continue</w:t>
      </w:r>
      <w:r w:rsidRPr="00177C1F">
        <w:rPr>
          <w:bCs/>
        </w:rPr>
        <w:t xml:space="preserve">s </w:t>
      </w:r>
      <w:r w:rsidRPr="00177C1F" w:rsidR="00793601">
        <w:rPr>
          <w:bCs/>
        </w:rPr>
        <w:t xml:space="preserve">working to identify duplication of the proposed data collection.  DSAT has established relationships with the following federal agencies: Department of Homeland Security (DHS), the Department of Defense; Department of Army Inspector General (DoD, DAIG) and </w:t>
      </w:r>
      <w:r w:rsidRPr="00177C1F" w:rsidR="00793601">
        <w:rPr>
          <w:bCs/>
        </w:rPr>
        <w:lastRenderedPageBreak/>
        <w:t xml:space="preserve">the Department Veterans Affairs.  Each of these agencies shares a similar interest in the possession, use and transfers of select agents and toxins and has participated in joint inspections. </w:t>
      </w:r>
    </w:p>
    <w:p w:rsidRPr="00177C1F" w:rsidR="00C4301C" w:rsidP="007F3FE5" w:rsidRDefault="00C4301C" w14:paraId="4716C662" w14:textId="77777777">
      <w:pPr>
        <w:widowControl/>
        <w:contextualSpacing/>
        <w:rPr>
          <w:bCs/>
        </w:rPr>
      </w:pPr>
    </w:p>
    <w:p w:rsidRPr="00177C1F" w:rsidR="000E22AE" w:rsidP="007F3FE5" w:rsidRDefault="00793601" w14:paraId="4FC5866D" w14:textId="77777777">
      <w:pPr>
        <w:widowControl/>
        <w:contextualSpacing/>
        <w:rPr>
          <w:bCs/>
        </w:rPr>
      </w:pPr>
      <w:r w:rsidRPr="00177C1F">
        <w:rPr>
          <w:bCs/>
        </w:rPr>
        <w:t>The Public Health Safety and Bioterrorism Preparedness and Response Act of 2002 (Public Law 107) required the development of a common registration system for the purpose of verifying the credentials, licenses, accreditations, and hospital privileges of such professionals during public health emergencies.  There is no similar database available to identify individuals or entities registered to possess, use and transfer select agents and toxins.</w:t>
      </w:r>
    </w:p>
    <w:p w:rsidRPr="00177C1F" w:rsidR="000E22AE" w:rsidP="007F3FE5" w:rsidRDefault="000E22AE" w14:paraId="67C2E1DB" w14:textId="77777777">
      <w:pPr>
        <w:widowControl/>
        <w:contextualSpacing/>
        <w:rPr>
          <w:bCs/>
        </w:rPr>
      </w:pPr>
    </w:p>
    <w:p w:rsidRPr="00177C1F" w:rsidR="00BA550E" w:rsidP="00177C1F" w:rsidRDefault="00793601" w14:paraId="3A5F7BBB" w14:textId="77777777">
      <w:pPr>
        <w:pStyle w:val="Heading3"/>
        <w:rPr>
          <w:rFonts w:ascii="Times New Roman" w:hAnsi="Times New Roman"/>
          <w:color w:val="auto"/>
          <w:sz w:val="24"/>
          <w:szCs w:val="24"/>
        </w:rPr>
      </w:pPr>
      <w:bookmarkStart w:name="_Toc412817457" w:id="5"/>
      <w:r w:rsidRPr="00177C1F">
        <w:rPr>
          <w:rFonts w:ascii="Times New Roman" w:hAnsi="Times New Roman"/>
          <w:color w:val="auto"/>
          <w:sz w:val="24"/>
          <w:szCs w:val="24"/>
        </w:rPr>
        <w:t>5.  Impact on Small Businesses or Other Small Entities</w:t>
      </w:r>
      <w:bookmarkEnd w:id="5"/>
    </w:p>
    <w:p w:rsidRPr="00177C1F" w:rsidR="00BA550E" w:rsidP="007F3FE5" w:rsidRDefault="00BA550E" w14:paraId="7C1A815B" w14:textId="77777777">
      <w:pPr>
        <w:widowControl/>
        <w:contextualSpacing/>
        <w:rPr>
          <w:bCs/>
        </w:rPr>
      </w:pPr>
    </w:p>
    <w:p w:rsidRPr="00177C1F" w:rsidR="00BA550E" w:rsidP="007F3FE5" w:rsidRDefault="00793601" w14:paraId="1FE18AC1" w14:textId="77777777">
      <w:pPr>
        <w:widowControl/>
        <w:contextualSpacing/>
        <w:rPr>
          <w:bCs/>
        </w:rPr>
      </w:pPr>
      <w:r w:rsidRPr="00177C1F">
        <w:rPr>
          <w:bCs/>
        </w:rPr>
        <w:t xml:space="preserve">CDC recognizes that a small number of entities affected by the data collection requirements of this regulation may be small businesses.  For this reason, the information needed in the data collection has been kept to a minimum. </w:t>
      </w:r>
    </w:p>
    <w:p w:rsidRPr="00177C1F" w:rsidR="00BA550E" w:rsidP="007F3FE5" w:rsidRDefault="00BA550E" w14:paraId="2A94C9FC" w14:textId="77777777">
      <w:pPr>
        <w:widowControl/>
        <w:contextualSpacing/>
        <w:rPr>
          <w:bCs/>
        </w:rPr>
      </w:pPr>
    </w:p>
    <w:p w:rsidRPr="00177C1F" w:rsidR="00BA550E" w:rsidP="00177C1F" w:rsidRDefault="00793601" w14:paraId="2915810B" w14:textId="77777777">
      <w:pPr>
        <w:pStyle w:val="Heading3"/>
        <w:rPr>
          <w:rFonts w:ascii="Times New Roman" w:hAnsi="Times New Roman"/>
          <w:color w:val="auto"/>
          <w:sz w:val="24"/>
          <w:szCs w:val="24"/>
        </w:rPr>
      </w:pPr>
      <w:bookmarkStart w:name="_Toc412817458" w:id="6"/>
      <w:r w:rsidRPr="00177C1F">
        <w:rPr>
          <w:rFonts w:ascii="Times New Roman" w:hAnsi="Times New Roman"/>
          <w:color w:val="auto"/>
          <w:sz w:val="24"/>
          <w:szCs w:val="24"/>
        </w:rPr>
        <w:t>6.  Consequences of Collecting the Information Less Frequently</w:t>
      </w:r>
      <w:bookmarkEnd w:id="6"/>
    </w:p>
    <w:p w:rsidRPr="00177C1F" w:rsidR="00BA550E" w:rsidP="007F3FE5" w:rsidRDefault="00BA550E" w14:paraId="39045B30" w14:textId="77777777">
      <w:pPr>
        <w:widowControl/>
        <w:contextualSpacing/>
        <w:rPr>
          <w:bCs/>
        </w:rPr>
      </w:pPr>
    </w:p>
    <w:p w:rsidRPr="00177C1F" w:rsidR="00BA550E" w:rsidP="007F3FE5" w:rsidRDefault="001458FB" w14:paraId="772B1242" w14:textId="77777777">
      <w:pPr>
        <w:widowControl/>
        <w:contextualSpacing/>
      </w:pPr>
      <w:r w:rsidRPr="00177C1F">
        <w:t>There are legal obstacles to reducing the burden by collecting this information less frequently.  The purpose of this information collection is to meet mandated regulatory requirements.  If this information were collected less frequently, it would not be possible for DSAT to carry out its commitments to protect the public health as mandated by these regulations</w:t>
      </w:r>
    </w:p>
    <w:p w:rsidRPr="00177C1F" w:rsidR="001458FB" w:rsidP="007F3FE5" w:rsidRDefault="001458FB" w14:paraId="4A68554D" w14:textId="77777777">
      <w:pPr>
        <w:widowControl/>
        <w:contextualSpacing/>
        <w:rPr>
          <w:bCs/>
        </w:rPr>
      </w:pPr>
    </w:p>
    <w:p w:rsidRPr="00177C1F" w:rsidR="00BA550E" w:rsidP="00177C1F" w:rsidRDefault="00793601" w14:paraId="1F9D5765" w14:textId="77777777">
      <w:pPr>
        <w:pStyle w:val="Heading3"/>
        <w:rPr>
          <w:rFonts w:ascii="Times New Roman" w:hAnsi="Times New Roman"/>
          <w:color w:val="auto"/>
          <w:sz w:val="24"/>
          <w:szCs w:val="24"/>
        </w:rPr>
      </w:pPr>
      <w:bookmarkStart w:name="_Toc412817459" w:id="7"/>
      <w:r w:rsidRPr="00177C1F">
        <w:rPr>
          <w:rFonts w:ascii="Times New Roman" w:hAnsi="Times New Roman"/>
          <w:color w:val="auto"/>
          <w:sz w:val="24"/>
          <w:szCs w:val="24"/>
        </w:rPr>
        <w:t>7.  Special Circumstances Relating to the Guidelines of 5 CFR 1320.5</w:t>
      </w:r>
      <w:bookmarkEnd w:id="7"/>
    </w:p>
    <w:p w:rsidRPr="00177C1F" w:rsidR="00BA550E" w:rsidP="007F3FE5" w:rsidRDefault="00BA550E" w14:paraId="722E9129" w14:textId="77777777">
      <w:pPr>
        <w:widowControl/>
        <w:contextualSpacing/>
        <w:rPr>
          <w:bCs/>
        </w:rPr>
      </w:pPr>
    </w:p>
    <w:p w:rsidRPr="00177C1F" w:rsidR="00BA550E" w:rsidP="007F3FE5" w:rsidRDefault="00793601" w14:paraId="7F83B911" w14:textId="77777777">
      <w:pPr>
        <w:widowControl/>
        <w:contextualSpacing/>
        <w:rPr>
          <w:bCs/>
        </w:rPr>
      </w:pPr>
      <w:r w:rsidRPr="00177C1F">
        <w:rPr>
          <w:bCs/>
        </w:rPr>
        <w:t xml:space="preserve">This request fully complies with the regulation in 5 CFR 1320.5. </w:t>
      </w:r>
    </w:p>
    <w:p w:rsidRPr="00177C1F" w:rsidR="00BA550E" w:rsidP="007F3FE5" w:rsidRDefault="00BA550E" w14:paraId="7B5FC605" w14:textId="77777777">
      <w:pPr>
        <w:widowControl/>
        <w:contextualSpacing/>
        <w:rPr>
          <w:bCs/>
        </w:rPr>
      </w:pPr>
    </w:p>
    <w:p w:rsidRPr="00177C1F" w:rsidR="0001790E" w:rsidP="00177C1F" w:rsidRDefault="0001790E" w14:paraId="243CAFF8" w14:textId="77777777">
      <w:pPr>
        <w:pStyle w:val="Heading3"/>
        <w:rPr>
          <w:rFonts w:ascii="Times New Roman" w:hAnsi="Times New Roman"/>
          <w:color w:val="auto"/>
          <w:sz w:val="24"/>
          <w:szCs w:val="24"/>
        </w:rPr>
      </w:pPr>
      <w:bookmarkStart w:name="_Toc361747987" w:id="8"/>
      <w:bookmarkStart w:name="_Toc412817460" w:id="9"/>
      <w:r w:rsidRPr="00177C1F">
        <w:rPr>
          <w:rFonts w:ascii="Times New Roman" w:hAnsi="Times New Roman"/>
          <w:color w:val="auto"/>
          <w:sz w:val="24"/>
          <w:szCs w:val="24"/>
        </w:rPr>
        <w:t>8.  Comments in Response to the Federal Register Notice and Efforts to Consult Outside the Agency</w:t>
      </w:r>
      <w:bookmarkEnd w:id="8"/>
      <w:bookmarkEnd w:id="9"/>
    </w:p>
    <w:p w:rsidRPr="00177C1F" w:rsidR="0001790E" w:rsidP="0001790E" w:rsidRDefault="0001790E" w14:paraId="47378433" w14:textId="77777777">
      <w:pPr>
        <w:adjustRightInd w:val="0"/>
        <w:jc w:val="both"/>
        <w:rPr>
          <w:bCs/>
          <w:highlight w:val="yellow"/>
        </w:rPr>
      </w:pPr>
    </w:p>
    <w:p w:rsidRPr="00177C1F" w:rsidR="009F0E4F" w:rsidP="0001790E" w:rsidRDefault="0001790E" w14:paraId="37D780D4" w14:textId="77777777">
      <w:pPr>
        <w:adjustRightInd w:val="0"/>
        <w:jc w:val="both"/>
      </w:pPr>
      <w:r w:rsidRPr="008C4B44">
        <w:rPr>
          <w:b/>
          <w:bCs/>
        </w:rPr>
        <w:t>A8A.</w:t>
      </w:r>
      <w:r w:rsidRPr="008C4B44">
        <w:rPr>
          <w:bCs/>
        </w:rPr>
        <w:t xml:space="preserve">  A </w:t>
      </w:r>
      <w:r w:rsidRPr="008C4B44">
        <w:rPr>
          <w:b/>
          <w:bCs/>
        </w:rPr>
        <w:t>“60 Day Federal Register Notice”</w:t>
      </w:r>
      <w:r w:rsidRPr="008C4B44">
        <w:rPr>
          <w:bCs/>
        </w:rPr>
        <w:t xml:space="preserve"> </w:t>
      </w:r>
      <w:r w:rsidRPr="008C4B44" w:rsidR="00394713">
        <w:rPr>
          <w:bCs/>
        </w:rPr>
        <w:t>was published in the Federal Register on Friday, April 3, 20</w:t>
      </w:r>
      <w:r w:rsidR="00394713">
        <w:rPr>
          <w:bCs/>
        </w:rPr>
        <w:t>20</w:t>
      </w:r>
      <w:r w:rsidRPr="008C4B44" w:rsidR="00394713">
        <w:rPr>
          <w:bCs/>
        </w:rPr>
        <w:t>, Vol. 8</w:t>
      </w:r>
      <w:r w:rsidR="00394713">
        <w:rPr>
          <w:bCs/>
        </w:rPr>
        <w:t>5</w:t>
      </w:r>
      <w:r w:rsidRPr="008C4B44" w:rsidR="00394713">
        <w:rPr>
          <w:bCs/>
        </w:rPr>
        <w:t>, No.</w:t>
      </w:r>
      <w:r w:rsidR="00394713">
        <w:rPr>
          <w:bCs/>
        </w:rPr>
        <w:t xml:space="preserve"> </w:t>
      </w:r>
      <w:r w:rsidRPr="008C4B44" w:rsidR="00394713">
        <w:rPr>
          <w:bCs/>
        </w:rPr>
        <w:t>6</w:t>
      </w:r>
      <w:r w:rsidR="00394713">
        <w:rPr>
          <w:bCs/>
        </w:rPr>
        <w:t>5</w:t>
      </w:r>
      <w:r w:rsidRPr="008C4B44" w:rsidR="00394713">
        <w:rPr>
          <w:bCs/>
        </w:rPr>
        <w:t>, Page</w:t>
      </w:r>
      <w:r w:rsidR="00394713">
        <w:rPr>
          <w:bCs/>
        </w:rPr>
        <w:t xml:space="preserve">s </w:t>
      </w:r>
      <w:r w:rsidRPr="008C4B44" w:rsidR="00394713">
        <w:rPr>
          <w:bCs/>
        </w:rPr>
        <w:t>18</w:t>
      </w:r>
      <w:r w:rsidR="00394713">
        <w:rPr>
          <w:bCs/>
        </w:rPr>
        <w:t>980</w:t>
      </w:r>
      <w:r xmlns:w="http://schemas.openxmlformats.org/wordprocessingml/2006/main" w:rsidR="00542263">
        <w:rPr>
          <w:bCs/>
        </w:rPr>
        <w:t xml:space="preserve"> </w:t>
      </w:r>
      <w:r w:rsidRPr="008C4B44" w:rsidR="00394713">
        <w:rPr>
          <w:bCs/>
        </w:rPr>
        <w:t>-</w:t>
      </w:r>
      <w:r w:rsidRPr="00394713" w:rsidR="00394713">
        <w:t xml:space="preserve"> </w:t>
      </w:r>
      <w:r w:rsidRPr="00394713" w:rsidR="00394713">
        <w:rPr>
          <w:bCs/>
        </w:rPr>
        <w:t>18982</w:t>
      </w:r>
      <w:r w:rsidR="00394713">
        <w:rPr>
          <w:bCs/>
        </w:rPr>
        <w:t xml:space="preserve"> (Attachment 2)</w:t>
      </w:r>
      <w:r w:rsidRPr="008C4B44" w:rsidR="00394713">
        <w:rPr>
          <w:bCs/>
        </w:rPr>
        <w:t xml:space="preserve">.  </w:t>
      </w:r>
      <w:r w:rsidR="00394713">
        <w:rPr>
          <w:bCs/>
        </w:rPr>
        <w:t xml:space="preserve">No </w:t>
      </w:r>
      <w:r w:rsidR="007B0367">
        <w:rPr>
          <w:bCs/>
        </w:rPr>
        <w:t xml:space="preserve">substantive </w:t>
      </w:r>
      <w:r w:rsidR="00394713">
        <w:rPr>
          <w:bCs/>
        </w:rPr>
        <w:t xml:space="preserve">comments were received. </w:t>
      </w:r>
    </w:p>
    <w:p w:rsidRPr="00177C1F" w:rsidR="0069511B" w:rsidP="0069511B" w:rsidRDefault="0069511B" w14:paraId="617618DC" w14:textId="77777777">
      <w:pPr>
        <w:pStyle w:val="Heading4"/>
        <w:spacing w:line="240" w:lineRule="auto"/>
        <w:jc w:val="both"/>
        <w:rPr>
          <w:rFonts w:ascii="Times New Roman" w:hAnsi="Times New Roman"/>
          <w:bCs w:val="0"/>
          <w:i w:val="0"/>
          <w:color w:val="auto"/>
          <w:sz w:val="24"/>
          <w:szCs w:val="24"/>
        </w:rPr>
      </w:pPr>
      <w:bookmarkStart w:name="_Toc361747988" w:id="11"/>
      <w:r w:rsidRPr="00177C1F">
        <w:rPr>
          <w:rFonts w:ascii="Times New Roman" w:hAnsi="Times New Roman"/>
          <w:i w:val="0"/>
          <w:color w:val="auto"/>
          <w:sz w:val="24"/>
          <w:szCs w:val="24"/>
        </w:rPr>
        <w:t>A8B. Consultation Outside the Agency</w:t>
      </w:r>
      <w:bookmarkEnd w:id="11"/>
    </w:p>
    <w:p w:rsidRPr="00177C1F" w:rsidR="0069511B" w:rsidP="007F3FE5" w:rsidRDefault="0069511B" w14:paraId="0AA49395" w14:textId="77777777">
      <w:pPr>
        <w:widowControl/>
        <w:contextualSpacing/>
        <w:rPr>
          <w:bCs/>
        </w:rPr>
      </w:pPr>
    </w:p>
    <w:p w:rsidRPr="00177C1F" w:rsidR="00975D0A" w:rsidP="007F3FE5" w:rsidRDefault="0069511B" w14:paraId="66BE5E91" w14:textId="77777777">
      <w:pPr>
        <w:widowControl/>
        <w:contextualSpacing/>
        <w:rPr>
          <w:bCs/>
        </w:rPr>
      </w:pPr>
      <w:r w:rsidRPr="00177C1F">
        <w:rPr>
          <w:bCs/>
        </w:rPr>
        <w:t>FSAP</w:t>
      </w:r>
      <w:r w:rsidRPr="00177C1F" w:rsidR="00975D0A">
        <w:rPr>
          <w:bCs/>
        </w:rPr>
        <w:t xml:space="preserve"> began revising the proposed data collection instruments in </w:t>
      </w:r>
      <w:r w:rsidRPr="00177C1F">
        <w:rPr>
          <w:bCs/>
        </w:rPr>
        <w:t xml:space="preserve">the </w:t>
      </w:r>
      <w:r w:rsidR="00794040">
        <w:rPr>
          <w:bCs/>
        </w:rPr>
        <w:t xml:space="preserve">winter of </w:t>
      </w:r>
      <w:r w:rsidRPr="00177C1F" w:rsidR="00975D0A">
        <w:rPr>
          <w:bCs/>
        </w:rPr>
        <w:t>201</w:t>
      </w:r>
      <w:r w:rsidR="00794040">
        <w:rPr>
          <w:bCs/>
        </w:rPr>
        <w:t>9</w:t>
      </w:r>
      <w:r w:rsidRPr="00177C1F" w:rsidR="00975D0A">
        <w:rPr>
          <w:bCs/>
        </w:rPr>
        <w:t xml:space="preserve">.   The following representatives from </w:t>
      </w:r>
      <w:proofErr w:type="spellStart"/>
      <w:r w:rsidRPr="00177C1F" w:rsidR="00975D0A">
        <w:rPr>
          <w:bCs/>
        </w:rPr>
        <w:t>A</w:t>
      </w:r>
      <w:r w:rsidRPr="00177C1F">
        <w:rPr>
          <w:bCs/>
        </w:rPr>
        <w:t>gSAS</w:t>
      </w:r>
      <w:proofErr w:type="spellEnd"/>
      <w:r w:rsidRPr="00177C1F" w:rsidR="00975D0A">
        <w:rPr>
          <w:bCs/>
        </w:rPr>
        <w:t xml:space="preserve"> assisted with the development of the data collection instruments:</w:t>
      </w:r>
    </w:p>
    <w:p w:rsidRPr="00177C1F" w:rsidR="00975D0A" w:rsidP="007F3FE5" w:rsidRDefault="00975D0A" w14:paraId="303EDDA8" w14:textId="77777777">
      <w:pPr>
        <w:widowControl/>
        <w:contextualSpacing/>
        <w:rPr>
          <w:bCs/>
        </w:rPr>
      </w:pPr>
    </w:p>
    <w:p w:rsidRPr="00177C1F" w:rsidR="00975D0A" w:rsidP="007F3FE5" w:rsidRDefault="00794040" w14:paraId="76CA4EF8" w14:textId="77777777">
      <w:pPr>
        <w:widowControl/>
        <w:tabs>
          <w:tab w:val="left" w:pos="-1440"/>
        </w:tabs>
        <w:contextualSpacing/>
      </w:pPr>
      <w:proofErr w:type="spellStart"/>
      <w:r>
        <w:t>Narda</w:t>
      </w:r>
      <w:proofErr w:type="spellEnd"/>
      <w:r>
        <w:t xml:space="preserve"> </w:t>
      </w:r>
      <w:proofErr w:type="spellStart"/>
      <w:r>
        <w:t>Huyke</w:t>
      </w:r>
      <w:proofErr w:type="spellEnd"/>
    </w:p>
    <w:p w:rsidRPr="00177C1F" w:rsidR="00975D0A" w:rsidP="007F3FE5" w:rsidRDefault="00975D0A" w14:paraId="4A44713C" w14:textId="77777777">
      <w:pPr>
        <w:widowControl/>
        <w:tabs>
          <w:tab w:val="left" w:pos="-1440"/>
        </w:tabs>
        <w:contextualSpacing/>
        <w:rPr>
          <w:bCs/>
        </w:rPr>
      </w:pPr>
      <w:r w:rsidRPr="00177C1F">
        <w:rPr>
          <w:bCs/>
        </w:rPr>
        <w:t>Animal Plant Health and Inspection Service</w:t>
      </w:r>
    </w:p>
    <w:p w:rsidRPr="00177C1F" w:rsidR="00975D0A" w:rsidP="007F3FE5" w:rsidRDefault="00975D0A" w14:paraId="3EB8EF6D" w14:textId="77777777">
      <w:pPr>
        <w:widowControl/>
        <w:tabs>
          <w:tab w:val="left" w:pos="-1440"/>
        </w:tabs>
        <w:contextualSpacing/>
        <w:rPr>
          <w:bCs/>
        </w:rPr>
      </w:pPr>
      <w:r w:rsidRPr="00177C1F">
        <w:rPr>
          <w:bCs/>
        </w:rPr>
        <w:t>U.S.  Department of Agriculture</w:t>
      </w:r>
    </w:p>
    <w:p w:rsidRPr="00177C1F" w:rsidR="00975D0A" w:rsidP="007F3FE5" w:rsidRDefault="00975D0A" w14:paraId="57C60043" w14:textId="77777777">
      <w:pPr>
        <w:widowControl/>
        <w:tabs>
          <w:tab w:val="left" w:pos="-1440"/>
        </w:tabs>
        <w:contextualSpacing/>
        <w:rPr>
          <w:bCs/>
        </w:rPr>
      </w:pPr>
      <w:r w:rsidRPr="00177C1F">
        <w:rPr>
          <w:bCs/>
        </w:rPr>
        <w:t>4700 River Road, Unit 40</w:t>
      </w:r>
    </w:p>
    <w:p w:rsidRPr="00177C1F" w:rsidR="00975D0A" w:rsidP="007F3FE5" w:rsidRDefault="00975D0A" w14:paraId="6204F81C" w14:textId="77777777">
      <w:pPr>
        <w:widowControl/>
        <w:tabs>
          <w:tab w:val="left" w:pos="-1440"/>
        </w:tabs>
        <w:contextualSpacing/>
        <w:rPr>
          <w:bCs/>
        </w:rPr>
      </w:pPr>
      <w:r w:rsidRPr="00177C1F">
        <w:rPr>
          <w:bCs/>
        </w:rPr>
        <w:lastRenderedPageBreak/>
        <w:t>Riverdale, MD 20737-1231</w:t>
      </w:r>
    </w:p>
    <w:p w:rsidRPr="00177C1F" w:rsidR="00975D0A" w:rsidP="007F3FE5" w:rsidRDefault="00975D0A" w14:paraId="73AF27FB" w14:textId="77777777">
      <w:pPr>
        <w:widowControl/>
        <w:tabs>
          <w:tab w:val="left" w:pos="-1440"/>
        </w:tabs>
        <w:contextualSpacing/>
      </w:pPr>
      <w:r w:rsidRPr="00177C1F">
        <w:rPr>
          <w:bCs/>
        </w:rPr>
        <w:t xml:space="preserve">Phone: </w:t>
      </w:r>
      <w:r w:rsidRPr="00177C1F" w:rsidR="0069511B">
        <w:rPr>
          <w:bCs/>
        </w:rPr>
        <w:t>(301) 851-2052</w:t>
      </w:r>
    </w:p>
    <w:p w:rsidRPr="00177C1F" w:rsidR="0069511B" w:rsidP="007F3FE5" w:rsidRDefault="0080021F" w14:paraId="219DB1E9" w14:textId="77777777">
      <w:pPr>
        <w:widowControl/>
        <w:tabs>
          <w:tab w:val="left" w:pos="-1440"/>
        </w:tabs>
        <w:contextualSpacing/>
      </w:pPr>
      <w:hyperlink w:history="1" r:id="rId10">
        <w:r w:rsidR="00794040">
          <w:rPr>
            <w:rStyle w:val="Hyperlink"/>
            <w:color w:val="auto"/>
          </w:rPr>
          <w:t>nard.huyke@usda.gov</w:t>
        </w:r>
      </w:hyperlink>
    </w:p>
    <w:p w:rsidRPr="00177C1F" w:rsidR="00975D0A" w:rsidP="007F3FE5" w:rsidRDefault="00975D0A" w14:paraId="39BEF683" w14:textId="77777777">
      <w:pPr>
        <w:widowControl/>
        <w:tabs>
          <w:tab w:val="left" w:pos="-1440"/>
        </w:tabs>
        <w:contextualSpacing/>
        <w:rPr>
          <w:bCs/>
        </w:rPr>
      </w:pPr>
    </w:p>
    <w:p w:rsidRPr="00177C1F" w:rsidR="00215F7D" w:rsidP="00215F7D" w:rsidRDefault="00215F7D" w14:paraId="6E03C246" w14:textId="77777777">
      <w:pPr>
        <w:widowControl/>
        <w:tabs>
          <w:tab w:val="left" w:pos="-1440"/>
        </w:tabs>
        <w:contextualSpacing/>
        <w:rPr>
          <w:bCs/>
        </w:rPr>
      </w:pPr>
      <w:r w:rsidRPr="00177C1F">
        <w:t>Kimberly A. Hardy</w:t>
      </w:r>
      <w:r w:rsidRPr="00177C1F">
        <w:br/>
      </w:r>
      <w:r w:rsidRPr="00177C1F">
        <w:rPr>
          <w:bCs/>
        </w:rPr>
        <w:t>Animal Plant Health and Inspection Service</w:t>
      </w:r>
    </w:p>
    <w:p w:rsidRPr="00177C1F" w:rsidR="00215F7D" w:rsidP="00215F7D" w:rsidRDefault="00215F7D" w14:paraId="2140EA99" w14:textId="77777777">
      <w:pPr>
        <w:widowControl/>
        <w:tabs>
          <w:tab w:val="left" w:pos="-1440"/>
        </w:tabs>
        <w:contextualSpacing/>
        <w:rPr>
          <w:bCs/>
        </w:rPr>
      </w:pPr>
      <w:r w:rsidRPr="00177C1F">
        <w:rPr>
          <w:bCs/>
        </w:rPr>
        <w:t>U.S. Department of Agriculture</w:t>
      </w:r>
    </w:p>
    <w:p w:rsidRPr="00177C1F" w:rsidR="00215F7D" w:rsidP="00215F7D" w:rsidRDefault="00215F7D" w14:paraId="5274AA1A" w14:textId="77777777">
      <w:r w:rsidRPr="00177C1F">
        <w:t>4700 River Rd., Unit 123</w:t>
      </w:r>
      <w:r w:rsidRPr="00177C1F">
        <w:br/>
        <w:t>Riverdale, MD 20737</w:t>
      </w:r>
      <w:r w:rsidRPr="00177C1F">
        <w:br/>
        <w:t>Phone: (301) 851-2727</w:t>
      </w:r>
      <w:r w:rsidRPr="00177C1F">
        <w:br/>
      </w:r>
      <w:hyperlink w:history="1" r:id="rId11">
        <w:r w:rsidRPr="00852579" w:rsidR="00DB678A">
          <w:rPr>
            <w:rStyle w:val="Hyperlink"/>
          </w:rPr>
          <w:t>KimberlyAhardy@usda.gov</w:t>
        </w:r>
      </w:hyperlink>
    </w:p>
    <w:p w:rsidRPr="00177C1F" w:rsidR="00215F7D" w:rsidP="00215F7D" w:rsidRDefault="00215F7D" w14:paraId="60AE7BF6" w14:textId="77777777">
      <w:pPr>
        <w:widowControl/>
        <w:tabs>
          <w:tab w:val="left" w:pos="-1440"/>
        </w:tabs>
        <w:contextualSpacing/>
      </w:pPr>
      <w:r w:rsidRPr="00177C1F">
        <w:t xml:space="preserve"> </w:t>
      </w:r>
    </w:p>
    <w:p w:rsidRPr="00177C1F" w:rsidR="00BA550E" w:rsidP="00177C1F" w:rsidRDefault="00793601" w14:paraId="20D68860" w14:textId="77777777">
      <w:pPr>
        <w:pStyle w:val="Heading3"/>
        <w:rPr>
          <w:rFonts w:ascii="Times New Roman" w:hAnsi="Times New Roman"/>
          <w:color w:val="auto"/>
          <w:sz w:val="24"/>
          <w:szCs w:val="24"/>
        </w:rPr>
      </w:pPr>
      <w:bookmarkStart w:name="_Toc412817461" w:id="12"/>
      <w:r w:rsidRPr="00177C1F">
        <w:rPr>
          <w:rFonts w:ascii="Times New Roman" w:hAnsi="Times New Roman"/>
          <w:color w:val="auto"/>
          <w:sz w:val="24"/>
          <w:szCs w:val="24"/>
        </w:rPr>
        <w:t>9.  Explanation of Any Payment or Gift to Respondents</w:t>
      </w:r>
      <w:bookmarkEnd w:id="12"/>
    </w:p>
    <w:p w:rsidRPr="00177C1F" w:rsidR="00BA550E" w:rsidP="007F3FE5" w:rsidRDefault="00BA550E" w14:paraId="613A95F4" w14:textId="77777777">
      <w:pPr>
        <w:widowControl/>
        <w:contextualSpacing/>
        <w:rPr>
          <w:bCs/>
        </w:rPr>
      </w:pPr>
    </w:p>
    <w:p w:rsidRPr="00177C1F" w:rsidR="0069511B" w:rsidP="0069511B" w:rsidRDefault="0069511B" w14:paraId="1F978BA2" w14:textId="77777777">
      <w:pPr>
        <w:adjustRightInd w:val="0"/>
        <w:jc w:val="both"/>
      </w:pPr>
      <w:r w:rsidRPr="00177C1F">
        <w:t xml:space="preserve">Respondents will not receive any payment or gift. </w:t>
      </w:r>
    </w:p>
    <w:p w:rsidRPr="00177C1F" w:rsidR="00BA550E" w:rsidP="007F3FE5" w:rsidRDefault="00BA550E" w14:paraId="13D47F1A" w14:textId="77777777">
      <w:pPr>
        <w:widowControl/>
        <w:contextualSpacing/>
        <w:rPr>
          <w:bCs/>
        </w:rPr>
      </w:pPr>
    </w:p>
    <w:p w:rsidRPr="00177C1F" w:rsidR="00BA550E" w:rsidP="00177C1F" w:rsidRDefault="00793601" w14:paraId="5A1CB33A" w14:textId="77777777">
      <w:pPr>
        <w:pStyle w:val="Heading3"/>
        <w:rPr>
          <w:rFonts w:ascii="Times New Roman" w:hAnsi="Times New Roman"/>
          <w:color w:val="auto"/>
          <w:sz w:val="24"/>
          <w:szCs w:val="24"/>
        </w:rPr>
      </w:pPr>
      <w:bookmarkStart w:name="_Toc412817462" w:id="13"/>
      <w:r w:rsidRPr="00177C1F">
        <w:rPr>
          <w:rFonts w:ascii="Times New Roman" w:hAnsi="Times New Roman"/>
          <w:color w:val="auto"/>
          <w:sz w:val="24"/>
          <w:szCs w:val="24"/>
        </w:rPr>
        <w:t>10.  Assurance of Confidentiality Provided to Respondents</w:t>
      </w:r>
      <w:bookmarkEnd w:id="13"/>
    </w:p>
    <w:p w:rsidRPr="00177C1F" w:rsidR="00BA550E" w:rsidP="007F3FE5" w:rsidRDefault="00BA550E" w14:paraId="1A14AD69" w14:textId="77777777">
      <w:pPr>
        <w:widowControl/>
        <w:contextualSpacing/>
      </w:pPr>
    </w:p>
    <w:p w:rsidR="00B978FF" w:rsidP="007F3FE5" w:rsidRDefault="00793601" w14:paraId="264D59DB" w14:textId="77777777">
      <w:pPr>
        <w:widowControl/>
        <w:contextualSpacing/>
      </w:pPr>
      <w:r w:rsidRPr="00177C1F">
        <w:t>This submission has been reviewed by the Information Collection Request Office (ICRO</w:t>
      </w:r>
      <w:r w:rsidRPr="00177C1F" w:rsidR="00DB5790">
        <w:t>) who</w:t>
      </w:r>
      <w:r w:rsidRPr="00177C1F">
        <w:t xml:space="preserve"> determined that the Privacy Act does apply.  The following information in identifiable form (IIF) will be collected: </w:t>
      </w:r>
      <w:r w:rsidRPr="00177C1F">
        <w:rPr>
          <w:bCs/>
        </w:rPr>
        <w:t xml:space="preserve">name, date of birth, department of justice identification number and job title. </w:t>
      </w:r>
      <w:r w:rsidR="0091115D">
        <w:t>T</w:t>
      </w:r>
      <w:r w:rsidRPr="0091115D" w:rsidR="0091115D">
        <w:t xml:space="preserve">he Application for Registration (APHIS/CDC Form 1) requires the Responsible Official or Alternate Responsible Official provide the name, date of birth, department of justice identification number and job title of </w:t>
      </w:r>
      <w:proofErr w:type="gramStart"/>
      <w:r w:rsidRPr="0091115D" w:rsidR="0091115D">
        <w:t>each individual</w:t>
      </w:r>
      <w:proofErr w:type="gramEnd"/>
      <w:r w:rsidRPr="0091115D" w:rsidR="0091115D">
        <w:t xml:space="preserve"> that has access to select agents and toxins.  The information is shared with the Federal Bureau of Investigation (FBI)/ Criminal Justice Information Services Division (CJIS).  The FSAP approves the individual or entity to posses</w:t>
      </w:r>
      <w:r w:rsidR="0091115D">
        <w:t>s</w:t>
      </w:r>
      <w:r w:rsidRPr="0091115D" w:rsidR="0091115D">
        <w:t xml:space="preserve">, use and transfer select agents and toxins based on the security risk assessment performed by CJIS.  </w:t>
      </w:r>
    </w:p>
    <w:p w:rsidR="00B978FF" w:rsidP="007F3FE5" w:rsidRDefault="00B978FF" w14:paraId="007CEFB1" w14:textId="77777777">
      <w:pPr>
        <w:widowControl/>
        <w:contextualSpacing/>
      </w:pPr>
    </w:p>
    <w:p w:rsidR="00BA550E" w:rsidP="00DB678A" w:rsidRDefault="00793601" w14:paraId="54041791" w14:textId="77777777">
      <w:pPr>
        <w:widowControl/>
        <w:contextualSpacing/>
      </w:pPr>
      <w:r w:rsidRPr="00177C1F">
        <w:t>To comply with the Office of Management and Budget (OMB) Memoranda (M) 07-16, Safeguarding Against and Responding to the Breach of Personally Identifiable Information, a Federal Register notice Vol. 76, No. 16, Tuesday, January 25, 201</w:t>
      </w:r>
      <w:r w:rsidR="00207CDC">
        <w:t>1, pages 4483-4485,</w:t>
      </w:r>
      <w:r w:rsidRPr="00177C1F">
        <w:t xml:space="preserve"> was published to alter the System of Records, 09-20-0170 </w:t>
      </w:r>
      <w:r w:rsidRPr="00177C1F" w:rsidR="006E12F7">
        <w:t>(</w:t>
      </w:r>
      <w:r w:rsidRPr="008F2046" w:rsidR="006E12F7">
        <w:t>Attachment</w:t>
      </w:r>
      <w:r w:rsidRPr="008F2046">
        <w:t xml:space="preserve"> </w:t>
      </w:r>
      <w:r w:rsidR="00A96720">
        <w:t>3</w:t>
      </w:r>
      <w:r w:rsidRPr="00177C1F">
        <w:t>), National Select Agent Registry (NSAR)/Select Agent Transfer and Entity Registration Information System (SATERIS), HHS/CDC/COTPER.</w:t>
      </w:r>
      <w:r w:rsidR="00DB678A">
        <w:t xml:space="preserve">  CDC is in the process of publishing a “Modified System of Records Maintained by HHS’ Centers for Disease Control and Prevention (CDC), System No. 09-20-0170, Electronic Federal Select Agent Program portal (eFSAP portal).”  The document is currently under review by OMB</w:t>
      </w:r>
      <w:r w:rsidR="005A4B62">
        <w:t xml:space="preserve"> (Attachment </w:t>
      </w:r>
      <w:r w:rsidR="00A96720">
        <w:t>4</w:t>
      </w:r>
      <w:r w:rsidR="005A4B62">
        <w:t>)</w:t>
      </w:r>
      <w:r w:rsidR="00DB678A">
        <w:t xml:space="preserve">. </w:t>
      </w:r>
    </w:p>
    <w:p w:rsidRPr="00177C1F" w:rsidR="00DB678A" w:rsidP="007F3FE5" w:rsidRDefault="00DB678A" w14:paraId="3C08ED58" w14:textId="77777777">
      <w:pPr>
        <w:widowControl/>
        <w:contextualSpacing/>
      </w:pPr>
    </w:p>
    <w:p w:rsidRPr="00177C1F" w:rsidR="00BA550E" w:rsidP="007F3FE5" w:rsidRDefault="00793601" w14:paraId="3D861BD7" w14:textId="77777777">
      <w:pPr>
        <w:pStyle w:val="NormalWeb"/>
        <w:contextualSpacing/>
      </w:pPr>
      <w:r w:rsidRPr="00177C1F">
        <w:t xml:space="preserve">The following special safeguards are provided to protect the records from inadvertent disclosure: </w:t>
      </w:r>
    </w:p>
    <w:p w:rsidRPr="00A96720" w:rsidR="00A96720" w:rsidP="00A96720" w:rsidRDefault="00A96720" w14:paraId="5CE6DCE6" w14:textId="77777777">
      <w:pPr>
        <w:widowControl/>
        <w:contextualSpacing/>
        <w:rPr>
          <w:rStyle w:val="Strong"/>
          <w:b w:val="0"/>
        </w:rPr>
      </w:pPr>
      <w:r w:rsidRPr="00A96720">
        <w:rPr>
          <w:rStyle w:val="Strong"/>
          <w:b w:val="0"/>
        </w:rPr>
        <w:t xml:space="preserve">Safeguards conform to the HHS Information Security and Privacy Program, http://www.hhs.gov/ocio/securityprivacy/index.html, the HHS Information Security and Privacy Policy (IS2P), and applicable federal laws, rules and policies, including: the E-Government Act of 2002, which includes the Federal Information Security Management Act of 2002 (FISMA), 44 </w:t>
      </w:r>
      <w:r w:rsidRPr="00A96720">
        <w:rPr>
          <w:rStyle w:val="Strong"/>
          <w:b w:val="0"/>
        </w:rPr>
        <w:lastRenderedPageBreak/>
        <w:t>U.S.C. 3541-3549, as amended by the Federal Information Security Modernization Act of 2014, 44 U.S.C. 3551-3558; all pertinent National Institutes of Standards and Technology (NIST) publications; and OMB Circular A-130, Managing Information as a Strategic Resource.</w:t>
      </w:r>
    </w:p>
    <w:p w:rsidR="00A96720" w:rsidP="00A96720" w:rsidRDefault="00A96720" w14:paraId="1FB53C92" w14:textId="77777777">
      <w:pPr>
        <w:widowControl/>
        <w:contextualSpacing/>
        <w:rPr>
          <w:rStyle w:val="Strong"/>
          <w:b w:val="0"/>
        </w:rPr>
      </w:pPr>
    </w:p>
    <w:p w:rsidRPr="00A96720" w:rsidR="00A96720" w:rsidP="00A96720" w:rsidRDefault="00A96720" w14:paraId="06E17ECA" w14:textId="77777777">
      <w:pPr>
        <w:widowControl/>
        <w:contextualSpacing/>
        <w:rPr>
          <w:rStyle w:val="Strong"/>
          <w:b w:val="0"/>
        </w:rPr>
      </w:pPr>
      <w:r w:rsidRPr="00A96720">
        <w:rPr>
          <w:rStyle w:val="Strong"/>
          <w:b w:val="0"/>
        </w:rPr>
        <w:t>Administrative and Technical Safeguards:</w:t>
      </w:r>
      <w:r>
        <w:rPr>
          <w:rStyle w:val="Strong"/>
          <w:b w:val="0"/>
        </w:rPr>
        <w:t xml:space="preserve"> </w:t>
      </w:r>
      <w:r w:rsidRPr="00A96720">
        <w:rPr>
          <w:rStyle w:val="Strong"/>
          <w:b w:val="0"/>
        </w:rPr>
        <w:t>Security measures are implemented on government computers to control unauthorized access to the system. Attempts to gain access by unauthorized individuals are automatically recorded and reviewed by FSAP on a regular basis. Individuals who have routine access to these records are limited to staff (FTEs and contractors having security clearances at T3 (Non-Critical Sensitive positions requiring Secret clearance) or T4 (Non-Sensitive High Risk (Public Trust)) levels) who have responsibility for conducting regulatory oversight.</w:t>
      </w:r>
    </w:p>
    <w:p w:rsidR="00A96720" w:rsidP="00A96720" w:rsidRDefault="00A96720" w14:paraId="13C9C561" w14:textId="77777777">
      <w:pPr>
        <w:widowControl/>
        <w:contextualSpacing/>
        <w:rPr>
          <w:rStyle w:val="Strong"/>
          <w:b w:val="0"/>
        </w:rPr>
      </w:pPr>
    </w:p>
    <w:p w:rsidRPr="00A96720" w:rsidR="00A96720" w:rsidP="00A96720" w:rsidRDefault="00A96720" w14:paraId="3EA5E458" w14:textId="77777777">
      <w:pPr>
        <w:widowControl/>
        <w:contextualSpacing/>
        <w:rPr>
          <w:rStyle w:val="Strong"/>
          <w:b w:val="0"/>
        </w:rPr>
      </w:pPr>
      <w:r w:rsidRPr="00A96720">
        <w:rPr>
          <w:rStyle w:val="Strong"/>
          <w:b w:val="0"/>
        </w:rPr>
        <w:t xml:space="preserve">Protection for computerized records includes programmed verification of valid user identification code and password prior to logging on to the system; mandatory password changes, limited </w:t>
      </w:r>
      <w:proofErr w:type="gramStart"/>
      <w:r w:rsidRPr="00A96720">
        <w:rPr>
          <w:rStyle w:val="Strong"/>
          <w:b w:val="0"/>
        </w:rPr>
        <w:t>log-ins</w:t>
      </w:r>
      <w:proofErr w:type="gramEnd"/>
      <w:r w:rsidRPr="00A96720">
        <w:rPr>
          <w:rStyle w:val="Strong"/>
          <w:b w:val="0"/>
        </w:rPr>
        <w:t xml:space="preserve">, virus protection, encryption, firewalls, and intrusion detection systems, and user rights/file attribute restrictions. Password protection imposes </w:t>
      </w:r>
      <w:proofErr w:type="gramStart"/>
      <w:r w:rsidRPr="00A96720">
        <w:rPr>
          <w:rStyle w:val="Strong"/>
          <w:b w:val="0"/>
        </w:rPr>
        <w:t>user name</w:t>
      </w:r>
      <w:proofErr w:type="gramEnd"/>
      <w:r w:rsidRPr="00A96720">
        <w:rPr>
          <w:rStyle w:val="Strong"/>
          <w:b w:val="0"/>
        </w:rPr>
        <w:t xml:space="preserve"> and password log-in requirements to prevent unauthorized access. Each </w:t>
      </w:r>
      <w:proofErr w:type="gramStart"/>
      <w:r w:rsidRPr="00A96720">
        <w:rPr>
          <w:rStyle w:val="Strong"/>
          <w:b w:val="0"/>
        </w:rPr>
        <w:t>user name</w:t>
      </w:r>
      <w:proofErr w:type="gramEnd"/>
      <w:r w:rsidRPr="00A96720">
        <w:rPr>
          <w:rStyle w:val="Strong"/>
          <w:b w:val="0"/>
        </w:rPr>
        <w:t xml:space="preserve"> is assigned limited access rights to files and directories at varying levels to control file sharing. There are routine daily backup procedures, and backup files are securely stored off-site. Security controls are reviewed on an ongoing basis. </w:t>
      </w:r>
    </w:p>
    <w:p w:rsidR="00A96720" w:rsidP="00A96720" w:rsidRDefault="00A96720" w14:paraId="7D35D018" w14:textId="77777777">
      <w:pPr>
        <w:widowControl/>
        <w:contextualSpacing/>
        <w:rPr>
          <w:rStyle w:val="Strong"/>
          <w:b w:val="0"/>
        </w:rPr>
      </w:pPr>
    </w:p>
    <w:p w:rsidRPr="00A96720" w:rsidR="00A96720" w:rsidP="00A96720" w:rsidRDefault="00A96720" w14:paraId="147D178A" w14:textId="77777777">
      <w:pPr>
        <w:widowControl/>
        <w:contextualSpacing/>
        <w:rPr>
          <w:rStyle w:val="Strong"/>
          <w:b w:val="0"/>
        </w:rPr>
      </w:pPr>
      <w:r w:rsidRPr="00A96720">
        <w:rPr>
          <w:rStyle w:val="Strong"/>
          <w:b w:val="0"/>
        </w:rPr>
        <w:t xml:space="preserve">Knowledge of individual tape passwords is required to access backups, and access to the system is limited to users obtaining prior supervisory approval. To avoid inadvertent data disclosure, a special additional procedure is performed to ensure that all Privacy Act data are removed from computer hard drives. Additional safeguards may also be built into the program by the system analyst as warranted by the sensitivity of the data set. </w:t>
      </w:r>
    </w:p>
    <w:p w:rsidR="00A96720" w:rsidP="00A96720" w:rsidRDefault="00A96720" w14:paraId="1DFCD57D" w14:textId="77777777">
      <w:pPr>
        <w:widowControl/>
        <w:contextualSpacing/>
        <w:rPr>
          <w:rStyle w:val="Strong"/>
          <w:b w:val="0"/>
        </w:rPr>
      </w:pPr>
    </w:p>
    <w:p w:rsidRPr="00A96720" w:rsidR="00A96720" w:rsidP="00A96720" w:rsidRDefault="00A96720" w14:paraId="0796D369" w14:textId="77777777">
      <w:pPr>
        <w:widowControl/>
        <w:contextualSpacing/>
        <w:rPr>
          <w:rStyle w:val="Strong"/>
          <w:b w:val="0"/>
        </w:rPr>
      </w:pPr>
      <w:r w:rsidRPr="00A96720">
        <w:rPr>
          <w:rStyle w:val="Strong"/>
          <w:b w:val="0"/>
        </w:rPr>
        <w:t xml:space="preserve">FTEs and contractor employees who maintain records are instructed in specific procedures to protect the security of </w:t>
      </w:r>
      <w:proofErr w:type="gramStart"/>
      <w:r w:rsidRPr="00A96720">
        <w:rPr>
          <w:rStyle w:val="Strong"/>
          <w:b w:val="0"/>
        </w:rPr>
        <w:t>records, and</w:t>
      </w:r>
      <w:proofErr w:type="gramEnd"/>
      <w:r w:rsidRPr="00A96720">
        <w:rPr>
          <w:rStyle w:val="Strong"/>
          <w:b w:val="0"/>
        </w:rPr>
        <w:t xml:space="preserve"> are to check with the system manager prior to making disclosure of data. When individually identifiable data are being used in a room, admittance at either federal or contractor sites is restricted to specifically authorized personnel.</w:t>
      </w:r>
    </w:p>
    <w:p w:rsidR="00A96720" w:rsidP="00A96720" w:rsidRDefault="00A96720" w14:paraId="4039230F" w14:textId="77777777">
      <w:pPr>
        <w:widowControl/>
        <w:contextualSpacing/>
        <w:rPr>
          <w:rStyle w:val="Strong"/>
          <w:b w:val="0"/>
        </w:rPr>
      </w:pPr>
    </w:p>
    <w:p w:rsidRPr="00A96720" w:rsidR="00A96720" w:rsidP="00A96720" w:rsidRDefault="00A96720" w14:paraId="6B02CDF7" w14:textId="77777777">
      <w:pPr>
        <w:widowControl/>
        <w:contextualSpacing/>
        <w:rPr>
          <w:rStyle w:val="Strong"/>
          <w:b w:val="0"/>
        </w:rPr>
      </w:pPr>
      <w:r w:rsidRPr="00A96720">
        <w:rPr>
          <w:rStyle w:val="Strong"/>
          <w:b w:val="0"/>
        </w:rPr>
        <w:t>Appropriate Privacy Act provisions and breach notification provisions are included in applicable contracts, and the CDC Project Director, contract officers, and project officers oversee compliance with these requirements. Upon completion of the contract, all data will be either returned to federal government or destroyed, as specified by the contract that includes breach notifications.</w:t>
      </w:r>
    </w:p>
    <w:p w:rsidR="00A96720" w:rsidP="00A96720" w:rsidRDefault="00A96720" w14:paraId="65A45C90" w14:textId="77777777">
      <w:pPr>
        <w:widowControl/>
        <w:contextualSpacing/>
        <w:rPr>
          <w:rStyle w:val="Strong"/>
          <w:b w:val="0"/>
        </w:rPr>
      </w:pPr>
    </w:p>
    <w:p w:rsidRPr="00A96720" w:rsidR="00A96720" w:rsidP="00A96720" w:rsidRDefault="00A96720" w14:paraId="6D7FE670" w14:textId="77777777">
      <w:pPr>
        <w:widowControl/>
        <w:contextualSpacing/>
        <w:rPr>
          <w:rStyle w:val="Strong"/>
          <w:b w:val="0"/>
        </w:rPr>
      </w:pPr>
      <w:r w:rsidRPr="00A96720">
        <w:rPr>
          <w:rStyle w:val="Strong"/>
          <w:b w:val="0"/>
        </w:rPr>
        <w:t xml:space="preserve">Records that are eligible for destruction are disposed of using destruction methods prescribed by NIST SP 800-88. Hard copy records are placed in a locked container or designated secure storage area while awaiting destruction. Records are destroyed in a manner that precludes its reconstruction, such as secured cross shredding. Utilizing the HHS Security Rule Guidance Material found at https://www.hhs.gov/hipaa/for-professionals/security/guidance/index.html, electronic information will be deleted or overwritten using Department of Defense National Institute of Standards and Technology/ General Services Administration (NIST/GSA) approved overwriting software that wipes the entire physical disk and not just the virtual disk. In addition, </w:t>
      </w:r>
      <w:r w:rsidRPr="00A96720">
        <w:rPr>
          <w:rStyle w:val="Strong"/>
          <w:b w:val="0"/>
        </w:rPr>
        <w:lastRenderedPageBreak/>
        <w:t>the physical destruction is obtained by using a National Security Agency/Central Security Service (NSA/CSS) approved degaussing device.</w:t>
      </w:r>
    </w:p>
    <w:p w:rsidR="00A96720" w:rsidP="00A96720" w:rsidRDefault="00A96720" w14:paraId="5EB846A1" w14:textId="77777777">
      <w:pPr>
        <w:widowControl/>
        <w:contextualSpacing/>
        <w:rPr>
          <w:rStyle w:val="Strong"/>
          <w:b w:val="0"/>
        </w:rPr>
      </w:pPr>
    </w:p>
    <w:p w:rsidR="00DB733D" w:rsidP="00A96720" w:rsidRDefault="00A96720" w14:paraId="5E7A76B6" w14:textId="77777777">
      <w:pPr>
        <w:widowControl/>
        <w:contextualSpacing/>
        <w:rPr>
          <w:rStyle w:val="Strong"/>
          <w:b w:val="0"/>
        </w:rPr>
      </w:pPr>
      <w:r w:rsidRPr="00A96720">
        <w:rPr>
          <w:rStyle w:val="Strong"/>
          <w:b w:val="0"/>
        </w:rPr>
        <w:t>Physical Safeguards:</w:t>
      </w:r>
      <w:r>
        <w:rPr>
          <w:rStyle w:val="Strong"/>
          <w:b w:val="0"/>
        </w:rPr>
        <w:t xml:space="preserve"> </w:t>
      </w:r>
      <w:r w:rsidRPr="00A96720">
        <w:rPr>
          <w:rStyle w:val="Strong"/>
          <w:b w:val="0"/>
        </w:rPr>
        <w:t xml:space="preserve">Paper records are maintained in locked cabinets in secured rooms through electronic access in a restricted access location that is controlled by an electronic cardkey system that is limited to staff who have responsibility for conducting regulatory oversight. Electronic data files are encrypted using Federal Information Processing Standards Publication (FIPS) </w:t>
      </w:r>
      <w:proofErr w:type="gramStart"/>
      <w:r w:rsidRPr="00A96720">
        <w:rPr>
          <w:rStyle w:val="Strong"/>
          <w:b w:val="0"/>
        </w:rPr>
        <w:t>140-2, and</w:t>
      </w:r>
      <w:proofErr w:type="gramEnd"/>
      <w:r w:rsidRPr="00A96720">
        <w:rPr>
          <w:rStyle w:val="Strong"/>
          <w:b w:val="0"/>
        </w:rPr>
        <w:t xml:space="preserve"> stored in a restricted access location.  The computer room is protected by an automatic sprinkler system and numerous automatic sensors (e.g., water, heat, smoke, etc.) which are monitored, and a proper mix of portable fire extinguishers is located throughout the computer room. Computer workstations, lockable personal computers, and automated records </w:t>
      </w:r>
      <w:proofErr w:type="gramStart"/>
      <w:r w:rsidRPr="00A96720">
        <w:rPr>
          <w:rStyle w:val="Strong"/>
          <w:b w:val="0"/>
        </w:rPr>
        <w:t>are located in</w:t>
      </w:r>
      <w:proofErr w:type="gramEnd"/>
      <w:r w:rsidRPr="00A96720">
        <w:rPr>
          <w:rStyle w:val="Strong"/>
          <w:b w:val="0"/>
        </w:rPr>
        <w:t xml:space="preserve"> secured areas.</w:t>
      </w:r>
    </w:p>
    <w:p w:rsidRPr="00DB733D" w:rsidR="00A96720" w:rsidP="00A96720" w:rsidRDefault="00A96720" w14:paraId="1B29175C" w14:textId="77777777">
      <w:pPr>
        <w:widowControl/>
        <w:contextualSpacing/>
        <w:rPr>
          <w:rStyle w:val="Strong"/>
          <w:b w:val="0"/>
        </w:rPr>
      </w:pPr>
    </w:p>
    <w:p w:rsidR="00BA550E" w:rsidP="00DB733D" w:rsidRDefault="00DB733D" w14:paraId="1271E5D6" w14:textId="77777777">
      <w:pPr>
        <w:widowControl/>
        <w:contextualSpacing/>
        <w:rPr>
          <w:rStyle w:val="Strong"/>
          <w:b w:val="0"/>
        </w:rPr>
      </w:pPr>
      <w:r w:rsidRPr="00DB733D">
        <w:rPr>
          <w:rStyle w:val="Strong"/>
          <w:b w:val="0"/>
        </w:rPr>
        <w:t xml:space="preserve">Implementation Guidelines: The safeguards outlined above are in accordance with applicable laws, rules and policies, including the HHS Information Security Program Policy, all pertinent NIST publications and OMB Circular A-130, Managing Information as a Strategic Resource.   </w:t>
      </w:r>
    </w:p>
    <w:p w:rsidRPr="00177C1F" w:rsidR="00DB733D" w:rsidP="00DB733D" w:rsidRDefault="00DB733D" w14:paraId="368B0C2C" w14:textId="77777777">
      <w:pPr>
        <w:widowControl/>
        <w:contextualSpacing/>
        <w:rPr>
          <w:bCs/>
        </w:rPr>
      </w:pPr>
    </w:p>
    <w:p w:rsidRPr="00177C1F" w:rsidR="00BA550E" w:rsidP="007F3FE5" w:rsidRDefault="00793601" w14:paraId="0F5ECE20" w14:textId="77777777">
      <w:pPr>
        <w:widowControl/>
        <w:contextualSpacing/>
        <w:rPr>
          <w:bCs/>
          <w:u w:val="single"/>
        </w:rPr>
      </w:pPr>
      <w:r w:rsidRPr="00177C1F">
        <w:rPr>
          <w:bCs/>
          <w:u w:val="single"/>
        </w:rPr>
        <w:t xml:space="preserve">Institutional Review Board </w:t>
      </w:r>
    </w:p>
    <w:p w:rsidRPr="00177C1F" w:rsidR="003D61C0" w:rsidP="007F3FE5" w:rsidRDefault="003D61C0" w14:paraId="431668CF" w14:textId="77777777">
      <w:pPr>
        <w:widowControl/>
        <w:contextualSpacing/>
        <w:rPr>
          <w:bCs/>
          <w:u w:val="single"/>
        </w:rPr>
      </w:pPr>
    </w:p>
    <w:p w:rsidRPr="00177C1F" w:rsidR="005048C9" w:rsidP="007F3FE5" w:rsidRDefault="00793601" w14:paraId="4DBF961B" w14:textId="77777777">
      <w:pPr>
        <w:widowControl/>
        <w:contextualSpacing/>
        <w:rPr>
          <w:bCs/>
        </w:rPr>
      </w:pPr>
      <w:r w:rsidRPr="00177C1F">
        <w:rPr>
          <w:bCs/>
        </w:rPr>
        <w:t xml:space="preserve">Institutional Review Board approval is not required. </w:t>
      </w:r>
    </w:p>
    <w:p w:rsidRPr="00177C1F" w:rsidR="00254E96" w:rsidP="007F3FE5" w:rsidRDefault="00254E96" w14:paraId="49EE5988" w14:textId="77777777">
      <w:pPr>
        <w:widowControl/>
        <w:contextualSpacing/>
        <w:rPr>
          <w:bCs/>
        </w:rPr>
      </w:pPr>
    </w:p>
    <w:p w:rsidRPr="00177C1F" w:rsidR="00BA550E" w:rsidP="007F3FE5" w:rsidRDefault="00BA550E" w14:paraId="57ED9A6F" w14:textId="77777777">
      <w:pPr>
        <w:widowControl/>
        <w:contextualSpacing/>
        <w:rPr>
          <w:bCs/>
        </w:rPr>
      </w:pPr>
    </w:p>
    <w:p w:rsidRPr="00177C1F" w:rsidR="00BA550E" w:rsidP="00177C1F" w:rsidRDefault="00793601" w14:paraId="514A80F8" w14:textId="77777777">
      <w:pPr>
        <w:pStyle w:val="Heading3"/>
        <w:rPr>
          <w:rFonts w:ascii="Times New Roman" w:hAnsi="Times New Roman"/>
          <w:color w:val="auto"/>
          <w:sz w:val="24"/>
          <w:szCs w:val="24"/>
        </w:rPr>
      </w:pPr>
      <w:bookmarkStart w:name="_Toc412817463" w:id="14"/>
      <w:r w:rsidRPr="00177C1F">
        <w:rPr>
          <w:rFonts w:ascii="Times New Roman" w:hAnsi="Times New Roman"/>
          <w:color w:val="auto"/>
          <w:sz w:val="24"/>
          <w:szCs w:val="24"/>
        </w:rPr>
        <w:t>11.  Justification of Sensitive Questions</w:t>
      </w:r>
      <w:bookmarkEnd w:id="14"/>
    </w:p>
    <w:p w:rsidRPr="00177C1F" w:rsidR="00BA550E" w:rsidP="007F3FE5" w:rsidRDefault="00BA550E" w14:paraId="32429278" w14:textId="77777777">
      <w:pPr>
        <w:widowControl/>
        <w:contextualSpacing/>
        <w:rPr>
          <w:bCs/>
        </w:rPr>
      </w:pPr>
    </w:p>
    <w:p w:rsidRPr="00177C1F" w:rsidR="00BA550E" w:rsidP="007F3FE5" w:rsidRDefault="00793601" w14:paraId="3EF9E068" w14:textId="77777777">
      <w:pPr>
        <w:widowControl/>
        <w:contextualSpacing/>
        <w:rPr>
          <w:bCs/>
        </w:rPr>
      </w:pPr>
      <w:r w:rsidRPr="00177C1F">
        <w:rPr>
          <w:bCs/>
        </w:rPr>
        <w:t xml:space="preserve">There are questions in the data collection instruments that are directly related to criminal behavior which is considered sensitive information. The Public Health Safety and Bioterrorism Preparedness and Response Act of 2002 (Public Law 107) required the development of a common registration system for the purpose of verifying the credentials, licenses, accreditations, and hospital privileges of such professionals during public health emergencies.  Therefore, questions in reference criminal behavior are necessary to obtain information regarding possible criminal activity.  </w:t>
      </w:r>
    </w:p>
    <w:p w:rsidRPr="00177C1F" w:rsidR="00C332B2" w:rsidP="007F3FE5" w:rsidRDefault="00C332B2" w14:paraId="1322D551" w14:textId="77777777">
      <w:pPr>
        <w:widowControl/>
        <w:contextualSpacing/>
        <w:rPr>
          <w:bCs/>
        </w:rPr>
      </w:pPr>
    </w:p>
    <w:p w:rsidRPr="00177C1F" w:rsidR="00BA550E" w:rsidP="00177C1F" w:rsidRDefault="00793601" w14:paraId="3A5E4E9B" w14:textId="77777777">
      <w:pPr>
        <w:pStyle w:val="Heading3"/>
        <w:rPr>
          <w:rFonts w:ascii="Times New Roman" w:hAnsi="Times New Roman"/>
          <w:color w:val="auto"/>
          <w:sz w:val="24"/>
          <w:szCs w:val="24"/>
        </w:rPr>
      </w:pPr>
      <w:bookmarkStart w:name="_Toc412817464" w:id="15"/>
      <w:r w:rsidRPr="00177C1F">
        <w:rPr>
          <w:rFonts w:ascii="Times New Roman" w:hAnsi="Times New Roman"/>
          <w:color w:val="auto"/>
          <w:sz w:val="24"/>
          <w:szCs w:val="24"/>
        </w:rPr>
        <w:t>12.  Estimates of Annualized Burden Hours and Costs</w:t>
      </w:r>
      <w:bookmarkEnd w:id="15"/>
    </w:p>
    <w:p w:rsidRPr="00177C1F" w:rsidR="00BA550E" w:rsidP="007F3FE5" w:rsidRDefault="00BA550E" w14:paraId="4EFA6367" w14:textId="77777777">
      <w:pPr>
        <w:widowControl/>
        <w:contextualSpacing/>
        <w:rPr>
          <w:bCs/>
        </w:rPr>
      </w:pPr>
    </w:p>
    <w:p w:rsidRPr="00177C1F" w:rsidR="00BA550E" w:rsidP="007F3FE5" w:rsidRDefault="00793601" w14:paraId="76C4511D" w14:textId="77777777">
      <w:pPr>
        <w:contextualSpacing/>
        <w:jc w:val="both"/>
      </w:pPr>
      <w:r w:rsidRPr="00177C1F">
        <w:t>Estimated Annualized Burden Hours</w:t>
      </w:r>
    </w:p>
    <w:p w:rsidRPr="00177C1F" w:rsidR="005E27C5" w:rsidP="00CB6E2D" w:rsidRDefault="005E27C5" w14:paraId="6468B88C" w14:textId="77777777">
      <w:pPr>
        <w:contextualSpacing/>
        <w:rPr>
          <w:bCs/>
        </w:rPr>
      </w:pPr>
    </w:p>
    <w:p w:rsidRPr="00177C1F" w:rsidR="00975D0A" w:rsidP="007F3FE5" w:rsidRDefault="0063587B" w14:paraId="207CCC2C" w14:textId="616CF296">
      <w:pPr>
        <w:contextualSpacing/>
        <w:rPr>
          <w:bCs/>
        </w:rPr>
      </w:pPr>
      <w:r w:rsidRPr="0063587B">
        <w:rPr>
          <w:bCs/>
        </w:rPr>
        <w:t>The total estimated annualized burden for all data collection was calculated using the 2018 Annual Report of the Federal Select Agent Program available at https://www.selectagents.gov/annualreport2018.html or FSAP IT system and is estimated as 446</w:t>
      </w:r>
      <w:r w:rsidR="007648F3">
        <w:rPr>
          <w:bCs/>
        </w:rPr>
        <w:t>7</w:t>
      </w:r>
      <w:r w:rsidRPr="0063587B">
        <w:rPr>
          <w:bCs/>
        </w:rPr>
        <w:t xml:space="preserve"> hours. Information will be collected through FSAP IT system, fax, email and hard copy mail from respondents</w:t>
      </w:r>
      <w:r>
        <w:rPr>
          <w:bCs/>
        </w:rPr>
        <w:t xml:space="preserve">.  </w:t>
      </w:r>
      <w:r w:rsidRPr="00177C1F" w:rsidR="00FA7A78">
        <w:rPr>
          <w:bCs/>
        </w:rPr>
        <w:t xml:space="preserve">The </w:t>
      </w:r>
      <w:r w:rsidR="003D3462">
        <w:rPr>
          <w:bCs/>
        </w:rPr>
        <w:t xml:space="preserve">currently approved </w:t>
      </w:r>
      <w:r w:rsidRPr="00177C1F" w:rsidR="00FA7A78">
        <w:rPr>
          <w:bCs/>
        </w:rPr>
        <w:t xml:space="preserve">annualized burden </w:t>
      </w:r>
      <w:r w:rsidR="003D3462">
        <w:rPr>
          <w:bCs/>
        </w:rPr>
        <w:t xml:space="preserve">is </w:t>
      </w:r>
      <w:r w:rsidRPr="00177C1F">
        <w:rPr>
          <w:bCs/>
        </w:rPr>
        <w:t>8,</w:t>
      </w:r>
      <w:r w:rsidR="003779A5">
        <w:rPr>
          <w:bCs/>
        </w:rPr>
        <w:t>347</w:t>
      </w:r>
      <w:r w:rsidR="003D3462">
        <w:rPr>
          <w:bCs/>
        </w:rPr>
        <w:t xml:space="preserve"> </w:t>
      </w:r>
      <w:r w:rsidRPr="00177C1F" w:rsidR="00FA7A78">
        <w:rPr>
          <w:bCs/>
        </w:rPr>
        <w:t>The 20</w:t>
      </w:r>
      <w:r>
        <w:rPr>
          <w:bCs/>
        </w:rPr>
        <w:t>20</w:t>
      </w:r>
      <w:r w:rsidRPr="00177C1F" w:rsidR="00FA7A78">
        <w:rPr>
          <w:bCs/>
        </w:rPr>
        <w:t xml:space="preserve"> estimated annualized burden hours are</w:t>
      </w:r>
      <w:r>
        <w:rPr>
          <w:bCs/>
        </w:rPr>
        <w:t xml:space="preserve"> </w:t>
      </w:r>
      <w:r w:rsidRPr="0063587B">
        <w:rPr>
          <w:bCs/>
        </w:rPr>
        <w:t>446</w:t>
      </w:r>
      <w:r w:rsidR="007648F3">
        <w:rPr>
          <w:bCs/>
        </w:rPr>
        <w:t>7</w:t>
      </w:r>
      <w:r w:rsidRPr="00177C1F" w:rsidR="00FA7A78">
        <w:rPr>
          <w:bCs/>
        </w:rPr>
        <w:t>.  Burden has reduced due to the decrease in the number of respondents</w:t>
      </w:r>
      <w:r>
        <w:rPr>
          <w:bCs/>
        </w:rPr>
        <w:t xml:space="preserve"> and the implementation of eFSAP. </w:t>
      </w:r>
    </w:p>
    <w:p w:rsidRPr="00177C1F" w:rsidR="00FA7A78" w:rsidP="007F3FE5" w:rsidRDefault="00FA7A78" w14:paraId="6EB16A61" w14:textId="77777777">
      <w:pPr>
        <w:contextualSpacing/>
        <w:rPr>
          <w:bCs/>
        </w:rPr>
      </w:pPr>
    </w:p>
    <w:p w:rsidRPr="00177C1F" w:rsidR="00FA7A78" w:rsidP="00FA7A78" w:rsidRDefault="00FA7A78" w14:paraId="274B067F" w14:textId="77777777">
      <w:pPr>
        <w:spacing w:line="480" w:lineRule="auto"/>
        <w:jc w:val="both"/>
        <w:rPr>
          <w:u w:val="single"/>
        </w:rPr>
      </w:pPr>
      <w:r w:rsidRPr="00177C1F">
        <w:rPr>
          <w:u w:val="single"/>
        </w:rPr>
        <w:t>Estimated Annualized Burden Hours</w:t>
      </w:r>
    </w:p>
    <w:tbl>
      <w:tblPr>
        <w:tblW w:w="5038" w:type="pct"/>
        <w:jc w:val="center"/>
        <w:tblBorders>
          <w:top w:val="single" w:color="auto" w:sz="4" w:space="0"/>
          <w:bottom w:val="single" w:color="auto" w:sz="4" w:space="0"/>
          <w:insideV w:val="single" w:color="auto" w:sz="4" w:space="0"/>
        </w:tblBorders>
        <w:tblLayout w:type="fixed"/>
        <w:tblLook w:val="01E0" w:firstRow="1" w:lastRow="1" w:firstColumn="1" w:lastColumn="1" w:noHBand="0" w:noVBand="0"/>
      </w:tblPr>
      <w:tblGrid>
        <w:gridCol w:w="1371"/>
        <w:gridCol w:w="2640"/>
        <w:gridCol w:w="1579"/>
        <w:gridCol w:w="1406"/>
        <w:gridCol w:w="1396"/>
        <w:gridCol w:w="1029"/>
      </w:tblGrid>
      <w:tr w:rsidRPr="00177C1F" w:rsidR="0063587B" w:rsidTr="00DF5E31" w14:paraId="2E2D07C7" w14:textId="77777777">
        <w:trPr>
          <w:jc w:val="center"/>
        </w:trPr>
        <w:tc>
          <w:tcPr>
            <w:tcW w:w="728" w:type="pct"/>
            <w:tcBorders>
              <w:top w:val="single" w:color="auto" w:sz="4" w:space="0"/>
              <w:left w:val="single" w:color="auto" w:sz="4" w:space="0"/>
              <w:bottom w:val="single" w:color="auto" w:sz="4" w:space="0"/>
            </w:tcBorders>
            <w:vAlign w:val="center"/>
          </w:tcPr>
          <w:p w:rsidRPr="0063587B" w:rsidR="0063587B" w:rsidP="0063587B" w:rsidRDefault="0063587B" w14:paraId="04450856" w14:textId="77777777">
            <w:pPr>
              <w:numPr>
                <w:ilvl w:val="12"/>
                <w:numId w:val="0"/>
              </w:numPr>
              <w:rPr>
                <w:bCs/>
                <w:sz w:val="22"/>
                <w:szCs w:val="22"/>
              </w:rPr>
            </w:pPr>
            <w:r w:rsidRPr="0063587B">
              <w:rPr>
                <w:bCs/>
                <w:sz w:val="22"/>
                <w:szCs w:val="22"/>
              </w:rPr>
              <w:lastRenderedPageBreak/>
              <w:t>Section</w:t>
            </w:r>
          </w:p>
        </w:tc>
        <w:tc>
          <w:tcPr>
            <w:tcW w:w="1401" w:type="pct"/>
            <w:tcBorders>
              <w:top w:val="single" w:color="auto" w:sz="4" w:space="0"/>
              <w:bottom w:val="single" w:color="auto" w:sz="4" w:space="0"/>
            </w:tcBorders>
            <w:vAlign w:val="center"/>
          </w:tcPr>
          <w:p w:rsidRPr="0063587B" w:rsidR="0063587B" w:rsidP="0063587B" w:rsidRDefault="0063587B" w14:paraId="675D88AE" w14:textId="77777777">
            <w:pPr>
              <w:numPr>
                <w:ilvl w:val="12"/>
                <w:numId w:val="0"/>
              </w:numPr>
              <w:rPr>
                <w:bCs/>
                <w:sz w:val="22"/>
                <w:szCs w:val="22"/>
              </w:rPr>
            </w:pPr>
            <w:r w:rsidRPr="0063587B">
              <w:rPr>
                <w:bCs/>
                <w:sz w:val="22"/>
                <w:szCs w:val="22"/>
              </w:rPr>
              <w:t>Form Name</w:t>
            </w:r>
          </w:p>
        </w:tc>
        <w:tc>
          <w:tcPr>
            <w:tcW w:w="838" w:type="pct"/>
            <w:tcBorders>
              <w:top w:val="single" w:color="auto" w:sz="4" w:space="0"/>
              <w:bottom w:val="single" w:color="auto" w:sz="4" w:space="0"/>
            </w:tcBorders>
            <w:vAlign w:val="center"/>
          </w:tcPr>
          <w:p w:rsidRPr="0063587B" w:rsidR="0063587B" w:rsidP="0063587B" w:rsidRDefault="0063587B" w14:paraId="0A517952" w14:textId="77777777">
            <w:pPr>
              <w:numPr>
                <w:ilvl w:val="12"/>
                <w:numId w:val="0"/>
              </w:numPr>
              <w:rPr>
                <w:bCs/>
                <w:sz w:val="22"/>
                <w:szCs w:val="22"/>
              </w:rPr>
            </w:pPr>
            <w:r w:rsidRPr="0063587B">
              <w:rPr>
                <w:bCs/>
                <w:sz w:val="22"/>
                <w:szCs w:val="22"/>
              </w:rPr>
              <w:t>Number of Respondents</w:t>
            </w:r>
          </w:p>
        </w:tc>
        <w:tc>
          <w:tcPr>
            <w:tcW w:w="746" w:type="pct"/>
            <w:tcBorders>
              <w:top w:val="single" w:color="auto" w:sz="4" w:space="0"/>
              <w:bottom w:val="single" w:color="auto" w:sz="4" w:space="0"/>
            </w:tcBorders>
            <w:vAlign w:val="center"/>
          </w:tcPr>
          <w:p w:rsidRPr="0063587B" w:rsidR="0063587B" w:rsidP="0063587B" w:rsidRDefault="0063587B" w14:paraId="72A7E6CC" w14:textId="77777777">
            <w:pPr>
              <w:numPr>
                <w:ilvl w:val="12"/>
                <w:numId w:val="0"/>
              </w:numPr>
              <w:rPr>
                <w:bCs/>
                <w:sz w:val="22"/>
                <w:szCs w:val="22"/>
              </w:rPr>
            </w:pPr>
            <w:r w:rsidRPr="0063587B">
              <w:rPr>
                <w:bCs/>
                <w:sz w:val="22"/>
                <w:szCs w:val="22"/>
              </w:rPr>
              <w:t>Number of Responses per Respondent</w:t>
            </w:r>
          </w:p>
        </w:tc>
        <w:tc>
          <w:tcPr>
            <w:tcW w:w="741" w:type="pct"/>
            <w:tcBorders>
              <w:top w:val="single" w:color="auto" w:sz="4" w:space="0"/>
              <w:bottom w:val="single" w:color="auto" w:sz="4" w:space="0"/>
            </w:tcBorders>
            <w:vAlign w:val="center"/>
          </w:tcPr>
          <w:p w:rsidRPr="0063587B" w:rsidR="0063587B" w:rsidP="0063587B" w:rsidRDefault="0063587B" w14:paraId="2E4E202A" w14:textId="77777777">
            <w:pPr>
              <w:numPr>
                <w:ilvl w:val="12"/>
                <w:numId w:val="0"/>
              </w:numPr>
              <w:rPr>
                <w:bCs/>
                <w:sz w:val="22"/>
                <w:szCs w:val="22"/>
              </w:rPr>
            </w:pPr>
            <w:r w:rsidRPr="0063587B">
              <w:rPr>
                <w:bCs/>
                <w:sz w:val="22"/>
                <w:szCs w:val="22"/>
              </w:rPr>
              <w:t>Average Burden per Response (in hours)</w:t>
            </w:r>
          </w:p>
        </w:tc>
        <w:tc>
          <w:tcPr>
            <w:tcW w:w="546" w:type="pct"/>
            <w:tcBorders>
              <w:top w:val="single" w:color="auto" w:sz="4" w:space="0"/>
              <w:bottom w:val="single" w:color="auto" w:sz="4" w:space="0"/>
              <w:right w:val="single" w:color="auto" w:sz="4" w:space="0"/>
            </w:tcBorders>
            <w:vAlign w:val="center"/>
          </w:tcPr>
          <w:p w:rsidRPr="0063587B" w:rsidR="0063587B" w:rsidP="0063587B" w:rsidRDefault="0063587B" w14:paraId="0634AF12" w14:textId="77777777">
            <w:pPr>
              <w:numPr>
                <w:ilvl w:val="12"/>
                <w:numId w:val="0"/>
              </w:numPr>
              <w:rPr>
                <w:bCs/>
                <w:sz w:val="22"/>
                <w:szCs w:val="22"/>
              </w:rPr>
            </w:pPr>
            <w:r w:rsidRPr="0063587B">
              <w:rPr>
                <w:bCs/>
                <w:sz w:val="22"/>
                <w:szCs w:val="22"/>
              </w:rPr>
              <w:t>Total Burden Hours</w:t>
            </w:r>
          </w:p>
        </w:tc>
      </w:tr>
      <w:tr w:rsidRPr="00177C1F" w:rsidR="0063587B" w:rsidTr="00DF5E31" w14:paraId="6D88E895" w14:textId="77777777">
        <w:trPr>
          <w:jc w:val="center"/>
        </w:trPr>
        <w:tc>
          <w:tcPr>
            <w:tcW w:w="728" w:type="pct"/>
            <w:tcBorders>
              <w:top w:val="single" w:color="auto" w:sz="4" w:space="0"/>
              <w:left w:val="single" w:color="auto" w:sz="4" w:space="0"/>
              <w:bottom w:val="single" w:color="auto" w:sz="4" w:space="0"/>
            </w:tcBorders>
          </w:tcPr>
          <w:p w:rsidRPr="0063587B" w:rsidR="0063587B" w:rsidP="0063587B" w:rsidRDefault="0063587B" w14:paraId="109026A7" w14:textId="77777777">
            <w:pPr>
              <w:rPr>
                <w:sz w:val="22"/>
                <w:szCs w:val="22"/>
              </w:rPr>
            </w:pPr>
            <w:r w:rsidRPr="0063587B">
              <w:rPr>
                <w:bCs/>
                <w:sz w:val="22"/>
                <w:szCs w:val="22"/>
              </w:rPr>
              <w:t>Sections 3 &amp; 4</w:t>
            </w:r>
          </w:p>
        </w:tc>
        <w:tc>
          <w:tcPr>
            <w:tcW w:w="1401" w:type="pct"/>
            <w:tcBorders>
              <w:top w:val="single" w:color="auto" w:sz="4" w:space="0"/>
              <w:bottom w:val="single" w:color="auto" w:sz="4" w:space="0"/>
            </w:tcBorders>
          </w:tcPr>
          <w:p w:rsidRPr="0063587B" w:rsidR="0063587B" w:rsidP="0063587B" w:rsidRDefault="0063587B" w14:paraId="0527817B" w14:textId="77777777">
            <w:pPr>
              <w:rPr>
                <w:sz w:val="22"/>
                <w:szCs w:val="22"/>
              </w:rPr>
            </w:pPr>
            <w:r w:rsidRPr="0063587B">
              <w:rPr>
                <w:sz w:val="22"/>
                <w:szCs w:val="22"/>
              </w:rPr>
              <w:t>Request for Exclusions</w:t>
            </w:r>
          </w:p>
        </w:tc>
        <w:tc>
          <w:tcPr>
            <w:tcW w:w="838" w:type="pct"/>
            <w:tcBorders>
              <w:top w:val="single" w:color="auto" w:sz="4" w:space="0"/>
              <w:bottom w:val="single" w:color="auto" w:sz="4" w:space="0"/>
            </w:tcBorders>
          </w:tcPr>
          <w:p w:rsidRPr="0063587B" w:rsidR="0063587B" w:rsidP="0063587B" w:rsidRDefault="0063587B" w14:paraId="579EF09F" w14:textId="77777777">
            <w:pPr>
              <w:rPr>
                <w:sz w:val="22"/>
                <w:szCs w:val="22"/>
              </w:rPr>
            </w:pPr>
            <w:r w:rsidRPr="0063587B">
              <w:rPr>
                <w:sz w:val="22"/>
                <w:szCs w:val="22"/>
              </w:rPr>
              <w:t>1</w:t>
            </w:r>
          </w:p>
        </w:tc>
        <w:tc>
          <w:tcPr>
            <w:tcW w:w="746" w:type="pct"/>
            <w:tcBorders>
              <w:top w:val="single" w:color="auto" w:sz="4" w:space="0"/>
              <w:bottom w:val="single" w:color="auto" w:sz="4" w:space="0"/>
            </w:tcBorders>
          </w:tcPr>
          <w:p w:rsidRPr="0063587B" w:rsidR="0063587B" w:rsidP="0063587B" w:rsidRDefault="0063587B" w14:paraId="0781F2A9" w14:textId="77777777">
            <w:pPr>
              <w:rPr>
                <w:sz w:val="22"/>
                <w:szCs w:val="22"/>
              </w:rPr>
            </w:pPr>
            <w:r w:rsidRPr="0063587B">
              <w:rPr>
                <w:sz w:val="22"/>
                <w:szCs w:val="22"/>
              </w:rPr>
              <w:t>1</w:t>
            </w:r>
          </w:p>
        </w:tc>
        <w:tc>
          <w:tcPr>
            <w:tcW w:w="741" w:type="pct"/>
            <w:tcBorders>
              <w:top w:val="single" w:color="auto" w:sz="4" w:space="0"/>
              <w:bottom w:val="single" w:color="auto" w:sz="4" w:space="0"/>
            </w:tcBorders>
          </w:tcPr>
          <w:p w:rsidRPr="0063587B" w:rsidR="0063587B" w:rsidP="0063587B" w:rsidRDefault="0063587B" w14:paraId="1F46EA47" w14:textId="77777777">
            <w:pPr>
              <w:rPr>
                <w:sz w:val="22"/>
                <w:szCs w:val="22"/>
              </w:rPr>
            </w:pPr>
            <w:r w:rsidRPr="0063587B">
              <w:rPr>
                <w:sz w:val="22"/>
                <w:szCs w:val="22"/>
              </w:rPr>
              <w:t>1</w:t>
            </w:r>
          </w:p>
        </w:tc>
        <w:tc>
          <w:tcPr>
            <w:tcW w:w="546" w:type="pct"/>
            <w:tcBorders>
              <w:top w:val="single" w:color="auto" w:sz="4" w:space="0"/>
              <w:bottom w:val="single" w:color="auto" w:sz="4" w:space="0"/>
              <w:right w:val="single" w:color="auto" w:sz="4" w:space="0"/>
            </w:tcBorders>
          </w:tcPr>
          <w:p w:rsidRPr="0063587B" w:rsidR="0063587B" w:rsidP="0063587B" w:rsidRDefault="0063587B" w14:paraId="7E967810" w14:textId="77777777">
            <w:pPr>
              <w:rPr>
                <w:sz w:val="22"/>
                <w:szCs w:val="22"/>
              </w:rPr>
            </w:pPr>
            <w:r w:rsidRPr="0063587B">
              <w:rPr>
                <w:sz w:val="22"/>
                <w:szCs w:val="22"/>
              </w:rPr>
              <w:t>1</w:t>
            </w:r>
          </w:p>
        </w:tc>
      </w:tr>
      <w:tr w:rsidRPr="00177C1F" w:rsidR="0063587B" w:rsidTr="00DF5E31" w14:paraId="2A8812CA" w14:textId="77777777">
        <w:trPr>
          <w:jc w:val="center"/>
        </w:trPr>
        <w:tc>
          <w:tcPr>
            <w:tcW w:w="728" w:type="pct"/>
            <w:tcBorders>
              <w:top w:val="single" w:color="auto" w:sz="4" w:space="0"/>
              <w:left w:val="single" w:color="auto" w:sz="4" w:space="0"/>
              <w:bottom w:val="single" w:color="auto" w:sz="4" w:space="0"/>
            </w:tcBorders>
          </w:tcPr>
          <w:p w:rsidRPr="0063587B" w:rsidR="0063587B" w:rsidP="0063587B" w:rsidRDefault="0063587B" w14:paraId="384F9630" w14:textId="77777777">
            <w:pPr>
              <w:numPr>
                <w:ilvl w:val="12"/>
                <w:numId w:val="0"/>
              </w:numPr>
              <w:rPr>
                <w:sz w:val="22"/>
                <w:szCs w:val="22"/>
              </w:rPr>
            </w:pPr>
            <w:r w:rsidRPr="0063587B">
              <w:rPr>
                <w:bCs/>
                <w:sz w:val="22"/>
                <w:szCs w:val="22"/>
              </w:rPr>
              <w:t xml:space="preserve">Sections </w:t>
            </w:r>
            <w:r w:rsidRPr="0063587B">
              <w:rPr>
                <w:sz w:val="22"/>
                <w:szCs w:val="22"/>
              </w:rPr>
              <w:t>5 &amp; 6</w:t>
            </w:r>
          </w:p>
        </w:tc>
        <w:tc>
          <w:tcPr>
            <w:tcW w:w="1401" w:type="pct"/>
            <w:tcBorders>
              <w:top w:val="single" w:color="auto" w:sz="4" w:space="0"/>
              <w:bottom w:val="single" w:color="auto" w:sz="4" w:space="0"/>
            </w:tcBorders>
          </w:tcPr>
          <w:p w:rsidRPr="0063587B" w:rsidR="0063587B" w:rsidP="0063587B" w:rsidRDefault="0063587B" w14:paraId="6041853B" w14:textId="77777777">
            <w:pPr>
              <w:numPr>
                <w:ilvl w:val="12"/>
                <w:numId w:val="0"/>
              </w:numPr>
              <w:rPr>
                <w:sz w:val="22"/>
                <w:szCs w:val="22"/>
              </w:rPr>
            </w:pPr>
            <w:r w:rsidRPr="0063587B">
              <w:rPr>
                <w:sz w:val="22"/>
                <w:szCs w:val="22"/>
              </w:rPr>
              <w:t>Report of Identification of a Select Agent or Toxin</w:t>
            </w:r>
          </w:p>
        </w:tc>
        <w:tc>
          <w:tcPr>
            <w:tcW w:w="838" w:type="pct"/>
            <w:tcBorders>
              <w:top w:val="single" w:color="auto" w:sz="4" w:space="0"/>
              <w:bottom w:val="single" w:color="auto" w:sz="4" w:space="0"/>
            </w:tcBorders>
          </w:tcPr>
          <w:p w:rsidRPr="0063587B" w:rsidR="0063587B" w:rsidP="0063587B" w:rsidRDefault="0063587B" w14:paraId="4CA10173" w14:textId="77777777">
            <w:pPr>
              <w:numPr>
                <w:ilvl w:val="12"/>
                <w:numId w:val="0"/>
              </w:numPr>
              <w:rPr>
                <w:sz w:val="22"/>
                <w:szCs w:val="22"/>
              </w:rPr>
            </w:pPr>
            <w:r w:rsidRPr="0063587B">
              <w:rPr>
                <w:sz w:val="22"/>
                <w:szCs w:val="22"/>
              </w:rPr>
              <w:t>1,181</w:t>
            </w:r>
          </w:p>
        </w:tc>
        <w:tc>
          <w:tcPr>
            <w:tcW w:w="746" w:type="pct"/>
            <w:tcBorders>
              <w:top w:val="single" w:color="auto" w:sz="4" w:space="0"/>
              <w:bottom w:val="single" w:color="auto" w:sz="4" w:space="0"/>
            </w:tcBorders>
          </w:tcPr>
          <w:p w:rsidRPr="0063587B" w:rsidR="0063587B" w:rsidP="0063587B" w:rsidRDefault="0063587B" w14:paraId="57C16A86" w14:textId="77777777">
            <w:pPr>
              <w:numPr>
                <w:ilvl w:val="12"/>
                <w:numId w:val="0"/>
              </w:numPr>
              <w:rPr>
                <w:sz w:val="22"/>
                <w:szCs w:val="22"/>
              </w:rPr>
            </w:pPr>
            <w:r w:rsidRPr="0063587B">
              <w:rPr>
                <w:sz w:val="22"/>
                <w:szCs w:val="22"/>
              </w:rPr>
              <w:t>1</w:t>
            </w:r>
          </w:p>
        </w:tc>
        <w:tc>
          <w:tcPr>
            <w:tcW w:w="741" w:type="pct"/>
            <w:tcBorders>
              <w:top w:val="single" w:color="auto" w:sz="4" w:space="0"/>
              <w:bottom w:val="single" w:color="auto" w:sz="4" w:space="0"/>
            </w:tcBorders>
          </w:tcPr>
          <w:p w:rsidRPr="0063587B" w:rsidR="0063587B" w:rsidP="0063587B" w:rsidRDefault="0063587B" w14:paraId="3220770A" w14:textId="77777777">
            <w:pPr>
              <w:numPr>
                <w:ilvl w:val="12"/>
                <w:numId w:val="0"/>
              </w:numPr>
              <w:rPr>
                <w:sz w:val="22"/>
                <w:szCs w:val="22"/>
              </w:rPr>
            </w:pPr>
            <w:r w:rsidRPr="0063587B">
              <w:rPr>
                <w:sz w:val="22"/>
                <w:szCs w:val="22"/>
              </w:rPr>
              <w:t>1</w:t>
            </w:r>
          </w:p>
        </w:tc>
        <w:tc>
          <w:tcPr>
            <w:tcW w:w="546" w:type="pct"/>
            <w:tcBorders>
              <w:top w:val="single" w:color="auto" w:sz="4" w:space="0"/>
              <w:bottom w:val="single" w:color="auto" w:sz="4" w:space="0"/>
              <w:right w:val="single" w:color="auto" w:sz="4" w:space="0"/>
            </w:tcBorders>
          </w:tcPr>
          <w:p w:rsidRPr="0063587B" w:rsidR="0063587B" w:rsidP="0063587B" w:rsidRDefault="0063587B" w14:paraId="228384BD" w14:textId="77777777">
            <w:pPr>
              <w:numPr>
                <w:ilvl w:val="12"/>
                <w:numId w:val="0"/>
              </w:numPr>
              <w:rPr>
                <w:sz w:val="22"/>
                <w:szCs w:val="22"/>
              </w:rPr>
            </w:pPr>
            <w:r w:rsidRPr="0063587B">
              <w:rPr>
                <w:sz w:val="22"/>
                <w:szCs w:val="22"/>
              </w:rPr>
              <w:t>1,181</w:t>
            </w:r>
          </w:p>
        </w:tc>
      </w:tr>
      <w:tr w:rsidRPr="00177C1F" w:rsidR="0063587B" w:rsidTr="00DF5E31" w14:paraId="70EDBAFA" w14:textId="77777777">
        <w:trPr>
          <w:jc w:val="center"/>
        </w:trPr>
        <w:tc>
          <w:tcPr>
            <w:tcW w:w="728" w:type="pct"/>
            <w:tcBorders>
              <w:top w:val="single" w:color="auto" w:sz="4" w:space="0"/>
              <w:left w:val="single" w:color="auto" w:sz="4" w:space="0"/>
              <w:bottom w:val="single" w:color="auto" w:sz="4" w:space="0"/>
            </w:tcBorders>
          </w:tcPr>
          <w:p w:rsidRPr="0063587B" w:rsidR="0063587B" w:rsidP="0063587B" w:rsidRDefault="0063587B" w14:paraId="414597D7" w14:textId="77777777">
            <w:pPr>
              <w:rPr>
                <w:sz w:val="22"/>
                <w:szCs w:val="22"/>
              </w:rPr>
            </w:pPr>
            <w:r w:rsidRPr="0063587B">
              <w:rPr>
                <w:bCs/>
                <w:sz w:val="22"/>
                <w:szCs w:val="22"/>
              </w:rPr>
              <w:t xml:space="preserve">Sections </w:t>
            </w:r>
            <w:r w:rsidRPr="0063587B">
              <w:rPr>
                <w:sz w:val="22"/>
                <w:szCs w:val="22"/>
              </w:rPr>
              <w:t>5 &amp; 6</w:t>
            </w:r>
          </w:p>
        </w:tc>
        <w:tc>
          <w:tcPr>
            <w:tcW w:w="1401" w:type="pct"/>
            <w:tcBorders>
              <w:top w:val="single" w:color="auto" w:sz="4" w:space="0"/>
              <w:bottom w:val="single" w:color="auto" w:sz="4" w:space="0"/>
            </w:tcBorders>
          </w:tcPr>
          <w:p w:rsidRPr="0063587B" w:rsidR="0063587B" w:rsidP="0063587B" w:rsidRDefault="0063587B" w14:paraId="25DEDF62" w14:textId="77777777">
            <w:pPr>
              <w:rPr>
                <w:sz w:val="22"/>
                <w:szCs w:val="22"/>
              </w:rPr>
            </w:pPr>
            <w:r w:rsidRPr="0063587B">
              <w:rPr>
                <w:sz w:val="22"/>
                <w:szCs w:val="22"/>
              </w:rPr>
              <w:t>Request of Exemption</w:t>
            </w:r>
          </w:p>
        </w:tc>
        <w:tc>
          <w:tcPr>
            <w:tcW w:w="838" w:type="pct"/>
            <w:tcBorders>
              <w:top w:val="single" w:color="auto" w:sz="4" w:space="0"/>
              <w:bottom w:val="single" w:color="auto" w:sz="4" w:space="0"/>
            </w:tcBorders>
          </w:tcPr>
          <w:p w:rsidRPr="0063587B" w:rsidR="0063587B" w:rsidP="0063587B" w:rsidRDefault="0063587B" w14:paraId="722C88FE" w14:textId="77777777">
            <w:pPr>
              <w:rPr>
                <w:sz w:val="22"/>
                <w:szCs w:val="22"/>
              </w:rPr>
            </w:pPr>
            <w:r w:rsidRPr="0063587B">
              <w:rPr>
                <w:sz w:val="22"/>
                <w:szCs w:val="22"/>
              </w:rPr>
              <w:t>1</w:t>
            </w:r>
          </w:p>
        </w:tc>
        <w:tc>
          <w:tcPr>
            <w:tcW w:w="746" w:type="pct"/>
            <w:tcBorders>
              <w:top w:val="single" w:color="auto" w:sz="4" w:space="0"/>
              <w:bottom w:val="single" w:color="auto" w:sz="4" w:space="0"/>
            </w:tcBorders>
          </w:tcPr>
          <w:p w:rsidRPr="0063587B" w:rsidR="0063587B" w:rsidP="0063587B" w:rsidRDefault="0063587B" w14:paraId="319062AC" w14:textId="77777777">
            <w:pPr>
              <w:rPr>
                <w:sz w:val="22"/>
                <w:szCs w:val="22"/>
              </w:rPr>
            </w:pPr>
            <w:r w:rsidRPr="0063587B">
              <w:rPr>
                <w:sz w:val="22"/>
                <w:szCs w:val="22"/>
              </w:rPr>
              <w:t>1</w:t>
            </w:r>
          </w:p>
        </w:tc>
        <w:tc>
          <w:tcPr>
            <w:tcW w:w="741" w:type="pct"/>
            <w:tcBorders>
              <w:top w:val="single" w:color="auto" w:sz="4" w:space="0"/>
              <w:bottom w:val="single" w:color="auto" w:sz="4" w:space="0"/>
            </w:tcBorders>
          </w:tcPr>
          <w:p w:rsidRPr="0063587B" w:rsidR="0063587B" w:rsidP="0063587B" w:rsidRDefault="0063587B" w14:paraId="0B2637A1" w14:textId="77777777">
            <w:pPr>
              <w:rPr>
                <w:sz w:val="22"/>
                <w:szCs w:val="22"/>
              </w:rPr>
            </w:pPr>
            <w:r w:rsidRPr="0063587B">
              <w:rPr>
                <w:sz w:val="22"/>
                <w:szCs w:val="22"/>
              </w:rPr>
              <w:t>1</w:t>
            </w:r>
          </w:p>
        </w:tc>
        <w:tc>
          <w:tcPr>
            <w:tcW w:w="546" w:type="pct"/>
            <w:tcBorders>
              <w:top w:val="single" w:color="auto" w:sz="4" w:space="0"/>
              <w:bottom w:val="single" w:color="auto" w:sz="4" w:space="0"/>
              <w:right w:val="single" w:color="auto" w:sz="4" w:space="0"/>
            </w:tcBorders>
          </w:tcPr>
          <w:p w:rsidRPr="0063587B" w:rsidR="0063587B" w:rsidP="0063587B" w:rsidRDefault="0063587B" w14:paraId="5430D87B" w14:textId="77777777">
            <w:pPr>
              <w:rPr>
                <w:sz w:val="22"/>
                <w:szCs w:val="22"/>
              </w:rPr>
            </w:pPr>
            <w:r w:rsidRPr="0063587B">
              <w:rPr>
                <w:sz w:val="22"/>
                <w:szCs w:val="22"/>
              </w:rPr>
              <w:t>1</w:t>
            </w:r>
          </w:p>
        </w:tc>
      </w:tr>
      <w:tr w:rsidRPr="00177C1F" w:rsidR="0063587B" w:rsidTr="00DF5E31" w14:paraId="08F60D55" w14:textId="77777777">
        <w:trPr>
          <w:jc w:val="center"/>
        </w:trPr>
        <w:tc>
          <w:tcPr>
            <w:tcW w:w="728" w:type="pct"/>
            <w:tcBorders>
              <w:top w:val="single" w:color="auto" w:sz="4" w:space="0"/>
              <w:left w:val="single" w:color="auto" w:sz="4" w:space="0"/>
              <w:bottom w:val="single" w:color="auto" w:sz="4" w:space="0"/>
            </w:tcBorders>
          </w:tcPr>
          <w:p w:rsidRPr="0063587B" w:rsidR="0063587B" w:rsidP="0063587B" w:rsidRDefault="0063587B" w14:paraId="6B2AEFEB" w14:textId="77777777">
            <w:pPr>
              <w:numPr>
                <w:ilvl w:val="12"/>
                <w:numId w:val="0"/>
              </w:numPr>
              <w:rPr>
                <w:sz w:val="22"/>
                <w:szCs w:val="22"/>
              </w:rPr>
            </w:pPr>
            <w:r w:rsidRPr="0063587B">
              <w:rPr>
                <w:sz w:val="22"/>
                <w:szCs w:val="22"/>
              </w:rPr>
              <w:t>Section 7</w:t>
            </w:r>
          </w:p>
        </w:tc>
        <w:tc>
          <w:tcPr>
            <w:tcW w:w="1401" w:type="pct"/>
            <w:tcBorders>
              <w:top w:val="single" w:color="auto" w:sz="4" w:space="0"/>
              <w:bottom w:val="single" w:color="auto" w:sz="4" w:space="0"/>
            </w:tcBorders>
          </w:tcPr>
          <w:p w:rsidRPr="0063587B" w:rsidR="0063587B" w:rsidP="0063587B" w:rsidRDefault="0063587B" w14:paraId="6943082C" w14:textId="77777777">
            <w:pPr>
              <w:numPr>
                <w:ilvl w:val="12"/>
                <w:numId w:val="0"/>
              </w:numPr>
              <w:rPr>
                <w:sz w:val="22"/>
                <w:szCs w:val="22"/>
              </w:rPr>
            </w:pPr>
            <w:r w:rsidRPr="0063587B">
              <w:rPr>
                <w:sz w:val="22"/>
                <w:szCs w:val="22"/>
              </w:rPr>
              <w:t>Application for Registration</w:t>
            </w:r>
          </w:p>
        </w:tc>
        <w:tc>
          <w:tcPr>
            <w:tcW w:w="838" w:type="pct"/>
            <w:tcBorders>
              <w:top w:val="single" w:color="auto" w:sz="4" w:space="0"/>
              <w:bottom w:val="single" w:color="auto" w:sz="4" w:space="0"/>
            </w:tcBorders>
          </w:tcPr>
          <w:p w:rsidRPr="0063587B" w:rsidR="0063587B" w:rsidP="0063587B" w:rsidRDefault="0063587B" w14:paraId="4B9D7F4A" w14:textId="77777777">
            <w:pPr>
              <w:numPr>
                <w:ilvl w:val="12"/>
                <w:numId w:val="0"/>
              </w:numPr>
              <w:rPr>
                <w:sz w:val="22"/>
                <w:szCs w:val="22"/>
              </w:rPr>
            </w:pPr>
            <w:r w:rsidRPr="0063587B">
              <w:rPr>
                <w:sz w:val="22"/>
                <w:szCs w:val="22"/>
              </w:rPr>
              <w:t>3</w:t>
            </w:r>
          </w:p>
        </w:tc>
        <w:tc>
          <w:tcPr>
            <w:tcW w:w="746" w:type="pct"/>
            <w:tcBorders>
              <w:top w:val="single" w:color="auto" w:sz="4" w:space="0"/>
              <w:bottom w:val="single" w:color="auto" w:sz="4" w:space="0"/>
            </w:tcBorders>
          </w:tcPr>
          <w:p w:rsidRPr="0063587B" w:rsidR="0063587B" w:rsidP="0063587B" w:rsidRDefault="0063587B" w14:paraId="742904A9" w14:textId="77777777">
            <w:pPr>
              <w:numPr>
                <w:ilvl w:val="12"/>
                <w:numId w:val="0"/>
              </w:numPr>
              <w:rPr>
                <w:sz w:val="22"/>
                <w:szCs w:val="22"/>
              </w:rPr>
            </w:pPr>
            <w:r w:rsidRPr="0063587B">
              <w:rPr>
                <w:sz w:val="22"/>
                <w:szCs w:val="22"/>
              </w:rPr>
              <w:t>1</w:t>
            </w:r>
          </w:p>
        </w:tc>
        <w:tc>
          <w:tcPr>
            <w:tcW w:w="741" w:type="pct"/>
            <w:tcBorders>
              <w:top w:val="single" w:color="auto" w:sz="4" w:space="0"/>
              <w:bottom w:val="single" w:color="auto" w:sz="4" w:space="0"/>
            </w:tcBorders>
          </w:tcPr>
          <w:p w:rsidRPr="0063587B" w:rsidR="0063587B" w:rsidP="0063587B" w:rsidRDefault="0063587B" w14:paraId="64A4ABDF" w14:textId="77777777">
            <w:pPr>
              <w:numPr>
                <w:ilvl w:val="12"/>
                <w:numId w:val="0"/>
              </w:numPr>
              <w:rPr>
                <w:sz w:val="22"/>
                <w:szCs w:val="22"/>
              </w:rPr>
            </w:pPr>
            <w:r w:rsidRPr="0063587B">
              <w:rPr>
                <w:sz w:val="22"/>
                <w:szCs w:val="22"/>
              </w:rPr>
              <w:t>5</w:t>
            </w:r>
          </w:p>
        </w:tc>
        <w:tc>
          <w:tcPr>
            <w:tcW w:w="546" w:type="pct"/>
            <w:tcBorders>
              <w:top w:val="single" w:color="auto" w:sz="4" w:space="0"/>
              <w:bottom w:val="single" w:color="auto" w:sz="4" w:space="0"/>
              <w:right w:val="single" w:color="auto" w:sz="4" w:space="0"/>
            </w:tcBorders>
          </w:tcPr>
          <w:p w:rsidRPr="0063587B" w:rsidR="0063587B" w:rsidP="0063587B" w:rsidRDefault="0063587B" w14:paraId="1C627A2F" w14:textId="77777777">
            <w:pPr>
              <w:numPr>
                <w:ilvl w:val="12"/>
                <w:numId w:val="0"/>
              </w:numPr>
              <w:rPr>
                <w:sz w:val="22"/>
                <w:szCs w:val="22"/>
              </w:rPr>
            </w:pPr>
            <w:r w:rsidRPr="0063587B">
              <w:rPr>
                <w:sz w:val="22"/>
                <w:szCs w:val="22"/>
              </w:rPr>
              <w:t>15</w:t>
            </w:r>
          </w:p>
        </w:tc>
        <w:bookmarkStart w:name="_GoBack" w:id="16"/>
        <w:bookmarkEnd w:id="16"/>
      </w:tr>
      <w:tr w:rsidRPr="00177C1F" w:rsidR="0063587B" w:rsidTr="00DF5E31" w14:paraId="45190047" w14:textId="77777777">
        <w:trPr>
          <w:jc w:val="center"/>
        </w:trPr>
        <w:tc>
          <w:tcPr>
            <w:tcW w:w="728" w:type="pct"/>
            <w:tcBorders>
              <w:top w:val="single" w:color="auto" w:sz="4" w:space="0"/>
              <w:left w:val="single" w:color="auto" w:sz="4" w:space="0"/>
              <w:bottom w:val="single" w:color="auto" w:sz="4" w:space="0"/>
            </w:tcBorders>
          </w:tcPr>
          <w:p w:rsidRPr="0063587B" w:rsidR="0063587B" w:rsidP="0063587B" w:rsidRDefault="0063587B" w14:paraId="626A2874" w14:textId="77777777">
            <w:pPr>
              <w:numPr>
                <w:ilvl w:val="12"/>
                <w:numId w:val="0"/>
              </w:numPr>
              <w:rPr>
                <w:sz w:val="22"/>
                <w:szCs w:val="22"/>
              </w:rPr>
            </w:pPr>
            <w:r w:rsidRPr="0063587B">
              <w:rPr>
                <w:sz w:val="22"/>
                <w:szCs w:val="22"/>
              </w:rPr>
              <w:t>Section 7</w:t>
            </w:r>
          </w:p>
        </w:tc>
        <w:tc>
          <w:tcPr>
            <w:tcW w:w="1401" w:type="pct"/>
            <w:tcBorders>
              <w:top w:val="single" w:color="auto" w:sz="4" w:space="0"/>
              <w:bottom w:val="single" w:color="auto" w:sz="4" w:space="0"/>
            </w:tcBorders>
          </w:tcPr>
          <w:p w:rsidRPr="0063587B" w:rsidR="0063587B" w:rsidP="0063587B" w:rsidRDefault="0063587B" w14:paraId="1D9EDB49" w14:textId="77777777">
            <w:pPr>
              <w:numPr>
                <w:ilvl w:val="12"/>
                <w:numId w:val="0"/>
              </w:numPr>
              <w:rPr>
                <w:sz w:val="22"/>
                <w:szCs w:val="22"/>
              </w:rPr>
            </w:pPr>
            <w:r w:rsidRPr="0063587B">
              <w:rPr>
                <w:sz w:val="22"/>
                <w:szCs w:val="22"/>
              </w:rPr>
              <w:t>Amendment to a Certificate of Registration</w:t>
            </w:r>
          </w:p>
        </w:tc>
        <w:tc>
          <w:tcPr>
            <w:tcW w:w="838" w:type="pct"/>
            <w:tcBorders>
              <w:top w:val="single" w:color="auto" w:sz="4" w:space="0"/>
              <w:bottom w:val="single" w:color="auto" w:sz="4" w:space="0"/>
            </w:tcBorders>
          </w:tcPr>
          <w:p w:rsidRPr="0063587B" w:rsidR="0063587B" w:rsidP="0063587B" w:rsidRDefault="0063587B" w14:paraId="724F3DA2" w14:textId="77777777">
            <w:pPr>
              <w:numPr>
                <w:ilvl w:val="12"/>
                <w:numId w:val="0"/>
              </w:numPr>
              <w:rPr>
                <w:sz w:val="22"/>
                <w:szCs w:val="22"/>
              </w:rPr>
            </w:pPr>
            <w:r w:rsidRPr="0063587B">
              <w:rPr>
                <w:sz w:val="22"/>
                <w:szCs w:val="22"/>
              </w:rPr>
              <w:t>253</w:t>
            </w:r>
          </w:p>
        </w:tc>
        <w:tc>
          <w:tcPr>
            <w:tcW w:w="746" w:type="pct"/>
            <w:tcBorders>
              <w:top w:val="single" w:color="auto" w:sz="4" w:space="0"/>
              <w:bottom w:val="single" w:color="auto" w:sz="4" w:space="0"/>
            </w:tcBorders>
          </w:tcPr>
          <w:p w:rsidRPr="0063587B" w:rsidR="0063587B" w:rsidP="0063587B" w:rsidRDefault="0063587B" w14:paraId="64FC5FF1" w14:textId="77777777">
            <w:pPr>
              <w:numPr>
                <w:ilvl w:val="12"/>
                <w:numId w:val="0"/>
              </w:numPr>
              <w:rPr>
                <w:sz w:val="22"/>
                <w:szCs w:val="22"/>
              </w:rPr>
            </w:pPr>
            <w:r w:rsidRPr="0063587B">
              <w:rPr>
                <w:sz w:val="22"/>
                <w:szCs w:val="22"/>
              </w:rPr>
              <w:t>5</w:t>
            </w:r>
          </w:p>
        </w:tc>
        <w:tc>
          <w:tcPr>
            <w:tcW w:w="741" w:type="pct"/>
            <w:tcBorders>
              <w:top w:val="single" w:color="auto" w:sz="4" w:space="0"/>
              <w:bottom w:val="single" w:color="auto" w:sz="4" w:space="0"/>
            </w:tcBorders>
          </w:tcPr>
          <w:p w:rsidRPr="0063587B" w:rsidR="0063587B" w:rsidP="0063587B" w:rsidRDefault="0063587B" w14:paraId="40F99690" w14:textId="77777777">
            <w:pPr>
              <w:numPr>
                <w:ilvl w:val="12"/>
                <w:numId w:val="0"/>
              </w:numPr>
              <w:rPr>
                <w:sz w:val="22"/>
                <w:szCs w:val="22"/>
              </w:rPr>
            </w:pPr>
            <w:r w:rsidRPr="0063587B">
              <w:rPr>
                <w:sz w:val="22"/>
                <w:szCs w:val="22"/>
              </w:rPr>
              <w:t>1</w:t>
            </w:r>
          </w:p>
        </w:tc>
        <w:tc>
          <w:tcPr>
            <w:tcW w:w="546" w:type="pct"/>
            <w:tcBorders>
              <w:top w:val="single" w:color="auto" w:sz="4" w:space="0"/>
              <w:bottom w:val="single" w:color="auto" w:sz="4" w:space="0"/>
              <w:right w:val="single" w:color="auto" w:sz="4" w:space="0"/>
            </w:tcBorders>
          </w:tcPr>
          <w:p w:rsidRPr="0063587B" w:rsidR="0063587B" w:rsidP="0063587B" w:rsidRDefault="0063587B" w14:paraId="4211EF60" w14:textId="77777777">
            <w:pPr>
              <w:numPr>
                <w:ilvl w:val="12"/>
                <w:numId w:val="0"/>
              </w:numPr>
              <w:rPr>
                <w:sz w:val="22"/>
                <w:szCs w:val="22"/>
              </w:rPr>
            </w:pPr>
            <w:r w:rsidRPr="0063587B">
              <w:rPr>
                <w:sz w:val="22"/>
                <w:szCs w:val="22"/>
              </w:rPr>
              <w:t>1,265</w:t>
            </w:r>
          </w:p>
        </w:tc>
      </w:tr>
      <w:tr w:rsidRPr="00177C1F" w:rsidR="0063587B" w:rsidTr="00DF5E31" w14:paraId="0B5BA1A1" w14:textId="77777777">
        <w:trPr>
          <w:jc w:val="center"/>
        </w:trPr>
        <w:tc>
          <w:tcPr>
            <w:tcW w:w="728" w:type="pct"/>
            <w:tcBorders>
              <w:top w:val="single" w:color="auto" w:sz="4" w:space="0"/>
              <w:left w:val="single" w:color="auto" w:sz="4" w:space="0"/>
              <w:bottom w:val="single" w:color="auto" w:sz="4" w:space="0"/>
            </w:tcBorders>
          </w:tcPr>
          <w:p w:rsidRPr="0063587B" w:rsidR="0063587B" w:rsidP="0063587B" w:rsidRDefault="0063587B" w14:paraId="6B2C8BCB" w14:textId="77777777">
            <w:pPr>
              <w:rPr>
                <w:sz w:val="22"/>
                <w:szCs w:val="22"/>
              </w:rPr>
            </w:pPr>
            <w:r w:rsidRPr="0063587B">
              <w:rPr>
                <w:sz w:val="22"/>
                <w:szCs w:val="22"/>
              </w:rPr>
              <w:t>Section</w:t>
            </w:r>
            <w:r w:rsidRPr="0063587B">
              <w:rPr>
                <w:bCs/>
                <w:sz w:val="22"/>
                <w:szCs w:val="22"/>
              </w:rPr>
              <w:t xml:space="preserve"> 9</w:t>
            </w:r>
          </w:p>
        </w:tc>
        <w:tc>
          <w:tcPr>
            <w:tcW w:w="1401" w:type="pct"/>
            <w:tcBorders>
              <w:top w:val="single" w:color="auto" w:sz="4" w:space="0"/>
              <w:bottom w:val="single" w:color="auto" w:sz="4" w:space="0"/>
            </w:tcBorders>
          </w:tcPr>
          <w:p w:rsidRPr="0063587B" w:rsidR="0063587B" w:rsidP="0063587B" w:rsidRDefault="0063587B" w14:paraId="26FBC915" w14:textId="77777777">
            <w:pPr>
              <w:rPr>
                <w:sz w:val="22"/>
                <w:szCs w:val="22"/>
              </w:rPr>
            </w:pPr>
            <w:r w:rsidRPr="0063587B">
              <w:rPr>
                <w:sz w:val="22"/>
                <w:szCs w:val="22"/>
              </w:rPr>
              <w:t>Documentation of self-inspection</w:t>
            </w:r>
          </w:p>
        </w:tc>
        <w:tc>
          <w:tcPr>
            <w:tcW w:w="838" w:type="pct"/>
            <w:tcBorders>
              <w:top w:val="single" w:color="auto" w:sz="4" w:space="0"/>
              <w:bottom w:val="single" w:color="auto" w:sz="4" w:space="0"/>
            </w:tcBorders>
          </w:tcPr>
          <w:p w:rsidRPr="0063587B" w:rsidR="0063587B" w:rsidP="0063587B" w:rsidRDefault="0063587B" w14:paraId="245DF87B" w14:textId="77777777">
            <w:pPr>
              <w:rPr>
                <w:sz w:val="22"/>
                <w:szCs w:val="22"/>
              </w:rPr>
            </w:pPr>
            <w:r w:rsidRPr="0063587B">
              <w:rPr>
                <w:sz w:val="22"/>
                <w:szCs w:val="22"/>
              </w:rPr>
              <w:t>253</w:t>
            </w:r>
          </w:p>
        </w:tc>
        <w:tc>
          <w:tcPr>
            <w:tcW w:w="746" w:type="pct"/>
            <w:tcBorders>
              <w:top w:val="single" w:color="auto" w:sz="4" w:space="0"/>
              <w:bottom w:val="single" w:color="auto" w:sz="4" w:space="0"/>
            </w:tcBorders>
          </w:tcPr>
          <w:p w:rsidRPr="0063587B" w:rsidR="0063587B" w:rsidP="0063587B" w:rsidRDefault="0063587B" w14:paraId="441255F5" w14:textId="77777777">
            <w:pPr>
              <w:rPr>
                <w:sz w:val="22"/>
                <w:szCs w:val="22"/>
              </w:rPr>
            </w:pPr>
            <w:r w:rsidRPr="0063587B">
              <w:rPr>
                <w:sz w:val="22"/>
                <w:szCs w:val="22"/>
              </w:rPr>
              <w:t>1</w:t>
            </w:r>
          </w:p>
        </w:tc>
        <w:tc>
          <w:tcPr>
            <w:tcW w:w="741" w:type="pct"/>
            <w:tcBorders>
              <w:top w:val="single" w:color="auto" w:sz="4" w:space="0"/>
              <w:bottom w:val="single" w:color="auto" w:sz="4" w:space="0"/>
            </w:tcBorders>
          </w:tcPr>
          <w:p w:rsidRPr="0063587B" w:rsidR="0063587B" w:rsidP="0063587B" w:rsidRDefault="0063587B" w14:paraId="0E787897" w14:textId="77777777">
            <w:pPr>
              <w:rPr>
                <w:sz w:val="22"/>
                <w:szCs w:val="22"/>
              </w:rPr>
            </w:pPr>
            <w:r w:rsidRPr="0063587B">
              <w:rPr>
                <w:sz w:val="22"/>
                <w:szCs w:val="22"/>
              </w:rPr>
              <w:t>1</w:t>
            </w:r>
          </w:p>
        </w:tc>
        <w:tc>
          <w:tcPr>
            <w:tcW w:w="546" w:type="pct"/>
            <w:tcBorders>
              <w:top w:val="single" w:color="auto" w:sz="4" w:space="0"/>
              <w:bottom w:val="single" w:color="auto" w:sz="4" w:space="0"/>
              <w:right w:val="single" w:color="auto" w:sz="4" w:space="0"/>
            </w:tcBorders>
          </w:tcPr>
          <w:p w:rsidRPr="0063587B" w:rsidR="0063587B" w:rsidP="0063587B" w:rsidRDefault="0063587B" w14:paraId="3EB6F180" w14:textId="77777777">
            <w:pPr>
              <w:rPr>
                <w:sz w:val="22"/>
                <w:szCs w:val="22"/>
              </w:rPr>
            </w:pPr>
            <w:r w:rsidRPr="0063587B">
              <w:rPr>
                <w:sz w:val="22"/>
                <w:szCs w:val="22"/>
              </w:rPr>
              <w:t>253</w:t>
            </w:r>
          </w:p>
        </w:tc>
      </w:tr>
      <w:tr w:rsidRPr="00177C1F" w:rsidR="0063587B" w:rsidTr="00DF5E31" w14:paraId="3C19CDAC" w14:textId="77777777">
        <w:trPr>
          <w:jc w:val="center"/>
        </w:trPr>
        <w:tc>
          <w:tcPr>
            <w:tcW w:w="728" w:type="pct"/>
            <w:tcBorders>
              <w:top w:val="single" w:color="auto" w:sz="4" w:space="0"/>
              <w:left w:val="single" w:color="auto" w:sz="4" w:space="0"/>
              <w:bottom w:val="single" w:color="auto" w:sz="4" w:space="0"/>
            </w:tcBorders>
          </w:tcPr>
          <w:p w:rsidRPr="0063587B" w:rsidR="0063587B" w:rsidP="0063587B" w:rsidRDefault="0063587B" w14:paraId="55546711" w14:textId="77777777">
            <w:pPr>
              <w:rPr>
                <w:sz w:val="22"/>
                <w:szCs w:val="22"/>
              </w:rPr>
            </w:pPr>
            <w:r w:rsidRPr="0063587B">
              <w:rPr>
                <w:sz w:val="22"/>
                <w:szCs w:val="22"/>
              </w:rPr>
              <w:t>Section</w:t>
            </w:r>
            <w:r w:rsidRPr="0063587B">
              <w:rPr>
                <w:bCs/>
                <w:sz w:val="22"/>
                <w:szCs w:val="22"/>
              </w:rPr>
              <w:t xml:space="preserve"> 10</w:t>
            </w:r>
          </w:p>
        </w:tc>
        <w:tc>
          <w:tcPr>
            <w:tcW w:w="1401" w:type="pct"/>
            <w:tcBorders>
              <w:top w:val="single" w:color="auto" w:sz="4" w:space="0"/>
              <w:bottom w:val="single" w:color="auto" w:sz="4" w:space="0"/>
            </w:tcBorders>
          </w:tcPr>
          <w:p w:rsidRPr="0063587B" w:rsidR="0063587B" w:rsidP="0063587B" w:rsidRDefault="0063587B" w14:paraId="2202DF41" w14:textId="77777777">
            <w:pPr>
              <w:rPr>
                <w:sz w:val="22"/>
                <w:szCs w:val="22"/>
              </w:rPr>
            </w:pPr>
            <w:r w:rsidRPr="0063587B">
              <w:rPr>
                <w:sz w:val="22"/>
                <w:szCs w:val="22"/>
              </w:rPr>
              <w:t>Request for Expedited Review</w:t>
            </w:r>
          </w:p>
        </w:tc>
        <w:tc>
          <w:tcPr>
            <w:tcW w:w="838" w:type="pct"/>
            <w:tcBorders>
              <w:top w:val="single" w:color="auto" w:sz="4" w:space="0"/>
              <w:bottom w:val="single" w:color="auto" w:sz="4" w:space="0"/>
            </w:tcBorders>
          </w:tcPr>
          <w:p w:rsidRPr="0063587B" w:rsidR="0063587B" w:rsidP="0063587B" w:rsidRDefault="0063587B" w14:paraId="633B7F8D" w14:textId="77777777">
            <w:pPr>
              <w:rPr>
                <w:sz w:val="22"/>
                <w:szCs w:val="22"/>
              </w:rPr>
            </w:pPr>
            <w:r w:rsidRPr="0063587B">
              <w:rPr>
                <w:sz w:val="22"/>
                <w:szCs w:val="22"/>
              </w:rPr>
              <w:t>1</w:t>
            </w:r>
          </w:p>
        </w:tc>
        <w:tc>
          <w:tcPr>
            <w:tcW w:w="746" w:type="pct"/>
            <w:tcBorders>
              <w:top w:val="single" w:color="auto" w:sz="4" w:space="0"/>
              <w:bottom w:val="single" w:color="auto" w:sz="4" w:space="0"/>
            </w:tcBorders>
          </w:tcPr>
          <w:p w:rsidRPr="0063587B" w:rsidR="0063587B" w:rsidP="0063587B" w:rsidRDefault="0063587B" w14:paraId="7C99343D" w14:textId="77777777">
            <w:pPr>
              <w:rPr>
                <w:sz w:val="22"/>
                <w:szCs w:val="22"/>
              </w:rPr>
            </w:pPr>
            <w:r w:rsidRPr="0063587B">
              <w:rPr>
                <w:sz w:val="22"/>
                <w:szCs w:val="22"/>
              </w:rPr>
              <w:t>1</w:t>
            </w:r>
          </w:p>
        </w:tc>
        <w:tc>
          <w:tcPr>
            <w:tcW w:w="741" w:type="pct"/>
            <w:tcBorders>
              <w:top w:val="single" w:color="auto" w:sz="4" w:space="0"/>
              <w:bottom w:val="single" w:color="auto" w:sz="4" w:space="0"/>
            </w:tcBorders>
          </w:tcPr>
          <w:p w:rsidRPr="0063587B" w:rsidR="0063587B" w:rsidP="0063587B" w:rsidRDefault="005D3C51" w14:paraId="1C75F735" w14:textId="77777777">
            <w:pPr>
              <w:rPr>
                <w:sz w:val="22"/>
                <w:szCs w:val="22"/>
              </w:rPr>
            </w:pPr>
            <w:r>
              <w:rPr>
                <w:sz w:val="22"/>
                <w:szCs w:val="22"/>
              </w:rPr>
              <w:t>30/60</w:t>
            </w:r>
          </w:p>
        </w:tc>
        <w:tc>
          <w:tcPr>
            <w:tcW w:w="546" w:type="pct"/>
            <w:tcBorders>
              <w:top w:val="single" w:color="auto" w:sz="4" w:space="0"/>
              <w:bottom w:val="single" w:color="auto" w:sz="4" w:space="0"/>
              <w:right w:val="single" w:color="auto" w:sz="4" w:space="0"/>
            </w:tcBorders>
          </w:tcPr>
          <w:p w:rsidRPr="0063587B" w:rsidR="0063587B" w:rsidP="0063587B" w:rsidRDefault="005D3C51" w14:paraId="74996738" w14:textId="77777777">
            <w:pPr>
              <w:rPr>
                <w:sz w:val="22"/>
                <w:szCs w:val="22"/>
              </w:rPr>
            </w:pPr>
            <w:r>
              <w:rPr>
                <w:sz w:val="22"/>
                <w:szCs w:val="22"/>
              </w:rPr>
              <w:t>1</w:t>
            </w:r>
          </w:p>
        </w:tc>
      </w:tr>
      <w:tr w:rsidRPr="00177C1F" w:rsidR="0063587B" w:rsidTr="00DF5E31" w14:paraId="12BC0520" w14:textId="77777777">
        <w:trPr>
          <w:jc w:val="center"/>
        </w:trPr>
        <w:tc>
          <w:tcPr>
            <w:tcW w:w="728" w:type="pct"/>
            <w:tcBorders>
              <w:top w:val="single" w:color="auto" w:sz="4" w:space="0"/>
              <w:left w:val="single" w:color="auto" w:sz="4" w:space="0"/>
              <w:bottom w:val="single" w:color="auto" w:sz="4" w:space="0"/>
            </w:tcBorders>
          </w:tcPr>
          <w:p w:rsidRPr="0063587B" w:rsidR="0063587B" w:rsidP="0063587B" w:rsidRDefault="0063587B" w14:paraId="44F422EA" w14:textId="77777777">
            <w:pPr>
              <w:numPr>
                <w:ilvl w:val="12"/>
                <w:numId w:val="0"/>
              </w:numPr>
              <w:rPr>
                <w:sz w:val="22"/>
                <w:szCs w:val="22"/>
              </w:rPr>
            </w:pPr>
            <w:r w:rsidRPr="0063587B">
              <w:rPr>
                <w:sz w:val="22"/>
                <w:szCs w:val="22"/>
              </w:rPr>
              <w:t>Section 11</w:t>
            </w:r>
          </w:p>
        </w:tc>
        <w:tc>
          <w:tcPr>
            <w:tcW w:w="1401" w:type="pct"/>
            <w:tcBorders>
              <w:top w:val="single" w:color="auto" w:sz="4" w:space="0"/>
              <w:bottom w:val="single" w:color="auto" w:sz="4" w:space="0"/>
            </w:tcBorders>
          </w:tcPr>
          <w:p w:rsidRPr="0063587B" w:rsidR="0063587B" w:rsidP="0063587B" w:rsidRDefault="0063587B" w14:paraId="64EC4645" w14:textId="77777777">
            <w:pPr>
              <w:numPr>
                <w:ilvl w:val="12"/>
                <w:numId w:val="0"/>
              </w:numPr>
              <w:rPr>
                <w:sz w:val="22"/>
                <w:szCs w:val="22"/>
              </w:rPr>
            </w:pPr>
            <w:r w:rsidRPr="0063587B">
              <w:rPr>
                <w:sz w:val="22"/>
                <w:szCs w:val="22"/>
              </w:rPr>
              <w:t>Security Plan</w:t>
            </w:r>
          </w:p>
        </w:tc>
        <w:tc>
          <w:tcPr>
            <w:tcW w:w="838" w:type="pct"/>
            <w:tcBorders>
              <w:top w:val="single" w:color="auto" w:sz="4" w:space="0"/>
              <w:bottom w:val="single" w:color="auto" w:sz="4" w:space="0"/>
            </w:tcBorders>
          </w:tcPr>
          <w:p w:rsidRPr="0063587B" w:rsidR="0063587B" w:rsidP="0063587B" w:rsidRDefault="0063587B" w14:paraId="5750A80C" w14:textId="77777777">
            <w:pPr>
              <w:numPr>
                <w:ilvl w:val="12"/>
                <w:numId w:val="0"/>
              </w:numPr>
              <w:tabs>
                <w:tab w:val="center" w:pos="4680"/>
                <w:tab w:val="right" w:pos="9360"/>
              </w:tabs>
              <w:rPr>
                <w:sz w:val="22"/>
                <w:szCs w:val="22"/>
              </w:rPr>
            </w:pPr>
            <w:r w:rsidRPr="0063587B">
              <w:rPr>
                <w:sz w:val="22"/>
                <w:szCs w:val="22"/>
              </w:rPr>
              <w:t>253</w:t>
            </w:r>
          </w:p>
        </w:tc>
        <w:tc>
          <w:tcPr>
            <w:tcW w:w="746" w:type="pct"/>
            <w:tcBorders>
              <w:top w:val="single" w:color="auto" w:sz="4" w:space="0"/>
              <w:bottom w:val="single" w:color="auto" w:sz="4" w:space="0"/>
            </w:tcBorders>
          </w:tcPr>
          <w:p w:rsidRPr="0063587B" w:rsidR="0063587B" w:rsidP="0063587B" w:rsidRDefault="0063587B" w14:paraId="4C4BAC2D" w14:textId="77777777">
            <w:pPr>
              <w:keepNext/>
              <w:keepLines/>
              <w:numPr>
                <w:ilvl w:val="12"/>
                <w:numId w:val="0"/>
              </w:numPr>
              <w:tabs>
                <w:tab w:val="center" w:pos="4680"/>
                <w:tab w:val="right" w:pos="9360"/>
              </w:tabs>
              <w:spacing w:before="200"/>
              <w:outlineLvl w:val="2"/>
              <w:rPr>
                <w:sz w:val="22"/>
                <w:szCs w:val="22"/>
              </w:rPr>
            </w:pPr>
            <w:r w:rsidRPr="0063587B">
              <w:rPr>
                <w:sz w:val="22"/>
                <w:szCs w:val="22"/>
              </w:rPr>
              <w:t>1</w:t>
            </w:r>
          </w:p>
        </w:tc>
        <w:tc>
          <w:tcPr>
            <w:tcW w:w="741" w:type="pct"/>
            <w:tcBorders>
              <w:top w:val="single" w:color="auto" w:sz="4" w:space="0"/>
              <w:bottom w:val="single" w:color="auto" w:sz="4" w:space="0"/>
            </w:tcBorders>
          </w:tcPr>
          <w:p w:rsidRPr="0063587B" w:rsidR="0063587B" w:rsidP="0063587B" w:rsidRDefault="0063587B" w14:paraId="0E190FB2" w14:textId="77777777">
            <w:pPr>
              <w:keepNext/>
              <w:keepLines/>
              <w:numPr>
                <w:ilvl w:val="12"/>
                <w:numId w:val="0"/>
              </w:numPr>
              <w:tabs>
                <w:tab w:val="center" w:pos="4680"/>
                <w:tab w:val="right" w:pos="9360"/>
              </w:tabs>
              <w:spacing w:before="200"/>
              <w:outlineLvl w:val="2"/>
              <w:rPr>
                <w:sz w:val="22"/>
                <w:szCs w:val="22"/>
              </w:rPr>
            </w:pPr>
            <w:r w:rsidRPr="0063587B">
              <w:rPr>
                <w:sz w:val="22"/>
                <w:szCs w:val="22"/>
              </w:rPr>
              <w:t>1</w:t>
            </w:r>
          </w:p>
        </w:tc>
        <w:tc>
          <w:tcPr>
            <w:tcW w:w="546" w:type="pct"/>
            <w:tcBorders>
              <w:top w:val="single" w:color="auto" w:sz="4" w:space="0"/>
              <w:bottom w:val="single" w:color="auto" w:sz="4" w:space="0"/>
              <w:right w:val="single" w:color="auto" w:sz="4" w:space="0"/>
            </w:tcBorders>
          </w:tcPr>
          <w:p w:rsidRPr="0063587B" w:rsidR="0063587B" w:rsidP="0063587B" w:rsidRDefault="0063587B" w14:paraId="727BCEDE" w14:textId="77777777">
            <w:pPr>
              <w:keepNext/>
              <w:keepLines/>
              <w:numPr>
                <w:ilvl w:val="12"/>
                <w:numId w:val="0"/>
              </w:numPr>
              <w:tabs>
                <w:tab w:val="center" w:pos="4680"/>
                <w:tab w:val="right" w:pos="9360"/>
              </w:tabs>
              <w:spacing w:before="200"/>
              <w:outlineLvl w:val="2"/>
              <w:rPr>
                <w:sz w:val="22"/>
                <w:szCs w:val="22"/>
              </w:rPr>
            </w:pPr>
            <w:r w:rsidRPr="0063587B">
              <w:rPr>
                <w:sz w:val="22"/>
                <w:szCs w:val="22"/>
              </w:rPr>
              <w:t>253</w:t>
            </w:r>
          </w:p>
        </w:tc>
      </w:tr>
      <w:tr w:rsidRPr="00177C1F" w:rsidR="0063587B" w:rsidTr="00DF5E31" w14:paraId="39FA83BE" w14:textId="77777777">
        <w:trPr>
          <w:jc w:val="center"/>
        </w:trPr>
        <w:tc>
          <w:tcPr>
            <w:tcW w:w="728" w:type="pct"/>
            <w:tcBorders>
              <w:top w:val="single" w:color="auto" w:sz="4" w:space="0"/>
              <w:left w:val="single" w:color="auto" w:sz="4" w:space="0"/>
              <w:bottom w:val="single" w:color="auto" w:sz="4" w:space="0"/>
            </w:tcBorders>
          </w:tcPr>
          <w:p w:rsidRPr="0063587B" w:rsidR="0063587B" w:rsidP="0063587B" w:rsidRDefault="0063587B" w14:paraId="521D5472" w14:textId="77777777">
            <w:pPr>
              <w:keepNext/>
              <w:keepLines/>
              <w:numPr>
                <w:ilvl w:val="12"/>
                <w:numId w:val="0"/>
              </w:numPr>
              <w:tabs>
                <w:tab w:val="center" w:pos="4680"/>
                <w:tab w:val="right" w:pos="9360"/>
              </w:tabs>
              <w:spacing w:before="200"/>
              <w:outlineLvl w:val="2"/>
              <w:rPr>
                <w:sz w:val="22"/>
                <w:szCs w:val="22"/>
              </w:rPr>
            </w:pPr>
            <w:r w:rsidRPr="0063587B">
              <w:rPr>
                <w:sz w:val="22"/>
                <w:szCs w:val="22"/>
              </w:rPr>
              <w:t>Section 12</w:t>
            </w:r>
          </w:p>
        </w:tc>
        <w:tc>
          <w:tcPr>
            <w:tcW w:w="1401" w:type="pct"/>
            <w:tcBorders>
              <w:top w:val="single" w:color="auto" w:sz="4" w:space="0"/>
              <w:bottom w:val="single" w:color="auto" w:sz="4" w:space="0"/>
            </w:tcBorders>
          </w:tcPr>
          <w:p w:rsidRPr="0063587B" w:rsidR="0063587B" w:rsidP="0063587B" w:rsidRDefault="0063587B" w14:paraId="4A3D7F9E" w14:textId="77777777">
            <w:pPr>
              <w:keepNext/>
              <w:keepLines/>
              <w:numPr>
                <w:ilvl w:val="12"/>
                <w:numId w:val="0"/>
              </w:numPr>
              <w:tabs>
                <w:tab w:val="center" w:pos="4680"/>
                <w:tab w:val="right" w:pos="9360"/>
              </w:tabs>
              <w:spacing w:before="200"/>
              <w:outlineLvl w:val="2"/>
              <w:rPr>
                <w:sz w:val="22"/>
                <w:szCs w:val="22"/>
              </w:rPr>
            </w:pPr>
            <w:r w:rsidRPr="0063587B">
              <w:rPr>
                <w:sz w:val="22"/>
                <w:szCs w:val="22"/>
              </w:rPr>
              <w:t>Biosafety Plan</w:t>
            </w:r>
          </w:p>
        </w:tc>
        <w:tc>
          <w:tcPr>
            <w:tcW w:w="838" w:type="pct"/>
            <w:tcBorders>
              <w:top w:val="single" w:color="auto" w:sz="4" w:space="0"/>
              <w:bottom w:val="single" w:color="auto" w:sz="4" w:space="0"/>
            </w:tcBorders>
          </w:tcPr>
          <w:p w:rsidRPr="0063587B" w:rsidR="0063587B" w:rsidP="0063587B" w:rsidRDefault="0063587B" w14:paraId="3455A0F3" w14:textId="77777777">
            <w:pPr>
              <w:keepNext/>
              <w:keepLines/>
              <w:numPr>
                <w:ilvl w:val="12"/>
                <w:numId w:val="0"/>
              </w:numPr>
              <w:tabs>
                <w:tab w:val="center" w:pos="4680"/>
                <w:tab w:val="right" w:pos="9360"/>
              </w:tabs>
              <w:spacing w:before="200"/>
              <w:outlineLvl w:val="2"/>
              <w:rPr>
                <w:sz w:val="22"/>
                <w:szCs w:val="22"/>
              </w:rPr>
            </w:pPr>
            <w:r w:rsidRPr="0063587B">
              <w:rPr>
                <w:sz w:val="22"/>
                <w:szCs w:val="22"/>
              </w:rPr>
              <w:t>253</w:t>
            </w:r>
          </w:p>
        </w:tc>
        <w:tc>
          <w:tcPr>
            <w:tcW w:w="746" w:type="pct"/>
            <w:tcBorders>
              <w:top w:val="single" w:color="auto" w:sz="4" w:space="0"/>
              <w:bottom w:val="single" w:color="auto" w:sz="4" w:space="0"/>
            </w:tcBorders>
          </w:tcPr>
          <w:p w:rsidRPr="0063587B" w:rsidR="0063587B" w:rsidP="0063587B" w:rsidRDefault="0063587B" w14:paraId="540C47DE" w14:textId="77777777">
            <w:pPr>
              <w:keepNext/>
              <w:keepLines/>
              <w:numPr>
                <w:ilvl w:val="12"/>
                <w:numId w:val="0"/>
              </w:numPr>
              <w:tabs>
                <w:tab w:val="center" w:pos="4680"/>
                <w:tab w:val="right" w:pos="9360"/>
              </w:tabs>
              <w:spacing w:before="200"/>
              <w:outlineLvl w:val="2"/>
              <w:rPr>
                <w:sz w:val="22"/>
                <w:szCs w:val="22"/>
              </w:rPr>
            </w:pPr>
            <w:r w:rsidRPr="0063587B">
              <w:rPr>
                <w:sz w:val="22"/>
                <w:szCs w:val="22"/>
              </w:rPr>
              <w:t>1</w:t>
            </w:r>
          </w:p>
        </w:tc>
        <w:tc>
          <w:tcPr>
            <w:tcW w:w="741" w:type="pct"/>
            <w:tcBorders>
              <w:top w:val="single" w:color="auto" w:sz="4" w:space="0"/>
              <w:bottom w:val="single" w:color="auto" w:sz="4" w:space="0"/>
            </w:tcBorders>
          </w:tcPr>
          <w:p w:rsidRPr="0063587B" w:rsidR="0063587B" w:rsidP="0063587B" w:rsidRDefault="0063587B" w14:paraId="762DF553" w14:textId="77777777">
            <w:pPr>
              <w:keepNext/>
              <w:keepLines/>
              <w:numPr>
                <w:ilvl w:val="12"/>
                <w:numId w:val="0"/>
              </w:numPr>
              <w:tabs>
                <w:tab w:val="center" w:pos="4680"/>
                <w:tab w:val="right" w:pos="9360"/>
              </w:tabs>
              <w:spacing w:before="200"/>
              <w:outlineLvl w:val="2"/>
              <w:rPr>
                <w:sz w:val="22"/>
                <w:szCs w:val="22"/>
              </w:rPr>
            </w:pPr>
            <w:r w:rsidRPr="0063587B">
              <w:rPr>
                <w:sz w:val="22"/>
                <w:szCs w:val="22"/>
              </w:rPr>
              <w:t>1</w:t>
            </w:r>
          </w:p>
        </w:tc>
        <w:tc>
          <w:tcPr>
            <w:tcW w:w="546" w:type="pct"/>
            <w:tcBorders>
              <w:top w:val="single" w:color="auto" w:sz="4" w:space="0"/>
              <w:bottom w:val="single" w:color="auto" w:sz="4" w:space="0"/>
              <w:right w:val="single" w:color="auto" w:sz="4" w:space="0"/>
            </w:tcBorders>
          </w:tcPr>
          <w:p w:rsidRPr="0063587B" w:rsidR="0063587B" w:rsidP="0063587B" w:rsidRDefault="0063587B" w14:paraId="5C295DA6" w14:textId="77777777">
            <w:pPr>
              <w:keepNext/>
              <w:keepLines/>
              <w:numPr>
                <w:ilvl w:val="12"/>
                <w:numId w:val="0"/>
              </w:numPr>
              <w:tabs>
                <w:tab w:val="center" w:pos="4680"/>
                <w:tab w:val="right" w:pos="9360"/>
              </w:tabs>
              <w:spacing w:before="200"/>
              <w:outlineLvl w:val="2"/>
              <w:rPr>
                <w:sz w:val="22"/>
                <w:szCs w:val="22"/>
              </w:rPr>
            </w:pPr>
            <w:r w:rsidRPr="0063587B">
              <w:rPr>
                <w:sz w:val="22"/>
                <w:szCs w:val="22"/>
              </w:rPr>
              <w:t>253</w:t>
            </w:r>
          </w:p>
        </w:tc>
      </w:tr>
      <w:tr w:rsidRPr="00177C1F" w:rsidR="0063587B" w:rsidTr="00DF5E31" w14:paraId="41F2C1D3" w14:textId="77777777">
        <w:trPr>
          <w:trHeight w:val="647"/>
          <w:jc w:val="center"/>
        </w:trPr>
        <w:tc>
          <w:tcPr>
            <w:tcW w:w="728" w:type="pct"/>
            <w:tcBorders>
              <w:top w:val="single" w:color="auto" w:sz="4" w:space="0"/>
              <w:left w:val="single" w:color="auto" w:sz="4" w:space="0"/>
              <w:bottom w:val="single" w:color="auto" w:sz="4" w:space="0"/>
            </w:tcBorders>
            <w:shd w:val="clear" w:color="auto" w:fill="FFFFFF"/>
          </w:tcPr>
          <w:p w:rsidRPr="0063587B" w:rsidR="0063587B" w:rsidP="0063587B" w:rsidRDefault="0063587B" w14:paraId="5A9CF314" w14:textId="77777777">
            <w:pPr>
              <w:keepNext/>
              <w:keepLines/>
              <w:numPr>
                <w:ilvl w:val="12"/>
                <w:numId w:val="0"/>
              </w:numPr>
              <w:tabs>
                <w:tab w:val="center" w:pos="4680"/>
                <w:tab w:val="right" w:pos="9360"/>
              </w:tabs>
              <w:spacing w:before="200"/>
              <w:outlineLvl w:val="2"/>
              <w:rPr>
                <w:sz w:val="22"/>
                <w:szCs w:val="22"/>
              </w:rPr>
            </w:pPr>
            <w:r w:rsidRPr="0063587B">
              <w:rPr>
                <w:sz w:val="22"/>
                <w:szCs w:val="22"/>
              </w:rPr>
              <w:t>Section 13</w:t>
            </w:r>
          </w:p>
        </w:tc>
        <w:tc>
          <w:tcPr>
            <w:tcW w:w="1401" w:type="pct"/>
            <w:tcBorders>
              <w:top w:val="single" w:color="auto" w:sz="4" w:space="0"/>
              <w:bottom w:val="single" w:color="auto" w:sz="4" w:space="0"/>
            </w:tcBorders>
            <w:shd w:val="clear" w:color="auto" w:fill="FFFFFF"/>
          </w:tcPr>
          <w:p w:rsidRPr="0063587B" w:rsidR="0063587B" w:rsidP="0063587B" w:rsidRDefault="0063587B" w14:paraId="5226250D" w14:textId="77777777">
            <w:pPr>
              <w:keepNext/>
              <w:keepLines/>
              <w:numPr>
                <w:ilvl w:val="12"/>
                <w:numId w:val="0"/>
              </w:numPr>
              <w:tabs>
                <w:tab w:val="center" w:pos="4680"/>
                <w:tab w:val="right" w:pos="9360"/>
              </w:tabs>
              <w:spacing w:before="200"/>
              <w:outlineLvl w:val="2"/>
              <w:rPr>
                <w:sz w:val="22"/>
                <w:szCs w:val="22"/>
              </w:rPr>
            </w:pPr>
            <w:r w:rsidRPr="0063587B">
              <w:rPr>
                <w:sz w:val="22"/>
                <w:szCs w:val="22"/>
              </w:rPr>
              <w:t>Request Regarding a Restricted Experiment</w:t>
            </w:r>
          </w:p>
        </w:tc>
        <w:tc>
          <w:tcPr>
            <w:tcW w:w="838" w:type="pct"/>
            <w:tcBorders>
              <w:top w:val="single" w:color="auto" w:sz="4" w:space="0"/>
              <w:bottom w:val="single" w:color="auto" w:sz="4" w:space="0"/>
            </w:tcBorders>
            <w:shd w:val="clear" w:color="auto" w:fill="FFFFFF"/>
          </w:tcPr>
          <w:p w:rsidRPr="0063587B" w:rsidR="0063587B" w:rsidP="0063587B" w:rsidRDefault="0063587B" w14:paraId="1C6834F3" w14:textId="77777777">
            <w:pPr>
              <w:keepNext/>
              <w:keepLines/>
              <w:numPr>
                <w:ilvl w:val="12"/>
                <w:numId w:val="0"/>
              </w:numPr>
              <w:tabs>
                <w:tab w:val="center" w:pos="4680"/>
                <w:tab w:val="right" w:pos="9360"/>
              </w:tabs>
              <w:spacing w:before="200"/>
              <w:outlineLvl w:val="2"/>
              <w:rPr>
                <w:sz w:val="22"/>
                <w:szCs w:val="22"/>
              </w:rPr>
            </w:pPr>
            <w:r w:rsidRPr="0063587B">
              <w:rPr>
                <w:sz w:val="22"/>
                <w:szCs w:val="22"/>
              </w:rPr>
              <w:t>1</w:t>
            </w:r>
          </w:p>
        </w:tc>
        <w:tc>
          <w:tcPr>
            <w:tcW w:w="746" w:type="pct"/>
            <w:tcBorders>
              <w:top w:val="single" w:color="auto" w:sz="4" w:space="0"/>
              <w:bottom w:val="single" w:color="auto" w:sz="4" w:space="0"/>
            </w:tcBorders>
            <w:shd w:val="clear" w:color="auto" w:fill="FFFFFF"/>
          </w:tcPr>
          <w:p w:rsidRPr="0063587B" w:rsidR="0063587B" w:rsidP="0063587B" w:rsidRDefault="0063587B" w14:paraId="64C3FDDB" w14:textId="77777777">
            <w:pPr>
              <w:keepNext/>
              <w:keepLines/>
              <w:numPr>
                <w:ilvl w:val="12"/>
                <w:numId w:val="0"/>
              </w:numPr>
              <w:tabs>
                <w:tab w:val="center" w:pos="4680"/>
                <w:tab w:val="right" w:pos="9360"/>
              </w:tabs>
              <w:spacing w:before="200"/>
              <w:outlineLvl w:val="2"/>
              <w:rPr>
                <w:sz w:val="22"/>
                <w:szCs w:val="22"/>
              </w:rPr>
            </w:pPr>
            <w:r w:rsidRPr="0063587B">
              <w:rPr>
                <w:sz w:val="22"/>
                <w:szCs w:val="22"/>
              </w:rPr>
              <w:t>1</w:t>
            </w:r>
          </w:p>
        </w:tc>
        <w:tc>
          <w:tcPr>
            <w:tcW w:w="741" w:type="pct"/>
            <w:tcBorders>
              <w:top w:val="single" w:color="auto" w:sz="4" w:space="0"/>
              <w:bottom w:val="single" w:color="auto" w:sz="4" w:space="0"/>
            </w:tcBorders>
            <w:shd w:val="clear" w:color="auto" w:fill="FFFFFF"/>
          </w:tcPr>
          <w:p w:rsidRPr="0063587B" w:rsidR="0063587B" w:rsidP="0063587B" w:rsidRDefault="0063587B" w14:paraId="4DEEA182" w14:textId="77777777">
            <w:pPr>
              <w:keepNext/>
              <w:keepLines/>
              <w:numPr>
                <w:ilvl w:val="12"/>
                <w:numId w:val="0"/>
              </w:numPr>
              <w:tabs>
                <w:tab w:val="center" w:pos="4680"/>
                <w:tab w:val="right" w:pos="9360"/>
              </w:tabs>
              <w:spacing w:before="200"/>
              <w:outlineLvl w:val="2"/>
              <w:rPr>
                <w:sz w:val="22"/>
                <w:szCs w:val="22"/>
              </w:rPr>
            </w:pPr>
            <w:r w:rsidRPr="0063587B">
              <w:rPr>
                <w:sz w:val="22"/>
                <w:szCs w:val="22"/>
              </w:rPr>
              <w:t>2</w:t>
            </w:r>
          </w:p>
        </w:tc>
        <w:tc>
          <w:tcPr>
            <w:tcW w:w="546" w:type="pct"/>
            <w:tcBorders>
              <w:top w:val="single" w:color="auto" w:sz="4" w:space="0"/>
              <w:bottom w:val="single" w:color="auto" w:sz="4" w:space="0"/>
              <w:right w:val="single" w:color="auto" w:sz="4" w:space="0"/>
            </w:tcBorders>
            <w:shd w:val="clear" w:color="auto" w:fill="FFFFFF"/>
          </w:tcPr>
          <w:p w:rsidRPr="0063587B" w:rsidR="0063587B" w:rsidP="0063587B" w:rsidRDefault="0063587B" w14:paraId="56B6E818" w14:textId="77777777">
            <w:pPr>
              <w:keepNext/>
              <w:keepLines/>
              <w:numPr>
                <w:ilvl w:val="12"/>
                <w:numId w:val="0"/>
              </w:numPr>
              <w:tabs>
                <w:tab w:val="center" w:pos="4680"/>
                <w:tab w:val="right" w:pos="9360"/>
              </w:tabs>
              <w:spacing w:before="200"/>
              <w:outlineLvl w:val="2"/>
              <w:rPr>
                <w:sz w:val="22"/>
                <w:szCs w:val="22"/>
              </w:rPr>
            </w:pPr>
            <w:r w:rsidRPr="0063587B">
              <w:rPr>
                <w:sz w:val="22"/>
                <w:szCs w:val="22"/>
              </w:rPr>
              <w:t>2</w:t>
            </w:r>
          </w:p>
        </w:tc>
      </w:tr>
      <w:tr w:rsidRPr="00177C1F" w:rsidR="0063587B" w:rsidTr="00DF5E31" w14:paraId="49DC21AD" w14:textId="77777777">
        <w:trPr>
          <w:jc w:val="center"/>
        </w:trPr>
        <w:tc>
          <w:tcPr>
            <w:tcW w:w="728" w:type="pct"/>
            <w:tcBorders>
              <w:top w:val="single" w:color="auto" w:sz="4" w:space="0"/>
              <w:left w:val="single" w:color="auto" w:sz="4" w:space="0"/>
              <w:bottom w:val="single" w:color="auto" w:sz="4" w:space="0"/>
            </w:tcBorders>
          </w:tcPr>
          <w:p w:rsidRPr="0063587B" w:rsidR="0063587B" w:rsidP="0063587B" w:rsidRDefault="0063587B" w14:paraId="1902A514" w14:textId="77777777">
            <w:pPr>
              <w:keepNext/>
              <w:keepLines/>
              <w:numPr>
                <w:ilvl w:val="12"/>
                <w:numId w:val="0"/>
              </w:numPr>
              <w:tabs>
                <w:tab w:val="center" w:pos="4680"/>
                <w:tab w:val="right" w:pos="9360"/>
              </w:tabs>
              <w:spacing w:before="200"/>
              <w:outlineLvl w:val="2"/>
              <w:rPr>
                <w:sz w:val="22"/>
                <w:szCs w:val="22"/>
              </w:rPr>
            </w:pPr>
            <w:r w:rsidRPr="0063587B">
              <w:rPr>
                <w:sz w:val="22"/>
                <w:szCs w:val="22"/>
              </w:rPr>
              <w:t>Section 14</w:t>
            </w:r>
          </w:p>
        </w:tc>
        <w:tc>
          <w:tcPr>
            <w:tcW w:w="1401" w:type="pct"/>
            <w:tcBorders>
              <w:top w:val="single" w:color="auto" w:sz="4" w:space="0"/>
              <w:bottom w:val="single" w:color="auto" w:sz="4" w:space="0"/>
            </w:tcBorders>
          </w:tcPr>
          <w:p w:rsidRPr="0063587B" w:rsidR="0063587B" w:rsidP="0063587B" w:rsidRDefault="0063587B" w14:paraId="1583B98C" w14:textId="77777777">
            <w:pPr>
              <w:keepNext/>
              <w:keepLines/>
              <w:numPr>
                <w:ilvl w:val="12"/>
                <w:numId w:val="0"/>
              </w:numPr>
              <w:tabs>
                <w:tab w:val="center" w:pos="4680"/>
                <w:tab w:val="right" w:pos="9360"/>
              </w:tabs>
              <w:spacing w:before="200"/>
              <w:outlineLvl w:val="2"/>
              <w:rPr>
                <w:sz w:val="22"/>
                <w:szCs w:val="22"/>
              </w:rPr>
            </w:pPr>
            <w:r w:rsidRPr="0063587B">
              <w:rPr>
                <w:sz w:val="22"/>
                <w:szCs w:val="22"/>
              </w:rPr>
              <w:t>Incident Response Plan</w:t>
            </w:r>
          </w:p>
        </w:tc>
        <w:tc>
          <w:tcPr>
            <w:tcW w:w="838" w:type="pct"/>
            <w:tcBorders>
              <w:top w:val="single" w:color="auto" w:sz="4" w:space="0"/>
              <w:bottom w:val="single" w:color="auto" w:sz="4" w:space="0"/>
            </w:tcBorders>
          </w:tcPr>
          <w:p w:rsidRPr="0063587B" w:rsidR="0063587B" w:rsidP="0063587B" w:rsidRDefault="0063587B" w14:paraId="7971FC0F" w14:textId="77777777">
            <w:pPr>
              <w:keepNext/>
              <w:keepLines/>
              <w:numPr>
                <w:ilvl w:val="12"/>
                <w:numId w:val="0"/>
              </w:numPr>
              <w:tabs>
                <w:tab w:val="center" w:pos="4680"/>
                <w:tab w:val="right" w:pos="9360"/>
              </w:tabs>
              <w:spacing w:before="200"/>
              <w:outlineLvl w:val="2"/>
              <w:rPr>
                <w:sz w:val="22"/>
                <w:szCs w:val="22"/>
              </w:rPr>
            </w:pPr>
            <w:r w:rsidRPr="0063587B">
              <w:rPr>
                <w:sz w:val="22"/>
                <w:szCs w:val="22"/>
              </w:rPr>
              <w:t>253</w:t>
            </w:r>
          </w:p>
        </w:tc>
        <w:tc>
          <w:tcPr>
            <w:tcW w:w="746" w:type="pct"/>
            <w:tcBorders>
              <w:top w:val="single" w:color="auto" w:sz="4" w:space="0"/>
              <w:bottom w:val="single" w:color="auto" w:sz="4" w:space="0"/>
            </w:tcBorders>
          </w:tcPr>
          <w:p w:rsidRPr="0063587B" w:rsidR="0063587B" w:rsidP="0063587B" w:rsidRDefault="0063587B" w14:paraId="24DFC13D" w14:textId="77777777">
            <w:pPr>
              <w:keepNext/>
              <w:keepLines/>
              <w:numPr>
                <w:ilvl w:val="12"/>
                <w:numId w:val="0"/>
              </w:numPr>
              <w:tabs>
                <w:tab w:val="center" w:pos="4680"/>
                <w:tab w:val="right" w:pos="9360"/>
              </w:tabs>
              <w:spacing w:before="200"/>
              <w:outlineLvl w:val="2"/>
              <w:rPr>
                <w:sz w:val="22"/>
                <w:szCs w:val="22"/>
              </w:rPr>
            </w:pPr>
            <w:r w:rsidRPr="0063587B">
              <w:rPr>
                <w:sz w:val="22"/>
                <w:szCs w:val="22"/>
              </w:rPr>
              <w:t>1</w:t>
            </w:r>
          </w:p>
        </w:tc>
        <w:tc>
          <w:tcPr>
            <w:tcW w:w="741" w:type="pct"/>
            <w:tcBorders>
              <w:top w:val="single" w:color="auto" w:sz="4" w:space="0"/>
              <w:bottom w:val="single" w:color="auto" w:sz="4" w:space="0"/>
            </w:tcBorders>
          </w:tcPr>
          <w:p w:rsidRPr="0063587B" w:rsidR="0063587B" w:rsidP="0063587B" w:rsidRDefault="0063587B" w14:paraId="37050951" w14:textId="77777777">
            <w:pPr>
              <w:keepNext/>
              <w:keepLines/>
              <w:numPr>
                <w:ilvl w:val="12"/>
                <w:numId w:val="0"/>
              </w:numPr>
              <w:tabs>
                <w:tab w:val="center" w:pos="4680"/>
                <w:tab w:val="right" w:pos="9360"/>
              </w:tabs>
              <w:spacing w:before="200"/>
              <w:outlineLvl w:val="2"/>
              <w:rPr>
                <w:sz w:val="22"/>
                <w:szCs w:val="22"/>
              </w:rPr>
            </w:pPr>
            <w:r w:rsidRPr="0063587B">
              <w:rPr>
                <w:sz w:val="22"/>
                <w:szCs w:val="22"/>
              </w:rPr>
              <w:t>1</w:t>
            </w:r>
          </w:p>
        </w:tc>
        <w:tc>
          <w:tcPr>
            <w:tcW w:w="546" w:type="pct"/>
            <w:tcBorders>
              <w:top w:val="single" w:color="auto" w:sz="4" w:space="0"/>
              <w:bottom w:val="single" w:color="auto" w:sz="4" w:space="0"/>
              <w:right w:val="single" w:color="auto" w:sz="4" w:space="0"/>
            </w:tcBorders>
          </w:tcPr>
          <w:p w:rsidRPr="0063587B" w:rsidR="0063587B" w:rsidP="0063587B" w:rsidRDefault="0063587B" w14:paraId="57433F31" w14:textId="77777777">
            <w:pPr>
              <w:numPr>
                <w:ilvl w:val="12"/>
                <w:numId w:val="0"/>
              </w:numPr>
              <w:rPr>
                <w:sz w:val="22"/>
                <w:szCs w:val="22"/>
              </w:rPr>
            </w:pPr>
            <w:r w:rsidRPr="0063587B">
              <w:rPr>
                <w:sz w:val="22"/>
                <w:szCs w:val="22"/>
              </w:rPr>
              <w:t>253</w:t>
            </w:r>
          </w:p>
        </w:tc>
      </w:tr>
      <w:tr w:rsidRPr="00177C1F" w:rsidR="0063587B" w:rsidTr="00DF5E31" w14:paraId="2B065064" w14:textId="77777777">
        <w:trPr>
          <w:jc w:val="center"/>
        </w:trPr>
        <w:tc>
          <w:tcPr>
            <w:tcW w:w="728" w:type="pct"/>
            <w:tcBorders>
              <w:top w:val="single" w:color="auto" w:sz="4" w:space="0"/>
              <w:left w:val="single" w:color="auto" w:sz="4" w:space="0"/>
              <w:bottom w:val="single" w:color="auto" w:sz="4" w:space="0"/>
            </w:tcBorders>
          </w:tcPr>
          <w:p w:rsidRPr="0063587B" w:rsidR="0063587B" w:rsidP="0063587B" w:rsidRDefault="0063587B" w14:paraId="1D04D2C0" w14:textId="77777777">
            <w:pPr>
              <w:keepNext/>
              <w:keepLines/>
              <w:numPr>
                <w:ilvl w:val="12"/>
                <w:numId w:val="0"/>
              </w:numPr>
              <w:tabs>
                <w:tab w:val="center" w:pos="4680"/>
                <w:tab w:val="right" w:pos="9360"/>
              </w:tabs>
              <w:spacing w:before="200"/>
              <w:outlineLvl w:val="2"/>
              <w:rPr>
                <w:sz w:val="22"/>
                <w:szCs w:val="22"/>
              </w:rPr>
            </w:pPr>
            <w:r w:rsidRPr="0063587B">
              <w:rPr>
                <w:sz w:val="22"/>
                <w:szCs w:val="22"/>
              </w:rPr>
              <w:t>Section 15</w:t>
            </w:r>
          </w:p>
        </w:tc>
        <w:tc>
          <w:tcPr>
            <w:tcW w:w="1401" w:type="pct"/>
            <w:tcBorders>
              <w:top w:val="single" w:color="auto" w:sz="4" w:space="0"/>
              <w:bottom w:val="single" w:color="auto" w:sz="4" w:space="0"/>
            </w:tcBorders>
          </w:tcPr>
          <w:p w:rsidRPr="0063587B" w:rsidR="0063587B" w:rsidP="0063587B" w:rsidRDefault="0063587B" w14:paraId="5D15CE9D" w14:textId="77777777">
            <w:pPr>
              <w:numPr>
                <w:ilvl w:val="12"/>
                <w:numId w:val="0"/>
              </w:numPr>
              <w:rPr>
                <w:sz w:val="22"/>
                <w:szCs w:val="22"/>
              </w:rPr>
            </w:pPr>
          </w:p>
          <w:p w:rsidRPr="0063587B" w:rsidR="0063587B" w:rsidP="0063587B" w:rsidRDefault="0063587B" w14:paraId="28A44616" w14:textId="77777777">
            <w:pPr>
              <w:numPr>
                <w:ilvl w:val="12"/>
                <w:numId w:val="0"/>
              </w:numPr>
              <w:rPr>
                <w:sz w:val="22"/>
                <w:szCs w:val="22"/>
              </w:rPr>
            </w:pPr>
            <w:r w:rsidRPr="0063587B">
              <w:rPr>
                <w:sz w:val="22"/>
                <w:szCs w:val="22"/>
              </w:rPr>
              <w:t>Training</w:t>
            </w:r>
          </w:p>
        </w:tc>
        <w:tc>
          <w:tcPr>
            <w:tcW w:w="838" w:type="pct"/>
            <w:tcBorders>
              <w:top w:val="single" w:color="auto" w:sz="4" w:space="0"/>
              <w:bottom w:val="single" w:color="auto" w:sz="4" w:space="0"/>
            </w:tcBorders>
          </w:tcPr>
          <w:p w:rsidRPr="0063587B" w:rsidR="0063587B" w:rsidP="0063587B" w:rsidRDefault="0063587B" w14:paraId="412186CB" w14:textId="77777777">
            <w:pPr>
              <w:keepNext/>
              <w:keepLines/>
              <w:numPr>
                <w:ilvl w:val="12"/>
                <w:numId w:val="0"/>
              </w:numPr>
              <w:tabs>
                <w:tab w:val="center" w:pos="4680"/>
                <w:tab w:val="right" w:pos="9360"/>
              </w:tabs>
              <w:spacing w:before="200"/>
              <w:outlineLvl w:val="2"/>
              <w:rPr>
                <w:sz w:val="22"/>
                <w:szCs w:val="22"/>
              </w:rPr>
            </w:pPr>
            <w:r w:rsidRPr="0063587B">
              <w:rPr>
                <w:sz w:val="22"/>
                <w:szCs w:val="22"/>
              </w:rPr>
              <w:t>253</w:t>
            </w:r>
          </w:p>
        </w:tc>
        <w:tc>
          <w:tcPr>
            <w:tcW w:w="746" w:type="pct"/>
            <w:tcBorders>
              <w:top w:val="single" w:color="auto" w:sz="4" w:space="0"/>
              <w:bottom w:val="single" w:color="auto" w:sz="4" w:space="0"/>
            </w:tcBorders>
          </w:tcPr>
          <w:p w:rsidRPr="0063587B" w:rsidR="0063587B" w:rsidP="0063587B" w:rsidRDefault="0063587B" w14:paraId="3E3CFA8E" w14:textId="77777777">
            <w:pPr>
              <w:numPr>
                <w:ilvl w:val="12"/>
                <w:numId w:val="0"/>
              </w:numPr>
              <w:rPr>
                <w:sz w:val="22"/>
                <w:szCs w:val="22"/>
              </w:rPr>
            </w:pPr>
            <w:r w:rsidRPr="0063587B">
              <w:rPr>
                <w:sz w:val="22"/>
                <w:szCs w:val="22"/>
              </w:rPr>
              <w:t>1</w:t>
            </w:r>
          </w:p>
        </w:tc>
        <w:tc>
          <w:tcPr>
            <w:tcW w:w="741" w:type="pct"/>
            <w:tcBorders>
              <w:top w:val="single" w:color="auto" w:sz="4" w:space="0"/>
              <w:bottom w:val="single" w:color="auto" w:sz="4" w:space="0"/>
            </w:tcBorders>
          </w:tcPr>
          <w:p w:rsidRPr="0063587B" w:rsidR="0063587B" w:rsidP="0063587B" w:rsidRDefault="0063587B" w14:paraId="4464E723" w14:textId="77777777">
            <w:pPr>
              <w:keepNext/>
              <w:keepLines/>
              <w:numPr>
                <w:ilvl w:val="12"/>
                <w:numId w:val="0"/>
              </w:numPr>
              <w:tabs>
                <w:tab w:val="center" w:pos="4680"/>
                <w:tab w:val="right" w:pos="9360"/>
              </w:tabs>
              <w:spacing w:before="200"/>
              <w:outlineLvl w:val="2"/>
              <w:rPr>
                <w:sz w:val="22"/>
                <w:szCs w:val="22"/>
              </w:rPr>
            </w:pPr>
            <w:r w:rsidRPr="0063587B">
              <w:rPr>
                <w:sz w:val="22"/>
                <w:szCs w:val="22"/>
              </w:rPr>
              <w:t>1</w:t>
            </w:r>
          </w:p>
        </w:tc>
        <w:tc>
          <w:tcPr>
            <w:tcW w:w="546" w:type="pct"/>
            <w:tcBorders>
              <w:top w:val="single" w:color="auto" w:sz="4" w:space="0"/>
              <w:bottom w:val="single" w:color="auto" w:sz="4" w:space="0"/>
              <w:right w:val="single" w:color="auto" w:sz="4" w:space="0"/>
            </w:tcBorders>
          </w:tcPr>
          <w:p w:rsidRPr="0063587B" w:rsidR="0063587B" w:rsidP="0063587B" w:rsidRDefault="0063587B" w14:paraId="6E04037A" w14:textId="2EEDCDE0">
            <w:pPr>
              <w:numPr>
                <w:ilvl w:val="12"/>
                <w:numId w:val="0"/>
              </w:numPr>
              <w:rPr>
                <w:sz w:val="22"/>
                <w:szCs w:val="22"/>
              </w:rPr>
            </w:pPr>
            <w:r w:rsidRPr="0063587B">
              <w:rPr>
                <w:sz w:val="22"/>
                <w:szCs w:val="22"/>
              </w:rPr>
              <w:t>25</w:t>
            </w:r>
            <w:r w:rsidR="0080021F">
              <w:rPr>
                <w:sz w:val="22"/>
                <w:szCs w:val="22"/>
              </w:rPr>
              <w:t>3</w:t>
            </w:r>
          </w:p>
        </w:tc>
      </w:tr>
      <w:tr w:rsidRPr="00177C1F" w:rsidR="0063587B" w:rsidTr="00DF5E31" w14:paraId="2F337EDE" w14:textId="77777777">
        <w:trPr>
          <w:jc w:val="center"/>
        </w:trPr>
        <w:tc>
          <w:tcPr>
            <w:tcW w:w="728" w:type="pct"/>
            <w:tcBorders>
              <w:top w:val="single" w:color="auto" w:sz="4" w:space="0"/>
              <w:left w:val="single" w:color="auto" w:sz="4" w:space="0"/>
              <w:bottom w:val="single" w:color="auto" w:sz="4" w:space="0"/>
            </w:tcBorders>
          </w:tcPr>
          <w:p w:rsidRPr="0063587B" w:rsidR="0063587B" w:rsidP="0063587B" w:rsidRDefault="0063587B" w14:paraId="2C46C38D" w14:textId="77777777">
            <w:pPr>
              <w:keepNext/>
              <w:keepLines/>
              <w:numPr>
                <w:ilvl w:val="12"/>
                <w:numId w:val="0"/>
              </w:numPr>
              <w:tabs>
                <w:tab w:val="center" w:pos="4680"/>
                <w:tab w:val="right" w:pos="9360"/>
              </w:tabs>
              <w:spacing w:before="200"/>
              <w:outlineLvl w:val="2"/>
              <w:rPr>
                <w:sz w:val="22"/>
                <w:szCs w:val="22"/>
              </w:rPr>
            </w:pPr>
            <w:r w:rsidRPr="0063587B">
              <w:rPr>
                <w:sz w:val="22"/>
                <w:szCs w:val="22"/>
              </w:rPr>
              <w:t>Section 16</w:t>
            </w:r>
          </w:p>
        </w:tc>
        <w:tc>
          <w:tcPr>
            <w:tcW w:w="1401" w:type="pct"/>
            <w:tcBorders>
              <w:top w:val="single" w:color="auto" w:sz="4" w:space="0"/>
              <w:bottom w:val="single" w:color="auto" w:sz="4" w:space="0"/>
            </w:tcBorders>
          </w:tcPr>
          <w:p w:rsidRPr="0063587B" w:rsidR="0063587B" w:rsidP="0063587B" w:rsidRDefault="0063587B" w14:paraId="31C8CD0B" w14:textId="77777777">
            <w:pPr>
              <w:keepNext/>
              <w:keepLines/>
              <w:numPr>
                <w:ilvl w:val="12"/>
                <w:numId w:val="0"/>
              </w:numPr>
              <w:tabs>
                <w:tab w:val="center" w:pos="4680"/>
                <w:tab w:val="right" w:pos="9360"/>
              </w:tabs>
              <w:spacing w:before="200"/>
              <w:outlineLvl w:val="2"/>
              <w:rPr>
                <w:sz w:val="22"/>
                <w:szCs w:val="22"/>
              </w:rPr>
            </w:pPr>
            <w:r w:rsidRPr="0063587B">
              <w:rPr>
                <w:sz w:val="22"/>
                <w:szCs w:val="22"/>
              </w:rPr>
              <w:t>Request to Transfer Select Agents and Toxins</w:t>
            </w:r>
          </w:p>
        </w:tc>
        <w:tc>
          <w:tcPr>
            <w:tcW w:w="838" w:type="pct"/>
            <w:tcBorders>
              <w:top w:val="single" w:color="auto" w:sz="4" w:space="0"/>
              <w:bottom w:val="single" w:color="auto" w:sz="4" w:space="0"/>
            </w:tcBorders>
          </w:tcPr>
          <w:p w:rsidRPr="0063587B" w:rsidR="0063587B" w:rsidP="0063587B" w:rsidRDefault="0063587B" w14:paraId="7F6EEA25" w14:textId="77777777">
            <w:pPr>
              <w:keepNext/>
              <w:keepLines/>
              <w:numPr>
                <w:ilvl w:val="12"/>
                <w:numId w:val="0"/>
              </w:numPr>
              <w:tabs>
                <w:tab w:val="center" w:pos="4680"/>
                <w:tab w:val="right" w:pos="9360"/>
              </w:tabs>
              <w:spacing w:before="200"/>
              <w:outlineLvl w:val="2"/>
              <w:rPr>
                <w:sz w:val="22"/>
                <w:szCs w:val="22"/>
              </w:rPr>
            </w:pPr>
            <w:r w:rsidRPr="0063587B">
              <w:rPr>
                <w:sz w:val="22"/>
                <w:szCs w:val="22"/>
              </w:rPr>
              <w:t>253</w:t>
            </w:r>
          </w:p>
        </w:tc>
        <w:tc>
          <w:tcPr>
            <w:tcW w:w="746" w:type="pct"/>
            <w:tcBorders>
              <w:top w:val="single" w:color="auto" w:sz="4" w:space="0"/>
              <w:bottom w:val="single" w:color="auto" w:sz="4" w:space="0"/>
            </w:tcBorders>
          </w:tcPr>
          <w:p w:rsidRPr="0063587B" w:rsidR="0063587B" w:rsidP="0063587B" w:rsidRDefault="0063587B" w14:paraId="5D1994C3" w14:textId="77777777">
            <w:pPr>
              <w:keepNext/>
              <w:keepLines/>
              <w:numPr>
                <w:ilvl w:val="12"/>
                <w:numId w:val="0"/>
              </w:numPr>
              <w:tabs>
                <w:tab w:val="center" w:pos="4680"/>
                <w:tab w:val="right" w:pos="9360"/>
              </w:tabs>
              <w:spacing w:before="200"/>
              <w:outlineLvl w:val="2"/>
              <w:rPr>
                <w:sz w:val="22"/>
                <w:szCs w:val="22"/>
              </w:rPr>
            </w:pPr>
            <w:r w:rsidRPr="0063587B">
              <w:rPr>
                <w:sz w:val="22"/>
                <w:szCs w:val="22"/>
              </w:rPr>
              <w:t>1</w:t>
            </w:r>
          </w:p>
        </w:tc>
        <w:tc>
          <w:tcPr>
            <w:tcW w:w="741" w:type="pct"/>
            <w:tcBorders>
              <w:top w:val="single" w:color="auto" w:sz="4" w:space="0"/>
              <w:bottom w:val="single" w:color="auto" w:sz="4" w:space="0"/>
            </w:tcBorders>
          </w:tcPr>
          <w:p w:rsidRPr="0063587B" w:rsidR="0063587B" w:rsidP="0063587B" w:rsidRDefault="0063587B" w14:paraId="396CD87A" w14:textId="77777777">
            <w:pPr>
              <w:keepNext/>
              <w:keepLines/>
              <w:numPr>
                <w:ilvl w:val="12"/>
                <w:numId w:val="0"/>
              </w:numPr>
              <w:tabs>
                <w:tab w:val="center" w:pos="4680"/>
                <w:tab w:val="right" w:pos="9360"/>
              </w:tabs>
              <w:spacing w:before="200"/>
              <w:outlineLvl w:val="2"/>
              <w:rPr>
                <w:sz w:val="22"/>
                <w:szCs w:val="22"/>
              </w:rPr>
            </w:pPr>
            <w:r w:rsidRPr="0063587B">
              <w:rPr>
                <w:sz w:val="22"/>
                <w:szCs w:val="22"/>
              </w:rPr>
              <w:t>1.5</w:t>
            </w:r>
          </w:p>
        </w:tc>
        <w:tc>
          <w:tcPr>
            <w:tcW w:w="546" w:type="pct"/>
            <w:tcBorders>
              <w:top w:val="single" w:color="auto" w:sz="4" w:space="0"/>
              <w:bottom w:val="single" w:color="auto" w:sz="4" w:space="0"/>
              <w:right w:val="single" w:color="auto" w:sz="4" w:space="0"/>
            </w:tcBorders>
          </w:tcPr>
          <w:p w:rsidRPr="0063587B" w:rsidR="005D3C51" w:rsidP="0063587B" w:rsidRDefault="005D3C51" w14:paraId="1FB99FC8" w14:textId="77777777">
            <w:pPr>
              <w:keepNext/>
              <w:keepLines/>
              <w:numPr>
                <w:ilvl w:val="12"/>
                <w:numId w:val="0"/>
              </w:numPr>
              <w:tabs>
                <w:tab w:val="center" w:pos="4680"/>
                <w:tab w:val="right" w:pos="9360"/>
              </w:tabs>
              <w:spacing w:before="200"/>
              <w:outlineLvl w:val="2"/>
              <w:rPr>
                <w:sz w:val="22"/>
                <w:szCs w:val="22"/>
              </w:rPr>
            </w:pPr>
            <w:r>
              <w:rPr>
                <w:sz w:val="22"/>
                <w:szCs w:val="22"/>
              </w:rPr>
              <w:t>380</w:t>
            </w:r>
          </w:p>
        </w:tc>
      </w:tr>
      <w:tr w:rsidRPr="00177C1F" w:rsidR="0063587B" w:rsidTr="00DF5E31" w14:paraId="2E4FA30C" w14:textId="77777777">
        <w:trPr>
          <w:jc w:val="center"/>
        </w:trPr>
        <w:tc>
          <w:tcPr>
            <w:tcW w:w="728" w:type="pct"/>
            <w:tcBorders>
              <w:top w:val="single" w:color="auto" w:sz="4" w:space="0"/>
              <w:left w:val="single" w:color="auto" w:sz="4" w:space="0"/>
              <w:bottom w:val="single" w:color="auto" w:sz="4" w:space="0"/>
            </w:tcBorders>
          </w:tcPr>
          <w:p w:rsidRPr="0063587B" w:rsidR="0063587B" w:rsidP="0063587B" w:rsidRDefault="0063587B" w14:paraId="6596E1DD" w14:textId="77777777">
            <w:pPr>
              <w:keepNext/>
              <w:keepLines/>
              <w:numPr>
                <w:ilvl w:val="12"/>
                <w:numId w:val="0"/>
              </w:numPr>
              <w:tabs>
                <w:tab w:val="center" w:pos="4680"/>
                <w:tab w:val="right" w:pos="9360"/>
              </w:tabs>
              <w:spacing w:before="200"/>
              <w:outlineLvl w:val="2"/>
              <w:rPr>
                <w:sz w:val="22"/>
                <w:szCs w:val="22"/>
              </w:rPr>
            </w:pPr>
            <w:r w:rsidRPr="0063587B">
              <w:rPr>
                <w:sz w:val="22"/>
                <w:szCs w:val="22"/>
              </w:rPr>
              <w:t>Section 17</w:t>
            </w:r>
          </w:p>
        </w:tc>
        <w:tc>
          <w:tcPr>
            <w:tcW w:w="1401" w:type="pct"/>
            <w:tcBorders>
              <w:top w:val="single" w:color="auto" w:sz="4" w:space="0"/>
              <w:bottom w:val="single" w:color="auto" w:sz="4" w:space="0"/>
            </w:tcBorders>
          </w:tcPr>
          <w:p w:rsidRPr="0063587B" w:rsidR="0063587B" w:rsidP="0063587B" w:rsidRDefault="0063587B" w14:paraId="6863C59B" w14:textId="77777777">
            <w:pPr>
              <w:keepNext/>
              <w:keepLines/>
              <w:numPr>
                <w:ilvl w:val="12"/>
                <w:numId w:val="0"/>
              </w:numPr>
              <w:tabs>
                <w:tab w:val="center" w:pos="4680"/>
                <w:tab w:val="right" w:pos="9360"/>
              </w:tabs>
              <w:spacing w:before="200"/>
              <w:outlineLvl w:val="2"/>
              <w:rPr>
                <w:sz w:val="22"/>
                <w:szCs w:val="22"/>
              </w:rPr>
            </w:pPr>
            <w:r w:rsidRPr="0063587B">
              <w:rPr>
                <w:sz w:val="22"/>
                <w:szCs w:val="22"/>
              </w:rPr>
              <w:t>Records</w:t>
            </w:r>
          </w:p>
        </w:tc>
        <w:tc>
          <w:tcPr>
            <w:tcW w:w="838" w:type="pct"/>
            <w:tcBorders>
              <w:top w:val="single" w:color="auto" w:sz="4" w:space="0"/>
              <w:bottom w:val="single" w:color="auto" w:sz="4" w:space="0"/>
            </w:tcBorders>
          </w:tcPr>
          <w:p w:rsidRPr="0063587B" w:rsidR="0063587B" w:rsidP="0063587B" w:rsidRDefault="0063587B" w14:paraId="56A0C1D8" w14:textId="77777777">
            <w:pPr>
              <w:keepNext/>
              <w:keepLines/>
              <w:numPr>
                <w:ilvl w:val="12"/>
                <w:numId w:val="0"/>
              </w:numPr>
              <w:tabs>
                <w:tab w:val="center" w:pos="4680"/>
                <w:tab w:val="right" w:pos="9360"/>
              </w:tabs>
              <w:spacing w:before="200"/>
              <w:outlineLvl w:val="2"/>
              <w:rPr>
                <w:sz w:val="22"/>
                <w:szCs w:val="22"/>
              </w:rPr>
            </w:pPr>
            <w:r w:rsidRPr="0063587B">
              <w:rPr>
                <w:sz w:val="22"/>
                <w:szCs w:val="22"/>
              </w:rPr>
              <w:t>253</w:t>
            </w:r>
          </w:p>
        </w:tc>
        <w:tc>
          <w:tcPr>
            <w:tcW w:w="746" w:type="pct"/>
            <w:tcBorders>
              <w:top w:val="single" w:color="auto" w:sz="4" w:space="0"/>
              <w:bottom w:val="single" w:color="auto" w:sz="4" w:space="0"/>
            </w:tcBorders>
          </w:tcPr>
          <w:p w:rsidRPr="0063587B" w:rsidR="0063587B" w:rsidP="0063587B" w:rsidRDefault="0063587B" w14:paraId="703962F1" w14:textId="77777777">
            <w:pPr>
              <w:keepNext/>
              <w:keepLines/>
              <w:numPr>
                <w:ilvl w:val="12"/>
                <w:numId w:val="0"/>
              </w:numPr>
              <w:tabs>
                <w:tab w:val="center" w:pos="4680"/>
                <w:tab w:val="right" w:pos="9360"/>
              </w:tabs>
              <w:spacing w:before="200"/>
              <w:outlineLvl w:val="2"/>
              <w:rPr>
                <w:sz w:val="22"/>
                <w:szCs w:val="22"/>
              </w:rPr>
            </w:pPr>
            <w:r w:rsidRPr="0063587B">
              <w:rPr>
                <w:sz w:val="22"/>
                <w:szCs w:val="22"/>
              </w:rPr>
              <w:t>1</w:t>
            </w:r>
          </w:p>
        </w:tc>
        <w:tc>
          <w:tcPr>
            <w:tcW w:w="741" w:type="pct"/>
            <w:tcBorders>
              <w:top w:val="single" w:color="auto" w:sz="4" w:space="0"/>
              <w:bottom w:val="single" w:color="auto" w:sz="4" w:space="0"/>
            </w:tcBorders>
          </w:tcPr>
          <w:p w:rsidRPr="0063587B" w:rsidR="0063587B" w:rsidP="0063587B" w:rsidRDefault="00434838" w14:paraId="6495B1D5" w14:textId="77777777">
            <w:pPr>
              <w:keepNext/>
              <w:keepLines/>
              <w:numPr>
                <w:ilvl w:val="12"/>
                <w:numId w:val="0"/>
              </w:numPr>
              <w:tabs>
                <w:tab w:val="center" w:pos="4680"/>
                <w:tab w:val="right" w:pos="9360"/>
              </w:tabs>
              <w:spacing w:before="200"/>
              <w:outlineLvl w:val="2"/>
              <w:rPr>
                <w:sz w:val="22"/>
                <w:szCs w:val="22"/>
              </w:rPr>
            </w:pPr>
            <w:r>
              <w:rPr>
                <w:sz w:val="22"/>
                <w:szCs w:val="22"/>
              </w:rPr>
              <w:t>30/60</w:t>
            </w:r>
          </w:p>
        </w:tc>
        <w:tc>
          <w:tcPr>
            <w:tcW w:w="546" w:type="pct"/>
            <w:tcBorders>
              <w:top w:val="single" w:color="auto" w:sz="4" w:space="0"/>
              <w:bottom w:val="single" w:color="auto" w:sz="4" w:space="0"/>
              <w:right w:val="single" w:color="auto" w:sz="4" w:space="0"/>
            </w:tcBorders>
          </w:tcPr>
          <w:p w:rsidRPr="0063587B" w:rsidR="005D3C51" w:rsidP="0063587B" w:rsidRDefault="005D3C51" w14:paraId="5DD42300" w14:textId="77777777">
            <w:pPr>
              <w:keepNext/>
              <w:keepLines/>
              <w:numPr>
                <w:ilvl w:val="12"/>
                <w:numId w:val="0"/>
              </w:numPr>
              <w:tabs>
                <w:tab w:val="center" w:pos="4680"/>
                <w:tab w:val="right" w:pos="9360"/>
              </w:tabs>
              <w:spacing w:before="200"/>
              <w:outlineLvl w:val="2"/>
              <w:rPr>
                <w:sz w:val="22"/>
                <w:szCs w:val="22"/>
              </w:rPr>
            </w:pPr>
            <w:r>
              <w:rPr>
                <w:sz w:val="22"/>
                <w:szCs w:val="22"/>
              </w:rPr>
              <w:t>127</w:t>
            </w:r>
          </w:p>
        </w:tc>
      </w:tr>
      <w:tr w:rsidRPr="00177C1F" w:rsidR="0063587B" w:rsidTr="00DF5E31" w14:paraId="2B1A4016" w14:textId="77777777">
        <w:trPr>
          <w:jc w:val="center"/>
        </w:trPr>
        <w:tc>
          <w:tcPr>
            <w:tcW w:w="728" w:type="pct"/>
            <w:tcBorders>
              <w:top w:val="single" w:color="auto" w:sz="4" w:space="0"/>
              <w:left w:val="single" w:color="auto" w:sz="4" w:space="0"/>
              <w:bottom w:val="single" w:color="auto" w:sz="4" w:space="0"/>
            </w:tcBorders>
          </w:tcPr>
          <w:p w:rsidRPr="0063587B" w:rsidR="0063587B" w:rsidP="0063587B" w:rsidRDefault="0063587B" w14:paraId="402EDA5A" w14:textId="77777777">
            <w:pPr>
              <w:keepNext/>
              <w:keepLines/>
              <w:numPr>
                <w:ilvl w:val="12"/>
                <w:numId w:val="0"/>
              </w:numPr>
              <w:tabs>
                <w:tab w:val="center" w:pos="4680"/>
                <w:tab w:val="right" w:pos="9360"/>
              </w:tabs>
              <w:spacing w:before="200"/>
              <w:outlineLvl w:val="2"/>
              <w:rPr>
                <w:sz w:val="22"/>
                <w:szCs w:val="22"/>
                <w:highlight w:val="yellow"/>
              </w:rPr>
            </w:pPr>
            <w:r w:rsidRPr="0063587B">
              <w:rPr>
                <w:sz w:val="22"/>
                <w:szCs w:val="22"/>
              </w:rPr>
              <w:t>Section 19</w:t>
            </w:r>
          </w:p>
        </w:tc>
        <w:tc>
          <w:tcPr>
            <w:tcW w:w="1401" w:type="pct"/>
            <w:tcBorders>
              <w:top w:val="single" w:color="auto" w:sz="4" w:space="0"/>
              <w:bottom w:val="single" w:color="auto" w:sz="4" w:space="0"/>
            </w:tcBorders>
          </w:tcPr>
          <w:p w:rsidRPr="0063587B" w:rsidR="0063587B" w:rsidP="0063587B" w:rsidRDefault="0063587B" w14:paraId="607B841D" w14:textId="77777777">
            <w:pPr>
              <w:keepNext/>
              <w:keepLines/>
              <w:numPr>
                <w:ilvl w:val="12"/>
                <w:numId w:val="0"/>
              </w:numPr>
              <w:tabs>
                <w:tab w:val="center" w:pos="4680"/>
                <w:tab w:val="right" w:pos="9360"/>
              </w:tabs>
              <w:spacing w:before="200"/>
              <w:outlineLvl w:val="2"/>
              <w:rPr>
                <w:sz w:val="22"/>
                <w:szCs w:val="22"/>
              </w:rPr>
            </w:pPr>
            <w:r w:rsidRPr="0063587B">
              <w:rPr>
                <w:sz w:val="22"/>
                <w:szCs w:val="22"/>
              </w:rPr>
              <w:t>Notification of Theft, Loss, or Release</w:t>
            </w:r>
          </w:p>
        </w:tc>
        <w:tc>
          <w:tcPr>
            <w:tcW w:w="838" w:type="pct"/>
            <w:tcBorders>
              <w:top w:val="single" w:color="auto" w:sz="4" w:space="0"/>
              <w:bottom w:val="single" w:color="auto" w:sz="4" w:space="0"/>
            </w:tcBorders>
          </w:tcPr>
          <w:p w:rsidRPr="0063587B" w:rsidR="0063587B" w:rsidP="0063587B" w:rsidRDefault="0063587B" w14:paraId="7D882911" w14:textId="77777777">
            <w:pPr>
              <w:keepNext/>
              <w:keepLines/>
              <w:numPr>
                <w:ilvl w:val="12"/>
                <w:numId w:val="0"/>
              </w:numPr>
              <w:tabs>
                <w:tab w:val="center" w:pos="4680"/>
                <w:tab w:val="right" w:pos="9360"/>
              </w:tabs>
              <w:spacing w:before="200"/>
              <w:outlineLvl w:val="2"/>
              <w:rPr>
                <w:sz w:val="22"/>
                <w:szCs w:val="22"/>
              </w:rPr>
            </w:pPr>
            <w:r w:rsidRPr="0063587B">
              <w:rPr>
                <w:sz w:val="22"/>
                <w:szCs w:val="22"/>
              </w:rPr>
              <w:t>201</w:t>
            </w:r>
          </w:p>
        </w:tc>
        <w:tc>
          <w:tcPr>
            <w:tcW w:w="746" w:type="pct"/>
            <w:tcBorders>
              <w:top w:val="single" w:color="auto" w:sz="4" w:space="0"/>
              <w:bottom w:val="single" w:color="auto" w:sz="4" w:space="0"/>
            </w:tcBorders>
          </w:tcPr>
          <w:p w:rsidRPr="0063587B" w:rsidR="0063587B" w:rsidP="0063587B" w:rsidRDefault="0063587B" w14:paraId="6B9C7DE4" w14:textId="77777777">
            <w:pPr>
              <w:numPr>
                <w:ilvl w:val="12"/>
                <w:numId w:val="0"/>
              </w:numPr>
              <w:tabs>
                <w:tab w:val="center" w:pos="4680"/>
                <w:tab w:val="right" w:pos="9360"/>
              </w:tabs>
              <w:rPr>
                <w:sz w:val="22"/>
                <w:szCs w:val="22"/>
              </w:rPr>
            </w:pPr>
            <w:r w:rsidRPr="0063587B">
              <w:rPr>
                <w:sz w:val="22"/>
                <w:szCs w:val="22"/>
              </w:rPr>
              <w:t>1</w:t>
            </w:r>
          </w:p>
        </w:tc>
        <w:tc>
          <w:tcPr>
            <w:tcW w:w="741" w:type="pct"/>
            <w:tcBorders>
              <w:top w:val="single" w:color="auto" w:sz="4" w:space="0"/>
              <w:bottom w:val="single" w:color="auto" w:sz="4" w:space="0"/>
            </w:tcBorders>
          </w:tcPr>
          <w:p w:rsidRPr="0063587B" w:rsidR="0063587B" w:rsidP="0063587B" w:rsidRDefault="0063587B" w14:paraId="6D967276" w14:textId="77777777">
            <w:pPr>
              <w:numPr>
                <w:ilvl w:val="12"/>
                <w:numId w:val="0"/>
              </w:numPr>
              <w:tabs>
                <w:tab w:val="center" w:pos="4680"/>
                <w:tab w:val="right" w:pos="9360"/>
              </w:tabs>
              <w:rPr>
                <w:sz w:val="22"/>
                <w:szCs w:val="22"/>
              </w:rPr>
            </w:pPr>
            <w:r w:rsidRPr="0063587B">
              <w:rPr>
                <w:sz w:val="22"/>
                <w:szCs w:val="22"/>
              </w:rPr>
              <w:t>1</w:t>
            </w:r>
          </w:p>
        </w:tc>
        <w:tc>
          <w:tcPr>
            <w:tcW w:w="546" w:type="pct"/>
            <w:tcBorders>
              <w:top w:val="single" w:color="auto" w:sz="4" w:space="0"/>
              <w:bottom w:val="single" w:color="auto" w:sz="4" w:space="0"/>
              <w:right w:val="single" w:color="auto" w:sz="4" w:space="0"/>
            </w:tcBorders>
          </w:tcPr>
          <w:p w:rsidRPr="0063587B" w:rsidR="0063587B" w:rsidP="0063587B" w:rsidRDefault="0063587B" w14:paraId="3FB20297" w14:textId="77777777">
            <w:pPr>
              <w:numPr>
                <w:ilvl w:val="12"/>
                <w:numId w:val="0"/>
              </w:numPr>
              <w:tabs>
                <w:tab w:val="center" w:pos="4680"/>
                <w:tab w:val="right" w:pos="9360"/>
              </w:tabs>
              <w:rPr>
                <w:sz w:val="22"/>
                <w:szCs w:val="22"/>
              </w:rPr>
            </w:pPr>
            <w:r w:rsidRPr="0063587B">
              <w:rPr>
                <w:sz w:val="22"/>
                <w:szCs w:val="22"/>
              </w:rPr>
              <w:t>201</w:t>
            </w:r>
          </w:p>
        </w:tc>
      </w:tr>
      <w:tr w:rsidRPr="00177C1F" w:rsidR="0063587B" w:rsidTr="00DF5E31" w14:paraId="65A81A52" w14:textId="77777777">
        <w:trPr>
          <w:jc w:val="center"/>
        </w:trPr>
        <w:tc>
          <w:tcPr>
            <w:tcW w:w="728" w:type="pct"/>
            <w:tcBorders>
              <w:top w:val="single" w:color="auto" w:sz="4" w:space="0"/>
              <w:left w:val="single" w:color="auto" w:sz="4" w:space="0"/>
              <w:bottom w:val="single" w:color="auto" w:sz="4" w:space="0"/>
            </w:tcBorders>
          </w:tcPr>
          <w:p w:rsidRPr="0063587B" w:rsidR="0063587B" w:rsidP="0063587B" w:rsidRDefault="0063587B" w14:paraId="29194EAE" w14:textId="77777777">
            <w:pPr>
              <w:rPr>
                <w:sz w:val="22"/>
                <w:szCs w:val="22"/>
              </w:rPr>
            </w:pPr>
            <w:r w:rsidRPr="0063587B">
              <w:rPr>
                <w:bCs/>
                <w:sz w:val="22"/>
                <w:szCs w:val="22"/>
              </w:rPr>
              <w:t>Section 20</w:t>
            </w:r>
          </w:p>
        </w:tc>
        <w:tc>
          <w:tcPr>
            <w:tcW w:w="1401" w:type="pct"/>
            <w:tcBorders>
              <w:top w:val="single" w:color="auto" w:sz="4" w:space="0"/>
              <w:bottom w:val="single" w:color="auto" w:sz="4" w:space="0"/>
            </w:tcBorders>
          </w:tcPr>
          <w:p w:rsidRPr="0063587B" w:rsidR="0063587B" w:rsidP="0063587B" w:rsidRDefault="0063587B" w14:paraId="4AEC3603" w14:textId="77777777">
            <w:pPr>
              <w:rPr>
                <w:sz w:val="22"/>
                <w:szCs w:val="22"/>
              </w:rPr>
            </w:pPr>
            <w:r w:rsidRPr="0063587B">
              <w:rPr>
                <w:sz w:val="22"/>
                <w:szCs w:val="22"/>
              </w:rPr>
              <w:t>Administrative Review</w:t>
            </w:r>
          </w:p>
        </w:tc>
        <w:tc>
          <w:tcPr>
            <w:tcW w:w="838" w:type="pct"/>
            <w:tcBorders>
              <w:top w:val="single" w:color="auto" w:sz="4" w:space="0"/>
              <w:bottom w:val="single" w:color="auto" w:sz="4" w:space="0"/>
            </w:tcBorders>
          </w:tcPr>
          <w:p w:rsidRPr="0063587B" w:rsidR="0063587B" w:rsidP="0063587B" w:rsidRDefault="0063587B" w14:paraId="62E0F1E5" w14:textId="77777777">
            <w:pPr>
              <w:rPr>
                <w:sz w:val="22"/>
                <w:szCs w:val="22"/>
              </w:rPr>
            </w:pPr>
            <w:r w:rsidRPr="0063587B">
              <w:rPr>
                <w:sz w:val="22"/>
                <w:szCs w:val="22"/>
              </w:rPr>
              <w:t>28</w:t>
            </w:r>
          </w:p>
        </w:tc>
        <w:tc>
          <w:tcPr>
            <w:tcW w:w="746" w:type="pct"/>
            <w:tcBorders>
              <w:top w:val="single" w:color="auto" w:sz="4" w:space="0"/>
              <w:bottom w:val="single" w:color="auto" w:sz="4" w:space="0"/>
            </w:tcBorders>
          </w:tcPr>
          <w:p w:rsidRPr="0063587B" w:rsidR="0063587B" w:rsidP="0063587B" w:rsidRDefault="0063587B" w14:paraId="6AACD21A" w14:textId="77777777">
            <w:pPr>
              <w:rPr>
                <w:sz w:val="22"/>
                <w:szCs w:val="22"/>
              </w:rPr>
            </w:pPr>
            <w:r w:rsidRPr="0063587B">
              <w:rPr>
                <w:sz w:val="22"/>
                <w:szCs w:val="22"/>
              </w:rPr>
              <w:t>1</w:t>
            </w:r>
          </w:p>
        </w:tc>
        <w:tc>
          <w:tcPr>
            <w:tcW w:w="741" w:type="pct"/>
            <w:tcBorders>
              <w:top w:val="single" w:color="auto" w:sz="4" w:space="0"/>
              <w:bottom w:val="single" w:color="auto" w:sz="4" w:space="0"/>
            </w:tcBorders>
          </w:tcPr>
          <w:p w:rsidRPr="0063587B" w:rsidR="0063587B" w:rsidP="0063587B" w:rsidRDefault="0063587B" w14:paraId="03052F94" w14:textId="77777777">
            <w:pPr>
              <w:rPr>
                <w:sz w:val="22"/>
                <w:szCs w:val="22"/>
              </w:rPr>
            </w:pPr>
            <w:r w:rsidRPr="0063587B">
              <w:rPr>
                <w:sz w:val="22"/>
                <w:szCs w:val="22"/>
              </w:rPr>
              <w:t>1</w:t>
            </w:r>
          </w:p>
        </w:tc>
        <w:tc>
          <w:tcPr>
            <w:tcW w:w="546" w:type="pct"/>
            <w:tcBorders>
              <w:top w:val="single" w:color="auto" w:sz="4" w:space="0"/>
              <w:bottom w:val="single" w:color="auto" w:sz="4" w:space="0"/>
              <w:right w:val="single" w:color="auto" w:sz="4" w:space="0"/>
            </w:tcBorders>
          </w:tcPr>
          <w:p w:rsidRPr="0063587B" w:rsidR="0063587B" w:rsidP="0063587B" w:rsidRDefault="0063587B" w14:paraId="78FEE51A" w14:textId="77777777">
            <w:pPr>
              <w:rPr>
                <w:sz w:val="22"/>
                <w:szCs w:val="22"/>
              </w:rPr>
            </w:pPr>
            <w:r w:rsidRPr="0063587B">
              <w:rPr>
                <w:sz w:val="22"/>
                <w:szCs w:val="22"/>
              </w:rPr>
              <w:t>28</w:t>
            </w:r>
          </w:p>
        </w:tc>
      </w:tr>
      <w:tr w:rsidRPr="00177C1F" w:rsidR="0063587B" w:rsidTr="00DF5E31" w14:paraId="37613700" w14:textId="77777777">
        <w:trPr>
          <w:jc w:val="center"/>
        </w:trPr>
        <w:tc>
          <w:tcPr>
            <w:tcW w:w="728" w:type="pct"/>
            <w:tcBorders>
              <w:top w:val="single" w:color="auto" w:sz="4" w:space="0"/>
              <w:left w:val="single" w:color="auto" w:sz="4" w:space="0"/>
              <w:bottom w:val="single" w:color="auto" w:sz="4" w:space="0"/>
            </w:tcBorders>
          </w:tcPr>
          <w:p w:rsidRPr="0063587B" w:rsidR="0063587B" w:rsidP="0063587B" w:rsidRDefault="0063587B" w14:paraId="7D06A0B7" w14:textId="77777777">
            <w:pPr>
              <w:rPr>
                <w:bCs/>
                <w:sz w:val="22"/>
                <w:szCs w:val="22"/>
              </w:rPr>
            </w:pPr>
            <w:r w:rsidRPr="0063587B">
              <w:rPr>
                <w:bCs/>
                <w:sz w:val="22"/>
                <w:szCs w:val="22"/>
              </w:rPr>
              <w:t>Total</w:t>
            </w:r>
          </w:p>
        </w:tc>
        <w:tc>
          <w:tcPr>
            <w:tcW w:w="1401" w:type="pct"/>
            <w:tcBorders>
              <w:top w:val="single" w:color="auto" w:sz="4" w:space="0"/>
              <w:bottom w:val="single" w:color="auto" w:sz="4" w:space="0"/>
            </w:tcBorders>
          </w:tcPr>
          <w:p w:rsidRPr="0063587B" w:rsidR="0063587B" w:rsidP="0063587B" w:rsidRDefault="0063587B" w14:paraId="02508006" w14:textId="77777777">
            <w:pPr>
              <w:rPr>
                <w:sz w:val="22"/>
                <w:szCs w:val="22"/>
              </w:rPr>
            </w:pPr>
          </w:p>
        </w:tc>
        <w:tc>
          <w:tcPr>
            <w:tcW w:w="838" w:type="pct"/>
            <w:tcBorders>
              <w:top w:val="single" w:color="auto" w:sz="4" w:space="0"/>
              <w:bottom w:val="single" w:color="auto" w:sz="4" w:space="0"/>
            </w:tcBorders>
          </w:tcPr>
          <w:p w:rsidRPr="0063587B" w:rsidR="0063587B" w:rsidP="0063587B" w:rsidRDefault="0063587B" w14:paraId="654C1D40" w14:textId="77777777">
            <w:pPr>
              <w:rPr>
                <w:sz w:val="22"/>
                <w:szCs w:val="22"/>
              </w:rPr>
            </w:pPr>
          </w:p>
        </w:tc>
        <w:tc>
          <w:tcPr>
            <w:tcW w:w="746" w:type="pct"/>
            <w:tcBorders>
              <w:top w:val="single" w:color="auto" w:sz="4" w:space="0"/>
              <w:bottom w:val="single" w:color="auto" w:sz="4" w:space="0"/>
            </w:tcBorders>
          </w:tcPr>
          <w:p w:rsidRPr="0063587B" w:rsidR="0063587B" w:rsidP="0063587B" w:rsidRDefault="0063587B" w14:paraId="340B0D80" w14:textId="77777777">
            <w:pPr>
              <w:rPr>
                <w:sz w:val="22"/>
                <w:szCs w:val="22"/>
              </w:rPr>
            </w:pPr>
          </w:p>
        </w:tc>
        <w:tc>
          <w:tcPr>
            <w:tcW w:w="741" w:type="pct"/>
            <w:tcBorders>
              <w:top w:val="single" w:color="auto" w:sz="4" w:space="0"/>
              <w:bottom w:val="single" w:color="auto" w:sz="4" w:space="0"/>
            </w:tcBorders>
          </w:tcPr>
          <w:p w:rsidRPr="0063587B" w:rsidR="0063587B" w:rsidP="0063587B" w:rsidRDefault="0063587B" w14:paraId="2711AB89" w14:textId="77777777">
            <w:pPr>
              <w:rPr>
                <w:sz w:val="22"/>
                <w:szCs w:val="22"/>
              </w:rPr>
            </w:pPr>
          </w:p>
        </w:tc>
        <w:tc>
          <w:tcPr>
            <w:tcW w:w="546" w:type="pct"/>
            <w:tcBorders>
              <w:top w:val="single" w:color="auto" w:sz="4" w:space="0"/>
              <w:bottom w:val="single" w:color="auto" w:sz="4" w:space="0"/>
              <w:right w:val="single" w:color="auto" w:sz="4" w:space="0"/>
            </w:tcBorders>
          </w:tcPr>
          <w:p w:rsidRPr="0063587B" w:rsidR="0063587B" w:rsidP="0063587B" w:rsidRDefault="0063587B" w14:paraId="6BEE7DE9" w14:textId="77777777">
            <w:pPr>
              <w:rPr>
                <w:sz w:val="22"/>
                <w:szCs w:val="22"/>
              </w:rPr>
            </w:pPr>
            <w:r w:rsidRPr="0063587B">
              <w:rPr>
                <w:sz w:val="22"/>
                <w:szCs w:val="22"/>
              </w:rPr>
              <w:t>446</w:t>
            </w:r>
            <w:r w:rsidR="00434838">
              <w:rPr>
                <w:sz w:val="22"/>
                <w:szCs w:val="22"/>
              </w:rPr>
              <w:t>7</w:t>
            </w:r>
          </w:p>
        </w:tc>
      </w:tr>
    </w:tbl>
    <w:p w:rsidRPr="00177C1F" w:rsidR="00975D0A" w:rsidP="007F3FE5" w:rsidRDefault="00975D0A" w14:paraId="2787CF72" w14:textId="77777777">
      <w:pPr>
        <w:contextualSpacing/>
        <w:jc w:val="both"/>
      </w:pPr>
    </w:p>
    <w:p w:rsidRPr="00177C1F" w:rsidR="00975D0A" w:rsidP="007F3FE5" w:rsidRDefault="00975D0A" w14:paraId="202E1717" w14:textId="77777777">
      <w:pPr>
        <w:contextualSpacing/>
        <w:jc w:val="both"/>
      </w:pPr>
    </w:p>
    <w:p w:rsidRPr="00177C1F" w:rsidR="00BA550E" w:rsidP="007F3FE5" w:rsidRDefault="00793601" w14:paraId="23389C8F" w14:textId="77777777">
      <w:pPr>
        <w:widowControl/>
        <w:contextualSpacing/>
        <w:rPr>
          <w:bCs/>
        </w:rPr>
      </w:pPr>
      <w:r w:rsidRPr="00177C1F">
        <w:rPr>
          <w:bCs/>
        </w:rPr>
        <w:t xml:space="preserve">Estimated Annualized Burden Costs </w:t>
      </w:r>
    </w:p>
    <w:p w:rsidRPr="00177C1F" w:rsidR="00AE62F8" w:rsidP="007F3FE5" w:rsidRDefault="00AE62F8" w14:paraId="4DDACD33" w14:textId="77777777">
      <w:pPr>
        <w:widowControl/>
        <w:contextualSpacing/>
        <w:rPr>
          <w:bCs/>
        </w:rPr>
      </w:pPr>
    </w:p>
    <w:tbl>
      <w:tblPr>
        <w:tblW w:w="4079" w:type="pct"/>
        <w:jc w:val="center"/>
        <w:tblBorders>
          <w:top w:val="single" w:color="auto" w:sz="4" w:space="0"/>
          <w:bottom w:val="single" w:color="auto" w:sz="4" w:space="0"/>
          <w:insideV w:val="single" w:color="auto" w:sz="4" w:space="0"/>
        </w:tblBorders>
        <w:tblLayout w:type="fixed"/>
        <w:tblLook w:val="01E0" w:firstRow="1" w:lastRow="1" w:firstColumn="1" w:lastColumn="1" w:noHBand="0" w:noVBand="0"/>
      </w:tblPr>
      <w:tblGrid>
        <w:gridCol w:w="1399"/>
        <w:gridCol w:w="2607"/>
        <w:gridCol w:w="1030"/>
        <w:gridCol w:w="1030"/>
        <w:gridCol w:w="1562"/>
      </w:tblGrid>
      <w:tr w:rsidRPr="00177C1F" w:rsidR="00AE62F8" w:rsidTr="00AE62F8" w14:paraId="0C98A395" w14:textId="77777777">
        <w:trPr>
          <w:trHeight w:val="1277"/>
          <w:jc w:val="center"/>
        </w:trPr>
        <w:tc>
          <w:tcPr>
            <w:tcW w:w="917" w:type="pct"/>
            <w:tcBorders>
              <w:top w:val="single" w:color="auto" w:sz="4" w:space="0"/>
              <w:left w:val="single" w:color="auto" w:sz="4" w:space="0"/>
              <w:bottom w:val="single" w:color="auto" w:sz="4" w:space="0"/>
            </w:tcBorders>
            <w:vAlign w:val="center"/>
          </w:tcPr>
          <w:p w:rsidRPr="00177C1F" w:rsidR="00AE62F8" w:rsidP="00CC1A2C" w:rsidRDefault="00AE62F8" w14:paraId="5DFF00A8" w14:textId="77777777">
            <w:pPr>
              <w:numPr>
                <w:ilvl w:val="12"/>
                <w:numId w:val="0"/>
              </w:numPr>
              <w:rPr>
                <w:bCs/>
              </w:rPr>
            </w:pPr>
            <w:r w:rsidRPr="00177C1F">
              <w:rPr>
                <w:bCs/>
              </w:rPr>
              <w:t>Section</w:t>
            </w:r>
          </w:p>
        </w:tc>
        <w:tc>
          <w:tcPr>
            <w:tcW w:w="1709" w:type="pct"/>
            <w:tcBorders>
              <w:top w:val="single" w:color="auto" w:sz="4" w:space="0"/>
              <w:bottom w:val="single" w:color="auto" w:sz="4" w:space="0"/>
            </w:tcBorders>
            <w:vAlign w:val="center"/>
          </w:tcPr>
          <w:p w:rsidRPr="00177C1F" w:rsidR="00AE62F8" w:rsidP="00CC1A2C" w:rsidRDefault="00AE62F8" w14:paraId="1AC912C9" w14:textId="77777777">
            <w:pPr>
              <w:numPr>
                <w:ilvl w:val="12"/>
                <w:numId w:val="0"/>
              </w:numPr>
              <w:rPr>
                <w:bCs/>
              </w:rPr>
            </w:pPr>
            <w:r w:rsidRPr="00177C1F">
              <w:rPr>
                <w:bCs/>
              </w:rPr>
              <w:t>Form Name</w:t>
            </w:r>
          </w:p>
        </w:tc>
        <w:tc>
          <w:tcPr>
            <w:tcW w:w="675" w:type="pct"/>
            <w:tcBorders>
              <w:top w:val="single" w:color="auto" w:sz="4" w:space="0"/>
              <w:bottom w:val="single" w:color="auto" w:sz="4" w:space="0"/>
              <w:right w:val="single" w:color="auto" w:sz="4" w:space="0"/>
            </w:tcBorders>
            <w:vAlign w:val="center"/>
          </w:tcPr>
          <w:p w:rsidRPr="00177C1F" w:rsidR="00AE62F8" w:rsidP="00CC1A2C" w:rsidRDefault="00AE62F8" w14:paraId="2EE2761F" w14:textId="77777777">
            <w:pPr>
              <w:numPr>
                <w:ilvl w:val="12"/>
                <w:numId w:val="0"/>
              </w:numPr>
              <w:rPr>
                <w:bCs/>
              </w:rPr>
            </w:pPr>
            <w:r w:rsidRPr="00177C1F">
              <w:rPr>
                <w:bCs/>
              </w:rPr>
              <w:t>Total Burden Hours</w:t>
            </w:r>
          </w:p>
        </w:tc>
        <w:tc>
          <w:tcPr>
            <w:tcW w:w="675" w:type="pct"/>
            <w:tcBorders>
              <w:top w:val="single" w:color="auto" w:sz="4" w:space="0"/>
              <w:bottom w:val="single" w:color="auto" w:sz="4" w:space="0"/>
              <w:right w:val="single" w:color="auto" w:sz="4" w:space="0"/>
            </w:tcBorders>
          </w:tcPr>
          <w:p w:rsidRPr="00177C1F" w:rsidR="00AE62F8" w:rsidP="00CC1A2C" w:rsidRDefault="00AE62F8" w14:paraId="40DA5994" w14:textId="77777777">
            <w:pPr>
              <w:spacing w:after="264"/>
              <w:contextualSpacing/>
              <w:jc w:val="center"/>
            </w:pPr>
            <w:r w:rsidRPr="00177C1F">
              <w:t>Hourly Wage Rate</w:t>
            </w:r>
          </w:p>
          <w:p w:rsidRPr="00177C1F" w:rsidR="00AE62F8" w:rsidP="00CC1A2C" w:rsidRDefault="00AE62F8" w14:paraId="13AB6633" w14:textId="77777777">
            <w:pPr>
              <w:spacing w:after="264"/>
              <w:contextualSpacing/>
              <w:jc w:val="center"/>
            </w:pPr>
          </w:p>
        </w:tc>
        <w:tc>
          <w:tcPr>
            <w:tcW w:w="1024" w:type="pct"/>
            <w:tcBorders>
              <w:top w:val="single" w:color="auto" w:sz="4" w:space="0"/>
              <w:bottom w:val="single" w:color="auto" w:sz="4" w:space="0"/>
              <w:right w:val="single" w:color="auto" w:sz="4" w:space="0"/>
            </w:tcBorders>
          </w:tcPr>
          <w:p w:rsidRPr="00177C1F" w:rsidR="00AE62F8" w:rsidP="00CC1A2C" w:rsidRDefault="00AE62F8" w14:paraId="317C676E" w14:textId="77777777">
            <w:pPr>
              <w:spacing w:after="264"/>
              <w:contextualSpacing/>
              <w:jc w:val="center"/>
            </w:pPr>
            <w:r w:rsidRPr="00177C1F">
              <w:t>Total Respondent Cost</w:t>
            </w:r>
          </w:p>
        </w:tc>
      </w:tr>
      <w:tr w:rsidRPr="00177C1F" w:rsidR="00495833" w:rsidTr="00AE62F8" w14:paraId="0848B008" w14:textId="77777777">
        <w:trPr>
          <w:jc w:val="center"/>
        </w:trPr>
        <w:tc>
          <w:tcPr>
            <w:tcW w:w="917" w:type="pct"/>
            <w:tcBorders>
              <w:top w:val="single" w:color="auto" w:sz="4" w:space="0"/>
              <w:left w:val="single" w:color="auto" w:sz="4" w:space="0"/>
              <w:bottom w:val="single" w:color="auto" w:sz="4" w:space="0"/>
            </w:tcBorders>
          </w:tcPr>
          <w:p w:rsidRPr="0063587B" w:rsidR="00495833" w:rsidP="00495833" w:rsidRDefault="00495833" w14:paraId="56C83C95" w14:textId="77777777">
            <w:pPr>
              <w:rPr>
                <w:sz w:val="22"/>
                <w:szCs w:val="22"/>
              </w:rPr>
            </w:pPr>
            <w:r w:rsidRPr="0063587B">
              <w:rPr>
                <w:bCs/>
                <w:sz w:val="22"/>
                <w:szCs w:val="22"/>
              </w:rPr>
              <w:t>Sections 3 &amp; 4</w:t>
            </w:r>
          </w:p>
        </w:tc>
        <w:tc>
          <w:tcPr>
            <w:tcW w:w="1709" w:type="pct"/>
            <w:tcBorders>
              <w:top w:val="single" w:color="auto" w:sz="4" w:space="0"/>
              <w:bottom w:val="single" w:color="auto" w:sz="4" w:space="0"/>
            </w:tcBorders>
          </w:tcPr>
          <w:p w:rsidRPr="00177C1F" w:rsidR="00495833" w:rsidP="00495833" w:rsidRDefault="00495833" w14:paraId="5AC8F579" w14:textId="77777777">
            <w:r w:rsidRPr="00177C1F">
              <w:t>Request for Exclusions</w:t>
            </w:r>
          </w:p>
        </w:tc>
        <w:tc>
          <w:tcPr>
            <w:tcW w:w="675" w:type="pct"/>
            <w:tcBorders>
              <w:top w:val="single" w:color="auto" w:sz="4" w:space="0"/>
              <w:bottom w:val="single" w:color="auto" w:sz="4" w:space="0"/>
              <w:right w:val="single" w:color="auto" w:sz="4" w:space="0"/>
            </w:tcBorders>
          </w:tcPr>
          <w:p w:rsidRPr="0063587B" w:rsidR="00495833" w:rsidP="00495833" w:rsidRDefault="00495833" w14:paraId="6A7DF886" w14:textId="77777777">
            <w:pPr>
              <w:rPr>
                <w:sz w:val="22"/>
                <w:szCs w:val="22"/>
              </w:rPr>
            </w:pPr>
            <w:r w:rsidRPr="0063587B">
              <w:rPr>
                <w:sz w:val="22"/>
                <w:szCs w:val="22"/>
              </w:rPr>
              <w:t>1</w:t>
            </w:r>
          </w:p>
        </w:tc>
        <w:tc>
          <w:tcPr>
            <w:tcW w:w="675" w:type="pct"/>
            <w:tcBorders>
              <w:top w:val="single" w:color="auto" w:sz="4" w:space="0"/>
              <w:bottom w:val="single" w:color="auto" w:sz="4" w:space="0"/>
              <w:right w:val="single" w:color="auto" w:sz="4" w:space="0"/>
            </w:tcBorders>
          </w:tcPr>
          <w:p w:rsidRPr="00177C1F" w:rsidR="00495833" w:rsidP="00495833" w:rsidRDefault="00495833" w14:paraId="7DB41726" w14:textId="77777777">
            <w:r w:rsidRPr="00177C1F">
              <w:rPr>
                <w:bCs/>
              </w:rPr>
              <w:t>$3</w:t>
            </w:r>
            <w:r>
              <w:rPr>
                <w:bCs/>
              </w:rPr>
              <w:t>8</w:t>
            </w:r>
            <w:r w:rsidRPr="00177C1F">
              <w:rPr>
                <w:bCs/>
              </w:rPr>
              <w:t>.</w:t>
            </w:r>
            <w:r>
              <w:rPr>
                <w:bCs/>
              </w:rPr>
              <w:t>24</w:t>
            </w:r>
          </w:p>
        </w:tc>
        <w:tc>
          <w:tcPr>
            <w:tcW w:w="1024" w:type="pct"/>
            <w:tcBorders>
              <w:top w:val="single" w:color="auto" w:sz="4" w:space="0"/>
              <w:bottom w:val="single" w:color="auto" w:sz="4" w:space="0"/>
              <w:right w:val="single" w:color="auto" w:sz="4" w:space="0"/>
            </w:tcBorders>
            <w:vAlign w:val="bottom"/>
          </w:tcPr>
          <w:p w:rsidRPr="00177C1F" w:rsidR="00495833" w:rsidP="00495833" w:rsidRDefault="00495833" w14:paraId="00E91148" w14:textId="77777777">
            <w:pPr>
              <w:jc w:val="right"/>
            </w:pPr>
            <w:r w:rsidRPr="00177C1F">
              <w:rPr>
                <w:bCs/>
              </w:rPr>
              <w:t>$3</w:t>
            </w:r>
            <w:r>
              <w:rPr>
                <w:bCs/>
              </w:rPr>
              <w:t>8</w:t>
            </w:r>
            <w:r w:rsidRPr="00177C1F">
              <w:rPr>
                <w:bCs/>
              </w:rPr>
              <w:t>.</w:t>
            </w:r>
            <w:r>
              <w:rPr>
                <w:bCs/>
              </w:rPr>
              <w:t>24</w:t>
            </w:r>
          </w:p>
        </w:tc>
      </w:tr>
      <w:tr w:rsidRPr="00177C1F" w:rsidR="00495833" w:rsidTr="00AE62F8" w14:paraId="1CA98861" w14:textId="77777777">
        <w:trPr>
          <w:jc w:val="center"/>
        </w:trPr>
        <w:tc>
          <w:tcPr>
            <w:tcW w:w="917" w:type="pct"/>
            <w:tcBorders>
              <w:top w:val="single" w:color="auto" w:sz="4" w:space="0"/>
              <w:left w:val="single" w:color="auto" w:sz="4" w:space="0"/>
              <w:bottom w:val="single" w:color="auto" w:sz="4" w:space="0"/>
            </w:tcBorders>
          </w:tcPr>
          <w:p w:rsidRPr="0063587B" w:rsidR="00495833" w:rsidP="00495833" w:rsidRDefault="00495833" w14:paraId="6795D136" w14:textId="77777777">
            <w:pPr>
              <w:numPr>
                <w:ilvl w:val="12"/>
                <w:numId w:val="0"/>
              </w:numPr>
              <w:rPr>
                <w:sz w:val="22"/>
                <w:szCs w:val="22"/>
              </w:rPr>
            </w:pPr>
            <w:r w:rsidRPr="0063587B">
              <w:rPr>
                <w:bCs/>
                <w:sz w:val="22"/>
                <w:szCs w:val="22"/>
              </w:rPr>
              <w:t xml:space="preserve">Sections </w:t>
            </w:r>
            <w:r w:rsidRPr="0063587B">
              <w:rPr>
                <w:sz w:val="22"/>
                <w:szCs w:val="22"/>
              </w:rPr>
              <w:t xml:space="preserve">5 &amp; </w:t>
            </w:r>
            <w:r w:rsidRPr="0063587B">
              <w:rPr>
                <w:sz w:val="22"/>
                <w:szCs w:val="22"/>
              </w:rPr>
              <w:lastRenderedPageBreak/>
              <w:t>6</w:t>
            </w:r>
          </w:p>
        </w:tc>
        <w:tc>
          <w:tcPr>
            <w:tcW w:w="1709" w:type="pct"/>
            <w:tcBorders>
              <w:top w:val="single" w:color="auto" w:sz="4" w:space="0"/>
              <w:bottom w:val="single" w:color="auto" w:sz="4" w:space="0"/>
            </w:tcBorders>
          </w:tcPr>
          <w:p w:rsidRPr="00177C1F" w:rsidR="00495833" w:rsidP="00495833" w:rsidRDefault="00495833" w14:paraId="7987F3B2" w14:textId="77777777">
            <w:pPr>
              <w:numPr>
                <w:ilvl w:val="12"/>
                <w:numId w:val="0"/>
              </w:numPr>
            </w:pPr>
            <w:r w:rsidRPr="00177C1F">
              <w:lastRenderedPageBreak/>
              <w:t xml:space="preserve">Report of Identification </w:t>
            </w:r>
            <w:r w:rsidRPr="00177C1F">
              <w:lastRenderedPageBreak/>
              <w:t>of a Select Agent or Toxin</w:t>
            </w:r>
          </w:p>
        </w:tc>
        <w:tc>
          <w:tcPr>
            <w:tcW w:w="675" w:type="pct"/>
            <w:tcBorders>
              <w:top w:val="single" w:color="auto" w:sz="4" w:space="0"/>
              <w:bottom w:val="single" w:color="auto" w:sz="4" w:space="0"/>
              <w:right w:val="single" w:color="auto" w:sz="4" w:space="0"/>
            </w:tcBorders>
          </w:tcPr>
          <w:p w:rsidRPr="0063587B" w:rsidR="00495833" w:rsidP="00495833" w:rsidRDefault="00495833" w14:paraId="6F9CEB8C" w14:textId="77777777">
            <w:pPr>
              <w:numPr>
                <w:ilvl w:val="12"/>
                <w:numId w:val="0"/>
              </w:numPr>
              <w:rPr>
                <w:sz w:val="22"/>
                <w:szCs w:val="22"/>
              </w:rPr>
            </w:pPr>
            <w:r w:rsidRPr="0063587B">
              <w:rPr>
                <w:sz w:val="22"/>
                <w:szCs w:val="22"/>
              </w:rPr>
              <w:lastRenderedPageBreak/>
              <w:t>1,181</w:t>
            </w:r>
          </w:p>
        </w:tc>
        <w:tc>
          <w:tcPr>
            <w:tcW w:w="675" w:type="pct"/>
            <w:tcBorders>
              <w:top w:val="single" w:color="auto" w:sz="4" w:space="0"/>
              <w:bottom w:val="single" w:color="auto" w:sz="4" w:space="0"/>
              <w:right w:val="single" w:color="auto" w:sz="4" w:space="0"/>
            </w:tcBorders>
          </w:tcPr>
          <w:p w:rsidR="00495833" w:rsidP="00495833" w:rsidRDefault="00495833" w14:paraId="72054BAC" w14:textId="77777777">
            <w:r w:rsidRPr="004F1F2C">
              <w:rPr>
                <w:bCs/>
              </w:rPr>
              <w:t>$38.24</w:t>
            </w:r>
          </w:p>
        </w:tc>
        <w:tc>
          <w:tcPr>
            <w:tcW w:w="1024" w:type="pct"/>
            <w:tcBorders>
              <w:top w:val="single" w:color="auto" w:sz="4" w:space="0"/>
              <w:bottom w:val="single" w:color="auto" w:sz="4" w:space="0"/>
              <w:right w:val="single" w:color="auto" w:sz="4" w:space="0"/>
            </w:tcBorders>
            <w:vAlign w:val="bottom"/>
          </w:tcPr>
          <w:p w:rsidRPr="00177C1F" w:rsidR="00495833" w:rsidP="00495833" w:rsidRDefault="00495833" w14:paraId="50350264" w14:textId="77777777">
            <w:pPr>
              <w:jc w:val="right"/>
            </w:pPr>
            <w:r w:rsidRPr="00177C1F">
              <w:t>$</w:t>
            </w:r>
            <w:r>
              <w:t>45161.44</w:t>
            </w:r>
          </w:p>
        </w:tc>
      </w:tr>
      <w:tr w:rsidRPr="00177C1F" w:rsidR="00495833" w:rsidTr="00AE62F8" w14:paraId="676DFC61" w14:textId="77777777">
        <w:trPr>
          <w:jc w:val="center"/>
        </w:trPr>
        <w:tc>
          <w:tcPr>
            <w:tcW w:w="917" w:type="pct"/>
            <w:tcBorders>
              <w:top w:val="single" w:color="auto" w:sz="4" w:space="0"/>
              <w:left w:val="single" w:color="auto" w:sz="4" w:space="0"/>
              <w:bottom w:val="single" w:color="auto" w:sz="4" w:space="0"/>
            </w:tcBorders>
          </w:tcPr>
          <w:p w:rsidRPr="0063587B" w:rsidR="00495833" w:rsidP="00495833" w:rsidRDefault="00495833" w14:paraId="2EE1A0BF" w14:textId="77777777">
            <w:pPr>
              <w:rPr>
                <w:sz w:val="22"/>
                <w:szCs w:val="22"/>
              </w:rPr>
            </w:pPr>
            <w:r w:rsidRPr="0063587B">
              <w:rPr>
                <w:bCs/>
                <w:sz w:val="22"/>
                <w:szCs w:val="22"/>
              </w:rPr>
              <w:t xml:space="preserve">Sections </w:t>
            </w:r>
            <w:r w:rsidRPr="0063587B">
              <w:rPr>
                <w:sz w:val="22"/>
                <w:szCs w:val="22"/>
              </w:rPr>
              <w:t>5 &amp; 6</w:t>
            </w:r>
          </w:p>
        </w:tc>
        <w:tc>
          <w:tcPr>
            <w:tcW w:w="1709" w:type="pct"/>
            <w:tcBorders>
              <w:top w:val="single" w:color="auto" w:sz="4" w:space="0"/>
              <w:bottom w:val="single" w:color="auto" w:sz="4" w:space="0"/>
            </w:tcBorders>
          </w:tcPr>
          <w:p w:rsidRPr="00177C1F" w:rsidR="00495833" w:rsidP="00495833" w:rsidRDefault="00495833" w14:paraId="20E07902" w14:textId="77777777">
            <w:r w:rsidRPr="00177C1F">
              <w:t>Request of Exemption</w:t>
            </w:r>
          </w:p>
        </w:tc>
        <w:tc>
          <w:tcPr>
            <w:tcW w:w="675" w:type="pct"/>
            <w:tcBorders>
              <w:top w:val="single" w:color="auto" w:sz="4" w:space="0"/>
              <w:bottom w:val="single" w:color="auto" w:sz="4" w:space="0"/>
              <w:right w:val="single" w:color="auto" w:sz="4" w:space="0"/>
            </w:tcBorders>
          </w:tcPr>
          <w:p w:rsidRPr="0063587B" w:rsidR="00495833" w:rsidP="00495833" w:rsidRDefault="00495833" w14:paraId="5E8F0F5A" w14:textId="77777777">
            <w:pPr>
              <w:rPr>
                <w:sz w:val="22"/>
                <w:szCs w:val="22"/>
              </w:rPr>
            </w:pPr>
            <w:r w:rsidRPr="0063587B">
              <w:rPr>
                <w:sz w:val="22"/>
                <w:szCs w:val="22"/>
              </w:rPr>
              <w:t>1</w:t>
            </w:r>
          </w:p>
        </w:tc>
        <w:tc>
          <w:tcPr>
            <w:tcW w:w="675" w:type="pct"/>
            <w:tcBorders>
              <w:top w:val="single" w:color="auto" w:sz="4" w:space="0"/>
              <w:bottom w:val="single" w:color="auto" w:sz="4" w:space="0"/>
              <w:right w:val="single" w:color="auto" w:sz="4" w:space="0"/>
            </w:tcBorders>
          </w:tcPr>
          <w:p w:rsidR="00495833" w:rsidP="00495833" w:rsidRDefault="00495833" w14:paraId="314CD06E" w14:textId="77777777">
            <w:r w:rsidRPr="004F1F2C">
              <w:rPr>
                <w:bCs/>
              </w:rPr>
              <w:t>$38.24</w:t>
            </w:r>
          </w:p>
        </w:tc>
        <w:tc>
          <w:tcPr>
            <w:tcW w:w="1024" w:type="pct"/>
            <w:tcBorders>
              <w:top w:val="single" w:color="auto" w:sz="4" w:space="0"/>
              <w:bottom w:val="single" w:color="auto" w:sz="4" w:space="0"/>
              <w:right w:val="single" w:color="auto" w:sz="4" w:space="0"/>
            </w:tcBorders>
            <w:vAlign w:val="bottom"/>
          </w:tcPr>
          <w:p w:rsidRPr="00177C1F" w:rsidR="00495833" w:rsidP="00495833" w:rsidRDefault="00495833" w14:paraId="6AE4D28B" w14:textId="77777777">
            <w:pPr>
              <w:jc w:val="right"/>
            </w:pPr>
            <w:r w:rsidRPr="00177C1F">
              <w:rPr>
                <w:bCs/>
              </w:rPr>
              <w:t>$3</w:t>
            </w:r>
            <w:r>
              <w:rPr>
                <w:bCs/>
              </w:rPr>
              <w:t>8</w:t>
            </w:r>
            <w:r w:rsidRPr="00177C1F">
              <w:rPr>
                <w:bCs/>
              </w:rPr>
              <w:t>.</w:t>
            </w:r>
            <w:r>
              <w:rPr>
                <w:bCs/>
              </w:rPr>
              <w:t>24</w:t>
            </w:r>
          </w:p>
        </w:tc>
      </w:tr>
      <w:tr w:rsidRPr="00177C1F" w:rsidR="00495833" w:rsidTr="00AE62F8" w14:paraId="2F6D10F2" w14:textId="77777777">
        <w:trPr>
          <w:jc w:val="center"/>
        </w:trPr>
        <w:tc>
          <w:tcPr>
            <w:tcW w:w="917" w:type="pct"/>
            <w:tcBorders>
              <w:top w:val="single" w:color="auto" w:sz="4" w:space="0"/>
              <w:left w:val="single" w:color="auto" w:sz="4" w:space="0"/>
              <w:bottom w:val="single" w:color="auto" w:sz="4" w:space="0"/>
            </w:tcBorders>
          </w:tcPr>
          <w:p w:rsidRPr="0063587B" w:rsidR="00495833" w:rsidP="00495833" w:rsidRDefault="00495833" w14:paraId="01780602" w14:textId="77777777">
            <w:pPr>
              <w:numPr>
                <w:ilvl w:val="12"/>
                <w:numId w:val="0"/>
              </w:numPr>
              <w:rPr>
                <w:sz w:val="22"/>
                <w:szCs w:val="22"/>
              </w:rPr>
            </w:pPr>
            <w:r w:rsidRPr="0063587B">
              <w:rPr>
                <w:sz w:val="22"/>
                <w:szCs w:val="22"/>
              </w:rPr>
              <w:t>Section 7</w:t>
            </w:r>
          </w:p>
        </w:tc>
        <w:tc>
          <w:tcPr>
            <w:tcW w:w="1709" w:type="pct"/>
            <w:tcBorders>
              <w:top w:val="single" w:color="auto" w:sz="4" w:space="0"/>
              <w:bottom w:val="single" w:color="auto" w:sz="4" w:space="0"/>
            </w:tcBorders>
          </w:tcPr>
          <w:p w:rsidRPr="00177C1F" w:rsidR="00495833" w:rsidP="00495833" w:rsidRDefault="00495833" w14:paraId="748B3C5C" w14:textId="77777777">
            <w:pPr>
              <w:numPr>
                <w:ilvl w:val="12"/>
                <w:numId w:val="0"/>
              </w:numPr>
            </w:pPr>
            <w:r w:rsidRPr="00177C1F">
              <w:t>Application for Registration</w:t>
            </w:r>
          </w:p>
        </w:tc>
        <w:tc>
          <w:tcPr>
            <w:tcW w:w="675" w:type="pct"/>
            <w:tcBorders>
              <w:top w:val="single" w:color="auto" w:sz="4" w:space="0"/>
              <w:bottom w:val="single" w:color="auto" w:sz="4" w:space="0"/>
              <w:right w:val="single" w:color="auto" w:sz="4" w:space="0"/>
            </w:tcBorders>
          </w:tcPr>
          <w:p w:rsidRPr="0063587B" w:rsidR="00495833" w:rsidP="00495833" w:rsidRDefault="00E553C6" w14:paraId="1C979A20" w14:textId="77777777">
            <w:pPr>
              <w:numPr>
                <w:ilvl w:val="12"/>
                <w:numId w:val="0"/>
              </w:numPr>
              <w:rPr>
                <w:sz w:val="22"/>
                <w:szCs w:val="22"/>
              </w:rPr>
            </w:pPr>
            <w:r>
              <w:rPr>
                <w:sz w:val="22"/>
                <w:szCs w:val="22"/>
              </w:rPr>
              <w:t>15</w:t>
            </w:r>
          </w:p>
        </w:tc>
        <w:tc>
          <w:tcPr>
            <w:tcW w:w="675" w:type="pct"/>
            <w:tcBorders>
              <w:top w:val="single" w:color="auto" w:sz="4" w:space="0"/>
              <w:bottom w:val="single" w:color="auto" w:sz="4" w:space="0"/>
              <w:right w:val="single" w:color="auto" w:sz="4" w:space="0"/>
            </w:tcBorders>
          </w:tcPr>
          <w:p w:rsidR="00495833" w:rsidP="00495833" w:rsidRDefault="00495833" w14:paraId="7F0070A6" w14:textId="77777777">
            <w:r w:rsidRPr="004F1F2C">
              <w:rPr>
                <w:bCs/>
              </w:rPr>
              <w:t>$38.24</w:t>
            </w:r>
          </w:p>
        </w:tc>
        <w:tc>
          <w:tcPr>
            <w:tcW w:w="1024" w:type="pct"/>
            <w:tcBorders>
              <w:top w:val="single" w:color="auto" w:sz="4" w:space="0"/>
              <w:bottom w:val="single" w:color="auto" w:sz="4" w:space="0"/>
              <w:right w:val="single" w:color="auto" w:sz="4" w:space="0"/>
            </w:tcBorders>
            <w:vAlign w:val="bottom"/>
          </w:tcPr>
          <w:p w:rsidRPr="00177C1F" w:rsidR="00495833" w:rsidP="00495833" w:rsidRDefault="00E553C6" w14:paraId="4EEE84E4" w14:textId="77777777">
            <w:pPr>
              <w:jc w:val="right"/>
            </w:pPr>
            <w:r>
              <w:t>$</w:t>
            </w:r>
            <w:r w:rsidR="00FA31CE">
              <w:t>573.60</w:t>
            </w:r>
          </w:p>
        </w:tc>
      </w:tr>
      <w:tr w:rsidRPr="00177C1F" w:rsidR="00495833" w:rsidTr="00AE62F8" w14:paraId="129C72FE" w14:textId="77777777">
        <w:trPr>
          <w:jc w:val="center"/>
        </w:trPr>
        <w:tc>
          <w:tcPr>
            <w:tcW w:w="917" w:type="pct"/>
            <w:tcBorders>
              <w:top w:val="single" w:color="auto" w:sz="4" w:space="0"/>
              <w:left w:val="single" w:color="auto" w:sz="4" w:space="0"/>
              <w:bottom w:val="single" w:color="auto" w:sz="4" w:space="0"/>
            </w:tcBorders>
          </w:tcPr>
          <w:p w:rsidRPr="0063587B" w:rsidR="00495833" w:rsidP="00495833" w:rsidRDefault="00495833" w14:paraId="062FDFE5" w14:textId="77777777">
            <w:pPr>
              <w:numPr>
                <w:ilvl w:val="12"/>
                <w:numId w:val="0"/>
              </w:numPr>
              <w:rPr>
                <w:sz w:val="22"/>
                <w:szCs w:val="22"/>
              </w:rPr>
            </w:pPr>
            <w:r w:rsidRPr="0063587B">
              <w:rPr>
                <w:sz w:val="22"/>
                <w:szCs w:val="22"/>
              </w:rPr>
              <w:t>Section 7</w:t>
            </w:r>
          </w:p>
        </w:tc>
        <w:tc>
          <w:tcPr>
            <w:tcW w:w="1709" w:type="pct"/>
            <w:tcBorders>
              <w:top w:val="single" w:color="auto" w:sz="4" w:space="0"/>
              <w:bottom w:val="single" w:color="auto" w:sz="4" w:space="0"/>
            </w:tcBorders>
          </w:tcPr>
          <w:p w:rsidRPr="00177C1F" w:rsidR="00495833" w:rsidP="00495833" w:rsidRDefault="00495833" w14:paraId="75AD0EB5" w14:textId="77777777">
            <w:pPr>
              <w:numPr>
                <w:ilvl w:val="12"/>
                <w:numId w:val="0"/>
              </w:numPr>
            </w:pPr>
            <w:r w:rsidRPr="00177C1F">
              <w:t>Amendment to a Certificate of Registration</w:t>
            </w:r>
          </w:p>
        </w:tc>
        <w:tc>
          <w:tcPr>
            <w:tcW w:w="675" w:type="pct"/>
            <w:tcBorders>
              <w:top w:val="single" w:color="auto" w:sz="4" w:space="0"/>
              <w:bottom w:val="single" w:color="auto" w:sz="4" w:space="0"/>
              <w:right w:val="single" w:color="auto" w:sz="4" w:space="0"/>
            </w:tcBorders>
          </w:tcPr>
          <w:p w:rsidRPr="0063587B" w:rsidR="00495833" w:rsidP="00495833" w:rsidRDefault="00E553C6" w14:paraId="0B1A30A4" w14:textId="77777777">
            <w:pPr>
              <w:numPr>
                <w:ilvl w:val="12"/>
                <w:numId w:val="0"/>
              </w:numPr>
              <w:rPr>
                <w:sz w:val="22"/>
                <w:szCs w:val="22"/>
              </w:rPr>
            </w:pPr>
            <w:r>
              <w:rPr>
                <w:sz w:val="22"/>
                <w:szCs w:val="22"/>
              </w:rPr>
              <w:t>1,265</w:t>
            </w:r>
          </w:p>
        </w:tc>
        <w:tc>
          <w:tcPr>
            <w:tcW w:w="675" w:type="pct"/>
            <w:tcBorders>
              <w:top w:val="single" w:color="auto" w:sz="4" w:space="0"/>
              <w:bottom w:val="single" w:color="auto" w:sz="4" w:space="0"/>
              <w:right w:val="single" w:color="auto" w:sz="4" w:space="0"/>
            </w:tcBorders>
          </w:tcPr>
          <w:p w:rsidR="00495833" w:rsidP="00495833" w:rsidRDefault="00495833" w14:paraId="06C8B2DD" w14:textId="77777777">
            <w:r w:rsidRPr="004F1F2C">
              <w:rPr>
                <w:bCs/>
              </w:rPr>
              <w:t>$38.24</w:t>
            </w:r>
          </w:p>
        </w:tc>
        <w:tc>
          <w:tcPr>
            <w:tcW w:w="1024" w:type="pct"/>
            <w:tcBorders>
              <w:top w:val="single" w:color="auto" w:sz="4" w:space="0"/>
              <w:bottom w:val="single" w:color="auto" w:sz="4" w:space="0"/>
              <w:right w:val="single" w:color="auto" w:sz="4" w:space="0"/>
            </w:tcBorders>
            <w:vAlign w:val="bottom"/>
          </w:tcPr>
          <w:p w:rsidRPr="00177C1F" w:rsidR="00495833" w:rsidP="00E553C6" w:rsidRDefault="00495833" w14:paraId="5C826D00" w14:textId="77777777">
            <w:pPr>
              <w:jc w:val="right"/>
            </w:pPr>
            <w:r w:rsidRPr="00177C1F">
              <w:t>$</w:t>
            </w:r>
            <w:r w:rsidR="00FA31CE">
              <w:t>48,373.60</w:t>
            </w:r>
            <w:r w:rsidRPr="00177C1F">
              <w:t xml:space="preserve"> </w:t>
            </w:r>
          </w:p>
        </w:tc>
      </w:tr>
      <w:tr w:rsidRPr="00177C1F" w:rsidR="00495833" w:rsidTr="00AE62F8" w14:paraId="0E456F8E" w14:textId="77777777">
        <w:trPr>
          <w:jc w:val="center"/>
        </w:trPr>
        <w:tc>
          <w:tcPr>
            <w:tcW w:w="917" w:type="pct"/>
            <w:tcBorders>
              <w:top w:val="single" w:color="auto" w:sz="4" w:space="0"/>
              <w:left w:val="single" w:color="auto" w:sz="4" w:space="0"/>
              <w:bottom w:val="single" w:color="auto" w:sz="4" w:space="0"/>
            </w:tcBorders>
          </w:tcPr>
          <w:p w:rsidRPr="0063587B" w:rsidR="00495833" w:rsidP="00495833" w:rsidRDefault="00495833" w14:paraId="16F43386" w14:textId="77777777">
            <w:pPr>
              <w:rPr>
                <w:sz w:val="22"/>
                <w:szCs w:val="22"/>
              </w:rPr>
            </w:pPr>
            <w:r w:rsidRPr="0063587B">
              <w:rPr>
                <w:sz w:val="22"/>
                <w:szCs w:val="22"/>
              </w:rPr>
              <w:t>Section</w:t>
            </w:r>
            <w:r w:rsidRPr="0063587B">
              <w:rPr>
                <w:bCs/>
                <w:sz w:val="22"/>
                <w:szCs w:val="22"/>
              </w:rPr>
              <w:t xml:space="preserve"> 9</w:t>
            </w:r>
          </w:p>
        </w:tc>
        <w:tc>
          <w:tcPr>
            <w:tcW w:w="1709" w:type="pct"/>
            <w:tcBorders>
              <w:top w:val="single" w:color="auto" w:sz="4" w:space="0"/>
              <w:bottom w:val="single" w:color="auto" w:sz="4" w:space="0"/>
            </w:tcBorders>
          </w:tcPr>
          <w:p w:rsidRPr="00177C1F" w:rsidR="00495833" w:rsidP="00495833" w:rsidRDefault="00495833" w14:paraId="31694677" w14:textId="77777777">
            <w:r w:rsidRPr="00177C1F">
              <w:t xml:space="preserve">Documentation </w:t>
            </w:r>
            <w:proofErr w:type="gramStart"/>
            <w:r w:rsidRPr="00177C1F">
              <w:t>of  self</w:t>
            </w:r>
            <w:proofErr w:type="gramEnd"/>
            <w:r w:rsidRPr="00177C1F">
              <w:t>-inspection</w:t>
            </w:r>
          </w:p>
        </w:tc>
        <w:tc>
          <w:tcPr>
            <w:tcW w:w="675" w:type="pct"/>
            <w:tcBorders>
              <w:top w:val="single" w:color="auto" w:sz="4" w:space="0"/>
              <w:bottom w:val="single" w:color="auto" w:sz="4" w:space="0"/>
              <w:right w:val="single" w:color="auto" w:sz="4" w:space="0"/>
            </w:tcBorders>
          </w:tcPr>
          <w:p w:rsidRPr="0063587B" w:rsidR="00495833" w:rsidP="00495833" w:rsidRDefault="00495833" w14:paraId="2EC11235" w14:textId="77777777">
            <w:pPr>
              <w:rPr>
                <w:sz w:val="22"/>
                <w:szCs w:val="22"/>
              </w:rPr>
            </w:pPr>
            <w:r w:rsidRPr="0063587B">
              <w:rPr>
                <w:sz w:val="22"/>
                <w:szCs w:val="22"/>
              </w:rPr>
              <w:t>253</w:t>
            </w:r>
          </w:p>
        </w:tc>
        <w:tc>
          <w:tcPr>
            <w:tcW w:w="675" w:type="pct"/>
            <w:tcBorders>
              <w:top w:val="single" w:color="auto" w:sz="4" w:space="0"/>
              <w:bottom w:val="single" w:color="auto" w:sz="4" w:space="0"/>
              <w:right w:val="single" w:color="auto" w:sz="4" w:space="0"/>
            </w:tcBorders>
          </w:tcPr>
          <w:p w:rsidR="00495833" w:rsidP="00495833" w:rsidRDefault="00495833" w14:paraId="3FE43FF7" w14:textId="77777777">
            <w:r w:rsidRPr="004F1F2C">
              <w:rPr>
                <w:bCs/>
              </w:rPr>
              <w:t>$38.24</w:t>
            </w:r>
          </w:p>
        </w:tc>
        <w:tc>
          <w:tcPr>
            <w:tcW w:w="1024" w:type="pct"/>
            <w:tcBorders>
              <w:top w:val="single" w:color="auto" w:sz="4" w:space="0"/>
              <w:bottom w:val="single" w:color="auto" w:sz="4" w:space="0"/>
              <w:right w:val="single" w:color="auto" w:sz="4" w:space="0"/>
            </w:tcBorders>
            <w:vAlign w:val="bottom"/>
          </w:tcPr>
          <w:p w:rsidRPr="00177C1F" w:rsidR="00495833" w:rsidP="00495833" w:rsidRDefault="00495833" w14:paraId="3276AFDD" w14:textId="77777777">
            <w:pPr>
              <w:jc w:val="right"/>
            </w:pPr>
            <w:r w:rsidRPr="00177C1F">
              <w:t>$</w:t>
            </w:r>
            <w:r>
              <w:t>9,674.72</w:t>
            </w:r>
          </w:p>
        </w:tc>
      </w:tr>
      <w:tr w:rsidRPr="00177C1F" w:rsidR="00495833" w:rsidTr="00AE62F8" w14:paraId="6B736587" w14:textId="77777777">
        <w:trPr>
          <w:jc w:val="center"/>
        </w:trPr>
        <w:tc>
          <w:tcPr>
            <w:tcW w:w="917" w:type="pct"/>
            <w:tcBorders>
              <w:top w:val="single" w:color="auto" w:sz="4" w:space="0"/>
              <w:left w:val="single" w:color="auto" w:sz="4" w:space="0"/>
              <w:bottom w:val="single" w:color="auto" w:sz="4" w:space="0"/>
            </w:tcBorders>
          </w:tcPr>
          <w:p w:rsidRPr="0063587B" w:rsidR="00495833" w:rsidP="00495833" w:rsidRDefault="00495833" w14:paraId="18D54BE4" w14:textId="77777777">
            <w:pPr>
              <w:rPr>
                <w:sz w:val="22"/>
                <w:szCs w:val="22"/>
              </w:rPr>
            </w:pPr>
            <w:r w:rsidRPr="0063587B">
              <w:rPr>
                <w:sz w:val="22"/>
                <w:szCs w:val="22"/>
              </w:rPr>
              <w:t>Section</w:t>
            </w:r>
            <w:r w:rsidRPr="0063587B">
              <w:rPr>
                <w:bCs/>
                <w:sz w:val="22"/>
                <w:szCs w:val="22"/>
              </w:rPr>
              <w:t xml:space="preserve"> 10</w:t>
            </w:r>
          </w:p>
        </w:tc>
        <w:tc>
          <w:tcPr>
            <w:tcW w:w="1709" w:type="pct"/>
            <w:tcBorders>
              <w:top w:val="single" w:color="auto" w:sz="4" w:space="0"/>
              <w:bottom w:val="single" w:color="auto" w:sz="4" w:space="0"/>
            </w:tcBorders>
          </w:tcPr>
          <w:p w:rsidRPr="00177C1F" w:rsidR="00495833" w:rsidP="00495833" w:rsidRDefault="00495833" w14:paraId="49CD313C" w14:textId="77777777">
            <w:r w:rsidRPr="00177C1F">
              <w:t>Request for Expedited Review</w:t>
            </w:r>
          </w:p>
        </w:tc>
        <w:tc>
          <w:tcPr>
            <w:tcW w:w="675" w:type="pct"/>
            <w:tcBorders>
              <w:top w:val="single" w:color="auto" w:sz="4" w:space="0"/>
              <w:bottom w:val="single" w:color="auto" w:sz="4" w:space="0"/>
              <w:right w:val="single" w:color="auto" w:sz="4" w:space="0"/>
            </w:tcBorders>
          </w:tcPr>
          <w:p w:rsidRPr="0063587B" w:rsidR="00495833" w:rsidP="00495833" w:rsidRDefault="00495833" w14:paraId="5FE6A89B" w14:textId="77777777">
            <w:pPr>
              <w:rPr>
                <w:sz w:val="22"/>
                <w:szCs w:val="22"/>
              </w:rPr>
            </w:pPr>
            <w:r w:rsidRPr="0063587B">
              <w:rPr>
                <w:sz w:val="22"/>
                <w:szCs w:val="22"/>
              </w:rPr>
              <w:t>1</w:t>
            </w:r>
          </w:p>
        </w:tc>
        <w:tc>
          <w:tcPr>
            <w:tcW w:w="675" w:type="pct"/>
            <w:tcBorders>
              <w:top w:val="single" w:color="auto" w:sz="4" w:space="0"/>
              <w:bottom w:val="single" w:color="auto" w:sz="4" w:space="0"/>
              <w:right w:val="single" w:color="auto" w:sz="4" w:space="0"/>
            </w:tcBorders>
          </w:tcPr>
          <w:p w:rsidR="00495833" w:rsidP="00495833" w:rsidRDefault="00495833" w14:paraId="2EDF2C09" w14:textId="77777777">
            <w:r w:rsidRPr="004F1F2C">
              <w:rPr>
                <w:bCs/>
              </w:rPr>
              <w:t>$38.24</w:t>
            </w:r>
          </w:p>
        </w:tc>
        <w:tc>
          <w:tcPr>
            <w:tcW w:w="1024" w:type="pct"/>
            <w:tcBorders>
              <w:top w:val="single" w:color="auto" w:sz="4" w:space="0"/>
              <w:bottom w:val="single" w:color="auto" w:sz="4" w:space="0"/>
              <w:right w:val="single" w:color="auto" w:sz="4" w:space="0"/>
            </w:tcBorders>
            <w:vAlign w:val="bottom"/>
          </w:tcPr>
          <w:p w:rsidRPr="00177C1F" w:rsidR="00495833" w:rsidP="00495833" w:rsidRDefault="00495833" w14:paraId="42A9140F" w14:textId="77777777">
            <w:pPr>
              <w:jc w:val="right"/>
            </w:pPr>
            <w:r w:rsidRPr="00177C1F">
              <w:t>$</w:t>
            </w:r>
            <w:r>
              <w:t>38.24</w:t>
            </w:r>
            <w:r w:rsidRPr="00177C1F">
              <w:t xml:space="preserve"> </w:t>
            </w:r>
          </w:p>
        </w:tc>
      </w:tr>
      <w:tr w:rsidRPr="00177C1F" w:rsidR="00495833" w:rsidTr="00AE62F8" w14:paraId="383FD577" w14:textId="77777777">
        <w:trPr>
          <w:jc w:val="center"/>
        </w:trPr>
        <w:tc>
          <w:tcPr>
            <w:tcW w:w="917" w:type="pct"/>
            <w:tcBorders>
              <w:top w:val="single" w:color="auto" w:sz="4" w:space="0"/>
              <w:left w:val="single" w:color="auto" w:sz="4" w:space="0"/>
              <w:bottom w:val="single" w:color="auto" w:sz="4" w:space="0"/>
            </w:tcBorders>
          </w:tcPr>
          <w:p w:rsidRPr="0063587B" w:rsidR="00495833" w:rsidP="00495833" w:rsidRDefault="00495833" w14:paraId="450AE354" w14:textId="77777777">
            <w:pPr>
              <w:numPr>
                <w:ilvl w:val="12"/>
                <w:numId w:val="0"/>
              </w:numPr>
              <w:rPr>
                <w:sz w:val="22"/>
                <w:szCs w:val="22"/>
              </w:rPr>
            </w:pPr>
            <w:r w:rsidRPr="0063587B">
              <w:rPr>
                <w:sz w:val="22"/>
                <w:szCs w:val="22"/>
              </w:rPr>
              <w:t>Section 11</w:t>
            </w:r>
          </w:p>
        </w:tc>
        <w:tc>
          <w:tcPr>
            <w:tcW w:w="1709" w:type="pct"/>
            <w:tcBorders>
              <w:top w:val="single" w:color="auto" w:sz="4" w:space="0"/>
              <w:bottom w:val="single" w:color="auto" w:sz="4" w:space="0"/>
            </w:tcBorders>
          </w:tcPr>
          <w:p w:rsidRPr="00177C1F" w:rsidR="00495833" w:rsidP="00495833" w:rsidRDefault="00495833" w14:paraId="4DBFEDF3" w14:textId="77777777">
            <w:pPr>
              <w:numPr>
                <w:ilvl w:val="12"/>
                <w:numId w:val="0"/>
              </w:numPr>
            </w:pPr>
            <w:r w:rsidRPr="00177C1F">
              <w:t>Security Plan</w:t>
            </w:r>
          </w:p>
        </w:tc>
        <w:tc>
          <w:tcPr>
            <w:tcW w:w="675" w:type="pct"/>
            <w:tcBorders>
              <w:top w:val="single" w:color="auto" w:sz="4" w:space="0"/>
              <w:bottom w:val="single" w:color="auto" w:sz="4" w:space="0"/>
              <w:right w:val="single" w:color="auto" w:sz="4" w:space="0"/>
            </w:tcBorders>
          </w:tcPr>
          <w:p w:rsidRPr="0063587B" w:rsidR="00495833" w:rsidP="00495833" w:rsidRDefault="00495833" w14:paraId="57185459" w14:textId="77777777">
            <w:pPr>
              <w:numPr>
                <w:ilvl w:val="12"/>
                <w:numId w:val="0"/>
              </w:numPr>
              <w:tabs>
                <w:tab w:val="center" w:pos="4680"/>
                <w:tab w:val="right" w:pos="9360"/>
              </w:tabs>
              <w:rPr>
                <w:sz w:val="22"/>
                <w:szCs w:val="22"/>
              </w:rPr>
            </w:pPr>
            <w:r w:rsidRPr="0063587B">
              <w:rPr>
                <w:sz w:val="22"/>
                <w:szCs w:val="22"/>
              </w:rPr>
              <w:t>253</w:t>
            </w:r>
          </w:p>
        </w:tc>
        <w:tc>
          <w:tcPr>
            <w:tcW w:w="675" w:type="pct"/>
            <w:tcBorders>
              <w:top w:val="single" w:color="auto" w:sz="4" w:space="0"/>
              <w:bottom w:val="single" w:color="auto" w:sz="4" w:space="0"/>
              <w:right w:val="single" w:color="auto" w:sz="4" w:space="0"/>
            </w:tcBorders>
          </w:tcPr>
          <w:p w:rsidR="00495833" w:rsidP="00495833" w:rsidRDefault="00495833" w14:paraId="5B68C8B3" w14:textId="77777777">
            <w:r w:rsidRPr="004F1F2C">
              <w:rPr>
                <w:bCs/>
              </w:rPr>
              <w:t>$38.24</w:t>
            </w:r>
          </w:p>
        </w:tc>
        <w:tc>
          <w:tcPr>
            <w:tcW w:w="1024" w:type="pct"/>
            <w:tcBorders>
              <w:top w:val="single" w:color="auto" w:sz="4" w:space="0"/>
              <w:bottom w:val="single" w:color="auto" w:sz="4" w:space="0"/>
              <w:right w:val="single" w:color="auto" w:sz="4" w:space="0"/>
            </w:tcBorders>
            <w:vAlign w:val="bottom"/>
          </w:tcPr>
          <w:p w:rsidRPr="00177C1F" w:rsidR="00495833" w:rsidP="00495833" w:rsidRDefault="00495833" w14:paraId="5DE86A38" w14:textId="77777777">
            <w:pPr>
              <w:jc w:val="right"/>
            </w:pPr>
            <w:r w:rsidRPr="00177C1F">
              <w:t>$</w:t>
            </w:r>
            <w:r>
              <w:t>9,674.72</w:t>
            </w:r>
          </w:p>
        </w:tc>
      </w:tr>
      <w:tr w:rsidRPr="00177C1F" w:rsidR="00495833" w:rsidTr="00AE62F8" w14:paraId="4DA33434" w14:textId="77777777">
        <w:trPr>
          <w:jc w:val="center"/>
        </w:trPr>
        <w:tc>
          <w:tcPr>
            <w:tcW w:w="917" w:type="pct"/>
            <w:tcBorders>
              <w:top w:val="single" w:color="auto" w:sz="4" w:space="0"/>
              <w:left w:val="single" w:color="auto" w:sz="4" w:space="0"/>
              <w:bottom w:val="single" w:color="auto" w:sz="4" w:space="0"/>
            </w:tcBorders>
          </w:tcPr>
          <w:p w:rsidRPr="0063587B" w:rsidR="00495833" w:rsidP="00495833" w:rsidRDefault="00495833" w14:paraId="03ECF806" w14:textId="77777777">
            <w:pPr>
              <w:keepNext/>
              <w:keepLines/>
              <w:numPr>
                <w:ilvl w:val="12"/>
                <w:numId w:val="0"/>
              </w:numPr>
              <w:tabs>
                <w:tab w:val="center" w:pos="4680"/>
                <w:tab w:val="right" w:pos="9360"/>
              </w:tabs>
              <w:spacing w:before="200"/>
              <w:outlineLvl w:val="2"/>
              <w:rPr>
                <w:sz w:val="22"/>
                <w:szCs w:val="22"/>
              </w:rPr>
            </w:pPr>
            <w:r w:rsidRPr="0063587B">
              <w:rPr>
                <w:sz w:val="22"/>
                <w:szCs w:val="22"/>
              </w:rPr>
              <w:t>Section 12</w:t>
            </w:r>
          </w:p>
        </w:tc>
        <w:tc>
          <w:tcPr>
            <w:tcW w:w="1709" w:type="pct"/>
            <w:tcBorders>
              <w:top w:val="single" w:color="auto" w:sz="4" w:space="0"/>
              <w:bottom w:val="single" w:color="auto" w:sz="4" w:space="0"/>
            </w:tcBorders>
          </w:tcPr>
          <w:p w:rsidRPr="00177C1F" w:rsidR="00495833" w:rsidP="00495833" w:rsidRDefault="00495833" w14:paraId="34F39DBA" w14:textId="77777777">
            <w:pPr>
              <w:keepNext/>
              <w:keepLines/>
              <w:numPr>
                <w:ilvl w:val="12"/>
                <w:numId w:val="0"/>
              </w:numPr>
              <w:tabs>
                <w:tab w:val="center" w:pos="4680"/>
                <w:tab w:val="right" w:pos="9360"/>
              </w:tabs>
              <w:spacing w:before="200"/>
              <w:outlineLvl w:val="2"/>
            </w:pPr>
            <w:r w:rsidRPr="00177C1F">
              <w:t>Biosafety Plan</w:t>
            </w:r>
          </w:p>
        </w:tc>
        <w:tc>
          <w:tcPr>
            <w:tcW w:w="675" w:type="pct"/>
            <w:tcBorders>
              <w:top w:val="single" w:color="auto" w:sz="4" w:space="0"/>
              <w:bottom w:val="single" w:color="auto" w:sz="4" w:space="0"/>
              <w:right w:val="single" w:color="auto" w:sz="4" w:space="0"/>
            </w:tcBorders>
          </w:tcPr>
          <w:p w:rsidRPr="0063587B" w:rsidR="00495833" w:rsidP="00495833" w:rsidRDefault="00495833" w14:paraId="00F6AE1C" w14:textId="77777777">
            <w:pPr>
              <w:keepNext/>
              <w:keepLines/>
              <w:numPr>
                <w:ilvl w:val="12"/>
                <w:numId w:val="0"/>
              </w:numPr>
              <w:tabs>
                <w:tab w:val="center" w:pos="4680"/>
                <w:tab w:val="right" w:pos="9360"/>
              </w:tabs>
              <w:spacing w:before="200"/>
              <w:outlineLvl w:val="2"/>
              <w:rPr>
                <w:sz w:val="22"/>
                <w:szCs w:val="22"/>
              </w:rPr>
            </w:pPr>
            <w:r w:rsidRPr="0063587B">
              <w:rPr>
                <w:sz w:val="22"/>
                <w:szCs w:val="22"/>
              </w:rPr>
              <w:t>253</w:t>
            </w:r>
          </w:p>
        </w:tc>
        <w:tc>
          <w:tcPr>
            <w:tcW w:w="675" w:type="pct"/>
            <w:tcBorders>
              <w:top w:val="single" w:color="auto" w:sz="4" w:space="0"/>
              <w:bottom w:val="single" w:color="auto" w:sz="4" w:space="0"/>
              <w:right w:val="single" w:color="auto" w:sz="4" w:space="0"/>
            </w:tcBorders>
          </w:tcPr>
          <w:p w:rsidR="00495833" w:rsidP="00495833" w:rsidRDefault="00495833" w14:paraId="12820ADE" w14:textId="77777777">
            <w:r w:rsidRPr="004F1F2C">
              <w:rPr>
                <w:bCs/>
              </w:rPr>
              <w:t>$38.24</w:t>
            </w:r>
          </w:p>
        </w:tc>
        <w:tc>
          <w:tcPr>
            <w:tcW w:w="1024" w:type="pct"/>
            <w:tcBorders>
              <w:top w:val="single" w:color="auto" w:sz="4" w:space="0"/>
              <w:bottom w:val="single" w:color="auto" w:sz="4" w:space="0"/>
              <w:right w:val="single" w:color="auto" w:sz="4" w:space="0"/>
            </w:tcBorders>
            <w:vAlign w:val="bottom"/>
          </w:tcPr>
          <w:p w:rsidRPr="00177C1F" w:rsidR="00495833" w:rsidP="00495833" w:rsidRDefault="00495833" w14:paraId="21E79DF3" w14:textId="77777777">
            <w:pPr>
              <w:jc w:val="right"/>
            </w:pPr>
            <w:r w:rsidRPr="00177C1F">
              <w:t>$</w:t>
            </w:r>
            <w:r>
              <w:t>9,674.72</w:t>
            </w:r>
          </w:p>
        </w:tc>
      </w:tr>
      <w:tr w:rsidRPr="00177C1F" w:rsidR="00495833" w:rsidTr="00AE62F8" w14:paraId="083FF123" w14:textId="77777777">
        <w:trPr>
          <w:trHeight w:val="647"/>
          <w:jc w:val="center"/>
        </w:trPr>
        <w:tc>
          <w:tcPr>
            <w:tcW w:w="917" w:type="pct"/>
            <w:tcBorders>
              <w:top w:val="single" w:color="auto" w:sz="4" w:space="0"/>
              <w:left w:val="single" w:color="auto" w:sz="4" w:space="0"/>
              <w:bottom w:val="single" w:color="auto" w:sz="4" w:space="0"/>
            </w:tcBorders>
            <w:shd w:val="clear" w:color="auto" w:fill="FFFFFF"/>
          </w:tcPr>
          <w:p w:rsidRPr="0063587B" w:rsidR="00495833" w:rsidP="00495833" w:rsidRDefault="00495833" w14:paraId="09168493" w14:textId="77777777">
            <w:pPr>
              <w:keepNext/>
              <w:keepLines/>
              <w:numPr>
                <w:ilvl w:val="12"/>
                <w:numId w:val="0"/>
              </w:numPr>
              <w:tabs>
                <w:tab w:val="center" w:pos="4680"/>
                <w:tab w:val="right" w:pos="9360"/>
              </w:tabs>
              <w:spacing w:before="200"/>
              <w:outlineLvl w:val="2"/>
              <w:rPr>
                <w:sz w:val="22"/>
                <w:szCs w:val="22"/>
              </w:rPr>
            </w:pPr>
            <w:r w:rsidRPr="0063587B">
              <w:rPr>
                <w:sz w:val="22"/>
                <w:szCs w:val="22"/>
              </w:rPr>
              <w:t>Section 13</w:t>
            </w:r>
          </w:p>
        </w:tc>
        <w:tc>
          <w:tcPr>
            <w:tcW w:w="1709" w:type="pct"/>
            <w:tcBorders>
              <w:top w:val="single" w:color="auto" w:sz="4" w:space="0"/>
              <w:bottom w:val="single" w:color="auto" w:sz="4" w:space="0"/>
            </w:tcBorders>
            <w:shd w:val="clear" w:color="auto" w:fill="FFFFFF"/>
          </w:tcPr>
          <w:p w:rsidRPr="00177C1F" w:rsidR="00495833" w:rsidP="00495833" w:rsidRDefault="00495833" w14:paraId="3FE8B6BF" w14:textId="77777777">
            <w:pPr>
              <w:keepNext/>
              <w:keepLines/>
              <w:numPr>
                <w:ilvl w:val="12"/>
                <w:numId w:val="0"/>
              </w:numPr>
              <w:tabs>
                <w:tab w:val="center" w:pos="4680"/>
                <w:tab w:val="right" w:pos="9360"/>
              </w:tabs>
              <w:spacing w:before="200"/>
              <w:outlineLvl w:val="2"/>
            </w:pPr>
            <w:r w:rsidRPr="00177C1F">
              <w:t>Request Regarding a Restricted Experiment</w:t>
            </w:r>
          </w:p>
        </w:tc>
        <w:tc>
          <w:tcPr>
            <w:tcW w:w="675" w:type="pct"/>
            <w:tcBorders>
              <w:top w:val="single" w:color="auto" w:sz="4" w:space="0"/>
              <w:bottom w:val="single" w:color="auto" w:sz="4" w:space="0"/>
              <w:right w:val="single" w:color="auto" w:sz="4" w:space="0"/>
            </w:tcBorders>
            <w:shd w:val="clear" w:color="auto" w:fill="FFFFFF"/>
          </w:tcPr>
          <w:p w:rsidRPr="0063587B" w:rsidR="00495833" w:rsidP="00495833" w:rsidRDefault="005D3C51" w14:paraId="5DB791D4" w14:textId="77777777">
            <w:pPr>
              <w:keepNext/>
              <w:keepLines/>
              <w:numPr>
                <w:ilvl w:val="12"/>
                <w:numId w:val="0"/>
              </w:numPr>
              <w:tabs>
                <w:tab w:val="center" w:pos="4680"/>
                <w:tab w:val="right" w:pos="9360"/>
              </w:tabs>
              <w:spacing w:before="200"/>
              <w:outlineLvl w:val="2"/>
              <w:rPr>
                <w:sz w:val="22"/>
                <w:szCs w:val="22"/>
              </w:rPr>
            </w:pPr>
            <w:r>
              <w:rPr>
                <w:sz w:val="22"/>
                <w:szCs w:val="22"/>
              </w:rPr>
              <w:t>2</w:t>
            </w:r>
          </w:p>
        </w:tc>
        <w:tc>
          <w:tcPr>
            <w:tcW w:w="675" w:type="pct"/>
            <w:tcBorders>
              <w:top w:val="single" w:color="auto" w:sz="4" w:space="0"/>
              <w:bottom w:val="single" w:color="auto" w:sz="4" w:space="0"/>
              <w:right w:val="single" w:color="auto" w:sz="4" w:space="0"/>
            </w:tcBorders>
            <w:shd w:val="clear" w:color="auto" w:fill="FFFFFF"/>
          </w:tcPr>
          <w:p w:rsidR="00495833" w:rsidP="00495833" w:rsidRDefault="00495833" w14:paraId="6662670D" w14:textId="77777777">
            <w:r w:rsidRPr="004F1F2C">
              <w:rPr>
                <w:bCs/>
              </w:rPr>
              <w:t>$38.24</w:t>
            </w:r>
          </w:p>
        </w:tc>
        <w:tc>
          <w:tcPr>
            <w:tcW w:w="1024" w:type="pct"/>
            <w:tcBorders>
              <w:top w:val="single" w:color="auto" w:sz="4" w:space="0"/>
              <w:bottom w:val="single" w:color="auto" w:sz="4" w:space="0"/>
              <w:right w:val="single" w:color="auto" w:sz="4" w:space="0"/>
            </w:tcBorders>
            <w:shd w:val="clear" w:color="auto" w:fill="FFFFFF"/>
            <w:vAlign w:val="bottom"/>
          </w:tcPr>
          <w:p w:rsidRPr="00177C1F" w:rsidR="00495833" w:rsidP="00495833" w:rsidRDefault="00495833" w14:paraId="68185348" w14:textId="77777777">
            <w:pPr>
              <w:jc w:val="right"/>
            </w:pPr>
            <w:r w:rsidRPr="00177C1F">
              <w:t>$</w:t>
            </w:r>
            <w:r w:rsidR="005D3C51">
              <w:t>76.48</w:t>
            </w:r>
            <w:r w:rsidRPr="00177C1F">
              <w:t xml:space="preserve"> </w:t>
            </w:r>
          </w:p>
        </w:tc>
      </w:tr>
      <w:tr w:rsidRPr="00177C1F" w:rsidR="00495833" w:rsidTr="00AE62F8" w14:paraId="31BA19D8" w14:textId="77777777">
        <w:trPr>
          <w:jc w:val="center"/>
        </w:trPr>
        <w:tc>
          <w:tcPr>
            <w:tcW w:w="917" w:type="pct"/>
            <w:tcBorders>
              <w:top w:val="single" w:color="auto" w:sz="4" w:space="0"/>
              <w:left w:val="single" w:color="auto" w:sz="4" w:space="0"/>
              <w:bottom w:val="single" w:color="auto" w:sz="4" w:space="0"/>
            </w:tcBorders>
          </w:tcPr>
          <w:p w:rsidRPr="0063587B" w:rsidR="00495833" w:rsidP="00495833" w:rsidRDefault="00495833" w14:paraId="1812887C" w14:textId="77777777">
            <w:pPr>
              <w:keepNext/>
              <w:keepLines/>
              <w:numPr>
                <w:ilvl w:val="12"/>
                <w:numId w:val="0"/>
              </w:numPr>
              <w:tabs>
                <w:tab w:val="center" w:pos="4680"/>
                <w:tab w:val="right" w:pos="9360"/>
              </w:tabs>
              <w:spacing w:before="200"/>
              <w:outlineLvl w:val="2"/>
              <w:rPr>
                <w:sz w:val="22"/>
                <w:szCs w:val="22"/>
              </w:rPr>
            </w:pPr>
            <w:r w:rsidRPr="0063587B">
              <w:rPr>
                <w:sz w:val="22"/>
                <w:szCs w:val="22"/>
              </w:rPr>
              <w:t>Section 14</w:t>
            </w:r>
          </w:p>
        </w:tc>
        <w:tc>
          <w:tcPr>
            <w:tcW w:w="1709" w:type="pct"/>
            <w:tcBorders>
              <w:top w:val="single" w:color="auto" w:sz="4" w:space="0"/>
              <w:bottom w:val="single" w:color="auto" w:sz="4" w:space="0"/>
            </w:tcBorders>
          </w:tcPr>
          <w:p w:rsidRPr="00177C1F" w:rsidR="00495833" w:rsidP="00495833" w:rsidRDefault="00495833" w14:paraId="1A0ABC70" w14:textId="77777777">
            <w:pPr>
              <w:keepNext/>
              <w:keepLines/>
              <w:numPr>
                <w:ilvl w:val="12"/>
                <w:numId w:val="0"/>
              </w:numPr>
              <w:tabs>
                <w:tab w:val="center" w:pos="4680"/>
                <w:tab w:val="right" w:pos="9360"/>
              </w:tabs>
              <w:spacing w:before="200"/>
              <w:outlineLvl w:val="2"/>
            </w:pPr>
            <w:r w:rsidRPr="00177C1F">
              <w:t>Incident Response Plan</w:t>
            </w:r>
          </w:p>
        </w:tc>
        <w:tc>
          <w:tcPr>
            <w:tcW w:w="675" w:type="pct"/>
            <w:tcBorders>
              <w:top w:val="single" w:color="auto" w:sz="4" w:space="0"/>
              <w:bottom w:val="single" w:color="auto" w:sz="4" w:space="0"/>
              <w:right w:val="single" w:color="auto" w:sz="4" w:space="0"/>
            </w:tcBorders>
          </w:tcPr>
          <w:p w:rsidRPr="0063587B" w:rsidR="00495833" w:rsidP="00495833" w:rsidRDefault="00495833" w14:paraId="28EBE1CA" w14:textId="77777777">
            <w:pPr>
              <w:keepNext/>
              <w:keepLines/>
              <w:numPr>
                <w:ilvl w:val="12"/>
                <w:numId w:val="0"/>
              </w:numPr>
              <w:tabs>
                <w:tab w:val="center" w:pos="4680"/>
                <w:tab w:val="right" w:pos="9360"/>
              </w:tabs>
              <w:spacing w:before="200"/>
              <w:outlineLvl w:val="2"/>
              <w:rPr>
                <w:sz w:val="22"/>
                <w:szCs w:val="22"/>
              </w:rPr>
            </w:pPr>
            <w:r w:rsidRPr="0063587B">
              <w:rPr>
                <w:sz w:val="22"/>
                <w:szCs w:val="22"/>
              </w:rPr>
              <w:t>253</w:t>
            </w:r>
          </w:p>
        </w:tc>
        <w:tc>
          <w:tcPr>
            <w:tcW w:w="675" w:type="pct"/>
            <w:tcBorders>
              <w:top w:val="single" w:color="auto" w:sz="4" w:space="0"/>
              <w:bottom w:val="single" w:color="auto" w:sz="4" w:space="0"/>
              <w:right w:val="single" w:color="auto" w:sz="4" w:space="0"/>
            </w:tcBorders>
          </w:tcPr>
          <w:p w:rsidR="00495833" w:rsidP="00495833" w:rsidRDefault="00495833" w14:paraId="7C41D8B2" w14:textId="77777777">
            <w:r w:rsidRPr="004F1F2C">
              <w:rPr>
                <w:bCs/>
              </w:rPr>
              <w:t>$38.24</w:t>
            </w:r>
          </w:p>
        </w:tc>
        <w:tc>
          <w:tcPr>
            <w:tcW w:w="1024" w:type="pct"/>
            <w:tcBorders>
              <w:top w:val="single" w:color="auto" w:sz="4" w:space="0"/>
              <w:bottom w:val="single" w:color="auto" w:sz="4" w:space="0"/>
              <w:right w:val="single" w:color="auto" w:sz="4" w:space="0"/>
            </w:tcBorders>
            <w:vAlign w:val="bottom"/>
          </w:tcPr>
          <w:p w:rsidRPr="00177C1F" w:rsidR="00495833" w:rsidP="00495833" w:rsidRDefault="00495833" w14:paraId="05232E76" w14:textId="77777777">
            <w:pPr>
              <w:jc w:val="right"/>
            </w:pPr>
            <w:r w:rsidRPr="00177C1F">
              <w:t>$</w:t>
            </w:r>
            <w:r>
              <w:t>9,674.72</w:t>
            </w:r>
          </w:p>
        </w:tc>
      </w:tr>
      <w:tr w:rsidRPr="00177C1F" w:rsidR="00495833" w:rsidTr="00AE62F8" w14:paraId="1E1DEBEE" w14:textId="77777777">
        <w:trPr>
          <w:jc w:val="center"/>
        </w:trPr>
        <w:tc>
          <w:tcPr>
            <w:tcW w:w="917" w:type="pct"/>
            <w:tcBorders>
              <w:top w:val="single" w:color="auto" w:sz="4" w:space="0"/>
              <w:left w:val="single" w:color="auto" w:sz="4" w:space="0"/>
              <w:bottom w:val="single" w:color="auto" w:sz="4" w:space="0"/>
            </w:tcBorders>
          </w:tcPr>
          <w:p w:rsidRPr="0063587B" w:rsidR="00495833" w:rsidP="00495833" w:rsidRDefault="00495833" w14:paraId="4B7E370E" w14:textId="77777777">
            <w:pPr>
              <w:keepNext/>
              <w:keepLines/>
              <w:numPr>
                <w:ilvl w:val="12"/>
                <w:numId w:val="0"/>
              </w:numPr>
              <w:tabs>
                <w:tab w:val="center" w:pos="4680"/>
                <w:tab w:val="right" w:pos="9360"/>
              </w:tabs>
              <w:spacing w:before="200"/>
              <w:outlineLvl w:val="2"/>
              <w:rPr>
                <w:sz w:val="22"/>
                <w:szCs w:val="22"/>
              </w:rPr>
            </w:pPr>
            <w:r w:rsidRPr="0063587B">
              <w:rPr>
                <w:sz w:val="22"/>
                <w:szCs w:val="22"/>
              </w:rPr>
              <w:t>Section 15</w:t>
            </w:r>
          </w:p>
        </w:tc>
        <w:tc>
          <w:tcPr>
            <w:tcW w:w="1709" w:type="pct"/>
            <w:tcBorders>
              <w:top w:val="single" w:color="auto" w:sz="4" w:space="0"/>
              <w:bottom w:val="single" w:color="auto" w:sz="4" w:space="0"/>
            </w:tcBorders>
          </w:tcPr>
          <w:p w:rsidRPr="00177C1F" w:rsidR="00495833" w:rsidP="00495833" w:rsidRDefault="00495833" w14:paraId="4412E7C8" w14:textId="77777777">
            <w:pPr>
              <w:numPr>
                <w:ilvl w:val="12"/>
                <w:numId w:val="0"/>
              </w:numPr>
            </w:pPr>
            <w:r w:rsidRPr="00177C1F">
              <w:t>Training</w:t>
            </w:r>
          </w:p>
        </w:tc>
        <w:tc>
          <w:tcPr>
            <w:tcW w:w="675" w:type="pct"/>
            <w:tcBorders>
              <w:top w:val="single" w:color="auto" w:sz="4" w:space="0"/>
              <w:bottom w:val="single" w:color="auto" w:sz="4" w:space="0"/>
              <w:right w:val="single" w:color="auto" w:sz="4" w:space="0"/>
            </w:tcBorders>
          </w:tcPr>
          <w:p w:rsidRPr="0063587B" w:rsidR="00495833" w:rsidP="00495833" w:rsidRDefault="00495833" w14:paraId="2452B960" w14:textId="77777777">
            <w:pPr>
              <w:keepNext/>
              <w:keepLines/>
              <w:numPr>
                <w:ilvl w:val="12"/>
                <w:numId w:val="0"/>
              </w:numPr>
              <w:tabs>
                <w:tab w:val="center" w:pos="4680"/>
                <w:tab w:val="right" w:pos="9360"/>
              </w:tabs>
              <w:spacing w:before="200"/>
              <w:outlineLvl w:val="2"/>
              <w:rPr>
                <w:sz w:val="22"/>
                <w:szCs w:val="22"/>
              </w:rPr>
            </w:pPr>
            <w:r w:rsidRPr="0063587B">
              <w:rPr>
                <w:sz w:val="22"/>
                <w:szCs w:val="22"/>
              </w:rPr>
              <w:t>253</w:t>
            </w:r>
          </w:p>
        </w:tc>
        <w:tc>
          <w:tcPr>
            <w:tcW w:w="675" w:type="pct"/>
            <w:tcBorders>
              <w:top w:val="single" w:color="auto" w:sz="4" w:space="0"/>
              <w:bottom w:val="single" w:color="auto" w:sz="4" w:space="0"/>
              <w:right w:val="single" w:color="auto" w:sz="4" w:space="0"/>
            </w:tcBorders>
          </w:tcPr>
          <w:p w:rsidR="00495833" w:rsidP="00495833" w:rsidRDefault="00495833" w14:paraId="149E69ED" w14:textId="77777777">
            <w:r w:rsidRPr="004F1F2C">
              <w:rPr>
                <w:bCs/>
              </w:rPr>
              <w:t>$38.24</w:t>
            </w:r>
          </w:p>
        </w:tc>
        <w:tc>
          <w:tcPr>
            <w:tcW w:w="1024" w:type="pct"/>
            <w:tcBorders>
              <w:top w:val="single" w:color="auto" w:sz="4" w:space="0"/>
              <w:bottom w:val="single" w:color="auto" w:sz="4" w:space="0"/>
              <w:right w:val="single" w:color="auto" w:sz="4" w:space="0"/>
            </w:tcBorders>
            <w:vAlign w:val="bottom"/>
          </w:tcPr>
          <w:p w:rsidRPr="00177C1F" w:rsidR="00495833" w:rsidP="00495833" w:rsidRDefault="00495833" w14:paraId="1C52589B" w14:textId="77777777">
            <w:pPr>
              <w:jc w:val="right"/>
            </w:pPr>
            <w:r w:rsidRPr="00177C1F">
              <w:t>$</w:t>
            </w:r>
            <w:r>
              <w:t>9,674.72</w:t>
            </w:r>
          </w:p>
        </w:tc>
      </w:tr>
      <w:tr w:rsidRPr="00177C1F" w:rsidR="00495833" w:rsidTr="00AE62F8" w14:paraId="64D0A5BE" w14:textId="77777777">
        <w:trPr>
          <w:jc w:val="center"/>
        </w:trPr>
        <w:tc>
          <w:tcPr>
            <w:tcW w:w="917" w:type="pct"/>
            <w:tcBorders>
              <w:top w:val="single" w:color="auto" w:sz="4" w:space="0"/>
              <w:left w:val="single" w:color="auto" w:sz="4" w:space="0"/>
              <w:bottom w:val="single" w:color="auto" w:sz="4" w:space="0"/>
            </w:tcBorders>
          </w:tcPr>
          <w:p w:rsidRPr="0063587B" w:rsidR="00495833" w:rsidP="00495833" w:rsidRDefault="00495833" w14:paraId="7CF0D715" w14:textId="77777777">
            <w:pPr>
              <w:keepNext/>
              <w:keepLines/>
              <w:numPr>
                <w:ilvl w:val="12"/>
                <w:numId w:val="0"/>
              </w:numPr>
              <w:tabs>
                <w:tab w:val="center" w:pos="4680"/>
                <w:tab w:val="right" w:pos="9360"/>
              </w:tabs>
              <w:spacing w:before="200"/>
              <w:outlineLvl w:val="2"/>
              <w:rPr>
                <w:sz w:val="22"/>
                <w:szCs w:val="22"/>
              </w:rPr>
            </w:pPr>
            <w:r w:rsidRPr="0063587B">
              <w:rPr>
                <w:sz w:val="22"/>
                <w:szCs w:val="22"/>
              </w:rPr>
              <w:t>Section 16</w:t>
            </w:r>
          </w:p>
        </w:tc>
        <w:tc>
          <w:tcPr>
            <w:tcW w:w="1709" w:type="pct"/>
            <w:tcBorders>
              <w:top w:val="single" w:color="auto" w:sz="4" w:space="0"/>
              <w:bottom w:val="single" w:color="auto" w:sz="4" w:space="0"/>
            </w:tcBorders>
          </w:tcPr>
          <w:p w:rsidRPr="00177C1F" w:rsidR="00495833" w:rsidP="00495833" w:rsidRDefault="00495833" w14:paraId="3E7847BA" w14:textId="77777777">
            <w:pPr>
              <w:keepNext/>
              <w:keepLines/>
              <w:numPr>
                <w:ilvl w:val="12"/>
                <w:numId w:val="0"/>
              </w:numPr>
              <w:tabs>
                <w:tab w:val="center" w:pos="4680"/>
                <w:tab w:val="right" w:pos="9360"/>
              </w:tabs>
              <w:spacing w:before="200"/>
              <w:outlineLvl w:val="2"/>
            </w:pPr>
            <w:r w:rsidRPr="00177C1F">
              <w:t>Request to Transfer Select Agents and Toxins</w:t>
            </w:r>
          </w:p>
        </w:tc>
        <w:tc>
          <w:tcPr>
            <w:tcW w:w="675" w:type="pct"/>
            <w:tcBorders>
              <w:top w:val="single" w:color="auto" w:sz="4" w:space="0"/>
              <w:bottom w:val="single" w:color="auto" w:sz="4" w:space="0"/>
              <w:right w:val="single" w:color="auto" w:sz="4" w:space="0"/>
            </w:tcBorders>
          </w:tcPr>
          <w:p w:rsidRPr="0063587B" w:rsidR="00495833" w:rsidP="00495833" w:rsidRDefault="00434838" w14:paraId="2764713B" w14:textId="77777777">
            <w:pPr>
              <w:keepNext/>
              <w:keepLines/>
              <w:numPr>
                <w:ilvl w:val="12"/>
                <w:numId w:val="0"/>
              </w:numPr>
              <w:tabs>
                <w:tab w:val="center" w:pos="4680"/>
                <w:tab w:val="right" w:pos="9360"/>
              </w:tabs>
              <w:spacing w:before="200"/>
              <w:outlineLvl w:val="2"/>
              <w:rPr>
                <w:sz w:val="22"/>
                <w:szCs w:val="22"/>
              </w:rPr>
            </w:pPr>
            <w:r>
              <w:rPr>
                <w:sz w:val="22"/>
                <w:szCs w:val="22"/>
              </w:rPr>
              <w:t>380</w:t>
            </w:r>
          </w:p>
        </w:tc>
        <w:tc>
          <w:tcPr>
            <w:tcW w:w="675" w:type="pct"/>
            <w:tcBorders>
              <w:top w:val="single" w:color="auto" w:sz="4" w:space="0"/>
              <w:bottom w:val="single" w:color="auto" w:sz="4" w:space="0"/>
              <w:right w:val="single" w:color="auto" w:sz="4" w:space="0"/>
            </w:tcBorders>
          </w:tcPr>
          <w:p w:rsidR="00495833" w:rsidP="00495833" w:rsidRDefault="00495833" w14:paraId="5358A2EC" w14:textId="77777777">
            <w:r w:rsidRPr="004F1F2C">
              <w:rPr>
                <w:bCs/>
              </w:rPr>
              <w:t>$38.24</w:t>
            </w:r>
          </w:p>
        </w:tc>
        <w:tc>
          <w:tcPr>
            <w:tcW w:w="1024" w:type="pct"/>
            <w:tcBorders>
              <w:top w:val="single" w:color="auto" w:sz="4" w:space="0"/>
              <w:bottom w:val="single" w:color="auto" w:sz="4" w:space="0"/>
              <w:right w:val="single" w:color="auto" w:sz="4" w:space="0"/>
            </w:tcBorders>
            <w:vAlign w:val="bottom"/>
          </w:tcPr>
          <w:p w:rsidRPr="00177C1F" w:rsidR="00495833" w:rsidP="00495833" w:rsidRDefault="00495833" w14:paraId="0A6F244F" w14:textId="77777777">
            <w:pPr>
              <w:jc w:val="right"/>
            </w:pPr>
            <w:r w:rsidRPr="00177C1F">
              <w:t>$</w:t>
            </w:r>
            <w:r w:rsidR="00434838">
              <w:t>14,531.20</w:t>
            </w:r>
          </w:p>
        </w:tc>
      </w:tr>
      <w:tr w:rsidRPr="00177C1F" w:rsidR="00495833" w:rsidTr="00AE62F8" w14:paraId="1D47DA3E" w14:textId="77777777">
        <w:trPr>
          <w:jc w:val="center"/>
        </w:trPr>
        <w:tc>
          <w:tcPr>
            <w:tcW w:w="917" w:type="pct"/>
            <w:tcBorders>
              <w:top w:val="single" w:color="auto" w:sz="4" w:space="0"/>
              <w:left w:val="single" w:color="auto" w:sz="4" w:space="0"/>
              <w:bottom w:val="single" w:color="auto" w:sz="4" w:space="0"/>
            </w:tcBorders>
          </w:tcPr>
          <w:p w:rsidRPr="0063587B" w:rsidR="00495833" w:rsidP="00495833" w:rsidRDefault="00495833" w14:paraId="337348F5" w14:textId="77777777">
            <w:pPr>
              <w:keepNext/>
              <w:keepLines/>
              <w:numPr>
                <w:ilvl w:val="12"/>
                <w:numId w:val="0"/>
              </w:numPr>
              <w:tabs>
                <w:tab w:val="center" w:pos="4680"/>
                <w:tab w:val="right" w:pos="9360"/>
              </w:tabs>
              <w:spacing w:before="200"/>
              <w:outlineLvl w:val="2"/>
              <w:rPr>
                <w:sz w:val="22"/>
                <w:szCs w:val="22"/>
              </w:rPr>
            </w:pPr>
            <w:r w:rsidRPr="0063587B">
              <w:rPr>
                <w:sz w:val="22"/>
                <w:szCs w:val="22"/>
              </w:rPr>
              <w:t>Section 17</w:t>
            </w:r>
          </w:p>
        </w:tc>
        <w:tc>
          <w:tcPr>
            <w:tcW w:w="1709" w:type="pct"/>
            <w:tcBorders>
              <w:top w:val="single" w:color="auto" w:sz="4" w:space="0"/>
              <w:bottom w:val="single" w:color="auto" w:sz="4" w:space="0"/>
            </w:tcBorders>
          </w:tcPr>
          <w:p w:rsidRPr="00177C1F" w:rsidR="00495833" w:rsidP="00495833" w:rsidRDefault="00495833" w14:paraId="68C2BE29" w14:textId="77777777">
            <w:pPr>
              <w:keepNext/>
              <w:keepLines/>
              <w:numPr>
                <w:ilvl w:val="12"/>
                <w:numId w:val="0"/>
              </w:numPr>
              <w:tabs>
                <w:tab w:val="center" w:pos="4680"/>
                <w:tab w:val="right" w:pos="9360"/>
              </w:tabs>
              <w:spacing w:before="200"/>
              <w:outlineLvl w:val="2"/>
            </w:pPr>
            <w:r w:rsidRPr="00177C1F">
              <w:t>Records</w:t>
            </w:r>
          </w:p>
        </w:tc>
        <w:tc>
          <w:tcPr>
            <w:tcW w:w="675" w:type="pct"/>
            <w:tcBorders>
              <w:top w:val="single" w:color="auto" w:sz="4" w:space="0"/>
              <w:bottom w:val="single" w:color="auto" w:sz="4" w:space="0"/>
              <w:right w:val="single" w:color="auto" w:sz="4" w:space="0"/>
            </w:tcBorders>
          </w:tcPr>
          <w:p w:rsidRPr="0063587B" w:rsidR="00495833" w:rsidP="00495833" w:rsidRDefault="00434838" w14:paraId="12061EF6" w14:textId="77777777">
            <w:pPr>
              <w:keepNext/>
              <w:keepLines/>
              <w:numPr>
                <w:ilvl w:val="12"/>
                <w:numId w:val="0"/>
              </w:numPr>
              <w:tabs>
                <w:tab w:val="center" w:pos="4680"/>
                <w:tab w:val="right" w:pos="9360"/>
              </w:tabs>
              <w:spacing w:before="200"/>
              <w:outlineLvl w:val="2"/>
              <w:rPr>
                <w:sz w:val="22"/>
                <w:szCs w:val="22"/>
              </w:rPr>
            </w:pPr>
            <w:r>
              <w:rPr>
                <w:sz w:val="22"/>
                <w:szCs w:val="22"/>
              </w:rPr>
              <w:t>127</w:t>
            </w:r>
          </w:p>
        </w:tc>
        <w:tc>
          <w:tcPr>
            <w:tcW w:w="675" w:type="pct"/>
            <w:tcBorders>
              <w:top w:val="single" w:color="auto" w:sz="4" w:space="0"/>
              <w:bottom w:val="single" w:color="auto" w:sz="4" w:space="0"/>
              <w:right w:val="single" w:color="auto" w:sz="4" w:space="0"/>
            </w:tcBorders>
          </w:tcPr>
          <w:p w:rsidR="00495833" w:rsidP="00495833" w:rsidRDefault="00495833" w14:paraId="0FDE84B5" w14:textId="77777777">
            <w:r w:rsidRPr="004F1F2C">
              <w:rPr>
                <w:bCs/>
              </w:rPr>
              <w:t>$38.24</w:t>
            </w:r>
          </w:p>
        </w:tc>
        <w:tc>
          <w:tcPr>
            <w:tcW w:w="1024" w:type="pct"/>
            <w:tcBorders>
              <w:top w:val="single" w:color="auto" w:sz="4" w:space="0"/>
              <w:bottom w:val="single" w:color="auto" w:sz="4" w:space="0"/>
              <w:right w:val="single" w:color="auto" w:sz="4" w:space="0"/>
            </w:tcBorders>
            <w:vAlign w:val="bottom"/>
          </w:tcPr>
          <w:p w:rsidRPr="00177C1F" w:rsidR="00495833" w:rsidP="00495833" w:rsidRDefault="00495833" w14:paraId="6695D637" w14:textId="77777777">
            <w:pPr>
              <w:jc w:val="right"/>
            </w:pPr>
            <w:r w:rsidRPr="00177C1F">
              <w:t>$</w:t>
            </w:r>
            <w:r w:rsidR="00875679">
              <w:t>4,856.48</w:t>
            </w:r>
          </w:p>
        </w:tc>
      </w:tr>
      <w:tr w:rsidRPr="00177C1F" w:rsidR="00495833" w:rsidTr="00AE62F8" w14:paraId="3173D2DE" w14:textId="77777777">
        <w:trPr>
          <w:jc w:val="center"/>
        </w:trPr>
        <w:tc>
          <w:tcPr>
            <w:tcW w:w="917" w:type="pct"/>
            <w:tcBorders>
              <w:top w:val="single" w:color="auto" w:sz="4" w:space="0"/>
              <w:left w:val="single" w:color="auto" w:sz="4" w:space="0"/>
              <w:bottom w:val="single" w:color="auto" w:sz="4" w:space="0"/>
            </w:tcBorders>
          </w:tcPr>
          <w:p w:rsidRPr="0063587B" w:rsidR="00495833" w:rsidP="00495833" w:rsidRDefault="00495833" w14:paraId="688C4354" w14:textId="77777777">
            <w:pPr>
              <w:keepNext/>
              <w:keepLines/>
              <w:numPr>
                <w:ilvl w:val="12"/>
                <w:numId w:val="0"/>
              </w:numPr>
              <w:tabs>
                <w:tab w:val="center" w:pos="4680"/>
                <w:tab w:val="right" w:pos="9360"/>
              </w:tabs>
              <w:spacing w:before="200"/>
              <w:outlineLvl w:val="2"/>
              <w:rPr>
                <w:sz w:val="22"/>
                <w:szCs w:val="22"/>
                <w:highlight w:val="yellow"/>
              </w:rPr>
            </w:pPr>
            <w:r w:rsidRPr="0063587B">
              <w:rPr>
                <w:sz w:val="22"/>
                <w:szCs w:val="22"/>
              </w:rPr>
              <w:t>Section 19</w:t>
            </w:r>
          </w:p>
        </w:tc>
        <w:tc>
          <w:tcPr>
            <w:tcW w:w="1709" w:type="pct"/>
            <w:tcBorders>
              <w:top w:val="single" w:color="auto" w:sz="4" w:space="0"/>
              <w:bottom w:val="single" w:color="auto" w:sz="4" w:space="0"/>
            </w:tcBorders>
          </w:tcPr>
          <w:p w:rsidRPr="00177C1F" w:rsidR="00495833" w:rsidP="00495833" w:rsidRDefault="00495833" w14:paraId="67FFE04E" w14:textId="77777777">
            <w:pPr>
              <w:keepNext/>
              <w:keepLines/>
              <w:numPr>
                <w:ilvl w:val="12"/>
                <w:numId w:val="0"/>
              </w:numPr>
              <w:tabs>
                <w:tab w:val="center" w:pos="4680"/>
                <w:tab w:val="right" w:pos="9360"/>
              </w:tabs>
              <w:spacing w:before="200"/>
              <w:outlineLvl w:val="2"/>
            </w:pPr>
            <w:r w:rsidRPr="00177C1F">
              <w:t>Notification of Theft, Loss, or Release</w:t>
            </w:r>
          </w:p>
        </w:tc>
        <w:tc>
          <w:tcPr>
            <w:tcW w:w="675" w:type="pct"/>
            <w:tcBorders>
              <w:top w:val="single" w:color="auto" w:sz="4" w:space="0"/>
              <w:bottom w:val="single" w:color="auto" w:sz="4" w:space="0"/>
              <w:right w:val="single" w:color="auto" w:sz="4" w:space="0"/>
            </w:tcBorders>
          </w:tcPr>
          <w:p w:rsidRPr="0063587B" w:rsidR="00495833" w:rsidP="00495833" w:rsidRDefault="00495833" w14:paraId="5E4CF4AA" w14:textId="77777777">
            <w:pPr>
              <w:keepNext/>
              <w:keepLines/>
              <w:numPr>
                <w:ilvl w:val="12"/>
                <w:numId w:val="0"/>
              </w:numPr>
              <w:tabs>
                <w:tab w:val="center" w:pos="4680"/>
                <w:tab w:val="right" w:pos="9360"/>
              </w:tabs>
              <w:spacing w:before="200"/>
              <w:outlineLvl w:val="2"/>
              <w:rPr>
                <w:sz w:val="22"/>
                <w:szCs w:val="22"/>
              </w:rPr>
            </w:pPr>
            <w:r w:rsidRPr="0063587B">
              <w:rPr>
                <w:sz w:val="22"/>
                <w:szCs w:val="22"/>
              </w:rPr>
              <w:t>201</w:t>
            </w:r>
          </w:p>
        </w:tc>
        <w:tc>
          <w:tcPr>
            <w:tcW w:w="675" w:type="pct"/>
            <w:tcBorders>
              <w:top w:val="single" w:color="auto" w:sz="4" w:space="0"/>
              <w:bottom w:val="single" w:color="auto" w:sz="4" w:space="0"/>
              <w:right w:val="single" w:color="auto" w:sz="4" w:space="0"/>
            </w:tcBorders>
          </w:tcPr>
          <w:p w:rsidR="00495833" w:rsidP="00495833" w:rsidRDefault="00495833" w14:paraId="4952FFEA" w14:textId="77777777">
            <w:r w:rsidRPr="004F1F2C">
              <w:rPr>
                <w:bCs/>
              </w:rPr>
              <w:t>$38.24</w:t>
            </w:r>
          </w:p>
        </w:tc>
        <w:tc>
          <w:tcPr>
            <w:tcW w:w="1024" w:type="pct"/>
            <w:tcBorders>
              <w:top w:val="single" w:color="auto" w:sz="4" w:space="0"/>
              <w:bottom w:val="single" w:color="auto" w:sz="4" w:space="0"/>
              <w:right w:val="single" w:color="auto" w:sz="4" w:space="0"/>
            </w:tcBorders>
            <w:vAlign w:val="bottom"/>
          </w:tcPr>
          <w:p w:rsidRPr="00177C1F" w:rsidR="00495833" w:rsidP="00495833" w:rsidRDefault="00495833" w14:paraId="10308BE7" w14:textId="77777777">
            <w:pPr>
              <w:jc w:val="right"/>
            </w:pPr>
            <w:r w:rsidRPr="00177C1F">
              <w:t>$</w:t>
            </w:r>
            <w:r>
              <w:t>7,686.24</w:t>
            </w:r>
            <w:r w:rsidRPr="00177C1F">
              <w:t xml:space="preserve"> </w:t>
            </w:r>
          </w:p>
        </w:tc>
      </w:tr>
      <w:tr w:rsidRPr="00177C1F" w:rsidR="00495833" w:rsidTr="00AE62F8" w14:paraId="379A3735" w14:textId="77777777">
        <w:trPr>
          <w:jc w:val="center"/>
        </w:trPr>
        <w:tc>
          <w:tcPr>
            <w:tcW w:w="917" w:type="pct"/>
            <w:tcBorders>
              <w:top w:val="single" w:color="auto" w:sz="4" w:space="0"/>
              <w:left w:val="single" w:color="auto" w:sz="4" w:space="0"/>
              <w:bottom w:val="single" w:color="auto" w:sz="4" w:space="0"/>
            </w:tcBorders>
          </w:tcPr>
          <w:p w:rsidRPr="0063587B" w:rsidR="00495833" w:rsidP="00495833" w:rsidRDefault="00495833" w14:paraId="436D6018" w14:textId="77777777">
            <w:pPr>
              <w:rPr>
                <w:sz w:val="22"/>
                <w:szCs w:val="22"/>
              </w:rPr>
            </w:pPr>
            <w:r w:rsidRPr="0063587B">
              <w:rPr>
                <w:bCs/>
                <w:sz w:val="22"/>
                <w:szCs w:val="22"/>
              </w:rPr>
              <w:t>Section 20</w:t>
            </w:r>
          </w:p>
        </w:tc>
        <w:tc>
          <w:tcPr>
            <w:tcW w:w="1709" w:type="pct"/>
            <w:tcBorders>
              <w:top w:val="single" w:color="auto" w:sz="4" w:space="0"/>
              <w:bottom w:val="single" w:color="auto" w:sz="4" w:space="0"/>
            </w:tcBorders>
          </w:tcPr>
          <w:p w:rsidRPr="00177C1F" w:rsidR="00495833" w:rsidP="00495833" w:rsidRDefault="00495833" w14:paraId="560C6391" w14:textId="77777777">
            <w:r w:rsidRPr="00177C1F">
              <w:t>Administrative Review</w:t>
            </w:r>
          </w:p>
        </w:tc>
        <w:tc>
          <w:tcPr>
            <w:tcW w:w="675" w:type="pct"/>
            <w:tcBorders>
              <w:top w:val="single" w:color="auto" w:sz="4" w:space="0"/>
              <w:bottom w:val="single" w:color="auto" w:sz="4" w:space="0"/>
              <w:right w:val="single" w:color="auto" w:sz="4" w:space="0"/>
            </w:tcBorders>
          </w:tcPr>
          <w:p w:rsidRPr="0063587B" w:rsidR="00495833" w:rsidP="00495833" w:rsidRDefault="00495833" w14:paraId="34548C44" w14:textId="77777777">
            <w:pPr>
              <w:rPr>
                <w:sz w:val="22"/>
                <w:szCs w:val="22"/>
              </w:rPr>
            </w:pPr>
            <w:r w:rsidRPr="0063587B">
              <w:rPr>
                <w:sz w:val="22"/>
                <w:szCs w:val="22"/>
              </w:rPr>
              <w:t>28</w:t>
            </w:r>
          </w:p>
        </w:tc>
        <w:tc>
          <w:tcPr>
            <w:tcW w:w="675" w:type="pct"/>
            <w:tcBorders>
              <w:top w:val="single" w:color="auto" w:sz="4" w:space="0"/>
              <w:bottom w:val="single" w:color="auto" w:sz="4" w:space="0"/>
              <w:right w:val="single" w:color="auto" w:sz="4" w:space="0"/>
            </w:tcBorders>
          </w:tcPr>
          <w:p w:rsidR="00495833" w:rsidP="00495833" w:rsidRDefault="00495833" w14:paraId="2A95D755" w14:textId="77777777">
            <w:r w:rsidRPr="004F1F2C">
              <w:rPr>
                <w:bCs/>
              </w:rPr>
              <w:t>$38.24</w:t>
            </w:r>
          </w:p>
        </w:tc>
        <w:tc>
          <w:tcPr>
            <w:tcW w:w="1024" w:type="pct"/>
            <w:tcBorders>
              <w:top w:val="single" w:color="auto" w:sz="4" w:space="0"/>
              <w:bottom w:val="single" w:color="auto" w:sz="4" w:space="0"/>
              <w:right w:val="single" w:color="auto" w:sz="4" w:space="0"/>
            </w:tcBorders>
            <w:vAlign w:val="bottom"/>
          </w:tcPr>
          <w:p w:rsidRPr="00177C1F" w:rsidR="00495833" w:rsidP="00495833" w:rsidRDefault="00495833" w14:paraId="5172AE6C" w14:textId="77777777">
            <w:pPr>
              <w:jc w:val="right"/>
            </w:pPr>
            <w:r w:rsidRPr="00177C1F">
              <w:t>$</w:t>
            </w:r>
            <w:r>
              <w:t>1,070.72</w:t>
            </w:r>
            <w:r w:rsidRPr="00177C1F">
              <w:t xml:space="preserve"> </w:t>
            </w:r>
          </w:p>
        </w:tc>
      </w:tr>
      <w:tr w:rsidRPr="00177C1F" w:rsidR="00495833" w:rsidTr="00AE62F8" w14:paraId="5A8490A0" w14:textId="77777777">
        <w:trPr>
          <w:jc w:val="center"/>
        </w:trPr>
        <w:tc>
          <w:tcPr>
            <w:tcW w:w="917" w:type="pct"/>
            <w:tcBorders>
              <w:top w:val="single" w:color="auto" w:sz="4" w:space="0"/>
              <w:left w:val="single" w:color="auto" w:sz="4" w:space="0"/>
              <w:bottom w:val="single" w:color="auto" w:sz="4" w:space="0"/>
            </w:tcBorders>
          </w:tcPr>
          <w:p w:rsidRPr="00177C1F" w:rsidR="00495833" w:rsidP="00495833" w:rsidRDefault="00495833" w14:paraId="3244BB28" w14:textId="77777777">
            <w:pPr>
              <w:rPr>
                <w:bCs/>
              </w:rPr>
            </w:pPr>
            <w:r w:rsidRPr="00177C1F">
              <w:rPr>
                <w:bCs/>
              </w:rPr>
              <w:t>Total Cost</w:t>
            </w:r>
          </w:p>
        </w:tc>
        <w:tc>
          <w:tcPr>
            <w:tcW w:w="1709" w:type="pct"/>
            <w:tcBorders>
              <w:top w:val="single" w:color="auto" w:sz="4" w:space="0"/>
              <w:bottom w:val="single" w:color="auto" w:sz="4" w:space="0"/>
            </w:tcBorders>
          </w:tcPr>
          <w:p w:rsidRPr="00177C1F" w:rsidR="00495833" w:rsidP="00495833" w:rsidRDefault="00495833" w14:paraId="11CCAB46" w14:textId="77777777"/>
        </w:tc>
        <w:tc>
          <w:tcPr>
            <w:tcW w:w="675" w:type="pct"/>
            <w:tcBorders>
              <w:top w:val="single" w:color="auto" w:sz="4" w:space="0"/>
              <w:bottom w:val="single" w:color="auto" w:sz="4" w:space="0"/>
              <w:right w:val="single" w:color="auto" w:sz="4" w:space="0"/>
            </w:tcBorders>
          </w:tcPr>
          <w:p w:rsidRPr="00177C1F" w:rsidR="00495833" w:rsidP="00495833" w:rsidRDefault="00495833" w14:paraId="73D369AE" w14:textId="77777777"/>
        </w:tc>
        <w:tc>
          <w:tcPr>
            <w:tcW w:w="675" w:type="pct"/>
            <w:tcBorders>
              <w:top w:val="single" w:color="auto" w:sz="4" w:space="0"/>
              <w:bottom w:val="single" w:color="auto" w:sz="4" w:space="0"/>
              <w:right w:val="single" w:color="auto" w:sz="4" w:space="0"/>
            </w:tcBorders>
          </w:tcPr>
          <w:p w:rsidRPr="00177C1F" w:rsidR="00495833" w:rsidP="00495833" w:rsidRDefault="00495833" w14:paraId="108A1C78" w14:textId="77777777"/>
        </w:tc>
        <w:tc>
          <w:tcPr>
            <w:tcW w:w="1024" w:type="pct"/>
            <w:tcBorders>
              <w:top w:val="single" w:color="auto" w:sz="4" w:space="0"/>
              <w:bottom w:val="single" w:color="auto" w:sz="4" w:space="0"/>
              <w:right w:val="single" w:color="auto" w:sz="4" w:space="0"/>
            </w:tcBorders>
            <w:vAlign w:val="bottom"/>
          </w:tcPr>
          <w:p w:rsidRPr="00177C1F" w:rsidR="00495833" w:rsidP="00495833" w:rsidRDefault="00495833" w14:paraId="1D72DC92" w14:textId="77777777">
            <w:pPr>
              <w:jc w:val="right"/>
            </w:pPr>
            <w:r w:rsidRPr="00177C1F">
              <w:t>$</w:t>
            </w:r>
            <w:r w:rsidR="00FA31CE">
              <w:t>170,818.08</w:t>
            </w:r>
            <w:r w:rsidRPr="00177C1F">
              <w:t xml:space="preserve"> </w:t>
            </w:r>
          </w:p>
        </w:tc>
      </w:tr>
    </w:tbl>
    <w:p w:rsidRPr="00177C1F" w:rsidR="00BA550E" w:rsidP="007F3FE5" w:rsidRDefault="00BA550E" w14:paraId="2AAD1DD2" w14:textId="77777777">
      <w:pPr>
        <w:widowControl/>
        <w:contextualSpacing/>
        <w:rPr>
          <w:bCs/>
        </w:rPr>
      </w:pPr>
    </w:p>
    <w:p w:rsidRPr="00177C1F" w:rsidR="00BA550E" w:rsidP="007F3FE5" w:rsidRDefault="00793601" w14:paraId="4E5DD702" w14:textId="77777777">
      <w:pPr>
        <w:widowControl/>
        <w:contextualSpacing/>
      </w:pPr>
      <w:r w:rsidRPr="00177C1F">
        <w:rPr>
          <w:bCs/>
        </w:rPr>
        <w:t>When estimating the annualized burden costs, CDC assumes that the hourly burden would be evenly split between managerial staff and clerical staff.  We are using an average hourly respondent labor rate of $</w:t>
      </w:r>
      <w:r w:rsidRPr="00177C1F" w:rsidR="00EA7C1C">
        <w:rPr>
          <w:bCs/>
        </w:rPr>
        <w:t>5</w:t>
      </w:r>
      <w:r w:rsidR="00250D69">
        <w:rPr>
          <w:bCs/>
        </w:rPr>
        <w:t>9.56</w:t>
      </w:r>
      <w:r w:rsidRPr="00177C1F" w:rsidR="00EA7C1C">
        <w:rPr>
          <w:bCs/>
        </w:rPr>
        <w:t xml:space="preserve"> </w:t>
      </w:r>
      <w:r w:rsidRPr="00177C1F">
        <w:rPr>
          <w:bCs/>
        </w:rPr>
        <w:t>for managerial staff and $</w:t>
      </w:r>
      <w:r w:rsidRPr="00177C1F" w:rsidR="00EA7C1C">
        <w:t xml:space="preserve"> </w:t>
      </w:r>
      <w:r w:rsidRPr="00177C1F" w:rsidR="00EA7C1C">
        <w:rPr>
          <w:bCs/>
        </w:rPr>
        <w:t>1</w:t>
      </w:r>
      <w:r w:rsidR="00250D69">
        <w:rPr>
          <w:bCs/>
        </w:rPr>
        <w:t>6.92</w:t>
      </w:r>
      <w:r w:rsidRPr="00177C1F" w:rsidR="00EA7C1C">
        <w:rPr>
          <w:bCs/>
        </w:rPr>
        <w:t xml:space="preserve"> </w:t>
      </w:r>
      <w:r w:rsidRPr="00177C1F">
        <w:rPr>
          <w:bCs/>
        </w:rPr>
        <w:t>for clerical staff.  To calculate the mean hourly rate, we averaged these two figures f</w:t>
      </w:r>
      <w:r w:rsidRPr="00177C1F" w:rsidR="00AE62F8">
        <w:rPr>
          <w:bCs/>
        </w:rPr>
        <w:t>or an hourly wage rate of $3</w:t>
      </w:r>
      <w:r w:rsidR="002916F2">
        <w:rPr>
          <w:bCs/>
        </w:rPr>
        <w:t>8</w:t>
      </w:r>
      <w:r w:rsidRPr="00177C1F" w:rsidR="00AE62F8">
        <w:rPr>
          <w:bCs/>
        </w:rPr>
        <w:t>.</w:t>
      </w:r>
      <w:r w:rsidR="002916F2">
        <w:rPr>
          <w:bCs/>
        </w:rPr>
        <w:t>24</w:t>
      </w:r>
      <w:r w:rsidRPr="00177C1F">
        <w:rPr>
          <w:bCs/>
        </w:rPr>
        <w:t>.  These rates were obtained from the Bureau of Labor Statistics, from the 20</w:t>
      </w:r>
      <w:r w:rsidRPr="00177C1F" w:rsidR="00EA7C1C">
        <w:rPr>
          <w:bCs/>
        </w:rPr>
        <w:t>1</w:t>
      </w:r>
      <w:r w:rsidR="00250D69">
        <w:rPr>
          <w:bCs/>
        </w:rPr>
        <w:t>8</w:t>
      </w:r>
      <w:r w:rsidRPr="00177C1F">
        <w:rPr>
          <w:bCs/>
        </w:rPr>
        <w:t xml:space="preserve"> Occupational Employment Statistics Survey by Occupation (</w:t>
      </w:r>
      <w:hyperlink w:history="1" r:id="rId12">
        <w:r w:rsidRPr="00177C1F">
          <w:rPr>
            <w:rStyle w:val="Hyperlink"/>
            <w:bCs/>
            <w:color w:val="auto"/>
          </w:rPr>
          <w:t>http://www.bls.gov/oes/</w:t>
        </w:r>
      </w:hyperlink>
      <w:r w:rsidRPr="00177C1F">
        <w:rPr>
          <w:bCs/>
        </w:rPr>
        <w:t xml:space="preserve">). </w:t>
      </w:r>
    </w:p>
    <w:p w:rsidRPr="00177C1F" w:rsidR="00BA550E" w:rsidP="007F3FE5" w:rsidRDefault="00BA550E" w14:paraId="010E39C7" w14:textId="77777777">
      <w:pPr>
        <w:widowControl/>
        <w:contextualSpacing/>
      </w:pPr>
    </w:p>
    <w:p w:rsidRPr="00177C1F" w:rsidR="00BA550E" w:rsidP="00177C1F" w:rsidRDefault="00793601" w14:paraId="19CB36CD" w14:textId="77777777">
      <w:pPr>
        <w:pStyle w:val="Heading3"/>
        <w:rPr>
          <w:rFonts w:ascii="Times New Roman" w:hAnsi="Times New Roman"/>
          <w:color w:val="auto"/>
          <w:sz w:val="24"/>
          <w:szCs w:val="24"/>
        </w:rPr>
      </w:pPr>
      <w:bookmarkStart w:name="_Toc412817465" w:id="17"/>
      <w:r w:rsidRPr="00177C1F">
        <w:rPr>
          <w:rFonts w:ascii="Times New Roman" w:hAnsi="Times New Roman"/>
          <w:color w:val="auto"/>
          <w:sz w:val="24"/>
          <w:szCs w:val="24"/>
        </w:rPr>
        <w:t>13.  Estimates of Other Total Annual Cost Burden to Respondents or Record keepers</w:t>
      </w:r>
      <w:bookmarkEnd w:id="17"/>
    </w:p>
    <w:p w:rsidRPr="00177C1F" w:rsidR="00BA550E" w:rsidP="007F3FE5" w:rsidRDefault="00BA550E" w14:paraId="24021019" w14:textId="77777777">
      <w:pPr>
        <w:widowControl/>
        <w:contextualSpacing/>
        <w:rPr>
          <w:bCs/>
        </w:rPr>
      </w:pPr>
    </w:p>
    <w:p w:rsidRPr="00177C1F" w:rsidR="00BA550E" w:rsidP="007F3FE5" w:rsidRDefault="00793601" w14:paraId="7E3041D8" w14:textId="77777777">
      <w:pPr>
        <w:contextualSpacing/>
      </w:pPr>
      <w:r w:rsidRPr="00177C1F">
        <w:t xml:space="preserve">Respondents incur no capital or maintenance costs.  The only costs incurred to respondents are those associated with telephone calls, mailing, and fax transmissions.  </w:t>
      </w:r>
      <w:proofErr w:type="gramStart"/>
      <w:r w:rsidRPr="00177C1F">
        <w:t>All of</w:t>
      </w:r>
      <w:proofErr w:type="gramEnd"/>
      <w:r w:rsidRPr="00177C1F">
        <w:t xml:space="preserve"> these costs are part of normal business expenses.</w:t>
      </w:r>
    </w:p>
    <w:p w:rsidRPr="00177C1F" w:rsidR="00BA550E" w:rsidP="007F3FE5" w:rsidRDefault="00793601" w14:paraId="1C5AEADA" w14:textId="77777777">
      <w:pPr>
        <w:widowControl/>
        <w:contextualSpacing/>
        <w:rPr>
          <w:bCs/>
        </w:rPr>
      </w:pPr>
      <w:r w:rsidRPr="00177C1F">
        <w:rPr>
          <w:bCs/>
        </w:rPr>
        <w:lastRenderedPageBreak/>
        <w:t xml:space="preserve"> </w:t>
      </w:r>
    </w:p>
    <w:p w:rsidRPr="00CA28BC" w:rsidR="00BA550E" w:rsidP="00177C1F" w:rsidRDefault="00793601" w14:paraId="66F0744D" w14:textId="77777777">
      <w:pPr>
        <w:pStyle w:val="Heading3"/>
        <w:rPr>
          <w:rFonts w:ascii="Times New Roman" w:hAnsi="Times New Roman"/>
          <w:color w:val="auto"/>
          <w:sz w:val="24"/>
          <w:szCs w:val="24"/>
        </w:rPr>
      </w:pPr>
      <w:bookmarkStart w:name="_Toc412817466" w:id="18"/>
      <w:r w:rsidRPr="00CA28BC">
        <w:rPr>
          <w:rFonts w:ascii="Times New Roman" w:hAnsi="Times New Roman"/>
          <w:color w:val="auto"/>
          <w:sz w:val="24"/>
          <w:szCs w:val="24"/>
        </w:rPr>
        <w:t>14.  Annualized Cost to the Government</w:t>
      </w:r>
      <w:bookmarkEnd w:id="18"/>
    </w:p>
    <w:p w:rsidRPr="00CA28BC" w:rsidR="00BA550E" w:rsidP="007F3FE5" w:rsidRDefault="00BA550E" w14:paraId="31AA9646" w14:textId="77777777">
      <w:pPr>
        <w:widowControl/>
        <w:contextualSpacing/>
        <w:rPr>
          <w:bCs/>
        </w:rPr>
      </w:pPr>
    </w:p>
    <w:p w:rsidR="00BA550E" w:rsidP="007F3FE5" w:rsidRDefault="00793601" w14:paraId="7853CF45" w14:textId="77777777">
      <w:pPr>
        <w:widowControl/>
        <w:contextualSpacing/>
        <w:rPr>
          <w:bCs/>
        </w:rPr>
      </w:pPr>
      <w:bookmarkStart w:name="_Hlk33711000" w:id="19"/>
      <w:r w:rsidRPr="00CA28BC">
        <w:rPr>
          <w:bCs/>
        </w:rPr>
        <w:t xml:space="preserve">The total </w:t>
      </w:r>
      <w:r w:rsidR="003A535D">
        <w:rPr>
          <w:bCs/>
        </w:rPr>
        <w:t xml:space="preserve">annualized </w:t>
      </w:r>
      <w:r w:rsidRPr="00CA28BC">
        <w:rPr>
          <w:bCs/>
        </w:rPr>
        <w:t>cost for implementing these regulatory activiti</w:t>
      </w:r>
      <w:r w:rsidRPr="00CA28BC" w:rsidR="00C3690B">
        <w:rPr>
          <w:bCs/>
        </w:rPr>
        <w:t xml:space="preserve">es budgeted </w:t>
      </w:r>
      <w:r w:rsidRPr="00CA28BC">
        <w:rPr>
          <w:bCs/>
        </w:rPr>
        <w:t xml:space="preserve">is </w:t>
      </w:r>
      <w:r w:rsidRPr="00CA28BC">
        <w:t>$</w:t>
      </w:r>
      <w:r w:rsidRPr="002E7767" w:rsidR="002E7767">
        <w:rPr>
          <w:bCs/>
        </w:rPr>
        <w:t>19,896,009</w:t>
      </w:r>
      <w:r w:rsidR="002E7767">
        <w:rPr>
          <w:bCs/>
        </w:rPr>
        <w:t xml:space="preserve"> </w:t>
      </w:r>
      <w:r w:rsidRPr="00CA28BC">
        <w:rPr>
          <w:bCs/>
        </w:rPr>
        <w:t>and includes FTE’s and contracts.</w:t>
      </w:r>
    </w:p>
    <w:p w:rsidRPr="00CA28BC" w:rsidR="00CA28BC" w:rsidP="007F3FE5" w:rsidRDefault="00CA28BC" w14:paraId="42439416" w14:textId="77777777">
      <w:pPr>
        <w:widowControl/>
        <w:contextualSpacing/>
      </w:pPr>
    </w:p>
    <w:bookmarkEnd w:id="19"/>
    <w:p w:rsidRPr="002E7767" w:rsidR="002E7767" w:rsidP="002E7767" w:rsidRDefault="002E7767" w14:paraId="3594D9F3" w14:textId="77777777">
      <w:pPr>
        <w:widowControl/>
        <w:contextualSpacing/>
        <w:rPr>
          <w:bCs/>
        </w:rPr>
      </w:pPr>
    </w:p>
    <w:p w:rsidRPr="002E7767" w:rsidR="002E7767" w:rsidP="002E7767" w:rsidRDefault="002E7767" w14:paraId="2A79FD78" w14:textId="77777777">
      <w:pPr>
        <w:widowControl/>
        <w:contextualSpacing/>
        <w:rPr>
          <w:bCs/>
        </w:rPr>
      </w:pPr>
      <w:r w:rsidRPr="002E7767">
        <w:rPr>
          <w:bCs/>
        </w:rPr>
        <w:t>Compensation summary                                                                          $9,863121</w:t>
      </w:r>
    </w:p>
    <w:p w:rsidRPr="002E7767" w:rsidR="002E7767" w:rsidP="002E7767" w:rsidRDefault="002E7767" w14:paraId="24FDB54B" w14:textId="77777777">
      <w:pPr>
        <w:widowControl/>
        <w:contextualSpacing/>
        <w:rPr>
          <w:bCs/>
        </w:rPr>
      </w:pPr>
      <w:r w:rsidRPr="002E7767">
        <w:rPr>
          <w:bCs/>
        </w:rPr>
        <w:t>Personnel benefits                                                                                     2,911,843</w:t>
      </w:r>
    </w:p>
    <w:p w:rsidRPr="002E7767" w:rsidR="002E7767" w:rsidP="002E7767" w:rsidRDefault="002E7767" w14:paraId="3420C9C6" w14:textId="77777777">
      <w:pPr>
        <w:widowControl/>
        <w:contextualSpacing/>
        <w:rPr>
          <w:bCs/>
        </w:rPr>
      </w:pPr>
      <w:proofErr w:type="spellStart"/>
      <w:r w:rsidRPr="002E7767">
        <w:rPr>
          <w:bCs/>
        </w:rPr>
        <w:t>Misc</w:t>
      </w:r>
      <w:proofErr w:type="spellEnd"/>
      <w:r w:rsidRPr="002E7767">
        <w:rPr>
          <w:bCs/>
        </w:rPr>
        <w:t xml:space="preserve"> Personnel cost est.                                                   </w:t>
      </w:r>
      <w:r>
        <w:rPr>
          <w:bCs/>
        </w:rPr>
        <w:tab/>
      </w:r>
      <w:r>
        <w:rPr>
          <w:bCs/>
        </w:rPr>
        <w:tab/>
        <w:t xml:space="preserve">          </w:t>
      </w:r>
      <w:r w:rsidRPr="002E7767">
        <w:rPr>
          <w:bCs/>
        </w:rPr>
        <w:t>160,000</w:t>
      </w:r>
    </w:p>
    <w:p w:rsidRPr="002E7767" w:rsidR="002E7767" w:rsidP="002E7767" w:rsidRDefault="002E7767" w14:paraId="68E98E5D" w14:textId="77777777">
      <w:pPr>
        <w:widowControl/>
        <w:contextualSpacing/>
        <w:rPr>
          <w:bCs/>
        </w:rPr>
      </w:pPr>
      <w:r w:rsidRPr="002E7767">
        <w:rPr>
          <w:bCs/>
        </w:rPr>
        <w:t xml:space="preserve">Travel                                                                                                            900,000                                                                                         </w:t>
      </w:r>
    </w:p>
    <w:p w:rsidRPr="002E7767" w:rsidR="002E7767" w:rsidP="002E7767" w:rsidRDefault="002E7767" w14:paraId="63077307" w14:textId="77777777">
      <w:pPr>
        <w:widowControl/>
        <w:contextualSpacing/>
        <w:rPr>
          <w:bCs/>
        </w:rPr>
      </w:pPr>
      <w:r w:rsidRPr="002E7767">
        <w:rPr>
          <w:bCs/>
        </w:rPr>
        <w:t xml:space="preserve">Transportation: Shipping                                                                              </w:t>
      </w:r>
      <w:r>
        <w:rPr>
          <w:bCs/>
        </w:rPr>
        <w:t xml:space="preserve"> </w:t>
      </w:r>
      <w:r w:rsidRPr="002E7767">
        <w:rPr>
          <w:bCs/>
        </w:rPr>
        <w:t xml:space="preserve">   5,000</w:t>
      </w:r>
    </w:p>
    <w:p w:rsidRPr="002E7767" w:rsidR="002E7767" w:rsidP="002E7767" w:rsidRDefault="002E7767" w14:paraId="2FD4CD4E" w14:textId="77777777">
      <w:pPr>
        <w:widowControl/>
        <w:contextualSpacing/>
        <w:rPr>
          <w:bCs/>
        </w:rPr>
      </w:pPr>
      <w:r w:rsidRPr="002E7767">
        <w:rPr>
          <w:bCs/>
        </w:rPr>
        <w:t>Rent, telecommunication, other communication &amp; utilities                            70,000</w:t>
      </w:r>
    </w:p>
    <w:p w:rsidRPr="002E7767" w:rsidR="002E7767" w:rsidP="002E7767" w:rsidRDefault="002E7767" w14:paraId="11D4E32F" w14:textId="77777777">
      <w:pPr>
        <w:widowControl/>
        <w:contextualSpacing/>
        <w:rPr>
          <w:bCs/>
        </w:rPr>
      </w:pPr>
      <w:r w:rsidRPr="002E7767">
        <w:rPr>
          <w:bCs/>
        </w:rPr>
        <w:t>Printing &amp; reproduction                                                                                    10,000</w:t>
      </w:r>
    </w:p>
    <w:p w:rsidRPr="002E7767" w:rsidR="002E7767" w:rsidP="002E7767" w:rsidRDefault="002E7767" w14:paraId="2F1C3E3E" w14:textId="77777777">
      <w:pPr>
        <w:widowControl/>
        <w:contextualSpacing/>
        <w:rPr>
          <w:bCs/>
        </w:rPr>
      </w:pPr>
      <w:r w:rsidRPr="002E7767">
        <w:rPr>
          <w:bCs/>
        </w:rPr>
        <w:t>Consulting and other services                                                                      5,841,045</w:t>
      </w:r>
    </w:p>
    <w:p w:rsidRPr="002E7767" w:rsidR="002E7767" w:rsidP="002E7767" w:rsidRDefault="002E7767" w14:paraId="698CA4E4" w14:textId="77777777">
      <w:pPr>
        <w:widowControl/>
        <w:contextualSpacing/>
        <w:rPr>
          <w:bCs/>
        </w:rPr>
      </w:pPr>
      <w:r w:rsidRPr="002E7767">
        <w:rPr>
          <w:bCs/>
        </w:rPr>
        <w:t>Supplies &amp; materials                                                                                         50,000</w:t>
      </w:r>
    </w:p>
    <w:p w:rsidRPr="002E7767" w:rsidR="002E7767" w:rsidP="002E7767" w:rsidRDefault="002E7767" w14:paraId="539EACE6" w14:textId="77777777">
      <w:pPr>
        <w:widowControl/>
        <w:contextualSpacing/>
        <w:rPr>
          <w:bCs/>
        </w:rPr>
      </w:pPr>
      <w:r w:rsidRPr="002E7767">
        <w:rPr>
          <w:bCs/>
        </w:rPr>
        <w:t>Equipment                                                                                                         60,000</w:t>
      </w:r>
    </w:p>
    <w:p w:rsidRPr="002E7767" w:rsidR="002E7767" w:rsidP="002E7767" w:rsidRDefault="002E7767" w14:paraId="095BC6E1" w14:textId="77777777">
      <w:pPr>
        <w:widowControl/>
        <w:contextualSpacing/>
        <w:rPr>
          <w:bCs/>
        </w:rPr>
      </w:pPr>
    </w:p>
    <w:p w:rsidRPr="00177C1F" w:rsidR="00BA550E" w:rsidP="002E7767" w:rsidRDefault="002E7767" w14:paraId="20E9589E" w14:textId="77777777">
      <w:pPr>
        <w:widowControl/>
        <w:contextualSpacing/>
        <w:rPr>
          <w:bCs/>
        </w:rPr>
      </w:pPr>
      <w:r w:rsidRPr="002E7767">
        <w:rPr>
          <w:bCs/>
        </w:rPr>
        <w:t>Grand Total:                                                                                               $19,896,009</w:t>
      </w:r>
      <w:r w:rsidRPr="00177C1F" w:rsidR="00793601">
        <w:rPr>
          <w:bCs/>
        </w:rPr>
        <w:tab/>
      </w:r>
      <w:r w:rsidRPr="00177C1F" w:rsidR="00793601">
        <w:rPr>
          <w:bCs/>
        </w:rPr>
        <w:tab/>
      </w:r>
    </w:p>
    <w:p w:rsidRPr="00177C1F" w:rsidR="00BA550E" w:rsidP="00177C1F" w:rsidRDefault="00793601" w14:paraId="32F965B0" w14:textId="77777777">
      <w:pPr>
        <w:pStyle w:val="Heading3"/>
        <w:rPr>
          <w:rFonts w:ascii="Times New Roman" w:hAnsi="Times New Roman"/>
          <w:color w:val="auto"/>
          <w:sz w:val="24"/>
          <w:szCs w:val="24"/>
        </w:rPr>
      </w:pPr>
      <w:bookmarkStart w:name="_Toc412817467" w:id="20"/>
      <w:r w:rsidRPr="00177C1F">
        <w:rPr>
          <w:rFonts w:ascii="Times New Roman" w:hAnsi="Times New Roman"/>
          <w:color w:val="auto"/>
          <w:sz w:val="24"/>
          <w:szCs w:val="24"/>
        </w:rPr>
        <w:t>15.  Explanation for Program Changes or Adjustments</w:t>
      </w:r>
      <w:bookmarkEnd w:id="20"/>
    </w:p>
    <w:p w:rsidRPr="00177C1F" w:rsidR="003C1C3D" w:rsidP="003C1C3D" w:rsidRDefault="003C1C3D" w14:paraId="24BEE4EF" w14:textId="77777777">
      <w:pPr>
        <w:jc w:val="both"/>
      </w:pPr>
    </w:p>
    <w:p w:rsidR="008851AC" w:rsidP="003C1C3D" w:rsidRDefault="00781D39" w14:paraId="4A61700D" w14:textId="77777777">
      <w:pPr>
        <w:jc w:val="both"/>
      </w:pPr>
      <w:r>
        <w:t xml:space="preserve">The </w:t>
      </w:r>
      <w:r w:rsidR="002E23EE">
        <w:t xml:space="preserve">program changes in this </w:t>
      </w:r>
      <w:r>
        <w:t>revis</w:t>
      </w:r>
      <w:r w:rsidR="002E23EE">
        <w:t>ed</w:t>
      </w:r>
      <w:r>
        <w:t xml:space="preserve"> data collection are primarily changes to the forms to clarify instructions, correct editorial errors from previous submissions, and reformat the structure of the forms based on the day-to-day processing of these forms.  The</w:t>
      </w:r>
      <w:r w:rsidR="002E23EE">
        <w:t>re is a</w:t>
      </w:r>
      <w:r>
        <w:t xml:space="preserve"> </w:t>
      </w:r>
      <w:r w:rsidR="00C47A67">
        <w:t xml:space="preserve">reduction in </w:t>
      </w:r>
      <w:r w:rsidR="002E23EE">
        <w:t>burden</w:t>
      </w:r>
      <w:r w:rsidR="00C47A67">
        <w:t xml:space="preserve"> due to </w:t>
      </w:r>
      <w:r w:rsidRPr="00177C1F" w:rsidR="00495833">
        <w:rPr>
          <w:bCs/>
        </w:rPr>
        <w:t>the decrease in the number of respondents</w:t>
      </w:r>
      <w:r w:rsidR="00495833">
        <w:rPr>
          <w:bCs/>
        </w:rPr>
        <w:t xml:space="preserve"> and the implementation of eFSAP.</w:t>
      </w:r>
    </w:p>
    <w:p w:rsidR="00C31B09" w:rsidP="00B65381" w:rsidRDefault="00C31B09" w14:paraId="17148AA7" w14:textId="77777777">
      <w:pPr>
        <w:ind w:left="720"/>
        <w:jc w:val="both"/>
      </w:pPr>
    </w:p>
    <w:p w:rsidRPr="00177C1F" w:rsidR="00BA550E" w:rsidP="00177C1F" w:rsidRDefault="00793601" w14:paraId="0A17D9AD" w14:textId="77777777">
      <w:pPr>
        <w:pStyle w:val="Heading3"/>
        <w:rPr>
          <w:rFonts w:ascii="Times New Roman" w:hAnsi="Times New Roman"/>
          <w:color w:val="auto"/>
          <w:sz w:val="24"/>
          <w:szCs w:val="24"/>
        </w:rPr>
      </w:pPr>
      <w:bookmarkStart w:name="_Toc412817468" w:id="21"/>
      <w:r w:rsidRPr="00177C1F">
        <w:rPr>
          <w:rFonts w:ascii="Times New Roman" w:hAnsi="Times New Roman"/>
          <w:color w:val="auto"/>
          <w:sz w:val="24"/>
          <w:szCs w:val="24"/>
        </w:rPr>
        <w:t>16.  Plans for Tabulation and Publication and Project Time Schedule</w:t>
      </w:r>
      <w:bookmarkEnd w:id="21"/>
    </w:p>
    <w:p w:rsidRPr="00177C1F" w:rsidR="003C1C3D" w:rsidP="007F3FE5" w:rsidRDefault="003C1C3D" w14:paraId="50066D61" w14:textId="77777777">
      <w:pPr>
        <w:widowControl/>
        <w:contextualSpacing/>
        <w:rPr>
          <w:bCs/>
        </w:rPr>
      </w:pPr>
    </w:p>
    <w:p w:rsidRPr="00177C1F" w:rsidR="00BA550E" w:rsidP="007F3FE5" w:rsidRDefault="00793601" w14:paraId="219F1089" w14:textId="77777777">
      <w:pPr>
        <w:widowControl/>
        <w:contextualSpacing/>
        <w:rPr>
          <w:bCs/>
        </w:rPr>
      </w:pPr>
      <w:r w:rsidRPr="00177C1F">
        <w:rPr>
          <w:bCs/>
        </w:rPr>
        <w:t xml:space="preserve">There are no plans for tabulation and publication of these data.  </w:t>
      </w:r>
    </w:p>
    <w:p w:rsidRPr="00177C1F" w:rsidR="00BA550E" w:rsidP="007F3FE5" w:rsidRDefault="00BA550E" w14:paraId="6E4A19A1" w14:textId="77777777">
      <w:pPr>
        <w:widowControl/>
        <w:tabs>
          <w:tab w:val="left" w:pos="-1440"/>
        </w:tabs>
        <w:contextualSpacing/>
        <w:rPr>
          <w:bCs/>
        </w:rPr>
      </w:pPr>
    </w:p>
    <w:p w:rsidRPr="00177C1F" w:rsidR="00BA550E" w:rsidP="00177C1F" w:rsidRDefault="00793601" w14:paraId="2BC628BB" w14:textId="77777777">
      <w:pPr>
        <w:pStyle w:val="Heading3"/>
        <w:rPr>
          <w:rFonts w:ascii="Times New Roman" w:hAnsi="Times New Roman"/>
          <w:color w:val="auto"/>
          <w:sz w:val="24"/>
          <w:szCs w:val="24"/>
        </w:rPr>
      </w:pPr>
      <w:bookmarkStart w:name="_Toc412817469" w:id="22"/>
      <w:r w:rsidRPr="00177C1F">
        <w:rPr>
          <w:rFonts w:ascii="Times New Roman" w:hAnsi="Times New Roman"/>
          <w:color w:val="auto"/>
          <w:sz w:val="24"/>
          <w:szCs w:val="24"/>
        </w:rPr>
        <w:t>17.  Reason(s) Display of OMB Expiration Date is Inappropriate</w:t>
      </w:r>
      <w:bookmarkEnd w:id="22"/>
    </w:p>
    <w:p w:rsidRPr="00177C1F" w:rsidR="003C1C3D" w:rsidP="007F3FE5" w:rsidRDefault="003C1C3D" w14:paraId="6C154F7E" w14:textId="77777777">
      <w:pPr>
        <w:widowControl/>
        <w:tabs>
          <w:tab w:val="left" w:pos="-1440"/>
        </w:tabs>
        <w:contextualSpacing/>
        <w:rPr>
          <w:bCs/>
        </w:rPr>
      </w:pPr>
    </w:p>
    <w:p w:rsidRPr="00177C1F" w:rsidR="00BA550E" w:rsidP="007F3FE5" w:rsidRDefault="00793601" w14:paraId="08979282" w14:textId="77777777">
      <w:pPr>
        <w:widowControl/>
        <w:tabs>
          <w:tab w:val="left" w:pos="-1440"/>
        </w:tabs>
        <w:contextualSpacing/>
        <w:rPr>
          <w:bCs/>
        </w:rPr>
      </w:pPr>
      <w:r w:rsidRPr="00177C1F">
        <w:rPr>
          <w:bCs/>
        </w:rPr>
        <w:t xml:space="preserve">The display of the OMB expiration date is appropriate. </w:t>
      </w:r>
    </w:p>
    <w:p w:rsidRPr="00177C1F" w:rsidR="00BA550E" w:rsidP="007F3FE5" w:rsidRDefault="00BA550E" w14:paraId="39DC30E9" w14:textId="77777777">
      <w:pPr>
        <w:widowControl/>
        <w:tabs>
          <w:tab w:val="left" w:pos="-1440"/>
        </w:tabs>
        <w:contextualSpacing/>
        <w:rPr>
          <w:bCs/>
        </w:rPr>
      </w:pPr>
    </w:p>
    <w:p w:rsidRPr="00177C1F" w:rsidR="00BA550E" w:rsidP="00177C1F" w:rsidRDefault="00793601" w14:paraId="4F4D3083" w14:textId="77777777">
      <w:pPr>
        <w:pStyle w:val="Heading3"/>
        <w:rPr>
          <w:rFonts w:ascii="Times New Roman" w:hAnsi="Times New Roman"/>
          <w:color w:val="auto"/>
          <w:sz w:val="24"/>
          <w:szCs w:val="24"/>
        </w:rPr>
      </w:pPr>
      <w:bookmarkStart w:name="_Toc412817470" w:id="23"/>
      <w:r w:rsidRPr="00177C1F">
        <w:rPr>
          <w:rFonts w:ascii="Times New Roman" w:hAnsi="Times New Roman"/>
          <w:color w:val="auto"/>
          <w:sz w:val="24"/>
          <w:szCs w:val="24"/>
        </w:rPr>
        <w:t>18.  Exceptions to Certification for Paperwork Reduction Act Submission</w:t>
      </w:r>
      <w:bookmarkEnd w:id="23"/>
    </w:p>
    <w:p w:rsidRPr="00177C1F" w:rsidR="003C1C3D" w:rsidP="007F3FE5" w:rsidRDefault="003C1C3D" w14:paraId="5F4AF192" w14:textId="77777777">
      <w:pPr>
        <w:widowControl/>
        <w:tabs>
          <w:tab w:val="left" w:pos="-1440"/>
        </w:tabs>
        <w:contextualSpacing/>
        <w:rPr>
          <w:bCs/>
        </w:rPr>
      </w:pPr>
    </w:p>
    <w:p w:rsidRPr="00177C1F" w:rsidR="00BA550E" w:rsidP="007F3FE5" w:rsidRDefault="00793601" w14:paraId="59226207" w14:textId="77777777">
      <w:pPr>
        <w:widowControl/>
        <w:tabs>
          <w:tab w:val="left" w:pos="-1440"/>
        </w:tabs>
        <w:contextualSpacing/>
        <w:rPr>
          <w:bCs/>
        </w:rPr>
      </w:pPr>
      <w:r w:rsidRPr="00177C1F">
        <w:rPr>
          <w:bCs/>
        </w:rPr>
        <w:t xml:space="preserve">There are no exceptions to the certification. </w:t>
      </w:r>
    </w:p>
    <w:p w:rsidRPr="00177C1F" w:rsidR="00BA550E" w:rsidP="007F3FE5" w:rsidRDefault="00BA550E" w14:paraId="17178747" w14:textId="77777777">
      <w:pPr>
        <w:widowControl/>
        <w:tabs>
          <w:tab w:val="left" w:pos="-1440"/>
        </w:tabs>
        <w:contextualSpacing/>
        <w:rPr>
          <w:bCs/>
        </w:rPr>
      </w:pPr>
    </w:p>
    <w:p w:rsidRPr="00177C1F" w:rsidR="00BA550E" w:rsidP="007F3FE5" w:rsidRDefault="00BA550E" w14:paraId="7CAD755F" w14:textId="77777777">
      <w:pPr>
        <w:widowControl/>
        <w:tabs>
          <w:tab w:val="left" w:pos="-1440"/>
        </w:tabs>
        <w:contextualSpacing/>
        <w:rPr>
          <w:bCs/>
        </w:rPr>
      </w:pPr>
    </w:p>
    <w:p w:rsidRPr="00177C1F" w:rsidR="00BA550E" w:rsidP="007F3FE5" w:rsidRDefault="00BA550E" w14:paraId="257CC1C3" w14:textId="77777777">
      <w:pPr>
        <w:contextualSpacing/>
        <w:sectPr w:rsidRPr="00177C1F" w:rsidR="00BA550E">
          <w:type w:val="continuous"/>
          <w:pgSz w:w="12240" w:h="15840"/>
          <w:pgMar w:top="1440" w:right="1440" w:bottom="1440" w:left="1440" w:header="720" w:footer="720" w:gutter="0"/>
          <w:cols w:space="720"/>
          <w:titlePg/>
        </w:sectPr>
      </w:pPr>
    </w:p>
    <w:p w:rsidRPr="00177C1F" w:rsidR="007703BD" w:rsidP="00177C1F" w:rsidRDefault="007703BD" w14:paraId="3E22203E" w14:textId="77777777">
      <w:pPr>
        <w:pStyle w:val="Heading2"/>
        <w:rPr>
          <w:rFonts w:ascii="Times New Roman" w:hAnsi="Times New Roman"/>
          <w:sz w:val="24"/>
          <w:szCs w:val="24"/>
        </w:rPr>
      </w:pPr>
      <w:bookmarkStart w:name="_Toc412817471" w:id="24"/>
      <w:r w:rsidRPr="00177C1F">
        <w:rPr>
          <w:rFonts w:ascii="Times New Roman" w:hAnsi="Times New Roman"/>
          <w:sz w:val="24"/>
          <w:szCs w:val="24"/>
        </w:rPr>
        <w:lastRenderedPageBreak/>
        <w:t>List of Attachments</w:t>
      </w:r>
      <w:r w:rsidRPr="00177C1F" w:rsidR="006F1906">
        <w:rPr>
          <w:rFonts w:ascii="Times New Roman" w:hAnsi="Times New Roman"/>
          <w:sz w:val="24"/>
          <w:szCs w:val="24"/>
        </w:rPr>
        <w:t>:</w:t>
      </w:r>
      <w:bookmarkEnd w:id="24"/>
    </w:p>
    <w:p w:rsidRPr="00177C1F" w:rsidR="00684506" w:rsidP="001D4504" w:rsidRDefault="00684506" w14:paraId="3E3BD28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p w:rsidR="00684506" w:rsidP="007F3FE5" w:rsidRDefault="00684506" w14:paraId="18083D0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rPr>
          <w:bCs/>
        </w:rPr>
      </w:pPr>
      <w:r w:rsidRPr="00177C1F">
        <w:rPr>
          <w:bCs/>
        </w:rPr>
        <w:t>Attachment 1</w:t>
      </w:r>
      <w:r w:rsidRPr="00177C1F">
        <w:rPr>
          <w:bCs/>
        </w:rPr>
        <w:tab/>
      </w:r>
      <w:r w:rsidRPr="00177C1F">
        <w:rPr>
          <w:bCs/>
        </w:rPr>
        <w:tab/>
        <w:t>Possession, Use and Transfer of Select Agents and Toxins (42</w:t>
      </w:r>
      <w:r w:rsidRPr="00177C1F" w:rsidR="003861A5">
        <w:rPr>
          <w:bCs/>
        </w:rPr>
        <w:t xml:space="preserve"> </w:t>
      </w:r>
      <w:r w:rsidRPr="00177C1F">
        <w:rPr>
          <w:bCs/>
        </w:rPr>
        <w:t>CFR Part 73) – Final Rule</w:t>
      </w:r>
    </w:p>
    <w:p w:rsidRPr="00177C1F" w:rsidR="00943137" w:rsidP="007F3FE5" w:rsidRDefault="00943137" w14:paraId="0F19903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rPr>
          <w:bCs/>
        </w:rPr>
      </w:pPr>
    </w:p>
    <w:p w:rsidRPr="0091115D" w:rsidR="0091115D" w:rsidP="0091115D" w:rsidRDefault="0091115D" w14:paraId="62BEEFB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rPr>
          <w:bCs/>
        </w:rPr>
      </w:pPr>
      <w:r>
        <w:rPr>
          <w:bCs/>
        </w:rPr>
        <w:t>Attachment 2</w:t>
      </w:r>
      <w:r w:rsidRPr="0091115D">
        <w:rPr>
          <w:bCs/>
        </w:rPr>
        <w:tab/>
      </w:r>
      <w:r w:rsidRPr="0091115D">
        <w:rPr>
          <w:bCs/>
        </w:rPr>
        <w:tab/>
        <w:t xml:space="preserve">60-Day Federal Register Notice 0920-0576 </w:t>
      </w:r>
    </w:p>
    <w:p w:rsidRPr="0091115D" w:rsidR="0091115D" w:rsidP="0091115D" w:rsidRDefault="0091115D" w14:paraId="52000A5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rPr>
          <w:bCs/>
        </w:rPr>
      </w:pPr>
    </w:p>
    <w:p w:rsidR="00A96720" w:rsidP="007F3FE5" w:rsidRDefault="00684506" w14:paraId="669A706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bookmarkStart w:name="OLE_LINK1" w:id="25"/>
      <w:r w:rsidRPr="00177C1F">
        <w:rPr>
          <w:bCs/>
        </w:rPr>
        <w:t xml:space="preserve">Attachment </w:t>
      </w:r>
      <w:r w:rsidR="00A96720">
        <w:rPr>
          <w:bCs/>
        </w:rPr>
        <w:t>3</w:t>
      </w:r>
      <w:r w:rsidRPr="00177C1F">
        <w:rPr>
          <w:bCs/>
        </w:rPr>
        <w:tab/>
      </w:r>
      <w:r w:rsidRPr="00177C1F">
        <w:rPr>
          <w:bCs/>
        </w:rPr>
        <w:tab/>
        <w:t xml:space="preserve">System of Record Notice </w:t>
      </w:r>
    </w:p>
    <w:p w:rsidR="00A96720" w:rsidP="007F3FE5" w:rsidRDefault="00A96720" w14:paraId="4DD7A28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p w:rsidR="005A4B62" w:rsidP="007F3FE5" w:rsidRDefault="00A96720" w14:paraId="6482A6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Pr>
          <w:bCs/>
        </w:rPr>
        <w:t>Attachment 4</w:t>
      </w:r>
      <w:r>
        <w:rPr>
          <w:bCs/>
        </w:rPr>
        <w:tab/>
      </w:r>
      <w:r>
        <w:rPr>
          <w:bCs/>
        </w:rPr>
        <w:tab/>
      </w:r>
      <w:r w:rsidR="005A4B62">
        <w:rPr>
          <w:bCs/>
        </w:rPr>
        <w:t>Modification Notice of System of Records</w:t>
      </w:r>
    </w:p>
    <w:p w:rsidR="0091115D" w:rsidP="007F3FE5" w:rsidRDefault="0091115D" w14:paraId="033A62B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p w:rsidR="00943137" w:rsidP="00943137" w:rsidRDefault="00943137" w14:paraId="71E963F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Pr>
          <w:bCs/>
        </w:rPr>
        <w:t xml:space="preserve">Attachment 5 </w:t>
      </w:r>
      <w:r>
        <w:rPr>
          <w:bCs/>
        </w:rPr>
        <w:tab/>
      </w:r>
      <w:r>
        <w:rPr>
          <w:bCs/>
        </w:rPr>
        <w:tab/>
      </w:r>
      <w:r w:rsidRPr="00943137">
        <w:rPr>
          <w:bCs/>
        </w:rPr>
        <w:t>Request for Exclusions</w:t>
      </w:r>
    </w:p>
    <w:p w:rsidRPr="00943137" w:rsidR="00943137" w:rsidP="00943137" w:rsidRDefault="00943137" w14:paraId="21ABD22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p w:rsidRPr="00943137" w:rsidR="00943137" w:rsidP="00943137" w:rsidRDefault="00943137" w14:paraId="57A9ABD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Pr>
          <w:bCs/>
        </w:rPr>
        <w:t xml:space="preserve">Attachment 6 </w:t>
      </w:r>
      <w:r>
        <w:rPr>
          <w:bCs/>
        </w:rPr>
        <w:tab/>
      </w:r>
      <w:r>
        <w:rPr>
          <w:bCs/>
        </w:rPr>
        <w:tab/>
      </w:r>
      <w:r w:rsidRPr="00943137">
        <w:rPr>
          <w:bCs/>
        </w:rPr>
        <w:t>Report of Identification of a Select Agent or Toxin</w:t>
      </w:r>
    </w:p>
    <w:p w:rsidR="00943137" w:rsidP="00943137" w:rsidRDefault="00943137" w14:paraId="2331F4C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p w:rsidRPr="00943137" w:rsidR="00943137" w:rsidP="00943137" w:rsidRDefault="00943137" w14:paraId="4E884D6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Pr>
          <w:bCs/>
        </w:rPr>
        <w:t xml:space="preserve">Attachment 7 </w:t>
      </w:r>
      <w:r>
        <w:rPr>
          <w:bCs/>
        </w:rPr>
        <w:tab/>
      </w:r>
      <w:r>
        <w:rPr>
          <w:bCs/>
        </w:rPr>
        <w:tab/>
      </w:r>
      <w:r w:rsidRPr="00943137">
        <w:rPr>
          <w:bCs/>
        </w:rPr>
        <w:t xml:space="preserve">Request </w:t>
      </w:r>
      <w:r w:rsidR="000B596F">
        <w:rPr>
          <w:bCs/>
        </w:rPr>
        <w:t>for</w:t>
      </w:r>
      <w:r w:rsidRPr="00943137">
        <w:rPr>
          <w:bCs/>
        </w:rPr>
        <w:t xml:space="preserve"> Exemption</w:t>
      </w:r>
    </w:p>
    <w:p w:rsidR="00943137" w:rsidP="00943137" w:rsidRDefault="00943137" w14:paraId="5E0F7EA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p w:rsidRPr="00943137" w:rsidR="00943137" w:rsidP="00943137" w:rsidRDefault="00943137" w14:paraId="137BAD8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Pr>
          <w:bCs/>
        </w:rPr>
        <w:t xml:space="preserve">Attachment 8 </w:t>
      </w:r>
      <w:r>
        <w:rPr>
          <w:bCs/>
        </w:rPr>
        <w:tab/>
      </w:r>
      <w:r>
        <w:rPr>
          <w:bCs/>
        </w:rPr>
        <w:tab/>
      </w:r>
      <w:r w:rsidRPr="00943137">
        <w:rPr>
          <w:bCs/>
        </w:rPr>
        <w:t>Application for Registration</w:t>
      </w:r>
    </w:p>
    <w:p w:rsidR="00943137" w:rsidP="00943137" w:rsidRDefault="00943137" w14:paraId="0ABC14F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p w:rsidRPr="00943137" w:rsidR="00943137" w:rsidP="00943137" w:rsidRDefault="00943137" w14:paraId="6C7D1F2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Pr>
          <w:bCs/>
        </w:rPr>
        <w:t>Attachment 9</w:t>
      </w:r>
      <w:r>
        <w:rPr>
          <w:bCs/>
        </w:rPr>
        <w:tab/>
      </w:r>
      <w:r>
        <w:rPr>
          <w:bCs/>
        </w:rPr>
        <w:tab/>
      </w:r>
      <w:r w:rsidRPr="00943137">
        <w:rPr>
          <w:bCs/>
        </w:rPr>
        <w:t>Amendment to a Certificate of Registration</w:t>
      </w:r>
    </w:p>
    <w:p w:rsidR="00943137" w:rsidP="00943137" w:rsidRDefault="00943137" w14:paraId="1721B3D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p w:rsidRPr="00943137" w:rsidR="00943137" w:rsidP="00943137" w:rsidRDefault="00943137" w14:paraId="02FD76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Pr>
          <w:bCs/>
        </w:rPr>
        <w:t xml:space="preserve">Attachment 10 </w:t>
      </w:r>
      <w:r>
        <w:rPr>
          <w:bCs/>
        </w:rPr>
        <w:tab/>
      </w:r>
      <w:r w:rsidRPr="00943137">
        <w:rPr>
          <w:bCs/>
        </w:rPr>
        <w:t>Documentation of self-inspection</w:t>
      </w:r>
    </w:p>
    <w:p w:rsidR="00943137" w:rsidP="00943137" w:rsidRDefault="00943137" w14:paraId="50AAACB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p w:rsidRPr="00943137" w:rsidR="00943137" w:rsidP="00943137" w:rsidRDefault="00943137" w14:paraId="3EB05CD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Pr>
          <w:bCs/>
        </w:rPr>
        <w:t>Attachment 11</w:t>
      </w:r>
      <w:r>
        <w:rPr>
          <w:bCs/>
        </w:rPr>
        <w:tab/>
      </w:r>
      <w:r>
        <w:rPr>
          <w:bCs/>
        </w:rPr>
        <w:tab/>
      </w:r>
      <w:r w:rsidRPr="00943137">
        <w:rPr>
          <w:bCs/>
        </w:rPr>
        <w:t>Request for Expedited Review</w:t>
      </w:r>
    </w:p>
    <w:p w:rsidR="00943137" w:rsidP="00943137" w:rsidRDefault="00943137" w14:paraId="0EE79B9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p w:rsidRPr="00943137" w:rsidR="00943137" w:rsidP="00943137" w:rsidRDefault="00943137" w14:paraId="6648119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Pr>
          <w:bCs/>
        </w:rPr>
        <w:t xml:space="preserve">Attachment 12 </w:t>
      </w:r>
      <w:r>
        <w:rPr>
          <w:bCs/>
        </w:rPr>
        <w:tab/>
      </w:r>
      <w:r w:rsidRPr="00943137">
        <w:rPr>
          <w:bCs/>
        </w:rPr>
        <w:t>Security Plan</w:t>
      </w:r>
    </w:p>
    <w:p w:rsidR="00943137" w:rsidP="00943137" w:rsidRDefault="00943137" w14:paraId="75D7E11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p w:rsidRPr="00943137" w:rsidR="00943137" w:rsidP="00943137" w:rsidRDefault="00943137" w14:paraId="75E3064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Pr>
          <w:bCs/>
        </w:rPr>
        <w:t xml:space="preserve">Attachment 13 </w:t>
      </w:r>
      <w:r>
        <w:rPr>
          <w:bCs/>
        </w:rPr>
        <w:tab/>
      </w:r>
      <w:r w:rsidRPr="00943137">
        <w:rPr>
          <w:bCs/>
        </w:rPr>
        <w:t>Biosafety Plan</w:t>
      </w:r>
    </w:p>
    <w:p w:rsidR="00943137" w:rsidP="00943137" w:rsidRDefault="00943137" w14:paraId="217479E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p w:rsidRPr="00943137" w:rsidR="00943137" w:rsidP="00943137" w:rsidRDefault="00943137" w14:paraId="0C748D7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Pr>
          <w:bCs/>
        </w:rPr>
        <w:t xml:space="preserve">Attachment 14 </w:t>
      </w:r>
      <w:r>
        <w:rPr>
          <w:bCs/>
        </w:rPr>
        <w:tab/>
      </w:r>
      <w:r w:rsidRPr="00943137">
        <w:rPr>
          <w:bCs/>
        </w:rPr>
        <w:t>Request Regarding a Restricted Experiment</w:t>
      </w:r>
    </w:p>
    <w:p w:rsidR="00943137" w:rsidP="00943137" w:rsidRDefault="00943137" w14:paraId="6E64218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p w:rsidRPr="00943137" w:rsidR="00943137" w:rsidP="00943137" w:rsidRDefault="00943137" w14:paraId="1267890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Pr>
          <w:bCs/>
        </w:rPr>
        <w:t xml:space="preserve">Attachment 15 </w:t>
      </w:r>
      <w:r>
        <w:rPr>
          <w:bCs/>
        </w:rPr>
        <w:tab/>
      </w:r>
      <w:r w:rsidRPr="00943137">
        <w:rPr>
          <w:bCs/>
        </w:rPr>
        <w:t>Incident Response Plan</w:t>
      </w:r>
    </w:p>
    <w:p w:rsidR="00943137" w:rsidP="00943137" w:rsidRDefault="00943137" w14:paraId="29004F3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p w:rsidRPr="00943137" w:rsidR="00943137" w:rsidP="00943137" w:rsidRDefault="00943137" w14:paraId="0BEBFF5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sidRPr="00943137">
        <w:rPr>
          <w:bCs/>
        </w:rPr>
        <w:t xml:space="preserve">Attachment </w:t>
      </w:r>
      <w:r>
        <w:rPr>
          <w:bCs/>
        </w:rPr>
        <w:t>16</w:t>
      </w:r>
      <w:r>
        <w:rPr>
          <w:bCs/>
        </w:rPr>
        <w:tab/>
      </w:r>
      <w:r>
        <w:rPr>
          <w:bCs/>
        </w:rPr>
        <w:tab/>
      </w:r>
      <w:r w:rsidRPr="00943137">
        <w:rPr>
          <w:bCs/>
        </w:rPr>
        <w:t>Training</w:t>
      </w:r>
    </w:p>
    <w:p w:rsidR="00943137" w:rsidP="00943137" w:rsidRDefault="00943137" w14:paraId="77AFB14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p w:rsidRPr="00943137" w:rsidR="00943137" w:rsidP="00943137" w:rsidRDefault="00943137" w14:paraId="2A31CB1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sidRPr="00943137">
        <w:rPr>
          <w:bCs/>
        </w:rPr>
        <w:t xml:space="preserve">Attachment </w:t>
      </w:r>
      <w:r>
        <w:rPr>
          <w:bCs/>
        </w:rPr>
        <w:t>17</w:t>
      </w:r>
      <w:r>
        <w:rPr>
          <w:bCs/>
        </w:rPr>
        <w:tab/>
      </w:r>
      <w:r>
        <w:rPr>
          <w:bCs/>
        </w:rPr>
        <w:tab/>
      </w:r>
      <w:r w:rsidRPr="00943137">
        <w:rPr>
          <w:bCs/>
        </w:rPr>
        <w:t>Request to Transfer Select Agents and Toxins</w:t>
      </w:r>
    </w:p>
    <w:p w:rsidR="00943137" w:rsidP="00943137" w:rsidRDefault="00943137" w14:paraId="5349DFF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p w:rsidRPr="00943137" w:rsidR="00943137" w:rsidP="00943137" w:rsidRDefault="00943137" w14:paraId="5422DF8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sidRPr="00943137">
        <w:rPr>
          <w:bCs/>
        </w:rPr>
        <w:t xml:space="preserve">Attachment </w:t>
      </w:r>
      <w:r>
        <w:rPr>
          <w:bCs/>
        </w:rPr>
        <w:t xml:space="preserve">18 </w:t>
      </w:r>
      <w:r>
        <w:rPr>
          <w:bCs/>
        </w:rPr>
        <w:tab/>
      </w:r>
      <w:r w:rsidRPr="00943137">
        <w:rPr>
          <w:bCs/>
        </w:rPr>
        <w:t>Records</w:t>
      </w:r>
    </w:p>
    <w:p w:rsidR="00943137" w:rsidP="00943137" w:rsidRDefault="00943137" w14:paraId="58E6FA9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p w:rsidRPr="00943137" w:rsidR="00943137" w:rsidP="00943137" w:rsidRDefault="00943137" w14:paraId="3029436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sidRPr="00943137">
        <w:rPr>
          <w:bCs/>
        </w:rPr>
        <w:t xml:space="preserve">Attachment </w:t>
      </w:r>
      <w:r>
        <w:rPr>
          <w:bCs/>
        </w:rPr>
        <w:t>19</w:t>
      </w:r>
      <w:r>
        <w:rPr>
          <w:bCs/>
        </w:rPr>
        <w:tab/>
      </w:r>
      <w:r>
        <w:rPr>
          <w:bCs/>
        </w:rPr>
        <w:tab/>
      </w:r>
      <w:r w:rsidRPr="00943137">
        <w:rPr>
          <w:bCs/>
        </w:rPr>
        <w:t>Notification of Theft, Loss, or Release</w:t>
      </w:r>
    </w:p>
    <w:p w:rsidR="00943137" w:rsidP="00943137" w:rsidRDefault="00943137" w14:paraId="3A0CD07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p w:rsidRPr="00177C1F" w:rsidR="00943137" w:rsidP="00943137" w:rsidRDefault="00943137" w14:paraId="18A6489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r w:rsidRPr="00943137">
        <w:rPr>
          <w:bCs/>
        </w:rPr>
        <w:t xml:space="preserve">Attachment </w:t>
      </w:r>
      <w:r>
        <w:rPr>
          <w:bCs/>
        </w:rPr>
        <w:t xml:space="preserve">20 </w:t>
      </w:r>
      <w:r>
        <w:rPr>
          <w:bCs/>
        </w:rPr>
        <w:tab/>
      </w:r>
      <w:r w:rsidRPr="00943137">
        <w:rPr>
          <w:bCs/>
        </w:rPr>
        <w:t>Administrative Review</w:t>
      </w:r>
    </w:p>
    <w:p w:rsidRPr="00177C1F" w:rsidR="00CD3DD1" w:rsidP="00B65381" w:rsidRDefault="00CD3DD1" w14:paraId="3E3B76C9" w14:textId="77777777">
      <w:pPr>
        <w:tabs>
          <w:tab w:val="left" w:pos="2520"/>
        </w:tabs>
        <w:rPr>
          <w:caps/>
        </w:rPr>
      </w:pPr>
    </w:p>
    <w:p w:rsidR="00684506" w:rsidP="007F3FE5" w:rsidRDefault="00684506" w14:paraId="0A48E42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rPr>
          <w:bCs/>
        </w:rPr>
      </w:pPr>
    </w:p>
    <w:bookmarkEnd w:id="25"/>
    <w:p w:rsidRPr="00177C1F" w:rsidR="00651CAA" w:rsidP="003D7B30" w:rsidRDefault="00651CAA" w14:paraId="296450B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contextualSpacing/>
        <w:rPr>
          <w:bCs/>
        </w:rPr>
      </w:pPr>
    </w:p>
    <w:sectPr w:rsidRPr="00177C1F" w:rsidR="00651CAA" w:rsidSect="00BA550E">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A9449" w14:textId="77777777" w:rsidR="008F738F" w:rsidRDefault="008F738F" w:rsidP="00BA550E">
      <w:r>
        <w:separator/>
      </w:r>
    </w:p>
  </w:endnote>
  <w:endnote w:type="continuationSeparator" w:id="0">
    <w:p w14:paraId="5E9C7A8D" w14:textId="77777777" w:rsidR="008F738F" w:rsidRDefault="008F738F" w:rsidP="00BA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CF03A" w14:textId="77777777" w:rsidR="00434838" w:rsidRDefault="00434838">
    <w:pPr>
      <w:pStyle w:val="Footer"/>
      <w:jc w:val="right"/>
    </w:pPr>
    <w:r>
      <w:fldChar w:fldCharType="begin"/>
    </w:r>
    <w:r>
      <w:instrText xml:space="preserve"> PAGE </w:instrText>
    </w:r>
    <w:r>
      <w:fldChar w:fldCharType="separate"/>
    </w:r>
    <w:r>
      <w:rPr>
        <w:noProof/>
      </w:rPr>
      <w:t>13</w:t>
    </w:r>
    <w:r>
      <w:fldChar w:fldCharType="end"/>
    </w:r>
  </w:p>
  <w:p w14:paraId="5DB8B237" w14:textId="77777777" w:rsidR="00434838" w:rsidRDefault="00434838">
    <w:pPr>
      <w:pStyle w:val="Footer"/>
      <w:tabs>
        <w:tab w:val="left" w:pos="0"/>
        <w:tab w:val="center" w:pos="4320"/>
        <w:tab w:val="right" w:pos="8640"/>
        <w:tab w:val="right" w:pos="9360"/>
      </w:tabs>
      <w:ind w:right="360"/>
      <w:rPr>
        <w:rFonts w:ascii="Times New Roman TUR" w:hAnsi="Times New Roman TUR" w:cs="Times New Roman TU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C577F" w14:textId="77777777" w:rsidR="00434838" w:rsidRDefault="00434838">
    <w:pPr>
      <w:pStyle w:val="Footer"/>
      <w:jc w:val="right"/>
    </w:pPr>
    <w:r>
      <w:fldChar w:fldCharType="begin"/>
    </w:r>
    <w:r>
      <w:instrText xml:space="preserve"> PAGE </w:instrText>
    </w:r>
    <w:r>
      <w:fldChar w:fldCharType="separate"/>
    </w:r>
    <w:r>
      <w:rPr>
        <w:noProof/>
      </w:rPr>
      <w:t>14</w:t>
    </w:r>
    <w:r>
      <w:fldChar w:fldCharType="end"/>
    </w:r>
  </w:p>
  <w:p w14:paraId="784592A0" w14:textId="77777777" w:rsidR="00434838" w:rsidRDefault="00434838">
    <w:pPr>
      <w:pStyle w:val="Footer"/>
      <w:tabs>
        <w:tab w:val="left" w:pos="0"/>
        <w:tab w:val="center" w:pos="4320"/>
        <w:tab w:val="right" w:pos="8640"/>
        <w:tab w:val="right" w:pos="9360"/>
      </w:tabs>
      <w:ind w:right="360"/>
      <w:rPr>
        <w:rFonts w:ascii="Times New Roman TUR" w:hAnsi="Times New Roman TUR" w:cs="Times New Roman TU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6C929" w14:textId="77777777" w:rsidR="008F738F" w:rsidRDefault="008F738F" w:rsidP="00BA550E">
      <w:r w:rsidRPr="00BA550E">
        <w:rPr>
          <w:color w:val="000000"/>
        </w:rPr>
        <w:separator/>
      </w:r>
    </w:p>
  </w:footnote>
  <w:footnote w:type="continuationSeparator" w:id="0">
    <w:p w14:paraId="3055F9F5" w14:textId="77777777" w:rsidR="008F738F" w:rsidRDefault="008F738F" w:rsidP="00BA5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C7E0E"/>
    <w:multiLevelType w:val="hybridMultilevel"/>
    <w:tmpl w:val="486CA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51ABE"/>
    <w:multiLevelType w:val="hybridMultilevel"/>
    <w:tmpl w:val="589C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F1069"/>
    <w:multiLevelType w:val="hybridMultilevel"/>
    <w:tmpl w:val="A308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734E2"/>
    <w:multiLevelType w:val="hybridMultilevel"/>
    <w:tmpl w:val="EF22A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F4C76"/>
    <w:multiLevelType w:val="hybridMultilevel"/>
    <w:tmpl w:val="4368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yce, Kevin J. (CDC/DDPHSS/OS/OSI)">
    <w15:presenceInfo w15:providerId="AD" w15:userId="S::kdj7@cdc.gov::464fce83-4366-48c8-81c2-d5d184209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0E"/>
    <w:rsid w:val="00010E55"/>
    <w:rsid w:val="000155DA"/>
    <w:rsid w:val="00016741"/>
    <w:rsid w:val="0001790E"/>
    <w:rsid w:val="000538C3"/>
    <w:rsid w:val="000543E5"/>
    <w:rsid w:val="00074B2A"/>
    <w:rsid w:val="00076283"/>
    <w:rsid w:val="00084CE0"/>
    <w:rsid w:val="000939F2"/>
    <w:rsid w:val="000A64CB"/>
    <w:rsid w:val="000B596F"/>
    <w:rsid w:val="000C348C"/>
    <w:rsid w:val="000E22AE"/>
    <w:rsid w:val="00105ECF"/>
    <w:rsid w:val="00143451"/>
    <w:rsid w:val="00144B73"/>
    <w:rsid w:val="001458FB"/>
    <w:rsid w:val="001465F2"/>
    <w:rsid w:val="00177C1F"/>
    <w:rsid w:val="0019047B"/>
    <w:rsid w:val="00194800"/>
    <w:rsid w:val="00196631"/>
    <w:rsid w:val="001B20A8"/>
    <w:rsid w:val="001C4593"/>
    <w:rsid w:val="001C5890"/>
    <w:rsid w:val="001C58C7"/>
    <w:rsid w:val="001D2D15"/>
    <w:rsid w:val="001D4504"/>
    <w:rsid w:val="001E146A"/>
    <w:rsid w:val="00207CDC"/>
    <w:rsid w:val="002130C5"/>
    <w:rsid w:val="00215F7D"/>
    <w:rsid w:val="00223150"/>
    <w:rsid w:val="00223E97"/>
    <w:rsid w:val="0022452A"/>
    <w:rsid w:val="00231CA9"/>
    <w:rsid w:val="00234852"/>
    <w:rsid w:val="002368BC"/>
    <w:rsid w:val="00245C9F"/>
    <w:rsid w:val="00246869"/>
    <w:rsid w:val="00250D69"/>
    <w:rsid w:val="00254E96"/>
    <w:rsid w:val="00265828"/>
    <w:rsid w:val="00265E4D"/>
    <w:rsid w:val="002702CB"/>
    <w:rsid w:val="002860D5"/>
    <w:rsid w:val="002916F2"/>
    <w:rsid w:val="00295157"/>
    <w:rsid w:val="0029682F"/>
    <w:rsid w:val="002A2963"/>
    <w:rsid w:val="002C585C"/>
    <w:rsid w:val="002E23EE"/>
    <w:rsid w:val="002E3D49"/>
    <w:rsid w:val="002E7767"/>
    <w:rsid w:val="002F0354"/>
    <w:rsid w:val="00300710"/>
    <w:rsid w:val="003069D6"/>
    <w:rsid w:val="00313D91"/>
    <w:rsid w:val="00342839"/>
    <w:rsid w:val="003441EB"/>
    <w:rsid w:val="00346470"/>
    <w:rsid w:val="0034653A"/>
    <w:rsid w:val="00351F0A"/>
    <w:rsid w:val="003604F0"/>
    <w:rsid w:val="00366078"/>
    <w:rsid w:val="003779A5"/>
    <w:rsid w:val="00382236"/>
    <w:rsid w:val="003861A5"/>
    <w:rsid w:val="00394713"/>
    <w:rsid w:val="003A535D"/>
    <w:rsid w:val="003B0AE2"/>
    <w:rsid w:val="003B13B4"/>
    <w:rsid w:val="003C1C3D"/>
    <w:rsid w:val="003D3462"/>
    <w:rsid w:val="003D61C0"/>
    <w:rsid w:val="003D631A"/>
    <w:rsid w:val="003D7B30"/>
    <w:rsid w:val="003E07E7"/>
    <w:rsid w:val="003E10CB"/>
    <w:rsid w:val="003F699D"/>
    <w:rsid w:val="003F789F"/>
    <w:rsid w:val="0040370F"/>
    <w:rsid w:val="004053C6"/>
    <w:rsid w:val="00406A82"/>
    <w:rsid w:val="004242F2"/>
    <w:rsid w:val="00424DE9"/>
    <w:rsid w:val="00434838"/>
    <w:rsid w:val="00435D0C"/>
    <w:rsid w:val="00444A03"/>
    <w:rsid w:val="0044526B"/>
    <w:rsid w:val="0044741E"/>
    <w:rsid w:val="00447E03"/>
    <w:rsid w:val="0045341F"/>
    <w:rsid w:val="00466B9D"/>
    <w:rsid w:val="0047381E"/>
    <w:rsid w:val="00476101"/>
    <w:rsid w:val="00480A53"/>
    <w:rsid w:val="0049473E"/>
    <w:rsid w:val="00495833"/>
    <w:rsid w:val="004A7022"/>
    <w:rsid w:val="004B2301"/>
    <w:rsid w:val="004C7D07"/>
    <w:rsid w:val="005017A3"/>
    <w:rsid w:val="005048C9"/>
    <w:rsid w:val="00520019"/>
    <w:rsid w:val="00523D16"/>
    <w:rsid w:val="00523F0B"/>
    <w:rsid w:val="0053630A"/>
    <w:rsid w:val="0054177B"/>
    <w:rsid w:val="00542263"/>
    <w:rsid w:val="005468B0"/>
    <w:rsid w:val="00563120"/>
    <w:rsid w:val="00592DF4"/>
    <w:rsid w:val="005A3935"/>
    <w:rsid w:val="005A4B62"/>
    <w:rsid w:val="005A7AC9"/>
    <w:rsid w:val="005B303C"/>
    <w:rsid w:val="005C028B"/>
    <w:rsid w:val="005C18F8"/>
    <w:rsid w:val="005D2024"/>
    <w:rsid w:val="005D3C51"/>
    <w:rsid w:val="005E27C5"/>
    <w:rsid w:val="005F21B5"/>
    <w:rsid w:val="005F589C"/>
    <w:rsid w:val="00617CF7"/>
    <w:rsid w:val="006201C0"/>
    <w:rsid w:val="00626C52"/>
    <w:rsid w:val="006354B1"/>
    <w:rsid w:val="0063587B"/>
    <w:rsid w:val="0065115A"/>
    <w:rsid w:val="00651CAA"/>
    <w:rsid w:val="006570D6"/>
    <w:rsid w:val="00684506"/>
    <w:rsid w:val="0069511B"/>
    <w:rsid w:val="006A1B54"/>
    <w:rsid w:val="006B058F"/>
    <w:rsid w:val="006C4133"/>
    <w:rsid w:val="006C74E3"/>
    <w:rsid w:val="006D03E2"/>
    <w:rsid w:val="006D07E0"/>
    <w:rsid w:val="006D5CF7"/>
    <w:rsid w:val="006E12F7"/>
    <w:rsid w:val="006E5032"/>
    <w:rsid w:val="006F1906"/>
    <w:rsid w:val="007040D5"/>
    <w:rsid w:val="00706023"/>
    <w:rsid w:val="00714B99"/>
    <w:rsid w:val="00732793"/>
    <w:rsid w:val="00732ABE"/>
    <w:rsid w:val="007372AF"/>
    <w:rsid w:val="00754DA7"/>
    <w:rsid w:val="007648F3"/>
    <w:rsid w:val="007703BD"/>
    <w:rsid w:val="00780C1C"/>
    <w:rsid w:val="00781D39"/>
    <w:rsid w:val="00785A6E"/>
    <w:rsid w:val="00793601"/>
    <w:rsid w:val="00794040"/>
    <w:rsid w:val="00796B34"/>
    <w:rsid w:val="007B0367"/>
    <w:rsid w:val="007C66AF"/>
    <w:rsid w:val="007E6066"/>
    <w:rsid w:val="007E670F"/>
    <w:rsid w:val="007F2B04"/>
    <w:rsid w:val="007F3FE5"/>
    <w:rsid w:val="0080021F"/>
    <w:rsid w:val="008070D5"/>
    <w:rsid w:val="00824C96"/>
    <w:rsid w:val="00830CB9"/>
    <w:rsid w:val="008333D0"/>
    <w:rsid w:val="00867FD8"/>
    <w:rsid w:val="00871774"/>
    <w:rsid w:val="00875679"/>
    <w:rsid w:val="008851AC"/>
    <w:rsid w:val="00886A30"/>
    <w:rsid w:val="0089109E"/>
    <w:rsid w:val="008A0660"/>
    <w:rsid w:val="008A4010"/>
    <w:rsid w:val="008A4F65"/>
    <w:rsid w:val="008C4B44"/>
    <w:rsid w:val="008D50D3"/>
    <w:rsid w:val="008E75D3"/>
    <w:rsid w:val="008F1422"/>
    <w:rsid w:val="008F2046"/>
    <w:rsid w:val="008F738F"/>
    <w:rsid w:val="0091115D"/>
    <w:rsid w:val="00911C14"/>
    <w:rsid w:val="009309BE"/>
    <w:rsid w:val="00941AC6"/>
    <w:rsid w:val="009423F5"/>
    <w:rsid w:val="00943137"/>
    <w:rsid w:val="00964E93"/>
    <w:rsid w:val="00966FB4"/>
    <w:rsid w:val="00970D03"/>
    <w:rsid w:val="00975D0A"/>
    <w:rsid w:val="009812F9"/>
    <w:rsid w:val="009A54D5"/>
    <w:rsid w:val="009A5699"/>
    <w:rsid w:val="009B1B92"/>
    <w:rsid w:val="009B69C0"/>
    <w:rsid w:val="009D26A2"/>
    <w:rsid w:val="009D3354"/>
    <w:rsid w:val="009F0E4F"/>
    <w:rsid w:val="009F7000"/>
    <w:rsid w:val="00A36648"/>
    <w:rsid w:val="00A3717D"/>
    <w:rsid w:val="00A42C4B"/>
    <w:rsid w:val="00A44B99"/>
    <w:rsid w:val="00A4659E"/>
    <w:rsid w:val="00A47B8A"/>
    <w:rsid w:val="00A622CF"/>
    <w:rsid w:val="00A70D53"/>
    <w:rsid w:val="00A74233"/>
    <w:rsid w:val="00A86B82"/>
    <w:rsid w:val="00A92B24"/>
    <w:rsid w:val="00A96720"/>
    <w:rsid w:val="00AA3BF5"/>
    <w:rsid w:val="00AB2EB2"/>
    <w:rsid w:val="00AC4374"/>
    <w:rsid w:val="00AD0DD2"/>
    <w:rsid w:val="00AE05F2"/>
    <w:rsid w:val="00AE62F8"/>
    <w:rsid w:val="00B1624D"/>
    <w:rsid w:val="00B37EB0"/>
    <w:rsid w:val="00B5384F"/>
    <w:rsid w:val="00B605DC"/>
    <w:rsid w:val="00B65381"/>
    <w:rsid w:val="00B71CF0"/>
    <w:rsid w:val="00B74C3C"/>
    <w:rsid w:val="00B87627"/>
    <w:rsid w:val="00B966F7"/>
    <w:rsid w:val="00B978FF"/>
    <w:rsid w:val="00BA550E"/>
    <w:rsid w:val="00BA59E7"/>
    <w:rsid w:val="00BA6A77"/>
    <w:rsid w:val="00BA6B3D"/>
    <w:rsid w:val="00BD76A9"/>
    <w:rsid w:val="00BE18CC"/>
    <w:rsid w:val="00BE1F65"/>
    <w:rsid w:val="00BF7CC2"/>
    <w:rsid w:val="00C02A7D"/>
    <w:rsid w:val="00C17200"/>
    <w:rsid w:val="00C20112"/>
    <w:rsid w:val="00C31B09"/>
    <w:rsid w:val="00C332B2"/>
    <w:rsid w:val="00C368DD"/>
    <w:rsid w:val="00C3690B"/>
    <w:rsid w:val="00C42554"/>
    <w:rsid w:val="00C4301C"/>
    <w:rsid w:val="00C449F7"/>
    <w:rsid w:val="00C47A67"/>
    <w:rsid w:val="00C5135C"/>
    <w:rsid w:val="00C63B75"/>
    <w:rsid w:val="00CA28BC"/>
    <w:rsid w:val="00CA5BF7"/>
    <w:rsid w:val="00CB1AEC"/>
    <w:rsid w:val="00CB6E2D"/>
    <w:rsid w:val="00CC0105"/>
    <w:rsid w:val="00CC1A2C"/>
    <w:rsid w:val="00CD3DD1"/>
    <w:rsid w:val="00CE2CE4"/>
    <w:rsid w:val="00CE51CD"/>
    <w:rsid w:val="00D260EF"/>
    <w:rsid w:val="00D3101F"/>
    <w:rsid w:val="00D43A2D"/>
    <w:rsid w:val="00D54E31"/>
    <w:rsid w:val="00D60086"/>
    <w:rsid w:val="00D6788A"/>
    <w:rsid w:val="00DA18CA"/>
    <w:rsid w:val="00DB35C0"/>
    <w:rsid w:val="00DB5688"/>
    <w:rsid w:val="00DB5790"/>
    <w:rsid w:val="00DB678A"/>
    <w:rsid w:val="00DB733D"/>
    <w:rsid w:val="00DC2AAE"/>
    <w:rsid w:val="00DE31EB"/>
    <w:rsid w:val="00DE72D6"/>
    <w:rsid w:val="00DF2A85"/>
    <w:rsid w:val="00DF54B9"/>
    <w:rsid w:val="00DF5E31"/>
    <w:rsid w:val="00E1565B"/>
    <w:rsid w:val="00E553C6"/>
    <w:rsid w:val="00E61A13"/>
    <w:rsid w:val="00E67BF9"/>
    <w:rsid w:val="00E72DE0"/>
    <w:rsid w:val="00E81328"/>
    <w:rsid w:val="00E97A7D"/>
    <w:rsid w:val="00EA3AA6"/>
    <w:rsid w:val="00EA7C1C"/>
    <w:rsid w:val="00EB11DD"/>
    <w:rsid w:val="00EB22B9"/>
    <w:rsid w:val="00EC0FDE"/>
    <w:rsid w:val="00EC1148"/>
    <w:rsid w:val="00EC5CC1"/>
    <w:rsid w:val="00ED1425"/>
    <w:rsid w:val="00EF0E61"/>
    <w:rsid w:val="00EF4989"/>
    <w:rsid w:val="00EF5112"/>
    <w:rsid w:val="00EF7F34"/>
    <w:rsid w:val="00F2752E"/>
    <w:rsid w:val="00F426A7"/>
    <w:rsid w:val="00F467FB"/>
    <w:rsid w:val="00F560F6"/>
    <w:rsid w:val="00F57234"/>
    <w:rsid w:val="00F75EF2"/>
    <w:rsid w:val="00F76885"/>
    <w:rsid w:val="00FA31CE"/>
    <w:rsid w:val="00FA7A78"/>
    <w:rsid w:val="00FB210A"/>
    <w:rsid w:val="00FC69BF"/>
    <w:rsid w:val="00FD2942"/>
    <w:rsid w:val="00FE4275"/>
    <w:rsid w:val="00FF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7AC0"/>
  <w15:chartTrackingRefBased/>
  <w15:docId w15:val="{F5608870-ABA4-4F4B-8C2D-C7169601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A550E"/>
    <w:pPr>
      <w:widowControl w:val="0"/>
      <w:suppressAutoHyphens/>
      <w:autoSpaceDE w:val="0"/>
      <w:autoSpaceDN w:val="0"/>
      <w:textAlignment w:val="baseline"/>
    </w:pPr>
    <w:rPr>
      <w:sz w:val="24"/>
      <w:szCs w:val="24"/>
    </w:rPr>
  </w:style>
  <w:style w:type="paragraph" w:styleId="Heading1">
    <w:name w:val="heading 1"/>
    <w:basedOn w:val="Normal"/>
    <w:next w:val="Normal"/>
    <w:rsid w:val="00BA550E"/>
    <w:pPr>
      <w:keepNext/>
      <w:spacing w:before="240" w:after="60"/>
      <w:outlineLvl w:val="0"/>
    </w:pPr>
    <w:rPr>
      <w:rFonts w:ascii="Cambria" w:hAnsi="Cambria"/>
      <w:b/>
      <w:bCs/>
      <w:kern w:val="3"/>
      <w:sz w:val="32"/>
      <w:szCs w:val="32"/>
    </w:rPr>
  </w:style>
  <w:style w:type="paragraph" w:styleId="Heading2">
    <w:name w:val="heading 2"/>
    <w:basedOn w:val="Normal"/>
    <w:next w:val="Normal"/>
    <w:link w:val="Heading2Char"/>
    <w:uiPriority w:val="9"/>
    <w:unhideWhenUsed/>
    <w:qFormat/>
    <w:rsid w:val="00177C1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1790E"/>
    <w:pPr>
      <w:keepNext/>
      <w:keepLines/>
      <w:widowControl/>
      <w:suppressAutoHyphens w:val="0"/>
      <w:autoSpaceDE/>
      <w:autoSpaceDN/>
      <w:spacing w:before="200" w:line="276" w:lineRule="auto"/>
      <w:textAlignment w:val="auto"/>
      <w:outlineLvl w:val="2"/>
    </w:pPr>
    <w:rPr>
      <w:rFonts w:ascii="Cambria" w:hAnsi="Cambria"/>
      <w:b/>
      <w:bCs/>
      <w:color w:val="4F81BD"/>
      <w:sz w:val="22"/>
      <w:szCs w:val="22"/>
    </w:rPr>
  </w:style>
  <w:style w:type="paragraph" w:styleId="Heading4">
    <w:name w:val="heading 4"/>
    <w:basedOn w:val="Normal"/>
    <w:next w:val="Normal"/>
    <w:link w:val="Heading4Char"/>
    <w:uiPriority w:val="9"/>
    <w:unhideWhenUsed/>
    <w:qFormat/>
    <w:rsid w:val="0069511B"/>
    <w:pPr>
      <w:keepNext/>
      <w:keepLines/>
      <w:widowControl/>
      <w:suppressAutoHyphens w:val="0"/>
      <w:autoSpaceDE/>
      <w:autoSpaceDN/>
      <w:spacing w:before="200" w:line="276" w:lineRule="auto"/>
      <w:textAlignment w:val="auto"/>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A550E"/>
  </w:style>
  <w:style w:type="character" w:styleId="PageNumber">
    <w:name w:val="page number"/>
    <w:rsid w:val="00BA550E"/>
  </w:style>
  <w:style w:type="paragraph" w:styleId="Footer">
    <w:name w:val="footer"/>
    <w:basedOn w:val="Normal"/>
    <w:rsid w:val="00BA550E"/>
  </w:style>
  <w:style w:type="paragraph" w:styleId="BalloonText">
    <w:name w:val="Balloon Text"/>
    <w:basedOn w:val="Normal"/>
    <w:rsid w:val="00BA550E"/>
    <w:rPr>
      <w:rFonts w:ascii="Tahoma" w:hAnsi="Tahoma" w:cs="Tahoma"/>
      <w:sz w:val="16"/>
      <w:szCs w:val="16"/>
    </w:rPr>
  </w:style>
  <w:style w:type="paragraph" w:customStyle="1" w:styleId="StyleTitleLinespacingDouble">
    <w:name w:val="Style Title + Line spacing:  Double"/>
    <w:basedOn w:val="Title"/>
    <w:rsid w:val="00BA550E"/>
    <w:pPr>
      <w:widowControl/>
      <w:spacing w:before="0" w:after="0" w:line="480" w:lineRule="auto"/>
    </w:pPr>
    <w:rPr>
      <w:rFonts w:ascii="Times New Roman" w:eastAsia="SimSun" w:hAnsi="Times New Roman" w:cs="Times New Roman"/>
      <w:kern w:val="0"/>
      <w:sz w:val="24"/>
      <w:szCs w:val="20"/>
    </w:rPr>
  </w:style>
  <w:style w:type="paragraph" w:styleId="Title">
    <w:name w:val="Title"/>
    <w:basedOn w:val="Normal"/>
    <w:rsid w:val="00BA550E"/>
    <w:pPr>
      <w:spacing w:before="240" w:after="60"/>
      <w:jc w:val="center"/>
      <w:outlineLvl w:val="0"/>
    </w:pPr>
    <w:rPr>
      <w:rFonts w:ascii="Arial" w:hAnsi="Arial" w:cs="Arial"/>
      <w:b/>
      <w:bCs/>
      <w:kern w:val="3"/>
      <w:sz w:val="32"/>
      <w:szCs w:val="32"/>
    </w:rPr>
  </w:style>
  <w:style w:type="character" w:styleId="Hyperlink">
    <w:name w:val="Hyperlink"/>
    <w:uiPriority w:val="99"/>
    <w:rsid w:val="00BA550E"/>
    <w:rPr>
      <w:color w:val="0000FF"/>
      <w:u w:val="single"/>
    </w:rPr>
  </w:style>
  <w:style w:type="paragraph" w:styleId="NormalWeb">
    <w:name w:val="Normal (Web)"/>
    <w:basedOn w:val="Normal"/>
    <w:rsid w:val="00BA550E"/>
    <w:pPr>
      <w:widowControl/>
      <w:autoSpaceDE/>
      <w:spacing w:after="264"/>
    </w:pPr>
  </w:style>
  <w:style w:type="character" w:styleId="Strong">
    <w:name w:val="Strong"/>
    <w:rsid w:val="00BA550E"/>
    <w:rPr>
      <w:b/>
      <w:bCs/>
    </w:rPr>
  </w:style>
  <w:style w:type="character" w:styleId="CommentReference">
    <w:name w:val="annotation reference"/>
    <w:rsid w:val="00BA550E"/>
    <w:rPr>
      <w:sz w:val="16"/>
      <w:szCs w:val="16"/>
    </w:rPr>
  </w:style>
  <w:style w:type="paragraph" w:styleId="CommentText">
    <w:name w:val="annotation text"/>
    <w:basedOn w:val="Normal"/>
    <w:rsid w:val="00BA550E"/>
    <w:rPr>
      <w:sz w:val="20"/>
      <w:szCs w:val="20"/>
    </w:rPr>
  </w:style>
  <w:style w:type="character" w:customStyle="1" w:styleId="CommentTextChar">
    <w:name w:val="Comment Text Char"/>
    <w:basedOn w:val="DefaultParagraphFont"/>
    <w:rsid w:val="00BA550E"/>
  </w:style>
  <w:style w:type="paragraph" w:styleId="CommentSubject">
    <w:name w:val="annotation subject"/>
    <w:basedOn w:val="CommentText"/>
    <w:next w:val="CommentText"/>
    <w:rsid w:val="00BA550E"/>
    <w:rPr>
      <w:b/>
      <w:bCs/>
    </w:rPr>
  </w:style>
  <w:style w:type="character" w:customStyle="1" w:styleId="CommentSubjectChar">
    <w:name w:val="Comment Subject Char"/>
    <w:rsid w:val="00BA550E"/>
    <w:rPr>
      <w:b/>
      <w:bCs/>
    </w:rPr>
  </w:style>
  <w:style w:type="paragraph" w:styleId="Header">
    <w:name w:val="header"/>
    <w:basedOn w:val="Normal"/>
    <w:rsid w:val="00BA550E"/>
    <w:pPr>
      <w:tabs>
        <w:tab w:val="center" w:pos="4680"/>
        <w:tab w:val="right" w:pos="9360"/>
      </w:tabs>
    </w:pPr>
  </w:style>
  <w:style w:type="character" w:customStyle="1" w:styleId="HeaderChar">
    <w:name w:val="Header Char"/>
    <w:rsid w:val="00BA550E"/>
    <w:rPr>
      <w:sz w:val="24"/>
      <w:szCs w:val="24"/>
    </w:rPr>
  </w:style>
  <w:style w:type="character" w:styleId="FollowedHyperlink">
    <w:name w:val="FollowedHyperlink"/>
    <w:rsid w:val="00BA550E"/>
    <w:rPr>
      <w:color w:val="800080"/>
      <w:u w:val="single"/>
    </w:rPr>
  </w:style>
  <w:style w:type="character" w:customStyle="1" w:styleId="FooterChar">
    <w:name w:val="Footer Char"/>
    <w:rsid w:val="00BA550E"/>
    <w:rPr>
      <w:sz w:val="24"/>
      <w:szCs w:val="24"/>
    </w:rPr>
  </w:style>
  <w:style w:type="paragraph" w:customStyle="1" w:styleId="style9">
    <w:name w:val="style9"/>
    <w:basedOn w:val="Normal"/>
    <w:rsid w:val="00BA550E"/>
    <w:pPr>
      <w:widowControl/>
      <w:autoSpaceDE/>
      <w:spacing w:before="100" w:after="100"/>
    </w:pPr>
    <w:rPr>
      <w:sz w:val="36"/>
      <w:szCs w:val="36"/>
    </w:rPr>
  </w:style>
  <w:style w:type="paragraph" w:customStyle="1" w:styleId="Default">
    <w:name w:val="Default"/>
    <w:rsid w:val="00BA550E"/>
    <w:pPr>
      <w:suppressAutoHyphens/>
      <w:autoSpaceDE w:val="0"/>
      <w:autoSpaceDN w:val="0"/>
      <w:textAlignment w:val="baseline"/>
    </w:pPr>
    <w:rPr>
      <w:color w:val="000000"/>
      <w:sz w:val="24"/>
      <w:szCs w:val="24"/>
    </w:rPr>
  </w:style>
  <w:style w:type="character" w:customStyle="1" w:styleId="Heading1Char">
    <w:name w:val="Heading 1 Char"/>
    <w:rsid w:val="00BA550E"/>
    <w:rPr>
      <w:rFonts w:ascii="Cambria" w:eastAsia="Times New Roman" w:hAnsi="Cambria" w:cs="Times New Roman"/>
      <w:b/>
      <w:bCs/>
      <w:kern w:val="3"/>
      <w:sz w:val="32"/>
      <w:szCs w:val="32"/>
    </w:rPr>
  </w:style>
  <w:style w:type="paragraph" w:styleId="TOCHeading">
    <w:name w:val="TOC Heading"/>
    <w:basedOn w:val="Heading1"/>
    <w:next w:val="Normal"/>
    <w:rsid w:val="00BA550E"/>
    <w:pPr>
      <w:keepLines/>
      <w:widowControl/>
      <w:autoSpaceDE/>
      <w:spacing w:before="480" w:after="0" w:line="276" w:lineRule="auto"/>
    </w:pPr>
    <w:rPr>
      <w:color w:val="365F91"/>
      <w:kern w:val="0"/>
      <w:sz w:val="28"/>
      <w:szCs w:val="28"/>
    </w:rPr>
  </w:style>
  <w:style w:type="paragraph" w:styleId="TOC1">
    <w:name w:val="toc 1"/>
    <w:basedOn w:val="Normal"/>
    <w:next w:val="Normal"/>
    <w:autoRedefine/>
    <w:rsid w:val="00BA550E"/>
  </w:style>
  <w:style w:type="paragraph" w:styleId="TOC2">
    <w:name w:val="toc 2"/>
    <w:basedOn w:val="Normal"/>
    <w:next w:val="Normal"/>
    <w:autoRedefine/>
    <w:uiPriority w:val="39"/>
    <w:rsid w:val="00BA550E"/>
    <w:pPr>
      <w:ind w:left="240"/>
    </w:pPr>
  </w:style>
  <w:style w:type="paragraph" w:styleId="TOC3">
    <w:name w:val="toc 3"/>
    <w:basedOn w:val="Normal"/>
    <w:next w:val="Normal"/>
    <w:autoRedefine/>
    <w:uiPriority w:val="39"/>
    <w:rsid w:val="00BA550E"/>
    <w:pPr>
      <w:ind w:left="480"/>
    </w:pPr>
  </w:style>
  <w:style w:type="character" w:customStyle="1" w:styleId="Heading3Char">
    <w:name w:val="Heading 3 Char"/>
    <w:link w:val="Heading3"/>
    <w:uiPriority w:val="9"/>
    <w:rsid w:val="0001790E"/>
    <w:rPr>
      <w:rFonts w:ascii="Cambria" w:hAnsi="Cambria"/>
      <w:b/>
      <w:bCs/>
      <w:color w:val="4F81BD"/>
      <w:sz w:val="22"/>
      <w:szCs w:val="22"/>
    </w:rPr>
  </w:style>
  <w:style w:type="character" w:customStyle="1" w:styleId="Heading4Char">
    <w:name w:val="Heading 4 Char"/>
    <w:link w:val="Heading4"/>
    <w:uiPriority w:val="9"/>
    <w:rsid w:val="0069511B"/>
    <w:rPr>
      <w:rFonts w:ascii="Cambria" w:hAnsi="Cambria"/>
      <w:b/>
      <w:bCs/>
      <w:i/>
      <w:iCs/>
      <w:color w:val="4F81BD"/>
      <w:sz w:val="22"/>
      <w:szCs w:val="22"/>
    </w:rPr>
  </w:style>
  <w:style w:type="character" w:customStyle="1" w:styleId="Heading2Char">
    <w:name w:val="Heading 2 Char"/>
    <w:link w:val="Heading2"/>
    <w:uiPriority w:val="9"/>
    <w:rsid w:val="00177C1F"/>
    <w:rPr>
      <w:rFonts w:ascii="Cambria" w:eastAsia="Times New Roman" w:hAnsi="Cambria" w:cs="Times New Roman"/>
      <w:b/>
      <w:bCs/>
      <w:i/>
      <w:iCs/>
      <w:sz w:val="28"/>
      <w:szCs w:val="28"/>
    </w:rPr>
  </w:style>
  <w:style w:type="character" w:styleId="UnresolvedMention">
    <w:name w:val="Unresolved Mention"/>
    <w:uiPriority w:val="99"/>
    <w:semiHidden/>
    <w:unhideWhenUsed/>
    <w:rsid w:val="0079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9376">
      <w:bodyDiv w:val="1"/>
      <w:marLeft w:val="0"/>
      <w:marRight w:val="0"/>
      <w:marTop w:val="0"/>
      <w:marBottom w:val="0"/>
      <w:divBdr>
        <w:top w:val="none" w:sz="0" w:space="0" w:color="auto"/>
        <w:left w:val="none" w:sz="0" w:space="0" w:color="auto"/>
        <w:bottom w:val="none" w:sz="0" w:space="0" w:color="auto"/>
        <w:right w:val="none" w:sz="0" w:space="0" w:color="auto"/>
      </w:divBdr>
    </w:div>
    <w:div w:id="297885593">
      <w:bodyDiv w:val="1"/>
      <w:marLeft w:val="0"/>
      <w:marRight w:val="0"/>
      <w:marTop w:val="0"/>
      <w:marBottom w:val="0"/>
      <w:divBdr>
        <w:top w:val="none" w:sz="0" w:space="0" w:color="auto"/>
        <w:left w:val="none" w:sz="0" w:space="0" w:color="auto"/>
        <w:bottom w:val="none" w:sz="0" w:space="0" w:color="auto"/>
        <w:right w:val="none" w:sz="0" w:space="0" w:color="auto"/>
      </w:divBdr>
    </w:div>
    <w:div w:id="1454715701">
      <w:bodyDiv w:val="1"/>
      <w:marLeft w:val="0"/>
      <w:marRight w:val="0"/>
      <w:marTop w:val="0"/>
      <w:marBottom w:val="0"/>
      <w:divBdr>
        <w:top w:val="none" w:sz="0" w:space="0" w:color="auto"/>
        <w:left w:val="none" w:sz="0" w:space="0" w:color="auto"/>
        <w:bottom w:val="none" w:sz="0" w:space="0" w:color="auto"/>
        <w:right w:val="none" w:sz="0" w:space="0" w:color="auto"/>
      </w:divBdr>
    </w:div>
    <w:div w:id="1657102896">
      <w:bodyDiv w:val="1"/>
      <w:marLeft w:val="0"/>
      <w:marRight w:val="0"/>
      <w:marTop w:val="0"/>
      <w:marBottom w:val="0"/>
      <w:divBdr>
        <w:top w:val="none" w:sz="0" w:space="0" w:color="auto"/>
        <w:left w:val="none" w:sz="0" w:space="0" w:color="auto"/>
        <w:bottom w:val="none" w:sz="0" w:space="0" w:color="auto"/>
        <w:right w:val="none" w:sz="0" w:space="0" w:color="auto"/>
      </w:divBdr>
    </w:div>
    <w:div w:id="1749233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lectagents.gov/form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wx3@cdc.gov" TargetMode="External"/><Relationship Id="rId12" Type="http://schemas.openxmlformats.org/officeDocument/2006/relationships/hyperlink" Target="http://www.bls.gov/o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mberlyAhardy@usda.gov"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cassie.c.armiger@aphis.usda.gov"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14</Pages>
  <Words>4705</Words>
  <Characters>26822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CDC</Company>
  <LinksUpToDate>false</LinksUpToDate>
  <CharactersWithSpaces>31465</CharactersWithSpaces>
  <SharedDoc>false</SharedDoc>
  <HLinks>
    <vt:vector size="150" baseType="variant">
      <vt:variant>
        <vt:i4>3604535</vt:i4>
      </vt:variant>
      <vt:variant>
        <vt:i4>135</vt:i4>
      </vt:variant>
      <vt:variant>
        <vt:i4>0</vt:i4>
      </vt:variant>
      <vt:variant>
        <vt:i4>5</vt:i4>
      </vt:variant>
      <vt:variant>
        <vt:lpwstr>http://www.bls.gov/oes/</vt:lpwstr>
      </vt:variant>
      <vt:variant>
        <vt:lpwstr/>
      </vt:variant>
      <vt:variant>
        <vt:i4>4849785</vt:i4>
      </vt:variant>
      <vt:variant>
        <vt:i4>132</vt:i4>
      </vt:variant>
      <vt:variant>
        <vt:i4>0</vt:i4>
      </vt:variant>
      <vt:variant>
        <vt:i4>5</vt:i4>
      </vt:variant>
      <vt:variant>
        <vt:lpwstr>mailto:KimberlyAhardy@usda.gov</vt:lpwstr>
      </vt:variant>
      <vt:variant>
        <vt:lpwstr/>
      </vt:variant>
      <vt:variant>
        <vt:i4>1114221</vt:i4>
      </vt:variant>
      <vt:variant>
        <vt:i4>129</vt:i4>
      </vt:variant>
      <vt:variant>
        <vt:i4>0</vt:i4>
      </vt:variant>
      <vt:variant>
        <vt:i4>5</vt:i4>
      </vt:variant>
      <vt:variant>
        <vt:lpwstr>mailto:cassie.c.armiger@aphis.usda.gov</vt:lpwstr>
      </vt:variant>
      <vt:variant>
        <vt:lpwstr/>
      </vt:variant>
      <vt:variant>
        <vt:i4>8192045</vt:i4>
      </vt:variant>
      <vt:variant>
        <vt:i4>126</vt:i4>
      </vt:variant>
      <vt:variant>
        <vt:i4>0</vt:i4>
      </vt:variant>
      <vt:variant>
        <vt:i4>5</vt:i4>
      </vt:variant>
      <vt:variant>
        <vt:lpwstr>http://www.selectagents.gov/forms.html</vt:lpwstr>
      </vt:variant>
      <vt:variant>
        <vt:lpwstr/>
      </vt:variant>
      <vt:variant>
        <vt:i4>1966131</vt:i4>
      </vt:variant>
      <vt:variant>
        <vt:i4>119</vt:i4>
      </vt:variant>
      <vt:variant>
        <vt:i4>0</vt:i4>
      </vt:variant>
      <vt:variant>
        <vt:i4>5</vt:i4>
      </vt:variant>
      <vt:variant>
        <vt:lpwstr/>
      </vt:variant>
      <vt:variant>
        <vt:lpwstr>_Toc412817471</vt:lpwstr>
      </vt:variant>
      <vt:variant>
        <vt:i4>1966131</vt:i4>
      </vt:variant>
      <vt:variant>
        <vt:i4>113</vt:i4>
      </vt:variant>
      <vt:variant>
        <vt:i4>0</vt:i4>
      </vt:variant>
      <vt:variant>
        <vt:i4>5</vt:i4>
      </vt:variant>
      <vt:variant>
        <vt:lpwstr/>
      </vt:variant>
      <vt:variant>
        <vt:lpwstr>_Toc412817470</vt:lpwstr>
      </vt:variant>
      <vt:variant>
        <vt:i4>2031667</vt:i4>
      </vt:variant>
      <vt:variant>
        <vt:i4>107</vt:i4>
      </vt:variant>
      <vt:variant>
        <vt:i4>0</vt:i4>
      </vt:variant>
      <vt:variant>
        <vt:i4>5</vt:i4>
      </vt:variant>
      <vt:variant>
        <vt:lpwstr/>
      </vt:variant>
      <vt:variant>
        <vt:lpwstr>_Toc412817469</vt:lpwstr>
      </vt:variant>
      <vt:variant>
        <vt:i4>2031667</vt:i4>
      </vt:variant>
      <vt:variant>
        <vt:i4>101</vt:i4>
      </vt:variant>
      <vt:variant>
        <vt:i4>0</vt:i4>
      </vt:variant>
      <vt:variant>
        <vt:i4>5</vt:i4>
      </vt:variant>
      <vt:variant>
        <vt:lpwstr/>
      </vt:variant>
      <vt:variant>
        <vt:lpwstr>_Toc412817468</vt:lpwstr>
      </vt:variant>
      <vt:variant>
        <vt:i4>2031667</vt:i4>
      </vt:variant>
      <vt:variant>
        <vt:i4>95</vt:i4>
      </vt:variant>
      <vt:variant>
        <vt:i4>0</vt:i4>
      </vt:variant>
      <vt:variant>
        <vt:i4>5</vt:i4>
      </vt:variant>
      <vt:variant>
        <vt:lpwstr/>
      </vt:variant>
      <vt:variant>
        <vt:lpwstr>_Toc412817467</vt:lpwstr>
      </vt:variant>
      <vt:variant>
        <vt:i4>2031667</vt:i4>
      </vt:variant>
      <vt:variant>
        <vt:i4>89</vt:i4>
      </vt:variant>
      <vt:variant>
        <vt:i4>0</vt:i4>
      </vt:variant>
      <vt:variant>
        <vt:i4>5</vt:i4>
      </vt:variant>
      <vt:variant>
        <vt:lpwstr/>
      </vt:variant>
      <vt:variant>
        <vt:lpwstr>_Toc412817466</vt:lpwstr>
      </vt:variant>
      <vt:variant>
        <vt:i4>2031667</vt:i4>
      </vt:variant>
      <vt:variant>
        <vt:i4>83</vt:i4>
      </vt:variant>
      <vt:variant>
        <vt:i4>0</vt:i4>
      </vt:variant>
      <vt:variant>
        <vt:i4>5</vt:i4>
      </vt:variant>
      <vt:variant>
        <vt:lpwstr/>
      </vt:variant>
      <vt:variant>
        <vt:lpwstr>_Toc412817465</vt:lpwstr>
      </vt:variant>
      <vt:variant>
        <vt:i4>2031667</vt:i4>
      </vt:variant>
      <vt:variant>
        <vt:i4>77</vt:i4>
      </vt:variant>
      <vt:variant>
        <vt:i4>0</vt:i4>
      </vt:variant>
      <vt:variant>
        <vt:i4>5</vt:i4>
      </vt:variant>
      <vt:variant>
        <vt:lpwstr/>
      </vt:variant>
      <vt:variant>
        <vt:lpwstr>_Toc412817464</vt:lpwstr>
      </vt:variant>
      <vt:variant>
        <vt:i4>2031667</vt:i4>
      </vt:variant>
      <vt:variant>
        <vt:i4>71</vt:i4>
      </vt:variant>
      <vt:variant>
        <vt:i4>0</vt:i4>
      </vt:variant>
      <vt:variant>
        <vt:i4>5</vt:i4>
      </vt:variant>
      <vt:variant>
        <vt:lpwstr/>
      </vt:variant>
      <vt:variant>
        <vt:lpwstr>_Toc412817463</vt:lpwstr>
      </vt:variant>
      <vt:variant>
        <vt:i4>2031667</vt:i4>
      </vt:variant>
      <vt:variant>
        <vt:i4>65</vt:i4>
      </vt:variant>
      <vt:variant>
        <vt:i4>0</vt:i4>
      </vt:variant>
      <vt:variant>
        <vt:i4>5</vt:i4>
      </vt:variant>
      <vt:variant>
        <vt:lpwstr/>
      </vt:variant>
      <vt:variant>
        <vt:lpwstr>_Toc412817462</vt:lpwstr>
      </vt:variant>
      <vt:variant>
        <vt:i4>2031667</vt:i4>
      </vt:variant>
      <vt:variant>
        <vt:i4>59</vt:i4>
      </vt:variant>
      <vt:variant>
        <vt:i4>0</vt:i4>
      </vt:variant>
      <vt:variant>
        <vt:i4>5</vt:i4>
      </vt:variant>
      <vt:variant>
        <vt:lpwstr/>
      </vt:variant>
      <vt:variant>
        <vt:lpwstr>_Toc412817461</vt:lpwstr>
      </vt:variant>
      <vt:variant>
        <vt:i4>2031667</vt:i4>
      </vt:variant>
      <vt:variant>
        <vt:i4>53</vt:i4>
      </vt:variant>
      <vt:variant>
        <vt:i4>0</vt:i4>
      </vt:variant>
      <vt:variant>
        <vt:i4>5</vt:i4>
      </vt:variant>
      <vt:variant>
        <vt:lpwstr/>
      </vt:variant>
      <vt:variant>
        <vt:lpwstr>_Toc412817460</vt:lpwstr>
      </vt:variant>
      <vt:variant>
        <vt:i4>1835059</vt:i4>
      </vt:variant>
      <vt:variant>
        <vt:i4>47</vt:i4>
      </vt:variant>
      <vt:variant>
        <vt:i4>0</vt:i4>
      </vt:variant>
      <vt:variant>
        <vt:i4>5</vt:i4>
      </vt:variant>
      <vt:variant>
        <vt:lpwstr/>
      </vt:variant>
      <vt:variant>
        <vt:lpwstr>_Toc412817459</vt:lpwstr>
      </vt:variant>
      <vt:variant>
        <vt:i4>1835059</vt:i4>
      </vt:variant>
      <vt:variant>
        <vt:i4>41</vt:i4>
      </vt:variant>
      <vt:variant>
        <vt:i4>0</vt:i4>
      </vt:variant>
      <vt:variant>
        <vt:i4>5</vt:i4>
      </vt:variant>
      <vt:variant>
        <vt:lpwstr/>
      </vt:variant>
      <vt:variant>
        <vt:lpwstr>_Toc412817458</vt:lpwstr>
      </vt:variant>
      <vt:variant>
        <vt:i4>1835059</vt:i4>
      </vt:variant>
      <vt:variant>
        <vt:i4>35</vt:i4>
      </vt:variant>
      <vt:variant>
        <vt:i4>0</vt:i4>
      </vt:variant>
      <vt:variant>
        <vt:i4>5</vt:i4>
      </vt:variant>
      <vt:variant>
        <vt:lpwstr/>
      </vt:variant>
      <vt:variant>
        <vt:lpwstr>_Toc412817457</vt:lpwstr>
      </vt:variant>
      <vt:variant>
        <vt:i4>1835059</vt:i4>
      </vt:variant>
      <vt:variant>
        <vt:i4>29</vt:i4>
      </vt:variant>
      <vt:variant>
        <vt:i4>0</vt:i4>
      </vt:variant>
      <vt:variant>
        <vt:i4>5</vt:i4>
      </vt:variant>
      <vt:variant>
        <vt:lpwstr/>
      </vt:variant>
      <vt:variant>
        <vt:lpwstr>_Toc412817456</vt:lpwstr>
      </vt:variant>
      <vt:variant>
        <vt:i4>1835059</vt:i4>
      </vt:variant>
      <vt:variant>
        <vt:i4>23</vt:i4>
      </vt:variant>
      <vt:variant>
        <vt:i4>0</vt:i4>
      </vt:variant>
      <vt:variant>
        <vt:i4>5</vt:i4>
      </vt:variant>
      <vt:variant>
        <vt:lpwstr/>
      </vt:variant>
      <vt:variant>
        <vt:lpwstr>_Toc412817455</vt:lpwstr>
      </vt:variant>
      <vt:variant>
        <vt:i4>1835059</vt:i4>
      </vt:variant>
      <vt:variant>
        <vt:i4>17</vt:i4>
      </vt:variant>
      <vt:variant>
        <vt:i4>0</vt:i4>
      </vt:variant>
      <vt:variant>
        <vt:i4>5</vt:i4>
      </vt:variant>
      <vt:variant>
        <vt:lpwstr/>
      </vt:variant>
      <vt:variant>
        <vt:lpwstr>_Toc412817454</vt:lpwstr>
      </vt:variant>
      <vt:variant>
        <vt:i4>1835059</vt:i4>
      </vt:variant>
      <vt:variant>
        <vt:i4>11</vt:i4>
      </vt:variant>
      <vt:variant>
        <vt:i4>0</vt:i4>
      </vt:variant>
      <vt:variant>
        <vt:i4>5</vt:i4>
      </vt:variant>
      <vt:variant>
        <vt:lpwstr/>
      </vt:variant>
      <vt:variant>
        <vt:lpwstr>_Toc412817453</vt:lpwstr>
      </vt:variant>
      <vt:variant>
        <vt:i4>1835059</vt:i4>
      </vt:variant>
      <vt:variant>
        <vt:i4>5</vt:i4>
      </vt:variant>
      <vt:variant>
        <vt:i4>0</vt:i4>
      </vt:variant>
      <vt:variant>
        <vt:i4>5</vt:i4>
      </vt:variant>
      <vt:variant>
        <vt:lpwstr/>
      </vt:variant>
      <vt:variant>
        <vt:lpwstr>_Toc412817452</vt:lpwstr>
      </vt:variant>
      <vt:variant>
        <vt:i4>1835113</vt:i4>
      </vt:variant>
      <vt:variant>
        <vt:i4>0</vt:i4>
      </vt:variant>
      <vt:variant>
        <vt:i4>0</vt:i4>
      </vt:variant>
      <vt:variant>
        <vt:i4>5</vt:i4>
      </vt:variant>
      <vt:variant>
        <vt:lpwstr>mailto:cwx3@cdc.gov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zoz1</dc:creator>
  <cp:keywords/>
  <cp:lastModifiedBy>Joyce, Kevin J. (CDC/DDPHSS/OS/OSI)</cp:lastModifiedBy>
  <cp:revision>4</cp:revision>
  <cp:lastPrinted>2012-06-15T19:36:00Z</cp:lastPrinted>
  <dcterms:created xsi:type="dcterms:W3CDTF">2020-07-20T14:14:00Z</dcterms:created>
  <dcterms:modified xsi:type="dcterms:W3CDTF">2020-07-20T17:03:00Z</dcterms:modified>
</cp:coreProperties>
</file>