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47BB" w:rsidR="000C13D3" w:rsidP="00D547BB" w:rsidRDefault="000C13D3" w14:paraId="5234A5DE" w14:textId="77777777">
      <w:pPr>
        <w:pStyle w:val="Heading1"/>
        <w:spacing w:before="0" w:after="120"/>
        <w:jc w:val="center"/>
        <w:rPr>
          <w:rFonts w:ascii="Calibri" w:hAnsi="Calibri" w:cs="Calibri"/>
          <w:color w:val="auto"/>
          <w:sz w:val="36"/>
          <w:szCs w:val="36"/>
        </w:rPr>
      </w:pPr>
      <w:r w:rsidRPr="00D547BB">
        <w:rPr>
          <w:rFonts w:ascii="Calibri" w:hAnsi="Calibri" w:cs="Calibri"/>
          <w:color w:val="auto"/>
          <w:sz w:val="36"/>
          <w:szCs w:val="36"/>
        </w:rPr>
        <w:t>2023 Full Clearance 30-Day Package Crosswalk</w:t>
      </w:r>
    </w:p>
    <w:p w:rsidR="00014286" w:rsidP="00626ABE" w:rsidRDefault="004D1E90" w14:paraId="389A0372" w14:textId="0B6F25F9">
      <w:pPr>
        <w:pStyle w:val="BodyText"/>
      </w:pPr>
      <w:r>
        <w:t>The crosswalk below details changes made to the 202</w:t>
      </w:r>
      <w:r w:rsidR="00DD6971">
        <w:t>3</w:t>
      </w:r>
      <w:r>
        <w:t xml:space="preserve"> Full Clearance package between the 60-day submission and the 30-day submission. </w:t>
      </w:r>
    </w:p>
    <w:tbl>
      <w:tblPr>
        <w:tblStyle w:val="TableGrid"/>
        <w:tblW w:w="5000" w:type="pct"/>
        <w:jc w:val="center"/>
        <w:tblLook w:val="04A0" w:firstRow="1" w:lastRow="0" w:firstColumn="1" w:lastColumn="0" w:noHBand="0" w:noVBand="1"/>
      </w:tblPr>
      <w:tblGrid>
        <w:gridCol w:w="2605"/>
        <w:gridCol w:w="3330"/>
        <w:gridCol w:w="3415"/>
      </w:tblGrid>
      <w:tr w:rsidRPr="00404F03" w:rsidR="00E706BF" w:rsidTr="00D547BB" w14:paraId="52D0BA0C" w14:textId="77777777">
        <w:trPr>
          <w:cantSplit/>
          <w:tblHeader/>
          <w:jc w:val="center"/>
        </w:trPr>
        <w:tc>
          <w:tcPr>
            <w:tcW w:w="2605" w:type="dxa"/>
            <w:tcMar>
              <w:left w:w="86" w:type="dxa"/>
              <w:right w:w="86" w:type="dxa"/>
            </w:tcMar>
          </w:tcPr>
          <w:p w:rsidRPr="00D547BB" w:rsidR="00E706BF" w:rsidP="00626ABE" w:rsidRDefault="00E706BF" w14:paraId="48E8FE03" w14:textId="4F3026D9">
            <w:pPr>
              <w:pStyle w:val="TableHeading"/>
            </w:pPr>
            <w:r w:rsidRPr="00D547BB">
              <w:t>Section of Full Clearance Package</w:t>
            </w:r>
          </w:p>
        </w:tc>
        <w:tc>
          <w:tcPr>
            <w:tcW w:w="3330" w:type="dxa"/>
            <w:tcMar>
              <w:left w:w="86" w:type="dxa"/>
              <w:right w:w="86" w:type="dxa"/>
            </w:tcMar>
          </w:tcPr>
          <w:p w:rsidRPr="00D547BB" w:rsidR="00E706BF" w:rsidP="00626ABE" w:rsidRDefault="00E706BF" w14:paraId="2D6592DB" w14:textId="48A9C754">
            <w:pPr>
              <w:pStyle w:val="TableHeading"/>
            </w:pPr>
            <w:r w:rsidRPr="00D547BB">
              <w:t>Page Number/</w:t>
            </w:r>
            <w:proofErr w:type="spellStart"/>
            <w:r w:rsidRPr="00D547BB">
              <w:t>Quex</w:t>
            </w:r>
            <w:proofErr w:type="spellEnd"/>
            <w:r w:rsidRPr="00D547BB">
              <w:t xml:space="preserve"> Section</w:t>
            </w:r>
          </w:p>
        </w:tc>
        <w:tc>
          <w:tcPr>
            <w:tcW w:w="3415" w:type="dxa"/>
            <w:tcMar>
              <w:left w:w="86" w:type="dxa"/>
              <w:right w:w="86" w:type="dxa"/>
            </w:tcMar>
          </w:tcPr>
          <w:p w:rsidRPr="00D547BB" w:rsidR="00E706BF" w:rsidP="00626ABE" w:rsidRDefault="00E706BF" w14:paraId="2CBFA643" w14:textId="7BEAC7EA">
            <w:pPr>
              <w:pStyle w:val="TableHeading"/>
            </w:pPr>
            <w:r w:rsidRPr="00D547BB">
              <w:t>Revision in 30-day Full Clearance Package</w:t>
            </w:r>
          </w:p>
        </w:tc>
      </w:tr>
      <w:tr w:rsidRPr="00404F03" w:rsidR="008B6696" w:rsidTr="00D547BB" w14:paraId="7D1C3536" w14:textId="77777777">
        <w:trPr>
          <w:cantSplit/>
          <w:jc w:val="center"/>
        </w:trPr>
        <w:tc>
          <w:tcPr>
            <w:tcW w:w="2605" w:type="dxa"/>
            <w:tcMar>
              <w:left w:w="86" w:type="dxa"/>
              <w:right w:w="86" w:type="dxa"/>
            </w:tcMar>
          </w:tcPr>
          <w:p w:rsidRPr="00404F03" w:rsidR="008B6696" w:rsidP="00626ABE" w:rsidRDefault="008B6696" w14:paraId="2B9F8721" w14:textId="3AD26F18">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B6696" w:rsidP="00626ABE" w:rsidRDefault="008B6696" w14:paraId="220FCD50" w14:textId="18A22FE4">
            <w:pPr>
              <w:pStyle w:val="TableText"/>
            </w:pPr>
            <w:r w:rsidRPr="00404F03">
              <w:t>Page ii</w:t>
            </w:r>
          </w:p>
        </w:tc>
        <w:tc>
          <w:tcPr>
            <w:tcW w:w="3415" w:type="dxa"/>
            <w:tcMar>
              <w:left w:w="86" w:type="dxa"/>
              <w:right w:w="86" w:type="dxa"/>
            </w:tcMar>
          </w:tcPr>
          <w:p w:rsidRPr="00404F03" w:rsidR="008B6696" w:rsidP="00626ABE" w:rsidRDefault="008B6696" w14:paraId="5344451C" w14:textId="2DF2E457">
            <w:pPr>
              <w:pStyle w:val="TableText"/>
            </w:pPr>
            <w:r w:rsidRPr="00404F03">
              <w:t>Removed 60-day FRN</w:t>
            </w:r>
            <w:r w:rsidRPr="00404F03" w:rsidR="00C83855">
              <w:t>.</w:t>
            </w:r>
          </w:p>
        </w:tc>
      </w:tr>
      <w:tr w:rsidRPr="00404F03" w:rsidR="008B6696" w:rsidTr="00D547BB" w14:paraId="22A7FB41" w14:textId="77777777">
        <w:trPr>
          <w:cantSplit/>
          <w:jc w:val="center"/>
        </w:trPr>
        <w:tc>
          <w:tcPr>
            <w:tcW w:w="2605" w:type="dxa"/>
            <w:tcMar>
              <w:left w:w="86" w:type="dxa"/>
              <w:right w:w="86" w:type="dxa"/>
            </w:tcMar>
          </w:tcPr>
          <w:p w:rsidRPr="00404F03" w:rsidR="008B6696" w:rsidP="00626ABE" w:rsidRDefault="008B6696" w14:paraId="1EF8EF31" w14:textId="4E2912FC">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B6696" w:rsidP="00626ABE" w:rsidRDefault="008B6696" w14:paraId="4EFCEADD" w14:textId="1EA5DD95">
            <w:pPr>
              <w:pStyle w:val="TableText"/>
            </w:pPr>
            <w:r w:rsidRPr="00404F03">
              <w:t>Page ii</w:t>
            </w:r>
          </w:p>
        </w:tc>
        <w:tc>
          <w:tcPr>
            <w:tcW w:w="3415" w:type="dxa"/>
            <w:tcMar>
              <w:left w:w="86" w:type="dxa"/>
              <w:right w:w="86" w:type="dxa"/>
            </w:tcMar>
          </w:tcPr>
          <w:p w:rsidRPr="00404F03" w:rsidR="008B6696" w:rsidP="00626ABE" w:rsidRDefault="008B6696" w14:paraId="57CB05BD" w14:textId="54326FAB">
            <w:pPr>
              <w:pStyle w:val="TableText"/>
            </w:pPr>
            <w:r w:rsidRPr="00404F03">
              <w:t xml:space="preserve">Renumbered </w:t>
            </w:r>
            <w:r w:rsidRPr="00404F03" w:rsidR="00C83855">
              <w:t>a</w:t>
            </w:r>
            <w:r w:rsidRPr="00404F03">
              <w:t>ttachments</w:t>
            </w:r>
            <w:r w:rsidRPr="00404F03" w:rsidR="00C83855">
              <w:t>.</w:t>
            </w:r>
          </w:p>
        </w:tc>
      </w:tr>
      <w:tr w:rsidRPr="00404F03" w:rsidR="008B6696" w:rsidTr="00D547BB" w14:paraId="71E8E3E0" w14:textId="77777777">
        <w:trPr>
          <w:cantSplit/>
          <w:jc w:val="center"/>
        </w:trPr>
        <w:tc>
          <w:tcPr>
            <w:tcW w:w="2605" w:type="dxa"/>
            <w:tcMar>
              <w:left w:w="86" w:type="dxa"/>
              <w:right w:w="86" w:type="dxa"/>
            </w:tcMar>
          </w:tcPr>
          <w:p w:rsidRPr="00404F03" w:rsidR="008B6696" w:rsidP="00626ABE" w:rsidRDefault="008B6696" w14:paraId="4202C925" w14:textId="4EFD8CA3">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B6696" w:rsidP="00626ABE" w:rsidRDefault="008B6696" w14:paraId="7FEB74EB" w14:textId="3B2009C2">
            <w:pPr>
              <w:pStyle w:val="TableText"/>
            </w:pPr>
            <w:r w:rsidRPr="00404F03">
              <w:t>Section A, page 1</w:t>
            </w:r>
          </w:p>
        </w:tc>
        <w:tc>
          <w:tcPr>
            <w:tcW w:w="3415" w:type="dxa"/>
            <w:tcMar>
              <w:left w:w="86" w:type="dxa"/>
              <w:right w:w="86" w:type="dxa"/>
            </w:tcMar>
          </w:tcPr>
          <w:p w:rsidRPr="00404F03" w:rsidR="008B6696" w:rsidP="00626ABE" w:rsidRDefault="00976693" w14:paraId="06F14B78" w14:textId="64F78F63">
            <w:pPr>
              <w:pStyle w:val="TableText"/>
            </w:pPr>
            <w:r w:rsidRPr="00404F03">
              <w:t>Added sexual orientation and gender identity to the health equity items.</w:t>
            </w:r>
          </w:p>
        </w:tc>
      </w:tr>
      <w:tr w:rsidRPr="00404F03" w:rsidR="008B6696" w:rsidTr="00D547BB" w14:paraId="083B92B7" w14:textId="77777777">
        <w:trPr>
          <w:cantSplit/>
          <w:jc w:val="center"/>
        </w:trPr>
        <w:tc>
          <w:tcPr>
            <w:tcW w:w="2605" w:type="dxa"/>
            <w:tcMar>
              <w:left w:w="86" w:type="dxa"/>
              <w:right w:w="86" w:type="dxa"/>
            </w:tcMar>
          </w:tcPr>
          <w:p w:rsidRPr="00404F03" w:rsidR="008B6696" w:rsidP="00626ABE" w:rsidRDefault="008B6696" w14:paraId="4ACE1438" w14:textId="7009247A">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B6696" w:rsidP="00626ABE" w:rsidRDefault="00976693" w14:paraId="5EEA7F7C" w14:textId="4AA51B75">
            <w:pPr>
              <w:pStyle w:val="TableText"/>
            </w:pPr>
            <w:r w:rsidRPr="00404F03">
              <w:t>Section A2</w:t>
            </w:r>
            <w:r w:rsidRPr="00404F03" w:rsidR="00D53A9D">
              <w:t>, pages 6-18</w:t>
            </w:r>
          </w:p>
        </w:tc>
        <w:tc>
          <w:tcPr>
            <w:tcW w:w="3415" w:type="dxa"/>
            <w:tcMar>
              <w:left w:w="86" w:type="dxa"/>
              <w:right w:w="86" w:type="dxa"/>
            </w:tcMar>
          </w:tcPr>
          <w:p w:rsidRPr="00404F03" w:rsidR="008B6696" w:rsidP="00626ABE" w:rsidRDefault="00976693" w14:paraId="65299B66" w14:textId="74AC5F77">
            <w:pPr>
              <w:pStyle w:val="TableText"/>
            </w:pPr>
            <w:r w:rsidRPr="00404F03">
              <w:t>Updated for clarity and added content on the sexual orientation and gender identity items.</w:t>
            </w:r>
            <w:r w:rsidRPr="00404F03" w:rsidR="00A8058D">
              <w:t xml:space="preserve"> Updated to reflect </w:t>
            </w:r>
            <w:r w:rsidRPr="00404F03" w:rsidR="00C83855">
              <w:t xml:space="preserve">a change to burden </w:t>
            </w:r>
            <w:proofErr w:type="gramStart"/>
            <w:r w:rsidRPr="00404F03" w:rsidR="00C83855">
              <w:t>as a result of</w:t>
            </w:r>
            <w:proofErr w:type="gramEnd"/>
            <w:r w:rsidRPr="00404F03" w:rsidR="00C83855">
              <w:t xml:space="preserve"> adding the sexual orientation and gender identity.</w:t>
            </w:r>
          </w:p>
        </w:tc>
      </w:tr>
      <w:tr w:rsidRPr="00404F03" w:rsidR="008B6696" w:rsidTr="00D547BB" w14:paraId="25285A96" w14:textId="77777777">
        <w:trPr>
          <w:cantSplit/>
          <w:jc w:val="center"/>
        </w:trPr>
        <w:tc>
          <w:tcPr>
            <w:tcW w:w="2605" w:type="dxa"/>
            <w:tcMar>
              <w:left w:w="86" w:type="dxa"/>
              <w:right w:w="86" w:type="dxa"/>
            </w:tcMar>
          </w:tcPr>
          <w:p w:rsidRPr="00404F03" w:rsidR="008B6696" w:rsidP="00626ABE" w:rsidRDefault="00976693" w14:paraId="4BDF18E2" w14:textId="2224A9E9">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B6696" w:rsidP="00626ABE" w:rsidRDefault="00976693" w14:paraId="48CA7676" w14:textId="0884EDE9">
            <w:pPr>
              <w:pStyle w:val="TableText"/>
            </w:pPr>
            <w:r w:rsidRPr="00404F03">
              <w:t>Section A8, page</w:t>
            </w:r>
            <w:r w:rsidRPr="00404F03" w:rsidR="00A530F6">
              <w:t>s</w:t>
            </w:r>
            <w:r w:rsidRPr="00404F03">
              <w:t xml:space="preserve"> 2</w:t>
            </w:r>
            <w:r w:rsidRPr="00404F03" w:rsidR="00A530F6">
              <w:t>0-21</w:t>
            </w:r>
          </w:p>
        </w:tc>
        <w:tc>
          <w:tcPr>
            <w:tcW w:w="3415" w:type="dxa"/>
            <w:tcMar>
              <w:left w:w="86" w:type="dxa"/>
              <w:right w:w="86" w:type="dxa"/>
            </w:tcMar>
          </w:tcPr>
          <w:p w:rsidRPr="00404F03" w:rsidR="008B6696" w:rsidP="00626ABE" w:rsidRDefault="00807BA3" w14:paraId="1A2F56F9" w14:textId="7550C75E">
            <w:pPr>
              <w:pStyle w:val="TableText"/>
            </w:pPr>
            <w:r w:rsidRPr="00404F03">
              <w:t xml:space="preserve">Added information about the 60-day publication </w:t>
            </w:r>
            <w:r w:rsidRPr="00404F03" w:rsidR="003F7C6D">
              <w:t xml:space="preserve">and </w:t>
            </w:r>
            <w:r w:rsidRPr="00404F03" w:rsidR="00C83855">
              <w:t>three public comments received.</w:t>
            </w:r>
          </w:p>
        </w:tc>
      </w:tr>
      <w:tr w:rsidRPr="00404F03" w:rsidR="00807BA3" w:rsidTr="00D547BB" w14:paraId="4FF40E67" w14:textId="77777777">
        <w:trPr>
          <w:cantSplit/>
          <w:jc w:val="center"/>
        </w:trPr>
        <w:tc>
          <w:tcPr>
            <w:tcW w:w="2605" w:type="dxa"/>
            <w:tcMar>
              <w:left w:w="86" w:type="dxa"/>
              <w:right w:w="86" w:type="dxa"/>
            </w:tcMar>
          </w:tcPr>
          <w:p w:rsidRPr="00404F03" w:rsidR="00807BA3" w:rsidP="00626ABE" w:rsidRDefault="00807BA3" w14:paraId="20058843" w14:textId="4C2330D4">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07BA3" w:rsidP="00626ABE" w:rsidRDefault="00807BA3" w14:paraId="0F493807" w14:textId="5B81ED1C">
            <w:pPr>
              <w:pStyle w:val="TableText"/>
            </w:pPr>
            <w:r w:rsidRPr="00404F03">
              <w:t>Section A10, page</w:t>
            </w:r>
            <w:r w:rsidRPr="00404F03" w:rsidR="00D53A9D">
              <w:t>s</w:t>
            </w:r>
            <w:r w:rsidRPr="00404F03">
              <w:t xml:space="preserve"> 21</w:t>
            </w:r>
            <w:r w:rsidRPr="00404F03" w:rsidR="00D53A9D">
              <w:t>-22</w:t>
            </w:r>
          </w:p>
        </w:tc>
        <w:tc>
          <w:tcPr>
            <w:tcW w:w="3415" w:type="dxa"/>
            <w:tcMar>
              <w:left w:w="86" w:type="dxa"/>
              <w:right w:w="86" w:type="dxa"/>
            </w:tcMar>
          </w:tcPr>
          <w:p w:rsidRPr="00404F03" w:rsidR="00807BA3" w:rsidP="00626ABE" w:rsidRDefault="00807BA3" w14:paraId="06F7152D" w14:textId="72306FBC">
            <w:pPr>
              <w:pStyle w:val="TableText"/>
            </w:pPr>
            <w:r w:rsidRPr="00404F03">
              <w:t>Renumbered attachments.</w:t>
            </w:r>
          </w:p>
        </w:tc>
      </w:tr>
      <w:tr w:rsidRPr="00404F03" w:rsidR="00807BA3" w:rsidTr="00D547BB" w14:paraId="611D2FCE" w14:textId="77777777">
        <w:trPr>
          <w:cantSplit/>
          <w:jc w:val="center"/>
        </w:trPr>
        <w:tc>
          <w:tcPr>
            <w:tcW w:w="2605" w:type="dxa"/>
            <w:tcMar>
              <w:left w:w="86" w:type="dxa"/>
              <w:right w:w="86" w:type="dxa"/>
            </w:tcMar>
          </w:tcPr>
          <w:p w:rsidRPr="00404F03" w:rsidR="00807BA3" w:rsidP="00626ABE" w:rsidRDefault="00807BA3" w14:paraId="3E22A165" w14:textId="3DEF15A5">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07BA3" w:rsidP="00626ABE" w:rsidRDefault="00807BA3" w14:paraId="519671E3" w14:textId="3AAC482A">
            <w:pPr>
              <w:pStyle w:val="TableText"/>
            </w:pPr>
            <w:r w:rsidRPr="00404F03">
              <w:t>Section A11, page 23</w:t>
            </w:r>
          </w:p>
        </w:tc>
        <w:tc>
          <w:tcPr>
            <w:tcW w:w="3415" w:type="dxa"/>
            <w:tcMar>
              <w:left w:w="86" w:type="dxa"/>
              <w:right w:w="86" w:type="dxa"/>
            </w:tcMar>
          </w:tcPr>
          <w:p w:rsidRPr="00404F03" w:rsidR="00807BA3" w:rsidP="00626ABE" w:rsidRDefault="00807BA3" w14:paraId="139BF546" w14:textId="5EA1E445">
            <w:pPr>
              <w:pStyle w:val="TableText"/>
            </w:pPr>
            <w:r w:rsidRPr="00404F03">
              <w:t>Added justification for the sexual orientation and gender identify items.</w:t>
            </w:r>
          </w:p>
        </w:tc>
      </w:tr>
      <w:tr w:rsidRPr="00404F03" w:rsidR="00807BA3" w:rsidTr="00D547BB" w14:paraId="54682FBB" w14:textId="77777777">
        <w:trPr>
          <w:cantSplit/>
          <w:jc w:val="center"/>
        </w:trPr>
        <w:tc>
          <w:tcPr>
            <w:tcW w:w="2605" w:type="dxa"/>
            <w:tcMar>
              <w:left w:w="86" w:type="dxa"/>
              <w:right w:w="86" w:type="dxa"/>
            </w:tcMar>
          </w:tcPr>
          <w:p w:rsidRPr="00404F03" w:rsidR="00807BA3" w:rsidP="00626ABE" w:rsidRDefault="00807BA3" w14:paraId="73F9201C" w14:textId="517DF166">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07BA3" w:rsidP="00626ABE" w:rsidRDefault="00807BA3" w14:paraId="3751B89A" w14:textId="64DEC438">
            <w:pPr>
              <w:pStyle w:val="TableText"/>
            </w:pPr>
            <w:r w:rsidRPr="00404F03">
              <w:t>Section A12</w:t>
            </w:r>
            <w:r w:rsidRPr="00404F03" w:rsidR="00D53A9D">
              <w:t>, pages 23-25</w:t>
            </w:r>
          </w:p>
        </w:tc>
        <w:tc>
          <w:tcPr>
            <w:tcW w:w="3415" w:type="dxa"/>
            <w:tcMar>
              <w:left w:w="86" w:type="dxa"/>
              <w:right w:w="86" w:type="dxa"/>
            </w:tcMar>
          </w:tcPr>
          <w:p w:rsidRPr="00404F03" w:rsidR="00807BA3" w:rsidP="00626ABE" w:rsidRDefault="00A8058D" w14:paraId="5523AB1C" w14:textId="7EAFCF72">
            <w:pPr>
              <w:pStyle w:val="TableText"/>
            </w:pPr>
            <w:r w:rsidRPr="00404F03">
              <w:t>Updated burden estimates to align with changes in Section A2.</w:t>
            </w:r>
          </w:p>
        </w:tc>
      </w:tr>
      <w:tr w:rsidRPr="00404F03" w:rsidR="00807BA3" w:rsidTr="00D547BB" w14:paraId="233C1794" w14:textId="77777777">
        <w:trPr>
          <w:cantSplit/>
          <w:jc w:val="center"/>
        </w:trPr>
        <w:tc>
          <w:tcPr>
            <w:tcW w:w="2605" w:type="dxa"/>
            <w:tcMar>
              <w:left w:w="86" w:type="dxa"/>
              <w:right w:w="86" w:type="dxa"/>
            </w:tcMar>
          </w:tcPr>
          <w:p w:rsidRPr="00404F03" w:rsidR="00807BA3" w:rsidP="00626ABE" w:rsidRDefault="00A8058D" w14:paraId="7CE05DCA" w14:textId="0DA5202B">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807BA3" w:rsidP="00626ABE" w:rsidRDefault="00A8058D" w14:paraId="467B02E5" w14:textId="22ED6B27">
            <w:pPr>
              <w:pStyle w:val="TableText"/>
            </w:pPr>
            <w:r w:rsidRPr="00404F03">
              <w:t>Section A14, page 25</w:t>
            </w:r>
          </w:p>
        </w:tc>
        <w:tc>
          <w:tcPr>
            <w:tcW w:w="3415" w:type="dxa"/>
            <w:tcMar>
              <w:left w:w="86" w:type="dxa"/>
              <w:right w:w="86" w:type="dxa"/>
            </w:tcMar>
          </w:tcPr>
          <w:p w:rsidRPr="00404F03" w:rsidR="00807BA3" w:rsidP="00626ABE" w:rsidRDefault="00A8058D" w14:paraId="782AF669" w14:textId="472B3D3B">
            <w:pPr>
              <w:pStyle w:val="TableText"/>
            </w:pPr>
            <w:r w:rsidRPr="00404F03">
              <w:t>Updated for clarity.</w:t>
            </w:r>
          </w:p>
        </w:tc>
      </w:tr>
      <w:tr w:rsidRPr="00404F03" w:rsidR="00A8058D" w:rsidTr="00D547BB" w14:paraId="176C2BB2" w14:textId="77777777">
        <w:trPr>
          <w:cantSplit/>
          <w:jc w:val="center"/>
        </w:trPr>
        <w:tc>
          <w:tcPr>
            <w:tcW w:w="2605" w:type="dxa"/>
            <w:tcMar>
              <w:left w:w="86" w:type="dxa"/>
              <w:right w:w="86" w:type="dxa"/>
            </w:tcMar>
          </w:tcPr>
          <w:p w:rsidRPr="00404F03" w:rsidR="00A8058D" w:rsidP="00626ABE" w:rsidRDefault="00A8058D" w14:paraId="61B320FA" w14:textId="4ABA95EA">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A8058D" w:rsidP="00626ABE" w:rsidRDefault="00A8058D" w14:paraId="30051227" w14:textId="58E6ECF4">
            <w:pPr>
              <w:pStyle w:val="TableText"/>
            </w:pPr>
            <w:r w:rsidRPr="00404F03">
              <w:t>Section A15, page</w:t>
            </w:r>
            <w:r w:rsidRPr="00404F03" w:rsidR="00D53A9D">
              <w:t>s</w:t>
            </w:r>
            <w:r w:rsidRPr="00404F03">
              <w:t xml:space="preserve"> 26</w:t>
            </w:r>
            <w:r w:rsidRPr="00404F03" w:rsidR="00D53A9D">
              <w:t>-27</w:t>
            </w:r>
          </w:p>
        </w:tc>
        <w:tc>
          <w:tcPr>
            <w:tcW w:w="3415" w:type="dxa"/>
            <w:tcMar>
              <w:left w:w="86" w:type="dxa"/>
              <w:right w:w="86" w:type="dxa"/>
            </w:tcMar>
          </w:tcPr>
          <w:p w:rsidRPr="00404F03" w:rsidR="00A8058D" w:rsidP="00626ABE" w:rsidRDefault="00A8058D" w14:paraId="4D963B42" w14:textId="42DB3C38">
            <w:pPr>
              <w:pStyle w:val="TableText"/>
            </w:pPr>
            <w:r w:rsidRPr="00404F03">
              <w:t xml:space="preserve">Added the sexual orientation and gender identity items. </w:t>
            </w:r>
            <w:r w:rsidRPr="00404F03" w:rsidR="00A02E63">
              <w:t xml:space="preserve">Added section </w:t>
            </w:r>
            <w:r w:rsidRPr="00404F03" w:rsidR="00C83855">
              <w:t>to clarify the</w:t>
            </w:r>
            <w:r w:rsidRPr="00404F03" w:rsidR="00A02E63">
              <w:t xml:space="preserve"> decrease in respondent burden due to removal of COVID-19 items.</w:t>
            </w:r>
            <w:r w:rsidRPr="00404F03">
              <w:t xml:space="preserve"> </w:t>
            </w:r>
          </w:p>
        </w:tc>
      </w:tr>
      <w:tr w:rsidRPr="00404F03" w:rsidR="00A02E63" w:rsidTr="00D547BB" w14:paraId="7B99DDDF" w14:textId="77777777">
        <w:trPr>
          <w:cantSplit/>
          <w:jc w:val="center"/>
        </w:trPr>
        <w:tc>
          <w:tcPr>
            <w:tcW w:w="2605" w:type="dxa"/>
            <w:tcMar>
              <w:left w:w="86" w:type="dxa"/>
              <w:right w:w="86" w:type="dxa"/>
            </w:tcMar>
          </w:tcPr>
          <w:p w:rsidRPr="00404F03" w:rsidR="00A02E63" w:rsidP="00626ABE" w:rsidRDefault="00A02E63" w14:paraId="4468F4F9" w14:textId="03DC0586">
            <w:pPr>
              <w:pStyle w:val="TableText"/>
            </w:pPr>
            <w:r w:rsidRPr="00404F03">
              <w:t xml:space="preserve">Supporting </w:t>
            </w:r>
            <w:proofErr w:type="gramStart"/>
            <w:r w:rsidRPr="00404F03">
              <w:t>Statement</w:t>
            </w:r>
            <w:proofErr w:type="gramEnd"/>
            <w:r w:rsidRPr="00404F03">
              <w:t xml:space="preserve"> A</w:t>
            </w:r>
          </w:p>
        </w:tc>
        <w:tc>
          <w:tcPr>
            <w:tcW w:w="3330" w:type="dxa"/>
            <w:tcMar>
              <w:left w:w="86" w:type="dxa"/>
              <w:right w:w="86" w:type="dxa"/>
            </w:tcMar>
          </w:tcPr>
          <w:p w:rsidRPr="00404F03" w:rsidR="00A02E63" w:rsidP="00626ABE" w:rsidRDefault="00A02E63" w14:paraId="098AD2DF" w14:textId="1E90657E">
            <w:pPr>
              <w:pStyle w:val="TableText"/>
            </w:pPr>
            <w:r w:rsidRPr="00404F03">
              <w:t>Section A17, page 29</w:t>
            </w:r>
            <w:r w:rsidRPr="00404F03">
              <w:tab/>
            </w:r>
          </w:p>
        </w:tc>
        <w:tc>
          <w:tcPr>
            <w:tcW w:w="3415" w:type="dxa"/>
            <w:tcMar>
              <w:left w:w="86" w:type="dxa"/>
              <w:right w:w="86" w:type="dxa"/>
            </w:tcMar>
          </w:tcPr>
          <w:p w:rsidRPr="00404F03" w:rsidR="00A02E63" w:rsidP="00626ABE" w:rsidRDefault="00A02E63" w14:paraId="2DC86365" w14:textId="5A92A3E9">
            <w:pPr>
              <w:pStyle w:val="TableText"/>
            </w:pPr>
            <w:r w:rsidRPr="00404F03">
              <w:t>Updated attachment number.</w:t>
            </w:r>
          </w:p>
        </w:tc>
      </w:tr>
      <w:tr w:rsidRPr="00404F03" w:rsidR="00B11124" w:rsidTr="00D547BB" w14:paraId="6B5FA8DA" w14:textId="77777777">
        <w:trPr>
          <w:cantSplit/>
          <w:jc w:val="center"/>
        </w:trPr>
        <w:tc>
          <w:tcPr>
            <w:tcW w:w="2605" w:type="dxa"/>
            <w:tcMar>
              <w:left w:w="86" w:type="dxa"/>
              <w:right w:w="86" w:type="dxa"/>
            </w:tcMar>
          </w:tcPr>
          <w:p w:rsidRPr="00404F03" w:rsidR="00B11124" w:rsidP="00626ABE" w:rsidRDefault="00B11124" w14:paraId="0638965A" w14:textId="7DD7F8D3">
            <w:pPr>
              <w:pStyle w:val="TableText"/>
            </w:pPr>
            <w:r w:rsidRPr="00404F03">
              <w:t>Supporting Statement B</w:t>
            </w:r>
          </w:p>
        </w:tc>
        <w:tc>
          <w:tcPr>
            <w:tcW w:w="3330" w:type="dxa"/>
            <w:tcMar>
              <w:left w:w="86" w:type="dxa"/>
              <w:right w:w="86" w:type="dxa"/>
            </w:tcMar>
          </w:tcPr>
          <w:p w:rsidRPr="00404F03" w:rsidR="00B11124" w:rsidP="00626ABE" w:rsidRDefault="00B11124" w14:paraId="43ECA913" w14:textId="6DA2ED93">
            <w:pPr>
              <w:pStyle w:val="TableText"/>
            </w:pPr>
            <w:r w:rsidRPr="00404F03">
              <w:t>Page ii</w:t>
            </w:r>
          </w:p>
        </w:tc>
        <w:tc>
          <w:tcPr>
            <w:tcW w:w="3415" w:type="dxa"/>
            <w:tcMar>
              <w:left w:w="86" w:type="dxa"/>
              <w:right w:w="86" w:type="dxa"/>
            </w:tcMar>
          </w:tcPr>
          <w:p w:rsidRPr="00404F03" w:rsidR="00B11124" w:rsidP="00626ABE" w:rsidRDefault="00B11124" w14:paraId="691F2873" w14:textId="1E811E5C">
            <w:pPr>
              <w:pStyle w:val="TableText"/>
            </w:pPr>
            <w:r w:rsidRPr="00404F03">
              <w:t>Removed 60-day FRN</w:t>
            </w:r>
          </w:p>
        </w:tc>
      </w:tr>
      <w:tr w:rsidRPr="00404F03" w:rsidR="00B11124" w:rsidTr="00D547BB" w14:paraId="4F0A7ED3" w14:textId="77777777">
        <w:trPr>
          <w:cantSplit/>
          <w:jc w:val="center"/>
        </w:trPr>
        <w:tc>
          <w:tcPr>
            <w:tcW w:w="2605" w:type="dxa"/>
            <w:tcMar>
              <w:left w:w="86" w:type="dxa"/>
              <w:right w:w="86" w:type="dxa"/>
            </w:tcMar>
          </w:tcPr>
          <w:p w:rsidRPr="00404F03" w:rsidR="00B11124" w:rsidP="00626ABE" w:rsidRDefault="00B11124" w14:paraId="37AF7A3C" w14:textId="5FE2FF83">
            <w:pPr>
              <w:pStyle w:val="TableText"/>
            </w:pPr>
            <w:r w:rsidRPr="00404F03">
              <w:t>Supporting Statement B</w:t>
            </w:r>
          </w:p>
        </w:tc>
        <w:tc>
          <w:tcPr>
            <w:tcW w:w="3330" w:type="dxa"/>
            <w:tcMar>
              <w:left w:w="86" w:type="dxa"/>
              <w:right w:w="86" w:type="dxa"/>
            </w:tcMar>
          </w:tcPr>
          <w:p w:rsidRPr="00404F03" w:rsidR="00B11124" w:rsidP="00626ABE" w:rsidRDefault="00B11124" w14:paraId="61F110FC" w14:textId="0CB10CBA">
            <w:pPr>
              <w:pStyle w:val="TableText"/>
            </w:pPr>
            <w:r w:rsidRPr="00404F03">
              <w:t>Page ii</w:t>
            </w:r>
          </w:p>
        </w:tc>
        <w:tc>
          <w:tcPr>
            <w:tcW w:w="3415" w:type="dxa"/>
            <w:tcMar>
              <w:left w:w="86" w:type="dxa"/>
              <w:right w:w="86" w:type="dxa"/>
            </w:tcMar>
          </w:tcPr>
          <w:p w:rsidRPr="00404F03" w:rsidR="00B11124" w:rsidP="00626ABE" w:rsidRDefault="00B11124" w14:paraId="78256E6F" w14:textId="2F70EFCD">
            <w:pPr>
              <w:pStyle w:val="TableText"/>
            </w:pPr>
            <w:r w:rsidRPr="00404F03">
              <w:t xml:space="preserve">Renumbered </w:t>
            </w:r>
            <w:r w:rsidRPr="00404F03" w:rsidR="00C83855">
              <w:t>a</w:t>
            </w:r>
            <w:r w:rsidRPr="00404F03">
              <w:t>ttachments</w:t>
            </w:r>
            <w:r w:rsidRPr="00404F03" w:rsidR="00C83855">
              <w:t>.</w:t>
            </w:r>
          </w:p>
        </w:tc>
      </w:tr>
      <w:tr w:rsidRPr="00404F03" w:rsidR="00B11124" w:rsidTr="00D547BB" w14:paraId="298CBF1C" w14:textId="77777777">
        <w:trPr>
          <w:cantSplit/>
          <w:jc w:val="center"/>
        </w:trPr>
        <w:tc>
          <w:tcPr>
            <w:tcW w:w="2605" w:type="dxa"/>
            <w:tcMar>
              <w:left w:w="86" w:type="dxa"/>
              <w:right w:w="86" w:type="dxa"/>
            </w:tcMar>
          </w:tcPr>
          <w:p w:rsidRPr="00404F03" w:rsidR="00B11124" w:rsidP="00626ABE" w:rsidRDefault="00B11124" w14:paraId="21F3DB4A" w14:textId="142E6DE3">
            <w:pPr>
              <w:pStyle w:val="TableText"/>
            </w:pPr>
            <w:r w:rsidRPr="00404F03">
              <w:lastRenderedPageBreak/>
              <w:t>Supporting Statement B</w:t>
            </w:r>
          </w:p>
        </w:tc>
        <w:tc>
          <w:tcPr>
            <w:tcW w:w="3330" w:type="dxa"/>
            <w:tcMar>
              <w:left w:w="86" w:type="dxa"/>
              <w:right w:w="86" w:type="dxa"/>
            </w:tcMar>
          </w:tcPr>
          <w:p w:rsidRPr="00404F03" w:rsidR="00B11124" w:rsidP="00626ABE" w:rsidRDefault="00B11124" w14:paraId="23307575" w14:textId="1742F47B">
            <w:pPr>
              <w:pStyle w:val="TableText"/>
            </w:pPr>
            <w:r w:rsidRPr="00404F03">
              <w:t>Section B, page 1</w:t>
            </w:r>
          </w:p>
        </w:tc>
        <w:tc>
          <w:tcPr>
            <w:tcW w:w="3415" w:type="dxa"/>
            <w:tcMar>
              <w:left w:w="86" w:type="dxa"/>
              <w:right w:w="86" w:type="dxa"/>
            </w:tcMar>
          </w:tcPr>
          <w:p w:rsidRPr="00404F03" w:rsidR="00B11124" w:rsidP="00626ABE" w:rsidRDefault="00B11124" w14:paraId="1516DF99" w14:textId="1F404C24">
            <w:pPr>
              <w:pStyle w:val="TableText"/>
            </w:pPr>
            <w:r w:rsidRPr="00404F03">
              <w:t xml:space="preserve">Added sexual orientation and gender identity to the health equity items. </w:t>
            </w:r>
            <w:r w:rsidRPr="00404F03" w:rsidR="00C83855">
              <w:t>Clarified information on COVID-19 items.</w:t>
            </w:r>
          </w:p>
        </w:tc>
      </w:tr>
      <w:tr w:rsidRPr="00404F03" w:rsidR="00B11124" w:rsidTr="00D547BB" w14:paraId="0D110261" w14:textId="77777777">
        <w:trPr>
          <w:cantSplit/>
          <w:jc w:val="center"/>
        </w:trPr>
        <w:tc>
          <w:tcPr>
            <w:tcW w:w="2605" w:type="dxa"/>
            <w:tcMar>
              <w:left w:w="86" w:type="dxa"/>
              <w:right w:w="86" w:type="dxa"/>
            </w:tcMar>
          </w:tcPr>
          <w:p w:rsidRPr="00404F03" w:rsidR="00B11124" w:rsidP="00626ABE" w:rsidRDefault="00B11124" w14:paraId="3FC7F684" w14:textId="33CABD46">
            <w:pPr>
              <w:pStyle w:val="TableText"/>
            </w:pPr>
            <w:r w:rsidRPr="00404F03">
              <w:t>Supporting Statement B</w:t>
            </w:r>
          </w:p>
        </w:tc>
        <w:tc>
          <w:tcPr>
            <w:tcW w:w="3330" w:type="dxa"/>
            <w:tcMar>
              <w:left w:w="86" w:type="dxa"/>
              <w:right w:w="86" w:type="dxa"/>
            </w:tcMar>
          </w:tcPr>
          <w:p w:rsidRPr="00404F03" w:rsidR="00B11124" w:rsidP="00626ABE" w:rsidRDefault="00B11124" w14:paraId="7548F36D" w14:textId="72F8251D">
            <w:pPr>
              <w:pStyle w:val="TableText"/>
            </w:pPr>
            <w:r w:rsidRPr="00404F03">
              <w:t xml:space="preserve"> Section B2</w:t>
            </w:r>
            <w:r w:rsidRPr="00404F03" w:rsidR="00381B58">
              <w:t xml:space="preserve"> d.</w:t>
            </w:r>
            <w:r w:rsidRPr="00404F03">
              <w:t>, page</w:t>
            </w:r>
            <w:r w:rsidRPr="00404F03" w:rsidR="0025317B">
              <w:t xml:space="preserve"> 9</w:t>
            </w:r>
          </w:p>
        </w:tc>
        <w:tc>
          <w:tcPr>
            <w:tcW w:w="3415" w:type="dxa"/>
            <w:tcMar>
              <w:left w:w="86" w:type="dxa"/>
              <w:right w:w="86" w:type="dxa"/>
            </w:tcMar>
          </w:tcPr>
          <w:p w:rsidRPr="00404F03" w:rsidR="00B11124" w:rsidP="00626ABE" w:rsidRDefault="00B11124" w14:paraId="0AAF95C3" w14:textId="049A490A">
            <w:pPr>
              <w:pStyle w:val="TableText"/>
            </w:pPr>
            <w:r w:rsidRPr="00404F03">
              <w:t>Updated interview type for Demographics and Income Questionnaire.</w:t>
            </w:r>
          </w:p>
        </w:tc>
      </w:tr>
      <w:tr w:rsidRPr="00404F03" w:rsidR="00B11124" w:rsidTr="00D547BB" w14:paraId="63DD1F67" w14:textId="77777777">
        <w:trPr>
          <w:cantSplit/>
          <w:jc w:val="center"/>
        </w:trPr>
        <w:tc>
          <w:tcPr>
            <w:tcW w:w="2605" w:type="dxa"/>
            <w:tcMar>
              <w:left w:w="86" w:type="dxa"/>
              <w:right w:w="86" w:type="dxa"/>
            </w:tcMar>
          </w:tcPr>
          <w:p w:rsidRPr="00404F03" w:rsidR="00B11124" w:rsidP="00626ABE" w:rsidRDefault="00B11124" w14:paraId="6400BD1E" w14:textId="6F8EFA19">
            <w:pPr>
              <w:pStyle w:val="TableText"/>
            </w:pPr>
            <w:r w:rsidRPr="00404F03">
              <w:t>Supporting Statement B</w:t>
            </w:r>
          </w:p>
        </w:tc>
        <w:tc>
          <w:tcPr>
            <w:tcW w:w="3330" w:type="dxa"/>
            <w:tcMar>
              <w:left w:w="86" w:type="dxa"/>
              <w:right w:w="86" w:type="dxa"/>
            </w:tcMar>
          </w:tcPr>
          <w:p w:rsidRPr="00404F03" w:rsidR="00B11124" w:rsidP="00626ABE" w:rsidRDefault="00B11124" w14:paraId="0B641A51" w14:textId="7EFDEF66">
            <w:pPr>
              <w:pStyle w:val="TableText"/>
            </w:pPr>
            <w:r w:rsidRPr="00404F03">
              <w:t>Section B2</w:t>
            </w:r>
            <w:r w:rsidRPr="00404F03" w:rsidR="00381B58">
              <w:t xml:space="preserve"> d.</w:t>
            </w:r>
            <w:r w:rsidRPr="00404F03" w:rsidR="0025317B">
              <w:t xml:space="preserve"> pages 11-17</w:t>
            </w:r>
          </w:p>
        </w:tc>
        <w:tc>
          <w:tcPr>
            <w:tcW w:w="3415" w:type="dxa"/>
            <w:tcMar>
              <w:left w:w="86" w:type="dxa"/>
              <w:right w:w="86" w:type="dxa"/>
            </w:tcMar>
          </w:tcPr>
          <w:p w:rsidRPr="00404F03" w:rsidR="00B11124" w:rsidP="00626ABE" w:rsidRDefault="00B11124" w14:paraId="1A5256EA" w14:textId="21EC75EE">
            <w:pPr>
              <w:pStyle w:val="TableText"/>
            </w:pPr>
            <w:r w:rsidRPr="00404F03">
              <w:t xml:space="preserve">Added sexual orientation and gender identity items. </w:t>
            </w:r>
            <w:r w:rsidRPr="00404F03" w:rsidR="00C83855">
              <w:t>Clarified information on</w:t>
            </w:r>
            <w:r w:rsidRPr="00404F03">
              <w:t xml:space="preserve"> COVID-19 items</w:t>
            </w:r>
            <w:r w:rsidRPr="00404F03" w:rsidR="00C83855">
              <w:t>.</w:t>
            </w:r>
          </w:p>
        </w:tc>
      </w:tr>
      <w:tr w:rsidRPr="00404F03" w:rsidR="00B11124" w:rsidTr="00D547BB" w14:paraId="26B5D055" w14:textId="77777777">
        <w:trPr>
          <w:cantSplit/>
          <w:jc w:val="center"/>
        </w:trPr>
        <w:tc>
          <w:tcPr>
            <w:tcW w:w="2605" w:type="dxa"/>
            <w:tcMar>
              <w:left w:w="86" w:type="dxa"/>
              <w:right w:w="86" w:type="dxa"/>
            </w:tcMar>
          </w:tcPr>
          <w:p w:rsidRPr="00404F03" w:rsidR="00B11124" w:rsidP="00626ABE" w:rsidRDefault="00B11124" w14:paraId="60F398BC" w14:textId="698DD070">
            <w:pPr>
              <w:pStyle w:val="TableText"/>
            </w:pPr>
            <w:r w:rsidRPr="00404F03">
              <w:t>Supporting Statement B</w:t>
            </w:r>
          </w:p>
        </w:tc>
        <w:tc>
          <w:tcPr>
            <w:tcW w:w="3330" w:type="dxa"/>
            <w:tcMar>
              <w:left w:w="86" w:type="dxa"/>
              <w:right w:w="86" w:type="dxa"/>
            </w:tcMar>
          </w:tcPr>
          <w:p w:rsidRPr="00404F03" w:rsidR="00B11124" w:rsidP="00626ABE" w:rsidRDefault="00B11124" w14:paraId="7C37579C" w14:textId="14D936E4">
            <w:pPr>
              <w:pStyle w:val="TableText"/>
            </w:pPr>
            <w:r w:rsidRPr="00404F03">
              <w:t>Section B2</w:t>
            </w:r>
            <w:r w:rsidRPr="00404F03" w:rsidR="00381B58">
              <w:t xml:space="preserve"> d.</w:t>
            </w:r>
            <w:r w:rsidRPr="00404F03" w:rsidR="0025317B">
              <w:t xml:space="preserve"> pages 13-20</w:t>
            </w:r>
          </w:p>
        </w:tc>
        <w:tc>
          <w:tcPr>
            <w:tcW w:w="3415" w:type="dxa"/>
            <w:tcMar>
              <w:left w:w="86" w:type="dxa"/>
              <w:right w:w="86" w:type="dxa"/>
            </w:tcMar>
          </w:tcPr>
          <w:p w:rsidRPr="00404F03" w:rsidR="00B11124" w:rsidP="00626ABE" w:rsidRDefault="00B11124" w14:paraId="7228EA6A" w14:textId="5E1EAE2F">
            <w:pPr>
              <w:pStyle w:val="TableText"/>
            </w:pPr>
            <w:r w:rsidRPr="00404F03">
              <w:t>Renumbered attachments.</w:t>
            </w:r>
          </w:p>
        </w:tc>
      </w:tr>
      <w:tr w:rsidRPr="00404F03" w:rsidR="0025317B" w:rsidTr="00D547BB" w14:paraId="5AB94334" w14:textId="77777777">
        <w:trPr>
          <w:cantSplit/>
          <w:jc w:val="center"/>
        </w:trPr>
        <w:tc>
          <w:tcPr>
            <w:tcW w:w="2605" w:type="dxa"/>
            <w:tcMar>
              <w:left w:w="86" w:type="dxa"/>
              <w:right w:w="86" w:type="dxa"/>
            </w:tcMar>
          </w:tcPr>
          <w:p w:rsidRPr="00404F03" w:rsidR="0025317B" w:rsidP="00626ABE" w:rsidRDefault="0025317B" w14:paraId="7BE7F1E0" w14:textId="0444694D">
            <w:pPr>
              <w:pStyle w:val="TableText"/>
            </w:pPr>
            <w:r w:rsidRPr="00404F03">
              <w:t>Supporting Statement B</w:t>
            </w:r>
          </w:p>
        </w:tc>
        <w:tc>
          <w:tcPr>
            <w:tcW w:w="3330" w:type="dxa"/>
            <w:tcMar>
              <w:left w:w="86" w:type="dxa"/>
              <w:right w:w="86" w:type="dxa"/>
            </w:tcMar>
          </w:tcPr>
          <w:p w:rsidRPr="00404F03" w:rsidR="0025317B" w:rsidP="00626ABE" w:rsidRDefault="0025317B" w14:paraId="0C37295F" w14:textId="76D62875">
            <w:pPr>
              <w:pStyle w:val="TableText"/>
            </w:pPr>
            <w:r w:rsidRPr="00404F03">
              <w:t>Section B3, pages 22-23</w:t>
            </w:r>
          </w:p>
        </w:tc>
        <w:tc>
          <w:tcPr>
            <w:tcW w:w="3415" w:type="dxa"/>
            <w:tcMar>
              <w:left w:w="86" w:type="dxa"/>
              <w:right w:w="86" w:type="dxa"/>
            </w:tcMar>
          </w:tcPr>
          <w:p w:rsidRPr="00404F03" w:rsidR="0025317B" w:rsidP="00626ABE" w:rsidRDefault="0025317B" w14:paraId="3B3AD2E4" w14:textId="3E172D32">
            <w:pPr>
              <w:pStyle w:val="TableText"/>
            </w:pPr>
            <w:r w:rsidRPr="00404F03">
              <w:t>Renumbered attachments.</w:t>
            </w:r>
          </w:p>
        </w:tc>
      </w:tr>
      <w:tr w:rsidRPr="00404F03" w:rsidR="0025317B" w:rsidTr="00D547BB" w14:paraId="74016D14" w14:textId="77777777">
        <w:trPr>
          <w:cantSplit/>
          <w:jc w:val="center"/>
        </w:trPr>
        <w:tc>
          <w:tcPr>
            <w:tcW w:w="2605" w:type="dxa"/>
            <w:tcMar>
              <w:left w:w="86" w:type="dxa"/>
              <w:right w:w="86" w:type="dxa"/>
            </w:tcMar>
          </w:tcPr>
          <w:p w:rsidRPr="00404F03" w:rsidR="0025317B" w:rsidP="00626ABE" w:rsidRDefault="0025317B" w14:paraId="6C57FC39" w14:textId="41B9BB6C">
            <w:pPr>
              <w:pStyle w:val="TableText"/>
            </w:pPr>
            <w:r w:rsidRPr="00404F03">
              <w:t>Supporting Statement B</w:t>
            </w:r>
          </w:p>
        </w:tc>
        <w:tc>
          <w:tcPr>
            <w:tcW w:w="3330" w:type="dxa"/>
            <w:tcMar>
              <w:left w:w="86" w:type="dxa"/>
              <w:right w:w="86" w:type="dxa"/>
            </w:tcMar>
          </w:tcPr>
          <w:p w:rsidRPr="00404F03" w:rsidR="0025317B" w:rsidP="00626ABE" w:rsidRDefault="0025317B" w14:paraId="067413FE" w14:textId="0F6B8CA8">
            <w:pPr>
              <w:pStyle w:val="TableText"/>
            </w:pPr>
            <w:r w:rsidRPr="00404F03">
              <w:t>Section B4, page 25</w:t>
            </w:r>
          </w:p>
        </w:tc>
        <w:tc>
          <w:tcPr>
            <w:tcW w:w="3415" w:type="dxa"/>
            <w:tcMar>
              <w:left w:w="86" w:type="dxa"/>
              <w:right w:w="86" w:type="dxa"/>
            </w:tcMar>
          </w:tcPr>
          <w:p w:rsidRPr="00404F03" w:rsidR="0025317B" w:rsidP="00626ABE" w:rsidRDefault="0025317B" w14:paraId="2E2F9F5D" w14:textId="6CD4FED0">
            <w:pPr>
              <w:pStyle w:val="TableText"/>
            </w:pPr>
            <w:r w:rsidRPr="00404F03">
              <w:t>Added content on cognitive testing of sexual orientation and gender identity items.</w:t>
            </w:r>
          </w:p>
        </w:tc>
      </w:tr>
      <w:tr w:rsidRPr="00404F03" w:rsidR="0025317B" w:rsidTr="00D547BB" w14:paraId="302759C3" w14:textId="77777777">
        <w:trPr>
          <w:cantSplit/>
          <w:jc w:val="center"/>
        </w:trPr>
        <w:tc>
          <w:tcPr>
            <w:tcW w:w="2605" w:type="dxa"/>
            <w:tcMar>
              <w:left w:w="86" w:type="dxa"/>
              <w:right w:w="86" w:type="dxa"/>
            </w:tcMar>
          </w:tcPr>
          <w:p w:rsidRPr="00404F03" w:rsidR="0025317B" w:rsidP="00626ABE" w:rsidRDefault="0025317B" w14:paraId="42994BF3" w14:textId="4CFA184B">
            <w:pPr>
              <w:pStyle w:val="TableText"/>
            </w:pPr>
            <w:r w:rsidRPr="00404F03">
              <w:t>Attachment 2: Community Instrument (Baseline and Continuing) and Showcards</w:t>
            </w:r>
          </w:p>
        </w:tc>
        <w:tc>
          <w:tcPr>
            <w:tcW w:w="3330" w:type="dxa"/>
            <w:tcMar>
              <w:left w:w="86" w:type="dxa"/>
              <w:right w:w="86" w:type="dxa"/>
            </w:tcMar>
          </w:tcPr>
          <w:p w:rsidRPr="00D547BB" w:rsidR="0025317B" w:rsidP="00626ABE" w:rsidRDefault="0025317B" w14:paraId="302B8AD0" w14:textId="7315BDB4">
            <w:pPr>
              <w:pStyle w:val="TableText"/>
              <w:rPr>
                <w:spacing w:val="-2"/>
              </w:rPr>
            </w:pPr>
            <w:r w:rsidRPr="00D547BB">
              <w:rPr>
                <w:spacing w:val="-2"/>
              </w:rPr>
              <w:t>Demographics and Income (DIQ)</w:t>
            </w:r>
          </w:p>
          <w:p w:rsidRPr="00404F03" w:rsidR="0025317B" w:rsidP="00626ABE" w:rsidRDefault="0025317B" w14:paraId="7A7E8875" w14:textId="77777777">
            <w:pPr>
              <w:pStyle w:val="TableText"/>
            </w:pPr>
            <w:r w:rsidRPr="00404F03">
              <w:t>COVID-19 Questionnaire (CVQ)</w:t>
            </w:r>
          </w:p>
          <w:p w:rsidRPr="00404F03" w:rsidR="0025317B" w:rsidP="00626ABE" w:rsidRDefault="0025317B" w14:paraId="0E3544F1" w14:textId="77777777">
            <w:pPr>
              <w:pStyle w:val="TableText"/>
            </w:pPr>
            <w:r w:rsidRPr="00404F03">
              <w:t>Introduction (INQ)</w:t>
            </w:r>
          </w:p>
          <w:p w:rsidRPr="00404F03" w:rsidR="0025317B" w:rsidP="00626ABE" w:rsidRDefault="0025317B" w14:paraId="0E038C7C" w14:textId="2CA2864D">
            <w:pPr>
              <w:pStyle w:val="TableText"/>
            </w:pPr>
            <w:r w:rsidRPr="00404F03">
              <w:t>Cognitive Measures (CMQ)</w:t>
            </w:r>
          </w:p>
        </w:tc>
        <w:tc>
          <w:tcPr>
            <w:tcW w:w="3415" w:type="dxa"/>
            <w:tcMar>
              <w:left w:w="86" w:type="dxa"/>
              <w:right w:w="86" w:type="dxa"/>
            </w:tcMar>
          </w:tcPr>
          <w:p w:rsidRPr="00404F03" w:rsidR="0025317B" w:rsidP="00626ABE" w:rsidRDefault="0025317B" w14:paraId="39313768" w14:textId="4A61FB57">
            <w:pPr>
              <w:pStyle w:val="TableText"/>
            </w:pPr>
            <w:r w:rsidRPr="00404F03">
              <w:t>Added sexual orientation and gender identity items to DIQ. Updated sections with recent programming maintenance changes. Examples of programming maintenance updates include revisions to routing logic, interviewer help text, and changes to variable names.</w:t>
            </w:r>
          </w:p>
        </w:tc>
      </w:tr>
      <w:tr w:rsidRPr="00404F03" w:rsidR="0025317B" w:rsidTr="00D547BB" w14:paraId="67ACBA57" w14:textId="77777777">
        <w:trPr>
          <w:cantSplit/>
          <w:jc w:val="center"/>
        </w:trPr>
        <w:tc>
          <w:tcPr>
            <w:tcW w:w="2605" w:type="dxa"/>
            <w:tcMar>
              <w:left w:w="86" w:type="dxa"/>
              <w:right w:w="86" w:type="dxa"/>
            </w:tcMar>
          </w:tcPr>
          <w:p w:rsidRPr="00404F03" w:rsidR="0025317B" w:rsidP="00626ABE" w:rsidRDefault="0025317B" w14:paraId="3BF5AF66" w14:textId="705083D4">
            <w:pPr>
              <w:pStyle w:val="TableText"/>
            </w:pPr>
            <w:r w:rsidRPr="00404F03">
              <w:t>Attachment 4:</w:t>
            </w:r>
            <w:r w:rsidRPr="00404F03">
              <w:tab/>
              <w:t>Facility Instrument (Baseline and Continuing) and Showcards</w:t>
            </w:r>
          </w:p>
        </w:tc>
        <w:tc>
          <w:tcPr>
            <w:tcW w:w="3330" w:type="dxa"/>
            <w:tcMar>
              <w:left w:w="86" w:type="dxa"/>
              <w:right w:w="86" w:type="dxa"/>
            </w:tcMar>
          </w:tcPr>
          <w:p w:rsidRPr="00404F03" w:rsidR="0025317B" w:rsidP="00626ABE" w:rsidRDefault="0025317B" w14:paraId="19401D2B" w14:textId="7BFB3E7A">
            <w:pPr>
              <w:pStyle w:val="TableText"/>
            </w:pPr>
            <w:r w:rsidRPr="00404F03">
              <w:t>Beneficiary-Level COVID-19 (CV)</w:t>
            </w:r>
          </w:p>
          <w:p w:rsidRPr="00404F03" w:rsidR="0025317B" w:rsidP="00626ABE" w:rsidRDefault="0025317B" w14:paraId="7098B5A5" w14:textId="625B38FD">
            <w:pPr>
              <w:pStyle w:val="TableText"/>
            </w:pPr>
            <w:r w:rsidRPr="00404F03">
              <w:t>Facility-Level COVID-19 (FC)</w:t>
            </w:r>
          </w:p>
          <w:p w:rsidRPr="00404F03" w:rsidR="0025317B" w:rsidP="00626ABE" w:rsidRDefault="0025317B" w14:paraId="60A61EE5" w14:textId="2EBF447C">
            <w:pPr>
              <w:pStyle w:val="TableText"/>
            </w:pPr>
            <w:r w:rsidRPr="00404F03">
              <w:t>Residence History (RH)</w:t>
            </w:r>
          </w:p>
          <w:p w:rsidRPr="00404F03" w:rsidR="0025317B" w:rsidP="00626ABE" w:rsidRDefault="0025317B" w14:paraId="5B56AC87" w14:textId="15198CAE">
            <w:pPr>
              <w:pStyle w:val="TableText"/>
              <w:rPr>
                <w:rFonts w:eastAsia="Times New Roman"/>
              </w:rPr>
            </w:pPr>
            <w:r w:rsidRPr="00404F03">
              <w:t>Use of Health Services (US)</w:t>
            </w:r>
          </w:p>
        </w:tc>
        <w:tc>
          <w:tcPr>
            <w:tcW w:w="3415" w:type="dxa"/>
            <w:tcMar>
              <w:left w:w="86" w:type="dxa"/>
              <w:right w:w="86" w:type="dxa"/>
            </w:tcMar>
          </w:tcPr>
          <w:p w:rsidRPr="00404F03" w:rsidR="0025317B" w:rsidP="00626ABE" w:rsidRDefault="0025317B" w14:paraId="27259408" w14:textId="55F5D6E2">
            <w:pPr>
              <w:pStyle w:val="TableText"/>
            </w:pPr>
            <w:r w:rsidRPr="00404F03">
              <w:t>Updated sections with recent programming maintenance changes. Examples of programming maintenance updates include revisions to routing logic, interviewer help text, and changes to variable names.</w:t>
            </w:r>
          </w:p>
        </w:tc>
      </w:tr>
      <w:tr w:rsidRPr="00404F03" w:rsidR="0025317B" w:rsidTr="00D547BB" w14:paraId="5076D300" w14:textId="77777777">
        <w:trPr>
          <w:cantSplit/>
          <w:jc w:val="center"/>
        </w:trPr>
        <w:tc>
          <w:tcPr>
            <w:tcW w:w="2605" w:type="dxa"/>
            <w:tcMar>
              <w:left w:w="86" w:type="dxa"/>
              <w:right w:w="86" w:type="dxa"/>
            </w:tcMar>
          </w:tcPr>
          <w:p w:rsidRPr="00404F03" w:rsidR="0025317B" w:rsidP="00626ABE" w:rsidRDefault="0025317B" w14:paraId="44CC5CFC" w14:textId="77777777">
            <w:pPr>
              <w:pStyle w:val="TableText"/>
            </w:pPr>
            <w:r w:rsidRPr="00404F03">
              <w:t>Attachment 8: 2016 Develop and Test Sexual and Gender Minority Status (LGBT) Items Final Summary Report</w:t>
            </w:r>
          </w:p>
        </w:tc>
        <w:tc>
          <w:tcPr>
            <w:tcW w:w="3330" w:type="dxa"/>
            <w:tcMar>
              <w:left w:w="86" w:type="dxa"/>
              <w:right w:w="86" w:type="dxa"/>
            </w:tcMar>
          </w:tcPr>
          <w:p w:rsidRPr="00404F03" w:rsidR="0025317B" w:rsidP="00626ABE" w:rsidRDefault="0025317B" w14:paraId="6F17FF91" w14:textId="77777777">
            <w:pPr>
              <w:pStyle w:val="TableText"/>
            </w:pPr>
            <w:r w:rsidRPr="00404F03">
              <w:t>New attachment</w:t>
            </w:r>
          </w:p>
        </w:tc>
        <w:tc>
          <w:tcPr>
            <w:tcW w:w="3415" w:type="dxa"/>
            <w:tcMar>
              <w:left w:w="86" w:type="dxa"/>
              <w:right w:w="86" w:type="dxa"/>
            </w:tcMar>
          </w:tcPr>
          <w:p w:rsidRPr="00404F03" w:rsidR="0025317B" w:rsidP="00626ABE" w:rsidRDefault="0025317B" w14:paraId="06B45D95" w14:textId="77777777">
            <w:pPr>
              <w:pStyle w:val="TableText"/>
            </w:pPr>
            <w:r w:rsidRPr="00404F03">
              <w:t>Added Attachment 8: 2016 Develop and Test Sexual and Gender Minority Status (LGBT) Items Final Summary Report.</w:t>
            </w:r>
          </w:p>
        </w:tc>
      </w:tr>
    </w:tbl>
    <w:p w:rsidR="00AD43DB" w:rsidP="00626ABE" w:rsidRDefault="00AD43DB" w14:paraId="2867DEB1" w14:textId="77777777"/>
    <w:sectPr w:rsidR="00AD43DB" w:rsidSect="00D547BB">
      <w:headerReference w:type="default" r:id="rId8"/>
      <w:footerReference w:type="default" r:id="rId9"/>
      <w:footerReference w:type="first" r:id="rId10"/>
      <w:pgSz w:w="12240" w:h="15840" w:code="1"/>
      <w:pgMar w:top="1440" w:right="1440" w:bottom="1440" w:left="1440" w:header="720" w:footer="720" w:gutter="0"/>
      <w:cols w:space="720"/>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394F" w14:textId="77777777" w:rsidR="00F94AAE" w:rsidRDefault="00F94AAE" w:rsidP="00F94AAE">
      <w:pPr>
        <w:spacing w:after="0" w:line="240" w:lineRule="auto"/>
      </w:pPr>
      <w:r>
        <w:separator/>
      </w:r>
    </w:p>
  </w:endnote>
  <w:endnote w:type="continuationSeparator" w:id="0">
    <w:p w14:paraId="6C7DD087" w14:textId="77777777" w:rsidR="00F94AAE" w:rsidRDefault="00F94AAE" w:rsidP="00F9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492335"/>
      <w:docPartObj>
        <w:docPartGallery w:val="Page Numbers (Bottom of Page)"/>
        <w:docPartUnique/>
      </w:docPartObj>
    </w:sdtPr>
    <w:sdtEndPr>
      <w:rPr>
        <w:noProof/>
      </w:rPr>
    </w:sdtEndPr>
    <w:sdtContent>
      <w:p w14:paraId="52AAC635" w14:textId="0ECD784D" w:rsidR="00D547BB" w:rsidRDefault="00D547BB" w:rsidP="00D547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54226"/>
      <w:docPartObj>
        <w:docPartGallery w:val="Page Numbers (Bottom of Page)"/>
        <w:docPartUnique/>
      </w:docPartObj>
    </w:sdtPr>
    <w:sdtEndPr>
      <w:rPr>
        <w:noProof/>
      </w:rPr>
    </w:sdtEndPr>
    <w:sdtContent>
      <w:p w14:paraId="4A6123D6" w14:textId="78425849" w:rsidR="00626ABE" w:rsidRDefault="00626ABE" w:rsidP="00626ABE">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8E20" w14:textId="77777777" w:rsidR="00F94AAE" w:rsidRDefault="00F94AAE" w:rsidP="00F94AAE">
      <w:pPr>
        <w:spacing w:after="0" w:line="240" w:lineRule="auto"/>
      </w:pPr>
      <w:r>
        <w:separator/>
      </w:r>
    </w:p>
  </w:footnote>
  <w:footnote w:type="continuationSeparator" w:id="0">
    <w:p w14:paraId="73512CA9" w14:textId="77777777" w:rsidR="00F94AAE" w:rsidRDefault="00F94AAE" w:rsidP="00F94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9C05" w14:textId="35A3F37B" w:rsidR="00F94AAE" w:rsidRPr="00F00677" w:rsidRDefault="004D1E90" w:rsidP="00F94AAE">
    <w:pPr>
      <w:pStyle w:val="Header"/>
      <w:jc w:val="center"/>
      <w:rPr>
        <w:sz w:val="36"/>
        <w:szCs w:val="36"/>
      </w:rPr>
    </w:pPr>
    <w:r>
      <w:rPr>
        <w:sz w:val="36"/>
        <w:szCs w:val="36"/>
      </w:rPr>
      <w:t>202</w:t>
    </w:r>
    <w:r w:rsidR="00DD6971">
      <w:rPr>
        <w:sz w:val="36"/>
        <w:szCs w:val="36"/>
      </w:rPr>
      <w:t>3</w:t>
    </w:r>
    <w:r>
      <w:rPr>
        <w:sz w:val="36"/>
        <w:szCs w:val="36"/>
      </w:rPr>
      <w:t xml:space="preserve"> Full Clearance 30-Day Package Crosswalk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213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5688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EE36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14EA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9666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E868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8210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6A2A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BC9E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52B3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AF02D1"/>
    <w:multiLevelType w:val="hybridMultilevel"/>
    <w:tmpl w:val="AF9ED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240"/>
  <w:drawingGridVerticalSpacing w:val="653"/>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CF"/>
    <w:rsid w:val="00014286"/>
    <w:rsid w:val="0001765E"/>
    <w:rsid w:val="000B4901"/>
    <w:rsid w:val="000C13D3"/>
    <w:rsid w:val="000F1797"/>
    <w:rsid w:val="00115604"/>
    <w:rsid w:val="001156A3"/>
    <w:rsid w:val="00123897"/>
    <w:rsid w:val="00182E03"/>
    <w:rsid w:val="001B2B59"/>
    <w:rsid w:val="001B32DF"/>
    <w:rsid w:val="001C4812"/>
    <w:rsid w:val="001D4712"/>
    <w:rsid w:val="001F4F7C"/>
    <w:rsid w:val="0025317B"/>
    <w:rsid w:val="002679EB"/>
    <w:rsid w:val="00284B6D"/>
    <w:rsid w:val="002B0158"/>
    <w:rsid w:val="002B525B"/>
    <w:rsid w:val="00377846"/>
    <w:rsid w:val="00381B58"/>
    <w:rsid w:val="003B5345"/>
    <w:rsid w:val="003C6BD6"/>
    <w:rsid w:val="003F7C6D"/>
    <w:rsid w:val="00404F03"/>
    <w:rsid w:val="00421C38"/>
    <w:rsid w:val="004C6378"/>
    <w:rsid w:val="004C6731"/>
    <w:rsid w:val="004D1E90"/>
    <w:rsid w:val="004E357C"/>
    <w:rsid w:val="00514AD0"/>
    <w:rsid w:val="005174E4"/>
    <w:rsid w:val="00564CCF"/>
    <w:rsid w:val="005805F4"/>
    <w:rsid w:val="005A5D2E"/>
    <w:rsid w:val="005B49D2"/>
    <w:rsid w:val="00626ABE"/>
    <w:rsid w:val="0064408A"/>
    <w:rsid w:val="006847CE"/>
    <w:rsid w:val="00694C12"/>
    <w:rsid w:val="006A27CA"/>
    <w:rsid w:val="006D640F"/>
    <w:rsid w:val="006E2DD4"/>
    <w:rsid w:val="00734535"/>
    <w:rsid w:val="00807BA3"/>
    <w:rsid w:val="00847074"/>
    <w:rsid w:val="00857B21"/>
    <w:rsid w:val="0086419E"/>
    <w:rsid w:val="008B4692"/>
    <w:rsid w:val="008B61E1"/>
    <w:rsid w:val="008B6696"/>
    <w:rsid w:val="008C4137"/>
    <w:rsid w:val="008F5991"/>
    <w:rsid w:val="008F5D13"/>
    <w:rsid w:val="009100F0"/>
    <w:rsid w:val="00930EB7"/>
    <w:rsid w:val="00976693"/>
    <w:rsid w:val="00990AFA"/>
    <w:rsid w:val="0099109C"/>
    <w:rsid w:val="009B64CD"/>
    <w:rsid w:val="009C0E0E"/>
    <w:rsid w:val="00A02E63"/>
    <w:rsid w:val="00A24706"/>
    <w:rsid w:val="00A477CC"/>
    <w:rsid w:val="00A530F6"/>
    <w:rsid w:val="00A53A6A"/>
    <w:rsid w:val="00A7482C"/>
    <w:rsid w:val="00A8058D"/>
    <w:rsid w:val="00AD43DB"/>
    <w:rsid w:val="00AF5926"/>
    <w:rsid w:val="00B11124"/>
    <w:rsid w:val="00B1700B"/>
    <w:rsid w:val="00B41380"/>
    <w:rsid w:val="00B4193D"/>
    <w:rsid w:val="00B84AD5"/>
    <w:rsid w:val="00C16ECC"/>
    <w:rsid w:val="00C30AEE"/>
    <w:rsid w:val="00C373E1"/>
    <w:rsid w:val="00C609A0"/>
    <w:rsid w:val="00C6204B"/>
    <w:rsid w:val="00C721A4"/>
    <w:rsid w:val="00C808C7"/>
    <w:rsid w:val="00C83855"/>
    <w:rsid w:val="00CB1BBA"/>
    <w:rsid w:val="00CC4078"/>
    <w:rsid w:val="00CE662A"/>
    <w:rsid w:val="00D3160D"/>
    <w:rsid w:val="00D35C12"/>
    <w:rsid w:val="00D51299"/>
    <w:rsid w:val="00D53A9D"/>
    <w:rsid w:val="00D547BB"/>
    <w:rsid w:val="00D676C9"/>
    <w:rsid w:val="00D7601D"/>
    <w:rsid w:val="00DA7269"/>
    <w:rsid w:val="00DA793A"/>
    <w:rsid w:val="00DD6971"/>
    <w:rsid w:val="00DE0315"/>
    <w:rsid w:val="00DF35B4"/>
    <w:rsid w:val="00E13FFB"/>
    <w:rsid w:val="00E31281"/>
    <w:rsid w:val="00E706BF"/>
    <w:rsid w:val="00E7416D"/>
    <w:rsid w:val="00F00677"/>
    <w:rsid w:val="00F01DE0"/>
    <w:rsid w:val="00F04EA3"/>
    <w:rsid w:val="00F106BE"/>
    <w:rsid w:val="00F207D5"/>
    <w:rsid w:val="00F5120F"/>
    <w:rsid w:val="00F94AAE"/>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E8C8"/>
  <w15:chartTrackingRefBased/>
  <w15:docId w15:val="{B825019E-4855-4677-A405-93FF5F6D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BE"/>
  </w:style>
  <w:style w:type="paragraph" w:styleId="Heading1">
    <w:name w:val="heading 1"/>
    <w:basedOn w:val="Normal"/>
    <w:next w:val="Normal"/>
    <w:link w:val="Heading1Char"/>
    <w:uiPriority w:val="9"/>
    <w:qFormat/>
    <w:rsid w:val="00D547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AE"/>
  </w:style>
  <w:style w:type="paragraph" w:styleId="Footer">
    <w:name w:val="footer"/>
    <w:basedOn w:val="Normal"/>
    <w:link w:val="FooterChar"/>
    <w:uiPriority w:val="99"/>
    <w:unhideWhenUsed/>
    <w:rsid w:val="00F94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AAE"/>
  </w:style>
  <w:style w:type="character" w:styleId="CommentReference">
    <w:name w:val="annotation reference"/>
    <w:basedOn w:val="DefaultParagraphFont"/>
    <w:uiPriority w:val="99"/>
    <w:semiHidden/>
    <w:unhideWhenUsed/>
    <w:rsid w:val="003B5345"/>
    <w:rPr>
      <w:sz w:val="16"/>
      <w:szCs w:val="16"/>
    </w:rPr>
  </w:style>
  <w:style w:type="paragraph" w:styleId="CommentText">
    <w:name w:val="annotation text"/>
    <w:basedOn w:val="Normal"/>
    <w:link w:val="CommentTextChar"/>
    <w:uiPriority w:val="99"/>
    <w:semiHidden/>
    <w:unhideWhenUsed/>
    <w:rsid w:val="003B5345"/>
    <w:pPr>
      <w:spacing w:line="240" w:lineRule="auto"/>
    </w:pPr>
    <w:rPr>
      <w:sz w:val="20"/>
      <w:szCs w:val="20"/>
    </w:rPr>
  </w:style>
  <w:style w:type="character" w:customStyle="1" w:styleId="CommentTextChar">
    <w:name w:val="Comment Text Char"/>
    <w:basedOn w:val="DefaultParagraphFont"/>
    <w:link w:val="CommentText"/>
    <w:uiPriority w:val="99"/>
    <w:semiHidden/>
    <w:rsid w:val="003B5345"/>
    <w:rPr>
      <w:sz w:val="20"/>
      <w:szCs w:val="20"/>
    </w:rPr>
  </w:style>
  <w:style w:type="paragraph" w:styleId="CommentSubject">
    <w:name w:val="annotation subject"/>
    <w:basedOn w:val="CommentText"/>
    <w:next w:val="CommentText"/>
    <w:link w:val="CommentSubjectChar"/>
    <w:uiPriority w:val="99"/>
    <w:semiHidden/>
    <w:unhideWhenUsed/>
    <w:rsid w:val="003B5345"/>
    <w:rPr>
      <w:b/>
      <w:bCs/>
    </w:rPr>
  </w:style>
  <w:style w:type="character" w:customStyle="1" w:styleId="CommentSubjectChar">
    <w:name w:val="Comment Subject Char"/>
    <w:basedOn w:val="CommentTextChar"/>
    <w:link w:val="CommentSubject"/>
    <w:uiPriority w:val="99"/>
    <w:semiHidden/>
    <w:rsid w:val="003B5345"/>
    <w:rPr>
      <w:b/>
      <w:bCs/>
      <w:sz w:val="20"/>
      <w:szCs w:val="20"/>
    </w:rPr>
  </w:style>
  <w:style w:type="paragraph" w:styleId="BalloonText">
    <w:name w:val="Balloon Text"/>
    <w:basedOn w:val="Normal"/>
    <w:link w:val="BalloonTextChar"/>
    <w:uiPriority w:val="99"/>
    <w:semiHidden/>
    <w:unhideWhenUsed/>
    <w:rsid w:val="003B5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345"/>
    <w:rPr>
      <w:rFonts w:ascii="Segoe UI" w:hAnsi="Segoe UI" w:cs="Segoe UI"/>
      <w:sz w:val="18"/>
      <w:szCs w:val="18"/>
    </w:rPr>
  </w:style>
  <w:style w:type="paragraph" w:styleId="ListParagraph">
    <w:name w:val="List Paragraph"/>
    <w:basedOn w:val="Normal"/>
    <w:uiPriority w:val="34"/>
    <w:qFormat/>
    <w:rsid w:val="004D1E9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D547B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626ABE"/>
    <w:pPr>
      <w:spacing w:after="180" w:line="240" w:lineRule="auto"/>
    </w:pPr>
    <w:rPr>
      <w:sz w:val="24"/>
    </w:rPr>
  </w:style>
  <w:style w:type="character" w:customStyle="1" w:styleId="BodyTextChar">
    <w:name w:val="Body Text Char"/>
    <w:basedOn w:val="DefaultParagraphFont"/>
    <w:link w:val="BodyText"/>
    <w:uiPriority w:val="99"/>
    <w:rsid w:val="00626ABE"/>
    <w:rPr>
      <w:sz w:val="24"/>
    </w:rPr>
  </w:style>
  <w:style w:type="paragraph" w:styleId="BodyText2">
    <w:name w:val="Body Text 2"/>
    <w:basedOn w:val="Normal"/>
    <w:link w:val="BodyText2Char"/>
    <w:uiPriority w:val="99"/>
    <w:unhideWhenUsed/>
    <w:rsid w:val="00626ABE"/>
    <w:pPr>
      <w:spacing w:before="40" w:after="40" w:line="240" w:lineRule="auto"/>
      <w:jc w:val="center"/>
    </w:pPr>
    <w:rPr>
      <w:b/>
      <w:i/>
      <w:sz w:val="24"/>
    </w:rPr>
  </w:style>
  <w:style w:type="character" w:customStyle="1" w:styleId="BodyText2Char">
    <w:name w:val="Body Text 2 Char"/>
    <w:basedOn w:val="DefaultParagraphFont"/>
    <w:link w:val="BodyText2"/>
    <w:uiPriority w:val="99"/>
    <w:rsid w:val="00626ABE"/>
    <w:rPr>
      <w:b/>
      <w:i/>
      <w:sz w:val="24"/>
    </w:rPr>
  </w:style>
  <w:style w:type="paragraph" w:customStyle="1" w:styleId="TableHeading">
    <w:name w:val="Table Heading"/>
    <w:basedOn w:val="BodyText"/>
    <w:qFormat/>
    <w:rsid w:val="00626ABE"/>
    <w:pPr>
      <w:spacing w:before="40" w:after="40"/>
      <w:jc w:val="center"/>
    </w:pPr>
    <w:rPr>
      <w:b/>
      <w:i/>
    </w:rPr>
  </w:style>
  <w:style w:type="paragraph" w:customStyle="1" w:styleId="TableText">
    <w:name w:val="Table Text"/>
    <w:basedOn w:val="BodyText"/>
    <w:qFormat/>
    <w:rsid w:val="00626ABE"/>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29A9-1885-4EB0-AB2E-525DB982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514</Words>
  <Characters>2846</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2023 Full Clearance 30-Day Package Crosswalk</vt:lpstr>
    </vt:vector>
  </TitlesOfParts>
  <Manager>NORC at the University of Chicago</Manager>
  <Company>NORC at the University of Chicago</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Full Clearance 30-day Crosswalk</dc:title>
  <dc:subject>30-day Crosswalk</dc:subject>
  <dc:creator>CMS</dc:creator>
  <cp:keywords>MCBS; ICR package; OMB clearance</cp:keywords>
  <dc:description/>
  <cp:lastModifiedBy>Amanda Lynch</cp:lastModifiedBy>
  <cp:revision>6</cp:revision>
  <dcterms:created xsi:type="dcterms:W3CDTF">2022-03-30T20:12:00Z</dcterms:created>
  <dcterms:modified xsi:type="dcterms:W3CDTF">2022-03-31T16:37:00Z</dcterms:modified>
</cp:coreProperties>
</file>