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731D" w:rsidP="0039020D" w:rsidRDefault="00F614B3" w14:paraId="02C1FCB9" w14:textId="77777777">
      <w:pPr>
        <w:jc w:val="center"/>
        <w:rPr>
          <w:b/>
          <w:bCs/>
        </w:rPr>
      </w:pPr>
      <w:r w:rsidRPr="0039020D">
        <w:rPr>
          <w:b/>
          <w:bCs/>
        </w:rPr>
        <w:t xml:space="preserve">Supporting Statement for </w:t>
      </w:r>
    </w:p>
    <w:p w:rsidR="0039020D" w:rsidP="0039020D" w:rsidRDefault="0039020D" w14:paraId="3E436D70" w14:textId="1017F941">
      <w:pPr>
        <w:jc w:val="center"/>
        <w:rPr>
          <w:b/>
          <w:bCs/>
        </w:rPr>
      </w:pPr>
      <w:r w:rsidRPr="0039020D">
        <w:rPr>
          <w:b/>
          <w:bCs/>
        </w:rPr>
        <w:t>Internet</w:t>
      </w:r>
      <w:r>
        <w:rPr>
          <w:b/>
          <w:bCs/>
        </w:rPr>
        <w:t xml:space="preserve"> Direct Deposit Application</w:t>
      </w:r>
    </w:p>
    <w:p w:rsidRPr="00512213" w:rsidR="0039020D" w:rsidP="0039020D" w:rsidRDefault="0039020D" w14:paraId="3BCA3F6C" w14:textId="77777777">
      <w:pPr>
        <w:jc w:val="center"/>
        <w:rPr>
          <w:b/>
          <w:bCs/>
        </w:rPr>
      </w:pPr>
      <w:r w:rsidRPr="00512213">
        <w:rPr>
          <w:b/>
          <w:bCs/>
        </w:rPr>
        <w:t xml:space="preserve">31 CFR 210 </w:t>
      </w:r>
    </w:p>
    <w:p w:rsidRPr="00BC7F42" w:rsidR="00F614B3" w:rsidP="00F614B3" w:rsidRDefault="00F614B3" w14:paraId="0F63B75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0634</w:t>
      </w:r>
    </w:p>
    <w:p w:rsidR="002460A6" w:rsidP="00641879" w:rsidRDefault="002460A6" w14:paraId="5C404156" w14:textId="77777777">
      <w:pPr>
        <w:ind w:left="720" w:hanging="540"/>
        <w:rPr>
          <w:b/>
          <w:bCs/>
        </w:rPr>
      </w:pPr>
    </w:p>
    <w:p w:rsidRPr="00641879" w:rsidR="00687F19" w:rsidP="00641879" w:rsidRDefault="00DD74A3" w14:paraId="27F0CF52" w14:textId="4AE20756">
      <w:pPr>
        <w:ind w:left="720" w:hanging="540"/>
      </w:pPr>
      <w:r w:rsidRPr="00641879">
        <w:rPr>
          <w:b/>
          <w:bCs/>
        </w:rPr>
        <w:t>A.</w:t>
      </w:r>
      <w:r w:rsidRPr="00641879">
        <w:rPr>
          <w:b/>
          <w:bCs/>
        </w:rPr>
        <w:tab/>
      </w:r>
      <w:r w:rsidRPr="00641879">
        <w:rPr>
          <w:b/>
          <w:bCs/>
          <w:u w:val="single"/>
        </w:rPr>
        <w:t>Justification</w:t>
      </w:r>
    </w:p>
    <w:p w:rsidRPr="00512213" w:rsidR="00DD74A3" w:rsidP="00FA3421" w:rsidRDefault="00DD74A3" w14:paraId="5C4E5175" w14:textId="77777777"/>
    <w:p w:rsidRPr="00C820CC" w:rsidR="00547AAC" w:rsidP="00C820CC" w:rsidRDefault="00547AAC" w14:paraId="4397D915" w14:textId="77777777">
      <w:pPr>
        <w:numPr>
          <w:ilvl w:val="0"/>
          <w:numId w:val="2"/>
        </w:numPr>
        <w:ind w:hanging="720"/>
        <w:rPr>
          <w:b/>
        </w:rPr>
      </w:pPr>
      <w:r w:rsidRPr="00C820CC">
        <w:rPr>
          <w:b/>
        </w:rPr>
        <w:t>Introduction/Authoring Laws and Regulations</w:t>
      </w:r>
    </w:p>
    <w:p w:rsidR="004B53D9" w:rsidP="00641879" w:rsidRDefault="00ED470E" w14:paraId="7F4B6A50" w14:textId="39F4F0C9">
      <w:pPr>
        <w:tabs>
          <w:tab w:val="num" w:pos="1440"/>
        </w:tabs>
        <w:ind w:left="1440"/>
      </w:pPr>
      <w:r>
        <w:t>Recipients</w:t>
      </w:r>
      <w:r w:rsidR="00052A28">
        <w:t xml:space="preserve"> of Social Security payments</w:t>
      </w:r>
      <w:r w:rsidR="00EE7407">
        <w:t xml:space="preserve"> may </w:t>
      </w:r>
      <w:r w:rsidR="00F54728">
        <w:t xml:space="preserve">choose </w:t>
      </w:r>
      <w:r w:rsidR="00213562">
        <w:t xml:space="preserve">to </w:t>
      </w:r>
      <w:r w:rsidR="00F54728">
        <w:t xml:space="preserve">receive their </w:t>
      </w:r>
      <w:r w:rsidR="00EE7407">
        <w:t>payments through the D</w:t>
      </w:r>
      <w:r w:rsidR="00687F19">
        <w:t xml:space="preserve">irect </w:t>
      </w:r>
      <w:r w:rsidR="00EE7407">
        <w:t>D</w:t>
      </w:r>
      <w:r w:rsidR="00687F19">
        <w:t xml:space="preserve">eposit </w:t>
      </w:r>
      <w:r w:rsidR="00EE7407">
        <w:t>P</w:t>
      </w:r>
      <w:r w:rsidR="00687F19">
        <w:t xml:space="preserve">rogram, </w:t>
      </w:r>
      <w:r w:rsidR="00052A28">
        <w:t>under</w:t>
      </w:r>
      <w:r w:rsidR="00F54728">
        <w:t xml:space="preserve"> which </w:t>
      </w:r>
      <w:r w:rsidR="00570E5A">
        <w:t xml:space="preserve">the </w:t>
      </w:r>
      <w:r w:rsidR="00687F19">
        <w:t xml:space="preserve">payments </w:t>
      </w:r>
      <w:r w:rsidR="00570E5A">
        <w:t>go</w:t>
      </w:r>
      <w:r w:rsidR="00EE7407">
        <w:t xml:space="preserve"> directly</w:t>
      </w:r>
      <w:r w:rsidR="00687F19">
        <w:t xml:space="preserve"> to </w:t>
      </w:r>
      <w:r w:rsidR="00052A28">
        <w:t xml:space="preserve">the recipient’s </w:t>
      </w:r>
      <w:r w:rsidR="00687F19">
        <w:t xml:space="preserve">accounts at </w:t>
      </w:r>
      <w:r w:rsidR="00052A28">
        <w:t xml:space="preserve">their </w:t>
      </w:r>
      <w:r w:rsidR="00687F19">
        <w:t>financia</w:t>
      </w:r>
      <w:r w:rsidR="00BC0414">
        <w:t>l institutions (FI).  T</w:t>
      </w:r>
      <w:r w:rsidR="00687F19">
        <w:t>o route payment</w:t>
      </w:r>
      <w:r w:rsidR="00F54728">
        <w:t>s</w:t>
      </w:r>
      <w:r w:rsidR="00687F19">
        <w:t xml:space="preserve"> to the account</w:t>
      </w:r>
      <w:r w:rsidR="00052A28">
        <w:t>s</w:t>
      </w:r>
      <w:r w:rsidR="00687F19">
        <w:t xml:space="preserve"> at the FI, </w:t>
      </w:r>
      <w:r w:rsidR="00052A28">
        <w:t xml:space="preserve">SSA needs </w:t>
      </w:r>
      <w:r w:rsidR="00687F19">
        <w:t xml:space="preserve">two key pieces of information: </w:t>
      </w:r>
      <w:r w:rsidR="00B73A2A">
        <w:t xml:space="preserve"> </w:t>
      </w:r>
      <w:r w:rsidR="005F198A">
        <w:t xml:space="preserve">(1) </w:t>
      </w:r>
      <w:r w:rsidR="00687F19">
        <w:t>the depositor’s account number</w:t>
      </w:r>
      <w:r w:rsidR="005F198A">
        <w:t xml:space="preserve">; </w:t>
      </w:r>
      <w:r w:rsidR="00687F19">
        <w:t xml:space="preserve">and </w:t>
      </w:r>
      <w:r w:rsidR="005F198A">
        <w:t xml:space="preserve">(2) </w:t>
      </w:r>
      <w:r w:rsidR="00687F19">
        <w:t xml:space="preserve">the routing transit number of the receiving FI.  </w:t>
      </w:r>
      <w:r w:rsidR="00D70D0C">
        <w:t>The</w:t>
      </w:r>
      <w:r w:rsidR="00687F19">
        <w:t xml:space="preserve"> </w:t>
      </w:r>
      <w:r w:rsidR="00542991">
        <w:t xml:space="preserve">Department of the </w:t>
      </w:r>
      <w:r w:rsidR="00687F19">
        <w:t>Treasury</w:t>
      </w:r>
      <w:r w:rsidR="00D70D0C">
        <w:t>, Federal</w:t>
      </w:r>
      <w:r w:rsidR="00687F19">
        <w:t xml:space="preserve"> Reserve System, and the FI</w:t>
      </w:r>
      <w:r w:rsidR="00D70D0C">
        <w:t xml:space="preserve"> use this information to</w:t>
      </w:r>
      <w:r w:rsidR="00687F19">
        <w:t xml:space="preserve"> route payment to the </w:t>
      </w:r>
      <w:r w:rsidR="00052A28">
        <w:t>recipient</w:t>
      </w:r>
      <w:r w:rsidR="00687F19">
        <w:t xml:space="preserve">’s account.  </w:t>
      </w:r>
      <w:r w:rsidR="00F54728">
        <w:t xml:space="preserve">Under the authority of </w:t>
      </w:r>
    </w:p>
    <w:p w:rsidR="00687F19" w:rsidP="00641879" w:rsidRDefault="00687F19" w14:paraId="336FE3D4" w14:textId="2FE5005B">
      <w:pPr>
        <w:tabs>
          <w:tab w:val="num" w:pos="1440"/>
        </w:tabs>
        <w:ind w:left="1440"/>
      </w:pPr>
      <w:r w:rsidRPr="00F54728">
        <w:rPr>
          <w:i/>
          <w:iCs/>
        </w:rPr>
        <w:t xml:space="preserve">31 CFR 210, 5 USC 301, </w:t>
      </w:r>
      <w:r w:rsidR="00F54728">
        <w:t xml:space="preserve">and </w:t>
      </w:r>
      <w:r w:rsidR="004019EC">
        <w:rPr>
          <w:i/>
          <w:iCs/>
        </w:rPr>
        <w:t>12</w:t>
      </w:r>
      <w:r w:rsidRPr="00F54728" w:rsidR="00F54728">
        <w:rPr>
          <w:i/>
          <w:iCs/>
        </w:rPr>
        <w:t xml:space="preserve"> USC 391</w:t>
      </w:r>
      <w:r w:rsidR="00F54728">
        <w:t>, the Social Security Administration (SSA) c</w:t>
      </w:r>
      <w:r w:rsidR="00EE7407">
        <w:t>ollects this information through</w:t>
      </w:r>
      <w:r w:rsidR="00F54728">
        <w:t xml:space="preserve"> the Internet Direct Deposit Application.</w:t>
      </w:r>
    </w:p>
    <w:p w:rsidR="0032451C" w:rsidP="00641879" w:rsidRDefault="0032451C" w14:paraId="668416C0" w14:textId="77777777">
      <w:pPr>
        <w:tabs>
          <w:tab w:val="num" w:pos="1440"/>
        </w:tabs>
        <w:ind w:left="1440"/>
      </w:pPr>
    </w:p>
    <w:p w:rsidRPr="00C820CC" w:rsidR="00547AAC" w:rsidP="00C820CC" w:rsidRDefault="00547AAC" w14:paraId="7469C2AD" w14:textId="77777777">
      <w:pPr>
        <w:widowControl w:val="0"/>
        <w:numPr>
          <w:ilvl w:val="0"/>
          <w:numId w:val="2"/>
        </w:numPr>
        <w:ind w:hanging="720"/>
        <w:rPr>
          <w:b/>
        </w:rPr>
      </w:pPr>
      <w:r w:rsidRPr="00C820CC">
        <w:rPr>
          <w:b/>
        </w:rPr>
        <w:t xml:space="preserve">Description of Collection </w:t>
      </w:r>
    </w:p>
    <w:p w:rsidR="00C548EC" w:rsidP="00C548EC" w:rsidRDefault="00C548EC" w14:paraId="4B2E4DAC" w14:textId="567E9066">
      <w:pPr>
        <w:pStyle w:val="ListParagraph"/>
        <w:widowControl w:val="0"/>
        <w:tabs>
          <w:tab w:val="left" w:pos="1350"/>
        </w:tabs>
        <w:autoSpaceDE w:val="0"/>
        <w:autoSpaceDN w:val="0"/>
        <w:adjustRightInd w:val="0"/>
        <w:ind w:left="1440"/>
      </w:pPr>
      <w:r w:rsidRPr="00671C6D">
        <w:t>SSA requires all applicants and</w:t>
      </w:r>
      <w:r w:rsidRPr="00671C6D">
        <w:rPr>
          <w:b/>
          <w:bCs/>
        </w:rPr>
        <w:t xml:space="preserve"> </w:t>
      </w:r>
      <w:r w:rsidRPr="00671C6D">
        <w:t>recipients of Social Security Old Age,</w:t>
      </w:r>
      <w:r w:rsidRPr="00671C6D">
        <w:rPr>
          <w:b/>
          <w:bCs/>
        </w:rPr>
        <w:t xml:space="preserve"> </w:t>
      </w:r>
      <w:r w:rsidRPr="00671C6D">
        <w:t>Survivors, and Disability Insurance</w:t>
      </w:r>
      <w:r w:rsidRPr="00671C6D">
        <w:rPr>
          <w:b/>
          <w:bCs/>
        </w:rPr>
        <w:t xml:space="preserve"> </w:t>
      </w:r>
      <w:r w:rsidRPr="00671C6D">
        <w:t xml:space="preserve">(OASDI) benefits, or </w:t>
      </w:r>
      <w:r>
        <w:t>SSI</w:t>
      </w:r>
      <w:r w:rsidRPr="00671C6D">
        <w:t xml:space="preserve"> payments to receive</w:t>
      </w:r>
      <w:r w:rsidRPr="00671C6D">
        <w:rPr>
          <w:b/>
          <w:bCs/>
        </w:rPr>
        <w:t xml:space="preserve"> </w:t>
      </w:r>
      <w:r w:rsidRPr="00671C6D">
        <w:t>these benefits and payments via direct</w:t>
      </w:r>
      <w:r w:rsidRPr="00671C6D">
        <w:rPr>
          <w:b/>
          <w:bCs/>
        </w:rPr>
        <w:t xml:space="preserve"> </w:t>
      </w:r>
      <w:r w:rsidRPr="00671C6D">
        <w:t>deposit, at a financial institution.  SSA</w:t>
      </w:r>
      <w:r w:rsidRPr="00671C6D">
        <w:rPr>
          <w:b/>
          <w:bCs/>
        </w:rPr>
        <w:t xml:space="preserve"> </w:t>
      </w:r>
      <w:r w:rsidRPr="00671C6D">
        <w:t>receives Direct Deposit/Electronic</w:t>
      </w:r>
      <w:r w:rsidRPr="00671C6D">
        <w:rPr>
          <w:b/>
          <w:bCs/>
        </w:rPr>
        <w:t xml:space="preserve"> </w:t>
      </w:r>
      <w:r w:rsidRPr="00671C6D">
        <w:t>Funds Transfer (DD/EFT) enrollment</w:t>
      </w:r>
      <w:r w:rsidRPr="00671C6D">
        <w:rPr>
          <w:b/>
          <w:bCs/>
        </w:rPr>
        <w:t xml:space="preserve"> </w:t>
      </w:r>
      <w:r w:rsidRPr="00671C6D">
        <w:t>information from OASDI beneficiaries</w:t>
      </w:r>
      <w:r w:rsidRPr="00671C6D">
        <w:rPr>
          <w:b/>
          <w:bCs/>
        </w:rPr>
        <w:t xml:space="preserve"> </w:t>
      </w:r>
      <w:r w:rsidRPr="00671C6D">
        <w:t>and SSI recipients to facilitate DD/EFT</w:t>
      </w:r>
      <w:r w:rsidRPr="00671C6D">
        <w:rPr>
          <w:b/>
          <w:bCs/>
        </w:rPr>
        <w:t xml:space="preserve"> </w:t>
      </w:r>
      <w:r w:rsidRPr="00671C6D">
        <w:t>of their funds, with their chosen</w:t>
      </w:r>
      <w:r w:rsidRPr="00671C6D">
        <w:rPr>
          <w:b/>
          <w:bCs/>
        </w:rPr>
        <w:t xml:space="preserve"> </w:t>
      </w:r>
      <w:r w:rsidRPr="00671C6D">
        <w:t>financial institution.  We also use this</w:t>
      </w:r>
      <w:r w:rsidRPr="00671C6D">
        <w:rPr>
          <w:b/>
          <w:bCs/>
        </w:rPr>
        <w:t xml:space="preserve"> </w:t>
      </w:r>
      <w:r w:rsidRPr="00671C6D">
        <w:t>information when an enrolled</w:t>
      </w:r>
      <w:r w:rsidRPr="00671C6D">
        <w:rPr>
          <w:b/>
          <w:bCs/>
        </w:rPr>
        <w:t xml:space="preserve"> </w:t>
      </w:r>
      <w:r w:rsidRPr="00671C6D">
        <w:t>individual wishes to change their DD/EFT information.  For the convenience of</w:t>
      </w:r>
      <w:r w:rsidRPr="00671C6D">
        <w:rPr>
          <w:b/>
          <w:bCs/>
        </w:rPr>
        <w:t xml:space="preserve"> </w:t>
      </w:r>
      <w:r w:rsidRPr="00671C6D">
        <w:t>the respondents, we collect this</w:t>
      </w:r>
      <w:r w:rsidRPr="00671C6D">
        <w:rPr>
          <w:b/>
          <w:bCs/>
        </w:rPr>
        <w:t xml:space="preserve"> </w:t>
      </w:r>
      <w:r w:rsidRPr="00671C6D">
        <w:t>information through several modalities,</w:t>
      </w:r>
      <w:r w:rsidRPr="00671C6D">
        <w:rPr>
          <w:b/>
          <w:bCs/>
        </w:rPr>
        <w:t xml:space="preserve"> </w:t>
      </w:r>
      <w:r w:rsidRPr="00671C6D">
        <w:t>including an Internet application, in-office</w:t>
      </w:r>
      <w:r w:rsidRPr="00671C6D">
        <w:rPr>
          <w:b/>
          <w:bCs/>
        </w:rPr>
        <w:t xml:space="preserve"> </w:t>
      </w:r>
      <w:r w:rsidRPr="00671C6D">
        <w:t>or telephone interviews, and our</w:t>
      </w:r>
      <w:r w:rsidRPr="00671C6D">
        <w:rPr>
          <w:b/>
          <w:bCs/>
        </w:rPr>
        <w:t xml:space="preserve"> </w:t>
      </w:r>
      <w:r w:rsidRPr="00671C6D">
        <w:t>automated telephone system.  In</w:t>
      </w:r>
      <w:r w:rsidRPr="00671C6D">
        <w:rPr>
          <w:b/>
          <w:bCs/>
        </w:rPr>
        <w:t xml:space="preserve"> </w:t>
      </w:r>
      <w:r w:rsidRPr="00671C6D">
        <w:t>addition to using the direct deposit</w:t>
      </w:r>
      <w:r w:rsidRPr="00671C6D">
        <w:rPr>
          <w:b/>
          <w:bCs/>
        </w:rPr>
        <w:t xml:space="preserve"> </w:t>
      </w:r>
      <w:r w:rsidRPr="00671C6D">
        <w:t>information to enable DD/EFT of funds</w:t>
      </w:r>
      <w:r w:rsidRPr="00671C6D">
        <w:rPr>
          <w:b/>
          <w:bCs/>
        </w:rPr>
        <w:t xml:space="preserve"> </w:t>
      </w:r>
      <w:r w:rsidRPr="00671C6D">
        <w:t>to the recipient’s chosen financial</w:t>
      </w:r>
      <w:r w:rsidRPr="00671C6D">
        <w:rPr>
          <w:b/>
          <w:bCs/>
        </w:rPr>
        <w:t xml:space="preserve"> </w:t>
      </w:r>
      <w:r w:rsidRPr="00671C6D">
        <w:t>institution, we also use the information</w:t>
      </w:r>
      <w:r w:rsidRPr="00671C6D">
        <w:rPr>
          <w:b/>
          <w:bCs/>
        </w:rPr>
        <w:t xml:space="preserve"> </w:t>
      </w:r>
      <w:r w:rsidRPr="00671C6D">
        <w:t>through our Direct Deposit Fraud</w:t>
      </w:r>
      <w:r w:rsidRPr="00671C6D">
        <w:rPr>
          <w:b/>
          <w:bCs/>
        </w:rPr>
        <w:t xml:space="preserve"> </w:t>
      </w:r>
      <w:r w:rsidRPr="00671C6D">
        <w:t>Indicator, to ensure the correct recipient</w:t>
      </w:r>
      <w:r w:rsidRPr="00671C6D">
        <w:rPr>
          <w:b/>
          <w:bCs/>
        </w:rPr>
        <w:t xml:space="preserve"> </w:t>
      </w:r>
      <w:r w:rsidRPr="00671C6D">
        <w:t>receives the funds.  Respondents are</w:t>
      </w:r>
      <w:r w:rsidRPr="00671C6D">
        <w:rPr>
          <w:b/>
          <w:bCs/>
        </w:rPr>
        <w:t xml:space="preserve"> </w:t>
      </w:r>
      <w:r w:rsidRPr="00671C6D">
        <w:t>OASDI beneficiaries and SSI recipients</w:t>
      </w:r>
      <w:r w:rsidRPr="00671C6D">
        <w:rPr>
          <w:b/>
          <w:bCs/>
        </w:rPr>
        <w:t xml:space="preserve"> </w:t>
      </w:r>
      <w:r w:rsidRPr="00671C6D">
        <w:t>requesting that we enroll them in the</w:t>
      </w:r>
      <w:r w:rsidRPr="00671C6D">
        <w:rPr>
          <w:b/>
          <w:bCs/>
        </w:rPr>
        <w:t xml:space="preserve"> </w:t>
      </w:r>
      <w:r w:rsidRPr="00671C6D">
        <w:t>Direct Deposit program or change their</w:t>
      </w:r>
      <w:r w:rsidRPr="00671C6D">
        <w:rPr>
          <w:b/>
          <w:bCs/>
        </w:rPr>
        <w:t xml:space="preserve"> </w:t>
      </w:r>
      <w:r w:rsidRPr="00671C6D">
        <w:t>direct deposit banking informatio</w:t>
      </w:r>
      <w:r>
        <w:t>n.</w:t>
      </w:r>
    </w:p>
    <w:p w:rsidRPr="00671C6D" w:rsidR="00C548EC" w:rsidP="00C548EC" w:rsidRDefault="00C548EC" w14:paraId="0E35DD76" w14:textId="77777777">
      <w:pPr>
        <w:pStyle w:val="ListParagraph"/>
        <w:widowControl w:val="0"/>
        <w:tabs>
          <w:tab w:val="left" w:pos="1350"/>
        </w:tabs>
        <w:autoSpaceDE w:val="0"/>
        <w:autoSpaceDN w:val="0"/>
        <w:adjustRightInd w:val="0"/>
        <w:ind w:left="1440"/>
      </w:pPr>
    </w:p>
    <w:p w:rsidRPr="00C820CC" w:rsidR="00547AAC" w:rsidP="00C820CC" w:rsidRDefault="00547AAC" w14:paraId="77623BC9" w14:textId="77777777">
      <w:pPr>
        <w:widowControl w:val="0"/>
        <w:numPr>
          <w:ilvl w:val="0"/>
          <w:numId w:val="2"/>
        </w:numPr>
        <w:ind w:hanging="720"/>
        <w:rPr>
          <w:b/>
        </w:rPr>
      </w:pPr>
      <w:r w:rsidRPr="00C820CC">
        <w:rPr>
          <w:b/>
        </w:rPr>
        <w:t>Use of Information Technology to Collect the Information</w:t>
      </w:r>
    </w:p>
    <w:p w:rsidR="00234E65" w:rsidP="00DE3254" w:rsidRDefault="008E14EA" w14:paraId="27876CC4" w14:textId="1C98627A">
      <w:pPr>
        <w:tabs>
          <w:tab w:val="num" w:pos="1440"/>
        </w:tabs>
        <w:ind w:left="1440"/>
      </w:pPr>
      <w:r w:rsidRPr="000520AA">
        <w:t xml:space="preserve">In accordance with the agency’s Government Paperwork Elimination Act </w:t>
      </w:r>
      <w:r w:rsidR="00AA1FAB">
        <w:t xml:space="preserve">(GPEA) </w:t>
      </w:r>
      <w:r w:rsidRPr="000520AA">
        <w:t xml:space="preserve">plan, SSA created an </w:t>
      </w:r>
      <w:r w:rsidRPr="000520AA" w:rsidR="00530EEB">
        <w:t>Internet</w:t>
      </w:r>
      <w:r w:rsidR="00530EEB">
        <w:t>,</w:t>
      </w:r>
      <w:r w:rsidRPr="000520AA" w:rsidR="00530EEB">
        <w:t xml:space="preserve"> Intranet,</w:t>
      </w:r>
      <w:r w:rsidR="00530EEB">
        <w:t xml:space="preserve"> and automated v</w:t>
      </w:r>
      <w:r w:rsidRPr="000520AA">
        <w:t xml:space="preserve">ersion for the Internet Direct Deposit Application.  Based on our data, we estimate approximately </w:t>
      </w:r>
      <w:r w:rsidRPr="000520AA" w:rsidR="000520AA">
        <w:t>100</w:t>
      </w:r>
      <w:r w:rsidRPr="000520AA">
        <w:t>% of respondents under this OMB num</w:t>
      </w:r>
      <w:r w:rsidR="000520AA">
        <w:t xml:space="preserve">ber use </w:t>
      </w:r>
      <w:r w:rsidR="00CC1EB1">
        <w:t>an</w:t>
      </w:r>
      <w:r w:rsidR="000520AA">
        <w:t xml:space="preserve"> electronic version.</w:t>
      </w:r>
    </w:p>
    <w:p w:rsidR="00234E65" w:rsidP="00DE3254" w:rsidRDefault="00234E65" w14:paraId="52B7BD86" w14:textId="77777777">
      <w:pPr>
        <w:tabs>
          <w:tab w:val="num" w:pos="1440"/>
        </w:tabs>
      </w:pPr>
    </w:p>
    <w:p w:rsidRPr="00C820CC" w:rsidR="00547AAC" w:rsidP="00C820CC" w:rsidRDefault="00547AAC" w14:paraId="78AFD306" w14:textId="77777777">
      <w:pPr>
        <w:widowControl w:val="0"/>
        <w:numPr>
          <w:ilvl w:val="0"/>
          <w:numId w:val="2"/>
        </w:numPr>
        <w:ind w:hanging="720"/>
        <w:rPr>
          <w:b/>
        </w:rPr>
      </w:pPr>
      <w:r w:rsidRPr="00C820CC">
        <w:rPr>
          <w:b/>
        </w:rPr>
        <w:t>Why We Cannot Use Duplicate Information</w:t>
      </w:r>
    </w:p>
    <w:p w:rsidR="000520AA" w:rsidP="00641879" w:rsidRDefault="000520AA" w14:paraId="0C3F8598" w14:textId="50767597">
      <w:pPr>
        <w:tabs>
          <w:tab w:val="num" w:pos="1440"/>
        </w:tabs>
        <w:ind w:left="1440"/>
      </w:pPr>
      <w:r w:rsidRPr="000520AA">
        <w:t>The n</w:t>
      </w:r>
      <w:r w:rsidR="00CC1EB1">
        <w:t xml:space="preserve">ature of the information </w:t>
      </w:r>
      <w:r w:rsidR="00542991">
        <w:t xml:space="preserve">SSA </w:t>
      </w:r>
      <w:r w:rsidR="00CC1EB1">
        <w:t>collect</w:t>
      </w:r>
      <w:r w:rsidR="00542991">
        <w:t>s</w:t>
      </w:r>
      <w:r w:rsidRPr="000520AA">
        <w:t xml:space="preserve"> and the </w:t>
      </w:r>
      <w:proofErr w:type="gramStart"/>
      <w:r w:rsidRPr="000520AA">
        <w:t>manner in which</w:t>
      </w:r>
      <w:proofErr w:type="gramEnd"/>
      <w:r w:rsidRPr="000520AA">
        <w:t xml:space="preserve"> </w:t>
      </w:r>
      <w:r w:rsidR="00542991">
        <w:t>SSA</w:t>
      </w:r>
      <w:r w:rsidR="00CC1EB1">
        <w:t xml:space="preserve"> collect</w:t>
      </w:r>
      <w:r w:rsidR="00542991">
        <w:t>s</w:t>
      </w:r>
      <w:r w:rsidRPr="000520AA">
        <w:t xml:space="preserve"> it preclude duplication.  SSA does not use another collection instrument to obtain similar data.  </w:t>
      </w:r>
    </w:p>
    <w:p w:rsidR="00C548EC" w:rsidP="00641879" w:rsidRDefault="00C548EC" w14:paraId="6B8A0835" w14:textId="77777777">
      <w:pPr>
        <w:tabs>
          <w:tab w:val="num" w:pos="1440"/>
        </w:tabs>
        <w:ind w:left="1440"/>
      </w:pPr>
    </w:p>
    <w:p w:rsidR="00AF236F" w:rsidP="00641879" w:rsidRDefault="00AF236F" w14:paraId="7BF4C7CB" w14:textId="77777777">
      <w:pPr>
        <w:tabs>
          <w:tab w:val="num" w:pos="1440"/>
        </w:tabs>
        <w:ind w:left="1440"/>
      </w:pPr>
    </w:p>
    <w:p w:rsidRPr="00C820CC" w:rsidR="00547AAC" w:rsidP="00C820CC" w:rsidRDefault="00547AAC" w14:paraId="78A1C40F" w14:textId="77777777">
      <w:pPr>
        <w:widowControl w:val="0"/>
        <w:numPr>
          <w:ilvl w:val="0"/>
          <w:numId w:val="2"/>
        </w:numPr>
        <w:ind w:hanging="720"/>
        <w:rPr>
          <w:b/>
        </w:rPr>
      </w:pPr>
      <w:r w:rsidRPr="00C820CC">
        <w:rPr>
          <w:b/>
        </w:rPr>
        <w:t>Minimizing Burden on Small Respondents</w:t>
      </w:r>
    </w:p>
    <w:p w:rsidR="00D149CF" w:rsidP="00641879" w:rsidRDefault="005075AC" w14:paraId="70EB6377" w14:textId="77777777">
      <w:pPr>
        <w:tabs>
          <w:tab w:val="num" w:pos="1440"/>
        </w:tabs>
        <w:ind w:left="1440"/>
      </w:pPr>
      <w:r>
        <w:t xml:space="preserve">This collection does not </w:t>
      </w:r>
      <w:r w:rsidR="00D149CF">
        <w:t>significant</w:t>
      </w:r>
      <w:r w:rsidR="00547AAC">
        <w:t>ly affect small businesses or other small entities.</w:t>
      </w:r>
    </w:p>
    <w:p w:rsidR="00CC1EB1" w:rsidP="00641879" w:rsidRDefault="00CC1EB1" w14:paraId="1153BB5A" w14:textId="77777777">
      <w:pPr>
        <w:tabs>
          <w:tab w:val="num" w:pos="1440"/>
        </w:tabs>
        <w:ind w:left="1440"/>
      </w:pPr>
    </w:p>
    <w:p w:rsidRPr="00637F4A" w:rsidR="00637F4A" w:rsidP="00C820CC" w:rsidRDefault="00637F4A" w14:paraId="54472D8E" w14:textId="77777777">
      <w:pPr>
        <w:numPr>
          <w:ilvl w:val="0"/>
          <w:numId w:val="2"/>
        </w:numPr>
        <w:ind w:hanging="720"/>
      </w:pPr>
      <w:r w:rsidRPr="00C820CC">
        <w:rPr>
          <w:b/>
        </w:rPr>
        <w:t>Consequence of Not Collecting Information or Collecting it Less</w:t>
      </w:r>
      <w:r w:rsidRPr="00BC7F42">
        <w:rPr>
          <w:b/>
        </w:rPr>
        <w:t xml:space="preserve"> Frequently </w:t>
      </w:r>
    </w:p>
    <w:p w:rsidR="00D149CF" w:rsidP="00641879" w:rsidRDefault="00542991" w14:paraId="49AB93D3" w14:textId="1FFF5336">
      <w:pPr>
        <w:tabs>
          <w:tab w:val="num" w:pos="1440"/>
        </w:tabs>
        <w:ind w:left="1440"/>
      </w:pPr>
      <w:r>
        <w:t xml:space="preserve">If the </w:t>
      </w:r>
      <w:r w:rsidR="00570E5A">
        <w:t>Direct Deposit Application</w:t>
      </w:r>
      <w:r>
        <w:t xml:space="preserve"> was unavailable</w:t>
      </w:r>
      <w:r w:rsidR="00C57012">
        <w:t xml:space="preserve">, </w:t>
      </w:r>
      <w:r w:rsidR="000520AA">
        <w:t xml:space="preserve">SSA would not be able to enroll </w:t>
      </w:r>
      <w:r w:rsidR="004E558B">
        <w:t>recipients</w:t>
      </w:r>
      <w:r w:rsidR="000520AA">
        <w:t xml:space="preserve"> wishing to participate in the Direct Deposit Program</w:t>
      </w:r>
      <w:r w:rsidR="00C57012">
        <w:t xml:space="preserve">.  This </w:t>
      </w:r>
      <w:r w:rsidR="006361D8">
        <w:t>would be</w:t>
      </w:r>
      <w:r w:rsidR="000520AA">
        <w:t xml:space="preserve"> an </w:t>
      </w:r>
      <w:r w:rsidR="00C57012">
        <w:t>in</w:t>
      </w:r>
      <w:r w:rsidR="006361D8">
        <w:t xml:space="preserve">convenience to the </w:t>
      </w:r>
      <w:r>
        <w:t>recipient and</w:t>
      </w:r>
      <w:r w:rsidR="006361D8">
        <w:t xml:space="preserve"> cost the Agency time and money since </w:t>
      </w:r>
      <w:r>
        <w:t>SSA</w:t>
      </w:r>
      <w:r w:rsidR="006361D8">
        <w:t xml:space="preserve"> would have to print and mail out checks to </w:t>
      </w:r>
      <w:r w:rsidR="004E558B">
        <w:t>recipients</w:t>
      </w:r>
      <w:r w:rsidR="006361D8">
        <w:t>.</w:t>
      </w:r>
      <w:r w:rsidR="00C57012">
        <w:t xml:space="preserve">  </w:t>
      </w:r>
      <w:r w:rsidRPr="009E7F85" w:rsidR="009E7F85">
        <w:rPr>
          <w:rFonts w:eastAsia="Times New Roman"/>
          <w:snapToGrid w:val="0"/>
          <w:lang w:eastAsia="en-US"/>
        </w:rPr>
        <w:t xml:space="preserve">Because </w:t>
      </w:r>
      <w:r>
        <w:rPr>
          <w:rFonts w:eastAsia="Times New Roman"/>
          <w:snapToGrid w:val="0"/>
          <w:lang w:eastAsia="en-US"/>
        </w:rPr>
        <w:t>SSA</w:t>
      </w:r>
      <w:r w:rsidRPr="009E7F85" w:rsidR="009E7F85">
        <w:rPr>
          <w:rFonts w:eastAsia="Times New Roman"/>
          <w:snapToGrid w:val="0"/>
          <w:lang w:eastAsia="en-US"/>
        </w:rPr>
        <w:t xml:space="preserve"> collect</w:t>
      </w:r>
      <w:r>
        <w:rPr>
          <w:rFonts w:eastAsia="Times New Roman"/>
          <w:snapToGrid w:val="0"/>
          <w:lang w:eastAsia="en-US"/>
        </w:rPr>
        <w:t>s</w:t>
      </w:r>
      <w:r w:rsidRPr="009E7F85" w:rsidR="009E7F85">
        <w:rPr>
          <w:rFonts w:eastAsia="Times New Roman"/>
          <w:snapToGrid w:val="0"/>
          <w:lang w:eastAsia="en-US"/>
        </w:rPr>
        <w:t xml:space="preserve"> this information on an as needed basis, </w:t>
      </w:r>
      <w:r>
        <w:rPr>
          <w:rFonts w:eastAsia="Times New Roman"/>
          <w:snapToGrid w:val="0"/>
          <w:lang w:eastAsia="en-US"/>
        </w:rPr>
        <w:t>SSA</w:t>
      </w:r>
      <w:r w:rsidRPr="009E7F85" w:rsidR="009E7F85">
        <w:rPr>
          <w:rFonts w:eastAsia="Times New Roman"/>
          <w:snapToGrid w:val="0"/>
          <w:lang w:eastAsia="en-US"/>
        </w:rPr>
        <w:t xml:space="preserve"> cannot collect it less frequently</w:t>
      </w:r>
      <w:r w:rsidR="00C57012">
        <w:t>.</w:t>
      </w:r>
      <w:r w:rsidR="00CC1EB1">
        <w:t xml:space="preserve">  </w:t>
      </w:r>
      <w:r w:rsidR="00D149CF">
        <w:t>There are no technical or legal obstacles</w:t>
      </w:r>
      <w:r w:rsidR="00326015">
        <w:t xml:space="preserve"> to </w:t>
      </w:r>
      <w:r w:rsidR="00D149CF">
        <w:t>burden reduction.</w:t>
      </w:r>
    </w:p>
    <w:p w:rsidR="00D149CF" w:rsidP="00641879" w:rsidRDefault="00D149CF" w14:paraId="5652ED6D" w14:textId="77777777">
      <w:pPr>
        <w:tabs>
          <w:tab w:val="num" w:pos="1440"/>
        </w:tabs>
        <w:ind w:left="1440"/>
      </w:pPr>
    </w:p>
    <w:p w:rsidRPr="00C820CC" w:rsidR="00637F4A" w:rsidP="00C820CC" w:rsidRDefault="00BB7A14" w14:paraId="466B5E64" w14:textId="77777777">
      <w:pPr>
        <w:numPr>
          <w:ilvl w:val="0"/>
          <w:numId w:val="2"/>
        </w:numPr>
        <w:ind w:hanging="720"/>
        <w:rPr>
          <w:b/>
        </w:rPr>
      </w:pPr>
      <w:r>
        <w:rPr>
          <w:b/>
        </w:rPr>
        <w:t>Special Circumstances</w:t>
      </w:r>
    </w:p>
    <w:p w:rsidR="00E0275A" w:rsidP="00641879" w:rsidRDefault="00E0275A" w14:paraId="2010FC78" w14:textId="77777777">
      <w:pPr>
        <w:tabs>
          <w:tab w:val="num" w:pos="1440"/>
          <w:tab w:val="left" w:pos="1620"/>
        </w:tabs>
        <w:ind w:left="1440"/>
      </w:pPr>
      <w:r w:rsidRPr="00BC7F42">
        <w:t xml:space="preserve">There are no special circumstances that would cause </w:t>
      </w:r>
      <w:r w:rsidR="00FD7CA4">
        <w:t xml:space="preserve">SSA to conduct this information </w:t>
      </w:r>
      <w:r w:rsidR="00637F4A">
        <w:t>c</w:t>
      </w:r>
      <w:r>
        <w:t xml:space="preserve">ollection in a manner inconsistent with </w:t>
      </w:r>
      <w:r w:rsidRPr="00243B8D">
        <w:rPr>
          <w:i/>
        </w:rPr>
        <w:t>5 CFR 1320.5</w:t>
      </w:r>
      <w:r w:rsidRPr="00BC7F42">
        <w:t>.</w:t>
      </w:r>
    </w:p>
    <w:p w:rsidR="00E0275A" w:rsidP="00641879" w:rsidRDefault="00E0275A" w14:paraId="46B24EC7" w14:textId="77777777">
      <w:pPr>
        <w:tabs>
          <w:tab w:val="num" w:pos="1440"/>
        </w:tabs>
        <w:ind w:left="1440"/>
      </w:pPr>
    </w:p>
    <w:p w:rsidRPr="00F17082" w:rsidR="00637F4A" w:rsidP="00C820CC" w:rsidRDefault="00637F4A" w14:paraId="4184F133" w14:textId="77777777">
      <w:pPr>
        <w:numPr>
          <w:ilvl w:val="0"/>
          <w:numId w:val="2"/>
        </w:numPr>
        <w:ind w:hanging="720"/>
      </w:pPr>
      <w:r w:rsidRPr="00C820CC">
        <w:rPr>
          <w:b/>
        </w:rPr>
        <w:t>Solicitation of Public Comment and Other Consultations with the</w:t>
      </w:r>
      <w:r w:rsidRPr="00F17082">
        <w:rPr>
          <w:b/>
        </w:rPr>
        <w:t xml:space="preserve"> Public </w:t>
      </w:r>
    </w:p>
    <w:p w:rsidR="00BB7A14" w:rsidP="00BB7A14" w:rsidRDefault="00BB7A14" w14:paraId="24260141" w14:textId="41393C29">
      <w:pPr>
        <w:tabs>
          <w:tab w:val="num" w:pos="1440"/>
        </w:tabs>
        <w:ind w:left="1440"/>
      </w:pPr>
      <w:r>
        <w:t xml:space="preserve">The 60-day advance Federal Register Notice published on </w:t>
      </w:r>
      <w:r w:rsidR="00C548EC">
        <w:t>March 10,</w:t>
      </w:r>
      <w:r w:rsidR="00002BF2">
        <w:t xml:space="preserve"> </w:t>
      </w:r>
      <w:r w:rsidR="005A6C43">
        <w:t>2022,</w:t>
      </w:r>
      <w:r w:rsidR="00C548EC">
        <w:t xml:space="preserve"> a</w:t>
      </w:r>
      <w:r>
        <w:t>t</w:t>
      </w:r>
    </w:p>
    <w:p w:rsidR="006666C7" w:rsidP="00BB7A14" w:rsidRDefault="00BB7A14" w14:paraId="610AD847" w14:textId="37081609">
      <w:pPr>
        <w:tabs>
          <w:tab w:val="num" w:pos="1440"/>
        </w:tabs>
        <w:ind w:left="1440"/>
      </w:pPr>
      <w:r>
        <w:t>8</w:t>
      </w:r>
      <w:r w:rsidR="00C548EC">
        <w:t xml:space="preserve">7 </w:t>
      </w:r>
      <w:r>
        <w:t xml:space="preserve">FR </w:t>
      </w:r>
      <w:r w:rsidR="00C548EC">
        <w:t>13783</w:t>
      </w:r>
      <w:r>
        <w:t xml:space="preserve">, and we received no public comments.  The 30-day FRN published on </w:t>
      </w:r>
      <w:r w:rsidR="000A78D2">
        <w:t xml:space="preserve">May 24, </w:t>
      </w:r>
      <w:r w:rsidR="000C26A3">
        <w:t>2022,</w:t>
      </w:r>
      <w:r w:rsidR="000A78D2">
        <w:t xml:space="preserve"> a</w:t>
      </w:r>
      <w:r>
        <w:t>t 8</w:t>
      </w:r>
      <w:r w:rsidR="00C548EC">
        <w:t>7</w:t>
      </w:r>
      <w:r>
        <w:t xml:space="preserve"> FR </w:t>
      </w:r>
      <w:r w:rsidR="000A78D2">
        <w:t>31598</w:t>
      </w:r>
      <w:r>
        <w:t>.  If we receive any comments in response to this Notice, we will forward them to OMB</w:t>
      </w:r>
      <w:r w:rsidR="00FA6867">
        <w:t>.</w:t>
      </w:r>
      <w:r w:rsidR="00F614B3">
        <w:t xml:space="preserve">  </w:t>
      </w:r>
      <w:r w:rsidRPr="00F614B3" w:rsidR="00F614B3">
        <w:t>We did not consult with the public in the maintenance of this form</w:t>
      </w:r>
      <w:r w:rsidR="00F614B3">
        <w:t>.</w:t>
      </w:r>
    </w:p>
    <w:p w:rsidR="00FC0143" w:rsidP="00641879" w:rsidRDefault="00FC0143" w14:paraId="78180870" w14:textId="77777777">
      <w:pPr>
        <w:tabs>
          <w:tab w:val="num" w:pos="1440"/>
        </w:tabs>
        <w:ind w:left="1440"/>
      </w:pPr>
    </w:p>
    <w:p w:rsidRPr="00C820CC" w:rsidR="00637F4A" w:rsidP="00C820CC" w:rsidRDefault="00637F4A" w14:paraId="4D089910" w14:textId="77777777">
      <w:pPr>
        <w:widowControl w:val="0"/>
        <w:numPr>
          <w:ilvl w:val="0"/>
          <w:numId w:val="2"/>
        </w:numPr>
        <w:ind w:hanging="720"/>
        <w:rPr>
          <w:b/>
        </w:rPr>
      </w:pPr>
      <w:r w:rsidRPr="00C820CC">
        <w:rPr>
          <w:b/>
        </w:rPr>
        <w:t>Payment or Gifts to Respondents</w:t>
      </w:r>
    </w:p>
    <w:p w:rsidR="004F54D3" w:rsidP="00641879" w:rsidRDefault="004F54D3" w14:paraId="5DE4D5B3" w14:textId="77777777">
      <w:pPr>
        <w:tabs>
          <w:tab w:val="num" w:pos="1440"/>
        </w:tabs>
        <w:ind w:left="1440"/>
      </w:pPr>
      <w:r>
        <w:t xml:space="preserve">SSA </w:t>
      </w:r>
      <w:r w:rsidR="00E0275A">
        <w:t>does not provide</w:t>
      </w:r>
      <w:r>
        <w:t xml:space="preserve"> payment or gifts to respondents.</w:t>
      </w:r>
    </w:p>
    <w:p w:rsidR="00512213" w:rsidP="00641879" w:rsidRDefault="00512213" w14:paraId="2EE71A88" w14:textId="77777777">
      <w:pPr>
        <w:tabs>
          <w:tab w:val="num" w:pos="1440"/>
        </w:tabs>
        <w:ind w:left="1440"/>
      </w:pPr>
    </w:p>
    <w:p w:rsidRPr="00C820CC" w:rsidR="00637F4A" w:rsidP="00C820CC" w:rsidRDefault="00637F4A" w14:paraId="72F19976" w14:textId="77777777">
      <w:pPr>
        <w:widowControl w:val="0"/>
        <w:numPr>
          <w:ilvl w:val="0"/>
          <w:numId w:val="2"/>
        </w:numPr>
        <w:ind w:hanging="720"/>
        <w:rPr>
          <w:b/>
        </w:rPr>
      </w:pPr>
      <w:r w:rsidRPr="00C820CC">
        <w:rPr>
          <w:b/>
        </w:rPr>
        <w:t>Assurances of Confidentiality</w:t>
      </w:r>
    </w:p>
    <w:p w:rsidRPr="006666C7" w:rsidR="006666C7" w:rsidP="00641879" w:rsidRDefault="006666C7" w14:paraId="39993DB4" w14:textId="77777777">
      <w:pPr>
        <w:tabs>
          <w:tab w:val="num" w:pos="1440"/>
        </w:tabs>
        <w:ind w:left="1440"/>
      </w:pPr>
      <w:r w:rsidRPr="006666C7">
        <w:t xml:space="preserve">SSA protects and holds confidential the information it collects in accordance with </w:t>
      </w:r>
      <w:r w:rsidRPr="008A1F3A">
        <w:rPr>
          <w:i/>
        </w:rPr>
        <w:t>42 U.S.C. 1306, 20 CFR 401</w:t>
      </w:r>
      <w:r w:rsidRPr="006666C7">
        <w:t xml:space="preserve"> and </w:t>
      </w:r>
      <w:r w:rsidRPr="008A1F3A">
        <w:rPr>
          <w:i/>
        </w:rPr>
        <w:t>402, 5 U.S.C. 552</w:t>
      </w:r>
      <w:r w:rsidRPr="006666C7">
        <w:t xml:space="preserve"> (Freedom of Information Act), </w:t>
      </w:r>
      <w:r w:rsidRPr="008A1F3A">
        <w:rPr>
          <w:i/>
        </w:rPr>
        <w:t>5 U.S.C. 552a</w:t>
      </w:r>
      <w:r w:rsidRPr="006666C7">
        <w:t xml:space="preserve"> (Privacy Act of 1974), and OMB Circular No. A-130</w:t>
      </w:r>
      <w:r w:rsidRPr="006666C7">
        <w:rPr>
          <w:color w:val="0000FF"/>
        </w:rPr>
        <w:t>.</w:t>
      </w:r>
    </w:p>
    <w:p w:rsidR="00662FEC" w:rsidP="00641879" w:rsidRDefault="00662FEC" w14:paraId="46E0E35A" w14:textId="77777777">
      <w:pPr>
        <w:tabs>
          <w:tab w:val="num" w:pos="1440"/>
        </w:tabs>
        <w:ind w:left="1440"/>
      </w:pPr>
    </w:p>
    <w:p w:rsidRPr="00C820CC" w:rsidR="00637F4A" w:rsidP="00C820CC" w:rsidRDefault="00637F4A" w14:paraId="3C7EE00B" w14:textId="77777777">
      <w:pPr>
        <w:widowControl w:val="0"/>
        <w:numPr>
          <w:ilvl w:val="0"/>
          <w:numId w:val="2"/>
        </w:numPr>
        <w:ind w:hanging="720"/>
        <w:rPr>
          <w:b/>
        </w:rPr>
      </w:pPr>
      <w:r w:rsidRPr="00C820CC">
        <w:rPr>
          <w:b/>
        </w:rPr>
        <w:t>Justification for Sensitive Questions</w:t>
      </w:r>
    </w:p>
    <w:p w:rsidR="001942C6" w:rsidP="00641879" w:rsidRDefault="00637F4A" w14:paraId="6A65D27F" w14:textId="77777777">
      <w:pPr>
        <w:tabs>
          <w:tab w:val="num" w:pos="1440"/>
          <w:tab w:val="decimal" w:pos="2430"/>
        </w:tabs>
        <w:ind w:left="1440"/>
      </w:pPr>
      <w:r>
        <w:tab/>
      </w:r>
      <w:r w:rsidR="004F54D3">
        <w:t>The information collection does not contain any questions of a sensitive nature.</w:t>
      </w:r>
    </w:p>
    <w:p w:rsidR="00243B8D" w:rsidP="00641879" w:rsidRDefault="00243B8D" w14:paraId="5F493D6F" w14:textId="77777777">
      <w:pPr>
        <w:tabs>
          <w:tab w:val="num" w:pos="1440"/>
          <w:tab w:val="decimal" w:pos="2430"/>
        </w:tabs>
        <w:ind w:left="1440"/>
      </w:pPr>
    </w:p>
    <w:p w:rsidR="006666C7" w:rsidP="00C820CC" w:rsidRDefault="00637F4A" w14:paraId="17C6A95D" w14:textId="626F0A86">
      <w:pPr>
        <w:widowControl w:val="0"/>
        <w:numPr>
          <w:ilvl w:val="0"/>
          <w:numId w:val="2"/>
        </w:numPr>
        <w:ind w:hanging="720"/>
        <w:rPr>
          <w:b/>
        </w:rPr>
      </w:pPr>
      <w:r w:rsidRPr="00C820CC">
        <w:rPr>
          <w:b/>
        </w:rPr>
        <w:t>Estimates of Public Reporting Burden</w:t>
      </w:r>
    </w:p>
    <w:p w:rsidR="00C548EC" w:rsidP="00C548EC" w:rsidRDefault="00C548EC" w14:paraId="58F3AA4B" w14:textId="77777777">
      <w:pPr>
        <w:widowControl w:val="0"/>
        <w:ind w:left="1440"/>
        <w:rPr>
          <w:b/>
        </w:rPr>
      </w:pPr>
    </w:p>
    <w:tbl>
      <w:tblPr>
        <w:tblStyle w:val="TableGrid"/>
        <w:tblpPr w:leftFromText="180" w:rightFromText="180" w:vertAnchor="text" w:horzAnchor="page" w:tblpX="411" w:tblpY="1"/>
        <w:tblW w:w="11335" w:type="dxa"/>
        <w:tblLook w:val="04A0" w:firstRow="1" w:lastRow="0" w:firstColumn="1" w:lastColumn="0" w:noHBand="0" w:noVBand="1"/>
      </w:tblPr>
      <w:tblGrid>
        <w:gridCol w:w="1492"/>
        <w:gridCol w:w="1525"/>
        <w:gridCol w:w="1310"/>
        <w:gridCol w:w="1207"/>
        <w:gridCol w:w="1258"/>
        <w:gridCol w:w="1389"/>
        <w:gridCol w:w="1378"/>
        <w:gridCol w:w="1776"/>
      </w:tblGrid>
      <w:tr w:rsidRPr="004E0E7F" w:rsidR="004E0E7F" w:rsidTr="00082BA0" w14:paraId="2B2C2756" w14:textId="77777777">
        <w:trPr>
          <w:trHeight w:val="1385"/>
        </w:trPr>
        <w:tc>
          <w:tcPr>
            <w:tcW w:w="1492" w:type="dxa"/>
          </w:tcPr>
          <w:p w:rsidRPr="004E0E7F" w:rsidR="004E0E7F" w:rsidP="004E0E7F" w:rsidRDefault="004E0E7F" w14:paraId="6F8E861F" w14:textId="77777777">
            <w:pPr>
              <w:rPr>
                <w:b/>
              </w:rPr>
            </w:pPr>
            <w:r w:rsidRPr="004E0E7F">
              <w:rPr>
                <w:b/>
              </w:rPr>
              <w:t>Modality of Completion</w:t>
            </w:r>
          </w:p>
        </w:tc>
        <w:tc>
          <w:tcPr>
            <w:tcW w:w="1525" w:type="dxa"/>
          </w:tcPr>
          <w:p w:rsidRPr="004E0E7F" w:rsidR="004E0E7F" w:rsidP="004E0E7F" w:rsidRDefault="004E0E7F" w14:paraId="49BC5629" w14:textId="77777777">
            <w:pPr>
              <w:rPr>
                <w:b/>
              </w:rPr>
            </w:pPr>
            <w:r w:rsidRPr="004E0E7F">
              <w:rPr>
                <w:b/>
              </w:rPr>
              <w:t>Number of Respondents</w:t>
            </w:r>
          </w:p>
        </w:tc>
        <w:tc>
          <w:tcPr>
            <w:tcW w:w="1310" w:type="dxa"/>
          </w:tcPr>
          <w:p w:rsidRPr="004E0E7F" w:rsidR="004E0E7F" w:rsidP="004E0E7F" w:rsidRDefault="004E0E7F" w14:paraId="59424952" w14:textId="77777777">
            <w:pPr>
              <w:rPr>
                <w:b/>
              </w:rPr>
            </w:pPr>
            <w:r w:rsidRPr="004E0E7F">
              <w:rPr>
                <w:b/>
              </w:rPr>
              <w:t>Frequency of Response</w:t>
            </w:r>
          </w:p>
        </w:tc>
        <w:tc>
          <w:tcPr>
            <w:tcW w:w="1207" w:type="dxa"/>
          </w:tcPr>
          <w:p w:rsidRPr="004E0E7F" w:rsidR="004E0E7F" w:rsidP="004E0E7F" w:rsidRDefault="004E0E7F" w14:paraId="5F03B43E" w14:textId="77777777">
            <w:pPr>
              <w:rPr>
                <w:b/>
              </w:rPr>
            </w:pPr>
            <w:r w:rsidRPr="004E0E7F">
              <w:rPr>
                <w:b/>
              </w:rPr>
              <w:t>Average Burden Per Response (minutes)</w:t>
            </w:r>
          </w:p>
        </w:tc>
        <w:tc>
          <w:tcPr>
            <w:tcW w:w="1258" w:type="dxa"/>
          </w:tcPr>
          <w:p w:rsidRPr="004E0E7F" w:rsidR="004E0E7F" w:rsidP="004E0E7F" w:rsidRDefault="004E0E7F" w14:paraId="2C26861E" w14:textId="77777777">
            <w:pPr>
              <w:rPr>
                <w:b/>
              </w:rPr>
            </w:pPr>
            <w:r w:rsidRPr="004E0E7F">
              <w:rPr>
                <w:b/>
              </w:rPr>
              <w:t>Estimated Total Annual Burden (hours)</w:t>
            </w:r>
          </w:p>
        </w:tc>
        <w:tc>
          <w:tcPr>
            <w:tcW w:w="1389" w:type="dxa"/>
          </w:tcPr>
          <w:p w:rsidRPr="004E0E7F" w:rsidR="004E0E7F" w:rsidP="004E0E7F" w:rsidRDefault="004E0E7F" w14:paraId="5CF3ED56" w14:textId="77777777">
            <w:pPr>
              <w:rPr>
                <w:b/>
              </w:rPr>
            </w:pPr>
            <w:r w:rsidRPr="004E0E7F">
              <w:rPr>
                <w:b/>
              </w:rPr>
              <w:t>Average Theoretical Hourly Cost Amount (dollars)*</w:t>
            </w:r>
          </w:p>
        </w:tc>
        <w:tc>
          <w:tcPr>
            <w:tcW w:w="1378" w:type="dxa"/>
          </w:tcPr>
          <w:p w:rsidRPr="004E0E7F" w:rsidR="004E0E7F" w:rsidP="004E0E7F" w:rsidRDefault="004E0E7F" w14:paraId="33E42091" w14:textId="77777777">
            <w:pPr>
              <w:autoSpaceDE w:val="0"/>
              <w:autoSpaceDN w:val="0"/>
              <w:adjustRightInd w:val="0"/>
              <w:rPr>
                <w:rFonts w:eastAsia="Calibri"/>
                <w:b/>
              </w:rPr>
            </w:pPr>
            <w:r w:rsidRPr="004E0E7F">
              <w:rPr>
                <w:rFonts w:eastAsia="Calibri"/>
                <w:b/>
              </w:rPr>
              <w:t xml:space="preserve">Average Wait Time in Field Office or for Teleservice Centers </w:t>
            </w:r>
          </w:p>
          <w:p w:rsidRPr="004E0E7F" w:rsidR="004E0E7F" w:rsidP="004E0E7F" w:rsidRDefault="004E0E7F" w14:paraId="46D121A3" w14:textId="51C21F3C">
            <w:pPr>
              <w:rPr>
                <w:b/>
              </w:rPr>
            </w:pPr>
            <w:r w:rsidRPr="004E0E7F">
              <w:rPr>
                <w:rFonts w:eastAsia="Calibri"/>
                <w:b/>
                <w:lang w:val="x-none"/>
              </w:rPr>
              <w:t>(minutes) **</w:t>
            </w:r>
          </w:p>
        </w:tc>
        <w:tc>
          <w:tcPr>
            <w:tcW w:w="1776" w:type="dxa"/>
          </w:tcPr>
          <w:p w:rsidRPr="004E0E7F" w:rsidR="004E0E7F" w:rsidP="004E0E7F" w:rsidRDefault="004E0E7F" w14:paraId="14E4DE2D" w14:textId="616D4961">
            <w:pPr>
              <w:rPr>
                <w:b/>
              </w:rPr>
            </w:pPr>
            <w:r w:rsidRPr="004E0E7F">
              <w:rPr>
                <w:b/>
              </w:rPr>
              <w:t>Total Annual Opportunity Cost (dollars)**</w:t>
            </w:r>
            <w:r>
              <w:rPr>
                <w:b/>
              </w:rPr>
              <w:t>*</w:t>
            </w:r>
          </w:p>
        </w:tc>
      </w:tr>
      <w:tr w:rsidRPr="004E0E7F" w:rsidR="004E0E7F" w:rsidTr="00082BA0" w14:paraId="51589846" w14:textId="77777777">
        <w:trPr>
          <w:trHeight w:val="231"/>
        </w:trPr>
        <w:tc>
          <w:tcPr>
            <w:tcW w:w="1492" w:type="dxa"/>
          </w:tcPr>
          <w:p w:rsidRPr="004E0E7F" w:rsidR="004E0E7F" w:rsidP="004E0E7F" w:rsidRDefault="004E0E7F" w14:paraId="57EDD08D" w14:textId="7ACC5FB8">
            <w:pPr>
              <w:widowControl w:val="0"/>
              <w:rPr>
                <w:b/>
              </w:rPr>
            </w:pPr>
            <w:r w:rsidRPr="004E0E7F">
              <w:lastRenderedPageBreak/>
              <w:t>Internet Direct Deposit Application</w:t>
            </w:r>
          </w:p>
        </w:tc>
        <w:tc>
          <w:tcPr>
            <w:tcW w:w="1525" w:type="dxa"/>
          </w:tcPr>
          <w:p w:rsidRPr="004E0E7F" w:rsidR="004E0E7F" w:rsidP="004E0E7F" w:rsidRDefault="004E0E7F" w14:paraId="5966A7E8" w14:textId="77777777">
            <w:pPr>
              <w:widowControl w:val="0"/>
              <w:jc w:val="right"/>
              <w:rPr>
                <w:b/>
              </w:rPr>
            </w:pPr>
            <w:r w:rsidRPr="004E0E7F">
              <w:t>683,397</w:t>
            </w:r>
          </w:p>
        </w:tc>
        <w:tc>
          <w:tcPr>
            <w:tcW w:w="1310" w:type="dxa"/>
          </w:tcPr>
          <w:p w:rsidRPr="004E0E7F" w:rsidR="004E0E7F" w:rsidP="004E0E7F" w:rsidRDefault="004E0E7F" w14:paraId="524464B1" w14:textId="77777777">
            <w:pPr>
              <w:widowControl w:val="0"/>
              <w:jc w:val="right"/>
              <w:rPr>
                <w:b/>
              </w:rPr>
            </w:pPr>
            <w:r w:rsidRPr="004E0E7F">
              <w:t>1</w:t>
            </w:r>
          </w:p>
        </w:tc>
        <w:tc>
          <w:tcPr>
            <w:tcW w:w="1207" w:type="dxa"/>
          </w:tcPr>
          <w:p w:rsidRPr="004E0E7F" w:rsidR="004E0E7F" w:rsidP="004E0E7F" w:rsidRDefault="004E0E7F" w14:paraId="24D7CC58" w14:textId="77777777">
            <w:pPr>
              <w:widowControl w:val="0"/>
              <w:jc w:val="right"/>
              <w:rPr>
                <w:b/>
              </w:rPr>
            </w:pPr>
            <w:r w:rsidRPr="004E0E7F">
              <w:t>10</w:t>
            </w:r>
          </w:p>
        </w:tc>
        <w:tc>
          <w:tcPr>
            <w:tcW w:w="1258" w:type="dxa"/>
          </w:tcPr>
          <w:p w:rsidRPr="004E0E7F" w:rsidR="004E0E7F" w:rsidP="004E0E7F" w:rsidRDefault="004E0E7F" w14:paraId="05C710FB" w14:textId="77777777">
            <w:pPr>
              <w:jc w:val="right"/>
            </w:pPr>
            <w:r w:rsidRPr="004E0E7F">
              <w:t>113,900</w:t>
            </w:r>
          </w:p>
        </w:tc>
        <w:tc>
          <w:tcPr>
            <w:tcW w:w="1389" w:type="dxa"/>
          </w:tcPr>
          <w:p w:rsidRPr="004E0E7F" w:rsidR="004E0E7F" w:rsidDel="00880998" w:rsidP="004E0E7F" w:rsidRDefault="004E0E7F" w14:paraId="40E32BD3" w14:textId="6D75C894">
            <w:pPr>
              <w:jc w:val="right"/>
            </w:pPr>
            <w:r w:rsidRPr="004E0E7F">
              <w:t>$</w:t>
            </w:r>
            <w:r w:rsidR="00082BA0">
              <w:t>19.86</w:t>
            </w:r>
            <w:r w:rsidRPr="004E0E7F">
              <w:t>*</w:t>
            </w:r>
          </w:p>
        </w:tc>
        <w:tc>
          <w:tcPr>
            <w:tcW w:w="1378" w:type="dxa"/>
          </w:tcPr>
          <w:p w:rsidRPr="004E0E7F" w:rsidR="004E0E7F" w:rsidP="004E0E7F" w:rsidRDefault="004E0E7F" w14:paraId="1E352FEA" w14:textId="77777777">
            <w:pPr>
              <w:jc w:val="right"/>
            </w:pPr>
          </w:p>
        </w:tc>
        <w:tc>
          <w:tcPr>
            <w:tcW w:w="1776" w:type="dxa"/>
          </w:tcPr>
          <w:p w:rsidRPr="004E0E7F" w:rsidR="004E0E7F" w:rsidDel="00880998" w:rsidP="004E0E7F" w:rsidRDefault="004E0E7F" w14:paraId="661511CB" w14:textId="2DDDC3A7">
            <w:pPr>
              <w:jc w:val="right"/>
            </w:pPr>
            <w:r w:rsidRPr="004E0E7F">
              <w:t>$</w:t>
            </w:r>
            <w:r w:rsidR="00082BA0">
              <w:t>2,262,054</w:t>
            </w:r>
            <w:r w:rsidRPr="004E0E7F">
              <w:t>**</w:t>
            </w:r>
            <w:r>
              <w:t>*</w:t>
            </w:r>
          </w:p>
        </w:tc>
      </w:tr>
      <w:tr w:rsidRPr="004E0E7F" w:rsidR="004E0E7F" w:rsidTr="00082BA0" w14:paraId="2F69C9CA" w14:textId="77777777">
        <w:trPr>
          <w:trHeight w:val="1385"/>
        </w:trPr>
        <w:tc>
          <w:tcPr>
            <w:tcW w:w="1492" w:type="dxa"/>
          </w:tcPr>
          <w:p w:rsidRPr="004E0E7F" w:rsidR="004E0E7F" w:rsidP="004E0E7F" w:rsidRDefault="004E0E7F" w14:paraId="4ED6951D" w14:textId="77777777">
            <w:pPr>
              <w:rPr>
                <w:rFonts w:ascii="Calibri" w:hAnsi="Calibri" w:eastAsia="Calibri" w:cs="Calibri"/>
              </w:rPr>
            </w:pPr>
            <w:r w:rsidRPr="004E0E7F">
              <w:t xml:space="preserve">Non-Electronic Services </w:t>
            </w:r>
          </w:p>
          <w:p w:rsidRPr="004E0E7F" w:rsidR="004E0E7F" w:rsidP="004E0E7F" w:rsidRDefault="004E0E7F" w14:paraId="192351A7" w14:textId="77777777">
            <w:pPr>
              <w:widowControl w:val="0"/>
              <w:rPr>
                <w:b/>
              </w:rPr>
            </w:pPr>
            <w:r w:rsidRPr="004E0E7F">
              <w:t>(FO, 800#-</w:t>
            </w:r>
            <w:proofErr w:type="spellStart"/>
            <w:r w:rsidRPr="004E0E7F">
              <w:t>ePath</w:t>
            </w:r>
            <w:proofErr w:type="spellEnd"/>
            <w:r w:rsidRPr="004E0E7F">
              <w:t>, SSI Claims System, SPS, MACADE, POS, RPS)</w:t>
            </w:r>
          </w:p>
        </w:tc>
        <w:tc>
          <w:tcPr>
            <w:tcW w:w="1525" w:type="dxa"/>
          </w:tcPr>
          <w:p w:rsidRPr="004E0E7F" w:rsidR="004E0E7F" w:rsidP="004E0E7F" w:rsidRDefault="004E0E7F" w14:paraId="7B003E85" w14:textId="77777777">
            <w:pPr>
              <w:widowControl w:val="0"/>
              <w:jc w:val="right"/>
              <w:rPr>
                <w:b/>
              </w:rPr>
            </w:pPr>
            <w:r w:rsidRPr="004E0E7F">
              <w:t>2,557,048</w:t>
            </w:r>
          </w:p>
        </w:tc>
        <w:tc>
          <w:tcPr>
            <w:tcW w:w="1310" w:type="dxa"/>
          </w:tcPr>
          <w:p w:rsidRPr="004E0E7F" w:rsidR="004E0E7F" w:rsidP="004E0E7F" w:rsidRDefault="004E0E7F" w14:paraId="536B5FC3" w14:textId="77777777">
            <w:pPr>
              <w:widowControl w:val="0"/>
              <w:jc w:val="right"/>
              <w:rPr>
                <w:b/>
              </w:rPr>
            </w:pPr>
            <w:r w:rsidRPr="004E0E7F">
              <w:t>1</w:t>
            </w:r>
          </w:p>
        </w:tc>
        <w:tc>
          <w:tcPr>
            <w:tcW w:w="1207" w:type="dxa"/>
          </w:tcPr>
          <w:p w:rsidRPr="004E0E7F" w:rsidR="004E0E7F" w:rsidP="004E0E7F" w:rsidRDefault="004E0E7F" w14:paraId="5945A7F6" w14:textId="77777777">
            <w:pPr>
              <w:widowControl w:val="0"/>
              <w:jc w:val="right"/>
              <w:rPr>
                <w:b/>
              </w:rPr>
            </w:pPr>
            <w:r w:rsidRPr="004E0E7F">
              <w:t>12</w:t>
            </w:r>
          </w:p>
        </w:tc>
        <w:tc>
          <w:tcPr>
            <w:tcW w:w="1258" w:type="dxa"/>
          </w:tcPr>
          <w:p w:rsidRPr="004E0E7F" w:rsidR="004E0E7F" w:rsidP="004E0E7F" w:rsidRDefault="004E0E7F" w14:paraId="60496653" w14:textId="77777777">
            <w:pPr>
              <w:widowControl w:val="0"/>
              <w:jc w:val="right"/>
            </w:pPr>
            <w:r w:rsidRPr="004E0E7F">
              <w:t>511,410</w:t>
            </w:r>
          </w:p>
        </w:tc>
        <w:tc>
          <w:tcPr>
            <w:tcW w:w="1389" w:type="dxa"/>
          </w:tcPr>
          <w:p w:rsidRPr="004E0E7F" w:rsidR="004E0E7F" w:rsidDel="00880998" w:rsidP="004E0E7F" w:rsidRDefault="004E0E7F" w14:paraId="7AE775CF" w14:textId="79530CDA">
            <w:pPr>
              <w:widowControl w:val="0"/>
              <w:jc w:val="right"/>
            </w:pPr>
            <w:r w:rsidRPr="004E0E7F">
              <w:t>$</w:t>
            </w:r>
            <w:r w:rsidR="00082BA0">
              <w:t>19.86</w:t>
            </w:r>
            <w:r w:rsidRPr="004E0E7F">
              <w:t>*</w:t>
            </w:r>
          </w:p>
        </w:tc>
        <w:tc>
          <w:tcPr>
            <w:tcW w:w="1378" w:type="dxa"/>
          </w:tcPr>
          <w:p w:rsidRPr="004E0E7F" w:rsidR="004E0E7F" w:rsidP="004E0E7F" w:rsidRDefault="004E0E7F" w14:paraId="21EF003A" w14:textId="2DE265EF">
            <w:pPr>
              <w:widowControl w:val="0"/>
              <w:jc w:val="right"/>
            </w:pPr>
            <w:r>
              <w:t>21**</w:t>
            </w:r>
          </w:p>
        </w:tc>
        <w:tc>
          <w:tcPr>
            <w:tcW w:w="1776" w:type="dxa"/>
          </w:tcPr>
          <w:p w:rsidRPr="004E0E7F" w:rsidR="004E0E7F" w:rsidDel="00880998" w:rsidP="004E0E7F" w:rsidRDefault="004E0E7F" w14:paraId="1C9F897A" w14:textId="1E9AB1E1">
            <w:pPr>
              <w:widowControl w:val="0"/>
              <w:jc w:val="right"/>
            </w:pPr>
            <w:r w:rsidRPr="004E0E7F">
              <w:t>$</w:t>
            </w:r>
            <w:r w:rsidR="00082BA0">
              <w:t>27,930,647</w:t>
            </w:r>
            <w:r w:rsidRPr="004E0E7F">
              <w:t>*</w:t>
            </w:r>
            <w:r>
              <w:t>*</w:t>
            </w:r>
            <w:r w:rsidRPr="004E0E7F">
              <w:t>*</w:t>
            </w:r>
          </w:p>
        </w:tc>
      </w:tr>
      <w:tr w:rsidRPr="004E0E7F" w:rsidR="004E0E7F" w:rsidTr="00082BA0" w14:paraId="20B0DC76" w14:textId="77777777">
        <w:trPr>
          <w:trHeight w:val="463"/>
        </w:trPr>
        <w:tc>
          <w:tcPr>
            <w:tcW w:w="1492" w:type="dxa"/>
          </w:tcPr>
          <w:p w:rsidRPr="004E0E7F" w:rsidR="004E0E7F" w:rsidP="004E0E7F" w:rsidRDefault="004E0E7F" w14:paraId="086F1444" w14:textId="77777777">
            <w:pPr>
              <w:widowControl w:val="0"/>
              <w:rPr>
                <w:b/>
              </w:rPr>
            </w:pPr>
            <w:r w:rsidRPr="004E0E7F">
              <w:t>Direct Deposit Fraud Indicator</w:t>
            </w:r>
          </w:p>
        </w:tc>
        <w:tc>
          <w:tcPr>
            <w:tcW w:w="1525" w:type="dxa"/>
          </w:tcPr>
          <w:p w:rsidRPr="004E0E7F" w:rsidR="004E0E7F" w:rsidP="004E0E7F" w:rsidRDefault="004E0E7F" w14:paraId="28692BED" w14:textId="77777777">
            <w:pPr>
              <w:widowControl w:val="0"/>
              <w:jc w:val="right"/>
              <w:rPr>
                <w:b/>
              </w:rPr>
            </w:pPr>
            <w:r w:rsidRPr="004E0E7F">
              <w:t>30,531</w:t>
            </w:r>
          </w:p>
        </w:tc>
        <w:tc>
          <w:tcPr>
            <w:tcW w:w="1310" w:type="dxa"/>
          </w:tcPr>
          <w:p w:rsidRPr="004E0E7F" w:rsidR="004E0E7F" w:rsidP="004E0E7F" w:rsidRDefault="004E0E7F" w14:paraId="65C6F7EA" w14:textId="77777777">
            <w:pPr>
              <w:widowControl w:val="0"/>
              <w:jc w:val="right"/>
              <w:rPr>
                <w:b/>
              </w:rPr>
            </w:pPr>
            <w:r w:rsidRPr="004E0E7F">
              <w:t>1</w:t>
            </w:r>
          </w:p>
        </w:tc>
        <w:tc>
          <w:tcPr>
            <w:tcW w:w="1207" w:type="dxa"/>
          </w:tcPr>
          <w:p w:rsidRPr="004E0E7F" w:rsidR="004E0E7F" w:rsidP="004E0E7F" w:rsidRDefault="004E0E7F" w14:paraId="1D21BD87" w14:textId="77777777">
            <w:pPr>
              <w:widowControl w:val="0"/>
              <w:jc w:val="right"/>
              <w:rPr>
                <w:b/>
              </w:rPr>
            </w:pPr>
            <w:r w:rsidRPr="004E0E7F">
              <w:t>2</w:t>
            </w:r>
          </w:p>
        </w:tc>
        <w:tc>
          <w:tcPr>
            <w:tcW w:w="1258" w:type="dxa"/>
          </w:tcPr>
          <w:p w:rsidRPr="004E0E7F" w:rsidR="004E0E7F" w:rsidP="004E0E7F" w:rsidRDefault="004E0E7F" w14:paraId="32709EA3" w14:textId="77777777">
            <w:pPr>
              <w:widowControl w:val="0"/>
              <w:jc w:val="right"/>
            </w:pPr>
            <w:r w:rsidRPr="004E0E7F">
              <w:t>1,018</w:t>
            </w:r>
          </w:p>
        </w:tc>
        <w:tc>
          <w:tcPr>
            <w:tcW w:w="1389" w:type="dxa"/>
          </w:tcPr>
          <w:p w:rsidRPr="004E0E7F" w:rsidR="004E0E7F" w:rsidDel="00EE6812" w:rsidP="004E0E7F" w:rsidRDefault="004E0E7F" w14:paraId="2582AEB4" w14:textId="28206528">
            <w:pPr>
              <w:widowControl w:val="0"/>
              <w:jc w:val="right"/>
            </w:pPr>
            <w:r w:rsidRPr="004E0E7F">
              <w:t>$</w:t>
            </w:r>
            <w:r w:rsidR="00082BA0">
              <w:t>19.86</w:t>
            </w:r>
            <w:r w:rsidRPr="004E0E7F">
              <w:t>*</w:t>
            </w:r>
          </w:p>
        </w:tc>
        <w:tc>
          <w:tcPr>
            <w:tcW w:w="1378" w:type="dxa"/>
          </w:tcPr>
          <w:p w:rsidRPr="004E0E7F" w:rsidR="004E0E7F" w:rsidP="004E0E7F" w:rsidRDefault="004E0E7F" w14:paraId="375D5569" w14:textId="77777777">
            <w:pPr>
              <w:widowControl w:val="0"/>
              <w:jc w:val="right"/>
            </w:pPr>
          </w:p>
        </w:tc>
        <w:tc>
          <w:tcPr>
            <w:tcW w:w="1776" w:type="dxa"/>
          </w:tcPr>
          <w:p w:rsidRPr="004E0E7F" w:rsidR="004E0E7F" w:rsidDel="00EE6812" w:rsidP="004E0E7F" w:rsidRDefault="004E0E7F" w14:paraId="217500EA" w14:textId="10E51BAB">
            <w:pPr>
              <w:widowControl w:val="0"/>
              <w:jc w:val="right"/>
            </w:pPr>
            <w:r w:rsidRPr="004E0E7F">
              <w:t>$</w:t>
            </w:r>
            <w:r w:rsidR="00082BA0">
              <w:t>20,217</w:t>
            </w:r>
            <w:r w:rsidRPr="004E0E7F">
              <w:t>*</w:t>
            </w:r>
            <w:r>
              <w:t>*</w:t>
            </w:r>
            <w:r w:rsidRPr="004E0E7F">
              <w:t>*</w:t>
            </w:r>
          </w:p>
        </w:tc>
      </w:tr>
      <w:tr w:rsidRPr="004E0E7F" w:rsidR="004E0E7F" w:rsidTr="00082BA0" w14:paraId="6D8C45A8" w14:textId="77777777">
        <w:trPr>
          <w:trHeight w:val="231"/>
        </w:trPr>
        <w:tc>
          <w:tcPr>
            <w:tcW w:w="1492" w:type="dxa"/>
          </w:tcPr>
          <w:p w:rsidRPr="004E0E7F" w:rsidR="004E0E7F" w:rsidP="004E0E7F" w:rsidRDefault="004E0E7F" w14:paraId="3C067156" w14:textId="77777777">
            <w:pPr>
              <w:widowControl w:val="0"/>
              <w:rPr>
                <w:b/>
              </w:rPr>
            </w:pPr>
            <w:r w:rsidRPr="004E0E7F">
              <w:rPr>
                <w:b/>
                <w:bCs/>
              </w:rPr>
              <w:t>Totals</w:t>
            </w:r>
          </w:p>
        </w:tc>
        <w:tc>
          <w:tcPr>
            <w:tcW w:w="1525" w:type="dxa"/>
          </w:tcPr>
          <w:p w:rsidRPr="004E0E7F" w:rsidR="004E0E7F" w:rsidP="004E0E7F" w:rsidRDefault="004E0E7F" w14:paraId="5E36BB3E" w14:textId="77777777">
            <w:pPr>
              <w:widowControl w:val="0"/>
              <w:jc w:val="right"/>
              <w:rPr>
                <w:b/>
              </w:rPr>
            </w:pPr>
            <w:r w:rsidRPr="004E0E7F">
              <w:rPr>
                <w:b/>
              </w:rPr>
              <w:t>3,270,976</w:t>
            </w:r>
          </w:p>
        </w:tc>
        <w:tc>
          <w:tcPr>
            <w:tcW w:w="1310" w:type="dxa"/>
          </w:tcPr>
          <w:p w:rsidRPr="004E0E7F" w:rsidR="004E0E7F" w:rsidP="004E0E7F" w:rsidRDefault="004E0E7F" w14:paraId="74BA32E8" w14:textId="77777777">
            <w:pPr>
              <w:widowControl w:val="0"/>
              <w:jc w:val="right"/>
              <w:rPr>
                <w:b/>
              </w:rPr>
            </w:pPr>
          </w:p>
        </w:tc>
        <w:tc>
          <w:tcPr>
            <w:tcW w:w="1207" w:type="dxa"/>
          </w:tcPr>
          <w:p w:rsidRPr="004E0E7F" w:rsidR="004E0E7F" w:rsidP="004E0E7F" w:rsidRDefault="004E0E7F" w14:paraId="263FD203" w14:textId="77777777">
            <w:pPr>
              <w:widowControl w:val="0"/>
              <w:jc w:val="right"/>
              <w:rPr>
                <w:b/>
              </w:rPr>
            </w:pPr>
          </w:p>
        </w:tc>
        <w:tc>
          <w:tcPr>
            <w:tcW w:w="1258" w:type="dxa"/>
          </w:tcPr>
          <w:p w:rsidRPr="004E0E7F" w:rsidR="004E0E7F" w:rsidP="004E0E7F" w:rsidRDefault="004E0E7F" w14:paraId="79688DEF" w14:textId="77777777">
            <w:pPr>
              <w:widowControl w:val="0"/>
              <w:jc w:val="right"/>
            </w:pPr>
            <w:r w:rsidRPr="004E0E7F">
              <w:rPr>
                <w:b/>
              </w:rPr>
              <w:t>626,328</w:t>
            </w:r>
          </w:p>
        </w:tc>
        <w:tc>
          <w:tcPr>
            <w:tcW w:w="1389" w:type="dxa"/>
          </w:tcPr>
          <w:p w:rsidRPr="004E0E7F" w:rsidR="004E0E7F" w:rsidDel="00880998" w:rsidP="004E0E7F" w:rsidRDefault="004E0E7F" w14:paraId="3B1A09A7" w14:textId="77777777">
            <w:pPr>
              <w:widowControl w:val="0"/>
              <w:jc w:val="right"/>
              <w:rPr>
                <w:b/>
              </w:rPr>
            </w:pPr>
          </w:p>
        </w:tc>
        <w:tc>
          <w:tcPr>
            <w:tcW w:w="1378" w:type="dxa"/>
          </w:tcPr>
          <w:p w:rsidRPr="004E0E7F" w:rsidR="004E0E7F" w:rsidP="004E0E7F" w:rsidRDefault="004E0E7F" w14:paraId="7C4B83C5" w14:textId="77777777">
            <w:pPr>
              <w:widowControl w:val="0"/>
              <w:jc w:val="right"/>
              <w:rPr>
                <w:b/>
              </w:rPr>
            </w:pPr>
          </w:p>
        </w:tc>
        <w:tc>
          <w:tcPr>
            <w:tcW w:w="1776" w:type="dxa"/>
          </w:tcPr>
          <w:p w:rsidRPr="004E0E7F" w:rsidR="004E0E7F" w:rsidDel="00880998" w:rsidP="004E0E7F" w:rsidRDefault="004E0E7F" w14:paraId="70F12102" w14:textId="64329B0E">
            <w:pPr>
              <w:widowControl w:val="0"/>
              <w:jc w:val="right"/>
              <w:rPr>
                <w:b/>
              </w:rPr>
            </w:pPr>
            <w:r w:rsidRPr="004E0E7F">
              <w:rPr>
                <w:b/>
              </w:rPr>
              <w:t>$</w:t>
            </w:r>
            <w:r w:rsidR="00082BA0">
              <w:rPr>
                <w:b/>
              </w:rPr>
              <w:t>30,212,918</w:t>
            </w:r>
            <w:r w:rsidR="002870E1">
              <w:rPr>
                <w:b/>
              </w:rPr>
              <w:t>*</w:t>
            </w:r>
            <w:r w:rsidRPr="004E0E7F">
              <w:rPr>
                <w:b/>
              </w:rPr>
              <w:t>**</w:t>
            </w:r>
          </w:p>
        </w:tc>
      </w:tr>
    </w:tbl>
    <w:p w:rsidR="00C548EC" w:rsidP="00676225" w:rsidRDefault="00082BA0" w14:paraId="1015426D" w14:textId="0308662C">
      <w:pPr>
        <w:widowControl w:val="0"/>
        <w:ind w:left="1440"/>
        <w:rPr>
          <w:snapToGrid w:val="0"/>
          <w:color w:val="0000FF"/>
          <w:u w:val="single"/>
        </w:rPr>
      </w:pPr>
      <w:r>
        <w:t xml:space="preserve">* </w:t>
      </w:r>
      <w:r w:rsidRPr="00606939">
        <w:t>We based this figure by averaging both the average DI payments based on SSA's current FY 2022 data (</w:t>
      </w:r>
      <w:hyperlink w:history="1" r:id="rId11">
        <w:r w:rsidRPr="00606939">
          <w:rPr>
            <w:snapToGrid w:val="0"/>
            <w:color w:val="0000FF"/>
            <w:u w:val="single"/>
          </w:rPr>
          <w:t>https://www.ssa.gov/legislation/2022factsheet.pdf</w:t>
        </w:r>
      </w:hyperlink>
      <w:r w:rsidRPr="00606939">
        <w:t>), and the average U.S. worker’s hourly wages, as reported by Bureau of Labor Statistics data (</w:t>
      </w:r>
      <w:hyperlink w:history="1" r:id="rId12">
        <w:r w:rsidRPr="00606939">
          <w:rPr>
            <w:snapToGrid w:val="0"/>
            <w:color w:val="0000FF"/>
            <w:u w:val="single"/>
          </w:rPr>
          <w:t>https://www.bls.gov/oes/current/oes_nat.htm</w:t>
        </w:r>
      </w:hyperlink>
      <w:r w:rsidR="0051370A">
        <w:rPr>
          <w:snapToGrid w:val="0"/>
          <w:color w:val="0000FF"/>
          <w:u w:val="single"/>
        </w:rPr>
        <w:t>).</w:t>
      </w:r>
    </w:p>
    <w:p w:rsidR="0051370A" w:rsidP="00676225" w:rsidRDefault="0051370A" w14:paraId="7F0BBFD0" w14:textId="77777777">
      <w:pPr>
        <w:tabs>
          <w:tab w:val="left" w:pos="0"/>
          <w:tab w:val="left" w:pos="1350"/>
          <w:tab w:val="left" w:pos="2160"/>
        </w:tabs>
        <w:autoSpaceDE w:val="0"/>
        <w:autoSpaceDN w:val="0"/>
        <w:adjustRightInd w:val="0"/>
        <w:ind w:left="1440"/>
      </w:pPr>
    </w:p>
    <w:p w:rsidR="0051370A" w:rsidP="00676225" w:rsidRDefault="0051370A" w14:paraId="02AC302A" w14:textId="7444660C">
      <w:pPr>
        <w:tabs>
          <w:tab w:val="left" w:pos="0"/>
          <w:tab w:val="left" w:pos="1530"/>
          <w:tab w:val="left" w:pos="2160"/>
        </w:tabs>
        <w:autoSpaceDE w:val="0"/>
        <w:autoSpaceDN w:val="0"/>
        <w:adjustRightInd w:val="0"/>
        <w:ind w:left="1440"/>
      </w:pPr>
      <w:r w:rsidRPr="00554790">
        <w:t>** We based this figure on the average FY 202</w:t>
      </w:r>
      <w:r>
        <w:t>2</w:t>
      </w:r>
      <w:r w:rsidRPr="00554790">
        <w:t xml:space="preserve"> wait time for teleservice centers, based on SSA’s current management information data.</w:t>
      </w:r>
    </w:p>
    <w:p w:rsidR="0051370A" w:rsidP="00676225" w:rsidRDefault="0051370A" w14:paraId="0C276E3A" w14:textId="77777777">
      <w:pPr>
        <w:tabs>
          <w:tab w:val="left" w:pos="0"/>
          <w:tab w:val="left" w:pos="1530"/>
          <w:tab w:val="left" w:pos="2160"/>
        </w:tabs>
        <w:autoSpaceDE w:val="0"/>
        <w:autoSpaceDN w:val="0"/>
        <w:adjustRightInd w:val="0"/>
        <w:ind w:left="1440"/>
      </w:pPr>
    </w:p>
    <w:p w:rsidRPr="00D044A5" w:rsidR="0051370A" w:rsidP="00676225" w:rsidRDefault="0051370A" w14:paraId="0F56E810" w14:textId="73332536">
      <w:pPr>
        <w:tabs>
          <w:tab w:val="left" w:pos="0"/>
          <w:tab w:val="left" w:pos="1440"/>
          <w:tab w:val="left" w:pos="2160"/>
        </w:tabs>
        <w:autoSpaceDE w:val="0"/>
        <w:autoSpaceDN w:val="0"/>
        <w:adjustRightInd w:val="0"/>
        <w:ind w:left="1440"/>
        <w:rPr>
          <w:b/>
        </w:rPr>
      </w:pPr>
      <w:r w:rsidRPr="00554790">
        <w:t xml:space="preserve">*** This figure does not represent actual costs that SSA is imposing on claimants of Social Security payments to complete this application; rather, these are theoretical opportunity costs for the additional time respondents will spend to complete the application. </w:t>
      </w:r>
      <w:r w:rsidRPr="00554790">
        <w:rPr>
          <w:b/>
          <w:u w:val="single"/>
        </w:rPr>
        <w:t>There is no actual charge to respondents to complete the application</w:t>
      </w:r>
      <w:r w:rsidRPr="00554790">
        <w:rPr>
          <w:b/>
          <w:bCs/>
        </w:rPr>
        <w:t>.</w:t>
      </w:r>
    </w:p>
    <w:p w:rsidR="00082BA0" w:rsidP="00676225" w:rsidRDefault="00082BA0" w14:paraId="27853E17" w14:textId="39E9EC6E">
      <w:pPr>
        <w:widowControl w:val="0"/>
        <w:tabs>
          <w:tab w:val="left" w:pos="1530"/>
        </w:tabs>
        <w:ind w:left="1440" w:firstLine="86"/>
        <w:rPr>
          <w:b/>
        </w:rPr>
      </w:pPr>
    </w:p>
    <w:p w:rsidR="00676225" w:rsidP="00AE41BB" w:rsidRDefault="00676225" w14:paraId="5F80D7EE" w14:textId="5C6727F2">
      <w:pPr>
        <w:tabs>
          <w:tab w:val="left" w:pos="1530"/>
        </w:tabs>
        <w:ind w:left="1440"/>
      </w:pPr>
      <w:r w:rsidRPr="006C2A8B">
        <w:t>In addition, OMB’s Office of Information and Regulatory Affairs</w:t>
      </w:r>
      <w:r>
        <w:t xml:space="preserve"> (OIRA)</w:t>
      </w:r>
      <w:r w:rsidRPr="006C2A8B">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tbl>
      <w:tblPr>
        <w:tblW w:w="0" w:type="auto"/>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3"/>
        <w:gridCol w:w="1439"/>
        <w:gridCol w:w="1511"/>
        <w:gridCol w:w="1546"/>
        <w:gridCol w:w="1896"/>
      </w:tblGrid>
      <w:tr w:rsidRPr="0016591F" w:rsidR="00676225" w:rsidTr="00676225" w14:paraId="78BB2B76" w14:textId="77777777">
        <w:tc>
          <w:tcPr>
            <w:tcW w:w="1433" w:type="dxa"/>
            <w:shd w:val="clear" w:color="auto" w:fill="auto"/>
          </w:tcPr>
          <w:p w:rsidRPr="0016591F" w:rsidR="00676225" w:rsidP="00F4748A" w:rsidRDefault="00676225" w14:paraId="6CE8A01F" w14:textId="77777777">
            <w:pPr>
              <w:rPr>
                <w:b/>
              </w:rPr>
            </w:pPr>
            <w:r w:rsidRPr="0016591F">
              <w:rPr>
                <w:b/>
              </w:rPr>
              <w:t>Total Number of Respondents Who Visit a Field Office</w:t>
            </w:r>
          </w:p>
        </w:tc>
        <w:tc>
          <w:tcPr>
            <w:tcW w:w="1455" w:type="dxa"/>
            <w:shd w:val="clear" w:color="auto" w:fill="auto"/>
          </w:tcPr>
          <w:p w:rsidRPr="0016591F" w:rsidR="00676225" w:rsidP="00F4748A" w:rsidRDefault="00676225" w14:paraId="3353BD39" w14:textId="77777777">
            <w:pPr>
              <w:rPr>
                <w:b/>
              </w:rPr>
            </w:pPr>
            <w:r w:rsidRPr="0016591F">
              <w:rPr>
                <w:b/>
              </w:rPr>
              <w:t>Frequency of Response</w:t>
            </w:r>
          </w:p>
        </w:tc>
        <w:tc>
          <w:tcPr>
            <w:tcW w:w="1550" w:type="dxa"/>
            <w:shd w:val="clear" w:color="auto" w:fill="auto"/>
          </w:tcPr>
          <w:p w:rsidRPr="0016591F" w:rsidR="00676225" w:rsidP="00F4748A" w:rsidRDefault="00676225" w14:paraId="2E8F0634" w14:textId="77777777">
            <w:pPr>
              <w:rPr>
                <w:b/>
              </w:rPr>
            </w:pPr>
            <w:r w:rsidRPr="0016591F">
              <w:rPr>
                <w:b/>
              </w:rPr>
              <w:t>Average One-Way Travel Time to a Field Office (minutes)</w:t>
            </w:r>
          </w:p>
        </w:tc>
        <w:tc>
          <w:tcPr>
            <w:tcW w:w="1581" w:type="dxa"/>
            <w:shd w:val="clear" w:color="auto" w:fill="auto"/>
          </w:tcPr>
          <w:p w:rsidRPr="0016591F" w:rsidR="00676225" w:rsidP="00F4748A" w:rsidRDefault="00676225" w14:paraId="3FEDD235" w14:textId="77777777">
            <w:pPr>
              <w:rPr>
                <w:b/>
              </w:rPr>
            </w:pPr>
            <w:r w:rsidRPr="0016591F">
              <w:rPr>
                <w:b/>
              </w:rPr>
              <w:t>Estimated Total Travel Time to a Field Office (hours)</w:t>
            </w:r>
          </w:p>
        </w:tc>
        <w:tc>
          <w:tcPr>
            <w:tcW w:w="1896" w:type="dxa"/>
            <w:shd w:val="clear" w:color="auto" w:fill="auto"/>
          </w:tcPr>
          <w:p w:rsidRPr="0016591F" w:rsidR="00676225" w:rsidP="00F4748A" w:rsidRDefault="00676225" w14:paraId="21A60283" w14:textId="77777777">
            <w:pPr>
              <w:rPr>
                <w:b/>
              </w:rPr>
            </w:pPr>
            <w:r w:rsidRPr="0016591F">
              <w:rPr>
                <w:b/>
              </w:rPr>
              <w:t>Total Annual Opportunity Cost for Travel Time (dollars)****</w:t>
            </w:r>
          </w:p>
        </w:tc>
      </w:tr>
      <w:tr w:rsidRPr="0016591F" w:rsidR="00676225" w:rsidTr="00676225" w14:paraId="108682B0" w14:textId="77777777">
        <w:trPr>
          <w:trHeight w:val="341"/>
        </w:trPr>
        <w:tc>
          <w:tcPr>
            <w:tcW w:w="1433" w:type="dxa"/>
            <w:shd w:val="clear" w:color="auto" w:fill="auto"/>
          </w:tcPr>
          <w:p w:rsidRPr="00676225" w:rsidR="00676225" w:rsidP="00F4748A" w:rsidRDefault="00676225" w14:paraId="3F7F3FD5" w14:textId="3484D7A5">
            <w:pPr>
              <w:jc w:val="right"/>
            </w:pPr>
            <w:r w:rsidRPr="00676225">
              <w:lastRenderedPageBreak/>
              <w:t>2,557,048</w:t>
            </w:r>
          </w:p>
        </w:tc>
        <w:tc>
          <w:tcPr>
            <w:tcW w:w="1455" w:type="dxa"/>
            <w:shd w:val="clear" w:color="auto" w:fill="auto"/>
          </w:tcPr>
          <w:p w:rsidRPr="00676225" w:rsidR="00676225" w:rsidP="00F4748A" w:rsidRDefault="00676225" w14:paraId="0FC0B2DC" w14:textId="77777777">
            <w:pPr>
              <w:jc w:val="right"/>
            </w:pPr>
            <w:r w:rsidRPr="00676225">
              <w:t>1</w:t>
            </w:r>
          </w:p>
        </w:tc>
        <w:tc>
          <w:tcPr>
            <w:tcW w:w="1550" w:type="dxa"/>
            <w:shd w:val="clear" w:color="auto" w:fill="auto"/>
          </w:tcPr>
          <w:p w:rsidRPr="00676225" w:rsidR="00676225" w:rsidP="00F4748A" w:rsidRDefault="00676225" w14:paraId="6E9A6BA6" w14:textId="77777777">
            <w:pPr>
              <w:jc w:val="right"/>
            </w:pPr>
            <w:r w:rsidRPr="00676225">
              <w:t>30</w:t>
            </w:r>
          </w:p>
        </w:tc>
        <w:tc>
          <w:tcPr>
            <w:tcW w:w="1581" w:type="dxa"/>
            <w:shd w:val="clear" w:color="auto" w:fill="auto"/>
          </w:tcPr>
          <w:p w:rsidRPr="00676225" w:rsidR="00676225" w:rsidP="00F4748A" w:rsidRDefault="00676225" w14:paraId="3520B551" w14:textId="0BCD1F8A">
            <w:pPr>
              <w:jc w:val="right"/>
            </w:pPr>
            <w:r w:rsidRPr="00676225">
              <w:t>1,288,524</w:t>
            </w:r>
          </w:p>
        </w:tc>
        <w:tc>
          <w:tcPr>
            <w:tcW w:w="1896" w:type="dxa"/>
            <w:shd w:val="clear" w:color="auto" w:fill="auto"/>
          </w:tcPr>
          <w:p w:rsidRPr="00676225" w:rsidR="00676225" w:rsidP="00F4748A" w:rsidRDefault="00676225" w14:paraId="42D8C190" w14:textId="17938C65">
            <w:pPr>
              <w:jc w:val="right"/>
            </w:pPr>
            <w:r w:rsidRPr="00676225">
              <w:t>$25,590,087****</w:t>
            </w:r>
          </w:p>
        </w:tc>
      </w:tr>
    </w:tbl>
    <w:p w:rsidR="00676225" w:rsidP="00676225" w:rsidRDefault="00676225" w14:paraId="13505775" w14:textId="77777777">
      <w:pPr>
        <w:tabs>
          <w:tab w:val="left" w:pos="1440"/>
        </w:tabs>
        <w:ind w:left="1440"/>
      </w:pPr>
      <w:r>
        <w:t>****We based this dollar amount on the Average Theoretical Hourly Cost Amount in dollars shown on the burden chart above.</w:t>
      </w:r>
    </w:p>
    <w:p w:rsidR="00676225" w:rsidP="00676225" w:rsidRDefault="00676225" w14:paraId="0C37DBDA" w14:textId="77777777">
      <w:pPr>
        <w:tabs>
          <w:tab w:val="left" w:pos="1440"/>
        </w:tabs>
        <w:ind w:left="1440"/>
      </w:pPr>
    </w:p>
    <w:p w:rsidR="00AE41BB" w:rsidP="00676225" w:rsidRDefault="00676225" w14:paraId="28FE0847" w14:textId="77777777">
      <w:pPr>
        <w:tabs>
          <w:tab w:val="left" w:pos="1440"/>
        </w:tabs>
        <w:ind w:left="1440"/>
      </w:pPr>
      <w:r>
        <w:t xml:space="preserve">Per OIRA, we include this travel time burden estimate under the </w:t>
      </w:r>
    </w:p>
    <w:p w:rsidR="00676225" w:rsidP="00676225" w:rsidRDefault="00676225" w14:paraId="55FA0473" w14:textId="27A6119A">
      <w:pPr>
        <w:tabs>
          <w:tab w:val="left" w:pos="1440"/>
        </w:tabs>
        <w:ind w:left="1440"/>
      </w:pPr>
      <w:r w:rsidRPr="00AE41BB">
        <w:rPr>
          <w:i/>
          <w:iCs/>
        </w:rPr>
        <w:t>5 CFR 1320.8(a)(4),</w:t>
      </w:r>
      <w:r>
        <w:t xml:space="preserve"> which requires us to provide “time, effort, or financial resources expended by persons [for]…transmitting, or otherwise disclosing the information,” as well as </w:t>
      </w:r>
      <w:r w:rsidRPr="00AE41BB">
        <w:rPr>
          <w:i/>
          <w:iCs/>
        </w:rPr>
        <w:t>5 CFR 1320.8(b)(3)(iii</w:t>
      </w:r>
      <w:r>
        <w:t>)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676225" w:rsidP="00676225" w:rsidRDefault="00676225" w14:paraId="738989D7" w14:textId="77777777">
      <w:pPr>
        <w:tabs>
          <w:tab w:val="left" w:pos="1440"/>
        </w:tabs>
        <w:ind w:left="1440"/>
      </w:pPr>
    </w:p>
    <w:p w:rsidR="00676225" w:rsidP="00676225" w:rsidRDefault="00676225" w14:paraId="7E79E3AE" w14:textId="77777777">
      <w:pPr>
        <w:tabs>
          <w:tab w:val="left" w:pos="1440"/>
        </w:tabs>
        <w:ind w:left="1440"/>
      </w:pPr>
      <w:r>
        <w:t>NOTE:  We included the total opportunity cost estimate from this chart in our calculations when showing the total time and opportunity cost estimates in the paragraph below.</w:t>
      </w:r>
    </w:p>
    <w:p w:rsidR="00676225" w:rsidP="00676225" w:rsidRDefault="00676225" w14:paraId="25207DAD" w14:textId="77777777">
      <w:pPr>
        <w:ind w:left="720"/>
      </w:pPr>
    </w:p>
    <w:p w:rsidR="007472C4" w:rsidP="00676225" w:rsidRDefault="00676225" w14:paraId="5E1FFBC5" w14:textId="46D00F8C">
      <w:pPr>
        <w:widowControl w:val="0"/>
        <w:ind w:left="1440"/>
        <w:rPr>
          <w:b/>
        </w:rPr>
      </w:pPr>
      <w:r w:rsidRPr="00B35478">
        <w:rPr>
          <w:noProof/>
        </w:rPr>
        <w:t xml:space="preserve">We base our burden estimates on current management information data, which includes data from actual interviews, as well as from years of conducting this information collection.  Per our management information data, we believe </w:t>
      </w:r>
      <w:r>
        <w:rPr>
          <w:noProof/>
        </w:rPr>
        <w:t xml:space="preserve">that the </w:t>
      </w:r>
      <w:r w:rsidRPr="00676225">
        <w:rPr>
          <w:b/>
          <w:bCs/>
          <w:noProof/>
        </w:rPr>
        <w:t>2</w:t>
      </w:r>
      <w:r>
        <w:rPr>
          <w:noProof/>
        </w:rPr>
        <w:t xml:space="preserve">, </w:t>
      </w:r>
      <w:r w:rsidRPr="00676225">
        <w:rPr>
          <w:b/>
          <w:bCs/>
          <w:noProof/>
        </w:rPr>
        <w:t>10</w:t>
      </w:r>
      <w:r>
        <w:rPr>
          <w:noProof/>
        </w:rPr>
        <w:t xml:space="preserve"> and </w:t>
      </w:r>
      <w:r w:rsidRPr="00676225">
        <w:rPr>
          <w:b/>
          <w:bCs/>
          <w:noProof/>
        </w:rPr>
        <w:t>12</w:t>
      </w:r>
      <w:r>
        <w:rPr>
          <w:noProof/>
        </w:rPr>
        <w:t xml:space="preserve"> </w:t>
      </w:r>
      <w:r w:rsidRPr="00B35478">
        <w:rPr>
          <w:noProof/>
        </w:rPr>
        <w:t>minutes accurately shows the average burden per response for reading the instructions, gathering the facts, and answering the questions.  Based on our current management information data, the current burden information we provided is accurate</w:t>
      </w:r>
      <w:r w:rsidRPr="00B35478">
        <w:t xml:space="preserve">.  The total burden for this ICR is </w:t>
      </w:r>
      <w:r w:rsidRPr="00676225">
        <w:rPr>
          <w:b/>
        </w:rPr>
        <w:t>626,328</w:t>
      </w:r>
      <w:r w:rsidRPr="00676225">
        <w:t xml:space="preserve"> </w:t>
      </w:r>
      <w:r w:rsidRPr="00B35478">
        <w:t xml:space="preserve">burden hours (reflecting SSA management information data), which results in an associated theoretical (not actual) opportunity cost financial burden of </w:t>
      </w:r>
      <w:r w:rsidRPr="00676225">
        <w:rPr>
          <w:b/>
        </w:rPr>
        <w:t>$55,803,005</w:t>
      </w:r>
      <w:r w:rsidRPr="00B35478">
        <w:t>.  SSA does not charge respondents to complete our applications</w:t>
      </w:r>
    </w:p>
    <w:p w:rsidR="00676225" w:rsidP="00676225" w:rsidRDefault="00676225" w14:paraId="18063460" w14:textId="41140F42">
      <w:pPr>
        <w:widowControl w:val="0"/>
        <w:ind w:left="1440" w:firstLine="86"/>
        <w:rPr>
          <w:b/>
        </w:rPr>
      </w:pPr>
    </w:p>
    <w:p w:rsidRPr="00C820CC" w:rsidR="00637F4A" w:rsidP="00C820CC" w:rsidRDefault="00637F4A" w14:paraId="0C202D1D" w14:textId="77777777">
      <w:pPr>
        <w:numPr>
          <w:ilvl w:val="0"/>
          <w:numId w:val="2"/>
        </w:numPr>
        <w:ind w:hanging="720"/>
        <w:rPr>
          <w:b/>
        </w:rPr>
      </w:pPr>
      <w:r w:rsidRPr="00C820CC">
        <w:rPr>
          <w:b/>
        </w:rPr>
        <w:t>Annual Cost to the Respondents (Other)</w:t>
      </w:r>
    </w:p>
    <w:p w:rsidR="004F54D3" w:rsidP="00641879" w:rsidRDefault="00DD64D3" w14:paraId="496F60D1" w14:textId="0456A14A">
      <w:pPr>
        <w:ind w:left="1440"/>
      </w:pPr>
      <w:r>
        <w:t>Th</w:t>
      </w:r>
      <w:r w:rsidR="00662FEC">
        <w:t xml:space="preserve">is collection does not impose a known cost burden </w:t>
      </w:r>
      <w:r w:rsidR="00ED470E">
        <w:t>on</w:t>
      </w:r>
      <w:r w:rsidR="00662FEC">
        <w:t xml:space="preserve"> the respondents.</w:t>
      </w:r>
      <w:r w:rsidR="001863E9">
        <w:t xml:space="preserve"> </w:t>
      </w:r>
    </w:p>
    <w:p w:rsidR="0032451C" w:rsidP="00641879" w:rsidRDefault="0032451C" w14:paraId="50E1FD01" w14:textId="77777777">
      <w:pPr>
        <w:ind w:left="1440"/>
      </w:pPr>
    </w:p>
    <w:p w:rsidRPr="00C820CC" w:rsidR="00637F4A" w:rsidP="00C820CC" w:rsidRDefault="00637F4A" w14:paraId="08B3E95B" w14:textId="77777777">
      <w:pPr>
        <w:widowControl w:val="0"/>
        <w:numPr>
          <w:ilvl w:val="0"/>
          <w:numId w:val="2"/>
        </w:numPr>
        <w:ind w:hanging="720"/>
        <w:rPr>
          <w:b/>
        </w:rPr>
      </w:pPr>
      <w:r w:rsidRPr="00C820CC">
        <w:rPr>
          <w:b/>
        </w:rPr>
        <w:t xml:space="preserve">Annual Cost </w:t>
      </w:r>
      <w:r w:rsidRPr="00C820CC" w:rsidR="00784BC5">
        <w:rPr>
          <w:b/>
        </w:rPr>
        <w:t>to</w:t>
      </w:r>
      <w:r w:rsidRPr="00C820CC">
        <w:rPr>
          <w:b/>
        </w:rPr>
        <w:t xml:space="preserve"> Federal Government</w:t>
      </w:r>
    </w:p>
    <w:p w:rsidRPr="00F73ED1" w:rsidR="00F73ED1" w:rsidP="00F73ED1" w:rsidRDefault="00F73ED1" w14:paraId="099ABA0F" w14:textId="0F60A4EF">
      <w:pPr>
        <w:pStyle w:val="ListParagraph"/>
        <w:ind w:left="1440"/>
        <w:rPr>
          <w:color w:val="000000"/>
        </w:rPr>
      </w:pPr>
      <w:r w:rsidRPr="00F73ED1">
        <w:rPr>
          <w:color w:val="000000"/>
        </w:rPr>
        <w:t>The annual cost to the Federal Government is approximately $131,076.  This estimate accounts for costs from the following areas:</w:t>
      </w:r>
    </w:p>
    <w:tbl>
      <w:tblPr>
        <w:tblW w:w="8010" w:type="dxa"/>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28"/>
        <w:gridCol w:w="3117"/>
        <w:gridCol w:w="2065"/>
      </w:tblGrid>
      <w:tr w:rsidR="008770DE" w:rsidTr="00F73ED1" w14:paraId="3B4BD882" w14:textId="77777777">
        <w:tc>
          <w:tcPr>
            <w:tcW w:w="2828" w:type="dxa"/>
            <w:shd w:val="clear" w:color="auto" w:fill="auto"/>
          </w:tcPr>
          <w:p w:rsidRPr="00003983" w:rsidR="008770DE" w:rsidP="00AB0B3A" w:rsidRDefault="008770DE" w14:paraId="12643525" w14:textId="77777777">
            <w:pPr>
              <w:pStyle w:val="ListParagraph"/>
              <w:ind w:left="0"/>
              <w:rPr>
                <w:b/>
                <w:bCs/>
                <w:color w:val="000000"/>
              </w:rPr>
            </w:pPr>
            <w:r w:rsidRPr="00003983">
              <w:rPr>
                <w:b/>
                <w:bCs/>
                <w:color w:val="000000"/>
              </w:rPr>
              <w:t>Description of Cost Factor</w:t>
            </w:r>
          </w:p>
        </w:tc>
        <w:tc>
          <w:tcPr>
            <w:tcW w:w="3117" w:type="dxa"/>
            <w:shd w:val="clear" w:color="auto" w:fill="auto"/>
          </w:tcPr>
          <w:p w:rsidRPr="00003983" w:rsidR="008770DE" w:rsidP="00AB0B3A" w:rsidRDefault="008770DE" w14:paraId="295776ED" w14:textId="77777777">
            <w:pPr>
              <w:pStyle w:val="ListParagraph"/>
              <w:ind w:left="0"/>
              <w:rPr>
                <w:b/>
                <w:bCs/>
                <w:color w:val="000000"/>
              </w:rPr>
            </w:pPr>
            <w:r w:rsidRPr="00003983">
              <w:rPr>
                <w:b/>
                <w:bCs/>
                <w:color w:val="000000"/>
              </w:rPr>
              <w:t>Methodology for Estimating Cost</w:t>
            </w:r>
          </w:p>
        </w:tc>
        <w:tc>
          <w:tcPr>
            <w:tcW w:w="2065" w:type="dxa"/>
            <w:shd w:val="clear" w:color="auto" w:fill="auto"/>
          </w:tcPr>
          <w:p w:rsidRPr="00003983" w:rsidR="008770DE" w:rsidP="00AB0B3A" w:rsidRDefault="008770DE" w14:paraId="1B7A3B91" w14:textId="77777777">
            <w:pPr>
              <w:pStyle w:val="ListParagraph"/>
              <w:ind w:left="0"/>
              <w:rPr>
                <w:b/>
                <w:bCs/>
                <w:color w:val="000000"/>
              </w:rPr>
            </w:pPr>
            <w:r w:rsidRPr="00003983">
              <w:rPr>
                <w:b/>
                <w:bCs/>
                <w:color w:val="000000"/>
              </w:rPr>
              <w:t>Cost in Dollars*</w:t>
            </w:r>
          </w:p>
        </w:tc>
      </w:tr>
      <w:tr w:rsidR="008770DE" w:rsidTr="00F73ED1" w14:paraId="54AA63CF" w14:textId="77777777">
        <w:tc>
          <w:tcPr>
            <w:tcW w:w="2828" w:type="dxa"/>
            <w:shd w:val="clear" w:color="auto" w:fill="auto"/>
          </w:tcPr>
          <w:p w:rsidRPr="00003983" w:rsidR="008770DE" w:rsidP="00AB0B3A" w:rsidRDefault="008770DE" w14:paraId="67BDBADB" w14:textId="77777777">
            <w:pPr>
              <w:pStyle w:val="ListParagraph"/>
              <w:ind w:left="0"/>
              <w:rPr>
                <w:color w:val="000000"/>
              </w:rPr>
            </w:pPr>
            <w:r w:rsidRPr="00003983">
              <w:rPr>
                <w:color w:val="000000"/>
              </w:rPr>
              <w:t>Designing and Printing the Form</w:t>
            </w:r>
          </w:p>
        </w:tc>
        <w:tc>
          <w:tcPr>
            <w:tcW w:w="3117" w:type="dxa"/>
            <w:shd w:val="clear" w:color="auto" w:fill="auto"/>
          </w:tcPr>
          <w:p w:rsidRPr="00003983" w:rsidR="008770DE" w:rsidP="00AB0B3A" w:rsidRDefault="008770DE" w14:paraId="74B65645" w14:textId="77777777">
            <w:pPr>
              <w:pStyle w:val="ListParagraph"/>
              <w:ind w:left="0"/>
              <w:rPr>
                <w:color w:val="000000"/>
              </w:rPr>
            </w:pPr>
            <w:r w:rsidRPr="00003983">
              <w:rPr>
                <w:color w:val="000000"/>
              </w:rPr>
              <w:t>Design Cost + Printing Cost</w:t>
            </w:r>
          </w:p>
        </w:tc>
        <w:tc>
          <w:tcPr>
            <w:tcW w:w="2065" w:type="dxa"/>
            <w:shd w:val="clear" w:color="auto" w:fill="auto"/>
          </w:tcPr>
          <w:p w:rsidRPr="00003983" w:rsidR="008770DE" w:rsidP="00700E54" w:rsidRDefault="00700E54" w14:paraId="121898CB" w14:textId="101F836C">
            <w:pPr>
              <w:pStyle w:val="ListParagraph"/>
              <w:ind w:left="0"/>
              <w:jc w:val="right"/>
              <w:rPr>
                <w:color w:val="000000"/>
              </w:rPr>
            </w:pPr>
            <w:r>
              <w:rPr>
                <w:color w:val="000000"/>
              </w:rPr>
              <w:t>0*</w:t>
            </w:r>
          </w:p>
        </w:tc>
      </w:tr>
      <w:tr w:rsidR="008770DE" w:rsidTr="00F73ED1" w14:paraId="7DAAC939" w14:textId="77777777">
        <w:tc>
          <w:tcPr>
            <w:tcW w:w="2828" w:type="dxa"/>
            <w:shd w:val="clear" w:color="auto" w:fill="auto"/>
          </w:tcPr>
          <w:p w:rsidRPr="00003983" w:rsidR="008770DE" w:rsidP="00AB0B3A" w:rsidRDefault="008770DE" w14:paraId="27C3E1A7" w14:textId="77777777">
            <w:pPr>
              <w:pStyle w:val="ListParagraph"/>
              <w:ind w:left="0"/>
              <w:rPr>
                <w:color w:val="000000"/>
              </w:rPr>
            </w:pPr>
            <w:r w:rsidRPr="00003983">
              <w:rPr>
                <w:color w:val="000000"/>
              </w:rPr>
              <w:t>Distributing, Shipping, and Material Costs for the Form</w:t>
            </w:r>
          </w:p>
        </w:tc>
        <w:tc>
          <w:tcPr>
            <w:tcW w:w="3117" w:type="dxa"/>
            <w:shd w:val="clear" w:color="auto" w:fill="auto"/>
          </w:tcPr>
          <w:p w:rsidRPr="00003983" w:rsidR="008770DE" w:rsidP="00AB0B3A" w:rsidRDefault="008770DE" w14:paraId="20B49B43" w14:textId="77777777">
            <w:pPr>
              <w:pStyle w:val="ListParagraph"/>
              <w:ind w:left="0"/>
              <w:rPr>
                <w:color w:val="000000"/>
              </w:rPr>
            </w:pPr>
            <w:r w:rsidRPr="00003983">
              <w:rPr>
                <w:color w:val="000000"/>
              </w:rPr>
              <w:t>Distribution + Shipping + Material Cost</w:t>
            </w:r>
          </w:p>
        </w:tc>
        <w:tc>
          <w:tcPr>
            <w:tcW w:w="2065" w:type="dxa"/>
            <w:shd w:val="clear" w:color="auto" w:fill="auto"/>
          </w:tcPr>
          <w:p w:rsidRPr="00003983" w:rsidR="008770DE" w:rsidP="00700E54" w:rsidRDefault="00700E54" w14:paraId="4BB519C7" w14:textId="6A9DEAA5">
            <w:pPr>
              <w:pStyle w:val="ListParagraph"/>
              <w:ind w:left="0"/>
              <w:jc w:val="right"/>
              <w:rPr>
                <w:color w:val="000000"/>
              </w:rPr>
            </w:pPr>
            <w:r>
              <w:rPr>
                <w:color w:val="000000"/>
              </w:rPr>
              <w:t>0*</w:t>
            </w:r>
          </w:p>
        </w:tc>
      </w:tr>
      <w:tr w:rsidR="008770DE" w:rsidTr="00F73ED1" w14:paraId="7A185916" w14:textId="77777777">
        <w:tc>
          <w:tcPr>
            <w:tcW w:w="2828" w:type="dxa"/>
            <w:shd w:val="clear" w:color="auto" w:fill="auto"/>
          </w:tcPr>
          <w:p w:rsidRPr="00003983" w:rsidR="008770DE" w:rsidP="00AB0B3A" w:rsidRDefault="008770DE" w14:paraId="1BF6790F" w14:textId="77777777">
            <w:pPr>
              <w:pStyle w:val="ListParagraph"/>
              <w:ind w:left="0"/>
              <w:rPr>
                <w:color w:val="000000"/>
              </w:rPr>
            </w:pPr>
            <w:r w:rsidRPr="00003983">
              <w:rPr>
                <w:color w:val="000000"/>
              </w:rPr>
              <w:t xml:space="preserve">SSA Employee (e.g., field office, 800 number, DDS staff) Information </w:t>
            </w:r>
            <w:r w:rsidRPr="00003983">
              <w:rPr>
                <w:color w:val="000000"/>
              </w:rPr>
              <w:lastRenderedPageBreak/>
              <w:t>Collection and Processing Time</w:t>
            </w:r>
          </w:p>
        </w:tc>
        <w:tc>
          <w:tcPr>
            <w:tcW w:w="3117" w:type="dxa"/>
            <w:shd w:val="clear" w:color="auto" w:fill="auto"/>
          </w:tcPr>
          <w:p w:rsidRPr="00003983" w:rsidR="008770DE" w:rsidP="00AB0B3A" w:rsidRDefault="008770DE" w14:paraId="598EF6E9" w14:textId="77777777">
            <w:pPr>
              <w:pStyle w:val="ListParagraph"/>
              <w:ind w:left="0"/>
              <w:rPr>
                <w:color w:val="000000"/>
              </w:rPr>
            </w:pPr>
            <w:r w:rsidRPr="00003983">
              <w:rPr>
                <w:color w:val="000000"/>
              </w:rPr>
              <w:lastRenderedPageBreak/>
              <w:t>GS-9 employee x # of responses x processing time</w:t>
            </w:r>
          </w:p>
        </w:tc>
        <w:tc>
          <w:tcPr>
            <w:tcW w:w="2065" w:type="dxa"/>
            <w:shd w:val="clear" w:color="auto" w:fill="auto"/>
          </w:tcPr>
          <w:p w:rsidRPr="00003983" w:rsidR="008770DE" w:rsidP="00700E54" w:rsidRDefault="00700E54" w14:paraId="5CA326E7" w14:textId="2DB8876C">
            <w:pPr>
              <w:pStyle w:val="ListParagraph"/>
              <w:ind w:left="0"/>
              <w:jc w:val="right"/>
              <w:rPr>
                <w:color w:val="000000"/>
              </w:rPr>
            </w:pPr>
            <w:r>
              <w:rPr>
                <w:color w:val="000000"/>
              </w:rPr>
              <w:t>$127,656</w:t>
            </w:r>
          </w:p>
        </w:tc>
      </w:tr>
      <w:tr w:rsidR="008770DE" w:rsidTr="00F73ED1" w14:paraId="098F5D49" w14:textId="77777777">
        <w:tc>
          <w:tcPr>
            <w:tcW w:w="2828" w:type="dxa"/>
            <w:shd w:val="clear" w:color="auto" w:fill="auto"/>
          </w:tcPr>
          <w:p w:rsidRPr="00003983" w:rsidR="008770DE" w:rsidP="00AB0B3A" w:rsidRDefault="008770DE" w14:paraId="131E93C9" w14:textId="77777777">
            <w:pPr>
              <w:pStyle w:val="ListParagraph"/>
              <w:ind w:left="0"/>
              <w:rPr>
                <w:color w:val="000000"/>
              </w:rPr>
            </w:pPr>
            <w:r w:rsidRPr="00003983">
              <w:rPr>
                <w:color w:val="000000"/>
              </w:rPr>
              <w:t>Full-Time Equivalent Costs</w:t>
            </w:r>
          </w:p>
        </w:tc>
        <w:tc>
          <w:tcPr>
            <w:tcW w:w="3117" w:type="dxa"/>
            <w:shd w:val="clear" w:color="auto" w:fill="auto"/>
          </w:tcPr>
          <w:p w:rsidRPr="00003983" w:rsidR="008770DE" w:rsidP="00AB0B3A" w:rsidRDefault="008770DE" w14:paraId="171843FD" w14:textId="77777777">
            <w:pPr>
              <w:pStyle w:val="ListParagraph"/>
              <w:ind w:left="0"/>
              <w:rPr>
                <w:color w:val="000000"/>
              </w:rPr>
            </w:pPr>
            <w:r w:rsidRPr="00003983">
              <w:rPr>
                <w:color w:val="000000"/>
              </w:rPr>
              <w:t>Out of pocket costs + Other expenses for providing this service</w:t>
            </w:r>
          </w:p>
        </w:tc>
        <w:tc>
          <w:tcPr>
            <w:tcW w:w="2065" w:type="dxa"/>
            <w:shd w:val="clear" w:color="auto" w:fill="auto"/>
          </w:tcPr>
          <w:p w:rsidRPr="00003983" w:rsidR="008770DE" w:rsidP="00700E54" w:rsidRDefault="00700E54" w14:paraId="18F4FCB5" w14:textId="1C3D2892">
            <w:pPr>
              <w:pStyle w:val="ListParagraph"/>
              <w:ind w:left="0"/>
              <w:jc w:val="right"/>
              <w:rPr>
                <w:color w:val="000000"/>
              </w:rPr>
            </w:pPr>
            <w:r>
              <w:rPr>
                <w:color w:val="000000"/>
              </w:rPr>
              <w:t>0*</w:t>
            </w:r>
          </w:p>
        </w:tc>
      </w:tr>
      <w:tr w:rsidR="008770DE" w:rsidTr="00F73ED1" w14:paraId="7E3BEB45" w14:textId="77777777">
        <w:tc>
          <w:tcPr>
            <w:tcW w:w="2828" w:type="dxa"/>
            <w:shd w:val="clear" w:color="auto" w:fill="auto"/>
          </w:tcPr>
          <w:p w:rsidRPr="00003983" w:rsidR="008770DE" w:rsidP="00AB0B3A" w:rsidRDefault="008770DE" w14:paraId="5BFA6F77" w14:textId="77777777">
            <w:pPr>
              <w:pStyle w:val="ListParagraph"/>
              <w:ind w:left="0"/>
              <w:rPr>
                <w:color w:val="000000"/>
              </w:rPr>
            </w:pPr>
            <w:r w:rsidRPr="00003983">
              <w:rPr>
                <w:color w:val="000000"/>
              </w:rPr>
              <w:t>Systems Development, Updating, and Maintenance</w:t>
            </w:r>
          </w:p>
        </w:tc>
        <w:tc>
          <w:tcPr>
            <w:tcW w:w="3117" w:type="dxa"/>
            <w:shd w:val="clear" w:color="auto" w:fill="auto"/>
          </w:tcPr>
          <w:p w:rsidRPr="00003983" w:rsidR="008770DE" w:rsidP="00AB0B3A" w:rsidRDefault="008770DE" w14:paraId="3193200B" w14:textId="77777777">
            <w:pPr>
              <w:pStyle w:val="ListParagraph"/>
              <w:ind w:left="0"/>
              <w:rPr>
                <w:color w:val="000000"/>
              </w:rPr>
            </w:pPr>
            <w:r w:rsidRPr="00003983">
              <w:rPr>
                <w:color w:val="000000"/>
              </w:rPr>
              <w:t>GS-9 employee x man hours for development, updating, maintenance</w:t>
            </w:r>
          </w:p>
        </w:tc>
        <w:tc>
          <w:tcPr>
            <w:tcW w:w="2065" w:type="dxa"/>
            <w:shd w:val="clear" w:color="auto" w:fill="auto"/>
          </w:tcPr>
          <w:p w:rsidRPr="00003983" w:rsidR="008770DE" w:rsidP="00700E54" w:rsidRDefault="00700E54" w14:paraId="74410A7A" w14:textId="13913AB4">
            <w:pPr>
              <w:pStyle w:val="ListParagraph"/>
              <w:ind w:left="0"/>
              <w:jc w:val="right"/>
              <w:rPr>
                <w:color w:val="000000"/>
              </w:rPr>
            </w:pPr>
            <w:r>
              <w:rPr>
                <w:color w:val="000000"/>
              </w:rPr>
              <w:t>$3,420</w:t>
            </w:r>
          </w:p>
        </w:tc>
      </w:tr>
      <w:tr w:rsidR="008770DE" w:rsidTr="00F73ED1" w14:paraId="2235D3E2" w14:textId="77777777">
        <w:tc>
          <w:tcPr>
            <w:tcW w:w="2828" w:type="dxa"/>
            <w:shd w:val="clear" w:color="auto" w:fill="auto"/>
          </w:tcPr>
          <w:p w:rsidRPr="00003983" w:rsidR="008770DE" w:rsidP="00AB0B3A" w:rsidRDefault="008770DE" w14:paraId="5BBDA722" w14:textId="77777777">
            <w:pPr>
              <w:pStyle w:val="ListParagraph"/>
              <w:ind w:left="0"/>
              <w:rPr>
                <w:color w:val="000000"/>
              </w:rPr>
            </w:pPr>
            <w:r w:rsidRPr="00003983">
              <w:rPr>
                <w:color w:val="000000"/>
              </w:rPr>
              <w:t>Quantifiable IT Costs</w:t>
            </w:r>
          </w:p>
        </w:tc>
        <w:tc>
          <w:tcPr>
            <w:tcW w:w="3117" w:type="dxa"/>
            <w:shd w:val="clear" w:color="auto" w:fill="auto"/>
          </w:tcPr>
          <w:p w:rsidRPr="00003983" w:rsidR="008770DE" w:rsidP="00AB0B3A" w:rsidRDefault="008770DE" w14:paraId="15C1A0F1" w14:textId="77777777">
            <w:pPr>
              <w:pStyle w:val="ListParagraph"/>
              <w:ind w:left="0"/>
              <w:rPr>
                <w:color w:val="000000"/>
              </w:rPr>
            </w:pPr>
            <w:r w:rsidRPr="00003983">
              <w:rPr>
                <w:color w:val="000000"/>
              </w:rPr>
              <w:t>Any additional IT costs</w:t>
            </w:r>
          </w:p>
        </w:tc>
        <w:tc>
          <w:tcPr>
            <w:tcW w:w="2065" w:type="dxa"/>
            <w:shd w:val="clear" w:color="auto" w:fill="auto"/>
          </w:tcPr>
          <w:p w:rsidRPr="00003983" w:rsidR="008770DE" w:rsidP="00700E54" w:rsidRDefault="00700E54" w14:paraId="4047EC02" w14:textId="35AD8B32">
            <w:pPr>
              <w:pStyle w:val="ListParagraph"/>
              <w:ind w:left="0"/>
              <w:jc w:val="right"/>
              <w:rPr>
                <w:color w:val="000000"/>
              </w:rPr>
            </w:pPr>
            <w:r>
              <w:rPr>
                <w:color w:val="000000"/>
              </w:rPr>
              <w:t>0*</w:t>
            </w:r>
          </w:p>
        </w:tc>
      </w:tr>
      <w:tr w:rsidR="008770DE" w:rsidTr="00F73ED1" w14:paraId="1564891D" w14:textId="77777777">
        <w:tc>
          <w:tcPr>
            <w:tcW w:w="2828" w:type="dxa"/>
            <w:shd w:val="clear" w:color="auto" w:fill="auto"/>
          </w:tcPr>
          <w:p w:rsidRPr="00003983" w:rsidR="008770DE" w:rsidP="00AB0B3A" w:rsidRDefault="008770DE" w14:paraId="7CE3F794" w14:textId="77777777">
            <w:pPr>
              <w:pStyle w:val="ListParagraph"/>
              <w:ind w:left="0"/>
              <w:rPr>
                <w:b/>
                <w:bCs/>
                <w:color w:val="000000"/>
              </w:rPr>
            </w:pPr>
            <w:r w:rsidRPr="00003983">
              <w:rPr>
                <w:b/>
                <w:bCs/>
                <w:color w:val="000000"/>
              </w:rPr>
              <w:t>Total</w:t>
            </w:r>
          </w:p>
        </w:tc>
        <w:tc>
          <w:tcPr>
            <w:tcW w:w="3117" w:type="dxa"/>
            <w:shd w:val="clear" w:color="auto" w:fill="auto"/>
          </w:tcPr>
          <w:p w:rsidRPr="00003983" w:rsidR="008770DE" w:rsidP="00AB0B3A" w:rsidRDefault="008770DE" w14:paraId="509DDA22" w14:textId="77777777">
            <w:pPr>
              <w:pStyle w:val="ListParagraph"/>
              <w:ind w:left="0"/>
              <w:rPr>
                <w:b/>
                <w:bCs/>
                <w:color w:val="000000"/>
              </w:rPr>
            </w:pPr>
          </w:p>
        </w:tc>
        <w:tc>
          <w:tcPr>
            <w:tcW w:w="2065" w:type="dxa"/>
            <w:shd w:val="clear" w:color="auto" w:fill="auto"/>
          </w:tcPr>
          <w:p w:rsidRPr="00003983" w:rsidR="00700E54" w:rsidP="00700E54" w:rsidRDefault="00700E54" w14:paraId="52C61D72" w14:textId="2D010246">
            <w:pPr>
              <w:pStyle w:val="ListParagraph"/>
              <w:ind w:left="0"/>
              <w:jc w:val="right"/>
              <w:rPr>
                <w:b/>
                <w:bCs/>
                <w:color w:val="000000"/>
              </w:rPr>
            </w:pPr>
            <w:r>
              <w:rPr>
                <w:b/>
                <w:bCs/>
                <w:color w:val="000000"/>
              </w:rPr>
              <w:t>$131,076</w:t>
            </w:r>
          </w:p>
        </w:tc>
      </w:tr>
    </w:tbl>
    <w:p w:rsidR="0038227B" w:rsidP="0038227B" w:rsidRDefault="0038227B" w14:paraId="59468549" w14:textId="77777777">
      <w:pPr>
        <w:ind w:left="1440"/>
        <w:rPr>
          <w:color w:val="000000"/>
        </w:rPr>
      </w:pPr>
      <w:r>
        <w:rPr>
          <w:color w:val="000000"/>
        </w:rPr>
        <w:t>* We have inserted a $0 amount for cost factors that do not apply to this collection.</w:t>
      </w:r>
    </w:p>
    <w:p w:rsidR="0038227B" w:rsidP="0038227B" w:rsidRDefault="0038227B" w14:paraId="0174173E" w14:textId="77777777">
      <w:pPr>
        <w:rPr>
          <w:color w:val="000000"/>
        </w:rPr>
      </w:pPr>
    </w:p>
    <w:p w:rsidR="0038227B" w:rsidP="0038227B" w:rsidRDefault="0038227B" w14:paraId="5DAC5135" w14:textId="77777777">
      <w:pPr>
        <w:ind w:left="1440"/>
        <w:rPr>
          <w:color w:val="000000"/>
        </w:rPr>
      </w:pPr>
      <w:r>
        <w:rPr>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8770DE" w:rsidP="00641879" w:rsidRDefault="008770DE" w14:paraId="534B7F6C" w14:textId="2EDAB390">
      <w:pPr>
        <w:tabs>
          <w:tab w:val="left" w:pos="735"/>
        </w:tabs>
        <w:ind w:left="1440"/>
        <w:rPr>
          <w:i/>
        </w:rPr>
      </w:pPr>
    </w:p>
    <w:p w:rsidRPr="00C91842" w:rsidR="009414C2" w:rsidP="00C820CC" w:rsidRDefault="009414C2" w14:paraId="3C560A19" w14:textId="23FE94E5">
      <w:pPr>
        <w:numPr>
          <w:ilvl w:val="0"/>
          <w:numId w:val="2"/>
        </w:numPr>
        <w:ind w:hanging="720"/>
      </w:pPr>
      <w:r w:rsidRPr="00C820CC">
        <w:rPr>
          <w:b/>
        </w:rPr>
        <w:t>Program Changes or Adjustments to the Information Collection</w:t>
      </w:r>
      <w:r w:rsidRPr="00BC7F42">
        <w:rPr>
          <w:b/>
        </w:rPr>
        <w:t xml:space="preserve"> </w:t>
      </w:r>
      <w:r>
        <w:rPr>
          <w:b/>
        </w:rPr>
        <w:t>Request</w:t>
      </w:r>
    </w:p>
    <w:p w:rsidR="00C91842" w:rsidP="00C91842" w:rsidRDefault="00C91842" w14:paraId="78A2DD7E" w14:textId="0E48ACF8">
      <w:pPr>
        <w:ind w:left="1440"/>
        <w:rPr>
          <w:iCs/>
        </w:rPr>
      </w:pPr>
      <w:r w:rsidRPr="00C91842">
        <w:rPr>
          <w:iCs/>
        </w:rPr>
        <w:t>When we last cleared this IC in 201</w:t>
      </w:r>
      <w:r>
        <w:rPr>
          <w:iCs/>
        </w:rPr>
        <w:t>9</w:t>
      </w:r>
      <w:r w:rsidRPr="00C91842">
        <w:rPr>
          <w:iCs/>
        </w:rPr>
        <w:t>, the burden was</w:t>
      </w:r>
      <w:r>
        <w:rPr>
          <w:iCs/>
        </w:rPr>
        <w:t xml:space="preserve"> 718,673</w:t>
      </w:r>
      <w:r w:rsidRPr="00C91842">
        <w:rPr>
          <w:iCs/>
        </w:rPr>
        <w:t xml:space="preserve"> hours.  However, we are currently reporting a burden of </w:t>
      </w:r>
      <w:r>
        <w:rPr>
          <w:iCs/>
        </w:rPr>
        <w:t>626,318</w:t>
      </w:r>
      <w:r w:rsidRPr="00C91842">
        <w:rPr>
          <w:iCs/>
        </w:rPr>
        <w:t xml:space="preserve">.  This change stems </w:t>
      </w:r>
      <w:r w:rsidR="0031714F">
        <w:rPr>
          <w:iCs/>
        </w:rPr>
        <w:t xml:space="preserve">from </w:t>
      </w:r>
      <w:r w:rsidRPr="00C91842">
        <w:rPr>
          <w:iCs/>
        </w:rPr>
        <w:t xml:space="preserve">a decrease in the number of responses from </w:t>
      </w:r>
      <w:r w:rsidR="00E90839">
        <w:rPr>
          <w:iCs/>
        </w:rPr>
        <w:t>3,693,146</w:t>
      </w:r>
      <w:r w:rsidRPr="00C91842">
        <w:rPr>
          <w:iCs/>
        </w:rPr>
        <w:t xml:space="preserve"> to</w:t>
      </w:r>
      <w:r>
        <w:rPr>
          <w:iCs/>
        </w:rPr>
        <w:t xml:space="preserve"> </w:t>
      </w:r>
      <w:r w:rsidRPr="0038227B">
        <w:rPr>
          <w:bCs/>
        </w:rPr>
        <w:t>3,270,976</w:t>
      </w:r>
      <w:r w:rsidRPr="00C91842">
        <w:rPr>
          <w:iCs/>
        </w:rPr>
        <w:t>.  There is no change to the burden time per response.  Although the number of responses changed, SSA did not take any actions to cause this change.  These figures represent current Management Information data</w:t>
      </w:r>
      <w:r w:rsidR="004B53D9">
        <w:rPr>
          <w:iCs/>
        </w:rPr>
        <w:t>.</w:t>
      </w:r>
    </w:p>
    <w:p w:rsidR="00AB14D6" w:rsidP="00C91842" w:rsidRDefault="00AB14D6" w14:paraId="6255A945" w14:textId="0B4BB5E7">
      <w:pPr>
        <w:ind w:left="1440"/>
        <w:rPr>
          <w:iCs/>
        </w:rPr>
      </w:pPr>
    </w:p>
    <w:p w:rsidRPr="00A86739" w:rsidR="00AB14D6" w:rsidP="00AB14D6" w:rsidRDefault="00AB14D6" w14:paraId="3B2FA986" w14:textId="4C423887">
      <w:pPr>
        <w:pStyle w:val="NoSpacing"/>
        <w:ind w:left="1440"/>
        <w:rPr>
          <w:snapToGrid w:val="0"/>
        </w:rPr>
      </w:pPr>
      <w:r w:rsidRPr="00D14652">
        <w:rPr>
          <w:b/>
          <w:bCs/>
          <w:color w:val="000000"/>
        </w:rPr>
        <w:t>*Note:</w:t>
      </w:r>
      <w:r w:rsidR="00656372">
        <w:rPr>
          <w:color w:val="000000"/>
        </w:rPr>
        <w:t xml:space="preserve">  </w:t>
      </w:r>
      <w:r>
        <w:rPr>
          <w:color w:val="000000"/>
        </w:rPr>
        <w:t xml:space="preserve">The total burden reflected in ROCIS is </w:t>
      </w:r>
      <w:r w:rsidR="00B02EE9">
        <w:rPr>
          <w:b/>
        </w:rPr>
        <w:t>2,684,900</w:t>
      </w:r>
      <w:r>
        <w:t xml:space="preserve">, </w:t>
      </w:r>
      <w:r>
        <w:rPr>
          <w:color w:val="000000"/>
        </w:rPr>
        <w:t xml:space="preserve">while the burden cited in #12 of the Supporting Statement is </w:t>
      </w:r>
      <w:r w:rsidRPr="00AB14D6">
        <w:rPr>
          <w:b/>
          <w:bCs/>
          <w:color w:val="000000"/>
        </w:rPr>
        <w:t>626,328</w:t>
      </w:r>
      <w:r>
        <w:rPr>
          <w:color w:val="000000"/>
        </w:rPr>
        <w:t xml:space="preserve">.  This discrepancy is because the ROCIS burden reflects the following components:  </w:t>
      </w:r>
      <w:r w:rsidRPr="00A86739">
        <w:rPr>
          <w:snapToGrid w:val="0"/>
        </w:rPr>
        <w:t xml:space="preserve">field office waiting time </w:t>
      </w:r>
      <w:r w:rsidRPr="00A86739">
        <w:rPr>
          <w:snapToGrid w:val="0"/>
          <w:color w:val="FF0000"/>
        </w:rPr>
        <w:t xml:space="preserve"> </w:t>
      </w:r>
      <w:r w:rsidRPr="00A86739">
        <w:rPr>
          <w:snapToGrid w:val="0"/>
        </w:rPr>
        <w:t xml:space="preserve">+ </w:t>
      </w:r>
      <w:r w:rsidRPr="00A86739">
        <w:rPr>
          <w:snapToGrid w:val="0"/>
          <w:color w:val="000000"/>
        </w:rPr>
        <w:t xml:space="preserve">telephone call system </w:t>
      </w:r>
      <w:proofErr w:type="gramStart"/>
      <w:r w:rsidRPr="00A86739">
        <w:rPr>
          <w:snapToGrid w:val="0"/>
          <w:color w:val="000000"/>
        </w:rPr>
        <w:t>wait</w:t>
      </w:r>
      <w:proofErr w:type="gramEnd"/>
      <w:r w:rsidRPr="00A86739">
        <w:rPr>
          <w:snapToGrid w:val="0"/>
          <w:color w:val="000000"/>
        </w:rPr>
        <w:t xml:space="preserve"> times </w:t>
      </w:r>
      <w:r w:rsidRPr="00A86739">
        <w:rPr>
          <w:snapToGrid w:val="0"/>
        </w:rPr>
        <w:t xml:space="preserve">+ a </w:t>
      </w:r>
      <w:r w:rsidRPr="00A86739">
        <w:rPr>
          <w:snapToGrid w:val="0"/>
          <w:color w:val="000000"/>
        </w:rPr>
        <w:t>rough estimate of a 30-minute, one-way, drive burden.</w:t>
      </w:r>
      <w:r>
        <w:rPr>
          <w:snapToGrid w:val="0"/>
          <w:color w:val="000000"/>
        </w:rPr>
        <w:t xml:space="preserve">  </w:t>
      </w:r>
      <w:r w:rsidRPr="00A86739">
        <w:rPr>
          <w:snapToGrid w:val="0"/>
        </w:rPr>
        <w:t xml:space="preserve">In contrast, the </w:t>
      </w:r>
      <w:r w:rsidRPr="00A86739">
        <w:rPr>
          <w:snapToGrid w:val="0"/>
          <w:color w:val="000000"/>
        </w:rPr>
        <w:t xml:space="preserve">chart in #12 </w:t>
      </w:r>
      <w:r w:rsidRPr="00A86739">
        <w:rPr>
          <w:snapToGrid w:val="0"/>
        </w:rPr>
        <w:t>above reflects actual burden.</w:t>
      </w:r>
    </w:p>
    <w:p w:rsidR="00AB14D6" w:rsidP="00641879" w:rsidRDefault="00AB14D6" w14:paraId="21119937" w14:textId="77777777">
      <w:pPr>
        <w:ind w:left="1440"/>
      </w:pPr>
    </w:p>
    <w:p w:rsidRPr="00C820CC" w:rsidR="003700C2" w:rsidP="00C820CC" w:rsidRDefault="003700C2" w14:paraId="4458DED6" w14:textId="77777777">
      <w:pPr>
        <w:numPr>
          <w:ilvl w:val="0"/>
          <w:numId w:val="2"/>
        </w:numPr>
        <w:ind w:hanging="720"/>
        <w:rPr>
          <w:b/>
        </w:rPr>
      </w:pPr>
      <w:r w:rsidRPr="00C820CC">
        <w:rPr>
          <w:b/>
        </w:rPr>
        <w:t xml:space="preserve">Plans for Publication Information Collection Results </w:t>
      </w:r>
    </w:p>
    <w:p w:rsidR="004F54D3" w:rsidP="00641879" w:rsidRDefault="00662FEC" w14:paraId="20698BE4" w14:textId="77777777">
      <w:pPr>
        <w:ind w:left="1440"/>
      </w:pPr>
      <w:r>
        <w:t>SSA will not publish the results of the information collection.</w:t>
      </w:r>
    </w:p>
    <w:p w:rsidR="0032451C" w:rsidP="00641879" w:rsidRDefault="0032451C" w14:paraId="0C285CA2" w14:textId="77777777">
      <w:pPr>
        <w:ind w:left="1440"/>
      </w:pPr>
    </w:p>
    <w:p w:rsidRPr="00C820CC" w:rsidR="003700C2" w:rsidP="00C820CC" w:rsidRDefault="003700C2" w14:paraId="03766C2D" w14:textId="77777777">
      <w:pPr>
        <w:numPr>
          <w:ilvl w:val="0"/>
          <w:numId w:val="2"/>
        </w:numPr>
        <w:ind w:hanging="720"/>
        <w:rPr>
          <w:b/>
        </w:rPr>
      </w:pPr>
      <w:r w:rsidRPr="00C820CC">
        <w:rPr>
          <w:b/>
        </w:rPr>
        <w:t xml:space="preserve">Displaying the OMB Approval Expiration Date </w:t>
      </w:r>
    </w:p>
    <w:p w:rsidR="00373658" w:rsidP="00641879" w:rsidRDefault="0065121A" w14:paraId="7120AC19" w14:textId="77777777">
      <w:pPr>
        <w:ind w:left="1440"/>
      </w:pPr>
      <w:r>
        <w:t xml:space="preserve">SSA is not requesting an </w:t>
      </w:r>
      <w:r w:rsidR="00373658">
        <w:t>exemption to displaying the OMB expiration date on</w:t>
      </w:r>
      <w:r>
        <w:t xml:space="preserve"> the Internet </w:t>
      </w:r>
      <w:r w:rsidR="000F4BDC">
        <w:t xml:space="preserve">or Intranet </w:t>
      </w:r>
      <w:r>
        <w:t>screens</w:t>
      </w:r>
      <w:r w:rsidR="00373658">
        <w:t>.</w:t>
      </w:r>
    </w:p>
    <w:p w:rsidR="0065121A" w:rsidP="00641879" w:rsidRDefault="0065121A" w14:paraId="0D772C4D" w14:textId="77777777">
      <w:pPr>
        <w:ind w:left="1440"/>
      </w:pPr>
    </w:p>
    <w:p w:rsidRPr="00C820CC" w:rsidR="003700C2" w:rsidP="00C820CC" w:rsidRDefault="003700C2" w14:paraId="2FEB4B22" w14:textId="77777777">
      <w:pPr>
        <w:widowControl w:val="0"/>
        <w:numPr>
          <w:ilvl w:val="0"/>
          <w:numId w:val="2"/>
        </w:numPr>
        <w:ind w:hanging="720"/>
        <w:rPr>
          <w:b/>
        </w:rPr>
      </w:pPr>
      <w:r w:rsidRPr="00C820CC">
        <w:rPr>
          <w:b/>
        </w:rPr>
        <w:lastRenderedPageBreak/>
        <w:t>Exceptions to Certification Statement</w:t>
      </w:r>
    </w:p>
    <w:p w:rsidR="0038227B" w:rsidP="00641879" w:rsidRDefault="0065121A" w14:paraId="093AC66B" w14:textId="77777777">
      <w:pPr>
        <w:ind w:left="1440"/>
      </w:pPr>
      <w:r>
        <w:t xml:space="preserve">SSA is not requesting an exception to the certification requirements at </w:t>
      </w:r>
    </w:p>
    <w:p w:rsidR="0065121A" w:rsidP="00641879" w:rsidRDefault="0065121A" w14:paraId="70AE23ED" w14:textId="0B63A843">
      <w:pPr>
        <w:ind w:left="1440"/>
      </w:pPr>
      <w:r w:rsidRPr="00243B8D">
        <w:rPr>
          <w:i/>
        </w:rPr>
        <w:t>5 CFR 1320.9</w:t>
      </w:r>
      <w:r>
        <w:t xml:space="preserve"> and related provisions at </w:t>
      </w:r>
      <w:r w:rsidRPr="00243B8D">
        <w:rPr>
          <w:i/>
        </w:rPr>
        <w:t>5 CFR 1320.8(b)(3)</w:t>
      </w:r>
      <w:r>
        <w:t>.</w:t>
      </w:r>
    </w:p>
    <w:p w:rsidR="00FD7CA4" w:rsidP="004F54D3" w:rsidRDefault="00FD7CA4" w14:paraId="52CA22C6" w14:textId="77777777"/>
    <w:p w:rsidRPr="00641879" w:rsidR="000A5AAD" w:rsidP="00641879" w:rsidRDefault="000A5AAD" w14:paraId="2FA4E58A" w14:textId="77777777">
      <w:pPr>
        <w:tabs>
          <w:tab w:val="left" w:pos="720"/>
        </w:tabs>
        <w:ind w:left="720" w:hanging="540"/>
      </w:pPr>
      <w:r w:rsidRPr="00641879">
        <w:rPr>
          <w:b/>
          <w:bCs/>
        </w:rPr>
        <w:t>B.</w:t>
      </w:r>
      <w:r w:rsidRPr="00641879">
        <w:rPr>
          <w:b/>
          <w:bCs/>
        </w:rPr>
        <w:tab/>
      </w:r>
      <w:r w:rsidRPr="00641879">
        <w:rPr>
          <w:b/>
          <w:bCs/>
          <w:u w:val="single"/>
        </w:rPr>
        <w:t>Collections of Information Employing Statistical Methods</w:t>
      </w:r>
    </w:p>
    <w:p w:rsidR="00641879" w:rsidP="00FB37D0" w:rsidRDefault="00641879" w14:paraId="6406B047" w14:textId="77777777">
      <w:pPr>
        <w:ind w:left="720"/>
      </w:pPr>
    </w:p>
    <w:p w:rsidR="00687F19" w:rsidP="00641879" w:rsidRDefault="00662FEC" w14:paraId="6FA58921" w14:textId="77777777">
      <w:pPr>
        <w:ind w:left="1440"/>
      </w:pPr>
      <w:r>
        <w:t>SSA does not use s</w:t>
      </w:r>
      <w:r w:rsidR="004F54D3">
        <w:t>tatistical methods f</w:t>
      </w:r>
      <w:r w:rsidR="00495B6D">
        <w:t>or this information collection.</w:t>
      </w:r>
    </w:p>
    <w:sectPr w:rsidR="00687F19" w:rsidSect="00BC041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82B6A" w14:textId="77777777" w:rsidR="0039744A" w:rsidRDefault="0039744A">
      <w:r>
        <w:separator/>
      </w:r>
    </w:p>
  </w:endnote>
  <w:endnote w:type="continuationSeparator" w:id="0">
    <w:p w14:paraId="168F7D5C" w14:textId="77777777" w:rsidR="0039744A" w:rsidRDefault="0039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1AC1" w14:textId="77777777" w:rsidR="003C252B" w:rsidRPr="00DD74A3" w:rsidRDefault="003C252B" w:rsidP="00DD74A3">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9E3C" w14:textId="77777777" w:rsidR="0039744A" w:rsidRDefault="0039744A">
      <w:r>
        <w:separator/>
      </w:r>
    </w:p>
  </w:footnote>
  <w:footnote w:type="continuationSeparator" w:id="0">
    <w:p w14:paraId="7EA3C33B" w14:textId="77777777" w:rsidR="0039744A" w:rsidRDefault="0039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B6B3313"/>
    <w:multiLevelType w:val="hybridMultilevel"/>
    <w:tmpl w:val="49A6F5CE"/>
    <w:lvl w:ilvl="0" w:tplc="8A764A14">
      <w:start w:val="1"/>
      <w:numFmt w:val="decimal"/>
      <w:lvlText w:val="%1."/>
      <w:lvlJc w:val="left"/>
      <w:pPr>
        <w:tabs>
          <w:tab w:val="num" w:pos="1440"/>
        </w:tabs>
        <w:ind w:left="1440" w:hanging="360"/>
      </w:pPr>
      <w:rPr>
        <w:rFonts w:hint="default"/>
        <w:b/>
        <w:i w:val="0"/>
      </w:rPr>
    </w:lvl>
    <w:lvl w:ilvl="1" w:tplc="CCF685EE">
      <w:start w:val="2"/>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F176E50"/>
    <w:multiLevelType w:val="multilevel"/>
    <w:tmpl w:val="5C3A8F3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2A35764D"/>
    <w:multiLevelType w:val="hybridMultilevel"/>
    <w:tmpl w:val="5C3A8F3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8A80E82"/>
    <w:multiLevelType w:val="hybridMultilevel"/>
    <w:tmpl w:val="C59808F6"/>
    <w:lvl w:ilvl="0" w:tplc="450A1602">
      <w:start w:val="1"/>
      <w:numFmt w:val="decimal"/>
      <w:lvlText w:val="%1."/>
      <w:lvlJc w:val="left"/>
      <w:pPr>
        <w:ind w:left="2250" w:hanging="360"/>
      </w:pPr>
      <w:rPr>
        <w:rFonts w:ascii="Times New Roman" w:hAnsi="Times New Roman" w:cs="Times New Roman" w:hint="default"/>
        <w:b/>
        <w:bCs w:val="0"/>
        <w:color w:val="auto"/>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6"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DDD750C"/>
    <w:multiLevelType w:val="multilevel"/>
    <w:tmpl w:val="0E4AA86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9"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0"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3"/>
  </w:num>
  <w:num w:numId="2">
    <w:abstractNumId w:val="1"/>
  </w:num>
  <w:num w:numId="3">
    <w:abstractNumId w:val="7"/>
  </w:num>
  <w:num w:numId="4">
    <w:abstractNumId w:val="2"/>
  </w:num>
  <w:num w:numId="5">
    <w:abstractNumId w:val="6"/>
  </w:num>
  <w:num w:numId="6">
    <w:abstractNumId w:val="9"/>
  </w:num>
  <w:num w:numId="7">
    <w:abstractNumId w:val="5"/>
  </w:num>
  <w:num w:numId="8">
    <w:abstractNumId w:val="10"/>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B6"/>
    <w:rsid w:val="00002BF2"/>
    <w:rsid w:val="00037DE7"/>
    <w:rsid w:val="000520AA"/>
    <w:rsid w:val="00052A28"/>
    <w:rsid w:val="00082BA0"/>
    <w:rsid w:val="000A5AAD"/>
    <w:rsid w:val="000A78D2"/>
    <w:rsid w:val="000C26A3"/>
    <w:rsid w:val="000F4BDC"/>
    <w:rsid w:val="001143DB"/>
    <w:rsid w:val="00122C6E"/>
    <w:rsid w:val="00125C7B"/>
    <w:rsid w:val="00145B94"/>
    <w:rsid w:val="00147E10"/>
    <w:rsid w:val="0015556D"/>
    <w:rsid w:val="001863E9"/>
    <w:rsid w:val="00192681"/>
    <w:rsid w:val="0019317D"/>
    <w:rsid w:val="001942C6"/>
    <w:rsid w:val="001B2875"/>
    <w:rsid w:val="001B571D"/>
    <w:rsid w:val="001C518B"/>
    <w:rsid w:val="001C7475"/>
    <w:rsid w:val="001D0E8D"/>
    <w:rsid w:val="001D3F94"/>
    <w:rsid w:val="001E0DB3"/>
    <w:rsid w:val="001E7313"/>
    <w:rsid w:val="001F0B19"/>
    <w:rsid w:val="00204053"/>
    <w:rsid w:val="00213562"/>
    <w:rsid w:val="0021490E"/>
    <w:rsid w:val="00227794"/>
    <w:rsid w:val="002341BB"/>
    <w:rsid w:val="00234E65"/>
    <w:rsid w:val="00243B8D"/>
    <w:rsid w:val="002441A3"/>
    <w:rsid w:val="002460A6"/>
    <w:rsid w:val="00282505"/>
    <w:rsid w:val="00282FB2"/>
    <w:rsid w:val="002870E1"/>
    <w:rsid w:val="002C7DAA"/>
    <w:rsid w:val="002E01DF"/>
    <w:rsid w:val="002F4930"/>
    <w:rsid w:val="0031714F"/>
    <w:rsid w:val="00317FD7"/>
    <w:rsid w:val="0032451C"/>
    <w:rsid w:val="00326015"/>
    <w:rsid w:val="003517FB"/>
    <w:rsid w:val="0035686E"/>
    <w:rsid w:val="00360D47"/>
    <w:rsid w:val="003700C2"/>
    <w:rsid w:val="00373658"/>
    <w:rsid w:val="0038227B"/>
    <w:rsid w:val="00382B00"/>
    <w:rsid w:val="00383848"/>
    <w:rsid w:val="0039020D"/>
    <w:rsid w:val="0039744A"/>
    <w:rsid w:val="003C166C"/>
    <w:rsid w:val="003C252B"/>
    <w:rsid w:val="003D4D28"/>
    <w:rsid w:val="003D5644"/>
    <w:rsid w:val="003D7C09"/>
    <w:rsid w:val="003E2BDC"/>
    <w:rsid w:val="003F35D7"/>
    <w:rsid w:val="004019EC"/>
    <w:rsid w:val="00415EE9"/>
    <w:rsid w:val="00427BA4"/>
    <w:rsid w:val="00432543"/>
    <w:rsid w:val="00444D3C"/>
    <w:rsid w:val="0044702B"/>
    <w:rsid w:val="00450E8E"/>
    <w:rsid w:val="004521F2"/>
    <w:rsid w:val="004921B8"/>
    <w:rsid w:val="00495B6D"/>
    <w:rsid w:val="004B53D9"/>
    <w:rsid w:val="004D133C"/>
    <w:rsid w:val="004D71C0"/>
    <w:rsid w:val="004E0E7F"/>
    <w:rsid w:val="004E558B"/>
    <w:rsid w:val="004F0442"/>
    <w:rsid w:val="004F54D3"/>
    <w:rsid w:val="005075AC"/>
    <w:rsid w:val="005114A3"/>
    <w:rsid w:val="00512213"/>
    <w:rsid w:val="0051370A"/>
    <w:rsid w:val="00524BC6"/>
    <w:rsid w:val="00530EEB"/>
    <w:rsid w:val="00542991"/>
    <w:rsid w:val="00547AAC"/>
    <w:rsid w:val="005516C2"/>
    <w:rsid w:val="00570E5A"/>
    <w:rsid w:val="00595125"/>
    <w:rsid w:val="005A40EA"/>
    <w:rsid w:val="005A6C43"/>
    <w:rsid w:val="005D69D3"/>
    <w:rsid w:val="005E0B4E"/>
    <w:rsid w:val="005F198A"/>
    <w:rsid w:val="00602867"/>
    <w:rsid w:val="006361D8"/>
    <w:rsid w:val="00637F4A"/>
    <w:rsid w:val="00641879"/>
    <w:rsid w:val="0064421E"/>
    <w:rsid w:val="0065121A"/>
    <w:rsid w:val="00656372"/>
    <w:rsid w:val="00662FEC"/>
    <w:rsid w:val="006666C7"/>
    <w:rsid w:val="00671A15"/>
    <w:rsid w:val="006725B9"/>
    <w:rsid w:val="00676225"/>
    <w:rsid w:val="006806BC"/>
    <w:rsid w:val="00687F19"/>
    <w:rsid w:val="00697289"/>
    <w:rsid w:val="006A1115"/>
    <w:rsid w:val="00700E54"/>
    <w:rsid w:val="00717A15"/>
    <w:rsid w:val="00733CBB"/>
    <w:rsid w:val="00736F71"/>
    <w:rsid w:val="007472C4"/>
    <w:rsid w:val="00771796"/>
    <w:rsid w:val="00784BC5"/>
    <w:rsid w:val="007B40C4"/>
    <w:rsid w:val="007B58B6"/>
    <w:rsid w:val="007E7F0A"/>
    <w:rsid w:val="00851B41"/>
    <w:rsid w:val="008770DE"/>
    <w:rsid w:val="0087731D"/>
    <w:rsid w:val="00880998"/>
    <w:rsid w:val="008A1F3A"/>
    <w:rsid w:val="008B1D2A"/>
    <w:rsid w:val="008E14CD"/>
    <w:rsid w:val="008E14EA"/>
    <w:rsid w:val="008E624C"/>
    <w:rsid w:val="00922406"/>
    <w:rsid w:val="009237BF"/>
    <w:rsid w:val="009414C2"/>
    <w:rsid w:val="009455B6"/>
    <w:rsid w:val="00957D41"/>
    <w:rsid w:val="00976957"/>
    <w:rsid w:val="009D2BAB"/>
    <w:rsid w:val="009D3477"/>
    <w:rsid w:val="009E6D29"/>
    <w:rsid w:val="009E7F85"/>
    <w:rsid w:val="00A0199A"/>
    <w:rsid w:val="00A47FC6"/>
    <w:rsid w:val="00A5594A"/>
    <w:rsid w:val="00A630ED"/>
    <w:rsid w:val="00A71784"/>
    <w:rsid w:val="00A926EF"/>
    <w:rsid w:val="00AA1FAB"/>
    <w:rsid w:val="00AB0EA6"/>
    <w:rsid w:val="00AB14D6"/>
    <w:rsid w:val="00AB4698"/>
    <w:rsid w:val="00AE41BB"/>
    <w:rsid w:val="00AF236F"/>
    <w:rsid w:val="00AF25AD"/>
    <w:rsid w:val="00B02EE9"/>
    <w:rsid w:val="00B1074B"/>
    <w:rsid w:val="00B26366"/>
    <w:rsid w:val="00B53840"/>
    <w:rsid w:val="00B53C20"/>
    <w:rsid w:val="00B575D7"/>
    <w:rsid w:val="00B664FB"/>
    <w:rsid w:val="00B73A2A"/>
    <w:rsid w:val="00B92D73"/>
    <w:rsid w:val="00BA7EF8"/>
    <w:rsid w:val="00BB2456"/>
    <w:rsid w:val="00BB4707"/>
    <w:rsid w:val="00BB7A14"/>
    <w:rsid w:val="00BC0414"/>
    <w:rsid w:val="00C548EC"/>
    <w:rsid w:val="00C57012"/>
    <w:rsid w:val="00C575D0"/>
    <w:rsid w:val="00C656A2"/>
    <w:rsid w:val="00C71709"/>
    <w:rsid w:val="00C72A9E"/>
    <w:rsid w:val="00C820CC"/>
    <w:rsid w:val="00C91842"/>
    <w:rsid w:val="00CC1EB1"/>
    <w:rsid w:val="00CD172F"/>
    <w:rsid w:val="00CD2CD3"/>
    <w:rsid w:val="00D00EE7"/>
    <w:rsid w:val="00D1038D"/>
    <w:rsid w:val="00D14518"/>
    <w:rsid w:val="00D14652"/>
    <w:rsid w:val="00D149CF"/>
    <w:rsid w:val="00D21A31"/>
    <w:rsid w:val="00D31236"/>
    <w:rsid w:val="00D447F5"/>
    <w:rsid w:val="00D70D0C"/>
    <w:rsid w:val="00D7593C"/>
    <w:rsid w:val="00D94D0E"/>
    <w:rsid w:val="00DA6F1A"/>
    <w:rsid w:val="00DC3D19"/>
    <w:rsid w:val="00DD5614"/>
    <w:rsid w:val="00DD64D3"/>
    <w:rsid w:val="00DD74A3"/>
    <w:rsid w:val="00DE3254"/>
    <w:rsid w:val="00DE5953"/>
    <w:rsid w:val="00DF29FC"/>
    <w:rsid w:val="00E0275A"/>
    <w:rsid w:val="00E0441B"/>
    <w:rsid w:val="00E344DD"/>
    <w:rsid w:val="00E36158"/>
    <w:rsid w:val="00E66A6D"/>
    <w:rsid w:val="00E7088F"/>
    <w:rsid w:val="00E716FA"/>
    <w:rsid w:val="00E762E5"/>
    <w:rsid w:val="00E90839"/>
    <w:rsid w:val="00E96DA2"/>
    <w:rsid w:val="00E97819"/>
    <w:rsid w:val="00ED470E"/>
    <w:rsid w:val="00EE5F54"/>
    <w:rsid w:val="00EE6812"/>
    <w:rsid w:val="00EE7407"/>
    <w:rsid w:val="00EF14CF"/>
    <w:rsid w:val="00F17082"/>
    <w:rsid w:val="00F36CA7"/>
    <w:rsid w:val="00F54728"/>
    <w:rsid w:val="00F614B3"/>
    <w:rsid w:val="00F72296"/>
    <w:rsid w:val="00F73909"/>
    <w:rsid w:val="00F73ED1"/>
    <w:rsid w:val="00F800E2"/>
    <w:rsid w:val="00F9423E"/>
    <w:rsid w:val="00FA3421"/>
    <w:rsid w:val="00FA6867"/>
    <w:rsid w:val="00FB37D0"/>
    <w:rsid w:val="00FC0143"/>
    <w:rsid w:val="00FD1C88"/>
    <w:rsid w:val="00FD4B74"/>
    <w:rsid w:val="00FD7CA4"/>
    <w:rsid w:val="00FF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520F"/>
  <w15:docId w15:val="{25D3A53A-0D10-406C-9652-EDFCD298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F614B3"/>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eastAsia="Times New Roman" w:hAnsi="Courier New" w:cs="Courier New"/>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74A3"/>
    <w:pPr>
      <w:tabs>
        <w:tab w:val="center" w:pos="4320"/>
        <w:tab w:val="right" w:pos="8640"/>
      </w:tabs>
    </w:pPr>
  </w:style>
  <w:style w:type="paragraph" w:styleId="Footer">
    <w:name w:val="footer"/>
    <w:basedOn w:val="Normal"/>
    <w:link w:val="FooterChar"/>
    <w:uiPriority w:val="99"/>
    <w:rsid w:val="00DD74A3"/>
    <w:pPr>
      <w:tabs>
        <w:tab w:val="center" w:pos="4320"/>
        <w:tab w:val="right" w:pos="8640"/>
      </w:tabs>
    </w:pPr>
  </w:style>
  <w:style w:type="character" w:styleId="PageNumber">
    <w:name w:val="page number"/>
    <w:basedOn w:val="DefaultParagraphFont"/>
    <w:rsid w:val="00DD74A3"/>
  </w:style>
  <w:style w:type="paragraph" w:styleId="BalloonText">
    <w:name w:val="Balloon Text"/>
    <w:basedOn w:val="Normal"/>
    <w:semiHidden/>
    <w:rsid w:val="00427BA4"/>
    <w:rPr>
      <w:rFonts w:ascii="Tahoma" w:hAnsi="Tahoma" w:cs="Tahoma"/>
      <w:sz w:val="16"/>
      <w:szCs w:val="16"/>
    </w:rPr>
  </w:style>
  <w:style w:type="paragraph" w:styleId="BodyText2">
    <w:name w:val="Body Text 2"/>
    <w:basedOn w:val="Normal"/>
    <w:link w:val="BodyText2Char"/>
    <w:rsid w:val="00E0275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eastAsia="Times New Roman" w:hAnsi="Courier"/>
      <w:b/>
      <w:bCs/>
      <w:i/>
      <w:iCs/>
      <w:snapToGrid w:val="0"/>
      <w:lang w:eastAsia="en-US"/>
    </w:rPr>
  </w:style>
  <w:style w:type="character" w:customStyle="1" w:styleId="BodyText2Char">
    <w:name w:val="Body Text 2 Char"/>
    <w:link w:val="BodyText2"/>
    <w:rsid w:val="00E0275A"/>
    <w:rPr>
      <w:rFonts w:ascii="Courier" w:hAnsi="Courier"/>
      <w:b/>
      <w:bCs/>
      <w:i/>
      <w:iCs/>
      <w:snapToGrid w:val="0"/>
      <w:sz w:val="24"/>
      <w:szCs w:val="24"/>
      <w:lang w:val="en-US" w:eastAsia="en-US" w:bidi="ar-SA"/>
    </w:rPr>
  </w:style>
  <w:style w:type="character" w:customStyle="1" w:styleId="FooterChar">
    <w:name w:val="Footer Char"/>
    <w:link w:val="Footer"/>
    <w:uiPriority w:val="99"/>
    <w:rsid w:val="00AF236F"/>
    <w:rPr>
      <w:sz w:val="24"/>
      <w:szCs w:val="24"/>
      <w:lang w:eastAsia="zh-CN"/>
    </w:rPr>
  </w:style>
  <w:style w:type="character" w:customStyle="1" w:styleId="HeaderChar">
    <w:name w:val="Header Char"/>
    <w:link w:val="Header"/>
    <w:uiPriority w:val="99"/>
    <w:rsid w:val="00AF236F"/>
    <w:rPr>
      <w:sz w:val="24"/>
      <w:szCs w:val="24"/>
      <w:lang w:eastAsia="zh-CN"/>
    </w:rPr>
  </w:style>
  <w:style w:type="character" w:styleId="CommentReference">
    <w:name w:val="annotation reference"/>
    <w:rsid w:val="00192681"/>
    <w:rPr>
      <w:sz w:val="16"/>
      <w:szCs w:val="16"/>
    </w:rPr>
  </w:style>
  <w:style w:type="paragraph" w:styleId="CommentText">
    <w:name w:val="annotation text"/>
    <w:basedOn w:val="Normal"/>
    <w:link w:val="CommentTextChar"/>
    <w:rsid w:val="00192681"/>
    <w:rPr>
      <w:sz w:val="20"/>
      <w:szCs w:val="20"/>
    </w:rPr>
  </w:style>
  <w:style w:type="character" w:customStyle="1" w:styleId="CommentTextChar">
    <w:name w:val="Comment Text Char"/>
    <w:link w:val="CommentText"/>
    <w:rsid w:val="00192681"/>
    <w:rPr>
      <w:lang w:eastAsia="zh-CN"/>
    </w:rPr>
  </w:style>
  <w:style w:type="paragraph" w:styleId="CommentSubject">
    <w:name w:val="annotation subject"/>
    <w:basedOn w:val="CommentText"/>
    <w:next w:val="CommentText"/>
    <w:link w:val="CommentSubjectChar"/>
    <w:rsid w:val="00192681"/>
    <w:rPr>
      <w:b/>
      <w:bCs/>
    </w:rPr>
  </w:style>
  <w:style w:type="character" w:customStyle="1" w:styleId="CommentSubjectChar">
    <w:name w:val="Comment Subject Char"/>
    <w:link w:val="CommentSubject"/>
    <w:rsid w:val="00192681"/>
    <w:rPr>
      <w:b/>
      <w:bCs/>
      <w:lang w:eastAsia="zh-CN"/>
    </w:rPr>
  </w:style>
  <w:style w:type="table" w:styleId="TableGrid">
    <w:name w:val="Table Grid"/>
    <w:basedOn w:val="TableNormal"/>
    <w:rsid w:val="0024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879"/>
    <w:pPr>
      <w:ind w:left="720"/>
      <w:contextualSpacing/>
    </w:pPr>
  </w:style>
  <w:style w:type="character" w:customStyle="1" w:styleId="Heading1Char">
    <w:name w:val="Heading 1 Char"/>
    <w:basedOn w:val="DefaultParagraphFont"/>
    <w:link w:val="Heading1"/>
    <w:rsid w:val="00F614B3"/>
    <w:rPr>
      <w:rFonts w:ascii="Courier New" w:eastAsia="Times New Roman" w:hAnsi="Courier New" w:cs="Courier New"/>
      <w:b/>
      <w:bCs/>
      <w:snapToGrid w:val="0"/>
      <w:sz w:val="24"/>
      <w:szCs w:val="24"/>
    </w:rPr>
  </w:style>
  <w:style w:type="paragraph" w:styleId="Revision">
    <w:name w:val="Revision"/>
    <w:hidden/>
    <w:uiPriority w:val="99"/>
    <w:semiHidden/>
    <w:rsid w:val="00AB4698"/>
    <w:rPr>
      <w:sz w:val="24"/>
      <w:szCs w:val="24"/>
      <w:lang w:eastAsia="zh-CN"/>
    </w:rPr>
  </w:style>
  <w:style w:type="paragraph" w:styleId="NoSpacing">
    <w:name w:val="No Spacing"/>
    <w:qFormat/>
    <w:rsid w:val="00AB14D6"/>
    <w:rPr>
      <w:rFonts w:eastAsia="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9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a.gov/legislation/2022factshee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08C08D2B49494184EE9930B642CF9C" ma:contentTypeVersion="0" ma:contentTypeDescription="Create a new document." ma:contentTypeScope="" ma:versionID="5333a23f9c7d98800066d5d639c80ecf">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7E218-1B48-49F1-BD54-C39CB3336F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8FD2F2-FF90-435B-95E7-C26B6BA19431}">
  <ds:schemaRefs>
    <ds:schemaRef ds:uri="http://schemas.openxmlformats.org/officeDocument/2006/bibliography"/>
  </ds:schemaRefs>
</ds:datastoreItem>
</file>

<file path=customXml/itemProps3.xml><?xml version="1.0" encoding="utf-8"?>
<ds:datastoreItem xmlns:ds="http://schemas.openxmlformats.org/officeDocument/2006/customXml" ds:itemID="{05DBCD08-1577-45C5-A3D3-B472310D2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13C546-4CC2-4A63-B5E1-78568E1AE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1798</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Social Security Administration</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052041</dc:creator>
  <cp:lastModifiedBy>Naomi Sipple</cp:lastModifiedBy>
  <cp:revision>2</cp:revision>
  <cp:lastPrinted>2013-04-02T13:58:00Z</cp:lastPrinted>
  <dcterms:created xsi:type="dcterms:W3CDTF">2022-06-01T18:23:00Z</dcterms:created>
  <dcterms:modified xsi:type="dcterms:W3CDTF">2022-06-01T18:23:00Z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-1229500524</vt:i4>
  </property>
  <property fmtid="{D5CDD505-2E9C-101B-9397-08002B2CF9AE}" pid="4" name="_EmailSubject">
    <vt:lpwstr>OMB clearance package (0960-0634) </vt:lpwstr>
  </property>
  <property fmtid="{D5CDD505-2E9C-101B-9397-08002B2CF9AE}" pid="5" name="_AuthorEmail">
    <vt:lpwstr>Sean.MacGowan@ssa.gov</vt:lpwstr>
  </property>
  <property fmtid="{D5CDD505-2E9C-101B-9397-08002B2CF9AE}" pid="6" name="_AuthorEmailDisplayName">
    <vt:lpwstr>MacGowan, Sean</vt:lpwstr>
  </property>
  <property fmtid="{D5CDD505-2E9C-101B-9397-08002B2CF9AE}" pid="7" name="_PreviousAdHocReviewCycleID">
    <vt:i4>-435148754</vt:i4>
  </property>
  <property fmtid="{D5CDD505-2E9C-101B-9397-08002B2CF9AE}" pid="8" name="_ReviewingToolsShownOnce">
    <vt:lpwstr/>
  </property>
</Properties>
</file>