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051D2" w:rsidR="000C1537" w:rsidP="00E903F7" w:rsidRDefault="000C1537" w14:paraId="470AC4A5"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bookmarkStart w:name="_GoBack" w:id="0"/>
      <w:bookmarkEnd w:id="0"/>
      <w:r w:rsidRPr="00B051D2">
        <w:rPr>
          <w:rFonts w:ascii="Times New Roman" w:hAnsi="Times New Roman"/>
          <w:b/>
          <w:noProof w:val="0"/>
          <w:sz w:val="24"/>
        </w:rPr>
        <w:t>Supporting Statement for Paperwork Reduction Act Submissions</w:t>
      </w:r>
    </w:p>
    <w:p w:rsidR="00EF4BA5" w:rsidP="00E903F7" w:rsidRDefault="00EF4BA5" w14:paraId="461A76FA" w14:textId="7DCD2C2C">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sidRPr="00EF4BA5">
        <w:rPr>
          <w:rFonts w:ascii="Times New Roman" w:hAnsi="Times New Roman"/>
          <w:b/>
          <w:noProof w:val="0"/>
          <w:sz w:val="24"/>
        </w:rPr>
        <w:t>Emergency Medical Services Recordkeeping and Notice Requirements</w:t>
      </w:r>
      <w:r w:rsidRPr="00EF4BA5" w:rsidDel="00EF4BA5">
        <w:rPr>
          <w:rFonts w:ascii="Times New Roman" w:hAnsi="Times New Roman"/>
          <w:b/>
          <w:noProof w:val="0"/>
          <w:sz w:val="24"/>
        </w:rPr>
        <w:t xml:space="preserve"> </w:t>
      </w:r>
      <w:r w:rsidR="00165B87">
        <w:rPr>
          <w:rFonts w:ascii="Times New Roman" w:hAnsi="Times New Roman"/>
          <w:b/>
          <w:noProof w:val="0"/>
          <w:sz w:val="24"/>
        </w:rPr>
        <w:t>(No Form)</w:t>
      </w:r>
    </w:p>
    <w:p w:rsidR="001A64B0" w:rsidRDefault="001A64B0" w14:paraId="7FEDEACB" w14:textId="25EB11E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sidRPr="00B051D2">
        <w:rPr>
          <w:rFonts w:ascii="Times New Roman" w:hAnsi="Times New Roman"/>
          <w:b/>
          <w:noProof w:val="0"/>
          <w:sz w:val="24"/>
        </w:rPr>
        <w:t xml:space="preserve">OMB </w:t>
      </w:r>
      <w:r w:rsidRPr="00B051D2" w:rsidR="004A0B75">
        <w:rPr>
          <w:rFonts w:ascii="Times New Roman" w:hAnsi="Times New Roman"/>
          <w:b/>
          <w:noProof w:val="0"/>
          <w:sz w:val="24"/>
        </w:rPr>
        <w:t xml:space="preserve">Approval </w:t>
      </w:r>
      <w:r w:rsidR="00813BD7">
        <w:rPr>
          <w:rFonts w:ascii="Times New Roman" w:hAnsi="Times New Roman"/>
          <w:b/>
          <w:noProof w:val="0"/>
          <w:sz w:val="24"/>
        </w:rPr>
        <w:t>#</w:t>
      </w:r>
      <w:r w:rsidR="001C47F6">
        <w:rPr>
          <w:rFonts w:ascii="Times New Roman" w:hAnsi="Times New Roman"/>
          <w:b/>
          <w:noProof w:val="0"/>
          <w:sz w:val="24"/>
        </w:rPr>
        <w:t>1117-00XX</w:t>
      </w:r>
    </w:p>
    <w:p w:rsidR="00B051D2" w:rsidRDefault="00B051D2" w14:paraId="6555670E"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p>
    <w:p w:rsidRPr="00B051D2" w:rsidR="00B051D2" w:rsidRDefault="00B051D2" w14:paraId="185F77DA" w14:textId="1AE4C64C">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noProof w:val="0"/>
          <w:sz w:val="24"/>
        </w:rPr>
      </w:pPr>
      <w:r>
        <w:rPr>
          <w:rFonts w:ascii="Times New Roman" w:hAnsi="Times New Roman"/>
          <w:noProof w:val="0"/>
          <w:sz w:val="24"/>
        </w:rPr>
        <w:t>The Drug Enforcement Administration (DEA) seeks</w:t>
      </w:r>
      <w:r w:rsidR="00090C0E">
        <w:rPr>
          <w:rFonts w:ascii="Times New Roman" w:hAnsi="Times New Roman"/>
          <w:noProof w:val="0"/>
          <w:sz w:val="24"/>
        </w:rPr>
        <w:t xml:space="preserve"> approval by</w:t>
      </w:r>
      <w:r>
        <w:rPr>
          <w:rFonts w:ascii="Times New Roman" w:hAnsi="Times New Roman"/>
          <w:noProof w:val="0"/>
          <w:sz w:val="24"/>
        </w:rPr>
        <w:t xml:space="preserve"> </w:t>
      </w:r>
      <w:r w:rsidR="009151B2">
        <w:rPr>
          <w:rFonts w:ascii="Times New Roman" w:hAnsi="Times New Roman"/>
          <w:noProof w:val="0"/>
          <w:sz w:val="24"/>
        </w:rPr>
        <w:t xml:space="preserve">the </w:t>
      </w:r>
      <w:r>
        <w:rPr>
          <w:rFonts w:ascii="Times New Roman" w:hAnsi="Times New Roman"/>
          <w:noProof w:val="0"/>
          <w:sz w:val="24"/>
        </w:rPr>
        <w:t xml:space="preserve">Office of Management and Budget (OMB) </w:t>
      </w:r>
      <w:r w:rsidR="007B0BA3">
        <w:rPr>
          <w:rFonts w:ascii="Times New Roman" w:hAnsi="Times New Roman"/>
          <w:noProof w:val="0"/>
          <w:sz w:val="24"/>
        </w:rPr>
        <w:t>for</w:t>
      </w:r>
      <w:r>
        <w:rPr>
          <w:rFonts w:ascii="Times New Roman" w:hAnsi="Times New Roman"/>
          <w:noProof w:val="0"/>
          <w:sz w:val="24"/>
        </w:rPr>
        <w:t xml:space="preserve"> a</w:t>
      </w:r>
      <w:r w:rsidR="001C47F6">
        <w:rPr>
          <w:rFonts w:ascii="Times New Roman" w:hAnsi="Times New Roman"/>
          <w:noProof w:val="0"/>
          <w:sz w:val="24"/>
        </w:rPr>
        <w:t xml:space="preserve"> new</w:t>
      </w:r>
      <w:r>
        <w:rPr>
          <w:rFonts w:ascii="Times New Roman" w:hAnsi="Times New Roman"/>
          <w:noProof w:val="0"/>
          <w:sz w:val="24"/>
        </w:rPr>
        <w:t xml:space="preserve"> collection of information</w:t>
      </w:r>
      <w:r w:rsidR="00C41B4E">
        <w:rPr>
          <w:rFonts w:ascii="Times New Roman" w:hAnsi="Times New Roman"/>
          <w:noProof w:val="0"/>
          <w:sz w:val="24"/>
        </w:rPr>
        <w:t>, Emergency Medical Services and Recordkeeping and Notice Requirements.</w:t>
      </w:r>
      <w:r w:rsidR="00165B87">
        <w:rPr>
          <w:rFonts w:ascii="Times New Roman" w:hAnsi="Times New Roman"/>
          <w:noProof w:val="0"/>
          <w:sz w:val="24"/>
        </w:rPr>
        <w:t xml:space="preserve">  </w:t>
      </w:r>
      <w:r w:rsidRPr="00DF3F2C" w:rsidR="00165B87">
        <w:rPr>
          <w:rFonts w:ascii="Times New Roman" w:hAnsi="Times New Roman"/>
          <w:sz w:val="24"/>
          <w:szCs w:val="24"/>
        </w:rPr>
        <w:t>This information collection</w:t>
      </w:r>
      <w:r w:rsidRPr="00165B87" w:rsidR="00165B87">
        <w:rPr>
          <w:rFonts w:ascii="Times New Roman" w:hAnsi="Times New Roman"/>
          <w:sz w:val="24"/>
          <w:szCs w:val="24"/>
        </w:rPr>
        <w:t xml:space="preserve"> request is associated with </w:t>
      </w:r>
      <w:r w:rsidRPr="00DF3F2C" w:rsidR="00165B87">
        <w:rPr>
          <w:rFonts w:ascii="Times New Roman" w:hAnsi="Times New Roman"/>
          <w:sz w:val="24"/>
          <w:szCs w:val="24"/>
        </w:rPr>
        <w:t>DEA’s “Registering Emergency Medical Services Agencies under the Protecting Patient Access to Emergency Medications Act of 2017” rulemaking, RIN 1117-AB37</w:t>
      </w:r>
      <w:r w:rsidR="00165B87">
        <w:rPr>
          <w:rFonts w:ascii="Times New Roman" w:hAnsi="Times New Roman"/>
          <w:sz w:val="24"/>
          <w:szCs w:val="24"/>
        </w:rPr>
        <w:t>.</w:t>
      </w:r>
    </w:p>
    <w:p w:rsidRPr="00B051D2" w:rsidR="000C1537" w:rsidRDefault="000C1537" w14:paraId="2185B206"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b/>
          <w:noProof w:val="0"/>
          <w:sz w:val="24"/>
        </w:rPr>
      </w:pPr>
    </w:p>
    <w:p w:rsidRPr="00B051D2" w:rsidR="000C1537" w:rsidRDefault="001A64B0" w14:paraId="210B6321"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b/>
          <w:noProof w:val="0"/>
          <w:sz w:val="24"/>
        </w:rPr>
      </w:pPr>
      <w:r w:rsidRPr="00B051D2">
        <w:rPr>
          <w:rFonts w:ascii="Times New Roman" w:hAnsi="Times New Roman"/>
          <w:b/>
          <w:noProof w:val="0"/>
          <w:sz w:val="24"/>
        </w:rPr>
        <w:t xml:space="preserve">Part </w:t>
      </w:r>
      <w:r w:rsidRPr="00B051D2" w:rsidR="000C1537">
        <w:rPr>
          <w:rFonts w:ascii="Times New Roman" w:hAnsi="Times New Roman"/>
          <w:b/>
          <w:noProof w:val="0"/>
          <w:sz w:val="24"/>
        </w:rPr>
        <w:t xml:space="preserve">A. </w:t>
      </w:r>
      <w:r w:rsidR="00D52432">
        <w:rPr>
          <w:rFonts w:ascii="Times New Roman" w:hAnsi="Times New Roman"/>
          <w:b/>
          <w:noProof w:val="0"/>
          <w:sz w:val="24"/>
        </w:rPr>
        <w:t>Justification</w:t>
      </w:r>
      <w:r w:rsidRPr="00B051D2" w:rsidR="00B051D2">
        <w:rPr>
          <w:rFonts w:ascii="Times New Roman" w:hAnsi="Times New Roman"/>
          <w:b/>
          <w:noProof w:val="0"/>
          <w:sz w:val="24"/>
        </w:rPr>
        <w:t xml:space="preserve"> </w:t>
      </w:r>
    </w:p>
    <w:p w:rsidR="001A64B0" w:rsidRDefault="001A64B0" w14:paraId="4CE69F63"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noProof w:val="0"/>
          <w:sz w:val="24"/>
        </w:rPr>
      </w:pPr>
    </w:p>
    <w:p w:rsidR="00F162AA" w:rsidP="00F162AA" w:rsidRDefault="000C1537" w14:paraId="4BB67EBB" w14:textId="51E1B1FE">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 </w:t>
      </w:r>
      <w:r w:rsidR="00090C0E">
        <w:rPr>
          <w:rFonts w:ascii="Times New Roman" w:hAnsi="Times New Roman"/>
          <w:noProof w:val="0"/>
          <w:sz w:val="24"/>
        </w:rPr>
        <w:t xml:space="preserve"> </w:t>
      </w:r>
      <w:r w:rsidRPr="00B051D2" w:rsidR="004202AA">
        <w:rPr>
          <w:rFonts w:ascii="Times New Roman" w:hAnsi="Times New Roman"/>
          <w:noProof w:val="0"/>
          <w:sz w:val="24"/>
          <w:u w:val="single"/>
        </w:rPr>
        <w:t>Necessity of Information:</w:t>
      </w:r>
    </w:p>
    <w:p w:rsidRPr="00BE72C8" w:rsidR="00676F9C" w:rsidP="00E903F7" w:rsidRDefault="00676F9C" w14:paraId="2F8DB89B" w14:textId="594F6218">
      <w:pPr>
        <w:tabs>
          <w:tab w:val="left" w:pos="720"/>
          <w:tab w:val="left" w:pos="1440"/>
          <w:tab w:val="left" w:pos="2160"/>
        </w:tabs>
        <w:rPr>
          <w:rFonts w:ascii="Times New Roman" w:hAnsi="Times New Roman" w:eastAsia="Calibri"/>
          <w:noProof w:val="0"/>
          <w:sz w:val="24"/>
          <w:szCs w:val="24"/>
        </w:rPr>
      </w:pPr>
    </w:p>
    <w:p w:rsidR="00356F1E" w:rsidP="00E903F7" w:rsidRDefault="00676F9C" w14:paraId="70FD8EFA" w14:textId="2667674D">
      <w:pPr>
        <w:tabs>
          <w:tab w:val="left" w:pos="720"/>
          <w:tab w:val="left" w:pos="1440"/>
          <w:tab w:val="left" w:pos="2160"/>
        </w:tabs>
        <w:rPr>
          <w:rFonts w:ascii="Times New Roman" w:hAnsi="Times New Roman" w:eastAsia="Calibri"/>
          <w:noProof w:val="0"/>
          <w:sz w:val="24"/>
          <w:szCs w:val="22"/>
        </w:rPr>
      </w:pPr>
      <w:r w:rsidRPr="00DF3F2C">
        <w:rPr>
          <w:rFonts w:ascii="Times New Roman" w:hAnsi="Times New Roman"/>
          <w:sz w:val="24"/>
          <w:szCs w:val="24"/>
        </w:rPr>
        <w:t>DEA implements and enforces titles II and III of the Comprehensive Drug Abuse Prevention and Control Act of 1970, Pub. L. No. 91-513, 84 Stat. 1242 (1970), as amended (collectively, the C</w:t>
      </w:r>
      <w:r>
        <w:rPr>
          <w:rFonts w:ascii="Times New Roman" w:hAnsi="Times New Roman"/>
          <w:sz w:val="24"/>
          <w:szCs w:val="24"/>
        </w:rPr>
        <w:t xml:space="preserve">ontrolled </w:t>
      </w:r>
      <w:r w:rsidRPr="00DF3F2C">
        <w:rPr>
          <w:rFonts w:ascii="Times New Roman" w:hAnsi="Times New Roman"/>
          <w:sz w:val="24"/>
          <w:szCs w:val="24"/>
        </w:rPr>
        <w:t>S</w:t>
      </w:r>
      <w:r>
        <w:rPr>
          <w:rFonts w:ascii="Times New Roman" w:hAnsi="Times New Roman"/>
          <w:sz w:val="24"/>
          <w:szCs w:val="24"/>
        </w:rPr>
        <w:t xml:space="preserve">ubstances </w:t>
      </w:r>
      <w:r w:rsidRPr="00DF3F2C">
        <w:rPr>
          <w:rFonts w:ascii="Times New Roman" w:hAnsi="Times New Roman"/>
          <w:sz w:val="24"/>
          <w:szCs w:val="24"/>
        </w:rPr>
        <w:t>A</w:t>
      </w:r>
      <w:r>
        <w:rPr>
          <w:rFonts w:ascii="Times New Roman" w:hAnsi="Times New Roman"/>
          <w:sz w:val="24"/>
          <w:szCs w:val="24"/>
        </w:rPr>
        <w:t>ct</w:t>
      </w:r>
      <w:r w:rsidRPr="00DF3F2C">
        <w:rPr>
          <w:rFonts w:ascii="Times New Roman" w:hAnsi="Times New Roman"/>
          <w:sz w:val="24"/>
          <w:szCs w:val="24"/>
        </w:rPr>
        <w:t>).  21 U.S.C. 801–971.  Through the enactment of the</w:t>
      </w:r>
      <w:r>
        <w:rPr>
          <w:rFonts w:ascii="Times New Roman" w:hAnsi="Times New Roman"/>
          <w:sz w:val="24"/>
          <w:szCs w:val="24"/>
        </w:rPr>
        <w:t xml:space="preserve"> Controlled Substances Act</w:t>
      </w:r>
      <w:r w:rsidRPr="00DF3F2C">
        <w:rPr>
          <w:rFonts w:ascii="Times New Roman" w:hAnsi="Times New Roman"/>
          <w:sz w:val="24"/>
          <w:szCs w:val="24"/>
        </w:rPr>
        <w:t xml:space="preserve"> </w:t>
      </w:r>
      <w:r>
        <w:rPr>
          <w:rFonts w:ascii="Times New Roman" w:hAnsi="Times New Roman"/>
          <w:sz w:val="24"/>
          <w:szCs w:val="24"/>
        </w:rPr>
        <w:t>(</w:t>
      </w:r>
      <w:r w:rsidRPr="00DF3F2C">
        <w:rPr>
          <w:rFonts w:ascii="Times New Roman" w:hAnsi="Times New Roman"/>
          <w:sz w:val="24"/>
          <w:szCs w:val="24"/>
        </w:rPr>
        <w:t>CSA</w:t>
      </w:r>
      <w:r>
        <w:rPr>
          <w:rFonts w:ascii="Times New Roman" w:hAnsi="Times New Roman"/>
          <w:sz w:val="24"/>
          <w:szCs w:val="24"/>
        </w:rPr>
        <w:t>)</w:t>
      </w:r>
      <w:r w:rsidRPr="00DF3F2C">
        <w:rPr>
          <w:rFonts w:ascii="Times New Roman" w:hAnsi="Times New Roman"/>
          <w:sz w:val="24"/>
          <w:szCs w:val="24"/>
        </w:rPr>
        <w:t>, Congress established a closed system of distribution making it unlawful to handle any controlled substance except in a manner authorized by the CSA</w:t>
      </w:r>
      <w:r>
        <w:t>…</w:t>
      </w:r>
      <w:r>
        <w:rPr>
          <w:rFonts w:ascii="Times New Roman" w:hAnsi="Times New Roman" w:eastAsia="Calibri"/>
          <w:noProof w:val="0"/>
          <w:sz w:val="24"/>
          <w:szCs w:val="22"/>
        </w:rPr>
        <w:t xml:space="preserve">.  </w:t>
      </w:r>
      <w:r w:rsidRPr="00356F1E" w:rsidR="00356F1E">
        <w:rPr>
          <w:rFonts w:ascii="Times New Roman" w:hAnsi="Times New Roman" w:eastAsia="Calibri"/>
          <w:noProof w:val="0"/>
          <w:sz w:val="24"/>
          <w:szCs w:val="22"/>
        </w:rPr>
        <w:t xml:space="preserve">The “Protecting Patient Access to Emergency Medications Act of 2017,” (hereafter the “Act”) which became law on November 17, 2017, amended the Controlled Substances Act to allow for a new registration category for emergency medical services agencies that handle controlled substances.  It also established standards for registering emergency medical services agencies, and set forth new requirements for delivery, storage, and recordkeeping related to their handling of controlled substances.  </w:t>
      </w:r>
    </w:p>
    <w:p w:rsidR="00E903F7" w:rsidP="00E903F7" w:rsidRDefault="00E903F7" w14:paraId="0CDCA583" w14:textId="77777777">
      <w:pPr>
        <w:tabs>
          <w:tab w:val="left" w:pos="720"/>
          <w:tab w:val="left" w:pos="1440"/>
          <w:tab w:val="left" w:pos="2160"/>
        </w:tabs>
        <w:rPr>
          <w:rFonts w:ascii="Times New Roman" w:hAnsi="Times New Roman"/>
          <w:noProof w:val="0"/>
          <w:sz w:val="24"/>
          <w:szCs w:val="24"/>
        </w:rPr>
      </w:pPr>
    </w:p>
    <w:p w:rsidR="00EF4BA5" w:rsidP="00E903F7" w:rsidRDefault="00EF4BA5" w14:paraId="64710D59" w14:textId="61BCEE36">
      <w:pPr>
        <w:tabs>
          <w:tab w:val="left" w:pos="720"/>
          <w:tab w:val="left" w:pos="1440"/>
          <w:tab w:val="left" w:pos="2160"/>
        </w:tabs>
        <w:rPr>
          <w:rFonts w:ascii="Times New Roman" w:hAnsi="Times New Roman"/>
          <w:noProof w:val="0"/>
          <w:sz w:val="24"/>
          <w:szCs w:val="24"/>
        </w:rPr>
      </w:pPr>
      <w:r w:rsidRPr="00EF4BA5">
        <w:rPr>
          <w:rFonts w:ascii="Times New Roman" w:hAnsi="Times New Roman"/>
          <w:noProof w:val="0"/>
          <w:sz w:val="24"/>
          <w:szCs w:val="24"/>
        </w:rPr>
        <w:t>The transportation of controlled substances for administration to EMS patients presents unique recordkeeping concerns.  With regard to non-practitioners that transport controlled substances (</w:t>
      </w:r>
      <w:r w:rsidRPr="00EF4BA5">
        <w:rPr>
          <w:rFonts w:ascii="Times New Roman" w:hAnsi="Times New Roman"/>
          <w:i/>
          <w:noProof w:val="0"/>
          <w:sz w:val="24"/>
          <w:szCs w:val="24"/>
        </w:rPr>
        <w:t>e.g.</w:t>
      </w:r>
      <w:r w:rsidRPr="00EF4BA5">
        <w:rPr>
          <w:rFonts w:ascii="Times New Roman" w:hAnsi="Times New Roman"/>
          <w:noProof w:val="0"/>
          <w:sz w:val="24"/>
          <w:szCs w:val="24"/>
        </w:rPr>
        <w:t xml:space="preserve">, manufacturers, distributors, exporters, importers), DEA can track the movement of the controlled substances through recordkeeping and reporting requirements within the two-registrant integrity system.  Generally, the registrant that transports controlled substances maintains a record of, and would report delivery of the controlled substances, while the registrant that receives the controlled substances must account for the received controlled substances.  Every registrant is required to maintain complete and accurate records of each substance manufactured, imported, received, sold, delivered, exported, or disposed of.  21 CFR 1304.21(a).  This two-registrant integrity system provides an effective means of protection against diversion in that the transfer of the controlled substances shall be verified by two separate registrants, thus helping to ensure that controlled substances are not diverted for illicit use.  </w:t>
      </w:r>
    </w:p>
    <w:p w:rsidR="00E903F7" w:rsidP="00E903F7" w:rsidRDefault="00E903F7" w14:paraId="72972038" w14:textId="77777777">
      <w:pPr>
        <w:tabs>
          <w:tab w:val="left" w:pos="720"/>
          <w:tab w:val="left" w:pos="1440"/>
          <w:tab w:val="left" w:pos="2160"/>
        </w:tabs>
        <w:rPr>
          <w:rFonts w:ascii="Times New Roman" w:hAnsi="Times New Roman"/>
          <w:noProof w:val="0"/>
          <w:sz w:val="24"/>
          <w:szCs w:val="24"/>
        </w:rPr>
      </w:pPr>
    </w:p>
    <w:p w:rsidR="00EF4BA5" w:rsidP="00E903F7" w:rsidRDefault="00EF4BA5" w14:paraId="575588E4" w14:textId="130C3322">
      <w:pPr>
        <w:tabs>
          <w:tab w:val="left" w:pos="720"/>
          <w:tab w:val="left" w:pos="1440"/>
          <w:tab w:val="left" w:pos="2160"/>
        </w:tabs>
        <w:rPr>
          <w:rFonts w:ascii="Times New Roman" w:hAnsi="Times New Roman"/>
          <w:noProof w:val="0"/>
          <w:sz w:val="24"/>
          <w:szCs w:val="24"/>
        </w:rPr>
      </w:pPr>
      <w:r w:rsidRPr="00EF4BA5">
        <w:rPr>
          <w:rFonts w:ascii="Times New Roman" w:hAnsi="Times New Roman"/>
          <w:noProof w:val="0"/>
          <w:sz w:val="24"/>
          <w:szCs w:val="24"/>
        </w:rPr>
        <w:t>EMS agencies are typically the last registrants to possess controlled substances prior to administering to a patient at the scene of an emergency.  As such, the two-registrant integrity system does not exist beyond the transfer to an EMS agency, in the traditional sense of registrant recordkeeping.  Therefore, DEA is proposing recordkeeping regulations for EMS agencies to incorporate the Act’s CSA amendments regarding recordkeeping, and to ensure an accurate accounting of the controlled substances outside the two-registrant integrity system.</w:t>
      </w:r>
    </w:p>
    <w:p w:rsidR="00E903F7" w:rsidP="00E903F7" w:rsidRDefault="00E903F7" w14:paraId="08935AF3" w14:textId="326649A0">
      <w:pPr>
        <w:tabs>
          <w:tab w:val="left" w:pos="720"/>
          <w:tab w:val="left" w:pos="1440"/>
          <w:tab w:val="left" w:pos="2160"/>
        </w:tabs>
        <w:rPr>
          <w:rFonts w:ascii="Times New Roman" w:hAnsi="Times New Roman"/>
          <w:noProof w:val="0"/>
          <w:sz w:val="24"/>
          <w:szCs w:val="24"/>
        </w:rPr>
      </w:pPr>
    </w:p>
    <w:p w:rsidR="00E903F7" w:rsidP="00E903F7" w:rsidRDefault="00E903F7" w14:paraId="19235EF6" w14:textId="2E1AF258">
      <w:pPr>
        <w:tabs>
          <w:tab w:val="left" w:pos="720"/>
          <w:tab w:val="left" w:pos="1440"/>
          <w:tab w:val="left" w:pos="2160"/>
        </w:tabs>
        <w:rPr>
          <w:rFonts w:ascii="Times New Roman" w:hAnsi="Times New Roman"/>
          <w:noProof w:val="0"/>
          <w:sz w:val="24"/>
          <w:szCs w:val="24"/>
        </w:rPr>
      </w:pPr>
      <w:r w:rsidRPr="00E903F7">
        <w:rPr>
          <w:rFonts w:ascii="Times New Roman" w:hAnsi="Times New Roman"/>
          <w:noProof w:val="0"/>
          <w:sz w:val="24"/>
          <w:szCs w:val="24"/>
        </w:rPr>
        <w:lastRenderedPageBreak/>
        <w:t>Following an emergency response where controlled substances were administered, EMS personnel may not have enough time to return to their stationhouse to restock their EMS vehicle with controlled substances.  Depending on the circumstances, the stationhouse may be a considerable distance from the hospital where the EMS personnel brought a patient, or the volume of emergencies may be so great that the ambulance does not have time to return to the stationhouse.  Rural EMS systems in the United States may face transport distances of 20 to 100 miles to the nearest hospital.   Thus, the Act allows non hospital-based EMS agencies to receive controlled substances from a hospital for the purpose of restocking an EMS vehicle following an emergency response.  21 U.S.C. 823(j)(8).  DEA’s proposed § 1307.14(a) codifies this allowance in DEA regulations.</w:t>
      </w:r>
    </w:p>
    <w:p w:rsidRPr="00EF4BA5" w:rsidR="00E903F7" w:rsidP="00E903F7" w:rsidRDefault="00E903F7" w14:paraId="54686CAE" w14:textId="77777777">
      <w:pPr>
        <w:tabs>
          <w:tab w:val="left" w:pos="720"/>
          <w:tab w:val="left" w:pos="1440"/>
          <w:tab w:val="left" w:pos="2160"/>
        </w:tabs>
        <w:rPr>
          <w:rFonts w:ascii="Times New Roman" w:hAnsi="Times New Roman"/>
          <w:noProof w:val="0"/>
          <w:sz w:val="24"/>
          <w:szCs w:val="24"/>
        </w:rPr>
      </w:pPr>
    </w:p>
    <w:p w:rsidR="00F162AA" w:rsidP="00E903F7" w:rsidRDefault="00EF4BA5" w14:paraId="2CAB68A8" w14:textId="2700C9E9">
      <w:pPr>
        <w:tabs>
          <w:tab w:val="left" w:pos="720"/>
          <w:tab w:val="left" w:pos="1440"/>
          <w:tab w:val="left" w:pos="2160"/>
        </w:tabs>
        <w:rPr>
          <w:rFonts w:ascii="Times New Roman" w:hAnsi="Times New Roman"/>
          <w:noProof w:val="0"/>
          <w:sz w:val="24"/>
          <w:szCs w:val="24"/>
        </w:rPr>
      </w:pPr>
      <w:r w:rsidRPr="00EF4BA5">
        <w:rPr>
          <w:rFonts w:ascii="Times New Roman" w:hAnsi="Times New Roman"/>
          <w:noProof w:val="0"/>
          <w:sz w:val="24"/>
          <w:szCs w:val="24"/>
        </w:rPr>
        <w:t>DEA proposes</w:t>
      </w:r>
      <w:r w:rsidRPr="00EF4BA5" w:rsidDel="00A73582">
        <w:rPr>
          <w:rFonts w:ascii="Times New Roman" w:hAnsi="Times New Roman"/>
          <w:noProof w:val="0"/>
          <w:sz w:val="24"/>
          <w:szCs w:val="24"/>
        </w:rPr>
        <w:t xml:space="preserve"> </w:t>
      </w:r>
      <w:r w:rsidRPr="00EF4BA5">
        <w:rPr>
          <w:rFonts w:ascii="Times New Roman" w:hAnsi="Times New Roman"/>
          <w:noProof w:val="0"/>
          <w:sz w:val="24"/>
          <w:szCs w:val="24"/>
        </w:rPr>
        <w:t>§ 1304.03(i) to require EMS agencies to maintain records of the EMS personnel whose State license or certification gives them the ability to administer controlled substances, in compliance with their State laws.  Because states have differing requirements for the ability to handle controlled substances, maintaining records of employees authorized to handle controlled substances will help DEA identify the source of any diversion occurring at EMS agencies.</w:t>
      </w:r>
    </w:p>
    <w:p w:rsidRPr="00EF4BA5" w:rsidR="00E903F7" w:rsidP="00E903F7" w:rsidRDefault="00E903F7" w14:paraId="4BC12665" w14:textId="77777777">
      <w:pPr>
        <w:tabs>
          <w:tab w:val="left" w:pos="720"/>
          <w:tab w:val="left" w:pos="1440"/>
          <w:tab w:val="left" w:pos="2160"/>
        </w:tabs>
        <w:rPr>
          <w:rFonts w:ascii="Times New Roman" w:hAnsi="Times New Roman"/>
          <w:noProof w:val="0"/>
          <w:sz w:val="24"/>
          <w:szCs w:val="24"/>
        </w:rPr>
      </w:pPr>
    </w:p>
    <w:p w:rsidR="00E903F7" w:rsidP="00E903F7" w:rsidRDefault="000C1537" w14:paraId="2A8CF330" w14:textId="50D5015D">
      <w:pPr>
        <w:tabs>
          <w:tab w:val="left" w:pos="720"/>
          <w:tab w:val="left" w:pos="1440"/>
          <w:tab w:val="left" w:pos="2160"/>
        </w:tabs>
        <w:rPr>
          <w:rFonts w:ascii="Times New Roman" w:hAnsi="Times New Roman"/>
          <w:noProof w:val="0"/>
          <w:sz w:val="24"/>
          <w:u w:val="single"/>
        </w:rPr>
      </w:pPr>
      <w:r>
        <w:rPr>
          <w:rFonts w:ascii="Times New Roman" w:hAnsi="Times New Roman"/>
          <w:noProof w:val="0"/>
          <w:sz w:val="24"/>
        </w:rPr>
        <w:t xml:space="preserve">2. </w:t>
      </w:r>
      <w:r w:rsidR="00090C0E">
        <w:rPr>
          <w:rFonts w:ascii="Times New Roman" w:hAnsi="Times New Roman"/>
          <w:noProof w:val="0"/>
          <w:sz w:val="24"/>
        </w:rPr>
        <w:t xml:space="preserve"> </w:t>
      </w:r>
      <w:r w:rsidRPr="00B051D2" w:rsidR="004202AA">
        <w:rPr>
          <w:rFonts w:ascii="Times New Roman" w:hAnsi="Times New Roman"/>
          <w:noProof w:val="0"/>
          <w:sz w:val="24"/>
          <w:u w:val="single"/>
        </w:rPr>
        <w:t>Needs and Uses:</w:t>
      </w:r>
    </w:p>
    <w:p w:rsidR="00E903F7" w:rsidP="00E903F7" w:rsidRDefault="00E903F7" w14:paraId="22A34A51" w14:textId="77777777">
      <w:pPr>
        <w:tabs>
          <w:tab w:val="left" w:pos="720"/>
          <w:tab w:val="left" w:pos="1440"/>
          <w:tab w:val="left" w:pos="2160"/>
        </w:tabs>
        <w:rPr>
          <w:rFonts w:ascii="Times New Roman" w:hAnsi="Times New Roman"/>
          <w:noProof w:val="0"/>
          <w:sz w:val="24"/>
          <w:u w:val="single"/>
        </w:rPr>
      </w:pPr>
    </w:p>
    <w:p w:rsidRPr="00F162AA" w:rsidR="00E903F7" w:rsidP="00E903F7" w:rsidRDefault="00E903F7" w14:paraId="39A1F334" w14:textId="1A6E24A3">
      <w:pPr>
        <w:tabs>
          <w:tab w:val="left" w:pos="720"/>
          <w:tab w:val="left" w:pos="1440"/>
          <w:tab w:val="left" w:pos="2160"/>
        </w:tabs>
        <w:rPr>
          <w:rFonts w:ascii="Times New Roman" w:hAnsi="Times New Roman"/>
          <w:noProof w:val="0"/>
          <w:sz w:val="24"/>
        </w:rPr>
      </w:pPr>
      <w:r w:rsidRPr="00F162AA">
        <w:rPr>
          <w:rFonts w:ascii="Times New Roman" w:hAnsi="Times New Roman"/>
          <w:noProof w:val="0"/>
          <w:sz w:val="24"/>
        </w:rPr>
        <w:t xml:space="preserve">Under § 1304.04(a), controlled substance records for all DEA registrants are required to be maintained for at least two years from the date of such inventory or records.  Under this proposed rule, DEA would require maintenance of records of deliveries of controlled substances between all locations of the agency.  Following the Act, 21 U.S.C. 823(j)(9)(B)(ii), DEA also proposes in § 1304.04(a)(5) to require that records be maintained, whether electronically or otherwise, at each registered and designated location of the agency where the controlled substances involved are received, administered, or otherwise disposed of. </w:t>
      </w:r>
    </w:p>
    <w:p w:rsidRPr="00F162AA" w:rsidR="00E903F7" w:rsidP="00E903F7" w:rsidRDefault="00E903F7" w14:paraId="39B9A6EC" w14:textId="77777777">
      <w:pPr>
        <w:tabs>
          <w:tab w:val="left" w:pos="720"/>
          <w:tab w:val="left" w:pos="1440"/>
          <w:tab w:val="left" w:pos="2160"/>
        </w:tabs>
        <w:rPr>
          <w:rFonts w:ascii="Times New Roman" w:hAnsi="Times New Roman"/>
          <w:noProof w:val="0"/>
          <w:sz w:val="24"/>
        </w:rPr>
      </w:pPr>
    </w:p>
    <w:p w:rsidRPr="00F162AA" w:rsidR="00E903F7" w:rsidP="00E903F7" w:rsidRDefault="00E903F7" w14:paraId="14FBF028" w14:textId="4DD1D2DE">
      <w:pPr>
        <w:tabs>
          <w:tab w:val="left" w:pos="720"/>
          <w:tab w:val="left" w:pos="1440"/>
          <w:tab w:val="left" w:pos="2160"/>
        </w:tabs>
        <w:rPr>
          <w:rFonts w:ascii="Times New Roman" w:hAnsi="Times New Roman"/>
          <w:noProof w:val="0"/>
          <w:sz w:val="24"/>
        </w:rPr>
      </w:pPr>
      <w:r w:rsidRPr="00F162AA">
        <w:rPr>
          <w:rFonts w:ascii="Times New Roman" w:hAnsi="Times New Roman"/>
          <w:noProof w:val="0"/>
          <w:sz w:val="24"/>
        </w:rPr>
        <w:t>Because EMS agencies have a unique registration that differs from other types of registrants, DEA is also proposing to add a new section to its regulations that describes the additional recordkeeping requirements applicable to EMS agencies.  Consistent with the Act’s amendments to the CSA, 21 U.S.C. 823(j)(9), proposed § 1304.27(a) would require an EMS agency to maintain records for each controlled substance administered or disposed of in the course of providing emergency medical services.  Under proposed § 1304.27(a), any EMS personnel who disposes of or administers controlled substances to a patient in the course of providing emergency medical care must record the name of the controlled substance(s) and detailed information about the circumstances surrounding the administration of the controlled substance(s) (e.g., name of the substance, date dispensed, identification of the patient).  EMS personnel do not have independent authority to administer controlled substances; therefore, more stringent recordkeeping requirements are necessary when allowing administration of controlled substances without direct oversight.</w:t>
      </w:r>
    </w:p>
    <w:p w:rsidRPr="00F162AA" w:rsidR="00E903F7" w:rsidP="00E903F7" w:rsidRDefault="00E903F7" w14:paraId="238A36A5" w14:textId="77777777">
      <w:pPr>
        <w:tabs>
          <w:tab w:val="left" w:pos="720"/>
          <w:tab w:val="left" w:pos="1440"/>
          <w:tab w:val="left" w:pos="2160"/>
        </w:tabs>
        <w:rPr>
          <w:rFonts w:ascii="Times New Roman" w:hAnsi="Times New Roman"/>
          <w:noProof w:val="0"/>
          <w:sz w:val="24"/>
        </w:rPr>
      </w:pPr>
    </w:p>
    <w:p w:rsidRPr="00F162AA" w:rsidR="00E903F7" w:rsidP="00E903F7" w:rsidRDefault="00E903F7" w14:paraId="2038DA71" w14:textId="0F09AD34">
      <w:pPr>
        <w:tabs>
          <w:tab w:val="left" w:pos="720"/>
          <w:tab w:val="left" w:pos="1440"/>
          <w:tab w:val="left" w:pos="2160"/>
        </w:tabs>
        <w:rPr>
          <w:rFonts w:ascii="Times New Roman" w:hAnsi="Times New Roman"/>
          <w:noProof w:val="0"/>
          <w:sz w:val="24"/>
        </w:rPr>
      </w:pPr>
      <w:r w:rsidRPr="00F162AA">
        <w:rPr>
          <w:rFonts w:ascii="Times New Roman" w:hAnsi="Times New Roman"/>
          <w:noProof w:val="0"/>
          <w:sz w:val="24"/>
        </w:rPr>
        <w:t xml:space="preserve">DEA proposes in § 1304.27(b)(3) that an EMS agency must maintain records of controlled substances delivered between registered and designated locations of the agency (except agencies restocking at the hospital under which the EMS agency is operating, because the hospital is required to keep records of such restocking).  These records, for example, should include the name of the controlled substance(s), finished form, number of units in the commercial container, </w:t>
      </w:r>
      <w:r w:rsidRPr="00F162AA">
        <w:rPr>
          <w:rFonts w:ascii="Times New Roman" w:hAnsi="Times New Roman"/>
          <w:noProof w:val="0"/>
          <w:sz w:val="24"/>
        </w:rPr>
        <w:lastRenderedPageBreak/>
        <w:t>date delivered, and the address of the EMS agency location where the controlled substances were delivered.  In the event of theft or loss of controlled substances, registrants must report such occurrence in accordance with the theft and loss reporting requirements of 21 CFR part 1304.</w:t>
      </w:r>
    </w:p>
    <w:p w:rsidRPr="00F162AA" w:rsidR="00E903F7" w:rsidP="00E903F7" w:rsidRDefault="00E903F7" w14:paraId="6EBAC939" w14:textId="77777777">
      <w:pPr>
        <w:tabs>
          <w:tab w:val="left" w:pos="720"/>
          <w:tab w:val="left" w:pos="1440"/>
          <w:tab w:val="left" w:pos="2160"/>
        </w:tabs>
        <w:rPr>
          <w:rFonts w:ascii="Times New Roman" w:hAnsi="Times New Roman"/>
          <w:noProof w:val="0"/>
          <w:sz w:val="24"/>
        </w:rPr>
      </w:pPr>
    </w:p>
    <w:p w:rsidRPr="00F162AA" w:rsidR="00E903F7" w:rsidP="00E903F7" w:rsidRDefault="00E903F7" w14:paraId="16A22C2C" w14:textId="39655106">
      <w:pPr>
        <w:tabs>
          <w:tab w:val="left" w:pos="720"/>
          <w:tab w:val="left" w:pos="1440"/>
          <w:tab w:val="left" w:pos="2160"/>
        </w:tabs>
        <w:rPr>
          <w:rFonts w:ascii="Times New Roman" w:hAnsi="Times New Roman"/>
          <w:noProof w:val="0"/>
          <w:sz w:val="24"/>
        </w:rPr>
      </w:pPr>
      <w:r w:rsidRPr="00F162AA">
        <w:rPr>
          <w:rFonts w:ascii="Times New Roman" w:hAnsi="Times New Roman"/>
          <w:noProof w:val="0"/>
          <w:sz w:val="24"/>
        </w:rPr>
        <w:t>Finally, under 21 U.S.C. § 823(j)(8)(c) of the Act, designated locations of an EMS agency must notify the registered location of their EMS agency within 72 hours of receiving controlled substances from a hospital for the purpose of restocking an EMS vehicle following an emergency response.  DEA’s proposed § 1304.27(c) would codify this requirement in DEA regulations.  However, EMS agencies that operate under a hospital-based registration and receive restock of controlled substances from the hospital under which the agency is operating would be exempt from these requirements.  In this specific instance, under proposed § 1307.14(a)(2), hospitals would already have a record of the controlled substances that the hospital delivered to the EMS agency operating under that hospital’s registration.  As such, it would be duplicative to require that EMS agency to obtain a receipt of those controlled substances because the EMS agency would be reporting receipt of the controlled substances back to the hospital that issued the controlled substances in the first place.</w:t>
      </w:r>
    </w:p>
    <w:p w:rsidR="001A64B0" w:rsidP="00E903F7" w:rsidRDefault="001A64B0" w14:paraId="6B7545E3" w14:textId="77777777">
      <w:pPr>
        <w:rPr>
          <w:rFonts w:ascii="Times New Roman" w:hAnsi="Times New Roman"/>
          <w:noProof w:val="0"/>
          <w:sz w:val="24"/>
        </w:rPr>
      </w:pPr>
    </w:p>
    <w:p w:rsidR="004202AA" w:rsidRDefault="000C1537" w14:paraId="0D07142C" w14:textId="77777777">
      <w:pPr>
        <w:rPr>
          <w:rFonts w:ascii="Times New Roman" w:hAnsi="Times New Roman"/>
          <w:noProof w:val="0"/>
          <w:sz w:val="24"/>
        </w:rPr>
      </w:pPr>
      <w:r>
        <w:rPr>
          <w:rFonts w:ascii="Times New Roman" w:hAnsi="Times New Roman"/>
          <w:noProof w:val="0"/>
          <w:sz w:val="24"/>
        </w:rPr>
        <w:t xml:space="preserve">3. </w:t>
      </w:r>
      <w:r w:rsidR="00090C0E">
        <w:rPr>
          <w:rFonts w:ascii="Times New Roman" w:hAnsi="Times New Roman"/>
          <w:noProof w:val="0"/>
          <w:sz w:val="24"/>
        </w:rPr>
        <w:t xml:space="preserve"> </w:t>
      </w:r>
      <w:r w:rsidRPr="00CE3759" w:rsidR="00F304A0">
        <w:rPr>
          <w:rFonts w:ascii="Times New Roman" w:hAnsi="Times New Roman"/>
          <w:noProof w:val="0"/>
          <w:sz w:val="24"/>
          <w:u w:val="single"/>
        </w:rPr>
        <w:t xml:space="preserve">Use of Information </w:t>
      </w:r>
      <w:r w:rsidRPr="00CE3759" w:rsidR="004202AA">
        <w:rPr>
          <w:rFonts w:ascii="Times New Roman" w:hAnsi="Times New Roman"/>
          <w:noProof w:val="0"/>
          <w:sz w:val="24"/>
          <w:u w:val="single"/>
        </w:rPr>
        <w:t>Technology:</w:t>
      </w:r>
    </w:p>
    <w:p w:rsidR="00B91C3E" w:rsidRDefault="00B91C3E" w14:paraId="639DA0FE" w14:textId="77777777">
      <w:pPr>
        <w:tabs>
          <w:tab w:val="left" w:pos="720"/>
          <w:tab w:val="left" w:pos="1440"/>
          <w:tab w:val="left" w:pos="2160"/>
        </w:tabs>
        <w:rPr>
          <w:rFonts w:ascii="Times New Roman" w:hAnsi="Times New Roman"/>
          <w:sz w:val="24"/>
        </w:rPr>
      </w:pPr>
    </w:p>
    <w:p w:rsidR="00B91C3E" w:rsidP="00770242" w:rsidRDefault="00770242" w14:paraId="31361547" w14:textId="5B14851F">
      <w:pPr>
        <w:tabs>
          <w:tab w:val="left" w:pos="720"/>
          <w:tab w:val="left" w:pos="1440"/>
          <w:tab w:val="left" w:pos="2160"/>
        </w:tabs>
        <w:rPr>
          <w:rFonts w:ascii="Times New Roman" w:hAnsi="Times New Roman"/>
          <w:sz w:val="24"/>
        </w:rPr>
      </w:pPr>
      <w:r w:rsidRPr="00770242">
        <w:rPr>
          <w:rFonts w:ascii="Times New Roman" w:hAnsi="Times New Roman"/>
          <w:sz w:val="24"/>
        </w:rPr>
        <w:t xml:space="preserve">DEA registrants are required by statute to maintain inventory and continuing records.  The form is specified only to the extent that such records must be maintained separately from all other records of the registrant or, alternatively, in the case of non-narcotic controlled substances, be in such a form that required information is readily retrievable from the ordinary business records of the registrant.  Such records must be kept and be available for at least two years.  21 U.S.C. 827.  These requirements give registrants the flexibility to implement any type of recordkeeping system, whether automated, electronic, mechanical, or any other type of improved information technology.   </w:t>
      </w:r>
    </w:p>
    <w:p w:rsidR="001A64B0" w:rsidRDefault="001A64B0" w14:paraId="02DB18F1" w14:textId="77777777">
      <w:pPr>
        <w:rPr>
          <w:rFonts w:ascii="Times New Roman" w:hAnsi="Times New Roman"/>
          <w:sz w:val="24"/>
        </w:rPr>
      </w:pPr>
    </w:p>
    <w:p w:rsidR="004202AA" w:rsidRDefault="000C1537" w14:paraId="2A58885B" w14:textId="7777777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4. </w:t>
      </w:r>
      <w:r w:rsidR="00090C0E">
        <w:rPr>
          <w:rFonts w:ascii="Times New Roman" w:hAnsi="Times New Roman"/>
          <w:noProof w:val="0"/>
          <w:sz w:val="24"/>
        </w:rPr>
        <w:t xml:space="preserve"> </w:t>
      </w:r>
      <w:r w:rsidRPr="00B051D2" w:rsidR="004202AA">
        <w:rPr>
          <w:rFonts w:ascii="Times New Roman" w:hAnsi="Times New Roman"/>
          <w:noProof w:val="0"/>
          <w:sz w:val="24"/>
          <w:u w:val="single"/>
        </w:rPr>
        <w:t>Efforts to Identify Duplication:</w:t>
      </w:r>
    </w:p>
    <w:p w:rsidR="00CE207E" w:rsidP="00E903F7" w:rsidRDefault="00CE207E" w14:paraId="2173C462" w14:textId="77777777">
      <w:pPr>
        <w:jc w:val="both"/>
        <w:rPr>
          <w:rFonts w:ascii="Times New Roman" w:hAnsi="Times New Roman"/>
          <w:noProof w:val="0"/>
          <w:sz w:val="28"/>
          <w:szCs w:val="28"/>
        </w:rPr>
      </w:pPr>
    </w:p>
    <w:p w:rsidRPr="007B72F7" w:rsidR="007B72F7" w:rsidP="007B72F7" w:rsidRDefault="007B72F7" w14:paraId="1BE63F2D" w14:textId="12FDA40A">
      <w:pPr>
        <w:jc w:val="both"/>
        <w:rPr>
          <w:rFonts w:ascii="Times New Roman" w:hAnsi="Times New Roman"/>
          <w:noProof w:val="0"/>
          <w:sz w:val="24"/>
          <w:szCs w:val="24"/>
        </w:rPr>
      </w:pPr>
      <w:r w:rsidRPr="007B72F7">
        <w:rPr>
          <w:rFonts w:ascii="Times New Roman" w:hAnsi="Times New Roman"/>
          <w:noProof w:val="0"/>
          <w:sz w:val="24"/>
          <w:szCs w:val="24"/>
        </w:rPr>
        <w:t xml:space="preserve">DEA has made efforts to identify and prevent duplication of </w:t>
      </w:r>
      <w:r>
        <w:rPr>
          <w:rFonts w:ascii="Times New Roman" w:hAnsi="Times New Roman"/>
          <w:noProof w:val="0"/>
          <w:sz w:val="24"/>
          <w:szCs w:val="24"/>
        </w:rPr>
        <w:t xml:space="preserve">the collection of information.  </w:t>
      </w:r>
      <w:r w:rsidRPr="007B72F7">
        <w:rPr>
          <w:rFonts w:ascii="Times New Roman" w:hAnsi="Times New Roman"/>
          <w:noProof w:val="0"/>
          <w:sz w:val="24"/>
          <w:szCs w:val="24"/>
        </w:rPr>
        <w:t>The collection of this information is unique to DEA.</w:t>
      </w:r>
      <w:r>
        <w:rPr>
          <w:rFonts w:ascii="Times New Roman" w:hAnsi="Times New Roman"/>
          <w:noProof w:val="0"/>
          <w:sz w:val="24"/>
          <w:szCs w:val="24"/>
        </w:rPr>
        <w:t xml:space="preserve">  </w:t>
      </w:r>
      <w:r w:rsidRPr="007B72F7">
        <w:rPr>
          <w:rFonts w:ascii="Times New Roman" w:hAnsi="Times New Roman"/>
          <w:noProof w:val="0"/>
          <w:sz w:val="24"/>
          <w:szCs w:val="24"/>
        </w:rPr>
        <w:t>Therefore, there is no duplication of information requested as part of this collection.</w:t>
      </w:r>
    </w:p>
    <w:p w:rsidR="00AF2AFA" w:rsidP="00E903F7" w:rsidRDefault="00AF2AFA" w14:paraId="7F7E0735" w14:textId="70C04A10">
      <w:pPr>
        <w:tabs>
          <w:tab w:val="left" w:pos="720"/>
          <w:tab w:val="left" w:pos="1440"/>
          <w:tab w:val="left" w:pos="2160"/>
        </w:tabs>
        <w:rPr>
          <w:rFonts w:ascii="Times New Roman" w:hAnsi="Times New Roman"/>
          <w:noProof w:val="0"/>
          <w:sz w:val="24"/>
        </w:rPr>
      </w:pPr>
    </w:p>
    <w:p w:rsidR="004202AA" w:rsidP="00770242" w:rsidRDefault="000C1537" w14:paraId="20E768AD" w14:textId="7777777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5. </w:t>
      </w:r>
      <w:r w:rsidR="00090C0E">
        <w:rPr>
          <w:rFonts w:ascii="Times New Roman" w:hAnsi="Times New Roman"/>
          <w:noProof w:val="0"/>
          <w:sz w:val="24"/>
        </w:rPr>
        <w:t xml:space="preserve"> </w:t>
      </w:r>
      <w:r w:rsidRPr="00B051D2" w:rsidR="00B051D2">
        <w:rPr>
          <w:rFonts w:ascii="Times New Roman" w:hAnsi="Times New Roman"/>
          <w:noProof w:val="0"/>
          <w:sz w:val="24"/>
          <w:u w:val="single"/>
        </w:rPr>
        <w:t>Impact on Small Businesses or Entities</w:t>
      </w:r>
      <w:r w:rsidRPr="00B051D2" w:rsidR="004202AA">
        <w:rPr>
          <w:rFonts w:ascii="Times New Roman" w:hAnsi="Times New Roman"/>
          <w:noProof w:val="0"/>
          <w:sz w:val="24"/>
          <w:u w:val="single"/>
        </w:rPr>
        <w:t>:</w:t>
      </w:r>
    </w:p>
    <w:p w:rsidR="001A64B0" w:rsidP="00770242" w:rsidRDefault="001A64B0" w14:paraId="68A78864" w14:textId="77777777">
      <w:pPr>
        <w:rPr>
          <w:rFonts w:ascii="Times New Roman" w:hAnsi="Times New Roman"/>
          <w:noProof w:val="0"/>
          <w:sz w:val="24"/>
        </w:rPr>
      </w:pPr>
    </w:p>
    <w:p w:rsidRPr="00770242" w:rsidR="00770242" w:rsidP="00AF6F17" w:rsidRDefault="00770242" w14:paraId="6577BBFC" w14:textId="37C57B90">
      <w:pPr>
        <w:tabs>
          <w:tab w:val="left" w:pos="450"/>
          <w:tab w:val="left" w:pos="720"/>
        </w:tabs>
        <w:rPr>
          <w:rFonts w:ascii="Times New Roman" w:hAnsi="Times New Roman"/>
          <w:noProof w:val="0"/>
          <w:sz w:val="24"/>
          <w:szCs w:val="24"/>
        </w:rPr>
      </w:pPr>
      <w:r w:rsidRPr="00770242">
        <w:rPr>
          <w:rFonts w:ascii="Times New Roman" w:hAnsi="Times New Roman"/>
          <w:noProof w:val="0"/>
          <w:sz w:val="24"/>
          <w:szCs w:val="24"/>
        </w:rPr>
        <w:t>DEA has considered alternatives for this collection of information and evaluated the impact of this proposed rule on small entities.  DEA has concluded that the rule will not, if promulgated, have a significant economic impact on a substantial number of small entities</w:t>
      </w:r>
      <w:r w:rsidR="00E63B60">
        <w:rPr>
          <w:rFonts w:ascii="Times New Roman" w:hAnsi="Times New Roman"/>
          <w:noProof w:val="0"/>
          <w:sz w:val="24"/>
          <w:szCs w:val="24"/>
        </w:rPr>
        <w:t>, within the meaning of the Regulatory Flexibility Act, 5 U.S.C. 601-612</w:t>
      </w:r>
      <w:r w:rsidRPr="00770242">
        <w:rPr>
          <w:rFonts w:ascii="Times New Roman" w:hAnsi="Times New Roman"/>
          <w:noProof w:val="0"/>
          <w:sz w:val="24"/>
          <w:szCs w:val="24"/>
        </w:rPr>
        <w:t>.  For more information, see DEA’s analysis for this rule under t</w:t>
      </w:r>
      <w:r>
        <w:rPr>
          <w:rFonts w:ascii="Times New Roman" w:hAnsi="Times New Roman"/>
          <w:noProof w:val="0"/>
          <w:sz w:val="24"/>
          <w:szCs w:val="24"/>
        </w:rPr>
        <w:t>he Regulatory Flexibility Act.</w:t>
      </w:r>
    </w:p>
    <w:p w:rsidR="00E975C5" w:rsidP="00770242" w:rsidRDefault="00E975C5" w14:paraId="6BF0C63E" w14:textId="77777777">
      <w:pPr>
        <w:rPr>
          <w:rFonts w:ascii="Times New Roman" w:hAnsi="Times New Roman"/>
          <w:noProof w:val="0"/>
          <w:sz w:val="24"/>
        </w:rPr>
      </w:pPr>
    </w:p>
    <w:p w:rsidR="004202AA" w:rsidP="00770242" w:rsidRDefault="000C1537" w14:paraId="0EF23415" w14:textId="77777777">
      <w:pPr>
        <w:rPr>
          <w:rFonts w:ascii="Times New Roman" w:hAnsi="Times New Roman"/>
          <w:noProof w:val="0"/>
          <w:sz w:val="24"/>
        </w:rPr>
      </w:pPr>
      <w:r>
        <w:rPr>
          <w:rFonts w:ascii="Times New Roman" w:hAnsi="Times New Roman"/>
          <w:noProof w:val="0"/>
          <w:sz w:val="24"/>
        </w:rPr>
        <w:t xml:space="preserve">6. </w:t>
      </w:r>
      <w:r w:rsidR="00090C0E">
        <w:rPr>
          <w:rFonts w:ascii="Times New Roman" w:hAnsi="Times New Roman"/>
          <w:noProof w:val="0"/>
          <w:sz w:val="24"/>
        </w:rPr>
        <w:t xml:space="preserve"> </w:t>
      </w:r>
      <w:r w:rsidRPr="00B051D2" w:rsidR="004202AA">
        <w:rPr>
          <w:rFonts w:ascii="Times New Roman" w:hAnsi="Times New Roman"/>
          <w:noProof w:val="0"/>
          <w:sz w:val="24"/>
          <w:u w:val="single"/>
        </w:rPr>
        <w:t>Consequences of Less Frequent Collection:</w:t>
      </w:r>
    </w:p>
    <w:p w:rsidR="001A64B0" w:rsidP="00770242" w:rsidRDefault="001A64B0" w14:paraId="7CC4D155" w14:textId="77777777">
      <w:pPr>
        <w:rPr>
          <w:rFonts w:ascii="Times New Roman" w:hAnsi="Times New Roman"/>
          <w:noProof w:val="0"/>
          <w:sz w:val="24"/>
        </w:rPr>
      </w:pPr>
    </w:p>
    <w:p w:rsidR="008964A5" w:rsidP="00AF6F17" w:rsidRDefault="00770242" w14:paraId="259FA390" w14:textId="51A156A4">
      <w:pPr>
        <w:rPr>
          <w:rFonts w:ascii="Times New Roman" w:hAnsi="Times New Roman"/>
          <w:noProof w:val="0"/>
          <w:sz w:val="24"/>
        </w:rPr>
      </w:pPr>
      <w:r w:rsidRPr="00770242">
        <w:rPr>
          <w:rFonts w:ascii="Times New Roman" w:hAnsi="Times New Roman"/>
          <w:noProof w:val="0"/>
          <w:sz w:val="24"/>
        </w:rPr>
        <w:t>EMS agencies are typically the last registrants to possess controlled substances prior to administering to a patient at the scene of an emergency.  As such, the two-registrant integrity system does not exist beyond the transfer to an EMS agency, in the traditional sense of registrant recordkeeping.  Therefore, if the proposed collection of information is not conducted or is conducted less frequently, there is a heightened risk of diversion.  This information is vital to the enforcement of the CSA and helps DEA to reduce the diversion of controlled substances outside of legitimate channels into the illicit marke</w:t>
      </w:r>
      <w:r>
        <w:rPr>
          <w:rFonts w:ascii="Times New Roman" w:hAnsi="Times New Roman"/>
          <w:noProof w:val="0"/>
          <w:sz w:val="24"/>
        </w:rPr>
        <w:t>t.</w:t>
      </w:r>
    </w:p>
    <w:p w:rsidR="00770242" w:rsidP="00770242" w:rsidRDefault="00770242" w14:paraId="59930E83" w14:textId="77777777">
      <w:pPr>
        <w:rPr>
          <w:rFonts w:ascii="Times New Roman" w:hAnsi="Times New Roman"/>
          <w:noProof w:val="0"/>
          <w:sz w:val="24"/>
        </w:rPr>
      </w:pPr>
    </w:p>
    <w:p w:rsidR="004202AA" w:rsidP="00770242" w:rsidRDefault="000C1537" w14:paraId="7852A48D" w14:textId="7777777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7. </w:t>
      </w:r>
      <w:r w:rsidR="00090C0E">
        <w:rPr>
          <w:rFonts w:ascii="Times New Roman" w:hAnsi="Times New Roman"/>
          <w:noProof w:val="0"/>
          <w:sz w:val="24"/>
        </w:rPr>
        <w:t xml:space="preserve"> </w:t>
      </w:r>
      <w:r w:rsidRPr="00B051D2" w:rsidR="004202AA">
        <w:rPr>
          <w:rFonts w:ascii="Times New Roman" w:hAnsi="Times New Roman"/>
          <w:noProof w:val="0"/>
          <w:sz w:val="24"/>
          <w:u w:val="single"/>
        </w:rPr>
        <w:t>Special Circumstances Influencing Collection:</w:t>
      </w:r>
    </w:p>
    <w:p w:rsidR="001A64B0" w:rsidP="00770242" w:rsidRDefault="001A64B0" w14:paraId="157F9BE1" w14:textId="77777777">
      <w:pPr>
        <w:rPr>
          <w:rFonts w:ascii="Times New Roman" w:hAnsi="Times New Roman"/>
          <w:noProof w:val="0"/>
          <w:sz w:val="24"/>
        </w:rPr>
      </w:pPr>
    </w:p>
    <w:p w:rsidRPr="00770242" w:rsidR="00CE207E" w:rsidP="00AF6F17" w:rsidRDefault="00770242" w14:paraId="19992B7C" w14:textId="2FE3B853">
      <w:pPr>
        <w:tabs>
          <w:tab w:val="left" w:pos="450"/>
          <w:tab w:val="left" w:pos="720"/>
        </w:tabs>
        <w:rPr>
          <w:rFonts w:ascii="Times New Roman" w:hAnsi="Times New Roman"/>
          <w:noProof w:val="0"/>
          <w:sz w:val="24"/>
          <w:szCs w:val="24"/>
        </w:rPr>
      </w:pPr>
      <w:r w:rsidRPr="00770242">
        <w:rPr>
          <w:rFonts w:ascii="Times New Roman" w:hAnsi="Times New Roman"/>
          <w:noProof w:val="0"/>
          <w:sz w:val="24"/>
          <w:szCs w:val="24"/>
        </w:rPr>
        <w:t xml:space="preserve">DEA does not foresee any special circumstances that would cause an information collection to be conducted in a particular manner:  requiring respondents to report information to the agency more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 </w:t>
      </w:r>
    </w:p>
    <w:p w:rsidR="00695627" w:rsidP="00770242" w:rsidRDefault="00695627" w14:paraId="2425ED5E" w14:textId="77777777">
      <w:pPr>
        <w:rPr>
          <w:rFonts w:ascii="Times New Roman" w:hAnsi="Times New Roman"/>
          <w:noProof w:val="0"/>
          <w:sz w:val="24"/>
        </w:rPr>
      </w:pPr>
    </w:p>
    <w:p w:rsidR="008E7B3E" w:rsidRDefault="000C1537" w14:paraId="5E100743" w14:textId="7777777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8. </w:t>
      </w:r>
      <w:r w:rsidR="00090C0E">
        <w:rPr>
          <w:rFonts w:ascii="Times New Roman" w:hAnsi="Times New Roman"/>
          <w:noProof w:val="0"/>
          <w:sz w:val="24"/>
        </w:rPr>
        <w:t xml:space="preserve"> </w:t>
      </w:r>
      <w:r w:rsidRPr="00B051D2" w:rsidR="00B051D2">
        <w:rPr>
          <w:rFonts w:ascii="Times New Roman" w:hAnsi="Times New Roman"/>
          <w:noProof w:val="0"/>
          <w:sz w:val="24"/>
          <w:u w:val="single"/>
        </w:rPr>
        <w:t>Consultation with persons outside the Agency</w:t>
      </w:r>
      <w:r w:rsidRPr="00B051D2" w:rsidR="008E7B3E">
        <w:rPr>
          <w:rFonts w:ascii="Times New Roman" w:hAnsi="Times New Roman"/>
          <w:noProof w:val="0"/>
          <w:sz w:val="24"/>
          <w:u w:val="single"/>
        </w:rPr>
        <w:t>:</w:t>
      </w:r>
    </w:p>
    <w:p w:rsidRPr="00BE72C8" w:rsidR="001A64B0" w:rsidRDefault="001A64B0" w14:paraId="27F3868F" w14:textId="77777777">
      <w:pPr>
        <w:rPr>
          <w:rFonts w:ascii="Times New Roman" w:hAnsi="Times New Roman"/>
          <w:noProof w:val="0"/>
          <w:sz w:val="24"/>
          <w:szCs w:val="24"/>
        </w:rPr>
      </w:pPr>
    </w:p>
    <w:p w:rsidR="001D00A4" w:rsidP="001D00A4" w:rsidRDefault="00875400" w14:paraId="7C575E1B" w14:textId="77777777">
      <w:pPr>
        <w:rPr>
          <w:rFonts w:ascii="Times New Roman" w:hAnsi="Times New Roman" w:eastAsia="Calibri"/>
          <w:noProof w:val="0"/>
          <w:sz w:val="24"/>
          <w:szCs w:val="24"/>
        </w:rPr>
      </w:pPr>
      <w:r>
        <w:rPr>
          <w:rFonts w:ascii="Times New Roman" w:hAnsi="Times New Roman"/>
          <w:sz w:val="24"/>
          <w:szCs w:val="24"/>
        </w:rPr>
        <w:t xml:space="preserve">Public comment has been solicited in the </w:t>
      </w:r>
      <w:r w:rsidRPr="001F7E77" w:rsidR="001F7E77">
        <w:rPr>
          <w:rFonts w:ascii="Times New Roman" w:hAnsi="Times New Roman"/>
          <w:sz w:val="24"/>
          <w:szCs w:val="24"/>
        </w:rPr>
        <w:t>notice of proposed rulemaking (NPRM)</w:t>
      </w:r>
      <w:r>
        <w:rPr>
          <w:rFonts w:ascii="Times New Roman" w:hAnsi="Times New Roman"/>
          <w:sz w:val="24"/>
          <w:szCs w:val="24"/>
        </w:rPr>
        <w:t>, published on</w:t>
      </w:r>
      <w:r w:rsidRPr="001F7E77" w:rsidR="001F7E77">
        <w:rPr>
          <w:rFonts w:ascii="Times New Roman" w:hAnsi="Times New Roman"/>
          <w:sz w:val="24"/>
          <w:szCs w:val="24"/>
        </w:rPr>
        <w:t xml:space="preserve"> October 5, 2020</w:t>
      </w:r>
      <w:r>
        <w:rPr>
          <w:rFonts w:ascii="Times New Roman" w:hAnsi="Times New Roman"/>
          <w:sz w:val="24"/>
          <w:szCs w:val="24"/>
        </w:rPr>
        <w:t>.</w:t>
      </w:r>
      <w:r w:rsidRPr="001F7E77" w:rsidR="001F7E77">
        <w:rPr>
          <w:rFonts w:ascii="Times New Roman" w:hAnsi="Times New Roman"/>
          <w:sz w:val="24"/>
          <w:szCs w:val="24"/>
        </w:rPr>
        <w:t xml:space="preserve"> </w:t>
      </w:r>
      <w:r>
        <w:rPr>
          <w:rFonts w:ascii="Times New Roman" w:hAnsi="Times New Roman"/>
          <w:sz w:val="24"/>
          <w:szCs w:val="24"/>
        </w:rPr>
        <w:t xml:space="preserve"> </w:t>
      </w:r>
      <w:r w:rsidRPr="001F7E77">
        <w:rPr>
          <w:rFonts w:ascii="Times New Roman" w:hAnsi="Times New Roman"/>
          <w:sz w:val="24"/>
          <w:szCs w:val="24"/>
        </w:rPr>
        <w:t xml:space="preserve">85 FR 62634.  </w:t>
      </w:r>
      <w:r>
        <w:rPr>
          <w:rFonts w:ascii="Times New Roman" w:hAnsi="Times New Roman"/>
          <w:sz w:val="24"/>
          <w:szCs w:val="24"/>
        </w:rPr>
        <w:t xml:space="preserve">During the 60-day comment period, </w:t>
      </w:r>
      <w:r w:rsidRPr="00E32426">
        <w:rPr>
          <w:rFonts w:ascii="Times New Roman" w:hAnsi="Times New Roman"/>
          <w:sz w:val="24"/>
          <w:szCs w:val="24"/>
        </w:rPr>
        <w:t>DEA</w:t>
      </w:r>
      <w:r w:rsidRPr="00E32426">
        <w:rPr>
          <w:rFonts w:ascii="Times New Roman" w:hAnsi="Times New Roman"/>
          <w:b/>
          <w:sz w:val="24"/>
          <w:szCs w:val="24"/>
        </w:rPr>
        <w:t xml:space="preserve"> </w:t>
      </w:r>
      <w:r w:rsidRPr="00E32426">
        <w:rPr>
          <w:rFonts w:ascii="Times New Roman" w:hAnsi="Times New Roman"/>
          <w:sz w:val="24"/>
          <w:szCs w:val="24"/>
        </w:rPr>
        <w:t>receive</w:t>
      </w:r>
      <w:r>
        <w:rPr>
          <w:rFonts w:ascii="Times New Roman" w:hAnsi="Times New Roman"/>
          <w:sz w:val="24"/>
          <w:szCs w:val="24"/>
        </w:rPr>
        <w:t>d 30</w:t>
      </w:r>
      <w:r w:rsidRPr="00E32426">
        <w:rPr>
          <w:rFonts w:ascii="Times New Roman" w:hAnsi="Times New Roman"/>
          <w:sz w:val="24"/>
          <w:szCs w:val="24"/>
        </w:rPr>
        <w:t xml:space="preserve"> comments concerning this collection</w:t>
      </w:r>
      <w:r>
        <w:rPr>
          <w:rFonts w:ascii="Times New Roman" w:hAnsi="Times New Roman"/>
          <w:b/>
          <w:sz w:val="24"/>
          <w:szCs w:val="24"/>
        </w:rPr>
        <w:t xml:space="preserve">.   </w:t>
      </w:r>
      <w:r w:rsidR="001D00A4">
        <w:rPr>
          <w:rFonts w:ascii="Times New Roman" w:hAnsi="Times New Roman" w:eastAsia="Calibri"/>
          <w:noProof w:val="0"/>
          <w:sz w:val="24"/>
          <w:szCs w:val="24"/>
        </w:rPr>
        <w:t xml:space="preserve">Many commenters </w:t>
      </w:r>
      <w:r w:rsidRPr="00566957" w:rsidR="00566957">
        <w:rPr>
          <w:rFonts w:ascii="Times New Roman" w:hAnsi="Times New Roman" w:eastAsia="Calibri"/>
          <w:noProof w:val="0"/>
          <w:sz w:val="24"/>
          <w:szCs w:val="24"/>
        </w:rPr>
        <w:t>strongly urged DEA to remove the requirement for the medical director or authorizing medical professional to provide initials in the record in proposed § 1304.27(a)</w:t>
      </w:r>
      <w:r w:rsidR="001D00A4">
        <w:rPr>
          <w:rFonts w:ascii="Times New Roman" w:hAnsi="Times New Roman" w:eastAsia="Calibri"/>
          <w:noProof w:val="0"/>
          <w:sz w:val="24"/>
          <w:szCs w:val="24"/>
        </w:rPr>
        <w:t>.  These commenters</w:t>
      </w:r>
      <w:r w:rsidRPr="00566957" w:rsidR="00566957">
        <w:rPr>
          <w:rFonts w:ascii="Times New Roman" w:hAnsi="Times New Roman" w:eastAsia="Calibri"/>
          <w:noProof w:val="0"/>
          <w:sz w:val="24"/>
          <w:szCs w:val="24"/>
        </w:rPr>
        <w:t xml:space="preserve"> further noted that the standard electronic health records utilized for emergency medical services do not routinely provide a means by which the medical director can initial the chart.    </w:t>
      </w:r>
    </w:p>
    <w:p w:rsidR="001D00A4" w:rsidP="001D00A4" w:rsidRDefault="001D00A4" w14:paraId="7E72DEF3" w14:textId="77777777">
      <w:pPr>
        <w:rPr>
          <w:rFonts w:ascii="Times New Roman" w:hAnsi="Times New Roman" w:eastAsia="Calibri"/>
          <w:noProof w:val="0"/>
          <w:sz w:val="24"/>
          <w:szCs w:val="24"/>
        </w:rPr>
      </w:pPr>
    </w:p>
    <w:p w:rsidRPr="00566957" w:rsidR="00566957" w:rsidP="001D00A4" w:rsidRDefault="00566957" w14:paraId="456D85AA" w14:textId="2C561BBD">
      <w:pPr>
        <w:rPr>
          <w:rFonts w:ascii="Times New Roman" w:hAnsi="Times New Roman" w:eastAsia="Calibri"/>
          <w:noProof w:val="0"/>
          <w:sz w:val="24"/>
          <w:szCs w:val="24"/>
        </w:rPr>
      </w:pPr>
      <w:r w:rsidRPr="00566957">
        <w:rPr>
          <w:rFonts w:ascii="Times New Roman" w:hAnsi="Times New Roman" w:eastAsia="Calibri"/>
          <w:noProof w:val="0"/>
          <w:sz w:val="24"/>
          <w:szCs w:val="24"/>
        </w:rPr>
        <w:t xml:space="preserve">Additionally, many commenters suggested that getting the medical director to initial every time a controlled substance is administered would create an undue burden on the EMS system and the medical professionals overseeing them.  The commenters further noted that the law already requires that there be an existing protocol or verbal order in place permitting the paramedic permission to administer the medication.  Therefore, the commenters stated that physically or electronically tracking down the medical professional giving the order is impractical and problematic.    </w:t>
      </w:r>
    </w:p>
    <w:p w:rsidRPr="003F21E0" w:rsidR="009151B2" w:rsidP="00AF6F17" w:rsidRDefault="009151B2" w14:paraId="2C2EDBE1" w14:textId="6C4DA28F">
      <w:pPr>
        <w:rPr>
          <w:rFonts w:ascii="Times New Roman" w:hAnsi="Times New Roman"/>
          <w:sz w:val="24"/>
          <w:szCs w:val="24"/>
        </w:rPr>
      </w:pPr>
    </w:p>
    <w:p w:rsidR="00695627" w:rsidRDefault="009151B2" w14:paraId="1CB616C4" w14:textId="5C8F09E3">
      <w:pPr>
        <w:rPr>
          <w:rFonts w:ascii="Times New Roman" w:hAnsi="Times New Roman"/>
          <w:sz w:val="24"/>
          <w:szCs w:val="24"/>
        </w:rPr>
      </w:pPr>
      <w:r w:rsidRPr="009151B2">
        <w:rPr>
          <w:rFonts w:ascii="Times New Roman" w:hAnsi="Times New Roman"/>
          <w:sz w:val="24"/>
          <w:szCs w:val="24"/>
        </w:rPr>
        <w:t>DEA meets regularly with the affected industry to discuss policies, programs, and regulations.  These meetings provide an open forum to discuss matters of mutual concern with representatives of those entities from whom the information is obtained.</w:t>
      </w:r>
    </w:p>
    <w:p w:rsidRPr="00A00BBC" w:rsidR="003E411E" w:rsidRDefault="003E411E" w14:paraId="10941062" w14:textId="77777777">
      <w:pPr>
        <w:rPr>
          <w:rFonts w:ascii="Times New Roman" w:hAnsi="Times New Roman"/>
          <w:sz w:val="24"/>
          <w:szCs w:val="24"/>
        </w:rPr>
      </w:pPr>
    </w:p>
    <w:p w:rsidR="008E7B3E" w:rsidRDefault="000C1537" w14:paraId="1B453567" w14:textId="7777777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9. </w:t>
      </w:r>
      <w:r w:rsidR="00090C0E">
        <w:rPr>
          <w:rFonts w:ascii="Times New Roman" w:hAnsi="Times New Roman"/>
          <w:noProof w:val="0"/>
          <w:sz w:val="24"/>
        </w:rPr>
        <w:t xml:space="preserve"> </w:t>
      </w:r>
      <w:r w:rsidRPr="00B051D2" w:rsidR="008E7B3E">
        <w:rPr>
          <w:rFonts w:ascii="Times New Roman" w:hAnsi="Times New Roman"/>
          <w:noProof w:val="0"/>
          <w:sz w:val="24"/>
          <w:u w:val="single"/>
        </w:rPr>
        <w:t>Payment or Gift to Claimants:</w:t>
      </w:r>
    </w:p>
    <w:p w:rsidR="001A64B0" w:rsidRDefault="001A64B0" w14:paraId="491E73EE" w14:textId="77777777">
      <w:pPr>
        <w:rPr>
          <w:rFonts w:ascii="Times New Roman" w:hAnsi="Times New Roman"/>
          <w:noProof w:val="0"/>
          <w:sz w:val="24"/>
        </w:rPr>
      </w:pPr>
    </w:p>
    <w:p w:rsidR="00072531" w:rsidRDefault="00A52C58" w14:paraId="30523E30" w14:textId="77777777">
      <w:pPr>
        <w:rPr>
          <w:rFonts w:ascii="Times New Roman" w:hAnsi="Times New Roman"/>
          <w:noProof w:val="0"/>
          <w:sz w:val="24"/>
        </w:rPr>
      </w:pPr>
      <w:r w:rsidRPr="00A52C58">
        <w:rPr>
          <w:rFonts w:ascii="Times New Roman" w:hAnsi="Times New Roman"/>
          <w:noProof w:val="0"/>
          <w:sz w:val="24"/>
        </w:rPr>
        <w:t>This collection of information does not propose to provide any payment or gift to respondents.</w:t>
      </w:r>
    </w:p>
    <w:p w:rsidR="00A52C58" w:rsidRDefault="00A52C58" w14:paraId="5E289146" w14:textId="77777777">
      <w:pPr>
        <w:rPr>
          <w:rFonts w:ascii="Times New Roman" w:hAnsi="Times New Roman"/>
          <w:noProof w:val="0"/>
          <w:sz w:val="24"/>
        </w:rPr>
      </w:pPr>
    </w:p>
    <w:p w:rsidR="008E7B3E" w:rsidRDefault="000C1537" w14:paraId="555A2277" w14:textId="7777777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10. </w:t>
      </w:r>
      <w:r w:rsidR="00090C0E">
        <w:rPr>
          <w:rFonts w:ascii="Times New Roman" w:hAnsi="Times New Roman"/>
          <w:noProof w:val="0"/>
          <w:sz w:val="24"/>
        </w:rPr>
        <w:t xml:space="preserve"> </w:t>
      </w:r>
      <w:r w:rsidRPr="00B051D2" w:rsidR="008E7B3E">
        <w:rPr>
          <w:rFonts w:ascii="Times New Roman" w:hAnsi="Times New Roman"/>
          <w:noProof w:val="0"/>
          <w:sz w:val="24"/>
          <w:u w:val="single"/>
        </w:rPr>
        <w:t>Assurance of Confidentiality:</w:t>
      </w:r>
    </w:p>
    <w:p w:rsidR="001A64B0" w:rsidRDefault="001A64B0" w14:paraId="7DE9089E" w14:textId="77777777">
      <w:pPr>
        <w:rPr>
          <w:rFonts w:ascii="Times New Roman" w:hAnsi="Times New Roman"/>
          <w:noProof w:val="0"/>
          <w:sz w:val="24"/>
        </w:rPr>
      </w:pPr>
    </w:p>
    <w:p w:rsidR="001A64B0" w:rsidRDefault="009151B2" w14:paraId="6FFC89FC" w14:textId="6F2B404E">
      <w:pPr>
        <w:rPr>
          <w:rFonts w:ascii="Times New Roman" w:hAnsi="Times New Roman"/>
          <w:sz w:val="24"/>
          <w:szCs w:val="24"/>
        </w:rPr>
      </w:pPr>
      <w:r w:rsidRPr="009151B2">
        <w:rPr>
          <w:rFonts w:ascii="Times New Roman" w:hAnsi="Times New Roman"/>
          <w:sz w:val="24"/>
          <w:szCs w:val="24"/>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as confidential business information per 28 CFR 16.8(c) and Exemption 4 of FOIA, DEA will give written notice to the submitter to allow an opportunity to object within a reasonable time prior to any disclosure by the DEA.</w:t>
      </w:r>
    </w:p>
    <w:p w:rsidR="009151B2" w:rsidRDefault="009151B2" w14:paraId="46467AAA" w14:textId="77777777">
      <w:pPr>
        <w:rPr>
          <w:rFonts w:ascii="Times New Roman" w:hAnsi="Times New Roman"/>
          <w:noProof w:val="0"/>
          <w:sz w:val="24"/>
        </w:rPr>
      </w:pPr>
    </w:p>
    <w:p w:rsidR="008E7B3E" w:rsidRDefault="000C1537" w14:paraId="18DC97D0" w14:textId="7777777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11. </w:t>
      </w:r>
      <w:r w:rsidR="00090C0E">
        <w:rPr>
          <w:rFonts w:ascii="Times New Roman" w:hAnsi="Times New Roman"/>
          <w:noProof w:val="0"/>
          <w:sz w:val="24"/>
        </w:rPr>
        <w:t xml:space="preserve"> </w:t>
      </w:r>
      <w:r w:rsidRPr="00B051D2" w:rsidR="008E7B3E">
        <w:rPr>
          <w:rFonts w:ascii="Times New Roman" w:hAnsi="Times New Roman"/>
          <w:noProof w:val="0"/>
          <w:sz w:val="24"/>
          <w:u w:val="single"/>
        </w:rPr>
        <w:t>Justification for Sensitive Questions:</w:t>
      </w:r>
    </w:p>
    <w:p w:rsidR="001A64B0" w:rsidRDefault="001A64B0" w14:paraId="61B8C80C" w14:textId="77777777">
      <w:pPr>
        <w:tabs>
          <w:tab w:val="left" w:pos="720"/>
          <w:tab w:val="left" w:pos="1440"/>
          <w:tab w:val="left" w:pos="2160"/>
        </w:tabs>
        <w:rPr>
          <w:rFonts w:ascii="Times New Roman" w:hAnsi="Times New Roman"/>
          <w:noProof w:val="0"/>
          <w:sz w:val="24"/>
        </w:rPr>
      </w:pPr>
    </w:p>
    <w:p w:rsidR="00072531" w:rsidRDefault="00B051D2" w14:paraId="08DF6B20" w14:textId="77777777">
      <w:pPr>
        <w:tabs>
          <w:tab w:val="left" w:pos="720"/>
          <w:tab w:val="left" w:pos="1440"/>
          <w:tab w:val="left" w:pos="2160"/>
        </w:tabs>
        <w:rPr>
          <w:rFonts w:ascii="Times New Roman" w:hAnsi="Times New Roman"/>
          <w:noProof w:val="0"/>
          <w:sz w:val="24"/>
        </w:rPr>
      </w:pPr>
      <w:r w:rsidRPr="00B051D2">
        <w:rPr>
          <w:rFonts w:ascii="Times New Roman" w:hAnsi="Times New Roman"/>
          <w:noProof w:val="0"/>
          <w:sz w:val="24"/>
        </w:rPr>
        <w:t>This collection of information does not ask any questions of a sensitive nature.</w:t>
      </w:r>
    </w:p>
    <w:p w:rsidR="00B051D2" w:rsidRDefault="00B051D2" w14:paraId="7E1D5A47" w14:textId="77777777">
      <w:pPr>
        <w:tabs>
          <w:tab w:val="left" w:pos="720"/>
          <w:tab w:val="left" w:pos="1440"/>
          <w:tab w:val="left" w:pos="2160"/>
        </w:tabs>
        <w:rPr>
          <w:rFonts w:ascii="Times New Roman" w:hAnsi="Times New Roman"/>
          <w:noProof w:val="0"/>
          <w:sz w:val="24"/>
        </w:rPr>
      </w:pPr>
    </w:p>
    <w:p w:rsidR="00165B87" w:rsidP="00DF3F2C" w:rsidRDefault="000C1537" w14:paraId="6F8D9F7A" w14:textId="271A7C9E">
      <w:pPr>
        <w:pStyle w:val="BodyText2"/>
        <w:spacing w:line="240" w:lineRule="auto"/>
        <w:rPr>
          <w:u w:val="single"/>
        </w:rPr>
      </w:pPr>
      <w:r>
        <w:t>12</w:t>
      </w:r>
      <w:r w:rsidRPr="007A0905">
        <w:t>.</w:t>
      </w:r>
      <w:r w:rsidRPr="007A0905" w:rsidR="00090C0E">
        <w:t xml:space="preserve"> </w:t>
      </w:r>
      <w:r w:rsidRPr="007A0905">
        <w:t xml:space="preserve"> </w:t>
      </w:r>
      <w:r w:rsidRPr="007A0905" w:rsidR="008E7B3E">
        <w:rPr>
          <w:u w:val="single"/>
        </w:rPr>
        <w:t>Estimate of Hour Burden:</w:t>
      </w:r>
    </w:p>
    <w:p w:rsidR="00C42F38" w:rsidP="00DF3F2C" w:rsidRDefault="00C42F38" w14:paraId="48BB88F0" w14:textId="77777777">
      <w:pPr>
        <w:pStyle w:val="BodyText2"/>
        <w:spacing w:line="240" w:lineRule="auto"/>
      </w:pPr>
    </w:p>
    <w:p w:rsidR="00827435" w:rsidP="009863EF" w:rsidRDefault="009863EF" w14:paraId="5D8147A3" w14:textId="6896CC60">
      <w:pPr>
        <w:rPr>
          <w:rFonts w:ascii="Times New Roman" w:hAnsi="Times New Roman" w:eastAsia="Calibri"/>
          <w:noProof w:val="0"/>
          <w:sz w:val="24"/>
          <w:szCs w:val="22"/>
        </w:rPr>
      </w:pPr>
      <w:r w:rsidRPr="009863EF">
        <w:rPr>
          <w:rFonts w:ascii="Times New Roman" w:hAnsi="Times New Roman" w:eastAsia="Calibri"/>
          <w:noProof w:val="0"/>
          <w:sz w:val="24"/>
          <w:szCs w:val="22"/>
        </w:rPr>
        <w:t xml:space="preserve">DEA does not have a good basis to estimate the number of respondents and burden related to this collection of information, because there is no available data regarding the administration, receipt, delivery, acquisition or distribution, and disposal of controlled substances specific to the operation of EMS agencies.  </w:t>
      </w:r>
      <w:r>
        <w:rPr>
          <w:rFonts w:ascii="Times New Roman" w:hAnsi="Times New Roman" w:eastAsia="Calibri"/>
          <w:noProof w:val="0"/>
          <w:sz w:val="24"/>
          <w:szCs w:val="22"/>
        </w:rPr>
        <w:t>DEA’s estimate of 21,283</w:t>
      </w:r>
      <w:r w:rsidRPr="009863EF">
        <w:rPr>
          <w:rFonts w:ascii="Times New Roman" w:hAnsi="Times New Roman" w:eastAsia="Calibri"/>
          <w:noProof w:val="0"/>
          <w:sz w:val="24"/>
          <w:szCs w:val="22"/>
        </w:rPr>
        <w:t xml:space="preserve"> respondents represents</w:t>
      </w:r>
      <w:r>
        <w:rPr>
          <w:rFonts w:ascii="Times New Roman" w:hAnsi="Times New Roman" w:eastAsia="Calibri"/>
          <w:noProof w:val="0"/>
          <w:sz w:val="24"/>
          <w:szCs w:val="22"/>
        </w:rPr>
        <w:t xml:space="preserve"> the total number of EMS agencies in operation throughout the U.S.  </w:t>
      </w:r>
      <w:r w:rsidRPr="009863EF">
        <w:rPr>
          <w:rFonts w:ascii="Times New Roman" w:hAnsi="Times New Roman" w:eastAsia="Calibri"/>
          <w:noProof w:val="0"/>
          <w:sz w:val="24"/>
          <w:szCs w:val="22"/>
        </w:rPr>
        <w:t>Therefore, DEA submits the following estimated number of respondents and burden associated with this collection of information and will update this estimate with data when the collection is renewed:</w:t>
      </w:r>
    </w:p>
    <w:p w:rsidRPr="00640CC3" w:rsidR="009863EF" w:rsidP="009863EF" w:rsidRDefault="009863EF" w14:paraId="0E59A5F9" w14:textId="77777777">
      <w:pPr>
        <w:rPr>
          <w:rFonts w:ascii="Times New Roman" w:hAnsi="Times New Roman"/>
        </w:rPr>
      </w:pPr>
    </w:p>
    <w:p w:rsidRPr="00572EEB" w:rsidR="00572EEB" w:rsidP="00492914" w:rsidRDefault="00572EEB" w14:paraId="43A619FF" w14:textId="1FC5A7B6">
      <w:pPr>
        <w:rPr>
          <w:rFonts w:ascii="Times New Roman" w:hAnsi="Times New Roman"/>
          <w:sz w:val="24"/>
          <w:szCs w:val="24"/>
        </w:rPr>
      </w:pPr>
      <w:r w:rsidRPr="00572EEB">
        <w:rPr>
          <w:rFonts w:ascii="Times New Roman" w:hAnsi="Times New Roman"/>
          <w:sz w:val="24"/>
          <w:szCs w:val="24"/>
        </w:rPr>
        <w:t xml:space="preserve">Total number of respondents:  </w:t>
      </w:r>
      <w:r w:rsidR="00492914">
        <w:rPr>
          <w:rFonts w:ascii="Times New Roman" w:hAnsi="Times New Roman"/>
          <w:sz w:val="24"/>
          <w:szCs w:val="24"/>
        </w:rPr>
        <w:t>21,283</w:t>
      </w:r>
    </w:p>
    <w:p w:rsidRPr="00572EEB" w:rsidR="00572EEB" w:rsidP="00492914" w:rsidRDefault="00572EEB" w14:paraId="5640270C" w14:textId="22F18708">
      <w:pPr>
        <w:rPr>
          <w:rFonts w:ascii="Times New Roman" w:hAnsi="Times New Roman"/>
          <w:sz w:val="24"/>
          <w:szCs w:val="24"/>
        </w:rPr>
      </w:pPr>
      <w:r w:rsidRPr="00572EEB">
        <w:rPr>
          <w:rFonts w:ascii="Times New Roman" w:hAnsi="Times New Roman"/>
          <w:sz w:val="24"/>
          <w:szCs w:val="24"/>
        </w:rPr>
        <w:t xml:space="preserve">Number of responses per respondent per year:  </w:t>
      </w:r>
      <w:r w:rsidR="00492914">
        <w:rPr>
          <w:rFonts w:ascii="Times New Roman" w:hAnsi="Times New Roman"/>
          <w:sz w:val="24"/>
          <w:szCs w:val="24"/>
        </w:rPr>
        <w:t>52</w:t>
      </w:r>
      <w:r w:rsidR="00827435">
        <w:rPr>
          <w:rFonts w:ascii="Times New Roman" w:hAnsi="Times New Roman"/>
          <w:sz w:val="24"/>
          <w:szCs w:val="24"/>
        </w:rPr>
        <w:t xml:space="preserve"> (average)</w:t>
      </w:r>
    </w:p>
    <w:p w:rsidRPr="00572EEB" w:rsidR="00572EEB" w:rsidP="00492914" w:rsidRDefault="00572EEB" w14:paraId="7626E846" w14:textId="3519D2C0">
      <w:pPr>
        <w:rPr>
          <w:rFonts w:ascii="Times New Roman" w:hAnsi="Times New Roman"/>
          <w:sz w:val="24"/>
          <w:szCs w:val="24"/>
        </w:rPr>
      </w:pPr>
      <w:r w:rsidRPr="00572EEB">
        <w:rPr>
          <w:rFonts w:ascii="Times New Roman" w:hAnsi="Times New Roman"/>
          <w:sz w:val="24"/>
          <w:szCs w:val="24"/>
        </w:rPr>
        <w:t xml:space="preserve">Total annual responses:  </w:t>
      </w:r>
      <w:r w:rsidR="00492914">
        <w:rPr>
          <w:rFonts w:ascii="Times New Roman" w:hAnsi="Times New Roman"/>
          <w:sz w:val="24"/>
          <w:szCs w:val="24"/>
        </w:rPr>
        <w:t>1,106,716</w:t>
      </w:r>
    </w:p>
    <w:p w:rsidRPr="00572EEB" w:rsidR="00572EEB" w:rsidP="00492914" w:rsidRDefault="00572EEB" w14:paraId="4DA9BB5E" w14:textId="4A256BB5">
      <w:pPr>
        <w:rPr>
          <w:rFonts w:ascii="Times New Roman" w:hAnsi="Times New Roman"/>
          <w:sz w:val="24"/>
          <w:szCs w:val="24"/>
        </w:rPr>
      </w:pPr>
      <w:r w:rsidRPr="00572EEB">
        <w:rPr>
          <w:rFonts w:ascii="Times New Roman" w:hAnsi="Times New Roman"/>
          <w:sz w:val="24"/>
          <w:szCs w:val="24"/>
        </w:rPr>
        <w:t xml:space="preserve">Total annual hour burden:  </w:t>
      </w:r>
      <w:r w:rsidR="00492914">
        <w:rPr>
          <w:rFonts w:ascii="Times New Roman" w:hAnsi="Times New Roman"/>
          <w:sz w:val="24"/>
          <w:szCs w:val="24"/>
        </w:rPr>
        <w:t>92,226</w:t>
      </w:r>
    </w:p>
    <w:p w:rsidRPr="00572EEB" w:rsidR="00572EEB" w:rsidRDefault="00572EEB" w14:paraId="0385DB65" w14:textId="77777777">
      <w:pPr>
        <w:rPr>
          <w:rFonts w:ascii="Times New Roman" w:hAnsi="Times New Roman"/>
          <w:sz w:val="24"/>
          <w:szCs w:val="24"/>
        </w:rPr>
      </w:pPr>
    </w:p>
    <w:p w:rsidRPr="00572EEB" w:rsidR="00572EEB" w:rsidP="001C3230" w:rsidRDefault="00572EEB" w14:paraId="413E67CA" w14:textId="6F80890F">
      <w:pPr>
        <w:rPr>
          <w:rFonts w:ascii="Times New Roman" w:hAnsi="Times New Roman"/>
          <w:sz w:val="24"/>
          <w:szCs w:val="24"/>
        </w:rPr>
      </w:pPr>
      <w:r w:rsidRPr="00572EEB">
        <w:rPr>
          <w:rFonts w:ascii="Times New Roman" w:hAnsi="Times New Roman"/>
          <w:sz w:val="24"/>
          <w:szCs w:val="24"/>
        </w:rPr>
        <w:t>Average Burden:</w:t>
      </w:r>
      <w:r w:rsidRPr="00572EEB">
        <w:rPr>
          <w:rFonts w:ascii="Times New Roman" w:hAnsi="Times New Roman"/>
          <w:sz w:val="24"/>
          <w:szCs w:val="24"/>
        </w:rPr>
        <w:tab/>
        <w:t xml:space="preserve">Per Collection:  </w:t>
      </w:r>
      <w:r w:rsidR="00F208C8">
        <w:rPr>
          <w:rFonts w:ascii="Times New Roman" w:hAnsi="Times New Roman"/>
          <w:sz w:val="24"/>
          <w:szCs w:val="24"/>
        </w:rPr>
        <w:t>0.</w:t>
      </w:r>
      <w:r w:rsidR="001C3230">
        <w:rPr>
          <w:rFonts w:ascii="Times New Roman" w:hAnsi="Times New Roman"/>
          <w:sz w:val="24"/>
          <w:szCs w:val="24"/>
        </w:rPr>
        <w:t>0833</w:t>
      </w:r>
      <w:r w:rsidR="00F208C8">
        <w:rPr>
          <w:rFonts w:ascii="Times New Roman" w:hAnsi="Times New Roman"/>
          <w:sz w:val="24"/>
          <w:szCs w:val="24"/>
        </w:rPr>
        <w:t xml:space="preserve"> </w:t>
      </w:r>
      <w:r w:rsidRPr="00572EEB">
        <w:rPr>
          <w:rFonts w:ascii="Times New Roman" w:hAnsi="Times New Roman"/>
          <w:sz w:val="24"/>
          <w:szCs w:val="24"/>
        </w:rPr>
        <w:t>hour</w:t>
      </w:r>
    </w:p>
    <w:p w:rsidRPr="00572EEB" w:rsidR="00572EEB" w:rsidP="001C3230" w:rsidRDefault="00572EEB" w14:paraId="12208FC5" w14:textId="40145296">
      <w:pPr>
        <w:rPr>
          <w:rFonts w:ascii="Times New Roman" w:hAnsi="Times New Roman"/>
          <w:sz w:val="24"/>
          <w:szCs w:val="24"/>
        </w:rPr>
      </w:pPr>
      <w:r w:rsidRPr="00572EEB">
        <w:rPr>
          <w:rFonts w:ascii="Times New Roman" w:hAnsi="Times New Roman"/>
          <w:sz w:val="24"/>
          <w:szCs w:val="24"/>
        </w:rPr>
        <w:tab/>
      </w:r>
      <w:r w:rsidRPr="00572EEB">
        <w:rPr>
          <w:rFonts w:ascii="Times New Roman" w:hAnsi="Times New Roman"/>
          <w:sz w:val="24"/>
          <w:szCs w:val="24"/>
        </w:rPr>
        <w:tab/>
      </w:r>
      <w:r w:rsidRPr="00572EEB">
        <w:rPr>
          <w:rFonts w:ascii="Times New Roman" w:hAnsi="Times New Roman"/>
          <w:sz w:val="24"/>
          <w:szCs w:val="24"/>
        </w:rPr>
        <w:tab/>
        <w:t xml:space="preserve">Per Respondent:  </w:t>
      </w:r>
      <w:r w:rsidR="001C3230">
        <w:rPr>
          <w:rFonts w:ascii="Times New Roman" w:hAnsi="Times New Roman"/>
          <w:sz w:val="24"/>
          <w:szCs w:val="24"/>
        </w:rPr>
        <w:t>4.33</w:t>
      </w:r>
      <w:r w:rsidR="00F208C8">
        <w:rPr>
          <w:rFonts w:ascii="Times New Roman" w:hAnsi="Times New Roman"/>
          <w:sz w:val="24"/>
          <w:szCs w:val="24"/>
        </w:rPr>
        <w:t xml:space="preserve"> </w:t>
      </w:r>
      <w:r w:rsidRPr="00572EEB">
        <w:rPr>
          <w:rFonts w:ascii="Times New Roman" w:hAnsi="Times New Roman"/>
          <w:sz w:val="24"/>
          <w:szCs w:val="24"/>
        </w:rPr>
        <w:t>hour</w:t>
      </w:r>
    </w:p>
    <w:p w:rsidR="00572EEB" w:rsidP="00F162AA" w:rsidRDefault="00572EEB" w14:paraId="644B1ED9" w14:textId="77777777">
      <w:pPr>
        <w:rPr>
          <w:rFonts w:ascii="Times New Roman" w:hAnsi="Times New Roman"/>
          <w:sz w:val="24"/>
          <w:szCs w:val="24"/>
        </w:rPr>
      </w:pPr>
    </w:p>
    <w:p w:rsidRPr="00040C64" w:rsidR="00040C64" w:rsidRDefault="00040C64" w14:paraId="30EB633E" w14:textId="77777777">
      <w:pPr>
        <w:rPr>
          <w:rFonts w:ascii="Times New Roman" w:hAnsi="Times New Roman"/>
          <w:sz w:val="24"/>
          <w:szCs w:val="24"/>
        </w:rPr>
      </w:pPr>
      <w:r w:rsidRPr="00040C64">
        <w:rPr>
          <w:rFonts w:ascii="Times New Roman" w:hAnsi="Times New Roman"/>
          <w:sz w:val="24"/>
          <w:szCs w:val="24"/>
        </w:rPr>
        <w:t>Burden dollars:</w:t>
      </w:r>
    </w:p>
    <w:p w:rsidRPr="00040C64" w:rsidR="00040C64" w:rsidRDefault="00040C64" w14:paraId="514B1764" w14:textId="77777777">
      <w:pPr>
        <w:rPr>
          <w:rFonts w:ascii="Times New Roman" w:hAnsi="Times New Roman"/>
          <w:sz w:val="24"/>
          <w:szCs w:val="24"/>
        </w:rPr>
      </w:pPr>
    </w:p>
    <w:tbl>
      <w:tblPr>
        <w:tblW w:w="0" w:type="auto"/>
        <w:tblInd w:w="720" w:type="dxa"/>
        <w:tblLook w:val="04A0" w:firstRow="1" w:lastRow="0" w:firstColumn="1" w:lastColumn="0" w:noHBand="0" w:noVBand="1"/>
      </w:tblPr>
      <w:tblGrid>
        <w:gridCol w:w="4295"/>
        <w:gridCol w:w="1956"/>
      </w:tblGrid>
      <w:tr w:rsidRPr="00040C64" w:rsidR="00040C64" w:rsidTr="00040C64" w14:paraId="54DFD1AB" w14:textId="77777777">
        <w:tc>
          <w:tcPr>
            <w:tcW w:w="4295" w:type="dxa"/>
          </w:tcPr>
          <w:p w:rsidRPr="00040C64" w:rsidR="00040C64" w:rsidRDefault="00040C64" w14:paraId="48CD3750" w14:textId="77777777">
            <w:pPr>
              <w:rPr>
                <w:rFonts w:ascii="Times New Roman" w:hAnsi="Times New Roman" w:eastAsia="SimSun"/>
                <w:sz w:val="24"/>
                <w:szCs w:val="24"/>
              </w:rPr>
            </w:pPr>
            <w:r w:rsidRPr="00040C64">
              <w:rPr>
                <w:rFonts w:ascii="Times New Roman" w:hAnsi="Times New Roman" w:eastAsia="SimSun"/>
                <w:sz w:val="24"/>
                <w:szCs w:val="24"/>
              </w:rPr>
              <w:t>Estimate hourly wage ($/hour):</w:t>
            </w:r>
            <w:r w:rsidRPr="00040C64">
              <w:rPr>
                <w:rStyle w:val="FootnoteReference"/>
                <w:rFonts w:ascii="Times New Roman" w:hAnsi="Times New Roman" w:eastAsia="SimSun"/>
                <w:sz w:val="24"/>
                <w:szCs w:val="24"/>
                <w:vertAlign w:val="superscript"/>
              </w:rPr>
              <w:footnoteReference w:id="1"/>
            </w:r>
          </w:p>
        </w:tc>
        <w:tc>
          <w:tcPr>
            <w:tcW w:w="1956" w:type="dxa"/>
          </w:tcPr>
          <w:p w:rsidRPr="00040C64" w:rsidR="00040C64" w:rsidP="009863EF" w:rsidRDefault="00040C64" w14:paraId="03CFC5B1" w14:textId="16A9315F">
            <w:pPr>
              <w:jc w:val="right"/>
              <w:rPr>
                <w:rFonts w:ascii="Times New Roman" w:hAnsi="Times New Roman" w:eastAsia="SimSun"/>
                <w:sz w:val="24"/>
                <w:szCs w:val="24"/>
              </w:rPr>
            </w:pPr>
            <w:r w:rsidRPr="00040C64">
              <w:rPr>
                <w:rFonts w:ascii="Times New Roman" w:hAnsi="Times New Roman" w:eastAsia="SimSun"/>
                <w:sz w:val="24"/>
                <w:szCs w:val="24"/>
              </w:rPr>
              <w:t>$</w:t>
            </w:r>
            <w:r w:rsidR="009863EF">
              <w:rPr>
                <w:rFonts w:ascii="Times New Roman" w:hAnsi="Times New Roman" w:eastAsia="SimSun"/>
                <w:sz w:val="24"/>
                <w:szCs w:val="24"/>
              </w:rPr>
              <w:t>17.02</w:t>
            </w:r>
          </w:p>
        </w:tc>
      </w:tr>
      <w:tr w:rsidRPr="00040C64" w:rsidR="00040C64" w:rsidTr="00040C64" w14:paraId="7A697C23" w14:textId="77777777">
        <w:tc>
          <w:tcPr>
            <w:tcW w:w="4295" w:type="dxa"/>
          </w:tcPr>
          <w:p w:rsidRPr="00040C64" w:rsidR="00040C64" w:rsidP="00E903F7" w:rsidRDefault="00040C64" w14:paraId="297B7A12" w14:textId="77777777">
            <w:pPr>
              <w:rPr>
                <w:rFonts w:ascii="Times New Roman" w:hAnsi="Times New Roman" w:eastAsia="SimSun"/>
                <w:sz w:val="24"/>
                <w:szCs w:val="24"/>
              </w:rPr>
            </w:pPr>
            <w:r w:rsidRPr="00040C64">
              <w:rPr>
                <w:rFonts w:ascii="Times New Roman" w:hAnsi="Times New Roman" w:eastAsia="SimSun"/>
                <w:sz w:val="24"/>
                <w:szCs w:val="24"/>
              </w:rPr>
              <w:t>Load for benefits (percent of labor rate):</w:t>
            </w:r>
            <w:r w:rsidRPr="00040C64">
              <w:rPr>
                <w:rStyle w:val="FootnoteReference"/>
                <w:rFonts w:ascii="Times New Roman" w:hAnsi="Times New Roman" w:eastAsia="SimSun"/>
                <w:sz w:val="24"/>
                <w:szCs w:val="24"/>
                <w:vertAlign w:val="superscript"/>
              </w:rPr>
              <w:footnoteReference w:id="2"/>
            </w:r>
          </w:p>
        </w:tc>
        <w:tc>
          <w:tcPr>
            <w:tcW w:w="1956" w:type="dxa"/>
          </w:tcPr>
          <w:p w:rsidRPr="00040C64" w:rsidR="00040C64" w:rsidP="002B16F1" w:rsidRDefault="00040C64" w14:paraId="0106BC11" w14:textId="40CAF1A5">
            <w:pPr>
              <w:jc w:val="right"/>
              <w:rPr>
                <w:rFonts w:ascii="Times New Roman" w:hAnsi="Times New Roman" w:eastAsia="SimSun"/>
                <w:sz w:val="24"/>
                <w:szCs w:val="24"/>
              </w:rPr>
            </w:pPr>
            <w:r w:rsidRPr="00040C64">
              <w:rPr>
                <w:rFonts w:ascii="Times New Roman" w:hAnsi="Times New Roman" w:eastAsia="SimSun"/>
                <w:sz w:val="24"/>
                <w:szCs w:val="24"/>
              </w:rPr>
              <w:t>4</w:t>
            </w:r>
            <w:r w:rsidR="00F974BB">
              <w:rPr>
                <w:rFonts w:ascii="Times New Roman" w:hAnsi="Times New Roman" w:eastAsia="SimSun"/>
                <w:sz w:val="24"/>
                <w:szCs w:val="24"/>
              </w:rPr>
              <w:t>4.1</w:t>
            </w:r>
            <w:r w:rsidRPr="00040C64">
              <w:rPr>
                <w:rFonts w:ascii="Times New Roman" w:hAnsi="Times New Roman" w:eastAsia="SimSun"/>
                <w:sz w:val="24"/>
                <w:szCs w:val="24"/>
              </w:rPr>
              <w:t>%</w:t>
            </w:r>
          </w:p>
        </w:tc>
      </w:tr>
      <w:tr w:rsidRPr="00040C64" w:rsidR="00040C64" w:rsidTr="00040C64" w14:paraId="75051FD7" w14:textId="77777777">
        <w:tc>
          <w:tcPr>
            <w:tcW w:w="4295" w:type="dxa"/>
          </w:tcPr>
          <w:p w:rsidRPr="00040C64" w:rsidR="00040C64" w:rsidP="00E903F7" w:rsidRDefault="00040C64" w14:paraId="3BCC521D" w14:textId="77777777">
            <w:pPr>
              <w:rPr>
                <w:rFonts w:ascii="Times New Roman" w:hAnsi="Times New Roman" w:eastAsia="SimSun"/>
                <w:sz w:val="24"/>
                <w:szCs w:val="24"/>
              </w:rPr>
            </w:pPr>
            <w:r w:rsidRPr="00040C64">
              <w:rPr>
                <w:rFonts w:ascii="Times New Roman" w:hAnsi="Times New Roman" w:eastAsia="SimSun"/>
                <w:sz w:val="24"/>
                <w:szCs w:val="24"/>
              </w:rPr>
              <w:t>Loaded labor rate ($/hour):</w:t>
            </w:r>
            <w:r w:rsidRPr="00040C64">
              <w:rPr>
                <w:rStyle w:val="FootnoteReference"/>
                <w:rFonts w:ascii="Times New Roman" w:hAnsi="Times New Roman" w:eastAsia="SimSun"/>
                <w:sz w:val="24"/>
                <w:szCs w:val="24"/>
                <w:vertAlign w:val="superscript"/>
              </w:rPr>
              <w:footnoteReference w:id="3"/>
            </w:r>
          </w:p>
        </w:tc>
        <w:tc>
          <w:tcPr>
            <w:tcW w:w="1956" w:type="dxa"/>
          </w:tcPr>
          <w:p w:rsidRPr="00040C64" w:rsidR="00040C64" w:rsidP="002B16F1" w:rsidRDefault="00040C64" w14:paraId="2876EA3E" w14:textId="094CBCA2">
            <w:pPr>
              <w:jc w:val="right"/>
              <w:rPr>
                <w:rFonts w:ascii="Times New Roman" w:hAnsi="Times New Roman" w:eastAsia="SimSun"/>
                <w:sz w:val="24"/>
                <w:szCs w:val="24"/>
              </w:rPr>
            </w:pPr>
            <w:r w:rsidRPr="00040C64">
              <w:rPr>
                <w:rFonts w:ascii="Times New Roman" w:hAnsi="Times New Roman" w:eastAsia="SimSun"/>
                <w:sz w:val="24"/>
                <w:szCs w:val="24"/>
              </w:rPr>
              <w:t>$</w:t>
            </w:r>
            <w:r w:rsidR="00F974BB">
              <w:rPr>
                <w:rFonts w:ascii="Times New Roman" w:hAnsi="Times New Roman" w:eastAsia="SimSun"/>
                <w:sz w:val="24"/>
                <w:szCs w:val="24"/>
              </w:rPr>
              <w:t>24.53</w:t>
            </w:r>
          </w:p>
        </w:tc>
      </w:tr>
      <w:tr w:rsidRPr="00040C64" w:rsidR="00040C64" w:rsidTr="00040C64" w14:paraId="00FA41A7" w14:textId="77777777">
        <w:tc>
          <w:tcPr>
            <w:tcW w:w="4295" w:type="dxa"/>
            <w:vAlign w:val="bottom"/>
          </w:tcPr>
          <w:p w:rsidRPr="00040C64" w:rsidR="00040C64" w:rsidP="00E903F7" w:rsidRDefault="00040C64" w14:paraId="60A37AB5" w14:textId="77777777">
            <w:pPr>
              <w:rPr>
                <w:rFonts w:ascii="Times New Roman" w:hAnsi="Times New Roman"/>
                <w:b/>
                <w:bCs/>
                <w:color w:val="000000"/>
                <w:sz w:val="24"/>
                <w:szCs w:val="24"/>
              </w:rPr>
            </w:pPr>
          </w:p>
        </w:tc>
        <w:tc>
          <w:tcPr>
            <w:tcW w:w="1956" w:type="dxa"/>
            <w:vAlign w:val="bottom"/>
          </w:tcPr>
          <w:p w:rsidRPr="00040C64" w:rsidR="00040C64" w:rsidP="002B16F1" w:rsidRDefault="00040C64" w14:paraId="7AA7587A" w14:textId="77777777">
            <w:pPr>
              <w:jc w:val="center"/>
              <w:rPr>
                <w:rFonts w:ascii="Times New Roman" w:hAnsi="Times New Roman"/>
                <w:bCs/>
                <w:color w:val="000000"/>
                <w:sz w:val="24"/>
                <w:szCs w:val="24"/>
                <w:u w:val="single"/>
              </w:rPr>
            </w:pPr>
          </w:p>
        </w:tc>
      </w:tr>
      <w:tr w:rsidRPr="00040C64" w:rsidR="00040C64" w:rsidTr="00040C64" w14:paraId="61F0C08A" w14:textId="77777777">
        <w:tc>
          <w:tcPr>
            <w:tcW w:w="4295" w:type="dxa"/>
            <w:vAlign w:val="center"/>
          </w:tcPr>
          <w:p w:rsidRPr="00040C64" w:rsidR="00040C64" w:rsidP="00E903F7" w:rsidRDefault="00040C64" w14:paraId="1BB54490" w14:textId="77777777">
            <w:pPr>
              <w:rPr>
                <w:rFonts w:ascii="Times New Roman" w:hAnsi="Times New Roman"/>
                <w:color w:val="000000"/>
                <w:sz w:val="24"/>
                <w:szCs w:val="24"/>
              </w:rPr>
            </w:pPr>
            <w:r w:rsidRPr="00040C64">
              <w:rPr>
                <w:rFonts w:ascii="Times New Roman" w:hAnsi="Times New Roman"/>
                <w:color w:val="000000"/>
                <w:sz w:val="24"/>
                <w:szCs w:val="24"/>
              </w:rPr>
              <w:t>Number of responses</w:t>
            </w:r>
          </w:p>
        </w:tc>
        <w:tc>
          <w:tcPr>
            <w:tcW w:w="1956" w:type="dxa"/>
            <w:vAlign w:val="bottom"/>
          </w:tcPr>
          <w:p w:rsidRPr="00040C64" w:rsidR="00040C64" w:rsidP="002B16F1" w:rsidRDefault="00040C64" w14:paraId="14141831" w14:textId="456B8872">
            <w:pPr>
              <w:jc w:val="right"/>
              <w:rPr>
                <w:rFonts w:ascii="Times New Roman" w:hAnsi="Times New Roman"/>
                <w:color w:val="000000"/>
                <w:sz w:val="24"/>
                <w:szCs w:val="24"/>
              </w:rPr>
            </w:pPr>
            <w:r w:rsidRPr="00040C64">
              <w:rPr>
                <w:rFonts w:ascii="Times New Roman" w:hAnsi="Times New Roman"/>
                <w:color w:val="000000"/>
                <w:sz w:val="24"/>
                <w:szCs w:val="24"/>
              </w:rPr>
              <w:t xml:space="preserve">         </w:t>
            </w:r>
            <w:r w:rsidRPr="002B16F1" w:rsidR="002B16F1">
              <w:rPr>
                <w:rFonts w:ascii="Times New Roman" w:hAnsi="Times New Roman"/>
                <w:color w:val="000000"/>
                <w:sz w:val="24"/>
                <w:szCs w:val="24"/>
              </w:rPr>
              <w:t>1,106,716</w:t>
            </w:r>
          </w:p>
        </w:tc>
      </w:tr>
      <w:tr w:rsidRPr="00040C64" w:rsidR="00040C64" w:rsidTr="00040C64" w14:paraId="6792A4A6" w14:textId="77777777">
        <w:tc>
          <w:tcPr>
            <w:tcW w:w="4295" w:type="dxa"/>
            <w:vAlign w:val="center"/>
          </w:tcPr>
          <w:p w:rsidRPr="00040C64" w:rsidR="00040C64" w:rsidP="00E903F7" w:rsidRDefault="00040C64" w14:paraId="6C17612F" w14:textId="77777777">
            <w:pPr>
              <w:rPr>
                <w:rFonts w:ascii="Times New Roman" w:hAnsi="Times New Roman"/>
                <w:color w:val="000000"/>
                <w:sz w:val="24"/>
                <w:szCs w:val="24"/>
              </w:rPr>
            </w:pPr>
            <w:r w:rsidRPr="00040C64">
              <w:rPr>
                <w:rFonts w:ascii="Times New Roman" w:hAnsi="Times New Roman"/>
                <w:color w:val="000000"/>
                <w:sz w:val="24"/>
                <w:szCs w:val="24"/>
              </w:rPr>
              <w:t>Total annual hours</w:t>
            </w:r>
          </w:p>
        </w:tc>
        <w:tc>
          <w:tcPr>
            <w:tcW w:w="1956" w:type="dxa"/>
            <w:vAlign w:val="bottom"/>
          </w:tcPr>
          <w:p w:rsidRPr="00040C64" w:rsidR="00040C64" w:rsidP="002B16F1" w:rsidRDefault="00040C64" w14:paraId="57F83192" w14:textId="5CC78FFE">
            <w:pPr>
              <w:jc w:val="right"/>
              <w:rPr>
                <w:rFonts w:ascii="Times New Roman" w:hAnsi="Times New Roman"/>
                <w:color w:val="000000"/>
                <w:sz w:val="24"/>
                <w:szCs w:val="24"/>
              </w:rPr>
            </w:pPr>
            <w:r w:rsidRPr="00040C64">
              <w:rPr>
                <w:rFonts w:ascii="Times New Roman" w:hAnsi="Times New Roman"/>
                <w:color w:val="000000"/>
                <w:sz w:val="24"/>
                <w:szCs w:val="24"/>
              </w:rPr>
              <w:t xml:space="preserve">             </w:t>
            </w:r>
            <w:r w:rsidRPr="002B16F1" w:rsidR="002B16F1">
              <w:rPr>
                <w:rFonts w:ascii="Times New Roman" w:hAnsi="Times New Roman"/>
                <w:color w:val="000000"/>
                <w:sz w:val="24"/>
                <w:szCs w:val="24"/>
              </w:rPr>
              <w:t>92,226</w:t>
            </w:r>
          </w:p>
        </w:tc>
      </w:tr>
      <w:tr w:rsidRPr="00040C64" w:rsidR="00040C64" w:rsidTr="00040C64" w14:paraId="531CF8EE" w14:textId="77777777">
        <w:tc>
          <w:tcPr>
            <w:tcW w:w="4295" w:type="dxa"/>
            <w:vAlign w:val="center"/>
          </w:tcPr>
          <w:p w:rsidRPr="00040C64" w:rsidR="00040C64" w:rsidP="00E903F7" w:rsidRDefault="00040C64" w14:paraId="7FC362BF" w14:textId="77777777">
            <w:pPr>
              <w:rPr>
                <w:rFonts w:ascii="Times New Roman" w:hAnsi="Times New Roman"/>
                <w:color w:val="000000"/>
                <w:sz w:val="24"/>
                <w:szCs w:val="24"/>
              </w:rPr>
            </w:pPr>
            <w:r w:rsidRPr="00040C64">
              <w:rPr>
                <w:rFonts w:ascii="Times New Roman" w:hAnsi="Times New Roman"/>
                <w:color w:val="000000"/>
                <w:sz w:val="24"/>
                <w:szCs w:val="24"/>
              </w:rPr>
              <w:t>Average burden per response (hour)</w:t>
            </w:r>
          </w:p>
        </w:tc>
        <w:tc>
          <w:tcPr>
            <w:tcW w:w="1956" w:type="dxa"/>
            <w:vAlign w:val="bottom"/>
          </w:tcPr>
          <w:p w:rsidRPr="00040C64" w:rsidR="00040C64" w:rsidP="002B16F1" w:rsidRDefault="00040C64" w14:paraId="05B02F8D" w14:textId="12CCA418">
            <w:pPr>
              <w:jc w:val="right"/>
              <w:rPr>
                <w:rFonts w:ascii="Times New Roman" w:hAnsi="Times New Roman"/>
                <w:color w:val="000000"/>
                <w:sz w:val="24"/>
                <w:szCs w:val="24"/>
              </w:rPr>
            </w:pPr>
            <w:r w:rsidRPr="00040C64">
              <w:rPr>
                <w:rFonts w:ascii="Times New Roman" w:hAnsi="Times New Roman"/>
                <w:color w:val="000000"/>
                <w:sz w:val="24"/>
                <w:szCs w:val="24"/>
              </w:rPr>
              <w:t xml:space="preserve">               0.</w:t>
            </w:r>
            <w:r w:rsidR="002B16F1">
              <w:rPr>
                <w:rFonts w:ascii="Times New Roman" w:hAnsi="Times New Roman"/>
                <w:color w:val="000000"/>
                <w:sz w:val="24"/>
                <w:szCs w:val="24"/>
              </w:rPr>
              <w:t>0833</w:t>
            </w:r>
            <w:r w:rsidRPr="00040C64">
              <w:rPr>
                <w:rFonts w:ascii="Times New Roman" w:hAnsi="Times New Roman"/>
                <w:color w:val="000000"/>
                <w:sz w:val="24"/>
                <w:szCs w:val="24"/>
              </w:rPr>
              <w:t xml:space="preserve"> </w:t>
            </w:r>
          </w:p>
        </w:tc>
      </w:tr>
      <w:tr w:rsidRPr="00040C64" w:rsidR="00040C64" w:rsidTr="00040C64" w14:paraId="5DDAA8BB" w14:textId="77777777">
        <w:tc>
          <w:tcPr>
            <w:tcW w:w="4295" w:type="dxa"/>
            <w:vAlign w:val="center"/>
          </w:tcPr>
          <w:p w:rsidRPr="00040C64" w:rsidR="00040C64" w:rsidP="00E903F7" w:rsidRDefault="00040C64" w14:paraId="1986B1F5" w14:textId="77777777">
            <w:pPr>
              <w:rPr>
                <w:rFonts w:ascii="Times New Roman" w:hAnsi="Times New Roman"/>
                <w:color w:val="000000"/>
                <w:sz w:val="24"/>
                <w:szCs w:val="24"/>
              </w:rPr>
            </w:pPr>
            <w:r w:rsidRPr="00040C64">
              <w:rPr>
                <w:rFonts w:ascii="Times New Roman" w:hAnsi="Times New Roman"/>
                <w:color w:val="000000"/>
                <w:sz w:val="24"/>
                <w:szCs w:val="24"/>
              </w:rPr>
              <w:t>Burden dollars per response ($)</w:t>
            </w:r>
          </w:p>
        </w:tc>
        <w:tc>
          <w:tcPr>
            <w:tcW w:w="1956" w:type="dxa"/>
            <w:vAlign w:val="bottom"/>
          </w:tcPr>
          <w:p w:rsidRPr="007A0905" w:rsidR="00040C64" w:rsidP="002B16F1" w:rsidRDefault="00040C64" w14:paraId="5F65C245" w14:textId="4E3C7C5E">
            <w:pPr>
              <w:jc w:val="right"/>
              <w:rPr>
                <w:rFonts w:ascii="Times New Roman" w:hAnsi="Times New Roman"/>
                <w:color w:val="000000"/>
                <w:sz w:val="24"/>
                <w:szCs w:val="24"/>
                <w:u w:val="single"/>
              </w:rPr>
            </w:pPr>
            <w:r w:rsidRPr="007A0905">
              <w:rPr>
                <w:rFonts w:ascii="Times New Roman" w:hAnsi="Times New Roman"/>
                <w:color w:val="000000"/>
                <w:sz w:val="24"/>
                <w:szCs w:val="24"/>
                <w:u w:val="single"/>
              </w:rPr>
              <w:t xml:space="preserve"> $          </w:t>
            </w:r>
            <w:r w:rsidR="00F974BB">
              <w:rPr>
                <w:rFonts w:ascii="Times New Roman" w:hAnsi="Times New Roman"/>
                <w:color w:val="000000"/>
                <w:sz w:val="24"/>
                <w:szCs w:val="24"/>
                <w:u w:val="single"/>
              </w:rPr>
              <w:t>2.0442</w:t>
            </w:r>
            <w:r w:rsidRPr="007A0905">
              <w:rPr>
                <w:rFonts w:ascii="Times New Roman" w:hAnsi="Times New Roman"/>
                <w:color w:val="000000"/>
                <w:sz w:val="24"/>
                <w:szCs w:val="24"/>
                <w:u w:val="single"/>
              </w:rPr>
              <w:t xml:space="preserve"> </w:t>
            </w:r>
          </w:p>
        </w:tc>
      </w:tr>
      <w:tr w:rsidRPr="00040C64" w:rsidR="00040C64" w:rsidTr="00040C64" w14:paraId="5E8ABC40" w14:textId="77777777">
        <w:tc>
          <w:tcPr>
            <w:tcW w:w="4295" w:type="dxa"/>
            <w:vAlign w:val="center"/>
          </w:tcPr>
          <w:p w:rsidRPr="007A0905" w:rsidR="00040C64" w:rsidP="00E903F7" w:rsidRDefault="00040C64" w14:paraId="2887FBB5" w14:textId="77777777">
            <w:pPr>
              <w:rPr>
                <w:rFonts w:ascii="Times New Roman" w:hAnsi="Times New Roman"/>
                <w:b/>
                <w:bCs/>
                <w:color w:val="000000"/>
                <w:sz w:val="24"/>
                <w:szCs w:val="24"/>
              </w:rPr>
            </w:pPr>
            <w:r w:rsidRPr="007A0905">
              <w:rPr>
                <w:rFonts w:ascii="Times New Roman" w:hAnsi="Times New Roman"/>
                <w:b/>
                <w:bCs/>
                <w:color w:val="000000"/>
                <w:sz w:val="24"/>
                <w:szCs w:val="24"/>
              </w:rPr>
              <w:t>Total burden dollars</w:t>
            </w:r>
          </w:p>
        </w:tc>
        <w:tc>
          <w:tcPr>
            <w:tcW w:w="1956" w:type="dxa"/>
            <w:vAlign w:val="bottom"/>
          </w:tcPr>
          <w:p w:rsidRPr="00040C64" w:rsidR="00040C64" w:rsidP="00F974BB" w:rsidRDefault="00040C64" w14:paraId="03D00634" w14:textId="3559D205">
            <w:pPr>
              <w:jc w:val="right"/>
              <w:rPr>
                <w:rFonts w:ascii="Times New Roman" w:hAnsi="Times New Roman"/>
                <w:bCs/>
                <w:color w:val="000000"/>
                <w:sz w:val="24"/>
                <w:szCs w:val="24"/>
              </w:rPr>
            </w:pPr>
            <w:r w:rsidRPr="00040C64">
              <w:rPr>
                <w:rFonts w:ascii="Times New Roman" w:hAnsi="Times New Roman"/>
                <w:b/>
                <w:bCs/>
                <w:color w:val="000000"/>
                <w:sz w:val="24"/>
                <w:szCs w:val="24"/>
              </w:rPr>
              <w:t xml:space="preserve">$   </w:t>
            </w:r>
            <w:r w:rsidR="00F974BB">
              <w:rPr>
                <w:rFonts w:ascii="Times New Roman" w:hAnsi="Times New Roman"/>
                <w:b/>
                <w:bCs/>
                <w:color w:val="000000"/>
                <w:sz w:val="24"/>
                <w:szCs w:val="24"/>
              </w:rPr>
              <w:t xml:space="preserve">  2,262,349</w:t>
            </w:r>
            <w:r w:rsidRPr="00040C64">
              <w:rPr>
                <w:rFonts w:ascii="Times New Roman" w:hAnsi="Times New Roman"/>
                <w:b/>
                <w:bCs/>
                <w:color w:val="000000"/>
                <w:sz w:val="24"/>
                <w:szCs w:val="24"/>
              </w:rPr>
              <w:t xml:space="preserve"> </w:t>
            </w:r>
          </w:p>
        </w:tc>
      </w:tr>
    </w:tbl>
    <w:p w:rsidR="00572EEB" w:rsidP="00E903F7" w:rsidRDefault="00572EEB" w14:paraId="0B64C868" w14:textId="77777777">
      <w:pPr>
        <w:rPr>
          <w:rFonts w:ascii="Times New Roman" w:hAnsi="Times New Roman"/>
          <w:sz w:val="24"/>
          <w:szCs w:val="24"/>
        </w:rPr>
      </w:pPr>
    </w:p>
    <w:p w:rsidRPr="005A1D74" w:rsidR="005A1D74" w:rsidP="00E903F7" w:rsidRDefault="005A1D74" w14:paraId="3468F980" w14:textId="77777777">
      <w:pPr>
        <w:rPr>
          <w:rFonts w:ascii="Times New Roman" w:hAnsi="Times New Roman"/>
          <w:sz w:val="24"/>
          <w:szCs w:val="24"/>
        </w:rPr>
      </w:pPr>
      <w:r w:rsidRPr="005A1D74">
        <w:rPr>
          <w:rFonts w:ascii="Times New Roman" w:hAnsi="Times New Roman"/>
          <w:sz w:val="24"/>
          <w:szCs w:val="24"/>
        </w:rPr>
        <w:t xml:space="preserve">13.  </w:t>
      </w:r>
      <w:r w:rsidRPr="00E75B77">
        <w:rPr>
          <w:rFonts w:ascii="Times New Roman" w:hAnsi="Times New Roman"/>
          <w:sz w:val="24"/>
          <w:szCs w:val="24"/>
          <w:u w:val="single"/>
        </w:rPr>
        <w:t>Estimate of Cost Burden:</w:t>
      </w:r>
    </w:p>
    <w:p w:rsidRPr="005A1D74" w:rsidR="005A1D74" w:rsidP="002B16F1" w:rsidRDefault="005A1D74" w14:paraId="3A38746C" w14:textId="77777777">
      <w:pPr>
        <w:rPr>
          <w:rFonts w:ascii="Times New Roman" w:hAnsi="Times New Roman"/>
          <w:sz w:val="24"/>
          <w:szCs w:val="24"/>
        </w:rPr>
      </w:pPr>
    </w:p>
    <w:p w:rsidR="00E75B77" w:rsidP="00F162AA" w:rsidRDefault="00F162AA" w14:paraId="34E5F832" w14:textId="6762CF47">
      <w:pPr>
        <w:rPr>
          <w:rFonts w:ascii="Times New Roman" w:hAnsi="Times New Roman"/>
          <w:sz w:val="24"/>
          <w:szCs w:val="24"/>
        </w:rPr>
      </w:pPr>
      <w:r w:rsidRPr="00F162AA">
        <w:rPr>
          <w:rFonts w:ascii="Times New Roman" w:hAnsi="Times New Roman"/>
          <w:sz w:val="24"/>
          <w:szCs w:val="24"/>
        </w:rPr>
        <w:t>The estimated annual cost burden is zero.  Respondents are not estimated to incur any    a) additional start-up cost or capital expenditure, or b) additional operation and maintenance costs or purchase services as a result of this information collection.</w:t>
      </w:r>
    </w:p>
    <w:p w:rsidR="00F162AA" w:rsidP="00F162AA" w:rsidRDefault="00F162AA" w14:paraId="54B6D280" w14:textId="77777777">
      <w:pPr>
        <w:rPr>
          <w:rFonts w:ascii="Times New Roman" w:hAnsi="Times New Roman"/>
          <w:sz w:val="24"/>
          <w:szCs w:val="24"/>
        </w:rPr>
      </w:pPr>
    </w:p>
    <w:p w:rsidRPr="00E75B77" w:rsidR="005A1D74" w:rsidP="00F162AA" w:rsidRDefault="005A1D74" w14:paraId="756F5E2B" w14:textId="77777777">
      <w:pPr>
        <w:rPr>
          <w:rFonts w:ascii="Times New Roman" w:hAnsi="Times New Roman"/>
          <w:sz w:val="24"/>
          <w:szCs w:val="24"/>
        </w:rPr>
      </w:pPr>
      <w:r w:rsidRPr="00E75B77">
        <w:rPr>
          <w:rFonts w:ascii="Times New Roman" w:hAnsi="Times New Roman"/>
          <w:sz w:val="24"/>
          <w:szCs w:val="24"/>
        </w:rPr>
        <w:t xml:space="preserve">14.  </w:t>
      </w:r>
      <w:r w:rsidRPr="00E75B77">
        <w:rPr>
          <w:rFonts w:ascii="Times New Roman" w:hAnsi="Times New Roman"/>
          <w:sz w:val="24"/>
          <w:szCs w:val="24"/>
          <w:u w:val="single"/>
        </w:rPr>
        <w:t>Estimated Annualized Cost</w:t>
      </w:r>
      <w:r w:rsidRPr="00E75B77" w:rsidR="00E75B77">
        <w:rPr>
          <w:rFonts w:ascii="Times New Roman" w:hAnsi="Times New Roman"/>
          <w:sz w:val="24"/>
          <w:szCs w:val="24"/>
          <w:u w:val="single"/>
        </w:rPr>
        <w:t>s</w:t>
      </w:r>
      <w:r w:rsidRPr="00E75B77">
        <w:rPr>
          <w:rFonts w:ascii="Times New Roman" w:hAnsi="Times New Roman"/>
          <w:sz w:val="24"/>
          <w:szCs w:val="24"/>
          <w:u w:val="single"/>
        </w:rPr>
        <w:t xml:space="preserve"> to Federal Government:</w:t>
      </w:r>
    </w:p>
    <w:p w:rsidRPr="005A1D74" w:rsidR="005A1D74" w:rsidP="00F162AA" w:rsidRDefault="005A1D74" w14:paraId="4C7C86D0" w14:textId="77777777">
      <w:pPr>
        <w:rPr>
          <w:rFonts w:ascii="Times New Roman" w:hAnsi="Times New Roman"/>
          <w:sz w:val="24"/>
          <w:szCs w:val="24"/>
        </w:rPr>
      </w:pPr>
    </w:p>
    <w:p w:rsidR="00E75B77" w:rsidP="00770242" w:rsidRDefault="00F162AA" w14:paraId="2D94AF06" w14:textId="5FAE8075">
      <w:pPr>
        <w:rPr>
          <w:rFonts w:ascii="Times New Roman" w:hAnsi="Times New Roman"/>
          <w:sz w:val="24"/>
          <w:szCs w:val="24"/>
        </w:rPr>
      </w:pPr>
      <w:bookmarkStart w:name="OLE_LINK5" w:id="1"/>
      <w:bookmarkStart w:name="OLE_LINK6" w:id="2"/>
      <w:r w:rsidRPr="00F162AA">
        <w:rPr>
          <w:rFonts w:ascii="Times New Roman" w:hAnsi="Times New Roman"/>
          <w:sz w:val="24"/>
          <w:szCs w:val="24"/>
        </w:rPr>
        <w:t>The forms are prepared, completed, and maintained by DEA registrants.  There is no cost to the federal government.</w:t>
      </w:r>
      <w:bookmarkEnd w:id="1"/>
      <w:bookmarkEnd w:id="2"/>
    </w:p>
    <w:p w:rsidRPr="005A1D74" w:rsidR="00F162AA" w:rsidP="00770242" w:rsidRDefault="00F162AA" w14:paraId="4482EA6F" w14:textId="77777777">
      <w:pPr>
        <w:rPr>
          <w:rFonts w:ascii="Times New Roman" w:hAnsi="Times New Roman"/>
          <w:sz w:val="24"/>
          <w:szCs w:val="24"/>
        </w:rPr>
      </w:pPr>
    </w:p>
    <w:p w:rsidR="00331303" w:rsidP="002B16F1" w:rsidRDefault="000C1537" w14:paraId="3C0B350C" w14:textId="77777777">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15.</w:t>
      </w:r>
      <w:r w:rsidR="00090C0E">
        <w:rPr>
          <w:rFonts w:ascii="Times New Roman" w:hAnsi="Times New Roman"/>
          <w:noProof w:val="0"/>
          <w:sz w:val="24"/>
        </w:rPr>
        <w:t xml:space="preserve"> </w:t>
      </w:r>
      <w:r>
        <w:rPr>
          <w:rFonts w:ascii="Times New Roman" w:hAnsi="Times New Roman"/>
          <w:noProof w:val="0"/>
          <w:sz w:val="24"/>
        </w:rPr>
        <w:t xml:space="preserve"> </w:t>
      </w:r>
      <w:r w:rsidRPr="00B051D2" w:rsidR="00331303">
        <w:rPr>
          <w:rFonts w:ascii="Times New Roman" w:hAnsi="Times New Roman"/>
          <w:noProof w:val="0"/>
          <w:sz w:val="24"/>
          <w:u w:val="single"/>
        </w:rPr>
        <w:t>Reasons for Change in Burden:</w:t>
      </w:r>
    </w:p>
    <w:p w:rsidR="00F162AA" w:rsidP="00F162AA" w:rsidRDefault="00F162AA" w14:paraId="0B03EA0D" w14:textId="77777777">
      <w:pPr>
        <w:rPr>
          <w:rFonts w:ascii="Times New Roman" w:hAnsi="Times New Roman"/>
          <w:noProof w:val="0"/>
          <w:sz w:val="24"/>
        </w:rPr>
      </w:pPr>
    </w:p>
    <w:p w:rsidR="001A64B0" w:rsidP="00F162AA" w:rsidRDefault="00F162AA" w14:paraId="14FEEC39" w14:textId="4D35261C">
      <w:pPr>
        <w:rPr>
          <w:rFonts w:ascii="Times New Roman" w:hAnsi="Times New Roman"/>
          <w:noProof w:val="0"/>
          <w:sz w:val="24"/>
        </w:rPr>
      </w:pPr>
      <w:r w:rsidRPr="00F162AA">
        <w:rPr>
          <w:rFonts w:ascii="Times New Roman" w:hAnsi="Times New Roman"/>
          <w:noProof w:val="0"/>
          <w:sz w:val="24"/>
        </w:rPr>
        <w:t>This is a new regulation; there are no program changes or adjustments reported.</w:t>
      </w:r>
    </w:p>
    <w:p w:rsidR="00695627" w:rsidP="00F162AA" w:rsidRDefault="00695627" w14:paraId="5D237197" w14:textId="77777777">
      <w:pPr>
        <w:rPr>
          <w:rFonts w:ascii="Times New Roman" w:hAnsi="Times New Roman"/>
          <w:noProof w:val="0"/>
          <w:sz w:val="24"/>
        </w:rPr>
      </w:pPr>
    </w:p>
    <w:p w:rsidR="00331303" w:rsidP="00F162AA" w:rsidRDefault="000C1537" w14:paraId="33C9952F" w14:textId="7777777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16. </w:t>
      </w:r>
      <w:r w:rsidR="00090C0E">
        <w:rPr>
          <w:rFonts w:ascii="Times New Roman" w:hAnsi="Times New Roman"/>
          <w:noProof w:val="0"/>
          <w:sz w:val="24"/>
        </w:rPr>
        <w:t xml:space="preserve"> </w:t>
      </w:r>
      <w:r w:rsidRPr="00B051D2" w:rsidR="00331303">
        <w:rPr>
          <w:rFonts w:ascii="Times New Roman" w:hAnsi="Times New Roman"/>
          <w:noProof w:val="0"/>
          <w:sz w:val="24"/>
          <w:u w:val="single"/>
        </w:rPr>
        <w:t>Plans for Publication:</w:t>
      </w:r>
    </w:p>
    <w:p w:rsidR="001A64B0" w:rsidRDefault="001A64B0" w14:paraId="576CF20E" w14:textId="77777777">
      <w:pPr>
        <w:tabs>
          <w:tab w:val="left" w:pos="720"/>
          <w:tab w:val="left" w:pos="1440"/>
          <w:tab w:val="left" w:pos="2160"/>
        </w:tabs>
        <w:rPr>
          <w:rFonts w:ascii="Times New Roman" w:hAnsi="Times New Roman"/>
          <w:noProof w:val="0"/>
          <w:sz w:val="24"/>
        </w:rPr>
      </w:pPr>
    </w:p>
    <w:p w:rsidR="000C1537" w:rsidRDefault="00B051D2" w14:paraId="098EF5F4" w14:textId="79C3221B">
      <w:pPr>
        <w:tabs>
          <w:tab w:val="left" w:pos="720"/>
          <w:tab w:val="left" w:pos="1440"/>
          <w:tab w:val="left" w:pos="2160"/>
        </w:tabs>
        <w:rPr>
          <w:rFonts w:ascii="Times New Roman" w:hAnsi="Times New Roman"/>
          <w:noProof w:val="0"/>
          <w:sz w:val="24"/>
        </w:rPr>
      </w:pPr>
      <w:r>
        <w:rPr>
          <w:rFonts w:ascii="Times New Roman" w:hAnsi="Times New Roman"/>
          <w:noProof w:val="0"/>
          <w:sz w:val="24"/>
        </w:rPr>
        <w:t>DEA will not publish the results of the information collected</w:t>
      </w:r>
      <w:r w:rsidR="000C1537">
        <w:rPr>
          <w:rFonts w:ascii="Times New Roman" w:hAnsi="Times New Roman"/>
          <w:noProof w:val="0"/>
          <w:sz w:val="24"/>
        </w:rPr>
        <w:t>.</w:t>
      </w:r>
    </w:p>
    <w:p w:rsidR="00695627" w:rsidRDefault="00695627" w14:paraId="4C7E5693" w14:textId="77777777">
      <w:pPr>
        <w:tabs>
          <w:tab w:val="left" w:pos="720"/>
        </w:tabs>
        <w:jc w:val="both"/>
        <w:rPr>
          <w:rFonts w:ascii="Times New Roman" w:hAnsi="Times New Roman"/>
          <w:noProof w:val="0"/>
          <w:sz w:val="24"/>
        </w:rPr>
      </w:pPr>
    </w:p>
    <w:p w:rsidR="000C1537" w:rsidRDefault="000C1537" w14:paraId="25CC2370" w14:textId="77777777">
      <w:pPr>
        <w:tabs>
          <w:tab w:val="left" w:pos="720"/>
        </w:tabs>
        <w:jc w:val="both"/>
        <w:rPr>
          <w:rFonts w:ascii="Times New Roman" w:hAnsi="Times New Roman"/>
          <w:noProof w:val="0"/>
          <w:sz w:val="24"/>
        </w:rPr>
      </w:pPr>
      <w:r>
        <w:rPr>
          <w:rFonts w:ascii="Times New Roman" w:hAnsi="Times New Roman"/>
          <w:noProof w:val="0"/>
          <w:sz w:val="24"/>
        </w:rPr>
        <w:t xml:space="preserve">17. </w:t>
      </w:r>
      <w:r w:rsidR="00090C0E">
        <w:rPr>
          <w:rFonts w:ascii="Times New Roman" w:hAnsi="Times New Roman"/>
          <w:noProof w:val="0"/>
          <w:sz w:val="24"/>
        </w:rPr>
        <w:t xml:space="preserve"> </w:t>
      </w:r>
      <w:r w:rsidRPr="00B051D2">
        <w:rPr>
          <w:rFonts w:ascii="Times New Roman" w:hAnsi="Times New Roman"/>
          <w:noProof w:val="0"/>
          <w:sz w:val="24"/>
          <w:u w:val="single"/>
        </w:rPr>
        <w:t>Expiration Date Approval:</w:t>
      </w:r>
    </w:p>
    <w:p w:rsidR="001A64B0" w:rsidRDefault="001A64B0" w14:paraId="237857F5" w14:textId="77777777">
      <w:pPr>
        <w:tabs>
          <w:tab w:val="left" w:pos="720"/>
        </w:tabs>
        <w:jc w:val="both"/>
        <w:rPr>
          <w:rFonts w:ascii="Times New Roman" w:hAnsi="Times New Roman"/>
          <w:noProof w:val="0"/>
          <w:sz w:val="24"/>
        </w:rPr>
      </w:pPr>
    </w:p>
    <w:p w:rsidR="000C1537" w:rsidRDefault="000C1537" w14:paraId="5AD3046E" w14:textId="7FD7D886">
      <w:pPr>
        <w:rPr>
          <w:rFonts w:ascii="Times New Roman" w:hAnsi="Times New Roman"/>
          <w:noProof w:val="0"/>
          <w:sz w:val="24"/>
        </w:rPr>
      </w:pPr>
      <w:r>
        <w:rPr>
          <w:rFonts w:ascii="Times New Roman" w:hAnsi="Times New Roman"/>
          <w:noProof w:val="0"/>
          <w:sz w:val="24"/>
        </w:rPr>
        <w:t xml:space="preserve">Due to the administrative burdens related to replacing expired forms when no information on those forms has been changed, DEA is seeking approval not </w:t>
      </w:r>
      <w:r w:rsidR="002364CB">
        <w:rPr>
          <w:rFonts w:ascii="Times New Roman" w:hAnsi="Times New Roman"/>
          <w:noProof w:val="0"/>
          <w:sz w:val="24"/>
        </w:rPr>
        <w:t xml:space="preserve">to </w:t>
      </w:r>
      <w:r>
        <w:rPr>
          <w:rFonts w:ascii="Times New Roman" w:hAnsi="Times New Roman"/>
          <w:noProof w:val="0"/>
          <w:sz w:val="24"/>
        </w:rPr>
        <w:t xml:space="preserve">display the expiration date </w:t>
      </w:r>
      <w:r w:rsidR="009D6B26">
        <w:rPr>
          <w:rFonts w:ascii="Times New Roman" w:hAnsi="Times New Roman"/>
          <w:noProof w:val="0"/>
          <w:sz w:val="24"/>
        </w:rPr>
        <w:t xml:space="preserve">on any paper forms printed by the agency.  </w:t>
      </w:r>
    </w:p>
    <w:p w:rsidR="00072531" w:rsidRDefault="00072531" w14:paraId="6C5DD32A" w14:textId="77777777">
      <w:pPr>
        <w:rPr>
          <w:rFonts w:ascii="Times New Roman" w:hAnsi="Times New Roman"/>
          <w:noProof w:val="0"/>
          <w:sz w:val="24"/>
        </w:rPr>
      </w:pPr>
    </w:p>
    <w:p w:rsidR="000C1537" w:rsidRDefault="000C1537" w14:paraId="667ADEFA" w14:textId="77777777">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 xml:space="preserve">18. </w:t>
      </w:r>
      <w:r w:rsidR="00090C0E">
        <w:rPr>
          <w:rFonts w:ascii="Times New Roman" w:hAnsi="Times New Roman"/>
          <w:noProof w:val="0"/>
          <w:sz w:val="24"/>
        </w:rPr>
        <w:t xml:space="preserve"> </w:t>
      </w:r>
      <w:r w:rsidRPr="00B051D2">
        <w:rPr>
          <w:rFonts w:ascii="Times New Roman" w:hAnsi="Times New Roman"/>
          <w:noProof w:val="0"/>
          <w:sz w:val="24"/>
          <w:u w:val="single"/>
        </w:rPr>
        <w:t>Exceptions to the Certification Statement:</w:t>
      </w:r>
    </w:p>
    <w:p w:rsidR="001A64B0" w:rsidRDefault="001A64B0" w14:paraId="12C90C3E" w14:textId="77777777">
      <w:pPr>
        <w:tabs>
          <w:tab w:val="left" w:pos="720"/>
          <w:tab w:val="left" w:pos="1440"/>
          <w:tab w:val="left" w:pos="2160"/>
        </w:tabs>
        <w:jc w:val="both"/>
        <w:rPr>
          <w:rFonts w:ascii="Times New Roman" w:hAnsi="Times New Roman"/>
          <w:noProof w:val="0"/>
          <w:sz w:val="24"/>
        </w:rPr>
      </w:pPr>
    </w:p>
    <w:p w:rsidR="00CE3759" w:rsidRDefault="00B051D2" w14:paraId="45E75DD2" w14:textId="169A88EA">
      <w:pPr>
        <w:rPr>
          <w:rFonts w:ascii="Times New Roman" w:hAnsi="Times New Roman"/>
          <w:b/>
          <w:sz w:val="24"/>
          <w:szCs w:val="24"/>
        </w:rPr>
      </w:pPr>
      <w:r>
        <w:rPr>
          <w:rFonts w:ascii="Times New Roman" w:hAnsi="Times New Roman"/>
          <w:noProof w:val="0"/>
          <w:sz w:val="24"/>
        </w:rPr>
        <w:t xml:space="preserve">DEA is not seeking an exception to the certification statement “Certification for Paperwork Reduction Act Submissions” for this collection of information.  </w:t>
      </w:r>
    </w:p>
    <w:p w:rsidR="00CE3759" w:rsidRDefault="00CE3759" w14:paraId="58071D13" w14:textId="77777777">
      <w:pPr>
        <w:rPr>
          <w:rFonts w:ascii="Times New Roman" w:hAnsi="Times New Roman"/>
          <w:b/>
          <w:sz w:val="24"/>
          <w:szCs w:val="24"/>
        </w:rPr>
      </w:pPr>
    </w:p>
    <w:p w:rsidRPr="00B051D2" w:rsidR="000C1537" w:rsidRDefault="000C1537" w14:paraId="23F34F4D" w14:textId="77777777">
      <w:pPr>
        <w:rPr>
          <w:rFonts w:ascii="Times New Roman" w:hAnsi="Times New Roman"/>
          <w:b/>
          <w:sz w:val="24"/>
          <w:szCs w:val="24"/>
        </w:rPr>
      </w:pPr>
      <w:r w:rsidRPr="00B051D2">
        <w:rPr>
          <w:rFonts w:ascii="Times New Roman" w:hAnsi="Times New Roman"/>
          <w:b/>
          <w:sz w:val="24"/>
          <w:szCs w:val="24"/>
        </w:rPr>
        <w:t>Part B. Statistical Methods</w:t>
      </w:r>
    </w:p>
    <w:p w:rsidRPr="000C1537" w:rsidR="001A64B0" w:rsidRDefault="001A64B0" w14:paraId="4835F7F1" w14:textId="77777777">
      <w:pPr>
        <w:rPr>
          <w:rFonts w:ascii="Times New Roman" w:hAnsi="Times New Roman"/>
          <w:sz w:val="24"/>
          <w:szCs w:val="24"/>
        </w:rPr>
      </w:pPr>
    </w:p>
    <w:p w:rsidRPr="000C1537" w:rsidR="000C1537" w:rsidRDefault="000C1537" w14:paraId="5975B084" w14:textId="77777777">
      <w:pPr>
        <w:rPr>
          <w:rFonts w:ascii="Times New Roman" w:hAnsi="Times New Roman"/>
          <w:sz w:val="24"/>
          <w:szCs w:val="24"/>
        </w:rPr>
      </w:pPr>
      <w:r w:rsidRPr="000C1537">
        <w:rPr>
          <w:rFonts w:ascii="Times New Roman" w:hAnsi="Times New Roman"/>
          <w:sz w:val="24"/>
          <w:szCs w:val="24"/>
        </w:rPr>
        <w:t xml:space="preserve">The </w:t>
      </w:r>
      <w:r w:rsidR="00B35B59">
        <w:rPr>
          <w:rFonts w:ascii="Times New Roman" w:hAnsi="Times New Roman"/>
          <w:sz w:val="24"/>
          <w:szCs w:val="24"/>
        </w:rPr>
        <w:t>Drug Enforcement Administration will not be</w:t>
      </w:r>
      <w:r w:rsidRPr="000C1537" w:rsidR="00B35B59">
        <w:rPr>
          <w:rFonts w:ascii="Times New Roman" w:hAnsi="Times New Roman"/>
          <w:sz w:val="24"/>
          <w:szCs w:val="24"/>
        </w:rPr>
        <w:t xml:space="preserve"> </w:t>
      </w:r>
      <w:r w:rsidRPr="000C1537">
        <w:rPr>
          <w:rFonts w:ascii="Times New Roman" w:hAnsi="Times New Roman"/>
          <w:sz w:val="24"/>
          <w:szCs w:val="24"/>
        </w:rPr>
        <w:t>employ</w:t>
      </w:r>
      <w:r w:rsidR="00B35B59">
        <w:rPr>
          <w:rFonts w:ascii="Times New Roman" w:hAnsi="Times New Roman"/>
          <w:sz w:val="24"/>
          <w:szCs w:val="24"/>
        </w:rPr>
        <w:t>ing</w:t>
      </w:r>
      <w:r w:rsidRPr="000C1537">
        <w:rPr>
          <w:rFonts w:ascii="Times New Roman" w:hAnsi="Times New Roman"/>
          <w:sz w:val="24"/>
          <w:szCs w:val="24"/>
        </w:rPr>
        <w:t xml:space="preserve"> statistical methods in this information collection.</w:t>
      </w:r>
    </w:p>
    <w:sectPr w:rsidRPr="000C1537" w:rsidR="000C1537" w:rsidSect="00D841E7">
      <w:headerReference w:type="default" r:id="rId11"/>
      <w:footerReference w:type="default" r:id="rId1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46CDE" w14:textId="77777777" w:rsidR="00204598" w:rsidRDefault="00204598">
      <w:r>
        <w:separator/>
      </w:r>
    </w:p>
  </w:endnote>
  <w:endnote w:type="continuationSeparator" w:id="0">
    <w:p w14:paraId="39FC4450" w14:textId="77777777" w:rsidR="00204598" w:rsidRDefault="0020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365601706"/>
      <w:docPartObj>
        <w:docPartGallery w:val="Page Numbers (Bottom of Page)"/>
        <w:docPartUnique/>
      </w:docPartObj>
    </w:sdtPr>
    <w:sdtEndPr>
      <w:rPr>
        <w:noProof/>
      </w:rPr>
    </w:sdtEndPr>
    <w:sdtContent>
      <w:p w14:paraId="0222626C" w14:textId="35F4C927" w:rsidR="00D841E7" w:rsidRDefault="00D841E7">
        <w:pPr>
          <w:pStyle w:val="Footer"/>
        </w:pPr>
        <w:r>
          <w:rPr>
            <w:noProof w:val="0"/>
          </w:rPr>
          <w:ptab w:relativeTo="margin" w:alignment="right" w:leader="none"/>
        </w:r>
        <w:r>
          <w:rPr>
            <w:noProof w:val="0"/>
          </w:rPr>
          <w:fldChar w:fldCharType="begin"/>
        </w:r>
        <w:r>
          <w:instrText xml:space="preserve"> PAGE   \* MERGEFORMAT </w:instrText>
        </w:r>
        <w:r>
          <w:rPr>
            <w:noProof w:val="0"/>
          </w:rPr>
          <w:fldChar w:fldCharType="separate"/>
        </w:r>
        <w:r w:rsidR="004C1D78">
          <w:t>3</w:t>
        </w:r>
        <w:r>
          <w:fldChar w:fldCharType="end"/>
        </w:r>
      </w:p>
    </w:sdtContent>
  </w:sdt>
  <w:p w14:paraId="1522CE6E" w14:textId="77777777" w:rsidR="00572EEB" w:rsidRDefault="00572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73D0C" w14:textId="77777777" w:rsidR="00204598" w:rsidRDefault="00204598">
      <w:r>
        <w:separator/>
      </w:r>
    </w:p>
  </w:footnote>
  <w:footnote w:type="continuationSeparator" w:id="0">
    <w:p w14:paraId="7DA71F4F" w14:textId="77777777" w:rsidR="00204598" w:rsidRDefault="00204598">
      <w:r>
        <w:continuationSeparator/>
      </w:r>
    </w:p>
  </w:footnote>
  <w:footnote w:id="1">
    <w:p w14:paraId="680B1245" w14:textId="1489B923" w:rsidR="00040C64" w:rsidRDefault="00040C64" w:rsidP="00040C64">
      <w:pPr>
        <w:pStyle w:val="FootnoteText"/>
      </w:pPr>
      <w:r w:rsidRPr="00D34495">
        <w:rPr>
          <w:rStyle w:val="FootnoteReference"/>
          <w:rFonts w:ascii="Times New Roman" w:hAnsi="Times New Roman"/>
          <w:vertAlign w:val="superscript"/>
        </w:rPr>
        <w:footnoteRef/>
      </w:r>
      <w:r w:rsidRPr="00D34495">
        <w:rPr>
          <w:rFonts w:ascii="Times New Roman" w:hAnsi="Times New Roman"/>
        </w:rPr>
        <w:t xml:space="preserve"> </w:t>
      </w:r>
      <w:r w:rsidR="002039F4">
        <w:rPr>
          <w:rFonts w:ascii="Times New Roman" w:hAnsi="Times New Roman"/>
        </w:rPr>
        <w:t>Used</w:t>
      </w:r>
      <w:r w:rsidR="001B509D">
        <w:rPr>
          <w:rFonts w:ascii="Times New Roman" w:hAnsi="Times New Roman"/>
        </w:rPr>
        <w:t xml:space="preserve"> </w:t>
      </w:r>
      <w:r w:rsidR="002039F4">
        <w:rPr>
          <w:rFonts w:ascii="Times New Roman" w:hAnsi="Times New Roman"/>
        </w:rPr>
        <w:t>median hourly wage</w:t>
      </w:r>
      <w:r w:rsidR="001B509D">
        <w:rPr>
          <w:rFonts w:ascii="Times New Roman" w:hAnsi="Times New Roman"/>
        </w:rPr>
        <w:t>s</w:t>
      </w:r>
      <w:r w:rsidR="002039F4">
        <w:rPr>
          <w:rFonts w:ascii="Times New Roman" w:hAnsi="Times New Roman"/>
        </w:rPr>
        <w:t xml:space="preserve"> </w:t>
      </w:r>
      <w:r w:rsidR="001B509D">
        <w:rPr>
          <w:rFonts w:ascii="Times New Roman" w:hAnsi="Times New Roman"/>
        </w:rPr>
        <w:t>for</w:t>
      </w:r>
      <w:r w:rsidR="002039F4">
        <w:rPr>
          <w:rFonts w:ascii="Times New Roman" w:hAnsi="Times New Roman"/>
        </w:rPr>
        <w:t xml:space="preserve"> </w:t>
      </w:r>
      <w:r w:rsidR="009863EF">
        <w:rPr>
          <w:rFonts w:ascii="Times New Roman" w:hAnsi="Times New Roman"/>
        </w:rPr>
        <w:t>29-204</w:t>
      </w:r>
      <w:r w:rsidR="00F974BB">
        <w:rPr>
          <w:rFonts w:ascii="Times New Roman" w:hAnsi="Times New Roman"/>
        </w:rPr>
        <w:t>0</w:t>
      </w:r>
      <w:r w:rsidR="002039F4">
        <w:rPr>
          <w:rFonts w:ascii="Times New Roman" w:hAnsi="Times New Roman"/>
        </w:rPr>
        <w:t xml:space="preserve"> </w:t>
      </w:r>
      <w:r w:rsidR="009863EF">
        <w:rPr>
          <w:rFonts w:ascii="Times New Roman" w:hAnsi="Times New Roman"/>
        </w:rPr>
        <w:t xml:space="preserve">Emergency Medical Technicians and Paramedics </w:t>
      </w:r>
      <w:r w:rsidR="002039F4">
        <w:rPr>
          <w:rFonts w:ascii="Times New Roman" w:hAnsi="Times New Roman"/>
        </w:rPr>
        <w:t xml:space="preserve">to represent </w:t>
      </w:r>
      <w:r w:rsidR="009863EF">
        <w:rPr>
          <w:rFonts w:ascii="Times New Roman" w:hAnsi="Times New Roman"/>
        </w:rPr>
        <w:t>the type of</w:t>
      </w:r>
      <w:r w:rsidR="002039F4">
        <w:rPr>
          <w:rFonts w:ascii="Times New Roman" w:hAnsi="Times New Roman"/>
        </w:rPr>
        <w:t xml:space="preserve"> registrant </w:t>
      </w:r>
      <w:r w:rsidR="009863EF">
        <w:rPr>
          <w:rFonts w:ascii="Times New Roman" w:hAnsi="Times New Roman"/>
        </w:rPr>
        <w:t>that will be recording this information</w:t>
      </w:r>
      <w:r w:rsidR="002039F4">
        <w:rPr>
          <w:rFonts w:ascii="Times New Roman" w:hAnsi="Times New Roman"/>
        </w:rPr>
        <w:t xml:space="preserve">.  </w:t>
      </w:r>
      <w:r>
        <w:rPr>
          <w:rFonts w:ascii="Times New Roman" w:hAnsi="Times New Roman"/>
        </w:rPr>
        <w:t xml:space="preserve">Median hourly wage, </w:t>
      </w:r>
      <w:r w:rsidRPr="00D34495">
        <w:rPr>
          <w:rFonts w:ascii="Times New Roman" w:hAnsi="Times New Roman"/>
        </w:rPr>
        <w:t>Bureau of Labor Statistics, Occupational and Employment and Wages, May 201</w:t>
      </w:r>
      <w:r w:rsidR="009863EF">
        <w:rPr>
          <w:rFonts w:ascii="Times New Roman" w:hAnsi="Times New Roman"/>
        </w:rPr>
        <w:t>9</w:t>
      </w:r>
      <w:r w:rsidRPr="00D34495">
        <w:rPr>
          <w:rFonts w:ascii="Times New Roman" w:hAnsi="Times New Roman"/>
        </w:rPr>
        <w:t>,</w:t>
      </w:r>
      <w:r>
        <w:rPr>
          <w:rFonts w:ascii="Times New Roman" w:hAnsi="Times New Roman"/>
        </w:rPr>
        <w:t xml:space="preserve"> </w:t>
      </w:r>
      <w:r w:rsidRPr="00D34495">
        <w:rPr>
          <w:rFonts w:ascii="Times New Roman" w:hAnsi="Times New Roman"/>
        </w:rPr>
        <w:t>(</w:t>
      </w:r>
      <w:hyperlink r:id="rId1" w:history="1">
        <w:r w:rsidR="002039F4" w:rsidRPr="001A3233">
          <w:rPr>
            <w:rStyle w:val="Hyperlink"/>
            <w:rFonts w:ascii="Times New Roman" w:hAnsi="Times New Roman"/>
          </w:rPr>
          <w:t>http://www.bls.gov/oes/current/oes_nat.htm</w:t>
        </w:r>
      </w:hyperlink>
      <w:r w:rsidRPr="00D34495">
        <w:rPr>
          <w:rFonts w:ascii="Times New Roman" w:hAnsi="Times New Roman"/>
        </w:rPr>
        <w:t>).</w:t>
      </w:r>
      <w:r w:rsidR="002039F4">
        <w:rPr>
          <w:rFonts w:ascii="Times New Roman" w:hAnsi="Times New Roman"/>
        </w:rPr>
        <w:t xml:space="preserve">  </w:t>
      </w:r>
    </w:p>
  </w:footnote>
  <w:footnote w:id="2">
    <w:p w14:paraId="0BC8C71F" w14:textId="75022D7A" w:rsidR="00040C64" w:rsidRDefault="00040C64" w:rsidP="00040C64">
      <w:pPr>
        <w:pStyle w:val="FootnoteText"/>
      </w:pPr>
      <w:r w:rsidRPr="007B3740">
        <w:rPr>
          <w:rStyle w:val="FootnoteReference"/>
          <w:rFonts w:ascii="Times New Roman" w:hAnsi="Times New Roman"/>
          <w:vertAlign w:val="superscript"/>
        </w:rPr>
        <w:footnoteRef/>
      </w:r>
      <w:r w:rsidRPr="007B3740">
        <w:rPr>
          <w:rFonts w:ascii="Times New Roman" w:hAnsi="Times New Roman"/>
        </w:rPr>
        <w:t xml:space="preserve"> Bureau of Labor Statistics, “Employer Costs for Employee Compensation – </w:t>
      </w:r>
      <w:r w:rsidR="008333E1">
        <w:rPr>
          <w:rFonts w:ascii="Times New Roman" w:hAnsi="Times New Roman"/>
        </w:rPr>
        <w:t>March</w:t>
      </w:r>
      <w:r w:rsidR="008333E1" w:rsidRPr="007B3740">
        <w:rPr>
          <w:rFonts w:ascii="Times New Roman" w:hAnsi="Times New Roman"/>
        </w:rPr>
        <w:t xml:space="preserve"> 20</w:t>
      </w:r>
      <w:r w:rsidR="00F974BB">
        <w:rPr>
          <w:rFonts w:ascii="Times New Roman" w:hAnsi="Times New Roman"/>
        </w:rPr>
        <w:t>20</w:t>
      </w:r>
      <w:r w:rsidRPr="007B3740">
        <w:rPr>
          <w:rFonts w:ascii="Times New Roman" w:hAnsi="Times New Roman"/>
        </w:rPr>
        <w:t xml:space="preserve">” </w:t>
      </w:r>
      <w:r>
        <w:rPr>
          <w:rFonts w:ascii="Times New Roman" w:hAnsi="Times New Roman"/>
        </w:rPr>
        <w:t xml:space="preserve">(ECEC) </w:t>
      </w:r>
      <w:r w:rsidRPr="007B3740">
        <w:rPr>
          <w:rFonts w:ascii="Times New Roman" w:hAnsi="Times New Roman"/>
        </w:rPr>
        <w:t xml:space="preserve">reports that </w:t>
      </w:r>
      <w:r>
        <w:rPr>
          <w:rFonts w:ascii="Times New Roman" w:hAnsi="Times New Roman"/>
        </w:rPr>
        <w:t xml:space="preserve">average </w:t>
      </w:r>
      <w:r w:rsidRPr="007B3740">
        <w:rPr>
          <w:rFonts w:ascii="Times New Roman" w:hAnsi="Times New Roman"/>
        </w:rPr>
        <w:t>benef</w:t>
      </w:r>
      <w:r>
        <w:rPr>
          <w:rFonts w:ascii="Times New Roman" w:hAnsi="Times New Roman"/>
        </w:rPr>
        <w:t>its for private industry is 30.</w:t>
      </w:r>
      <w:r w:rsidR="00F974BB">
        <w:rPr>
          <w:rFonts w:ascii="Times New Roman" w:hAnsi="Times New Roman"/>
        </w:rPr>
        <w:t>6</w:t>
      </w:r>
      <w:r w:rsidR="00165B87">
        <w:rPr>
          <w:rFonts w:ascii="Times New Roman" w:hAnsi="Times New Roman"/>
        </w:rPr>
        <w:t xml:space="preserve"> percent</w:t>
      </w:r>
      <w:r w:rsidRPr="007B3740">
        <w:rPr>
          <w:rFonts w:ascii="Times New Roman" w:hAnsi="Times New Roman"/>
        </w:rPr>
        <w:t xml:space="preserve"> </w:t>
      </w:r>
      <w:r>
        <w:rPr>
          <w:rFonts w:ascii="Times New Roman" w:hAnsi="Times New Roman"/>
        </w:rPr>
        <w:t>of total compensation.  The 30.</w:t>
      </w:r>
      <w:r w:rsidR="00F974BB">
        <w:rPr>
          <w:rFonts w:ascii="Times New Roman" w:hAnsi="Times New Roman"/>
        </w:rPr>
        <w:t>6</w:t>
      </w:r>
      <w:r w:rsidR="00165B87">
        <w:rPr>
          <w:rFonts w:ascii="Times New Roman" w:hAnsi="Times New Roman"/>
        </w:rPr>
        <w:t xml:space="preserve"> percent</w:t>
      </w:r>
      <w:r w:rsidRPr="007B3740">
        <w:rPr>
          <w:rFonts w:ascii="Times New Roman" w:hAnsi="Times New Roman"/>
        </w:rPr>
        <w:t xml:space="preserve"> of total com</w:t>
      </w:r>
      <w:r>
        <w:rPr>
          <w:rFonts w:ascii="Times New Roman" w:hAnsi="Times New Roman"/>
        </w:rPr>
        <w:t>pensation equates to 4</w:t>
      </w:r>
      <w:r w:rsidR="00F974BB">
        <w:rPr>
          <w:rFonts w:ascii="Times New Roman" w:hAnsi="Times New Roman"/>
        </w:rPr>
        <w:t>4</w:t>
      </w:r>
      <w:r>
        <w:rPr>
          <w:rFonts w:ascii="Times New Roman" w:hAnsi="Times New Roman"/>
        </w:rPr>
        <w:t>.</w:t>
      </w:r>
      <w:r w:rsidR="00F974BB">
        <w:rPr>
          <w:rFonts w:ascii="Times New Roman" w:hAnsi="Times New Roman"/>
        </w:rPr>
        <w:t>1</w:t>
      </w:r>
      <w:r w:rsidR="00165B87">
        <w:rPr>
          <w:rFonts w:ascii="Times New Roman" w:hAnsi="Times New Roman"/>
        </w:rPr>
        <w:t xml:space="preserve"> percent</w:t>
      </w:r>
      <w:r>
        <w:rPr>
          <w:rFonts w:ascii="Times New Roman" w:hAnsi="Times New Roman"/>
        </w:rPr>
        <w:t xml:space="preserve"> (30.</w:t>
      </w:r>
      <w:r w:rsidR="00F974BB">
        <w:rPr>
          <w:rFonts w:ascii="Times New Roman" w:hAnsi="Times New Roman"/>
        </w:rPr>
        <w:t>6</w:t>
      </w:r>
      <w:r>
        <w:rPr>
          <w:rFonts w:ascii="Times New Roman" w:hAnsi="Times New Roman"/>
        </w:rPr>
        <w:t>% / 69.</w:t>
      </w:r>
      <w:r w:rsidR="008333E1">
        <w:rPr>
          <w:rFonts w:ascii="Times New Roman" w:hAnsi="Times New Roman"/>
        </w:rPr>
        <w:t>7</w:t>
      </w:r>
      <w:r w:rsidRPr="007B3740">
        <w:rPr>
          <w:rFonts w:ascii="Times New Roman" w:hAnsi="Times New Roman"/>
        </w:rPr>
        <w:t>%) load on wages and salaries.</w:t>
      </w:r>
    </w:p>
  </w:footnote>
  <w:footnote w:id="3">
    <w:p w14:paraId="308BB2E0" w14:textId="289D7BE4" w:rsidR="00040C64" w:rsidRDefault="00040C64" w:rsidP="00040C64">
      <w:pPr>
        <w:pStyle w:val="FootnoteText"/>
      </w:pPr>
      <w:r w:rsidRPr="007B3740">
        <w:rPr>
          <w:rStyle w:val="FootnoteReference"/>
          <w:rFonts w:ascii="Times New Roman" w:hAnsi="Times New Roman"/>
          <w:vertAlign w:val="superscript"/>
        </w:rPr>
        <w:footnoteRef/>
      </w:r>
      <w:r>
        <w:rPr>
          <w:rFonts w:ascii="Times New Roman" w:hAnsi="Times New Roman"/>
        </w:rPr>
        <w:t xml:space="preserve"> $</w:t>
      </w:r>
      <w:r w:rsidR="00F974BB">
        <w:rPr>
          <w:rFonts w:ascii="Times New Roman" w:hAnsi="Times New Roman"/>
        </w:rPr>
        <w:t>17.02</w:t>
      </w:r>
      <w:r>
        <w:rPr>
          <w:rFonts w:ascii="Times New Roman" w:hAnsi="Times New Roman"/>
        </w:rPr>
        <w:t xml:space="preserve"> x (1 + 0.</w:t>
      </w:r>
      <w:r w:rsidR="008333E1">
        <w:rPr>
          <w:rFonts w:ascii="Times New Roman" w:hAnsi="Times New Roman"/>
        </w:rPr>
        <w:t>4</w:t>
      </w:r>
      <w:r w:rsidR="00F974BB">
        <w:rPr>
          <w:rFonts w:ascii="Times New Roman" w:hAnsi="Times New Roman"/>
        </w:rPr>
        <w:t>41</w:t>
      </w:r>
      <w:r>
        <w:rPr>
          <w:rFonts w:ascii="Times New Roman" w:hAnsi="Times New Roman"/>
        </w:rPr>
        <w:t>) = $</w:t>
      </w:r>
      <w:r w:rsidR="00F974BB">
        <w:rPr>
          <w:rFonts w:ascii="Times New Roman" w:hAnsi="Times New Roman"/>
        </w:rPr>
        <w:t>24.53</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18204" w14:textId="77777777" w:rsidR="00572EEB" w:rsidRDefault="00572EEB">
    <w:pPr>
      <w:rPr>
        <w:sz w:val="22"/>
      </w:rPr>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1BD6"/>
    <w:multiLevelType w:val="hybridMultilevel"/>
    <w:tmpl w:val="1576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13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DB35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E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866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C30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A25C74"/>
    <w:multiLevelType w:val="singleLevel"/>
    <w:tmpl w:val="EBA2601C"/>
    <w:lvl w:ilvl="0">
      <w:start w:val="16"/>
      <w:numFmt w:val="decimal"/>
      <w:lvlText w:val="%1."/>
      <w:lvlJc w:val="left"/>
      <w:pPr>
        <w:tabs>
          <w:tab w:val="num" w:pos="1080"/>
        </w:tabs>
        <w:ind w:left="1080" w:hanging="360"/>
      </w:pPr>
      <w:rPr>
        <w:rFonts w:hint="default"/>
      </w:rPr>
    </w:lvl>
  </w:abstractNum>
  <w:abstractNum w:abstractNumId="7" w15:restartNumberingAfterBreak="0">
    <w:nsid w:val="2C9B6EE7"/>
    <w:multiLevelType w:val="singleLevel"/>
    <w:tmpl w:val="EBA2601C"/>
    <w:lvl w:ilvl="0">
      <w:start w:val="16"/>
      <w:numFmt w:val="decimal"/>
      <w:lvlText w:val="%1."/>
      <w:lvlJc w:val="left"/>
      <w:pPr>
        <w:tabs>
          <w:tab w:val="num" w:pos="1080"/>
        </w:tabs>
        <w:ind w:left="1080" w:hanging="360"/>
      </w:pPr>
      <w:rPr>
        <w:rFonts w:hint="default"/>
      </w:rPr>
    </w:lvl>
  </w:abstractNum>
  <w:abstractNum w:abstractNumId="8" w15:restartNumberingAfterBreak="0">
    <w:nsid w:val="2CA91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B64842"/>
    <w:multiLevelType w:val="hybridMultilevel"/>
    <w:tmpl w:val="896C9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71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2E250EC"/>
    <w:multiLevelType w:val="singleLevel"/>
    <w:tmpl w:val="8CA2C114"/>
    <w:lvl w:ilvl="0">
      <w:start w:val="1"/>
      <w:numFmt w:val="decimal"/>
      <w:lvlText w:val="%1."/>
      <w:lvlJc w:val="left"/>
      <w:pPr>
        <w:tabs>
          <w:tab w:val="num" w:pos="1080"/>
        </w:tabs>
        <w:ind w:left="1080" w:hanging="360"/>
      </w:pPr>
      <w:rPr>
        <w:rFonts w:hint="default"/>
      </w:rPr>
    </w:lvl>
  </w:abstractNum>
  <w:abstractNum w:abstractNumId="12" w15:restartNumberingAfterBreak="0">
    <w:nsid w:val="36B20D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F14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8A1B6F"/>
    <w:multiLevelType w:val="hybridMultilevel"/>
    <w:tmpl w:val="4DA6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30A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46E0D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A65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EA9232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75A0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98A7E3E"/>
    <w:multiLevelType w:val="singleLevel"/>
    <w:tmpl w:val="A55EB0CE"/>
    <w:lvl w:ilvl="0">
      <w:start w:val="8"/>
      <w:numFmt w:val="decimal"/>
      <w:lvlText w:val="%1."/>
      <w:lvlJc w:val="left"/>
      <w:pPr>
        <w:tabs>
          <w:tab w:val="num" w:pos="1080"/>
        </w:tabs>
        <w:ind w:left="1080" w:hanging="360"/>
      </w:pPr>
      <w:rPr>
        <w:rFonts w:hint="default"/>
      </w:rPr>
    </w:lvl>
  </w:abstractNum>
  <w:abstractNum w:abstractNumId="21" w15:restartNumberingAfterBreak="0">
    <w:nsid w:val="7C4F46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5"/>
  </w:num>
  <w:num w:numId="3">
    <w:abstractNumId w:val="20"/>
  </w:num>
  <w:num w:numId="4">
    <w:abstractNumId w:val="7"/>
  </w:num>
  <w:num w:numId="5">
    <w:abstractNumId w:val="18"/>
  </w:num>
  <w:num w:numId="6">
    <w:abstractNumId w:val="6"/>
  </w:num>
  <w:num w:numId="7">
    <w:abstractNumId w:val="1"/>
  </w:num>
  <w:num w:numId="8">
    <w:abstractNumId w:val="19"/>
  </w:num>
  <w:num w:numId="9">
    <w:abstractNumId w:val="21"/>
  </w:num>
  <w:num w:numId="10">
    <w:abstractNumId w:val="4"/>
  </w:num>
  <w:num w:numId="11">
    <w:abstractNumId w:val="16"/>
  </w:num>
  <w:num w:numId="12">
    <w:abstractNumId w:val="8"/>
  </w:num>
  <w:num w:numId="13">
    <w:abstractNumId w:val="17"/>
  </w:num>
  <w:num w:numId="14">
    <w:abstractNumId w:val="13"/>
  </w:num>
  <w:num w:numId="15">
    <w:abstractNumId w:val="5"/>
  </w:num>
  <w:num w:numId="16">
    <w:abstractNumId w:val="12"/>
  </w:num>
  <w:num w:numId="17">
    <w:abstractNumId w:val="2"/>
  </w:num>
  <w:num w:numId="18">
    <w:abstractNumId w:val="3"/>
  </w:num>
  <w:num w:numId="19">
    <w:abstractNumId w:val="10"/>
  </w:num>
  <w:num w:numId="20">
    <w:abstractNumId w:val="9"/>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2AA"/>
    <w:rsid w:val="00003CA9"/>
    <w:rsid w:val="0001166E"/>
    <w:rsid w:val="00014C4D"/>
    <w:rsid w:val="00024E2B"/>
    <w:rsid w:val="000307CF"/>
    <w:rsid w:val="00040C64"/>
    <w:rsid w:val="00047F50"/>
    <w:rsid w:val="00072531"/>
    <w:rsid w:val="00072975"/>
    <w:rsid w:val="000729D4"/>
    <w:rsid w:val="00073D7B"/>
    <w:rsid w:val="00090C0E"/>
    <w:rsid w:val="00090EEB"/>
    <w:rsid w:val="000936D4"/>
    <w:rsid w:val="0009395B"/>
    <w:rsid w:val="000B05CC"/>
    <w:rsid w:val="000B0778"/>
    <w:rsid w:val="000B2518"/>
    <w:rsid w:val="000B30D6"/>
    <w:rsid w:val="000C1537"/>
    <w:rsid w:val="000C233D"/>
    <w:rsid w:val="000C46D6"/>
    <w:rsid w:val="000C697C"/>
    <w:rsid w:val="000D51B5"/>
    <w:rsid w:val="000E4A77"/>
    <w:rsid w:val="000E728F"/>
    <w:rsid w:val="0010264F"/>
    <w:rsid w:val="00103A27"/>
    <w:rsid w:val="00106AAC"/>
    <w:rsid w:val="00115747"/>
    <w:rsid w:val="001200DB"/>
    <w:rsid w:val="001275B6"/>
    <w:rsid w:val="00132072"/>
    <w:rsid w:val="0013502E"/>
    <w:rsid w:val="0013751E"/>
    <w:rsid w:val="00146805"/>
    <w:rsid w:val="001576A9"/>
    <w:rsid w:val="00160BA0"/>
    <w:rsid w:val="001610B9"/>
    <w:rsid w:val="00165B87"/>
    <w:rsid w:val="00187730"/>
    <w:rsid w:val="001945E3"/>
    <w:rsid w:val="001948C7"/>
    <w:rsid w:val="001A64B0"/>
    <w:rsid w:val="001A6B52"/>
    <w:rsid w:val="001A7C2B"/>
    <w:rsid w:val="001B3C46"/>
    <w:rsid w:val="001B509D"/>
    <w:rsid w:val="001B6D6B"/>
    <w:rsid w:val="001C0567"/>
    <w:rsid w:val="001C1292"/>
    <w:rsid w:val="001C3230"/>
    <w:rsid w:val="001C47F6"/>
    <w:rsid w:val="001D00A4"/>
    <w:rsid w:val="001D70F6"/>
    <w:rsid w:val="001E1407"/>
    <w:rsid w:val="001E3A04"/>
    <w:rsid w:val="001E6B15"/>
    <w:rsid w:val="001E72F7"/>
    <w:rsid w:val="001F24F2"/>
    <w:rsid w:val="001F31A3"/>
    <w:rsid w:val="001F328F"/>
    <w:rsid w:val="001F7E77"/>
    <w:rsid w:val="0020105A"/>
    <w:rsid w:val="00202FD8"/>
    <w:rsid w:val="002039F4"/>
    <w:rsid w:val="00204598"/>
    <w:rsid w:val="00204F60"/>
    <w:rsid w:val="002061BE"/>
    <w:rsid w:val="00213992"/>
    <w:rsid w:val="00221401"/>
    <w:rsid w:val="002364CB"/>
    <w:rsid w:val="0023781B"/>
    <w:rsid w:val="00253917"/>
    <w:rsid w:val="00254B07"/>
    <w:rsid w:val="00256291"/>
    <w:rsid w:val="00264BA6"/>
    <w:rsid w:val="00266EDA"/>
    <w:rsid w:val="00267D10"/>
    <w:rsid w:val="0027229C"/>
    <w:rsid w:val="002727CA"/>
    <w:rsid w:val="0028737B"/>
    <w:rsid w:val="00287834"/>
    <w:rsid w:val="002939D5"/>
    <w:rsid w:val="00296FD9"/>
    <w:rsid w:val="002A785B"/>
    <w:rsid w:val="002B16F1"/>
    <w:rsid w:val="002C5672"/>
    <w:rsid w:val="002D03DF"/>
    <w:rsid w:val="002D2CA4"/>
    <w:rsid w:val="002D7617"/>
    <w:rsid w:val="002E364E"/>
    <w:rsid w:val="002E3BAD"/>
    <w:rsid w:val="002E4B64"/>
    <w:rsid w:val="002F0759"/>
    <w:rsid w:val="003045D7"/>
    <w:rsid w:val="00310BF5"/>
    <w:rsid w:val="00317FEB"/>
    <w:rsid w:val="003238E0"/>
    <w:rsid w:val="00331303"/>
    <w:rsid w:val="003323BE"/>
    <w:rsid w:val="00335B7D"/>
    <w:rsid w:val="00340835"/>
    <w:rsid w:val="003415E1"/>
    <w:rsid w:val="00347A3F"/>
    <w:rsid w:val="00355983"/>
    <w:rsid w:val="0035613D"/>
    <w:rsid w:val="00356C68"/>
    <w:rsid w:val="00356F1E"/>
    <w:rsid w:val="003632C4"/>
    <w:rsid w:val="003744B7"/>
    <w:rsid w:val="00381749"/>
    <w:rsid w:val="0038182F"/>
    <w:rsid w:val="003853E3"/>
    <w:rsid w:val="003865AE"/>
    <w:rsid w:val="00393556"/>
    <w:rsid w:val="00397627"/>
    <w:rsid w:val="003A0729"/>
    <w:rsid w:val="003A2653"/>
    <w:rsid w:val="003A47A0"/>
    <w:rsid w:val="003A75B2"/>
    <w:rsid w:val="003B1894"/>
    <w:rsid w:val="003B462C"/>
    <w:rsid w:val="003B51FF"/>
    <w:rsid w:val="003B565A"/>
    <w:rsid w:val="003B5B37"/>
    <w:rsid w:val="003C6B62"/>
    <w:rsid w:val="003C7787"/>
    <w:rsid w:val="003D62DF"/>
    <w:rsid w:val="003E19B7"/>
    <w:rsid w:val="003E411E"/>
    <w:rsid w:val="003E759F"/>
    <w:rsid w:val="003F21E0"/>
    <w:rsid w:val="00403678"/>
    <w:rsid w:val="00406E88"/>
    <w:rsid w:val="00417CC2"/>
    <w:rsid w:val="004202AA"/>
    <w:rsid w:val="00436B13"/>
    <w:rsid w:val="004374B0"/>
    <w:rsid w:val="00441C24"/>
    <w:rsid w:val="004457EC"/>
    <w:rsid w:val="00447D09"/>
    <w:rsid w:val="00451D6C"/>
    <w:rsid w:val="004523E4"/>
    <w:rsid w:val="004547B8"/>
    <w:rsid w:val="00460751"/>
    <w:rsid w:val="00467313"/>
    <w:rsid w:val="004679E7"/>
    <w:rsid w:val="00473372"/>
    <w:rsid w:val="00480BEE"/>
    <w:rsid w:val="00484015"/>
    <w:rsid w:val="00485B3F"/>
    <w:rsid w:val="004878FE"/>
    <w:rsid w:val="00492914"/>
    <w:rsid w:val="004965E6"/>
    <w:rsid w:val="004A0B75"/>
    <w:rsid w:val="004A1D5E"/>
    <w:rsid w:val="004A6D84"/>
    <w:rsid w:val="004B6259"/>
    <w:rsid w:val="004C1D78"/>
    <w:rsid w:val="004C31A0"/>
    <w:rsid w:val="004C501D"/>
    <w:rsid w:val="004C57AA"/>
    <w:rsid w:val="004D68DA"/>
    <w:rsid w:val="004E5AD0"/>
    <w:rsid w:val="004E7783"/>
    <w:rsid w:val="004F2230"/>
    <w:rsid w:val="004F5024"/>
    <w:rsid w:val="00503848"/>
    <w:rsid w:val="00516270"/>
    <w:rsid w:val="00520B1C"/>
    <w:rsid w:val="005322C9"/>
    <w:rsid w:val="0053425E"/>
    <w:rsid w:val="00562D6D"/>
    <w:rsid w:val="00563B33"/>
    <w:rsid w:val="00564F07"/>
    <w:rsid w:val="00566957"/>
    <w:rsid w:val="00572EEB"/>
    <w:rsid w:val="005825C6"/>
    <w:rsid w:val="00583984"/>
    <w:rsid w:val="00584F45"/>
    <w:rsid w:val="0059407C"/>
    <w:rsid w:val="005A0509"/>
    <w:rsid w:val="005A1D74"/>
    <w:rsid w:val="005A4781"/>
    <w:rsid w:val="005C6149"/>
    <w:rsid w:val="005D5AAF"/>
    <w:rsid w:val="005D7A95"/>
    <w:rsid w:val="005E1C3C"/>
    <w:rsid w:val="005E70FF"/>
    <w:rsid w:val="005F45D8"/>
    <w:rsid w:val="00603426"/>
    <w:rsid w:val="00606C77"/>
    <w:rsid w:val="00630832"/>
    <w:rsid w:val="00630964"/>
    <w:rsid w:val="006365D8"/>
    <w:rsid w:val="00640CC3"/>
    <w:rsid w:val="00640EAE"/>
    <w:rsid w:val="00645EBD"/>
    <w:rsid w:val="0065322F"/>
    <w:rsid w:val="00653760"/>
    <w:rsid w:val="00653D0F"/>
    <w:rsid w:val="00655AD9"/>
    <w:rsid w:val="00660C66"/>
    <w:rsid w:val="00662A09"/>
    <w:rsid w:val="00665335"/>
    <w:rsid w:val="00674684"/>
    <w:rsid w:val="00676F9C"/>
    <w:rsid w:val="00695627"/>
    <w:rsid w:val="0069717E"/>
    <w:rsid w:val="00697A45"/>
    <w:rsid w:val="00697EC4"/>
    <w:rsid w:val="006A278B"/>
    <w:rsid w:val="006A44AB"/>
    <w:rsid w:val="006A5FAE"/>
    <w:rsid w:val="006A7E04"/>
    <w:rsid w:val="006B1E12"/>
    <w:rsid w:val="006B1E52"/>
    <w:rsid w:val="006B63F1"/>
    <w:rsid w:val="006D3114"/>
    <w:rsid w:val="006D6E52"/>
    <w:rsid w:val="006D7F5D"/>
    <w:rsid w:val="006E0755"/>
    <w:rsid w:val="006F5F73"/>
    <w:rsid w:val="0070093C"/>
    <w:rsid w:val="00707072"/>
    <w:rsid w:val="00711DA2"/>
    <w:rsid w:val="00713B1A"/>
    <w:rsid w:val="007164CA"/>
    <w:rsid w:val="0072448E"/>
    <w:rsid w:val="007257A3"/>
    <w:rsid w:val="00727DE4"/>
    <w:rsid w:val="00733CBE"/>
    <w:rsid w:val="007341E2"/>
    <w:rsid w:val="007403FB"/>
    <w:rsid w:val="007415AB"/>
    <w:rsid w:val="00743F18"/>
    <w:rsid w:val="0074466F"/>
    <w:rsid w:val="00753F1E"/>
    <w:rsid w:val="00760231"/>
    <w:rsid w:val="00762166"/>
    <w:rsid w:val="00770242"/>
    <w:rsid w:val="007706D5"/>
    <w:rsid w:val="00776F7B"/>
    <w:rsid w:val="0078590F"/>
    <w:rsid w:val="0079012C"/>
    <w:rsid w:val="007A0905"/>
    <w:rsid w:val="007A6E5F"/>
    <w:rsid w:val="007B06D5"/>
    <w:rsid w:val="007B0BA3"/>
    <w:rsid w:val="007B20CA"/>
    <w:rsid w:val="007B72F7"/>
    <w:rsid w:val="007C1A51"/>
    <w:rsid w:val="007C1FFE"/>
    <w:rsid w:val="007C787E"/>
    <w:rsid w:val="007D58E1"/>
    <w:rsid w:val="007D6549"/>
    <w:rsid w:val="007E1FB3"/>
    <w:rsid w:val="007E493D"/>
    <w:rsid w:val="007E4956"/>
    <w:rsid w:val="007F1BC8"/>
    <w:rsid w:val="007F1D5F"/>
    <w:rsid w:val="0080166A"/>
    <w:rsid w:val="00802AF9"/>
    <w:rsid w:val="00803E02"/>
    <w:rsid w:val="00805055"/>
    <w:rsid w:val="0080720C"/>
    <w:rsid w:val="008118F0"/>
    <w:rsid w:val="00813BD7"/>
    <w:rsid w:val="00822772"/>
    <w:rsid w:val="00823529"/>
    <w:rsid w:val="008248A2"/>
    <w:rsid w:val="0082680D"/>
    <w:rsid w:val="00827400"/>
    <w:rsid w:val="00827435"/>
    <w:rsid w:val="008333E1"/>
    <w:rsid w:val="00833B1E"/>
    <w:rsid w:val="00837798"/>
    <w:rsid w:val="0084494A"/>
    <w:rsid w:val="008458D9"/>
    <w:rsid w:val="008535D1"/>
    <w:rsid w:val="00860ED2"/>
    <w:rsid w:val="0086467C"/>
    <w:rsid w:val="00867199"/>
    <w:rsid w:val="00875400"/>
    <w:rsid w:val="00875C53"/>
    <w:rsid w:val="00875EED"/>
    <w:rsid w:val="00875FE9"/>
    <w:rsid w:val="00882D9D"/>
    <w:rsid w:val="00885594"/>
    <w:rsid w:val="008964A5"/>
    <w:rsid w:val="008970AF"/>
    <w:rsid w:val="008A3424"/>
    <w:rsid w:val="008B12B1"/>
    <w:rsid w:val="008B5B93"/>
    <w:rsid w:val="008B7B24"/>
    <w:rsid w:val="008C00BD"/>
    <w:rsid w:val="008C26E1"/>
    <w:rsid w:val="008C5125"/>
    <w:rsid w:val="008D2D46"/>
    <w:rsid w:val="008E0063"/>
    <w:rsid w:val="008E1FB0"/>
    <w:rsid w:val="008E7B3E"/>
    <w:rsid w:val="008F7D40"/>
    <w:rsid w:val="00904E80"/>
    <w:rsid w:val="00905192"/>
    <w:rsid w:val="009105A3"/>
    <w:rsid w:val="00912BEB"/>
    <w:rsid w:val="009151B2"/>
    <w:rsid w:val="009173BD"/>
    <w:rsid w:val="00921795"/>
    <w:rsid w:val="00922573"/>
    <w:rsid w:val="009356AB"/>
    <w:rsid w:val="00936A27"/>
    <w:rsid w:val="00942B59"/>
    <w:rsid w:val="009523DE"/>
    <w:rsid w:val="00956DC2"/>
    <w:rsid w:val="00970E8B"/>
    <w:rsid w:val="009822CD"/>
    <w:rsid w:val="00982C2B"/>
    <w:rsid w:val="00984D1A"/>
    <w:rsid w:val="00985D10"/>
    <w:rsid w:val="009863EF"/>
    <w:rsid w:val="009910FC"/>
    <w:rsid w:val="0099333D"/>
    <w:rsid w:val="009B3EBD"/>
    <w:rsid w:val="009B71F1"/>
    <w:rsid w:val="009C5ECB"/>
    <w:rsid w:val="009C7698"/>
    <w:rsid w:val="009D37E6"/>
    <w:rsid w:val="009D6B26"/>
    <w:rsid w:val="009E10CB"/>
    <w:rsid w:val="009E27BB"/>
    <w:rsid w:val="009E4BFA"/>
    <w:rsid w:val="009E5DAC"/>
    <w:rsid w:val="009F38A1"/>
    <w:rsid w:val="00A00BBC"/>
    <w:rsid w:val="00A03B7A"/>
    <w:rsid w:val="00A07710"/>
    <w:rsid w:val="00A13A11"/>
    <w:rsid w:val="00A32B3D"/>
    <w:rsid w:val="00A338B6"/>
    <w:rsid w:val="00A4256B"/>
    <w:rsid w:val="00A42A92"/>
    <w:rsid w:val="00A5110C"/>
    <w:rsid w:val="00A52C58"/>
    <w:rsid w:val="00A52E4C"/>
    <w:rsid w:val="00A62661"/>
    <w:rsid w:val="00A65D73"/>
    <w:rsid w:val="00A65E30"/>
    <w:rsid w:val="00A71AA6"/>
    <w:rsid w:val="00A808A3"/>
    <w:rsid w:val="00A80C70"/>
    <w:rsid w:val="00A83187"/>
    <w:rsid w:val="00A903BA"/>
    <w:rsid w:val="00AA6AD4"/>
    <w:rsid w:val="00AB4176"/>
    <w:rsid w:val="00AB4B8C"/>
    <w:rsid w:val="00AC459A"/>
    <w:rsid w:val="00AD005D"/>
    <w:rsid w:val="00AD0446"/>
    <w:rsid w:val="00AD6472"/>
    <w:rsid w:val="00AE52E1"/>
    <w:rsid w:val="00AF2AFA"/>
    <w:rsid w:val="00AF6F17"/>
    <w:rsid w:val="00B02534"/>
    <w:rsid w:val="00B051D2"/>
    <w:rsid w:val="00B17FFB"/>
    <w:rsid w:val="00B200CE"/>
    <w:rsid w:val="00B251B2"/>
    <w:rsid w:val="00B346F1"/>
    <w:rsid w:val="00B35B59"/>
    <w:rsid w:val="00B37310"/>
    <w:rsid w:val="00B40956"/>
    <w:rsid w:val="00B50163"/>
    <w:rsid w:val="00B51820"/>
    <w:rsid w:val="00B558D9"/>
    <w:rsid w:val="00B55AE0"/>
    <w:rsid w:val="00B561F4"/>
    <w:rsid w:val="00B577EF"/>
    <w:rsid w:val="00B6707D"/>
    <w:rsid w:val="00B71445"/>
    <w:rsid w:val="00B91C3E"/>
    <w:rsid w:val="00B96EE6"/>
    <w:rsid w:val="00BA2667"/>
    <w:rsid w:val="00BA6FC2"/>
    <w:rsid w:val="00BB1DBD"/>
    <w:rsid w:val="00BB3A79"/>
    <w:rsid w:val="00BC7AA4"/>
    <w:rsid w:val="00BD4078"/>
    <w:rsid w:val="00BD5FE2"/>
    <w:rsid w:val="00BE16A2"/>
    <w:rsid w:val="00BE72C8"/>
    <w:rsid w:val="00BF25A0"/>
    <w:rsid w:val="00BF2C0B"/>
    <w:rsid w:val="00C002A3"/>
    <w:rsid w:val="00C052D7"/>
    <w:rsid w:val="00C11AD3"/>
    <w:rsid w:val="00C20074"/>
    <w:rsid w:val="00C209E3"/>
    <w:rsid w:val="00C21AF9"/>
    <w:rsid w:val="00C2303D"/>
    <w:rsid w:val="00C23E21"/>
    <w:rsid w:val="00C31749"/>
    <w:rsid w:val="00C3623C"/>
    <w:rsid w:val="00C409B9"/>
    <w:rsid w:val="00C41304"/>
    <w:rsid w:val="00C41B4E"/>
    <w:rsid w:val="00C42F38"/>
    <w:rsid w:val="00C44FE6"/>
    <w:rsid w:val="00C462E8"/>
    <w:rsid w:val="00C46DA6"/>
    <w:rsid w:val="00C5178D"/>
    <w:rsid w:val="00C55291"/>
    <w:rsid w:val="00C55954"/>
    <w:rsid w:val="00C61884"/>
    <w:rsid w:val="00C74CAA"/>
    <w:rsid w:val="00C76348"/>
    <w:rsid w:val="00C774F4"/>
    <w:rsid w:val="00C777C7"/>
    <w:rsid w:val="00C84076"/>
    <w:rsid w:val="00C84F6F"/>
    <w:rsid w:val="00C87399"/>
    <w:rsid w:val="00C87B94"/>
    <w:rsid w:val="00C90095"/>
    <w:rsid w:val="00C927C6"/>
    <w:rsid w:val="00C96846"/>
    <w:rsid w:val="00CA0464"/>
    <w:rsid w:val="00CA3BC6"/>
    <w:rsid w:val="00CB0C55"/>
    <w:rsid w:val="00CB1429"/>
    <w:rsid w:val="00CB24B8"/>
    <w:rsid w:val="00CB38EE"/>
    <w:rsid w:val="00CB7F7B"/>
    <w:rsid w:val="00CC0FCF"/>
    <w:rsid w:val="00CC40DC"/>
    <w:rsid w:val="00CD6F66"/>
    <w:rsid w:val="00CE1499"/>
    <w:rsid w:val="00CE207E"/>
    <w:rsid w:val="00CE36A7"/>
    <w:rsid w:val="00CE3759"/>
    <w:rsid w:val="00CE4844"/>
    <w:rsid w:val="00CE7CB0"/>
    <w:rsid w:val="00D03E0F"/>
    <w:rsid w:val="00D11975"/>
    <w:rsid w:val="00D167D9"/>
    <w:rsid w:val="00D22ADC"/>
    <w:rsid w:val="00D274B8"/>
    <w:rsid w:val="00D3631A"/>
    <w:rsid w:val="00D401C9"/>
    <w:rsid w:val="00D41931"/>
    <w:rsid w:val="00D511DB"/>
    <w:rsid w:val="00D52432"/>
    <w:rsid w:val="00D55878"/>
    <w:rsid w:val="00D66333"/>
    <w:rsid w:val="00D673B5"/>
    <w:rsid w:val="00D81D93"/>
    <w:rsid w:val="00D841E7"/>
    <w:rsid w:val="00D84EDF"/>
    <w:rsid w:val="00D90F04"/>
    <w:rsid w:val="00DA0FF4"/>
    <w:rsid w:val="00DB1B0A"/>
    <w:rsid w:val="00DB7313"/>
    <w:rsid w:val="00DC2025"/>
    <w:rsid w:val="00DC5A96"/>
    <w:rsid w:val="00DD1915"/>
    <w:rsid w:val="00DD1F7C"/>
    <w:rsid w:val="00DD603C"/>
    <w:rsid w:val="00DD647D"/>
    <w:rsid w:val="00DD7DA6"/>
    <w:rsid w:val="00DE1F57"/>
    <w:rsid w:val="00DF1722"/>
    <w:rsid w:val="00DF3ECA"/>
    <w:rsid w:val="00DF3F2C"/>
    <w:rsid w:val="00DF4F33"/>
    <w:rsid w:val="00DF505F"/>
    <w:rsid w:val="00E018CC"/>
    <w:rsid w:val="00E16393"/>
    <w:rsid w:val="00E23899"/>
    <w:rsid w:val="00E27D78"/>
    <w:rsid w:val="00E32DD0"/>
    <w:rsid w:val="00E357DE"/>
    <w:rsid w:val="00E41DE5"/>
    <w:rsid w:val="00E42A97"/>
    <w:rsid w:val="00E55C83"/>
    <w:rsid w:val="00E564E0"/>
    <w:rsid w:val="00E63B60"/>
    <w:rsid w:val="00E75B77"/>
    <w:rsid w:val="00E820A7"/>
    <w:rsid w:val="00E85EDF"/>
    <w:rsid w:val="00E8666E"/>
    <w:rsid w:val="00E903F7"/>
    <w:rsid w:val="00E9198D"/>
    <w:rsid w:val="00E92365"/>
    <w:rsid w:val="00E9376C"/>
    <w:rsid w:val="00E975C5"/>
    <w:rsid w:val="00EA5A7C"/>
    <w:rsid w:val="00EA62D1"/>
    <w:rsid w:val="00EB48F5"/>
    <w:rsid w:val="00ED0C58"/>
    <w:rsid w:val="00ED317F"/>
    <w:rsid w:val="00ED55A6"/>
    <w:rsid w:val="00ED7611"/>
    <w:rsid w:val="00EE1041"/>
    <w:rsid w:val="00EE7FA9"/>
    <w:rsid w:val="00EF0495"/>
    <w:rsid w:val="00EF0E84"/>
    <w:rsid w:val="00EF4675"/>
    <w:rsid w:val="00EF4BA5"/>
    <w:rsid w:val="00F03133"/>
    <w:rsid w:val="00F11648"/>
    <w:rsid w:val="00F13405"/>
    <w:rsid w:val="00F162AA"/>
    <w:rsid w:val="00F16738"/>
    <w:rsid w:val="00F174BE"/>
    <w:rsid w:val="00F178A6"/>
    <w:rsid w:val="00F208C8"/>
    <w:rsid w:val="00F23297"/>
    <w:rsid w:val="00F27151"/>
    <w:rsid w:val="00F304A0"/>
    <w:rsid w:val="00F316B4"/>
    <w:rsid w:val="00F359E9"/>
    <w:rsid w:val="00F36B34"/>
    <w:rsid w:val="00F374E1"/>
    <w:rsid w:val="00F37A40"/>
    <w:rsid w:val="00F41ED7"/>
    <w:rsid w:val="00F43BDC"/>
    <w:rsid w:val="00F64EA5"/>
    <w:rsid w:val="00F750AE"/>
    <w:rsid w:val="00F804CC"/>
    <w:rsid w:val="00F80965"/>
    <w:rsid w:val="00F80B6A"/>
    <w:rsid w:val="00F83073"/>
    <w:rsid w:val="00F91DB5"/>
    <w:rsid w:val="00F974BB"/>
    <w:rsid w:val="00FB41E0"/>
    <w:rsid w:val="00FB4835"/>
    <w:rsid w:val="00FB7BDC"/>
    <w:rsid w:val="00FC3989"/>
    <w:rsid w:val="00FD41F2"/>
    <w:rsid w:val="00FE5729"/>
    <w:rsid w:val="00FE5CBD"/>
    <w:rsid w:val="00FE5CED"/>
    <w:rsid w:val="00FF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BD15F53"/>
  <w15:docId w15:val="{77F8AB83-D3C8-49EE-AE39-348BBF54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stem" w:eastAsia="Times New Roman" w:hAnsi="System"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992"/>
    <w:rPr>
      <w:noProof/>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rFonts w:ascii="Times New Roman" w:hAnsi="Times New Roman"/>
      <w:noProof w:val="0"/>
      <w:sz w:val="24"/>
    </w:rPr>
  </w:style>
  <w:style w:type="paragraph" w:styleId="BodyText3">
    <w:name w:val="Body Text 3"/>
    <w:basedOn w:val="Normal"/>
    <w:rsid w:val="00213992"/>
    <w:pPr>
      <w:tabs>
        <w:tab w:val="left" w:pos="0"/>
        <w:tab w:val="left" w:pos="0"/>
      </w:tabs>
      <w:spacing w:line="480" w:lineRule="auto"/>
      <w:ind w:right="-444"/>
    </w:pPr>
    <w:rPr>
      <w:rFonts w:ascii="Times New Roman" w:hAnsi="Times New Roman"/>
      <w:noProof w:val="0"/>
      <w:sz w:val="24"/>
    </w:rPr>
  </w:style>
  <w:style w:type="paragraph" w:styleId="BodyTextIndent2">
    <w:name w:val="Body Text Indent 2"/>
    <w:basedOn w:val="Normal"/>
    <w:rsid w:val="00213992"/>
    <w:pPr>
      <w:tabs>
        <w:tab w:val="left" w:pos="540"/>
      </w:tabs>
      <w:spacing w:line="480" w:lineRule="auto"/>
      <w:ind w:left="540" w:hanging="630"/>
    </w:pPr>
    <w:rPr>
      <w:rFonts w:ascii="Times New Roman" w:hAnsi="Times New Roman"/>
      <w:noProof w:val="0"/>
      <w:sz w:val="24"/>
    </w:rPr>
  </w:style>
  <w:style w:type="paragraph" w:styleId="BodyTextIndent3">
    <w:name w:val="Body Text Indent 3"/>
    <w:basedOn w:val="Normal"/>
    <w:rsid w:val="00213992"/>
    <w:pPr>
      <w:spacing w:line="480" w:lineRule="auto"/>
      <w:ind w:right="-354" w:firstLine="540"/>
    </w:pPr>
    <w:rPr>
      <w:rFonts w:ascii="Times New Roman" w:hAnsi="Times New Roman"/>
      <w:noProof w:val="0"/>
      <w:sz w:val="24"/>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040C64"/>
    <w:rPr>
      <w:rFonts w:ascii="Cambria" w:hAnsi="Cambria"/>
      <w:noProof w:val="0"/>
    </w:rPr>
  </w:style>
  <w:style w:type="character" w:customStyle="1" w:styleId="FootnoteTextChar">
    <w:name w:val="Footnote Text Char"/>
    <w:basedOn w:val="DefaultParagraphFont"/>
    <w:link w:val="FootnoteText"/>
    <w:uiPriority w:val="99"/>
    <w:semiHidden/>
    <w:rsid w:val="00040C64"/>
    <w:rPr>
      <w:rFonts w:ascii="Cambria" w:hAnsi="Cambria"/>
    </w:rPr>
  </w:style>
  <w:style w:type="character" w:styleId="FootnoteReference">
    <w:name w:val="footnote reference"/>
    <w:basedOn w:val="DefaultParagraphFont"/>
    <w:uiPriority w:val="99"/>
    <w:semiHidden/>
    <w:unhideWhenUsed/>
    <w:rsid w:val="00040C64"/>
    <w:rPr>
      <w:rFonts w:cs="Times New Roman"/>
    </w:rPr>
  </w:style>
  <w:style w:type="table" w:styleId="TableGrid">
    <w:name w:val="Table Grid"/>
    <w:basedOn w:val="TableNormal"/>
    <w:uiPriority w:val="59"/>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 w:type="character" w:styleId="FollowedHyperlink">
    <w:name w:val="FollowedHyperlink"/>
    <w:basedOn w:val="DefaultParagraphFont"/>
    <w:uiPriority w:val="99"/>
    <w:semiHidden/>
    <w:unhideWhenUsed/>
    <w:rsid w:val="009863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5654">
      <w:bodyDiv w:val="1"/>
      <w:marLeft w:val="0"/>
      <w:marRight w:val="0"/>
      <w:marTop w:val="0"/>
      <w:marBottom w:val="0"/>
      <w:divBdr>
        <w:top w:val="none" w:sz="0" w:space="0" w:color="auto"/>
        <w:left w:val="none" w:sz="0" w:space="0" w:color="auto"/>
        <w:bottom w:val="none" w:sz="0" w:space="0" w:color="auto"/>
        <w:right w:val="none" w:sz="0" w:space="0" w:color="auto"/>
      </w:divBdr>
    </w:div>
    <w:div w:id="123961070">
      <w:bodyDiv w:val="1"/>
      <w:marLeft w:val="0"/>
      <w:marRight w:val="0"/>
      <w:marTop w:val="0"/>
      <w:marBottom w:val="0"/>
      <w:divBdr>
        <w:top w:val="none" w:sz="0" w:space="0" w:color="auto"/>
        <w:left w:val="none" w:sz="0" w:space="0" w:color="auto"/>
        <w:bottom w:val="none" w:sz="0" w:space="0" w:color="auto"/>
        <w:right w:val="none" w:sz="0" w:space="0" w:color="auto"/>
      </w:divBdr>
    </w:div>
    <w:div w:id="218708249">
      <w:bodyDiv w:val="1"/>
      <w:marLeft w:val="0"/>
      <w:marRight w:val="0"/>
      <w:marTop w:val="0"/>
      <w:marBottom w:val="0"/>
      <w:divBdr>
        <w:top w:val="none" w:sz="0" w:space="0" w:color="auto"/>
        <w:left w:val="none" w:sz="0" w:space="0" w:color="auto"/>
        <w:bottom w:val="none" w:sz="0" w:space="0" w:color="auto"/>
        <w:right w:val="none" w:sz="0" w:space="0" w:color="auto"/>
      </w:divBdr>
    </w:div>
    <w:div w:id="440883532">
      <w:bodyDiv w:val="1"/>
      <w:marLeft w:val="0"/>
      <w:marRight w:val="0"/>
      <w:marTop w:val="0"/>
      <w:marBottom w:val="0"/>
      <w:divBdr>
        <w:top w:val="none" w:sz="0" w:space="0" w:color="auto"/>
        <w:left w:val="none" w:sz="0" w:space="0" w:color="auto"/>
        <w:bottom w:val="none" w:sz="0" w:space="0" w:color="auto"/>
        <w:right w:val="none" w:sz="0" w:space="0" w:color="auto"/>
      </w:divBdr>
    </w:div>
    <w:div w:id="596331438">
      <w:bodyDiv w:val="1"/>
      <w:marLeft w:val="0"/>
      <w:marRight w:val="0"/>
      <w:marTop w:val="0"/>
      <w:marBottom w:val="0"/>
      <w:divBdr>
        <w:top w:val="none" w:sz="0" w:space="0" w:color="auto"/>
        <w:left w:val="none" w:sz="0" w:space="0" w:color="auto"/>
        <w:bottom w:val="none" w:sz="0" w:space="0" w:color="auto"/>
        <w:right w:val="none" w:sz="0" w:space="0" w:color="auto"/>
      </w:divBdr>
    </w:div>
    <w:div w:id="644631064">
      <w:bodyDiv w:val="1"/>
      <w:marLeft w:val="0"/>
      <w:marRight w:val="0"/>
      <w:marTop w:val="0"/>
      <w:marBottom w:val="0"/>
      <w:divBdr>
        <w:top w:val="none" w:sz="0" w:space="0" w:color="auto"/>
        <w:left w:val="none" w:sz="0" w:space="0" w:color="auto"/>
        <w:bottom w:val="none" w:sz="0" w:space="0" w:color="auto"/>
        <w:right w:val="none" w:sz="0" w:space="0" w:color="auto"/>
      </w:divBdr>
    </w:div>
    <w:div w:id="721371872">
      <w:bodyDiv w:val="1"/>
      <w:marLeft w:val="0"/>
      <w:marRight w:val="0"/>
      <w:marTop w:val="0"/>
      <w:marBottom w:val="0"/>
      <w:divBdr>
        <w:top w:val="none" w:sz="0" w:space="0" w:color="auto"/>
        <w:left w:val="none" w:sz="0" w:space="0" w:color="auto"/>
        <w:bottom w:val="none" w:sz="0" w:space="0" w:color="auto"/>
        <w:right w:val="none" w:sz="0" w:space="0" w:color="auto"/>
      </w:divBdr>
    </w:div>
    <w:div w:id="812479788">
      <w:bodyDiv w:val="1"/>
      <w:marLeft w:val="0"/>
      <w:marRight w:val="0"/>
      <w:marTop w:val="0"/>
      <w:marBottom w:val="0"/>
      <w:divBdr>
        <w:top w:val="none" w:sz="0" w:space="0" w:color="auto"/>
        <w:left w:val="none" w:sz="0" w:space="0" w:color="auto"/>
        <w:bottom w:val="none" w:sz="0" w:space="0" w:color="auto"/>
        <w:right w:val="none" w:sz="0" w:space="0" w:color="auto"/>
      </w:divBdr>
    </w:div>
    <w:div w:id="1099175479">
      <w:bodyDiv w:val="1"/>
      <w:marLeft w:val="0"/>
      <w:marRight w:val="0"/>
      <w:marTop w:val="0"/>
      <w:marBottom w:val="0"/>
      <w:divBdr>
        <w:top w:val="none" w:sz="0" w:space="0" w:color="auto"/>
        <w:left w:val="none" w:sz="0" w:space="0" w:color="auto"/>
        <w:bottom w:val="none" w:sz="0" w:space="0" w:color="auto"/>
        <w:right w:val="none" w:sz="0" w:space="0" w:color="auto"/>
      </w:divBdr>
    </w:div>
    <w:div w:id="1153983389">
      <w:bodyDiv w:val="1"/>
      <w:marLeft w:val="0"/>
      <w:marRight w:val="0"/>
      <w:marTop w:val="0"/>
      <w:marBottom w:val="0"/>
      <w:divBdr>
        <w:top w:val="none" w:sz="0" w:space="0" w:color="auto"/>
        <w:left w:val="none" w:sz="0" w:space="0" w:color="auto"/>
        <w:bottom w:val="none" w:sz="0" w:space="0" w:color="auto"/>
        <w:right w:val="none" w:sz="0" w:space="0" w:color="auto"/>
      </w:divBdr>
    </w:div>
    <w:div w:id="1180118014">
      <w:bodyDiv w:val="1"/>
      <w:marLeft w:val="0"/>
      <w:marRight w:val="0"/>
      <w:marTop w:val="0"/>
      <w:marBottom w:val="0"/>
      <w:divBdr>
        <w:top w:val="none" w:sz="0" w:space="0" w:color="auto"/>
        <w:left w:val="none" w:sz="0" w:space="0" w:color="auto"/>
        <w:bottom w:val="none" w:sz="0" w:space="0" w:color="auto"/>
        <w:right w:val="none" w:sz="0" w:space="0" w:color="auto"/>
      </w:divBdr>
    </w:div>
    <w:div w:id="1552116172">
      <w:bodyDiv w:val="1"/>
      <w:marLeft w:val="0"/>
      <w:marRight w:val="0"/>
      <w:marTop w:val="0"/>
      <w:marBottom w:val="0"/>
      <w:divBdr>
        <w:top w:val="none" w:sz="0" w:space="0" w:color="auto"/>
        <w:left w:val="none" w:sz="0" w:space="0" w:color="auto"/>
        <w:bottom w:val="none" w:sz="0" w:space="0" w:color="auto"/>
        <w:right w:val="none" w:sz="0" w:space="0" w:color="auto"/>
      </w:divBdr>
    </w:div>
    <w:div w:id="1959221399">
      <w:bodyDiv w:val="1"/>
      <w:marLeft w:val="0"/>
      <w:marRight w:val="0"/>
      <w:marTop w:val="0"/>
      <w:marBottom w:val="0"/>
      <w:divBdr>
        <w:top w:val="none" w:sz="0" w:space="0" w:color="auto"/>
        <w:left w:val="none" w:sz="0" w:space="0" w:color="auto"/>
        <w:bottom w:val="none" w:sz="0" w:space="0" w:color="auto"/>
        <w:right w:val="none" w:sz="0" w:space="0" w:color="auto"/>
      </w:divBdr>
    </w:div>
    <w:div w:id="2116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D399E-C100-4CDD-B168-9A0307BFDFEA}">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AD3CB878-A0C5-41E4-8136-99F28C468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B080E14-AB0F-46E6-9378-D8806A771625}">
  <ds:schemaRefs>
    <ds:schemaRef ds:uri="http://schemas.microsoft.com/sharepoint/v3/contenttype/forms"/>
  </ds:schemaRefs>
</ds:datastoreItem>
</file>

<file path=customXml/itemProps4.xml><?xml version="1.0" encoding="utf-8"?>
<ds:datastoreItem xmlns:ds="http://schemas.openxmlformats.org/officeDocument/2006/customXml" ds:itemID="{E6DF335F-7FFE-4E7B-B1C3-98518F2AE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2527</Words>
  <Characters>14408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McLemore, Leslie B</dc:creator>
  <cp:lastModifiedBy>Staley, Danielle M</cp:lastModifiedBy>
  <cp:revision>2</cp:revision>
  <cp:lastPrinted>2016-06-22T12:45:00Z</cp:lastPrinted>
  <dcterms:created xsi:type="dcterms:W3CDTF">2022-03-01T16:03:00Z</dcterms:created>
  <dcterms:modified xsi:type="dcterms:W3CDTF">2022-03-01T16:03:00Z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