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51D2" w:rsidR="000C1537" w:rsidP="000550C7" w:rsidRDefault="000C1537" w14:paraId="470AC4A5"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contextualSpacing/>
        <w:jc w:val="center"/>
        <w:rPr>
          <w:rFonts w:ascii="Times New Roman" w:hAnsi="Times New Roman"/>
          <w:b/>
          <w:noProof w:val="0"/>
          <w:sz w:val="24"/>
        </w:rPr>
      </w:pPr>
      <w:r w:rsidRPr="00B051D2">
        <w:rPr>
          <w:rFonts w:ascii="Times New Roman" w:hAnsi="Times New Roman"/>
          <w:b/>
          <w:noProof w:val="0"/>
          <w:sz w:val="24"/>
        </w:rPr>
        <w:t>Supporting Statement for Paperwork Reduction Act Submissions</w:t>
      </w:r>
    </w:p>
    <w:p w:rsidRPr="00B051D2" w:rsidR="000936D4" w:rsidP="000550C7" w:rsidRDefault="00FF39B0" w14:paraId="0326BB59" w14:textId="6EC8228A">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contextualSpacing/>
        <w:jc w:val="center"/>
        <w:rPr>
          <w:rFonts w:ascii="Times New Roman" w:hAnsi="Times New Roman"/>
          <w:b/>
          <w:noProof w:val="0"/>
          <w:sz w:val="24"/>
        </w:rPr>
      </w:pPr>
      <w:r>
        <w:rPr>
          <w:rFonts w:ascii="Times New Roman" w:hAnsi="Times New Roman"/>
          <w:b/>
          <w:noProof w:val="0"/>
          <w:sz w:val="24"/>
        </w:rPr>
        <w:t>Recordkeeping Requirements for the Transfer of Electronic Prescriptions for Controlled Substances (EPCS) in Schedules II-V between Pharmacies for Initial Filling</w:t>
      </w:r>
    </w:p>
    <w:p w:rsidR="001A64B0" w:rsidP="000550C7" w:rsidRDefault="001A64B0" w14:paraId="7FEDEACB" w14:textId="272393D1">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contextualSpacing/>
        <w:jc w:val="center"/>
        <w:rPr>
          <w:rFonts w:ascii="Times New Roman" w:hAnsi="Times New Roman"/>
          <w:b/>
          <w:noProof w:val="0"/>
          <w:sz w:val="24"/>
        </w:rPr>
      </w:pPr>
      <w:r w:rsidRPr="00B051D2">
        <w:rPr>
          <w:rFonts w:ascii="Times New Roman" w:hAnsi="Times New Roman"/>
          <w:b/>
          <w:noProof w:val="0"/>
          <w:sz w:val="24"/>
        </w:rPr>
        <w:t xml:space="preserve">OMB </w:t>
      </w:r>
      <w:r w:rsidRPr="00B051D2" w:rsidR="004A0B75">
        <w:rPr>
          <w:rFonts w:ascii="Times New Roman" w:hAnsi="Times New Roman"/>
          <w:b/>
          <w:noProof w:val="0"/>
          <w:sz w:val="24"/>
        </w:rPr>
        <w:t xml:space="preserve">Approval </w:t>
      </w:r>
      <w:r w:rsidR="00813BD7">
        <w:rPr>
          <w:rFonts w:ascii="Times New Roman" w:hAnsi="Times New Roman"/>
          <w:b/>
          <w:noProof w:val="0"/>
          <w:sz w:val="24"/>
        </w:rPr>
        <w:t>#</w:t>
      </w:r>
      <w:r w:rsidR="001C47F6">
        <w:rPr>
          <w:rFonts w:ascii="Times New Roman" w:hAnsi="Times New Roman"/>
          <w:b/>
          <w:noProof w:val="0"/>
          <w:sz w:val="24"/>
        </w:rPr>
        <w:t>1117-</w:t>
      </w:r>
      <w:r w:rsidR="00FF39B0">
        <w:rPr>
          <w:rFonts w:ascii="Times New Roman" w:hAnsi="Times New Roman"/>
          <w:b/>
          <w:noProof w:val="0"/>
          <w:sz w:val="24"/>
        </w:rPr>
        <w:t>New</w:t>
      </w:r>
    </w:p>
    <w:p w:rsidR="00B051D2" w:rsidP="000550C7" w:rsidRDefault="00B051D2" w14:paraId="6555670E"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contextualSpacing/>
        <w:jc w:val="center"/>
        <w:rPr>
          <w:rFonts w:ascii="Times New Roman" w:hAnsi="Times New Roman"/>
          <w:b/>
          <w:noProof w:val="0"/>
          <w:sz w:val="24"/>
        </w:rPr>
      </w:pPr>
    </w:p>
    <w:p w:rsidRPr="00B051D2" w:rsidR="00B051D2" w:rsidP="004B077C" w:rsidRDefault="00B051D2" w14:paraId="185F77DA" w14:textId="4CB5AC31">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ind w:firstLine="360"/>
        <w:contextualSpacing/>
        <w:rPr>
          <w:rFonts w:ascii="Times New Roman" w:hAnsi="Times New Roman"/>
          <w:noProof w:val="0"/>
          <w:sz w:val="24"/>
        </w:rPr>
      </w:pPr>
      <w:r>
        <w:rPr>
          <w:rFonts w:ascii="Times New Roman" w:hAnsi="Times New Roman"/>
          <w:noProof w:val="0"/>
          <w:sz w:val="24"/>
        </w:rPr>
        <w:t>The Drug Enforcement Administration (DEA) seeks</w:t>
      </w:r>
      <w:r w:rsidR="00090C0E">
        <w:rPr>
          <w:rFonts w:ascii="Times New Roman" w:hAnsi="Times New Roman"/>
          <w:noProof w:val="0"/>
          <w:sz w:val="24"/>
        </w:rPr>
        <w:t xml:space="preserve"> approval by</w:t>
      </w:r>
      <w:r>
        <w:rPr>
          <w:rFonts w:ascii="Times New Roman" w:hAnsi="Times New Roman"/>
          <w:noProof w:val="0"/>
          <w:sz w:val="24"/>
        </w:rPr>
        <w:t xml:space="preserve"> </w:t>
      </w:r>
      <w:r w:rsidR="009151B2">
        <w:rPr>
          <w:rFonts w:ascii="Times New Roman" w:hAnsi="Times New Roman"/>
          <w:noProof w:val="0"/>
          <w:sz w:val="24"/>
        </w:rPr>
        <w:t xml:space="preserve">the </w:t>
      </w:r>
      <w:r>
        <w:rPr>
          <w:rFonts w:ascii="Times New Roman" w:hAnsi="Times New Roman"/>
          <w:noProof w:val="0"/>
          <w:sz w:val="24"/>
        </w:rPr>
        <w:t xml:space="preserve">Office of Management and Budget (OMB) </w:t>
      </w:r>
      <w:r w:rsidR="007B0BA3">
        <w:rPr>
          <w:rFonts w:ascii="Times New Roman" w:hAnsi="Times New Roman"/>
          <w:noProof w:val="0"/>
          <w:sz w:val="24"/>
        </w:rPr>
        <w:t>for</w:t>
      </w:r>
      <w:r>
        <w:rPr>
          <w:rFonts w:ascii="Times New Roman" w:hAnsi="Times New Roman"/>
          <w:noProof w:val="0"/>
          <w:sz w:val="24"/>
        </w:rPr>
        <w:t xml:space="preserve"> a</w:t>
      </w:r>
      <w:r w:rsidR="00412512">
        <w:rPr>
          <w:rFonts w:ascii="Times New Roman" w:hAnsi="Times New Roman"/>
          <w:noProof w:val="0"/>
          <w:sz w:val="24"/>
        </w:rPr>
        <w:t xml:space="preserve"> </w:t>
      </w:r>
      <w:r w:rsidR="00FF39B0">
        <w:rPr>
          <w:rFonts w:ascii="Times New Roman" w:hAnsi="Times New Roman"/>
          <w:noProof w:val="0"/>
          <w:sz w:val="24"/>
        </w:rPr>
        <w:t xml:space="preserve">new </w:t>
      </w:r>
      <w:r>
        <w:rPr>
          <w:rFonts w:ascii="Times New Roman" w:hAnsi="Times New Roman"/>
          <w:noProof w:val="0"/>
          <w:sz w:val="24"/>
        </w:rPr>
        <w:t>collection of information</w:t>
      </w:r>
      <w:r w:rsidR="00FF39B0">
        <w:rPr>
          <w:rFonts w:ascii="Times New Roman" w:hAnsi="Times New Roman"/>
          <w:noProof w:val="0"/>
          <w:sz w:val="24"/>
        </w:rPr>
        <w:t xml:space="preserve">, </w:t>
      </w:r>
      <w:r w:rsidR="008E1B3A">
        <w:rPr>
          <w:rFonts w:ascii="Times New Roman" w:hAnsi="Times New Roman"/>
          <w:noProof w:val="0"/>
          <w:sz w:val="24"/>
        </w:rPr>
        <w:t xml:space="preserve">Recordkeeping Requirements for the </w:t>
      </w:r>
      <w:r w:rsidR="00FF39B0">
        <w:rPr>
          <w:rFonts w:ascii="Times New Roman" w:hAnsi="Times New Roman"/>
          <w:noProof w:val="0"/>
          <w:sz w:val="24"/>
        </w:rPr>
        <w:t xml:space="preserve">Transfer of Electronic Prescriptions for Controlled Substances (EPCS) </w:t>
      </w:r>
      <w:r w:rsidR="008E1B3A">
        <w:rPr>
          <w:rFonts w:ascii="Times New Roman" w:hAnsi="Times New Roman"/>
          <w:noProof w:val="0"/>
          <w:sz w:val="24"/>
        </w:rPr>
        <w:t xml:space="preserve">in Schedules II-V </w:t>
      </w:r>
      <w:r w:rsidR="00FF39B0">
        <w:rPr>
          <w:rFonts w:ascii="Times New Roman" w:hAnsi="Times New Roman"/>
          <w:noProof w:val="0"/>
          <w:sz w:val="24"/>
        </w:rPr>
        <w:t>between Pharmacies for Initial Filling</w:t>
      </w:r>
      <w:r w:rsidR="00AA4A98">
        <w:rPr>
          <w:rFonts w:ascii="Times New Roman" w:hAnsi="Times New Roman"/>
          <w:noProof w:val="0"/>
          <w:sz w:val="24"/>
        </w:rPr>
        <w:t>.</w:t>
      </w:r>
    </w:p>
    <w:p w:rsidR="000C1537" w:rsidP="004B077C" w:rsidRDefault="000C1537" w14:paraId="2185B206" w14:textId="573D0C6B">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ind w:firstLine="360"/>
        <w:contextualSpacing/>
        <w:rPr>
          <w:rFonts w:ascii="Times New Roman" w:hAnsi="Times New Roman"/>
          <w:b/>
          <w:noProof w:val="0"/>
          <w:sz w:val="24"/>
        </w:rPr>
      </w:pPr>
    </w:p>
    <w:p w:rsidR="00181D95" w:rsidP="004B077C" w:rsidRDefault="008E1B3A" w14:paraId="32AAF48D" w14:textId="681D9A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ind w:firstLine="360"/>
        <w:contextualSpacing/>
        <w:rPr>
          <w:rFonts w:ascii="Times New Roman" w:hAnsi="Times New Roman"/>
          <w:noProof w:val="0"/>
          <w:sz w:val="24"/>
        </w:rPr>
      </w:pPr>
      <w:r w:rsidRPr="008E1B3A">
        <w:rPr>
          <w:rFonts w:ascii="Times New Roman" w:hAnsi="Times New Roman"/>
          <w:noProof w:val="0"/>
          <w:sz w:val="24"/>
        </w:rPr>
        <w:t xml:space="preserve">This information collection request is associated with DEA’s </w:t>
      </w:r>
      <w:r w:rsidR="00FC3D26">
        <w:rPr>
          <w:rFonts w:ascii="Times New Roman" w:hAnsi="Times New Roman"/>
          <w:noProof w:val="0"/>
          <w:sz w:val="24"/>
        </w:rPr>
        <w:t>rulemaking,</w:t>
      </w:r>
      <w:r w:rsidRPr="008E1B3A" w:rsidR="00FC3D26">
        <w:rPr>
          <w:rFonts w:ascii="Times New Roman" w:hAnsi="Times New Roman"/>
          <w:noProof w:val="0"/>
          <w:sz w:val="24"/>
        </w:rPr>
        <w:t xml:space="preserve"> </w:t>
      </w:r>
      <w:r w:rsidRPr="008E1B3A">
        <w:rPr>
          <w:rFonts w:ascii="Times New Roman" w:hAnsi="Times New Roman"/>
          <w:noProof w:val="0"/>
          <w:sz w:val="24"/>
        </w:rPr>
        <w:t>Transfer of Prescription Information between Pharmacies for Initial Filling of Electronic Prescriptions for Schedules II-V Controlled Substances</w:t>
      </w:r>
      <w:r w:rsidR="00520344">
        <w:rPr>
          <w:rFonts w:ascii="Times New Roman" w:hAnsi="Times New Roman"/>
          <w:noProof w:val="0"/>
          <w:sz w:val="24"/>
        </w:rPr>
        <w:t xml:space="preserve">, DEA-637, </w:t>
      </w:r>
      <w:r w:rsidR="00647620">
        <w:rPr>
          <w:rFonts w:ascii="Times New Roman" w:hAnsi="Times New Roman"/>
          <w:noProof w:val="0"/>
          <w:sz w:val="24"/>
        </w:rPr>
        <w:t>RIN 1117-</w:t>
      </w:r>
      <w:r w:rsidR="00752FA4">
        <w:rPr>
          <w:rFonts w:ascii="Times New Roman" w:hAnsi="Times New Roman"/>
          <w:noProof w:val="0"/>
          <w:sz w:val="24"/>
        </w:rPr>
        <w:t>AB64</w:t>
      </w:r>
      <w:r w:rsidR="00647620">
        <w:rPr>
          <w:rFonts w:ascii="Times New Roman" w:hAnsi="Times New Roman"/>
          <w:noProof w:val="0"/>
          <w:sz w:val="24"/>
        </w:rPr>
        <w:t xml:space="preserve">.  </w:t>
      </w:r>
      <w:r w:rsidR="00FC3D26">
        <w:rPr>
          <w:rFonts w:ascii="Times New Roman" w:hAnsi="Times New Roman"/>
          <w:noProof w:val="0"/>
          <w:sz w:val="24"/>
        </w:rPr>
        <w:t>DEA is proposing to permit the transfer of unfilled electronic prescriptions for controlled substances (EPCS) in schedules II-V between registered pharmacies.  This information request would require pharmacies to create and maintain records documenting the transfer between pharmacies of unfilled EPCS.</w:t>
      </w:r>
    </w:p>
    <w:p w:rsidRPr="008E1B3A" w:rsidR="00FC3D26" w:rsidP="000550C7" w:rsidRDefault="00FC3D26" w14:paraId="226EAF35"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contextualSpacing/>
        <w:rPr>
          <w:rFonts w:ascii="Times New Roman" w:hAnsi="Times New Roman"/>
          <w:noProof w:val="0"/>
          <w:sz w:val="24"/>
        </w:rPr>
      </w:pPr>
    </w:p>
    <w:p w:rsidRPr="00B051D2" w:rsidR="000C1537" w:rsidP="000550C7" w:rsidRDefault="001A64B0" w14:paraId="210B6321"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contextualSpacing/>
        <w:rPr>
          <w:rFonts w:ascii="Times New Roman" w:hAnsi="Times New Roman"/>
          <w:b/>
          <w:noProof w:val="0"/>
          <w:sz w:val="24"/>
        </w:rPr>
      </w:pPr>
      <w:r w:rsidRPr="00B051D2">
        <w:rPr>
          <w:rFonts w:ascii="Times New Roman" w:hAnsi="Times New Roman"/>
          <w:b/>
          <w:noProof w:val="0"/>
          <w:sz w:val="24"/>
        </w:rPr>
        <w:t xml:space="preserve">Part </w:t>
      </w:r>
      <w:r w:rsidRPr="00B051D2" w:rsidR="000C1537">
        <w:rPr>
          <w:rFonts w:ascii="Times New Roman" w:hAnsi="Times New Roman"/>
          <w:b/>
          <w:noProof w:val="0"/>
          <w:sz w:val="24"/>
        </w:rPr>
        <w:t xml:space="preserve">A. </w:t>
      </w:r>
      <w:r w:rsidR="00D52432">
        <w:rPr>
          <w:rFonts w:ascii="Times New Roman" w:hAnsi="Times New Roman"/>
          <w:b/>
          <w:noProof w:val="0"/>
          <w:sz w:val="24"/>
        </w:rPr>
        <w:t>Justification</w:t>
      </w:r>
      <w:r w:rsidRPr="00B051D2" w:rsidR="00B051D2">
        <w:rPr>
          <w:rFonts w:ascii="Times New Roman" w:hAnsi="Times New Roman"/>
          <w:b/>
          <w:noProof w:val="0"/>
          <w:sz w:val="24"/>
        </w:rPr>
        <w:t xml:space="preserve"> </w:t>
      </w:r>
    </w:p>
    <w:p w:rsidR="001A64B0" w:rsidP="000550C7" w:rsidRDefault="001A64B0" w14:paraId="4CE69F63"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contextualSpacing/>
        <w:rPr>
          <w:rFonts w:ascii="Times New Roman" w:hAnsi="Times New Roman"/>
          <w:noProof w:val="0"/>
          <w:sz w:val="24"/>
        </w:rPr>
      </w:pPr>
    </w:p>
    <w:p w:rsidRPr="001B4940" w:rsidR="004202AA" w:rsidP="000550C7" w:rsidRDefault="000C1537" w14:paraId="467D6DDC" w14:textId="77777777">
      <w:pPr>
        <w:tabs>
          <w:tab w:val="left" w:pos="720"/>
          <w:tab w:val="left" w:pos="1440"/>
          <w:tab w:val="left" w:pos="2160"/>
        </w:tabs>
        <w:contextualSpacing/>
        <w:rPr>
          <w:rFonts w:ascii="Times New Roman" w:hAnsi="Times New Roman"/>
          <w:noProof w:val="0"/>
          <w:sz w:val="24"/>
          <w:szCs w:val="24"/>
        </w:rPr>
      </w:pPr>
      <w:r w:rsidRPr="001B4940">
        <w:rPr>
          <w:rFonts w:ascii="Times New Roman" w:hAnsi="Times New Roman"/>
          <w:noProof w:val="0"/>
          <w:sz w:val="24"/>
          <w:szCs w:val="24"/>
        </w:rPr>
        <w:t xml:space="preserve">1. </w:t>
      </w:r>
      <w:r w:rsidRPr="001B4940" w:rsidR="00090C0E">
        <w:rPr>
          <w:rFonts w:ascii="Times New Roman" w:hAnsi="Times New Roman"/>
          <w:noProof w:val="0"/>
          <w:sz w:val="24"/>
          <w:szCs w:val="24"/>
        </w:rPr>
        <w:t xml:space="preserve"> </w:t>
      </w:r>
      <w:r w:rsidRPr="001B4940" w:rsidR="004202AA">
        <w:rPr>
          <w:rFonts w:ascii="Times New Roman" w:hAnsi="Times New Roman"/>
          <w:noProof w:val="0"/>
          <w:sz w:val="24"/>
          <w:szCs w:val="24"/>
          <w:u w:val="single"/>
        </w:rPr>
        <w:t>Necessity of Information:</w:t>
      </w:r>
    </w:p>
    <w:p w:rsidRPr="000550C7" w:rsidR="00CE207E" w:rsidP="000550C7" w:rsidRDefault="00CE207E" w14:paraId="54EC630B" w14:textId="77777777">
      <w:pPr>
        <w:contextualSpacing/>
        <w:jc w:val="both"/>
        <w:rPr>
          <w:rFonts w:ascii="Times New Roman" w:hAnsi="Times New Roman"/>
          <w:noProof w:val="0"/>
          <w:sz w:val="24"/>
          <w:szCs w:val="24"/>
        </w:rPr>
      </w:pPr>
    </w:p>
    <w:p w:rsidR="00FC3D26" w:rsidP="004B077C" w:rsidRDefault="00FC3D26" w14:paraId="6CF63DA9" w14:textId="23C0E3C3">
      <w:pPr>
        <w:ind w:firstLine="360"/>
        <w:contextualSpacing/>
        <w:jc w:val="both"/>
        <w:rPr>
          <w:rFonts w:ascii="Times New Roman" w:hAnsi="Times New Roman"/>
          <w:noProof w:val="0"/>
          <w:sz w:val="24"/>
          <w:szCs w:val="24"/>
        </w:rPr>
      </w:pPr>
      <w:r>
        <w:rPr>
          <w:rFonts w:ascii="Times New Roman" w:hAnsi="Times New Roman"/>
          <w:noProof w:val="0"/>
          <w:sz w:val="24"/>
          <w:szCs w:val="24"/>
        </w:rPr>
        <w:t xml:space="preserve">DEA implements and enforces titles II and III of the Comprehensive Drug Abuse Prevention and Control Act of 1970, Pub. L. No. 91-513, 84 Stat. 1242 (1970), as amended (collectively, the CSA).  21 U.S.C. 801-971.  In accordance with the CSA, every DEA registrant must make a biennial inventory and maintain, on a current basis, a complete and accurate record of each controlled substance manufactured, received, sold, delivered, or otherwise disposed of.  21 U.S.C. 827 and 958.  These records must be maintained separately from all other records of the registrant, or alternatively, in the case of non-narcotic controlled substances, be in such form that required information is readily retrievable from ordinary business records of the registrant.  21 U.S.C. 827(b)(2).  The records maintained by registrants must be kept and be available for at least two years for inspection and copying by officers or employees of the United States as authorized by the Attorney General.  21 U.S.C. 827(b)(3).  The records must be in accordance with and contain such relevant information as may be required by regulations promulgated by DEA.  21 U.S.C. 827(b)(1).  </w:t>
      </w:r>
    </w:p>
    <w:p w:rsidR="00FC3D26" w:rsidP="004B077C" w:rsidRDefault="00FC3D26" w14:paraId="39EE8170" w14:textId="77777777">
      <w:pPr>
        <w:ind w:firstLine="360"/>
        <w:contextualSpacing/>
        <w:jc w:val="both"/>
        <w:rPr>
          <w:rFonts w:ascii="Times New Roman" w:hAnsi="Times New Roman"/>
          <w:noProof w:val="0"/>
          <w:sz w:val="24"/>
          <w:szCs w:val="24"/>
        </w:rPr>
      </w:pPr>
    </w:p>
    <w:p w:rsidR="00FC3D26" w:rsidP="004B077C" w:rsidRDefault="00FC3D26" w14:paraId="3B5FA162" w14:textId="03CDBFA2">
      <w:pPr>
        <w:ind w:firstLine="360"/>
        <w:contextualSpacing/>
        <w:jc w:val="both"/>
        <w:rPr>
          <w:rFonts w:ascii="Times New Roman" w:hAnsi="Times New Roman"/>
          <w:noProof w:val="0"/>
          <w:sz w:val="24"/>
          <w:szCs w:val="24"/>
        </w:rPr>
      </w:pPr>
      <w:r>
        <w:rPr>
          <w:rFonts w:ascii="Times New Roman" w:hAnsi="Times New Roman"/>
          <w:noProof w:val="0"/>
          <w:sz w:val="24"/>
          <w:szCs w:val="24"/>
        </w:rPr>
        <w:t xml:space="preserve">DEA is proposing to </w:t>
      </w:r>
      <w:r w:rsidR="004D7C03">
        <w:rPr>
          <w:rFonts w:ascii="Times New Roman" w:hAnsi="Times New Roman"/>
          <w:noProof w:val="0"/>
          <w:sz w:val="24"/>
          <w:szCs w:val="24"/>
        </w:rPr>
        <w:t xml:space="preserve">require pharmacies to create and maintain certain records relating to </w:t>
      </w:r>
      <w:r>
        <w:rPr>
          <w:rFonts w:ascii="Times New Roman" w:hAnsi="Times New Roman"/>
          <w:noProof w:val="0"/>
          <w:sz w:val="24"/>
          <w:szCs w:val="24"/>
        </w:rPr>
        <w:t xml:space="preserve">the transfer of unfilled EPCS between pharmacies for initial filling.  </w:t>
      </w:r>
      <w:r w:rsidR="00F2538C">
        <w:rPr>
          <w:rFonts w:ascii="Times New Roman" w:hAnsi="Times New Roman"/>
          <w:noProof w:val="0"/>
          <w:sz w:val="24"/>
          <w:szCs w:val="24"/>
        </w:rPr>
        <w:t>The</w:t>
      </w:r>
      <w:r>
        <w:rPr>
          <w:rFonts w:ascii="Times New Roman" w:hAnsi="Times New Roman"/>
          <w:noProof w:val="0"/>
          <w:sz w:val="24"/>
          <w:szCs w:val="24"/>
        </w:rPr>
        <w:t xml:space="preserve"> rule, </w:t>
      </w:r>
      <w:r w:rsidR="00F2538C">
        <w:rPr>
          <w:rFonts w:ascii="Times New Roman" w:hAnsi="Times New Roman"/>
          <w:noProof w:val="0"/>
          <w:sz w:val="24"/>
          <w:szCs w:val="24"/>
        </w:rPr>
        <w:t>proposes to</w:t>
      </w:r>
      <w:r>
        <w:rPr>
          <w:rFonts w:ascii="Times New Roman" w:hAnsi="Times New Roman"/>
          <w:noProof w:val="0"/>
          <w:sz w:val="24"/>
          <w:szCs w:val="24"/>
        </w:rPr>
        <w:t xml:space="preserve"> require the transferring pharmacy to note in the electronic prescription record that the prescription was transferred.  The </w:t>
      </w:r>
      <w:r w:rsidR="00F2538C">
        <w:rPr>
          <w:rFonts w:ascii="Times New Roman" w:hAnsi="Times New Roman"/>
          <w:noProof w:val="0"/>
          <w:sz w:val="24"/>
          <w:szCs w:val="24"/>
        </w:rPr>
        <w:t xml:space="preserve">transferring pharmacy would </w:t>
      </w:r>
      <w:r>
        <w:rPr>
          <w:rFonts w:ascii="Times New Roman" w:hAnsi="Times New Roman"/>
          <w:noProof w:val="0"/>
          <w:sz w:val="24"/>
          <w:szCs w:val="24"/>
        </w:rPr>
        <w:t xml:space="preserve">also </w:t>
      </w:r>
      <w:r w:rsidR="00F2538C">
        <w:rPr>
          <w:rFonts w:ascii="Times New Roman" w:hAnsi="Times New Roman"/>
          <w:noProof w:val="0"/>
          <w:sz w:val="24"/>
          <w:szCs w:val="24"/>
        </w:rPr>
        <w:t>be</w:t>
      </w:r>
      <w:r>
        <w:rPr>
          <w:rFonts w:ascii="Times New Roman" w:hAnsi="Times New Roman"/>
          <w:noProof w:val="0"/>
          <w:sz w:val="24"/>
          <w:szCs w:val="24"/>
        </w:rPr>
        <w:t xml:space="preserve"> require</w:t>
      </w:r>
      <w:r w:rsidR="00F2538C">
        <w:rPr>
          <w:rFonts w:ascii="Times New Roman" w:hAnsi="Times New Roman"/>
          <w:noProof w:val="0"/>
          <w:sz w:val="24"/>
          <w:szCs w:val="24"/>
        </w:rPr>
        <w:t>d to add to the prescription record</w:t>
      </w:r>
      <w:r>
        <w:rPr>
          <w:rFonts w:ascii="Times New Roman" w:hAnsi="Times New Roman"/>
          <w:noProof w:val="0"/>
          <w:sz w:val="24"/>
          <w:szCs w:val="24"/>
        </w:rPr>
        <w:t xml:space="preserve"> the name, address, and DEA registration number of the </w:t>
      </w:r>
      <w:r w:rsidR="00F2538C">
        <w:rPr>
          <w:rFonts w:ascii="Times New Roman" w:hAnsi="Times New Roman"/>
          <w:noProof w:val="0"/>
          <w:sz w:val="24"/>
          <w:szCs w:val="24"/>
        </w:rPr>
        <w:t>pharmacy to which</w:t>
      </w:r>
      <w:r>
        <w:rPr>
          <w:rFonts w:ascii="Times New Roman" w:hAnsi="Times New Roman"/>
          <w:noProof w:val="0"/>
          <w:sz w:val="24"/>
          <w:szCs w:val="24"/>
        </w:rPr>
        <w:t xml:space="preserve"> the</w:t>
      </w:r>
      <w:r w:rsidR="00F2538C">
        <w:rPr>
          <w:rFonts w:ascii="Times New Roman" w:hAnsi="Times New Roman"/>
          <w:noProof w:val="0"/>
          <w:sz w:val="24"/>
          <w:szCs w:val="24"/>
        </w:rPr>
        <w:t xml:space="preserve"> prescription was transferred, as well as the name of the pharmacist receiving the</w:t>
      </w:r>
      <w:r>
        <w:rPr>
          <w:rFonts w:ascii="Times New Roman" w:hAnsi="Times New Roman"/>
          <w:noProof w:val="0"/>
          <w:sz w:val="24"/>
          <w:szCs w:val="24"/>
        </w:rPr>
        <w:t xml:space="preserve"> transfer </w:t>
      </w:r>
      <w:r w:rsidR="00F2538C">
        <w:rPr>
          <w:rFonts w:ascii="Times New Roman" w:hAnsi="Times New Roman"/>
          <w:noProof w:val="0"/>
          <w:sz w:val="24"/>
          <w:szCs w:val="24"/>
        </w:rPr>
        <w:t>the name of the transferring pharmacist</w:t>
      </w:r>
      <w:r>
        <w:rPr>
          <w:rFonts w:ascii="Times New Roman" w:hAnsi="Times New Roman"/>
          <w:noProof w:val="0"/>
          <w:sz w:val="24"/>
          <w:szCs w:val="24"/>
        </w:rPr>
        <w:t>, and the date of the transfer</w:t>
      </w:r>
      <w:r w:rsidR="00F2538C">
        <w:rPr>
          <w:rFonts w:ascii="Times New Roman" w:hAnsi="Times New Roman"/>
          <w:noProof w:val="0"/>
          <w:sz w:val="24"/>
          <w:szCs w:val="24"/>
        </w:rPr>
        <w:t>. Similarly,</w:t>
      </w:r>
      <w:r w:rsidRPr="00F2538C" w:rsidR="00F2538C">
        <w:t xml:space="preserve"> </w:t>
      </w:r>
      <w:r w:rsidRPr="00F2538C" w:rsidR="00F2538C">
        <w:rPr>
          <w:rFonts w:ascii="Times New Roman" w:hAnsi="Times New Roman"/>
          <w:noProof w:val="0"/>
          <w:sz w:val="24"/>
          <w:szCs w:val="24"/>
        </w:rPr>
        <w:t>the rule would require the pharmacy receiving the transfer to record the name, address, and DEA registration number of the transferring pharmacy, the name of the transferring pharmacist, the name of the pharmacist receiving the transfer, and the date of the transfer.</w:t>
      </w:r>
      <w:r>
        <w:rPr>
          <w:rFonts w:ascii="Times New Roman" w:hAnsi="Times New Roman"/>
          <w:noProof w:val="0"/>
          <w:sz w:val="24"/>
          <w:szCs w:val="24"/>
        </w:rPr>
        <w:t xml:space="preserve">  </w:t>
      </w:r>
      <w:r w:rsidR="00F2538C">
        <w:rPr>
          <w:rFonts w:ascii="Times New Roman" w:hAnsi="Times New Roman"/>
          <w:noProof w:val="0"/>
          <w:sz w:val="24"/>
          <w:szCs w:val="24"/>
        </w:rPr>
        <w:t>In addition, t</w:t>
      </w:r>
      <w:r>
        <w:rPr>
          <w:rFonts w:ascii="Times New Roman" w:hAnsi="Times New Roman"/>
          <w:noProof w:val="0"/>
          <w:sz w:val="24"/>
          <w:szCs w:val="24"/>
        </w:rPr>
        <w:t xml:space="preserve">he </w:t>
      </w:r>
      <w:r w:rsidR="00F2538C">
        <w:rPr>
          <w:rFonts w:ascii="Times New Roman" w:hAnsi="Times New Roman"/>
          <w:noProof w:val="0"/>
          <w:sz w:val="24"/>
          <w:szCs w:val="24"/>
        </w:rPr>
        <w:t xml:space="preserve">rule would require the </w:t>
      </w:r>
      <w:r>
        <w:rPr>
          <w:rFonts w:ascii="Times New Roman" w:hAnsi="Times New Roman"/>
          <w:noProof w:val="0"/>
          <w:sz w:val="24"/>
          <w:szCs w:val="24"/>
        </w:rPr>
        <w:t xml:space="preserve">records </w:t>
      </w:r>
      <w:r w:rsidR="00F2538C">
        <w:rPr>
          <w:rFonts w:ascii="Times New Roman" w:hAnsi="Times New Roman"/>
          <w:noProof w:val="0"/>
          <w:sz w:val="24"/>
          <w:szCs w:val="24"/>
        </w:rPr>
        <w:t xml:space="preserve">to </w:t>
      </w:r>
      <w:r>
        <w:rPr>
          <w:rFonts w:ascii="Times New Roman" w:hAnsi="Times New Roman"/>
          <w:noProof w:val="0"/>
          <w:sz w:val="24"/>
          <w:szCs w:val="24"/>
        </w:rPr>
        <w:t>be maintained by both pharmacies for at least two years from the date of the transfer.</w:t>
      </w:r>
    </w:p>
    <w:p w:rsidR="00512671" w:rsidP="000550C7" w:rsidRDefault="00512671" w14:paraId="2E0949EE" w14:textId="091C0EC0">
      <w:pPr>
        <w:contextualSpacing/>
        <w:jc w:val="both"/>
        <w:rPr>
          <w:rFonts w:ascii="Times New Roman" w:hAnsi="Times New Roman"/>
          <w:noProof w:val="0"/>
          <w:sz w:val="24"/>
          <w:szCs w:val="24"/>
        </w:rPr>
      </w:pPr>
    </w:p>
    <w:p w:rsidRPr="000550C7" w:rsidR="004202AA" w:rsidP="000550C7" w:rsidRDefault="000C1537" w14:paraId="01386487" w14:textId="77777777">
      <w:pPr>
        <w:tabs>
          <w:tab w:val="left" w:pos="720"/>
          <w:tab w:val="left" w:pos="1440"/>
          <w:tab w:val="left" w:pos="2160"/>
        </w:tabs>
        <w:contextualSpacing/>
        <w:rPr>
          <w:rFonts w:ascii="Times New Roman" w:hAnsi="Times New Roman"/>
          <w:noProof w:val="0"/>
          <w:sz w:val="24"/>
          <w:szCs w:val="24"/>
        </w:rPr>
      </w:pPr>
      <w:r w:rsidRPr="001B4940">
        <w:rPr>
          <w:rFonts w:ascii="Times New Roman" w:hAnsi="Times New Roman"/>
          <w:noProof w:val="0"/>
          <w:sz w:val="24"/>
          <w:szCs w:val="24"/>
        </w:rPr>
        <w:t xml:space="preserve">2. </w:t>
      </w:r>
      <w:r w:rsidRPr="001B4940" w:rsidR="00090C0E">
        <w:rPr>
          <w:rFonts w:ascii="Times New Roman" w:hAnsi="Times New Roman"/>
          <w:noProof w:val="0"/>
          <w:sz w:val="24"/>
          <w:szCs w:val="24"/>
        </w:rPr>
        <w:t xml:space="preserve"> </w:t>
      </w:r>
      <w:r w:rsidRPr="000550C7" w:rsidR="004202AA">
        <w:rPr>
          <w:rFonts w:ascii="Times New Roman" w:hAnsi="Times New Roman"/>
          <w:noProof w:val="0"/>
          <w:sz w:val="24"/>
          <w:szCs w:val="24"/>
          <w:u w:val="single"/>
        </w:rPr>
        <w:t>Needs and Uses:</w:t>
      </w:r>
    </w:p>
    <w:p w:rsidRPr="000550C7" w:rsidR="001A64B0" w:rsidP="000550C7" w:rsidRDefault="001A64B0" w14:paraId="6B7545E3" w14:textId="74786B37">
      <w:pPr>
        <w:contextualSpacing/>
        <w:rPr>
          <w:rFonts w:ascii="Times New Roman" w:hAnsi="Times New Roman"/>
          <w:noProof w:val="0"/>
          <w:sz w:val="24"/>
          <w:szCs w:val="24"/>
        </w:rPr>
      </w:pPr>
    </w:p>
    <w:p w:rsidR="00BC5E35" w:rsidP="004B077C" w:rsidRDefault="00BC5E35" w14:paraId="22C766C6" w14:textId="237CEB1E">
      <w:pPr>
        <w:ind w:firstLine="360"/>
        <w:contextualSpacing/>
        <w:jc w:val="both"/>
        <w:rPr>
          <w:rFonts w:ascii="Times New Roman" w:hAnsi="Times New Roman"/>
          <w:noProof w:val="0"/>
          <w:sz w:val="24"/>
          <w:szCs w:val="24"/>
        </w:rPr>
      </w:pPr>
      <w:r>
        <w:rPr>
          <w:rFonts w:ascii="Times New Roman" w:hAnsi="Times New Roman"/>
          <w:noProof w:val="0"/>
          <w:sz w:val="24"/>
          <w:szCs w:val="24"/>
        </w:rPr>
        <w:t>The transferring pharmacy would be required to update the electronic prescription record to note that the prescription was transferred, and to add the following information:  the name, address, and DEA registration number of the pharmacy to which the prescription was transferred; the name of the pharmacist receiving the transfer; the name of the transferring pharmacist; and the date of the transfer.  The pharmacy receiving the transfer would be required to update the electronic prescription record with the name, address, and DEA registration number of the pharmacy transferring the prescription, the name of the transferring pharmacist, the name of the pharmacist receiving the transfer, and the date of the transfer.</w:t>
      </w:r>
    </w:p>
    <w:p w:rsidR="00BC5E35" w:rsidP="004B077C" w:rsidRDefault="00BC5E35" w14:paraId="6E06F671" w14:textId="77777777">
      <w:pPr>
        <w:ind w:firstLine="360"/>
        <w:contextualSpacing/>
        <w:jc w:val="both"/>
        <w:rPr>
          <w:rFonts w:ascii="Times New Roman" w:hAnsi="Times New Roman"/>
          <w:noProof w:val="0"/>
          <w:sz w:val="24"/>
          <w:szCs w:val="24"/>
        </w:rPr>
      </w:pPr>
    </w:p>
    <w:p w:rsidR="00BC5E35" w:rsidP="004B077C" w:rsidRDefault="00BC5E35" w14:paraId="0A54B63E" w14:textId="285534A9">
      <w:pPr>
        <w:ind w:firstLine="360"/>
        <w:contextualSpacing/>
        <w:jc w:val="both"/>
        <w:rPr>
          <w:rFonts w:ascii="Times New Roman" w:hAnsi="Times New Roman"/>
          <w:noProof w:val="0"/>
          <w:sz w:val="24"/>
          <w:szCs w:val="24"/>
        </w:rPr>
      </w:pPr>
      <w:r w:rsidRPr="00BC5E35">
        <w:rPr>
          <w:rFonts w:ascii="Times New Roman" w:hAnsi="Times New Roman"/>
          <w:noProof w:val="0"/>
          <w:sz w:val="24"/>
          <w:szCs w:val="24"/>
        </w:rPr>
        <w:t xml:space="preserve">DEA would use the required records to maintain complete accountability for all </w:t>
      </w:r>
      <w:r>
        <w:rPr>
          <w:rFonts w:ascii="Times New Roman" w:hAnsi="Times New Roman"/>
          <w:noProof w:val="0"/>
          <w:sz w:val="24"/>
          <w:szCs w:val="24"/>
        </w:rPr>
        <w:t>electronic controlled substance prescriptions</w:t>
      </w:r>
      <w:r w:rsidRPr="00BC5E35">
        <w:rPr>
          <w:rFonts w:ascii="Times New Roman" w:hAnsi="Times New Roman"/>
          <w:noProof w:val="0"/>
          <w:sz w:val="24"/>
          <w:szCs w:val="24"/>
        </w:rPr>
        <w:t xml:space="preserve"> dispensed by a p</w:t>
      </w:r>
      <w:r>
        <w:rPr>
          <w:rFonts w:ascii="Times New Roman" w:hAnsi="Times New Roman"/>
          <w:noProof w:val="0"/>
          <w:sz w:val="24"/>
          <w:szCs w:val="24"/>
        </w:rPr>
        <w:t>harmacy</w:t>
      </w:r>
      <w:r w:rsidRPr="00BC5E35">
        <w:rPr>
          <w:rFonts w:ascii="Times New Roman" w:hAnsi="Times New Roman"/>
          <w:noProof w:val="0"/>
          <w:sz w:val="24"/>
          <w:szCs w:val="24"/>
        </w:rPr>
        <w:t xml:space="preserve">.  This accountability would allow DEA to maintain a closed system of distribution for </w:t>
      </w:r>
      <w:r>
        <w:rPr>
          <w:rFonts w:ascii="Times New Roman" w:hAnsi="Times New Roman"/>
          <w:noProof w:val="0"/>
          <w:sz w:val="24"/>
          <w:szCs w:val="24"/>
        </w:rPr>
        <w:t>EPCS</w:t>
      </w:r>
      <w:r w:rsidRPr="00BC5E35">
        <w:rPr>
          <w:rFonts w:ascii="Times New Roman" w:hAnsi="Times New Roman"/>
          <w:noProof w:val="0"/>
          <w:sz w:val="24"/>
          <w:szCs w:val="24"/>
        </w:rPr>
        <w:t>.  These records would a</w:t>
      </w:r>
      <w:r w:rsidR="00295D62">
        <w:rPr>
          <w:rFonts w:ascii="Times New Roman" w:hAnsi="Times New Roman"/>
          <w:noProof w:val="0"/>
          <w:sz w:val="24"/>
          <w:szCs w:val="24"/>
        </w:rPr>
        <w:t>lso allow DEA to reduce opportunities for diversion</w:t>
      </w:r>
      <w:r w:rsidRPr="00BC5E35">
        <w:rPr>
          <w:rFonts w:ascii="Times New Roman" w:hAnsi="Times New Roman"/>
          <w:noProof w:val="0"/>
          <w:sz w:val="24"/>
          <w:szCs w:val="24"/>
        </w:rPr>
        <w:t>.</w:t>
      </w:r>
    </w:p>
    <w:p w:rsidR="00001766" w:rsidP="000550C7" w:rsidRDefault="00001766" w14:paraId="5F5C59F9" w14:textId="77777777">
      <w:pPr>
        <w:contextualSpacing/>
        <w:jc w:val="both"/>
        <w:rPr>
          <w:rFonts w:ascii="Times New Roman" w:hAnsi="Times New Roman"/>
          <w:noProof w:val="0"/>
          <w:sz w:val="24"/>
          <w:szCs w:val="24"/>
        </w:rPr>
      </w:pPr>
    </w:p>
    <w:p w:rsidR="00AA4A98" w:rsidP="000550C7" w:rsidRDefault="000C1537" w14:paraId="77834294" w14:textId="1BC746BB">
      <w:pPr>
        <w:contextualSpacing/>
        <w:rPr>
          <w:rFonts w:ascii="Times New Roman" w:hAnsi="Times New Roman"/>
          <w:noProof w:val="0"/>
          <w:sz w:val="24"/>
          <w:szCs w:val="24"/>
        </w:rPr>
      </w:pPr>
      <w:r w:rsidRPr="001B4940">
        <w:rPr>
          <w:rFonts w:ascii="Times New Roman" w:hAnsi="Times New Roman"/>
          <w:noProof w:val="0"/>
          <w:sz w:val="24"/>
          <w:szCs w:val="24"/>
        </w:rPr>
        <w:t xml:space="preserve">3. </w:t>
      </w:r>
      <w:r w:rsidRPr="001B4940" w:rsidR="00090C0E">
        <w:rPr>
          <w:rFonts w:ascii="Times New Roman" w:hAnsi="Times New Roman"/>
          <w:noProof w:val="0"/>
          <w:sz w:val="24"/>
          <w:szCs w:val="24"/>
        </w:rPr>
        <w:t xml:space="preserve"> </w:t>
      </w:r>
      <w:r w:rsidRPr="000550C7" w:rsidR="00F304A0">
        <w:rPr>
          <w:rFonts w:ascii="Times New Roman" w:hAnsi="Times New Roman"/>
          <w:noProof w:val="0"/>
          <w:sz w:val="24"/>
          <w:szCs w:val="24"/>
          <w:u w:val="single"/>
        </w:rPr>
        <w:t xml:space="preserve">Use of Information </w:t>
      </w:r>
      <w:r w:rsidRPr="000550C7" w:rsidR="004202AA">
        <w:rPr>
          <w:rFonts w:ascii="Times New Roman" w:hAnsi="Times New Roman"/>
          <w:noProof w:val="0"/>
          <w:sz w:val="24"/>
          <w:szCs w:val="24"/>
          <w:u w:val="single"/>
        </w:rPr>
        <w:t>Technology:</w:t>
      </w:r>
    </w:p>
    <w:p w:rsidRPr="001B4940" w:rsidR="00AA4A98" w:rsidP="000550C7" w:rsidRDefault="00AA4A98" w14:paraId="45A08C9C" w14:textId="77777777">
      <w:pPr>
        <w:contextualSpacing/>
        <w:rPr>
          <w:rFonts w:ascii="Times New Roman" w:hAnsi="Times New Roman"/>
          <w:noProof w:val="0"/>
          <w:sz w:val="24"/>
          <w:szCs w:val="24"/>
          <w:u w:val="single"/>
        </w:rPr>
      </w:pPr>
    </w:p>
    <w:p w:rsidRPr="00813A52" w:rsidR="00AA4A98" w:rsidP="004B077C" w:rsidRDefault="00001766" w14:paraId="039547B8" w14:textId="2509AF8E">
      <w:pPr>
        <w:ind w:firstLine="360"/>
        <w:contextualSpacing/>
        <w:jc w:val="both"/>
        <w:rPr>
          <w:rFonts w:ascii="Times New Roman" w:hAnsi="Times New Roman"/>
          <w:noProof w:val="0"/>
          <w:sz w:val="24"/>
          <w:szCs w:val="24"/>
        </w:rPr>
      </w:pPr>
      <w:r>
        <w:rPr>
          <w:rFonts w:ascii="Times New Roman" w:hAnsi="Times New Roman"/>
          <w:noProof w:val="0"/>
          <w:sz w:val="24"/>
          <w:szCs w:val="24"/>
        </w:rPr>
        <w:t>These requirements do not involve reporting, and therefore, issues related to electronic submission are not applicable.  The records of EPCS transfers between pharmacies will be maintained electronically in the pharmacies’ electronic prescription applications.</w:t>
      </w:r>
    </w:p>
    <w:p w:rsidRPr="001B4940" w:rsidR="00AA4A98" w:rsidP="000550C7" w:rsidRDefault="00AA4A98" w14:paraId="6DEC4EA2" w14:textId="77777777">
      <w:pPr>
        <w:contextualSpacing/>
        <w:rPr>
          <w:rFonts w:ascii="Times New Roman" w:hAnsi="Times New Roman"/>
          <w:noProof w:val="0"/>
          <w:sz w:val="24"/>
          <w:szCs w:val="24"/>
        </w:rPr>
      </w:pPr>
    </w:p>
    <w:p w:rsidRPr="000550C7" w:rsidR="004202AA" w:rsidP="000550C7" w:rsidRDefault="000C1537" w14:paraId="2A58885B" w14:textId="77777777">
      <w:pPr>
        <w:tabs>
          <w:tab w:val="left" w:pos="720"/>
          <w:tab w:val="left" w:pos="1440"/>
          <w:tab w:val="left" w:pos="2160"/>
        </w:tabs>
        <w:contextualSpacing/>
        <w:rPr>
          <w:rFonts w:ascii="Times New Roman" w:hAnsi="Times New Roman"/>
          <w:noProof w:val="0"/>
          <w:sz w:val="24"/>
          <w:szCs w:val="24"/>
        </w:rPr>
      </w:pPr>
      <w:r w:rsidRPr="000550C7">
        <w:rPr>
          <w:rFonts w:ascii="Times New Roman" w:hAnsi="Times New Roman"/>
          <w:noProof w:val="0"/>
          <w:sz w:val="24"/>
          <w:szCs w:val="24"/>
        </w:rPr>
        <w:t xml:space="preserve">4. </w:t>
      </w:r>
      <w:r w:rsidRPr="000550C7" w:rsidR="00090C0E">
        <w:rPr>
          <w:rFonts w:ascii="Times New Roman" w:hAnsi="Times New Roman"/>
          <w:noProof w:val="0"/>
          <w:sz w:val="24"/>
          <w:szCs w:val="24"/>
        </w:rPr>
        <w:t xml:space="preserve"> </w:t>
      </w:r>
      <w:r w:rsidRPr="000550C7" w:rsidR="004202AA">
        <w:rPr>
          <w:rFonts w:ascii="Times New Roman" w:hAnsi="Times New Roman"/>
          <w:noProof w:val="0"/>
          <w:sz w:val="24"/>
          <w:szCs w:val="24"/>
          <w:u w:val="single"/>
        </w:rPr>
        <w:t>Efforts to Identify Duplication:</w:t>
      </w:r>
    </w:p>
    <w:p w:rsidRPr="000550C7" w:rsidR="00CE207E" w:rsidP="000550C7" w:rsidRDefault="00CE207E" w14:paraId="2173C462" w14:textId="77777777">
      <w:pPr>
        <w:contextualSpacing/>
        <w:jc w:val="both"/>
        <w:rPr>
          <w:rFonts w:ascii="Times New Roman" w:hAnsi="Times New Roman"/>
          <w:noProof w:val="0"/>
          <w:sz w:val="24"/>
          <w:szCs w:val="24"/>
        </w:rPr>
      </w:pPr>
    </w:p>
    <w:p w:rsidRPr="000550C7" w:rsidR="00CE207E" w:rsidP="004B077C" w:rsidRDefault="00AA4671" w14:paraId="7141AC5B" w14:textId="56E0FD8A">
      <w:pPr>
        <w:ind w:firstLine="360"/>
        <w:contextualSpacing/>
        <w:jc w:val="both"/>
        <w:rPr>
          <w:rFonts w:ascii="Times New Roman" w:hAnsi="Times New Roman"/>
          <w:noProof w:val="0"/>
          <w:sz w:val="24"/>
          <w:szCs w:val="24"/>
        </w:rPr>
      </w:pPr>
      <w:r>
        <w:rPr>
          <w:rFonts w:ascii="Times New Roman" w:hAnsi="Times New Roman"/>
          <w:noProof w:val="0"/>
          <w:sz w:val="24"/>
          <w:szCs w:val="24"/>
        </w:rPr>
        <w:t>DEA has made efforts to identify and prevent duplication of information.  The collection of this information is unique to DEA and is not duplicative.</w:t>
      </w:r>
    </w:p>
    <w:p w:rsidRPr="001B4940" w:rsidR="00AF2AFA" w:rsidP="000550C7" w:rsidRDefault="00AF2AFA" w14:paraId="7F7E0735" w14:textId="77777777">
      <w:pPr>
        <w:tabs>
          <w:tab w:val="left" w:pos="720"/>
          <w:tab w:val="left" w:pos="1440"/>
          <w:tab w:val="left" w:pos="2160"/>
        </w:tabs>
        <w:contextualSpacing/>
        <w:rPr>
          <w:rFonts w:ascii="Times New Roman" w:hAnsi="Times New Roman"/>
          <w:noProof w:val="0"/>
          <w:sz w:val="24"/>
          <w:szCs w:val="24"/>
        </w:rPr>
      </w:pPr>
    </w:p>
    <w:p w:rsidRPr="000550C7" w:rsidR="004202AA" w:rsidP="000550C7" w:rsidRDefault="000C1537" w14:paraId="20E768AD" w14:textId="77777777">
      <w:pPr>
        <w:tabs>
          <w:tab w:val="left" w:pos="720"/>
          <w:tab w:val="left" w:pos="1440"/>
          <w:tab w:val="left" w:pos="2160"/>
        </w:tabs>
        <w:contextualSpacing/>
        <w:rPr>
          <w:rFonts w:ascii="Times New Roman" w:hAnsi="Times New Roman"/>
          <w:noProof w:val="0"/>
          <w:sz w:val="24"/>
          <w:szCs w:val="24"/>
        </w:rPr>
      </w:pPr>
      <w:r w:rsidRPr="001B4940">
        <w:rPr>
          <w:rFonts w:ascii="Times New Roman" w:hAnsi="Times New Roman"/>
          <w:noProof w:val="0"/>
          <w:sz w:val="24"/>
          <w:szCs w:val="24"/>
        </w:rPr>
        <w:t xml:space="preserve">5. </w:t>
      </w:r>
      <w:r w:rsidRPr="001B4940" w:rsidR="00090C0E">
        <w:rPr>
          <w:rFonts w:ascii="Times New Roman" w:hAnsi="Times New Roman"/>
          <w:noProof w:val="0"/>
          <w:sz w:val="24"/>
          <w:szCs w:val="24"/>
        </w:rPr>
        <w:t xml:space="preserve"> </w:t>
      </w:r>
      <w:r w:rsidRPr="000550C7" w:rsidR="00B051D2">
        <w:rPr>
          <w:rFonts w:ascii="Times New Roman" w:hAnsi="Times New Roman"/>
          <w:noProof w:val="0"/>
          <w:sz w:val="24"/>
          <w:szCs w:val="24"/>
          <w:u w:val="single"/>
        </w:rPr>
        <w:t>Impact on Small Businesses or Entities</w:t>
      </w:r>
      <w:r w:rsidRPr="000550C7" w:rsidR="004202AA">
        <w:rPr>
          <w:rFonts w:ascii="Times New Roman" w:hAnsi="Times New Roman"/>
          <w:noProof w:val="0"/>
          <w:sz w:val="24"/>
          <w:szCs w:val="24"/>
          <w:u w:val="single"/>
        </w:rPr>
        <w:t>:</w:t>
      </w:r>
    </w:p>
    <w:p w:rsidRPr="000550C7" w:rsidR="001A64B0" w:rsidP="000550C7" w:rsidRDefault="001A64B0" w14:paraId="68A78864" w14:textId="77777777">
      <w:pPr>
        <w:contextualSpacing/>
        <w:rPr>
          <w:rFonts w:ascii="Times New Roman" w:hAnsi="Times New Roman"/>
          <w:noProof w:val="0"/>
          <w:sz w:val="24"/>
          <w:szCs w:val="24"/>
        </w:rPr>
      </w:pPr>
    </w:p>
    <w:p w:rsidRPr="000550C7" w:rsidR="00CE207E" w:rsidP="004B077C" w:rsidRDefault="00AA4671" w14:paraId="7E285278" w14:textId="59E33A5C">
      <w:pPr>
        <w:ind w:firstLine="360"/>
        <w:contextualSpacing/>
        <w:jc w:val="both"/>
        <w:rPr>
          <w:rFonts w:ascii="Times New Roman" w:hAnsi="Times New Roman"/>
          <w:noProof w:val="0"/>
          <w:sz w:val="24"/>
          <w:szCs w:val="24"/>
        </w:rPr>
      </w:pPr>
      <w:r>
        <w:rPr>
          <w:rFonts w:ascii="Times New Roman" w:hAnsi="Times New Roman"/>
          <w:noProof w:val="0"/>
          <w:sz w:val="24"/>
          <w:szCs w:val="24"/>
        </w:rPr>
        <w:t>In accordance with the Regulatory Flexibility Act (RFA), DEA evaluated the impact of this proposed rule on small entities.  DEA’s evaluation of economic impact by size category indicates that the rule will not, if promulgated, have a significant economic impact on a substantial number of these small entities.</w:t>
      </w:r>
    </w:p>
    <w:p w:rsidRPr="001B4940" w:rsidR="00E975C5" w:rsidP="000550C7" w:rsidRDefault="00E975C5" w14:paraId="6BF0C63E" w14:textId="77777777">
      <w:pPr>
        <w:contextualSpacing/>
        <w:rPr>
          <w:rFonts w:ascii="Times New Roman" w:hAnsi="Times New Roman"/>
          <w:noProof w:val="0"/>
          <w:sz w:val="24"/>
          <w:szCs w:val="24"/>
        </w:rPr>
      </w:pPr>
    </w:p>
    <w:p w:rsidRPr="000550C7" w:rsidR="004202AA" w:rsidP="000550C7" w:rsidRDefault="000C1537" w14:paraId="0EF23415" w14:textId="77777777">
      <w:pPr>
        <w:contextualSpacing/>
        <w:rPr>
          <w:rFonts w:ascii="Times New Roman" w:hAnsi="Times New Roman"/>
          <w:noProof w:val="0"/>
          <w:sz w:val="24"/>
          <w:szCs w:val="24"/>
        </w:rPr>
      </w:pPr>
      <w:r w:rsidRPr="001B4940">
        <w:rPr>
          <w:rFonts w:ascii="Times New Roman" w:hAnsi="Times New Roman"/>
          <w:noProof w:val="0"/>
          <w:sz w:val="24"/>
          <w:szCs w:val="24"/>
        </w:rPr>
        <w:t xml:space="preserve">6. </w:t>
      </w:r>
      <w:r w:rsidRPr="001B4940" w:rsidR="00090C0E">
        <w:rPr>
          <w:rFonts w:ascii="Times New Roman" w:hAnsi="Times New Roman"/>
          <w:noProof w:val="0"/>
          <w:sz w:val="24"/>
          <w:szCs w:val="24"/>
        </w:rPr>
        <w:t xml:space="preserve"> </w:t>
      </w:r>
      <w:r w:rsidRPr="000550C7" w:rsidR="004202AA">
        <w:rPr>
          <w:rFonts w:ascii="Times New Roman" w:hAnsi="Times New Roman"/>
          <w:noProof w:val="0"/>
          <w:sz w:val="24"/>
          <w:szCs w:val="24"/>
          <w:u w:val="single"/>
        </w:rPr>
        <w:t>Consequences of Less Frequent Collection:</w:t>
      </w:r>
    </w:p>
    <w:p w:rsidRPr="000550C7" w:rsidR="001A64B0" w:rsidP="000550C7" w:rsidRDefault="001A64B0" w14:paraId="7CC4D155" w14:textId="1E9654DD">
      <w:pPr>
        <w:contextualSpacing/>
        <w:rPr>
          <w:rFonts w:ascii="Times New Roman" w:hAnsi="Times New Roman"/>
          <w:noProof w:val="0"/>
          <w:sz w:val="24"/>
          <w:szCs w:val="24"/>
        </w:rPr>
      </w:pPr>
    </w:p>
    <w:p w:rsidRPr="001B4940" w:rsidR="00FC3D26" w:rsidP="004B077C" w:rsidRDefault="00FC3D26" w14:paraId="2A2210C4" w14:textId="77777777">
      <w:pPr>
        <w:ind w:firstLine="360"/>
        <w:contextualSpacing/>
        <w:rPr>
          <w:rFonts w:ascii="Times New Roman" w:hAnsi="Times New Roman"/>
          <w:noProof w:val="0"/>
          <w:sz w:val="24"/>
          <w:szCs w:val="24"/>
        </w:rPr>
      </w:pPr>
      <w:r>
        <w:rPr>
          <w:rFonts w:ascii="Times New Roman" w:hAnsi="Times New Roman"/>
          <w:noProof w:val="0"/>
          <w:sz w:val="24"/>
          <w:szCs w:val="24"/>
        </w:rPr>
        <w:t>Pursuant to 21 U.S.C. 827(b), records must be maintained for a period of at least two years.  DEA does not have the authority to reduce the burden or period of recordkeeping.  Failure to collect the information or to conduct the collection less frequently will contravene the CSA, reduce accountability, and increase the risks of diversion.</w:t>
      </w:r>
    </w:p>
    <w:p w:rsidRPr="001B4940" w:rsidR="008964A5" w:rsidP="000550C7" w:rsidRDefault="008964A5" w14:paraId="259FA390" w14:textId="77777777">
      <w:pPr>
        <w:contextualSpacing/>
        <w:rPr>
          <w:rFonts w:ascii="Times New Roman" w:hAnsi="Times New Roman"/>
          <w:noProof w:val="0"/>
          <w:sz w:val="24"/>
          <w:szCs w:val="24"/>
        </w:rPr>
      </w:pPr>
    </w:p>
    <w:p w:rsidRPr="000550C7" w:rsidR="004202AA" w:rsidP="000550C7" w:rsidRDefault="000C1537" w14:paraId="7852A48D" w14:textId="77777777">
      <w:pPr>
        <w:tabs>
          <w:tab w:val="left" w:pos="720"/>
          <w:tab w:val="left" w:pos="1440"/>
          <w:tab w:val="left" w:pos="2160"/>
        </w:tabs>
        <w:contextualSpacing/>
        <w:rPr>
          <w:rFonts w:ascii="Times New Roman" w:hAnsi="Times New Roman"/>
          <w:noProof w:val="0"/>
          <w:sz w:val="24"/>
          <w:szCs w:val="24"/>
        </w:rPr>
      </w:pPr>
      <w:r w:rsidRPr="000550C7">
        <w:rPr>
          <w:rFonts w:ascii="Times New Roman" w:hAnsi="Times New Roman"/>
          <w:noProof w:val="0"/>
          <w:sz w:val="24"/>
          <w:szCs w:val="24"/>
        </w:rPr>
        <w:t xml:space="preserve">7. </w:t>
      </w:r>
      <w:r w:rsidRPr="000550C7" w:rsidR="00090C0E">
        <w:rPr>
          <w:rFonts w:ascii="Times New Roman" w:hAnsi="Times New Roman"/>
          <w:noProof w:val="0"/>
          <w:sz w:val="24"/>
          <w:szCs w:val="24"/>
        </w:rPr>
        <w:t xml:space="preserve"> </w:t>
      </w:r>
      <w:r w:rsidRPr="000550C7" w:rsidR="004202AA">
        <w:rPr>
          <w:rFonts w:ascii="Times New Roman" w:hAnsi="Times New Roman"/>
          <w:noProof w:val="0"/>
          <w:sz w:val="24"/>
          <w:szCs w:val="24"/>
          <w:u w:val="single"/>
        </w:rPr>
        <w:t>Special Circumstances Influencing Collection:</w:t>
      </w:r>
    </w:p>
    <w:p w:rsidRPr="000550C7" w:rsidR="001A64B0" w:rsidP="000550C7" w:rsidRDefault="001A64B0" w14:paraId="157F9BE1" w14:textId="77777777">
      <w:pPr>
        <w:contextualSpacing/>
        <w:rPr>
          <w:rFonts w:ascii="Times New Roman" w:hAnsi="Times New Roman"/>
          <w:noProof w:val="0"/>
          <w:sz w:val="24"/>
          <w:szCs w:val="24"/>
        </w:rPr>
      </w:pPr>
    </w:p>
    <w:p w:rsidRPr="001B4940" w:rsidR="00CE207E" w:rsidP="004B077C" w:rsidRDefault="00AD6D9C" w14:paraId="19992B7C" w14:textId="01441BAE">
      <w:pPr>
        <w:ind w:firstLine="360"/>
        <w:contextualSpacing/>
        <w:jc w:val="both"/>
        <w:rPr>
          <w:rFonts w:ascii="Times New Roman" w:hAnsi="Times New Roman"/>
          <w:noProof w:val="0"/>
          <w:sz w:val="24"/>
          <w:szCs w:val="24"/>
        </w:rPr>
      </w:pPr>
      <w:r w:rsidRPr="00AA4A98">
        <w:rPr>
          <w:rFonts w:ascii="Times New Roman" w:hAnsi="Times New Roman"/>
          <w:noProof w:val="0"/>
          <w:sz w:val="24"/>
          <w:szCs w:val="24"/>
        </w:rPr>
        <w:t xml:space="preserve">There are no special circumstances applicable to this information collection. </w:t>
      </w:r>
    </w:p>
    <w:p w:rsidRPr="001B4940" w:rsidR="00695627" w:rsidP="000550C7" w:rsidRDefault="00695627" w14:paraId="2425ED5E" w14:textId="77777777">
      <w:pPr>
        <w:contextualSpacing/>
        <w:rPr>
          <w:rFonts w:ascii="Times New Roman" w:hAnsi="Times New Roman"/>
          <w:noProof w:val="0"/>
          <w:sz w:val="24"/>
          <w:szCs w:val="24"/>
        </w:rPr>
      </w:pPr>
    </w:p>
    <w:p w:rsidRPr="000550C7" w:rsidR="008E7B3E" w:rsidP="000550C7" w:rsidRDefault="000C1537" w14:paraId="5E100743" w14:textId="77777777">
      <w:pPr>
        <w:tabs>
          <w:tab w:val="left" w:pos="720"/>
          <w:tab w:val="left" w:pos="1440"/>
          <w:tab w:val="left" w:pos="2160"/>
        </w:tabs>
        <w:contextualSpacing/>
        <w:rPr>
          <w:rFonts w:ascii="Times New Roman" w:hAnsi="Times New Roman"/>
          <w:noProof w:val="0"/>
          <w:sz w:val="24"/>
          <w:szCs w:val="24"/>
        </w:rPr>
      </w:pPr>
      <w:r w:rsidRPr="001B4940">
        <w:rPr>
          <w:rFonts w:ascii="Times New Roman" w:hAnsi="Times New Roman"/>
          <w:noProof w:val="0"/>
          <w:sz w:val="24"/>
          <w:szCs w:val="24"/>
        </w:rPr>
        <w:lastRenderedPageBreak/>
        <w:t xml:space="preserve">8. </w:t>
      </w:r>
      <w:r w:rsidRPr="001B4940" w:rsidR="00090C0E">
        <w:rPr>
          <w:rFonts w:ascii="Times New Roman" w:hAnsi="Times New Roman"/>
          <w:noProof w:val="0"/>
          <w:sz w:val="24"/>
          <w:szCs w:val="24"/>
        </w:rPr>
        <w:t xml:space="preserve"> </w:t>
      </w:r>
      <w:r w:rsidRPr="000550C7" w:rsidR="00B051D2">
        <w:rPr>
          <w:rFonts w:ascii="Times New Roman" w:hAnsi="Times New Roman"/>
          <w:noProof w:val="0"/>
          <w:sz w:val="24"/>
          <w:szCs w:val="24"/>
          <w:u w:val="single"/>
        </w:rPr>
        <w:t>Consultation with persons outside the Agency</w:t>
      </w:r>
      <w:r w:rsidRPr="000550C7" w:rsidR="008E7B3E">
        <w:rPr>
          <w:rFonts w:ascii="Times New Roman" w:hAnsi="Times New Roman"/>
          <w:noProof w:val="0"/>
          <w:sz w:val="24"/>
          <w:szCs w:val="24"/>
          <w:u w:val="single"/>
        </w:rPr>
        <w:t>:</w:t>
      </w:r>
    </w:p>
    <w:p w:rsidRPr="000550C7" w:rsidR="001A64B0" w:rsidP="000550C7" w:rsidRDefault="001A64B0" w14:paraId="27F3868F" w14:textId="77777777">
      <w:pPr>
        <w:contextualSpacing/>
        <w:rPr>
          <w:rFonts w:ascii="Times New Roman" w:hAnsi="Times New Roman"/>
          <w:noProof w:val="0"/>
          <w:sz w:val="24"/>
          <w:szCs w:val="24"/>
        </w:rPr>
      </w:pPr>
    </w:p>
    <w:p w:rsidR="00530949" w:rsidP="00530949" w:rsidRDefault="00530949" w14:paraId="06A39E80" w14:textId="77777777">
      <w:pPr>
        <w:ind w:firstLine="360"/>
        <w:contextualSpacing/>
        <w:rPr>
          <w:rFonts w:ascii="Times New Roman" w:hAnsi="Times New Roman"/>
          <w:sz w:val="24"/>
          <w:szCs w:val="24"/>
        </w:rPr>
      </w:pPr>
      <w:r w:rsidRPr="00813A52">
        <w:rPr>
          <w:rFonts w:ascii="Times New Roman" w:hAnsi="Times New Roman"/>
          <w:sz w:val="24"/>
          <w:szCs w:val="24"/>
        </w:rPr>
        <w:t>Public comment</w:t>
      </w:r>
      <w:r>
        <w:rPr>
          <w:rFonts w:ascii="Times New Roman" w:hAnsi="Times New Roman"/>
          <w:sz w:val="24"/>
          <w:szCs w:val="24"/>
        </w:rPr>
        <w:t xml:space="preserve"> was</w:t>
      </w:r>
      <w:r w:rsidRPr="00813A52">
        <w:rPr>
          <w:rFonts w:ascii="Times New Roman" w:hAnsi="Times New Roman"/>
          <w:sz w:val="24"/>
          <w:szCs w:val="24"/>
        </w:rPr>
        <w:t xml:space="preserve"> solicited in the</w:t>
      </w:r>
      <w:r>
        <w:rPr>
          <w:rFonts w:ascii="Times New Roman" w:hAnsi="Times New Roman"/>
          <w:sz w:val="24"/>
          <w:szCs w:val="24"/>
        </w:rPr>
        <w:t xml:space="preserve"> notice of proposed rulemaking (NPRM) associated with this collection, which published in the </w:t>
      </w:r>
      <w:r w:rsidRPr="00E87C0B">
        <w:rPr>
          <w:rFonts w:ascii="Times New Roman" w:hAnsi="Times New Roman"/>
          <w:i/>
          <w:sz w:val="24"/>
          <w:szCs w:val="24"/>
        </w:rPr>
        <w:t>Federal Register</w:t>
      </w:r>
      <w:r>
        <w:rPr>
          <w:rFonts w:ascii="Times New Roman" w:hAnsi="Times New Roman"/>
          <w:sz w:val="24"/>
          <w:szCs w:val="24"/>
        </w:rPr>
        <w:t xml:space="preserve"> on November 19, 2021 at 86 FR 64881.  The NPRM had a 60-day comment period.  Any comments received regarding the information collection will be addressed in the final rule.</w:t>
      </w:r>
    </w:p>
    <w:p w:rsidR="00AA4A98" w:rsidP="004B077C" w:rsidRDefault="00AA4A98" w14:paraId="4A315D90" w14:textId="11B4C03D">
      <w:pPr>
        <w:ind w:firstLine="360"/>
        <w:contextualSpacing/>
        <w:rPr>
          <w:rFonts w:ascii="Times New Roman" w:hAnsi="Times New Roman"/>
          <w:sz w:val="24"/>
          <w:szCs w:val="24"/>
        </w:rPr>
      </w:pPr>
    </w:p>
    <w:p w:rsidRPr="00AA4A98" w:rsidR="00695627" w:rsidP="004B077C" w:rsidRDefault="009151B2" w14:paraId="1CB616C4" w14:textId="26288720">
      <w:pPr>
        <w:ind w:firstLine="360"/>
        <w:contextualSpacing/>
        <w:rPr>
          <w:rFonts w:ascii="Times New Roman" w:hAnsi="Times New Roman"/>
          <w:sz w:val="24"/>
          <w:szCs w:val="24"/>
        </w:rPr>
      </w:pPr>
      <w:r w:rsidRPr="00AA4A98">
        <w:rPr>
          <w:rFonts w:ascii="Times New Roman" w:hAnsi="Times New Roman"/>
          <w:sz w:val="24"/>
          <w:szCs w:val="24"/>
        </w:rPr>
        <w:t>DEA meets regularly with the affected industry to discuss policies, programs, and regulations.  These meetings provide an open forum to discuss matters of mutual concern with representatives of those entities from whom the information is obtained.</w:t>
      </w:r>
    </w:p>
    <w:p w:rsidRPr="00AA4A98" w:rsidR="003E411E" w:rsidP="000550C7" w:rsidRDefault="003E411E" w14:paraId="10941062" w14:textId="77777777">
      <w:pPr>
        <w:contextualSpacing/>
        <w:rPr>
          <w:rFonts w:ascii="Times New Roman" w:hAnsi="Times New Roman"/>
          <w:sz w:val="24"/>
          <w:szCs w:val="24"/>
        </w:rPr>
      </w:pPr>
    </w:p>
    <w:p w:rsidRPr="001B4940" w:rsidR="008E7B3E" w:rsidP="000550C7" w:rsidRDefault="000C1537" w14:paraId="1B453567" w14:textId="77777777">
      <w:pPr>
        <w:tabs>
          <w:tab w:val="left" w:pos="720"/>
          <w:tab w:val="left" w:pos="1440"/>
          <w:tab w:val="left" w:pos="2160"/>
        </w:tabs>
        <w:contextualSpacing/>
        <w:rPr>
          <w:rFonts w:ascii="Times New Roman" w:hAnsi="Times New Roman"/>
          <w:noProof w:val="0"/>
          <w:sz w:val="24"/>
          <w:szCs w:val="24"/>
        </w:rPr>
      </w:pPr>
      <w:r w:rsidRPr="001B4940">
        <w:rPr>
          <w:rFonts w:ascii="Times New Roman" w:hAnsi="Times New Roman"/>
          <w:noProof w:val="0"/>
          <w:sz w:val="24"/>
          <w:szCs w:val="24"/>
        </w:rPr>
        <w:t xml:space="preserve">9. </w:t>
      </w:r>
      <w:r w:rsidRPr="001B4940" w:rsidR="00090C0E">
        <w:rPr>
          <w:rFonts w:ascii="Times New Roman" w:hAnsi="Times New Roman"/>
          <w:noProof w:val="0"/>
          <w:sz w:val="24"/>
          <w:szCs w:val="24"/>
        </w:rPr>
        <w:t xml:space="preserve"> </w:t>
      </w:r>
      <w:r w:rsidRPr="001B4940" w:rsidR="008E7B3E">
        <w:rPr>
          <w:rFonts w:ascii="Times New Roman" w:hAnsi="Times New Roman"/>
          <w:noProof w:val="0"/>
          <w:sz w:val="24"/>
          <w:szCs w:val="24"/>
          <w:u w:val="single"/>
        </w:rPr>
        <w:t>Payment or Gift to Claimants:</w:t>
      </w:r>
    </w:p>
    <w:p w:rsidRPr="000550C7" w:rsidR="001A64B0" w:rsidP="000550C7" w:rsidRDefault="001A64B0" w14:paraId="491E73EE" w14:textId="77777777">
      <w:pPr>
        <w:contextualSpacing/>
        <w:rPr>
          <w:rFonts w:ascii="Times New Roman" w:hAnsi="Times New Roman"/>
          <w:noProof w:val="0"/>
          <w:sz w:val="24"/>
          <w:szCs w:val="24"/>
        </w:rPr>
      </w:pPr>
    </w:p>
    <w:p w:rsidRPr="000550C7" w:rsidR="00072531" w:rsidP="004B077C" w:rsidRDefault="00A52C58" w14:paraId="30523E30" w14:textId="77777777">
      <w:pPr>
        <w:ind w:firstLine="360"/>
        <w:contextualSpacing/>
        <w:rPr>
          <w:rFonts w:ascii="Times New Roman" w:hAnsi="Times New Roman"/>
          <w:noProof w:val="0"/>
          <w:sz w:val="24"/>
          <w:szCs w:val="24"/>
        </w:rPr>
      </w:pPr>
      <w:r w:rsidRPr="000550C7">
        <w:rPr>
          <w:rFonts w:ascii="Times New Roman" w:hAnsi="Times New Roman"/>
          <w:noProof w:val="0"/>
          <w:sz w:val="24"/>
          <w:szCs w:val="24"/>
        </w:rPr>
        <w:t>This collection of information does not propose to provide any payment or gift to respondents.</w:t>
      </w:r>
    </w:p>
    <w:p w:rsidRPr="000550C7" w:rsidR="00A52C58" w:rsidP="000550C7" w:rsidRDefault="00A52C58" w14:paraId="5E289146" w14:textId="77777777">
      <w:pPr>
        <w:contextualSpacing/>
        <w:rPr>
          <w:rFonts w:ascii="Times New Roman" w:hAnsi="Times New Roman"/>
          <w:noProof w:val="0"/>
          <w:sz w:val="24"/>
          <w:szCs w:val="24"/>
        </w:rPr>
      </w:pPr>
    </w:p>
    <w:p w:rsidRPr="000550C7" w:rsidR="008E7B3E" w:rsidP="000550C7" w:rsidRDefault="000C1537" w14:paraId="555A2277" w14:textId="77777777">
      <w:pPr>
        <w:tabs>
          <w:tab w:val="left" w:pos="720"/>
          <w:tab w:val="left" w:pos="1440"/>
          <w:tab w:val="left" w:pos="2160"/>
        </w:tabs>
        <w:contextualSpacing/>
        <w:rPr>
          <w:rFonts w:ascii="Times New Roman" w:hAnsi="Times New Roman"/>
          <w:noProof w:val="0"/>
          <w:sz w:val="24"/>
          <w:szCs w:val="24"/>
        </w:rPr>
      </w:pPr>
      <w:r w:rsidRPr="000550C7">
        <w:rPr>
          <w:rFonts w:ascii="Times New Roman" w:hAnsi="Times New Roman"/>
          <w:noProof w:val="0"/>
          <w:sz w:val="24"/>
          <w:szCs w:val="24"/>
        </w:rPr>
        <w:t xml:space="preserve">10. </w:t>
      </w:r>
      <w:r w:rsidRPr="000550C7" w:rsidR="00090C0E">
        <w:rPr>
          <w:rFonts w:ascii="Times New Roman" w:hAnsi="Times New Roman"/>
          <w:noProof w:val="0"/>
          <w:sz w:val="24"/>
          <w:szCs w:val="24"/>
        </w:rPr>
        <w:t xml:space="preserve"> </w:t>
      </w:r>
      <w:r w:rsidRPr="000550C7" w:rsidR="008E7B3E">
        <w:rPr>
          <w:rFonts w:ascii="Times New Roman" w:hAnsi="Times New Roman"/>
          <w:noProof w:val="0"/>
          <w:sz w:val="24"/>
          <w:szCs w:val="24"/>
          <w:u w:val="single"/>
        </w:rPr>
        <w:t>Assurance of Confidentiality:</w:t>
      </w:r>
    </w:p>
    <w:p w:rsidRPr="000550C7" w:rsidR="001A64B0" w:rsidP="000550C7" w:rsidRDefault="001A64B0" w14:paraId="7DE9089E" w14:textId="77777777">
      <w:pPr>
        <w:contextualSpacing/>
        <w:rPr>
          <w:rFonts w:ascii="Times New Roman" w:hAnsi="Times New Roman"/>
          <w:noProof w:val="0"/>
          <w:sz w:val="24"/>
          <w:szCs w:val="24"/>
        </w:rPr>
      </w:pPr>
    </w:p>
    <w:p w:rsidRPr="00AA4A98" w:rsidR="001A64B0" w:rsidP="004B077C" w:rsidRDefault="009151B2" w14:paraId="6FFC89FC" w14:textId="28718331">
      <w:pPr>
        <w:ind w:firstLine="360"/>
        <w:contextualSpacing/>
        <w:rPr>
          <w:rFonts w:ascii="Times New Roman" w:hAnsi="Times New Roman"/>
          <w:sz w:val="24"/>
          <w:szCs w:val="24"/>
        </w:rPr>
      </w:pPr>
      <w:r w:rsidRPr="00AA4A98">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w:t>
      </w:r>
      <w:bookmarkStart w:name="_GoBack" w:id="0"/>
      <w:bookmarkEnd w:id="0"/>
      <w:r w:rsidRPr="00AA4A98">
        <w:rPr>
          <w:rFonts w:ascii="Times New Roman" w:hAnsi="Times New Roman"/>
          <w:sz w:val="24"/>
          <w:szCs w:val="24"/>
        </w:rPr>
        <w:t>rmation is protected by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DEA.</w:t>
      </w:r>
    </w:p>
    <w:p w:rsidRPr="001B4940" w:rsidR="009151B2" w:rsidP="000550C7" w:rsidRDefault="009151B2" w14:paraId="46467AAA" w14:textId="77777777">
      <w:pPr>
        <w:contextualSpacing/>
        <w:rPr>
          <w:rFonts w:ascii="Times New Roman" w:hAnsi="Times New Roman"/>
          <w:noProof w:val="0"/>
          <w:sz w:val="24"/>
          <w:szCs w:val="24"/>
        </w:rPr>
      </w:pPr>
    </w:p>
    <w:p w:rsidRPr="000550C7" w:rsidR="008E7B3E" w:rsidP="000550C7" w:rsidRDefault="000C1537" w14:paraId="18DC97D0" w14:textId="77777777">
      <w:pPr>
        <w:tabs>
          <w:tab w:val="left" w:pos="720"/>
          <w:tab w:val="left" w:pos="1440"/>
          <w:tab w:val="left" w:pos="2160"/>
        </w:tabs>
        <w:contextualSpacing/>
        <w:rPr>
          <w:rFonts w:ascii="Times New Roman" w:hAnsi="Times New Roman"/>
          <w:noProof w:val="0"/>
          <w:sz w:val="24"/>
          <w:szCs w:val="24"/>
        </w:rPr>
      </w:pPr>
      <w:r w:rsidRPr="001B4940">
        <w:rPr>
          <w:rFonts w:ascii="Times New Roman" w:hAnsi="Times New Roman"/>
          <w:noProof w:val="0"/>
          <w:sz w:val="24"/>
          <w:szCs w:val="24"/>
        </w:rPr>
        <w:t xml:space="preserve">11. </w:t>
      </w:r>
      <w:r w:rsidRPr="000550C7" w:rsidR="00090C0E">
        <w:rPr>
          <w:rFonts w:ascii="Times New Roman" w:hAnsi="Times New Roman"/>
          <w:noProof w:val="0"/>
          <w:sz w:val="24"/>
          <w:szCs w:val="24"/>
        </w:rPr>
        <w:t xml:space="preserve"> </w:t>
      </w:r>
      <w:r w:rsidRPr="000550C7" w:rsidR="008E7B3E">
        <w:rPr>
          <w:rFonts w:ascii="Times New Roman" w:hAnsi="Times New Roman"/>
          <w:noProof w:val="0"/>
          <w:sz w:val="24"/>
          <w:szCs w:val="24"/>
          <w:u w:val="single"/>
        </w:rPr>
        <w:t>Justification for Sensitive Questions:</w:t>
      </w:r>
    </w:p>
    <w:p w:rsidRPr="000550C7" w:rsidR="001A64B0" w:rsidP="000550C7" w:rsidRDefault="001A64B0" w14:paraId="61B8C80C" w14:textId="77777777">
      <w:pPr>
        <w:tabs>
          <w:tab w:val="left" w:pos="720"/>
          <w:tab w:val="left" w:pos="1440"/>
          <w:tab w:val="left" w:pos="2160"/>
        </w:tabs>
        <w:contextualSpacing/>
        <w:rPr>
          <w:rFonts w:ascii="Times New Roman" w:hAnsi="Times New Roman"/>
          <w:noProof w:val="0"/>
          <w:sz w:val="24"/>
          <w:szCs w:val="24"/>
        </w:rPr>
      </w:pPr>
    </w:p>
    <w:p w:rsidRPr="000550C7" w:rsidR="00072531" w:rsidP="004B077C" w:rsidRDefault="00B051D2" w14:paraId="08DF6B20" w14:textId="2CAE8A3B">
      <w:pPr>
        <w:tabs>
          <w:tab w:val="left" w:pos="720"/>
          <w:tab w:val="left" w:pos="1440"/>
          <w:tab w:val="left" w:pos="2160"/>
        </w:tabs>
        <w:ind w:firstLine="360"/>
        <w:contextualSpacing/>
        <w:rPr>
          <w:rFonts w:ascii="Times New Roman" w:hAnsi="Times New Roman"/>
          <w:noProof w:val="0"/>
          <w:sz w:val="24"/>
          <w:szCs w:val="24"/>
        </w:rPr>
      </w:pPr>
      <w:r w:rsidRPr="000550C7">
        <w:rPr>
          <w:rFonts w:ascii="Times New Roman" w:hAnsi="Times New Roman"/>
          <w:noProof w:val="0"/>
          <w:sz w:val="24"/>
          <w:szCs w:val="24"/>
        </w:rPr>
        <w:t xml:space="preserve">This collection of information does </w:t>
      </w:r>
      <w:r w:rsidR="00181D95">
        <w:rPr>
          <w:rFonts w:ascii="Times New Roman" w:hAnsi="Times New Roman"/>
          <w:noProof w:val="0"/>
          <w:sz w:val="24"/>
          <w:szCs w:val="24"/>
        </w:rPr>
        <w:t xml:space="preserve">not </w:t>
      </w:r>
      <w:r w:rsidRPr="000550C7">
        <w:rPr>
          <w:rFonts w:ascii="Times New Roman" w:hAnsi="Times New Roman"/>
          <w:noProof w:val="0"/>
          <w:sz w:val="24"/>
          <w:szCs w:val="24"/>
        </w:rPr>
        <w:t>ask any questions of a sensitive nature.</w:t>
      </w:r>
    </w:p>
    <w:p w:rsidRPr="000550C7" w:rsidR="00B051D2" w:rsidP="000550C7" w:rsidRDefault="00B051D2" w14:paraId="7E1D5A47" w14:textId="77777777">
      <w:pPr>
        <w:tabs>
          <w:tab w:val="left" w:pos="720"/>
          <w:tab w:val="left" w:pos="1440"/>
          <w:tab w:val="left" w:pos="2160"/>
        </w:tabs>
        <w:contextualSpacing/>
        <w:rPr>
          <w:rFonts w:ascii="Times New Roman" w:hAnsi="Times New Roman"/>
          <w:noProof w:val="0"/>
          <w:sz w:val="24"/>
          <w:szCs w:val="24"/>
        </w:rPr>
      </w:pPr>
    </w:p>
    <w:p w:rsidRPr="000550C7" w:rsidR="008E7B3E" w:rsidP="000550C7" w:rsidRDefault="000C1537" w14:paraId="471D43B6" w14:textId="77777777">
      <w:pPr>
        <w:pStyle w:val="BodyText2"/>
        <w:spacing w:line="240" w:lineRule="auto"/>
        <w:contextualSpacing/>
        <w:rPr>
          <w:szCs w:val="24"/>
        </w:rPr>
      </w:pPr>
      <w:r w:rsidRPr="000550C7">
        <w:rPr>
          <w:szCs w:val="24"/>
        </w:rPr>
        <w:t>12.</w:t>
      </w:r>
      <w:r w:rsidRPr="000550C7" w:rsidR="00090C0E">
        <w:rPr>
          <w:szCs w:val="24"/>
        </w:rPr>
        <w:t xml:space="preserve"> </w:t>
      </w:r>
      <w:r w:rsidRPr="000550C7">
        <w:rPr>
          <w:szCs w:val="24"/>
        </w:rPr>
        <w:t xml:space="preserve"> </w:t>
      </w:r>
      <w:r w:rsidRPr="000550C7" w:rsidR="008E7B3E">
        <w:rPr>
          <w:szCs w:val="24"/>
          <w:u w:val="single"/>
        </w:rPr>
        <w:t>Estimate of Hour Burden:</w:t>
      </w:r>
    </w:p>
    <w:p w:rsidRPr="000550C7" w:rsidR="00C42F38" w:rsidP="000550C7" w:rsidRDefault="00C42F38" w14:paraId="48BB88F0" w14:textId="77777777">
      <w:pPr>
        <w:contextualSpacing/>
        <w:rPr>
          <w:rFonts w:ascii="Times New Roman" w:hAnsi="Times New Roman"/>
          <w:noProof w:val="0"/>
          <w:sz w:val="24"/>
          <w:szCs w:val="24"/>
        </w:rPr>
      </w:pPr>
    </w:p>
    <w:p w:rsidRPr="000550C7" w:rsidR="00827435" w:rsidP="000550C7" w:rsidRDefault="00827435" w14:paraId="5D8147A3" w14:textId="77777777">
      <w:pPr>
        <w:contextualSpacing/>
        <w:rPr>
          <w:rFonts w:ascii="Times New Roman" w:hAnsi="Times New Roman"/>
          <w:sz w:val="24"/>
          <w:szCs w:val="24"/>
        </w:rPr>
      </w:pPr>
    </w:p>
    <w:p w:rsidRPr="00AA4A98" w:rsidR="00572EEB" w:rsidP="000550C7" w:rsidRDefault="00572EEB" w14:paraId="43A619FF" w14:textId="6364AFD0">
      <w:pPr>
        <w:contextualSpacing/>
        <w:rPr>
          <w:rFonts w:ascii="Times New Roman" w:hAnsi="Times New Roman"/>
          <w:sz w:val="24"/>
          <w:szCs w:val="24"/>
        </w:rPr>
      </w:pPr>
      <w:r w:rsidRPr="00AA4A98">
        <w:rPr>
          <w:rFonts w:ascii="Times New Roman" w:hAnsi="Times New Roman"/>
          <w:sz w:val="24"/>
          <w:szCs w:val="24"/>
        </w:rPr>
        <w:t xml:space="preserve">Total number of respondents:  </w:t>
      </w:r>
      <w:r w:rsidR="00AB20A0">
        <w:rPr>
          <w:rFonts w:ascii="Times New Roman" w:hAnsi="Times New Roman"/>
          <w:sz w:val="24"/>
          <w:szCs w:val="24"/>
        </w:rPr>
        <w:t>70,567</w:t>
      </w:r>
    </w:p>
    <w:p w:rsidRPr="00AA4A98" w:rsidR="00572EEB" w:rsidP="000550C7" w:rsidRDefault="00572EEB" w14:paraId="5640270C" w14:textId="439FA951">
      <w:pPr>
        <w:contextualSpacing/>
        <w:rPr>
          <w:rFonts w:ascii="Times New Roman" w:hAnsi="Times New Roman"/>
          <w:sz w:val="24"/>
          <w:szCs w:val="24"/>
        </w:rPr>
      </w:pPr>
      <w:r w:rsidRPr="00AA4A98">
        <w:rPr>
          <w:rFonts w:ascii="Times New Roman" w:hAnsi="Times New Roman"/>
          <w:sz w:val="24"/>
          <w:szCs w:val="24"/>
        </w:rPr>
        <w:t xml:space="preserve">Number of responses per respondent per year:  </w:t>
      </w:r>
      <w:r w:rsidRPr="002A5027" w:rsidR="002A5027">
        <w:rPr>
          <w:rFonts w:ascii="Times New Roman" w:hAnsi="Times New Roman"/>
          <w:sz w:val="24"/>
          <w:szCs w:val="24"/>
        </w:rPr>
        <w:t>354.273244</w:t>
      </w:r>
    </w:p>
    <w:p w:rsidRPr="00AA4A98" w:rsidR="00572EEB" w:rsidP="000550C7" w:rsidRDefault="00572EEB" w14:paraId="7626E846" w14:textId="6BBE5D5E">
      <w:pPr>
        <w:contextualSpacing/>
        <w:rPr>
          <w:rFonts w:ascii="Times New Roman" w:hAnsi="Times New Roman"/>
          <w:sz w:val="24"/>
          <w:szCs w:val="24"/>
        </w:rPr>
      </w:pPr>
      <w:r w:rsidRPr="00AA4A98">
        <w:rPr>
          <w:rFonts w:ascii="Times New Roman" w:hAnsi="Times New Roman"/>
          <w:sz w:val="24"/>
          <w:szCs w:val="24"/>
        </w:rPr>
        <w:t xml:space="preserve">Total annual responses:  </w:t>
      </w:r>
      <w:r w:rsidR="00E92CB6">
        <w:rPr>
          <w:rFonts w:ascii="Times New Roman" w:hAnsi="Times New Roman"/>
          <w:sz w:val="24"/>
          <w:szCs w:val="24"/>
        </w:rPr>
        <w:t>2</w:t>
      </w:r>
      <w:r w:rsidR="00AB20A0">
        <w:rPr>
          <w:rFonts w:ascii="Times New Roman" w:hAnsi="Times New Roman"/>
          <w:sz w:val="24"/>
          <w:szCs w:val="24"/>
        </w:rPr>
        <w:t>5,000,000</w:t>
      </w:r>
    </w:p>
    <w:p w:rsidRPr="00AA4A98" w:rsidR="00572EEB" w:rsidP="000550C7" w:rsidRDefault="00572EEB" w14:paraId="4DA9BB5E" w14:textId="1B2FF0C3">
      <w:pPr>
        <w:contextualSpacing/>
        <w:rPr>
          <w:rFonts w:ascii="Times New Roman" w:hAnsi="Times New Roman"/>
          <w:sz w:val="24"/>
          <w:szCs w:val="24"/>
        </w:rPr>
      </w:pPr>
      <w:r w:rsidRPr="00AA4A98">
        <w:rPr>
          <w:rFonts w:ascii="Times New Roman" w:hAnsi="Times New Roman"/>
          <w:sz w:val="24"/>
          <w:szCs w:val="24"/>
        </w:rPr>
        <w:t xml:space="preserve">Total annual hour burden:  </w:t>
      </w:r>
      <w:r w:rsidR="00AB20A0">
        <w:rPr>
          <w:rFonts w:ascii="Times New Roman" w:hAnsi="Times New Roman"/>
          <w:sz w:val="24"/>
          <w:szCs w:val="24"/>
        </w:rPr>
        <w:t>1,25</w:t>
      </w:r>
      <w:r w:rsidR="00E92CB6">
        <w:rPr>
          <w:rFonts w:ascii="Times New Roman" w:hAnsi="Times New Roman"/>
          <w:sz w:val="24"/>
          <w:szCs w:val="24"/>
        </w:rPr>
        <w:t>0,000</w:t>
      </w:r>
    </w:p>
    <w:p w:rsidRPr="00AA4A98" w:rsidR="00572EEB" w:rsidP="000550C7" w:rsidRDefault="00572EEB" w14:paraId="0385DB65" w14:textId="77777777">
      <w:pPr>
        <w:contextualSpacing/>
        <w:rPr>
          <w:rFonts w:ascii="Times New Roman" w:hAnsi="Times New Roman"/>
          <w:sz w:val="24"/>
          <w:szCs w:val="24"/>
        </w:rPr>
      </w:pPr>
    </w:p>
    <w:p w:rsidRPr="00AA4A98" w:rsidR="00572EEB" w:rsidP="000550C7" w:rsidRDefault="00572EEB" w14:paraId="413E67CA" w14:textId="0223E45D">
      <w:pPr>
        <w:contextualSpacing/>
        <w:rPr>
          <w:rFonts w:ascii="Times New Roman" w:hAnsi="Times New Roman"/>
          <w:sz w:val="24"/>
          <w:szCs w:val="24"/>
        </w:rPr>
      </w:pPr>
      <w:r w:rsidRPr="00AA4A98">
        <w:rPr>
          <w:rFonts w:ascii="Times New Roman" w:hAnsi="Times New Roman"/>
          <w:sz w:val="24"/>
          <w:szCs w:val="24"/>
        </w:rPr>
        <w:t>Average Burden:</w:t>
      </w:r>
      <w:r w:rsidRPr="00AA4A98">
        <w:rPr>
          <w:rFonts w:ascii="Times New Roman" w:hAnsi="Times New Roman"/>
          <w:sz w:val="24"/>
          <w:szCs w:val="24"/>
        </w:rPr>
        <w:tab/>
        <w:t xml:space="preserve">Per Collection:  </w:t>
      </w:r>
      <w:r w:rsidR="00AB20A0">
        <w:rPr>
          <w:rFonts w:ascii="Times New Roman" w:hAnsi="Times New Roman"/>
          <w:sz w:val="24"/>
          <w:szCs w:val="24"/>
        </w:rPr>
        <w:t>0.05</w:t>
      </w:r>
    </w:p>
    <w:p w:rsidRPr="00AA4A98" w:rsidR="00572EEB" w:rsidP="000550C7" w:rsidRDefault="00572EEB" w14:paraId="12208FC5" w14:textId="527B7D52">
      <w:pPr>
        <w:contextualSpacing/>
        <w:rPr>
          <w:rFonts w:ascii="Times New Roman" w:hAnsi="Times New Roman"/>
          <w:sz w:val="24"/>
          <w:szCs w:val="24"/>
        </w:rPr>
      </w:pPr>
      <w:r w:rsidRPr="00AA4A98">
        <w:rPr>
          <w:rFonts w:ascii="Times New Roman" w:hAnsi="Times New Roman"/>
          <w:sz w:val="24"/>
          <w:szCs w:val="24"/>
        </w:rPr>
        <w:tab/>
      </w:r>
      <w:r w:rsidRPr="00AA4A98">
        <w:rPr>
          <w:rFonts w:ascii="Times New Roman" w:hAnsi="Times New Roman"/>
          <w:sz w:val="24"/>
          <w:szCs w:val="24"/>
        </w:rPr>
        <w:tab/>
      </w:r>
      <w:r w:rsidRPr="00AA4A98">
        <w:rPr>
          <w:rFonts w:ascii="Times New Roman" w:hAnsi="Times New Roman"/>
          <w:sz w:val="24"/>
          <w:szCs w:val="24"/>
        </w:rPr>
        <w:tab/>
        <w:t xml:space="preserve">Per Respondent:  </w:t>
      </w:r>
      <w:r w:rsidR="00AB20A0">
        <w:rPr>
          <w:rFonts w:ascii="Times New Roman" w:hAnsi="Times New Roman"/>
          <w:sz w:val="24"/>
          <w:szCs w:val="24"/>
        </w:rPr>
        <w:t>17</w:t>
      </w:r>
      <w:r w:rsidR="00A421CA">
        <w:rPr>
          <w:rFonts w:ascii="Times New Roman" w:hAnsi="Times New Roman"/>
          <w:sz w:val="24"/>
          <w:szCs w:val="24"/>
        </w:rPr>
        <w:t>.</w:t>
      </w:r>
      <w:r w:rsidR="00AB20A0">
        <w:rPr>
          <w:rFonts w:ascii="Times New Roman" w:hAnsi="Times New Roman"/>
          <w:sz w:val="24"/>
          <w:szCs w:val="24"/>
        </w:rPr>
        <w:t>713662</w:t>
      </w:r>
    </w:p>
    <w:p w:rsidRPr="00AA4A98" w:rsidR="00572EEB" w:rsidP="000550C7" w:rsidRDefault="00572EEB" w14:paraId="063834D0" w14:textId="77777777">
      <w:pPr>
        <w:contextualSpacing/>
        <w:rPr>
          <w:rFonts w:ascii="Times New Roman" w:hAnsi="Times New Roman"/>
          <w:sz w:val="24"/>
          <w:szCs w:val="24"/>
        </w:rPr>
      </w:pPr>
    </w:p>
    <w:p w:rsidRPr="00AA4A98" w:rsidR="00572EEB" w:rsidP="000550C7" w:rsidRDefault="00572EEB" w14:paraId="354EC48A" w14:textId="060F65C5">
      <w:pPr>
        <w:contextualSpacing/>
        <w:rPr>
          <w:rFonts w:ascii="Times New Roman" w:hAnsi="Times New Roman"/>
          <w:sz w:val="24"/>
          <w:szCs w:val="24"/>
        </w:rPr>
      </w:pPr>
      <w:r w:rsidRPr="00AA4A98">
        <w:rPr>
          <w:rFonts w:ascii="Times New Roman" w:hAnsi="Times New Roman"/>
          <w:sz w:val="24"/>
          <w:szCs w:val="24"/>
        </w:rPr>
        <w:t xml:space="preserve">Total responses on paper:  </w:t>
      </w:r>
      <w:r w:rsidR="00AB20A0">
        <w:rPr>
          <w:rFonts w:ascii="Times New Roman" w:hAnsi="Times New Roman"/>
          <w:sz w:val="24"/>
          <w:szCs w:val="24"/>
        </w:rPr>
        <w:t>0</w:t>
      </w:r>
    </w:p>
    <w:p w:rsidRPr="00AA4A98" w:rsidR="00572EEB" w:rsidP="000550C7" w:rsidRDefault="00572EEB" w14:paraId="29D6A5B8" w14:textId="17BFE998">
      <w:pPr>
        <w:contextualSpacing/>
        <w:rPr>
          <w:rFonts w:ascii="Times New Roman" w:hAnsi="Times New Roman"/>
          <w:sz w:val="24"/>
          <w:szCs w:val="24"/>
        </w:rPr>
      </w:pPr>
      <w:r w:rsidRPr="00AA4A98">
        <w:rPr>
          <w:rFonts w:ascii="Times New Roman" w:hAnsi="Times New Roman"/>
          <w:sz w:val="24"/>
          <w:szCs w:val="24"/>
        </w:rPr>
        <w:t xml:space="preserve">Total responses electronically:   </w:t>
      </w:r>
      <w:r w:rsidR="00AB20A0">
        <w:rPr>
          <w:rFonts w:ascii="Times New Roman" w:hAnsi="Times New Roman"/>
          <w:sz w:val="24"/>
          <w:szCs w:val="24"/>
        </w:rPr>
        <w:t>25,000,000</w:t>
      </w:r>
    </w:p>
    <w:p w:rsidRPr="00AA4A98" w:rsidR="00572EEB" w:rsidP="000550C7" w:rsidRDefault="00572EEB" w14:paraId="2AA0578A" w14:textId="38713A72">
      <w:pPr>
        <w:contextualSpacing/>
        <w:rPr>
          <w:rFonts w:ascii="Times New Roman" w:hAnsi="Times New Roman"/>
          <w:sz w:val="24"/>
          <w:szCs w:val="24"/>
        </w:rPr>
      </w:pPr>
      <w:r w:rsidRPr="00AA4A98">
        <w:rPr>
          <w:rFonts w:ascii="Times New Roman" w:hAnsi="Times New Roman"/>
          <w:sz w:val="24"/>
          <w:szCs w:val="24"/>
        </w:rPr>
        <w:t xml:space="preserve">Percentage of responses electronically:  </w:t>
      </w:r>
      <w:r w:rsidR="00A421CA">
        <w:rPr>
          <w:rFonts w:ascii="Times New Roman" w:hAnsi="Times New Roman"/>
          <w:sz w:val="24"/>
          <w:szCs w:val="24"/>
        </w:rPr>
        <w:t>100%</w:t>
      </w:r>
    </w:p>
    <w:p w:rsidRPr="00AA4A98" w:rsidR="00572EEB" w:rsidP="000550C7" w:rsidRDefault="00572EEB" w14:paraId="644B1ED9" w14:textId="77777777">
      <w:pPr>
        <w:contextualSpacing/>
        <w:rPr>
          <w:rFonts w:ascii="Times New Roman" w:hAnsi="Times New Roman"/>
          <w:sz w:val="24"/>
          <w:szCs w:val="24"/>
        </w:rPr>
      </w:pPr>
    </w:p>
    <w:p w:rsidRPr="00AA4A98" w:rsidR="00040C64" w:rsidP="000550C7" w:rsidRDefault="00040C64" w14:paraId="30EB633E" w14:textId="77777777">
      <w:pPr>
        <w:contextualSpacing/>
        <w:rPr>
          <w:rFonts w:ascii="Times New Roman" w:hAnsi="Times New Roman"/>
          <w:sz w:val="24"/>
          <w:szCs w:val="24"/>
        </w:rPr>
      </w:pPr>
      <w:r w:rsidRPr="00AA4A98">
        <w:rPr>
          <w:rFonts w:ascii="Times New Roman" w:hAnsi="Times New Roman"/>
          <w:sz w:val="24"/>
          <w:szCs w:val="24"/>
        </w:rPr>
        <w:t>Burden dollars:</w:t>
      </w:r>
    </w:p>
    <w:p w:rsidRPr="00AA4A98" w:rsidR="00040C64" w:rsidP="000550C7" w:rsidRDefault="00040C64" w14:paraId="514B1764" w14:textId="77777777">
      <w:pPr>
        <w:contextualSpacing/>
        <w:rPr>
          <w:rFonts w:ascii="Times New Roman" w:hAnsi="Times New Roman"/>
          <w:sz w:val="24"/>
          <w:szCs w:val="24"/>
        </w:rPr>
      </w:pPr>
    </w:p>
    <w:tbl>
      <w:tblPr>
        <w:tblW w:w="0" w:type="auto"/>
        <w:tblInd w:w="720" w:type="dxa"/>
        <w:tblLook w:val="04A0" w:firstRow="1" w:lastRow="0" w:firstColumn="1" w:lastColumn="0" w:noHBand="0" w:noVBand="1"/>
      </w:tblPr>
      <w:tblGrid>
        <w:gridCol w:w="4295"/>
        <w:gridCol w:w="1956"/>
      </w:tblGrid>
      <w:tr w:rsidRPr="00AA4A98" w:rsidR="00040C64" w:rsidTr="00040C64" w14:paraId="54DFD1AB" w14:textId="77777777">
        <w:tc>
          <w:tcPr>
            <w:tcW w:w="4295" w:type="dxa"/>
          </w:tcPr>
          <w:p w:rsidRPr="00AA4A98" w:rsidR="00040C64" w:rsidP="000550C7" w:rsidRDefault="00040C64" w14:paraId="48CD3750" w14:textId="77777777">
            <w:pPr>
              <w:contextualSpacing/>
              <w:rPr>
                <w:rFonts w:ascii="Times New Roman" w:hAnsi="Times New Roman" w:eastAsia="SimSun"/>
                <w:sz w:val="24"/>
                <w:szCs w:val="24"/>
              </w:rPr>
            </w:pPr>
            <w:r w:rsidRPr="00AA4A98">
              <w:rPr>
                <w:rFonts w:ascii="Times New Roman" w:hAnsi="Times New Roman" w:eastAsia="SimSun"/>
                <w:sz w:val="24"/>
                <w:szCs w:val="24"/>
              </w:rPr>
              <w:t>Estimate hourly wage ($/hour):</w:t>
            </w:r>
            <w:r w:rsidRPr="00AA4A98">
              <w:rPr>
                <w:rStyle w:val="FootnoteReference"/>
                <w:rFonts w:ascii="Times New Roman" w:hAnsi="Times New Roman" w:eastAsia="SimSun"/>
                <w:sz w:val="24"/>
                <w:szCs w:val="24"/>
                <w:vertAlign w:val="superscript"/>
              </w:rPr>
              <w:footnoteReference w:id="2"/>
            </w:r>
          </w:p>
        </w:tc>
        <w:tc>
          <w:tcPr>
            <w:tcW w:w="1956" w:type="dxa"/>
          </w:tcPr>
          <w:p w:rsidRPr="00AA4A98" w:rsidR="00040C64" w:rsidP="000550C7" w:rsidRDefault="00E66732" w14:paraId="03CFC5B1" w14:textId="4C84FCFE">
            <w:pPr>
              <w:contextualSpacing/>
              <w:jc w:val="right"/>
              <w:rPr>
                <w:rFonts w:ascii="Times New Roman" w:hAnsi="Times New Roman" w:eastAsia="SimSun"/>
                <w:sz w:val="24"/>
                <w:szCs w:val="24"/>
              </w:rPr>
            </w:pPr>
            <w:r>
              <w:rPr>
                <w:rFonts w:ascii="Times New Roman" w:hAnsi="Times New Roman" w:eastAsia="SimSun"/>
                <w:sz w:val="24"/>
                <w:szCs w:val="24"/>
              </w:rPr>
              <w:t>$61.58</w:t>
            </w:r>
          </w:p>
        </w:tc>
      </w:tr>
      <w:tr w:rsidRPr="00AA4A98" w:rsidR="00040C64" w:rsidTr="00040C64" w14:paraId="7A697C23" w14:textId="77777777">
        <w:tc>
          <w:tcPr>
            <w:tcW w:w="4295" w:type="dxa"/>
          </w:tcPr>
          <w:p w:rsidRPr="00AA4A98" w:rsidR="00040C64" w:rsidP="000550C7" w:rsidRDefault="00040C64" w14:paraId="297B7A12" w14:textId="77777777">
            <w:pPr>
              <w:contextualSpacing/>
              <w:rPr>
                <w:rFonts w:ascii="Times New Roman" w:hAnsi="Times New Roman" w:eastAsia="SimSun"/>
                <w:sz w:val="24"/>
                <w:szCs w:val="24"/>
              </w:rPr>
            </w:pPr>
            <w:r w:rsidRPr="00AA4A98">
              <w:rPr>
                <w:rFonts w:ascii="Times New Roman" w:hAnsi="Times New Roman" w:eastAsia="SimSun"/>
                <w:sz w:val="24"/>
                <w:szCs w:val="24"/>
              </w:rPr>
              <w:t>Load for benefits (percent of labor rate):</w:t>
            </w:r>
            <w:r w:rsidRPr="00AA4A98">
              <w:rPr>
                <w:rStyle w:val="FootnoteReference"/>
                <w:rFonts w:ascii="Times New Roman" w:hAnsi="Times New Roman" w:eastAsia="SimSun"/>
                <w:sz w:val="24"/>
                <w:szCs w:val="24"/>
                <w:vertAlign w:val="superscript"/>
              </w:rPr>
              <w:footnoteReference w:id="3"/>
            </w:r>
          </w:p>
        </w:tc>
        <w:tc>
          <w:tcPr>
            <w:tcW w:w="1956" w:type="dxa"/>
          </w:tcPr>
          <w:p w:rsidRPr="00AA4A98" w:rsidR="00040C64" w:rsidP="000550C7" w:rsidRDefault="00E66732" w14:paraId="0106BC11" w14:textId="5CCF1877">
            <w:pPr>
              <w:contextualSpacing/>
              <w:jc w:val="right"/>
              <w:rPr>
                <w:rFonts w:ascii="Times New Roman" w:hAnsi="Times New Roman" w:eastAsia="SimSun"/>
                <w:sz w:val="24"/>
                <w:szCs w:val="24"/>
              </w:rPr>
            </w:pPr>
            <w:r>
              <w:rPr>
                <w:rFonts w:ascii="Times New Roman" w:hAnsi="Times New Roman" w:eastAsia="SimSun"/>
                <w:sz w:val="24"/>
                <w:szCs w:val="24"/>
              </w:rPr>
              <w:t>42.9%</w:t>
            </w:r>
          </w:p>
        </w:tc>
      </w:tr>
      <w:tr w:rsidRPr="00AA4A98" w:rsidR="00040C64" w:rsidTr="00040C64" w14:paraId="75051FD7" w14:textId="77777777">
        <w:tc>
          <w:tcPr>
            <w:tcW w:w="4295" w:type="dxa"/>
          </w:tcPr>
          <w:p w:rsidRPr="00AA4A98" w:rsidR="00040C64" w:rsidP="000550C7" w:rsidRDefault="00040C64" w14:paraId="3BCC521D" w14:textId="77777777">
            <w:pPr>
              <w:contextualSpacing/>
              <w:rPr>
                <w:rFonts w:ascii="Times New Roman" w:hAnsi="Times New Roman" w:eastAsia="SimSun"/>
                <w:sz w:val="24"/>
                <w:szCs w:val="24"/>
              </w:rPr>
            </w:pPr>
            <w:r w:rsidRPr="00AA4A98">
              <w:rPr>
                <w:rFonts w:ascii="Times New Roman" w:hAnsi="Times New Roman" w:eastAsia="SimSun"/>
                <w:sz w:val="24"/>
                <w:szCs w:val="24"/>
              </w:rPr>
              <w:t>Loaded labor rate ($/hour):</w:t>
            </w:r>
            <w:r w:rsidRPr="00AA4A98">
              <w:rPr>
                <w:rStyle w:val="FootnoteReference"/>
                <w:rFonts w:ascii="Times New Roman" w:hAnsi="Times New Roman" w:eastAsia="SimSun"/>
                <w:sz w:val="24"/>
                <w:szCs w:val="24"/>
                <w:vertAlign w:val="superscript"/>
              </w:rPr>
              <w:footnoteReference w:id="4"/>
            </w:r>
          </w:p>
        </w:tc>
        <w:tc>
          <w:tcPr>
            <w:tcW w:w="1956" w:type="dxa"/>
          </w:tcPr>
          <w:p w:rsidRPr="00AA4A98" w:rsidR="00040C64" w:rsidP="000550C7" w:rsidRDefault="00E66732" w14:paraId="2876EA3E" w14:textId="67F88E41">
            <w:pPr>
              <w:contextualSpacing/>
              <w:jc w:val="right"/>
              <w:rPr>
                <w:rFonts w:ascii="Times New Roman" w:hAnsi="Times New Roman" w:eastAsia="SimSun"/>
                <w:sz w:val="24"/>
                <w:szCs w:val="24"/>
              </w:rPr>
            </w:pPr>
            <w:r>
              <w:rPr>
                <w:rFonts w:ascii="Times New Roman" w:hAnsi="Times New Roman" w:eastAsia="SimSun"/>
                <w:sz w:val="24"/>
                <w:szCs w:val="24"/>
              </w:rPr>
              <w:t>$88.00</w:t>
            </w:r>
          </w:p>
        </w:tc>
      </w:tr>
      <w:tr w:rsidRPr="00AA4A98" w:rsidR="00040C64" w:rsidTr="00040C64" w14:paraId="00FA41A7" w14:textId="77777777">
        <w:tc>
          <w:tcPr>
            <w:tcW w:w="4295" w:type="dxa"/>
            <w:vAlign w:val="bottom"/>
          </w:tcPr>
          <w:p w:rsidRPr="00AA4A98" w:rsidR="00040C64" w:rsidP="000550C7" w:rsidRDefault="00040C64" w14:paraId="60A37AB5" w14:textId="77777777">
            <w:pPr>
              <w:contextualSpacing/>
              <w:rPr>
                <w:rFonts w:ascii="Times New Roman" w:hAnsi="Times New Roman"/>
                <w:b/>
                <w:bCs/>
                <w:color w:val="000000"/>
                <w:sz w:val="24"/>
                <w:szCs w:val="24"/>
              </w:rPr>
            </w:pPr>
          </w:p>
        </w:tc>
        <w:tc>
          <w:tcPr>
            <w:tcW w:w="1956" w:type="dxa"/>
            <w:vAlign w:val="bottom"/>
          </w:tcPr>
          <w:p w:rsidRPr="00AA4A98" w:rsidR="00040C64" w:rsidP="000550C7" w:rsidRDefault="00040C64" w14:paraId="7AA7587A" w14:textId="77777777">
            <w:pPr>
              <w:contextualSpacing/>
              <w:jc w:val="center"/>
              <w:rPr>
                <w:rFonts w:ascii="Times New Roman" w:hAnsi="Times New Roman"/>
                <w:bCs/>
                <w:color w:val="000000"/>
                <w:sz w:val="24"/>
                <w:szCs w:val="24"/>
                <w:u w:val="single"/>
              </w:rPr>
            </w:pPr>
          </w:p>
        </w:tc>
      </w:tr>
      <w:tr w:rsidRPr="00AA4A98" w:rsidR="00040C64" w:rsidTr="00040C64" w14:paraId="61F0C08A" w14:textId="77777777">
        <w:tc>
          <w:tcPr>
            <w:tcW w:w="4295" w:type="dxa"/>
            <w:vAlign w:val="center"/>
          </w:tcPr>
          <w:p w:rsidRPr="00AA4A98" w:rsidR="00040C64" w:rsidP="000550C7" w:rsidRDefault="00040C64" w14:paraId="1BB54490" w14:textId="77777777">
            <w:pPr>
              <w:contextualSpacing/>
              <w:rPr>
                <w:rFonts w:ascii="Times New Roman" w:hAnsi="Times New Roman"/>
                <w:color w:val="000000"/>
                <w:sz w:val="24"/>
                <w:szCs w:val="24"/>
              </w:rPr>
            </w:pPr>
            <w:r w:rsidRPr="00AA4A98">
              <w:rPr>
                <w:rFonts w:ascii="Times New Roman" w:hAnsi="Times New Roman"/>
                <w:color w:val="000000"/>
                <w:sz w:val="24"/>
                <w:szCs w:val="24"/>
              </w:rPr>
              <w:t>Number of responses</w:t>
            </w:r>
          </w:p>
        </w:tc>
        <w:tc>
          <w:tcPr>
            <w:tcW w:w="1956" w:type="dxa"/>
            <w:vAlign w:val="bottom"/>
          </w:tcPr>
          <w:p w:rsidRPr="00AA4A98" w:rsidR="00040C64" w:rsidP="000550C7" w:rsidRDefault="00E66732" w14:paraId="14141831" w14:textId="65EB494A">
            <w:pPr>
              <w:contextualSpacing/>
              <w:jc w:val="right"/>
              <w:rPr>
                <w:rFonts w:ascii="Times New Roman" w:hAnsi="Times New Roman"/>
                <w:color w:val="000000"/>
                <w:sz w:val="24"/>
                <w:szCs w:val="24"/>
              </w:rPr>
            </w:pPr>
            <w:r>
              <w:rPr>
                <w:rFonts w:ascii="Times New Roman" w:hAnsi="Times New Roman"/>
                <w:color w:val="000000"/>
                <w:sz w:val="24"/>
                <w:szCs w:val="24"/>
              </w:rPr>
              <w:t>25,000,000</w:t>
            </w:r>
            <w:r w:rsidRPr="00AA4A98" w:rsidR="00040C64">
              <w:rPr>
                <w:rFonts w:ascii="Times New Roman" w:hAnsi="Times New Roman"/>
                <w:color w:val="000000"/>
                <w:sz w:val="24"/>
                <w:szCs w:val="24"/>
              </w:rPr>
              <w:t xml:space="preserve">          </w:t>
            </w:r>
          </w:p>
        </w:tc>
      </w:tr>
      <w:tr w:rsidRPr="00AA4A98" w:rsidR="00040C64" w:rsidTr="00040C64" w14:paraId="6792A4A6" w14:textId="77777777">
        <w:tc>
          <w:tcPr>
            <w:tcW w:w="4295" w:type="dxa"/>
            <w:vAlign w:val="center"/>
          </w:tcPr>
          <w:p w:rsidRPr="00AA4A98" w:rsidR="00040C64" w:rsidP="000550C7" w:rsidRDefault="00040C64" w14:paraId="6C17612F" w14:textId="77777777">
            <w:pPr>
              <w:contextualSpacing/>
              <w:rPr>
                <w:rFonts w:ascii="Times New Roman" w:hAnsi="Times New Roman"/>
                <w:color w:val="000000"/>
                <w:sz w:val="24"/>
                <w:szCs w:val="24"/>
              </w:rPr>
            </w:pPr>
            <w:r w:rsidRPr="00AA4A98">
              <w:rPr>
                <w:rFonts w:ascii="Times New Roman" w:hAnsi="Times New Roman"/>
                <w:color w:val="000000"/>
                <w:sz w:val="24"/>
                <w:szCs w:val="24"/>
              </w:rPr>
              <w:t>Total annual hours</w:t>
            </w:r>
          </w:p>
        </w:tc>
        <w:tc>
          <w:tcPr>
            <w:tcW w:w="1956" w:type="dxa"/>
            <w:vAlign w:val="bottom"/>
          </w:tcPr>
          <w:p w:rsidRPr="00AA4A98" w:rsidR="00040C64" w:rsidP="000550C7" w:rsidRDefault="00E66732" w14:paraId="57F83192" w14:textId="70316385">
            <w:pPr>
              <w:contextualSpacing/>
              <w:jc w:val="right"/>
              <w:rPr>
                <w:rFonts w:ascii="Times New Roman" w:hAnsi="Times New Roman"/>
                <w:color w:val="000000"/>
                <w:sz w:val="24"/>
                <w:szCs w:val="24"/>
              </w:rPr>
            </w:pPr>
            <w:r>
              <w:rPr>
                <w:rFonts w:ascii="Times New Roman" w:hAnsi="Times New Roman"/>
                <w:color w:val="000000"/>
                <w:sz w:val="24"/>
                <w:szCs w:val="24"/>
              </w:rPr>
              <w:t>1,250,000</w:t>
            </w:r>
            <w:r w:rsidRPr="00AA4A98" w:rsidR="00040C64">
              <w:rPr>
                <w:rFonts w:ascii="Times New Roman" w:hAnsi="Times New Roman"/>
                <w:color w:val="000000"/>
                <w:sz w:val="24"/>
                <w:szCs w:val="24"/>
              </w:rPr>
              <w:t xml:space="preserve">              </w:t>
            </w:r>
          </w:p>
        </w:tc>
      </w:tr>
      <w:tr w:rsidRPr="00AA4A98" w:rsidR="00040C64" w:rsidTr="00040C64" w14:paraId="531CF8EE" w14:textId="77777777">
        <w:tc>
          <w:tcPr>
            <w:tcW w:w="4295" w:type="dxa"/>
            <w:vAlign w:val="center"/>
          </w:tcPr>
          <w:p w:rsidRPr="00AA4A98" w:rsidR="00040C64" w:rsidP="000550C7" w:rsidRDefault="00040C64" w14:paraId="7FC362BF" w14:textId="77777777">
            <w:pPr>
              <w:contextualSpacing/>
              <w:rPr>
                <w:rFonts w:ascii="Times New Roman" w:hAnsi="Times New Roman"/>
                <w:color w:val="000000"/>
                <w:sz w:val="24"/>
                <w:szCs w:val="24"/>
              </w:rPr>
            </w:pPr>
            <w:r w:rsidRPr="00AA4A98">
              <w:rPr>
                <w:rFonts w:ascii="Times New Roman" w:hAnsi="Times New Roman"/>
                <w:color w:val="000000"/>
                <w:sz w:val="24"/>
                <w:szCs w:val="24"/>
              </w:rPr>
              <w:t>Average burden per response (hour)</w:t>
            </w:r>
          </w:p>
        </w:tc>
        <w:tc>
          <w:tcPr>
            <w:tcW w:w="1956" w:type="dxa"/>
            <w:vAlign w:val="bottom"/>
          </w:tcPr>
          <w:p w:rsidRPr="00AA4A98" w:rsidR="00040C64" w:rsidP="000550C7" w:rsidRDefault="00E66732" w14:paraId="05B02F8D" w14:textId="43D5C528">
            <w:pPr>
              <w:contextualSpacing/>
              <w:jc w:val="right"/>
              <w:rPr>
                <w:rFonts w:ascii="Times New Roman" w:hAnsi="Times New Roman"/>
                <w:color w:val="000000"/>
                <w:sz w:val="24"/>
                <w:szCs w:val="24"/>
              </w:rPr>
            </w:pPr>
            <w:r>
              <w:rPr>
                <w:rFonts w:ascii="Times New Roman" w:hAnsi="Times New Roman"/>
                <w:color w:val="000000"/>
                <w:sz w:val="24"/>
                <w:szCs w:val="24"/>
              </w:rPr>
              <w:t>0.05</w:t>
            </w:r>
            <w:r w:rsidRPr="00AA4A98" w:rsidR="00040C64">
              <w:rPr>
                <w:rFonts w:ascii="Times New Roman" w:hAnsi="Times New Roman"/>
                <w:color w:val="000000"/>
                <w:sz w:val="24"/>
                <w:szCs w:val="24"/>
              </w:rPr>
              <w:t xml:space="preserve">                </w:t>
            </w:r>
          </w:p>
        </w:tc>
      </w:tr>
      <w:tr w:rsidRPr="00AA4A98" w:rsidR="00040C64" w:rsidTr="00040C64" w14:paraId="5DDAA8BB" w14:textId="77777777">
        <w:tc>
          <w:tcPr>
            <w:tcW w:w="4295" w:type="dxa"/>
            <w:vAlign w:val="center"/>
          </w:tcPr>
          <w:p w:rsidRPr="00AA4A98" w:rsidR="00040C64" w:rsidP="000550C7" w:rsidRDefault="00040C64" w14:paraId="1986B1F5" w14:textId="77777777">
            <w:pPr>
              <w:contextualSpacing/>
              <w:rPr>
                <w:rFonts w:ascii="Times New Roman" w:hAnsi="Times New Roman"/>
                <w:color w:val="000000"/>
                <w:sz w:val="24"/>
                <w:szCs w:val="24"/>
              </w:rPr>
            </w:pPr>
            <w:r w:rsidRPr="00AA4A98">
              <w:rPr>
                <w:rFonts w:ascii="Times New Roman" w:hAnsi="Times New Roman"/>
                <w:color w:val="000000"/>
                <w:sz w:val="24"/>
                <w:szCs w:val="24"/>
              </w:rPr>
              <w:t>Burden dollars per response ($)</w:t>
            </w:r>
          </w:p>
        </w:tc>
        <w:tc>
          <w:tcPr>
            <w:tcW w:w="1956" w:type="dxa"/>
            <w:vAlign w:val="bottom"/>
          </w:tcPr>
          <w:p w:rsidRPr="00AA4A98" w:rsidR="00040C64" w:rsidP="00E66732" w:rsidRDefault="00040C64" w14:paraId="5F65C245" w14:textId="3FD97875">
            <w:pPr>
              <w:contextualSpacing/>
              <w:jc w:val="right"/>
              <w:rPr>
                <w:rFonts w:ascii="Times New Roman" w:hAnsi="Times New Roman"/>
                <w:color w:val="000000"/>
                <w:sz w:val="24"/>
                <w:szCs w:val="24"/>
                <w:u w:val="single"/>
              </w:rPr>
            </w:pPr>
            <w:r w:rsidRPr="00AA4A98">
              <w:rPr>
                <w:rFonts w:ascii="Times New Roman" w:hAnsi="Times New Roman"/>
                <w:color w:val="000000"/>
                <w:sz w:val="24"/>
                <w:szCs w:val="24"/>
                <w:u w:val="single"/>
              </w:rPr>
              <w:t xml:space="preserve"> $</w:t>
            </w:r>
            <w:r w:rsidR="00E66732">
              <w:rPr>
                <w:rFonts w:ascii="Times New Roman" w:hAnsi="Times New Roman"/>
                <w:color w:val="000000"/>
                <w:sz w:val="24"/>
                <w:szCs w:val="24"/>
                <w:u w:val="single"/>
              </w:rPr>
              <w:t>4.40</w:t>
            </w:r>
            <w:r w:rsidRPr="00AA4A98">
              <w:rPr>
                <w:rFonts w:ascii="Times New Roman" w:hAnsi="Times New Roman"/>
                <w:color w:val="000000"/>
                <w:sz w:val="24"/>
                <w:szCs w:val="24"/>
                <w:u w:val="single"/>
              </w:rPr>
              <w:t xml:space="preserve">          </w:t>
            </w:r>
          </w:p>
        </w:tc>
      </w:tr>
      <w:tr w:rsidRPr="00AA4A98" w:rsidR="00040C64" w:rsidTr="00040C64" w14:paraId="5E8ABC40" w14:textId="77777777">
        <w:tc>
          <w:tcPr>
            <w:tcW w:w="4295" w:type="dxa"/>
            <w:vAlign w:val="center"/>
          </w:tcPr>
          <w:p w:rsidRPr="00AA4A98" w:rsidR="00040C64" w:rsidP="000550C7" w:rsidRDefault="00040C64" w14:paraId="2887FBB5" w14:textId="77777777">
            <w:pPr>
              <w:contextualSpacing/>
              <w:rPr>
                <w:rFonts w:ascii="Times New Roman" w:hAnsi="Times New Roman"/>
                <w:b/>
                <w:bCs/>
                <w:color w:val="000000"/>
                <w:sz w:val="24"/>
                <w:szCs w:val="24"/>
              </w:rPr>
            </w:pPr>
            <w:r w:rsidRPr="00AA4A98">
              <w:rPr>
                <w:rFonts w:ascii="Times New Roman" w:hAnsi="Times New Roman"/>
                <w:b/>
                <w:bCs/>
                <w:color w:val="000000"/>
                <w:sz w:val="24"/>
                <w:szCs w:val="24"/>
              </w:rPr>
              <w:t>Total burden dollars</w:t>
            </w:r>
          </w:p>
        </w:tc>
        <w:tc>
          <w:tcPr>
            <w:tcW w:w="1956" w:type="dxa"/>
            <w:vAlign w:val="bottom"/>
          </w:tcPr>
          <w:p w:rsidRPr="00AA4A98" w:rsidR="00040C64" w:rsidP="000550C7" w:rsidRDefault="00040C64" w14:paraId="03D00634" w14:textId="686A1135">
            <w:pPr>
              <w:contextualSpacing/>
              <w:jc w:val="right"/>
              <w:rPr>
                <w:rFonts w:ascii="Times New Roman" w:hAnsi="Times New Roman"/>
                <w:bCs/>
                <w:color w:val="000000"/>
                <w:sz w:val="24"/>
                <w:szCs w:val="24"/>
              </w:rPr>
            </w:pPr>
            <w:r w:rsidRPr="00AA4A98">
              <w:rPr>
                <w:rFonts w:ascii="Times New Roman" w:hAnsi="Times New Roman"/>
                <w:b/>
                <w:bCs/>
                <w:color w:val="000000"/>
                <w:sz w:val="24"/>
                <w:szCs w:val="24"/>
              </w:rPr>
              <w:t xml:space="preserve"> $</w:t>
            </w:r>
            <w:r w:rsidR="00E66732">
              <w:rPr>
                <w:rFonts w:ascii="Times New Roman" w:hAnsi="Times New Roman"/>
                <w:b/>
                <w:bCs/>
                <w:color w:val="000000"/>
                <w:sz w:val="24"/>
                <w:szCs w:val="24"/>
              </w:rPr>
              <w:t>110,000,000</w:t>
            </w:r>
            <w:r w:rsidRPr="00AA4A98">
              <w:rPr>
                <w:rFonts w:ascii="Times New Roman" w:hAnsi="Times New Roman"/>
                <w:b/>
                <w:bCs/>
                <w:color w:val="000000"/>
                <w:sz w:val="24"/>
                <w:szCs w:val="24"/>
              </w:rPr>
              <w:t xml:space="preserve">    </w:t>
            </w:r>
          </w:p>
        </w:tc>
      </w:tr>
    </w:tbl>
    <w:p w:rsidRPr="00AA4A98" w:rsidR="00572EEB" w:rsidP="000550C7" w:rsidRDefault="00572EEB" w14:paraId="0B64C868" w14:textId="77777777">
      <w:pPr>
        <w:contextualSpacing/>
        <w:rPr>
          <w:rFonts w:ascii="Times New Roman" w:hAnsi="Times New Roman"/>
          <w:sz w:val="24"/>
          <w:szCs w:val="24"/>
        </w:rPr>
      </w:pPr>
    </w:p>
    <w:p w:rsidRPr="00AA4A98" w:rsidR="005A1D74" w:rsidP="000550C7" w:rsidRDefault="005A1D74" w14:paraId="3468F980" w14:textId="77777777">
      <w:pPr>
        <w:contextualSpacing/>
        <w:rPr>
          <w:rFonts w:ascii="Times New Roman" w:hAnsi="Times New Roman"/>
          <w:sz w:val="24"/>
          <w:szCs w:val="24"/>
        </w:rPr>
      </w:pPr>
      <w:r w:rsidRPr="00AA4A98">
        <w:rPr>
          <w:rFonts w:ascii="Times New Roman" w:hAnsi="Times New Roman"/>
          <w:sz w:val="24"/>
          <w:szCs w:val="24"/>
        </w:rPr>
        <w:t xml:space="preserve">13.  </w:t>
      </w:r>
      <w:r w:rsidRPr="00AA4A98">
        <w:rPr>
          <w:rFonts w:ascii="Times New Roman" w:hAnsi="Times New Roman"/>
          <w:sz w:val="24"/>
          <w:szCs w:val="24"/>
          <w:u w:val="single"/>
        </w:rPr>
        <w:t>Estimate of Cost Burden:</w:t>
      </w:r>
    </w:p>
    <w:p w:rsidRPr="00AA4A98" w:rsidR="005A1D74" w:rsidP="000550C7" w:rsidRDefault="005A1D74" w14:paraId="3A38746C" w14:textId="77777777">
      <w:pPr>
        <w:contextualSpacing/>
        <w:rPr>
          <w:rFonts w:ascii="Times New Roman" w:hAnsi="Times New Roman"/>
          <w:sz w:val="24"/>
          <w:szCs w:val="24"/>
        </w:rPr>
      </w:pPr>
    </w:p>
    <w:p w:rsidR="00E75B77" w:rsidP="00E66732" w:rsidRDefault="00E66732" w14:paraId="34E5F832" w14:textId="271F432F">
      <w:pPr>
        <w:ind w:firstLine="360"/>
        <w:contextualSpacing/>
        <w:rPr>
          <w:rFonts w:ascii="Times New Roman" w:hAnsi="Times New Roman"/>
          <w:sz w:val="24"/>
          <w:szCs w:val="24"/>
        </w:rPr>
      </w:pPr>
      <w:r w:rsidRPr="00384754">
        <w:rPr>
          <w:rFonts w:ascii="Times New Roman" w:hAnsi="Times New Roman"/>
          <w:sz w:val="24"/>
          <w:szCs w:val="24"/>
        </w:rPr>
        <w:t>The estimated annual cost burden is zero.  Respondents are not estimated to incur any    a) additional start-up cost or capital expenditure, or b) additional operation and maintenance costs or purchase services as a result of this information collection.</w:t>
      </w:r>
    </w:p>
    <w:p w:rsidRPr="00AA4A98" w:rsidR="00E66732" w:rsidP="000550C7" w:rsidRDefault="00E66732" w14:paraId="75611E9D" w14:textId="77777777">
      <w:pPr>
        <w:contextualSpacing/>
        <w:rPr>
          <w:rFonts w:ascii="Times New Roman" w:hAnsi="Times New Roman"/>
          <w:sz w:val="24"/>
          <w:szCs w:val="24"/>
        </w:rPr>
      </w:pPr>
    </w:p>
    <w:p w:rsidRPr="00AA4A98" w:rsidR="005A1D74" w:rsidP="000550C7" w:rsidRDefault="005A1D74" w14:paraId="756F5E2B" w14:textId="77777777">
      <w:pPr>
        <w:contextualSpacing/>
        <w:rPr>
          <w:rFonts w:ascii="Times New Roman" w:hAnsi="Times New Roman"/>
          <w:sz w:val="24"/>
          <w:szCs w:val="24"/>
        </w:rPr>
      </w:pPr>
      <w:r w:rsidRPr="00AA4A98">
        <w:rPr>
          <w:rFonts w:ascii="Times New Roman" w:hAnsi="Times New Roman"/>
          <w:sz w:val="24"/>
          <w:szCs w:val="24"/>
        </w:rPr>
        <w:t xml:space="preserve">14.  </w:t>
      </w:r>
      <w:r w:rsidRPr="00AA4A98">
        <w:rPr>
          <w:rFonts w:ascii="Times New Roman" w:hAnsi="Times New Roman"/>
          <w:sz w:val="24"/>
          <w:szCs w:val="24"/>
          <w:u w:val="single"/>
        </w:rPr>
        <w:t>Estimated Annualized Cost</w:t>
      </w:r>
      <w:r w:rsidRPr="00AA4A98" w:rsidR="00E75B77">
        <w:rPr>
          <w:rFonts w:ascii="Times New Roman" w:hAnsi="Times New Roman"/>
          <w:sz w:val="24"/>
          <w:szCs w:val="24"/>
          <w:u w:val="single"/>
        </w:rPr>
        <w:t>s</w:t>
      </w:r>
      <w:r w:rsidRPr="00AA4A98">
        <w:rPr>
          <w:rFonts w:ascii="Times New Roman" w:hAnsi="Times New Roman"/>
          <w:sz w:val="24"/>
          <w:szCs w:val="24"/>
          <w:u w:val="single"/>
        </w:rPr>
        <w:t xml:space="preserve"> to Federal Government:</w:t>
      </w:r>
    </w:p>
    <w:p w:rsidRPr="00AA4A98" w:rsidR="005A1D74" w:rsidP="000550C7" w:rsidRDefault="005A1D74" w14:paraId="4C7C86D0" w14:textId="77777777">
      <w:pPr>
        <w:contextualSpacing/>
        <w:rPr>
          <w:rFonts w:ascii="Times New Roman" w:hAnsi="Times New Roman"/>
          <w:sz w:val="24"/>
          <w:szCs w:val="24"/>
        </w:rPr>
      </w:pPr>
    </w:p>
    <w:p w:rsidRPr="00AA4A98" w:rsidR="00D22ADC" w:rsidP="004B077C" w:rsidRDefault="004B077C" w14:paraId="43E0C9CE" w14:textId="46D1C97F">
      <w:pPr>
        <w:ind w:firstLine="360"/>
        <w:contextualSpacing/>
        <w:rPr>
          <w:rFonts w:ascii="Times New Roman" w:hAnsi="Times New Roman"/>
          <w:sz w:val="24"/>
          <w:szCs w:val="24"/>
        </w:rPr>
      </w:pPr>
      <w:bookmarkStart w:name="OLE_LINK5" w:id="1"/>
      <w:bookmarkStart w:name="OLE_LINK6" w:id="2"/>
      <w:r w:rsidRPr="004B077C">
        <w:rPr>
          <w:rFonts w:ascii="Times New Roman" w:hAnsi="Times New Roman"/>
          <w:sz w:val="24"/>
          <w:szCs w:val="24"/>
        </w:rPr>
        <w:t>The required information is recorded and maintained by respondents.  There is no cost to the Federal Government.</w:t>
      </w:r>
    </w:p>
    <w:bookmarkEnd w:id="1"/>
    <w:bookmarkEnd w:id="2"/>
    <w:p w:rsidRPr="00AA4A98" w:rsidR="00E75B77" w:rsidP="000550C7" w:rsidRDefault="00E75B77" w14:paraId="2D94AF06" w14:textId="77777777">
      <w:pPr>
        <w:contextualSpacing/>
        <w:rPr>
          <w:rFonts w:ascii="Times New Roman" w:hAnsi="Times New Roman"/>
          <w:sz w:val="24"/>
          <w:szCs w:val="24"/>
        </w:rPr>
      </w:pPr>
    </w:p>
    <w:p w:rsidRPr="000550C7" w:rsidR="00331303" w:rsidP="000550C7" w:rsidRDefault="000C1537" w14:paraId="3C0B350C" w14:textId="77777777">
      <w:pPr>
        <w:tabs>
          <w:tab w:val="left" w:pos="720"/>
          <w:tab w:val="left" w:pos="1440"/>
          <w:tab w:val="left" w:pos="2160"/>
        </w:tabs>
        <w:contextualSpacing/>
        <w:jc w:val="both"/>
        <w:rPr>
          <w:rFonts w:ascii="Times New Roman" w:hAnsi="Times New Roman"/>
          <w:noProof w:val="0"/>
          <w:sz w:val="24"/>
          <w:szCs w:val="24"/>
        </w:rPr>
      </w:pPr>
      <w:r w:rsidRPr="001B4940">
        <w:rPr>
          <w:rFonts w:ascii="Times New Roman" w:hAnsi="Times New Roman"/>
          <w:noProof w:val="0"/>
          <w:sz w:val="24"/>
          <w:szCs w:val="24"/>
        </w:rPr>
        <w:t>15.</w:t>
      </w:r>
      <w:r w:rsidRPr="001B4940" w:rsidR="00090C0E">
        <w:rPr>
          <w:rFonts w:ascii="Times New Roman" w:hAnsi="Times New Roman"/>
          <w:noProof w:val="0"/>
          <w:sz w:val="24"/>
          <w:szCs w:val="24"/>
        </w:rPr>
        <w:t xml:space="preserve"> </w:t>
      </w:r>
      <w:r w:rsidRPr="000550C7">
        <w:rPr>
          <w:rFonts w:ascii="Times New Roman" w:hAnsi="Times New Roman"/>
          <w:noProof w:val="0"/>
          <w:sz w:val="24"/>
          <w:szCs w:val="24"/>
        </w:rPr>
        <w:t xml:space="preserve"> </w:t>
      </w:r>
      <w:r w:rsidRPr="000550C7" w:rsidR="00331303">
        <w:rPr>
          <w:rFonts w:ascii="Times New Roman" w:hAnsi="Times New Roman"/>
          <w:noProof w:val="0"/>
          <w:sz w:val="24"/>
          <w:szCs w:val="24"/>
          <w:u w:val="single"/>
        </w:rPr>
        <w:t>Reasons for Change in Burden:</w:t>
      </w:r>
    </w:p>
    <w:p w:rsidRPr="000550C7" w:rsidR="001A64B0" w:rsidP="000550C7" w:rsidRDefault="001A64B0" w14:paraId="14FEEC39" w14:textId="77777777">
      <w:pPr>
        <w:contextualSpacing/>
        <w:rPr>
          <w:rFonts w:ascii="Times New Roman" w:hAnsi="Times New Roman"/>
          <w:noProof w:val="0"/>
          <w:sz w:val="24"/>
          <w:szCs w:val="24"/>
        </w:rPr>
      </w:pPr>
    </w:p>
    <w:p w:rsidRPr="00AA4A98" w:rsidR="00CC40DC" w:rsidP="004B077C" w:rsidRDefault="00295D62" w14:paraId="12B8F88A" w14:textId="52125F8B">
      <w:pPr>
        <w:ind w:firstLine="360"/>
        <w:contextualSpacing/>
        <w:rPr>
          <w:rFonts w:ascii="Times New Roman" w:hAnsi="Times New Roman"/>
          <w:sz w:val="24"/>
          <w:szCs w:val="24"/>
        </w:rPr>
      </w:pPr>
      <w:r>
        <w:rPr>
          <w:rFonts w:ascii="Times New Roman" w:hAnsi="Times New Roman"/>
          <w:sz w:val="24"/>
          <w:szCs w:val="24"/>
        </w:rPr>
        <w:t xml:space="preserve">This is a new collection being created as part of DEA’s </w:t>
      </w:r>
      <w:r w:rsidRPr="008E1B3A">
        <w:rPr>
          <w:rFonts w:ascii="Times New Roman" w:hAnsi="Times New Roman"/>
          <w:noProof w:val="0"/>
          <w:sz w:val="24"/>
        </w:rPr>
        <w:t>Transfer of Prescription Information between Pharmacies for Initial Filling of Electronic Prescriptions for Schedules II-V Controlled Substances</w:t>
      </w:r>
      <w:r>
        <w:rPr>
          <w:rFonts w:ascii="Times New Roman" w:hAnsi="Times New Roman"/>
          <w:noProof w:val="0"/>
          <w:sz w:val="24"/>
        </w:rPr>
        <w:t xml:space="preserve"> rulemaking, RIN 1117-AB64.</w:t>
      </w:r>
    </w:p>
    <w:p w:rsidRPr="001B4940" w:rsidR="00695627" w:rsidP="000550C7" w:rsidRDefault="00695627" w14:paraId="5D237197" w14:textId="77777777">
      <w:pPr>
        <w:tabs>
          <w:tab w:val="left" w:pos="720"/>
          <w:tab w:val="left" w:pos="1440"/>
          <w:tab w:val="left" w:pos="2160"/>
        </w:tabs>
        <w:contextualSpacing/>
        <w:rPr>
          <w:rFonts w:ascii="Times New Roman" w:hAnsi="Times New Roman"/>
          <w:noProof w:val="0"/>
          <w:sz w:val="24"/>
          <w:szCs w:val="24"/>
        </w:rPr>
      </w:pPr>
    </w:p>
    <w:p w:rsidRPr="000550C7" w:rsidR="00331303" w:rsidP="000550C7" w:rsidRDefault="000C1537" w14:paraId="33C9952F" w14:textId="77777777">
      <w:pPr>
        <w:tabs>
          <w:tab w:val="left" w:pos="720"/>
          <w:tab w:val="left" w:pos="1440"/>
          <w:tab w:val="left" w:pos="2160"/>
        </w:tabs>
        <w:contextualSpacing/>
        <w:rPr>
          <w:rFonts w:ascii="Times New Roman" w:hAnsi="Times New Roman"/>
          <w:noProof w:val="0"/>
          <w:sz w:val="24"/>
          <w:szCs w:val="24"/>
        </w:rPr>
      </w:pPr>
      <w:r w:rsidRPr="000550C7">
        <w:rPr>
          <w:rFonts w:ascii="Times New Roman" w:hAnsi="Times New Roman"/>
          <w:noProof w:val="0"/>
          <w:sz w:val="24"/>
          <w:szCs w:val="24"/>
        </w:rPr>
        <w:t xml:space="preserve">16. </w:t>
      </w:r>
      <w:r w:rsidRPr="000550C7" w:rsidR="00090C0E">
        <w:rPr>
          <w:rFonts w:ascii="Times New Roman" w:hAnsi="Times New Roman"/>
          <w:noProof w:val="0"/>
          <w:sz w:val="24"/>
          <w:szCs w:val="24"/>
        </w:rPr>
        <w:t xml:space="preserve"> </w:t>
      </w:r>
      <w:r w:rsidRPr="000550C7" w:rsidR="00331303">
        <w:rPr>
          <w:rFonts w:ascii="Times New Roman" w:hAnsi="Times New Roman"/>
          <w:noProof w:val="0"/>
          <w:sz w:val="24"/>
          <w:szCs w:val="24"/>
          <w:u w:val="single"/>
        </w:rPr>
        <w:t>Plans for Publication:</w:t>
      </w:r>
    </w:p>
    <w:p w:rsidRPr="000550C7" w:rsidR="001A64B0" w:rsidP="000550C7" w:rsidRDefault="001A64B0" w14:paraId="576CF20E" w14:textId="77777777">
      <w:pPr>
        <w:tabs>
          <w:tab w:val="left" w:pos="720"/>
          <w:tab w:val="left" w:pos="1440"/>
          <w:tab w:val="left" w:pos="2160"/>
        </w:tabs>
        <w:contextualSpacing/>
        <w:rPr>
          <w:rFonts w:ascii="Times New Roman" w:hAnsi="Times New Roman"/>
          <w:noProof w:val="0"/>
          <w:sz w:val="24"/>
          <w:szCs w:val="24"/>
        </w:rPr>
      </w:pPr>
    </w:p>
    <w:p w:rsidRPr="000550C7" w:rsidR="000C1537" w:rsidP="000550C7" w:rsidRDefault="00B051D2" w14:paraId="098EF5F4" w14:textId="41F2A62E">
      <w:pPr>
        <w:tabs>
          <w:tab w:val="left" w:pos="720"/>
          <w:tab w:val="left" w:pos="1440"/>
          <w:tab w:val="left" w:pos="2160"/>
        </w:tabs>
        <w:contextualSpacing/>
        <w:rPr>
          <w:rFonts w:ascii="Times New Roman" w:hAnsi="Times New Roman"/>
          <w:noProof w:val="0"/>
          <w:sz w:val="24"/>
          <w:szCs w:val="24"/>
        </w:rPr>
      </w:pPr>
      <w:r w:rsidRPr="000550C7">
        <w:rPr>
          <w:rFonts w:ascii="Times New Roman" w:hAnsi="Times New Roman"/>
          <w:noProof w:val="0"/>
          <w:sz w:val="24"/>
          <w:szCs w:val="24"/>
        </w:rPr>
        <w:t>DEA will not publish the results of the information collected</w:t>
      </w:r>
      <w:r w:rsidRPr="000550C7" w:rsidR="000C1537">
        <w:rPr>
          <w:rFonts w:ascii="Times New Roman" w:hAnsi="Times New Roman"/>
          <w:noProof w:val="0"/>
          <w:sz w:val="24"/>
          <w:szCs w:val="24"/>
        </w:rPr>
        <w:t>.</w:t>
      </w:r>
    </w:p>
    <w:p w:rsidRPr="000550C7" w:rsidR="00695627" w:rsidP="000550C7" w:rsidRDefault="00695627" w14:paraId="4C7E5693" w14:textId="77777777">
      <w:pPr>
        <w:tabs>
          <w:tab w:val="left" w:pos="720"/>
        </w:tabs>
        <w:contextualSpacing/>
        <w:jc w:val="both"/>
        <w:rPr>
          <w:rFonts w:ascii="Times New Roman" w:hAnsi="Times New Roman"/>
          <w:noProof w:val="0"/>
          <w:sz w:val="24"/>
          <w:szCs w:val="24"/>
        </w:rPr>
      </w:pPr>
    </w:p>
    <w:p w:rsidRPr="000550C7" w:rsidR="000C1537" w:rsidP="000550C7" w:rsidRDefault="000C1537" w14:paraId="25CC2370" w14:textId="77777777">
      <w:pPr>
        <w:tabs>
          <w:tab w:val="left" w:pos="720"/>
        </w:tabs>
        <w:contextualSpacing/>
        <w:jc w:val="both"/>
        <w:rPr>
          <w:rFonts w:ascii="Times New Roman" w:hAnsi="Times New Roman"/>
          <w:noProof w:val="0"/>
          <w:sz w:val="24"/>
          <w:szCs w:val="24"/>
        </w:rPr>
      </w:pPr>
      <w:r w:rsidRPr="000550C7">
        <w:rPr>
          <w:rFonts w:ascii="Times New Roman" w:hAnsi="Times New Roman"/>
          <w:noProof w:val="0"/>
          <w:sz w:val="24"/>
          <w:szCs w:val="24"/>
        </w:rPr>
        <w:t xml:space="preserve">17. </w:t>
      </w:r>
      <w:r w:rsidRPr="000550C7" w:rsidR="00090C0E">
        <w:rPr>
          <w:rFonts w:ascii="Times New Roman" w:hAnsi="Times New Roman"/>
          <w:noProof w:val="0"/>
          <w:sz w:val="24"/>
          <w:szCs w:val="24"/>
        </w:rPr>
        <w:t xml:space="preserve"> </w:t>
      </w:r>
      <w:r w:rsidRPr="000550C7">
        <w:rPr>
          <w:rFonts w:ascii="Times New Roman" w:hAnsi="Times New Roman"/>
          <w:noProof w:val="0"/>
          <w:sz w:val="24"/>
          <w:szCs w:val="24"/>
          <w:u w:val="single"/>
        </w:rPr>
        <w:t>Expiration Date Approval:</w:t>
      </w:r>
    </w:p>
    <w:p w:rsidRPr="000550C7" w:rsidR="001A64B0" w:rsidP="000550C7" w:rsidRDefault="001A64B0" w14:paraId="237857F5" w14:textId="77777777">
      <w:pPr>
        <w:tabs>
          <w:tab w:val="left" w:pos="720"/>
        </w:tabs>
        <w:contextualSpacing/>
        <w:jc w:val="both"/>
        <w:rPr>
          <w:rFonts w:ascii="Times New Roman" w:hAnsi="Times New Roman"/>
          <w:noProof w:val="0"/>
          <w:sz w:val="24"/>
          <w:szCs w:val="24"/>
        </w:rPr>
      </w:pPr>
    </w:p>
    <w:p w:rsidRPr="00043464" w:rsidR="00504512" w:rsidP="004B077C" w:rsidRDefault="00504512" w14:paraId="6370E739" w14:textId="14DE1A91">
      <w:pPr>
        <w:tabs>
          <w:tab w:val="left" w:pos="0"/>
          <w:tab w:val="left" w:pos="450"/>
        </w:tabs>
        <w:ind w:firstLine="360"/>
        <w:contextualSpacing/>
        <w:rPr>
          <w:rFonts w:ascii="Times New Roman" w:hAnsi="Times New Roman"/>
          <w:noProof w:val="0"/>
          <w:sz w:val="24"/>
          <w:szCs w:val="24"/>
        </w:rPr>
      </w:pPr>
      <w:r w:rsidRPr="00043464">
        <w:rPr>
          <w:rFonts w:ascii="Times New Roman" w:hAnsi="Times New Roman"/>
          <w:noProof w:val="0"/>
          <w:sz w:val="24"/>
          <w:szCs w:val="24"/>
        </w:rPr>
        <w:t>DEA is not seeking approval not to display the expiration date for OMB approval of this information collection.</w:t>
      </w:r>
    </w:p>
    <w:p w:rsidR="00072531" w:rsidP="000550C7" w:rsidRDefault="00504512" w14:paraId="6C5DD32A" w14:textId="4CF4670A">
      <w:pPr>
        <w:contextualSpacing/>
        <w:rPr>
          <w:rFonts w:ascii="Times New Roman" w:hAnsi="Times New Roman"/>
          <w:noProof w:val="0"/>
          <w:sz w:val="24"/>
        </w:rPr>
      </w:pPr>
      <w:r w:rsidRPr="00C27E82">
        <w:rPr>
          <w:rFonts w:ascii="Times New Roman" w:hAnsi="Times New Roman"/>
          <w:b/>
          <w:noProof w:val="0"/>
          <w:sz w:val="24"/>
        </w:rPr>
        <w:t xml:space="preserve"> </w:t>
      </w:r>
    </w:p>
    <w:p w:rsidR="000C1537" w:rsidP="000550C7" w:rsidRDefault="000C1537" w14:paraId="667ADEFA" w14:textId="77777777">
      <w:pPr>
        <w:tabs>
          <w:tab w:val="left" w:pos="720"/>
          <w:tab w:val="left" w:pos="1440"/>
          <w:tab w:val="left" w:pos="2160"/>
        </w:tabs>
        <w:contextualSpacing/>
        <w:jc w:val="both"/>
        <w:rPr>
          <w:rFonts w:ascii="Times New Roman" w:hAnsi="Times New Roman"/>
          <w:noProof w:val="0"/>
          <w:sz w:val="24"/>
        </w:rPr>
      </w:pPr>
      <w:r>
        <w:rPr>
          <w:rFonts w:ascii="Times New Roman" w:hAnsi="Times New Roman"/>
          <w:noProof w:val="0"/>
          <w:sz w:val="24"/>
        </w:rPr>
        <w:t xml:space="preserve">18. </w:t>
      </w:r>
      <w:r w:rsidR="00090C0E">
        <w:rPr>
          <w:rFonts w:ascii="Times New Roman" w:hAnsi="Times New Roman"/>
          <w:noProof w:val="0"/>
          <w:sz w:val="24"/>
        </w:rPr>
        <w:t xml:space="preserve"> </w:t>
      </w:r>
      <w:r w:rsidRPr="00B051D2">
        <w:rPr>
          <w:rFonts w:ascii="Times New Roman" w:hAnsi="Times New Roman"/>
          <w:noProof w:val="0"/>
          <w:sz w:val="24"/>
          <w:u w:val="single"/>
        </w:rPr>
        <w:t>Exceptions to the Certification Statement:</w:t>
      </w:r>
    </w:p>
    <w:p w:rsidR="001A64B0" w:rsidP="000550C7" w:rsidRDefault="001A64B0" w14:paraId="12C90C3E" w14:textId="77777777">
      <w:pPr>
        <w:tabs>
          <w:tab w:val="left" w:pos="720"/>
          <w:tab w:val="left" w:pos="1440"/>
          <w:tab w:val="left" w:pos="2160"/>
        </w:tabs>
        <w:contextualSpacing/>
        <w:jc w:val="both"/>
        <w:rPr>
          <w:rFonts w:ascii="Times New Roman" w:hAnsi="Times New Roman"/>
          <w:noProof w:val="0"/>
          <w:sz w:val="24"/>
        </w:rPr>
      </w:pPr>
    </w:p>
    <w:p w:rsidR="00CE3759" w:rsidP="004B077C" w:rsidRDefault="00B051D2" w14:paraId="45E75DD2" w14:textId="15473846">
      <w:pPr>
        <w:ind w:firstLine="360"/>
        <w:contextualSpacing/>
        <w:rPr>
          <w:rFonts w:ascii="Times New Roman" w:hAnsi="Times New Roman"/>
          <w:b/>
          <w:sz w:val="24"/>
          <w:szCs w:val="24"/>
        </w:rPr>
      </w:pPr>
      <w:r>
        <w:rPr>
          <w:rFonts w:ascii="Times New Roman" w:hAnsi="Times New Roman"/>
          <w:noProof w:val="0"/>
          <w:sz w:val="24"/>
        </w:rPr>
        <w:t xml:space="preserve">DEA is not seeking an exception to the certification statement “Certification for Paperwork Reduction Act Submissions” for this collection of information.  </w:t>
      </w:r>
    </w:p>
    <w:p w:rsidR="00CE3759" w:rsidP="000550C7" w:rsidRDefault="00CE3759" w14:paraId="58071D13" w14:textId="77777777">
      <w:pPr>
        <w:contextualSpacing/>
        <w:rPr>
          <w:rFonts w:ascii="Times New Roman" w:hAnsi="Times New Roman"/>
          <w:b/>
          <w:sz w:val="24"/>
          <w:szCs w:val="24"/>
        </w:rPr>
      </w:pPr>
    </w:p>
    <w:p w:rsidRPr="00B051D2" w:rsidR="000C1537" w:rsidP="000550C7" w:rsidRDefault="000C1537" w14:paraId="23F34F4D" w14:textId="77777777">
      <w:pPr>
        <w:contextualSpacing/>
        <w:rPr>
          <w:rFonts w:ascii="Times New Roman" w:hAnsi="Times New Roman"/>
          <w:b/>
          <w:sz w:val="24"/>
          <w:szCs w:val="24"/>
        </w:rPr>
      </w:pPr>
      <w:r w:rsidRPr="00B051D2">
        <w:rPr>
          <w:rFonts w:ascii="Times New Roman" w:hAnsi="Times New Roman"/>
          <w:b/>
          <w:sz w:val="24"/>
          <w:szCs w:val="24"/>
        </w:rPr>
        <w:t>Part B. Statistical Methods</w:t>
      </w:r>
    </w:p>
    <w:p w:rsidRPr="000C1537" w:rsidR="001A64B0" w:rsidP="000550C7" w:rsidRDefault="001A64B0" w14:paraId="4835F7F1" w14:textId="77777777">
      <w:pPr>
        <w:contextualSpacing/>
        <w:rPr>
          <w:rFonts w:ascii="Times New Roman" w:hAnsi="Times New Roman"/>
          <w:sz w:val="24"/>
          <w:szCs w:val="24"/>
        </w:rPr>
      </w:pPr>
    </w:p>
    <w:p w:rsidRPr="000C1537" w:rsidR="000C1537" w:rsidP="004B077C" w:rsidRDefault="00043464" w14:paraId="5975B084" w14:textId="6DEBF51B">
      <w:pPr>
        <w:ind w:firstLine="360"/>
        <w:contextualSpacing/>
        <w:rPr>
          <w:rFonts w:ascii="Times New Roman" w:hAnsi="Times New Roman"/>
          <w:sz w:val="24"/>
          <w:szCs w:val="24"/>
        </w:rPr>
      </w:pPr>
      <w:r>
        <w:rPr>
          <w:rFonts w:ascii="Times New Roman" w:hAnsi="Times New Roman"/>
          <w:sz w:val="24"/>
          <w:szCs w:val="24"/>
        </w:rPr>
        <w:t>D</w:t>
      </w:r>
      <w:r w:rsidR="00B35B59">
        <w:rPr>
          <w:rFonts w:ascii="Times New Roman" w:hAnsi="Times New Roman"/>
          <w:sz w:val="24"/>
          <w:szCs w:val="24"/>
        </w:rPr>
        <w:t>EA will not be</w:t>
      </w:r>
      <w:r w:rsidRPr="000C1537" w:rsidR="00B35B59">
        <w:rPr>
          <w:rFonts w:ascii="Times New Roman" w:hAnsi="Times New Roman"/>
          <w:sz w:val="24"/>
          <w:szCs w:val="24"/>
        </w:rPr>
        <w:t xml:space="preserve"> </w:t>
      </w:r>
      <w:r w:rsidRPr="000C1537" w:rsidR="000C1537">
        <w:rPr>
          <w:rFonts w:ascii="Times New Roman" w:hAnsi="Times New Roman"/>
          <w:sz w:val="24"/>
          <w:szCs w:val="24"/>
        </w:rPr>
        <w:t>employ</w:t>
      </w:r>
      <w:r w:rsidR="00B35B59">
        <w:rPr>
          <w:rFonts w:ascii="Times New Roman" w:hAnsi="Times New Roman"/>
          <w:sz w:val="24"/>
          <w:szCs w:val="24"/>
        </w:rPr>
        <w:t>ing</w:t>
      </w:r>
      <w:r w:rsidRPr="000C1537" w:rsidR="000C1537">
        <w:rPr>
          <w:rFonts w:ascii="Times New Roman" w:hAnsi="Times New Roman"/>
          <w:sz w:val="24"/>
          <w:szCs w:val="24"/>
        </w:rPr>
        <w:t xml:space="preserve"> statistical methods in this information collection.</w:t>
      </w:r>
    </w:p>
    <w:sectPr w:rsidRPr="000C1537" w:rsidR="000C1537" w:rsidSect="001576A9">
      <w:headerReference w:type="default" r:id="rId11"/>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6043B" w14:textId="77777777" w:rsidR="00204598" w:rsidRDefault="00204598">
      <w:r>
        <w:separator/>
      </w:r>
    </w:p>
  </w:endnote>
  <w:endnote w:type="continuationSeparator" w:id="0">
    <w:p w14:paraId="6A9A7679" w14:textId="77777777" w:rsidR="00204598" w:rsidRDefault="00204598">
      <w:r>
        <w:continuationSeparator/>
      </w:r>
    </w:p>
  </w:endnote>
  <w:endnote w:type="continuationNotice" w:id="1">
    <w:p w14:paraId="585D72E3" w14:textId="77777777" w:rsidR="0002793F" w:rsidRDefault="00027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142312181"/>
      <w:docPartObj>
        <w:docPartGallery w:val="Page Numbers (Bottom of Page)"/>
        <w:docPartUnique/>
      </w:docPartObj>
    </w:sdtPr>
    <w:sdtEndPr>
      <w:rPr>
        <w:noProof/>
      </w:rPr>
    </w:sdtEndPr>
    <w:sdtContent>
      <w:p w14:paraId="6D66A05C" w14:textId="00BF8888" w:rsidR="00572EEB" w:rsidRDefault="00572EEB">
        <w:pPr>
          <w:pStyle w:val="Footer"/>
          <w:jc w:val="center"/>
        </w:pPr>
        <w:r>
          <w:rPr>
            <w:noProof w:val="0"/>
          </w:rPr>
          <w:fldChar w:fldCharType="begin"/>
        </w:r>
        <w:r>
          <w:instrText xml:space="preserve"> PAGE   \* MERGEFORMAT </w:instrText>
        </w:r>
        <w:r>
          <w:rPr>
            <w:noProof w:val="0"/>
          </w:rPr>
          <w:fldChar w:fldCharType="separate"/>
        </w:r>
        <w:r w:rsidR="00EA4EC1">
          <w:t>5</w:t>
        </w:r>
        <w:r>
          <w:fldChar w:fldCharType="end"/>
        </w:r>
      </w:p>
    </w:sdtContent>
  </w:sdt>
  <w:p w14:paraId="1522CE6E" w14:textId="77777777" w:rsidR="00572EEB" w:rsidRDefault="00572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D3280" w14:textId="77777777" w:rsidR="00204598" w:rsidRDefault="00204598">
      <w:r>
        <w:separator/>
      </w:r>
    </w:p>
  </w:footnote>
  <w:footnote w:type="continuationSeparator" w:id="0">
    <w:p w14:paraId="33B1DAEF" w14:textId="77777777" w:rsidR="00204598" w:rsidRDefault="00204598">
      <w:r>
        <w:continuationSeparator/>
      </w:r>
    </w:p>
  </w:footnote>
  <w:footnote w:type="continuationNotice" w:id="1">
    <w:p w14:paraId="3F475BB3" w14:textId="77777777" w:rsidR="0002793F" w:rsidRDefault="0002793F"/>
  </w:footnote>
  <w:footnote w:id="2">
    <w:p w14:paraId="680B1245" w14:textId="39AEC911" w:rsidR="00040C64" w:rsidRDefault="00040C64" w:rsidP="00040C64">
      <w:pPr>
        <w:pStyle w:val="FootnoteText"/>
      </w:pPr>
      <w:r w:rsidRPr="00D34495">
        <w:rPr>
          <w:rStyle w:val="FootnoteReference"/>
          <w:rFonts w:ascii="Times New Roman" w:hAnsi="Times New Roman"/>
          <w:vertAlign w:val="superscript"/>
        </w:rPr>
        <w:footnoteRef/>
      </w:r>
      <w:r w:rsidRPr="00D34495">
        <w:rPr>
          <w:rFonts w:ascii="Times New Roman" w:hAnsi="Times New Roman"/>
        </w:rPr>
        <w:t xml:space="preserve"> </w:t>
      </w:r>
      <w:r w:rsidR="002039F4">
        <w:rPr>
          <w:rFonts w:ascii="Times New Roman" w:hAnsi="Times New Roman"/>
        </w:rPr>
        <w:t xml:space="preserve">Used average </w:t>
      </w:r>
      <w:r w:rsidR="001B509D">
        <w:rPr>
          <w:rFonts w:ascii="Times New Roman" w:hAnsi="Times New Roman"/>
        </w:rPr>
        <w:t xml:space="preserve">of </w:t>
      </w:r>
      <w:r w:rsidR="002039F4">
        <w:rPr>
          <w:rFonts w:ascii="Times New Roman" w:hAnsi="Times New Roman"/>
        </w:rPr>
        <w:t>median hourly wage</w:t>
      </w:r>
      <w:r w:rsidR="001B509D">
        <w:rPr>
          <w:rFonts w:ascii="Times New Roman" w:hAnsi="Times New Roman"/>
        </w:rPr>
        <w:t>s</w:t>
      </w:r>
      <w:r w:rsidR="002039F4">
        <w:rPr>
          <w:rFonts w:ascii="Times New Roman" w:hAnsi="Times New Roman"/>
        </w:rPr>
        <w:t xml:space="preserve"> </w:t>
      </w:r>
      <w:r w:rsidR="001B509D">
        <w:rPr>
          <w:rFonts w:ascii="Times New Roman" w:hAnsi="Times New Roman"/>
        </w:rPr>
        <w:t>for</w:t>
      </w:r>
      <w:r w:rsidR="002039F4">
        <w:rPr>
          <w:rFonts w:ascii="Times New Roman" w:hAnsi="Times New Roman"/>
        </w:rPr>
        <w:t xml:space="preserve"> 29-1051 Pharmacists to represent </w:t>
      </w:r>
      <w:r w:rsidR="00E66732">
        <w:rPr>
          <w:rFonts w:ascii="Times New Roman" w:hAnsi="Times New Roman"/>
        </w:rPr>
        <w:t>the occupation of the responding person</w:t>
      </w:r>
      <w:r w:rsidR="002039F4">
        <w:rPr>
          <w:rFonts w:ascii="Times New Roman" w:hAnsi="Times New Roman"/>
        </w:rPr>
        <w:t xml:space="preserve">.  </w:t>
      </w:r>
      <w:r w:rsidR="00E66732">
        <w:rPr>
          <w:rFonts w:ascii="Times New Roman" w:hAnsi="Times New Roman"/>
        </w:rPr>
        <w:t>Bureau of Labor Statistics (</w:t>
      </w:r>
      <w:r w:rsidR="00E66732" w:rsidDel="00E10275">
        <w:rPr>
          <w:rFonts w:ascii="Times New Roman" w:hAnsi="Times New Roman"/>
        </w:rPr>
        <w:t>B</w:t>
      </w:r>
      <w:r w:rsidR="00E66732" w:rsidRPr="00575151" w:rsidDel="00E10275">
        <w:rPr>
          <w:rFonts w:ascii="Times New Roman" w:hAnsi="Times New Roman"/>
        </w:rPr>
        <w:t>LS</w:t>
      </w:r>
      <w:r w:rsidR="00E66732">
        <w:rPr>
          <w:rFonts w:ascii="Times New Roman" w:hAnsi="Times New Roman"/>
        </w:rPr>
        <w:t>)</w:t>
      </w:r>
      <w:r w:rsidR="00E66732" w:rsidRPr="00575151" w:rsidDel="00E10275">
        <w:rPr>
          <w:rFonts w:ascii="Times New Roman" w:hAnsi="Times New Roman"/>
        </w:rPr>
        <w:t xml:space="preserve">, May 2019 National Occupational Employment and Wage Estimates United States. </w:t>
      </w:r>
      <w:r w:rsidR="00EA4EC1">
        <w:rPr>
          <w:rFonts w:ascii="Times New Roman" w:hAnsi="Times New Roman"/>
        </w:rPr>
        <w:t xml:space="preserve"> </w:t>
      </w:r>
      <w:r w:rsidR="00E66732" w:rsidRPr="00AE5C27" w:rsidDel="00E10275">
        <w:rPr>
          <w:rFonts w:ascii="Times New Roman" w:hAnsi="Times New Roman"/>
        </w:rPr>
        <w:t>http://www.bls.gov/oes/current/oes_nat.htm</w:t>
      </w:r>
    </w:p>
  </w:footnote>
  <w:footnote w:id="3">
    <w:p w14:paraId="0BC8C71F" w14:textId="47470934" w:rsidR="00040C64" w:rsidRDefault="00040C64" w:rsidP="00040C64">
      <w:pPr>
        <w:pStyle w:val="FootnoteText"/>
      </w:pPr>
      <w:r w:rsidRPr="007B3740">
        <w:rPr>
          <w:rStyle w:val="FootnoteReference"/>
          <w:rFonts w:ascii="Times New Roman" w:hAnsi="Times New Roman"/>
          <w:vertAlign w:val="superscript"/>
        </w:rPr>
        <w:footnoteRef/>
      </w:r>
      <w:r w:rsidRPr="007B3740">
        <w:rPr>
          <w:rFonts w:ascii="Times New Roman" w:hAnsi="Times New Roman"/>
        </w:rPr>
        <w:t xml:space="preserve"> </w:t>
      </w:r>
      <w:r w:rsidR="00E66732" w:rsidDel="00E10275">
        <w:rPr>
          <w:rFonts w:ascii="Times New Roman" w:hAnsi="Times New Roman"/>
        </w:rPr>
        <w:t>BLS</w:t>
      </w:r>
      <w:r w:rsidR="00E66732" w:rsidRPr="00575151" w:rsidDel="00E10275">
        <w:rPr>
          <w:rFonts w:ascii="Times New Roman" w:hAnsi="Times New Roman"/>
        </w:rPr>
        <w:t xml:space="preserve">, “Employer Costs for Employee Compensation </w:t>
      </w:r>
      <w:r w:rsidR="00E66732" w:rsidRPr="00A00E85" w:rsidDel="00E10275">
        <w:rPr>
          <w:rFonts w:ascii="Times New Roman" w:hAnsi="Times New Roman"/>
        </w:rPr>
        <w:t>– September</w:t>
      </w:r>
      <w:r w:rsidR="00E66732" w:rsidDel="00E10275">
        <w:rPr>
          <w:rFonts w:ascii="Times New Roman" w:hAnsi="Times New Roman"/>
        </w:rPr>
        <w:t xml:space="preserve"> 2020</w:t>
      </w:r>
      <w:r w:rsidR="00E66732" w:rsidRPr="00575151" w:rsidDel="00E10275">
        <w:rPr>
          <w:rFonts w:ascii="Times New Roman" w:hAnsi="Times New Roman"/>
        </w:rPr>
        <w:t>” (ECEC)</w:t>
      </w:r>
      <w:r w:rsidR="00E66732" w:rsidDel="00E10275">
        <w:rPr>
          <w:rFonts w:ascii="Times New Roman" w:hAnsi="Times New Roman"/>
        </w:rPr>
        <w:t>.</w:t>
      </w:r>
      <w:r w:rsidR="00E66732" w:rsidRPr="007B3740" w:rsidDel="00E66732">
        <w:rPr>
          <w:rFonts w:ascii="Times New Roman" w:hAnsi="Times New Roman"/>
        </w:rPr>
        <w:t xml:space="preserve"> </w:t>
      </w:r>
      <w:r w:rsidR="00E66732">
        <w:rPr>
          <w:rFonts w:ascii="Times New Roman" w:hAnsi="Times New Roman"/>
        </w:rPr>
        <w:t xml:space="preserve"> The </w:t>
      </w:r>
      <w:r>
        <w:rPr>
          <w:rFonts w:ascii="Times New Roman" w:hAnsi="Times New Roman"/>
        </w:rPr>
        <w:t xml:space="preserve">ECEC </w:t>
      </w:r>
      <w:r w:rsidRPr="007B3740">
        <w:rPr>
          <w:rFonts w:ascii="Times New Roman" w:hAnsi="Times New Roman"/>
        </w:rPr>
        <w:t xml:space="preserve">reports that </w:t>
      </w:r>
      <w:r>
        <w:rPr>
          <w:rFonts w:ascii="Times New Roman" w:hAnsi="Times New Roman"/>
        </w:rPr>
        <w:t xml:space="preserve">average </w:t>
      </w:r>
      <w:r w:rsidRPr="007B3740">
        <w:rPr>
          <w:rFonts w:ascii="Times New Roman" w:hAnsi="Times New Roman"/>
        </w:rPr>
        <w:t>benef</w:t>
      </w:r>
      <w:r>
        <w:rPr>
          <w:rFonts w:ascii="Times New Roman" w:hAnsi="Times New Roman"/>
        </w:rPr>
        <w:t>its for private industry is 30.</w:t>
      </w:r>
      <w:r w:rsidR="008333E1">
        <w:rPr>
          <w:rFonts w:ascii="Times New Roman" w:hAnsi="Times New Roman"/>
        </w:rPr>
        <w:t>3</w:t>
      </w:r>
      <w:r w:rsidRPr="007B3740">
        <w:rPr>
          <w:rFonts w:ascii="Times New Roman" w:hAnsi="Times New Roman"/>
        </w:rPr>
        <w:t xml:space="preserve">% </w:t>
      </w:r>
      <w:r>
        <w:rPr>
          <w:rFonts w:ascii="Times New Roman" w:hAnsi="Times New Roman"/>
        </w:rPr>
        <w:t>of total compensation.  The 30.</w:t>
      </w:r>
      <w:r w:rsidR="00E66732">
        <w:rPr>
          <w:rFonts w:ascii="Times New Roman" w:hAnsi="Times New Roman"/>
        </w:rPr>
        <w:t>0</w:t>
      </w:r>
      <w:r w:rsidRPr="007B3740">
        <w:rPr>
          <w:rFonts w:ascii="Times New Roman" w:hAnsi="Times New Roman"/>
        </w:rPr>
        <w:t>% of total com</w:t>
      </w:r>
      <w:r>
        <w:rPr>
          <w:rFonts w:ascii="Times New Roman" w:hAnsi="Times New Roman"/>
        </w:rPr>
        <w:t xml:space="preserve">pensation equates to </w:t>
      </w:r>
      <w:r w:rsidR="00E66732">
        <w:rPr>
          <w:rFonts w:ascii="Times New Roman" w:hAnsi="Times New Roman"/>
        </w:rPr>
        <w:t>42.9</w:t>
      </w:r>
      <w:r>
        <w:rPr>
          <w:rFonts w:ascii="Times New Roman" w:hAnsi="Times New Roman"/>
        </w:rPr>
        <w:t>% (30.</w:t>
      </w:r>
      <w:r w:rsidR="00E66732">
        <w:rPr>
          <w:rFonts w:ascii="Times New Roman" w:hAnsi="Times New Roman"/>
        </w:rPr>
        <w:t>0</w:t>
      </w:r>
      <w:r>
        <w:rPr>
          <w:rFonts w:ascii="Times New Roman" w:hAnsi="Times New Roman"/>
        </w:rPr>
        <w:t xml:space="preserve">% / </w:t>
      </w:r>
      <w:r w:rsidR="00E66732">
        <w:rPr>
          <w:rFonts w:ascii="Times New Roman" w:hAnsi="Times New Roman"/>
        </w:rPr>
        <w:t>70.0</w:t>
      </w:r>
      <w:r w:rsidRPr="007B3740">
        <w:rPr>
          <w:rFonts w:ascii="Times New Roman" w:hAnsi="Times New Roman"/>
        </w:rPr>
        <w:t>%) load on wages and salaries.</w:t>
      </w:r>
    </w:p>
  </w:footnote>
  <w:footnote w:id="4">
    <w:p w14:paraId="308BB2E0" w14:textId="122AF4A7" w:rsidR="00040C64" w:rsidRDefault="00040C64" w:rsidP="00040C64">
      <w:pPr>
        <w:pStyle w:val="FootnoteText"/>
      </w:pPr>
      <w:r w:rsidRPr="007B3740">
        <w:rPr>
          <w:rStyle w:val="FootnoteReference"/>
          <w:rFonts w:ascii="Times New Roman" w:hAnsi="Times New Roman"/>
          <w:vertAlign w:val="superscript"/>
        </w:rPr>
        <w:footnoteRef/>
      </w:r>
      <w:r>
        <w:rPr>
          <w:rFonts w:ascii="Times New Roman" w:hAnsi="Times New Roman"/>
        </w:rPr>
        <w:t xml:space="preserve"> $</w:t>
      </w:r>
      <w:r w:rsidR="00E66732">
        <w:rPr>
          <w:rFonts w:ascii="Times New Roman" w:hAnsi="Times New Roman"/>
        </w:rPr>
        <w:t>61.58</w:t>
      </w:r>
      <w:r>
        <w:rPr>
          <w:rFonts w:ascii="Times New Roman" w:hAnsi="Times New Roman"/>
        </w:rPr>
        <w:t xml:space="preserve"> x (1 + 0.</w:t>
      </w:r>
      <w:r w:rsidR="00E66732">
        <w:rPr>
          <w:rFonts w:ascii="Times New Roman" w:hAnsi="Times New Roman"/>
        </w:rPr>
        <w:t>429</w:t>
      </w:r>
      <w:r>
        <w:rPr>
          <w:rFonts w:ascii="Times New Roman" w:hAnsi="Times New Roman"/>
        </w:rPr>
        <w:t>) = $</w:t>
      </w:r>
      <w:r w:rsidR="00E66732">
        <w:rPr>
          <w:rFonts w:ascii="Times New Roman" w:hAnsi="Times New Roman"/>
        </w:rPr>
        <w:t>88.00</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18204" w14:textId="77777777" w:rsidR="00572EEB" w:rsidRDefault="00572EEB">
    <w:pPr>
      <w:rPr>
        <w:sz w:val="22"/>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15:restartNumberingAfterBreak="0">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15:restartNumberingAfterBreak="0">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15:restartNumberingAfterBreak="0">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15:restartNumberingAfterBreak="0">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0"/>
  </w:num>
  <w:num w:numId="4">
    <w:abstractNumId w:val="7"/>
  </w:num>
  <w:num w:numId="5">
    <w:abstractNumId w:val="18"/>
  </w:num>
  <w:num w:numId="6">
    <w:abstractNumId w:val="6"/>
  </w:num>
  <w:num w:numId="7">
    <w:abstractNumId w:val="1"/>
  </w:num>
  <w:num w:numId="8">
    <w:abstractNumId w:val="19"/>
  </w:num>
  <w:num w:numId="9">
    <w:abstractNumId w:val="21"/>
  </w:num>
  <w:num w:numId="10">
    <w:abstractNumId w:val="4"/>
  </w:num>
  <w:num w:numId="11">
    <w:abstractNumId w:val="16"/>
  </w:num>
  <w:num w:numId="12">
    <w:abstractNumId w:val="8"/>
  </w:num>
  <w:num w:numId="13">
    <w:abstractNumId w:val="17"/>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AA"/>
    <w:rsid w:val="00001766"/>
    <w:rsid w:val="00003CA9"/>
    <w:rsid w:val="0001166E"/>
    <w:rsid w:val="00014C4D"/>
    <w:rsid w:val="0001747B"/>
    <w:rsid w:val="00024E2B"/>
    <w:rsid w:val="0002793F"/>
    <w:rsid w:val="000307CF"/>
    <w:rsid w:val="00040C64"/>
    <w:rsid w:val="00043464"/>
    <w:rsid w:val="00047F50"/>
    <w:rsid w:val="000550C7"/>
    <w:rsid w:val="00072531"/>
    <w:rsid w:val="00072975"/>
    <w:rsid w:val="000729D4"/>
    <w:rsid w:val="00073D7B"/>
    <w:rsid w:val="00080B50"/>
    <w:rsid w:val="00090C0E"/>
    <w:rsid w:val="00090EEB"/>
    <w:rsid w:val="000936D4"/>
    <w:rsid w:val="0009395B"/>
    <w:rsid w:val="000B05CC"/>
    <w:rsid w:val="000B0778"/>
    <w:rsid w:val="000B2518"/>
    <w:rsid w:val="000B30D6"/>
    <w:rsid w:val="000C1537"/>
    <w:rsid w:val="000C233D"/>
    <w:rsid w:val="000C46D6"/>
    <w:rsid w:val="000C697C"/>
    <w:rsid w:val="000E4A77"/>
    <w:rsid w:val="000E728F"/>
    <w:rsid w:val="0010264F"/>
    <w:rsid w:val="00103A27"/>
    <w:rsid w:val="00106AAC"/>
    <w:rsid w:val="00115747"/>
    <w:rsid w:val="001200DB"/>
    <w:rsid w:val="001275B6"/>
    <w:rsid w:val="00132072"/>
    <w:rsid w:val="0013751E"/>
    <w:rsid w:val="00146805"/>
    <w:rsid w:val="001576A9"/>
    <w:rsid w:val="00160BA0"/>
    <w:rsid w:val="001610B9"/>
    <w:rsid w:val="00181D95"/>
    <w:rsid w:val="00187730"/>
    <w:rsid w:val="001945E3"/>
    <w:rsid w:val="001948C7"/>
    <w:rsid w:val="001A64B0"/>
    <w:rsid w:val="001A6B52"/>
    <w:rsid w:val="001A7C2B"/>
    <w:rsid w:val="001B3C46"/>
    <w:rsid w:val="001B4940"/>
    <w:rsid w:val="001B509D"/>
    <w:rsid w:val="001B6D6B"/>
    <w:rsid w:val="001C0567"/>
    <w:rsid w:val="001C1292"/>
    <w:rsid w:val="001C47F6"/>
    <w:rsid w:val="001C7DE4"/>
    <w:rsid w:val="001D0C8C"/>
    <w:rsid w:val="001D593B"/>
    <w:rsid w:val="001D70F6"/>
    <w:rsid w:val="001E1407"/>
    <w:rsid w:val="001E3A04"/>
    <w:rsid w:val="001E6B15"/>
    <w:rsid w:val="001E72F7"/>
    <w:rsid w:val="001F24F2"/>
    <w:rsid w:val="001F31A3"/>
    <w:rsid w:val="001F328F"/>
    <w:rsid w:val="0020105A"/>
    <w:rsid w:val="00202FD8"/>
    <w:rsid w:val="002039F4"/>
    <w:rsid w:val="00204598"/>
    <w:rsid w:val="00204F60"/>
    <w:rsid w:val="002061BE"/>
    <w:rsid w:val="00213992"/>
    <w:rsid w:val="00221401"/>
    <w:rsid w:val="002364CB"/>
    <w:rsid w:val="0023781B"/>
    <w:rsid w:val="00253917"/>
    <w:rsid w:val="00254B07"/>
    <w:rsid w:val="00256291"/>
    <w:rsid w:val="00264BA6"/>
    <w:rsid w:val="00266EDA"/>
    <w:rsid w:val="00267D10"/>
    <w:rsid w:val="0027229C"/>
    <w:rsid w:val="002727CA"/>
    <w:rsid w:val="0028737B"/>
    <w:rsid w:val="00287834"/>
    <w:rsid w:val="002939D5"/>
    <w:rsid w:val="00295D62"/>
    <w:rsid w:val="00296FD9"/>
    <w:rsid w:val="002A5027"/>
    <w:rsid w:val="002A785B"/>
    <w:rsid w:val="002C5672"/>
    <w:rsid w:val="002D03DF"/>
    <w:rsid w:val="002D08DA"/>
    <w:rsid w:val="002D2CA4"/>
    <w:rsid w:val="002D7617"/>
    <w:rsid w:val="002E1925"/>
    <w:rsid w:val="002E364E"/>
    <w:rsid w:val="002E3BAD"/>
    <w:rsid w:val="002E4B64"/>
    <w:rsid w:val="002F0759"/>
    <w:rsid w:val="003045D7"/>
    <w:rsid w:val="00310BF5"/>
    <w:rsid w:val="00317FEB"/>
    <w:rsid w:val="003238E0"/>
    <w:rsid w:val="00331303"/>
    <w:rsid w:val="003323BE"/>
    <w:rsid w:val="00335B7D"/>
    <w:rsid w:val="00340835"/>
    <w:rsid w:val="003415E1"/>
    <w:rsid w:val="00347A3F"/>
    <w:rsid w:val="00355983"/>
    <w:rsid w:val="0035613D"/>
    <w:rsid w:val="00356C68"/>
    <w:rsid w:val="003632C4"/>
    <w:rsid w:val="00363E37"/>
    <w:rsid w:val="003744B7"/>
    <w:rsid w:val="00381749"/>
    <w:rsid w:val="003853E3"/>
    <w:rsid w:val="003865AE"/>
    <w:rsid w:val="00393556"/>
    <w:rsid w:val="00397627"/>
    <w:rsid w:val="003A0729"/>
    <w:rsid w:val="003A2653"/>
    <w:rsid w:val="003A47A0"/>
    <w:rsid w:val="003A75B2"/>
    <w:rsid w:val="003B1894"/>
    <w:rsid w:val="003B462C"/>
    <w:rsid w:val="003B51FF"/>
    <w:rsid w:val="003B565A"/>
    <w:rsid w:val="003B5B37"/>
    <w:rsid w:val="003C6B62"/>
    <w:rsid w:val="003C7787"/>
    <w:rsid w:val="003D62DF"/>
    <w:rsid w:val="003E19B7"/>
    <w:rsid w:val="003E411E"/>
    <w:rsid w:val="003E759F"/>
    <w:rsid w:val="00403678"/>
    <w:rsid w:val="00406E88"/>
    <w:rsid w:val="00412512"/>
    <w:rsid w:val="00417CC2"/>
    <w:rsid w:val="004202AA"/>
    <w:rsid w:val="00436B13"/>
    <w:rsid w:val="004374B0"/>
    <w:rsid w:val="00441C24"/>
    <w:rsid w:val="004457EC"/>
    <w:rsid w:val="00447D09"/>
    <w:rsid w:val="00451D6C"/>
    <w:rsid w:val="004523E4"/>
    <w:rsid w:val="004547B8"/>
    <w:rsid w:val="00457043"/>
    <w:rsid w:val="00460751"/>
    <w:rsid w:val="00467313"/>
    <w:rsid w:val="004679E7"/>
    <w:rsid w:val="00473372"/>
    <w:rsid w:val="00480BEE"/>
    <w:rsid w:val="00484015"/>
    <w:rsid w:val="00485B3F"/>
    <w:rsid w:val="004878FE"/>
    <w:rsid w:val="004965E6"/>
    <w:rsid w:val="004A0B75"/>
    <w:rsid w:val="004A1D5E"/>
    <w:rsid w:val="004A6D84"/>
    <w:rsid w:val="004B077C"/>
    <w:rsid w:val="004B6259"/>
    <w:rsid w:val="004C089F"/>
    <w:rsid w:val="004C31A0"/>
    <w:rsid w:val="004C501D"/>
    <w:rsid w:val="004C57AA"/>
    <w:rsid w:val="004D68DA"/>
    <w:rsid w:val="004D7C03"/>
    <w:rsid w:val="004E5AD0"/>
    <w:rsid w:val="004E7783"/>
    <w:rsid w:val="004F2230"/>
    <w:rsid w:val="004F5024"/>
    <w:rsid w:val="00501458"/>
    <w:rsid w:val="00503848"/>
    <w:rsid w:val="00504512"/>
    <w:rsid w:val="00512671"/>
    <w:rsid w:val="00516270"/>
    <w:rsid w:val="00520344"/>
    <w:rsid w:val="00520B1C"/>
    <w:rsid w:val="00530949"/>
    <w:rsid w:val="00531600"/>
    <w:rsid w:val="005322C9"/>
    <w:rsid w:val="0053425E"/>
    <w:rsid w:val="00562D6D"/>
    <w:rsid w:val="00563B33"/>
    <w:rsid w:val="00564F07"/>
    <w:rsid w:val="00572EEB"/>
    <w:rsid w:val="005825C6"/>
    <w:rsid w:val="00583984"/>
    <w:rsid w:val="00584F45"/>
    <w:rsid w:val="0059407C"/>
    <w:rsid w:val="005A0509"/>
    <w:rsid w:val="005A1D74"/>
    <w:rsid w:val="005A4781"/>
    <w:rsid w:val="005C6149"/>
    <w:rsid w:val="005D5AAF"/>
    <w:rsid w:val="005D7A95"/>
    <w:rsid w:val="005E1C3C"/>
    <w:rsid w:val="005E70FF"/>
    <w:rsid w:val="005F45D8"/>
    <w:rsid w:val="00602468"/>
    <w:rsid w:val="00603426"/>
    <w:rsid w:val="00606C77"/>
    <w:rsid w:val="00607165"/>
    <w:rsid w:val="00630832"/>
    <w:rsid w:val="00630964"/>
    <w:rsid w:val="006365D8"/>
    <w:rsid w:val="00640CC3"/>
    <w:rsid w:val="00640EAE"/>
    <w:rsid w:val="00645EBD"/>
    <w:rsid w:val="00647620"/>
    <w:rsid w:val="0065322F"/>
    <w:rsid w:val="00653760"/>
    <w:rsid w:val="00653D0F"/>
    <w:rsid w:val="00655AD9"/>
    <w:rsid w:val="00660C66"/>
    <w:rsid w:val="00662A09"/>
    <w:rsid w:val="00665335"/>
    <w:rsid w:val="00674684"/>
    <w:rsid w:val="00692B39"/>
    <w:rsid w:val="00695627"/>
    <w:rsid w:val="0069717E"/>
    <w:rsid w:val="00697A45"/>
    <w:rsid w:val="00697EC4"/>
    <w:rsid w:val="006A278B"/>
    <w:rsid w:val="006A44AB"/>
    <w:rsid w:val="006A5FAE"/>
    <w:rsid w:val="006A7E04"/>
    <w:rsid w:val="006B1E12"/>
    <w:rsid w:val="006B1E52"/>
    <w:rsid w:val="006B63F1"/>
    <w:rsid w:val="006D3114"/>
    <w:rsid w:val="006D6B26"/>
    <w:rsid w:val="006D6E52"/>
    <w:rsid w:val="006D7F5D"/>
    <w:rsid w:val="006E0755"/>
    <w:rsid w:val="006F5F73"/>
    <w:rsid w:val="0070093C"/>
    <w:rsid w:val="00707072"/>
    <w:rsid w:val="00711DA2"/>
    <w:rsid w:val="00713B1A"/>
    <w:rsid w:val="007164CA"/>
    <w:rsid w:val="0072448E"/>
    <w:rsid w:val="007257A3"/>
    <w:rsid w:val="00727DE4"/>
    <w:rsid w:val="00733CBE"/>
    <w:rsid w:val="007341E2"/>
    <w:rsid w:val="007403FB"/>
    <w:rsid w:val="00743F18"/>
    <w:rsid w:val="0074466F"/>
    <w:rsid w:val="00752FA4"/>
    <w:rsid w:val="00753F1E"/>
    <w:rsid w:val="00760231"/>
    <w:rsid w:val="00762166"/>
    <w:rsid w:val="007706D5"/>
    <w:rsid w:val="00776F7B"/>
    <w:rsid w:val="0078590F"/>
    <w:rsid w:val="0079012C"/>
    <w:rsid w:val="007A0905"/>
    <w:rsid w:val="007A6E5F"/>
    <w:rsid w:val="007B06D5"/>
    <w:rsid w:val="007B0BA3"/>
    <w:rsid w:val="007B20CA"/>
    <w:rsid w:val="007C1A51"/>
    <w:rsid w:val="007C1FFE"/>
    <w:rsid w:val="007C787E"/>
    <w:rsid w:val="007D58E1"/>
    <w:rsid w:val="007D6549"/>
    <w:rsid w:val="007E493D"/>
    <w:rsid w:val="007E4956"/>
    <w:rsid w:val="007F1BC8"/>
    <w:rsid w:val="007F1D5F"/>
    <w:rsid w:val="0080166A"/>
    <w:rsid w:val="00802AF9"/>
    <w:rsid w:val="00803E02"/>
    <w:rsid w:val="00805055"/>
    <w:rsid w:val="0080720C"/>
    <w:rsid w:val="008118F0"/>
    <w:rsid w:val="00813BD7"/>
    <w:rsid w:val="00822772"/>
    <w:rsid w:val="00823529"/>
    <w:rsid w:val="00824714"/>
    <w:rsid w:val="008248A2"/>
    <w:rsid w:val="0082680D"/>
    <w:rsid w:val="00827400"/>
    <w:rsid w:val="00827435"/>
    <w:rsid w:val="008333E1"/>
    <w:rsid w:val="00833B1E"/>
    <w:rsid w:val="00834E3F"/>
    <w:rsid w:val="00837798"/>
    <w:rsid w:val="0084494A"/>
    <w:rsid w:val="008458D9"/>
    <w:rsid w:val="008535D1"/>
    <w:rsid w:val="00860ED2"/>
    <w:rsid w:val="0086467C"/>
    <w:rsid w:val="00867199"/>
    <w:rsid w:val="00875C53"/>
    <w:rsid w:val="00875FE9"/>
    <w:rsid w:val="00882D9D"/>
    <w:rsid w:val="00885594"/>
    <w:rsid w:val="008964A5"/>
    <w:rsid w:val="008970AF"/>
    <w:rsid w:val="008A3424"/>
    <w:rsid w:val="008B12B1"/>
    <w:rsid w:val="008B5B93"/>
    <w:rsid w:val="008B7B24"/>
    <w:rsid w:val="008C00BD"/>
    <w:rsid w:val="008C26E1"/>
    <w:rsid w:val="008C5125"/>
    <w:rsid w:val="008D2D46"/>
    <w:rsid w:val="008E0063"/>
    <w:rsid w:val="008E1B3A"/>
    <w:rsid w:val="008E1FB0"/>
    <w:rsid w:val="008E7B3E"/>
    <w:rsid w:val="008E7D52"/>
    <w:rsid w:val="008F7D40"/>
    <w:rsid w:val="00904E80"/>
    <w:rsid w:val="00905192"/>
    <w:rsid w:val="009105A3"/>
    <w:rsid w:val="00912BEB"/>
    <w:rsid w:val="009151B2"/>
    <w:rsid w:val="009167C4"/>
    <w:rsid w:val="009173BD"/>
    <w:rsid w:val="00921795"/>
    <w:rsid w:val="00922573"/>
    <w:rsid w:val="009356AB"/>
    <w:rsid w:val="00936A27"/>
    <w:rsid w:val="00942B59"/>
    <w:rsid w:val="009523DE"/>
    <w:rsid w:val="00956DC2"/>
    <w:rsid w:val="00970E8B"/>
    <w:rsid w:val="009822CD"/>
    <w:rsid w:val="00982C2B"/>
    <w:rsid w:val="00984D1A"/>
    <w:rsid w:val="00985D10"/>
    <w:rsid w:val="009910FC"/>
    <w:rsid w:val="0099333D"/>
    <w:rsid w:val="009B3EBD"/>
    <w:rsid w:val="009B71F1"/>
    <w:rsid w:val="009C5ECB"/>
    <w:rsid w:val="009C7698"/>
    <w:rsid w:val="009D37E6"/>
    <w:rsid w:val="009D6B26"/>
    <w:rsid w:val="009E10CB"/>
    <w:rsid w:val="009E27BB"/>
    <w:rsid w:val="009E4BFA"/>
    <w:rsid w:val="009E5DAC"/>
    <w:rsid w:val="009F38A1"/>
    <w:rsid w:val="00A00BBC"/>
    <w:rsid w:val="00A03B7A"/>
    <w:rsid w:val="00A07710"/>
    <w:rsid w:val="00A13A11"/>
    <w:rsid w:val="00A32B3D"/>
    <w:rsid w:val="00A338B6"/>
    <w:rsid w:val="00A36638"/>
    <w:rsid w:val="00A421CA"/>
    <w:rsid w:val="00A4256B"/>
    <w:rsid w:val="00A42A92"/>
    <w:rsid w:val="00A43EB9"/>
    <w:rsid w:val="00A5110C"/>
    <w:rsid w:val="00A52C58"/>
    <w:rsid w:val="00A52E4C"/>
    <w:rsid w:val="00A62661"/>
    <w:rsid w:val="00A65D73"/>
    <w:rsid w:val="00A65E30"/>
    <w:rsid w:val="00A71AA6"/>
    <w:rsid w:val="00A808A3"/>
    <w:rsid w:val="00A80C70"/>
    <w:rsid w:val="00A83187"/>
    <w:rsid w:val="00A903BA"/>
    <w:rsid w:val="00AA4671"/>
    <w:rsid w:val="00AA4A98"/>
    <w:rsid w:val="00AA6AD4"/>
    <w:rsid w:val="00AB20A0"/>
    <w:rsid w:val="00AB4176"/>
    <w:rsid w:val="00AB4B8C"/>
    <w:rsid w:val="00AD005D"/>
    <w:rsid w:val="00AD0446"/>
    <w:rsid w:val="00AD6472"/>
    <w:rsid w:val="00AD6D9C"/>
    <w:rsid w:val="00AE52E1"/>
    <w:rsid w:val="00AF2AFA"/>
    <w:rsid w:val="00B02534"/>
    <w:rsid w:val="00B051D2"/>
    <w:rsid w:val="00B07F5C"/>
    <w:rsid w:val="00B17FFB"/>
    <w:rsid w:val="00B200CE"/>
    <w:rsid w:val="00B251B2"/>
    <w:rsid w:val="00B346F1"/>
    <w:rsid w:val="00B35B59"/>
    <w:rsid w:val="00B37310"/>
    <w:rsid w:val="00B40956"/>
    <w:rsid w:val="00B446BC"/>
    <w:rsid w:val="00B50163"/>
    <w:rsid w:val="00B51820"/>
    <w:rsid w:val="00B558D9"/>
    <w:rsid w:val="00B55AE0"/>
    <w:rsid w:val="00B561F4"/>
    <w:rsid w:val="00B577EF"/>
    <w:rsid w:val="00B6707D"/>
    <w:rsid w:val="00B71445"/>
    <w:rsid w:val="00B91C3E"/>
    <w:rsid w:val="00B96EE6"/>
    <w:rsid w:val="00BA2667"/>
    <w:rsid w:val="00BA6FC2"/>
    <w:rsid w:val="00BB1DBD"/>
    <w:rsid w:val="00BB3A79"/>
    <w:rsid w:val="00BC5E35"/>
    <w:rsid w:val="00BC7AA4"/>
    <w:rsid w:val="00BD4078"/>
    <w:rsid w:val="00BD5FE2"/>
    <w:rsid w:val="00BE16A2"/>
    <w:rsid w:val="00BF25A0"/>
    <w:rsid w:val="00BF2C0B"/>
    <w:rsid w:val="00C002A3"/>
    <w:rsid w:val="00C052D7"/>
    <w:rsid w:val="00C11AD3"/>
    <w:rsid w:val="00C20074"/>
    <w:rsid w:val="00C209E3"/>
    <w:rsid w:val="00C21AF9"/>
    <w:rsid w:val="00C2303D"/>
    <w:rsid w:val="00C23E21"/>
    <w:rsid w:val="00C26699"/>
    <w:rsid w:val="00C27E82"/>
    <w:rsid w:val="00C31749"/>
    <w:rsid w:val="00C3623C"/>
    <w:rsid w:val="00C409B9"/>
    <w:rsid w:val="00C41304"/>
    <w:rsid w:val="00C42F38"/>
    <w:rsid w:val="00C44FE6"/>
    <w:rsid w:val="00C462E8"/>
    <w:rsid w:val="00C46DA6"/>
    <w:rsid w:val="00C5178D"/>
    <w:rsid w:val="00C55291"/>
    <w:rsid w:val="00C55954"/>
    <w:rsid w:val="00C61884"/>
    <w:rsid w:val="00C74CAA"/>
    <w:rsid w:val="00C76348"/>
    <w:rsid w:val="00C774F4"/>
    <w:rsid w:val="00C777C7"/>
    <w:rsid w:val="00C84076"/>
    <w:rsid w:val="00C84F6F"/>
    <w:rsid w:val="00C87399"/>
    <w:rsid w:val="00C87B94"/>
    <w:rsid w:val="00C90095"/>
    <w:rsid w:val="00C927C6"/>
    <w:rsid w:val="00C96846"/>
    <w:rsid w:val="00CA0464"/>
    <w:rsid w:val="00CA3BC6"/>
    <w:rsid w:val="00CB0C55"/>
    <w:rsid w:val="00CB1429"/>
    <w:rsid w:val="00CB24B8"/>
    <w:rsid w:val="00CB38EE"/>
    <w:rsid w:val="00CB5091"/>
    <w:rsid w:val="00CB7F7B"/>
    <w:rsid w:val="00CC40DC"/>
    <w:rsid w:val="00CD6F66"/>
    <w:rsid w:val="00CE1499"/>
    <w:rsid w:val="00CE207E"/>
    <w:rsid w:val="00CE36A7"/>
    <w:rsid w:val="00CE3759"/>
    <w:rsid w:val="00CE4844"/>
    <w:rsid w:val="00CE7CB0"/>
    <w:rsid w:val="00D03E0F"/>
    <w:rsid w:val="00D11975"/>
    <w:rsid w:val="00D167D9"/>
    <w:rsid w:val="00D22ADC"/>
    <w:rsid w:val="00D274B8"/>
    <w:rsid w:val="00D3631A"/>
    <w:rsid w:val="00D401C9"/>
    <w:rsid w:val="00D40FC5"/>
    <w:rsid w:val="00D41931"/>
    <w:rsid w:val="00D511DB"/>
    <w:rsid w:val="00D52432"/>
    <w:rsid w:val="00D66333"/>
    <w:rsid w:val="00D673B5"/>
    <w:rsid w:val="00D81D93"/>
    <w:rsid w:val="00D84EDF"/>
    <w:rsid w:val="00D90F04"/>
    <w:rsid w:val="00DA0FF4"/>
    <w:rsid w:val="00DB1B0A"/>
    <w:rsid w:val="00DB7313"/>
    <w:rsid w:val="00DB766B"/>
    <w:rsid w:val="00DC2025"/>
    <w:rsid w:val="00DC5A96"/>
    <w:rsid w:val="00DD1915"/>
    <w:rsid w:val="00DD1F7C"/>
    <w:rsid w:val="00DD603C"/>
    <w:rsid w:val="00DD7DA6"/>
    <w:rsid w:val="00DE1F57"/>
    <w:rsid w:val="00DF1722"/>
    <w:rsid w:val="00DF3ECA"/>
    <w:rsid w:val="00DF4F33"/>
    <w:rsid w:val="00DF505F"/>
    <w:rsid w:val="00E018CC"/>
    <w:rsid w:val="00E16393"/>
    <w:rsid w:val="00E23899"/>
    <w:rsid w:val="00E27D78"/>
    <w:rsid w:val="00E32DD0"/>
    <w:rsid w:val="00E357DE"/>
    <w:rsid w:val="00E41DE5"/>
    <w:rsid w:val="00E42A97"/>
    <w:rsid w:val="00E55C83"/>
    <w:rsid w:val="00E564E0"/>
    <w:rsid w:val="00E66732"/>
    <w:rsid w:val="00E75B77"/>
    <w:rsid w:val="00E820A7"/>
    <w:rsid w:val="00E85EDF"/>
    <w:rsid w:val="00E8666E"/>
    <w:rsid w:val="00E9198D"/>
    <w:rsid w:val="00E92365"/>
    <w:rsid w:val="00E92CB6"/>
    <w:rsid w:val="00E9376C"/>
    <w:rsid w:val="00E975C5"/>
    <w:rsid w:val="00EA4EC1"/>
    <w:rsid w:val="00EA5A7C"/>
    <w:rsid w:val="00EA62D1"/>
    <w:rsid w:val="00EB48F5"/>
    <w:rsid w:val="00ED0C58"/>
    <w:rsid w:val="00ED317F"/>
    <w:rsid w:val="00ED55A6"/>
    <w:rsid w:val="00ED7611"/>
    <w:rsid w:val="00ED7FCB"/>
    <w:rsid w:val="00EE1041"/>
    <w:rsid w:val="00EE7FA9"/>
    <w:rsid w:val="00EF0E84"/>
    <w:rsid w:val="00EF4675"/>
    <w:rsid w:val="00F03133"/>
    <w:rsid w:val="00F11648"/>
    <w:rsid w:val="00F13405"/>
    <w:rsid w:val="00F16738"/>
    <w:rsid w:val="00F174BE"/>
    <w:rsid w:val="00F178A6"/>
    <w:rsid w:val="00F208C8"/>
    <w:rsid w:val="00F23297"/>
    <w:rsid w:val="00F2538C"/>
    <w:rsid w:val="00F27151"/>
    <w:rsid w:val="00F304A0"/>
    <w:rsid w:val="00F316B4"/>
    <w:rsid w:val="00F359E9"/>
    <w:rsid w:val="00F36B34"/>
    <w:rsid w:val="00F374E1"/>
    <w:rsid w:val="00F37A40"/>
    <w:rsid w:val="00F41ED7"/>
    <w:rsid w:val="00F42B31"/>
    <w:rsid w:val="00F43BDC"/>
    <w:rsid w:val="00F64EA5"/>
    <w:rsid w:val="00F750AE"/>
    <w:rsid w:val="00F76D5E"/>
    <w:rsid w:val="00F804CC"/>
    <w:rsid w:val="00F80965"/>
    <w:rsid w:val="00F80B6A"/>
    <w:rsid w:val="00F83073"/>
    <w:rsid w:val="00F91DB5"/>
    <w:rsid w:val="00FB41E0"/>
    <w:rsid w:val="00FB4835"/>
    <w:rsid w:val="00FB7BDC"/>
    <w:rsid w:val="00FC3989"/>
    <w:rsid w:val="00FC3D26"/>
    <w:rsid w:val="00FC504F"/>
    <w:rsid w:val="00FD41F2"/>
    <w:rsid w:val="00FE5729"/>
    <w:rsid w:val="00FE5CBD"/>
    <w:rsid w:val="00FE5CED"/>
    <w:rsid w:val="00FF39B0"/>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BD15F53"/>
  <w15:docId w15:val="{77F8AB83-D3C8-49EE-AE39-348BBF54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stem" w:eastAsia="Times New Roman" w:hAnsi="System"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440883532">
      <w:bodyDiv w:val="1"/>
      <w:marLeft w:val="0"/>
      <w:marRight w:val="0"/>
      <w:marTop w:val="0"/>
      <w:marBottom w:val="0"/>
      <w:divBdr>
        <w:top w:val="none" w:sz="0" w:space="0" w:color="auto"/>
        <w:left w:val="none" w:sz="0" w:space="0" w:color="auto"/>
        <w:bottom w:val="none" w:sz="0" w:space="0" w:color="auto"/>
        <w:right w:val="none" w:sz="0" w:space="0" w:color="auto"/>
      </w:divBdr>
    </w:div>
    <w:div w:id="596331438">
      <w:bodyDiv w:val="1"/>
      <w:marLeft w:val="0"/>
      <w:marRight w:val="0"/>
      <w:marTop w:val="0"/>
      <w:marBottom w:val="0"/>
      <w:divBdr>
        <w:top w:val="none" w:sz="0" w:space="0" w:color="auto"/>
        <w:left w:val="none" w:sz="0" w:space="0" w:color="auto"/>
        <w:bottom w:val="none" w:sz="0" w:space="0" w:color="auto"/>
        <w:right w:val="none" w:sz="0" w:space="0" w:color="auto"/>
      </w:divBdr>
    </w:div>
    <w:div w:id="644631064">
      <w:bodyDiv w:val="1"/>
      <w:marLeft w:val="0"/>
      <w:marRight w:val="0"/>
      <w:marTop w:val="0"/>
      <w:marBottom w:val="0"/>
      <w:divBdr>
        <w:top w:val="none" w:sz="0" w:space="0" w:color="auto"/>
        <w:left w:val="none" w:sz="0" w:space="0" w:color="auto"/>
        <w:bottom w:val="none" w:sz="0" w:space="0" w:color="auto"/>
        <w:right w:val="none" w:sz="0" w:space="0" w:color="auto"/>
      </w:divBdr>
    </w:div>
    <w:div w:id="721371872">
      <w:bodyDiv w:val="1"/>
      <w:marLeft w:val="0"/>
      <w:marRight w:val="0"/>
      <w:marTop w:val="0"/>
      <w:marBottom w:val="0"/>
      <w:divBdr>
        <w:top w:val="none" w:sz="0" w:space="0" w:color="auto"/>
        <w:left w:val="none" w:sz="0" w:space="0" w:color="auto"/>
        <w:bottom w:val="none" w:sz="0" w:space="0" w:color="auto"/>
        <w:right w:val="none" w:sz="0" w:space="0" w:color="auto"/>
      </w:divBdr>
    </w:div>
    <w:div w:id="812479788">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180118014">
      <w:bodyDiv w:val="1"/>
      <w:marLeft w:val="0"/>
      <w:marRight w:val="0"/>
      <w:marTop w:val="0"/>
      <w:marBottom w:val="0"/>
      <w:divBdr>
        <w:top w:val="none" w:sz="0" w:space="0" w:color="auto"/>
        <w:left w:val="none" w:sz="0" w:space="0" w:color="auto"/>
        <w:bottom w:val="none" w:sz="0" w:space="0" w:color="auto"/>
        <w:right w:val="none" w:sz="0" w:space="0" w:color="auto"/>
      </w:divBdr>
    </w:div>
    <w:div w:id="1552116172">
      <w:bodyDiv w:val="1"/>
      <w:marLeft w:val="0"/>
      <w:marRight w:val="0"/>
      <w:marTop w:val="0"/>
      <w:marBottom w:val="0"/>
      <w:divBdr>
        <w:top w:val="none" w:sz="0" w:space="0" w:color="auto"/>
        <w:left w:val="none" w:sz="0" w:space="0" w:color="auto"/>
        <w:bottom w:val="none" w:sz="0" w:space="0" w:color="auto"/>
        <w:right w:val="none" w:sz="0" w:space="0" w:color="auto"/>
      </w:divBdr>
    </w:div>
    <w:div w:id="1959221399">
      <w:bodyDiv w:val="1"/>
      <w:marLeft w:val="0"/>
      <w:marRight w:val="0"/>
      <w:marTop w:val="0"/>
      <w:marBottom w:val="0"/>
      <w:divBdr>
        <w:top w:val="none" w:sz="0" w:space="0" w:color="auto"/>
        <w:left w:val="none" w:sz="0" w:space="0" w:color="auto"/>
        <w:bottom w:val="none" w:sz="0" w:space="0" w:color="auto"/>
        <w:right w:val="none" w:sz="0" w:space="0" w:color="auto"/>
      </w:divBdr>
    </w:div>
    <w:div w:id="211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A3304-F31D-4F74-8BAE-3EA030C2A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2827A4-EA28-446D-A69F-27CF502F5F40}">
  <ds:schemaRefs>
    <ds:schemaRef ds:uri="http://schemas.microsoft.com/sharepoint/v3/contenttype/forms"/>
  </ds:schemaRefs>
</ds:datastoreItem>
</file>

<file path=customXml/itemProps3.xml><?xml version="1.0" encoding="utf-8"?>
<ds:datastoreItem xmlns:ds="http://schemas.openxmlformats.org/officeDocument/2006/customXml" ds:itemID="{5B877622-C344-44D6-8966-54C936BECC9C}">
  <ds:schemaRefs>
    <ds:schemaRef ds:uri="http://purl.org/dc/terms/"/>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BCA073C4-ACAA-4B0B-BBDC-238A3864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5</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Moore, Alana J</cp:lastModifiedBy>
  <cp:revision>28</cp:revision>
  <cp:lastPrinted>2016-06-22T12:45:00Z</cp:lastPrinted>
  <dcterms:created xsi:type="dcterms:W3CDTF">2021-02-18T20:38:00Z</dcterms:created>
  <dcterms:modified xsi:type="dcterms:W3CDTF">2022-03-08T16:50:00Z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