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0037" w:rsidP="004B05F6" w:rsidRDefault="00F21D50" w14:paraId="5141603F" w14:textId="0538BB7F">
      <w:pPr>
        <w:widowControl/>
        <w:jc w:val="center"/>
        <w:rPr>
          <w:rFonts w:ascii="Times New Roman" w:hAnsi="Times New Roman"/>
          <w:b/>
          <w:bCs/>
          <w:i/>
          <w:iCs/>
        </w:rPr>
      </w:pPr>
      <w:r>
        <w:rPr>
          <w:rFonts w:ascii="Times New Roman" w:hAnsi="Times New Roman"/>
          <w:b/>
          <w:bCs/>
        </w:rPr>
        <w:t xml:space="preserve">SUPPORTING STATEMENT FOR </w:t>
      </w:r>
      <w:r w:rsidRPr="00940037" w:rsidR="00940037">
        <w:rPr>
          <w:rFonts w:ascii="Times New Roman" w:hAnsi="Times New Roman"/>
          <w:b/>
          <w:bCs/>
        </w:rPr>
        <w:t xml:space="preserve">PROCEDURE FOR APPLICATION FOR PROHIBITED TRANSACTION EXEMPTION REGULATION:  PURSUANT TO 29 CFR § 2570.30, </w:t>
      </w:r>
      <w:r w:rsidRPr="00940037" w:rsidR="00940037">
        <w:rPr>
          <w:rFonts w:ascii="Times New Roman" w:hAnsi="Times New Roman"/>
          <w:b/>
          <w:bCs/>
          <w:i/>
          <w:iCs/>
        </w:rPr>
        <w:t>ET SEQ.</w:t>
      </w:r>
    </w:p>
    <w:p w:rsidR="00940037" w:rsidP="00940037" w:rsidRDefault="00940037" w14:paraId="54162A93" w14:textId="77777777">
      <w:pPr>
        <w:widowControl/>
        <w:jc w:val="center"/>
        <w:rPr>
          <w:rFonts w:ascii="Times New Roman" w:hAnsi="Times New Roman"/>
          <w:b/>
          <w:bCs/>
          <w:i/>
          <w:iCs/>
        </w:rPr>
      </w:pPr>
    </w:p>
    <w:p w:rsidR="00940037" w:rsidP="00940037" w:rsidRDefault="00940037" w14:paraId="5F009721" w14:textId="77777777">
      <w:pPr>
        <w:widowControl/>
        <w:jc w:val="center"/>
        <w:rPr>
          <w:rFonts w:ascii="Times New Roman" w:hAnsi="Times New Roman"/>
          <w:bCs/>
        </w:rPr>
      </w:pPr>
    </w:p>
    <w:p w:rsidRPr="00940037" w:rsidR="00940037" w:rsidP="00940037" w:rsidRDefault="00940037" w14:paraId="34B2C0E7" w14:textId="0D3670C9">
      <w:pPr>
        <w:widowControl/>
        <w:rPr>
          <w:rFonts w:ascii="Times New Roman" w:hAnsi="Times New Roman"/>
          <w:b/>
          <w:bCs/>
        </w:rPr>
      </w:pPr>
      <w:r w:rsidRPr="18E77DFF">
        <w:rPr>
          <w:rFonts w:ascii="Times New Roman" w:hAnsi="Times New Roman"/>
          <w:b/>
          <w:bCs/>
        </w:rPr>
        <w:t xml:space="preserve">This ICR seeks </w:t>
      </w:r>
      <w:r w:rsidRPr="18E77DFF" w:rsidR="009341BD">
        <w:rPr>
          <w:rFonts w:ascii="Times New Roman" w:hAnsi="Times New Roman"/>
          <w:b/>
          <w:bCs/>
        </w:rPr>
        <w:t xml:space="preserve">a revision of </w:t>
      </w:r>
      <w:r w:rsidRPr="18E77DFF">
        <w:rPr>
          <w:rFonts w:ascii="Times New Roman" w:hAnsi="Times New Roman"/>
          <w:b/>
          <w:bCs/>
        </w:rPr>
        <w:t>the collection of information under OMB Control Number 1210–0060.</w:t>
      </w:r>
    </w:p>
    <w:p w:rsidRPr="00290E22" w:rsidR="00602136" w:rsidP="007C6C89" w:rsidRDefault="00602136" w14:paraId="489F37AF" w14:textId="77777777">
      <w:pPr>
        <w:widowControl/>
        <w:rPr>
          <w:rFonts w:ascii="Times New Roman" w:hAnsi="Times New Roman"/>
        </w:rPr>
      </w:pPr>
    </w:p>
    <w:p w:rsidRPr="00290E22" w:rsidR="00602136" w:rsidP="00931C21" w:rsidRDefault="00940037" w14:paraId="1F27FF48" w14:textId="77777777">
      <w:pPr>
        <w:widowControl/>
        <w:numPr>
          <w:ilvl w:val="0"/>
          <w:numId w:val="7"/>
        </w:numPr>
        <w:ind w:hanging="720"/>
        <w:rPr>
          <w:rFonts w:ascii="Times New Roman" w:hAnsi="Times New Roman"/>
        </w:rPr>
      </w:pPr>
      <w:r w:rsidRPr="00290E22">
        <w:rPr>
          <w:rFonts w:ascii="Times New Roman" w:hAnsi="Times New Roman"/>
          <w:b/>
          <w:bCs/>
        </w:rPr>
        <w:t>JUSTIFICATION</w:t>
      </w:r>
    </w:p>
    <w:p w:rsidRPr="00290E22" w:rsidR="00602136" w:rsidP="00931C21" w:rsidRDefault="00602136" w14:paraId="5C79244D" w14:textId="77777777">
      <w:pPr>
        <w:widowControl/>
        <w:ind w:left="720"/>
        <w:rPr>
          <w:rFonts w:ascii="Times New Roman" w:hAnsi="Times New Roman"/>
        </w:rPr>
      </w:pPr>
    </w:p>
    <w:p w:rsidRPr="00940037" w:rsidR="00602136" w:rsidP="00931C21" w:rsidRDefault="00602136" w14:paraId="2E729230" w14:textId="77777777">
      <w:pPr>
        <w:pStyle w:val="Quick1"/>
        <w:widowControl/>
        <w:numPr>
          <w:ilvl w:val="0"/>
          <w:numId w:val="1"/>
        </w:numPr>
        <w:tabs>
          <w:tab w:val="left" w:pos="-1440"/>
          <w:tab w:val="num" w:pos="720"/>
        </w:tabs>
        <w:rPr>
          <w:rFonts w:ascii="Times New Roman" w:hAnsi="Times New Roman"/>
          <w:b/>
        </w:rPr>
      </w:pPr>
      <w:r w:rsidRPr="00940037">
        <w:rPr>
          <w:rFonts w:ascii="Times New Roman" w:hAnsi="Times New Roman"/>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90E22" w:rsidR="00602136" w:rsidP="00931C21" w:rsidRDefault="00602136" w14:paraId="7C5F0AB5" w14:textId="77777777">
      <w:pPr>
        <w:widowControl/>
        <w:ind w:left="720"/>
        <w:rPr>
          <w:rFonts w:ascii="Times New Roman" w:hAnsi="Times New Roman"/>
        </w:rPr>
      </w:pPr>
    </w:p>
    <w:p w:rsidRPr="00290E22" w:rsidR="00602136" w:rsidP="00931C21" w:rsidRDefault="00602136" w14:paraId="652AC8B3" w14:textId="77777777">
      <w:pPr>
        <w:pStyle w:val="BodyTextIndent"/>
        <w:widowControl/>
      </w:pPr>
      <w:r w:rsidRPr="00290E22">
        <w:t>Section 408(a) of the Employee Retirement Income Security Act of 1974 (ERISA) and section 4975(c)(2) of the Internal Revenue Code of 1986 (the Code) authorize</w:t>
      </w:r>
      <w:r w:rsidRPr="00290E22" w:rsidR="004E43AC">
        <w:t>s</w:t>
      </w:r>
      <w:r w:rsidRPr="00290E22">
        <w:t xml:space="preserve"> the Secretary of Labor and the Secretary of the Treasury to establish an exemption procedure in order to grant a conditional or unconditional exemption of any fiduciary, disqualified person or class of fiduciaries, or orders of disqualified persons or transactions, from all or part of the restrictions imposed by sections 406 and 407(a) of ERISA and from the taxes imposed by section 4975(a) and (b) of the Code, by reason of section 4975(c)(1) of the Code.  Under section 102 of Reorganization Plan No. 4 of 1978 (Reorganization Plan No. 4), the Secretary of Labor was given the authority to establish the exemption procedur</w:t>
      </w:r>
      <w:r w:rsidR="00290E22">
        <w:t>e and to grant such exemptions.</w:t>
      </w:r>
    </w:p>
    <w:p w:rsidRPr="00290E22" w:rsidR="00602136" w:rsidP="00931C21" w:rsidRDefault="00602136" w14:paraId="35625A1D" w14:textId="77777777">
      <w:pPr>
        <w:widowControl/>
        <w:ind w:left="720"/>
        <w:rPr>
          <w:rFonts w:ascii="Times New Roman" w:hAnsi="Times New Roman"/>
        </w:rPr>
      </w:pPr>
    </w:p>
    <w:p w:rsidRPr="00290E22" w:rsidR="00602136" w:rsidP="00931C21" w:rsidRDefault="00602136" w14:paraId="1927D145" w14:textId="3053E0CC">
      <w:pPr>
        <w:widowControl/>
        <w:ind w:left="720"/>
        <w:rPr>
          <w:rFonts w:ascii="Times New Roman" w:hAnsi="Times New Roman"/>
        </w:rPr>
      </w:pPr>
      <w:r w:rsidRPr="6EA4E4D1">
        <w:rPr>
          <w:rFonts w:ascii="Times New Roman" w:hAnsi="Times New Roman"/>
        </w:rPr>
        <w:t xml:space="preserve">Accordingly, on April 28, 1975, the Department of Labor (the Department) published ERISA Procedure 75-1 in </w:t>
      </w:r>
      <w:r w:rsidRPr="6EA4E4D1" w:rsidR="004E43AC">
        <w:rPr>
          <w:rFonts w:ascii="Times New Roman" w:hAnsi="Times New Roman"/>
        </w:rPr>
        <w:t xml:space="preserve">the </w:t>
      </w:r>
      <w:r w:rsidRPr="6EA4E4D1" w:rsidR="004E43AC">
        <w:rPr>
          <w:rFonts w:ascii="Times New Roman" w:hAnsi="Times New Roman"/>
          <w:u w:val="single"/>
        </w:rPr>
        <w:t>Federal</w:t>
      </w:r>
      <w:r w:rsidRPr="6EA4E4D1">
        <w:rPr>
          <w:rFonts w:ascii="Times New Roman" w:hAnsi="Times New Roman"/>
          <w:u w:val="single"/>
        </w:rPr>
        <w:t xml:space="preserve"> Register</w:t>
      </w:r>
      <w:r w:rsidRPr="6EA4E4D1" w:rsidR="0017278E">
        <w:rPr>
          <w:rFonts w:ascii="Times New Roman" w:hAnsi="Times New Roman"/>
        </w:rPr>
        <w:t xml:space="preserve"> (40 FR 18471)</w:t>
      </w:r>
      <w:r w:rsidRPr="6EA4E4D1">
        <w:rPr>
          <w:rFonts w:ascii="Times New Roman" w:hAnsi="Times New Roman"/>
        </w:rPr>
        <w:t xml:space="preserve">.  This procedure provided necessary information to the affected public regarding the procedure to follow when requesting an exemption.  On August 10, 1990, the Department issued a regulation which replaced ERISA Procedure 75-1 for applications for prohibited transaction exemptions filed on or after September 10, 1990. (29 CFR 2570.30 </w:t>
      </w:r>
      <w:r w:rsidRPr="6EA4E4D1">
        <w:rPr>
          <w:rFonts w:ascii="Times New Roman" w:hAnsi="Times New Roman"/>
          <w:i/>
          <w:iCs/>
        </w:rPr>
        <w:t>et seq.</w:t>
      </w:r>
      <w:r w:rsidRPr="6EA4E4D1">
        <w:rPr>
          <w:rFonts w:ascii="Times New Roman" w:hAnsi="Times New Roman"/>
        </w:rPr>
        <w:t>, 55 FR 328</w:t>
      </w:r>
      <w:r w:rsidRPr="6EA4E4D1" w:rsidR="0017278E">
        <w:rPr>
          <w:rFonts w:ascii="Times New Roman" w:hAnsi="Times New Roman"/>
        </w:rPr>
        <w:t>36, Aug. 10, 1990</w:t>
      </w:r>
      <w:r w:rsidRPr="6EA4E4D1">
        <w:rPr>
          <w:rFonts w:ascii="Times New Roman" w:hAnsi="Times New Roman"/>
        </w:rPr>
        <w:t>).</w:t>
      </w:r>
    </w:p>
    <w:p w:rsidRPr="00290E22" w:rsidR="00602136" w:rsidP="00931C21" w:rsidRDefault="00602136" w14:paraId="27940987" w14:textId="77777777">
      <w:pPr>
        <w:widowControl/>
        <w:ind w:left="720"/>
        <w:rPr>
          <w:rFonts w:ascii="Times New Roman" w:hAnsi="Times New Roman"/>
        </w:rPr>
      </w:pPr>
    </w:p>
    <w:p w:rsidRPr="00290E22" w:rsidR="00602136" w:rsidP="00931C21" w:rsidRDefault="00602136" w14:paraId="753E4220" w14:textId="01C7D876">
      <w:pPr>
        <w:widowControl/>
        <w:ind w:left="720"/>
        <w:rPr>
          <w:rFonts w:ascii="Times New Roman" w:hAnsi="Times New Roman"/>
        </w:rPr>
      </w:pPr>
      <w:r w:rsidRPr="00290E22">
        <w:rPr>
          <w:rFonts w:ascii="Times New Roman" w:hAnsi="Times New Roman"/>
        </w:rPr>
        <w:t>Section 406 of ERISA prohibits various transactions between a plan and certain related parties.  Th</w:t>
      </w:r>
      <w:r w:rsidRPr="00290E22" w:rsidR="0017278E">
        <w:rPr>
          <w:rFonts w:ascii="Times New Roman" w:hAnsi="Times New Roman"/>
        </w:rPr>
        <w:t>ese related</w:t>
      </w:r>
      <w:r w:rsidRPr="00290E22">
        <w:rPr>
          <w:rFonts w:ascii="Times New Roman" w:hAnsi="Times New Roman"/>
        </w:rPr>
        <w:t xml:space="preserve"> parties</w:t>
      </w:r>
      <w:r w:rsidRPr="00290E22" w:rsidR="0017278E">
        <w:rPr>
          <w:rFonts w:ascii="Times New Roman" w:hAnsi="Times New Roman"/>
        </w:rPr>
        <w:t xml:space="preserve">, referred to as parties </w:t>
      </w:r>
      <w:r w:rsidRPr="00290E22">
        <w:rPr>
          <w:rFonts w:ascii="Times New Roman" w:hAnsi="Times New Roman"/>
        </w:rPr>
        <w:t xml:space="preserve">in interest described in section 3(14) of ERISA and </w:t>
      </w:r>
      <w:r w:rsidRPr="00290E22" w:rsidR="0017278E">
        <w:rPr>
          <w:rFonts w:ascii="Times New Roman" w:hAnsi="Times New Roman"/>
        </w:rPr>
        <w:t xml:space="preserve">as </w:t>
      </w:r>
      <w:r w:rsidRPr="00290E22">
        <w:rPr>
          <w:rFonts w:ascii="Times New Roman" w:hAnsi="Times New Roman"/>
        </w:rPr>
        <w:t>disqualified persons in section 4975(e)(2) of the Code</w:t>
      </w:r>
      <w:r w:rsidRPr="00290E22" w:rsidR="0017278E">
        <w:rPr>
          <w:rFonts w:ascii="Times New Roman" w:hAnsi="Times New Roman"/>
        </w:rPr>
        <w:t xml:space="preserve">), which include </w:t>
      </w:r>
      <w:r w:rsidRPr="00290E22">
        <w:rPr>
          <w:rFonts w:ascii="Times New Roman" w:hAnsi="Times New Roman"/>
        </w:rPr>
        <w:t>plan fiduciaries, sponsoring employers, unions, service providers and affiliates, may not engage in a transaction described in section 406 of ERISA and section 4975(c) of the Code with a plan</w:t>
      </w:r>
      <w:r w:rsidRPr="00290E22" w:rsidR="0017278E">
        <w:rPr>
          <w:rFonts w:ascii="Times New Roman" w:hAnsi="Times New Roman"/>
        </w:rPr>
        <w:t xml:space="preserve">, unless a statutory or administrative exemption applies to the transaction. </w:t>
      </w:r>
      <w:r w:rsidR="00305AD9">
        <w:rPr>
          <w:rFonts w:ascii="Times New Roman" w:hAnsi="Times New Roman"/>
        </w:rPr>
        <w:t xml:space="preserve"> </w:t>
      </w:r>
      <w:r w:rsidRPr="00290E22" w:rsidR="0017278E">
        <w:rPr>
          <w:rFonts w:ascii="Times New Roman" w:hAnsi="Times New Roman"/>
        </w:rPr>
        <w:t xml:space="preserve">The transactions that are generally prohibited under these statutory </w:t>
      </w:r>
      <w:r w:rsidRPr="00290E22" w:rsidR="0017278E">
        <w:rPr>
          <w:rFonts w:ascii="Times New Roman" w:hAnsi="Times New Roman"/>
        </w:rPr>
        <w:lastRenderedPageBreak/>
        <w:t xml:space="preserve">provisions include </w:t>
      </w:r>
      <w:r w:rsidRPr="00290E22">
        <w:rPr>
          <w:rFonts w:ascii="Times New Roman" w:hAnsi="Times New Roman"/>
        </w:rPr>
        <w:t>sales, leases, loans, or the provision of services between a party in interest and a plan, as well as a use of plan assets by or for the benefit of, or a transfer of plan assets to, a party in interest or a disqualified person, unless a statutory or administrative exemption applies to the transaction.</w:t>
      </w:r>
    </w:p>
    <w:p w:rsidRPr="00290E22" w:rsidR="00602136" w:rsidP="00931C21" w:rsidRDefault="00602136" w14:paraId="707BCDC4" w14:textId="77777777">
      <w:pPr>
        <w:widowControl/>
        <w:ind w:left="720"/>
        <w:rPr>
          <w:rFonts w:ascii="Times New Roman" w:hAnsi="Times New Roman"/>
        </w:rPr>
      </w:pPr>
    </w:p>
    <w:p w:rsidRPr="00290E22" w:rsidR="00602136" w:rsidP="00931C21" w:rsidRDefault="00602136" w14:paraId="5891DA0D" w14:textId="7C917CDF">
      <w:pPr>
        <w:widowControl/>
        <w:ind w:left="720"/>
        <w:rPr>
          <w:rFonts w:ascii="Times New Roman" w:hAnsi="Times New Roman"/>
        </w:rPr>
      </w:pPr>
      <w:r w:rsidRPr="6EA4E4D1">
        <w:rPr>
          <w:rFonts w:ascii="Times New Roman" w:hAnsi="Times New Roman"/>
        </w:rPr>
        <w:t>The Department has authority under Reorganization Plan No. 4, pursuant to section 408 of ERISA and section 4975(c)(2) of the Code to grant either individual or class exemptions.  In order to grant an exemption under section 408 and section 4975(c)(2), the Department must determine that the exemption is:</w:t>
      </w:r>
    </w:p>
    <w:p w:rsidRPr="00290E22" w:rsidR="00602136" w:rsidP="00931C21" w:rsidRDefault="00602136" w14:paraId="6E671CAE" w14:textId="77777777">
      <w:pPr>
        <w:widowControl/>
        <w:ind w:left="720"/>
        <w:rPr>
          <w:rFonts w:ascii="Times New Roman" w:hAnsi="Times New Roman"/>
        </w:rPr>
      </w:pPr>
    </w:p>
    <w:p w:rsidRPr="00290E22" w:rsidR="00602136" w:rsidP="00931C21" w:rsidRDefault="00602136" w14:paraId="04C43800" w14:textId="77777777">
      <w:pPr>
        <w:widowControl/>
        <w:numPr>
          <w:ilvl w:val="0"/>
          <w:numId w:val="8"/>
        </w:numPr>
        <w:ind w:left="1440" w:hanging="720"/>
        <w:rPr>
          <w:rFonts w:ascii="Times New Roman" w:hAnsi="Times New Roman"/>
        </w:rPr>
      </w:pPr>
      <w:r w:rsidRPr="00290E22">
        <w:rPr>
          <w:rFonts w:ascii="Times New Roman" w:hAnsi="Times New Roman"/>
        </w:rPr>
        <w:t>administratively feasible,</w:t>
      </w:r>
    </w:p>
    <w:p w:rsidRPr="00290E22" w:rsidR="00602136" w:rsidP="00931C21" w:rsidRDefault="00602136" w14:paraId="76A503FB" w14:textId="77777777">
      <w:pPr>
        <w:widowControl/>
        <w:numPr>
          <w:ilvl w:val="0"/>
          <w:numId w:val="8"/>
        </w:numPr>
        <w:ind w:left="1440" w:hanging="720"/>
        <w:rPr>
          <w:rFonts w:ascii="Times New Roman" w:hAnsi="Times New Roman"/>
        </w:rPr>
      </w:pPr>
      <w:r w:rsidRPr="00290E22">
        <w:rPr>
          <w:rFonts w:ascii="Times New Roman" w:hAnsi="Times New Roman"/>
        </w:rPr>
        <w:t>in the interests of the plan and in its participants and beneficiaries, and</w:t>
      </w:r>
    </w:p>
    <w:p w:rsidRPr="00290E22" w:rsidR="00602136" w:rsidP="00931C21" w:rsidRDefault="00602136" w14:paraId="3396A5ED" w14:textId="77777777">
      <w:pPr>
        <w:widowControl/>
        <w:numPr>
          <w:ilvl w:val="0"/>
          <w:numId w:val="8"/>
        </w:numPr>
        <w:ind w:left="1440" w:hanging="720"/>
        <w:rPr>
          <w:rFonts w:ascii="Times New Roman" w:hAnsi="Times New Roman"/>
        </w:rPr>
      </w:pPr>
      <w:r w:rsidRPr="00290E22">
        <w:rPr>
          <w:rFonts w:ascii="Times New Roman" w:hAnsi="Times New Roman"/>
        </w:rPr>
        <w:t>protective of the rights of participants and</w:t>
      </w:r>
      <w:r w:rsidR="00743B14">
        <w:rPr>
          <w:rFonts w:ascii="Times New Roman" w:hAnsi="Times New Roman"/>
        </w:rPr>
        <w:t xml:space="preserve"> beneficiaries of such plan.</w:t>
      </w:r>
    </w:p>
    <w:p w:rsidRPr="00290E22" w:rsidR="00602136" w:rsidP="00931C21" w:rsidRDefault="00602136" w14:paraId="356844BF" w14:textId="77777777">
      <w:pPr>
        <w:widowControl/>
        <w:ind w:left="720"/>
        <w:rPr>
          <w:rFonts w:ascii="Times New Roman" w:hAnsi="Times New Roman"/>
        </w:rPr>
      </w:pPr>
    </w:p>
    <w:p w:rsidRPr="00290E22" w:rsidR="00602136" w:rsidP="00931C21" w:rsidRDefault="00602136" w14:paraId="7C223072" w14:textId="77777777">
      <w:pPr>
        <w:widowControl/>
        <w:ind w:left="720"/>
        <w:rPr>
          <w:rFonts w:ascii="Times New Roman" w:hAnsi="Times New Roman"/>
        </w:rPr>
      </w:pPr>
      <w:r w:rsidRPr="00290E22">
        <w:rPr>
          <w:rFonts w:ascii="Times New Roman" w:hAnsi="Times New Roman"/>
        </w:rPr>
        <w:t>In order to make such a determination, the Department requires full</w:t>
      </w:r>
      <w:r w:rsidR="00743B14">
        <w:rPr>
          <w:rFonts w:ascii="Times New Roman" w:hAnsi="Times New Roman"/>
        </w:rPr>
        <w:t xml:space="preserve"> disclosure of </w:t>
      </w:r>
      <w:r w:rsidRPr="00290E22">
        <w:rPr>
          <w:rFonts w:ascii="Times New Roman" w:hAnsi="Times New Roman"/>
        </w:rPr>
        <w:t>information regarding all aspects of the transaction, and the parties and the assets involved.  Sections 2570.34 and 2570.35 of the exemption procedure regulation describe the information that must be supplied by the applicant, such as: identifying information (name, type of plan, EIN number, etc.); an estimate of the number of plan participants; a detailed description of the exemption transaction and the parties for which an exemption is requested; a statement regarding which section of ERISA is thought to be violated and whether transaction(s) involved have already been entered into; a statement of whether the transaction is customary in the industry; a statement of the hardship or economic loss, if any, which would result if the exemption were denied; a statement explaining why the proposed exemption would be administratively feasible, in the interests of the plan and protective of the rights of plan participants and beneficiaries; and several other statements.  In addition, the applicant must certify that the information supplied is accurate and complete.</w:t>
      </w:r>
    </w:p>
    <w:p w:rsidRPr="00290E22" w:rsidR="00602136" w:rsidP="00931C21" w:rsidRDefault="00602136" w14:paraId="46A9762E" w14:textId="77777777">
      <w:pPr>
        <w:widowControl/>
        <w:ind w:left="720"/>
        <w:rPr>
          <w:rFonts w:ascii="Times New Roman" w:hAnsi="Times New Roman"/>
        </w:rPr>
      </w:pPr>
    </w:p>
    <w:p w:rsidRPr="00290E22" w:rsidR="00E20B66" w:rsidP="00931C21" w:rsidRDefault="009E6B59" w14:paraId="6E27AAC9" w14:textId="532B2278">
      <w:pPr>
        <w:widowControl/>
        <w:ind w:left="720"/>
        <w:rPr>
          <w:rFonts w:ascii="Times New Roman" w:hAnsi="Times New Roman"/>
        </w:rPr>
      </w:pPr>
      <w:r w:rsidRPr="6EA4E4D1">
        <w:rPr>
          <w:rFonts w:ascii="Times New Roman" w:hAnsi="Times New Roman"/>
        </w:rPr>
        <w:t>On October 27, 2011 t</w:t>
      </w:r>
      <w:r w:rsidRPr="6EA4E4D1" w:rsidR="00275363">
        <w:rPr>
          <w:rFonts w:ascii="Times New Roman" w:hAnsi="Times New Roman"/>
        </w:rPr>
        <w:t xml:space="preserve">he Department </w:t>
      </w:r>
      <w:r w:rsidRPr="6EA4E4D1">
        <w:rPr>
          <w:rFonts w:ascii="Times New Roman" w:hAnsi="Times New Roman"/>
        </w:rPr>
        <w:t>published</w:t>
      </w:r>
      <w:r w:rsidRPr="6EA4E4D1" w:rsidR="00275363">
        <w:rPr>
          <w:rFonts w:ascii="Times New Roman" w:hAnsi="Times New Roman"/>
        </w:rPr>
        <w:t xml:space="preserve"> a </w:t>
      </w:r>
      <w:r w:rsidRPr="6EA4E4D1" w:rsidR="00611FC4">
        <w:rPr>
          <w:rFonts w:ascii="Times New Roman" w:hAnsi="Times New Roman"/>
        </w:rPr>
        <w:t>final</w:t>
      </w:r>
      <w:r w:rsidRPr="6EA4E4D1" w:rsidR="00275363">
        <w:rPr>
          <w:rFonts w:ascii="Times New Roman" w:hAnsi="Times New Roman"/>
        </w:rPr>
        <w:t xml:space="preserve"> rule</w:t>
      </w:r>
      <w:r w:rsidRPr="6EA4E4D1" w:rsidR="002D42FC">
        <w:rPr>
          <w:rFonts w:ascii="Times New Roman" w:hAnsi="Times New Roman"/>
        </w:rPr>
        <w:t xml:space="preserve"> t</w:t>
      </w:r>
      <w:r w:rsidRPr="6EA4E4D1" w:rsidR="00275363">
        <w:rPr>
          <w:rFonts w:ascii="Times New Roman" w:hAnsi="Times New Roman"/>
        </w:rPr>
        <w:t>hat supersede</w:t>
      </w:r>
      <w:r w:rsidRPr="6EA4E4D1" w:rsidR="00A82F35">
        <w:rPr>
          <w:rFonts w:ascii="Times New Roman" w:hAnsi="Times New Roman"/>
        </w:rPr>
        <w:t>d</w:t>
      </w:r>
      <w:r w:rsidRPr="6EA4E4D1" w:rsidR="00275363">
        <w:rPr>
          <w:rFonts w:ascii="Times New Roman" w:hAnsi="Times New Roman"/>
        </w:rPr>
        <w:t xml:space="preserve"> the existing rule of procedure governing the filing and processing of applications for administrative exemptions from the prohibited transaction provisions of ERISA, </w:t>
      </w:r>
      <w:proofErr w:type="gramStart"/>
      <w:r w:rsidRPr="6EA4E4D1" w:rsidR="00275363">
        <w:rPr>
          <w:rFonts w:ascii="Times New Roman" w:hAnsi="Times New Roman"/>
        </w:rPr>
        <w:t>the  Code</w:t>
      </w:r>
      <w:proofErr w:type="gramEnd"/>
      <w:r w:rsidRPr="6EA4E4D1" w:rsidR="00275363">
        <w:rPr>
          <w:rFonts w:ascii="Times New Roman" w:hAnsi="Times New Roman"/>
        </w:rPr>
        <w:t>, and the Federal Employees’ Retireme</w:t>
      </w:r>
      <w:r w:rsidRPr="6EA4E4D1" w:rsidR="00E20B66">
        <w:rPr>
          <w:rFonts w:ascii="Times New Roman" w:hAnsi="Times New Roman"/>
        </w:rPr>
        <w:t>nt System Act of 1986 (FERSA).  Th</w:t>
      </w:r>
      <w:r w:rsidRPr="6EA4E4D1" w:rsidR="002D42FC">
        <w:rPr>
          <w:rFonts w:ascii="Times New Roman" w:hAnsi="Times New Roman"/>
        </w:rPr>
        <w:t xml:space="preserve">is </w:t>
      </w:r>
      <w:r w:rsidRPr="6EA4E4D1" w:rsidR="00E20B66">
        <w:rPr>
          <w:rFonts w:ascii="Times New Roman" w:hAnsi="Times New Roman"/>
        </w:rPr>
        <w:t xml:space="preserve">OMB submission is a renewal of </w:t>
      </w:r>
      <w:r w:rsidRPr="6EA4E4D1" w:rsidR="002D42FC">
        <w:rPr>
          <w:rFonts w:ascii="Times New Roman" w:hAnsi="Times New Roman"/>
        </w:rPr>
        <w:t>an information collect</w:t>
      </w:r>
      <w:r w:rsidRPr="6EA4E4D1" w:rsidR="006D758F">
        <w:rPr>
          <w:rFonts w:ascii="Times New Roman" w:hAnsi="Times New Roman"/>
        </w:rPr>
        <w:t>ion</w:t>
      </w:r>
      <w:r w:rsidRPr="6EA4E4D1" w:rsidR="002D42FC">
        <w:rPr>
          <w:rFonts w:ascii="Times New Roman" w:hAnsi="Times New Roman"/>
        </w:rPr>
        <w:t xml:space="preserve"> that was approved </w:t>
      </w:r>
      <w:r w:rsidRPr="6EA4E4D1" w:rsidR="006D758F">
        <w:rPr>
          <w:rFonts w:ascii="Times New Roman" w:hAnsi="Times New Roman"/>
        </w:rPr>
        <w:t xml:space="preserve">by OMB </w:t>
      </w:r>
      <w:r w:rsidRPr="6EA4E4D1" w:rsidR="002D42FC">
        <w:rPr>
          <w:rFonts w:ascii="Times New Roman" w:hAnsi="Times New Roman"/>
        </w:rPr>
        <w:t>in conjunction with the publishing of the final rule</w:t>
      </w:r>
      <w:r w:rsidRPr="6EA4E4D1" w:rsidR="00E20B66">
        <w:rPr>
          <w:rFonts w:ascii="Times New Roman" w:hAnsi="Times New Roman"/>
        </w:rPr>
        <w:t>.</w:t>
      </w:r>
    </w:p>
    <w:p w:rsidRPr="00290E22" w:rsidR="00E20B66" w:rsidP="00931C21" w:rsidRDefault="00E20B66" w14:paraId="02CFC654" w14:textId="77777777">
      <w:pPr>
        <w:widowControl/>
        <w:ind w:left="720"/>
        <w:rPr>
          <w:rFonts w:ascii="Times New Roman" w:hAnsi="Times New Roman"/>
        </w:rPr>
      </w:pPr>
    </w:p>
    <w:p w:rsidRPr="00290E22" w:rsidR="003852F2" w:rsidP="00931C21" w:rsidRDefault="00275363" w14:paraId="77F827CE" w14:textId="77777777">
      <w:pPr>
        <w:widowControl/>
        <w:ind w:left="720"/>
        <w:rPr>
          <w:rFonts w:ascii="Times New Roman" w:hAnsi="Times New Roman"/>
        </w:rPr>
      </w:pPr>
      <w:r w:rsidRPr="00290E22">
        <w:rPr>
          <w:rFonts w:ascii="Times New Roman" w:hAnsi="Times New Roman"/>
        </w:rPr>
        <w:t xml:space="preserve">The </w:t>
      </w:r>
      <w:r w:rsidRPr="00290E22" w:rsidR="00E20B66">
        <w:rPr>
          <w:rFonts w:ascii="Times New Roman" w:hAnsi="Times New Roman"/>
        </w:rPr>
        <w:t xml:space="preserve">2011 </w:t>
      </w:r>
      <w:r w:rsidRPr="00290E22" w:rsidR="00611FC4">
        <w:rPr>
          <w:rFonts w:ascii="Times New Roman" w:hAnsi="Times New Roman"/>
        </w:rPr>
        <w:t xml:space="preserve">final </w:t>
      </w:r>
      <w:r w:rsidRPr="00290E22">
        <w:rPr>
          <w:rFonts w:ascii="Times New Roman" w:hAnsi="Times New Roman"/>
        </w:rPr>
        <w:t xml:space="preserve">regulation </w:t>
      </w:r>
      <w:r w:rsidRPr="00290E22" w:rsidR="00D4014F">
        <w:rPr>
          <w:rFonts w:ascii="Times New Roman" w:hAnsi="Times New Roman"/>
        </w:rPr>
        <w:t>update</w:t>
      </w:r>
      <w:r w:rsidRPr="00290E22" w:rsidR="00426CD9">
        <w:rPr>
          <w:rFonts w:ascii="Times New Roman" w:hAnsi="Times New Roman"/>
        </w:rPr>
        <w:t>d</w:t>
      </w:r>
      <w:r w:rsidRPr="00290E22" w:rsidR="00D4014F">
        <w:rPr>
          <w:rFonts w:ascii="Times New Roman" w:hAnsi="Times New Roman"/>
        </w:rPr>
        <w:t xml:space="preserve"> </w:t>
      </w:r>
      <w:r w:rsidRPr="00290E22">
        <w:rPr>
          <w:rFonts w:ascii="Times New Roman" w:hAnsi="Times New Roman"/>
        </w:rPr>
        <w:t>the exemption procedure to reflect various changes in the Department’s practices that have evolved since the current procedur</w:t>
      </w:r>
      <w:r w:rsidRPr="00290E22" w:rsidR="00D4014F">
        <w:rPr>
          <w:rFonts w:ascii="Times New Roman" w:hAnsi="Times New Roman"/>
        </w:rPr>
        <w:t>al rul</w:t>
      </w:r>
      <w:r w:rsidRPr="00290E22">
        <w:rPr>
          <w:rFonts w:ascii="Times New Roman" w:hAnsi="Times New Roman"/>
        </w:rPr>
        <w:t xml:space="preserve">e was adopted in 1990.  Among other things, key elements of the exemption policies and guidance currently found in ERISA Technical Release 85-1 (pertaining to retroactive exemptions) and the Department’s 1995 exemption publication </w:t>
      </w:r>
      <w:r w:rsidRPr="00290E22" w:rsidR="00426CD9">
        <w:rPr>
          <w:rFonts w:ascii="Times New Roman" w:hAnsi="Times New Roman"/>
        </w:rPr>
        <w:t>were</w:t>
      </w:r>
      <w:r w:rsidRPr="00290E22">
        <w:rPr>
          <w:rFonts w:ascii="Times New Roman" w:hAnsi="Times New Roman"/>
        </w:rPr>
        <w:t xml:space="preserve"> consolidated within </w:t>
      </w:r>
      <w:r w:rsidRPr="00290E22">
        <w:rPr>
          <w:rFonts w:ascii="Times New Roman" w:hAnsi="Times New Roman"/>
        </w:rPr>
        <w:lastRenderedPageBreak/>
        <w:t xml:space="preserve">the text of a unitary, comprehensive final regulation, thus reducing the regulatory burdens on applicants for exemptive relief.  </w:t>
      </w:r>
      <w:r w:rsidRPr="00290E22" w:rsidR="009E6B59">
        <w:rPr>
          <w:rFonts w:ascii="Times New Roman" w:hAnsi="Times New Roman"/>
        </w:rPr>
        <w:t>T</w:t>
      </w:r>
      <w:r w:rsidRPr="00290E22" w:rsidR="003852F2">
        <w:rPr>
          <w:rFonts w:ascii="Times New Roman" w:hAnsi="Times New Roman"/>
        </w:rPr>
        <w:t>his updated procedure promote</w:t>
      </w:r>
      <w:r w:rsidRPr="00290E22" w:rsidR="009E6B59">
        <w:rPr>
          <w:rFonts w:ascii="Times New Roman" w:hAnsi="Times New Roman"/>
        </w:rPr>
        <w:t>s</w:t>
      </w:r>
      <w:r w:rsidRPr="00290E22" w:rsidR="003852F2">
        <w:rPr>
          <w:rFonts w:ascii="Times New Roman" w:hAnsi="Times New Roman"/>
        </w:rPr>
        <w:t xml:space="preserve"> the prompt and efficient consideration of all exemption applications by clarifying the types of information and documentation generally required for a complete filing, by affording expanded opportunities for the electronic submission of information and comments relating to an exemption, and by providing plan participants and other interested persons with a more thorough understanding of the exemption under consideration.</w:t>
      </w:r>
    </w:p>
    <w:p w:rsidRPr="00290E22" w:rsidR="00275363" w:rsidP="00931C21" w:rsidRDefault="00275363" w14:paraId="061BF8E3" w14:textId="77777777">
      <w:pPr>
        <w:widowControl/>
        <w:ind w:left="720"/>
        <w:rPr>
          <w:rFonts w:ascii="Times New Roman" w:hAnsi="Times New Roman"/>
        </w:rPr>
      </w:pPr>
    </w:p>
    <w:p w:rsidRPr="00290E22" w:rsidR="006A4CB2" w:rsidP="00931C21" w:rsidRDefault="00D4014F" w14:paraId="7A27C7FF" w14:textId="77777777">
      <w:pPr>
        <w:pStyle w:val="BodyText"/>
        <w:widowControl/>
        <w:spacing w:after="0"/>
        <w:ind w:left="720"/>
        <w:rPr>
          <w:rFonts w:ascii="Times New Roman" w:hAnsi="Times New Roman"/>
        </w:rPr>
      </w:pPr>
      <w:r w:rsidRPr="00290E22">
        <w:rPr>
          <w:rFonts w:ascii="Times New Roman" w:hAnsi="Times New Roman"/>
        </w:rPr>
        <w:t xml:space="preserve">Sections </w:t>
      </w:r>
      <w:r w:rsidRPr="00290E22" w:rsidR="00473B94">
        <w:rPr>
          <w:rFonts w:ascii="Times New Roman" w:hAnsi="Times New Roman"/>
        </w:rPr>
        <w:t xml:space="preserve">2570.34 and 2570.35 of the exemption procedure regulation </w:t>
      </w:r>
      <w:r w:rsidRPr="00290E22" w:rsidR="00C261D7">
        <w:rPr>
          <w:rFonts w:ascii="Times New Roman" w:hAnsi="Times New Roman"/>
        </w:rPr>
        <w:t>were</w:t>
      </w:r>
      <w:r w:rsidRPr="00290E22" w:rsidR="008A07F3">
        <w:rPr>
          <w:rFonts w:ascii="Times New Roman" w:hAnsi="Times New Roman"/>
        </w:rPr>
        <w:t xml:space="preserve"> </w:t>
      </w:r>
      <w:r w:rsidRPr="00290E22" w:rsidR="00473B94">
        <w:rPr>
          <w:rFonts w:ascii="Times New Roman" w:hAnsi="Times New Roman"/>
        </w:rPr>
        <w:t xml:space="preserve">expanded </w:t>
      </w:r>
      <w:r w:rsidRPr="00290E22" w:rsidR="008A07F3">
        <w:rPr>
          <w:rFonts w:ascii="Times New Roman" w:hAnsi="Times New Roman"/>
        </w:rPr>
        <w:t>as follows</w:t>
      </w:r>
      <w:r w:rsidRPr="00290E22">
        <w:rPr>
          <w:rFonts w:ascii="Times New Roman" w:hAnsi="Times New Roman"/>
          <w:color w:val="000000"/>
        </w:rPr>
        <w:t xml:space="preserve">: </w:t>
      </w:r>
      <w:r w:rsidRPr="00290E22" w:rsidR="008A07F3">
        <w:rPr>
          <w:rFonts w:ascii="Times New Roman" w:hAnsi="Times New Roman"/>
          <w:color w:val="000000"/>
        </w:rPr>
        <w:t xml:space="preserve">all applications </w:t>
      </w:r>
      <w:r w:rsidRPr="00290E22" w:rsidR="009E6B59">
        <w:rPr>
          <w:rFonts w:ascii="Times New Roman" w:hAnsi="Times New Roman"/>
          <w:color w:val="000000"/>
        </w:rPr>
        <w:t xml:space="preserve">are </w:t>
      </w:r>
      <w:r w:rsidRPr="00290E22" w:rsidR="008A07F3">
        <w:rPr>
          <w:rFonts w:ascii="Times New Roman" w:hAnsi="Times New Roman"/>
          <w:color w:val="000000"/>
        </w:rPr>
        <w:t xml:space="preserve">required to include </w:t>
      </w:r>
      <w:r w:rsidRPr="00290E22" w:rsidR="00473B94">
        <w:rPr>
          <w:rFonts w:ascii="Times New Roman" w:hAnsi="Times New Roman"/>
          <w:color w:val="000000"/>
        </w:rPr>
        <w:t xml:space="preserve">a chronology of events leading to the exemption transaction; </w:t>
      </w:r>
      <w:r w:rsidRPr="00290E22" w:rsidR="00473B94">
        <w:rPr>
          <w:rFonts w:ascii="Times New Roman" w:hAnsi="Times New Roman"/>
        </w:rPr>
        <w:t xml:space="preserve">the specialized statements from qualified independent appraisers </w:t>
      </w:r>
      <w:r w:rsidRPr="00290E22" w:rsidR="009E6B59">
        <w:rPr>
          <w:rFonts w:ascii="Times New Roman" w:hAnsi="Times New Roman"/>
        </w:rPr>
        <w:t xml:space="preserve"> </w:t>
      </w:r>
      <w:r w:rsidRPr="00290E22" w:rsidR="006545E3">
        <w:rPr>
          <w:rFonts w:ascii="Times New Roman" w:hAnsi="Times New Roman"/>
        </w:rPr>
        <w:t>require the appraisal report to be current and not more than one year old as of the date of the transaction and the appraiser’s rationale, credentials, and a statement regarding the appraiser’s independence from the parties involved in the transaction</w:t>
      </w:r>
      <w:r w:rsidRPr="00290E22" w:rsidR="008A07F3">
        <w:rPr>
          <w:rFonts w:ascii="Times New Roman" w:hAnsi="Times New Roman"/>
        </w:rPr>
        <w:t xml:space="preserve"> need to be included</w:t>
      </w:r>
      <w:r w:rsidRPr="00290E22" w:rsidR="006545E3">
        <w:rPr>
          <w:rFonts w:ascii="Times New Roman" w:hAnsi="Times New Roman"/>
        </w:rPr>
        <w:t>; a</w:t>
      </w:r>
      <w:r w:rsidRPr="00290E22" w:rsidR="006A4CB2">
        <w:rPr>
          <w:rFonts w:ascii="Times New Roman" w:hAnsi="Times New Roman"/>
        </w:rPr>
        <w:t xml:space="preserve"> new requirement </w:t>
      </w:r>
      <w:r w:rsidRPr="00290E22" w:rsidR="00C261D7">
        <w:rPr>
          <w:rFonts w:ascii="Times New Roman" w:hAnsi="Times New Roman"/>
        </w:rPr>
        <w:t>was</w:t>
      </w:r>
      <w:r w:rsidRPr="00290E22" w:rsidR="008A07F3">
        <w:rPr>
          <w:rFonts w:ascii="Times New Roman" w:hAnsi="Times New Roman"/>
        </w:rPr>
        <w:t xml:space="preserve"> added </w:t>
      </w:r>
      <w:r w:rsidRPr="00290E22" w:rsidR="006A4CB2">
        <w:rPr>
          <w:rFonts w:ascii="Times New Roman" w:hAnsi="Times New Roman"/>
        </w:rPr>
        <w:t xml:space="preserve">regarding the </w:t>
      </w:r>
      <w:r w:rsidRPr="00290E22" w:rsidR="00473B94">
        <w:rPr>
          <w:rFonts w:ascii="Times New Roman" w:hAnsi="Times New Roman"/>
        </w:rPr>
        <w:t>content requirements for specialized statements submitted by third-party experts other than qualified independent appraisers</w:t>
      </w:r>
      <w:r w:rsidRPr="00290E22" w:rsidR="006545E3">
        <w:rPr>
          <w:rFonts w:ascii="Times New Roman" w:hAnsi="Times New Roman"/>
        </w:rPr>
        <w:t>; a</w:t>
      </w:r>
      <w:r w:rsidRPr="00290E22" w:rsidR="006C48A3">
        <w:rPr>
          <w:rFonts w:ascii="Times New Roman" w:hAnsi="Times New Roman"/>
        </w:rPr>
        <w:t>nd statements from</w:t>
      </w:r>
      <w:r w:rsidRPr="00290E22" w:rsidR="006545E3">
        <w:rPr>
          <w:rFonts w:ascii="Times New Roman" w:hAnsi="Times New Roman"/>
        </w:rPr>
        <w:t xml:space="preserve"> qualified independent fiduciar</w:t>
      </w:r>
      <w:r w:rsidRPr="00290E22" w:rsidR="006C48A3">
        <w:rPr>
          <w:rFonts w:ascii="Times New Roman" w:hAnsi="Times New Roman"/>
        </w:rPr>
        <w:t>ies</w:t>
      </w:r>
      <w:r w:rsidRPr="00290E22" w:rsidR="009E6B59">
        <w:rPr>
          <w:rFonts w:ascii="Times New Roman" w:hAnsi="Times New Roman"/>
        </w:rPr>
        <w:t xml:space="preserve"> are </w:t>
      </w:r>
      <w:r w:rsidRPr="00290E22" w:rsidR="008A07F3">
        <w:rPr>
          <w:rFonts w:ascii="Times New Roman" w:hAnsi="Times New Roman"/>
        </w:rPr>
        <w:t xml:space="preserve">required </w:t>
      </w:r>
      <w:r w:rsidRPr="00290E22" w:rsidR="006545E3">
        <w:rPr>
          <w:rFonts w:ascii="Times New Roman" w:hAnsi="Times New Roman"/>
        </w:rPr>
        <w:t>t</w:t>
      </w:r>
      <w:r w:rsidRPr="00290E22" w:rsidR="006C48A3">
        <w:rPr>
          <w:rFonts w:ascii="Times New Roman" w:hAnsi="Times New Roman"/>
        </w:rPr>
        <w:t xml:space="preserve">o </w:t>
      </w:r>
      <w:r w:rsidRPr="00290E22" w:rsidR="006545E3">
        <w:rPr>
          <w:rFonts w:ascii="Times New Roman" w:hAnsi="Times New Roman"/>
        </w:rPr>
        <w:t xml:space="preserve">disclose </w:t>
      </w:r>
      <w:r w:rsidRPr="00290E22" w:rsidR="008A07F3">
        <w:rPr>
          <w:rFonts w:ascii="Times New Roman" w:hAnsi="Times New Roman"/>
        </w:rPr>
        <w:t>the</w:t>
      </w:r>
      <w:r w:rsidRPr="00290E22" w:rsidR="006C48A3">
        <w:rPr>
          <w:rFonts w:ascii="Times New Roman" w:hAnsi="Times New Roman"/>
        </w:rPr>
        <w:t xml:space="preserve"> </w:t>
      </w:r>
      <w:r w:rsidRPr="00290E22" w:rsidR="008A07F3">
        <w:rPr>
          <w:rFonts w:ascii="Times New Roman" w:hAnsi="Times New Roman"/>
        </w:rPr>
        <w:t xml:space="preserve">fiduciary’s </w:t>
      </w:r>
      <w:r w:rsidRPr="00290E22" w:rsidR="006545E3">
        <w:rPr>
          <w:rFonts w:ascii="Times New Roman" w:hAnsi="Times New Roman"/>
        </w:rPr>
        <w:t>qualifications, d</w:t>
      </w:r>
      <w:r w:rsidRPr="00290E22" w:rsidR="006A4CB2">
        <w:rPr>
          <w:rFonts w:ascii="Times New Roman" w:hAnsi="Times New Roman"/>
        </w:rPr>
        <w:t>u</w:t>
      </w:r>
      <w:r w:rsidR="00CA77E5">
        <w:rPr>
          <w:rFonts w:ascii="Times New Roman" w:hAnsi="Times New Roman"/>
        </w:rPr>
        <w:t>ties, and current compensation.</w:t>
      </w:r>
    </w:p>
    <w:p w:rsidRPr="00290E22" w:rsidR="008A07F3" w:rsidP="00931C21" w:rsidRDefault="008A07F3" w14:paraId="63306FEE" w14:textId="77777777">
      <w:pPr>
        <w:pStyle w:val="BodyText"/>
        <w:widowControl/>
        <w:spacing w:after="0"/>
        <w:ind w:left="720"/>
        <w:rPr>
          <w:rFonts w:ascii="Times New Roman" w:hAnsi="Times New Roman"/>
        </w:rPr>
      </w:pPr>
    </w:p>
    <w:p w:rsidRPr="00290E22" w:rsidR="00D511E3" w:rsidP="00931C21" w:rsidRDefault="00576E6A" w14:paraId="5442E5AF" w14:textId="77777777">
      <w:pPr>
        <w:pStyle w:val="BodyText"/>
        <w:widowControl/>
        <w:spacing w:after="0"/>
        <w:ind w:left="720"/>
        <w:rPr>
          <w:rFonts w:ascii="Times New Roman" w:hAnsi="Times New Roman"/>
        </w:rPr>
      </w:pPr>
      <w:r w:rsidRPr="00290E22">
        <w:rPr>
          <w:rFonts w:ascii="Times New Roman" w:hAnsi="Times New Roman"/>
        </w:rPr>
        <w:t xml:space="preserve">In order to provide interested persons (such as participants and beneficiaries) with a clear understanding of the exemption transaction, the Department </w:t>
      </w:r>
      <w:r w:rsidRPr="00290E22" w:rsidR="002F0609">
        <w:rPr>
          <w:rFonts w:ascii="Times New Roman" w:hAnsi="Times New Roman"/>
        </w:rPr>
        <w:t xml:space="preserve">also </w:t>
      </w:r>
      <w:r w:rsidRPr="00290E22">
        <w:rPr>
          <w:rFonts w:ascii="Times New Roman" w:hAnsi="Times New Roman"/>
        </w:rPr>
        <w:t xml:space="preserve">amended </w:t>
      </w:r>
      <w:r w:rsidRPr="00290E22" w:rsidR="00D511E3">
        <w:rPr>
          <w:rFonts w:ascii="Times New Roman" w:hAnsi="Times New Roman"/>
        </w:rPr>
        <w:t>section 2570.43</w:t>
      </w:r>
      <w:r w:rsidRPr="00290E22">
        <w:rPr>
          <w:rFonts w:ascii="Times New Roman" w:hAnsi="Times New Roman"/>
        </w:rPr>
        <w:t xml:space="preserve"> (through addition of new subsections (d) and (e)) </w:t>
      </w:r>
      <w:r w:rsidRPr="00290E22" w:rsidR="002F0609">
        <w:rPr>
          <w:rFonts w:ascii="Times New Roman" w:hAnsi="Times New Roman"/>
        </w:rPr>
        <w:t>to</w:t>
      </w:r>
      <w:r w:rsidRPr="00290E22">
        <w:rPr>
          <w:rFonts w:ascii="Times New Roman" w:hAnsi="Times New Roman"/>
        </w:rPr>
        <w:t xml:space="preserve"> require that certain exemption applicants (e.g., those seeking exemptive relief for relatively complex transactions) provide notice recipients with an additional statement that succinctly explains the essential facts and circumstances surr</w:t>
      </w:r>
      <w:r w:rsidR="00743B14">
        <w:rPr>
          <w:rFonts w:ascii="Times New Roman" w:hAnsi="Times New Roman"/>
        </w:rPr>
        <w:t>ounding the proposed exemption.</w:t>
      </w:r>
    </w:p>
    <w:p w:rsidRPr="00290E22" w:rsidR="00576E6A" w:rsidP="00931C21" w:rsidRDefault="00576E6A" w14:paraId="25725DD1" w14:textId="77777777">
      <w:pPr>
        <w:pStyle w:val="BodyText"/>
        <w:widowControl/>
        <w:spacing w:after="0"/>
        <w:ind w:left="720"/>
        <w:rPr>
          <w:rFonts w:ascii="Times New Roman" w:hAnsi="Times New Roman"/>
        </w:rPr>
      </w:pPr>
    </w:p>
    <w:p w:rsidRPr="00290E22" w:rsidR="00473B94" w:rsidP="00931C21" w:rsidRDefault="00903B05" w14:paraId="2F85DC57" w14:textId="77777777">
      <w:pPr>
        <w:pStyle w:val="BodyText"/>
        <w:widowControl/>
        <w:spacing w:after="0"/>
        <w:ind w:left="720"/>
        <w:rPr>
          <w:rFonts w:ascii="Times New Roman" w:hAnsi="Times New Roman"/>
          <w:color w:val="000000"/>
        </w:rPr>
      </w:pPr>
      <w:r w:rsidRPr="00290E22">
        <w:rPr>
          <w:rFonts w:ascii="Times New Roman" w:hAnsi="Times New Roman"/>
        </w:rPr>
        <w:t>Th</w:t>
      </w:r>
      <w:r w:rsidRPr="00290E22" w:rsidR="00576E6A">
        <w:rPr>
          <w:rFonts w:ascii="Times New Roman" w:hAnsi="Times New Roman"/>
        </w:rPr>
        <w:t>is additional statement, known as a summary of proposed exemption (SPE)</w:t>
      </w:r>
      <w:r w:rsidRPr="00290E22">
        <w:rPr>
          <w:rFonts w:ascii="Times New Roman" w:hAnsi="Times New Roman"/>
        </w:rPr>
        <w:t xml:space="preserve"> must be written in a manner calculated to be understood by the average recipient.  Among other things, the SPE must objectively describe the exemption transaction and the parties thereto, the reasons why the plan seeks to engage in the transaction, and the conditions and safeguards proposed to protect the plan and its participants from potential abuse or unnecessary risk of loss in the event the Department grants the </w:t>
      </w:r>
      <w:r w:rsidRPr="00290E22" w:rsidR="000A3021">
        <w:rPr>
          <w:rFonts w:ascii="Times New Roman" w:hAnsi="Times New Roman"/>
        </w:rPr>
        <w:t>exemption.  Applicants who must</w:t>
      </w:r>
      <w:r w:rsidRPr="00290E22">
        <w:rPr>
          <w:rFonts w:ascii="Times New Roman" w:hAnsi="Times New Roman"/>
        </w:rPr>
        <w:t xml:space="preserve"> provide interested persons with an SPE also</w:t>
      </w:r>
      <w:r w:rsidRPr="00290E22" w:rsidR="004108FB">
        <w:rPr>
          <w:rFonts w:ascii="Times New Roman" w:hAnsi="Times New Roman"/>
        </w:rPr>
        <w:t xml:space="preserve"> </w:t>
      </w:r>
      <w:r w:rsidRPr="00290E22" w:rsidR="009E6B59">
        <w:rPr>
          <w:rFonts w:ascii="Times New Roman" w:hAnsi="Times New Roman"/>
        </w:rPr>
        <w:t>are</w:t>
      </w:r>
      <w:r w:rsidRPr="00290E22">
        <w:rPr>
          <w:rFonts w:ascii="Times New Roman" w:hAnsi="Times New Roman"/>
        </w:rPr>
        <w:t xml:space="preserve"> required to furnish the Department with a copy of </w:t>
      </w:r>
      <w:r w:rsidRPr="00290E22" w:rsidR="00D511E3">
        <w:rPr>
          <w:rFonts w:ascii="Times New Roman" w:hAnsi="Times New Roman"/>
        </w:rPr>
        <w:t xml:space="preserve">the SPE </w:t>
      </w:r>
      <w:r w:rsidRPr="00290E22">
        <w:rPr>
          <w:rFonts w:ascii="Times New Roman" w:hAnsi="Times New Roman"/>
        </w:rPr>
        <w:t xml:space="preserve">for review </w:t>
      </w:r>
      <w:r w:rsidRPr="00290E22" w:rsidR="00D511E3">
        <w:rPr>
          <w:rFonts w:ascii="Times New Roman" w:hAnsi="Times New Roman"/>
        </w:rPr>
        <w:t xml:space="preserve">and approval before it is </w:t>
      </w:r>
      <w:r w:rsidRPr="00290E22">
        <w:rPr>
          <w:rFonts w:ascii="Times New Roman" w:hAnsi="Times New Roman"/>
        </w:rPr>
        <w:t>distribut</w:t>
      </w:r>
      <w:r w:rsidRPr="00290E22" w:rsidR="00D511E3">
        <w:rPr>
          <w:rFonts w:ascii="Times New Roman" w:hAnsi="Times New Roman"/>
        </w:rPr>
        <w:t>ed</w:t>
      </w:r>
      <w:r w:rsidRPr="00290E22" w:rsidR="000A3021">
        <w:rPr>
          <w:rFonts w:ascii="Times New Roman" w:hAnsi="Times New Roman"/>
        </w:rPr>
        <w:t xml:space="preserve"> to interested persons</w:t>
      </w:r>
      <w:r w:rsidRPr="00290E22">
        <w:rPr>
          <w:rFonts w:ascii="Times New Roman" w:hAnsi="Times New Roman"/>
        </w:rPr>
        <w:t>.</w:t>
      </w:r>
    </w:p>
    <w:p w:rsidRPr="00290E22" w:rsidR="008A07F3" w:rsidP="00931C21" w:rsidRDefault="008A07F3" w14:paraId="3D62BF09" w14:textId="77777777">
      <w:pPr>
        <w:widowControl/>
        <w:tabs>
          <w:tab w:val="left" w:pos="1800"/>
        </w:tabs>
        <w:ind w:left="720"/>
        <w:rPr>
          <w:rFonts w:ascii="Times New Roman" w:hAnsi="Times New Roman"/>
        </w:rPr>
      </w:pPr>
    </w:p>
    <w:p w:rsidRPr="00290E22" w:rsidR="00903B05" w:rsidP="00931C21" w:rsidRDefault="008A07F3" w14:paraId="10479669" w14:textId="77777777">
      <w:pPr>
        <w:widowControl/>
        <w:tabs>
          <w:tab w:val="left" w:pos="1800"/>
        </w:tabs>
        <w:ind w:left="720"/>
        <w:rPr>
          <w:rFonts w:ascii="Times New Roman" w:hAnsi="Times New Roman"/>
        </w:rPr>
      </w:pPr>
      <w:r w:rsidRPr="00290E22">
        <w:rPr>
          <w:rFonts w:ascii="Times New Roman" w:hAnsi="Times New Roman"/>
        </w:rPr>
        <w:t>Finally, t</w:t>
      </w:r>
      <w:r w:rsidRPr="00290E22" w:rsidR="00903B05">
        <w:rPr>
          <w:rFonts w:ascii="Times New Roman" w:hAnsi="Times New Roman"/>
        </w:rPr>
        <w:t>he Department amend</w:t>
      </w:r>
      <w:r w:rsidRPr="00290E22" w:rsidR="00576E6A">
        <w:rPr>
          <w:rFonts w:ascii="Times New Roman" w:hAnsi="Times New Roman"/>
        </w:rPr>
        <w:t>ed</w:t>
      </w:r>
      <w:r w:rsidRPr="00290E22" w:rsidR="00903B05">
        <w:rPr>
          <w:rFonts w:ascii="Times New Roman" w:hAnsi="Times New Roman"/>
        </w:rPr>
        <w:t xml:space="preserve"> §</w:t>
      </w:r>
      <w:r w:rsidRPr="00290E22" w:rsidR="00B77D5A">
        <w:rPr>
          <w:rFonts w:ascii="Times New Roman" w:hAnsi="Times New Roman"/>
        </w:rPr>
        <w:t>2570.43</w:t>
      </w:r>
      <w:r w:rsidRPr="00290E22" w:rsidR="00903B05">
        <w:rPr>
          <w:rFonts w:ascii="Times New Roman" w:hAnsi="Times New Roman"/>
        </w:rPr>
        <w:t xml:space="preserve"> to permit applicants to utilize electronic means (such as e-mail) to deliver notice to interested persons of a pending exemption, provided that the applicant </w:t>
      </w:r>
      <w:r w:rsidRPr="00290E22" w:rsidR="00C7418D">
        <w:rPr>
          <w:rFonts w:ascii="Times New Roman" w:hAnsi="Times New Roman"/>
        </w:rPr>
        <w:t>can demonstrate satisfactory proof</w:t>
      </w:r>
      <w:r w:rsidRPr="00290E22" w:rsidR="00903B05">
        <w:rPr>
          <w:rFonts w:ascii="Times New Roman" w:hAnsi="Times New Roman"/>
        </w:rPr>
        <w:t xml:space="preserve"> of electronic delivery to the entire class of i</w:t>
      </w:r>
      <w:r w:rsidR="00743B14">
        <w:rPr>
          <w:rFonts w:ascii="Times New Roman" w:hAnsi="Times New Roman"/>
        </w:rPr>
        <w:t>nterested persons.</w:t>
      </w:r>
    </w:p>
    <w:p w:rsidRPr="00290E22" w:rsidR="00275363" w:rsidP="00931C21" w:rsidRDefault="00275363" w14:paraId="25620154" w14:textId="77777777">
      <w:pPr>
        <w:widowControl/>
        <w:ind w:left="720"/>
        <w:rPr>
          <w:rFonts w:ascii="Times New Roman" w:hAnsi="Times New Roman"/>
        </w:rPr>
      </w:pPr>
    </w:p>
    <w:p w:rsidR="00602136" w:rsidP="00931C21" w:rsidRDefault="00602136" w14:paraId="3BD9BC6C" w14:textId="5AACF057">
      <w:pPr>
        <w:widowControl/>
        <w:ind w:left="720"/>
        <w:rPr>
          <w:rFonts w:ascii="Times New Roman" w:hAnsi="Times New Roman"/>
        </w:rPr>
      </w:pPr>
      <w:r w:rsidRPr="00290E22">
        <w:rPr>
          <w:rFonts w:ascii="Times New Roman" w:hAnsi="Times New Roman"/>
        </w:rPr>
        <w:lastRenderedPageBreak/>
        <w:t xml:space="preserve">Section 408(a) of ERISA requires that before granting an exemption from sections 406(a) or 407(a) of ERISA, the Secretary “shall require that adequate notice be given to interested persons, and shall afford interested persons opportunity to present views.”  Thus, section 2570.43 of the exemption procedure regulation requires that the applicant for an exemption provide interested persons with a copy of the </w:t>
      </w:r>
      <w:r w:rsidRPr="00290E22">
        <w:rPr>
          <w:rFonts w:ascii="Times New Roman" w:hAnsi="Times New Roman"/>
          <w:u w:val="single"/>
        </w:rPr>
        <w:t>Federal Register</w:t>
      </w:r>
      <w:r w:rsidRPr="00290E22">
        <w:rPr>
          <w:rFonts w:ascii="Times New Roman" w:hAnsi="Times New Roman"/>
        </w:rPr>
        <w:t xml:space="preserve"> notice containing the proposed exemption and a statement that informs them of their right to comment</w:t>
      </w:r>
      <w:r w:rsidR="00743B14">
        <w:rPr>
          <w:rFonts w:ascii="Times New Roman" w:hAnsi="Times New Roman"/>
        </w:rPr>
        <w:t xml:space="preserve"> on the proposed exemption.</w:t>
      </w:r>
    </w:p>
    <w:p w:rsidR="002B1299" w:rsidP="00931C21" w:rsidRDefault="002B1299" w14:paraId="378D1192" w14:textId="2FA1D7C2">
      <w:pPr>
        <w:widowControl/>
        <w:ind w:left="720"/>
        <w:rPr>
          <w:rFonts w:ascii="Times New Roman" w:hAnsi="Times New Roman"/>
        </w:rPr>
      </w:pPr>
    </w:p>
    <w:p w:rsidRPr="002B1299" w:rsidR="002B1299" w:rsidP="002B1299" w:rsidRDefault="002B1299" w14:paraId="0DB9427B" w14:textId="77777777">
      <w:pPr>
        <w:widowControl/>
        <w:ind w:left="720"/>
        <w:rPr>
          <w:rFonts w:ascii="Times New Roman" w:hAnsi="Times New Roman"/>
          <w:b/>
          <w:i/>
        </w:rPr>
      </w:pPr>
      <w:r w:rsidRPr="002B1299">
        <w:rPr>
          <w:rFonts w:ascii="Times New Roman" w:hAnsi="Times New Roman"/>
          <w:b/>
          <w:i/>
        </w:rPr>
        <w:t>Proposed Changes to the Exemption Procedure Regulation</w:t>
      </w:r>
    </w:p>
    <w:p w:rsidR="002B1299" w:rsidP="00931C21" w:rsidRDefault="002B1299" w14:paraId="6EDF048A" w14:textId="5E388717">
      <w:pPr>
        <w:widowControl/>
        <w:ind w:left="720"/>
        <w:rPr>
          <w:rFonts w:ascii="Times New Roman" w:hAnsi="Times New Roman"/>
        </w:rPr>
      </w:pPr>
    </w:p>
    <w:p w:rsidRPr="00290E22" w:rsidR="002B1299" w:rsidP="00931C21" w:rsidRDefault="00126958" w14:paraId="39A373E5" w14:textId="22035D56">
      <w:pPr>
        <w:widowControl/>
        <w:ind w:left="720"/>
        <w:rPr>
          <w:rFonts w:ascii="Times New Roman" w:hAnsi="Times New Roman"/>
        </w:rPr>
      </w:pPr>
      <w:r w:rsidRPr="00126958">
        <w:rPr>
          <w:rFonts w:ascii="Times New Roman" w:hAnsi="Times New Roman"/>
        </w:rPr>
        <w:t xml:space="preserve">The current Exemption Procedure Regulation consists of 23 individual sections (§ 2570.30 through § 2570.52) arranged by topic that generally reflect the chronological order of the steps the Department takes to process an exemption application. This proposed revision to the Exemption Procedure Regulation retains the current section-by-section topical structure and most of the operative language. The Department made some proposed changes to the Exemption Procedure Regulation to improve its readability and other substantive amendments that are discussed below.  The Department requests comments on these changes, particularly whether the changes improve the clarity of the procedure and whether additional clarifying edits would be useful.  </w:t>
      </w:r>
    </w:p>
    <w:p w:rsidRPr="00290E22" w:rsidR="00602136" w:rsidP="00931C21" w:rsidRDefault="00602136" w14:paraId="2B1E4AF6" w14:textId="77777777">
      <w:pPr>
        <w:widowControl/>
        <w:ind w:left="720"/>
        <w:rPr>
          <w:rFonts w:ascii="Times New Roman" w:hAnsi="Times New Roman"/>
        </w:rPr>
      </w:pPr>
    </w:p>
    <w:p w:rsidRPr="00940037" w:rsidR="00602136" w:rsidP="00931C21" w:rsidRDefault="00602136" w14:paraId="442E7D09" w14:textId="77777777">
      <w:pPr>
        <w:pStyle w:val="Quick1"/>
        <w:widowControl/>
        <w:numPr>
          <w:ilvl w:val="0"/>
          <w:numId w:val="1"/>
        </w:numPr>
        <w:tabs>
          <w:tab w:val="left" w:pos="-1440"/>
          <w:tab w:val="num" w:pos="720"/>
        </w:tabs>
        <w:rPr>
          <w:rFonts w:ascii="Times New Roman" w:hAnsi="Times New Roman"/>
          <w:b/>
        </w:rPr>
      </w:pPr>
      <w:r w:rsidRPr="00940037">
        <w:rPr>
          <w:rFonts w:ascii="Times New Roman" w:hAnsi="Times New Roman"/>
          <w:b/>
          <w:iCs/>
        </w:rPr>
        <w:t>Indicate how, by whom, and for what purpose the information is to be used.  Except for a new collection, indicate the actual use the agency has made of the information received from the current collection.</w:t>
      </w:r>
    </w:p>
    <w:p w:rsidRPr="00290E22" w:rsidR="00602136" w:rsidP="00931C21" w:rsidRDefault="00602136" w14:paraId="467F888D" w14:textId="77777777">
      <w:pPr>
        <w:widowControl/>
        <w:ind w:left="720"/>
        <w:rPr>
          <w:rFonts w:ascii="Times New Roman" w:hAnsi="Times New Roman"/>
        </w:rPr>
      </w:pPr>
    </w:p>
    <w:p w:rsidRPr="00290E22" w:rsidR="00602136" w:rsidP="00931C21" w:rsidRDefault="00602136" w14:paraId="25A6719A" w14:textId="77777777">
      <w:pPr>
        <w:widowControl/>
        <w:ind w:left="720"/>
        <w:rPr>
          <w:rFonts w:ascii="Times New Roman" w:hAnsi="Times New Roman"/>
        </w:rPr>
      </w:pPr>
      <w:r w:rsidRPr="00290E22">
        <w:rPr>
          <w:rFonts w:ascii="Times New Roman" w:hAnsi="Times New Roman"/>
        </w:rPr>
        <w:t>There are two information disclosure requirements incorporated within the exemption procedure regulation.  The first requirement</w:t>
      </w:r>
      <w:r w:rsidRPr="00290E22" w:rsidR="005D7313">
        <w:rPr>
          <w:rFonts w:ascii="Times New Roman" w:hAnsi="Times New Roman"/>
        </w:rPr>
        <w:t xml:space="preserve"> states </w:t>
      </w:r>
      <w:r w:rsidRPr="00290E22">
        <w:rPr>
          <w:rFonts w:ascii="Times New Roman" w:hAnsi="Times New Roman"/>
        </w:rPr>
        <w:t xml:space="preserve">that an applicant for an exemption </w:t>
      </w:r>
      <w:r w:rsidRPr="00290E22" w:rsidR="003169B4">
        <w:rPr>
          <w:rFonts w:ascii="Times New Roman" w:hAnsi="Times New Roman"/>
        </w:rPr>
        <w:t xml:space="preserve">must </w:t>
      </w:r>
      <w:r w:rsidRPr="00290E22">
        <w:rPr>
          <w:rFonts w:ascii="Times New Roman" w:hAnsi="Times New Roman"/>
        </w:rPr>
        <w:t xml:space="preserve">disclose information regarding the application and certify that </w:t>
      </w:r>
      <w:r w:rsidRPr="00290E22" w:rsidR="005D7313">
        <w:rPr>
          <w:rFonts w:ascii="Times New Roman" w:hAnsi="Times New Roman"/>
        </w:rPr>
        <w:t xml:space="preserve">the </w:t>
      </w:r>
      <w:r w:rsidRPr="00290E22">
        <w:rPr>
          <w:rFonts w:ascii="Times New Roman" w:hAnsi="Times New Roman"/>
        </w:rPr>
        <w:t>information</w:t>
      </w:r>
      <w:r w:rsidRPr="00290E22" w:rsidR="005D7313">
        <w:rPr>
          <w:rFonts w:ascii="Times New Roman" w:hAnsi="Times New Roman"/>
        </w:rPr>
        <w:t xml:space="preserve"> </w:t>
      </w:r>
      <w:r w:rsidRPr="00290E22">
        <w:rPr>
          <w:rFonts w:ascii="Times New Roman" w:hAnsi="Times New Roman"/>
        </w:rPr>
        <w:t xml:space="preserve">is necessary in order for the Department to make an informed determination regarding the application.  The second requirement, </w:t>
      </w:r>
      <w:r w:rsidRPr="00290E22" w:rsidR="003169B4">
        <w:rPr>
          <w:rFonts w:ascii="Times New Roman" w:hAnsi="Times New Roman"/>
        </w:rPr>
        <w:t xml:space="preserve">the </w:t>
      </w:r>
      <w:r w:rsidRPr="00290E22">
        <w:rPr>
          <w:rFonts w:ascii="Times New Roman" w:hAnsi="Times New Roman"/>
        </w:rPr>
        <w:t>notice to interested persons, ensures that participants and beneficiaries are informed of the application for exemption and have an opportunity to respond.</w:t>
      </w:r>
    </w:p>
    <w:p w:rsidRPr="00290E22" w:rsidR="00602136" w:rsidP="00931C21" w:rsidRDefault="00602136" w14:paraId="7D60D564" w14:textId="77777777">
      <w:pPr>
        <w:widowControl/>
        <w:ind w:left="720"/>
        <w:rPr>
          <w:rFonts w:ascii="Times New Roman" w:hAnsi="Times New Roman"/>
        </w:rPr>
      </w:pPr>
    </w:p>
    <w:p w:rsidRPr="00940037" w:rsidR="00602136" w:rsidP="00931C21" w:rsidRDefault="00602136" w14:paraId="06E7633B" w14:textId="77777777">
      <w:pPr>
        <w:pStyle w:val="Quick1"/>
        <w:widowControl/>
        <w:numPr>
          <w:ilvl w:val="0"/>
          <w:numId w:val="1"/>
        </w:numPr>
        <w:tabs>
          <w:tab w:val="left" w:pos="-1440"/>
          <w:tab w:val="num" w:pos="720"/>
        </w:tabs>
        <w:rPr>
          <w:rFonts w:ascii="Times New Roman" w:hAnsi="Times New Roman"/>
          <w:b/>
          <w:iCs/>
        </w:rPr>
      </w:pPr>
      <w:r w:rsidRPr="00940037">
        <w:rPr>
          <w:rFonts w:ascii="Times New Roman" w:hAnsi="Times New Roman"/>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290E22" w:rsidR="00602136" w:rsidP="00931C21" w:rsidRDefault="00602136" w14:paraId="75D67252" w14:textId="77777777">
      <w:pPr>
        <w:widowControl/>
        <w:ind w:left="720"/>
        <w:rPr>
          <w:rFonts w:ascii="Times New Roman" w:hAnsi="Times New Roman"/>
        </w:rPr>
      </w:pPr>
    </w:p>
    <w:p w:rsidRPr="007D073E" w:rsidR="007D073E" w:rsidP="00EF106C" w:rsidRDefault="00243D46" w14:paraId="148E80B0" w14:textId="0AE99261">
      <w:pPr>
        <w:ind w:left="720"/>
        <w:rPr>
          <w:rFonts w:ascii="Times New Roman" w:hAnsi="Times New Roman"/>
        </w:rPr>
      </w:pPr>
      <w:r w:rsidRPr="6EA4E4D1">
        <w:rPr>
          <w:rFonts w:ascii="Times New Roman" w:hAnsi="Times New Roman"/>
        </w:rPr>
        <w:t xml:space="preserve">The Department’s 2011 final rule </w:t>
      </w:r>
      <w:r w:rsidRPr="6EA4E4D1" w:rsidR="00BA5F53">
        <w:rPr>
          <w:rFonts w:ascii="Times New Roman" w:hAnsi="Times New Roman"/>
        </w:rPr>
        <w:t xml:space="preserve">provides </w:t>
      </w:r>
      <w:r w:rsidRPr="6EA4E4D1" w:rsidR="000F460F">
        <w:rPr>
          <w:rFonts w:ascii="Times New Roman" w:hAnsi="Times New Roman"/>
        </w:rPr>
        <w:t xml:space="preserve">that the method used to </w:t>
      </w:r>
      <w:r w:rsidRPr="6EA4E4D1">
        <w:rPr>
          <w:rFonts w:ascii="Times New Roman" w:hAnsi="Times New Roman"/>
        </w:rPr>
        <w:t xml:space="preserve">furnish the </w:t>
      </w:r>
      <w:r w:rsidRPr="6EA4E4D1" w:rsidR="000F460F">
        <w:rPr>
          <w:rFonts w:ascii="Times New Roman" w:hAnsi="Times New Roman"/>
        </w:rPr>
        <w:t>notice</w:t>
      </w:r>
      <w:r w:rsidRPr="6EA4E4D1">
        <w:rPr>
          <w:rFonts w:ascii="Times New Roman" w:hAnsi="Times New Roman"/>
        </w:rPr>
        <w:t xml:space="preserve"> to</w:t>
      </w:r>
      <w:r w:rsidRPr="6EA4E4D1" w:rsidR="000F460F">
        <w:rPr>
          <w:rFonts w:ascii="Times New Roman" w:hAnsi="Times New Roman"/>
        </w:rPr>
        <w:t xml:space="preserve"> interested persons “must be reasonably calculated to ensure that interest</w:t>
      </w:r>
      <w:r w:rsidRPr="6EA4E4D1">
        <w:rPr>
          <w:rFonts w:ascii="Times New Roman" w:hAnsi="Times New Roman"/>
        </w:rPr>
        <w:t>ed</w:t>
      </w:r>
      <w:r w:rsidRPr="6EA4E4D1" w:rsidR="000F460F">
        <w:rPr>
          <w:rFonts w:ascii="Times New Roman" w:hAnsi="Times New Roman"/>
        </w:rPr>
        <w:t xml:space="preserve"> persons actually receive the notice.”</w:t>
      </w:r>
      <w:r w:rsidRPr="6EA4E4D1">
        <w:rPr>
          <w:rFonts w:ascii="Times New Roman" w:hAnsi="Times New Roman"/>
        </w:rPr>
        <w:t xml:space="preserve"> (29 CFR </w:t>
      </w:r>
      <w:r>
        <w:t>§</w:t>
      </w:r>
      <w:r w:rsidRPr="6EA4E4D1">
        <w:rPr>
          <w:rFonts w:ascii="Times New Roman" w:hAnsi="Times New Roman"/>
        </w:rPr>
        <w:t xml:space="preserve"> 2570.43(b))</w:t>
      </w:r>
      <w:r w:rsidRPr="6EA4E4D1" w:rsidR="000F460F">
        <w:rPr>
          <w:rFonts w:ascii="Times New Roman" w:hAnsi="Times New Roman"/>
        </w:rPr>
        <w:t xml:space="preserve"> The rule specifies that applicants </w:t>
      </w:r>
      <w:r w:rsidRPr="6EA4E4D1" w:rsidR="000F460F">
        <w:rPr>
          <w:rFonts w:ascii="Times New Roman" w:hAnsi="Times New Roman"/>
        </w:rPr>
        <w:lastRenderedPageBreak/>
        <w:t>who furnish notices electronically must “provide satisfactory proof of electronic delivery to the entire class of interested persons</w:t>
      </w:r>
      <w:proofErr w:type="gramStart"/>
      <w:r w:rsidRPr="6EA4E4D1">
        <w:rPr>
          <w:rFonts w:ascii="Times New Roman" w:hAnsi="Times New Roman"/>
        </w:rPr>
        <w:t>,</w:t>
      </w:r>
      <w:r w:rsidRPr="6EA4E4D1" w:rsidR="000F460F">
        <w:rPr>
          <w:rFonts w:ascii="Times New Roman" w:hAnsi="Times New Roman"/>
        </w:rPr>
        <w:t>”</w:t>
      </w:r>
      <w:r w:rsidRPr="6EA4E4D1" w:rsidR="00BE168C">
        <w:rPr>
          <w:rFonts w:ascii="Times New Roman" w:hAnsi="Times New Roman"/>
        </w:rPr>
        <w:t xml:space="preserve"> </w:t>
      </w:r>
      <w:r w:rsidRPr="6EA4E4D1" w:rsidR="00632791">
        <w:rPr>
          <w:rFonts w:ascii="Times New Roman" w:hAnsi="Times New Roman"/>
        </w:rPr>
        <w:t xml:space="preserve"> </w:t>
      </w:r>
      <w:r w:rsidRPr="6EA4E4D1">
        <w:rPr>
          <w:rFonts w:ascii="Times New Roman" w:hAnsi="Times New Roman"/>
        </w:rPr>
        <w:t>and</w:t>
      </w:r>
      <w:proofErr w:type="gramEnd"/>
      <w:r w:rsidRPr="6EA4E4D1">
        <w:rPr>
          <w:rFonts w:ascii="Times New Roman" w:hAnsi="Times New Roman"/>
        </w:rPr>
        <w:t xml:space="preserve"> </w:t>
      </w:r>
      <w:r w:rsidRPr="6EA4E4D1" w:rsidR="00632791">
        <w:rPr>
          <w:rFonts w:ascii="Times New Roman" w:hAnsi="Times New Roman"/>
        </w:rPr>
        <w:t xml:space="preserve">that </w:t>
      </w:r>
      <w:r w:rsidRPr="6EA4E4D1" w:rsidR="007D073E">
        <w:rPr>
          <w:rFonts w:ascii="Times New Roman" w:hAnsi="Times New Roman"/>
        </w:rPr>
        <w:t>“</w:t>
      </w:r>
      <w:r w:rsidRPr="6EA4E4D1">
        <w:rPr>
          <w:rFonts w:ascii="Times New Roman" w:hAnsi="Times New Roman"/>
        </w:rPr>
        <w:t>[i]</w:t>
      </w:r>
      <w:r w:rsidRPr="6EA4E4D1" w:rsidR="007D073E">
        <w:rPr>
          <w:rFonts w:ascii="Times New Roman" w:hAnsi="Times New Roman"/>
        </w:rPr>
        <w:t>n all cases, personal delivery and delivery by first-class mail will be considered reasonable methods of furnishing notice</w:t>
      </w:r>
      <w:r w:rsidRPr="6EA4E4D1">
        <w:rPr>
          <w:rFonts w:ascii="Times New Roman" w:hAnsi="Times New Roman"/>
        </w:rPr>
        <w:t>.</w:t>
      </w:r>
      <w:r w:rsidRPr="6EA4E4D1" w:rsidR="007D073E">
        <w:rPr>
          <w:rFonts w:ascii="Times New Roman" w:hAnsi="Times New Roman"/>
        </w:rPr>
        <w:t xml:space="preserve">” </w:t>
      </w:r>
      <w:r w:rsidRPr="6EA4E4D1">
        <w:rPr>
          <w:rFonts w:ascii="Times New Roman" w:hAnsi="Times New Roman"/>
        </w:rPr>
        <w:t xml:space="preserve"> Therefore, based on the foregoing, the Department assumes </w:t>
      </w:r>
      <w:r w:rsidRPr="6EA4E4D1" w:rsidR="007D073E">
        <w:rPr>
          <w:rFonts w:ascii="Times New Roman" w:hAnsi="Times New Roman"/>
        </w:rPr>
        <w:t xml:space="preserve">that </w:t>
      </w:r>
      <w:r w:rsidRPr="6EA4E4D1">
        <w:rPr>
          <w:rFonts w:ascii="Times New Roman" w:hAnsi="Times New Roman"/>
        </w:rPr>
        <w:t xml:space="preserve">applicants </w:t>
      </w:r>
      <w:r w:rsidRPr="6EA4E4D1" w:rsidR="00EF4425">
        <w:rPr>
          <w:rFonts w:ascii="Times New Roman" w:hAnsi="Times New Roman"/>
        </w:rPr>
        <w:t>will</w:t>
      </w:r>
      <w:r w:rsidRPr="6EA4E4D1">
        <w:rPr>
          <w:rFonts w:ascii="Times New Roman" w:hAnsi="Times New Roman"/>
        </w:rPr>
        <w:t xml:space="preserve"> furnish </w:t>
      </w:r>
      <w:r w:rsidRPr="6EA4E4D1" w:rsidR="007D073E">
        <w:rPr>
          <w:rFonts w:ascii="Times New Roman" w:hAnsi="Times New Roman"/>
        </w:rPr>
        <w:t xml:space="preserve">most notices by first class mail to </w:t>
      </w:r>
      <w:r w:rsidRPr="6EA4E4D1">
        <w:rPr>
          <w:rFonts w:ascii="Times New Roman" w:hAnsi="Times New Roman"/>
        </w:rPr>
        <w:t xml:space="preserve">ensure that they satisfy the regulatory requirements. </w:t>
      </w:r>
    </w:p>
    <w:p w:rsidRPr="00290E22" w:rsidR="00602136" w:rsidP="00931C21" w:rsidRDefault="00602136" w14:paraId="19CA88B6" w14:textId="77777777">
      <w:pPr>
        <w:widowControl/>
        <w:ind w:left="720"/>
        <w:rPr>
          <w:rFonts w:ascii="Times New Roman" w:hAnsi="Times New Roman"/>
        </w:rPr>
      </w:pPr>
    </w:p>
    <w:p w:rsidRPr="00940037" w:rsidR="00602136" w:rsidP="00931C21" w:rsidRDefault="00602136" w14:paraId="09EB62B8" w14:textId="77777777">
      <w:pPr>
        <w:widowControl/>
        <w:tabs>
          <w:tab w:val="left" w:pos="-1440"/>
        </w:tabs>
        <w:ind w:left="720" w:hanging="720"/>
        <w:rPr>
          <w:rFonts w:ascii="Times New Roman" w:hAnsi="Times New Roman"/>
          <w:b/>
        </w:rPr>
      </w:pPr>
      <w:r w:rsidRPr="00940037">
        <w:rPr>
          <w:rFonts w:ascii="Times New Roman" w:hAnsi="Times New Roman"/>
          <w:b/>
        </w:rPr>
        <w:t>4.</w:t>
      </w:r>
      <w:r w:rsidRPr="00940037">
        <w:rPr>
          <w:rFonts w:ascii="Times New Roman" w:hAnsi="Times New Roman"/>
          <w:b/>
          <w:iCs/>
        </w:rPr>
        <w:tab/>
        <w:t>Describe efforts to identify duplication.  Show specifically why any similar information already available cannot be used or modified for use for the purposes described in Item 2 above.</w:t>
      </w:r>
    </w:p>
    <w:p w:rsidRPr="00290E22" w:rsidR="00602136" w:rsidP="00931C21" w:rsidRDefault="00602136" w14:paraId="2636F3F4" w14:textId="77777777">
      <w:pPr>
        <w:widowControl/>
        <w:ind w:left="720"/>
        <w:rPr>
          <w:rFonts w:ascii="Times New Roman" w:hAnsi="Times New Roman"/>
        </w:rPr>
      </w:pPr>
    </w:p>
    <w:p w:rsidRPr="00290E22" w:rsidR="00602136" w:rsidP="00931C21" w:rsidRDefault="00602136" w14:paraId="25399994" w14:textId="7A5CA8D8">
      <w:pPr>
        <w:widowControl/>
        <w:ind w:left="720"/>
        <w:rPr>
          <w:rFonts w:ascii="Times New Roman" w:hAnsi="Times New Roman"/>
        </w:rPr>
      </w:pPr>
      <w:r w:rsidRPr="6EA4E4D1">
        <w:rPr>
          <w:rFonts w:ascii="Times New Roman" w:hAnsi="Times New Roman"/>
        </w:rPr>
        <w:t xml:space="preserve">This procedure was originally issued jointly by the </w:t>
      </w:r>
      <w:proofErr w:type="gramStart"/>
      <w:r w:rsidRPr="6EA4E4D1">
        <w:rPr>
          <w:rFonts w:ascii="Times New Roman" w:hAnsi="Times New Roman"/>
        </w:rPr>
        <w:t>Department  and</w:t>
      </w:r>
      <w:proofErr w:type="gramEnd"/>
      <w:r w:rsidRPr="6EA4E4D1">
        <w:rPr>
          <w:rFonts w:ascii="Times New Roman" w:hAnsi="Times New Roman"/>
        </w:rPr>
        <w:t xml:space="preserve"> the Internal Revenue Service (IRS).  From 1975 to 1979, the exemption procedure was a joint procedure.  During this period, two copies of the application had to be filed with both the Department and the IRS.  However, Reorganization Plan No. 4 published in the </w:t>
      </w:r>
      <w:r w:rsidRPr="6EA4E4D1">
        <w:rPr>
          <w:rFonts w:ascii="Times New Roman" w:hAnsi="Times New Roman"/>
          <w:u w:val="single"/>
        </w:rPr>
        <w:t xml:space="preserve">Federal Register </w:t>
      </w:r>
      <w:r w:rsidRPr="6EA4E4D1">
        <w:rPr>
          <w:rFonts w:ascii="Times New Roman" w:hAnsi="Times New Roman"/>
        </w:rPr>
        <w:t>on October 17, 1978 eliminated duplication in this area.  Currently, applications are filed only with the Department.</w:t>
      </w:r>
    </w:p>
    <w:p w:rsidRPr="00940037" w:rsidR="00602136" w:rsidP="00931C21" w:rsidRDefault="00602136" w14:paraId="2DC5969D" w14:textId="77777777">
      <w:pPr>
        <w:widowControl/>
        <w:ind w:left="720"/>
        <w:rPr>
          <w:rFonts w:ascii="Times New Roman" w:hAnsi="Times New Roman"/>
          <w:b/>
        </w:rPr>
      </w:pPr>
    </w:p>
    <w:p w:rsidRPr="00940037" w:rsidR="00602136" w:rsidP="00931C21" w:rsidRDefault="00602136" w14:paraId="102FC254" w14:textId="77777777">
      <w:pPr>
        <w:pStyle w:val="Quick1"/>
        <w:widowControl/>
        <w:numPr>
          <w:ilvl w:val="0"/>
          <w:numId w:val="2"/>
        </w:numPr>
        <w:tabs>
          <w:tab w:val="left" w:pos="-1440"/>
          <w:tab w:val="num" w:pos="720"/>
        </w:tabs>
        <w:rPr>
          <w:rFonts w:ascii="Times New Roman" w:hAnsi="Times New Roman"/>
          <w:b/>
        </w:rPr>
      </w:pPr>
      <w:r w:rsidRPr="00940037">
        <w:rPr>
          <w:rFonts w:ascii="Times New Roman" w:hAnsi="Times New Roman"/>
          <w:b/>
        </w:rPr>
        <w:t>If the collection of information impacts small businesses or other small entities describe any methods used to minimize burden.</w:t>
      </w:r>
    </w:p>
    <w:p w:rsidRPr="00290E22" w:rsidR="00602136" w:rsidP="00931C21" w:rsidRDefault="00602136" w14:paraId="133EDA53" w14:textId="77777777">
      <w:pPr>
        <w:widowControl/>
        <w:ind w:left="720"/>
        <w:rPr>
          <w:rFonts w:ascii="Times New Roman" w:hAnsi="Times New Roman"/>
        </w:rPr>
      </w:pPr>
    </w:p>
    <w:p w:rsidRPr="00290E22" w:rsidR="00602136" w:rsidP="00931C21" w:rsidRDefault="00602136" w14:paraId="6D4A5267" w14:textId="77777777">
      <w:pPr>
        <w:widowControl/>
        <w:ind w:left="720"/>
        <w:rPr>
          <w:rFonts w:ascii="Times New Roman" w:hAnsi="Times New Roman"/>
        </w:rPr>
      </w:pPr>
      <w:r w:rsidRPr="00290E22">
        <w:rPr>
          <w:rFonts w:ascii="Times New Roman" w:hAnsi="Times New Roman"/>
        </w:rPr>
        <w:t xml:space="preserve">No provisions have been included in this exemption procedure regulation to simplify the application for small businesses.  Since the Department is required by the statute to make a finding in every case, it is not possible to require </w:t>
      </w:r>
      <w:r w:rsidRPr="00290E22" w:rsidR="004E43AC">
        <w:rPr>
          <w:rFonts w:ascii="Times New Roman" w:hAnsi="Times New Roman"/>
        </w:rPr>
        <w:t xml:space="preserve">different information </w:t>
      </w:r>
      <w:r w:rsidRPr="00290E22">
        <w:rPr>
          <w:rFonts w:ascii="Times New Roman" w:hAnsi="Times New Roman"/>
        </w:rPr>
        <w:t xml:space="preserve">to be provided for </w:t>
      </w:r>
      <w:r w:rsidRPr="00290E22" w:rsidR="004E43AC">
        <w:rPr>
          <w:rFonts w:ascii="Times New Roman" w:hAnsi="Times New Roman"/>
        </w:rPr>
        <w:t xml:space="preserve">large and </w:t>
      </w:r>
      <w:r w:rsidRPr="00290E22">
        <w:rPr>
          <w:rFonts w:ascii="Times New Roman" w:hAnsi="Times New Roman"/>
        </w:rPr>
        <w:t>small plan</w:t>
      </w:r>
      <w:r w:rsidRPr="00290E22" w:rsidR="004E43AC">
        <w:rPr>
          <w:rFonts w:ascii="Times New Roman" w:hAnsi="Times New Roman"/>
        </w:rPr>
        <w:t>s</w:t>
      </w:r>
      <w:r w:rsidRPr="00290E22">
        <w:rPr>
          <w:rFonts w:ascii="Times New Roman" w:hAnsi="Times New Roman"/>
        </w:rPr>
        <w:t>.  The potential for abuse in any specific transaction is not less in small plans than in large plans, and participants and beneficiaries in small plans are afforded the same rights to protections under this exemption procedure regulatio</w:t>
      </w:r>
      <w:r w:rsidR="000D3658">
        <w:rPr>
          <w:rFonts w:ascii="Times New Roman" w:hAnsi="Times New Roman"/>
        </w:rPr>
        <w:t>n as those in large plans.</w:t>
      </w:r>
    </w:p>
    <w:p w:rsidRPr="00290E22" w:rsidR="00602136" w:rsidP="00931C21" w:rsidRDefault="00602136" w14:paraId="574838B8" w14:textId="77777777">
      <w:pPr>
        <w:widowControl/>
        <w:ind w:left="720"/>
        <w:rPr>
          <w:rFonts w:ascii="Times New Roman" w:hAnsi="Times New Roman"/>
        </w:rPr>
      </w:pPr>
    </w:p>
    <w:p w:rsidRPr="00940037" w:rsidR="00602136" w:rsidP="00931C21" w:rsidRDefault="00602136" w14:paraId="08B4DC10" w14:textId="77777777">
      <w:pPr>
        <w:widowControl/>
        <w:tabs>
          <w:tab w:val="left" w:pos="-1440"/>
        </w:tabs>
        <w:ind w:left="720" w:hanging="720"/>
        <w:rPr>
          <w:rFonts w:ascii="Times New Roman" w:hAnsi="Times New Roman"/>
          <w:b/>
        </w:rPr>
      </w:pPr>
      <w:r w:rsidRPr="00940037">
        <w:rPr>
          <w:rFonts w:ascii="Times New Roman" w:hAnsi="Times New Roman"/>
          <w:b/>
        </w:rPr>
        <w:t>6.</w:t>
      </w:r>
      <w:r w:rsidRPr="00940037">
        <w:rPr>
          <w:rFonts w:ascii="Times New Roman" w:hAnsi="Times New Roman"/>
          <w:b/>
        </w:rPr>
        <w:tab/>
      </w:r>
      <w:r w:rsidRPr="00940037">
        <w:rPr>
          <w:rFonts w:ascii="Times New Roman" w:hAnsi="Times New Roman"/>
          <w:b/>
          <w:iCs/>
        </w:rPr>
        <w:t>Describe the consequence to Federal program or policy activities if the collection is not conducted or is conducted less frequently, as well as any technical or legal obstacles to reducing burden.</w:t>
      </w:r>
    </w:p>
    <w:p w:rsidRPr="00940037" w:rsidR="00602136" w:rsidP="00931C21" w:rsidRDefault="00602136" w14:paraId="1D6B16E6" w14:textId="77777777">
      <w:pPr>
        <w:widowControl/>
        <w:ind w:left="720"/>
        <w:rPr>
          <w:rFonts w:ascii="Times New Roman" w:hAnsi="Times New Roman"/>
          <w:b/>
        </w:rPr>
      </w:pPr>
    </w:p>
    <w:p w:rsidRPr="00290E22" w:rsidR="00602136" w:rsidP="00931C21" w:rsidRDefault="00602136" w14:paraId="305A3B2A" w14:textId="77777777">
      <w:pPr>
        <w:widowControl/>
        <w:ind w:left="720"/>
        <w:rPr>
          <w:rFonts w:ascii="Times New Roman" w:hAnsi="Times New Roman"/>
        </w:rPr>
      </w:pPr>
      <w:r w:rsidRPr="00290E22">
        <w:rPr>
          <w:rFonts w:ascii="Times New Roman" w:hAnsi="Times New Roman"/>
        </w:rPr>
        <w:t xml:space="preserve">Each information collection relates only to a particular application for exemption.  The frequency of the collection relates only to the applicant’s election to enter into a transaction which would otherwise be prohibited by the </w:t>
      </w:r>
      <w:r w:rsidRPr="00290E22" w:rsidR="004E43AC">
        <w:rPr>
          <w:rFonts w:ascii="Times New Roman" w:hAnsi="Times New Roman"/>
        </w:rPr>
        <w:t>ERISA and the Code</w:t>
      </w:r>
      <w:r w:rsidRPr="00290E22">
        <w:rPr>
          <w:rFonts w:ascii="Times New Roman" w:hAnsi="Times New Roman"/>
        </w:rPr>
        <w:t xml:space="preserve">.  </w:t>
      </w:r>
    </w:p>
    <w:p w:rsidRPr="00290E22" w:rsidR="00602136" w:rsidP="00931C21" w:rsidRDefault="00602136" w14:paraId="109C8A49" w14:textId="77777777">
      <w:pPr>
        <w:widowControl/>
        <w:ind w:left="720"/>
        <w:rPr>
          <w:rFonts w:ascii="Times New Roman" w:hAnsi="Times New Roman"/>
        </w:rPr>
      </w:pPr>
    </w:p>
    <w:p w:rsidRPr="00940037" w:rsidR="00602136" w:rsidP="00931C21" w:rsidRDefault="00602136" w14:paraId="6071C5B2" w14:textId="77777777">
      <w:pPr>
        <w:pStyle w:val="Quick1"/>
        <w:widowControl/>
        <w:numPr>
          <w:ilvl w:val="0"/>
          <w:numId w:val="3"/>
        </w:numPr>
        <w:tabs>
          <w:tab w:val="left" w:pos="-1440"/>
          <w:tab w:val="num" w:pos="720"/>
        </w:tabs>
        <w:rPr>
          <w:rFonts w:ascii="Times New Roman" w:hAnsi="Times New Roman"/>
          <w:b/>
          <w:iCs/>
        </w:rPr>
      </w:pPr>
      <w:r w:rsidRPr="00940037">
        <w:rPr>
          <w:rFonts w:ascii="Times New Roman" w:hAnsi="Times New Roman"/>
          <w:b/>
          <w:iCs/>
        </w:rPr>
        <w:t>Explain any special circumstances that would cause an information collection to be conducted in a manner:</w:t>
      </w:r>
    </w:p>
    <w:p w:rsidRPr="00940037" w:rsidR="00602136" w:rsidP="00931C21" w:rsidRDefault="00602136" w14:paraId="07BA19D4" w14:textId="77777777">
      <w:pPr>
        <w:widowControl/>
        <w:tabs>
          <w:tab w:val="left" w:pos="-1440"/>
        </w:tabs>
        <w:ind w:left="1440" w:hanging="720"/>
        <w:rPr>
          <w:rFonts w:ascii="Times New Roman" w:hAnsi="Times New Roman"/>
          <w:b/>
          <w:iCs/>
        </w:rPr>
      </w:pPr>
      <w:r w:rsidRPr="00940037">
        <w:rPr>
          <w:rFonts w:ascii="Times New Roman" w:hAnsi="Times New Roman"/>
          <w:b/>
          <w:iCs/>
        </w:rPr>
        <w:t>•</w:t>
      </w:r>
      <w:r w:rsidRPr="00940037">
        <w:rPr>
          <w:rFonts w:ascii="Times New Roman" w:hAnsi="Times New Roman"/>
          <w:b/>
          <w:iCs/>
        </w:rPr>
        <w:tab/>
        <w:t>requiring respondents to report information to the agency more often than quarterly;</w:t>
      </w:r>
    </w:p>
    <w:p w:rsidRPr="00940037" w:rsidR="00602136" w:rsidP="00931C21" w:rsidRDefault="00602136" w14:paraId="097D9D88" w14:textId="77777777">
      <w:pPr>
        <w:widowControl/>
        <w:tabs>
          <w:tab w:val="left" w:pos="-1440"/>
        </w:tabs>
        <w:ind w:left="1440" w:hanging="720"/>
        <w:rPr>
          <w:rFonts w:ascii="Times New Roman" w:hAnsi="Times New Roman"/>
          <w:b/>
          <w:iCs/>
        </w:rPr>
      </w:pPr>
      <w:r w:rsidRPr="00940037">
        <w:rPr>
          <w:rFonts w:ascii="Times New Roman" w:hAnsi="Times New Roman"/>
          <w:b/>
          <w:iCs/>
        </w:rPr>
        <w:lastRenderedPageBreak/>
        <w:t>•</w:t>
      </w:r>
      <w:r w:rsidRPr="00940037">
        <w:rPr>
          <w:rFonts w:ascii="Times New Roman" w:hAnsi="Times New Roman"/>
          <w:b/>
          <w:iCs/>
        </w:rPr>
        <w:tab/>
        <w:t>requiring respondents to prepare a written response to a collection of information in fewer than 30 days after receipt of it;</w:t>
      </w:r>
    </w:p>
    <w:p w:rsidRPr="00940037" w:rsidR="00602136" w:rsidP="00931C21" w:rsidRDefault="00602136" w14:paraId="331110C5" w14:textId="77777777">
      <w:pPr>
        <w:widowControl/>
        <w:tabs>
          <w:tab w:val="left" w:pos="-1440"/>
        </w:tabs>
        <w:ind w:left="1440" w:hanging="720"/>
        <w:rPr>
          <w:rFonts w:ascii="Times New Roman" w:hAnsi="Times New Roman"/>
          <w:b/>
          <w:iCs/>
        </w:rPr>
      </w:pPr>
      <w:r w:rsidRPr="00940037">
        <w:rPr>
          <w:rFonts w:ascii="Times New Roman" w:hAnsi="Times New Roman"/>
          <w:b/>
          <w:iCs/>
        </w:rPr>
        <w:t>•</w:t>
      </w:r>
      <w:r w:rsidRPr="00940037">
        <w:rPr>
          <w:rFonts w:ascii="Times New Roman" w:hAnsi="Times New Roman"/>
          <w:b/>
          <w:iCs/>
        </w:rPr>
        <w:tab/>
        <w:t>requiring respondents to submit more than an original and two copies of any document;</w:t>
      </w:r>
    </w:p>
    <w:p w:rsidRPr="00940037" w:rsidR="00602136" w:rsidP="00931C21" w:rsidRDefault="00602136" w14:paraId="30BD2F68" w14:textId="77777777">
      <w:pPr>
        <w:widowControl/>
        <w:tabs>
          <w:tab w:val="left" w:pos="-1440"/>
        </w:tabs>
        <w:ind w:left="1440" w:hanging="720"/>
        <w:rPr>
          <w:rFonts w:ascii="Times New Roman" w:hAnsi="Times New Roman"/>
          <w:b/>
          <w:iCs/>
        </w:rPr>
      </w:pPr>
      <w:r w:rsidRPr="00940037">
        <w:rPr>
          <w:rFonts w:ascii="Times New Roman" w:hAnsi="Times New Roman"/>
          <w:b/>
          <w:iCs/>
        </w:rPr>
        <w:t>•</w:t>
      </w:r>
      <w:r w:rsidRPr="00940037">
        <w:rPr>
          <w:rFonts w:ascii="Times New Roman" w:hAnsi="Times New Roman"/>
          <w:b/>
          <w:iCs/>
        </w:rPr>
        <w:tab/>
        <w:t>requiring respondents to retain records, other than health, medical, government contract, grant-in-aid, or tax records for more than three years;</w:t>
      </w:r>
    </w:p>
    <w:p w:rsidRPr="00940037" w:rsidR="00602136" w:rsidP="00931C21" w:rsidRDefault="00602136" w14:paraId="64D07A73" w14:textId="77777777">
      <w:pPr>
        <w:widowControl/>
        <w:tabs>
          <w:tab w:val="left" w:pos="-1440"/>
        </w:tabs>
        <w:ind w:left="1440" w:hanging="720"/>
        <w:rPr>
          <w:rFonts w:ascii="Times New Roman" w:hAnsi="Times New Roman"/>
          <w:b/>
          <w:iCs/>
        </w:rPr>
      </w:pPr>
      <w:r w:rsidRPr="00940037">
        <w:rPr>
          <w:rFonts w:ascii="Times New Roman" w:hAnsi="Times New Roman"/>
          <w:b/>
          <w:iCs/>
        </w:rPr>
        <w:t>•</w:t>
      </w:r>
      <w:r w:rsidRPr="00940037">
        <w:rPr>
          <w:rFonts w:ascii="Times New Roman" w:hAnsi="Times New Roman"/>
          <w:b/>
          <w:iCs/>
        </w:rPr>
        <w:tab/>
        <w:t>in connection with a statistical survey, that is not designed to produce valid and reliable results that can be generalized to the universe of study;</w:t>
      </w:r>
    </w:p>
    <w:p w:rsidRPr="00940037" w:rsidR="00602136" w:rsidP="00931C21" w:rsidRDefault="00602136" w14:paraId="2CF68D88" w14:textId="77777777">
      <w:pPr>
        <w:widowControl/>
        <w:tabs>
          <w:tab w:val="left" w:pos="-1440"/>
        </w:tabs>
        <w:ind w:left="1440" w:hanging="720"/>
        <w:rPr>
          <w:rFonts w:ascii="Times New Roman" w:hAnsi="Times New Roman"/>
          <w:b/>
          <w:iCs/>
        </w:rPr>
      </w:pPr>
      <w:r w:rsidRPr="00940037">
        <w:rPr>
          <w:rFonts w:ascii="Times New Roman" w:hAnsi="Times New Roman"/>
          <w:b/>
          <w:iCs/>
        </w:rPr>
        <w:t>•</w:t>
      </w:r>
      <w:r w:rsidRPr="00940037">
        <w:rPr>
          <w:rFonts w:ascii="Times New Roman" w:hAnsi="Times New Roman"/>
          <w:b/>
          <w:iCs/>
        </w:rPr>
        <w:tab/>
        <w:t>requiring the use of a statistical data classification that has not been reviewed and approved by OMB;</w:t>
      </w:r>
    </w:p>
    <w:p w:rsidRPr="00940037" w:rsidR="00602136" w:rsidP="00931C21" w:rsidRDefault="00602136" w14:paraId="09A068A3" w14:textId="77777777">
      <w:pPr>
        <w:widowControl/>
        <w:tabs>
          <w:tab w:val="left" w:pos="-1440"/>
        </w:tabs>
        <w:ind w:left="1440" w:hanging="720"/>
        <w:rPr>
          <w:rFonts w:ascii="Times New Roman" w:hAnsi="Times New Roman"/>
          <w:b/>
          <w:iCs/>
        </w:rPr>
      </w:pPr>
      <w:r w:rsidRPr="00940037">
        <w:rPr>
          <w:rFonts w:ascii="Times New Roman" w:hAnsi="Times New Roman"/>
          <w:b/>
          <w:iCs/>
        </w:rPr>
        <w:t>•</w:t>
      </w:r>
      <w:r w:rsidRPr="00940037">
        <w:rPr>
          <w:rFonts w:ascii="Times New Roman" w:hAnsi="Times New Roman"/>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40037" w:rsidR="00602136" w:rsidP="00931C21" w:rsidRDefault="00602136" w14:paraId="69DADA9A" w14:textId="77777777">
      <w:pPr>
        <w:widowControl/>
        <w:tabs>
          <w:tab w:val="left" w:pos="-1440"/>
        </w:tabs>
        <w:ind w:left="1440" w:hanging="720"/>
        <w:rPr>
          <w:rFonts w:ascii="Times New Roman" w:hAnsi="Times New Roman"/>
          <w:b/>
          <w:iCs/>
        </w:rPr>
      </w:pPr>
      <w:r w:rsidRPr="00940037">
        <w:rPr>
          <w:rFonts w:ascii="Times New Roman" w:hAnsi="Times New Roman"/>
          <w:b/>
          <w:iCs/>
        </w:rPr>
        <w:t>•</w:t>
      </w:r>
      <w:r w:rsidRPr="00940037">
        <w:rPr>
          <w:rFonts w:ascii="Times New Roman" w:hAnsi="Times New Roman"/>
          <w:b/>
          <w:iCs/>
        </w:rPr>
        <w:tab/>
        <w:t>requiring respondents to submit proprietary trade secret, or other confidential information unless the agency can demonstrate that it has instituted procedures to protect the information's confidentiality to the extent permitted by law.</w:t>
      </w:r>
    </w:p>
    <w:p w:rsidRPr="00290E22" w:rsidR="00602136" w:rsidP="00931C21" w:rsidRDefault="00602136" w14:paraId="0C01384A" w14:textId="77777777">
      <w:pPr>
        <w:widowControl/>
        <w:ind w:left="720"/>
        <w:rPr>
          <w:rFonts w:ascii="Times New Roman" w:hAnsi="Times New Roman"/>
        </w:rPr>
      </w:pPr>
    </w:p>
    <w:p w:rsidRPr="00290E22" w:rsidR="00602136" w:rsidP="00931C21" w:rsidRDefault="00602136" w14:paraId="25D92967" w14:textId="77777777">
      <w:pPr>
        <w:widowControl/>
        <w:ind w:left="720"/>
        <w:rPr>
          <w:rFonts w:ascii="Times New Roman" w:hAnsi="Times New Roman"/>
        </w:rPr>
      </w:pPr>
      <w:r w:rsidRPr="00290E22">
        <w:rPr>
          <w:rFonts w:ascii="Times New Roman" w:hAnsi="Times New Roman"/>
        </w:rPr>
        <w:t>There are no special circumstances that require the collection to be conducted in a manner inconsistent with the above.</w:t>
      </w:r>
    </w:p>
    <w:p w:rsidRPr="00290E22" w:rsidR="00602136" w:rsidP="00931C21" w:rsidRDefault="00602136" w14:paraId="171628F1" w14:textId="77777777">
      <w:pPr>
        <w:widowControl/>
        <w:ind w:left="720"/>
        <w:rPr>
          <w:rFonts w:ascii="Times New Roman" w:hAnsi="Times New Roman"/>
        </w:rPr>
      </w:pPr>
    </w:p>
    <w:p w:rsidRPr="00940037" w:rsidR="00602136" w:rsidP="00931C21" w:rsidRDefault="00602136" w14:paraId="482D54D5" w14:textId="77777777">
      <w:pPr>
        <w:widowControl/>
        <w:tabs>
          <w:tab w:val="left" w:pos="-1440"/>
        </w:tabs>
        <w:ind w:left="720" w:hanging="720"/>
        <w:rPr>
          <w:rFonts w:ascii="Times New Roman" w:hAnsi="Times New Roman"/>
          <w:b/>
          <w:iCs/>
        </w:rPr>
      </w:pPr>
      <w:r w:rsidRPr="00940037">
        <w:rPr>
          <w:rFonts w:ascii="Times New Roman" w:hAnsi="Times New Roman"/>
          <w:b/>
        </w:rPr>
        <w:t>8.</w:t>
      </w:r>
      <w:r w:rsidRPr="00940037">
        <w:rPr>
          <w:rFonts w:ascii="Times New Roman" w:hAnsi="Times New Roman"/>
          <w:b/>
        </w:rPr>
        <w:tab/>
      </w:r>
      <w:r w:rsidRPr="00940037">
        <w:rPr>
          <w:rFonts w:ascii="Times New Roman" w:hAnsi="Times New Roman"/>
          <w:b/>
          <w:iCs/>
        </w:rPr>
        <w:t xml:space="preserve">If applicable, provide a copy and identify the date and page number of </w:t>
      </w:r>
      <w:proofErr w:type="gramStart"/>
      <w:r w:rsidRPr="00940037">
        <w:rPr>
          <w:rFonts w:ascii="Times New Roman" w:hAnsi="Times New Roman"/>
          <w:b/>
          <w:iCs/>
        </w:rPr>
        <w:t>publication</w:t>
      </w:r>
      <w:proofErr w:type="gramEnd"/>
      <w:r w:rsidRPr="00940037">
        <w:rPr>
          <w:rFonts w:ascii="Times New Roman" w:hAnsi="Times New Roman"/>
          <w:b/>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40037" w:rsidR="00602136" w:rsidP="00931C21" w:rsidRDefault="00602136" w14:paraId="0E1C3A76" w14:textId="77777777">
      <w:pPr>
        <w:widowControl/>
        <w:ind w:left="720"/>
        <w:rPr>
          <w:rFonts w:ascii="Times New Roman" w:hAnsi="Times New Roman"/>
          <w:b/>
          <w:iCs/>
        </w:rPr>
      </w:pPr>
    </w:p>
    <w:p w:rsidRPr="00940037" w:rsidR="00602136" w:rsidP="00931C21" w:rsidRDefault="00602136" w14:paraId="6BFB747E" w14:textId="77777777">
      <w:pPr>
        <w:widowControl/>
        <w:ind w:left="720"/>
        <w:rPr>
          <w:rFonts w:ascii="Times New Roman" w:hAnsi="Times New Roman"/>
          <w:b/>
          <w:iCs/>
        </w:rPr>
      </w:pPr>
      <w:r w:rsidRPr="00940037">
        <w:rPr>
          <w:rFonts w:ascii="Times New Roman" w:hAnsi="Times New Roman"/>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90E22" w:rsidR="00602136" w:rsidP="00931C21" w:rsidRDefault="00602136" w14:paraId="28B0E562" w14:textId="77777777">
      <w:pPr>
        <w:widowControl/>
        <w:ind w:left="720"/>
        <w:rPr>
          <w:rFonts w:ascii="Times New Roman" w:hAnsi="Times New Roman"/>
          <w:i/>
          <w:iCs/>
        </w:rPr>
      </w:pPr>
    </w:p>
    <w:p w:rsidRPr="008908B3" w:rsidR="00602136" w:rsidP="00931C21" w:rsidRDefault="00602136" w14:paraId="255CB1C0" w14:textId="77777777">
      <w:pPr>
        <w:widowControl/>
        <w:ind w:left="720"/>
        <w:rPr>
          <w:rFonts w:ascii="Times New Roman" w:hAnsi="Times New Roman"/>
          <w:b/>
          <w:iCs/>
        </w:rPr>
      </w:pPr>
      <w:r w:rsidRPr="008908B3">
        <w:rPr>
          <w:rFonts w:ascii="Times New Roman" w:hAnsi="Times New Roman"/>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290E22" w:rsidR="00C323EC" w:rsidP="00931C21" w:rsidRDefault="00C323EC" w14:paraId="701BE1B9" w14:textId="77777777">
      <w:pPr>
        <w:widowControl/>
        <w:ind w:left="720"/>
        <w:rPr>
          <w:rFonts w:ascii="Times New Roman" w:hAnsi="Times New Roman"/>
          <w:i/>
          <w:iCs/>
        </w:rPr>
      </w:pPr>
    </w:p>
    <w:p w:rsidR="00822876" w:rsidP="00822876" w:rsidRDefault="002E142B" w14:paraId="389BF3E7" w14:textId="0B2DB3F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2E142B">
        <w:rPr>
          <w:rFonts w:ascii="Times New Roman" w:hAnsi="Times New Roman"/>
        </w:rPr>
        <w:lastRenderedPageBreak/>
        <w:t>The N</w:t>
      </w:r>
      <w:r w:rsidR="006F15CB">
        <w:rPr>
          <w:rFonts w:ascii="Times New Roman" w:hAnsi="Times New Roman"/>
        </w:rPr>
        <w:t xml:space="preserve">otice of </w:t>
      </w:r>
      <w:r w:rsidRPr="002E142B">
        <w:rPr>
          <w:rFonts w:ascii="Times New Roman" w:hAnsi="Times New Roman"/>
        </w:rPr>
        <w:t>P</w:t>
      </w:r>
      <w:r w:rsidR="006F15CB">
        <w:rPr>
          <w:rFonts w:ascii="Times New Roman" w:hAnsi="Times New Roman"/>
        </w:rPr>
        <w:t xml:space="preserve">roposed </w:t>
      </w:r>
      <w:r>
        <w:rPr>
          <w:rFonts w:ascii="Times New Roman" w:hAnsi="Times New Roman"/>
        </w:rPr>
        <w:t>R</w:t>
      </w:r>
      <w:r w:rsidR="006F15CB">
        <w:rPr>
          <w:rFonts w:ascii="Times New Roman" w:hAnsi="Times New Roman"/>
        </w:rPr>
        <w:t>ulemaking (NPRM) that is associated with the revision to this ICR</w:t>
      </w:r>
      <w:r w:rsidRPr="00711535" w:rsidR="00711535">
        <w:rPr>
          <w:rFonts w:ascii="Times New Roman" w:hAnsi="Times New Roman"/>
        </w:rPr>
        <w:t xml:space="preserve"> </w:t>
      </w:r>
      <w:r w:rsidRPr="00711535" w:rsidR="006F15CB">
        <w:rPr>
          <w:rFonts w:ascii="Times New Roman" w:hAnsi="Times New Roman"/>
        </w:rPr>
        <w:t>solicit</w:t>
      </w:r>
      <w:r w:rsidR="006F15CB">
        <w:rPr>
          <w:rFonts w:ascii="Times New Roman" w:hAnsi="Times New Roman"/>
        </w:rPr>
        <w:t>s</w:t>
      </w:r>
      <w:r w:rsidRPr="008908B3" w:rsidR="006F15CB">
        <w:rPr>
          <w:rFonts w:ascii="Times New Roman" w:hAnsi="Times New Roman"/>
        </w:rPr>
        <w:t xml:space="preserve"> </w:t>
      </w:r>
      <w:r w:rsidRPr="008908B3" w:rsidR="00822876">
        <w:rPr>
          <w:rFonts w:ascii="Times New Roman" w:hAnsi="Times New Roman"/>
        </w:rPr>
        <w:t>public comment on the paperwork burden of the information collection request. </w:t>
      </w:r>
      <w:r w:rsidR="006F15CB">
        <w:rPr>
          <w:rFonts w:ascii="Times New Roman" w:hAnsi="Times New Roman"/>
          <w:color w:val="000000"/>
        </w:rPr>
        <w:t xml:space="preserve">The NPRM published on </w:t>
      </w:r>
      <w:proofErr w:type="gramStart"/>
      <w:r w:rsidR="006F15CB">
        <w:rPr>
          <w:rFonts w:ascii="Times New Roman" w:hAnsi="Times New Roman"/>
          <w:color w:val="000000"/>
        </w:rPr>
        <w:t>XXX,XX</w:t>
      </w:r>
      <w:proofErr w:type="gramEnd"/>
      <w:r w:rsidR="006F15CB">
        <w:rPr>
          <w:rFonts w:ascii="Times New Roman" w:hAnsi="Times New Roman"/>
          <w:color w:val="000000"/>
        </w:rPr>
        <w:t>, 2022.  The Federal Register Citation is 87 FR XXXXXXX.</w:t>
      </w:r>
    </w:p>
    <w:p w:rsidRPr="00822876" w:rsidR="009341BD" w:rsidP="00822876" w:rsidRDefault="009341BD" w14:paraId="4BE83E9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rsidRPr="00940037" w:rsidR="00602136" w:rsidP="00931C21" w:rsidRDefault="00602136" w14:paraId="0DCD4519" w14:textId="77777777">
      <w:pPr>
        <w:widowControl/>
        <w:tabs>
          <w:tab w:val="left" w:pos="-1440"/>
        </w:tabs>
        <w:ind w:left="720" w:hanging="720"/>
        <w:rPr>
          <w:rFonts w:ascii="Times New Roman" w:hAnsi="Times New Roman"/>
          <w:b/>
          <w:iCs/>
        </w:rPr>
      </w:pPr>
      <w:r w:rsidRPr="00940037">
        <w:rPr>
          <w:rFonts w:ascii="Times New Roman" w:hAnsi="Times New Roman"/>
          <w:b/>
        </w:rPr>
        <w:t>9.</w:t>
      </w:r>
      <w:r w:rsidRPr="00940037">
        <w:rPr>
          <w:rFonts w:ascii="Times New Roman" w:hAnsi="Times New Roman"/>
          <w:b/>
        </w:rPr>
        <w:tab/>
      </w:r>
      <w:r w:rsidRPr="00940037">
        <w:rPr>
          <w:rFonts w:ascii="Times New Roman" w:hAnsi="Times New Roman"/>
          <w:b/>
          <w:iCs/>
        </w:rPr>
        <w:t>Explain any decision to provide any payment or gift to respondents, other than remuneration of contractors or grantees.</w:t>
      </w:r>
    </w:p>
    <w:p w:rsidRPr="00290E22" w:rsidR="00602136" w:rsidP="00931C21" w:rsidRDefault="00602136" w14:paraId="16E0844F" w14:textId="77777777">
      <w:pPr>
        <w:widowControl/>
        <w:ind w:left="720"/>
        <w:rPr>
          <w:rFonts w:ascii="Times New Roman" w:hAnsi="Times New Roman"/>
        </w:rPr>
      </w:pPr>
    </w:p>
    <w:p w:rsidRPr="00290E22" w:rsidR="00602136" w:rsidP="00931C21" w:rsidRDefault="00602136" w14:paraId="3E409554" w14:textId="77777777">
      <w:pPr>
        <w:widowControl/>
        <w:ind w:left="720"/>
        <w:rPr>
          <w:rFonts w:ascii="Times New Roman" w:hAnsi="Times New Roman"/>
        </w:rPr>
      </w:pPr>
      <w:r w:rsidRPr="00290E22">
        <w:rPr>
          <w:rFonts w:ascii="Times New Roman" w:hAnsi="Times New Roman"/>
        </w:rPr>
        <w:t>No payments or gifts are provided to respondents.</w:t>
      </w:r>
    </w:p>
    <w:p w:rsidRPr="00290E22" w:rsidR="00602136" w:rsidP="00931C21" w:rsidRDefault="00602136" w14:paraId="4EAD8E0F" w14:textId="77777777">
      <w:pPr>
        <w:widowControl/>
        <w:ind w:left="720"/>
        <w:rPr>
          <w:rFonts w:ascii="Times New Roman" w:hAnsi="Times New Roman"/>
        </w:rPr>
      </w:pPr>
    </w:p>
    <w:p w:rsidRPr="00940037" w:rsidR="00602136" w:rsidP="00931C21" w:rsidRDefault="00602136" w14:paraId="732FA76B" w14:textId="77777777">
      <w:pPr>
        <w:widowControl/>
        <w:tabs>
          <w:tab w:val="left" w:pos="-1440"/>
        </w:tabs>
        <w:ind w:left="720" w:hanging="720"/>
        <w:rPr>
          <w:rFonts w:ascii="Times New Roman" w:hAnsi="Times New Roman"/>
          <w:b/>
          <w:iCs/>
        </w:rPr>
      </w:pPr>
      <w:r w:rsidRPr="00940037">
        <w:rPr>
          <w:rFonts w:ascii="Times New Roman" w:hAnsi="Times New Roman"/>
          <w:b/>
        </w:rPr>
        <w:t>10.</w:t>
      </w:r>
      <w:r w:rsidRPr="00940037">
        <w:rPr>
          <w:rFonts w:ascii="Times New Roman" w:hAnsi="Times New Roman"/>
          <w:b/>
        </w:rPr>
        <w:tab/>
      </w:r>
      <w:r w:rsidRPr="00940037">
        <w:rPr>
          <w:rFonts w:ascii="Times New Roman" w:hAnsi="Times New Roman"/>
          <w:b/>
          <w:iCs/>
        </w:rPr>
        <w:t>Describe any assurance of confidentiality provided to respondents and the basis for the assurance in statute, regulation, or agency policy.</w:t>
      </w:r>
    </w:p>
    <w:p w:rsidRPr="00290E22" w:rsidR="00602136" w:rsidP="00931C21" w:rsidRDefault="00602136" w14:paraId="0636A923" w14:textId="77777777">
      <w:pPr>
        <w:widowControl/>
        <w:ind w:left="720"/>
        <w:rPr>
          <w:rFonts w:ascii="Times New Roman" w:hAnsi="Times New Roman"/>
        </w:rPr>
      </w:pPr>
    </w:p>
    <w:p w:rsidRPr="00290E22" w:rsidR="00602136" w:rsidP="00931C21" w:rsidRDefault="00602136" w14:paraId="7A036187" w14:textId="77777777">
      <w:pPr>
        <w:widowControl/>
        <w:ind w:left="720"/>
        <w:rPr>
          <w:rFonts w:ascii="Times New Roman" w:hAnsi="Times New Roman"/>
        </w:rPr>
      </w:pPr>
      <w:r w:rsidRPr="00290E22">
        <w:rPr>
          <w:rFonts w:ascii="Times New Roman" w:hAnsi="Times New Roman"/>
        </w:rPr>
        <w:t>Because the Secretary must make a determination on the record, no assurance of confidentiality can be provided to applicants for exemption.  The right to review all information supplied by an applicant is an essential part of providing interested parties with the opportunity to make informed co</w:t>
      </w:r>
      <w:r w:rsidR="000A5ADC">
        <w:rPr>
          <w:rFonts w:ascii="Times New Roman" w:hAnsi="Times New Roman"/>
        </w:rPr>
        <w:t>mments on a proposed exemption.</w:t>
      </w:r>
    </w:p>
    <w:p w:rsidRPr="00290E22" w:rsidR="00602136" w:rsidP="00931C21" w:rsidRDefault="00602136" w14:paraId="6EC172A0" w14:textId="77777777">
      <w:pPr>
        <w:widowControl/>
        <w:ind w:left="720"/>
        <w:rPr>
          <w:rFonts w:ascii="Times New Roman" w:hAnsi="Times New Roman"/>
        </w:rPr>
      </w:pPr>
    </w:p>
    <w:p w:rsidRPr="00940037" w:rsidR="00602136" w:rsidP="00931C21" w:rsidRDefault="00602136" w14:paraId="0E574443" w14:textId="77777777">
      <w:pPr>
        <w:widowControl/>
        <w:tabs>
          <w:tab w:val="left" w:pos="-1440"/>
        </w:tabs>
        <w:ind w:left="720" w:hanging="720"/>
        <w:rPr>
          <w:rFonts w:ascii="Times New Roman" w:hAnsi="Times New Roman"/>
          <w:b/>
          <w:iCs/>
        </w:rPr>
      </w:pPr>
      <w:r w:rsidRPr="00940037">
        <w:rPr>
          <w:rFonts w:ascii="Times New Roman" w:hAnsi="Times New Roman"/>
          <w:b/>
        </w:rPr>
        <w:t>11.</w:t>
      </w:r>
      <w:r w:rsidRPr="00940037">
        <w:rPr>
          <w:rFonts w:ascii="Times New Roman" w:hAnsi="Times New Roman"/>
          <w:b/>
        </w:rPr>
        <w:tab/>
      </w:r>
      <w:r w:rsidRPr="00940037">
        <w:rPr>
          <w:rFonts w:ascii="Times New Roman" w:hAnsi="Times New Roman"/>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90E22" w:rsidR="00602136" w:rsidP="00931C21" w:rsidRDefault="00602136" w14:paraId="44E2739D" w14:textId="77777777">
      <w:pPr>
        <w:widowControl/>
        <w:ind w:left="720"/>
        <w:rPr>
          <w:rFonts w:ascii="Times New Roman" w:hAnsi="Times New Roman"/>
          <w:i/>
          <w:iCs/>
        </w:rPr>
      </w:pPr>
    </w:p>
    <w:p w:rsidRPr="00290E22" w:rsidR="00602136" w:rsidP="00931C21" w:rsidRDefault="00602136" w14:paraId="3E7A2D7F" w14:textId="77777777">
      <w:pPr>
        <w:widowControl/>
        <w:ind w:left="720"/>
        <w:rPr>
          <w:rFonts w:ascii="Times New Roman" w:hAnsi="Times New Roman"/>
        </w:rPr>
      </w:pPr>
      <w:r w:rsidRPr="00290E22">
        <w:rPr>
          <w:rFonts w:ascii="Times New Roman" w:hAnsi="Times New Roman"/>
        </w:rPr>
        <w:t>There are no questions of a sensitive nature pertaining to sexual behavior and attitudes, religious beliefs, or other matters that are commonly considered private.  Therefore, this is not applicable to the requirements of this exemption procedure regulation.</w:t>
      </w:r>
    </w:p>
    <w:p w:rsidRPr="00290E22" w:rsidR="001F54AE" w:rsidP="00931C21" w:rsidRDefault="001F54AE" w14:paraId="70302458" w14:textId="77777777">
      <w:pPr>
        <w:widowControl/>
        <w:tabs>
          <w:tab w:val="left" w:pos="-1440"/>
        </w:tabs>
        <w:ind w:left="720"/>
        <w:rPr>
          <w:rFonts w:ascii="Times New Roman" w:hAnsi="Times New Roman"/>
        </w:rPr>
      </w:pPr>
    </w:p>
    <w:p w:rsidRPr="00940037" w:rsidR="001F54AE" w:rsidP="00931C21" w:rsidRDefault="001F54AE" w14:paraId="01EF418D" w14:textId="77777777">
      <w:pPr>
        <w:widowControl/>
        <w:tabs>
          <w:tab w:val="left" w:pos="-1440"/>
        </w:tabs>
        <w:ind w:left="720" w:hanging="720"/>
        <w:rPr>
          <w:rFonts w:ascii="Times New Roman" w:hAnsi="Times New Roman"/>
          <w:b/>
          <w:iCs/>
        </w:rPr>
      </w:pPr>
      <w:r w:rsidRPr="00940037">
        <w:rPr>
          <w:rFonts w:ascii="Times New Roman" w:hAnsi="Times New Roman"/>
          <w:b/>
        </w:rPr>
        <w:t>12.</w:t>
      </w:r>
      <w:r w:rsidRPr="00940037">
        <w:rPr>
          <w:rFonts w:ascii="Times New Roman" w:hAnsi="Times New Roman"/>
          <w:b/>
        </w:rPr>
        <w:tab/>
      </w:r>
      <w:r w:rsidRPr="00940037">
        <w:rPr>
          <w:rFonts w:ascii="Times New Roman" w:hAnsi="Times New Roman"/>
          <w:b/>
          <w:iCs/>
        </w:rPr>
        <w:t>Provide estimates of the hour burden of the collection of information.  The statement should:</w:t>
      </w:r>
    </w:p>
    <w:p w:rsidRPr="00940037" w:rsidR="001F54AE" w:rsidP="00931C21" w:rsidRDefault="001F54AE" w14:paraId="52B2822F" w14:textId="77777777">
      <w:pPr>
        <w:widowControl/>
        <w:tabs>
          <w:tab w:val="left" w:pos="-1440"/>
        </w:tabs>
        <w:ind w:left="1440" w:hanging="720"/>
        <w:rPr>
          <w:rFonts w:ascii="Times New Roman" w:hAnsi="Times New Roman"/>
          <w:b/>
          <w:iCs/>
        </w:rPr>
      </w:pPr>
      <w:r w:rsidRPr="00940037">
        <w:rPr>
          <w:rFonts w:ascii="Times New Roman" w:hAnsi="Times New Roman"/>
          <w:b/>
          <w:iCs/>
        </w:rPr>
        <w:t>•</w:t>
      </w:r>
      <w:r w:rsidRPr="00940037">
        <w:rPr>
          <w:rFonts w:ascii="Times New Roman" w:hAnsi="Times New Roman"/>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40037" w:rsidR="001F54AE" w:rsidP="00931C21" w:rsidRDefault="001F54AE" w14:paraId="25391540" w14:textId="77777777">
      <w:pPr>
        <w:widowControl/>
        <w:tabs>
          <w:tab w:val="left" w:pos="-1440"/>
        </w:tabs>
        <w:ind w:left="1440" w:hanging="720"/>
        <w:rPr>
          <w:rFonts w:ascii="Times New Roman" w:hAnsi="Times New Roman"/>
          <w:b/>
          <w:iCs/>
        </w:rPr>
      </w:pPr>
      <w:r w:rsidRPr="00940037">
        <w:rPr>
          <w:rFonts w:ascii="Times New Roman" w:hAnsi="Times New Roman"/>
          <w:b/>
          <w:iCs/>
        </w:rPr>
        <w:lastRenderedPageBreak/>
        <w:t>•</w:t>
      </w:r>
      <w:r w:rsidRPr="00940037">
        <w:rPr>
          <w:rFonts w:ascii="Times New Roman" w:hAnsi="Times New Roman"/>
          <w:b/>
          <w:iCs/>
        </w:rPr>
        <w:tab/>
        <w:t>If this request for approval covers more than one form, provide separate hour burden estimates for each form and aggregate the hour burden</w:t>
      </w:r>
      <w:r w:rsidRPr="00940037" w:rsidR="00C043AC">
        <w:rPr>
          <w:rFonts w:ascii="Times New Roman" w:hAnsi="Times New Roman"/>
          <w:b/>
          <w:iCs/>
        </w:rPr>
        <w:t>s.</w:t>
      </w:r>
    </w:p>
    <w:p w:rsidRPr="00ED3A42" w:rsidR="001F54AE" w:rsidP="00ED3A42" w:rsidRDefault="001F54AE" w14:paraId="500DB100" w14:textId="4975B790">
      <w:pPr>
        <w:tabs>
          <w:tab w:val="left" w:pos="-1440"/>
        </w:tabs>
        <w:ind w:left="1440" w:hanging="720"/>
        <w:rPr>
          <w:b/>
          <w:iCs/>
          <w:color w:val="000000"/>
        </w:rPr>
      </w:pPr>
      <w:r w:rsidRPr="00940037">
        <w:rPr>
          <w:rFonts w:ascii="Times New Roman" w:hAnsi="Times New Roman"/>
          <w:b/>
          <w:iCs/>
        </w:rPr>
        <w:t>•</w:t>
      </w:r>
      <w:r w:rsidRPr="00940037">
        <w:rPr>
          <w:rFonts w:ascii="Times New Roman" w:hAnsi="Times New Roman"/>
          <w:b/>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FD13B5">
        <w:rPr>
          <w:rFonts w:ascii="Times New Roman" w:hAnsi="Times New Roman"/>
          <w:b/>
          <w:iCs/>
        </w:rPr>
        <w:t xml:space="preserve">  </w:t>
      </w:r>
      <w:r w:rsidRPr="00FD13B5" w:rsidR="00FD13B5">
        <w:rPr>
          <w:rFonts w:ascii="Times New Roman" w:hAnsi="Times New Roman"/>
          <w:b/>
          <w:iCs/>
          <w:color w:val="000000"/>
        </w:rPr>
        <w:t>Instead, this cost should be included in Item 14.</w:t>
      </w:r>
    </w:p>
    <w:p w:rsidRPr="00940037" w:rsidR="001F54AE" w:rsidP="00931C21" w:rsidRDefault="001F54AE" w14:paraId="384C3873" w14:textId="77777777">
      <w:pPr>
        <w:widowControl/>
        <w:ind w:left="720"/>
        <w:rPr>
          <w:rFonts w:ascii="Times New Roman" w:hAnsi="Times New Roman"/>
          <w:b/>
        </w:rPr>
      </w:pPr>
    </w:p>
    <w:p w:rsidRPr="00290E22" w:rsidR="001F54AE" w:rsidP="00931C21" w:rsidRDefault="001F54AE" w14:paraId="5F1E5962" w14:textId="11B528EA">
      <w:pPr>
        <w:widowControl/>
        <w:ind w:left="720"/>
        <w:rPr>
          <w:rFonts w:ascii="Times New Roman" w:hAnsi="Times New Roman"/>
        </w:rPr>
      </w:pPr>
      <w:r w:rsidRPr="00290E22">
        <w:rPr>
          <w:rFonts w:ascii="Times New Roman" w:hAnsi="Times New Roman"/>
        </w:rPr>
        <w:t xml:space="preserve">Between </w:t>
      </w:r>
      <w:r w:rsidRPr="0098419A" w:rsidR="0098419A">
        <w:rPr>
          <w:rFonts w:ascii="Times New Roman" w:hAnsi="Times New Roman"/>
        </w:rPr>
        <w:t>2019 and 2021</w:t>
      </w:r>
      <w:r w:rsidRPr="00290E22">
        <w:rPr>
          <w:rFonts w:ascii="Times New Roman" w:hAnsi="Times New Roman"/>
        </w:rPr>
        <w:t xml:space="preserve">, the Department received an average of </w:t>
      </w:r>
      <w:r w:rsidR="00174B38">
        <w:rPr>
          <w:rFonts w:ascii="Times New Roman" w:hAnsi="Times New Roman"/>
        </w:rPr>
        <w:t>22</w:t>
      </w:r>
      <w:r w:rsidRPr="00290E22" w:rsidR="00174B38">
        <w:rPr>
          <w:rFonts w:ascii="Times New Roman" w:hAnsi="Times New Roman"/>
        </w:rPr>
        <w:t xml:space="preserve"> </w:t>
      </w:r>
      <w:r w:rsidRPr="00290E22">
        <w:rPr>
          <w:rFonts w:ascii="Times New Roman" w:hAnsi="Times New Roman"/>
        </w:rPr>
        <w:t xml:space="preserve">requests annually for prohibited transaction exemptions.  </w:t>
      </w:r>
      <w:r w:rsidRPr="00290E22" w:rsidR="008A07F3">
        <w:rPr>
          <w:rFonts w:ascii="Times New Roman" w:hAnsi="Times New Roman"/>
        </w:rPr>
        <w:t xml:space="preserve">For purposes of this analysis, the Department </w:t>
      </w:r>
      <w:r w:rsidRPr="00290E22">
        <w:rPr>
          <w:rFonts w:ascii="Times New Roman" w:hAnsi="Times New Roman"/>
        </w:rPr>
        <w:t>assume</w:t>
      </w:r>
      <w:r w:rsidRPr="00290E22" w:rsidR="008A07F3">
        <w:rPr>
          <w:rFonts w:ascii="Times New Roman" w:hAnsi="Times New Roman"/>
        </w:rPr>
        <w:t>s</w:t>
      </w:r>
      <w:r w:rsidRPr="00290E22">
        <w:rPr>
          <w:rFonts w:ascii="Times New Roman" w:hAnsi="Times New Roman"/>
        </w:rPr>
        <w:t xml:space="preserve"> that approximately the same number of applications will be received annually over the next three years.</w:t>
      </w:r>
      <w:r w:rsidRPr="00290E22">
        <w:rPr>
          <w:rStyle w:val="FootnoteReference"/>
          <w:rFonts w:ascii="Times New Roman" w:hAnsi="Times New Roman"/>
          <w:vertAlign w:val="superscript"/>
        </w:rPr>
        <w:footnoteReference w:id="2"/>
      </w:r>
      <w:r w:rsidRPr="00290E22">
        <w:rPr>
          <w:rFonts w:ascii="Times New Roman" w:hAnsi="Times New Roman"/>
        </w:rPr>
        <w:t xml:space="preserve">  The paperwork burden consists of the time required to prepare the information</w:t>
      </w:r>
      <w:r w:rsidRPr="00290E22" w:rsidR="00F001A4">
        <w:rPr>
          <w:rFonts w:ascii="Times New Roman" w:hAnsi="Times New Roman"/>
        </w:rPr>
        <w:t xml:space="preserve"> the outside </w:t>
      </w:r>
      <w:r w:rsidRPr="00290E22" w:rsidR="00DD7E6D">
        <w:rPr>
          <w:rFonts w:ascii="Times New Roman" w:hAnsi="Times New Roman"/>
        </w:rPr>
        <w:t xml:space="preserve">attorney </w:t>
      </w:r>
      <w:r w:rsidRPr="00290E22" w:rsidR="00F001A4">
        <w:rPr>
          <w:rFonts w:ascii="Times New Roman" w:hAnsi="Times New Roman"/>
        </w:rPr>
        <w:t>will use to prepare and</w:t>
      </w:r>
      <w:r w:rsidRPr="00290E22">
        <w:rPr>
          <w:rFonts w:ascii="Times New Roman" w:hAnsi="Times New Roman"/>
        </w:rPr>
        <w:t xml:space="preserve"> submit an application for exemption and the time required to prepare and distribute the notice of an application to interested parties. </w:t>
      </w:r>
      <w:r w:rsidR="00842B75">
        <w:rPr>
          <w:rFonts w:ascii="Times New Roman" w:hAnsi="Times New Roman"/>
        </w:rPr>
        <w:t xml:space="preserve"> </w:t>
      </w:r>
      <w:r w:rsidRPr="00290E22">
        <w:rPr>
          <w:rFonts w:ascii="Times New Roman" w:hAnsi="Times New Roman"/>
        </w:rPr>
        <w:t xml:space="preserve">Regardless of whether the applicant is a plan or a service provider, however, it is likely that the application will be completed by an outside professional, generally an attorney.  Because notices are only distributed once a proposed application for an exemption has been published in the </w:t>
      </w:r>
      <w:r w:rsidRPr="00290E22">
        <w:rPr>
          <w:rFonts w:ascii="Times New Roman" w:hAnsi="Times New Roman"/>
          <w:u w:val="single"/>
        </w:rPr>
        <w:t>Federal Register</w:t>
      </w:r>
      <w:r w:rsidRPr="00290E22">
        <w:rPr>
          <w:rFonts w:ascii="Times New Roman" w:hAnsi="Times New Roman"/>
        </w:rPr>
        <w:t xml:space="preserve">, </w:t>
      </w:r>
      <w:r w:rsidRPr="00290E22" w:rsidR="008A07F3">
        <w:rPr>
          <w:rFonts w:ascii="Times New Roman" w:hAnsi="Times New Roman"/>
        </w:rPr>
        <w:t xml:space="preserve">the Department </w:t>
      </w:r>
      <w:r w:rsidRPr="00290E22">
        <w:rPr>
          <w:rFonts w:ascii="Times New Roman" w:hAnsi="Times New Roman"/>
        </w:rPr>
        <w:t>estimate</w:t>
      </w:r>
      <w:r w:rsidRPr="00290E22" w:rsidR="008A07F3">
        <w:rPr>
          <w:rFonts w:ascii="Times New Roman" w:hAnsi="Times New Roman"/>
        </w:rPr>
        <w:t>s</w:t>
      </w:r>
      <w:r w:rsidRPr="00290E22">
        <w:rPr>
          <w:rFonts w:ascii="Times New Roman" w:hAnsi="Times New Roman"/>
        </w:rPr>
        <w:t xml:space="preserve">, based on the number of notices published between </w:t>
      </w:r>
      <w:r w:rsidRPr="00174B38" w:rsidR="00174B38">
        <w:rPr>
          <w:rFonts w:ascii="Times New Roman" w:hAnsi="Times New Roman"/>
        </w:rPr>
        <w:t>2019 and 2021</w:t>
      </w:r>
      <w:r w:rsidRPr="00290E22">
        <w:rPr>
          <w:rFonts w:ascii="Times New Roman" w:hAnsi="Times New Roman"/>
        </w:rPr>
        <w:t xml:space="preserve">, that </w:t>
      </w:r>
      <w:r w:rsidR="00B93BCB">
        <w:rPr>
          <w:rFonts w:ascii="Times New Roman" w:hAnsi="Times New Roman"/>
        </w:rPr>
        <w:t>five</w:t>
      </w:r>
      <w:r w:rsidRPr="00290E22" w:rsidR="00B93BCB">
        <w:rPr>
          <w:rFonts w:ascii="Times New Roman" w:hAnsi="Times New Roman"/>
        </w:rPr>
        <w:t xml:space="preserve"> </w:t>
      </w:r>
      <w:r w:rsidRPr="00290E22">
        <w:rPr>
          <w:rFonts w:ascii="Times New Roman" w:hAnsi="Times New Roman"/>
        </w:rPr>
        <w:t>applications annually wil</w:t>
      </w:r>
      <w:r w:rsidR="00C043AC">
        <w:rPr>
          <w:rFonts w:ascii="Times New Roman" w:hAnsi="Times New Roman"/>
        </w:rPr>
        <w:t>l proceed to the notice stage.</w:t>
      </w:r>
    </w:p>
    <w:p w:rsidRPr="00290E22" w:rsidR="009340BC" w:rsidP="00931C21" w:rsidRDefault="009340BC" w14:paraId="2A57FAFD" w14:textId="77777777">
      <w:pPr>
        <w:widowControl/>
        <w:ind w:left="720"/>
        <w:rPr>
          <w:rFonts w:ascii="Times New Roman" w:hAnsi="Times New Roman"/>
        </w:rPr>
      </w:pPr>
    </w:p>
    <w:p w:rsidRPr="00290E22" w:rsidR="001F54AE" w:rsidP="00931C21" w:rsidRDefault="001F54AE" w14:paraId="0C449574" w14:textId="17B66C5F">
      <w:pPr>
        <w:widowControl/>
        <w:ind w:left="720"/>
        <w:rPr>
          <w:rFonts w:ascii="Times New Roman" w:hAnsi="Times New Roman"/>
        </w:rPr>
      </w:pPr>
      <w:r w:rsidRPr="00290E22">
        <w:rPr>
          <w:rFonts w:ascii="Times New Roman" w:hAnsi="Times New Roman"/>
        </w:rPr>
        <w:t>An application for exemption may be made either directly by plans or by parties</w:t>
      </w:r>
      <w:r w:rsidRPr="00290E22" w:rsidR="008A07F3">
        <w:rPr>
          <w:rFonts w:ascii="Times New Roman" w:hAnsi="Times New Roman"/>
        </w:rPr>
        <w:t>-</w:t>
      </w:r>
      <w:r w:rsidRPr="00290E22" w:rsidR="002F1F66">
        <w:rPr>
          <w:rFonts w:ascii="Times New Roman" w:hAnsi="Times New Roman"/>
        </w:rPr>
        <w:t>in-</w:t>
      </w:r>
      <w:r w:rsidRPr="00290E22">
        <w:rPr>
          <w:rFonts w:ascii="Times New Roman" w:hAnsi="Times New Roman"/>
        </w:rPr>
        <w:t>interest to plans.  The preparation of an application, however, is generally conducted by</w:t>
      </w:r>
      <w:r w:rsidRPr="00290E22" w:rsidR="008A07F3">
        <w:rPr>
          <w:rFonts w:ascii="Times New Roman" w:hAnsi="Times New Roman"/>
        </w:rPr>
        <w:t>,</w:t>
      </w:r>
      <w:r w:rsidRPr="00290E22">
        <w:rPr>
          <w:rFonts w:ascii="Times New Roman" w:hAnsi="Times New Roman"/>
        </w:rPr>
        <w:t xml:space="preserve"> or under the direction of</w:t>
      </w:r>
      <w:r w:rsidRPr="00290E22" w:rsidR="008A07F3">
        <w:rPr>
          <w:rFonts w:ascii="Times New Roman" w:hAnsi="Times New Roman"/>
        </w:rPr>
        <w:t>,</w:t>
      </w:r>
      <w:r w:rsidRPr="00290E22">
        <w:rPr>
          <w:rFonts w:ascii="Times New Roman" w:hAnsi="Times New Roman"/>
        </w:rPr>
        <w:t xml:space="preserve"> attorneys with specialized knowledge of employee benefit plans</w:t>
      </w:r>
      <w:r w:rsidRPr="00290E22" w:rsidR="00EF4425">
        <w:rPr>
          <w:rFonts w:ascii="Times New Roman" w:hAnsi="Times New Roman"/>
        </w:rPr>
        <w:t xml:space="preserve">.  </w:t>
      </w:r>
      <w:r w:rsidRPr="00290E22" w:rsidR="008A07F3">
        <w:rPr>
          <w:rFonts w:ascii="Times New Roman" w:hAnsi="Times New Roman"/>
        </w:rPr>
        <w:t xml:space="preserve">The Department </w:t>
      </w:r>
      <w:r w:rsidRPr="00290E22">
        <w:rPr>
          <w:rFonts w:ascii="Times New Roman" w:hAnsi="Times New Roman"/>
        </w:rPr>
        <w:t>assume</w:t>
      </w:r>
      <w:r w:rsidRPr="00290E22" w:rsidR="008A07F3">
        <w:rPr>
          <w:rFonts w:ascii="Times New Roman" w:hAnsi="Times New Roman"/>
        </w:rPr>
        <w:t>s</w:t>
      </w:r>
      <w:r w:rsidRPr="00290E22">
        <w:rPr>
          <w:rFonts w:ascii="Times New Roman" w:hAnsi="Times New Roman"/>
        </w:rPr>
        <w:t xml:space="preserve"> that these same attorneys will also prepare and distribute the notice of the app</w:t>
      </w:r>
      <w:r w:rsidR="00C043AC">
        <w:rPr>
          <w:rFonts w:ascii="Times New Roman" w:hAnsi="Times New Roman"/>
        </w:rPr>
        <w:t>lication to interested parties.</w:t>
      </w:r>
    </w:p>
    <w:p w:rsidRPr="00290E22" w:rsidR="001F54AE" w:rsidP="00931C21" w:rsidRDefault="001F54AE" w14:paraId="3E2638F1" w14:textId="77777777">
      <w:pPr>
        <w:widowControl/>
        <w:ind w:left="720"/>
        <w:rPr>
          <w:rFonts w:ascii="Times New Roman" w:hAnsi="Times New Roman"/>
        </w:rPr>
      </w:pPr>
    </w:p>
    <w:p w:rsidRPr="00290E22" w:rsidR="001F54AE" w:rsidP="00931C21" w:rsidRDefault="00F001A4" w14:paraId="5B63390F" w14:textId="04B7C572">
      <w:pPr>
        <w:widowControl/>
        <w:ind w:left="720"/>
        <w:rPr>
          <w:rFonts w:ascii="Times New Roman" w:hAnsi="Times New Roman"/>
        </w:rPr>
      </w:pPr>
      <w:r w:rsidRPr="00290E22">
        <w:rPr>
          <w:rFonts w:ascii="Times New Roman" w:hAnsi="Times New Roman"/>
        </w:rPr>
        <w:t xml:space="preserve">The </w:t>
      </w:r>
      <w:r w:rsidRPr="00290E22" w:rsidR="00B35E8D">
        <w:rPr>
          <w:rFonts w:ascii="Times New Roman" w:hAnsi="Times New Roman"/>
        </w:rPr>
        <w:t>D</w:t>
      </w:r>
      <w:r w:rsidRPr="00290E22">
        <w:rPr>
          <w:rFonts w:ascii="Times New Roman" w:hAnsi="Times New Roman"/>
        </w:rPr>
        <w:t>epartment</w:t>
      </w:r>
      <w:r w:rsidRPr="00290E22" w:rsidR="001F54AE">
        <w:rPr>
          <w:rFonts w:ascii="Times New Roman" w:hAnsi="Times New Roman"/>
        </w:rPr>
        <w:t xml:space="preserve"> estimate</w:t>
      </w:r>
      <w:r w:rsidRPr="00290E22">
        <w:rPr>
          <w:rFonts w:ascii="Times New Roman" w:hAnsi="Times New Roman"/>
        </w:rPr>
        <w:t>s</w:t>
      </w:r>
      <w:r w:rsidRPr="00290E22" w:rsidR="001F54AE">
        <w:rPr>
          <w:rFonts w:ascii="Times New Roman" w:hAnsi="Times New Roman"/>
        </w:rPr>
        <w:t xml:space="preserve"> that, on average</w:t>
      </w:r>
      <w:r w:rsidRPr="00290E22" w:rsidR="00166666">
        <w:rPr>
          <w:rFonts w:ascii="Times New Roman" w:hAnsi="Times New Roman"/>
        </w:rPr>
        <w:t xml:space="preserve">, </w:t>
      </w:r>
      <w:r w:rsidR="00BD4B06">
        <w:rPr>
          <w:rFonts w:ascii="Times New Roman" w:hAnsi="Times New Roman"/>
        </w:rPr>
        <w:t>12</w:t>
      </w:r>
      <w:r w:rsidRPr="00290E22" w:rsidR="00BD4B06">
        <w:rPr>
          <w:rFonts w:ascii="Times New Roman" w:hAnsi="Times New Roman"/>
        </w:rPr>
        <w:t xml:space="preserve"> </w:t>
      </w:r>
      <w:r w:rsidRPr="00290E22" w:rsidR="00166666">
        <w:rPr>
          <w:rFonts w:ascii="Times New Roman" w:hAnsi="Times New Roman"/>
        </w:rPr>
        <w:t>hour</w:t>
      </w:r>
      <w:r w:rsidRPr="00290E22" w:rsidR="001F54AE">
        <w:rPr>
          <w:rFonts w:ascii="Times New Roman" w:hAnsi="Times New Roman"/>
        </w:rPr>
        <w:t>s of</w:t>
      </w:r>
      <w:r w:rsidRPr="00290E22" w:rsidR="00166666">
        <w:rPr>
          <w:rFonts w:ascii="Times New Roman" w:hAnsi="Times New Roman"/>
        </w:rPr>
        <w:t xml:space="preserve"> in</w:t>
      </w:r>
      <w:r w:rsidRPr="00290E22">
        <w:rPr>
          <w:rFonts w:ascii="Times New Roman" w:hAnsi="Times New Roman"/>
        </w:rPr>
        <w:t>-</w:t>
      </w:r>
      <w:r w:rsidRPr="00290E22" w:rsidR="00166666">
        <w:rPr>
          <w:rFonts w:ascii="Times New Roman" w:hAnsi="Times New Roman"/>
        </w:rPr>
        <w:t>house</w:t>
      </w:r>
      <w:r w:rsidRPr="00290E22">
        <w:rPr>
          <w:rFonts w:ascii="Times New Roman" w:hAnsi="Times New Roman"/>
        </w:rPr>
        <w:t xml:space="preserve"> legal</w:t>
      </w:r>
      <w:r w:rsidRPr="00290E22" w:rsidR="001F54AE">
        <w:rPr>
          <w:rFonts w:ascii="Times New Roman" w:hAnsi="Times New Roman"/>
        </w:rPr>
        <w:t xml:space="preserve"> professional and </w:t>
      </w:r>
      <w:r w:rsidR="00BD4B06">
        <w:rPr>
          <w:rFonts w:ascii="Times New Roman" w:hAnsi="Times New Roman"/>
        </w:rPr>
        <w:t>13</w:t>
      </w:r>
      <w:r w:rsidRPr="00290E22" w:rsidR="00BD4B06">
        <w:rPr>
          <w:rFonts w:ascii="Times New Roman" w:hAnsi="Times New Roman"/>
        </w:rPr>
        <w:t xml:space="preserve"> </w:t>
      </w:r>
      <w:r w:rsidRPr="00290E22" w:rsidR="001F54AE">
        <w:rPr>
          <w:rFonts w:ascii="Times New Roman" w:hAnsi="Times New Roman"/>
        </w:rPr>
        <w:t>hours of</w:t>
      </w:r>
      <w:r w:rsidRPr="00290E22">
        <w:rPr>
          <w:rFonts w:ascii="Times New Roman" w:hAnsi="Times New Roman"/>
        </w:rPr>
        <w:t xml:space="preserve"> in-house</w:t>
      </w:r>
      <w:r w:rsidRPr="00290E22" w:rsidR="001F54AE">
        <w:rPr>
          <w:rFonts w:ascii="Times New Roman" w:hAnsi="Times New Roman"/>
        </w:rPr>
        <w:t xml:space="preserve"> clerical time </w:t>
      </w:r>
      <w:r w:rsidRPr="00290E22">
        <w:rPr>
          <w:rFonts w:ascii="Times New Roman" w:hAnsi="Times New Roman"/>
        </w:rPr>
        <w:t>will be</w:t>
      </w:r>
      <w:r w:rsidRPr="00290E22" w:rsidR="001F54AE">
        <w:rPr>
          <w:rFonts w:ascii="Times New Roman" w:hAnsi="Times New Roman"/>
        </w:rPr>
        <w:t xml:space="preserve"> spent preparing the documentation for the application</w:t>
      </w:r>
      <w:r w:rsidRPr="00290E22">
        <w:rPr>
          <w:rFonts w:ascii="Times New Roman" w:hAnsi="Times New Roman"/>
        </w:rPr>
        <w:t xml:space="preserve"> that will be used by the outside counsel</w:t>
      </w:r>
      <w:r w:rsidRPr="00290E22" w:rsidR="001F54AE">
        <w:rPr>
          <w:rFonts w:ascii="Times New Roman" w:hAnsi="Times New Roman"/>
        </w:rPr>
        <w:t xml:space="preserve">. </w:t>
      </w:r>
      <w:r w:rsidR="00842B75">
        <w:rPr>
          <w:rFonts w:ascii="Times New Roman" w:hAnsi="Times New Roman"/>
        </w:rPr>
        <w:t xml:space="preserve"> </w:t>
      </w:r>
      <w:r w:rsidRPr="00290E22" w:rsidR="004861D7">
        <w:rPr>
          <w:rFonts w:ascii="Times New Roman" w:hAnsi="Times New Roman"/>
        </w:rPr>
        <w:t xml:space="preserve">Total labor costs (wages plus benefits plus overhead) for legal staff </w:t>
      </w:r>
      <w:proofErr w:type="gramStart"/>
      <w:r w:rsidRPr="00290E22" w:rsidR="004861D7">
        <w:rPr>
          <w:rFonts w:ascii="Times New Roman" w:hAnsi="Times New Roman"/>
        </w:rPr>
        <w:t>was</w:t>
      </w:r>
      <w:proofErr w:type="gramEnd"/>
      <w:r w:rsidRPr="00290E22" w:rsidR="004861D7">
        <w:rPr>
          <w:rFonts w:ascii="Times New Roman" w:hAnsi="Times New Roman"/>
        </w:rPr>
        <w:t xml:space="preserve"> estimated to average </w:t>
      </w:r>
      <w:r w:rsidRPr="00BD4B06" w:rsidR="00BD4B06">
        <w:rPr>
          <w:rFonts w:ascii="Times New Roman" w:hAnsi="Times New Roman"/>
        </w:rPr>
        <w:t xml:space="preserve">$140.96 </w:t>
      </w:r>
      <w:r w:rsidRPr="00290E22" w:rsidR="004861D7">
        <w:rPr>
          <w:rFonts w:ascii="Times New Roman" w:hAnsi="Times New Roman"/>
        </w:rPr>
        <w:t>per hour.</w:t>
      </w:r>
      <w:r w:rsidR="004B53DC">
        <w:rPr>
          <w:rFonts w:ascii="Times New Roman" w:hAnsi="Times New Roman"/>
        </w:rPr>
        <w:t xml:space="preserve"> </w:t>
      </w:r>
      <w:r w:rsidRPr="004B53DC" w:rsidR="004B53DC">
        <w:rPr>
          <w:rFonts w:ascii="Times New Roman" w:hAnsi="Times New Roman"/>
        </w:rPr>
        <w:t>Total labor costs for clerical staff were estimated to average $55.23 per hour.</w:t>
      </w:r>
      <w:r w:rsidRPr="004E279D" w:rsidR="009E7866">
        <w:rPr>
          <w:rStyle w:val="FootnoteReference"/>
          <w:rFonts w:ascii="Times New Roman" w:hAnsi="Times New Roman"/>
          <w:vertAlign w:val="superscript"/>
        </w:rPr>
        <w:footnoteReference w:id="3"/>
      </w:r>
      <w:r w:rsidRPr="00290E22" w:rsidR="004861D7">
        <w:rPr>
          <w:rFonts w:ascii="Times New Roman" w:hAnsi="Times New Roman"/>
        </w:rPr>
        <w:t xml:space="preserve"> </w:t>
      </w:r>
      <w:r w:rsidR="00E02E11">
        <w:rPr>
          <w:rFonts w:ascii="Times New Roman" w:hAnsi="Times New Roman"/>
        </w:rPr>
        <w:t xml:space="preserve"> </w:t>
      </w:r>
      <w:r w:rsidRPr="00290E22" w:rsidR="001F54AE">
        <w:rPr>
          <w:rFonts w:ascii="Times New Roman" w:hAnsi="Times New Roman"/>
        </w:rPr>
        <w:t xml:space="preserve">Therefore, the </w:t>
      </w:r>
      <w:r w:rsidRPr="00290E22" w:rsidR="001F54AE">
        <w:rPr>
          <w:rFonts w:ascii="Times New Roman" w:hAnsi="Times New Roman"/>
        </w:rPr>
        <w:lastRenderedPageBreak/>
        <w:t>Department estimates that preparing the application will require</w:t>
      </w:r>
      <w:r w:rsidRPr="00290E22">
        <w:rPr>
          <w:rFonts w:ascii="Times New Roman" w:hAnsi="Times New Roman"/>
        </w:rPr>
        <w:t xml:space="preserve"> </w:t>
      </w:r>
      <w:r w:rsidR="000E0B02">
        <w:rPr>
          <w:rFonts w:ascii="Times New Roman" w:hAnsi="Times New Roman"/>
        </w:rPr>
        <w:t>264</w:t>
      </w:r>
      <w:r w:rsidRPr="00290E22" w:rsidR="000E0B02">
        <w:rPr>
          <w:rFonts w:ascii="Times New Roman" w:hAnsi="Times New Roman"/>
        </w:rPr>
        <w:t xml:space="preserve"> </w:t>
      </w:r>
      <w:r w:rsidRPr="00290E22">
        <w:rPr>
          <w:rFonts w:ascii="Times New Roman" w:hAnsi="Times New Roman"/>
        </w:rPr>
        <w:t>in-house</w:t>
      </w:r>
      <w:r w:rsidRPr="00290E22" w:rsidR="001F54AE">
        <w:rPr>
          <w:rFonts w:ascii="Times New Roman" w:hAnsi="Times New Roman"/>
        </w:rPr>
        <w:t xml:space="preserve"> legal professional hours (</w:t>
      </w:r>
      <w:r w:rsidR="000E0B02">
        <w:rPr>
          <w:rFonts w:ascii="Times New Roman" w:hAnsi="Times New Roman"/>
        </w:rPr>
        <w:t>22</w:t>
      </w:r>
      <w:r w:rsidRPr="00290E22" w:rsidR="000E0B02">
        <w:rPr>
          <w:rFonts w:ascii="Times New Roman" w:hAnsi="Times New Roman"/>
        </w:rPr>
        <w:t xml:space="preserve"> </w:t>
      </w:r>
      <w:r w:rsidRPr="00290E22" w:rsidR="001F54AE">
        <w:rPr>
          <w:rFonts w:ascii="Times New Roman" w:hAnsi="Times New Roman"/>
        </w:rPr>
        <w:t xml:space="preserve">applications times </w:t>
      </w:r>
      <w:r w:rsidR="000E0B02">
        <w:rPr>
          <w:rFonts w:ascii="Times New Roman" w:hAnsi="Times New Roman"/>
        </w:rPr>
        <w:t>12</w:t>
      </w:r>
      <w:r w:rsidRPr="00290E22" w:rsidR="000E0B02">
        <w:rPr>
          <w:rFonts w:ascii="Times New Roman" w:hAnsi="Times New Roman"/>
        </w:rPr>
        <w:t xml:space="preserve"> </w:t>
      </w:r>
      <w:r w:rsidRPr="00290E22" w:rsidR="001F54AE">
        <w:rPr>
          <w:rFonts w:ascii="Times New Roman" w:hAnsi="Times New Roman"/>
        </w:rPr>
        <w:t xml:space="preserve">hours) and </w:t>
      </w:r>
      <w:r w:rsidR="000E0B02">
        <w:rPr>
          <w:rFonts w:ascii="Times New Roman" w:hAnsi="Times New Roman"/>
        </w:rPr>
        <w:t>286</w:t>
      </w:r>
      <w:r w:rsidRPr="00290E22" w:rsidR="000E0B02">
        <w:rPr>
          <w:rFonts w:ascii="Times New Roman" w:hAnsi="Times New Roman"/>
        </w:rPr>
        <w:t xml:space="preserve"> </w:t>
      </w:r>
      <w:r w:rsidRPr="00290E22" w:rsidR="001F54AE">
        <w:rPr>
          <w:rFonts w:ascii="Times New Roman" w:hAnsi="Times New Roman"/>
        </w:rPr>
        <w:t>clerical hours (</w:t>
      </w:r>
      <w:r w:rsidR="000E0B02">
        <w:rPr>
          <w:rFonts w:ascii="Times New Roman" w:hAnsi="Times New Roman"/>
        </w:rPr>
        <w:t xml:space="preserve">22 </w:t>
      </w:r>
      <w:r w:rsidRPr="00290E22" w:rsidR="001F54AE">
        <w:rPr>
          <w:rFonts w:ascii="Times New Roman" w:hAnsi="Times New Roman"/>
        </w:rPr>
        <w:t xml:space="preserve">applications times </w:t>
      </w:r>
      <w:r w:rsidR="000E0B02">
        <w:rPr>
          <w:rFonts w:ascii="Times New Roman" w:hAnsi="Times New Roman"/>
        </w:rPr>
        <w:t>13</w:t>
      </w:r>
      <w:r w:rsidRPr="00290E22" w:rsidR="000E0B02">
        <w:rPr>
          <w:rFonts w:ascii="Times New Roman" w:hAnsi="Times New Roman"/>
        </w:rPr>
        <w:t xml:space="preserve"> </w:t>
      </w:r>
      <w:r w:rsidRPr="00290E22" w:rsidR="001F54AE">
        <w:rPr>
          <w:rFonts w:ascii="Times New Roman" w:hAnsi="Times New Roman"/>
        </w:rPr>
        <w:t xml:space="preserve">hours) for a total of </w:t>
      </w:r>
      <w:r w:rsidR="000E0B02">
        <w:rPr>
          <w:rFonts w:ascii="Times New Roman" w:hAnsi="Times New Roman"/>
        </w:rPr>
        <w:t>550</w:t>
      </w:r>
      <w:r w:rsidRPr="00290E22" w:rsidR="000E0B02">
        <w:rPr>
          <w:rFonts w:ascii="Times New Roman" w:hAnsi="Times New Roman"/>
        </w:rPr>
        <w:t xml:space="preserve"> </w:t>
      </w:r>
      <w:r w:rsidRPr="00290E22" w:rsidR="001F54AE">
        <w:rPr>
          <w:rFonts w:ascii="Times New Roman" w:hAnsi="Times New Roman"/>
        </w:rPr>
        <w:t>hours</w:t>
      </w:r>
      <w:r w:rsidRPr="00290E22" w:rsidR="00112B55">
        <w:rPr>
          <w:rFonts w:ascii="Times New Roman" w:hAnsi="Times New Roman"/>
        </w:rPr>
        <w:t xml:space="preserve"> at an equivalent cost of </w:t>
      </w:r>
      <w:r w:rsidRPr="00290E22" w:rsidR="00233026">
        <w:rPr>
          <w:rFonts w:ascii="Times New Roman" w:hAnsi="Times New Roman"/>
        </w:rPr>
        <w:t xml:space="preserve">approximately </w:t>
      </w:r>
      <w:r w:rsidRPr="000E0B02" w:rsidR="000E0B02">
        <w:rPr>
          <w:rFonts w:ascii="Times New Roman" w:hAnsi="Times New Roman"/>
        </w:rPr>
        <w:t>$53,009</w:t>
      </w:r>
      <w:r w:rsidRPr="00290E22" w:rsidR="001F54AE">
        <w:rPr>
          <w:rFonts w:ascii="Times New Roman" w:hAnsi="Times New Roman"/>
        </w:rPr>
        <w:t>.</w:t>
      </w:r>
      <w:r w:rsidRPr="00290E22" w:rsidR="00964397">
        <w:rPr>
          <w:rStyle w:val="FootnoteReference"/>
          <w:rFonts w:ascii="Times New Roman" w:hAnsi="Times New Roman"/>
          <w:vertAlign w:val="superscript"/>
        </w:rPr>
        <w:footnoteReference w:id="4"/>
      </w:r>
      <w:r w:rsidRPr="004E279D" w:rsidR="00504394">
        <w:rPr>
          <w:rFonts w:ascii="Times New Roman" w:hAnsi="Times New Roman"/>
          <w:vertAlign w:val="superscript"/>
        </w:rPr>
        <w:t>,</w:t>
      </w:r>
      <w:r w:rsidRPr="004E279D" w:rsidR="00504394">
        <w:rPr>
          <w:rStyle w:val="FootnoteReference"/>
          <w:rFonts w:ascii="Times New Roman" w:hAnsi="Times New Roman"/>
          <w:vertAlign w:val="superscript"/>
        </w:rPr>
        <w:footnoteReference w:id="5"/>
      </w:r>
    </w:p>
    <w:p w:rsidRPr="00290E22" w:rsidR="001F54AE" w:rsidP="00931C21" w:rsidRDefault="001F54AE" w14:paraId="0890E78B" w14:textId="77777777">
      <w:pPr>
        <w:widowControl/>
        <w:ind w:left="720"/>
        <w:rPr>
          <w:rFonts w:ascii="Times New Roman" w:hAnsi="Times New Roman"/>
        </w:rPr>
      </w:pPr>
    </w:p>
    <w:p w:rsidR="000753E5" w:rsidP="000753E5" w:rsidRDefault="000753E5" w14:paraId="7002B308" w14:textId="104FDD3E">
      <w:pPr>
        <w:widowControl/>
        <w:ind w:left="720"/>
        <w:rPr>
          <w:rFonts w:ascii="Times New Roman" w:hAnsi="Times New Roman"/>
        </w:rPr>
      </w:pPr>
      <w:r w:rsidRPr="000753E5">
        <w:rPr>
          <w:rFonts w:ascii="Times New Roman" w:hAnsi="Times New Roman"/>
        </w:rPr>
        <w:t xml:space="preserve">Because of the large amount of paperwork that is submitted (applications average approximately 100 pages with varying numbers of supporting documents), and complexity of the issues, the Department estimates that, on average, 52 hours of outside legal professional work will be spent preparing the documentation for the application. The Department requests comment on the accuracy of this assumption, and note that there could be a large dispersion in the number of hours required, based on the complexity of the application. Total labor costs (wages plus benefits plus overhead) for outside legal staff </w:t>
      </w:r>
      <w:proofErr w:type="gramStart"/>
      <w:r w:rsidRPr="000753E5">
        <w:rPr>
          <w:rFonts w:ascii="Times New Roman" w:hAnsi="Times New Roman"/>
        </w:rPr>
        <w:t>was</w:t>
      </w:r>
      <w:proofErr w:type="gramEnd"/>
      <w:r w:rsidRPr="000753E5">
        <w:rPr>
          <w:rFonts w:ascii="Times New Roman" w:hAnsi="Times New Roman"/>
        </w:rPr>
        <w:t xml:space="preserve"> estimated to average $494.00 per hour.</w:t>
      </w:r>
      <w:r w:rsidRPr="000753E5">
        <w:rPr>
          <w:rFonts w:ascii="Times New Roman" w:hAnsi="Times New Roman"/>
          <w:vertAlign w:val="superscript"/>
        </w:rPr>
        <w:footnoteReference w:id="6"/>
      </w:r>
      <w:r w:rsidRPr="000753E5">
        <w:rPr>
          <w:rFonts w:ascii="Times New Roman" w:hAnsi="Times New Roman"/>
        </w:rPr>
        <w:t xml:space="preserve">  Therefore, the Department estimates that preparing the applications will require 1,144 in-house legal professional hours (22 applications times 52 hours) with an equivalent cost of $565,136.  This estimate includes potential meetings with Department personnel as well as preparation of supplementary documents that are requested following some of these meetings.  For some of the more complex cases, the Department will request a Summary of Proposed Exemption (SPE), which will involve a </w:t>
      </w:r>
      <w:proofErr w:type="gramStart"/>
      <w:r w:rsidRPr="000753E5">
        <w:rPr>
          <w:rFonts w:ascii="Times New Roman" w:hAnsi="Times New Roman"/>
        </w:rPr>
        <w:t>one page</w:t>
      </w:r>
      <w:proofErr w:type="gramEnd"/>
      <w:r w:rsidRPr="000753E5">
        <w:rPr>
          <w:rFonts w:ascii="Times New Roman" w:hAnsi="Times New Roman"/>
        </w:rPr>
        <w:t xml:space="preserve"> summary of the rationale for the transaction.  </w:t>
      </w:r>
    </w:p>
    <w:p w:rsidR="002B1299" w:rsidP="000753E5" w:rsidRDefault="002B1299" w14:paraId="62E75F6D" w14:textId="77777777">
      <w:pPr>
        <w:widowControl/>
        <w:ind w:left="720"/>
        <w:rPr>
          <w:rFonts w:ascii="Times New Roman" w:hAnsi="Times New Roman"/>
        </w:rPr>
      </w:pPr>
    </w:p>
    <w:p w:rsidRPr="00616B3F" w:rsidR="00616B3F" w:rsidP="00616B3F" w:rsidRDefault="00616B3F" w14:paraId="1FB2ACB3" w14:textId="425BDD43">
      <w:pPr>
        <w:widowControl/>
        <w:ind w:left="720"/>
        <w:rPr>
          <w:rFonts w:ascii="Times New Roman" w:hAnsi="Times New Roman"/>
        </w:rPr>
      </w:pPr>
      <w:r>
        <w:rPr>
          <w:rFonts w:ascii="Times New Roman" w:hAnsi="Times New Roman"/>
        </w:rPr>
        <w:t>The</w:t>
      </w:r>
      <w:r w:rsidRPr="00616B3F">
        <w:rPr>
          <w:rFonts w:ascii="Times New Roman" w:hAnsi="Times New Roman"/>
        </w:rPr>
        <w:t xml:space="preserve"> Department </w:t>
      </w:r>
      <w:r w:rsidR="00DC7510">
        <w:rPr>
          <w:rFonts w:ascii="Times New Roman" w:hAnsi="Times New Roman"/>
        </w:rPr>
        <w:t>is proposing</w:t>
      </w:r>
      <w:r w:rsidRPr="00616B3F">
        <w:rPr>
          <w:rFonts w:ascii="Times New Roman" w:hAnsi="Times New Roman"/>
        </w:rPr>
        <w:t xml:space="preserve"> substantial revisions to the requirements set forth in subsections (c) through (f) regarding statements and documents about qualified independent appraisers and qualified independent fiduciaries that are involved in an exemption transaction.  The changes relate to the revisions made to the definitions of qualified independent appraiser and qualified independent fiduciary in section 2570.31.  The Department assumes that an outside qualified independent fiduciary and an outside appraiser/expert will help prepare documentation for the application.  Total labor costs for outside fiduciary and outside appraiser were estimated to average $291.23 per hour.</w:t>
      </w:r>
      <w:r w:rsidRPr="00616B3F">
        <w:rPr>
          <w:rFonts w:ascii="Times New Roman" w:hAnsi="Times New Roman"/>
          <w:vertAlign w:val="superscript"/>
        </w:rPr>
        <w:footnoteReference w:id="7"/>
      </w:r>
      <w:r w:rsidRPr="00616B3F">
        <w:rPr>
          <w:rFonts w:ascii="Times New Roman" w:hAnsi="Times New Roman"/>
        </w:rPr>
        <w:t xml:space="preserve">  Therefore, the Department estimates that preparing the applications will require 748 </w:t>
      </w:r>
      <w:r w:rsidRPr="00616B3F">
        <w:rPr>
          <w:rFonts w:ascii="Times New Roman" w:hAnsi="Times New Roman"/>
        </w:rPr>
        <w:lastRenderedPageBreak/>
        <w:t xml:space="preserve">hours of work by outside fiduciaries (22 applications times 34 hours) and 308 hours of work by outside appraisers/experts (22 times 14 hours) </w:t>
      </w:r>
      <w:proofErr w:type="gramStart"/>
      <w:r w:rsidRPr="00616B3F">
        <w:rPr>
          <w:rFonts w:ascii="Times New Roman" w:hAnsi="Times New Roman"/>
        </w:rPr>
        <w:t>totaling  approximately</w:t>
      </w:r>
      <w:proofErr w:type="gramEnd"/>
      <w:r w:rsidRPr="00616B3F">
        <w:rPr>
          <w:rFonts w:ascii="Times New Roman" w:hAnsi="Times New Roman"/>
        </w:rPr>
        <w:t xml:space="preserve"> $307,539.  The new requirements contained in the proposal are incorporated into these estimates.</w:t>
      </w:r>
      <w:r w:rsidRPr="00616B3F">
        <w:rPr>
          <w:rFonts w:ascii="Times New Roman" w:hAnsi="Times New Roman"/>
          <w:vertAlign w:val="superscript"/>
        </w:rPr>
        <w:footnoteReference w:id="8"/>
      </w:r>
      <w:r w:rsidRPr="00616B3F">
        <w:rPr>
          <w:rFonts w:ascii="Times New Roman" w:hAnsi="Times New Roman"/>
        </w:rPr>
        <w:t xml:space="preserve">  </w:t>
      </w:r>
    </w:p>
    <w:p w:rsidR="000753E5" w:rsidP="008908B3" w:rsidRDefault="000753E5" w14:paraId="64602EB8" w14:textId="3B7AE589">
      <w:pPr>
        <w:widowControl/>
        <w:rPr>
          <w:rFonts w:ascii="Times New Roman" w:hAnsi="Times New Roman"/>
        </w:rPr>
      </w:pPr>
    </w:p>
    <w:p w:rsidRPr="00290E22" w:rsidR="001F54AE" w:rsidP="00931C21" w:rsidRDefault="001F54AE" w14:paraId="3A0F72F9" w14:textId="42F43F8E">
      <w:pPr>
        <w:widowControl/>
        <w:ind w:left="720"/>
        <w:rPr>
          <w:rFonts w:ascii="Times New Roman" w:hAnsi="Times New Roman"/>
        </w:rPr>
      </w:pPr>
      <w:r w:rsidRPr="00290E22">
        <w:rPr>
          <w:rFonts w:ascii="Times New Roman" w:hAnsi="Times New Roman"/>
        </w:rPr>
        <w:t xml:space="preserve">For applications that reach the stage of publication in the </w:t>
      </w:r>
      <w:r w:rsidRPr="00290E22">
        <w:rPr>
          <w:rFonts w:ascii="Times New Roman" w:hAnsi="Times New Roman"/>
          <w:u w:val="single"/>
        </w:rPr>
        <w:t>Federal Register</w:t>
      </w:r>
      <w:r w:rsidRPr="00290E22">
        <w:rPr>
          <w:rFonts w:ascii="Times New Roman" w:hAnsi="Times New Roman"/>
        </w:rPr>
        <w:t xml:space="preserve"> as pending approval, a notice must be prepared and distributed to interested parties.  The Department estimates that </w:t>
      </w:r>
      <w:r w:rsidR="00B93BCB">
        <w:rPr>
          <w:rFonts w:ascii="Times New Roman" w:hAnsi="Times New Roman"/>
        </w:rPr>
        <w:t>five</w:t>
      </w:r>
      <w:r w:rsidRPr="00290E22" w:rsidR="00B93BCB">
        <w:rPr>
          <w:rFonts w:ascii="Times New Roman" w:hAnsi="Times New Roman"/>
        </w:rPr>
        <w:t xml:space="preserve"> </w:t>
      </w:r>
      <w:r w:rsidRPr="00290E22">
        <w:rPr>
          <w:rFonts w:ascii="Times New Roman" w:hAnsi="Times New Roman"/>
        </w:rPr>
        <w:t>applications will be published annually</w:t>
      </w:r>
      <w:r w:rsidRPr="00290E22" w:rsidR="00E76E55">
        <w:rPr>
          <w:rFonts w:ascii="Times New Roman" w:hAnsi="Times New Roman"/>
        </w:rPr>
        <w:t xml:space="preserve"> and that approximately </w:t>
      </w:r>
      <w:r w:rsidRPr="00DC7510" w:rsidR="00DC7510">
        <w:rPr>
          <w:rFonts w:ascii="Times New Roman" w:hAnsi="Times New Roman"/>
        </w:rPr>
        <w:t xml:space="preserve">3,480 </w:t>
      </w:r>
      <w:r w:rsidRPr="00290E22" w:rsidR="00E76E55">
        <w:rPr>
          <w:rFonts w:ascii="Times New Roman" w:hAnsi="Times New Roman"/>
        </w:rPr>
        <w:t xml:space="preserve">notices </w:t>
      </w:r>
      <w:r w:rsidRPr="00290E22">
        <w:rPr>
          <w:rFonts w:ascii="Times New Roman" w:hAnsi="Times New Roman"/>
        </w:rPr>
        <w:t>to interested parties will be distributed.</w:t>
      </w:r>
      <w:r w:rsidRPr="00290E22" w:rsidR="00E368AA">
        <w:rPr>
          <w:rStyle w:val="FootnoteReference"/>
          <w:rFonts w:ascii="Times New Roman" w:hAnsi="Times New Roman"/>
          <w:vertAlign w:val="superscript"/>
        </w:rPr>
        <w:footnoteReference w:id="9"/>
      </w:r>
      <w:r w:rsidRPr="00290E22">
        <w:rPr>
          <w:rFonts w:ascii="Times New Roman" w:hAnsi="Times New Roman"/>
          <w:vertAlign w:val="superscript"/>
        </w:rPr>
        <w:t xml:space="preserve"> </w:t>
      </w:r>
      <w:r w:rsidR="00731DC7">
        <w:rPr>
          <w:rFonts w:ascii="Times New Roman" w:hAnsi="Times New Roman"/>
          <w:vertAlign w:val="superscript"/>
        </w:rPr>
        <w:t xml:space="preserve"> </w:t>
      </w:r>
      <w:r w:rsidRPr="00290E22">
        <w:rPr>
          <w:rFonts w:ascii="Times New Roman" w:hAnsi="Times New Roman"/>
        </w:rPr>
        <w:t xml:space="preserve">The distribution of the notices is estimated to require </w:t>
      </w:r>
      <w:r w:rsidRPr="00290E22" w:rsidR="00E76E55">
        <w:rPr>
          <w:rFonts w:ascii="Times New Roman" w:hAnsi="Times New Roman"/>
        </w:rPr>
        <w:t>5</w:t>
      </w:r>
      <w:r w:rsidRPr="00290E22">
        <w:rPr>
          <w:rFonts w:ascii="Times New Roman" w:hAnsi="Times New Roman"/>
        </w:rPr>
        <w:t xml:space="preserve"> minutes of clerical time per interested party. </w:t>
      </w:r>
      <w:r w:rsidR="00EF3E00">
        <w:rPr>
          <w:rFonts w:ascii="Times New Roman" w:hAnsi="Times New Roman"/>
        </w:rPr>
        <w:t xml:space="preserve"> </w:t>
      </w:r>
      <w:r w:rsidRPr="00290E22">
        <w:rPr>
          <w:rFonts w:ascii="Times New Roman" w:hAnsi="Times New Roman"/>
        </w:rPr>
        <w:t xml:space="preserve">Therefore, distribution of notices will require approximately </w:t>
      </w:r>
      <w:r w:rsidRPr="00C45A13" w:rsidR="00C45A13">
        <w:rPr>
          <w:rFonts w:ascii="Times New Roman" w:hAnsi="Times New Roman"/>
        </w:rPr>
        <w:t>290</w:t>
      </w:r>
      <w:r w:rsidRPr="00290E22" w:rsidR="002A2C68">
        <w:rPr>
          <w:rFonts w:ascii="Times New Roman" w:hAnsi="Times New Roman"/>
        </w:rPr>
        <w:t xml:space="preserve"> </w:t>
      </w:r>
      <w:r w:rsidRPr="00290E22">
        <w:rPr>
          <w:rFonts w:ascii="Times New Roman" w:hAnsi="Times New Roman"/>
        </w:rPr>
        <w:t xml:space="preserve">hours at an equivalent cost of </w:t>
      </w:r>
      <w:r w:rsidRPr="00290E22" w:rsidR="008A2007">
        <w:rPr>
          <w:rFonts w:ascii="Times New Roman" w:hAnsi="Times New Roman"/>
        </w:rPr>
        <w:t xml:space="preserve">approximately </w:t>
      </w:r>
      <w:r w:rsidRPr="00C45A13" w:rsidR="00C45A13">
        <w:rPr>
          <w:rFonts w:ascii="Times New Roman" w:hAnsi="Times New Roman"/>
        </w:rPr>
        <w:t xml:space="preserve">$16,017 </w:t>
      </w:r>
      <w:r w:rsidRPr="00290E22">
        <w:rPr>
          <w:rFonts w:ascii="Times New Roman" w:hAnsi="Times New Roman"/>
        </w:rPr>
        <w:t>((</w:t>
      </w:r>
      <w:r w:rsidRPr="00290E22" w:rsidR="00DD4C37">
        <w:rPr>
          <w:rFonts w:ascii="Times New Roman" w:hAnsi="Times New Roman"/>
        </w:rPr>
        <w:t>5</w:t>
      </w:r>
      <w:r w:rsidRPr="00290E22">
        <w:rPr>
          <w:rFonts w:ascii="Times New Roman" w:hAnsi="Times New Roman"/>
        </w:rPr>
        <w:t xml:space="preserve">minutes/60 minutes) times </w:t>
      </w:r>
      <w:r w:rsidRPr="004B53DC" w:rsidR="004B53DC">
        <w:rPr>
          <w:rFonts w:ascii="Times New Roman" w:hAnsi="Times New Roman"/>
        </w:rPr>
        <w:t xml:space="preserve">3,480 </w:t>
      </w:r>
      <w:r w:rsidR="00BF4A26">
        <w:rPr>
          <w:rFonts w:ascii="Times New Roman" w:hAnsi="Times New Roman"/>
        </w:rPr>
        <w:t>notices</w:t>
      </w:r>
      <w:r w:rsidRPr="00290E22">
        <w:rPr>
          <w:rFonts w:ascii="Times New Roman" w:hAnsi="Times New Roman"/>
        </w:rPr>
        <w:t xml:space="preserve"> times </w:t>
      </w:r>
      <w:r w:rsidRPr="004B53DC" w:rsidR="004B53DC">
        <w:rPr>
          <w:rFonts w:ascii="Times New Roman" w:hAnsi="Times New Roman"/>
        </w:rPr>
        <w:t xml:space="preserve">$55.23 </w:t>
      </w:r>
      <w:r w:rsidRPr="00290E22">
        <w:rPr>
          <w:rFonts w:ascii="Times New Roman" w:hAnsi="Times New Roman"/>
        </w:rPr>
        <w:t>hourly clerical rate).</w:t>
      </w:r>
    </w:p>
    <w:p w:rsidR="007803AE" w:rsidP="00931C21" w:rsidRDefault="007803AE" w14:paraId="7DBA8C20" w14:textId="7711E112">
      <w:pPr>
        <w:widowControl/>
        <w:ind w:left="720"/>
        <w:rPr>
          <w:rFonts w:ascii="Times New Roman" w:hAnsi="Times New Roman"/>
        </w:rPr>
      </w:pPr>
    </w:p>
    <w:p w:rsidRPr="00F110DB" w:rsidR="00F110DB" w:rsidP="00F110DB" w:rsidRDefault="00F110DB" w14:paraId="1A0F2F0D" w14:textId="77777777">
      <w:pPr>
        <w:widowControl/>
        <w:ind w:left="720"/>
        <w:rPr>
          <w:rFonts w:ascii="Times New Roman" w:hAnsi="Times New Roman"/>
        </w:rPr>
      </w:pPr>
      <w:bookmarkStart w:name="OLE_LINK2" w:id="1"/>
      <w:bookmarkStart w:name="OLE_LINK3" w:id="2"/>
      <w:r w:rsidRPr="00F110DB">
        <w:rPr>
          <w:rFonts w:ascii="Times New Roman" w:hAnsi="Times New Roman"/>
        </w:rPr>
        <w:t xml:space="preserve">Proposed amendments to section 2730.31(k) define a pre-submission applicant and section 2570.34(d) imposes requirements on the pre-submission applicant. If an applicant desires to engage in a pre-submission conference or correspondence, the applicant or its representative must (1) identify and fully describe the exemption transaction; (2) identify the applicant, the applicable plan(s), and the relevant parties to the exemption transaction; and (3) set forth the prohibited transactions that the applicant believes are applicable.  While the number of entities that would satisfy the definition of pre-submission applicant is not tracked, most applicants do contact the Department.  Other entities that satisfy the definition of a pre-submission applicant, but that do not end up submitting an application also contact the Department.  To account for these additional entities, an estimate of 25 pre-submission applicants is used.   The required information is required on the application, so for those submitting an application, the requirement does not create a new burden, but rather only changes the timing of providing the information.  For those five entities that do not submit an application, an hour of an in-house legal professional’s time could be required. This creates an additional five hours of burden with an equivalent cost of $705 </w:t>
      </w:r>
      <w:r w:rsidRPr="00F110DB">
        <w:rPr>
          <w:rFonts w:ascii="Times New Roman" w:hAnsi="Times New Roman"/>
          <w:vertAlign w:val="superscript"/>
        </w:rPr>
        <w:footnoteReference w:id="10"/>
      </w:r>
    </w:p>
    <w:bookmarkEnd w:id="1"/>
    <w:bookmarkEnd w:id="2"/>
    <w:p w:rsidRPr="00290E22" w:rsidR="00F110DB" w:rsidP="00931C21" w:rsidRDefault="00F110DB" w14:paraId="03F45BE4" w14:textId="77777777">
      <w:pPr>
        <w:widowControl/>
        <w:ind w:left="720"/>
        <w:rPr>
          <w:rFonts w:ascii="Times New Roman" w:hAnsi="Times New Roman"/>
        </w:rPr>
      </w:pPr>
    </w:p>
    <w:p w:rsidRPr="00F110DB" w:rsidR="00F110DB" w:rsidP="00F110DB" w:rsidRDefault="00F110DB" w14:paraId="0C93AE34" w14:textId="77777777">
      <w:pPr>
        <w:widowControl/>
        <w:ind w:left="720"/>
        <w:rPr>
          <w:rFonts w:ascii="Times New Roman" w:hAnsi="Times New Roman"/>
        </w:rPr>
      </w:pPr>
      <w:r w:rsidRPr="00F110DB">
        <w:rPr>
          <w:rFonts w:ascii="Times New Roman" w:hAnsi="Times New Roman"/>
        </w:rPr>
        <w:t>The overall hour burden for this ICR is approximately 3,045 hours at an equivalent cost of approximately $942,406.</w:t>
      </w:r>
    </w:p>
    <w:p w:rsidR="007803AE" w:rsidP="00931C21" w:rsidRDefault="00565ACC" w14:paraId="789EA760" w14:textId="18DD592C">
      <w:pPr>
        <w:widowControl/>
        <w:ind w:left="720"/>
        <w:rPr>
          <w:rFonts w:ascii="Times New Roman" w:hAnsi="Times New Roman"/>
        </w:rPr>
      </w:pPr>
      <w:r w:rsidRPr="00290E22">
        <w:rPr>
          <w:rFonts w:ascii="Times New Roman" w:hAnsi="Times New Roman"/>
        </w:rPr>
        <w:t>.</w:t>
      </w:r>
    </w:p>
    <w:p w:rsidR="00504D7A" w:rsidP="00931C21" w:rsidRDefault="00504D7A" w14:paraId="79880289" w14:textId="77777777">
      <w:pPr>
        <w:widowControl/>
        <w:ind w:left="720"/>
        <w:rPr>
          <w:rFonts w:ascii="Times New Roman" w:hAnsi="Times New Roman"/>
        </w:rPr>
      </w:pPr>
    </w:p>
    <w:p w:rsidR="00B63BAB" w:rsidP="00504D7A" w:rsidRDefault="00B63BAB" w14:paraId="1E7D4DA6" w14:textId="77777777">
      <w:pPr>
        <w:widowControl/>
        <w:autoSpaceDE/>
        <w:autoSpaceDN/>
        <w:adjustRightInd/>
        <w:ind w:left="720"/>
        <w:jc w:val="center"/>
        <w:rPr>
          <w:rFonts w:ascii="Times New Roman" w:hAnsi="Times New Roman"/>
          <w:b/>
          <w:iCs/>
        </w:rPr>
      </w:pPr>
    </w:p>
    <w:p w:rsidRPr="00504D7A" w:rsidR="00504D7A" w:rsidP="00504D7A" w:rsidRDefault="00504D7A" w14:paraId="71D63AED" w14:textId="46574EF8">
      <w:pPr>
        <w:widowControl/>
        <w:autoSpaceDE/>
        <w:autoSpaceDN/>
        <w:adjustRightInd/>
        <w:ind w:left="720"/>
        <w:jc w:val="center"/>
        <w:rPr>
          <w:rFonts w:ascii="Times New Roman" w:hAnsi="Times New Roman"/>
          <w:i/>
          <w:iCs/>
        </w:rPr>
      </w:pPr>
      <w:r w:rsidRPr="00504D7A">
        <w:rPr>
          <w:rFonts w:ascii="Times New Roman" w:hAnsi="Times New Roman"/>
          <w:b/>
          <w:iCs/>
        </w:rPr>
        <w:lastRenderedPageBreak/>
        <w:t>Estimated Annualized Respondent Cost and Hour Burden</w:t>
      </w:r>
    </w:p>
    <w:p w:rsidRPr="00504D7A" w:rsidR="00504D7A" w:rsidP="00504D7A" w:rsidRDefault="00504D7A" w14:paraId="429F8B5C" w14:textId="77777777">
      <w:pPr>
        <w:widowControl/>
        <w:autoSpaceDE/>
        <w:autoSpaceDN/>
        <w:adjustRightInd/>
        <w:ind w:left="720"/>
        <w:rPr>
          <w:rFonts w:ascii="Times New Roman" w:hAnsi="Times New Roman"/>
          <w:iCs/>
        </w:rPr>
      </w:pPr>
    </w:p>
    <w:tbl>
      <w:tblPr>
        <w:tblW w:w="11250" w:type="dxa"/>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60"/>
        <w:gridCol w:w="1440"/>
        <w:gridCol w:w="1440"/>
        <w:gridCol w:w="1260"/>
        <w:gridCol w:w="1289"/>
        <w:gridCol w:w="1141"/>
        <w:gridCol w:w="990"/>
        <w:gridCol w:w="1530"/>
      </w:tblGrid>
      <w:tr w:rsidRPr="00504D7A" w:rsidR="00504D7A" w:rsidTr="00A04F34" w14:paraId="135E1FB4" w14:textId="77777777">
        <w:tc>
          <w:tcPr>
            <w:tcW w:w="2160" w:type="dxa"/>
            <w:tcBorders>
              <w:top w:val="single" w:color="auto" w:sz="4" w:space="0"/>
              <w:left w:val="single" w:color="auto" w:sz="4" w:space="0"/>
              <w:bottom w:val="single" w:color="auto" w:sz="4" w:space="0"/>
              <w:right w:val="single" w:color="auto" w:sz="4" w:space="0"/>
            </w:tcBorders>
            <w:shd w:val="clear" w:color="auto" w:fill="8DB3E2"/>
            <w:vAlign w:val="center"/>
          </w:tcPr>
          <w:p w:rsidRPr="00504D7A" w:rsidR="00504D7A" w:rsidP="00504D7A" w:rsidRDefault="00504D7A" w14:paraId="7DB22C99"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504D7A" w:rsidP="00504D7A" w:rsidRDefault="00504D7A" w14:paraId="3765E42A" w14:textId="77777777">
            <w:pPr>
              <w:widowControl/>
              <w:autoSpaceDE/>
              <w:autoSpaceDN/>
              <w:adjustRightInd/>
              <w:spacing w:line="276" w:lineRule="auto"/>
              <w:jc w:val="center"/>
              <w:rPr>
                <w:rFonts w:ascii="Times New Roman" w:hAnsi="Times New Roman"/>
                <w:b/>
                <w:sz w:val="22"/>
                <w:szCs w:val="22"/>
              </w:rPr>
            </w:pPr>
            <w:r w:rsidRPr="00504D7A">
              <w:rPr>
                <w:rFonts w:ascii="Times New Roman" w:hAnsi="Times New Roman"/>
                <w:b/>
                <w:sz w:val="22"/>
                <w:szCs w:val="22"/>
              </w:rPr>
              <w:t xml:space="preserve">No. </w:t>
            </w:r>
          </w:p>
          <w:p w:rsidRPr="00504D7A" w:rsidR="00504D7A" w:rsidP="00504D7A" w:rsidRDefault="00504D7A" w14:paraId="5AEEFF64"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of Respondents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504D7A" w:rsidP="00504D7A" w:rsidRDefault="00504D7A" w14:paraId="1DC87AE5" w14:textId="77777777">
            <w:pPr>
              <w:widowControl/>
              <w:autoSpaceDE/>
              <w:autoSpaceDN/>
              <w:adjustRightInd/>
              <w:spacing w:line="276" w:lineRule="auto"/>
              <w:jc w:val="center"/>
              <w:rPr>
                <w:rFonts w:ascii="Times New Roman" w:hAnsi="Times New Roman"/>
                <w:b/>
                <w:sz w:val="22"/>
                <w:szCs w:val="22"/>
              </w:rPr>
            </w:pPr>
          </w:p>
          <w:p w:rsidRPr="00504D7A" w:rsidR="00504D7A" w:rsidP="00504D7A" w:rsidRDefault="00504D7A" w14:paraId="2F1F5552" w14:textId="77777777">
            <w:pPr>
              <w:widowControl/>
              <w:autoSpaceDE/>
              <w:autoSpaceDN/>
              <w:adjustRightInd/>
              <w:spacing w:line="276" w:lineRule="auto"/>
              <w:jc w:val="center"/>
              <w:rPr>
                <w:rFonts w:ascii="Times New Roman" w:hAnsi="Times New Roman"/>
                <w:b/>
                <w:sz w:val="22"/>
                <w:szCs w:val="22"/>
              </w:rPr>
            </w:pPr>
            <w:r w:rsidRPr="00504D7A">
              <w:rPr>
                <w:rFonts w:ascii="Times New Roman" w:hAnsi="Times New Roman"/>
                <w:b/>
                <w:sz w:val="22"/>
                <w:szCs w:val="22"/>
              </w:rPr>
              <w:t>No. of Responses</w:t>
            </w:r>
          </w:p>
          <w:p w:rsidRPr="00504D7A" w:rsidR="00504D7A" w:rsidP="00504D7A" w:rsidRDefault="00504D7A" w14:paraId="6018F21F"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per 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504D7A" w:rsidP="00504D7A" w:rsidRDefault="00504D7A" w14:paraId="380D661B"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Total Responses</w:t>
            </w:r>
          </w:p>
        </w:tc>
        <w:tc>
          <w:tcPr>
            <w:tcW w:w="128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504D7A" w:rsidP="00504D7A" w:rsidRDefault="00504D7A" w14:paraId="7512E14A"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Average Burden (Hours)</w:t>
            </w:r>
          </w:p>
        </w:tc>
        <w:tc>
          <w:tcPr>
            <w:tcW w:w="114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504D7A" w:rsidP="00504D7A" w:rsidRDefault="00504D7A" w14:paraId="7059B8A9"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504D7A" w:rsidP="00504D7A" w:rsidRDefault="00504D7A" w14:paraId="3D0E1113" w14:textId="77777777">
            <w:pPr>
              <w:widowControl/>
              <w:autoSpaceDE/>
              <w:autoSpaceDN/>
              <w:adjustRightInd/>
              <w:spacing w:line="276" w:lineRule="auto"/>
              <w:jc w:val="center"/>
              <w:rPr>
                <w:rFonts w:ascii="Times New Roman" w:hAnsi="Times New Roman"/>
                <w:b/>
                <w:sz w:val="22"/>
                <w:szCs w:val="22"/>
              </w:rPr>
            </w:pPr>
            <w:r w:rsidRPr="00504D7A">
              <w:rPr>
                <w:rFonts w:ascii="Times New Roman" w:hAnsi="Times New Roman"/>
                <w:b/>
                <w:sz w:val="22"/>
                <w:szCs w:val="22"/>
              </w:rPr>
              <w:t>Hourly</w:t>
            </w:r>
          </w:p>
          <w:p w:rsidRPr="00504D7A" w:rsidR="00504D7A" w:rsidP="00504D7A" w:rsidRDefault="00504D7A" w14:paraId="5FB1CC1C"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b/>
                <w:sz w:val="22"/>
                <w:szCs w:val="22"/>
              </w:rPr>
              <w:t>Wage Rate</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04D7A" w:rsidR="00504D7A" w:rsidP="00504D7A" w:rsidRDefault="00750904" w14:paraId="42F02F94" w14:textId="7EB2BD61">
            <w:pPr>
              <w:widowControl/>
              <w:autoSpaceDE/>
              <w:autoSpaceDN/>
              <w:adjustRightInd/>
              <w:spacing w:line="276" w:lineRule="auto"/>
              <w:jc w:val="center"/>
              <w:rPr>
                <w:rFonts w:ascii="Times New Roman" w:hAnsi="Times New Roman"/>
                <w:sz w:val="22"/>
                <w:szCs w:val="22"/>
              </w:rPr>
            </w:pPr>
            <w:r>
              <w:rPr>
                <w:rFonts w:ascii="Times New Roman" w:hAnsi="Times New Roman"/>
                <w:b/>
                <w:sz w:val="22"/>
                <w:szCs w:val="22"/>
              </w:rPr>
              <w:t>Equivalent</w:t>
            </w:r>
            <w:r w:rsidRPr="00504D7A" w:rsidR="00504D7A">
              <w:rPr>
                <w:rFonts w:ascii="Times New Roman" w:hAnsi="Times New Roman"/>
                <w:b/>
                <w:sz w:val="22"/>
                <w:szCs w:val="22"/>
              </w:rPr>
              <w:t xml:space="preserve"> Cost</w:t>
            </w:r>
          </w:p>
        </w:tc>
      </w:tr>
      <w:tr w:rsidRPr="00504D7A" w:rsidR="00504D7A" w:rsidTr="00A04F34" w14:paraId="2528AAB0" w14:textId="77777777">
        <w:tc>
          <w:tcPr>
            <w:tcW w:w="2160" w:type="dxa"/>
            <w:tcBorders>
              <w:top w:val="single" w:color="auto" w:sz="4" w:space="0"/>
              <w:left w:val="single" w:color="auto" w:sz="4" w:space="0"/>
              <w:bottom w:val="single" w:color="auto" w:sz="4" w:space="0"/>
              <w:right w:val="single" w:color="auto" w:sz="4" w:space="0"/>
            </w:tcBorders>
          </w:tcPr>
          <w:p w:rsidRPr="00504D7A" w:rsidR="00504D7A" w:rsidP="00C26FF7" w:rsidRDefault="00C26FF7" w14:paraId="1CF2F530" w14:textId="338DD82A">
            <w:pPr>
              <w:widowControl/>
              <w:autoSpaceDE/>
              <w:autoSpaceDN/>
              <w:adjustRightInd/>
              <w:spacing w:line="276" w:lineRule="auto"/>
              <w:rPr>
                <w:rFonts w:ascii="Times New Roman" w:hAnsi="Times New Roman"/>
                <w:iCs/>
                <w:sz w:val="22"/>
                <w:szCs w:val="22"/>
              </w:rPr>
            </w:pPr>
            <w:r>
              <w:rPr>
                <w:rFonts w:ascii="Times New Roman" w:hAnsi="Times New Roman"/>
                <w:iCs/>
                <w:sz w:val="22"/>
                <w:szCs w:val="22"/>
              </w:rPr>
              <w:t>Legal professionals preparing requests</w:t>
            </w:r>
            <w:r w:rsidR="006B5A89">
              <w:rPr>
                <w:rFonts w:ascii="Times New Roman" w:hAnsi="Times New Roman"/>
                <w:iCs/>
                <w:sz w:val="22"/>
                <w:szCs w:val="22"/>
              </w:rPr>
              <w:t xml:space="preserve"> </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3062F8" w14:paraId="2FB50024" w14:textId="2A182E9F">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22</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7B31C0" w14:paraId="4DD3266A" w14:textId="411E6E46">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3062F8" w14:paraId="38759955" w14:textId="7CC15151">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22</w:t>
            </w:r>
          </w:p>
        </w:tc>
        <w:tc>
          <w:tcPr>
            <w:tcW w:w="1289"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3062F8" w14:paraId="12883024" w14:textId="1F597C2D">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12</w:t>
            </w:r>
          </w:p>
        </w:tc>
        <w:tc>
          <w:tcPr>
            <w:tcW w:w="1141"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3062F8" w14:paraId="0DAB9BE4" w14:textId="46FD859E">
            <w:pPr>
              <w:widowControl/>
              <w:autoSpaceDE/>
              <w:autoSpaceDN/>
              <w:adjustRightInd/>
              <w:spacing w:line="276" w:lineRule="auto"/>
              <w:jc w:val="center"/>
              <w:rPr>
                <w:rFonts w:ascii="Times New Roman" w:hAnsi="Times New Roman"/>
                <w:sz w:val="22"/>
                <w:szCs w:val="22"/>
              </w:rPr>
            </w:pPr>
            <w:r w:rsidRPr="003062F8">
              <w:rPr>
                <w:rFonts w:ascii="Times New Roman" w:hAnsi="Times New Roman"/>
                <w:sz w:val="22"/>
                <w:szCs w:val="22"/>
              </w:rPr>
              <w:t>264</w:t>
            </w:r>
          </w:p>
        </w:tc>
        <w:tc>
          <w:tcPr>
            <w:tcW w:w="99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3062F8" w14:paraId="0B881FE5" w14:textId="06FBCBE1">
            <w:pPr>
              <w:widowControl/>
              <w:autoSpaceDE/>
              <w:autoSpaceDN/>
              <w:adjustRightInd/>
              <w:spacing w:line="276" w:lineRule="auto"/>
              <w:jc w:val="center"/>
              <w:rPr>
                <w:rFonts w:ascii="Times New Roman" w:hAnsi="Times New Roman"/>
                <w:sz w:val="22"/>
                <w:szCs w:val="22"/>
              </w:rPr>
            </w:pPr>
            <w:r w:rsidRPr="003062F8">
              <w:rPr>
                <w:rFonts w:ascii="Times New Roman" w:hAnsi="Times New Roman"/>
                <w:sz w:val="22"/>
                <w:szCs w:val="22"/>
              </w:rPr>
              <w:t>$140.96</w:t>
            </w:r>
          </w:p>
        </w:tc>
        <w:tc>
          <w:tcPr>
            <w:tcW w:w="1530" w:type="dxa"/>
            <w:tcBorders>
              <w:top w:val="single" w:color="auto" w:sz="4" w:space="0"/>
              <w:left w:val="single" w:color="auto" w:sz="4" w:space="0"/>
              <w:bottom w:val="single" w:color="auto" w:sz="4" w:space="0"/>
              <w:right w:val="single" w:color="auto" w:sz="4" w:space="0"/>
            </w:tcBorders>
            <w:vAlign w:val="bottom"/>
          </w:tcPr>
          <w:p w:rsidRPr="00504D7A" w:rsidR="00504D7A" w:rsidP="00A55A7B" w:rsidRDefault="00CB69EC" w14:paraId="003C5229" w14:textId="04C9232D">
            <w:pPr>
              <w:widowControl/>
              <w:autoSpaceDE/>
              <w:autoSpaceDN/>
              <w:adjustRightInd/>
              <w:spacing w:line="276" w:lineRule="auto"/>
              <w:jc w:val="center"/>
              <w:rPr>
                <w:rFonts w:ascii="Times New Roman" w:hAnsi="Times New Roman"/>
                <w:sz w:val="22"/>
                <w:szCs w:val="22"/>
              </w:rPr>
            </w:pPr>
            <w:r w:rsidRPr="00CB69EC">
              <w:rPr>
                <w:rFonts w:ascii="Times New Roman" w:hAnsi="Times New Roman"/>
                <w:sz w:val="22"/>
                <w:szCs w:val="22"/>
              </w:rPr>
              <w:t>$37,213</w:t>
            </w:r>
          </w:p>
        </w:tc>
      </w:tr>
      <w:tr w:rsidRPr="00504D7A" w:rsidR="00504D7A" w:rsidTr="00A04F34" w14:paraId="33C25F12" w14:textId="77777777">
        <w:trPr>
          <w:trHeight w:val="593"/>
        </w:trPr>
        <w:tc>
          <w:tcPr>
            <w:tcW w:w="2160" w:type="dxa"/>
            <w:tcBorders>
              <w:top w:val="single" w:color="auto" w:sz="4" w:space="0"/>
              <w:left w:val="single" w:color="auto" w:sz="4" w:space="0"/>
              <w:bottom w:val="single" w:color="auto" w:sz="4" w:space="0"/>
              <w:right w:val="single" w:color="auto" w:sz="4" w:space="0"/>
            </w:tcBorders>
          </w:tcPr>
          <w:p w:rsidRPr="00504D7A" w:rsidR="00504D7A" w:rsidP="00504D7A" w:rsidRDefault="00C26FF7" w14:paraId="2428F9D5" w14:textId="16460496">
            <w:pPr>
              <w:widowControl/>
              <w:autoSpaceDE/>
              <w:autoSpaceDN/>
              <w:adjustRightInd/>
              <w:spacing w:line="276" w:lineRule="auto"/>
              <w:rPr>
                <w:rFonts w:ascii="Times New Roman" w:hAnsi="Times New Roman"/>
                <w:sz w:val="22"/>
                <w:szCs w:val="22"/>
              </w:rPr>
            </w:pPr>
            <w:r>
              <w:rPr>
                <w:rFonts w:ascii="Times New Roman" w:hAnsi="Times New Roman"/>
                <w:sz w:val="22"/>
                <w:szCs w:val="22"/>
              </w:rPr>
              <w:t>Clerical staff preparing requests</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3062F8" w14:paraId="530524B6" w14:textId="33571DCF">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22</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7B31C0" w14:paraId="075E4D23" w14:textId="60079FA8">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3062F8" w14:paraId="47C1E439" w14:textId="301F6B56">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22</w:t>
            </w:r>
          </w:p>
        </w:tc>
        <w:tc>
          <w:tcPr>
            <w:tcW w:w="1289"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3062F8" w14:paraId="745D347F" w14:textId="4065939D">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13</w:t>
            </w:r>
          </w:p>
        </w:tc>
        <w:tc>
          <w:tcPr>
            <w:tcW w:w="1141"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3062F8" w14:paraId="36B3EB84" w14:textId="13DCD1EB">
            <w:pPr>
              <w:widowControl/>
              <w:autoSpaceDE/>
              <w:autoSpaceDN/>
              <w:adjustRightInd/>
              <w:spacing w:line="276" w:lineRule="auto"/>
              <w:jc w:val="center"/>
              <w:rPr>
                <w:rFonts w:ascii="Times New Roman" w:hAnsi="Times New Roman"/>
                <w:sz w:val="22"/>
                <w:szCs w:val="22"/>
              </w:rPr>
            </w:pPr>
            <w:r w:rsidRPr="003062F8">
              <w:rPr>
                <w:rFonts w:ascii="Times New Roman" w:hAnsi="Times New Roman"/>
                <w:sz w:val="22"/>
                <w:szCs w:val="22"/>
              </w:rPr>
              <w:t>286</w:t>
            </w:r>
          </w:p>
        </w:tc>
        <w:tc>
          <w:tcPr>
            <w:tcW w:w="99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3062F8" w14:paraId="2F5EF8B4" w14:textId="196DDCB8">
            <w:pPr>
              <w:widowControl/>
              <w:autoSpaceDE/>
              <w:autoSpaceDN/>
              <w:adjustRightInd/>
              <w:spacing w:line="276" w:lineRule="auto"/>
              <w:jc w:val="center"/>
              <w:rPr>
                <w:rFonts w:ascii="Times New Roman" w:hAnsi="Times New Roman"/>
                <w:sz w:val="22"/>
                <w:szCs w:val="22"/>
              </w:rPr>
            </w:pPr>
            <w:r w:rsidRPr="003062F8">
              <w:rPr>
                <w:rFonts w:ascii="Times New Roman" w:hAnsi="Times New Roman"/>
                <w:sz w:val="22"/>
                <w:szCs w:val="22"/>
              </w:rPr>
              <w:t>$55.23</w:t>
            </w:r>
          </w:p>
        </w:tc>
        <w:tc>
          <w:tcPr>
            <w:tcW w:w="1530" w:type="dxa"/>
            <w:tcBorders>
              <w:top w:val="single" w:color="auto" w:sz="4" w:space="0"/>
              <w:left w:val="single" w:color="auto" w:sz="4" w:space="0"/>
              <w:bottom w:val="single" w:color="auto" w:sz="4" w:space="0"/>
              <w:right w:val="single" w:color="auto" w:sz="4" w:space="0"/>
            </w:tcBorders>
            <w:vAlign w:val="bottom"/>
          </w:tcPr>
          <w:p w:rsidRPr="00504D7A" w:rsidR="00504D7A" w:rsidP="008A7427" w:rsidRDefault="00CB69EC" w14:paraId="6977CB62" w14:textId="26B94919">
            <w:pPr>
              <w:widowControl/>
              <w:autoSpaceDE/>
              <w:autoSpaceDN/>
              <w:adjustRightInd/>
              <w:spacing w:line="276" w:lineRule="auto"/>
              <w:jc w:val="center"/>
              <w:rPr>
                <w:rFonts w:ascii="Times New Roman" w:hAnsi="Times New Roman"/>
                <w:sz w:val="22"/>
                <w:szCs w:val="22"/>
              </w:rPr>
            </w:pPr>
            <w:r w:rsidRPr="00CB69EC">
              <w:rPr>
                <w:rFonts w:ascii="Times New Roman" w:hAnsi="Times New Roman"/>
                <w:sz w:val="22"/>
                <w:szCs w:val="22"/>
              </w:rPr>
              <w:t>$15,796</w:t>
            </w:r>
          </w:p>
        </w:tc>
      </w:tr>
      <w:tr w:rsidRPr="00504D7A" w:rsidR="0031551C" w:rsidTr="00A04F34" w14:paraId="4DA17C7D" w14:textId="77777777">
        <w:trPr>
          <w:trHeight w:val="593"/>
        </w:trPr>
        <w:tc>
          <w:tcPr>
            <w:tcW w:w="2160" w:type="dxa"/>
            <w:tcBorders>
              <w:top w:val="single" w:color="auto" w:sz="4" w:space="0"/>
              <w:left w:val="single" w:color="auto" w:sz="4" w:space="0"/>
              <w:bottom w:val="single" w:color="auto" w:sz="4" w:space="0"/>
              <w:right w:val="single" w:color="auto" w:sz="4" w:space="0"/>
            </w:tcBorders>
          </w:tcPr>
          <w:p w:rsidR="0031551C" w:rsidP="00504D7A" w:rsidRDefault="0031551C" w14:paraId="29EFE7E4" w14:textId="04CA50FB">
            <w:pPr>
              <w:widowControl/>
              <w:autoSpaceDE/>
              <w:autoSpaceDN/>
              <w:adjustRightInd/>
              <w:spacing w:line="276" w:lineRule="auto"/>
              <w:rPr>
                <w:rFonts w:ascii="Times New Roman" w:hAnsi="Times New Roman"/>
                <w:sz w:val="22"/>
                <w:szCs w:val="22"/>
              </w:rPr>
            </w:pPr>
            <w:r>
              <w:rPr>
                <w:rFonts w:ascii="Times New Roman" w:hAnsi="Times New Roman"/>
                <w:sz w:val="22"/>
                <w:szCs w:val="22"/>
              </w:rPr>
              <w:t>O</w:t>
            </w:r>
            <w:r w:rsidRPr="0031551C">
              <w:rPr>
                <w:rFonts w:ascii="Times New Roman" w:hAnsi="Times New Roman"/>
                <w:sz w:val="22"/>
                <w:szCs w:val="22"/>
              </w:rPr>
              <w:t>utside legal professional work</w:t>
            </w:r>
          </w:p>
        </w:tc>
        <w:tc>
          <w:tcPr>
            <w:tcW w:w="1440" w:type="dxa"/>
            <w:tcBorders>
              <w:top w:val="single" w:color="auto" w:sz="4" w:space="0"/>
              <w:left w:val="single" w:color="auto" w:sz="4" w:space="0"/>
              <w:bottom w:val="single" w:color="auto" w:sz="4" w:space="0"/>
              <w:right w:val="single" w:color="auto" w:sz="4" w:space="0"/>
            </w:tcBorders>
            <w:vAlign w:val="bottom"/>
          </w:tcPr>
          <w:p w:rsidR="0031551C" w:rsidP="00504D7A" w:rsidRDefault="0031551C" w14:paraId="739FE6BF" w14:textId="2F8322E7">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22</w:t>
            </w:r>
          </w:p>
        </w:tc>
        <w:tc>
          <w:tcPr>
            <w:tcW w:w="1440" w:type="dxa"/>
            <w:tcBorders>
              <w:top w:val="single" w:color="auto" w:sz="4" w:space="0"/>
              <w:left w:val="single" w:color="auto" w:sz="4" w:space="0"/>
              <w:bottom w:val="single" w:color="auto" w:sz="4" w:space="0"/>
              <w:right w:val="single" w:color="auto" w:sz="4" w:space="0"/>
            </w:tcBorders>
            <w:vAlign w:val="bottom"/>
          </w:tcPr>
          <w:p w:rsidR="0031551C" w:rsidP="00504D7A" w:rsidRDefault="0031551C" w14:paraId="5864342E" w14:textId="54DEC6BE">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0031551C" w:rsidP="00504D7A" w:rsidRDefault="0031551C" w14:paraId="1732C039" w14:textId="70F2AA44">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22</w:t>
            </w:r>
          </w:p>
        </w:tc>
        <w:tc>
          <w:tcPr>
            <w:tcW w:w="1289" w:type="dxa"/>
            <w:tcBorders>
              <w:top w:val="single" w:color="auto" w:sz="4" w:space="0"/>
              <w:left w:val="single" w:color="auto" w:sz="4" w:space="0"/>
              <w:bottom w:val="single" w:color="auto" w:sz="4" w:space="0"/>
              <w:right w:val="single" w:color="auto" w:sz="4" w:space="0"/>
            </w:tcBorders>
            <w:vAlign w:val="bottom"/>
          </w:tcPr>
          <w:p w:rsidR="0031551C" w:rsidP="00504D7A" w:rsidRDefault="0031551C" w14:paraId="110519AF" w14:textId="46A5C901">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52</w:t>
            </w:r>
          </w:p>
        </w:tc>
        <w:tc>
          <w:tcPr>
            <w:tcW w:w="1141" w:type="dxa"/>
            <w:tcBorders>
              <w:top w:val="single" w:color="auto" w:sz="4" w:space="0"/>
              <w:left w:val="single" w:color="auto" w:sz="4" w:space="0"/>
              <w:bottom w:val="single" w:color="auto" w:sz="4" w:space="0"/>
              <w:right w:val="single" w:color="auto" w:sz="4" w:space="0"/>
            </w:tcBorders>
            <w:vAlign w:val="bottom"/>
          </w:tcPr>
          <w:p w:rsidR="0031551C" w:rsidP="00504D7A" w:rsidRDefault="0031551C" w14:paraId="0BB71349" w14:textId="686A1C3B">
            <w:pPr>
              <w:widowControl/>
              <w:autoSpaceDE/>
              <w:autoSpaceDN/>
              <w:adjustRightInd/>
              <w:spacing w:line="276" w:lineRule="auto"/>
              <w:jc w:val="center"/>
              <w:rPr>
                <w:rFonts w:ascii="Times New Roman" w:hAnsi="Times New Roman"/>
                <w:sz w:val="22"/>
                <w:szCs w:val="22"/>
              </w:rPr>
            </w:pPr>
            <w:r w:rsidRPr="0031551C">
              <w:rPr>
                <w:rFonts w:ascii="Times New Roman" w:hAnsi="Times New Roman"/>
                <w:sz w:val="22"/>
                <w:szCs w:val="22"/>
              </w:rPr>
              <w:t>1,144</w:t>
            </w:r>
          </w:p>
        </w:tc>
        <w:tc>
          <w:tcPr>
            <w:tcW w:w="990" w:type="dxa"/>
            <w:tcBorders>
              <w:top w:val="single" w:color="auto" w:sz="4" w:space="0"/>
              <w:left w:val="single" w:color="auto" w:sz="4" w:space="0"/>
              <w:bottom w:val="single" w:color="auto" w:sz="4" w:space="0"/>
              <w:right w:val="single" w:color="auto" w:sz="4" w:space="0"/>
            </w:tcBorders>
            <w:vAlign w:val="bottom"/>
          </w:tcPr>
          <w:p w:rsidRPr="003F35E3" w:rsidR="0031551C" w:rsidP="00504D7A" w:rsidRDefault="0031551C" w14:paraId="096BA0A7" w14:textId="5A82033C">
            <w:pPr>
              <w:widowControl/>
              <w:autoSpaceDE/>
              <w:autoSpaceDN/>
              <w:adjustRightInd/>
              <w:spacing w:line="276" w:lineRule="auto"/>
              <w:jc w:val="center"/>
              <w:rPr>
                <w:rFonts w:ascii="Times New Roman" w:hAnsi="Times New Roman"/>
                <w:sz w:val="22"/>
                <w:szCs w:val="22"/>
              </w:rPr>
            </w:pPr>
            <w:r w:rsidRPr="0031551C">
              <w:rPr>
                <w:rFonts w:ascii="Times New Roman" w:hAnsi="Times New Roman"/>
                <w:sz w:val="22"/>
                <w:szCs w:val="22"/>
              </w:rPr>
              <w:t>$494.00</w:t>
            </w:r>
          </w:p>
        </w:tc>
        <w:tc>
          <w:tcPr>
            <w:tcW w:w="1530" w:type="dxa"/>
            <w:tcBorders>
              <w:top w:val="single" w:color="auto" w:sz="4" w:space="0"/>
              <w:left w:val="single" w:color="auto" w:sz="4" w:space="0"/>
              <w:bottom w:val="single" w:color="auto" w:sz="4" w:space="0"/>
              <w:right w:val="single" w:color="auto" w:sz="4" w:space="0"/>
            </w:tcBorders>
            <w:vAlign w:val="bottom"/>
          </w:tcPr>
          <w:p w:rsidRPr="00A55A7B" w:rsidR="0031551C" w:rsidP="008A7427" w:rsidRDefault="0031551C" w14:paraId="00FEE4F0" w14:textId="4ED53AC5">
            <w:pPr>
              <w:widowControl/>
              <w:autoSpaceDE/>
              <w:autoSpaceDN/>
              <w:adjustRightInd/>
              <w:spacing w:line="276" w:lineRule="auto"/>
              <w:jc w:val="center"/>
              <w:rPr>
                <w:rFonts w:ascii="Times New Roman" w:hAnsi="Times New Roman"/>
                <w:sz w:val="22"/>
                <w:szCs w:val="22"/>
              </w:rPr>
            </w:pPr>
            <w:r w:rsidRPr="0031551C">
              <w:rPr>
                <w:rFonts w:ascii="Times New Roman" w:hAnsi="Times New Roman"/>
                <w:sz w:val="22"/>
                <w:szCs w:val="22"/>
              </w:rPr>
              <w:t>$565,136</w:t>
            </w:r>
          </w:p>
        </w:tc>
      </w:tr>
      <w:tr w:rsidRPr="00504D7A" w:rsidR="009B6518" w:rsidTr="00A04F34" w14:paraId="134C0477" w14:textId="77777777">
        <w:trPr>
          <w:trHeight w:val="593"/>
        </w:trPr>
        <w:tc>
          <w:tcPr>
            <w:tcW w:w="2160" w:type="dxa"/>
            <w:tcBorders>
              <w:top w:val="single" w:color="auto" w:sz="4" w:space="0"/>
              <w:left w:val="single" w:color="auto" w:sz="4" w:space="0"/>
              <w:bottom w:val="single" w:color="auto" w:sz="4" w:space="0"/>
              <w:right w:val="single" w:color="auto" w:sz="4" w:space="0"/>
            </w:tcBorders>
          </w:tcPr>
          <w:p w:rsidR="009B6518" w:rsidP="00504D7A" w:rsidRDefault="00C26FF7" w14:paraId="24F4702D" w14:textId="6FF13A20">
            <w:pPr>
              <w:widowControl/>
              <w:autoSpaceDE/>
              <w:autoSpaceDN/>
              <w:adjustRightInd/>
              <w:spacing w:line="276" w:lineRule="auto"/>
              <w:rPr>
                <w:rFonts w:ascii="Times New Roman" w:hAnsi="Times New Roman"/>
                <w:sz w:val="22"/>
                <w:szCs w:val="22"/>
              </w:rPr>
            </w:pPr>
            <w:r>
              <w:rPr>
                <w:rFonts w:ascii="Times New Roman" w:hAnsi="Times New Roman"/>
                <w:sz w:val="22"/>
                <w:szCs w:val="22"/>
              </w:rPr>
              <w:t>Clerical staff distributing notices</w:t>
            </w:r>
            <w:r w:rsidR="009B6518">
              <w:rPr>
                <w:rFonts w:ascii="Times New Roman" w:hAnsi="Times New Roman"/>
                <w:sz w:val="22"/>
                <w:szCs w:val="22"/>
              </w:rPr>
              <w:t xml:space="preserve"> </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9B6518" w:rsidP="00504D7A" w:rsidRDefault="00436799" w14:paraId="50803767" w14:textId="2D361E26">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9B6518" w:rsidP="00436799" w:rsidRDefault="00436799" w14:paraId="61DA4814" w14:textId="102F5805">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696</w:t>
            </w:r>
          </w:p>
        </w:tc>
        <w:tc>
          <w:tcPr>
            <w:tcW w:w="1260" w:type="dxa"/>
            <w:tcBorders>
              <w:top w:val="single" w:color="auto" w:sz="4" w:space="0"/>
              <w:left w:val="single" w:color="auto" w:sz="4" w:space="0"/>
              <w:bottom w:val="single" w:color="auto" w:sz="4" w:space="0"/>
              <w:right w:val="single" w:color="auto" w:sz="4" w:space="0"/>
            </w:tcBorders>
            <w:vAlign w:val="bottom"/>
          </w:tcPr>
          <w:p w:rsidRPr="00504D7A" w:rsidR="009B6518" w:rsidP="00504D7A" w:rsidRDefault="00436799" w14:paraId="0E0C030E" w14:textId="035084D9">
            <w:pPr>
              <w:widowControl/>
              <w:autoSpaceDE/>
              <w:autoSpaceDN/>
              <w:adjustRightInd/>
              <w:spacing w:line="276" w:lineRule="auto"/>
              <w:jc w:val="center"/>
              <w:rPr>
                <w:rFonts w:ascii="Times New Roman" w:hAnsi="Times New Roman"/>
                <w:sz w:val="22"/>
                <w:szCs w:val="22"/>
              </w:rPr>
            </w:pPr>
            <w:r w:rsidRPr="00436799">
              <w:rPr>
                <w:rFonts w:ascii="Times New Roman" w:hAnsi="Times New Roman"/>
                <w:sz w:val="22"/>
                <w:szCs w:val="22"/>
              </w:rPr>
              <w:t>3,480</w:t>
            </w:r>
          </w:p>
        </w:tc>
        <w:tc>
          <w:tcPr>
            <w:tcW w:w="1289" w:type="dxa"/>
            <w:tcBorders>
              <w:top w:val="single" w:color="auto" w:sz="4" w:space="0"/>
              <w:left w:val="single" w:color="auto" w:sz="4" w:space="0"/>
              <w:bottom w:val="single" w:color="auto" w:sz="4" w:space="0"/>
              <w:right w:val="single" w:color="auto" w:sz="4" w:space="0"/>
            </w:tcBorders>
            <w:vAlign w:val="bottom"/>
          </w:tcPr>
          <w:p w:rsidRPr="00504D7A" w:rsidR="009B6518" w:rsidP="00504D7A" w:rsidRDefault="008B6D00" w14:paraId="7DDDF71D" w14:textId="1831D92E">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.08333</w:t>
            </w:r>
          </w:p>
        </w:tc>
        <w:tc>
          <w:tcPr>
            <w:tcW w:w="1141" w:type="dxa"/>
            <w:tcBorders>
              <w:top w:val="single" w:color="auto" w:sz="4" w:space="0"/>
              <w:left w:val="single" w:color="auto" w:sz="4" w:space="0"/>
              <w:bottom w:val="single" w:color="auto" w:sz="4" w:space="0"/>
              <w:right w:val="single" w:color="auto" w:sz="4" w:space="0"/>
            </w:tcBorders>
            <w:vAlign w:val="bottom"/>
          </w:tcPr>
          <w:p w:rsidRPr="00504D7A" w:rsidR="009B6518" w:rsidP="00504D7A" w:rsidRDefault="00436799" w14:paraId="475E1B3B" w14:textId="430521D1">
            <w:pPr>
              <w:widowControl/>
              <w:autoSpaceDE/>
              <w:autoSpaceDN/>
              <w:adjustRightInd/>
              <w:spacing w:line="276" w:lineRule="auto"/>
              <w:jc w:val="center"/>
              <w:rPr>
                <w:rFonts w:ascii="Times New Roman" w:hAnsi="Times New Roman"/>
                <w:sz w:val="22"/>
                <w:szCs w:val="22"/>
              </w:rPr>
            </w:pPr>
            <w:r w:rsidRPr="00436799">
              <w:rPr>
                <w:rFonts w:ascii="Times New Roman" w:hAnsi="Times New Roman"/>
                <w:sz w:val="22"/>
                <w:szCs w:val="22"/>
              </w:rPr>
              <w:t>290</w:t>
            </w:r>
          </w:p>
        </w:tc>
        <w:tc>
          <w:tcPr>
            <w:tcW w:w="990" w:type="dxa"/>
            <w:tcBorders>
              <w:top w:val="single" w:color="auto" w:sz="4" w:space="0"/>
              <w:left w:val="single" w:color="auto" w:sz="4" w:space="0"/>
              <w:bottom w:val="single" w:color="auto" w:sz="4" w:space="0"/>
              <w:right w:val="single" w:color="auto" w:sz="4" w:space="0"/>
            </w:tcBorders>
            <w:vAlign w:val="bottom"/>
          </w:tcPr>
          <w:p w:rsidR="009B6518" w:rsidP="00504D7A" w:rsidRDefault="00436799" w14:paraId="00477E7B" w14:textId="36EF367B">
            <w:pPr>
              <w:widowControl/>
              <w:autoSpaceDE/>
              <w:autoSpaceDN/>
              <w:adjustRightInd/>
              <w:spacing w:line="276" w:lineRule="auto"/>
              <w:jc w:val="center"/>
              <w:rPr>
                <w:rFonts w:ascii="Times New Roman" w:hAnsi="Times New Roman"/>
                <w:sz w:val="22"/>
                <w:szCs w:val="22"/>
              </w:rPr>
            </w:pPr>
            <w:r w:rsidRPr="00436799">
              <w:rPr>
                <w:rFonts w:ascii="Times New Roman" w:hAnsi="Times New Roman"/>
                <w:sz w:val="22"/>
                <w:szCs w:val="22"/>
              </w:rPr>
              <w:t>$55.23</w:t>
            </w:r>
          </w:p>
        </w:tc>
        <w:tc>
          <w:tcPr>
            <w:tcW w:w="1530" w:type="dxa"/>
            <w:tcBorders>
              <w:top w:val="single" w:color="auto" w:sz="4" w:space="0"/>
              <w:left w:val="single" w:color="auto" w:sz="4" w:space="0"/>
              <w:bottom w:val="single" w:color="auto" w:sz="4" w:space="0"/>
              <w:right w:val="single" w:color="auto" w:sz="4" w:space="0"/>
            </w:tcBorders>
            <w:vAlign w:val="bottom"/>
          </w:tcPr>
          <w:p w:rsidRPr="00504D7A" w:rsidR="009B6518" w:rsidP="008A7427" w:rsidRDefault="00436799" w14:paraId="51CBD234" w14:textId="1209D837">
            <w:pPr>
              <w:widowControl/>
              <w:autoSpaceDE/>
              <w:autoSpaceDN/>
              <w:adjustRightInd/>
              <w:spacing w:line="276" w:lineRule="auto"/>
              <w:jc w:val="center"/>
              <w:rPr>
                <w:rFonts w:ascii="Times New Roman" w:hAnsi="Times New Roman"/>
                <w:sz w:val="22"/>
                <w:szCs w:val="22"/>
              </w:rPr>
            </w:pPr>
            <w:r w:rsidRPr="00436799">
              <w:rPr>
                <w:rFonts w:ascii="Times New Roman" w:hAnsi="Times New Roman"/>
                <w:sz w:val="22"/>
                <w:szCs w:val="22"/>
              </w:rPr>
              <w:t>$16,017</w:t>
            </w:r>
          </w:p>
        </w:tc>
      </w:tr>
      <w:tr w:rsidRPr="00504D7A" w:rsidR="00436799" w:rsidTr="000656F0" w14:paraId="72147CB1" w14:textId="77777777">
        <w:trPr>
          <w:trHeight w:val="593"/>
        </w:trPr>
        <w:tc>
          <w:tcPr>
            <w:tcW w:w="11250" w:type="dxa"/>
            <w:gridSpan w:val="8"/>
            <w:tcBorders>
              <w:top w:val="single" w:color="auto" w:sz="4" w:space="0"/>
              <w:left w:val="single" w:color="auto" w:sz="4" w:space="0"/>
              <w:bottom w:val="single" w:color="auto" w:sz="4" w:space="0"/>
              <w:right w:val="single" w:color="auto" w:sz="4" w:space="0"/>
            </w:tcBorders>
          </w:tcPr>
          <w:p w:rsidRPr="00A55A7B" w:rsidR="00436799" w:rsidP="008908B3" w:rsidRDefault="00436799" w14:paraId="29CE8015" w14:textId="2D90BDB2">
            <w:pPr>
              <w:widowControl/>
              <w:autoSpaceDE/>
              <w:autoSpaceDN/>
              <w:adjustRightInd/>
              <w:spacing w:line="276" w:lineRule="auto"/>
              <w:rPr>
                <w:rFonts w:ascii="Times New Roman" w:hAnsi="Times New Roman"/>
                <w:sz w:val="22"/>
                <w:szCs w:val="22"/>
              </w:rPr>
            </w:pPr>
            <w:r w:rsidRPr="008908B3">
              <w:rPr>
                <w:rFonts w:ascii="Times New Roman" w:hAnsi="Times New Roman"/>
                <w:i/>
                <w:sz w:val="22"/>
                <w:szCs w:val="22"/>
              </w:rPr>
              <w:t>Proposed Amendments</w:t>
            </w:r>
          </w:p>
        </w:tc>
      </w:tr>
      <w:tr w:rsidRPr="00504D7A" w:rsidR="00436799" w:rsidTr="00A04F34" w14:paraId="7FDDFE5B" w14:textId="77777777">
        <w:trPr>
          <w:trHeight w:val="593"/>
        </w:trPr>
        <w:tc>
          <w:tcPr>
            <w:tcW w:w="2160" w:type="dxa"/>
            <w:tcBorders>
              <w:top w:val="single" w:color="auto" w:sz="4" w:space="0"/>
              <w:left w:val="single" w:color="auto" w:sz="4" w:space="0"/>
              <w:bottom w:val="single" w:color="auto" w:sz="4" w:space="0"/>
              <w:right w:val="single" w:color="auto" w:sz="4" w:space="0"/>
            </w:tcBorders>
          </w:tcPr>
          <w:p w:rsidR="00436799" w:rsidP="00E35C2D" w:rsidRDefault="00E35C2D" w14:paraId="7D920142" w14:textId="4CAD6754">
            <w:pPr>
              <w:widowControl/>
              <w:autoSpaceDE/>
              <w:autoSpaceDN/>
              <w:adjustRightInd/>
              <w:spacing w:line="276" w:lineRule="auto"/>
              <w:rPr>
                <w:rFonts w:ascii="Times New Roman" w:hAnsi="Times New Roman"/>
                <w:sz w:val="22"/>
                <w:szCs w:val="22"/>
              </w:rPr>
            </w:pPr>
            <w:r>
              <w:rPr>
                <w:rFonts w:ascii="Times New Roman" w:hAnsi="Times New Roman"/>
                <w:sz w:val="22"/>
                <w:szCs w:val="22"/>
              </w:rPr>
              <w:t>O</w:t>
            </w:r>
            <w:r w:rsidRPr="00E35C2D">
              <w:rPr>
                <w:rFonts w:ascii="Times New Roman" w:hAnsi="Times New Roman"/>
                <w:sz w:val="22"/>
                <w:szCs w:val="22"/>
              </w:rPr>
              <w:t xml:space="preserve">utside </w:t>
            </w:r>
            <w:r>
              <w:rPr>
                <w:rFonts w:ascii="Times New Roman" w:hAnsi="Times New Roman"/>
                <w:sz w:val="22"/>
                <w:szCs w:val="22"/>
              </w:rPr>
              <w:t xml:space="preserve">Fiduciary </w:t>
            </w:r>
          </w:p>
        </w:tc>
        <w:tc>
          <w:tcPr>
            <w:tcW w:w="1440" w:type="dxa"/>
            <w:tcBorders>
              <w:top w:val="single" w:color="auto" w:sz="4" w:space="0"/>
              <w:left w:val="single" w:color="auto" w:sz="4" w:space="0"/>
              <w:bottom w:val="single" w:color="auto" w:sz="4" w:space="0"/>
              <w:right w:val="single" w:color="auto" w:sz="4" w:space="0"/>
            </w:tcBorders>
            <w:vAlign w:val="bottom"/>
          </w:tcPr>
          <w:p w:rsidR="00436799" w:rsidP="00504D7A" w:rsidRDefault="00E35C2D" w14:paraId="65474107" w14:textId="25A6376D">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22</w:t>
            </w:r>
          </w:p>
        </w:tc>
        <w:tc>
          <w:tcPr>
            <w:tcW w:w="1440" w:type="dxa"/>
            <w:tcBorders>
              <w:top w:val="single" w:color="auto" w:sz="4" w:space="0"/>
              <w:left w:val="single" w:color="auto" w:sz="4" w:space="0"/>
              <w:bottom w:val="single" w:color="auto" w:sz="4" w:space="0"/>
              <w:right w:val="single" w:color="auto" w:sz="4" w:space="0"/>
            </w:tcBorders>
            <w:vAlign w:val="bottom"/>
          </w:tcPr>
          <w:p w:rsidR="00436799" w:rsidP="00504D7A" w:rsidRDefault="00E35C2D" w14:paraId="799693B7" w14:textId="046EE3DB">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00436799" w:rsidP="00504D7A" w:rsidRDefault="00E35C2D" w14:paraId="20ADBC15" w14:textId="45B24B96">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22</w:t>
            </w:r>
          </w:p>
        </w:tc>
        <w:tc>
          <w:tcPr>
            <w:tcW w:w="1289" w:type="dxa"/>
            <w:tcBorders>
              <w:top w:val="single" w:color="auto" w:sz="4" w:space="0"/>
              <w:left w:val="single" w:color="auto" w:sz="4" w:space="0"/>
              <w:bottom w:val="single" w:color="auto" w:sz="4" w:space="0"/>
              <w:right w:val="single" w:color="auto" w:sz="4" w:space="0"/>
            </w:tcBorders>
            <w:vAlign w:val="bottom"/>
          </w:tcPr>
          <w:p w:rsidR="00436799" w:rsidP="00504D7A" w:rsidRDefault="00E35C2D" w14:paraId="44153AFC" w14:textId="150DC78F">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34</w:t>
            </w:r>
          </w:p>
        </w:tc>
        <w:tc>
          <w:tcPr>
            <w:tcW w:w="1141" w:type="dxa"/>
            <w:tcBorders>
              <w:top w:val="single" w:color="auto" w:sz="4" w:space="0"/>
              <w:left w:val="single" w:color="auto" w:sz="4" w:space="0"/>
              <w:bottom w:val="single" w:color="auto" w:sz="4" w:space="0"/>
              <w:right w:val="single" w:color="auto" w:sz="4" w:space="0"/>
            </w:tcBorders>
            <w:vAlign w:val="bottom"/>
          </w:tcPr>
          <w:p w:rsidR="00436799" w:rsidP="00504D7A" w:rsidRDefault="00E35C2D" w14:paraId="7D84A8B7" w14:textId="51AFABC7">
            <w:pPr>
              <w:widowControl/>
              <w:autoSpaceDE/>
              <w:autoSpaceDN/>
              <w:adjustRightInd/>
              <w:spacing w:line="276" w:lineRule="auto"/>
              <w:jc w:val="center"/>
              <w:rPr>
                <w:rFonts w:ascii="Times New Roman" w:hAnsi="Times New Roman"/>
                <w:sz w:val="22"/>
                <w:szCs w:val="22"/>
              </w:rPr>
            </w:pPr>
            <w:r w:rsidRPr="00E35C2D">
              <w:rPr>
                <w:rFonts w:ascii="Times New Roman" w:hAnsi="Times New Roman"/>
                <w:sz w:val="22"/>
                <w:szCs w:val="22"/>
              </w:rPr>
              <w:t>748</w:t>
            </w:r>
          </w:p>
        </w:tc>
        <w:tc>
          <w:tcPr>
            <w:tcW w:w="990" w:type="dxa"/>
            <w:tcBorders>
              <w:top w:val="single" w:color="auto" w:sz="4" w:space="0"/>
              <w:left w:val="single" w:color="auto" w:sz="4" w:space="0"/>
              <w:bottom w:val="single" w:color="auto" w:sz="4" w:space="0"/>
              <w:right w:val="single" w:color="auto" w:sz="4" w:space="0"/>
            </w:tcBorders>
            <w:vAlign w:val="bottom"/>
          </w:tcPr>
          <w:p w:rsidR="00436799" w:rsidP="00504D7A" w:rsidRDefault="00E35C2D" w14:paraId="65496625" w14:textId="335458C1">
            <w:pPr>
              <w:widowControl/>
              <w:autoSpaceDE/>
              <w:autoSpaceDN/>
              <w:adjustRightInd/>
              <w:spacing w:line="276" w:lineRule="auto"/>
              <w:jc w:val="center"/>
              <w:rPr>
                <w:rFonts w:ascii="Times New Roman" w:hAnsi="Times New Roman"/>
                <w:sz w:val="22"/>
                <w:szCs w:val="22"/>
              </w:rPr>
            </w:pPr>
            <w:r w:rsidRPr="00E35C2D">
              <w:rPr>
                <w:rFonts w:ascii="Times New Roman" w:hAnsi="Times New Roman"/>
                <w:sz w:val="22"/>
                <w:szCs w:val="22"/>
              </w:rPr>
              <w:t>$291.23</w:t>
            </w:r>
          </w:p>
        </w:tc>
        <w:tc>
          <w:tcPr>
            <w:tcW w:w="1530" w:type="dxa"/>
            <w:tcBorders>
              <w:top w:val="single" w:color="auto" w:sz="4" w:space="0"/>
              <w:left w:val="single" w:color="auto" w:sz="4" w:space="0"/>
              <w:bottom w:val="single" w:color="auto" w:sz="4" w:space="0"/>
              <w:right w:val="single" w:color="auto" w:sz="4" w:space="0"/>
            </w:tcBorders>
            <w:vAlign w:val="bottom"/>
          </w:tcPr>
          <w:p w:rsidR="00436799" w:rsidP="008A7427" w:rsidRDefault="0027131E" w14:paraId="4BE08869" w14:textId="1CCEF0D8">
            <w:pPr>
              <w:widowControl/>
              <w:autoSpaceDE/>
              <w:autoSpaceDN/>
              <w:adjustRightInd/>
              <w:spacing w:line="276" w:lineRule="auto"/>
              <w:jc w:val="center"/>
              <w:rPr>
                <w:rFonts w:ascii="Times New Roman" w:hAnsi="Times New Roman"/>
                <w:sz w:val="22"/>
                <w:szCs w:val="22"/>
              </w:rPr>
            </w:pPr>
            <w:r w:rsidRPr="0027131E">
              <w:rPr>
                <w:rFonts w:ascii="Times New Roman" w:hAnsi="Times New Roman"/>
                <w:sz w:val="22"/>
                <w:szCs w:val="22"/>
              </w:rPr>
              <w:t>$217,840</w:t>
            </w:r>
          </w:p>
        </w:tc>
      </w:tr>
      <w:tr w:rsidRPr="00504D7A" w:rsidR="00436799" w:rsidTr="00A04F34" w14:paraId="32E8880A" w14:textId="77777777">
        <w:trPr>
          <w:trHeight w:val="593"/>
        </w:trPr>
        <w:tc>
          <w:tcPr>
            <w:tcW w:w="2160" w:type="dxa"/>
            <w:tcBorders>
              <w:top w:val="single" w:color="auto" w:sz="4" w:space="0"/>
              <w:left w:val="single" w:color="auto" w:sz="4" w:space="0"/>
              <w:bottom w:val="single" w:color="auto" w:sz="4" w:space="0"/>
              <w:right w:val="single" w:color="auto" w:sz="4" w:space="0"/>
            </w:tcBorders>
          </w:tcPr>
          <w:p w:rsidR="00436799" w:rsidP="00E35C2D" w:rsidRDefault="00E35C2D" w14:paraId="110ACF6F" w14:textId="1AA3796A">
            <w:pPr>
              <w:widowControl/>
              <w:autoSpaceDE/>
              <w:autoSpaceDN/>
              <w:adjustRightInd/>
              <w:spacing w:line="276" w:lineRule="auto"/>
              <w:rPr>
                <w:rFonts w:ascii="Times New Roman" w:hAnsi="Times New Roman"/>
                <w:sz w:val="22"/>
                <w:szCs w:val="22"/>
              </w:rPr>
            </w:pPr>
            <w:r w:rsidRPr="00E35C2D">
              <w:rPr>
                <w:rFonts w:ascii="Times New Roman" w:hAnsi="Times New Roman"/>
                <w:sz w:val="22"/>
                <w:szCs w:val="22"/>
              </w:rPr>
              <w:t xml:space="preserve">Outside </w:t>
            </w:r>
            <w:r>
              <w:rPr>
                <w:rFonts w:ascii="Times New Roman" w:hAnsi="Times New Roman"/>
                <w:sz w:val="22"/>
                <w:szCs w:val="22"/>
              </w:rPr>
              <w:t>Appraiser</w:t>
            </w:r>
          </w:p>
        </w:tc>
        <w:tc>
          <w:tcPr>
            <w:tcW w:w="1440" w:type="dxa"/>
            <w:tcBorders>
              <w:top w:val="single" w:color="auto" w:sz="4" w:space="0"/>
              <w:left w:val="single" w:color="auto" w:sz="4" w:space="0"/>
              <w:bottom w:val="single" w:color="auto" w:sz="4" w:space="0"/>
              <w:right w:val="single" w:color="auto" w:sz="4" w:space="0"/>
            </w:tcBorders>
            <w:vAlign w:val="bottom"/>
          </w:tcPr>
          <w:p w:rsidR="00436799" w:rsidP="00504D7A" w:rsidRDefault="00E35C2D" w14:paraId="66C489D9" w14:textId="14299E0D">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22</w:t>
            </w:r>
          </w:p>
        </w:tc>
        <w:tc>
          <w:tcPr>
            <w:tcW w:w="1440" w:type="dxa"/>
            <w:tcBorders>
              <w:top w:val="single" w:color="auto" w:sz="4" w:space="0"/>
              <w:left w:val="single" w:color="auto" w:sz="4" w:space="0"/>
              <w:bottom w:val="single" w:color="auto" w:sz="4" w:space="0"/>
              <w:right w:val="single" w:color="auto" w:sz="4" w:space="0"/>
            </w:tcBorders>
            <w:vAlign w:val="bottom"/>
          </w:tcPr>
          <w:p w:rsidR="00436799" w:rsidP="00504D7A" w:rsidRDefault="00E35C2D" w14:paraId="1CE93056" w14:textId="2D28094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00436799" w:rsidP="00504D7A" w:rsidRDefault="00E35C2D" w14:paraId="38F0194D" w14:textId="073B591A">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22</w:t>
            </w:r>
          </w:p>
        </w:tc>
        <w:tc>
          <w:tcPr>
            <w:tcW w:w="1289" w:type="dxa"/>
            <w:tcBorders>
              <w:top w:val="single" w:color="auto" w:sz="4" w:space="0"/>
              <w:left w:val="single" w:color="auto" w:sz="4" w:space="0"/>
              <w:bottom w:val="single" w:color="auto" w:sz="4" w:space="0"/>
              <w:right w:val="single" w:color="auto" w:sz="4" w:space="0"/>
            </w:tcBorders>
            <w:vAlign w:val="bottom"/>
          </w:tcPr>
          <w:p w:rsidR="00436799" w:rsidP="00504D7A" w:rsidRDefault="00E35C2D" w14:paraId="6E077271" w14:textId="0BF656D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14</w:t>
            </w:r>
          </w:p>
        </w:tc>
        <w:tc>
          <w:tcPr>
            <w:tcW w:w="1141" w:type="dxa"/>
            <w:tcBorders>
              <w:top w:val="single" w:color="auto" w:sz="4" w:space="0"/>
              <w:left w:val="single" w:color="auto" w:sz="4" w:space="0"/>
              <w:bottom w:val="single" w:color="auto" w:sz="4" w:space="0"/>
              <w:right w:val="single" w:color="auto" w:sz="4" w:space="0"/>
            </w:tcBorders>
            <w:vAlign w:val="bottom"/>
          </w:tcPr>
          <w:p w:rsidR="00436799" w:rsidP="00504D7A" w:rsidRDefault="00E35C2D" w14:paraId="2EBE403A" w14:textId="4D96DF45">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308</w:t>
            </w:r>
          </w:p>
        </w:tc>
        <w:tc>
          <w:tcPr>
            <w:tcW w:w="990" w:type="dxa"/>
            <w:tcBorders>
              <w:top w:val="single" w:color="auto" w:sz="4" w:space="0"/>
              <w:left w:val="single" w:color="auto" w:sz="4" w:space="0"/>
              <w:bottom w:val="single" w:color="auto" w:sz="4" w:space="0"/>
              <w:right w:val="single" w:color="auto" w:sz="4" w:space="0"/>
            </w:tcBorders>
            <w:vAlign w:val="bottom"/>
          </w:tcPr>
          <w:p w:rsidR="00436799" w:rsidP="00504D7A" w:rsidRDefault="00F94F05" w14:paraId="53B2CF8E" w14:textId="574A1956">
            <w:pPr>
              <w:widowControl/>
              <w:autoSpaceDE/>
              <w:autoSpaceDN/>
              <w:adjustRightInd/>
              <w:spacing w:line="276" w:lineRule="auto"/>
              <w:jc w:val="center"/>
              <w:rPr>
                <w:rFonts w:ascii="Times New Roman" w:hAnsi="Times New Roman"/>
                <w:sz w:val="22"/>
                <w:szCs w:val="22"/>
              </w:rPr>
            </w:pPr>
            <w:r w:rsidRPr="00F94F05">
              <w:rPr>
                <w:rFonts w:ascii="Times New Roman" w:hAnsi="Times New Roman"/>
                <w:sz w:val="22"/>
                <w:szCs w:val="22"/>
              </w:rPr>
              <w:t>$291.23</w:t>
            </w:r>
          </w:p>
        </w:tc>
        <w:tc>
          <w:tcPr>
            <w:tcW w:w="1530" w:type="dxa"/>
            <w:tcBorders>
              <w:top w:val="single" w:color="auto" w:sz="4" w:space="0"/>
              <w:left w:val="single" w:color="auto" w:sz="4" w:space="0"/>
              <w:bottom w:val="single" w:color="auto" w:sz="4" w:space="0"/>
              <w:right w:val="single" w:color="auto" w:sz="4" w:space="0"/>
            </w:tcBorders>
            <w:vAlign w:val="bottom"/>
          </w:tcPr>
          <w:p w:rsidR="00436799" w:rsidP="008A7427" w:rsidRDefault="0027131E" w14:paraId="0DD1564D" w14:textId="7B506E32">
            <w:pPr>
              <w:widowControl/>
              <w:autoSpaceDE/>
              <w:autoSpaceDN/>
              <w:adjustRightInd/>
              <w:spacing w:line="276" w:lineRule="auto"/>
              <w:jc w:val="center"/>
              <w:rPr>
                <w:rFonts w:ascii="Times New Roman" w:hAnsi="Times New Roman"/>
                <w:sz w:val="22"/>
                <w:szCs w:val="22"/>
              </w:rPr>
            </w:pPr>
            <w:r w:rsidRPr="0027131E">
              <w:rPr>
                <w:rFonts w:ascii="Times New Roman" w:hAnsi="Times New Roman"/>
                <w:sz w:val="22"/>
                <w:szCs w:val="22"/>
              </w:rPr>
              <w:t>$89,69</w:t>
            </w:r>
            <w:r>
              <w:rPr>
                <w:rFonts w:ascii="Times New Roman" w:hAnsi="Times New Roman"/>
                <w:sz w:val="22"/>
                <w:szCs w:val="22"/>
              </w:rPr>
              <w:t>9</w:t>
            </w:r>
          </w:p>
        </w:tc>
      </w:tr>
      <w:tr w:rsidRPr="00504D7A" w:rsidR="0027131E" w:rsidTr="00A04F34" w14:paraId="75433229" w14:textId="77777777">
        <w:trPr>
          <w:trHeight w:val="593"/>
        </w:trPr>
        <w:tc>
          <w:tcPr>
            <w:tcW w:w="2160" w:type="dxa"/>
            <w:tcBorders>
              <w:top w:val="single" w:color="auto" w:sz="4" w:space="0"/>
              <w:left w:val="single" w:color="auto" w:sz="4" w:space="0"/>
              <w:bottom w:val="single" w:color="auto" w:sz="4" w:space="0"/>
              <w:right w:val="single" w:color="auto" w:sz="4" w:space="0"/>
            </w:tcBorders>
          </w:tcPr>
          <w:p w:rsidR="0027131E" w:rsidP="0027131E" w:rsidRDefault="0027131E" w14:paraId="1A3836FD" w14:textId="41E10AE6">
            <w:pPr>
              <w:widowControl/>
              <w:autoSpaceDE/>
              <w:autoSpaceDN/>
              <w:adjustRightInd/>
              <w:spacing w:line="276" w:lineRule="auto"/>
              <w:rPr>
                <w:rFonts w:ascii="Times New Roman" w:hAnsi="Times New Roman"/>
                <w:sz w:val="22"/>
                <w:szCs w:val="22"/>
              </w:rPr>
            </w:pPr>
            <w:r w:rsidRPr="0027131E">
              <w:rPr>
                <w:rFonts w:ascii="Times New Roman" w:hAnsi="Times New Roman"/>
                <w:sz w:val="22"/>
                <w:szCs w:val="22"/>
              </w:rPr>
              <w:t xml:space="preserve">Legal </w:t>
            </w:r>
            <w:proofErr w:type="gramStart"/>
            <w:r w:rsidRPr="0027131E">
              <w:rPr>
                <w:rFonts w:ascii="Times New Roman" w:hAnsi="Times New Roman"/>
                <w:sz w:val="22"/>
                <w:szCs w:val="22"/>
              </w:rPr>
              <w:t>professionals</w:t>
            </w:r>
            <w:proofErr w:type="gramEnd"/>
            <w:r w:rsidRPr="0027131E">
              <w:rPr>
                <w:rFonts w:ascii="Times New Roman" w:hAnsi="Times New Roman"/>
                <w:sz w:val="22"/>
                <w:szCs w:val="22"/>
              </w:rPr>
              <w:t xml:space="preserve"> </w:t>
            </w:r>
            <w:r>
              <w:rPr>
                <w:rFonts w:ascii="Times New Roman" w:hAnsi="Times New Roman"/>
                <w:sz w:val="22"/>
                <w:szCs w:val="22"/>
              </w:rPr>
              <w:t>pre-submission application</w:t>
            </w:r>
            <w:r w:rsidR="00747BC4">
              <w:rPr>
                <w:rFonts w:ascii="Times New Roman" w:hAnsi="Times New Roman"/>
                <w:sz w:val="22"/>
                <w:szCs w:val="22"/>
              </w:rPr>
              <w:t xml:space="preserve"> for non-applicants</w:t>
            </w:r>
          </w:p>
        </w:tc>
        <w:tc>
          <w:tcPr>
            <w:tcW w:w="1440" w:type="dxa"/>
            <w:tcBorders>
              <w:top w:val="single" w:color="auto" w:sz="4" w:space="0"/>
              <w:left w:val="single" w:color="auto" w:sz="4" w:space="0"/>
              <w:bottom w:val="single" w:color="auto" w:sz="4" w:space="0"/>
              <w:right w:val="single" w:color="auto" w:sz="4" w:space="0"/>
            </w:tcBorders>
            <w:vAlign w:val="bottom"/>
          </w:tcPr>
          <w:p w:rsidR="0027131E" w:rsidP="00504D7A" w:rsidRDefault="0027131E" w14:paraId="79A23A09" w14:textId="14A3220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w:t>
            </w:r>
          </w:p>
        </w:tc>
        <w:tc>
          <w:tcPr>
            <w:tcW w:w="1440" w:type="dxa"/>
            <w:tcBorders>
              <w:top w:val="single" w:color="auto" w:sz="4" w:space="0"/>
              <w:left w:val="single" w:color="auto" w:sz="4" w:space="0"/>
              <w:bottom w:val="single" w:color="auto" w:sz="4" w:space="0"/>
              <w:right w:val="single" w:color="auto" w:sz="4" w:space="0"/>
            </w:tcBorders>
            <w:vAlign w:val="bottom"/>
          </w:tcPr>
          <w:p w:rsidR="0027131E" w:rsidP="00504D7A" w:rsidRDefault="0027131E" w14:paraId="5F996755" w14:textId="515DEF6A">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260" w:type="dxa"/>
            <w:tcBorders>
              <w:top w:val="single" w:color="auto" w:sz="4" w:space="0"/>
              <w:left w:val="single" w:color="auto" w:sz="4" w:space="0"/>
              <w:bottom w:val="single" w:color="auto" w:sz="4" w:space="0"/>
              <w:right w:val="single" w:color="auto" w:sz="4" w:space="0"/>
            </w:tcBorders>
            <w:vAlign w:val="bottom"/>
          </w:tcPr>
          <w:p w:rsidR="0027131E" w:rsidP="00504D7A" w:rsidRDefault="0027131E" w14:paraId="1B1E01DF" w14:textId="1BB6932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w:t>
            </w:r>
          </w:p>
        </w:tc>
        <w:tc>
          <w:tcPr>
            <w:tcW w:w="1289" w:type="dxa"/>
            <w:tcBorders>
              <w:top w:val="single" w:color="auto" w:sz="4" w:space="0"/>
              <w:left w:val="single" w:color="auto" w:sz="4" w:space="0"/>
              <w:bottom w:val="single" w:color="auto" w:sz="4" w:space="0"/>
              <w:right w:val="single" w:color="auto" w:sz="4" w:space="0"/>
            </w:tcBorders>
            <w:vAlign w:val="bottom"/>
          </w:tcPr>
          <w:p w:rsidR="0027131E" w:rsidP="00504D7A" w:rsidRDefault="0027131E" w14:paraId="693A8141" w14:textId="086DE72E">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1</w:t>
            </w:r>
          </w:p>
        </w:tc>
        <w:tc>
          <w:tcPr>
            <w:tcW w:w="1141" w:type="dxa"/>
            <w:tcBorders>
              <w:top w:val="single" w:color="auto" w:sz="4" w:space="0"/>
              <w:left w:val="single" w:color="auto" w:sz="4" w:space="0"/>
              <w:bottom w:val="single" w:color="auto" w:sz="4" w:space="0"/>
              <w:right w:val="single" w:color="auto" w:sz="4" w:space="0"/>
            </w:tcBorders>
            <w:vAlign w:val="bottom"/>
          </w:tcPr>
          <w:p w:rsidR="0027131E" w:rsidP="00504D7A" w:rsidRDefault="0027131E" w14:paraId="047D9221" w14:textId="4638B468">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w:t>
            </w:r>
          </w:p>
        </w:tc>
        <w:tc>
          <w:tcPr>
            <w:tcW w:w="990" w:type="dxa"/>
            <w:tcBorders>
              <w:top w:val="single" w:color="auto" w:sz="4" w:space="0"/>
              <w:left w:val="single" w:color="auto" w:sz="4" w:space="0"/>
              <w:bottom w:val="single" w:color="auto" w:sz="4" w:space="0"/>
              <w:right w:val="single" w:color="auto" w:sz="4" w:space="0"/>
            </w:tcBorders>
            <w:vAlign w:val="bottom"/>
          </w:tcPr>
          <w:p w:rsidRPr="00F94F05" w:rsidR="0027131E" w:rsidP="00504D7A" w:rsidRDefault="0027131E" w14:paraId="605BA499" w14:textId="072B4E36">
            <w:pPr>
              <w:widowControl/>
              <w:autoSpaceDE/>
              <w:autoSpaceDN/>
              <w:adjustRightInd/>
              <w:spacing w:line="276" w:lineRule="auto"/>
              <w:jc w:val="center"/>
              <w:rPr>
                <w:rFonts w:ascii="Times New Roman" w:hAnsi="Times New Roman"/>
                <w:sz w:val="22"/>
                <w:szCs w:val="22"/>
              </w:rPr>
            </w:pPr>
            <w:r w:rsidRPr="0027131E">
              <w:rPr>
                <w:rFonts w:ascii="Times New Roman" w:hAnsi="Times New Roman"/>
                <w:sz w:val="22"/>
                <w:szCs w:val="22"/>
              </w:rPr>
              <w:t>$140.96</w:t>
            </w:r>
          </w:p>
        </w:tc>
        <w:tc>
          <w:tcPr>
            <w:tcW w:w="1530" w:type="dxa"/>
            <w:tcBorders>
              <w:top w:val="single" w:color="auto" w:sz="4" w:space="0"/>
              <w:left w:val="single" w:color="auto" w:sz="4" w:space="0"/>
              <w:bottom w:val="single" w:color="auto" w:sz="4" w:space="0"/>
              <w:right w:val="single" w:color="auto" w:sz="4" w:space="0"/>
            </w:tcBorders>
            <w:vAlign w:val="bottom"/>
          </w:tcPr>
          <w:p w:rsidRPr="0027131E" w:rsidR="0027131E" w:rsidP="008A7427" w:rsidRDefault="0027131E" w14:paraId="36C66CA8" w14:textId="38DB730A">
            <w:pPr>
              <w:widowControl/>
              <w:autoSpaceDE/>
              <w:autoSpaceDN/>
              <w:adjustRightInd/>
              <w:spacing w:line="276" w:lineRule="auto"/>
              <w:jc w:val="center"/>
              <w:rPr>
                <w:rFonts w:ascii="Times New Roman" w:hAnsi="Times New Roman"/>
                <w:sz w:val="22"/>
                <w:szCs w:val="22"/>
              </w:rPr>
            </w:pPr>
            <w:r w:rsidRPr="0027131E">
              <w:rPr>
                <w:rFonts w:ascii="Times New Roman" w:hAnsi="Times New Roman"/>
                <w:sz w:val="22"/>
                <w:szCs w:val="22"/>
              </w:rPr>
              <w:t>$705</w:t>
            </w:r>
          </w:p>
        </w:tc>
      </w:tr>
      <w:tr w:rsidRPr="00504D7A" w:rsidR="00504D7A" w:rsidTr="00A04F34" w14:paraId="3F3D2D30" w14:textId="77777777">
        <w:tc>
          <w:tcPr>
            <w:tcW w:w="2160" w:type="dxa"/>
            <w:tcBorders>
              <w:top w:val="single" w:color="auto" w:sz="4" w:space="0"/>
              <w:left w:val="single" w:color="auto" w:sz="4" w:space="0"/>
              <w:bottom w:val="single" w:color="auto" w:sz="4" w:space="0"/>
              <w:right w:val="single" w:color="auto" w:sz="4" w:space="0"/>
            </w:tcBorders>
          </w:tcPr>
          <w:p w:rsidRPr="008908B3" w:rsidR="00504D7A" w:rsidP="008908B3" w:rsidRDefault="00504D7A" w14:paraId="6750F7B0" w14:textId="0CB57C17">
            <w:pPr>
              <w:widowControl/>
              <w:autoSpaceDE/>
              <w:autoSpaceDN/>
              <w:adjustRightInd/>
              <w:spacing w:line="276" w:lineRule="auto"/>
              <w:rPr>
                <w:rFonts w:ascii="Times New Roman" w:hAnsi="Times New Roman"/>
                <w:i/>
                <w:sz w:val="22"/>
                <w:szCs w:val="22"/>
              </w:rPr>
            </w:pPr>
            <w:r w:rsidRPr="008908B3">
              <w:rPr>
                <w:rFonts w:ascii="Times New Roman" w:hAnsi="Times New Roman"/>
                <w:i/>
                <w:sz w:val="22"/>
                <w:szCs w:val="22"/>
              </w:rPr>
              <w:t>Unduplicated Total</w:t>
            </w:r>
            <w:r w:rsidRPr="008908B3" w:rsidR="00750904">
              <w:rPr>
                <w:rStyle w:val="FootnoteReference"/>
                <w:rFonts w:ascii="Times New Roman" w:hAnsi="Times New Roman"/>
                <w:sz w:val="22"/>
                <w:szCs w:val="22"/>
                <w:vertAlign w:val="superscript"/>
              </w:rPr>
              <w:footnoteReference w:id="11"/>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284204" w14:paraId="283B16CC" w14:textId="24CA2ED5">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22</w:t>
            </w:r>
          </w:p>
        </w:tc>
        <w:tc>
          <w:tcPr>
            <w:tcW w:w="144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750904" w14:paraId="7DE64D3F" w14:textId="7B735AB2">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w:t>
            </w:r>
          </w:p>
        </w:tc>
        <w:tc>
          <w:tcPr>
            <w:tcW w:w="126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284204" w14:paraId="072E727C" w14:textId="136B5D25">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5,799</w:t>
            </w:r>
          </w:p>
        </w:tc>
        <w:tc>
          <w:tcPr>
            <w:tcW w:w="1289"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750904" w14:paraId="1BEAB79F" w14:textId="18E11F4C">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w:t>
            </w:r>
          </w:p>
        </w:tc>
        <w:tc>
          <w:tcPr>
            <w:tcW w:w="1141"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747BC4" w14:paraId="1693078F" w14:textId="0F7A6BB2">
            <w:pPr>
              <w:widowControl/>
              <w:autoSpaceDE/>
              <w:autoSpaceDN/>
              <w:adjustRightInd/>
              <w:spacing w:line="276" w:lineRule="auto"/>
              <w:jc w:val="center"/>
              <w:rPr>
                <w:rFonts w:ascii="Times New Roman" w:hAnsi="Times New Roman"/>
                <w:sz w:val="22"/>
                <w:szCs w:val="22"/>
              </w:rPr>
            </w:pPr>
            <w:r>
              <w:rPr>
                <w:rFonts w:ascii="Times New Roman" w:hAnsi="Times New Roman"/>
                <w:sz w:val="22"/>
                <w:szCs w:val="22"/>
              </w:rPr>
              <w:t>3,045</w:t>
            </w:r>
          </w:p>
        </w:tc>
        <w:tc>
          <w:tcPr>
            <w:tcW w:w="990" w:type="dxa"/>
            <w:tcBorders>
              <w:top w:val="single" w:color="auto" w:sz="4" w:space="0"/>
              <w:left w:val="single" w:color="auto" w:sz="4" w:space="0"/>
              <w:bottom w:val="single" w:color="auto" w:sz="4" w:space="0"/>
              <w:right w:val="single" w:color="auto" w:sz="4" w:space="0"/>
            </w:tcBorders>
            <w:vAlign w:val="bottom"/>
          </w:tcPr>
          <w:p w:rsidRPr="00504D7A" w:rsidR="00504D7A" w:rsidP="00504D7A" w:rsidRDefault="00504D7A" w14:paraId="2195C6A7" w14:textId="77777777">
            <w:pPr>
              <w:widowControl/>
              <w:autoSpaceDE/>
              <w:autoSpaceDN/>
              <w:adjustRightInd/>
              <w:spacing w:line="276" w:lineRule="auto"/>
              <w:jc w:val="center"/>
              <w:rPr>
                <w:rFonts w:ascii="Times New Roman" w:hAnsi="Times New Roman"/>
                <w:sz w:val="22"/>
                <w:szCs w:val="22"/>
              </w:rPr>
            </w:pPr>
            <w:r w:rsidRPr="00504D7A">
              <w:rPr>
                <w:rFonts w:ascii="Times New Roman" w:hAnsi="Times New Roman"/>
                <w:sz w:val="22"/>
                <w:szCs w:val="22"/>
              </w:rPr>
              <w:t>--</w:t>
            </w:r>
          </w:p>
        </w:tc>
        <w:tc>
          <w:tcPr>
            <w:tcW w:w="1530" w:type="dxa"/>
            <w:tcBorders>
              <w:top w:val="single" w:color="auto" w:sz="4" w:space="0"/>
              <w:left w:val="single" w:color="auto" w:sz="4" w:space="0"/>
              <w:bottom w:val="single" w:color="auto" w:sz="4" w:space="0"/>
              <w:right w:val="single" w:color="auto" w:sz="4" w:space="0"/>
            </w:tcBorders>
            <w:vAlign w:val="bottom"/>
          </w:tcPr>
          <w:p w:rsidRPr="00504D7A" w:rsidR="00504D7A" w:rsidP="00747BC4" w:rsidRDefault="00A55A7B" w14:paraId="09F2B602" w14:textId="66825145">
            <w:pPr>
              <w:widowControl/>
              <w:autoSpaceDE/>
              <w:autoSpaceDN/>
              <w:adjustRightInd/>
              <w:spacing w:line="276" w:lineRule="auto"/>
              <w:jc w:val="center"/>
              <w:rPr>
                <w:rFonts w:ascii="Times New Roman" w:hAnsi="Times New Roman"/>
                <w:sz w:val="22"/>
                <w:szCs w:val="22"/>
              </w:rPr>
            </w:pPr>
            <w:r w:rsidRPr="00A55A7B">
              <w:rPr>
                <w:rFonts w:ascii="Times New Roman" w:hAnsi="Times New Roman"/>
                <w:sz w:val="22"/>
                <w:szCs w:val="22"/>
              </w:rPr>
              <w:t>$</w:t>
            </w:r>
            <w:r w:rsidR="00747BC4">
              <w:rPr>
                <w:rFonts w:ascii="Times New Roman" w:hAnsi="Times New Roman"/>
                <w:sz w:val="22"/>
                <w:szCs w:val="22"/>
              </w:rPr>
              <w:t>942,406</w:t>
            </w:r>
          </w:p>
        </w:tc>
      </w:tr>
    </w:tbl>
    <w:p w:rsidR="00504D7A" w:rsidP="004F3C3F" w:rsidRDefault="00504D7A" w14:paraId="28FB68B3" w14:textId="77777777">
      <w:pPr>
        <w:widowControl/>
        <w:rPr>
          <w:rFonts w:ascii="Times New Roman" w:hAnsi="Times New Roman"/>
        </w:rPr>
      </w:pPr>
    </w:p>
    <w:p w:rsidR="001F54AE" w:rsidP="00931C21" w:rsidRDefault="00BE7709" w14:paraId="4FEC61D5" w14:textId="70DC685F">
      <w:pPr>
        <w:widowControl/>
        <w:rPr>
          <w:rFonts w:ascii="Times New Roman" w:hAnsi="Times New Roman"/>
        </w:rPr>
      </w:pPr>
      <w:r>
        <w:rPr>
          <w:rFonts w:ascii="Times New Roman" w:hAnsi="Times New Roman"/>
        </w:rPr>
        <w:t>*</w:t>
      </w:r>
      <w:r w:rsidR="00822035">
        <w:rPr>
          <w:rFonts w:ascii="Times New Roman" w:hAnsi="Times New Roman"/>
        </w:rPr>
        <w:t xml:space="preserve"> </w:t>
      </w:r>
    </w:p>
    <w:p w:rsidRPr="00290E22" w:rsidR="00822035" w:rsidP="00931C21" w:rsidRDefault="00822035" w14:paraId="5F339037" w14:textId="77777777">
      <w:pPr>
        <w:widowControl/>
        <w:rPr>
          <w:rFonts w:ascii="Times New Roman" w:hAnsi="Times New Roman"/>
        </w:rPr>
      </w:pPr>
    </w:p>
    <w:p w:rsidRPr="00CB1F9C" w:rsidR="001F54AE" w:rsidP="00CB1F9C" w:rsidRDefault="00CB1F9C" w14:paraId="3A721B2B" w14:textId="77777777">
      <w:pPr>
        <w:pStyle w:val="Quick1"/>
        <w:widowControl/>
        <w:numPr>
          <w:ilvl w:val="0"/>
          <w:numId w:val="0"/>
        </w:numPr>
        <w:ind w:left="720" w:hanging="720"/>
        <w:rPr>
          <w:rFonts w:ascii="Times New Roman" w:hAnsi="Times New Roman"/>
          <w:b/>
        </w:rPr>
      </w:pPr>
      <w:r w:rsidRPr="00CB1F9C">
        <w:rPr>
          <w:rFonts w:ascii="Times New Roman" w:hAnsi="Times New Roman"/>
          <w:b/>
        </w:rPr>
        <w:t>13.</w:t>
      </w:r>
      <w:r>
        <w:rPr>
          <w:rFonts w:ascii="Times New Roman" w:hAnsi="Times New Roman"/>
          <w:b/>
        </w:rPr>
        <w:tab/>
      </w:r>
      <w:r w:rsidRPr="00CB1F9C" w:rsidR="001F54AE">
        <w:rPr>
          <w:rFonts w:ascii="Times New Roman" w:hAnsi="Times New Roman"/>
          <w:b/>
        </w:rPr>
        <w:t>Provide an estimate of the total annual cost burden to respondents or recordkeepers resulting from the collection of information.  (Do not include the cost of any hour burden shown in Items 12 or 14).</w:t>
      </w:r>
    </w:p>
    <w:p w:rsidRPr="00CB1F9C" w:rsidR="00CB1F9C" w:rsidP="00CB1F9C" w:rsidRDefault="00CB1F9C" w14:paraId="468924F3" w14:textId="3C1DD881">
      <w:pPr>
        <w:widowControl/>
        <w:numPr>
          <w:ilvl w:val="0"/>
          <w:numId w:val="9"/>
        </w:numPr>
        <w:autoSpaceDE/>
        <w:autoSpaceDN/>
        <w:adjustRightInd/>
        <w:rPr>
          <w:rFonts w:ascii="Times New Roman" w:hAnsi="Times New Roman"/>
          <w:b/>
          <w:color w:val="000000"/>
        </w:rPr>
      </w:pPr>
      <w:r w:rsidRPr="00CB1F9C">
        <w:rPr>
          <w:rFonts w:ascii="Times New Roman" w:hAnsi="Times New Roman"/>
          <w:b/>
          <w:color w:val="000000"/>
        </w:rPr>
        <w:t>The cost estimate should be split into two components</w:t>
      </w:r>
      <w:proofErr w:type="gramStart"/>
      <w:r w:rsidRPr="00CB1F9C">
        <w:rPr>
          <w:rFonts w:ascii="Times New Roman" w:hAnsi="Times New Roman"/>
          <w:b/>
          <w:color w:val="000000"/>
        </w:rPr>
        <w:t>:  (</w:t>
      </w:r>
      <w:proofErr w:type="gramEnd"/>
      <w:r w:rsidRPr="00CB1F9C">
        <w:rPr>
          <w:rFonts w:ascii="Times New Roman" w:hAnsi="Times New Roman"/>
          <w:b/>
          <w:color w:val="000000"/>
        </w:rPr>
        <w:t xml:space="preserve">a) a total capital and </w:t>
      </w:r>
      <w:proofErr w:type="spellStart"/>
      <w:r w:rsidRPr="00CB1F9C">
        <w:rPr>
          <w:rFonts w:ascii="Times New Roman" w:hAnsi="Times New Roman"/>
          <w:b/>
          <w:color w:val="000000"/>
        </w:rPr>
        <w:t>start up</w:t>
      </w:r>
      <w:proofErr w:type="spellEnd"/>
      <w:r w:rsidRPr="00CB1F9C">
        <w:rPr>
          <w:rFonts w:ascii="Times New Roman" w:hAnsi="Times New Roman"/>
          <w:b/>
          <w:color w:val="000000"/>
        </w:rPr>
        <w:t xml:space="preserve">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w:t>
      </w:r>
      <w:r w:rsidRPr="00CB1F9C">
        <w:rPr>
          <w:rFonts w:ascii="Times New Roman" w:hAnsi="Times New Roman"/>
          <w:b/>
          <w:color w:val="000000"/>
        </w:rPr>
        <w:lastRenderedPageBreak/>
        <w:t>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B1F9C" w:rsidR="00CB1F9C" w:rsidP="00CB1F9C" w:rsidRDefault="00CB1F9C" w14:paraId="165B6070" w14:textId="77777777">
      <w:pPr>
        <w:widowControl/>
        <w:numPr>
          <w:ilvl w:val="0"/>
          <w:numId w:val="9"/>
        </w:numPr>
        <w:autoSpaceDE/>
        <w:autoSpaceDN/>
        <w:adjustRightInd/>
        <w:rPr>
          <w:rFonts w:ascii="Times New Roman" w:hAnsi="Times New Roman"/>
          <w:b/>
          <w:color w:val="000000"/>
        </w:rPr>
      </w:pPr>
      <w:r w:rsidRPr="00CB1F9C">
        <w:rPr>
          <w:rFonts w:ascii="Times New Roman" w:hAnsi="Times New Roman"/>
          <w:b/>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B1F9C" w:rsidR="00CB1F9C" w:rsidP="00CB1F9C" w:rsidRDefault="00CB1F9C" w14:paraId="4A8F5A37" w14:textId="77777777">
      <w:pPr>
        <w:widowControl/>
        <w:numPr>
          <w:ilvl w:val="0"/>
          <w:numId w:val="9"/>
        </w:numPr>
        <w:autoSpaceDE/>
        <w:autoSpaceDN/>
        <w:adjustRightInd/>
        <w:rPr>
          <w:rFonts w:ascii="Times New Roman" w:hAnsi="Times New Roman"/>
          <w:b/>
          <w:color w:val="000000"/>
        </w:rPr>
      </w:pPr>
      <w:r w:rsidRPr="00CB1F9C">
        <w:rPr>
          <w:rFonts w:ascii="Times New Roman" w:hAnsi="Times New Roman"/>
          <w:b/>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90E22" w:rsidR="001F54AE" w:rsidP="00CB1F9C" w:rsidRDefault="001F54AE" w14:paraId="7884CC4A" w14:textId="77777777">
      <w:pPr>
        <w:widowControl/>
        <w:rPr>
          <w:rFonts w:ascii="Times New Roman" w:hAnsi="Times New Roman"/>
        </w:rPr>
      </w:pPr>
    </w:p>
    <w:p w:rsidRPr="00290E22" w:rsidR="001F54AE" w:rsidP="00931C21" w:rsidRDefault="001F54AE" w14:paraId="199E2AB2" w14:textId="592CF802">
      <w:pPr>
        <w:widowControl/>
        <w:ind w:left="720"/>
        <w:rPr>
          <w:rFonts w:ascii="Times New Roman" w:hAnsi="Times New Roman"/>
        </w:rPr>
      </w:pPr>
      <w:r w:rsidRPr="00290E22">
        <w:rPr>
          <w:rFonts w:ascii="Times New Roman" w:hAnsi="Times New Roman"/>
        </w:rPr>
        <w:t>The cost burden associated with this ICR</w:t>
      </w:r>
      <w:r w:rsidRPr="00290E22" w:rsidR="00112B55">
        <w:rPr>
          <w:rFonts w:ascii="Times New Roman" w:hAnsi="Times New Roman"/>
        </w:rPr>
        <w:t xml:space="preserve"> is the </w:t>
      </w:r>
      <w:r w:rsidRPr="00290E22">
        <w:rPr>
          <w:rFonts w:ascii="Times New Roman" w:hAnsi="Times New Roman"/>
        </w:rPr>
        <w:t xml:space="preserve">material costs and distribution costs for the exemption application and notice to interested parties.  </w:t>
      </w:r>
    </w:p>
    <w:p w:rsidRPr="00290E22" w:rsidR="001F54AE" w:rsidP="00931C21" w:rsidRDefault="001F54AE" w14:paraId="63D8B339" w14:textId="77777777">
      <w:pPr>
        <w:widowControl/>
        <w:ind w:left="720"/>
        <w:rPr>
          <w:rFonts w:ascii="Times New Roman" w:hAnsi="Times New Roman"/>
        </w:rPr>
      </w:pPr>
    </w:p>
    <w:p w:rsidRPr="00290E22" w:rsidR="00447F18" w:rsidP="00931C21" w:rsidRDefault="00447F18" w14:paraId="4BB7F489" w14:textId="0B3BE47D">
      <w:pPr>
        <w:widowControl/>
        <w:ind w:left="720"/>
        <w:rPr>
          <w:rFonts w:ascii="Times New Roman" w:hAnsi="Times New Roman"/>
        </w:rPr>
      </w:pPr>
      <w:r w:rsidRPr="00290E22">
        <w:rPr>
          <w:rFonts w:ascii="Times New Roman" w:hAnsi="Times New Roman"/>
        </w:rPr>
        <w:t xml:space="preserve">The Department estimates that </w:t>
      </w:r>
      <w:r w:rsidRPr="00C43B34" w:rsidR="00C43B34">
        <w:rPr>
          <w:rFonts w:ascii="Times New Roman" w:hAnsi="Times New Roman"/>
        </w:rPr>
        <w:t xml:space="preserve">3,480 </w:t>
      </w:r>
      <w:r w:rsidRPr="00290E22">
        <w:rPr>
          <w:rFonts w:ascii="Times New Roman" w:hAnsi="Times New Roman"/>
        </w:rPr>
        <w:t xml:space="preserve">notices to interested persons will be sent, and that </w:t>
      </w:r>
      <w:r w:rsidRPr="00C43B34" w:rsidR="00C43B34">
        <w:rPr>
          <w:rFonts w:ascii="Times New Roman" w:hAnsi="Times New Roman"/>
        </w:rPr>
        <w:t xml:space="preserve">2,784 </w:t>
      </w:r>
      <w:r w:rsidRPr="00290E22">
        <w:rPr>
          <w:rFonts w:ascii="Times New Roman" w:hAnsi="Times New Roman"/>
        </w:rPr>
        <w:t>of the notices (80 percent) will distributed via first class mail with a material cost of $.05 per page and distribution costs of $</w:t>
      </w:r>
      <w:r w:rsidRPr="00C43B34" w:rsidR="00C43B34">
        <w:rPr>
          <w:rFonts w:ascii="Times New Roman" w:hAnsi="Times New Roman"/>
        </w:rPr>
        <w:t xml:space="preserve">0.58 </w:t>
      </w:r>
      <w:r w:rsidRPr="00290E22">
        <w:rPr>
          <w:rFonts w:ascii="Times New Roman" w:hAnsi="Times New Roman"/>
        </w:rPr>
        <w:t xml:space="preserve">per notice. </w:t>
      </w:r>
      <w:r w:rsidR="00F24666">
        <w:rPr>
          <w:rFonts w:ascii="Times New Roman" w:hAnsi="Times New Roman"/>
        </w:rPr>
        <w:t xml:space="preserve"> </w:t>
      </w:r>
      <w:r w:rsidRPr="00290E22">
        <w:rPr>
          <w:rFonts w:ascii="Times New Roman" w:hAnsi="Times New Roman"/>
        </w:rPr>
        <w:t xml:space="preserve">This generates an estimated cost of </w:t>
      </w:r>
      <w:r w:rsidRPr="00290E22" w:rsidR="004655A4">
        <w:rPr>
          <w:rFonts w:ascii="Times New Roman" w:hAnsi="Times New Roman"/>
        </w:rPr>
        <w:t xml:space="preserve">approximately </w:t>
      </w:r>
      <w:r w:rsidRPr="00C43B34" w:rsidR="00C43B34">
        <w:rPr>
          <w:rFonts w:ascii="Times New Roman" w:hAnsi="Times New Roman"/>
        </w:rPr>
        <w:t xml:space="preserve">$1,754.  </w:t>
      </w:r>
      <w:r w:rsidRPr="00290E22">
        <w:rPr>
          <w:rFonts w:ascii="Times New Roman" w:hAnsi="Times New Roman"/>
        </w:rPr>
        <w:t xml:space="preserve">The Department further estimates that </w:t>
      </w:r>
      <w:r w:rsidRPr="00290E22" w:rsidR="007118C5">
        <w:rPr>
          <w:rFonts w:ascii="Times New Roman" w:hAnsi="Times New Roman"/>
        </w:rPr>
        <w:t xml:space="preserve">approximately </w:t>
      </w:r>
      <w:r w:rsidR="00C43B34">
        <w:rPr>
          <w:rFonts w:ascii="Times New Roman" w:hAnsi="Times New Roman"/>
        </w:rPr>
        <w:t>522</w:t>
      </w:r>
      <w:r w:rsidRPr="00290E22" w:rsidR="00C43B34">
        <w:rPr>
          <w:rFonts w:ascii="Times New Roman" w:hAnsi="Times New Roman"/>
        </w:rPr>
        <w:t xml:space="preserve"> </w:t>
      </w:r>
      <w:r w:rsidRPr="00290E22">
        <w:rPr>
          <w:rFonts w:ascii="Times New Roman" w:hAnsi="Times New Roman"/>
        </w:rPr>
        <w:t xml:space="preserve">(15 percent of the total number of notices) will be distributed electronically and </w:t>
      </w:r>
      <w:r w:rsidR="00C43B34">
        <w:rPr>
          <w:rFonts w:ascii="Times New Roman" w:hAnsi="Times New Roman"/>
        </w:rPr>
        <w:t>174</w:t>
      </w:r>
      <w:r w:rsidR="007B6E1A">
        <w:rPr>
          <w:rFonts w:ascii="Times New Roman" w:hAnsi="Times New Roman"/>
        </w:rPr>
        <w:t xml:space="preserve"> </w:t>
      </w:r>
      <w:r w:rsidRPr="00290E22">
        <w:rPr>
          <w:rFonts w:ascii="Times New Roman" w:hAnsi="Times New Roman"/>
        </w:rPr>
        <w:t xml:space="preserve">(5 percent) will be distributed by alternative means approved by the Department, for example in highly visible area within a factory, at no cost. </w:t>
      </w:r>
      <w:r w:rsidR="00707061">
        <w:rPr>
          <w:rFonts w:ascii="Times New Roman" w:hAnsi="Times New Roman"/>
        </w:rPr>
        <w:t xml:space="preserve"> </w:t>
      </w:r>
      <w:r w:rsidRPr="00290E22">
        <w:rPr>
          <w:rFonts w:ascii="Times New Roman" w:hAnsi="Times New Roman"/>
        </w:rPr>
        <w:t>The Department notes that it determines whether it is appropriate to distribute notices by means other than mailing on a case-by-case basis and only will allow a method to be used that ensures actual receipt based on the demographics of the class of interested persons.</w:t>
      </w:r>
    </w:p>
    <w:p w:rsidRPr="00290E22" w:rsidR="00447F18" w:rsidP="00931C21" w:rsidRDefault="00447F18" w14:paraId="6B2CFA38" w14:textId="77777777">
      <w:pPr>
        <w:widowControl/>
        <w:ind w:left="720"/>
        <w:rPr>
          <w:rFonts w:ascii="Times New Roman" w:hAnsi="Times New Roman"/>
        </w:rPr>
      </w:pPr>
    </w:p>
    <w:p w:rsidRPr="00290E22" w:rsidR="00447F18" w:rsidP="00931C21" w:rsidRDefault="00447F18" w14:paraId="37881701" w14:textId="4B4B2EF7">
      <w:pPr>
        <w:widowControl/>
        <w:ind w:left="720"/>
        <w:rPr>
          <w:rFonts w:ascii="Times New Roman" w:hAnsi="Times New Roman"/>
        </w:rPr>
      </w:pPr>
      <w:r w:rsidRPr="00290E22">
        <w:rPr>
          <w:rFonts w:ascii="Times New Roman" w:hAnsi="Times New Roman"/>
        </w:rPr>
        <w:t>The Departments estimates that SPEs will be requested with respect</w:t>
      </w:r>
      <w:r w:rsidR="00C43B34">
        <w:t xml:space="preserve"> </w:t>
      </w:r>
      <w:r w:rsidRPr="00C43B34" w:rsidR="00C43B34">
        <w:rPr>
          <w:rFonts w:ascii="Times New Roman" w:hAnsi="Times New Roman"/>
        </w:rPr>
        <w:t xml:space="preserve">to approximately 3 </w:t>
      </w:r>
      <w:r w:rsidRPr="00290E22">
        <w:rPr>
          <w:rFonts w:ascii="Times New Roman" w:hAnsi="Times New Roman"/>
        </w:rPr>
        <w:t xml:space="preserve">submissions (15% of the </w:t>
      </w:r>
      <w:r w:rsidR="00C43B34">
        <w:rPr>
          <w:rFonts w:ascii="Times New Roman" w:hAnsi="Times New Roman"/>
        </w:rPr>
        <w:t>22</w:t>
      </w:r>
      <w:r w:rsidRPr="00290E22" w:rsidR="00C43B34">
        <w:rPr>
          <w:rFonts w:ascii="Times New Roman" w:hAnsi="Times New Roman"/>
        </w:rPr>
        <w:t xml:space="preserve"> </w:t>
      </w:r>
      <w:r w:rsidRPr="00290E22">
        <w:rPr>
          <w:rFonts w:ascii="Times New Roman" w:hAnsi="Times New Roman"/>
        </w:rPr>
        <w:t>submissions) per year,</w:t>
      </w:r>
      <w:r w:rsidRPr="00290E22">
        <w:rPr>
          <w:rFonts w:ascii="Times New Roman" w:hAnsi="Times New Roman"/>
          <w:vertAlign w:val="superscript"/>
        </w:rPr>
        <w:t xml:space="preserve"> </w:t>
      </w:r>
      <w:r w:rsidRPr="00290E22">
        <w:rPr>
          <w:rFonts w:ascii="Times New Roman" w:hAnsi="Times New Roman"/>
        </w:rPr>
        <w:t>and that the SPEs with be sent with the notices.</w:t>
      </w:r>
      <w:r w:rsidR="003F1BAC">
        <w:rPr>
          <w:rFonts w:ascii="Times New Roman" w:hAnsi="Times New Roman"/>
        </w:rPr>
        <w:t xml:space="preserve"> </w:t>
      </w:r>
      <w:r w:rsidRPr="00290E22">
        <w:rPr>
          <w:rFonts w:ascii="Times New Roman" w:hAnsi="Times New Roman"/>
        </w:rPr>
        <w:t xml:space="preserve"> Based on an average plan size of </w:t>
      </w:r>
      <w:r w:rsidRPr="007B6E1A" w:rsidR="007B6E1A">
        <w:rPr>
          <w:rFonts w:ascii="Times New Roman" w:hAnsi="Times New Roman"/>
        </w:rPr>
        <w:t>696</w:t>
      </w:r>
      <w:r w:rsidRPr="00290E22" w:rsidR="00834863">
        <w:rPr>
          <w:rFonts w:ascii="Times New Roman" w:hAnsi="Times New Roman"/>
        </w:rPr>
        <w:t xml:space="preserve"> </w:t>
      </w:r>
      <w:r w:rsidRPr="00290E22">
        <w:rPr>
          <w:rFonts w:ascii="Times New Roman" w:hAnsi="Times New Roman"/>
        </w:rPr>
        <w:t xml:space="preserve">participants per plan, this results in the distribution of </w:t>
      </w:r>
      <w:r w:rsidRPr="00290E22" w:rsidR="00641E41">
        <w:rPr>
          <w:rFonts w:ascii="Times New Roman" w:hAnsi="Times New Roman"/>
        </w:rPr>
        <w:t xml:space="preserve">approximately </w:t>
      </w:r>
      <w:r w:rsidRPr="007B6E1A" w:rsidR="007B6E1A">
        <w:rPr>
          <w:rFonts w:ascii="Times New Roman" w:hAnsi="Times New Roman"/>
        </w:rPr>
        <w:t xml:space="preserve">2,297 </w:t>
      </w:r>
      <w:r w:rsidRPr="00290E22">
        <w:rPr>
          <w:rFonts w:ascii="Times New Roman" w:hAnsi="Times New Roman"/>
        </w:rPr>
        <w:t xml:space="preserve">SPEs, of which </w:t>
      </w:r>
      <w:r w:rsidRPr="00290E22" w:rsidR="00641E41">
        <w:rPr>
          <w:rFonts w:ascii="Times New Roman" w:hAnsi="Times New Roman"/>
        </w:rPr>
        <w:t xml:space="preserve">approximately </w:t>
      </w:r>
      <w:r w:rsidRPr="007B6E1A" w:rsidR="007B6E1A">
        <w:rPr>
          <w:rFonts w:ascii="Times New Roman" w:hAnsi="Times New Roman"/>
        </w:rPr>
        <w:t xml:space="preserve">1,837 </w:t>
      </w:r>
      <w:r w:rsidRPr="00290E22">
        <w:rPr>
          <w:rFonts w:ascii="Times New Roman" w:hAnsi="Times New Roman"/>
        </w:rPr>
        <w:t>(80 percent) will be mailed</w:t>
      </w:r>
      <w:r w:rsidRPr="00290E22" w:rsidR="00BA5F53">
        <w:rPr>
          <w:rFonts w:ascii="Times New Roman" w:hAnsi="Times New Roman"/>
        </w:rPr>
        <w:t>.</w:t>
      </w:r>
      <w:r w:rsidR="00BA5F53">
        <w:rPr>
          <w:rFonts w:ascii="Times New Roman" w:hAnsi="Times New Roman"/>
        </w:rPr>
        <w:t xml:space="preserve">  </w:t>
      </w:r>
      <w:r w:rsidRPr="00290E22">
        <w:rPr>
          <w:rFonts w:ascii="Times New Roman" w:hAnsi="Times New Roman"/>
        </w:rPr>
        <w:t xml:space="preserve">The material cost associated with mailing the </w:t>
      </w:r>
      <w:r w:rsidR="00B6485A">
        <w:rPr>
          <w:rFonts w:ascii="Times New Roman" w:hAnsi="Times New Roman"/>
        </w:rPr>
        <w:t>1,837</w:t>
      </w:r>
      <w:r w:rsidRPr="00290E22" w:rsidR="008A776C">
        <w:rPr>
          <w:rFonts w:ascii="Times New Roman" w:hAnsi="Times New Roman"/>
        </w:rPr>
        <w:t xml:space="preserve"> </w:t>
      </w:r>
      <w:r w:rsidRPr="00290E22">
        <w:rPr>
          <w:rFonts w:ascii="Times New Roman" w:hAnsi="Times New Roman"/>
        </w:rPr>
        <w:t xml:space="preserve">SPEs at $.05 per page is </w:t>
      </w:r>
      <w:r w:rsidRPr="00290E22" w:rsidR="00641E41">
        <w:rPr>
          <w:rFonts w:ascii="Times New Roman" w:hAnsi="Times New Roman"/>
        </w:rPr>
        <w:t>approximately $</w:t>
      </w:r>
      <w:r w:rsidR="00B6485A">
        <w:rPr>
          <w:rFonts w:ascii="Times New Roman" w:hAnsi="Times New Roman"/>
        </w:rPr>
        <w:t>92</w:t>
      </w:r>
      <w:r w:rsidRPr="00290E22">
        <w:rPr>
          <w:rFonts w:ascii="Times New Roman" w:hAnsi="Times New Roman"/>
        </w:rPr>
        <w:t xml:space="preserve">.  Therefore, the total cost burden for distribution of the notices </w:t>
      </w:r>
      <w:r w:rsidRPr="00290E22">
        <w:rPr>
          <w:rFonts w:ascii="Times New Roman" w:hAnsi="Times New Roman"/>
        </w:rPr>
        <w:lastRenderedPageBreak/>
        <w:t>and SPEs is estimated to be approximately $</w:t>
      </w:r>
      <w:r w:rsidRPr="00B22217" w:rsidR="00B22217">
        <w:rPr>
          <w:rFonts w:ascii="Times New Roman" w:hAnsi="Times New Roman"/>
        </w:rPr>
        <w:t xml:space="preserve">1,846 </w:t>
      </w:r>
      <w:r w:rsidRPr="00290E22">
        <w:rPr>
          <w:rFonts w:ascii="Times New Roman" w:hAnsi="Times New Roman"/>
        </w:rPr>
        <w:t>($</w:t>
      </w:r>
      <w:r w:rsidRPr="00B22217" w:rsidR="00B22217">
        <w:rPr>
          <w:rFonts w:ascii="Times New Roman" w:hAnsi="Times New Roman"/>
        </w:rPr>
        <w:t xml:space="preserve">1,754 </w:t>
      </w:r>
      <w:r w:rsidRPr="00290E22">
        <w:rPr>
          <w:rFonts w:ascii="Times New Roman" w:hAnsi="Times New Roman"/>
        </w:rPr>
        <w:t>for the notices + $</w:t>
      </w:r>
      <w:r w:rsidR="00B22217">
        <w:rPr>
          <w:rFonts w:ascii="Times New Roman" w:hAnsi="Times New Roman"/>
        </w:rPr>
        <w:t>92</w:t>
      </w:r>
      <w:r w:rsidRPr="00290E22" w:rsidR="00B22217">
        <w:rPr>
          <w:rFonts w:ascii="Times New Roman" w:hAnsi="Times New Roman"/>
        </w:rPr>
        <w:t xml:space="preserve"> </w:t>
      </w:r>
      <w:r w:rsidRPr="00290E22">
        <w:rPr>
          <w:rFonts w:ascii="Times New Roman" w:hAnsi="Times New Roman"/>
        </w:rPr>
        <w:t>for the cost of including the SPEs).</w:t>
      </w:r>
    </w:p>
    <w:p w:rsidRPr="00290E22" w:rsidR="00135176" w:rsidP="00931C21" w:rsidRDefault="00135176" w14:paraId="7AE74120" w14:textId="77777777">
      <w:pPr>
        <w:widowControl/>
        <w:ind w:left="720"/>
        <w:rPr>
          <w:rFonts w:ascii="Times New Roman" w:hAnsi="Times New Roman"/>
        </w:rPr>
      </w:pPr>
    </w:p>
    <w:p w:rsidRPr="00290E22" w:rsidR="00135176" w:rsidP="00931C21" w:rsidRDefault="00135176" w14:paraId="14BA5892" w14:textId="374079F4">
      <w:pPr>
        <w:widowControl/>
        <w:ind w:left="720"/>
        <w:rPr>
          <w:rFonts w:ascii="Times New Roman" w:hAnsi="Times New Roman"/>
        </w:rPr>
      </w:pPr>
      <w:r w:rsidRPr="00290E22">
        <w:rPr>
          <w:rFonts w:ascii="Times New Roman" w:hAnsi="Times New Roman"/>
        </w:rPr>
        <w:t xml:space="preserve">Overall, the cost burden associated with this ICR is </w:t>
      </w:r>
      <w:r w:rsidRPr="00B22217" w:rsidR="00B22217">
        <w:rPr>
          <w:rFonts w:ascii="Times New Roman" w:hAnsi="Times New Roman"/>
        </w:rPr>
        <w:t>approximately $1,846.</w:t>
      </w:r>
    </w:p>
    <w:p w:rsidRPr="00290E22" w:rsidR="001F54AE" w:rsidP="00931C21" w:rsidRDefault="001F54AE" w14:paraId="4BE49AE7" w14:textId="77777777">
      <w:pPr>
        <w:widowControl/>
        <w:ind w:left="720"/>
        <w:rPr>
          <w:rFonts w:ascii="Times New Roman" w:hAnsi="Times New Roman"/>
        </w:rPr>
      </w:pPr>
    </w:p>
    <w:p w:rsidRPr="00940037" w:rsidR="001F54AE" w:rsidP="00931C21" w:rsidRDefault="001F54AE" w14:paraId="1C175CCC" w14:textId="77777777">
      <w:pPr>
        <w:widowControl/>
        <w:tabs>
          <w:tab w:val="left" w:pos="-1440"/>
        </w:tabs>
        <w:ind w:left="720" w:hanging="720"/>
        <w:rPr>
          <w:rFonts w:ascii="Times New Roman" w:hAnsi="Times New Roman"/>
          <w:b/>
          <w:iCs/>
        </w:rPr>
      </w:pPr>
      <w:r w:rsidRPr="00940037">
        <w:rPr>
          <w:rFonts w:ascii="Times New Roman" w:hAnsi="Times New Roman"/>
          <w:b/>
        </w:rPr>
        <w:t>14.</w:t>
      </w:r>
      <w:r w:rsidRPr="00940037">
        <w:rPr>
          <w:rFonts w:ascii="Times New Roman" w:hAnsi="Times New Roman"/>
          <w:b/>
        </w:rPr>
        <w:tab/>
      </w:r>
      <w:r w:rsidRPr="00940037">
        <w:rPr>
          <w:rFonts w:ascii="Times New Roman" w:hAnsi="Times New Roman"/>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290E22" w:rsidR="001F54AE" w:rsidP="00931C21" w:rsidRDefault="001F54AE" w14:paraId="474FBF86" w14:textId="77777777">
      <w:pPr>
        <w:widowControl/>
        <w:ind w:left="720"/>
        <w:rPr>
          <w:rFonts w:ascii="Times New Roman" w:hAnsi="Times New Roman"/>
        </w:rPr>
      </w:pPr>
    </w:p>
    <w:p w:rsidRPr="00290E22" w:rsidR="001F54AE" w:rsidP="00931C21" w:rsidRDefault="001F54AE" w14:paraId="5973411C" w14:textId="45836068">
      <w:pPr>
        <w:widowControl/>
        <w:ind w:left="720"/>
        <w:rPr>
          <w:rFonts w:ascii="Times New Roman" w:hAnsi="Times New Roman"/>
        </w:rPr>
      </w:pPr>
      <w:r w:rsidRPr="00290E22">
        <w:rPr>
          <w:rFonts w:ascii="Times New Roman" w:hAnsi="Times New Roman"/>
        </w:rPr>
        <w:t xml:space="preserve">The ERISA exemption procedure results in certain costs to the government.  Section 2570.42 of the procedure requires that before an exemption can be granted the Secretary shall publish a notice of a proposed exemption in the </w:t>
      </w:r>
      <w:r w:rsidRPr="00290E22">
        <w:rPr>
          <w:rFonts w:ascii="Times New Roman" w:hAnsi="Times New Roman"/>
          <w:u w:val="single"/>
        </w:rPr>
        <w:t>Federal Register</w:t>
      </w:r>
      <w:r w:rsidRPr="00290E22">
        <w:rPr>
          <w:rFonts w:ascii="Times New Roman" w:hAnsi="Times New Roman"/>
        </w:rPr>
        <w:t xml:space="preserve">.  The Department estimates that, on average, these notices will cover two pages in the </w:t>
      </w:r>
      <w:r w:rsidRPr="00290E22">
        <w:rPr>
          <w:rFonts w:ascii="Times New Roman" w:hAnsi="Times New Roman"/>
          <w:u w:val="single"/>
        </w:rPr>
        <w:t xml:space="preserve">Federal Register; </w:t>
      </w:r>
      <w:r w:rsidRPr="00290E22">
        <w:rPr>
          <w:rFonts w:ascii="Times New Roman" w:hAnsi="Times New Roman"/>
        </w:rPr>
        <w:t>therefore, the cost to publish the notice at $</w:t>
      </w:r>
      <w:r w:rsidR="00337E36">
        <w:rPr>
          <w:rFonts w:ascii="Times New Roman" w:hAnsi="Times New Roman"/>
        </w:rPr>
        <w:t>453</w:t>
      </w:r>
      <w:r w:rsidRPr="00290E22" w:rsidR="00337E36">
        <w:rPr>
          <w:rFonts w:ascii="Times New Roman" w:hAnsi="Times New Roman"/>
        </w:rPr>
        <w:t xml:space="preserve"> </w:t>
      </w:r>
      <w:r w:rsidRPr="00290E22">
        <w:rPr>
          <w:rFonts w:ascii="Times New Roman" w:hAnsi="Times New Roman"/>
        </w:rPr>
        <w:t>per page</w:t>
      </w:r>
      <w:r w:rsidR="00BD7ACC">
        <w:rPr>
          <w:rFonts w:ascii="Times New Roman" w:hAnsi="Times New Roman"/>
        </w:rPr>
        <w:t xml:space="preserve"> (2</w:t>
      </w:r>
      <w:r w:rsidR="001B0931">
        <w:rPr>
          <w:rFonts w:ascii="Times New Roman" w:hAnsi="Times New Roman"/>
        </w:rPr>
        <w:t xml:space="preserve"> pages per application</w:t>
      </w:r>
      <w:r w:rsidR="00BD7ACC">
        <w:rPr>
          <w:rFonts w:ascii="Times New Roman" w:hAnsi="Times New Roman"/>
        </w:rPr>
        <w:t>)</w:t>
      </w:r>
      <w:r w:rsidRPr="00290E22">
        <w:rPr>
          <w:rFonts w:ascii="Times New Roman" w:hAnsi="Times New Roman"/>
        </w:rPr>
        <w:t xml:space="preserve"> for </w:t>
      </w:r>
      <w:r w:rsidR="00B93BCB">
        <w:rPr>
          <w:rFonts w:ascii="Times New Roman" w:hAnsi="Times New Roman"/>
        </w:rPr>
        <w:t>5</w:t>
      </w:r>
      <w:r w:rsidRPr="00290E22" w:rsidR="00B93BCB">
        <w:rPr>
          <w:rFonts w:ascii="Times New Roman" w:hAnsi="Times New Roman"/>
        </w:rPr>
        <w:t xml:space="preserve"> </w:t>
      </w:r>
      <w:r w:rsidRPr="00290E22">
        <w:rPr>
          <w:rFonts w:ascii="Times New Roman" w:hAnsi="Times New Roman"/>
        </w:rPr>
        <w:t>applicat</w:t>
      </w:r>
      <w:r w:rsidR="00931C21">
        <w:rPr>
          <w:rFonts w:ascii="Times New Roman" w:hAnsi="Times New Roman"/>
        </w:rPr>
        <w:t>ion</w:t>
      </w:r>
      <w:r w:rsidRPr="00290E22">
        <w:rPr>
          <w:rFonts w:ascii="Times New Roman" w:hAnsi="Times New Roman"/>
        </w:rPr>
        <w:t xml:space="preserve">s is </w:t>
      </w:r>
      <w:r w:rsidRPr="00B93BCB" w:rsidR="00B93BCB">
        <w:rPr>
          <w:rFonts w:ascii="Times New Roman" w:hAnsi="Times New Roman"/>
        </w:rPr>
        <w:t>$4,530</w:t>
      </w:r>
      <w:r w:rsidRPr="00290E22">
        <w:rPr>
          <w:rFonts w:ascii="Times New Roman" w:hAnsi="Times New Roman"/>
        </w:rPr>
        <w:t>.</w:t>
      </w:r>
    </w:p>
    <w:p w:rsidRPr="00290E22" w:rsidR="001F54AE" w:rsidP="00931C21" w:rsidRDefault="001F54AE" w14:paraId="3595A950" w14:textId="77777777">
      <w:pPr>
        <w:widowControl/>
        <w:ind w:left="720"/>
        <w:rPr>
          <w:rFonts w:ascii="Times New Roman" w:hAnsi="Times New Roman"/>
        </w:rPr>
      </w:pPr>
    </w:p>
    <w:p w:rsidRPr="00290E22" w:rsidR="001F54AE" w:rsidP="00931C21" w:rsidRDefault="001F54AE" w14:paraId="498D293E" w14:textId="24040ADA">
      <w:pPr>
        <w:widowControl/>
        <w:ind w:left="720"/>
        <w:rPr>
          <w:rFonts w:ascii="Times New Roman" w:hAnsi="Times New Roman"/>
        </w:rPr>
      </w:pPr>
      <w:r w:rsidRPr="00290E22">
        <w:rPr>
          <w:rFonts w:ascii="Times New Roman" w:hAnsi="Times New Roman"/>
        </w:rPr>
        <w:t xml:space="preserve">Additional costs include the filing, handling, and storing of the applications and supporting documentation.  EBSA has assigned approximately </w:t>
      </w:r>
      <w:r w:rsidR="00C31A84">
        <w:rPr>
          <w:rFonts w:ascii="Times New Roman" w:hAnsi="Times New Roman"/>
        </w:rPr>
        <w:t>84</w:t>
      </w:r>
      <w:r w:rsidRPr="00290E22">
        <w:rPr>
          <w:rFonts w:ascii="Times New Roman" w:hAnsi="Times New Roman"/>
        </w:rPr>
        <w:t xml:space="preserve"> staff hours to this function at a cost of roughly $</w:t>
      </w:r>
      <w:r w:rsidR="005C320A">
        <w:rPr>
          <w:rFonts w:ascii="Times New Roman" w:hAnsi="Times New Roman"/>
        </w:rPr>
        <w:t>5,956</w:t>
      </w:r>
      <w:r w:rsidRPr="00290E22">
        <w:rPr>
          <w:rFonts w:ascii="Times New Roman" w:hAnsi="Times New Roman"/>
        </w:rPr>
        <w:t>.</w:t>
      </w:r>
      <w:r w:rsidRPr="00290E22">
        <w:rPr>
          <w:rStyle w:val="FootnoteReference"/>
          <w:rFonts w:ascii="Times New Roman" w:hAnsi="Times New Roman"/>
          <w:vertAlign w:val="superscript"/>
        </w:rPr>
        <w:footnoteReference w:id="12"/>
      </w:r>
      <w:r w:rsidRPr="00290E22">
        <w:rPr>
          <w:rFonts w:ascii="Times New Roman" w:hAnsi="Times New Roman"/>
        </w:rPr>
        <w:t xml:space="preserve">  (This includes space, supplies, and other overhead costs in addition to salary and fringe benefits.)</w:t>
      </w:r>
    </w:p>
    <w:p w:rsidRPr="00290E22" w:rsidR="001F54AE" w:rsidP="00931C21" w:rsidRDefault="001F54AE" w14:paraId="47741ECB" w14:textId="77777777">
      <w:pPr>
        <w:widowControl/>
        <w:ind w:left="720"/>
        <w:rPr>
          <w:rFonts w:ascii="Times New Roman" w:hAnsi="Times New Roman"/>
        </w:rPr>
      </w:pPr>
    </w:p>
    <w:p w:rsidR="00931C21" w:rsidP="00940037" w:rsidRDefault="001F54AE" w14:paraId="4CCE2178" w14:textId="5F7017DC">
      <w:pPr>
        <w:widowControl/>
        <w:ind w:left="720"/>
        <w:rPr>
          <w:rFonts w:ascii="Times New Roman" w:hAnsi="Times New Roman"/>
        </w:rPr>
      </w:pPr>
      <w:r w:rsidRPr="00290E22">
        <w:rPr>
          <w:rFonts w:ascii="Times New Roman" w:hAnsi="Times New Roman"/>
        </w:rPr>
        <w:t xml:space="preserve">Based on the above, the total annual cost to the Federal government for publishing and processing the paperwork required under the application exemption procedure is estimated at </w:t>
      </w:r>
      <w:r w:rsidRPr="00290E22" w:rsidR="00B0712A">
        <w:rPr>
          <w:rFonts w:ascii="Times New Roman" w:hAnsi="Times New Roman"/>
        </w:rPr>
        <w:t>$</w:t>
      </w:r>
      <w:r w:rsidR="005C320A">
        <w:rPr>
          <w:rFonts w:ascii="Times New Roman" w:hAnsi="Times New Roman"/>
        </w:rPr>
        <w:t>10,486</w:t>
      </w:r>
      <w:r w:rsidRPr="00290E22">
        <w:rPr>
          <w:rFonts w:ascii="Times New Roman" w:hAnsi="Times New Roman"/>
        </w:rPr>
        <w:t>.</w:t>
      </w:r>
    </w:p>
    <w:p w:rsidRPr="00290E22" w:rsidR="00931C21" w:rsidP="00931C21" w:rsidRDefault="00931C21" w14:paraId="1AE6DCA0" w14:textId="77777777">
      <w:pPr>
        <w:widowControl/>
        <w:ind w:left="720"/>
        <w:rPr>
          <w:rFonts w:ascii="Times New Roman" w:hAnsi="Times New Roman"/>
        </w:rPr>
      </w:pPr>
    </w:p>
    <w:p w:rsidRPr="00940037" w:rsidR="001F54AE" w:rsidP="00931C21" w:rsidRDefault="001F54AE" w14:paraId="25AAAC69" w14:textId="77777777">
      <w:pPr>
        <w:pStyle w:val="Quick1"/>
        <w:widowControl/>
        <w:numPr>
          <w:ilvl w:val="0"/>
          <w:numId w:val="6"/>
        </w:numPr>
        <w:rPr>
          <w:rFonts w:ascii="Times New Roman" w:hAnsi="Times New Roman"/>
          <w:b/>
        </w:rPr>
      </w:pPr>
      <w:r w:rsidRPr="00940037">
        <w:rPr>
          <w:rFonts w:ascii="Times New Roman" w:hAnsi="Times New Roman"/>
          <w:b/>
        </w:rPr>
        <w:t>Explain the reasons for any program changes or adjustments reporting in Items 13 or 14.</w:t>
      </w:r>
    </w:p>
    <w:p w:rsidRPr="00940037" w:rsidR="001F54AE" w:rsidP="00931C21" w:rsidRDefault="001F54AE" w14:paraId="1FA4FA29" w14:textId="77777777">
      <w:pPr>
        <w:widowControl/>
        <w:ind w:left="720"/>
        <w:rPr>
          <w:rFonts w:ascii="Times New Roman" w:hAnsi="Times New Roman"/>
          <w:b/>
          <w:iCs/>
        </w:rPr>
      </w:pPr>
    </w:p>
    <w:p w:rsidRPr="004A78B1" w:rsidR="004A78B1" w:rsidP="004A78B1" w:rsidRDefault="004A78B1" w14:paraId="52684A9F" w14:textId="77777777">
      <w:pPr>
        <w:widowControl/>
        <w:ind w:left="720"/>
        <w:rPr>
          <w:rFonts w:ascii="Times New Roman" w:hAnsi="Times New Roman"/>
        </w:rPr>
      </w:pPr>
      <w:bookmarkStart w:name="OLE_LINK13" w:id="3"/>
      <w:bookmarkStart w:name="OLE_LINK14" w:id="4"/>
      <w:r w:rsidRPr="004A78B1">
        <w:rPr>
          <w:rFonts w:ascii="Times New Roman" w:hAnsi="Times New Roman"/>
        </w:rPr>
        <w:t xml:space="preserve">The Department has increased the total burden estimates due to both an update in the number of </w:t>
      </w:r>
      <w:proofErr w:type="spellStart"/>
      <w:r w:rsidRPr="004A78B1">
        <w:rPr>
          <w:rFonts w:ascii="Times New Roman" w:hAnsi="Times New Roman"/>
        </w:rPr>
        <w:t>reponses</w:t>
      </w:r>
      <w:proofErr w:type="spellEnd"/>
      <w:r w:rsidRPr="004A78B1">
        <w:rPr>
          <w:rFonts w:ascii="Times New Roman" w:hAnsi="Times New Roman"/>
        </w:rPr>
        <w:t xml:space="preserve"> and the additional burden brought forth by the proposed changes to the exemption procedure regulation. </w:t>
      </w:r>
    </w:p>
    <w:p w:rsidRPr="004A78B1" w:rsidR="004A78B1" w:rsidP="004A78B1" w:rsidRDefault="004A78B1" w14:paraId="06038FC1" w14:textId="77777777">
      <w:pPr>
        <w:widowControl/>
        <w:ind w:left="720"/>
        <w:rPr>
          <w:rFonts w:ascii="Times New Roman" w:hAnsi="Times New Roman"/>
        </w:rPr>
      </w:pPr>
    </w:p>
    <w:p w:rsidRPr="004A78B1" w:rsidR="004A78B1" w:rsidP="004A78B1" w:rsidRDefault="004A78B1" w14:paraId="51AE985C" w14:textId="77777777">
      <w:pPr>
        <w:widowControl/>
        <w:ind w:left="720"/>
        <w:rPr>
          <w:rFonts w:ascii="Times New Roman" w:hAnsi="Times New Roman"/>
        </w:rPr>
      </w:pPr>
      <w:r w:rsidRPr="004A78B1">
        <w:rPr>
          <w:rFonts w:ascii="Times New Roman" w:hAnsi="Times New Roman"/>
        </w:rPr>
        <w:lastRenderedPageBreak/>
        <w:t xml:space="preserve">The Department has updated the burden estimates to reflect </w:t>
      </w:r>
      <w:proofErr w:type="spellStart"/>
      <w:proofErr w:type="gramStart"/>
      <w:r w:rsidRPr="004A78B1">
        <w:rPr>
          <w:rFonts w:ascii="Times New Roman" w:hAnsi="Times New Roman"/>
        </w:rPr>
        <w:t>a</w:t>
      </w:r>
      <w:proofErr w:type="spellEnd"/>
      <w:proofErr w:type="gramEnd"/>
      <w:r w:rsidRPr="004A78B1">
        <w:rPr>
          <w:rFonts w:ascii="Times New Roman" w:hAnsi="Times New Roman"/>
        </w:rPr>
        <w:t xml:space="preserve"> increase in the number of exemption applications and the number of exemptions granted and proposed, relative to the last submission.  This new estimated burden totals approximately 1,984 hours, and was accompanied by an increase in the cost of labor and postage. </w:t>
      </w:r>
    </w:p>
    <w:p w:rsidRPr="004A78B1" w:rsidR="004A78B1" w:rsidP="004A78B1" w:rsidRDefault="004A78B1" w14:paraId="3217D292" w14:textId="77777777">
      <w:pPr>
        <w:widowControl/>
        <w:ind w:left="720"/>
        <w:rPr>
          <w:rFonts w:ascii="Times New Roman" w:hAnsi="Times New Roman"/>
        </w:rPr>
      </w:pPr>
    </w:p>
    <w:p w:rsidRPr="00290E22" w:rsidR="004A78B1" w:rsidP="004A78B1" w:rsidRDefault="004A78B1" w14:paraId="34AE7D5B" w14:textId="11D800F7">
      <w:pPr>
        <w:widowControl/>
        <w:ind w:left="720"/>
        <w:rPr>
          <w:rFonts w:ascii="Times New Roman" w:hAnsi="Times New Roman"/>
        </w:rPr>
      </w:pPr>
      <w:r w:rsidRPr="004A78B1">
        <w:rPr>
          <w:rFonts w:ascii="Times New Roman" w:hAnsi="Times New Roman"/>
        </w:rPr>
        <w:t xml:space="preserve">Due to the proposed revisions to the requirements set forth in subsections (c) through (f), the Department takes into account the additional burden </w:t>
      </w:r>
      <w:r w:rsidR="00CE4F41">
        <w:rPr>
          <w:rFonts w:ascii="Times New Roman" w:hAnsi="Times New Roman"/>
        </w:rPr>
        <w:t>on</w:t>
      </w:r>
      <w:r w:rsidRPr="004A78B1">
        <w:rPr>
          <w:rFonts w:ascii="Times New Roman" w:hAnsi="Times New Roman"/>
        </w:rPr>
        <w:t xml:space="preserve"> qualified independent appraisers and qualified independent fiduciaries that will be involved in exemption transactions. The Department also estimates additional </w:t>
      </w:r>
      <w:proofErr w:type="gramStart"/>
      <w:r w:rsidRPr="004A78B1">
        <w:rPr>
          <w:rFonts w:ascii="Times New Roman" w:hAnsi="Times New Roman"/>
        </w:rPr>
        <w:t xml:space="preserve">burden </w:t>
      </w:r>
      <w:r w:rsidR="00CE4F41">
        <w:rPr>
          <w:rFonts w:ascii="Times New Roman" w:hAnsi="Times New Roman"/>
        </w:rPr>
        <w:t xml:space="preserve"> due</w:t>
      </w:r>
      <w:proofErr w:type="gramEnd"/>
      <w:r w:rsidR="00CE4F41">
        <w:rPr>
          <w:rFonts w:ascii="Times New Roman" w:hAnsi="Times New Roman"/>
        </w:rPr>
        <w:t xml:space="preserve"> to the</w:t>
      </w:r>
      <w:r w:rsidRPr="004A78B1">
        <w:rPr>
          <w:rFonts w:ascii="Times New Roman" w:hAnsi="Times New Roman"/>
        </w:rPr>
        <w:t xml:space="preserve"> amendments to section 2730.31(k) and section 2570.34(d) will </w:t>
      </w:r>
      <w:r w:rsidR="00CE4F41">
        <w:rPr>
          <w:rFonts w:ascii="Times New Roman" w:hAnsi="Times New Roman"/>
        </w:rPr>
        <w:t>be placed on</w:t>
      </w:r>
      <w:r w:rsidRPr="004A78B1">
        <w:rPr>
          <w:rFonts w:ascii="Times New Roman" w:hAnsi="Times New Roman"/>
        </w:rPr>
        <w:t xml:space="preserve"> those entities that do not submit a pre-submission application. In total, the Department estimates that the proposed amendments will add 1,061 hours to the total burden.</w:t>
      </w:r>
    </w:p>
    <w:bookmarkEnd w:id="3"/>
    <w:bookmarkEnd w:id="4"/>
    <w:p w:rsidRPr="00940037" w:rsidR="00602136" w:rsidP="00931C21" w:rsidRDefault="00602136" w14:paraId="68432E80" w14:textId="77777777">
      <w:pPr>
        <w:widowControl/>
        <w:ind w:left="720"/>
        <w:rPr>
          <w:rFonts w:ascii="Times New Roman" w:hAnsi="Times New Roman"/>
          <w:b/>
        </w:rPr>
      </w:pPr>
    </w:p>
    <w:p w:rsidRPr="00940037" w:rsidR="00602136" w:rsidP="00931C21" w:rsidRDefault="00602136" w14:paraId="745BD50A" w14:textId="77777777">
      <w:pPr>
        <w:widowControl/>
        <w:tabs>
          <w:tab w:val="left" w:pos="-1440"/>
        </w:tabs>
        <w:ind w:left="720" w:hanging="720"/>
        <w:rPr>
          <w:rFonts w:ascii="Times New Roman" w:hAnsi="Times New Roman"/>
          <w:b/>
          <w:iCs/>
        </w:rPr>
      </w:pPr>
      <w:r w:rsidRPr="00940037">
        <w:rPr>
          <w:rFonts w:ascii="Times New Roman" w:hAnsi="Times New Roman"/>
          <w:b/>
        </w:rPr>
        <w:t>16.</w:t>
      </w:r>
      <w:r w:rsidRPr="00940037">
        <w:rPr>
          <w:rFonts w:ascii="Times New Roman" w:hAnsi="Times New Roman"/>
          <w:b/>
        </w:rPr>
        <w:tab/>
      </w:r>
      <w:r w:rsidRPr="00940037">
        <w:rPr>
          <w:rFonts w:ascii="Times New Roman" w:hAnsi="Times New Roman"/>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90E22" w:rsidR="00602136" w:rsidP="00931C21" w:rsidRDefault="00602136" w14:paraId="0208DA18" w14:textId="77777777">
      <w:pPr>
        <w:widowControl/>
        <w:ind w:left="720"/>
        <w:rPr>
          <w:rFonts w:ascii="Times New Roman" w:hAnsi="Times New Roman"/>
        </w:rPr>
      </w:pPr>
    </w:p>
    <w:p w:rsidRPr="00290E22" w:rsidR="00602136" w:rsidP="00931C21" w:rsidRDefault="00602136" w14:paraId="28A38F21" w14:textId="77777777">
      <w:pPr>
        <w:widowControl/>
        <w:ind w:left="720"/>
        <w:rPr>
          <w:rFonts w:ascii="Times New Roman" w:hAnsi="Times New Roman"/>
        </w:rPr>
      </w:pPr>
      <w:r w:rsidRPr="00290E22">
        <w:rPr>
          <w:rFonts w:ascii="Times New Roman" w:hAnsi="Times New Roman"/>
        </w:rPr>
        <w:t>This is not a collection of information for statistical use and there are no plans to publish the results of this collection.</w:t>
      </w:r>
    </w:p>
    <w:p w:rsidRPr="00940037" w:rsidR="00602136" w:rsidP="00931C21" w:rsidRDefault="00602136" w14:paraId="25B6B89D" w14:textId="77777777">
      <w:pPr>
        <w:widowControl/>
        <w:ind w:left="720"/>
        <w:rPr>
          <w:rFonts w:ascii="Times New Roman" w:hAnsi="Times New Roman"/>
          <w:b/>
        </w:rPr>
      </w:pPr>
    </w:p>
    <w:p w:rsidRPr="00940037" w:rsidR="00602136" w:rsidP="00931C21" w:rsidRDefault="00602136" w14:paraId="6DD51E6C" w14:textId="77777777">
      <w:pPr>
        <w:widowControl/>
        <w:tabs>
          <w:tab w:val="left" w:pos="-1440"/>
        </w:tabs>
        <w:ind w:left="720" w:hanging="720"/>
        <w:rPr>
          <w:rFonts w:ascii="Times New Roman" w:hAnsi="Times New Roman"/>
          <w:b/>
          <w:iCs/>
        </w:rPr>
      </w:pPr>
      <w:r w:rsidRPr="00940037">
        <w:rPr>
          <w:rFonts w:ascii="Times New Roman" w:hAnsi="Times New Roman"/>
          <w:b/>
        </w:rPr>
        <w:t>17.</w:t>
      </w:r>
      <w:r w:rsidRPr="00940037">
        <w:rPr>
          <w:rFonts w:ascii="Times New Roman" w:hAnsi="Times New Roman"/>
          <w:b/>
        </w:rPr>
        <w:tab/>
      </w:r>
      <w:r w:rsidRPr="00940037">
        <w:rPr>
          <w:rFonts w:ascii="Times New Roman" w:hAnsi="Times New Roman"/>
          <w:b/>
          <w:iCs/>
        </w:rPr>
        <w:t>If seeking approval to not display the expiration date for OMB approval of the information collection, explain the reasons that display would be inappropriate.</w:t>
      </w:r>
    </w:p>
    <w:p w:rsidRPr="00290E22" w:rsidR="00602136" w:rsidP="00931C21" w:rsidRDefault="00602136" w14:paraId="23FD08B3" w14:textId="77777777">
      <w:pPr>
        <w:widowControl/>
        <w:ind w:left="720"/>
        <w:rPr>
          <w:rFonts w:ascii="Times New Roman" w:hAnsi="Times New Roman"/>
        </w:rPr>
      </w:pPr>
    </w:p>
    <w:p w:rsidR="00E107A8" w:rsidP="00931C21" w:rsidRDefault="00E107A8" w14:paraId="3D43916C" w14:textId="77777777">
      <w:pPr>
        <w:widowControl/>
        <w:ind w:left="720"/>
        <w:rPr>
          <w:rFonts w:ascii="Times New Roman" w:hAnsi="Times New Roman"/>
        </w:rPr>
      </w:pPr>
      <w:r w:rsidRPr="00E107A8">
        <w:rPr>
          <w:rFonts w:ascii="Times New Roman" w:hAnsi="Times New Roman"/>
        </w:rPr>
        <w:t>The expiration date will be published in the Federal Register following OMB approval.</w:t>
      </w:r>
    </w:p>
    <w:p w:rsidRPr="00940037" w:rsidR="00602136" w:rsidP="00931C21" w:rsidRDefault="00602136" w14:paraId="642EA044" w14:textId="77777777">
      <w:pPr>
        <w:widowControl/>
        <w:ind w:left="720"/>
        <w:rPr>
          <w:rFonts w:ascii="Times New Roman" w:hAnsi="Times New Roman"/>
          <w:b/>
        </w:rPr>
      </w:pPr>
    </w:p>
    <w:p w:rsidRPr="00940037" w:rsidR="00602136" w:rsidP="00931C21" w:rsidRDefault="00602136" w14:paraId="6BC74E35" w14:textId="77777777">
      <w:pPr>
        <w:widowControl/>
        <w:tabs>
          <w:tab w:val="left" w:pos="-1440"/>
        </w:tabs>
        <w:ind w:left="720" w:hanging="720"/>
        <w:rPr>
          <w:rFonts w:ascii="Times New Roman" w:hAnsi="Times New Roman"/>
          <w:b/>
          <w:iCs/>
        </w:rPr>
      </w:pPr>
      <w:r w:rsidRPr="00940037">
        <w:rPr>
          <w:rFonts w:ascii="Times New Roman" w:hAnsi="Times New Roman"/>
          <w:b/>
        </w:rPr>
        <w:t>18.</w:t>
      </w:r>
      <w:r w:rsidRPr="00940037">
        <w:rPr>
          <w:rFonts w:ascii="Times New Roman" w:hAnsi="Times New Roman"/>
          <w:b/>
        </w:rPr>
        <w:tab/>
      </w:r>
      <w:r w:rsidRPr="00940037">
        <w:rPr>
          <w:rFonts w:ascii="Times New Roman" w:hAnsi="Times New Roman"/>
          <w:b/>
          <w:iCs/>
        </w:rPr>
        <w:t>Explain each exception to the certification statement identified in Item 19</w:t>
      </w:r>
      <w:r w:rsidR="00940037">
        <w:rPr>
          <w:rFonts w:ascii="Times New Roman" w:hAnsi="Times New Roman"/>
          <w:b/>
          <w:iCs/>
        </w:rPr>
        <w:t>.</w:t>
      </w:r>
    </w:p>
    <w:p w:rsidRPr="00290E22" w:rsidR="00602136" w:rsidP="00931C21" w:rsidRDefault="00602136" w14:paraId="58102A9C" w14:textId="77777777">
      <w:pPr>
        <w:widowControl/>
        <w:ind w:left="720"/>
        <w:rPr>
          <w:rFonts w:ascii="Times New Roman" w:hAnsi="Times New Roman"/>
        </w:rPr>
      </w:pPr>
    </w:p>
    <w:p w:rsidRPr="00290E22" w:rsidR="00602136" w:rsidP="00931C21" w:rsidRDefault="00602136" w14:paraId="7F3F771D" w14:textId="77777777">
      <w:pPr>
        <w:widowControl/>
        <w:ind w:left="720"/>
        <w:rPr>
          <w:rFonts w:ascii="Times New Roman" w:hAnsi="Times New Roman"/>
        </w:rPr>
      </w:pPr>
      <w:r w:rsidRPr="00290E22">
        <w:rPr>
          <w:rFonts w:ascii="Times New Roman" w:hAnsi="Times New Roman"/>
        </w:rPr>
        <w:t>Not applicable.  There are no exceptions to the certification statement.</w:t>
      </w:r>
    </w:p>
    <w:p w:rsidRPr="00ED4E60" w:rsidR="00602136" w:rsidP="00931C21" w:rsidRDefault="00602136" w14:paraId="40C98893" w14:textId="77777777">
      <w:pPr>
        <w:widowControl/>
        <w:ind w:left="720"/>
        <w:rPr>
          <w:rFonts w:ascii="Times New Roman" w:hAnsi="Times New Roman"/>
          <w:bCs/>
        </w:rPr>
      </w:pPr>
    </w:p>
    <w:p w:rsidRPr="00290E22" w:rsidR="00602136" w:rsidP="00931C21" w:rsidRDefault="00602136" w14:paraId="0E893EC1" w14:textId="77777777">
      <w:pPr>
        <w:widowControl/>
        <w:tabs>
          <w:tab w:val="left" w:pos="-1440"/>
        </w:tabs>
        <w:ind w:left="720" w:hanging="720"/>
        <w:rPr>
          <w:rFonts w:ascii="Times New Roman" w:hAnsi="Times New Roman"/>
        </w:rPr>
      </w:pPr>
      <w:r w:rsidRPr="00290E22">
        <w:rPr>
          <w:rFonts w:ascii="Times New Roman" w:hAnsi="Times New Roman"/>
          <w:b/>
          <w:bCs/>
        </w:rPr>
        <w:t>B.</w:t>
      </w:r>
      <w:r w:rsidRPr="00290E22">
        <w:rPr>
          <w:rFonts w:ascii="Times New Roman" w:hAnsi="Times New Roman"/>
          <w:b/>
          <w:bCs/>
        </w:rPr>
        <w:tab/>
      </w:r>
      <w:r w:rsidRPr="00290E22" w:rsidR="00940037">
        <w:rPr>
          <w:rFonts w:ascii="Times New Roman" w:hAnsi="Times New Roman"/>
          <w:b/>
          <w:bCs/>
        </w:rPr>
        <w:t>COLLECTIONS OF INFORMATION EMPLOYING STATISTICAL METHODS</w:t>
      </w:r>
    </w:p>
    <w:p w:rsidRPr="00290E22" w:rsidR="00602136" w:rsidP="00931C21" w:rsidRDefault="00602136" w14:paraId="4239334D" w14:textId="77777777">
      <w:pPr>
        <w:widowControl/>
        <w:ind w:left="720"/>
        <w:rPr>
          <w:rFonts w:ascii="Times New Roman" w:hAnsi="Times New Roman"/>
        </w:rPr>
      </w:pPr>
    </w:p>
    <w:p w:rsidRPr="00290E22" w:rsidR="00602136" w:rsidP="00931C21" w:rsidRDefault="00602136" w14:paraId="2771EBDD" w14:textId="77777777">
      <w:pPr>
        <w:widowControl/>
        <w:ind w:left="720"/>
        <w:rPr>
          <w:rFonts w:ascii="Times New Roman" w:hAnsi="Times New Roman"/>
        </w:rPr>
      </w:pPr>
      <w:r w:rsidRPr="00290E22">
        <w:rPr>
          <w:rFonts w:ascii="Times New Roman" w:hAnsi="Times New Roman"/>
        </w:rPr>
        <w:t>Not applicable.  The use of statistical methods is not relevant to this collection of information.</w:t>
      </w:r>
    </w:p>
    <w:sectPr w:rsidRPr="00290E22" w:rsidR="00602136">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94208" w14:textId="77777777" w:rsidR="00AA6BA0" w:rsidRDefault="00AA6BA0">
      <w:r>
        <w:separator/>
      </w:r>
    </w:p>
  </w:endnote>
  <w:endnote w:type="continuationSeparator" w:id="0">
    <w:p w14:paraId="46265034" w14:textId="77777777" w:rsidR="00AA6BA0" w:rsidRDefault="00AA6BA0">
      <w:r>
        <w:continuationSeparator/>
      </w:r>
    </w:p>
  </w:endnote>
  <w:endnote w:type="continuationNotice" w:id="1">
    <w:p w14:paraId="0E114806" w14:textId="77777777" w:rsidR="00AA6BA0" w:rsidRDefault="00AA6B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ADDF" w14:textId="77777777" w:rsidR="004C433D" w:rsidRDefault="004C4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8FB3" w14:textId="77777777" w:rsidR="004C433D" w:rsidRDefault="004C4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D2EF" w14:textId="77777777" w:rsidR="004C433D" w:rsidRDefault="004C4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B9A0E" w14:textId="77777777" w:rsidR="00AA6BA0" w:rsidRDefault="00AA6BA0">
      <w:r>
        <w:separator/>
      </w:r>
    </w:p>
  </w:footnote>
  <w:footnote w:type="continuationSeparator" w:id="0">
    <w:p w14:paraId="0C1BB188" w14:textId="77777777" w:rsidR="00AA6BA0" w:rsidRDefault="00AA6BA0">
      <w:r>
        <w:continuationSeparator/>
      </w:r>
    </w:p>
  </w:footnote>
  <w:footnote w:type="continuationNotice" w:id="1">
    <w:p w14:paraId="64141010" w14:textId="77777777" w:rsidR="00AA6BA0" w:rsidRDefault="00AA6BA0"/>
  </w:footnote>
  <w:footnote w:id="2">
    <w:p w14:paraId="31AC33FF" w14:textId="77777777" w:rsidR="00822876" w:rsidRPr="00F66800" w:rsidRDefault="00822876" w:rsidP="00B60502">
      <w:pPr>
        <w:contextualSpacing/>
        <w:rPr>
          <w:rFonts w:ascii="Times New Roman" w:hAnsi="Times New Roman"/>
          <w:sz w:val="20"/>
          <w:szCs w:val="20"/>
        </w:rPr>
      </w:pPr>
      <w:r w:rsidRPr="00F66800">
        <w:rPr>
          <w:rStyle w:val="FootnoteReference"/>
          <w:rFonts w:ascii="Times New Roman" w:hAnsi="Times New Roman"/>
          <w:sz w:val="20"/>
          <w:szCs w:val="20"/>
          <w:vertAlign w:val="superscript"/>
        </w:rPr>
        <w:footnoteRef/>
      </w:r>
      <w:r w:rsidRPr="00F66800">
        <w:rPr>
          <w:rFonts w:ascii="Times New Roman" w:hAnsi="Times New Roman"/>
          <w:sz w:val="20"/>
          <w:szCs w:val="20"/>
        </w:rPr>
        <w:t xml:space="preserve">This number excludes applications seeking expedited exemption approval under Prohibited Transaction Class Exemption 96-62.  The estimated burden hours associated with PTE 96-62 are provided in OMB Control Number 1210-0098. </w:t>
      </w:r>
    </w:p>
  </w:footnote>
  <w:footnote w:id="3">
    <w:p w14:paraId="36539408" w14:textId="79798A0C" w:rsidR="00822876" w:rsidRPr="004F575C" w:rsidRDefault="00822876">
      <w:pPr>
        <w:pStyle w:val="FootnoteText"/>
        <w:rPr>
          <w:rFonts w:ascii="Times New Roman" w:hAnsi="Times New Roman"/>
        </w:rPr>
      </w:pPr>
      <w:r w:rsidRPr="004E279D">
        <w:rPr>
          <w:rStyle w:val="FootnoteReference"/>
          <w:rFonts w:ascii="Times New Roman" w:hAnsi="Times New Roman"/>
          <w:vertAlign w:val="superscript"/>
        </w:rPr>
        <w:footnoteRef/>
      </w:r>
      <w:r w:rsidRPr="004B53DC">
        <w:rPr>
          <w:rFonts w:ascii="Times New Roman" w:hAnsi="Times New Roman"/>
        </w:rPr>
        <w:t>The Department estimates of labor costs by occupation reflect estimates of total compensation and overhead costs.  Estimates for total compensation are based on mean hourly wages by occupation from the 2020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To estimate overhead cost on an occupational basis, the Office of Research and Analysis allocates total industry overhead cost to unique occupations using a matrix of detailed occupational employment for each NAICS industry.  All values are presented in 2020 dollars.</w:t>
      </w:r>
    </w:p>
  </w:footnote>
  <w:footnote w:id="4">
    <w:p w14:paraId="3F62BAF1" w14:textId="64532B02" w:rsidR="00822876" w:rsidRPr="004F575C" w:rsidRDefault="00822876">
      <w:pPr>
        <w:pStyle w:val="FootnoteText"/>
        <w:rPr>
          <w:rFonts w:ascii="Times New Roman" w:hAnsi="Times New Roman"/>
        </w:rPr>
      </w:pPr>
      <w:r w:rsidRPr="004F575C">
        <w:rPr>
          <w:rStyle w:val="FootnoteReference"/>
          <w:rFonts w:ascii="Times New Roman" w:hAnsi="Times New Roman"/>
          <w:vertAlign w:val="superscript"/>
        </w:rPr>
        <w:footnoteRef/>
      </w:r>
      <w:r w:rsidRPr="00FE1F4B">
        <w:rPr>
          <w:rFonts w:ascii="Times New Roman" w:hAnsi="Times New Roman"/>
        </w:rPr>
        <w:t>The 286 in-house clerical hours are estimated to cost $15,796 and the 264 in-house legal professional hours are estimated to cost $37,213.  This totals to $53,009.</w:t>
      </w:r>
    </w:p>
  </w:footnote>
  <w:footnote w:id="5">
    <w:p w14:paraId="49AA86B1" w14:textId="77777777" w:rsidR="00822876" w:rsidRPr="004E279D" w:rsidRDefault="00822876">
      <w:pPr>
        <w:pStyle w:val="FootnoteText"/>
        <w:rPr>
          <w:rFonts w:ascii="Times New Roman" w:hAnsi="Times New Roman"/>
        </w:rPr>
      </w:pPr>
      <w:r w:rsidRPr="004E279D">
        <w:rPr>
          <w:rStyle w:val="FootnoteReference"/>
          <w:rFonts w:ascii="Times New Roman" w:hAnsi="Times New Roman"/>
          <w:vertAlign w:val="superscript"/>
        </w:rPr>
        <w:footnoteRef/>
      </w:r>
      <w:r w:rsidRPr="004E279D">
        <w:rPr>
          <w:rFonts w:ascii="Times New Roman" w:hAnsi="Times New Roman"/>
        </w:rPr>
        <w:t>Any discrepancies in the calculations are a result of rounding.</w:t>
      </w:r>
    </w:p>
  </w:footnote>
  <w:footnote w:id="6">
    <w:p w14:paraId="329B280D" w14:textId="77777777" w:rsidR="00822876" w:rsidRPr="00A84A73" w:rsidRDefault="00822876" w:rsidP="000753E5">
      <w:pPr>
        <w:pStyle w:val="FootnoteText"/>
        <w:rPr>
          <w:rFonts w:asciiTheme="majorHAnsi" w:hAnsiTheme="majorHAnsi" w:cstheme="majorHAnsi"/>
        </w:rPr>
      </w:pPr>
      <w:r w:rsidRPr="008908B3">
        <w:rPr>
          <w:rStyle w:val="FootnoteReference"/>
          <w:rFonts w:ascii="Times New Roman" w:hAnsi="Times New Roman"/>
          <w:vertAlign w:val="superscript"/>
        </w:rPr>
        <w:footnoteRef/>
      </w:r>
      <w:r w:rsidRPr="00D37436">
        <w:rPr>
          <w:rFonts w:ascii="Times New Roman" w:hAnsi="Times New Roman"/>
        </w:rPr>
        <w:t xml:space="preserve"> The outside legal staff </w:t>
      </w:r>
      <w:r>
        <w:rPr>
          <w:rFonts w:ascii="Times New Roman" w:hAnsi="Times New Roman"/>
        </w:rPr>
        <w:t>labor</w:t>
      </w:r>
      <w:r w:rsidRPr="00D37436">
        <w:rPr>
          <w:rFonts w:ascii="Times New Roman" w:hAnsi="Times New Roman"/>
        </w:rPr>
        <w:t xml:space="preserve"> rate is a composite weighted average of the Laffey Matrix for Wage Rates.  (($381 x 0.4) + ($468 x 0.35) + ($676 x 0.15) + ($764 x 0.1) = $494).  http://www.laffeymatrix.com/see.html</w:t>
      </w:r>
    </w:p>
  </w:footnote>
  <w:footnote w:id="7">
    <w:p w14:paraId="249817A3" w14:textId="77777777" w:rsidR="00822876" w:rsidRPr="00D37436" w:rsidRDefault="00822876" w:rsidP="00616B3F">
      <w:pPr>
        <w:pStyle w:val="FootnoteText"/>
        <w:rPr>
          <w:rFonts w:ascii="Times New Roman" w:hAnsi="Times New Roman"/>
        </w:rPr>
      </w:pPr>
      <w:r w:rsidRPr="008908B3">
        <w:rPr>
          <w:rStyle w:val="FootnoteReference"/>
          <w:rFonts w:ascii="Times New Roman" w:hAnsi="Times New Roman"/>
          <w:vertAlign w:val="superscript"/>
        </w:rPr>
        <w:footnoteRef/>
      </w:r>
      <w:r w:rsidRPr="00D37436">
        <w:rPr>
          <w:rFonts w:ascii="Times New Roman" w:hAnsi="Times New Roman"/>
        </w:rPr>
        <w:t xml:space="preserve"> The wage rate for the outside fiduciary and outside appraiser, which was estimated as $250 in 2014, was adjusted for inflation.  The CPI in October 2014 was 237.433 (</w:t>
      </w:r>
      <w:hyperlink r:id="rId1" w:history="1">
        <w:r w:rsidRPr="00D37436">
          <w:rPr>
            <w:rStyle w:val="Hyperlink"/>
            <w:rFonts w:ascii="Times New Roman" w:hAnsi="Times New Roman"/>
          </w:rPr>
          <w:t>https://www.bls.gov/news.release/archives/cpi_11202014.pdf</w:t>
        </w:r>
      </w:hyperlink>
      <w:r w:rsidRPr="00D37436">
        <w:rPr>
          <w:rFonts w:ascii="Times New Roman" w:hAnsi="Times New Roman"/>
        </w:rPr>
        <w:t>) and the CPI in October 2021 was 276.589 (</w:t>
      </w:r>
      <w:hyperlink r:id="rId2" w:history="1">
        <w:r w:rsidRPr="00D37436">
          <w:rPr>
            <w:rStyle w:val="Hyperlink"/>
            <w:rFonts w:ascii="Times New Roman" w:hAnsi="Times New Roman"/>
          </w:rPr>
          <w:t>https://www.bls.gov/news.release/pdf/cpi.pdf</w:t>
        </w:r>
      </w:hyperlink>
      <w:r w:rsidRPr="00D37436">
        <w:rPr>
          <w:rFonts w:ascii="Times New Roman" w:hAnsi="Times New Roman"/>
        </w:rPr>
        <w:t xml:space="preserve">).  Thus, the percent change in the CPI from October 2014 to October 2021 is estimated to be approximately 1.165 and therefore, the adjusted wage rate is $291 ($250 x 1.165). </w:t>
      </w:r>
    </w:p>
  </w:footnote>
  <w:footnote w:id="8">
    <w:p w14:paraId="79CF7C10" w14:textId="77777777" w:rsidR="00822876" w:rsidRPr="00D37436" w:rsidRDefault="00822876" w:rsidP="00616B3F">
      <w:pPr>
        <w:pStyle w:val="FootnoteText"/>
        <w:rPr>
          <w:rFonts w:ascii="Times New Roman" w:hAnsi="Times New Roman"/>
        </w:rPr>
      </w:pPr>
      <w:r w:rsidRPr="008908B3">
        <w:rPr>
          <w:rStyle w:val="FootnoteReference"/>
          <w:rFonts w:ascii="Times New Roman" w:hAnsi="Times New Roman"/>
          <w:vertAlign w:val="superscript"/>
        </w:rPr>
        <w:footnoteRef/>
      </w:r>
      <w:r w:rsidRPr="00D37436">
        <w:rPr>
          <w:rFonts w:ascii="Times New Roman" w:hAnsi="Times New Roman"/>
        </w:rPr>
        <w:t xml:space="preserve"> </w:t>
      </w:r>
      <w:bookmarkStart w:id="0" w:name="OLE_LINK1"/>
      <w:r w:rsidRPr="00D37436">
        <w:rPr>
          <w:rFonts w:ascii="Times New Roman" w:hAnsi="Times New Roman"/>
        </w:rPr>
        <w:t xml:space="preserve">The </w:t>
      </w:r>
      <w:r>
        <w:rPr>
          <w:rFonts w:ascii="Times New Roman" w:hAnsi="Times New Roman"/>
        </w:rPr>
        <w:t>308</w:t>
      </w:r>
      <w:r w:rsidRPr="00D37436">
        <w:rPr>
          <w:rFonts w:ascii="Times New Roman" w:hAnsi="Times New Roman"/>
        </w:rPr>
        <w:t xml:space="preserve"> outside appraiser/expert hours are estimated to cost </w:t>
      </w:r>
      <w:r>
        <w:rPr>
          <w:rFonts w:ascii="Times New Roman" w:hAnsi="Times New Roman"/>
        </w:rPr>
        <w:t xml:space="preserve">$89,699 </w:t>
      </w:r>
      <w:r w:rsidRPr="00D37436">
        <w:rPr>
          <w:rFonts w:ascii="Times New Roman" w:hAnsi="Times New Roman"/>
        </w:rPr>
        <w:t xml:space="preserve">and the </w:t>
      </w:r>
      <w:r>
        <w:rPr>
          <w:rFonts w:ascii="Times New Roman" w:hAnsi="Times New Roman"/>
        </w:rPr>
        <w:t>748</w:t>
      </w:r>
      <w:r w:rsidRPr="00D37436">
        <w:rPr>
          <w:rFonts w:ascii="Times New Roman" w:hAnsi="Times New Roman"/>
        </w:rPr>
        <w:t xml:space="preserve"> outside fiduciary hours are estimated to cost </w:t>
      </w:r>
      <w:r w:rsidRPr="00E25B5E">
        <w:rPr>
          <w:rFonts w:ascii="Times New Roman" w:hAnsi="Times New Roman"/>
        </w:rPr>
        <w:t>$217,840</w:t>
      </w:r>
      <w:r w:rsidRPr="00D37436">
        <w:rPr>
          <w:rFonts w:ascii="Times New Roman" w:hAnsi="Times New Roman"/>
        </w:rPr>
        <w:t xml:space="preserve">.  This totals to </w:t>
      </w:r>
      <w:r w:rsidRPr="00E25B5E">
        <w:rPr>
          <w:rFonts w:ascii="Times New Roman" w:hAnsi="Times New Roman"/>
        </w:rPr>
        <w:t>$307,539</w:t>
      </w:r>
      <w:r w:rsidRPr="00D37436">
        <w:rPr>
          <w:rFonts w:ascii="Times New Roman" w:hAnsi="Times New Roman"/>
        </w:rPr>
        <w:t>.</w:t>
      </w:r>
      <w:bookmarkEnd w:id="0"/>
    </w:p>
  </w:footnote>
  <w:footnote w:id="9">
    <w:p w14:paraId="2DFE17A8" w14:textId="587379FB" w:rsidR="00822876" w:rsidRPr="004F575C" w:rsidRDefault="00822876">
      <w:pPr>
        <w:pStyle w:val="FootnoteText"/>
        <w:rPr>
          <w:rFonts w:ascii="Times New Roman" w:hAnsi="Times New Roman"/>
        </w:rPr>
      </w:pPr>
      <w:r w:rsidRPr="004F575C">
        <w:rPr>
          <w:rStyle w:val="FootnoteReference"/>
          <w:rFonts w:ascii="Times New Roman" w:hAnsi="Times New Roman"/>
          <w:vertAlign w:val="superscript"/>
        </w:rPr>
        <w:footnoteRef/>
      </w:r>
      <w:r w:rsidRPr="004F575C">
        <w:rPr>
          <w:rFonts w:ascii="Times New Roman" w:hAnsi="Times New Roman"/>
        </w:rPr>
        <w:t xml:space="preserve">Based on a weighted average of </w:t>
      </w:r>
      <w:r>
        <w:rPr>
          <w:rFonts w:ascii="Times New Roman" w:hAnsi="Times New Roman"/>
        </w:rPr>
        <w:t>2018</w:t>
      </w:r>
      <w:r w:rsidRPr="004F575C">
        <w:rPr>
          <w:rFonts w:ascii="Times New Roman" w:hAnsi="Times New Roman"/>
        </w:rPr>
        <w:t xml:space="preserve"> Form 5500 Pension data. </w:t>
      </w:r>
      <w:r>
        <w:rPr>
          <w:rFonts w:ascii="Times New Roman" w:hAnsi="Times New Roman"/>
        </w:rPr>
        <w:t xml:space="preserve"> </w:t>
      </w:r>
      <w:r w:rsidRPr="004F575C">
        <w:rPr>
          <w:rFonts w:ascii="Times New Roman" w:hAnsi="Times New Roman"/>
        </w:rPr>
        <w:t xml:space="preserve">The data is split into firms with more than 100 participants and fewer than 100 participants. </w:t>
      </w:r>
      <w:r>
        <w:rPr>
          <w:rFonts w:ascii="Times New Roman" w:hAnsi="Times New Roman"/>
        </w:rPr>
        <w:t xml:space="preserve"> </w:t>
      </w:r>
      <w:r w:rsidRPr="004F575C">
        <w:rPr>
          <w:rFonts w:ascii="Times New Roman" w:hAnsi="Times New Roman"/>
        </w:rPr>
        <w:t xml:space="preserve">The Department estimates that half of the applications are from small plans (&lt;100) and half from larger plans (&gt;100). </w:t>
      </w:r>
      <w:r>
        <w:rPr>
          <w:rFonts w:ascii="Times New Roman" w:hAnsi="Times New Roman"/>
        </w:rPr>
        <w:t xml:space="preserve"> </w:t>
      </w:r>
      <w:r w:rsidRPr="004F575C">
        <w:rPr>
          <w:rFonts w:ascii="Times New Roman" w:hAnsi="Times New Roman"/>
        </w:rPr>
        <w:t xml:space="preserve">This gives a weighted average of </w:t>
      </w:r>
      <w:r w:rsidR="00562D8A">
        <w:rPr>
          <w:rFonts w:ascii="Times New Roman" w:hAnsi="Times New Roman"/>
        </w:rPr>
        <w:t>696</w:t>
      </w:r>
      <w:r w:rsidR="00562D8A" w:rsidRPr="004F575C">
        <w:rPr>
          <w:rFonts w:ascii="Times New Roman" w:hAnsi="Times New Roman"/>
        </w:rPr>
        <w:t xml:space="preserve"> </w:t>
      </w:r>
      <w:r w:rsidRPr="004F575C">
        <w:rPr>
          <w:rFonts w:ascii="Times New Roman" w:hAnsi="Times New Roman"/>
        </w:rPr>
        <w:t xml:space="preserve">participants per plan. </w:t>
      </w:r>
      <w:r>
        <w:rPr>
          <w:rFonts w:ascii="Times New Roman" w:hAnsi="Times New Roman"/>
        </w:rPr>
        <w:t xml:space="preserve"> </w:t>
      </w:r>
      <w:r w:rsidRPr="004F575C">
        <w:rPr>
          <w:rFonts w:ascii="Times New Roman" w:hAnsi="Times New Roman"/>
        </w:rPr>
        <w:t xml:space="preserve">This number multiplied by </w:t>
      </w:r>
      <w:r w:rsidR="00562D8A">
        <w:rPr>
          <w:rFonts w:ascii="Times New Roman" w:hAnsi="Times New Roman"/>
        </w:rPr>
        <w:t>5</w:t>
      </w:r>
      <w:r w:rsidR="00562D8A" w:rsidRPr="004F575C">
        <w:rPr>
          <w:rFonts w:ascii="Times New Roman" w:hAnsi="Times New Roman"/>
        </w:rPr>
        <w:t xml:space="preserve"> </w:t>
      </w:r>
      <w:r w:rsidRPr="004F575C">
        <w:rPr>
          <w:rFonts w:ascii="Times New Roman" w:hAnsi="Times New Roman"/>
        </w:rPr>
        <w:t xml:space="preserve">yields </w:t>
      </w:r>
      <w:r w:rsidR="00562D8A">
        <w:rPr>
          <w:rFonts w:ascii="Times New Roman" w:hAnsi="Times New Roman"/>
        </w:rPr>
        <w:t>3,480</w:t>
      </w:r>
      <w:r w:rsidRPr="004F575C">
        <w:rPr>
          <w:rFonts w:ascii="Times New Roman" w:hAnsi="Times New Roman"/>
        </w:rPr>
        <w:t>.</w:t>
      </w:r>
    </w:p>
  </w:footnote>
  <w:footnote w:id="10">
    <w:p w14:paraId="538CCA5B" w14:textId="77777777" w:rsidR="00822876" w:rsidRDefault="00822876" w:rsidP="00F110DB">
      <w:pPr>
        <w:pStyle w:val="FootnoteText"/>
      </w:pPr>
      <w:r w:rsidRPr="008908B3">
        <w:rPr>
          <w:rStyle w:val="FootnoteReference"/>
          <w:rFonts w:ascii="Times New Roman" w:hAnsi="Times New Roman"/>
          <w:vertAlign w:val="superscript"/>
        </w:rPr>
        <w:footnoteRef/>
      </w:r>
      <w:r w:rsidRPr="00D37436">
        <w:rPr>
          <w:rFonts w:ascii="Times New Roman" w:hAnsi="Times New Roman"/>
        </w:rPr>
        <w:t xml:space="preserve"> (5 * $140.</w:t>
      </w:r>
      <w:proofErr w:type="gramStart"/>
      <w:r w:rsidRPr="00D37436">
        <w:rPr>
          <w:rFonts w:ascii="Times New Roman" w:hAnsi="Times New Roman"/>
        </w:rPr>
        <w:t>96)=</w:t>
      </w:r>
      <w:proofErr w:type="gramEnd"/>
      <w:r w:rsidRPr="00D37436">
        <w:rPr>
          <w:rFonts w:ascii="Times New Roman" w:hAnsi="Times New Roman"/>
        </w:rPr>
        <w:t xml:space="preserve"> $705.</w:t>
      </w:r>
    </w:p>
  </w:footnote>
  <w:footnote w:id="11">
    <w:p w14:paraId="29662C83" w14:textId="3572F93E" w:rsidR="00822876" w:rsidRPr="008908B3" w:rsidRDefault="00822876">
      <w:pPr>
        <w:pStyle w:val="FootnoteText"/>
        <w:rPr>
          <w:rFonts w:ascii="Times New Roman" w:hAnsi="Times New Roman"/>
        </w:rPr>
      </w:pPr>
      <w:r w:rsidRPr="008908B3">
        <w:rPr>
          <w:rStyle w:val="FootnoteReference"/>
          <w:rFonts w:ascii="Times New Roman" w:hAnsi="Times New Roman"/>
          <w:vertAlign w:val="superscript"/>
        </w:rPr>
        <w:footnoteRef/>
      </w:r>
      <w:r w:rsidRPr="008908B3">
        <w:rPr>
          <w:rFonts w:ascii="Times New Roman" w:hAnsi="Times New Roman"/>
        </w:rPr>
        <w:t xml:space="preserve"> </w:t>
      </w:r>
      <w:r w:rsidRPr="00750904">
        <w:rPr>
          <w:rFonts w:ascii="Times New Roman" w:hAnsi="Times New Roman"/>
        </w:rPr>
        <w:t>The total number of responses include the number of responses discussed in Question 13.</w:t>
      </w:r>
    </w:p>
  </w:footnote>
  <w:footnote w:id="12">
    <w:p w14:paraId="7888C340" w14:textId="0C146A1F" w:rsidR="00822876" w:rsidRPr="00E4461F" w:rsidRDefault="00822876" w:rsidP="00D424C5">
      <w:pPr>
        <w:pStyle w:val="FootnoteText"/>
        <w:rPr>
          <w:rFonts w:ascii="Times New Roman" w:hAnsi="Times New Roman"/>
        </w:rPr>
      </w:pPr>
      <w:r w:rsidRPr="00E4461F">
        <w:rPr>
          <w:rStyle w:val="FootnoteReference"/>
          <w:rFonts w:ascii="Times New Roman" w:hAnsi="Times New Roman"/>
          <w:vertAlign w:val="superscript"/>
        </w:rPr>
        <w:footnoteRef/>
      </w:r>
      <w:r w:rsidRPr="00E4461F">
        <w:rPr>
          <w:rFonts w:ascii="Times New Roman" w:hAnsi="Times New Roman"/>
        </w:rPr>
        <w:t xml:space="preserve">This cost also includes the costs of filing and storage of documents processed under PTE 96-62 for the accelerated approval of prohibited transactions exemptions. </w:t>
      </w:r>
      <w:r>
        <w:rPr>
          <w:rFonts w:ascii="Times New Roman" w:hAnsi="Times New Roman"/>
        </w:rPr>
        <w:t xml:space="preserve"> </w:t>
      </w:r>
      <w:r w:rsidRPr="00E4461F">
        <w:rPr>
          <w:rFonts w:ascii="Times New Roman" w:hAnsi="Times New Roman"/>
        </w:rPr>
        <w:t xml:space="preserve">This is based on the salary of a GS 6 step 5 in the Washington, DC area for </w:t>
      </w:r>
      <w:r w:rsidR="005C320A">
        <w:rPr>
          <w:rFonts w:ascii="Times New Roman" w:hAnsi="Times New Roman"/>
        </w:rPr>
        <w:t>2022</w:t>
      </w:r>
      <w:r w:rsidRPr="00E4461F">
        <w:rPr>
          <w:rFonts w:ascii="Times New Roman" w:hAnsi="Times New Roman"/>
        </w:rPr>
        <w:t xml:space="preserve">.  Wages and salary as a percent of total compensation of </w:t>
      </w:r>
      <w:r w:rsidR="005C320A">
        <w:rPr>
          <w:rFonts w:ascii="Times New Roman" w:hAnsi="Times New Roman"/>
        </w:rPr>
        <w:t>69.1</w:t>
      </w:r>
      <w:r w:rsidRPr="00E4461F">
        <w:rPr>
          <w:rFonts w:ascii="Times New Roman" w:hAnsi="Times New Roman"/>
        </w:rPr>
        <w:t xml:space="preserve"> percent can be found in table </w:t>
      </w:r>
      <w:r>
        <w:rPr>
          <w:rFonts w:ascii="Times New Roman" w:hAnsi="Times New Roman"/>
        </w:rPr>
        <w:t>1</w:t>
      </w:r>
      <w:r w:rsidRPr="00E4461F">
        <w:rPr>
          <w:rFonts w:ascii="Times New Roman" w:hAnsi="Times New Roman"/>
        </w:rPr>
        <w:t xml:space="preserve"> here </w:t>
      </w:r>
      <w:hyperlink r:id="rId3" w:history="1">
        <w:r w:rsidRPr="00E4461F">
          <w:rPr>
            <w:rStyle w:val="Hyperlink"/>
            <w:rFonts w:ascii="Times New Roman" w:hAnsi="Times New Roman"/>
          </w:rPr>
          <w:t>https://www.bls.gov/news.release/pdf/ecec.pdf</w:t>
        </w:r>
      </w:hyperlink>
      <w:r w:rsidRPr="00E4461F">
        <w:rPr>
          <w:rFonts w:ascii="Times New Roman" w:hAnsi="Times New Roman"/>
        </w:rPr>
        <w:t xml:space="preserve"> and EBSA requests a flat $</w:t>
      </w:r>
      <w:r w:rsidR="005C320A">
        <w:rPr>
          <w:rFonts w:ascii="Times New Roman" w:hAnsi="Times New Roman"/>
        </w:rPr>
        <w:t>73,000</w:t>
      </w:r>
      <w:r w:rsidRPr="00E4461F">
        <w:rPr>
          <w:rFonts w:ascii="Times New Roman" w:hAnsi="Times New Roman"/>
        </w:rPr>
        <w:t xml:space="preserve"> annually per FTE in its budget requests based on actual spending, which converts to an hourly rate of  $</w:t>
      </w:r>
      <w:r w:rsidR="005C320A">
        <w:rPr>
          <w:rFonts w:ascii="Times New Roman" w:hAnsi="Times New Roman"/>
        </w:rPr>
        <w:t>35.1</w:t>
      </w:r>
      <w:r w:rsidR="004302A0">
        <w:rPr>
          <w:rFonts w:ascii="Times New Roman" w:hAnsi="Times New Roman"/>
        </w:rPr>
        <w:t>0</w:t>
      </w:r>
      <w:r w:rsidRPr="00E4461F">
        <w:rPr>
          <w:rFonts w:ascii="Times New Roman" w:hAnsi="Times New Roman"/>
        </w:rPr>
        <w:t xml:space="preserve"> for overhead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C68E" w14:textId="77777777" w:rsidR="004C433D" w:rsidRDefault="004C4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2A4A" w14:textId="77777777" w:rsidR="00822876" w:rsidRPr="00290E22" w:rsidRDefault="00822876" w:rsidP="009B1568">
    <w:pPr>
      <w:rPr>
        <w:rFonts w:ascii="Times New Roman" w:hAnsi="Times New Roman"/>
        <w:b/>
        <w:bCs/>
        <w:sz w:val="20"/>
        <w:szCs w:val="20"/>
      </w:rPr>
    </w:pPr>
    <w:r w:rsidRPr="00290E22">
      <w:rPr>
        <w:rFonts w:ascii="Times New Roman" w:hAnsi="Times New Roman"/>
        <w:b/>
        <w:bCs/>
        <w:sz w:val="20"/>
        <w:szCs w:val="20"/>
      </w:rPr>
      <w:t xml:space="preserve">Procedure for Application for Prohibited Transaction Exemption Regulation:  Pursuant to 29 CFR § 2570.30, </w:t>
    </w:r>
    <w:r w:rsidRPr="00290E22">
      <w:rPr>
        <w:rFonts w:ascii="Times New Roman" w:hAnsi="Times New Roman"/>
        <w:b/>
        <w:bCs/>
        <w:i/>
        <w:iCs/>
        <w:sz w:val="20"/>
        <w:szCs w:val="20"/>
      </w:rPr>
      <w:t>et seq.</w:t>
    </w:r>
  </w:p>
  <w:p w14:paraId="3F964DEC" w14:textId="77777777" w:rsidR="00822876" w:rsidRPr="00290E22" w:rsidRDefault="00822876" w:rsidP="009B1568">
    <w:pPr>
      <w:rPr>
        <w:rFonts w:ascii="Times New Roman" w:hAnsi="Times New Roman"/>
        <w:b/>
        <w:bCs/>
        <w:sz w:val="20"/>
        <w:szCs w:val="20"/>
      </w:rPr>
    </w:pPr>
    <w:r w:rsidRPr="00290E22">
      <w:rPr>
        <w:rFonts w:ascii="Times New Roman" w:hAnsi="Times New Roman"/>
        <w:b/>
        <w:bCs/>
        <w:sz w:val="20"/>
        <w:szCs w:val="20"/>
      </w:rPr>
      <w:t>OMB Number 1210-0060</w:t>
    </w:r>
  </w:p>
  <w:p w14:paraId="04382616" w14:textId="505CE225" w:rsidR="00822876" w:rsidRDefault="00822876" w:rsidP="009B1568">
    <w:pPr>
      <w:rPr>
        <w:rFonts w:ascii="Times New Roman" w:hAnsi="Times New Roman"/>
        <w:b/>
        <w:bCs/>
        <w:sz w:val="20"/>
        <w:szCs w:val="20"/>
      </w:rPr>
    </w:pPr>
    <w:r>
      <w:rPr>
        <w:rFonts w:ascii="Times New Roman" w:hAnsi="Times New Roman"/>
        <w:b/>
        <w:bCs/>
        <w:sz w:val="20"/>
        <w:szCs w:val="20"/>
      </w:rPr>
      <w:t xml:space="preserve">Expiration Date: </w:t>
    </w:r>
    <w:r w:rsidR="004C433D">
      <w:rPr>
        <w:rFonts w:ascii="Times New Roman" w:hAnsi="Times New Roman"/>
        <w:b/>
        <w:bCs/>
        <w:sz w:val="20"/>
        <w:szCs w:val="20"/>
      </w:rPr>
      <w:t>04/30/2024</w:t>
    </w:r>
  </w:p>
  <w:p w14:paraId="7919DB2D" w14:textId="77777777" w:rsidR="00822876" w:rsidRPr="00290E22" w:rsidRDefault="00822876" w:rsidP="007B64CE">
    <w:pPr>
      <w:jc w:val="right"/>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5172" w14:textId="77777777" w:rsidR="004C433D" w:rsidRDefault="004C4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2D92740E"/>
    <w:multiLevelType w:val="hybridMultilevel"/>
    <w:tmpl w:val="3CD2A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DC7248"/>
    <w:multiLevelType w:val="hybridMultilevel"/>
    <w:tmpl w:val="0576F5D0"/>
    <w:lvl w:ilvl="0" w:tplc="DEE46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2E74E3"/>
    <w:multiLevelType w:val="hybridMultilevel"/>
    <w:tmpl w:val="E3EEC402"/>
    <w:lvl w:ilvl="0" w:tplc="E7B472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Quick1"/>
        <w:lvlText w:val="%1."/>
        <w:lvlJc w:val="left"/>
      </w:lvl>
    </w:lvlOverride>
  </w:num>
  <w:num w:numId="2">
    <w:abstractNumId w:val="0"/>
    <w:lvlOverride w:ilvl="0">
      <w:startOverride w:val="5"/>
      <w:lvl w:ilvl="0">
        <w:start w:val="5"/>
        <w:numFmt w:val="decimal"/>
        <w:pStyle w:val="Quick1"/>
        <w:lvlText w:val="%1."/>
        <w:lvlJc w:val="left"/>
      </w:lvl>
    </w:lvlOverride>
  </w:num>
  <w:num w:numId="3">
    <w:abstractNumId w:val="0"/>
    <w:lvlOverride w:ilvl="0">
      <w:startOverride w:val="7"/>
      <w:lvl w:ilvl="0">
        <w:start w:val="7"/>
        <w:numFmt w:val="decimal"/>
        <w:pStyle w:val="Quick1"/>
        <w:lvlText w:val="%1."/>
        <w:lvlJc w:val="left"/>
      </w:lvl>
    </w:lvlOverride>
  </w:num>
  <w:num w:numId="4">
    <w:abstractNumId w:val="0"/>
    <w:lvlOverride w:ilvl="0">
      <w:startOverride w:val="13"/>
      <w:lvl w:ilvl="0">
        <w:start w:val="13"/>
        <w:numFmt w:val="decimal"/>
        <w:pStyle w:val="Quick1"/>
        <w:lvlText w:val="%1."/>
        <w:lvlJc w:val="left"/>
      </w:lvl>
    </w:lvlOverride>
  </w:num>
  <w:num w:numId="5">
    <w:abstractNumId w:val="0"/>
    <w:lvlOverride w:ilvl="0">
      <w:startOverride w:val="15"/>
      <w:lvl w:ilvl="0">
        <w:start w:val="15"/>
        <w:numFmt w:val="decimal"/>
        <w:pStyle w:val="Quick1"/>
        <w:lvlText w:val="%1."/>
        <w:lvlJc w:val="left"/>
      </w:lvl>
    </w:lvlOverride>
  </w:num>
  <w:num w:numId="6">
    <w:abstractNumId w:val="0"/>
    <w:lvlOverride w:ilvl="0">
      <w:startOverride w:val="15"/>
      <w:lvl w:ilvl="0">
        <w:start w:val="15"/>
        <w:numFmt w:val="decimal"/>
        <w:pStyle w:val="Quick1"/>
        <w:lvlText w:val="%1."/>
        <w:lvlJc w:val="left"/>
      </w:lvl>
    </w:lvlOverride>
  </w:num>
  <w:num w:numId="7">
    <w:abstractNumId w:val="3"/>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ppe-Yanez, Gunnar - EBSA">
    <w15:presenceInfo w15:providerId="None" w15:userId="Poppe-Yanez, Gunnar - EB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32C"/>
    <w:rsid w:val="00006E5F"/>
    <w:rsid w:val="00006E68"/>
    <w:rsid w:val="00030C7A"/>
    <w:rsid w:val="00031EC6"/>
    <w:rsid w:val="00034ADC"/>
    <w:rsid w:val="00050B4E"/>
    <w:rsid w:val="00050FBA"/>
    <w:rsid w:val="00061D08"/>
    <w:rsid w:val="0006221C"/>
    <w:rsid w:val="000656F0"/>
    <w:rsid w:val="00065985"/>
    <w:rsid w:val="0007412B"/>
    <w:rsid w:val="000753E5"/>
    <w:rsid w:val="000944AA"/>
    <w:rsid w:val="0009636A"/>
    <w:rsid w:val="000974B3"/>
    <w:rsid w:val="000A3021"/>
    <w:rsid w:val="000A5ADC"/>
    <w:rsid w:val="000C4B2B"/>
    <w:rsid w:val="000C51B4"/>
    <w:rsid w:val="000D3658"/>
    <w:rsid w:val="000D5B51"/>
    <w:rsid w:val="000E0B02"/>
    <w:rsid w:val="000E0D9C"/>
    <w:rsid w:val="000E4B81"/>
    <w:rsid w:val="000E4DA5"/>
    <w:rsid w:val="000F460F"/>
    <w:rsid w:val="000F5E64"/>
    <w:rsid w:val="00110FAC"/>
    <w:rsid w:val="00112B55"/>
    <w:rsid w:val="001132E0"/>
    <w:rsid w:val="00115376"/>
    <w:rsid w:val="001254A1"/>
    <w:rsid w:val="00126958"/>
    <w:rsid w:val="00134EC4"/>
    <w:rsid w:val="00135176"/>
    <w:rsid w:val="00135B48"/>
    <w:rsid w:val="00151461"/>
    <w:rsid w:val="00154B92"/>
    <w:rsid w:val="00162554"/>
    <w:rsid w:val="001663B9"/>
    <w:rsid w:val="00166666"/>
    <w:rsid w:val="0017278E"/>
    <w:rsid w:val="00174B38"/>
    <w:rsid w:val="001823DE"/>
    <w:rsid w:val="00191C18"/>
    <w:rsid w:val="0019204C"/>
    <w:rsid w:val="001A09B6"/>
    <w:rsid w:val="001B0931"/>
    <w:rsid w:val="001C7D54"/>
    <w:rsid w:val="001D37A1"/>
    <w:rsid w:val="001D4239"/>
    <w:rsid w:val="001E0152"/>
    <w:rsid w:val="001E6B01"/>
    <w:rsid w:val="001F473F"/>
    <w:rsid w:val="001F54AE"/>
    <w:rsid w:val="001F6973"/>
    <w:rsid w:val="002027AA"/>
    <w:rsid w:val="0020769E"/>
    <w:rsid w:val="00216AE5"/>
    <w:rsid w:val="00230873"/>
    <w:rsid w:val="00233026"/>
    <w:rsid w:val="00235472"/>
    <w:rsid w:val="00237297"/>
    <w:rsid w:val="002418AD"/>
    <w:rsid w:val="00241CB4"/>
    <w:rsid w:val="00243D46"/>
    <w:rsid w:val="00255148"/>
    <w:rsid w:val="0025732C"/>
    <w:rsid w:val="002652A9"/>
    <w:rsid w:val="0026629C"/>
    <w:rsid w:val="00266EF1"/>
    <w:rsid w:val="0027131E"/>
    <w:rsid w:val="00273DC0"/>
    <w:rsid w:val="00275363"/>
    <w:rsid w:val="002779D8"/>
    <w:rsid w:val="00281715"/>
    <w:rsid w:val="00284204"/>
    <w:rsid w:val="0028481C"/>
    <w:rsid w:val="00290E22"/>
    <w:rsid w:val="002A0E5F"/>
    <w:rsid w:val="002A2C68"/>
    <w:rsid w:val="002A5D49"/>
    <w:rsid w:val="002B1299"/>
    <w:rsid w:val="002C1C11"/>
    <w:rsid w:val="002D42FC"/>
    <w:rsid w:val="002E142B"/>
    <w:rsid w:val="002E19B1"/>
    <w:rsid w:val="002E6B49"/>
    <w:rsid w:val="002E7146"/>
    <w:rsid w:val="002F0609"/>
    <w:rsid w:val="002F1F66"/>
    <w:rsid w:val="00301955"/>
    <w:rsid w:val="00305AD9"/>
    <w:rsid w:val="003062F8"/>
    <w:rsid w:val="0031442E"/>
    <w:rsid w:val="0031461E"/>
    <w:rsid w:val="0031551C"/>
    <w:rsid w:val="003169B4"/>
    <w:rsid w:val="00325E9E"/>
    <w:rsid w:val="003314A4"/>
    <w:rsid w:val="00337E36"/>
    <w:rsid w:val="00346C20"/>
    <w:rsid w:val="00355B64"/>
    <w:rsid w:val="00373417"/>
    <w:rsid w:val="00375540"/>
    <w:rsid w:val="003830A6"/>
    <w:rsid w:val="003852F2"/>
    <w:rsid w:val="0038634C"/>
    <w:rsid w:val="00393628"/>
    <w:rsid w:val="003B7556"/>
    <w:rsid w:val="003D3D1D"/>
    <w:rsid w:val="003D4B48"/>
    <w:rsid w:val="003D5785"/>
    <w:rsid w:val="003D731F"/>
    <w:rsid w:val="003E76AF"/>
    <w:rsid w:val="003F1BAC"/>
    <w:rsid w:val="003F35E3"/>
    <w:rsid w:val="00406D4B"/>
    <w:rsid w:val="004108FB"/>
    <w:rsid w:val="00422365"/>
    <w:rsid w:val="00425110"/>
    <w:rsid w:val="00425589"/>
    <w:rsid w:val="00426CD9"/>
    <w:rsid w:val="004302A0"/>
    <w:rsid w:val="00431D03"/>
    <w:rsid w:val="00436799"/>
    <w:rsid w:val="00442021"/>
    <w:rsid w:val="004455DB"/>
    <w:rsid w:val="00447F18"/>
    <w:rsid w:val="00460870"/>
    <w:rsid w:val="004655A4"/>
    <w:rsid w:val="00473B94"/>
    <w:rsid w:val="00481005"/>
    <w:rsid w:val="004861D7"/>
    <w:rsid w:val="00492ABB"/>
    <w:rsid w:val="00493E8C"/>
    <w:rsid w:val="00495135"/>
    <w:rsid w:val="00496807"/>
    <w:rsid w:val="004A09AC"/>
    <w:rsid w:val="004A38EC"/>
    <w:rsid w:val="004A7166"/>
    <w:rsid w:val="004A72C0"/>
    <w:rsid w:val="004A78B1"/>
    <w:rsid w:val="004B05F6"/>
    <w:rsid w:val="004B52A3"/>
    <w:rsid w:val="004B53DC"/>
    <w:rsid w:val="004C0E69"/>
    <w:rsid w:val="004C16BB"/>
    <w:rsid w:val="004C3BB7"/>
    <w:rsid w:val="004C433D"/>
    <w:rsid w:val="004E279D"/>
    <w:rsid w:val="004E43AC"/>
    <w:rsid w:val="004E5840"/>
    <w:rsid w:val="004F3C3F"/>
    <w:rsid w:val="004F575C"/>
    <w:rsid w:val="00500A31"/>
    <w:rsid w:val="00504394"/>
    <w:rsid w:val="00504D7A"/>
    <w:rsid w:val="00530510"/>
    <w:rsid w:val="00536308"/>
    <w:rsid w:val="00542E9C"/>
    <w:rsid w:val="00550644"/>
    <w:rsid w:val="005514D7"/>
    <w:rsid w:val="00553841"/>
    <w:rsid w:val="0055473B"/>
    <w:rsid w:val="00555789"/>
    <w:rsid w:val="00556346"/>
    <w:rsid w:val="00562D8A"/>
    <w:rsid w:val="00565ACC"/>
    <w:rsid w:val="00576E6A"/>
    <w:rsid w:val="00580080"/>
    <w:rsid w:val="00584824"/>
    <w:rsid w:val="005870F3"/>
    <w:rsid w:val="005932A3"/>
    <w:rsid w:val="005A4882"/>
    <w:rsid w:val="005B2808"/>
    <w:rsid w:val="005B6B44"/>
    <w:rsid w:val="005C10A5"/>
    <w:rsid w:val="005C320A"/>
    <w:rsid w:val="005C3666"/>
    <w:rsid w:val="005D7313"/>
    <w:rsid w:val="005E6A36"/>
    <w:rsid w:val="005F743F"/>
    <w:rsid w:val="00602136"/>
    <w:rsid w:val="00604C15"/>
    <w:rsid w:val="00606D98"/>
    <w:rsid w:val="0060717B"/>
    <w:rsid w:val="00611FC4"/>
    <w:rsid w:val="00616B3F"/>
    <w:rsid w:val="00617ED1"/>
    <w:rsid w:val="00621AC7"/>
    <w:rsid w:val="006310B4"/>
    <w:rsid w:val="00632791"/>
    <w:rsid w:val="0063405E"/>
    <w:rsid w:val="00636FD8"/>
    <w:rsid w:val="0064009A"/>
    <w:rsid w:val="00641E41"/>
    <w:rsid w:val="006500F5"/>
    <w:rsid w:val="006545E3"/>
    <w:rsid w:val="006620DC"/>
    <w:rsid w:val="00665B55"/>
    <w:rsid w:val="00670414"/>
    <w:rsid w:val="00673BA7"/>
    <w:rsid w:val="006845E1"/>
    <w:rsid w:val="006904EC"/>
    <w:rsid w:val="0069149B"/>
    <w:rsid w:val="006948B3"/>
    <w:rsid w:val="006948C8"/>
    <w:rsid w:val="006A03B7"/>
    <w:rsid w:val="006A260F"/>
    <w:rsid w:val="006A482A"/>
    <w:rsid w:val="006A4CB2"/>
    <w:rsid w:val="006B45D9"/>
    <w:rsid w:val="006B46E3"/>
    <w:rsid w:val="006B5A89"/>
    <w:rsid w:val="006B7054"/>
    <w:rsid w:val="006B7341"/>
    <w:rsid w:val="006C48A3"/>
    <w:rsid w:val="006C6A9F"/>
    <w:rsid w:val="006D758F"/>
    <w:rsid w:val="006F15CB"/>
    <w:rsid w:val="006F21E7"/>
    <w:rsid w:val="006F26BD"/>
    <w:rsid w:val="00700119"/>
    <w:rsid w:val="007043BA"/>
    <w:rsid w:val="00707061"/>
    <w:rsid w:val="00711535"/>
    <w:rsid w:val="007118C5"/>
    <w:rsid w:val="00713BA3"/>
    <w:rsid w:val="0071526C"/>
    <w:rsid w:val="00715374"/>
    <w:rsid w:val="00720682"/>
    <w:rsid w:val="00722670"/>
    <w:rsid w:val="00731DC7"/>
    <w:rsid w:val="00736665"/>
    <w:rsid w:val="00740AF0"/>
    <w:rsid w:val="0074240D"/>
    <w:rsid w:val="00743B14"/>
    <w:rsid w:val="00747BC4"/>
    <w:rsid w:val="00750904"/>
    <w:rsid w:val="00756470"/>
    <w:rsid w:val="00764189"/>
    <w:rsid w:val="0077772B"/>
    <w:rsid w:val="007803AE"/>
    <w:rsid w:val="00784433"/>
    <w:rsid w:val="0079157A"/>
    <w:rsid w:val="007A4D8F"/>
    <w:rsid w:val="007B31C0"/>
    <w:rsid w:val="007B64CE"/>
    <w:rsid w:val="007B6E1A"/>
    <w:rsid w:val="007C3394"/>
    <w:rsid w:val="007C6C89"/>
    <w:rsid w:val="007D073E"/>
    <w:rsid w:val="007E7405"/>
    <w:rsid w:val="007F1E83"/>
    <w:rsid w:val="007F2491"/>
    <w:rsid w:val="007F3A79"/>
    <w:rsid w:val="00800082"/>
    <w:rsid w:val="00802E0F"/>
    <w:rsid w:val="00820744"/>
    <w:rsid w:val="00822035"/>
    <w:rsid w:val="00822876"/>
    <w:rsid w:val="008316FC"/>
    <w:rsid w:val="008341F3"/>
    <w:rsid w:val="00834863"/>
    <w:rsid w:val="00842B75"/>
    <w:rsid w:val="00862EAB"/>
    <w:rsid w:val="00864F0D"/>
    <w:rsid w:val="00867E41"/>
    <w:rsid w:val="00867F95"/>
    <w:rsid w:val="008779C5"/>
    <w:rsid w:val="00883B6E"/>
    <w:rsid w:val="008908B3"/>
    <w:rsid w:val="00893C42"/>
    <w:rsid w:val="00894F31"/>
    <w:rsid w:val="008A07F3"/>
    <w:rsid w:val="008A1680"/>
    <w:rsid w:val="008A2007"/>
    <w:rsid w:val="008A7427"/>
    <w:rsid w:val="008A776C"/>
    <w:rsid w:val="008B6D00"/>
    <w:rsid w:val="008C1C4E"/>
    <w:rsid w:val="008C6E6C"/>
    <w:rsid w:val="008D21C8"/>
    <w:rsid w:val="008F0D1C"/>
    <w:rsid w:val="008F5E6D"/>
    <w:rsid w:val="008F6842"/>
    <w:rsid w:val="0090022F"/>
    <w:rsid w:val="00900471"/>
    <w:rsid w:val="00903B05"/>
    <w:rsid w:val="0090573C"/>
    <w:rsid w:val="00910D56"/>
    <w:rsid w:val="009117B5"/>
    <w:rsid w:val="009256F9"/>
    <w:rsid w:val="00931C21"/>
    <w:rsid w:val="009340BC"/>
    <w:rsid w:val="009341BD"/>
    <w:rsid w:val="009353FA"/>
    <w:rsid w:val="00940037"/>
    <w:rsid w:val="0095469F"/>
    <w:rsid w:val="00954A84"/>
    <w:rsid w:val="0096071B"/>
    <w:rsid w:val="00963ACD"/>
    <w:rsid w:val="00964397"/>
    <w:rsid w:val="00973144"/>
    <w:rsid w:val="009764BC"/>
    <w:rsid w:val="0098419A"/>
    <w:rsid w:val="00985088"/>
    <w:rsid w:val="009861BF"/>
    <w:rsid w:val="009939AF"/>
    <w:rsid w:val="009949C0"/>
    <w:rsid w:val="00995BDE"/>
    <w:rsid w:val="009A6601"/>
    <w:rsid w:val="009B1568"/>
    <w:rsid w:val="009B3B34"/>
    <w:rsid w:val="009B52D9"/>
    <w:rsid w:val="009B6518"/>
    <w:rsid w:val="009C1C35"/>
    <w:rsid w:val="009D26F3"/>
    <w:rsid w:val="009E6B59"/>
    <w:rsid w:val="009E704C"/>
    <w:rsid w:val="009E7866"/>
    <w:rsid w:val="009F31BA"/>
    <w:rsid w:val="00A03D28"/>
    <w:rsid w:val="00A04F34"/>
    <w:rsid w:val="00A12190"/>
    <w:rsid w:val="00A13AB0"/>
    <w:rsid w:val="00A17E03"/>
    <w:rsid w:val="00A251A8"/>
    <w:rsid w:val="00A25688"/>
    <w:rsid w:val="00A30EA1"/>
    <w:rsid w:val="00A427D4"/>
    <w:rsid w:val="00A45E9C"/>
    <w:rsid w:val="00A52324"/>
    <w:rsid w:val="00A55A7B"/>
    <w:rsid w:val="00A62E8C"/>
    <w:rsid w:val="00A659F4"/>
    <w:rsid w:val="00A72A9F"/>
    <w:rsid w:val="00A7624A"/>
    <w:rsid w:val="00A8063E"/>
    <w:rsid w:val="00A82F35"/>
    <w:rsid w:val="00AA1166"/>
    <w:rsid w:val="00AA5221"/>
    <w:rsid w:val="00AA6BA0"/>
    <w:rsid w:val="00AA6FD6"/>
    <w:rsid w:val="00AB453F"/>
    <w:rsid w:val="00AC0913"/>
    <w:rsid w:val="00AC0A32"/>
    <w:rsid w:val="00AC528A"/>
    <w:rsid w:val="00AD37EF"/>
    <w:rsid w:val="00AD5F27"/>
    <w:rsid w:val="00B0712A"/>
    <w:rsid w:val="00B0758A"/>
    <w:rsid w:val="00B1232C"/>
    <w:rsid w:val="00B12A15"/>
    <w:rsid w:val="00B131EB"/>
    <w:rsid w:val="00B21F22"/>
    <w:rsid w:val="00B22217"/>
    <w:rsid w:val="00B23BC9"/>
    <w:rsid w:val="00B23DE5"/>
    <w:rsid w:val="00B23FEB"/>
    <w:rsid w:val="00B31053"/>
    <w:rsid w:val="00B35E8D"/>
    <w:rsid w:val="00B43CFE"/>
    <w:rsid w:val="00B6031B"/>
    <w:rsid w:val="00B60502"/>
    <w:rsid w:val="00B63BAB"/>
    <w:rsid w:val="00B640E3"/>
    <w:rsid w:val="00B6485A"/>
    <w:rsid w:val="00B64988"/>
    <w:rsid w:val="00B7590D"/>
    <w:rsid w:val="00B77D5A"/>
    <w:rsid w:val="00B82A52"/>
    <w:rsid w:val="00B8533C"/>
    <w:rsid w:val="00B93BCB"/>
    <w:rsid w:val="00B94E21"/>
    <w:rsid w:val="00B9736F"/>
    <w:rsid w:val="00BA22DC"/>
    <w:rsid w:val="00BA5F53"/>
    <w:rsid w:val="00BB047D"/>
    <w:rsid w:val="00BC174D"/>
    <w:rsid w:val="00BC447B"/>
    <w:rsid w:val="00BD3772"/>
    <w:rsid w:val="00BD4B06"/>
    <w:rsid w:val="00BD7ACC"/>
    <w:rsid w:val="00BE168C"/>
    <w:rsid w:val="00BE7709"/>
    <w:rsid w:val="00BF4A26"/>
    <w:rsid w:val="00C009FD"/>
    <w:rsid w:val="00C01E88"/>
    <w:rsid w:val="00C043AC"/>
    <w:rsid w:val="00C06DC3"/>
    <w:rsid w:val="00C165C3"/>
    <w:rsid w:val="00C17ACB"/>
    <w:rsid w:val="00C261D7"/>
    <w:rsid w:val="00C26FF7"/>
    <w:rsid w:val="00C30460"/>
    <w:rsid w:val="00C31A84"/>
    <w:rsid w:val="00C323EC"/>
    <w:rsid w:val="00C35212"/>
    <w:rsid w:val="00C36BF2"/>
    <w:rsid w:val="00C43B34"/>
    <w:rsid w:val="00C45A13"/>
    <w:rsid w:val="00C54989"/>
    <w:rsid w:val="00C5620A"/>
    <w:rsid w:val="00C62878"/>
    <w:rsid w:val="00C67B76"/>
    <w:rsid w:val="00C7198C"/>
    <w:rsid w:val="00C7418D"/>
    <w:rsid w:val="00C81B9F"/>
    <w:rsid w:val="00C83459"/>
    <w:rsid w:val="00C85995"/>
    <w:rsid w:val="00C913C2"/>
    <w:rsid w:val="00CA4619"/>
    <w:rsid w:val="00CA574C"/>
    <w:rsid w:val="00CA77E5"/>
    <w:rsid w:val="00CB11BA"/>
    <w:rsid w:val="00CB1BA9"/>
    <w:rsid w:val="00CB1F9C"/>
    <w:rsid w:val="00CB5DDB"/>
    <w:rsid w:val="00CB69EC"/>
    <w:rsid w:val="00CC5112"/>
    <w:rsid w:val="00CE09B5"/>
    <w:rsid w:val="00CE4F41"/>
    <w:rsid w:val="00CF285E"/>
    <w:rsid w:val="00D055AF"/>
    <w:rsid w:val="00D06493"/>
    <w:rsid w:val="00D17488"/>
    <w:rsid w:val="00D4014F"/>
    <w:rsid w:val="00D424C5"/>
    <w:rsid w:val="00D511E3"/>
    <w:rsid w:val="00D5315E"/>
    <w:rsid w:val="00D55049"/>
    <w:rsid w:val="00D63ED6"/>
    <w:rsid w:val="00D649B5"/>
    <w:rsid w:val="00D71DC2"/>
    <w:rsid w:val="00D73CE4"/>
    <w:rsid w:val="00D74E2E"/>
    <w:rsid w:val="00D76919"/>
    <w:rsid w:val="00D81AD5"/>
    <w:rsid w:val="00D82C97"/>
    <w:rsid w:val="00D90EB0"/>
    <w:rsid w:val="00DA5929"/>
    <w:rsid w:val="00DB09FC"/>
    <w:rsid w:val="00DC1FA4"/>
    <w:rsid w:val="00DC2904"/>
    <w:rsid w:val="00DC7510"/>
    <w:rsid w:val="00DD4C37"/>
    <w:rsid w:val="00DD7E6D"/>
    <w:rsid w:val="00DE0E7C"/>
    <w:rsid w:val="00DE2372"/>
    <w:rsid w:val="00DE3F38"/>
    <w:rsid w:val="00DE520D"/>
    <w:rsid w:val="00E02E11"/>
    <w:rsid w:val="00E05434"/>
    <w:rsid w:val="00E107A8"/>
    <w:rsid w:val="00E132EC"/>
    <w:rsid w:val="00E20B66"/>
    <w:rsid w:val="00E234AD"/>
    <w:rsid w:val="00E23B65"/>
    <w:rsid w:val="00E35C2D"/>
    <w:rsid w:val="00E368AA"/>
    <w:rsid w:val="00E37B83"/>
    <w:rsid w:val="00E4461F"/>
    <w:rsid w:val="00E46513"/>
    <w:rsid w:val="00E50434"/>
    <w:rsid w:val="00E574A6"/>
    <w:rsid w:val="00E57BCD"/>
    <w:rsid w:val="00E714C6"/>
    <w:rsid w:val="00E76E55"/>
    <w:rsid w:val="00E81049"/>
    <w:rsid w:val="00E92CB0"/>
    <w:rsid w:val="00E94505"/>
    <w:rsid w:val="00E96852"/>
    <w:rsid w:val="00EA6C3E"/>
    <w:rsid w:val="00EB7BFF"/>
    <w:rsid w:val="00EC6216"/>
    <w:rsid w:val="00ED3A42"/>
    <w:rsid w:val="00ED4E60"/>
    <w:rsid w:val="00ED7270"/>
    <w:rsid w:val="00EE6732"/>
    <w:rsid w:val="00EF106C"/>
    <w:rsid w:val="00EF3E00"/>
    <w:rsid w:val="00EF4425"/>
    <w:rsid w:val="00F001A4"/>
    <w:rsid w:val="00F0183C"/>
    <w:rsid w:val="00F02100"/>
    <w:rsid w:val="00F04D54"/>
    <w:rsid w:val="00F110DB"/>
    <w:rsid w:val="00F11DA0"/>
    <w:rsid w:val="00F21D50"/>
    <w:rsid w:val="00F22730"/>
    <w:rsid w:val="00F24666"/>
    <w:rsid w:val="00F25D6A"/>
    <w:rsid w:val="00F2690E"/>
    <w:rsid w:val="00F26DCD"/>
    <w:rsid w:val="00F30FE3"/>
    <w:rsid w:val="00F42FC0"/>
    <w:rsid w:val="00F45693"/>
    <w:rsid w:val="00F54271"/>
    <w:rsid w:val="00F66800"/>
    <w:rsid w:val="00F81A5C"/>
    <w:rsid w:val="00F90973"/>
    <w:rsid w:val="00F94C07"/>
    <w:rsid w:val="00F94F05"/>
    <w:rsid w:val="00F970D1"/>
    <w:rsid w:val="00FA1B5F"/>
    <w:rsid w:val="00FB07FC"/>
    <w:rsid w:val="00FB0983"/>
    <w:rsid w:val="00FB4F12"/>
    <w:rsid w:val="00FC22D8"/>
    <w:rsid w:val="00FC317F"/>
    <w:rsid w:val="00FC3D0C"/>
    <w:rsid w:val="00FC66F5"/>
    <w:rsid w:val="00FD13B5"/>
    <w:rsid w:val="00FD1743"/>
    <w:rsid w:val="00FD36C3"/>
    <w:rsid w:val="00FE1F4B"/>
    <w:rsid w:val="00FE55B6"/>
    <w:rsid w:val="00FE7BCB"/>
    <w:rsid w:val="00FF5833"/>
    <w:rsid w:val="0B33E56F"/>
    <w:rsid w:val="101D23F5"/>
    <w:rsid w:val="129D74B0"/>
    <w:rsid w:val="18E77DFF"/>
    <w:rsid w:val="1A01A817"/>
    <w:rsid w:val="26739383"/>
    <w:rsid w:val="2C5AE062"/>
    <w:rsid w:val="30C9D945"/>
    <w:rsid w:val="32123A67"/>
    <w:rsid w:val="36ADFDFB"/>
    <w:rsid w:val="5633026A"/>
    <w:rsid w:val="57E46E58"/>
    <w:rsid w:val="5A001402"/>
    <w:rsid w:val="5DB3C1CA"/>
    <w:rsid w:val="6A25AD36"/>
    <w:rsid w:val="6EA4E4D1"/>
    <w:rsid w:val="6F4B5EA8"/>
    <w:rsid w:val="73D250F8"/>
    <w:rsid w:val="75FD6C0C"/>
    <w:rsid w:val="7B3684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56745"/>
  <w15:docId w15:val="{F05E7662-5781-417F-870F-C2D1100E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5"/>
      </w:numPr>
      <w:ind w:left="720" w:hanging="720"/>
    </w:pPr>
  </w:style>
  <w:style w:type="paragraph" w:styleId="BodyTextIndent">
    <w:name w:val="Body Text Indent"/>
    <w:basedOn w:val="Normal"/>
    <w:pPr>
      <w:ind w:left="720"/>
    </w:pPr>
    <w:rPr>
      <w:rFonts w:ascii="Times New Roman" w:hAnsi="Times New Roman"/>
    </w:rPr>
  </w:style>
  <w:style w:type="paragraph" w:styleId="FootnoteText">
    <w:name w:val="footnote text"/>
    <w:basedOn w:val="Normal"/>
    <w:link w:val="FootnoteTextChar"/>
    <w:uiPriority w:val="99"/>
    <w:rPr>
      <w:sz w:val="20"/>
      <w:szCs w:val="20"/>
    </w:rPr>
  </w:style>
  <w:style w:type="paragraph" w:styleId="Header">
    <w:name w:val="header"/>
    <w:basedOn w:val="Normal"/>
    <w:rsid w:val="00740AF0"/>
    <w:pPr>
      <w:tabs>
        <w:tab w:val="center" w:pos="4320"/>
        <w:tab w:val="right" w:pos="8640"/>
      </w:tabs>
    </w:pPr>
  </w:style>
  <w:style w:type="paragraph" w:styleId="Footer">
    <w:name w:val="footer"/>
    <w:basedOn w:val="Normal"/>
    <w:rsid w:val="00740AF0"/>
    <w:pPr>
      <w:tabs>
        <w:tab w:val="center" w:pos="4320"/>
        <w:tab w:val="right" w:pos="8640"/>
      </w:tabs>
    </w:pPr>
  </w:style>
  <w:style w:type="paragraph" w:styleId="BalloonText">
    <w:name w:val="Balloon Text"/>
    <w:basedOn w:val="Normal"/>
    <w:semiHidden/>
    <w:rsid w:val="0017278E"/>
    <w:rPr>
      <w:rFonts w:ascii="Tahoma" w:hAnsi="Tahoma" w:cs="Tahoma"/>
      <w:sz w:val="16"/>
      <w:szCs w:val="16"/>
    </w:rPr>
  </w:style>
  <w:style w:type="paragraph" w:styleId="BodyText">
    <w:name w:val="Body Text"/>
    <w:basedOn w:val="Normal"/>
    <w:rsid w:val="00473B94"/>
    <w:pPr>
      <w:spacing w:after="120"/>
    </w:pPr>
  </w:style>
  <w:style w:type="paragraph" w:styleId="NormalWeb">
    <w:name w:val="Normal (Web)"/>
    <w:basedOn w:val="Normal"/>
    <w:rsid w:val="00473B94"/>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semiHidden/>
    <w:rsid w:val="001F54AE"/>
    <w:rPr>
      <w:sz w:val="16"/>
      <w:szCs w:val="16"/>
    </w:rPr>
  </w:style>
  <w:style w:type="paragraph" w:styleId="CommentText">
    <w:name w:val="annotation text"/>
    <w:basedOn w:val="Normal"/>
    <w:link w:val="CommentTextChar"/>
    <w:semiHidden/>
    <w:rsid w:val="001F54AE"/>
    <w:rPr>
      <w:sz w:val="20"/>
      <w:szCs w:val="20"/>
    </w:rPr>
  </w:style>
  <w:style w:type="character" w:styleId="Hyperlink">
    <w:name w:val="Hyperlink"/>
    <w:uiPriority w:val="99"/>
    <w:rsid w:val="0096071B"/>
    <w:rPr>
      <w:color w:val="0000FF"/>
      <w:u w:val="single"/>
    </w:rPr>
  </w:style>
  <w:style w:type="character" w:customStyle="1" w:styleId="FootnoteTextChar">
    <w:name w:val="Footnote Text Char"/>
    <w:link w:val="FootnoteText"/>
    <w:uiPriority w:val="99"/>
    <w:rsid w:val="0096071B"/>
    <w:rPr>
      <w:rFonts w:ascii="Courier" w:hAnsi="Courier"/>
    </w:rPr>
  </w:style>
  <w:style w:type="paragraph" w:styleId="CommentSubject">
    <w:name w:val="annotation subject"/>
    <w:basedOn w:val="CommentText"/>
    <w:next w:val="CommentText"/>
    <w:link w:val="CommentSubjectChar"/>
    <w:rsid w:val="008779C5"/>
    <w:rPr>
      <w:b/>
      <w:bCs/>
    </w:rPr>
  </w:style>
  <w:style w:type="character" w:customStyle="1" w:styleId="CommentTextChar">
    <w:name w:val="Comment Text Char"/>
    <w:link w:val="CommentText"/>
    <w:semiHidden/>
    <w:rsid w:val="008779C5"/>
    <w:rPr>
      <w:rFonts w:ascii="Courier" w:hAnsi="Courier"/>
    </w:rPr>
  </w:style>
  <w:style w:type="character" w:customStyle="1" w:styleId="CommentSubjectChar">
    <w:name w:val="Comment Subject Char"/>
    <w:link w:val="CommentSubject"/>
    <w:rsid w:val="008779C5"/>
    <w:rPr>
      <w:rFonts w:ascii="Courier" w:hAnsi="Courier"/>
      <w:b/>
      <w:bCs/>
    </w:rPr>
  </w:style>
  <w:style w:type="table" w:styleId="TableGrid">
    <w:name w:val="Table Grid"/>
    <w:basedOn w:val="TableNormal"/>
    <w:rsid w:val="00FC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640E3"/>
    <w:rPr>
      <w:color w:val="954F72"/>
      <w:u w:val="single"/>
    </w:rPr>
  </w:style>
  <w:style w:type="paragraph" w:styleId="Revision">
    <w:name w:val="Revision"/>
    <w:hidden/>
    <w:uiPriority w:val="99"/>
    <w:semiHidden/>
    <w:rsid w:val="00A55A7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85918">
      <w:bodyDiv w:val="1"/>
      <w:marLeft w:val="0"/>
      <w:marRight w:val="0"/>
      <w:marTop w:val="0"/>
      <w:marBottom w:val="0"/>
      <w:divBdr>
        <w:top w:val="none" w:sz="0" w:space="0" w:color="auto"/>
        <w:left w:val="none" w:sz="0" w:space="0" w:color="auto"/>
        <w:bottom w:val="none" w:sz="0" w:space="0" w:color="auto"/>
        <w:right w:val="none" w:sz="0" w:space="0" w:color="auto"/>
      </w:divBdr>
    </w:div>
    <w:div w:id="1253516698">
      <w:bodyDiv w:val="1"/>
      <w:marLeft w:val="0"/>
      <w:marRight w:val="0"/>
      <w:marTop w:val="0"/>
      <w:marBottom w:val="0"/>
      <w:divBdr>
        <w:top w:val="none" w:sz="0" w:space="0" w:color="auto"/>
        <w:left w:val="none" w:sz="0" w:space="0" w:color="auto"/>
        <w:bottom w:val="none" w:sz="0" w:space="0" w:color="auto"/>
        <w:right w:val="none" w:sz="0" w:space="0" w:color="auto"/>
      </w:divBdr>
      <w:divsChild>
        <w:div w:id="1861315974">
          <w:marLeft w:val="0"/>
          <w:marRight w:val="0"/>
          <w:marTop w:val="0"/>
          <w:marBottom w:val="0"/>
          <w:divBdr>
            <w:top w:val="none" w:sz="0" w:space="0" w:color="auto"/>
            <w:left w:val="none" w:sz="0" w:space="0" w:color="auto"/>
            <w:bottom w:val="none" w:sz="0" w:space="0" w:color="auto"/>
            <w:right w:val="none" w:sz="0" w:space="0" w:color="auto"/>
          </w:divBdr>
        </w:div>
      </w:divsChild>
    </w:div>
    <w:div w:id="1311132586">
      <w:bodyDiv w:val="1"/>
      <w:marLeft w:val="0"/>
      <w:marRight w:val="0"/>
      <w:marTop w:val="0"/>
      <w:marBottom w:val="0"/>
      <w:divBdr>
        <w:top w:val="none" w:sz="0" w:space="0" w:color="auto"/>
        <w:left w:val="none" w:sz="0" w:space="0" w:color="auto"/>
        <w:bottom w:val="none" w:sz="0" w:space="0" w:color="auto"/>
        <w:right w:val="none" w:sz="0" w:space="0" w:color="auto"/>
      </w:divBdr>
    </w:div>
    <w:div w:id="1909457715">
      <w:bodyDiv w:val="1"/>
      <w:marLeft w:val="0"/>
      <w:marRight w:val="0"/>
      <w:marTop w:val="0"/>
      <w:marBottom w:val="0"/>
      <w:divBdr>
        <w:top w:val="none" w:sz="0" w:space="0" w:color="auto"/>
        <w:left w:val="none" w:sz="0" w:space="0" w:color="auto"/>
        <w:bottom w:val="none" w:sz="0" w:space="0" w:color="auto"/>
        <w:right w:val="none" w:sz="0" w:space="0" w:color="auto"/>
      </w:divBdr>
      <w:divsChild>
        <w:div w:id="1145708352">
          <w:marLeft w:val="0"/>
          <w:marRight w:val="0"/>
          <w:marTop w:val="0"/>
          <w:marBottom w:val="0"/>
          <w:divBdr>
            <w:top w:val="none" w:sz="0" w:space="0" w:color="auto"/>
            <w:left w:val="none" w:sz="0" w:space="0" w:color="auto"/>
            <w:bottom w:val="none" w:sz="0" w:space="0" w:color="auto"/>
            <w:right w:val="none" w:sz="0" w:space="0" w:color="auto"/>
          </w:divBdr>
        </w:div>
      </w:divsChild>
    </w:div>
    <w:div w:id="197212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pdf/ecec.pdf" TargetMode="External"/><Relationship Id="rId2" Type="http://schemas.openxmlformats.org/officeDocument/2006/relationships/hyperlink" Target="https://www.bls.gov/news.release/pdf/cpi.pdf" TargetMode="External"/><Relationship Id="rId1" Type="http://schemas.openxmlformats.org/officeDocument/2006/relationships/hyperlink" Target="https://www.bls.gov/news.release/archives/cpi_1120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8" ma:contentTypeDescription="Create a new document." ma:contentTypeScope="" ma:versionID="683b23d0e1cf49f8e389b5c34f5ac976">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aa88e2b17dd563c667435724eb441eed"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4197C-B560-4EDE-A471-F179CB6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D7503-A851-48F6-BFAD-00FD748E1BB7}">
  <ds:schemaRefs>
    <ds:schemaRef ds:uri="http://schemas.openxmlformats.org/officeDocument/2006/bibliography"/>
  </ds:schemaRefs>
</ds:datastoreItem>
</file>

<file path=customXml/itemProps3.xml><?xml version="1.0" encoding="utf-8"?>
<ds:datastoreItem xmlns:ds="http://schemas.openxmlformats.org/officeDocument/2006/customXml" ds:itemID="{B0337B43-70D4-4E41-B3A8-1F280320BE4A}">
  <ds:schemaRefs>
    <ds:schemaRef ds:uri="http://schemas.microsoft.com/sharepoint/v3/contenttype/forms"/>
  </ds:schemaRefs>
</ds:datastoreItem>
</file>

<file path=customXml/itemProps4.xml><?xml version="1.0" encoding="utf-8"?>
<ds:datastoreItem xmlns:ds="http://schemas.openxmlformats.org/officeDocument/2006/customXml" ds:itemID="{36D873E8-CB6D-4F58-A75B-BD53DE65FE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4980</Words>
  <Characters>28387</Characters>
  <Application>Microsoft Office Word</Application>
  <DocSecurity>0</DocSecurity>
  <Lines>236</Lines>
  <Paragraphs>66</Paragraphs>
  <ScaleCrop>false</ScaleCrop>
  <Company>US Department of Labor</Company>
  <LinksUpToDate>false</LinksUpToDate>
  <CharactersWithSpaces>33301</CharactersWithSpaces>
  <SharedDoc>false</SharedDoc>
  <HLinks>
    <vt:vector size="18" baseType="variant">
      <vt:variant>
        <vt:i4>1703952</vt:i4>
      </vt:variant>
      <vt:variant>
        <vt:i4>6</vt:i4>
      </vt:variant>
      <vt:variant>
        <vt:i4>0</vt:i4>
      </vt:variant>
      <vt:variant>
        <vt:i4>5</vt:i4>
      </vt:variant>
      <vt:variant>
        <vt:lpwstr>https://www.bls.gov/news.release/pdf/ecec.pdf</vt:lpwstr>
      </vt:variant>
      <vt:variant>
        <vt:lpwstr/>
      </vt:variant>
      <vt:variant>
        <vt:i4>4980826</vt:i4>
      </vt:variant>
      <vt:variant>
        <vt:i4>3</vt:i4>
      </vt:variant>
      <vt:variant>
        <vt:i4>0</vt:i4>
      </vt:variant>
      <vt:variant>
        <vt:i4>5</vt:i4>
      </vt:variant>
      <vt:variant>
        <vt:lpwstr>https://www.bls.gov/news.release/pdf/cpi.pdf</vt:lpwstr>
      </vt:variant>
      <vt:variant>
        <vt:lpwstr/>
      </vt:variant>
      <vt:variant>
        <vt:i4>5963892</vt:i4>
      </vt:variant>
      <vt:variant>
        <vt:i4>0</vt:i4>
      </vt:variant>
      <vt:variant>
        <vt:i4>0</vt:i4>
      </vt:variant>
      <vt:variant>
        <vt:i4>5</vt:i4>
      </vt:variant>
      <vt:variant>
        <vt:lpwstr>https://www.bls.gov/news.release/archives/cpi_11202014.pdf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altman.laurie</dc:creator>
  <cp:keywords/>
  <dc:description/>
  <cp:lastModifiedBy>Poppe-Yanez, Gunnar - EBSA</cp:lastModifiedBy>
  <cp:revision>2</cp:revision>
  <cp:lastPrinted>2011-02-03T18:18:00Z</cp:lastPrinted>
  <dcterms:created xsi:type="dcterms:W3CDTF">2022-03-02T17:12:00Z</dcterms:created>
  <dcterms:modified xsi:type="dcterms:W3CDTF">2022-03-02T17:12:00Z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