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6C33" w:rsidR="009E5277" w:rsidP="00A6042E" w:rsidRDefault="009E5277" w14:paraId="200943C8" w14:textId="77777777">
      <w:pPr>
        <w:pStyle w:val="Default"/>
        <w:widowControl/>
        <w:jc w:val="right"/>
        <w:rPr>
          <w:rFonts w:ascii="Times New Roman" w:hAnsi="Times New Roman" w:cs="Times New Roman"/>
          <w:color w:val="auto"/>
        </w:rPr>
      </w:pPr>
    </w:p>
    <w:p w:rsidRPr="00B86C33" w:rsidR="005C5609" w:rsidP="00A6042E" w:rsidRDefault="005C5609" w14:paraId="1E7A0977" w14:textId="65203C80">
      <w:pPr>
        <w:pStyle w:val="Default"/>
        <w:widowControl/>
        <w:jc w:val="center"/>
        <w:rPr>
          <w:rFonts w:ascii="Times New Roman" w:hAnsi="Times New Roman" w:cs="Times New Roman"/>
          <w:color w:val="auto"/>
        </w:rPr>
      </w:pPr>
      <w:r w:rsidRPr="00B86C33">
        <w:rPr>
          <w:rFonts w:ascii="Times New Roman" w:hAnsi="Times New Roman" w:cs="Times New Roman"/>
          <w:bCs/>
          <w:color w:val="auto"/>
        </w:rPr>
        <w:t>S</w:t>
      </w:r>
      <w:r w:rsidRPr="00B86C33" w:rsidR="000D6D5C">
        <w:rPr>
          <w:rFonts w:ascii="Times New Roman" w:hAnsi="Times New Roman" w:cs="Times New Roman"/>
          <w:bCs/>
          <w:color w:val="auto"/>
        </w:rPr>
        <w:t>upporting Statement</w:t>
      </w:r>
      <w:r w:rsidR="004E2EB1">
        <w:rPr>
          <w:rFonts w:ascii="Times New Roman" w:hAnsi="Times New Roman" w:cs="Times New Roman"/>
          <w:bCs/>
          <w:color w:val="auto"/>
        </w:rPr>
        <w:t xml:space="preserve"> for</w:t>
      </w:r>
    </w:p>
    <w:p w:rsidRPr="00B86C33" w:rsidR="000D6D5C" w:rsidP="00A6042E" w:rsidRDefault="000D6D5C" w14:paraId="4AC9E618" w14:textId="77777777">
      <w:pPr>
        <w:pStyle w:val="Default"/>
        <w:widowControl/>
        <w:jc w:val="center"/>
        <w:rPr>
          <w:rFonts w:ascii="Times New Roman" w:hAnsi="Times New Roman" w:cs="Times New Roman"/>
          <w:color w:val="auto"/>
        </w:rPr>
      </w:pPr>
      <w:r w:rsidRPr="00B86C33">
        <w:rPr>
          <w:rFonts w:ascii="Times New Roman" w:hAnsi="Times New Roman" w:cs="Times New Roman"/>
          <w:color w:val="auto"/>
        </w:rPr>
        <w:t>Ground Control for Surface Coal Mines and Surface Work Areas of</w:t>
      </w:r>
    </w:p>
    <w:p w:rsidRPr="00B86C33" w:rsidR="005C5609" w:rsidP="00A6042E" w:rsidRDefault="000D6D5C" w14:paraId="3E8D1055" w14:textId="77777777">
      <w:pPr>
        <w:pStyle w:val="Default"/>
        <w:widowControl/>
        <w:jc w:val="center"/>
        <w:rPr>
          <w:rFonts w:ascii="Times New Roman" w:hAnsi="Times New Roman" w:cs="Times New Roman"/>
          <w:color w:val="auto"/>
        </w:rPr>
      </w:pPr>
      <w:r w:rsidRPr="00B86C33">
        <w:rPr>
          <w:rFonts w:ascii="Times New Roman" w:hAnsi="Times New Roman" w:cs="Times New Roman"/>
          <w:color w:val="auto"/>
        </w:rPr>
        <w:t>Underground Coal Mines</w:t>
      </w:r>
    </w:p>
    <w:p w:rsidRPr="00B86C33" w:rsidR="000D6D5C" w:rsidP="00A6042E" w:rsidRDefault="000D6D5C" w14:paraId="44B8545C" w14:textId="77777777">
      <w:pPr>
        <w:pStyle w:val="Default"/>
        <w:widowControl/>
        <w:jc w:val="center"/>
        <w:rPr>
          <w:rFonts w:ascii="Times New Roman" w:hAnsi="Times New Roman" w:cs="Times New Roman"/>
          <w:color w:val="auto"/>
        </w:rPr>
      </w:pPr>
    </w:p>
    <w:p w:rsidRPr="00B86C33" w:rsidR="000D6D5C" w:rsidP="00A6042E" w:rsidRDefault="000D6D5C" w14:paraId="6E893233" w14:textId="77777777">
      <w:pPr>
        <w:pStyle w:val="Default"/>
        <w:widowControl/>
        <w:tabs>
          <w:tab w:val="left" w:pos="720"/>
          <w:tab w:val="left" w:pos="1440"/>
          <w:tab w:val="left" w:pos="2160"/>
          <w:tab w:val="left" w:pos="3465"/>
        </w:tabs>
        <w:rPr>
          <w:rFonts w:ascii="Times New Roman" w:hAnsi="Times New Roman" w:cs="Times New Roman"/>
          <w:b/>
          <w:color w:val="auto"/>
        </w:rPr>
      </w:pPr>
      <w:r w:rsidRPr="00B86C33">
        <w:rPr>
          <w:rFonts w:ascii="Times New Roman" w:hAnsi="Times New Roman" w:cs="Times New Roman"/>
          <w:b/>
          <w:color w:val="auto"/>
        </w:rPr>
        <w:t>OMB</w:t>
      </w:r>
      <w:r w:rsidRPr="00B86C33">
        <w:rPr>
          <w:rFonts w:ascii="Times New Roman" w:hAnsi="Times New Roman" w:cs="Times New Roman"/>
          <w:b/>
          <w:color w:val="auto"/>
        </w:rPr>
        <w:tab/>
      </w:r>
      <w:r w:rsidRPr="00B86C33">
        <w:rPr>
          <w:rFonts w:ascii="Times New Roman" w:hAnsi="Times New Roman" w:cs="Times New Roman"/>
          <w:b/>
          <w:color w:val="auto"/>
        </w:rPr>
        <w:tab/>
        <w:t>30 CFR</w:t>
      </w:r>
      <w:r w:rsidRPr="00B86C33">
        <w:rPr>
          <w:rFonts w:ascii="Times New Roman" w:hAnsi="Times New Roman" w:cs="Times New Roman"/>
          <w:b/>
          <w:color w:val="auto"/>
        </w:rPr>
        <w:tab/>
      </w:r>
    </w:p>
    <w:p w:rsidRPr="00B86C33" w:rsidR="000D6D5C" w:rsidP="00A6042E" w:rsidRDefault="000D6D5C" w14:paraId="2057B422" w14:textId="77777777">
      <w:pPr>
        <w:pStyle w:val="Default"/>
        <w:widowControl/>
        <w:rPr>
          <w:rFonts w:ascii="Times New Roman" w:hAnsi="Times New Roman" w:cs="Times New Roman"/>
          <w:b/>
          <w:color w:val="auto"/>
          <w:u w:val="single"/>
        </w:rPr>
      </w:pPr>
      <w:r w:rsidRPr="00B86C33">
        <w:rPr>
          <w:rFonts w:ascii="Times New Roman" w:hAnsi="Times New Roman" w:cs="Times New Roman"/>
          <w:b/>
          <w:color w:val="auto"/>
          <w:u w:val="single"/>
        </w:rPr>
        <w:t>Control</w:t>
      </w:r>
      <w:r w:rsidRPr="00B86C33">
        <w:rPr>
          <w:rFonts w:ascii="Times New Roman" w:hAnsi="Times New Roman" w:cs="Times New Roman"/>
          <w:b/>
          <w:color w:val="auto"/>
        </w:rPr>
        <w:tab/>
      </w:r>
      <w:r w:rsidRPr="00B86C33">
        <w:rPr>
          <w:rFonts w:ascii="Times New Roman" w:hAnsi="Times New Roman" w:cs="Times New Roman"/>
          <w:b/>
          <w:color w:val="auto"/>
          <w:u w:val="single"/>
        </w:rPr>
        <w:t>Citation</w:t>
      </w:r>
      <w:r w:rsidRPr="00B86C33">
        <w:rPr>
          <w:rFonts w:ascii="Times New Roman" w:hAnsi="Times New Roman" w:cs="Times New Roman"/>
          <w:b/>
          <w:color w:val="auto"/>
        </w:rPr>
        <w:tab/>
      </w:r>
      <w:r w:rsidRPr="00B86C33">
        <w:rPr>
          <w:rFonts w:ascii="Times New Roman" w:hAnsi="Times New Roman" w:cs="Times New Roman"/>
          <w:b/>
          <w:color w:val="auto"/>
        </w:rPr>
        <w:tab/>
      </w:r>
      <w:r w:rsidRPr="00B86C33">
        <w:rPr>
          <w:rFonts w:ascii="Times New Roman" w:hAnsi="Times New Roman" w:cs="Times New Roman"/>
          <w:b/>
          <w:color w:val="auto"/>
          <w:u w:val="single"/>
        </w:rPr>
        <w:t>Title</w:t>
      </w:r>
    </w:p>
    <w:p w:rsidRPr="00B86C33" w:rsidR="005C5609" w:rsidP="00A6042E" w:rsidRDefault="000D6D5C" w14:paraId="5FA63B84" w14:textId="22D97918">
      <w:pPr>
        <w:pStyle w:val="Default"/>
        <w:widowControl/>
        <w:tabs>
          <w:tab w:val="left" w:pos="1440"/>
        </w:tabs>
        <w:ind w:left="3600" w:hanging="3600"/>
        <w:rPr>
          <w:rFonts w:ascii="Times New Roman" w:hAnsi="Times New Roman" w:cs="Times New Roman"/>
          <w:color w:val="auto"/>
        </w:rPr>
      </w:pPr>
      <w:r w:rsidRPr="00B86C33">
        <w:rPr>
          <w:rFonts w:ascii="Times New Roman" w:hAnsi="Times New Roman" w:cs="Times New Roman"/>
          <w:color w:val="auto"/>
        </w:rPr>
        <w:t xml:space="preserve">1219-0026   </w:t>
      </w:r>
      <w:r w:rsidRPr="00B86C33" w:rsidR="00557CA1">
        <w:rPr>
          <w:rFonts w:ascii="Times New Roman" w:hAnsi="Times New Roman" w:cs="Times New Roman"/>
          <w:color w:val="auto"/>
        </w:rPr>
        <w:t xml:space="preserve"> </w:t>
      </w:r>
      <w:r w:rsidRPr="00B86C33">
        <w:rPr>
          <w:rFonts w:ascii="Times New Roman" w:hAnsi="Times New Roman" w:cs="Times New Roman"/>
          <w:color w:val="auto"/>
        </w:rPr>
        <w:t xml:space="preserve"> </w:t>
      </w:r>
      <w:r w:rsidR="00A96561">
        <w:rPr>
          <w:rFonts w:ascii="Times New Roman" w:hAnsi="Times New Roman" w:cs="Times New Roman"/>
          <w:color w:val="auto"/>
        </w:rPr>
        <w:t xml:space="preserve">  </w:t>
      </w:r>
      <w:r w:rsidRPr="00B86C33" w:rsidR="005C5609">
        <w:rPr>
          <w:rFonts w:ascii="Times New Roman" w:hAnsi="Times New Roman" w:cs="Times New Roman"/>
          <w:color w:val="auto"/>
        </w:rPr>
        <w:t xml:space="preserve">77.1000-1 </w:t>
      </w:r>
      <w:r w:rsidRPr="00B86C33">
        <w:rPr>
          <w:rFonts w:ascii="Times New Roman" w:hAnsi="Times New Roman" w:cs="Times New Roman"/>
          <w:color w:val="auto"/>
        </w:rPr>
        <w:tab/>
        <w:t>Filing of plan required by 77.1000 – Highwal</w:t>
      </w:r>
      <w:r w:rsidRPr="00B86C33" w:rsidR="002739AF">
        <w:rPr>
          <w:rFonts w:ascii="Times New Roman" w:hAnsi="Times New Roman" w:cs="Times New Roman"/>
          <w:color w:val="auto"/>
        </w:rPr>
        <w:t xml:space="preserve">ls, pits and spoil </w:t>
      </w:r>
      <w:proofErr w:type="gramStart"/>
      <w:r w:rsidRPr="00B86C33" w:rsidR="002739AF">
        <w:rPr>
          <w:rFonts w:ascii="Times New Roman" w:hAnsi="Times New Roman" w:cs="Times New Roman"/>
          <w:color w:val="auto"/>
        </w:rPr>
        <w:t>banks;</w:t>
      </w:r>
      <w:proofErr w:type="gramEnd"/>
      <w:r w:rsidRPr="00B86C33" w:rsidR="002739AF">
        <w:rPr>
          <w:rFonts w:ascii="Times New Roman" w:hAnsi="Times New Roman" w:cs="Times New Roman"/>
          <w:color w:val="auto"/>
        </w:rPr>
        <w:t xml:space="preserve"> plans</w:t>
      </w:r>
    </w:p>
    <w:p w:rsidRPr="00633120" w:rsidR="00B86C33" w:rsidP="00A6042E" w:rsidRDefault="00B86C33" w14:paraId="07461584" w14:textId="77777777">
      <w:pPr>
        <w:pStyle w:val="Default"/>
        <w:widowControl/>
        <w:tabs>
          <w:tab w:val="left" w:pos="1440"/>
        </w:tabs>
        <w:ind w:left="3600" w:hanging="3600"/>
        <w:rPr>
          <w:rFonts w:ascii="Times New Roman" w:hAnsi="Times New Roman" w:cs="Times New Roman"/>
          <w:color w:val="auto"/>
        </w:rPr>
      </w:pPr>
    </w:p>
    <w:p w:rsidR="00050537" w:rsidP="00A8106C" w:rsidRDefault="00B86C33" w14:paraId="68287BA6" w14:textId="3A39AD5E">
      <w:pPr>
        <w:widowControl w:val="0"/>
        <w:autoSpaceDE w:val="0"/>
        <w:autoSpaceDN w:val="0"/>
        <w:adjustRightInd w:val="0"/>
      </w:pPr>
      <w:r w:rsidRPr="00633120">
        <w:rPr>
          <w:b/>
        </w:rPr>
        <w:t>Collection Instruments(s):</w:t>
      </w:r>
      <w:r w:rsidRPr="00633120">
        <w:t xml:space="preserve"> </w:t>
      </w:r>
      <w:r w:rsidR="00050537">
        <w:t>O</w:t>
      </w:r>
      <w:r w:rsidRPr="00050537" w:rsidR="00050537">
        <w:t xml:space="preserve">perators may develop ground control plans using </w:t>
      </w:r>
      <w:r w:rsidR="00BC11A5">
        <w:t>any</w:t>
      </w:r>
      <w:r w:rsidRPr="00050537" w:rsidR="00050537">
        <w:t xml:space="preserve"> method they choose</w:t>
      </w:r>
      <w:r w:rsidR="00050537">
        <w:t>.</w:t>
      </w:r>
      <w:r w:rsidR="00050537">
        <w:t xml:space="preserve"> </w:t>
      </w:r>
      <w:r w:rsidR="00A3186E">
        <w:t>Suggested</w:t>
      </w:r>
      <w:r w:rsidR="00BC11A5">
        <w:t>,</w:t>
      </w:r>
      <w:r w:rsidR="00A3186E">
        <w:t xml:space="preserve"> no</w:t>
      </w:r>
      <w:r w:rsidR="00050537">
        <w:t>n-</w:t>
      </w:r>
      <w:r w:rsidR="00A3186E">
        <w:t>required</w:t>
      </w:r>
      <w:r w:rsidR="00BC11A5">
        <w:t>,</w:t>
      </w:r>
      <w:r w:rsidR="00A3186E">
        <w:t xml:space="preserve"> </w:t>
      </w:r>
      <w:r w:rsidR="00050537">
        <w:t xml:space="preserve">District 2 </w:t>
      </w:r>
      <w:r w:rsidR="00A3186E">
        <w:t xml:space="preserve">guidelines and </w:t>
      </w:r>
      <w:r w:rsidR="00050537">
        <w:t>templates:</w:t>
      </w:r>
      <w:r w:rsidR="00A3186E">
        <w:t xml:space="preserve"> </w:t>
      </w:r>
    </w:p>
    <w:p w:rsidR="00050537" w:rsidP="00A8106C" w:rsidRDefault="00A8106C" w14:paraId="03C921C9" w14:textId="5621D497">
      <w:pPr>
        <w:widowControl w:val="0"/>
        <w:autoSpaceDE w:val="0"/>
        <w:autoSpaceDN w:val="0"/>
        <w:adjustRightInd w:val="0"/>
      </w:pPr>
      <w:r>
        <w:t>1) Template for Submittal and Evaluation of Ground Control Plans</w:t>
      </w:r>
      <w:r w:rsidR="00A3186E">
        <w:t xml:space="preserve"> </w:t>
      </w:r>
    </w:p>
    <w:p w:rsidR="00633120" w:rsidP="00A8106C" w:rsidRDefault="00A8106C" w14:paraId="26B42546" w14:textId="741C7BDF">
      <w:pPr>
        <w:widowControl w:val="0"/>
        <w:autoSpaceDE w:val="0"/>
        <w:autoSpaceDN w:val="0"/>
        <w:adjustRightInd w:val="0"/>
      </w:pPr>
      <w:r>
        <w:t xml:space="preserve">2) </w:t>
      </w:r>
      <w:r w:rsidR="00A3186E">
        <w:t>Guidelines</w:t>
      </w:r>
      <w:r>
        <w:t xml:space="preserve"> for Submittal and Evaluation of Ground Control Plans </w:t>
      </w:r>
    </w:p>
    <w:p w:rsidR="002B23E7" w:rsidP="00633120" w:rsidRDefault="002B23E7" w14:paraId="6B843D06" w14:textId="77777777">
      <w:pPr>
        <w:widowControl w:val="0"/>
        <w:autoSpaceDE w:val="0"/>
        <w:autoSpaceDN w:val="0"/>
        <w:adjustRightInd w:val="0"/>
      </w:pPr>
    </w:p>
    <w:p w:rsidRPr="00633120" w:rsidR="00972025" w:rsidP="008021A0" w:rsidRDefault="002B23E7" w14:paraId="0641678B" w14:textId="239F7887">
      <w:pPr>
        <w:rPr>
          <w:rFonts w:ascii="Arial" w:hAnsi="Arial" w:cs="Arial"/>
          <w:b/>
          <w:i/>
          <w:caps/>
        </w:rPr>
      </w:pPr>
      <w:r w:rsidRPr="002B23E7">
        <w:t>This Information Collection Request (ICR) seeks to extend, without change, a currently approved information collection.</w:t>
      </w:r>
    </w:p>
    <w:p w:rsidRPr="00B86C33" w:rsidR="00B86C33" w:rsidP="00A6042E" w:rsidRDefault="00B86C33" w14:paraId="62C2E456" w14:textId="77777777">
      <w:pPr>
        <w:pStyle w:val="Default"/>
        <w:widowControl/>
        <w:tabs>
          <w:tab w:val="left" w:pos="1440"/>
        </w:tabs>
        <w:ind w:left="3600" w:hanging="3600"/>
        <w:rPr>
          <w:rFonts w:ascii="Times New Roman" w:hAnsi="Times New Roman" w:cs="Times New Roman"/>
          <w:color w:val="auto"/>
        </w:rPr>
      </w:pPr>
    </w:p>
    <w:p w:rsidRPr="00B86C33" w:rsidR="005C5609" w:rsidP="00A6042E" w:rsidRDefault="005C5609" w14:paraId="69BEB1AC" w14:textId="77777777">
      <w:pPr>
        <w:pStyle w:val="Default"/>
        <w:widowControl/>
        <w:rPr>
          <w:rFonts w:ascii="Times New Roman" w:hAnsi="Times New Roman" w:cs="Times New Roman"/>
          <w:color w:val="auto"/>
        </w:rPr>
      </w:pPr>
      <w:r w:rsidRPr="00B86C33">
        <w:rPr>
          <w:rFonts w:ascii="Times New Roman" w:hAnsi="Times New Roman" w:cs="Times New Roman"/>
          <w:b/>
          <w:bCs/>
          <w:color w:val="auto"/>
        </w:rPr>
        <w:t xml:space="preserve"> </w:t>
      </w:r>
    </w:p>
    <w:p w:rsidRPr="00B86C33" w:rsidR="00AA4F3B" w:rsidP="00AA4F3B" w:rsidRDefault="00AA4F3B" w14:paraId="53B30C0B" w14:textId="77777777">
      <w:pPr>
        <w:tabs>
          <w:tab w:val="left" w:pos="-720"/>
        </w:tabs>
        <w:suppressAutoHyphens/>
        <w:rPr>
          <w:b/>
          <w:sz w:val="28"/>
          <w:szCs w:val="20"/>
        </w:rPr>
      </w:pPr>
      <w:r w:rsidRPr="00B86C33">
        <w:rPr>
          <w:b/>
          <w:sz w:val="28"/>
          <w:szCs w:val="20"/>
        </w:rPr>
        <w:t>General Instructions</w:t>
      </w:r>
    </w:p>
    <w:p w:rsidRPr="00B86C33" w:rsidR="00AA4F3B" w:rsidP="00AA4F3B" w:rsidRDefault="00AA4F3B" w14:paraId="16E1E5CE" w14:textId="77777777">
      <w:pPr>
        <w:tabs>
          <w:tab w:val="left" w:pos="-720"/>
        </w:tabs>
        <w:suppressAutoHyphens/>
        <w:rPr>
          <w:b/>
          <w:sz w:val="28"/>
          <w:szCs w:val="20"/>
        </w:rPr>
      </w:pPr>
    </w:p>
    <w:p w:rsidRPr="00B86C33" w:rsidR="001A3FEE" w:rsidP="00AA4F3B" w:rsidRDefault="00AA4F3B" w14:paraId="7339C136" w14:textId="77777777">
      <w:pPr>
        <w:tabs>
          <w:tab w:val="left" w:pos="-720"/>
        </w:tabs>
        <w:suppressAutoHyphens/>
      </w:pPr>
      <w:r w:rsidRPr="00B86C33">
        <w:rPr>
          <w:b/>
          <w:sz w:val="28"/>
          <w:szCs w:val="20"/>
        </w:rPr>
        <w:t>A Supporting Statement, including the text of the notice to the public required by 5 CFR 1320.5(a)(</w:t>
      </w:r>
      <w:proofErr w:type="spellStart"/>
      <w:r w:rsidRPr="00B86C33">
        <w:rPr>
          <w:b/>
          <w:sz w:val="28"/>
          <w:szCs w:val="20"/>
        </w:rPr>
        <w:t>i</w:t>
      </w:r>
      <w:proofErr w:type="spellEnd"/>
      <w:r w:rsidRPr="00B86C33">
        <w:rPr>
          <w:b/>
          <w:sz w:val="28"/>
          <w:szCs w:val="20"/>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B86C33">
        <w:rPr>
          <w:b/>
          <w:sz w:val="28"/>
          <w:szCs w:val="20"/>
        </w:rPr>
        <w:t>below, and</w:t>
      </w:r>
      <w:proofErr w:type="gramEnd"/>
      <w:r w:rsidRPr="00B86C33">
        <w:rPr>
          <w:b/>
          <w:sz w:val="28"/>
          <w:szCs w:val="20"/>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B86C33" w:rsidR="001A3FEE" w:rsidP="001A3FEE" w:rsidRDefault="001A3FEE" w14:paraId="09B6295C" w14:textId="77777777">
      <w:pPr>
        <w:keepNext/>
        <w:tabs>
          <w:tab w:val="left" w:pos="-720"/>
        </w:tabs>
        <w:suppressAutoHyphens/>
        <w:outlineLvl w:val="0"/>
        <w:rPr>
          <w:b/>
          <w:sz w:val="28"/>
          <w:szCs w:val="20"/>
        </w:rPr>
      </w:pPr>
      <w:r w:rsidRPr="00B86C33">
        <w:rPr>
          <w:b/>
          <w:sz w:val="28"/>
          <w:szCs w:val="20"/>
        </w:rPr>
        <w:t>Specific Instructions</w:t>
      </w:r>
    </w:p>
    <w:p w:rsidRPr="00B86C33" w:rsidR="001A3FEE" w:rsidP="001A3FEE" w:rsidRDefault="001A3FEE" w14:paraId="2C5D61E6" w14:textId="77777777">
      <w:pPr>
        <w:tabs>
          <w:tab w:val="left" w:pos="-720"/>
        </w:tabs>
        <w:suppressAutoHyphens/>
      </w:pPr>
    </w:p>
    <w:p w:rsidRPr="00B86C33" w:rsidR="001A3FEE" w:rsidP="001A3FEE" w:rsidRDefault="001A3FEE" w14:paraId="1581863B" w14:textId="77777777">
      <w:pPr>
        <w:keepNext/>
        <w:tabs>
          <w:tab w:val="left" w:pos="-720"/>
        </w:tabs>
        <w:suppressAutoHyphens/>
        <w:outlineLvl w:val="0"/>
        <w:rPr>
          <w:b/>
          <w:szCs w:val="20"/>
        </w:rPr>
      </w:pPr>
      <w:r w:rsidRPr="00B86C33">
        <w:rPr>
          <w:b/>
          <w:sz w:val="28"/>
          <w:szCs w:val="20"/>
        </w:rPr>
        <w:t>A.  Justification</w:t>
      </w:r>
    </w:p>
    <w:p w:rsidRPr="00972025" w:rsidR="005C5609" w:rsidP="00A6042E" w:rsidRDefault="005C5609" w14:paraId="25073876"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20092F" w:rsidP="00A6042E" w:rsidRDefault="0020092F" w14:paraId="210DD518" w14:textId="77777777">
      <w:pPr>
        <w:rPr>
          <w:b/>
        </w:rPr>
      </w:pPr>
      <w:r w:rsidRPr="00972025">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972025" w:rsidR="0020092F" w:rsidP="00A6042E" w:rsidRDefault="0020092F" w14:paraId="2AB4C579" w14:textId="77777777">
      <w:pPr>
        <w:pStyle w:val="Default"/>
        <w:widowControl/>
        <w:rPr>
          <w:rFonts w:ascii="Times New Roman" w:hAnsi="Times New Roman" w:cs="Times New Roman"/>
          <w:color w:val="auto"/>
        </w:rPr>
      </w:pPr>
    </w:p>
    <w:p w:rsidRPr="00972025" w:rsidR="00F168B5" w:rsidP="00A6042E" w:rsidRDefault="00F168B5" w14:paraId="74087EEE" w14:textId="5041FD81">
      <w:pPr>
        <w:pStyle w:val="Default"/>
        <w:widowControl/>
        <w:rPr>
          <w:rFonts w:ascii="Times New Roman" w:hAnsi="Times New Roman" w:cs="Times New Roman"/>
          <w:color w:val="auto"/>
        </w:rPr>
      </w:pPr>
      <w:r w:rsidRPr="00972025">
        <w:rPr>
          <w:rFonts w:ascii="Times New Roman" w:hAnsi="Times New Roman" w:cs="Times New Roman"/>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972025" w:rsidR="00844648">
        <w:rPr>
          <w:rFonts w:ascii="Times New Roman" w:hAnsi="Times New Roman" w:cs="Times New Roman"/>
          <w:color w:val="auto"/>
        </w:rPr>
        <w:t xml:space="preserve">section </w:t>
      </w:r>
      <w:r w:rsidRPr="00972025" w:rsidR="00844648">
        <w:rPr>
          <w:rFonts w:ascii="Times New Roman" w:hAnsi="Times New Roman" w:cs="Times New Roman"/>
          <w:color w:val="auto"/>
        </w:rPr>
        <w:lastRenderedPageBreak/>
        <w:t>103(h) requires that every operator of a coal or other mine establish and maintain records, make reports, and provide required information to the Secretary of Labor (Secretary).  S</w:t>
      </w:r>
      <w:r w:rsidRPr="00972025">
        <w:rPr>
          <w:rFonts w:ascii="Times New Roman" w:hAnsi="Times New Roman" w:cs="Times New Roman"/>
          <w:color w:val="auto"/>
        </w:rPr>
        <w:t>ection 101(a) of the Mine Act, 30 U.S.C. 811</w:t>
      </w:r>
      <w:r w:rsidR="00E53962">
        <w:rPr>
          <w:rFonts w:ascii="Times New Roman" w:hAnsi="Times New Roman" w:cs="Times New Roman"/>
          <w:color w:val="auto"/>
        </w:rPr>
        <w:t>(a)</w:t>
      </w:r>
      <w:r w:rsidRPr="00972025">
        <w:rPr>
          <w:rFonts w:ascii="Times New Roman" w:hAnsi="Times New Roman" w:cs="Times New Roman"/>
          <w:color w:val="auto"/>
        </w:rPr>
        <w:t>, authorizes the Secretary to develop, promulgate, and revise as may be appropriate, improved mandatory health or safety standards for the protection of life and prevention of injuries in coal or other mines.</w:t>
      </w:r>
    </w:p>
    <w:p w:rsidRPr="00972025" w:rsidR="00F168B5" w:rsidP="00A6042E" w:rsidRDefault="00F168B5" w14:paraId="04FA77B6" w14:textId="77777777">
      <w:pPr>
        <w:pStyle w:val="Default"/>
        <w:widowControl/>
        <w:rPr>
          <w:rFonts w:ascii="Times New Roman" w:hAnsi="Times New Roman" w:cs="Times New Roman"/>
          <w:color w:val="auto"/>
        </w:rPr>
      </w:pPr>
    </w:p>
    <w:p w:rsidRPr="00972025" w:rsidR="00591B10" w:rsidP="00A6042E" w:rsidRDefault="005C5609" w14:paraId="17CF2F5A" w14:textId="77777777">
      <w:pPr>
        <w:pStyle w:val="Default"/>
        <w:widowControl/>
        <w:rPr>
          <w:rFonts w:ascii="Times New Roman" w:hAnsi="Times New Roman" w:cs="Times New Roman"/>
          <w:sz w:val="22"/>
          <w:szCs w:val="22"/>
        </w:rPr>
      </w:pPr>
      <w:r w:rsidRPr="00972025">
        <w:rPr>
          <w:rFonts w:ascii="Times New Roman" w:hAnsi="Times New Roman" w:cs="Times New Roman"/>
          <w:color w:val="auto"/>
        </w:rPr>
        <w:t>Section 103</w:t>
      </w:r>
      <w:r w:rsidRPr="00972025" w:rsidR="004D5BB9">
        <w:rPr>
          <w:rFonts w:ascii="Times New Roman" w:hAnsi="Times New Roman" w:cs="Times New Roman"/>
          <w:color w:val="auto"/>
        </w:rPr>
        <w:t>(a)</w:t>
      </w:r>
      <w:r w:rsidRPr="00972025">
        <w:rPr>
          <w:rFonts w:ascii="Times New Roman" w:hAnsi="Times New Roman" w:cs="Times New Roman"/>
          <w:color w:val="auto"/>
        </w:rPr>
        <w:t xml:space="preserve"> of </w:t>
      </w:r>
      <w:r w:rsidRPr="00972025" w:rsidR="000F2766">
        <w:rPr>
          <w:rFonts w:ascii="Times New Roman" w:hAnsi="Times New Roman" w:cs="Times New Roman"/>
          <w:color w:val="auto"/>
        </w:rPr>
        <w:t>t</w:t>
      </w:r>
      <w:r w:rsidRPr="00972025">
        <w:rPr>
          <w:rFonts w:ascii="Times New Roman" w:hAnsi="Times New Roman" w:cs="Times New Roman"/>
          <w:color w:val="auto"/>
        </w:rPr>
        <w:t xml:space="preserve">he Mine Act requires that frequent inspections and investigations in coal or other mines shall be made each year for the purposes of, among other things, gathering information with respect to mandatory health or safety standards and determining whether an imminent danger exists. </w:t>
      </w:r>
      <w:r w:rsidRPr="00972025" w:rsidR="000F2766">
        <w:rPr>
          <w:rFonts w:ascii="Times New Roman" w:hAnsi="Times New Roman" w:cs="Times New Roman"/>
          <w:color w:val="auto"/>
        </w:rPr>
        <w:t xml:space="preserve"> </w:t>
      </w:r>
    </w:p>
    <w:p w:rsidRPr="00972025" w:rsidR="005C5609" w:rsidP="00A6042E" w:rsidRDefault="005C5609" w14:paraId="025845F3"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5C5609" w:rsidP="00A6042E" w:rsidRDefault="005C5609" w14:paraId="0F801BE0" w14:textId="4CB6BAA0">
      <w:pPr>
        <w:pStyle w:val="Default"/>
        <w:widowControl/>
        <w:rPr>
          <w:rFonts w:ascii="Times New Roman" w:hAnsi="Times New Roman" w:cs="Times New Roman"/>
          <w:color w:val="auto"/>
        </w:rPr>
      </w:pPr>
      <w:r w:rsidRPr="00972025">
        <w:rPr>
          <w:rFonts w:ascii="Times New Roman" w:hAnsi="Times New Roman" w:cs="Times New Roman"/>
          <w:color w:val="auto"/>
        </w:rPr>
        <w:t xml:space="preserve">Each operator of a surface coal mine is required under 30 CFR 77.1000 to establish and follow a ground control plan </w:t>
      </w:r>
      <w:r w:rsidRPr="00972025" w:rsidR="00844648">
        <w:rPr>
          <w:rFonts w:ascii="Times New Roman" w:hAnsi="Times New Roman" w:cs="Times New Roman"/>
          <w:color w:val="auto"/>
        </w:rPr>
        <w:t>for highwalls, pits</w:t>
      </w:r>
      <w:r w:rsidRPr="00972025" w:rsidR="00A00253">
        <w:rPr>
          <w:rFonts w:ascii="Times New Roman" w:hAnsi="Times New Roman" w:cs="Times New Roman"/>
          <w:color w:val="auto"/>
        </w:rPr>
        <w:t>,</w:t>
      </w:r>
      <w:r w:rsidRPr="00972025" w:rsidR="00844648">
        <w:rPr>
          <w:rFonts w:ascii="Times New Roman" w:hAnsi="Times New Roman" w:cs="Times New Roman"/>
          <w:color w:val="auto"/>
        </w:rPr>
        <w:t xml:space="preserve"> and spoil banks </w:t>
      </w:r>
      <w:r w:rsidRPr="00972025">
        <w:rPr>
          <w:rFonts w:ascii="Times New Roman" w:hAnsi="Times New Roman" w:cs="Times New Roman"/>
          <w:color w:val="auto"/>
        </w:rPr>
        <w:t xml:space="preserve">that is consistent with prudent engineering design and which will ensure safe working conditions.  </w:t>
      </w:r>
      <w:r w:rsidRPr="00972025" w:rsidR="00432A47">
        <w:rPr>
          <w:rFonts w:ascii="Times New Roman" w:hAnsi="Times New Roman" w:cs="Times New Roman"/>
          <w:color w:val="auto"/>
        </w:rPr>
        <w:t xml:space="preserve">The mine operator is required by </w:t>
      </w:r>
      <w:r w:rsidRPr="00972025" w:rsidR="00C17EC6">
        <w:rPr>
          <w:rFonts w:ascii="Times New Roman" w:hAnsi="Times New Roman" w:cs="Times New Roman"/>
          <w:color w:val="auto"/>
        </w:rPr>
        <w:t xml:space="preserve">section </w:t>
      </w:r>
      <w:r w:rsidRPr="00972025" w:rsidR="00432A47">
        <w:rPr>
          <w:rFonts w:ascii="Times New Roman" w:hAnsi="Times New Roman" w:cs="Times New Roman"/>
          <w:color w:val="auto"/>
        </w:rPr>
        <w:t xml:space="preserve">77.1000-1 to file the ground control plan with the appropriate District Manager.  </w:t>
      </w:r>
      <w:r w:rsidRPr="00972025">
        <w:rPr>
          <w:rFonts w:ascii="Times New Roman" w:hAnsi="Times New Roman" w:cs="Times New Roman"/>
          <w:color w:val="auto"/>
        </w:rPr>
        <w:t xml:space="preserve">The mining methods employed by the operator are selected to ensure highwall, pit, and spoil bank stability.  In the event of a highwall failure or material dislodgment, there may be very little time to escape possible injury; therefore, preventive measures must be taken.  </w:t>
      </w:r>
      <w:r w:rsidRPr="00972025" w:rsidR="00432A47">
        <w:rPr>
          <w:rFonts w:ascii="Times New Roman" w:hAnsi="Times New Roman" w:cs="Times New Roman"/>
          <w:color w:val="auto"/>
        </w:rPr>
        <w:t>Each</w:t>
      </w:r>
      <w:r w:rsidRPr="00972025">
        <w:rPr>
          <w:rFonts w:ascii="Times New Roman" w:hAnsi="Times New Roman" w:cs="Times New Roman"/>
          <w:color w:val="auto"/>
        </w:rPr>
        <w:t xml:space="preserve"> plan</w:t>
      </w:r>
      <w:r w:rsidRPr="00972025" w:rsidR="00432A47">
        <w:rPr>
          <w:rFonts w:ascii="Times New Roman" w:hAnsi="Times New Roman" w:cs="Times New Roman"/>
          <w:color w:val="auto"/>
        </w:rPr>
        <w:t xml:space="preserve"> is</w:t>
      </w:r>
      <w:r w:rsidRPr="00972025">
        <w:rPr>
          <w:rFonts w:ascii="Times New Roman" w:hAnsi="Times New Roman" w:cs="Times New Roman"/>
          <w:color w:val="auto"/>
        </w:rPr>
        <w:t xml:space="preserve"> based on the type of strata expected to be encountered, the height and angle of highwalls and spoil banks, and the equipment to be used at the mine.  The plan is used to show how the mine operator will maintain safe </w:t>
      </w:r>
      <w:r w:rsidRPr="00972025" w:rsidR="00A279BC">
        <w:rPr>
          <w:rFonts w:ascii="Times New Roman" w:hAnsi="Times New Roman" w:cs="Times New Roman"/>
          <w:color w:val="auto"/>
        </w:rPr>
        <w:t xml:space="preserve">working </w:t>
      </w:r>
      <w:r w:rsidRPr="00972025">
        <w:rPr>
          <w:rFonts w:ascii="Times New Roman" w:hAnsi="Times New Roman" w:cs="Times New Roman"/>
          <w:color w:val="auto"/>
        </w:rPr>
        <w:t>conditions around the highwalls, pits, and spoil banks</w:t>
      </w:r>
      <w:r w:rsidRPr="00972025" w:rsidR="00D1624F">
        <w:rPr>
          <w:rFonts w:ascii="Times New Roman" w:hAnsi="Times New Roman" w:cs="Times New Roman"/>
          <w:color w:val="auto"/>
        </w:rPr>
        <w:t>.  Each plan</w:t>
      </w:r>
      <w:r w:rsidRPr="00972025">
        <w:rPr>
          <w:rFonts w:ascii="Times New Roman" w:hAnsi="Times New Roman" w:cs="Times New Roman"/>
          <w:color w:val="auto"/>
        </w:rPr>
        <w:t xml:space="preserve"> is reviewed by </w:t>
      </w:r>
      <w:r w:rsidRPr="00972025" w:rsidR="00844648">
        <w:rPr>
          <w:rFonts w:ascii="Times New Roman" w:hAnsi="Times New Roman" w:cs="Times New Roman"/>
          <w:color w:val="auto"/>
        </w:rPr>
        <w:t>MSHA</w:t>
      </w:r>
      <w:r w:rsidRPr="00972025">
        <w:rPr>
          <w:rFonts w:ascii="Times New Roman" w:hAnsi="Times New Roman" w:cs="Times New Roman"/>
          <w:color w:val="auto"/>
        </w:rPr>
        <w:t xml:space="preserve"> to ensure that highwalls, pits, and spoil banks are maintained in a safe condition through the </w:t>
      </w:r>
      <w:r w:rsidR="001E061A">
        <w:rPr>
          <w:rFonts w:ascii="Times New Roman" w:hAnsi="Times New Roman" w:cs="Times New Roman"/>
          <w:color w:val="auto"/>
        </w:rPr>
        <w:t>implementation</w:t>
      </w:r>
      <w:r w:rsidRPr="00972025" w:rsidR="001E061A">
        <w:rPr>
          <w:rFonts w:ascii="Times New Roman" w:hAnsi="Times New Roman" w:cs="Times New Roman"/>
          <w:color w:val="auto"/>
        </w:rPr>
        <w:t xml:space="preserve"> </w:t>
      </w:r>
      <w:r w:rsidRPr="00972025">
        <w:rPr>
          <w:rFonts w:ascii="Times New Roman" w:hAnsi="Times New Roman" w:cs="Times New Roman"/>
          <w:color w:val="auto"/>
        </w:rPr>
        <w:t xml:space="preserve">of sound engineering design. </w:t>
      </w:r>
    </w:p>
    <w:p w:rsidRPr="00972025" w:rsidR="005C5609" w:rsidP="00A6042E" w:rsidRDefault="005C5609" w14:paraId="40BA1461"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20092F" w:rsidP="00A6042E" w:rsidRDefault="0020092F" w14:paraId="3DAC99F7" w14:textId="77777777">
      <w:pPr>
        <w:rPr>
          <w:b/>
        </w:rPr>
      </w:pPr>
      <w:r w:rsidRPr="00972025">
        <w:rPr>
          <w:b/>
        </w:rPr>
        <w:t xml:space="preserve">2. Indicate how, by whom, and for what purpose the information is to be used. Except for a new collection, indicate the actual use the agency has made of the information received from the current collection. </w:t>
      </w:r>
    </w:p>
    <w:p w:rsidRPr="00972025" w:rsidR="005C5609" w:rsidP="00A6042E" w:rsidRDefault="005C5609" w14:paraId="219B7292" w14:textId="77777777">
      <w:pPr>
        <w:pStyle w:val="Default"/>
        <w:widowControl/>
        <w:rPr>
          <w:rFonts w:ascii="Times New Roman" w:hAnsi="Times New Roman" w:cs="Times New Roman"/>
          <w:color w:val="auto"/>
        </w:rPr>
      </w:pPr>
    </w:p>
    <w:p w:rsidRPr="00972025" w:rsidR="005C5609" w:rsidP="00A6042E" w:rsidRDefault="005C5609" w14:paraId="63871CB6" w14:textId="19227268">
      <w:pPr>
        <w:pStyle w:val="Default"/>
        <w:widowControl/>
        <w:rPr>
          <w:rFonts w:ascii="Times New Roman" w:hAnsi="Times New Roman" w:cs="Times New Roman"/>
          <w:color w:val="auto"/>
        </w:rPr>
      </w:pPr>
      <w:r w:rsidRPr="00972025">
        <w:rPr>
          <w:rFonts w:ascii="Times New Roman" w:hAnsi="Times New Roman" w:cs="Times New Roman"/>
          <w:color w:val="auto"/>
        </w:rPr>
        <w:t xml:space="preserve">The information contained in ground control plans is </w:t>
      </w:r>
      <w:r w:rsidRPr="00972025" w:rsidR="00591B10">
        <w:rPr>
          <w:rFonts w:ascii="Times New Roman" w:hAnsi="Times New Roman" w:cs="Times New Roman"/>
          <w:color w:val="auto"/>
        </w:rPr>
        <w:t xml:space="preserve">used by MSHA to ensure that </w:t>
      </w:r>
      <w:r w:rsidRPr="00972025">
        <w:rPr>
          <w:rFonts w:ascii="Times New Roman" w:hAnsi="Times New Roman" w:cs="Times New Roman"/>
          <w:color w:val="auto"/>
        </w:rPr>
        <w:t>mine operator</w:t>
      </w:r>
      <w:r w:rsidRPr="00972025" w:rsidR="00591B10">
        <w:rPr>
          <w:rFonts w:ascii="Times New Roman" w:hAnsi="Times New Roman" w:cs="Times New Roman"/>
          <w:color w:val="auto"/>
        </w:rPr>
        <w:t>s are</w:t>
      </w:r>
      <w:r w:rsidRPr="00972025">
        <w:rPr>
          <w:rFonts w:ascii="Times New Roman" w:hAnsi="Times New Roman" w:cs="Times New Roman"/>
          <w:color w:val="auto"/>
        </w:rPr>
        <w:t xml:space="preserve"> </w:t>
      </w:r>
      <w:r w:rsidR="001E061A">
        <w:rPr>
          <w:rFonts w:ascii="Times New Roman" w:hAnsi="Times New Roman" w:cs="Times New Roman"/>
          <w:color w:val="auto"/>
        </w:rPr>
        <w:t xml:space="preserve">properly </w:t>
      </w:r>
      <w:r w:rsidRPr="00972025">
        <w:rPr>
          <w:rFonts w:ascii="Times New Roman" w:hAnsi="Times New Roman" w:cs="Times New Roman"/>
          <w:color w:val="auto"/>
        </w:rPr>
        <w:t xml:space="preserve">maintaining the highwalls, pits, and spoil banks </w:t>
      </w:r>
      <w:r w:rsidRPr="00972025" w:rsidR="00591B10">
        <w:rPr>
          <w:rFonts w:ascii="Times New Roman" w:hAnsi="Times New Roman" w:cs="Times New Roman"/>
          <w:color w:val="auto"/>
        </w:rPr>
        <w:t xml:space="preserve">of surface coal mines </w:t>
      </w:r>
      <w:r w:rsidRPr="00972025">
        <w:rPr>
          <w:rFonts w:ascii="Times New Roman" w:hAnsi="Times New Roman" w:cs="Times New Roman"/>
          <w:color w:val="auto"/>
        </w:rPr>
        <w:t xml:space="preserve">so that a safe environment is provided for mine employees, management, and others who visit the mine property. </w:t>
      </w:r>
    </w:p>
    <w:p w:rsidRPr="00972025" w:rsidR="005C5609" w:rsidP="00A6042E" w:rsidRDefault="005C5609" w14:paraId="51654B82"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20092F" w:rsidP="00A6042E" w:rsidRDefault="0020092F" w14:paraId="360E8874" w14:textId="77777777">
      <w:pPr>
        <w:pStyle w:val="Default"/>
        <w:widowControl/>
        <w:rPr>
          <w:rFonts w:ascii="Times New Roman" w:hAnsi="Times New Roman" w:cs="Times New Roman"/>
          <w:b/>
        </w:rPr>
      </w:pPr>
      <w:r w:rsidRPr="00972025">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72025" w:rsidR="005C5609" w:rsidP="00A6042E" w:rsidRDefault="005C5609" w14:paraId="669595E4" w14:textId="77777777">
      <w:pPr>
        <w:pStyle w:val="Default"/>
        <w:widowControl/>
        <w:rPr>
          <w:rFonts w:ascii="Times New Roman" w:hAnsi="Times New Roman" w:cs="Times New Roman"/>
          <w:color w:val="auto"/>
        </w:rPr>
      </w:pPr>
      <w:r w:rsidRPr="00972025">
        <w:rPr>
          <w:rFonts w:ascii="Times New Roman" w:hAnsi="Times New Roman" w:cs="Times New Roman"/>
          <w:b/>
          <w:bCs/>
          <w:color w:val="auto"/>
        </w:rPr>
        <w:t xml:space="preserve"> </w:t>
      </w:r>
    </w:p>
    <w:p w:rsidRPr="00972025" w:rsidR="005C5609" w:rsidP="00A6042E" w:rsidRDefault="005C5609" w14:paraId="13A43E2C" w14:textId="7D1FB393">
      <w:pPr>
        <w:pStyle w:val="Default"/>
        <w:widowControl/>
        <w:rPr>
          <w:rFonts w:ascii="Times New Roman" w:hAnsi="Times New Roman" w:cs="Times New Roman"/>
          <w:color w:val="auto"/>
        </w:rPr>
      </w:pPr>
      <w:r w:rsidRPr="00972025">
        <w:rPr>
          <w:rFonts w:ascii="Times New Roman" w:hAnsi="Times New Roman" w:cs="Times New Roman"/>
          <w:color w:val="auto"/>
        </w:rPr>
        <w:t>No improved information technology has been identified that would reduce the burden</w:t>
      </w:r>
      <w:r w:rsidRPr="00972025" w:rsidR="00844648">
        <w:rPr>
          <w:rFonts w:ascii="Times New Roman" w:hAnsi="Times New Roman" w:cs="Times New Roman"/>
          <w:color w:val="auto"/>
        </w:rPr>
        <w:t>.</w:t>
      </w:r>
      <w:r w:rsidRPr="00972025">
        <w:rPr>
          <w:rFonts w:ascii="Times New Roman" w:hAnsi="Times New Roman" w:cs="Times New Roman"/>
          <w:color w:val="auto"/>
        </w:rPr>
        <w:t xml:space="preserve"> </w:t>
      </w:r>
      <w:r w:rsidRPr="00972025" w:rsidR="00844648">
        <w:rPr>
          <w:rFonts w:ascii="Times New Roman" w:hAnsi="Times New Roman" w:cs="Times New Roman"/>
          <w:color w:val="auto"/>
        </w:rPr>
        <w:t>To</w:t>
      </w:r>
      <w:r w:rsidRPr="00972025">
        <w:rPr>
          <w:rFonts w:ascii="Times New Roman" w:hAnsi="Times New Roman" w:cs="Times New Roman"/>
          <w:color w:val="auto"/>
        </w:rPr>
        <w:t xml:space="preserve"> comply with the Government Paperwork Elimination Act</w:t>
      </w:r>
      <w:r w:rsidRPr="00972025" w:rsidR="00844648">
        <w:rPr>
          <w:rFonts w:ascii="Times New Roman" w:hAnsi="Times New Roman" w:cs="Times New Roman"/>
          <w:color w:val="auto"/>
        </w:rPr>
        <w:t>,</w:t>
      </w:r>
      <w:r w:rsidRPr="00972025">
        <w:rPr>
          <w:rFonts w:ascii="Times New Roman" w:hAnsi="Times New Roman" w:cs="Times New Roman"/>
          <w:color w:val="auto"/>
        </w:rPr>
        <w:t xml:space="preserve"> mine operators may develop ground control plans using </w:t>
      </w:r>
      <w:r w:rsidRPr="00972025" w:rsidR="00844648">
        <w:rPr>
          <w:rFonts w:ascii="Times New Roman" w:hAnsi="Times New Roman" w:cs="Times New Roman"/>
          <w:color w:val="auto"/>
        </w:rPr>
        <w:t>computer-aided design (CAD)</w:t>
      </w:r>
      <w:r w:rsidRPr="00972025">
        <w:rPr>
          <w:rFonts w:ascii="Times New Roman" w:hAnsi="Times New Roman" w:cs="Times New Roman"/>
          <w:color w:val="auto"/>
        </w:rPr>
        <w:t xml:space="preserve"> drawings and retain the records using whatever method they choose, </w:t>
      </w:r>
      <w:r w:rsidRPr="00972025" w:rsidR="00844648">
        <w:rPr>
          <w:rFonts w:ascii="Times New Roman" w:hAnsi="Times New Roman" w:cs="Times New Roman"/>
          <w:color w:val="auto"/>
        </w:rPr>
        <w:t xml:space="preserve">including </w:t>
      </w:r>
      <w:r w:rsidRPr="00972025">
        <w:rPr>
          <w:rFonts w:ascii="Times New Roman" w:hAnsi="Times New Roman" w:cs="Times New Roman"/>
          <w:color w:val="auto"/>
        </w:rPr>
        <w:t xml:space="preserve">utilizing computer technology.  However, the plans are </w:t>
      </w:r>
      <w:r w:rsidRPr="00972025" w:rsidR="00844648">
        <w:rPr>
          <w:rFonts w:ascii="Times New Roman" w:hAnsi="Times New Roman" w:cs="Times New Roman"/>
          <w:color w:val="auto"/>
        </w:rPr>
        <w:t xml:space="preserve">usually </w:t>
      </w:r>
      <w:r w:rsidR="00874D29">
        <w:rPr>
          <w:rFonts w:ascii="Times New Roman" w:hAnsi="Times New Roman" w:cs="Times New Roman"/>
          <w:color w:val="auto"/>
        </w:rPr>
        <w:t xml:space="preserve">sent by postal </w:t>
      </w:r>
      <w:proofErr w:type="gramStart"/>
      <w:r w:rsidR="00874D29">
        <w:rPr>
          <w:rFonts w:ascii="Times New Roman" w:hAnsi="Times New Roman" w:cs="Times New Roman"/>
          <w:color w:val="auto"/>
        </w:rPr>
        <w:t xml:space="preserve">mail, </w:t>
      </w:r>
      <w:r w:rsidRPr="00972025">
        <w:rPr>
          <w:rFonts w:ascii="Times New Roman" w:hAnsi="Times New Roman" w:cs="Times New Roman"/>
          <w:color w:val="auto"/>
        </w:rPr>
        <w:t>because</w:t>
      </w:r>
      <w:proofErr w:type="gramEnd"/>
      <w:r w:rsidRPr="00972025">
        <w:rPr>
          <w:rFonts w:ascii="Times New Roman" w:hAnsi="Times New Roman" w:cs="Times New Roman"/>
          <w:color w:val="auto"/>
        </w:rPr>
        <w:t xml:space="preserve"> </w:t>
      </w:r>
      <w:r w:rsidRPr="00972025" w:rsidR="00844648">
        <w:rPr>
          <w:rFonts w:ascii="Times New Roman" w:hAnsi="Times New Roman" w:cs="Times New Roman"/>
          <w:color w:val="auto"/>
        </w:rPr>
        <w:t>the</w:t>
      </w:r>
      <w:r w:rsidR="001E1BA5">
        <w:rPr>
          <w:rFonts w:ascii="Times New Roman" w:hAnsi="Times New Roman" w:cs="Times New Roman"/>
          <w:color w:val="auto"/>
        </w:rPr>
        <w:t xml:space="preserve">y </w:t>
      </w:r>
      <w:r w:rsidRPr="00972025" w:rsidR="00844648">
        <w:rPr>
          <w:rFonts w:ascii="Times New Roman" w:hAnsi="Times New Roman" w:cs="Times New Roman"/>
          <w:color w:val="auto"/>
        </w:rPr>
        <w:t xml:space="preserve">are </w:t>
      </w:r>
      <w:r w:rsidRPr="00972025">
        <w:rPr>
          <w:rFonts w:ascii="Times New Roman" w:hAnsi="Times New Roman" w:cs="Times New Roman"/>
          <w:color w:val="auto"/>
        </w:rPr>
        <w:t>not conducive to electronic transmission</w:t>
      </w:r>
      <w:r w:rsidR="002A2F41">
        <w:rPr>
          <w:rFonts w:ascii="Times New Roman" w:hAnsi="Times New Roman" w:cs="Times New Roman"/>
          <w:color w:val="auto"/>
        </w:rPr>
        <w:t xml:space="preserve"> while the </w:t>
      </w:r>
      <w:r w:rsidR="00745833">
        <w:rPr>
          <w:rFonts w:ascii="Times New Roman" w:hAnsi="Times New Roman" w:cs="Times New Roman"/>
          <w:color w:val="auto"/>
        </w:rPr>
        <w:t xml:space="preserve">initial </w:t>
      </w:r>
      <w:r w:rsidR="00F46C8A">
        <w:rPr>
          <w:rFonts w:ascii="Times New Roman" w:hAnsi="Times New Roman" w:cs="Times New Roman"/>
          <w:color w:val="auto"/>
        </w:rPr>
        <w:t>non-</w:t>
      </w:r>
      <w:r w:rsidR="002A2F41">
        <w:rPr>
          <w:rFonts w:ascii="Times New Roman" w:hAnsi="Times New Roman" w:cs="Times New Roman"/>
          <w:color w:val="auto"/>
        </w:rPr>
        <w:t xml:space="preserve">required </w:t>
      </w:r>
      <w:r w:rsidR="00874D29">
        <w:rPr>
          <w:rFonts w:ascii="Times New Roman" w:hAnsi="Times New Roman" w:cs="Times New Roman"/>
          <w:color w:val="auto"/>
        </w:rPr>
        <w:t>templates and guidelines</w:t>
      </w:r>
      <w:r w:rsidR="002A2F41">
        <w:rPr>
          <w:rFonts w:ascii="Times New Roman" w:hAnsi="Times New Roman" w:cs="Times New Roman"/>
          <w:color w:val="auto"/>
        </w:rPr>
        <w:t xml:space="preserve"> for use can be emailed.</w:t>
      </w:r>
      <w:r w:rsidRPr="00972025">
        <w:rPr>
          <w:rFonts w:ascii="Times New Roman" w:hAnsi="Times New Roman" w:cs="Times New Roman"/>
          <w:color w:val="auto"/>
        </w:rPr>
        <w:t xml:space="preserve"> </w:t>
      </w:r>
      <w:r w:rsidR="00745833">
        <w:rPr>
          <w:rFonts w:ascii="Times New Roman" w:hAnsi="Times New Roman" w:cs="Times New Roman"/>
          <w:color w:val="auto"/>
        </w:rPr>
        <w:t xml:space="preserve"> </w:t>
      </w:r>
    </w:p>
    <w:p w:rsidRPr="00972025" w:rsidR="005C5609" w:rsidP="00A6042E" w:rsidRDefault="005C5609" w14:paraId="1EF1D881" w14:textId="77777777">
      <w:pPr>
        <w:pStyle w:val="Default"/>
        <w:widowControl/>
        <w:rPr>
          <w:rFonts w:ascii="Times New Roman" w:hAnsi="Times New Roman" w:cs="Times New Roman"/>
          <w:color w:val="auto"/>
        </w:rPr>
      </w:pPr>
      <w:r w:rsidRPr="00972025">
        <w:rPr>
          <w:rFonts w:ascii="Times New Roman" w:hAnsi="Times New Roman" w:cs="Times New Roman"/>
          <w:b/>
          <w:bCs/>
          <w:color w:val="auto"/>
        </w:rPr>
        <w:lastRenderedPageBreak/>
        <w:t xml:space="preserve"> </w:t>
      </w:r>
    </w:p>
    <w:p w:rsidRPr="00972025" w:rsidR="0020092F" w:rsidP="00A6042E" w:rsidRDefault="0020092F" w14:paraId="3F0BA162" w14:textId="77777777">
      <w:pPr>
        <w:rPr>
          <w:b/>
        </w:rPr>
      </w:pPr>
      <w:r w:rsidRPr="00972025">
        <w:rPr>
          <w:b/>
        </w:rPr>
        <w:t>4. Describe efforts to identify duplication. Show specifically why any similar information already available cannot be used or modified for use for the purposes described in Item 2 above.</w:t>
      </w:r>
    </w:p>
    <w:p w:rsidRPr="00972025" w:rsidR="005C5609" w:rsidP="00A6042E" w:rsidRDefault="005C5609" w14:paraId="3C3B023F"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5C5609" w:rsidP="00A6042E" w:rsidRDefault="005C5609" w14:paraId="3ED1F5F7" w14:textId="7180CDE7">
      <w:pPr>
        <w:pStyle w:val="Default"/>
        <w:widowControl/>
        <w:rPr>
          <w:rFonts w:ascii="Times New Roman" w:hAnsi="Times New Roman" w:cs="Times New Roman"/>
          <w:color w:val="auto"/>
        </w:rPr>
      </w:pPr>
      <w:r w:rsidRPr="00972025">
        <w:rPr>
          <w:rFonts w:ascii="Times New Roman" w:hAnsi="Times New Roman" w:cs="Times New Roman"/>
          <w:color w:val="auto"/>
        </w:rPr>
        <w:t xml:space="preserve">MSHA knows of no other federal, state, or local agency that has a similar paperwork requirement relating to ground control that would duplicate this requirement.  All other agencies that inspect coal mines accept and use the ground control plans required by MSHA. </w:t>
      </w:r>
    </w:p>
    <w:p w:rsidRPr="00972025" w:rsidR="008B4B5F" w:rsidP="00A6042E" w:rsidRDefault="005C5609" w14:paraId="17D5DEB9"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20092F" w:rsidP="00A6042E" w:rsidRDefault="0020092F" w14:paraId="02CE1875" w14:textId="77777777">
      <w:pPr>
        <w:rPr>
          <w:b/>
        </w:rPr>
      </w:pPr>
      <w:r w:rsidRPr="00972025">
        <w:rPr>
          <w:b/>
        </w:rPr>
        <w:t>5. If the collection of information impacts small bus</w:t>
      </w:r>
      <w:r w:rsidRPr="00972025" w:rsidR="00636943">
        <w:rPr>
          <w:b/>
        </w:rPr>
        <w:t xml:space="preserve">inesses or other small entities, </w:t>
      </w:r>
      <w:r w:rsidRPr="00972025">
        <w:rPr>
          <w:b/>
        </w:rPr>
        <w:t>describe any methods used to minimize burden.</w:t>
      </w:r>
    </w:p>
    <w:p w:rsidRPr="00972025" w:rsidR="005C5609" w:rsidP="00A6042E" w:rsidRDefault="005C5609" w14:paraId="378CEB4A"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642545" w:rsidR="005C5609" w:rsidP="00A6042E" w:rsidRDefault="005C5609" w14:paraId="342B44DC" w14:textId="75933315">
      <w:pPr>
        <w:pStyle w:val="Default"/>
        <w:widowControl/>
        <w:rPr>
          <w:rFonts w:ascii="Times New Roman" w:hAnsi="Times New Roman" w:cs="Times New Roman"/>
          <w:color w:val="auto"/>
        </w:rPr>
      </w:pPr>
      <w:r w:rsidRPr="00972025">
        <w:rPr>
          <w:rFonts w:ascii="Times New Roman" w:hAnsi="Times New Roman" w:cs="Times New Roman"/>
          <w:color w:val="auto"/>
        </w:rPr>
        <w:t xml:space="preserve">This information does not have a significant impact on small businesses or other small entities.  However, MSHA has made available on our </w:t>
      </w:r>
      <w:proofErr w:type="gramStart"/>
      <w:r w:rsidRPr="00972025">
        <w:rPr>
          <w:rFonts w:ascii="Times New Roman" w:hAnsi="Times New Roman" w:cs="Times New Roman"/>
          <w:color w:val="auto"/>
        </w:rPr>
        <w:t>web-site</w:t>
      </w:r>
      <w:proofErr w:type="gramEnd"/>
      <w:r w:rsidRPr="00972025" w:rsidR="00D1624F">
        <w:rPr>
          <w:rFonts w:ascii="Times New Roman" w:hAnsi="Times New Roman" w:cs="Times New Roman"/>
          <w:color w:val="auto"/>
        </w:rPr>
        <w:t xml:space="preserve"> at </w:t>
      </w:r>
      <w:hyperlink w:history="1" r:id="rId11">
        <w:r w:rsidRPr="00642545" w:rsidR="00F168B5">
          <w:rPr>
            <w:rStyle w:val="Hyperlink"/>
            <w:rFonts w:ascii="Times New Roman" w:hAnsi="Times New Roman" w:cs="Times New Roman"/>
          </w:rPr>
          <w:t>http://www.msha.gov/</w:t>
        </w:r>
      </w:hyperlink>
      <w:r w:rsidRPr="00642545" w:rsidR="00F168B5">
        <w:rPr>
          <w:rFonts w:ascii="Times New Roman" w:hAnsi="Times New Roman" w:cs="Times New Roman"/>
          <w:color w:val="auto"/>
        </w:rPr>
        <w:t xml:space="preserve"> </w:t>
      </w:r>
      <w:r w:rsidRPr="00642545" w:rsidR="00A17C12">
        <w:rPr>
          <w:rFonts w:ascii="Times New Roman" w:hAnsi="Times New Roman" w:cs="Times New Roman"/>
          <w:color w:val="auto"/>
        </w:rPr>
        <w:t xml:space="preserve"> </w:t>
      </w:r>
      <w:r w:rsidRPr="00642545">
        <w:rPr>
          <w:rFonts w:ascii="Times New Roman" w:hAnsi="Times New Roman" w:cs="Times New Roman"/>
          <w:color w:val="auto"/>
        </w:rPr>
        <w:t>various sources of information, such as “Technical Assistance,” “Best Practices,” and an “Accident Prevention” site.  To assist with compliance, these provide tips and general information on various topics</w:t>
      </w:r>
      <w:r w:rsidR="001E1BA5">
        <w:rPr>
          <w:rFonts w:ascii="Times New Roman" w:hAnsi="Times New Roman" w:cs="Times New Roman"/>
          <w:color w:val="auto"/>
        </w:rPr>
        <w:t xml:space="preserve"> </w:t>
      </w:r>
      <w:proofErr w:type="gramStart"/>
      <w:r w:rsidRPr="00642545" w:rsidR="00D1624F">
        <w:rPr>
          <w:rFonts w:ascii="Times New Roman" w:hAnsi="Times New Roman" w:cs="Times New Roman"/>
          <w:color w:val="auto"/>
        </w:rPr>
        <w:t>including</w:t>
      </w:r>
      <w:r w:rsidR="001E061A">
        <w:rPr>
          <w:rFonts w:ascii="Times New Roman" w:hAnsi="Times New Roman" w:cs="Times New Roman"/>
          <w:color w:val="auto"/>
        </w:rPr>
        <w:t>:</w:t>
      </w:r>
      <w:proofErr w:type="gramEnd"/>
      <w:r w:rsidRPr="00642545" w:rsidR="00D1624F">
        <w:rPr>
          <w:rFonts w:ascii="Times New Roman" w:hAnsi="Times New Roman" w:cs="Times New Roman"/>
          <w:color w:val="auto"/>
        </w:rPr>
        <w:t xml:space="preserve"> Program Information Bulletin N</w:t>
      </w:r>
      <w:r w:rsidRPr="00642545" w:rsidR="00A17C12">
        <w:rPr>
          <w:rFonts w:ascii="Times New Roman" w:hAnsi="Times New Roman" w:cs="Times New Roman"/>
          <w:color w:val="auto"/>
        </w:rPr>
        <w:t>o</w:t>
      </w:r>
      <w:r w:rsidRPr="00642545" w:rsidR="00D1624F">
        <w:rPr>
          <w:rFonts w:ascii="Times New Roman" w:hAnsi="Times New Roman" w:cs="Times New Roman"/>
          <w:color w:val="auto"/>
        </w:rPr>
        <w:t>. P11-</w:t>
      </w:r>
      <w:r w:rsidRPr="00642545" w:rsidR="00D35A03">
        <w:rPr>
          <w:rFonts w:ascii="Times New Roman" w:hAnsi="Times New Roman" w:cs="Times New Roman"/>
          <w:color w:val="auto"/>
        </w:rPr>
        <w:t>02 -</w:t>
      </w:r>
      <w:r w:rsidRPr="00642545" w:rsidR="00D1624F">
        <w:rPr>
          <w:rFonts w:ascii="Times New Roman" w:hAnsi="Times New Roman" w:cs="Times New Roman"/>
          <w:color w:val="auto"/>
        </w:rPr>
        <w:t xml:space="preserve"> Filing of Ground Control Plans for Surface Coal Mines; a </w:t>
      </w:r>
      <w:r w:rsidRPr="00642545" w:rsidR="00D1624F">
        <w:rPr>
          <w:rFonts w:ascii="Times New Roman" w:hAnsi="Times New Roman" w:cs="Times New Roman"/>
          <w:bCs/>
        </w:rPr>
        <w:t xml:space="preserve">Template for Submittal and Evaluation of Ground Control Plans; and Guidelines for Submittal and Evaluation of Ground Control </w:t>
      </w:r>
      <w:r w:rsidRPr="00642545" w:rsidR="00D35A03">
        <w:rPr>
          <w:rFonts w:ascii="Times New Roman" w:hAnsi="Times New Roman" w:cs="Times New Roman"/>
          <w:bCs/>
        </w:rPr>
        <w:t>Plans.</w:t>
      </w:r>
      <w:r w:rsidRPr="00642545" w:rsidR="00D1624F">
        <w:rPr>
          <w:rFonts w:ascii="Times New Roman" w:hAnsi="Times New Roman" w:cs="Times New Roman"/>
          <w:bCs/>
        </w:rPr>
        <w:t xml:space="preserve">  </w:t>
      </w:r>
    </w:p>
    <w:p w:rsidRPr="00642545" w:rsidR="005C5609" w:rsidP="00A6042E" w:rsidRDefault="005C5609" w14:paraId="7AFD87A1"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642545" w:rsidR="0020092F" w:rsidP="00A6042E" w:rsidRDefault="0020092F" w14:paraId="6B493847" w14:textId="77777777">
      <w:pPr>
        <w:rPr>
          <w:b/>
        </w:rPr>
      </w:pPr>
      <w:r w:rsidRPr="00642545">
        <w:rPr>
          <w:b/>
        </w:rPr>
        <w:t>6. Describe the consequence to Federal program or policy activities if the collection is not conducted or is conducted less frequently, as well as any technical or legal obstacles to reducing burden.</w:t>
      </w:r>
    </w:p>
    <w:p w:rsidRPr="00642545" w:rsidR="005C5609" w:rsidP="00A6042E" w:rsidRDefault="005C5609" w14:paraId="7300E151"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642545" w:rsidR="005C5609" w:rsidP="00A6042E" w:rsidRDefault="0050146D" w14:paraId="03D0E56D" w14:textId="2B1B959B">
      <w:pPr>
        <w:pStyle w:val="Default"/>
        <w:widowControl/>
        <w:rPr>
          <w:rFonts w:ascii="Times New Roman" w:hAnsi="Times New Roman" w:cs="Times New Roman"/>
          <w:color w:val="auto"/>
        </w:rPr>
      </w:pPr>
      <w:r w:rsidRPr="00642545">
        <w:rPr>
          <w:rFonts w:ascii="Times New Roman" w:hAnsi="Times New Roman" w:cs="Times New Roman"/>
          <w:color w:val="auto"/>
        </w:rPr>
        <w:t xml:space="preserve">If the plans </w:t>
      </w:r>
      <w:r w:rsidRPr="00642545" w:rsidR="00844648">
        <w:rPr>
          <w:rFonts w:ascii="Times New Roman" w:hAnsi="Times New Roman" w:cs="Times New Roman"/>
          <w:color w:val="auto"/>
        </w:rPr>
        <w:t xml:space="preserve">are </w:t>
      </w:r>
      <w:r w:rsidRPr="00642545">
        <w:rPr>
          <w:rFonts w:ascii="Times New Roman" w:hAnsi="Times New Roman" w:cs="Times New Roman"/>
          <w:color w:val="auto"/>
        </w:rPr>
        <w:t xml:space="preserve">not submitted, MSHA would not be able to effectively determine whether mine operators are taking appropriate actions to maintain stable highwalls, pits, and spoil banks </w:t>
      </w:r>
      <w:proofErr w:type="gramStart"/>
      <w:r w:rsidRPr="00642545">
        <w:rPr>
          <w:rFonts w:ascii="Times New Roman" w:hAnsi="Times New Roman" w:cs="Times New Roman"/>
          <w:color w:val="auto"/>
        </w:rPr>
        <w:t>in order to</w:t>
      </w:r>
      <w:proofErr w:type="gramEnd"/>
      <w:r w:rsidRPr="00642545">
        <w:rPr>
          <w:rFonts w:ascii="Times New Roman" w:hAnsi="Times New Roman" w:cs="Times New Roman"/>
          <w:color w:val="auto"/>
        </w:rPr>
        <w:t xml:space="preserve"> protect the health and safety of miners. </w:t>
      </w:r>
      <w:r w:rsidRPr="00642545" w:rsidR="002739AF">
        <w:rPr>
          <w:rFonts w:ascii="Times New Roman" w:hAnsi="Times New Roman" w:cs="Times New Roman"/>
          <w:color w:val="auto"/>
        </w:rPr>
        <w:t xml:space="preserve"> </w:t>
      </w:r>
      <w:r w:rsidRPr="00642545" w:rsidR="00A279BC">
        <w:rPr>
          <w:rFonts w:ascii="Times New Roman" w:hAnsi="Times New Roman" w:cs="Times New Roman"/>
          <w:color w:val="auto"/>
        </w:rPr>
        <w:t>The</w:t>
      </w:r>
      <w:r w:rsidRPr="00642545" w:rsidR="005C5609">
        <w:rPr>
          <w:rFonts w:ascii="Times New Roman" w:hAnsi="Times New Roman" w:cs="Times New Roman"/>
          <w:color w:val="auto"/>
        </w:rPr>
        <w:t xml:space="preserve"> Mine Act </w:t>
      </w:r>
      <w:r w:rsidRPr="00642545" w:rsidR="00A279BC">
        <w:rPr>
          <w:rFonts w:ascii="Times New Roman" w:hAnsi="Times New Roman" w:cs="Times New Roman"/>
          <w:color w:val="auto"/>
        </w:rPr>
        <w:t>requires</w:t>
      </w:r>
      <w:r w:rsidRPr="00642545" w:rsidR="005C5609">
        <w:rPr>
          <w:rFonts w:ascii="Times New Roman" w:hAnsi="Times New Roman" w:cs="Times New Roman"/>
          <w:color w:val="auto"/>
        </w:rPr>
        <w:t xml:space="preserve"> mine operators to provide a safe and healthful work environment for employees.  </w:t>
      </w:r>
    </w:p>
    <w:p w:rsidRPr="00642545" w:rsidR="005C5609" w:rsidP="00A6042E" w:rsidRDefault="005C5609" w14:paraId="7FFE49F4"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642545" w:rsidR="0020092F" w:rsidP="00A6042E" w:rsidRDefault="0020092F" w14:paraId="59682128" w14:textId="77777777">
      <w:pPr>
        <w:rPr>
          <w:b/>
        </w:rPr>
      </w:pPr>
      <w:r w:rsidRPr="00642545">
        <w:rPr>
          <w:b/>
        </w:rPr>
        <w:t>7. Explain any special circumstances that would cause an information collection to be conducted in a manner:</w:t>
      </w:r>
    </w:p>
    <w:p w:rsidRPr="00642545" w:rsidR="0020092F" w:rsidP="00A6042E" w:rsidRDefault="0020092F" w14:paraId="0ACCDDC4" w14:textId="77777777">
      <w:pPr>
        <w:rPr>
          <w:b/>
        </w:rPr>
      </w:pPr>
      <w:r w:rsidRPr="00642545">
        <w:rPr>
          <w:b/>
        </w:rPr>
        <w:t xml:space="preserve">* </w:t>
      </w:r>
      <w:proofErr w:type="gramStart"/>
      <w:r w:rsidRPr="00642545">
        <w:rPr>
          <w:b/>
        </w:rPr>
        <w:t>requiring</w:t>
      </w:r>
      <w:proofErr w:type="gramEnd"/>
      <w:r w:rsidRPr="00642545">
        <w:rPr>
          <w:b/>
        </w:rPr>
        <w:t xml:space="preserve"> respondents to report information to the agency more often than quarterly;</w:t>
      </w:r>
    </w:p>
    <w:p w:rsidRPr="00642545" w:rsidR="0020092F" w:rsidP="00A6042E" w:rsidRDefault="0020092F" w14:paraId="706460B2" w14:textId="77777777">
      <w:pPr>
        <w:rPr>
          <w:b/>
        </w:rPr>
      </w:pPr>
      <w:r w:rsidRPr="00642545">
        <w:rPr>
          <w:b/>
        </w:rPr>
        <w:t xml:space="preserve">* </w:t>
      </w:r>
      <w:proofErr w:type="gramStart"/>
      <w:r w:rsidRPr="00642545">
        <w:rPr>
          <w:b/>
        </w:rPr>
        <w:t>requiring</w:t>
      </w:r>
      <w:proofErr w:type="gramEnd"/>
      <w:r w:rsidRPr="00642545">
        <w:rPr>
          <w:b/>
        </w:rPr>
        <w:t xml:space="preserve"> respondents to prepare a written response to a collection of information in fewer than 30 days after receipt of it;</w:t>
      </w:r>
    </w:p>
    <w:p w:rsidRPr="00642545" w:rsidR="0020092F" w:rsidP="00A6042E" w:rsidRDefault="0020092F" w14:paraId="55DE8B38" w14:textId="77777777">
      <w:pPr>
        <w:rPr>
          <w:b/>
        </w:rPr>
      </w:pPr>
      <w:r w:rsidRPr="00642545">
        <w:rPr>
          <w:b/>
        </w:rPr>
        <w:t xml:space="preserve">* </w:t>
      </w:r>
      <w:proofErr w:type="gramStart"/>
      <w:r w:rsidRPr="00642545">
        <w:rPr>
          <w:b/>
        </w:rPr>
        <w:t>requiring</w:t>
      </w:r>
      <w:proofErr w:type="gramEnd"/>
      <w:r w:rsidRPr="00642545">
        <w:rPr>
          <w:b/>
        </w:rPr>
        <w:t xml:space="preserve"> respondents to submit more than an original and two copies of any document;</w:t>
      </w:r>
    </w:p>
    <w:p w:rsidRPr="00642545" w:rsidR="0020092F" w:rsidP="00A6042E" w:rsidRDefault="0020092F" w14:paraId="558FB53D" w14:textId="77777777">
      <w:pPr>
        <w:rPr>
          <w:b/>
        </w:rPr>
      </w:pPr>
      <w:r w:rsidRPr="00642545">
        <w:rPr>
          <w:b/>
        </w:rPr>
        <w:t xml:space="preserve">* </w:t>
      </w:r>
      <w:proofErr w:type="gramStart"/>
      <w:r w:rsidRPr="00642545">
        <w:rPr>
          <w:b/>
        </w:rPr>
        <w:t>requiring</w:t>
      </w:r>
      <w:proofErr w:type="gramEnd"/>
      <w:r w:rsidRPr="00642545">
        <w:rPr>
          <w:b/>
        </w:rPr>
        <w:t xml:space="preserve"> respondents to retain records, other than health, medical, government contract, grant-in-aid, or tax records, for more than three years;</w:t>
      </w:r>
    </w:p>
    <w:p w:rsidRPr="00642545" w:rsidR="0020092F" w:rsidP="00A6042E" w:rsidRDefault="0020092F" w14:paraId="0528D375" w14:textId="77777777">
      <w:pPr>
        <w:rPr>
          <w:b/>
        </w:rPr>
      </w:pPr>
      <w:r w:rsidRPr="00642545">
        <w:rPr>
          <w:b/>
        </w:rPr>
        <w:t xml:space="preserve">* </w:t>
      </w:r>
      <w:proofErr w:type="gramStart"/>
      <w:r w:rsidRPr="00642545">
        <w:rPr>
          <w:b/>
        </w:rPr>
        <w:t>in</w:t>
      </w:r>
      <w:proofErr w:type="gramEnd"/>
      <w:r w:rsidRPr="00642545">
        <w:rPr>
          <w:b/>
        </w:rPr>
        <w:t xml:space="preserve"> connection with a statistical survey, that is not designed to produce valid and reliable results that can be generalized to the universe of study;</w:t>
      </w:r>
    </w:p>
    <w:p w:rsidRPr="00642545" w:rsidR="0020092F" w:rsidP="00A6042E" w:rsidRDefault="0020092F" w14:paraId="0A44F15F" w14:textId="77777777">
      <w:pPr>
        <w:rPr>
          <w:b/>
        </w:rPr>
      </w:pPr>
      <w:r w:rsidRPr="00642545">
        <w:rPr>
          <w:b/>
        </w:rPr>
        <w:t xml:space="preserve">* </w:t>
      </w:r>
      <w:proofErr w:type="gramStart"/>
      <w:r w:rsidRPr="00642545">
        <w:rPr>
          <w:b/>
        </w:rPr>
        <w:t>requiring</w:t>
      </w:r>
      <w:proofErr w:type="gramEnd"/>
      <w:r w:rsidRPr="00642545">
        <w:rPr>
          <w:b/>
        </w:rPr>
        <w:t xml:space="preserve"> the use of a statistical data classification that has not been reviewed and approved by OMB; </w:t>
      </w:r>
    </w:p>
    <w:p w:rsidRPr="00642545" w:rsidR="0020092F" w:rsidP="00A6042E" w:rsidRDefault="0020092F" w14:paraId="11EC7007" w14:textId="77777777">
      <w:pPr>
        <w:rPr>
          <w:b/>
        </w:rPr>
      </w:pPr>
      <w:r w:rsidRPr="00642545">
        <w:rPr>
          <w:b/>
        </w:rPr>
        <w:t xml:space="preserve">* </w:t>
      </w:r>
      <w:proofErr w:type="gramStart"/>
      <w:r w:rsidRPr="00642545">
        <w:rPr>
          <w:b/>
        </w:rPr>
        <w:t>that</w:t>
      </w:r>
      <w:proofErr w:type="gramEnd"/>
      <w:r w:rsidRPr="00642545">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42545" w:rsidR="0020092F" w:rsidP="00A6042E" w:rsidRDefault="0020092F" w14:paraId="36927DF5" w14:textId="77777777">
      <w:pPr>
        <w:rPr>
          <w:b/>
        </w:rPr>
      </w:pPr>
      <w:r w:rsidRPr="00642545">
        <w:rPr>
          <w:b/>
        </w:rPr>
        <w:lastRenderedPageBreak/>
        <w:t xml:space="preserve">* </w:t>
      </w:r>
      <w:proofErr w:type="gramStart"/>
      <w:r w:rsidRPr="00642545">
        <w:rPr>
          <w:b/>
        </w:rPr>
        <w:t>requiring</w:t>
      </w:r>
      <w:proofErr w:type="gramEnd"/>
      <w:r w:rsidRPr="00642545">
        <w:rPr>
          <w:b/>
        </w:rPr>
        <w:t xml:space="preserve"> respondents to submit proprietary trade secrets, or other confidential information unless the agency can demonstrate that it has instituted procedures to protect the information's confidentiality to the extent permitted by law.</w:t>
      </w:r>
    </w:p>
    <w:p w:rsidRPr="00642545" w:rsidR="005C5609" w:rsidP="00A6042E" w:rsidRDefault="005C5609" w14:paraId="2CF6E96F"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642545" w:rsidR="005C5609" w:rsidP="00A6042E" w:rsidRDefault="005C5609" w14:paraId="17662177" w14:textId="3188A503">
      <w:pPr>
        <w:pStyle w:val="Default"/>
        <w:widowControl/>
        <w:rPr>
          <w:rFonts w:ascii="Times New Roman" w:hAnsi="Times New Roman" w:cs="Times New Roman"/>
          <w:color w:val="auto"/>
        </w:rPr>
      </w:pPr>
      <w:r w:rsidRPr="00642545">
        <w:rPr>
          <w:rFonts w:ascii="Times New Roman" w:hAnsi="Times New Roman" w:cs="Times New Roman"/>
          <w:color w:val="auto"/>
        </w:rPr>
        <w:t xml:space="preserve">This collection of information is consistent with the </w:t>
      </w:r>
      <w:r w:rsidRPr="00642545" w:rsidR="00F57A1B">
        <w:rPr>
          <w:rFonts w:ascii="Times New Roman" w:hAnsi="Times New Roman" w:cs="Times New Roman"/>
          <w:color w:val="auto"/>
        </w:rPr>
        <w:t>requirement</w:t>
      </w:r>
      <w:r w:rsidRPr="00642545">
        <w:rPr>
          <w:rFonts w:ascii="Times New Roman" w:hAnsi="Times New Roman" w:cs="Times New Roman"/>
          <w:color w:val="auto"/>
        </w:rPr>
        <w:t>s in 5 CFR 1320.5</w:t>
      </w:r>
      <w:r w:rsidR="004E2E30">
        <w:rPr>
          <w:rFonts w:ascii="Times New Roman" w:hAnsi="Times New Roman" w:cs="Times New Roman"/>
          <w:color w:val="auto"/>
        </w:rPr>
        <w:t>.</w:t>
      </w:r>
      <w:r w:rsidRPr="00642545">
        <w:rPr>
          <w:rFonts w:ascii="Times New Roman" w:hAnsi="Times New Roman" w:cs="Times New Roman"/>
          <w:color w:val="auto"/>
        </w:rPr>
        <w:t xml:space="preserve"> </w:t>
      </w:r>
    </w:p>
    <w:p w:rsidRPr="00642545" w:rsidR="005C5609" w:rsidP="00A6042E" w:rsidRDefault="005C5609" w14:paraId="441E996A" w14:textId="77777777">
      <w:pPr>
        <w:pStyle w:val="Default"/>
        <w:widowControl/>
        <w:rPr>
          <w:rFonts w:ascii="Times New Roman" w:hAnsi="Times New Roman" w:cs="Times New Roman"/>
          <w:color w:val="auto"/>
        </w:rPr>
      </w:pPr>
    </w:p>
    <w:p w:rsidRPr="00642545" w:rsidR="0020092F" w:rsidP="00A6042E" w:rsidRDefault="0020092F" w14:paraId="64F04069" w14:textId="77777777">
      <w:pPr>
        <w:rPr>
          <w:b/>
        </w:rPr>
      </w:pPr>
      <w:r w:rsidRPr="00642545">
        <w:rPr>
          <w:b/>
        </w:rPr>
        <w:t xml:space="preserve">8. If applicable, provide a copy and identify the date and page number of </w:t>
      </w:r>
      <w:proofErr w:type="gramStart"/>
      <w:r w:rsidRPr="00642545">
        <w:rPr>
          <w:b/>
        </w:rPr>
        <w:t>publication</w:t>
      </w:r>
      <w:proofErr w:type="gramEnd"/>
      <w:r w:rsidRPr="00642545">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42545" w:rsidR="0020092F" w:rsidP="00A6042E" w:rsidRDefault="0020092F" w14:paraId="6FE3F23B" w14:textId="77777777">
      <w:pPr>
        <w:pStyle w:val="Default"/>
        <w:widowControl/>
        <w:rPr>
          <w:rFonts w:ascii="Times New Roman" w:hAnsi="Times New Roman" w:cs="Times New Roman"/>
          <w:color w:val="auto"/>
        </w:rPr>
      </w:pPr>
    </w:p>
    <w:p w:rsidRPr="00642545" w:rsidR="0020092F" w:rsidP="00A6042E" w:rsidRDefault="0020092F" w14:paraId="16D0A577" w14:textId="77777777">
      <w:pPr>
        <w:rPr>
          <w:b/>
        </w:rPr>
      </w:pPr>
      <w:r w:rsidRPr="0064254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42545" w:rsidR="0020092F" w:rsidP="00A6042E" w:rsidRDefault="0020092F" w14:paraId="5D688C96" w14:textId="77777777">
      <w:pPr>
        <w:rPr>
          <w:b/>
        </w:rPr>
      </w:pPr>
    </w:p>
    <w:p w:rsidRPr="00642545" w:rsidR="0020092F" w:rsidP="00A6042E" w:rsidRDefault="0020092F" w14:paraId="0EE645D7" w14:textId="77777777">
      <w:pPr>
        <w:rPr>
          <w:b/>
        </w:rPr>
      </w:pPr>
      <w:r w:rsidRPr="006425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42545" w:rsidR="005C5609" w:rsidP="00A6042E" w:rsidRDefault="005C5609" w14:paraId="3311F96F" w14:textId="77777777">
      <w:pPr>
        <w:pStyle w:val="Default"/>
        <w:widowControl/>
        <w:rPr>
          <w:rFonts w:ascii="Times New Roman" w:hAnsi="Times New Roman" w:cs="Times New Roman"/>
          <w:color w:val="auto"/>
        </w:rPr>
      </w:pPr>
      <w:r w:rsidRPr="00642545">
        <w:rPr>
          <w:rFonts w:ascii="Times New Roman" w:hAnsi="Times New Roman" w:cs="Times New Roman"/>
          <w:b/>
          <w:bCs/>
          <w:color w:val="auto"/>
        </w:rPr>
        <w:t xml:space="preserve"> </w:t>
      </w:r>
    </w:p>
    <w:p w:rsidR="006A4177" w:rsidP="00A6042E" w:rsidRDefault="006A4177" w14:paraId="0B839A35" w14:textId="2D75B027">
      <w:pPr>
        <w:pStyle w:val="Default"/>
        <w:widowControl/>
        <w:rPr>
          <w:rFonts w:ascii="Times New Roman" w:hAnsi="Times New Roman" w:cs="Times New Roman"/>
          <w:color w:val="auto"/>
        </w:rPr>
      </w:pPr>
      <w:r w:rsidRPr="006A4177">
        <w:rPr>
          <w:rFonts w:ascii="Times New Roman" w:hAnsi="Times New Roman" w:cs="Times New Roman"/>
          <w:color w:val="auto"/>
        </w:rPr>
        <w:t xml:space="preserve">MSHA published a 60-day </w:t>
      </w:r>
      <w:r w:rsidRPr="006A4177">
        <w:rPr>
          <w:rFonts w:ascii="Times New Roman" w:hAnsi="Times New Roman" w:cs="Times New Roman"/>
          <w:i/>
          <w:iCs/>
          <w:color w:val="auto"/>
        </w:rPr>
        <w:t>Federal Register</w:t>
      </w:r>
      <w:r w:rsidRPr="006A4177">
        <w:rPr>
          <w:rFonts w:ascii="Times New Roman" w:hAnsi="Times New Roman" w:cs="Times New Roman"/>
          <w:color w:val="auto"/>
        </w:rPr>
        <w:t xml:space="preserve"> notice on January 26, 2022 (87 FR 404</w:t>
      </w:r>
      <w:r>
        <w:rPr>
          <w:rFonts w:ascii="Times New Roman" w:hAnsi="Times New Roman" w:cs="Times New Roman"/>
          <w:color w:val="auto"/>
        </w:rPr>
        <w:t>7</w:t>
      </w:r>
      <w:r w:rsidRPr="006A4177">
        <w:rPr>
          <w:rFonts w:ascii="Times New Roman" w:hAnsi="Times New Roman" w:cs="Times New Roman"/>
          <w:color w:val="auto"/>
        </w:rPr>
        <w:t>).  MSHA received no public comments.</w:t>
      </w:r>
    </w:p>
    <w:p w:rsidRPr="00642545" w:rsidR="006A4177" w:rsidP="00A6042E" w:rsidRDefault="006A4177" w14:paraId="2B170347" w14:textId="77777777">
      <w:pPr>
        <w:pStyle w:val="Default"/>
        <w:widowControl/>
        <w:rPr>
          <w:rFonts w:ascii="Times New Roman" w:hAnsi="Times New Roman" w:cs="Times New Roman"/>
          <w:color w:val="auto"/>
        </w:rPr>
      </w:pPr>
    </w:p>
    <w:p w:rsidRPr="00642545" w:rsidR="0020092F" w:rsidP="00A6042E" w:rsidRDefault="0020092F" w14:paraId="03256A00" w14:textId="77777777">
      <w:pPr>
        <w:rPr>
          <w:b/>
        </w:rPr>
      </w:pPr>
      <w:r w:rsidRPr="00642545">
        <w:rPr>
          <w:b/>
        </w:rPr>
        <w:t xml:space="preserve">9. Explain any decision to provide any payment or gift to respondents, other than </w:t>
      </w:r>
      <w:r w:rsidRPr="00642545" w:rsidR="00F57A1B">
        <w:rPr>
          <w:b/>
        </w:rPr>
        <w:t>remuneration</w:t>
      </w:r>
      <w:r w:rsidRPr="00642545">
        <w:rPr>
          <w:b/>
        </w:rPr>
        <w:t xml:space="preserve"> of contractors or grantees.</w:t>
      </w:r>
    </w:p>
    <w:p w:rsidRPr="00642545" w:rsidR="005C5609" w:rsidP="00A6042E" w:rsidRDefault="005C5609" w14:paraId="4D6021FE" w14:textId="77777777">
      <w:pPr>
        <w:pStyle w:val="Default"/>
        <w:widowControl/>
        <w:rPr>
          <w:rFonts w:ascii="Times New Roman" w:hAnsi="Times New Roman" w:cs="Times New Roman"/>
          <w:color w:val="auto"/>
        </w:rPr>
      </w:pPr>
    </w:p>
    <w:p w:rsidRPr="00642545" w:rsidR="005C5609" w:rsidP="00A6042E" w:rsidRDefault="005C5609" w14:paraId="7C04FC9E"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MSHA does not provide payment or gifts to the respondents identified by this collection. </w:t>
      </w:r>
    </w:p>
    <w:p w:rsidRPr="00642545" w:rsidR="005C5609" w:rsidP="00A6042E" w:rsidRDefault="005C5609" w14:paraId="665C2717"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642545" w:rsidR="0020092F" w:rsidP="00A6042E" w:rsidRDefault="0020092F" w14:paraId="78549A8F" w14:textId="77777777">
      <w:pPr>
        <w:rPr>
          <w:b/>
        </w:rPr>
      </w:pPr>
      <w:r w:rsidRPr="00642545">
        <w:rPr>
          <w:b/>
        </w:rPr>
        <w:t>10. Describe any assurance of confidentiality provided to respondents and the basis for the assurance in statute, regulation, or agency policy.</w:t>
      </w:r>
    </w:p>
    <w:p w:rsidRPr="00642545" w:rsidR="005C5609" w:rsidP="00A6042E" w:rsidRDefault="005C5609" w14:paraId="60BA4DCB"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 </w:t>
      </w:r>
    </w:p>
    <w:p w:rsidRPr="009929E9" w:rsidR="009929E9" w:rsidP="009929E9" w:rsidRDefault="009929E9" w14:paraId="1CAE38DC" w14:textId="31882D98">
      <w:pPr>
        <w:pStyle w:val="Default"/>
        <w:widowControl/>
        <w:rPr>
          <w:rFonts w:ascii="Times New Roman" w:hAnsi="Times New Roman" w:cs="Times New Roman"/>
        </w:rPr>
      </w:pPr>
      <w:r w:rsidRPr="009929E9">
        <w:rPr>
          <w:rFonts w:ascii="Times New Roman" w:hAnsi="Times New Roman" w:cs="Times New Roman"/>
        </w:rPr>
        <w:t xml:space="preserve">Operators are given no assurances of confidentiality; however, the </w:t>
      </w:r>
      <w:r>
        <w:rPr>
          <w:rFonts w:ascii="Times New Roman" w:hAnsi="Times New Roman" w:cs="Times New Roman"/>
        </w:rPr>
        <w:t>ground control plans submitted</w:t>
      </w:r>
      <w:r w:rsidRPr="009929E9">
        <w:rPr>
          <w:rFonts w:ascii="Times New Roman" w:hAnsi="Times New Roman" w:cs="Times New Roman"/>
        </w:rPr>
        <w:t xml:space="preserve"> are covered by the Privacy Act Systems of Records Notice, DOL/MSHA–1, Mine Safety and Health Administration Standardized Information System (MSIS) (81 FR 25766) published on April 29, 2016.  Computerized and manual records are indexed by mine identification number.  Computer safeguards are as described in the National Bureau of Standards Booklet, “Computer Security Guidelines for Implementing the Privacy Act of 1974.”  </w:t>
      </w:r>
      <w:r w:rsidRPr="009929E9">
        <w:rPr>
          <w:rFonts w:ascii="Times New Roman" w:hAnsi="Times New Roman" w:cs="Times New Roman"/>
          <w:color w:val="auto"/>
        </w:rPr>
        <w:t>The records are stored in locked file cabinets and are accessible only to authorized personnel during working hours.</w:t>
      </w:r>
      <w:r w:rsidRPr="009929E9">
        <w:rPr>
          <w:rFonts w:ascii="Times New Roman" w:hAnsi="Times New Roman" w:cs="Times New Roman"/>
        </w:rPr>
        <w:t xml:space="preserve"> </w:t>
      </w:r>
    </w:p>
    <w:p w:rsidRPr="00642545" w:rsidR="005C5609" w:rsidP="00A6042E" w:rsidRDefault="005C5609" w14:paraId="57E23F06" w14:textId="65C79708">
      <w:pPr>
        <w:pStyle w:val="Default"/>
        <w:widowControl/>
        <w:rPr>
          <w:rFonts w:ascii="Times New Roman" w:hAnsi="Times New Roman" w:cs="Times New Roman"/>
          <w:color w:val="auto"/>
        </w:rPr>
      </w:pPr>
    </w:p>
    <w:p w:rsidRPr="00642545" w:rsidR="0020092F" w:rsidP="00A6042E" w:rsidRDefault="0020092F" w14:paraId="1D98A678" w14:textId="77777777">
      <w:pPr>
        <w:pStyle w:val="Default"/>
        <w:widowControl/>
        <w:rPr>
          <w:rFonts w:ascii="Times New Roman" w:hAnsi="Times New Roman" w:cs="Times New Roman"/>
          <w:b/>
        </w:rPr>
      </w:pPr>
      <w:r w:rsidRPr="00642545">
        <w:rPr>
          <w:rFonts w:ascii="Times New Roman" w:hAnsi="Times New Roman" w:cs="Times New Roman"/>
          <w:b/>
        </w:rPr>
        <w:t xml:space="preserve">11. Provide additional justification for any questions of a sensitive nature, such as sexual behavior and attitudes, religious beliefs, and other matters that are commonly considered </w:t>
      </w:r>
      <w:r w:rsidRPr="00642545">
        <w:rPr>
          <w:rFonts w:ascii="Times New Roman" w:hAnsi="Times New Roman" w:cs="Times New Roman"/>
          <w:b/>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42545" w:rsidR="005C5609" w:rsidP="00A6042E" w:rsidRDefault="005C5609" w14:paraId="0437028B" w14:textId="77777777">
      <w:pPr>
        <w:pStyle w:val="Default"/>
        <w:widowControl/>
        <w:rPr>
          <w:rFonts w:ascii="Times New Roman" w:hAnsi="Times New Roman" w:cs="Times New Roman"/>
          <w:color w:val="auto"/>
        </w:rPr>
      </w:pPr>
      <w:r w:rsidRPr="00642545">
        <w:rPr>
          <w:rFonts w:ascii="Times New Roman" w:hAnsi="Times New Roman" w:cs="Times New Roman"/>
          <w:b/>
          <w:bCs/>
          <w:color w:val="auto"/>
        </w:rPr>
        <w:t xml:space="preserve"> </w:t>
      </w:r>
    </w:p>
    <w:p w:rsidRPr="00642545" w:rsidR="005C5609" w:rsidP="00A6042E" w:rsidRDefault="005C5609" w14:paraId="4D6943C5" w14:textId="77777777">
      <w:pPr>
        <w:pStyle w:val="Default"/>
        <w:widowControl/>
        <w:rPr>
          <w:rFonts w:ascii="Times New Roman" w:hAnsi="Times New Roman" w:cs="Times New Roman"/>
          <w:color w:val="auto"/>
        </w:rPr>
      </w:pPr>
      <w:r w:rsidRPr="00642545">
        <w:rPr>
          <w:rFonts w:ascii="Times New Roman" w:hAnsi="Times New Roman" w:cs="Times New Roman"/>
          <w:color w:val="auto"/>
        </w:rPr>
        <w:t xml:space="preserve">There are no questions of a sensitive nature. </w:t>
      </w:r>
    </w:p>
    <w:p w:rsidRPr="00642545" w:rsidR="005C5609" w:rsidP="00A6042E" w:rsidRDefault="005C5609" w14:paraId="5A59BC06" w14:textId="77777777">
      <w:pPr>
        <w:pStyle w:val="Default"/>
        <w:widowControl/>
        <w:rPr>
          <w:rFonts w:ascii="Times New Roman" w:hAnsi="Times New Roman" w:cs="Times New Roman"/>
          <w:color w:val="auto"/>
        </w:rPr>
      </w:pPr>
      <w:r w:rsidRPr="00642545">
        <w:rPr>
          <w:rFonts w:ascii="Times New Roman" w:hAnsi="Times New Roman" w:cs="Times New Roman"/>
          <w:b/>
          <w:bCs/>
          <w:color w:val="auto"/>
        </w:rPr>
        <w:t xml:space="preserve"> </w:t>
      </w:r>
    </w:p>
    <w:p w:rsidRPr="00642545" w:rsidR="0020092F" w:rsidP="00A6042E" w:rsidRDefault="0020092F" w14:paraId="3F8F1BC1" w14:textId="77777777">
      <w:pPr>
        <w:rPr>
          <w:b/>
        </w:rPr>
      </w:pPr>
      <w:r w:rsidRPr="00642545">
        <w:rPr>
          <w:b/>
        </w:rPr>
        <w:t xml:space="preserve">12. Provide estimates of the hour burden of the collection of information. The statement should: </w:t>
      </w:r>
    </w:p>
    <w:p w:rsidRPr="00642545" w:rsidR="0020092F" w:rsidP="00A6042E" w:rsidRDefault="0020092F" w14:paraId="70289254" w14:textId="77777777">
      <w:pPr>
        <w:rPr>
          <w:b/>
        </w:rPr>
      </w:pPr>
      <w:r w:rsidRPr="00642545">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2545" w:rsidR="0020092F" w:rsidP="00A6042E" w:rsidRDefault="0020092F" w14:paraId="5F828AD6" w14:textId="77777777">
      <w:pPr>
        <w:rPr>
          <w:b/>
        </w:rPr>
      </w:pPr>
      <w:r w:rsidRPr="00642545">
        <w:rPr>
          <w:b/>
        </w:rPr>
        <w:t xml:space="preserve">* If this request for approval covers more than one form, provide separate hour burden estimates for each </w:t>
      </w:r>
      <w:proofErr w:type="gramStart"/>
      <w:r w:rsidRPr="00642545">
        <w:rPr>
          <w:b/>
        </w:rPr>
        <w:t>form</w:t>
      </w:r>
      <w:proofErr w:type="gramEnd"/>
      <w:r w:rsidRPr="00642545">
        <w:rPr>
          <w:b/>
        </w:rPr>
        <w:t xml:space="preserve"> and aggregate the hour burdens.</w:t>
      </w:r>
    </w:p>
    <w:p w:rsidRPr="00642545" w:rsidR="0020092F" w:rsidP="00A6042E" w:rsidRDefault="0020092F" w14:paraId="2E152A5B" w14:textId="77777777">
      <w:pPr>
        <w:rPr>
          <w:b/>
        </w:rPr>
      </w:pPr>
      <w:r w:rsidRPr="00642545">
        <w:rPr>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642545" w:rsidR="00636943">
        <w:rPr>
          <w:b/>
        </w:rPr>
        <w:t>under</w:t>
      </w:r>
      <w:r w:rsidRPr="00642545">
        <w:rPr>
          <w:b/>
        </w:rPr>
        <w:t xml:space="preserve"> Item 13.</w:t>
      </w:r>
    </w:p>
    <w:p w:rsidRPr="00642545" w:rsidR="00D35A03" w:rsidP="00A6042E" w:rsidRDefault="00D35A03" w14:paraId="7D06AD23" w14:textId="77777777">
      <w:pPr>
        <w:pStyle w:val="Default"/>
        <w:widowControl/>
        <w:rPr>
          <w:rFonts w:ascii="Times New Roman" w:hAnsi="Times New Roman" w:cs="Times New Roman"/>
          <w:color w:val="auto"/>
        </w:rPr>
      </w:pPr>
    </w:p>
    <w:p w:rsidRPr="00972025" w:rsidR="00CF6B18" w:rsidP="00A6042E" w:rsidRDefault="00CF6B18" w14:paraId="042D0DE1"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Pr="002E441C" w:rsidR="00CF6B18" w:rsidP="00A6042E" w:rsidRDefault="00CF6B18" w14:paraId="4F7A3572" w14:textId="77777777">
      <w:pPr>
        <w:pStyle w:val="Default"/>
        <w:widowControl/>
        <w:rPr>
          <w:rFonts w:ascii="Times New Roman" w:hAnsi="Times New Roman" w:cs="Times New Roman"/>
          <w:color w:val="auto"/>
          <w:u w:val="single"/>
        </w:rPr>
      </w:pPr>
    </w:p>
    <w:p w:rsidRPr="002E441C" w:rsidR="005C5609" w:rsidP="00A6042E" w:rsidRDefault="005C5609" w14:paraId="1E6145E9" w14:textId="77777777">
      <w:pPr>
        <w:pStyle w:val="Default"/>
        <w:widowControl/>
        <w:rPr>
          <w:rFonts w:ascii="Times New Roman" w:hAnsi="Times New Roman" w:cs="Times New Roman"/>
          <w:color w:val="auto"/>
        </w:rPr>
      </w:pPr>
      <w:r w:rsidRPr="002E441C">
        <w:rPr>
          <w:rFonts w:ascii="Times New Roman" w:hAnsi="Times New Roman" w:cs="Times New Roman"/>
          <w:color w:val="auto"/>
          <w:u w:val="single"/>
        </w:rPr>
        <w:t xml:space="preserve">Hour Burden </w:t>
      </w:r>
    </w:p>
    <w:p w:rsidRPr="002E441C" w:rsidR="005C5609" w:rsidP="00A6042E" w:rsidRDefault="005C5609" w14:paraId="14C3B9EA" w14:textId="4BA4C5B9">
      <w:pPr>
        <w:pStyle w:val="Default"/>
        <w:widowControl/>
        <w:rPr>
          <w:rFonts w:ascii="Times New Roman" w:hAnsi="Times New Roman" w:cs="Times New Roman"/>
          <w:color w:val="auto"/>
        </w:rPr>
      </w:pPr>
    </w:p>
    <w:p w:rsidRPr="000C71C2" w:rsidR="004B6D6C" w:rsidRDefault="004B6D6C" w14:paraId="6AB77B3B" w14:textId="2EDD5323">
      <w:pPr>
        <w:pStyle w:val="Default"/>
        <w:widowControl/>
        <w:rPr>
          <w:rFonts w:ascii="Times New Roman" w:hAnsi="Times New Roman" w:cs="Times New Roman"/>
          <w:color w:val="auto"/>
        </w:rPr>
      </w:pPr>
      <w:r w:rsidRPr="00E52AA5">
        <w:rPr>
          <w:rFonts w:ascii="Times New Roman" w:hAnsi="Times New Roman" w:cs="Times New Roman"/>
        </w:rPr>
        <w:t xml:space="preserve">Based on mine </w:t>
      </w:r>
      <w:r w:rsidRPr="000C71C2">
        <w:rPr>
          <w:rFonts w:ascii="Times New Roman" w:hAnsi="Times New Roman" w:cs="Times New Roman"/>
          <w:shd w:val="clear" w:color="auto" w:fill="FFFFFF" w:themeFill="background1"/>
        </w:rPr>
        <w:t>plan approval data</w:t>
      </w:r>
      <w:r w:rsidRPr="000C71C2" w:rsidR="004E5498">
        <w:rPr>
          <w:rFonts w:ascii="Times New Roman" w:hAnsi="Times New Roman" w:cs="Times New Roman"/>
          <w:shd w:val="clear" w:color="auto" w:fill="FFFFFF" w:themeFill="background1"/>
        </w:rPr>
        <w:t xml:space="preserve"> </w:t>
      </w:r>
      <w:r w:rsidRPr="000C71C2" w:rsidR="003010F0">
        <w:rPr>
          <w:rFonts w:ascii="Times New Roman" w:hAnsi="Times New Roman" w:cs="Times New Roman"/>
          <w:shd w:val="clear" w:color="auto" w:fill="FFFFFF" w:themeFill="background1"/>
        </w:rPr>
        <w:t xml:space="preserve">received from each MSHA district office for </w:t>
      </w:r>
      <w:r w:rsidRPr="000C71C2" w:rsidR="004E5498">
        <w:rPr>
          <w:rFonts w:ascii="Times New Roman" w:hAnsi="Times New Roman" w:cs="Times New Roman"/>
          <w:shd w:val="clear" w:color="auto" w:fill="FFFFFF" w:themeFill="background1"/>
        </w:rPr>
        <w:t xml:space="preserve">calendar year </w:t>
      </w:r>
      <w:r w:rsidRPr="000C71C2" w:rsidR="003010F0">
        <w:rPr>
          <w:rFonts w:ascii="Times New Roman" w:hAnsi="Times New Roman" w:cs="Times New Roman"/>
          <w:shd w:val="clear" w:color="auto" w:fill="FFFFFF" w:themeFill="background1"/>
        </w:rPr>
        <w:t>2020</w:t>
      </w:r>
      <w:r w:rsidRPr="000C71C2">
        <w:rPr>
          <w:rFonts w:ascii="Times New Roman" w:hAnsi="Times New Roman" w:cs="Times New Roman"/>
          <w:shd w:val="clear" w:color="auto" w:fill="FFFFFF" w:themeFill="background1"/>
        </w:rPr>
        <w:t xml:space="preserve">, </w:t>
      </w:r>
      <w:r w:rsidRPr="000C71C2" w:rsidR="005C5609">
        <w:rPr>
          <w:rFonts w:ascii="Times New Roman" w:hAnsi="Times New Roman" w:cs="Times New Roman"/>
          <w:shd w:val="clear" w:color="auto" w:fill="FFFFFF" w:themeFill="background1"/>
        </w:rPr>
        <w:t>MSHA estimates that i</w:t>
      </w:r>
      <w:r w:rsidRPr="000C71C2" w:rsidR="0013409A">
        <w:rPr>
          <w:rFonts w:ascii="Times New Roman" w:hAnsi="Times New Roman" w:cs="Times New Roman"/>
          <w:shd w:val="clear" w:color="auto" w:fill="FFFFFF" w:themeFill="background1"/>
        </w:rPr>
        <w:t xml:space="preserve">t will receive approximately </w:t>
      </w:r>
      <w:r w:rsidRPr="000C71C2" w:rsidR="003010F0">
        <w:rPr>
          <w:rFonts w:ascii="Times New Roman" w:hAnsi="Times New Roman" w:cs="Times New Roman"/>
          <w:shd w:val="clear" w:color="auto" w:fill="FFFFFF" w:themeFill="background1"/>
        </w:rPr>
        <w:t>166</w:t>
      </w:r>
      <w:r w:rsidRPr="000C71C2" w:rsidR="005C5609">
        <w:rPr>
          <w:rFonts w:ascii="Times New Roman" w:hAnsi="Times New Roman" w:cs="Times New Roman"/>
          <w:shd w:val="clear" w:color="auto" w:fill="FFFFFF" w:themeFill="background1"/>
        </w:rPr>
        <w:t xml:space="preserve"> new ground control plans </w:t>
      </w:r>
      <w:r w:rsidRPr="000C71C2">
        <w:rPr>
          <w:rFonts w:ascii="Times New Roman" w:hAnsi="Times New Roman" w:cs="Times New Roman"/>
          <w:shd w:val="clear" w:color="auto" w:fill="FFFFFF" w:themeFill="background1"/>
        </w:rPr>
        <w:t xml:space="preserve">and </w:t>
      </w:r>
      <w:r w:rsidRPr="000C71C2" w:rsidR="003010F0">
        <w:rPr>
          <w:rFonts w:ascii="Times New Roman" w:hAnsi="Times New Roman" w:cs="Times New Roman"/>
          <w:shd w:val="clear" w:color="auto" w:fill="FFFFFF" w:themeFill="background1"/>
        </w:rPr>
        <w:t>121</w:t>
      </w:r>
      <w:r w:rsidRPr="00E52AA5">
        <w:rPr>
          <w:rFonts w:ascii="Times New Roman" w:hAnsi="Times New Roman" w:cs="Times New Roman"/>
        </w:rPr>
        <w:t xml:space="preserve"> revised plans </w:t>
      </w:r>
      <w:r w:rsidRPr="00E52AA5" w:rsidR="005C5609">
        <w:rPr>
          <w:rFonts w:ascii="Times New Roman" w:hAnsi="Times New Roman" w:cs="Times New Roman"/>
        </w:rPr>
        <w:t>per year</w:t>
      </w:r>
      <w:r w:rsidRPr="00E52AA5" w:rsidR="006C645F">
        <w:rPr>
          <w:rFonts w:ascii="Times New Roman" w:hAnsi="Times New Roman" w:cs="Times New Roman"/>
        </w:rPr>
        <w:t xml:space="preserve"> (</w:t>
      </w:r>
      <w:r w:rsidRPr="00E52AA5" w:rsidR="007C4C9D">
        <w:rPr>
          <w:rFonts w:ascii="Times New Roman" w:hAnsi="Times New Roman" w:cs="Times New Roman"/>
        </w:rPr>
        <w:t xml:space="preserve">287 </w:t>
      </w:r>
      <w:r w:rsidRPr="00E52AA5" w:rsidR="006C645F">
        <w:rPr>
          <w:rFonts w:ascii="Times New Roman" w:hAnsi="Times New Roman" w:cs="Times New Roman"/>
        </w:rPr>
        <w:t>respondents)</w:t>
      </w:r>
      <w:r w:rsidRPr="00E52AA5">
        <w:rPr>
          <w:rFonts w:ascii="Times New Roman" w:hAnsi="Times New Roman" w:cs="Times New Roman"/>
        </w:rPr>
        <w:t>.  MSHA estimates that</w:t>
      </w:r>
      <w:r w:rsidRPr="00E52AA5" w:rsidR="005C5609">
        <w:rPr>
          <w:rFonts w:ascii="Times New Roman" w:hAnsi="Times New Roman" w:cs="Times New Roman"/>
        </w:rPr>
        <w:t xml:space="preserve"> a mine </w:t>
      </w:r>
      <w:r w:rsidRPr="00E52AA5">
        <w:rPr>
          <w:rFonts w:ascii="Times New Roman" w:hAnsi="Times New Roman" w:cs="Times New Roman"/>
        </w:rPr>
        <w:t xml:space="preserve">engineer </w:t>
      </w:r>
      <w:r w:rsidRPr="000C71C2" w:rsidR="002E441C">
        <w:rPr>
          <w:rFonts w:ascii="Times New Roman" w:hAnsi="Times New Roman" w:cs="Times New Roman"/>
          <w:color w:val="auto"/>
        </w:rPr>
        <w:t>earning $71.28 per hour</w:t>
      </w:r>
      <w:r w:rsidRPr="00E52AA5" w:rsidR="002E441C">
        <w:rPr>
          <w:rFonts w:ascii="Times New Roman" w:hAnsi="Times New Roman" w:cs="Times New Roman"/>
        </w:rPr>
        <w:t xml:space="preserve"> </w:t>
      </w:r>
      <w:r w:rsidRPr="00E52AA5">
        <w:rPr>
          <w:rFonts w:ascii="Times New Roman" w:hAnsi="Times New Roman" w:cs="Times New Roman"/>
        </w:rPr>
        <w:t xml:space="preserve">will take </w:t>
      </w:r>
      <w:r w:rsidRPr="00E52AA5" w:rsidR="005C5609">
        <w:rPr>
          <w:rFonts w:ascii="Times New Roman" w:hAnsi="Times New Roman" w:cs="Times New Roman"/>
        </w:rPr>
        <w:t xml:space="preserve">approximately 8 hours to develop a </w:t>
      </w:r>
      <w:r w:rsidRPr="00E52AA5">
        <w:rPr>
          <w:rFonts w:ascii="Times New Roman" w:hAnsi="Times New Roman" w:cs="Times New Roman"/>
        </w:rPr>
        <w:t xml:space="preserve">new </w:t>
      </w:r>
      <w:r w:rsidRPr="00E52AA5" w:rsidR="00A279BC">
        <w:rPr>
          <w:rFonts w:ascii="Times New Roman" w:hAnsi="Times New Roman" w:cs="Times New Roman"/>
        </w:rPr>
        <w:t xml:space="preserve">ground </w:t>
      </w:r>
      <w:r w:rsidRPr="00E52AA5" w:rsidR="005C5609">
        <w:rPr>
          <w:rFonts w:ascii="Times New Roman" w:hAnsi="Times New Roman" w:cs="Times New Roman"/>
        </w:rPr>
        <w:t>control plan</w:t>
      </w:r>
      <w:r w:rsidRPr="00E52AA5">
        <w:rPr>
          <w:rFonts w:ascii="Times New Roman" w:hAnsi="Times New Roman" w:cs="Times New Roman"/>
        </w:rPr>
        <w:t xml:space="preserve"> and approximately 5 hours to draft </w:t>
      </w:r>
      <w:r w:rsidRPr="00E52AA5" w:rsidR="00A279BC">
        <w:rPr>
          <w:rFonts w:ascii="Times New Roman" w:hAnsi="Times New Roman" w:cs="Times New Roman"/>
        </w:rPr>
        <w:t xml:space="preserve">and submit </w:t>
      </w:r>
      <w:r w:rsidRPr="00E52AA5">
        <w:rPr>
          <w:rFonts w:ascii="Times New Roman" w:hAnsi="Times New Roman" w:cs="Times New Roman"/>
        </w:rPr>
        <w:t>a revised plan for approval</w:t>
      </w:r>
      <w:r w:rsidRPr="00E52AA5" w:rsidR="006D6316">
        <w:rPr>
          <w:rFonts w:ascii="Times New Roman" w:hAnsi="Times New Roman" w:cs="Times New Roman"/>
        </w:rPr>
        <w:t>.</w:t>
      </w:r>
    </w:p>
    <w:p w:rsidRPr="000C71C2" w:rsidR="004B6D6C" w:rsidP="00A6042E" w:rsidRDefault="004B6D6C" w14:paraId="1BFF6884" w14:textId="7FE92C42">
      <w:pPr>
        <w:pStyle w:val="Default"/>
        <w:widowControl/>
        <w:rPr>
          <w:rFonts w:ascii="Times New Roman" w:hAnsi="Times New Roman" w:cs="Times New Roman"/>
          <w:color w:val="auto"/>
        </w:rPr>
      </w:pPr>
    </w:p>
    <w:p w:rsidRPr="00E52AA5" w:rsidR="005C5609" w:rsidP="00A6042E" w:rsidRDefault="005C5609" w14:paraId="6FE651CE" w14:textId="6DF8FA4C">
      <w:pPr>
        <w:pStyle w:val="Default"/>
        <w:widowControl/>
        <w:rPr>
          <w:rFonts w:ascii="Times New Roman" w:hAnsi="Times New Roman" w:cs="Times New Roman"/>
          <w:color w:val="auto"/>
        </w:rPr>
      </w:pPr>
      <w:r w:rsidRPr="00E52AA5">
        <w:rPr>
          <w:rFonts w:ascii="Times New Roman" w:hAnsi="Times New Roman" w:cs="Times New Roman"/>
        </w:rPr>
        <w:t xml:space="preserve">MSHA estimates that approximately </w:t>
      </w:r>
      <w:r w:rsidRPr="00E52AA5" w:rsidR="00196D85">
        <w:rPr>
          <w:rFonts w:ascii="Times New Roman" w:hAnsi="Times New Roman" w:cs="Times New Roman"/>
        </w:rPr>
        <w:t>6 minutes</w:t>
      </w:r>
      <w:r w:rsidRPr="00E52AA5">
        <w:rPr>
          <w:rFonts w:ascii="Times New Roman" w:hAnsi="Times New Roman" w:cs="Times New Roman"/>
        </w:rPr>
        <w:t xml:space="preserve"> of clerical time is required for each plan for copying, filing, mailing, etc.</w:t>
      </w:r>
      <w:r w:rsidRPr="000C71C2" w:rsidR="00090162">
        <w:rPr>
          <w:rFonts w:ascii="Times New Roman" w:hAnsi="Times New Roman" w:cs="Times New Roman"/>
        </w:rPr>
        <w:t xml:space="preserve"> </w:t>
      </w:r>
      <w:r w:rsidRPr="000C71C2" w:rsidR="006D6316">
        <w:rPr>
          <w:rFonts w:ascii="Times New Roman" w:hAnsi="Times New Roman" w:cs="Times New Roman"/>
        </w:rPr>
        <w:t xml:space="preserve">for a </w:t>
      </w:r>
      <w:r w:rsidRPr="00E52AA5" w:rsidR="006D6316">
        <w:rPr>
          <w:rFonts w:ascii="Times New Roman" w:hAnsi="Times New Roman" w:cs="Times New Roman"/>
        </w:rPr>
        <w:t xml:space="preserve">clerical worker </w:t>
      </w:r>
      <w:r w:rsidRPr="000C71C2" w:rsidR="002E441C">
        <w:rPr>
          <w:rFonts w:ascii="Times New Roman" w:hAnsi="Times New Roman" w:cs="Times New Roman"/>
          <w:color w:val="auto"/>
        </w:rPr>
        <w:t>earning</w:t>
      </w:r>
      <w:r w:rsidRPr="00E52AA5" w:rsidR="006D6316">
        <w:rPr>
          <w:rFonts w:ascii="Times New Roman" w:hAnsi="Times New Roman" w:cs="Times New Roman"/>
        </w:rPr>
        <w:t xml:space="preserve"> $</w:t>
      </w:r>
      <w:r w:rsidRPr="000C71C2" w:rsidR="002E441C">
        <w:rPr>
          <w:rFonts w:ascii="Times New Roman" w:hAnsi="Times New Roman" w:cs="Times New Roman"/>
          <w:color w:val="auto"/>
        </w:rPr>
        <w:t>33.44</w:t>
      </w:r>
      <w:r w:rsidRPr="00E52AA5" w:rsidR="006D6316">
        <w:rPr>
          <w:rFonts w:ascii="Times New Roman" w:hAnsi="Times New Roman" w:cs="Times New Roman"/>
        </w:rPr>
        <w:t xml:space="preserve"> per hour.  The hour burden costs associated with copying, filing, and mailing new and revised ground control plans is </w:t>
      </w:r>
      <w:r w:rsidR="000C71C2">
        <w:rPr>
          <w:rFonts w:ascii="Times New Roman" w:hAnsi="Times New Roman" w:cs="Times New Roman"/>
        </w:rPr>
        <w:t xml:space="preserve">detailed </w:t>
      </w:r>
      <w:r w:rsidRPr="00E52AA5" w:rsidR="006D6316">
        <w:rPr>
          <w:rFonts w:ascii="Times New Roman" w:hAnsi="Times New Roman" w:cs="Times New Roman"/>
        </w:rPr>
        <w:t>in the chart below. MSHA used data from the May 20</w:t>
      </w:r>
      <w:r w:rsidRPr="000C71C2" w:rsidR="002E441C">
        <w:rPr>
          <w:rFonts w:ascii="Times New Roman" w:hAnsi="Times New Roman" w:cs="Times New Roman"/>
          <w:color w:val="auto"/>
        </w:rPr>
        <w:t>20</w:t>
      </w:r>
      <w:r w:rsidRPr="00E52AA5" w:rsidR="006D6316">
        <w:rPr>
          <w:rFonts w:ascii="Times New Roman" w:hAnsi="Times New Roman" w:cs="Times New Roman"/>
        </w:rPr>
        <w:t xml:space="preserve"> Occupational Employment </w:t>
      </w:r>
      <w:r w:rsidRPr="000C71C2" w:rsidR="002E441C">
        <w:rPr>
          <w:rFonts w:ascii="Times New Roman" w:hAnsi="Times New Roman" w:cs="Times New Roman"/>
          <w:color w:val="auto"/>
        </w:rPr>
        <w:t xml:space="preserve">and </w:t>
      </w:r>
      <w:r w:rsidRPr="00E52AA5" w:rsidR="002E441C">
        <w:rPr>
          <w:rFonts w:ascii="Times New Roman" w:hAnsi="Times New Roman" w:cs="Times New Roman"/>
          <w:color w:val="auto"/>
        </w:rPr>
        <w:lastRenderedPageBreak/>
        <w:t xml:space="preserve">Wage </w:t>
      </w:r>
      <w:r w:rsidRPr="00E52AA5" w:rsidR="006D6316">
        <w:rPr>
          <w:rFonts w:ascii="Times New Roman" w:hAnsi="Times New Roman" w:cs="Times New Roman"/>
        </w:rPr>
        <w:t>Statistics (OE</w:t>
      </w:r>
      <w:r w:rsidRPr="00E52AA5" w:rsidR="002E441C">
        <w:rPr>
          <w:rFonts w:ascii="Times New Roman" w:hAnsi="Times New Roman" w:cs="Times New Roman"/>
          <w:color w:val="auto"/>
        </w:rPr>
        <w:t>W</w:t>
      </w:r>
      <w:r w:rsidRPr="00E52AA5" w:rsidR="006D6316">
        <w:rPr>
          <w:rFonts w:ascii="Times New Roman" w:hAnsi="Times New Roman" w:cs="Times New Roman"/>
        </w:rPr>
        <w:t>S)</w:t>
      </w:r>
      <w:r w:rsidRPr="00E52AA5" w:rsidR="006D6316">
        <w:rPr>
          <w:rFonts w:ascii="Times New Roman" w:hAnsi="Times New Roman" w:cs="Times New Roman"/>
          <w:color w:val="auto"/>
        </w:rPr>
        <w:t xml:space="preserve"> published by the Bureau of Labor Statistics (BLS) for hourly wage rates</w:t>
      </w:r>
      <w:r w:rsidRPr="00E52AA5" w:rsidR="006D6316">
        <w:rPr>
          <w:rFonts w:ascii="Times New Roman" w:hAnsi="Times New Roman" w:cs="Times New Roman"/>
          <w:color w:val="auto"/>
          <w:vertAlign w:val="superscript"/>
        </w:rPr>
        <w:footnoteReference w:id="1"/>
      </w:r>
      <w:r w:rsidRPr="00E52AA5" w:rsidR="006D6316">
        <w:rPr>
          <w:rFonts w:ascii="Times New Roman" w:hAnsi="Times New Roman" w:cs="Times New Roman"/>
          <w:color w:val="auto"/>
        </w:rPr>
        <w:t xml:space="preserve"> and adjusted the rates for benefits</w:t>
      </w:r>
      <w:r w:rsidRPr="00E52AA5" w:rsidR="006D6316">
        <w:rPr>
          <w:rFonts w:ascii="Times New Roman" w:hAnsi="Times New Roman" w:cs="Times New Roman"/>
          <w:color w:val="auto"/>
          <w:vertAlign w:val="superscript"/>
        </w:rPr>
        <w:footnoteReference w:id="2"/>
      </w:r>
      <w:r w:rsidRPr="00E52AA5" w:rsidR="006D6316">
        <w:rPr>
          <w:rFonts w:ascii="Times New Roman" w:hAnsi="Times New Roman" w:cs="Times New Roman"/>
          <w:color w:val="auto"/>
        </w:rPr>
        <w:t xml:space="preserve"> and wage inflation</w:t>
      </w:r>
      <w:r w:rsidRPr="00E52AA5" w:rsidR="006D6316">
        <w:rPr>
          <w:rFonts w:ascii="Times New Roman" w:hAnsi="Times New Roman" w:cs="Times New Roman"/>
          <w:color w:val="auto"/>
          <w:vertAlign w:val="superscript"/>
        </w:rPr>
        <w:footnoteReference w:id="3"/>
      </w:r>
      <w:r w:rsidRPr="00E52AA5" w:rsidR="006D6316">
        <w:rPr>
          <w:rFonts w:ascii="Times New Roman" w:hAnsi="Times New Roman" w:cs="Times New Roman"/>
          <w:color w:val="auto"/>
        </w:rPr>
        <w:t>.</w:t>
      </w:r>
      <w:r w:rsidRPr="00E52AA5">
        <w:rPr>
          <w:rFonts w:ascii="Times New Roman" w:hAnsi="Times New Roman" w:cs="Times New Roman"/>
          <w:color w:val="auto"/>
        </w:rPr>
        <w:t xml:space="preserve"> </w:t>
      </w:r>
    </w:p>
    <w:p w:rsidRPr="00E52AA5" w:rsidR="000E0D7A" w:rsidP="00A6042E" w:rsidRDefault="000E0D7A" w14:paraId="1D409EC9" w14:textId="77777777">
      <w:pPr>
        <w:pStyle w:val="Default"/>
        <w:widowControl/>
        <w:jc w:val="center"/>
        <w:rPr>
          <w:rFonts w:ascii="Times New Roman" w:hAnsi="Times New Roman" w:cs="Times New Roman"/>
          <w:b/>
          <w:color w:val="auto"/>
        </w:rPr>
      </w:pPr>
    </w:p>
    <w:p w:rsidRPr="00E52AA5" w:rsidR="000E0D7A" w:rsidP="00A6042E" w:rsidRDefault="000E0D7A" w14:paraId="2A68853A" w14:textId="77777777">
      <w:pPr>
        <w:pStyle w:val="Default"/>
        <w:widowControl/>
        <w:jc w:val="center"/>
        <w:rPr>
          <w:rFonts w:ascii="Times New Roman" w:hAnsi="Times New Roman" w:cs="Times New Roman"/>
          <w:b/>
          <w:color w:val="auto"/>
        </w:rPr>
      </w:pPr>
    </w:p>
    <w:p w:rsidRPr="00E52AA5" w:rsidR="000E0D7A" w:rsidP="000E0D7A" w:rsidRDefault="000E0D7A" w14:paraId="05334B5D" w14:textId="77777777">
      <w:pPr>
        <w:keepNext/>
        <w:keepLines/>
        <w:autoSpaceDE w:val="0"/>
        <w:autoSpaceDN w:val="0"/>
        <w:adjustRightInd w:val="0"/>
        <w:jc w:val="center"/>
        <w:rPr>
          <w:b/>
          <w:bCs/>
          <w:color w:val="000000"/>
        </w:rPr>
      </w:pPr>
      <w:r w:rsidRPr="00E52AA5">
        <w:rPr>
          <w:b/>
          <w:bCs/>
          <w:color w:val="000000"/>
        </w:rPr>
        <w:t>Estimated Annualized Respondent Cost and Hour Burden</w:t>
      </w:r>
    </w:p>
    <w:p w:rsidRPr="00E52AA5" w:rsidR="000E0D7A" w:rsidP="000E0D7A" w:rsidRDefault="000E0D7A" w14:paraId="1BDEDFF1" w14:textId="77777777">
      <w:pPr>
        <w:tabs>
          <w:tab w:val="left" w:pos="-720"/>
        </w:tabs>
        <w:suppressAutoHyphens/>
        <w:rPr>
          <w:sz w:val="16"/>
          <w:szCs w:val="16"/>
        </w:rPr>
      </w:pPr>
    </w:p>
    <w:tbl>
      <w:tblPr>
        <w:tblW w:w="10796" w:type="dxa"/>
        <w:tblInd w:w="-648" w:type="dxa"/>
        <w:tblLayout w:type="fixed"/>
        <w:tblLook w:val="0000" w:firstRow="0" w:lastRow="0" w:firstColumn="0" w:lastColumn="0" w:noHBand="0" w:noVBand="0"/>
      </w:tblPr>
      <w:tblGrid>
        <w:gridCol w:w="1363"/>
        <w:gridCol w:w="1530"/>
        <w:gridCol w:w="1440"/>
        <w:gridCol w:w="1350"/>
        <w:gridCol w:w="1260"/>
        <w:gridCol w:w="1260"/>
        <w:gridCol w:w="1260"/>
        <w:gridCol w:w="1333"/>
      </w:tblGrid>
      <w:tr w:rsidRPr="00E52AA5" w:rsidR="000E0D7A" w:rsidTr="003C4D40" w14:paraId="51376E45" w14:textId="77777777">
        <w:trPr>
          <w:trHeight w:val="1545"/>
        </w:trPr>
        <w:tc>
          <w:tcPr>
            <w:tcW w:w="1363"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5041DA05" w14:textId="77777777">
            <w:pPr>
              <w:jc w:val="center"/>
              <w:rPr>
                <w:b/>
                <w:bCs/>
                <w:sz w:val="20"/>
                <w:szCs w:val="20"/>
              </w:rPr>
            </w:pPr>
            <w:r w:rsidRPr="00E52AA5">
              <w:rPr>
                <w:b/>
                <w:sz w:val="20"/>
                <w:szCs w:val="20"/>
              </w:rPr>
              <w:t>Activity/ Section</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0955D7DF" w14:textId="77777777">
            <w:pPr>
              <w:jc w:val="center"/>
              <w:rPr>
                <w:b/>
                <w:bCs/>
                <w:sz w:val="20"/>
                <w:szCs w:val="20"/>
              </w:rPr>
            </w:pPr>
            <w:r w:rsidRPr="00E52AA5">
              <w:rPr>
                <w:b/>
                <w:sz w:val="20"/>
                <w:szCs w:val="20"/>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3D4748A0" w14:textId="77777777">
            <w:pPr>
              <w:widowControl w:val="0"/>
              <w:autoSpaceDE w:val="0"/>
              <w:autoSpaceDN w:val="0"/>
              <w:adjustRightInd w:val="0"/>
              <w:spacing w:line="276" w:lineRule="auto"/>
              <w:jc w:val="center"/>
              <w:rPr>
                <w:b/>
                <w:sz w:val="20"/>
                <w:szCs w:val="20"/>
              </w:rPr>
            </w:pPr>
          </w:p>
          <w:p w:rsidRPr="00E52AA5" w:rsidR="000E0D7A" w:rsidP="000E0D7A" w:rsidRDefault="000E0D7A" w14:paraId="72B9E7F5" w14:textId="77777777">
            <w:pPr>
              <w:widowControl w:val="0"/>
              <w:autoSpaceDE w:val="0"/>
              <w:autoSpaceDN w:val="0"/>
              <w:adjustRightInd w:val="0"/>
              <w:spacing w:line="276" w:lineRule="auto"/>
              <w:jc w:val="center"/>
              <w:rPr>
                <w:b/>
                <w:sz w:val="20"/>
                <w:szCs w:val="20"/>
              </w:rPr>
            </w:pPr>
            <w:r w:rsidRPr="00E52AA5">
              <w:rPr>
                <w:b/>
                <w:sz w:val="20"/>
                <w:szCs w:val="20"/>
              </w:rPr>
              <w:t>No. of Responses</w:t>
            </w:r>
          </w:p>
          <w:p w:rsidRPr="00E52AA5" w:rsidR="000E0D7A" w:rsidP="000E0D7A" w:rsidRDefault="000E0D7A" w14:paraId="610486EE" w14:textId="77777777">
            <w:pPr>
              <w:jc w:val="center"/>
              <w:rPr>
                <w:b/>
                <w:sz w:val="20"/>
                <w:szCs w:val="20"/>
              </w:rPr>
            </w:pPr>
            <w:r w:rsidRPr="00E52AA5">
              <w:rPr>
                <w:b/>
                <w:sz w:val="20"/>
                <w:szCs w:val="20"/>
              </w:rPr>
              <w:t>Per</w:t>
            </w:r>
          </w:p>
          <w:p w:rsidRPr="00E52AA5" w:rsidR="000E0D7A" w:rsidP="000E0D7A" w:rsidRDefault="000E0D7A" w14:paraId="05B94C14" w14:textId="77777777">
            <w:pPr>
              <w:jc w:val="center"/>
              <w:rPr>
                <w:b/>
                <w:bCs/>
                <w:sz w:val="20"/>
                <w:szCs w:val="20"/>
              </w:rPr>
            </w:pPr>
            <w:r w:rsidRPr="00E52AA5">
              <w:rPr>
                <w:b/>
                <w:sz w:val="20"/>
                <w:szCs w:val="20"/>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30A85928" w14:textId="77777777">
            <w:pPr>
              <w:jc w:val="center"/>
              <w:rPr>
                <w:b/>
                <w:bCs/>
                <w:sz w:val="20"/>
                <w:szCs w:val="20"/>
              </w:rPr>
            </w:pPr>
            <w:r w:rsidRPr="00E52AA5">
              <w:rPr>
                <w:b/>
                <w:sz w:val="20"/>
                <w:szCs w:val="20"/>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45712EB8" w14:textId="77777777">
            <w:pPr>
              <w:jc w:val="center"/>
              <w:rPr>
                <w:b/>
                <w:bCs/>
                <w:sz w:val="20"/>
                <w:szCs w:val="20"/>
              </w:rPr>
            </w:pPr>
            <w:r w:rsidRPr="00E52AA5">
              <w:rPr>
                <w:b/>
                <w:sz w:val="20"/>
                <w:szCs w:val="20"/>
              </w:rPr>
              <w:t>Average Burden per Response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221A24DC" w14:textId="77777777">
            <w:pPr>
              <w:jc w:val="center"/>
              <w:rPr>
                <w:b/>
                <w:bCs/>
                <w:sz w:val="20"/>
                <w:szCs w:val="20"/>
              </w:rPr>
            </w:pPr>
            <w:r w:rsidRPr="00E52AA5">
              <w:rPr>
                <w:b/>
                <w:sz w:val="20"/>
                <w:szCs w:val="20"/>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0E0D7A" w14:paraId="6004C17E" w14:textId="77777777">
            <w:pPr>
              <w:widowControl w:val="0"/>
              <w:autoSpaceDE w:val="0"/>
              <w:autoSpaceDN w:val="0"/>
              <w:adjustRightInd w:val="0"/>
              <w:spacing w:line="276" w:lineRule="auto"/>
              <w:jc w:val="center"/>
              <w:rPr>
                <w:b/>
                <w:sz w:val="20"/>
                <w:szCs w:val="20"/>
              </w:rPr>
            </w:pPr>
            <w:r w:rsidRPr="00E52AA5">
              <w:rPr>
                <w:b/>
                <w:sz w:val="20"/>
                <w:szCs w:val="20"/>
              </w:rPr>
              <w:t>Hourly</w:t>
            </w:r>
          </w:p>
          <w:p w:rsidRPr="00E52AA5" w:rsidR="000E0D7A" w:rsidP="000E0D7A" w:rsidRDefault="000E0D7A" w14:paraId="317FFA1B" w14:textId="77777777">
            <w:pPr>
              <w:jc w:val="center"/>
              <w:rPr>
                <w:b/>
                <w:bCs/>
                <w:sz w:val="20"/>
                <w:szCs w:val="20"/>
              </w:rPr>
            </w:pPr>
            <w:r w:rsidRPr="00E52AA5">
              <w:rPr>
                <w:b/>
                <w:sz w:val="20"/>
                <w:szCs w:val="20"/>
              </w:rPr>
              <w:t>Wage Rate</w:t>
            </w:r>
          </w:p>
        </w:tc>
        <w:tc>
          <w:tcPr>
            <w:tcW w:w="1333" w:type="dxa"/>
            <w:tcBorders>
              <w:top w:val="single" w:color="auto" w:sz="4" w:space="0"/>
              <w:left w:val="single" w:color="auto" w:sz="4" w:space="0"/>
              <w:bottom w:val="single" w:color="auto" w:sz="4" w:space="0"/>
              <w:right w:val="single" w:color="auto" w:sz="4" w:space="0"/>
            </w:tcBorders>
            <w:shd w:val="clear" w:color="auto" w:fill="8DB3E2"/>
            <w:vAlign w:val="bottom"/>
          </w:tcPr>
          <w:p w:rsidRPr="00E52AA5" w:rsidR="000E0D7A" w:rsidP="000E0D7A" w:rsidRDefault="00401977" w14:paraId="15AAB6E7" w14:textId="561CFD53">
            <w:pPr>
              <w:jc w:val="center"/>
              <w:rPr>
                <w:b/>
                <w:bCs/>
                <w:sz w:val="20"/>
                <w:szCs w:val="20"/>
              </w:rPr>
            </w:pPr>
            <w:r>
              <w:rPr>
                <w:b/>
                <w:sz w:val="20"/>
                <w:szCs w:val="20"/>
              </w:rPr>
              <w:t>Monetized Value of Time</w:t>
            </w:r>
          </w:p>
        </w:tc>
      </w:tr>
      <w:tr w:rsidRPr="00E52AA5" w:rsidR="000E0D7A" w:rsidTr="003C4D40" w14:paraId="0F236B70"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vAlign w:val="bottom"/>
          </w:tcPr>
          <w:p w:rsidRPr="00E52AA5" w:rsidR="000E0D7A" w:rsidP="00231DDA" w:rsidRDefault="000E0D7A" w14:paraId="568E294D" w14:textId="77777777">
            <w:pPr>
              <w:rPr>
                <w:sz w:val="20"/>
                <w:szCs w:val="20"/>
              </w:rPr>
            </w:pPr>
            <w:r w:rsidRPr="00E52AA5">
              <w:rPr>
                <w:sz w:val="20"/>
                <w:szCs w:val="20"/>
              </w:rPr>
              <w:t>75.1732(d)</w:t>
            </w:r>
          </w:p>
          <w:p w:rsidRPr="00E52AA5" w:rsidR="000E0D7A" w:rsidP="00231DDA" w:rsidRDefault="000E0D7A" w14:paraId="26D35FD1" w14:textId="77777777">
            <w:pPr>
              <w:rPr>
                <w:sz w:val="20"/>
                <w:szCs w:val="20"/>
              </w:rPr>
            </w:pPr>
            <w:r w:rsidRPr="00E52AA5">
              <w:rPr>
                <w:sz w:val="20"/>
                <w:szCs w:val="20"/>
              </w:rPr>
              <w:t>(1)</w:t>
            </w:r>
          </w:p>
          <w:p w:rsidRPr="00E52AA5" w:rsidR="000E0D7A" w:rsidP="00231DDA" w:rsidRDefault="000E0D7A" w14:paraId="160F9D89" w14:textId="5C1A14F1">
            <w:pPr>
              <w:rPr>
                <w:sz w:val="20"/>
                <w:szCs w:val="20"/>
              </w:rPr>
            </w:pPr>
            <w:r w:rsidRPr="00E52AA5">
              <w:rPr>
                <w:sz w:val="20"/>
                <w:szCs w:val="20"/>
              </w:rPr>
              <w:t>(</w:t>
            </w:r>
            <w:r w:rsidRPr="00E52AA5" w:rsidR="003703E0">
              <w:rPr>
                <w:sz w:val="20"/>
                <w:szCs w:val="20"/>
              </w:rPr>
              <w:t>New ground control plans)</w:t>
            </w:r>
          </w:p>
        </w:tc>
        <w:tc>
          <w:tcPr>
            <w:tcW w:w="1530" w:type="dxa"/>
            <w:tcBorders>
              <w:top w:val="nil"/>
              <w:left w:val="nil"/>
              <w:bottom w:val="single" w:color="auto" w:sz="8" w:space="0"/>
              <w:right w:val="single" w:color="auto" w:sz="8" w:space="0"/>
            </w:tcBorders>
            <w:shd w:val="clear" w:color="auto" w:fill="FFFFFF"/>
            <w:vAlign w:val="bottom"/>
          </w:tcPr>
          <w:p w:rsidRPr="00E52AA5" w:rsidR="000E0D7A" w:rsidP="000E0D7A" w:rsidRDefault="003703E0" w14:paraId="701B449E" w14:textId="0B3FD3CD">
            <w:pPr>
              <w:jc w:val="center"/>
              <w:rPr>
                <w:sz w:val="20"/>
                <w:szCs w:val="20"/>
              </w:rPr>
            </w:pPr>
            <w:r w:rsidRPr="00E52AA5">
              <w:rPr>
                <w:sz w:val="20"/>
                <w:szCs w:val="20"/>
              </w:rPr>
              <w:t>166</w:t>
            </w:r>
          </w:p>
        </w:tc>
        <w:tc>
          <w:tcPr>
            <w:tcW w:w="1440" w:type="dxa"/>
            <w:tcBorders>
              <w:top w:val="nil"/>
              <w:left w:val="nil"/>
              <w:bottom w:val="single" w:color="auto" w:sz="8" w:space="0"/>
              <w:right w:val="single" w:color="auto" w:sz="8" w:space="0"/>
            </w:tcBorders>
            <w:shd w:val="clear" w:color="auto" w:fill="F2F2F2"/>
            <w:vAlign w:val="bottom"/>
          </w:tcPr>
          <w:p w:rsidRPr="00E52AA5" w:rsidR="000E0D7A" w:rsidP="000E0D7A" w:rsidRDefault="000E0D7A" w14:paraId="4A00B6DE" w14:textId="27456233">
            <w:pPr>
              <w:jc w:val="center"/>
              <w:rPr>
                <w:sz w:val="20"/>
                <w:szCs w:val="20"/>
              </w:rPr>
            </w:pPr>
            <w:r w:rsidRPr="00E52AA5">
              <w:rPr>
                <w:sz w:val="20"/>
                <w:szCs w:val="20"/>
              </w:rPr>
              <w:t>1</w:t>
            </w:r>
          </w:p>
        </w:tc>
        <w:tc>
          <w:tcPr>
            <w:tcW w:w="1350" w:type="dxa"/>
            <w:tcBorders>
              <w:top w:val="nil"/>
              <w:left w:val="nil"/>
              <w:bottom w:val="single" w:color="auto" w:sz="8" w:space="0"/>
              <w:right w:val="single" w:color="auto" w:sz="8" w:space="0"/>
            </w:tcBorders>
            <w:shd w:val="clear" w:color="auto" w:fill="F2F2F2"/>
            <w:vAlign w:val="bottom"/>
          </w:tcPr>
          <w:p w:rsidRPr="00E52AA5" w:rsidR="000E0D7A" w:rsidP="000E0D7A" w:rsidRDefault="003703E0" w14:paraId="6C70DB2B" w14:textId="74E565D7">
            <w:pPr>
              <w:jc w:val="right"/>
              <w:rPr>
                <w:sz w:val="20"/>
                <w:szCs w:val="20"/>
              </w:rPr>
            </w:pPr>
            <w:r w:rsidRPr="00E52AA5">
              <w:rPr>
                <w:sz w:val="20"/>
                <w:szCs w:val="20"/>
              </w:rPr>
              <w:t>166</w:t>
            </w:r>
          </w:p>
        </w:tc>
        <w:tc>
          <w:tcPr>
            <w:tcW w:w="1260" w:type="dxa"/>
            <w:tcBorders>
              <w:top w:val="nil"/>
              <w:left w:val="nil"/>
              <w:bottom w:val="single" w:color="auto" w:sz="8" w:space="0"/>
              <w:right w:val="single" w:color="auto" w:sz="8" w:space="0"/>
            </w:tcBorders>
            <w:shd w:val="clear" w:color="auto" w:fill="F2F2F2"/>
            <w:vAlign w:val="bottom"/>
          </w:tcPr>
          <w:p w:rsidRPr="00E52AA5" w:rsidR="000E0D7A" w:rsidP="000135C7" w:rsidRDefault="003703E0" w14:paraId="4094F50F" w14:textId="1F80E20B">
            <w:pPr>
              <w:jc w:val="right"/>
              <w:rPr>
                <w:sz w:val="20"/>
                <w:szCs w:val="20"/>
              </w:rPr>
            </w:pPr>
            <w:r w:rsidRPr="00E52AA5">
              <w:rPr>
                <w:sz w:val="20"/>
                <w:szCs w:val="20"/>
              </w:rPr>
              <w:t xml:space="preserve">8 </w:t>
            </w:r>
            <w:r w:rsidRPr="00E52AA5" w:rsidR="000E0D7A">
              <w:rPr>
                <w:sz w:val="20"/>
                <w:szCs w:val="20"/>
              </w:rPr>
              <w:t xml:space="preserve">h </w:t>
            </w:r>
          </w:p>
        </w:tc>
        <w:tc>
          <w:tcPr>
            <w:tcW w:w="1260" w:type="dxa"/>
            <w:tcBorders>
              <w:top w:val="nil"/>
              <w:left w:val="nil"/>
              <w:bottom w:val="single" w:color="auto" w:sz="8" w:space="0"/>
              <w:right w:val="single" w:color="auto" w:sz="8" w:space="0"/>
            </w:tcBorders>
            <w:shd w:val="clear" w:color="auto" w:fill="F2F2F2"/>
            <w:vAlign w:val="bottom"/>
          </w:tcPr>
          <w:p w:rsidRPr="00E52AA5" w:rsidR="000E0D7A" w:rsidP="004E2E30" w:rsidRDefault="003703E0" w14:paraId="2D8A24C8" w14:textId="63437353">
            <w:pPr>
              <w:jc w:val="right"/>
              <w:rPr>
                <w:sz w:val="20"/>
                <w:szCs w:val="20"/>
              </w:rPr>
            </w:pPr>
            <w:r w:rsidRPr="00E52AA5">
              <w:rPr>
                <w:sz w:val="20"/>
                <w:szCs w:val="20"/>
              </w:rPr>
              <w:t>1,328</w:t>
            </w:r>
            <w:r w:rsidRPr="00E52AA5" w:rsidR="00EB108C">
              <w:rPr>
                <w:sz w:val="20"/>
                <w:szCs w:val="20"/>
              </w:rPr>
              <w:t>.00</w:t>
            </w:r>
            <w:r w:rsidRPr="00E52AA5" w:rsidR="00AD2428">
              <w:rPr>
                <w:sz w:val="20"/>
                <w:szCs w:val="20"/>
              </w:rPr>
              <w:t xml:space="preserve"> </w:t>
            </w:r>
          </w:p>
        </w:tc>
        <w:tc>
          <w:tcPr>
            <w:tcW w:w="1260" w:type="dxa"/>
            <w:tcBorders>
              <w:top w:val="nil"/>
              <w:left w:val="nil"/>
              <w:bottom w:val="single" w:color="auto" w:sz="8" w:space="0"/>
              <w:right w:val="single" w:color="auto" w:sz="8" w:space="0"/>
            </w:tcBorders>
            <w:shd w:val="clear" w:color="auto" w:fill="F2F2F2"/>
            <w:vAlign w:val="bottom"/>
          </w:tcPr>
          <w:p w:rsidRPr="00E52AA5" w:rsidR="000E0D7A" w:rsidP="000E0D7A" w:rsidRDefault="000E0D7A" w14:paraId="27B1C873" w14:textId="321FB6E5">
            <w:pPr>
              <w:jc w:val="right"/>
              <w:rPr>
                <w:sz w:val="20"/>
                <w:szCs w:val="20"/>
              </w:rPr>
            </w:pPr>
            <w:r w:rsidRPr="00E52AA5">
              <w:rPr>
                <w:sz w:val="20"/>
                <w:szCs w:val="20"/>
              </w:rPr>
              <w:t>$</w:t>
            </w:r>
            <w:r w:rsidRPr="00E52AA5" w:rsidR="009B31B2">
              <w:rPr>
                <w:sz w:val="20"/>
                <w:szCs w:val="20"/>
              </w:rPr>
              <w:t>71.28</w:t>
            </w:r>
          </w:p>
        </w:tc>
        <w:tc>
          <w:tcPr>
            <w:tcW w:w="1333" w:type="dxa"/>
            <w:tcBorders>
              <w:top w:val="nil"/>
              <w:left w:val="nil"/>
              <w:bottom w:val="single" w:color="auto" w:sz="8" w:space="0"/>
              <w:right w:val="single" w:color="auto" w:sz="8" w:space="0"/>
            </w:tcBorders>
            <w:shd w:val="clear" w:color="auto" w:fill="F2F2F2"/>
            <w:vAlign w:val="bottom"/>
          </w:tcPr>
          <w:p w:rsidRPr="00E52AA5" w:rsidR="000E0D7A" w:rsidP="000E0D7A" w:rsidRDefault="009B31B2" w14:paraId="6A63BBAA" w14:textId="2E6C7A11">
            <w:pPr>
              <w:jc w:val="right"/>
              <w:rPr>
                <w:sz w:val="20"/>
                <w:szCs w:val="20"/>
              </w:rPr>
            </w:pPr>
            <w:r w:rsidRPr="00E52AA5">
              <w:rPr>
                <w:sz w:val="20"/>
                <w:szCs w:val="20"/>
              </w:rPr>
              <w:t>$94,659.84</w:t>
            </w:r>
          </w:p>
        </w:tc>
      </w:tr>
      <w:tr w:rsidRPr="00E52AA5" w:rsidR="003703E0" w:rsidTr="003C4D40" w14:paraId="19B0FD95"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vAlign w:val="bottom"/>
          </w:tcPr>
          <w:p w:rsidRPr="00E52AA5" w:rsidR="003703E0" w:rsidP="00231DDA" w:rsidRDefault="003703E0" w14:paraId="000C300D" w14:textId="03739587">
            <w:pPr>
              <w:rPr>
                <w:sz w:val="20"/>
                <w:szCs w:val="20"/>
              </w:rPr>
            </w:pPr>
            <w:r w:rsidRPr="00E52AA5">
              <w:rPr>
                <w:sz w:val="20"/>
                <w:szCs w:val="20"/>
              </w:rPr>
              <w:t>(Revised ground control plans)</w:t>
            </w:r>
          </w:p>
        </w:tc>
        <w:tc>
          <w:tcPr>
            <w:tcW w:w="1530" w:type="dxa"/>
            <w:tcBorders>
              <w:top w:val="nil"/>
              <w:left w:val="nil"/>
              <w:bottom w:val="single" w:color="auto" w:sz="8" w:space="0"/>
              <w:right w:val="single" w:color="auto" w:sz="8" w:space="0"/>
            </w:tcBorders>
            <w:shd w:val="clear" w:color="auto" w:fill="FFFFFF"/>
            <w:vAlign w:val="bottom"/>
          </w:tcPr>
          <w:p w:rsidRPr="00E52AA5" w:rsidR="003703E0" w:rsidP="000E0D7A" w:rsidRDefault="003703E0" w14:paraId="6E9C15AC" w14:textId="0B7FE3E1">
            <w:pPr>
              <w:jc w:val="center"/>
              <w:rPr>
                <w:sz w:val="20"/>
                <w:szCs w:val="20"/>
              </w:rPr>
            </w:pPr>
            <w:r w:rsidRPr="00E52AA5">
              <w:rPr>
                <w:sz w:val="20"/>
                <w:szCs w:val="20"/>
              </w:rPr>
              <w:t>121</w:t>
            </w:r>
          </w:p>
        </w:tc>
        <w:tc>
          <w:tcPr>
            <w:tcW w:w="1440" w:type="dxa"/>
            <w:tcBorders>
              <w:top w:val="nil"/>
              <w:left w:val="nil"/>
              <w:bottom w:val="single" w:color="auto" w:sz="8" w:space="0"/>
              <w:right w:val="single" w:color="auto" w:sz="8" w:space="0"/>
            </w:tcBorders>
            <w:shd w:val="clear" w:color="auto" w:fill="F2F2F2"/>
            <w:vAlign w:val="bottom"/>
          </w:tcPr>
          <w:p w:rsidRPr="00E52AA5" w:rsidR="003703E0" w:rsidP="000E0D7A" w:rsidRDefault="003703E0" w14:paraId="74F8551A" w14:textId="3A850020">
            <w:pPr>
              <w:jc w:val="center"/>
              <w:rPr>
                <w:sz w:val="20"/>
                <w:szCs w:val="20"/>
              </w:rPr>
            </w:pPr>
            <w:r w:rsidRPr="00E52AA5">
              <w:rPr>
                <w:sz w:val="20"/>
                <w:szCs w:val="20"/>
              </w:rPr>
              <w:t>1</w:t>
            </w:r>
          </w:p>
        </w:tc>
        <w:tc>
          <w:tcPr>
            <w:tcW w:w="1350" w:type="dxa"/>
            <w:tcBorders>
              <w:top w:val="nil"/>
              <w:left w:val="nil"/>
              <w:bottom w:val="single" w:color="auto" w:sz="8" w:space="0"/>
              <w:right w:val="single" w:color="auto" w:sz="8" w:space="0"/>
            </w:tcBorders>
            <w:shd w:val="clear" w:color="auto" w:fill="F2F2F2"/>
            <w:vAlign w:val="bottom"/>
          </w:tcPr>
          <w:p w:rsidRPr="00E52AA5" w:rsidR="003703E0" w:rsidP="000E0D7A" w:rsidRDefault="003703E0" w14:paraId="75E5CA64" w14:textId="3FC2FD59">
            <w:pPr>
              <w:jc w:val="right"/>
              <w:rPr>
                <w:sz w:val="20"/>
                <w:szCs w:val="20"/>
              </w:rPr>
            </w:pPr>
            <w:r w:rsidRPr="00E52AA5">
              <w:rPr>
                <w:sz w:val="20"/>
                <w:szCs w:val="20"/>
              </w:rPr>
              <w:t>121</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0135C7" w:rsidRDefault="003703E0" w14:paraId="0B925997" w14:textId="1293AF40">
            <w:pPr>
              <w:jc w:val="right"/>
              <w:rPr>
                <w:sz w:val="20"/>
                <w:szCs w:val="20"/>
              </w:rPr>
            </w:pPr>
            <w:r w:rsidRPr="00E52AA5">
              <w:rPr>
                <w:sz w:val="20"/>
                <w:szCs w:val="20"/>
              </w:rPr>
              <w:t>5 h</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4E2E30" w:rsidRDefault="003703E0" w14:paraId="0883A1B1" w14:textId="607D3AA0">
            <w:pPr>
              <w:jc w:val="right"/>
              <w:rPr>
                <w:sz w:val="20"/>
                <w:szCs w:val="20"/>
              </w:rPr>
            </w:pPr>
            <w:r w:rsidRPr="00E52AA5">
              <w:rPr>
                <w:sz w:val="20"/>
                <w:szCs w:val="20"/>
              </w:rPr>
              <w:t>605</w:t>
            </w:r>
            <w:r w:rsidRPr="00E52AA5" w:rsidR="00EB108C">
              <w:rPr>
                <w:sz w:val="20"/>
                <w:szCs w:val="20"/>
              </w:rPr>
              <w:t>.00</w:t>
            </w:r>
            <w:r w:rsidRPr="00E52AA5" w:rsidR="00AD2428">
              <w:rPr>
                <w:sz w:val="20"/>
                <w:szCs w:val="20"/>
              </w:rPr>
              <w:t xml:space="preserve"> </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0E0D7A" w:rsidRDefault="00FA3DD4" w14:paraId="3CDEC0BE" w14:textId="6B3C9FAF">
            <w:pPr>
              <w:jc w:val="right"/>
              <w:rPr>
                <w:sz w:val="20"/>
                <w:szCs w:val="20"/>
              </w:rPr>
            </w:pPr>
            <w:r w:rsidRPr="00E52AA5">
              <w:rPr>
                <w:sz w:val="20"/>
                <w:szCs w:val="20"/>
              </w:rPr>
              <w:t>$</w:t>
            </w:r>
            <w:r w:rsidRPr="00E52AA5" w:rsidR="009B31B2">
              <w:rPr>
                <w:sz w:val="20"/>
                <w:szCs w:val="20"/>
              </w:rPr>
              <w:t>71.28</w:t>
            </w:r>
          </w:p>
        </w:tc>
        <w:tc>
          <w:tcPr>
            <w:tcW w:w="1333" w:type="dxa"/>
            <w:tcBorders>
              <w:top w:val="nil"/>
              <w:left w:val="nil"/>
              <w:bottom w:val="single" w:color="auto" w:sz="8" w:space="0"/>
              <w:right w:val="single" w:color="auto" w:sz="8" w:space="0"/>
            </w:tcBorders>
            <w:shd w:val="clear" w:color="auto" w:fill="F2F2F2"/>
            <w:vAlign w:val="bottom"/>
          </w:tcPr>
          <w:p w:rsidRPr="00E52AA5" w:rsidR="003703E0" w:rsidP="000E0D7A" w:rsidRDefault="009B31B2" w14:paraId="489510C4" w14:textId="46B6F242">
            <w:pPr>
              <w:jc w:val="right"/>
              <w:rPr>
                <w:sz w:val="20"/>
                <w:szCs w:val="20"/>
              </w:rPr>
            </w:pPr>
            <w:r w:rsidRPr="00E52AA5">
              <w:rPr>
                <w:sz w:val="20"/>
                <w:szCs w:val="20"/>
              </w:rPr>
              <w:t>$43,124.40</w:t>
            </w:r>
          </w:p>
        </w:tc>
      </w:tr>
      <w:tr w:rsidRPr="00E52AA5" w:rsidR="003703E0" w:rsidTr="003C4D40" w14:paraId="24DAAA13"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vAlign w:val="bottom"/>
          </w:tcPr>
          <w:p w:rsidRPr="00E52AA5" w:rsidR="003703E0" w:rsidP="00231DDA" w:rsidRDefault="003703E0" w14:paraId="174BAE41" w14:textId="4D84F963">
            <w:pPr>
              <w:rPr>
                <w:sz w:val="20"/>
                <w:szCs w:val="20"/>
              </w:rPr>
            </w:pPr>
            <w:r w:rsidRPr="00E52AA5">
              <w:rPr>
                <w:sz w:val="20"/>
                <w:szCs w:val="20"/>
              </w:rPr>
              <w:t>Clerical time for each plan for copying, filing, mailing, etc.</w:t>
            </w:r>
          </w:p>
        </w:tc>
        <w:tc>
          <w:tcPr>
            <w:tcW w:w="1530" w:type="dxa"/>
            <w:tcBorders>
              <w:top w:val="nil"/>
              <w:left w:val="nil"/>
              <w:bottom w:val="single" w:color="auto" w:sz="8" w:space="0"/>
              <w:right w:val="single" w:color="auto" w:sz="8" w:space="0"/>
            </w:tcBorders>
            <w:shd w:val="clear" w:color="auto" w:fill="FFFFFF"/>
            <w:vAlign w:val="bottom"/>
          </w:tcPr>
          <w:p w:rsidRPr="00E52AA5" w:rsidR="003703E0" w:rsidP="00EB108C" w:rsidRDefault="003703E0" w14:paraId="4D68C390" w14:textId="170246C0">
            <w:pPr>
              <w:jc w:val="center"/>
              <w:rPr>
                <w:sz w:val="20"/>
                <w:szCs w:val="20"/>
              </w:rPr>
            </w:pPr>
            <w:r w:rsidRPr="00E52AA5">
              <w:rPr>
                <w:sz w:val="20"/>
                <w:szCs w:val="20"/>
              </w:rPr>
              <w:t>2</w:t>
            </w:r>
            <w:r w:rsidRPr="00E52AA5" w:rsidR="00EB108C">
              <w:rPr>
                <w:sz w:val="20"/>
                <w:szCs w:val="20"/>
              </w:rPr>
              <w:t>87</w:t>
            </w:r>
          </w:p>
        </w:tc>
        <w:tc>
          <w:tcPr>
            <w:tcW w:w="1440" w:type="dxa"/>
            <w:tcBorders>
              <w:top w:val="nil"/>
              <w:left w:val="nil"/>
              <w:bottom w:val="single" w:color="auto" w:sz="8" w:space="0"/>
              <w:right w:val="single" w:color="auto" w:sz="8" w:space="0"/>
            </w:tcBorders>
            <w:shd w:val="clear" w:color="auto" w:fill="F2F2F2"/>
            <w:vAlign w:val="bottom"/>
          </w:tcPr>
          <w:p w:rsidRPr="00E52AA5" w:rsidR="003703E0" w:rsidP="000E0D7A" w:rsidRDefault="003703E0" w14:paraId="47233DE2" w14:textId="6AFAB4C0">
            <w:pPr>
              <w:jc w:val="center"/>
              <w:rPr>
                <w:sz w:val="20"/>
                <w:szCs w:val="20"/>
              </w:rPr>
            </w:pPr>
            <w:r w:rsidRPr="00E52AA5">
              <w:rPr>
                <w:sz w:val="20"/>
                <w:szCs w:val="20"/>
              </w:rPr>
              <w:t>1</w:t>
            </w:r>
          </w:p>
        </w:tc>
        <w:tc>
          <w:tcPr>
            <w:tcW w:w="1350" w:type="dxa"/>
            <w:tcBorders>
              <w:top w:val="nil"/>
              <w:left w:val="nil"/>
              <w:bottom w:val="single" w:color="auto" w:sz="8" w:space="0"/>
              <w:right w:val="single" w:color="auto" w:sz="8" w:space="0"/>
            </w:tcBorders>
            <w:shd w:val="clear" w:color="auto" w:fill="F2F2F2"/>
            <w:vAlign w:val="bottom"/>
          </w:tcPr>
          <w:p w:rsidRPr="00E52AA5" w:rsidR="003703E0" w:rsidP="00EB108C" w:rsidRDefault="003703E0" w14:paraId="2E09E763" w14:textId="767A3B07">
            <w:pPr>
              <w:jc w:val="right"/>
              <w:rPr>
                <w:sz w:val="20"/>
                <w:szCs w:val="20"/>
              </w:rPr>
            </w:pPr>
            <w:r w:rsidRPr="00E52AA5">
              <w:rPr>
                <w:sz w:val="20"/>
                <w:szCs w:val="20"/>
              </w:rPr>
              <w:t>2</w:t>
            </w:r>
            <w:r w:rsidRPr="00E52AA5" w:rsidR="00EB108C">
              <w:rPr>
                <w:sz w:val="20"/>
                <w:szCs w:val="20"/>
              </w:rPr>
              <w:t>87</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0E0D7A" w:rsidRDefault="004E2E30" w14:paraId="62DD6814" w14:textId="58D9CC3D">
            <w:pPr>
              <w:jc w:val="right"/>
              <w:rPr>
                <w:sz w:val="20"/>
                <w:szCs w:val="20"/>
              </w:rPr>
            </w:pPr>
            <w:r w:rsidRPr="00E52AA5">
              <w:rPr>
                <w:sz w:val="20"/>
                <w:szCs w:val="20"/>
              </w:rPr>
              <w:t xml:space="preserve"> </w:t>
            </w:r>
            <w:r w:rsidR="00E52AA5">
              <w:rPr>
                <w:sz w:val="20"/>
                <w:szCs w:val="20"/>
              </w:rPr>
              <w:t xml:space="preserve"> </w:t>
            </w:r>
            <w:r w:rsidRPr="00E52AA5" w:rsidR="00972025">
              <w:rPr>
                <w:sz w:val="20"/>
                <w:szCs w:val="20"/>
              </w:rPr>
              <w:t>(</w:t>
            </w:r>
            <w:r w:rsidRPr="00E52AA5" w:rsidR="003703E0">
              <w:rPr>
                <w:sz w:val="20"/>
                <w:szCs w:val="20"/>
              </w:rPr>
              <w:t>6 min</w:t>
            </w:r>
            <w:r w:rsidRPr="00E52AA5" w:rsidR="00972025">
              <w:rPr>
                <w:sz w:val="20"/>
                <w:szCs w:val="20"/>
              </w:rPr>
              <w:t>)</w:t>
            </w:r>
          </w:p>
          <w:p w:rsidRPr="00E52AA5" w:rsidR="003703E0" w:rsidP="00AD2428" w:rsidRDefault="00CE3F34" w14:paraId="4CFE841A" w14:textId="3E8879D1">
            <w:pPr>
              <w:jc w:val="right"/>
              <w:rPr>
                <w:sz w:val="20"/>
                <w:szCs w:val="20"/>
              </w:rPr>
            </w:pPr>
            <w:r w:rsidRPr="00E52AA5">
              <w:rPr>
                <w:sz w:val="20"/>
                <w:szCs w:val="20"/>
              </w:rPr>
              <w:t>0.</w:t>
            </w:r>
            <w:r w:rsidRPr="00E52AA5" w:rsidR="003703E0">
              <w:rPr>
                <w:sz w:val="20"/>
                <w:szCs w:val="20"/>
              </w:rPr>
              <w:t>1 h</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4E2E30" w:rsidRDefault="00DF246F" w14:paraId="5B1EA9B1" w14:textId="55563A8A">
            <w:pPr>
              <w:jc w:val="right"/>
              <w:rPr>
                <w:sz w:val="20"/>
                <w:szCs w:val="20"/>
              </w:rPr>
            </w:pPr>
            <w:r w:rsidRPr="00E52AA5">
              <w:rPr>
                <w:sz w:val="20"/>
                <w:szCs w:val="20"/>
              </w:rPr>
              <w:t>2</w:t>
            </w:r>
            <w:r w:rsidRPr="00E52AA5" w:rsidR="00EB108C">
              <w:rPr>
                <w:sz w:val="20"/>
                <w:szCs w:val="20"/>
              </w:rPr>
              <w:t>8.7</w:t>
            </w:r>
            <w:r w:rsidRPr="00E52AA5" w:rsidR="00090162">
              <w:rPr>
                <w:sz w:val="20"/>
                <w:szCs w:val="20"/>
              </w:rPr>
              <w:t>0</w:t>
            </w:r>
            <w:r w:rsidRPr="00E52AA5" w:rsidR="00AD2428">
              <w:rPr>
                <w:sz w:val="20"/>
                <w:szCs w:val="20"/>
              </w:rPr>
              <w:t xml:space="preserve"> </w:t>
            </w:r>
          </w:p>
        </w:tc>
        <w:tc>
          <w:tcPr>
            <w:tcW w:w="1260" w:type="dxa"/>
            <w:tcBorders>
              <w:top w:val="nil"/>
              <w:left w:val="nil"/>
              <w:bottom w:val="single" w:color="auto" w:sz="8" w:space="0"/>
              <w:right w:val="single" w:color="auto" w:sz="8" w:space="0"/>
            </w:tcBorders>
            <w:shd w:val="clear" w:color="auto" w:fill="F2F2F2"/>
            <w:vAlign w:val="bottom"/>
          </w:tcPr>
          <w:p w:rsidRPr="00E52AA5" w:rsidR="003703E0" w:rsidP="000E0D7A" w:rsidRDefault="00FA3DD4" w14:paraId="4260D9BF" w14:textId="18048F0B">
            <w:pPr>
              <w:jc w:val="right"/>
              <w:rPr>
                <w:sz w:val="20"/>
                <w:szCs w:val="20"/>
              </w:rPr>
            </w:pPr>
            <w:r w:rsidRPr="00E52AA5">
              <w:rPr>
                <w:sz w:val="20"/>
                <w:szCs w:val="20"/>
              </w:rPr>
              <w:t>$</w:t>
            </w:r>
            <w:r w:rsidRPr="00E52AA5" w:rsidR="009B31B2">
              <w:rPr>
                <w:sz w:val="20"/>
                <w:szCs w:val="20"/>
              </w:rPr>
              <w:t>33.44</w:t>
            </w:r>
          </w:p>
        </w:tc>
        <w:tc>
          <w:tcPr>
            <w:tcW w:w="1333" w:type="dxa"/>
            <w:tcBorders>
              <w:top w:val="nil"/>
              <w:left w:val="nil"/>
              <w:bottom w:val="single" w:color="auto" w:sz="8" w:space="0"/>
              <w:right w:val="single" w:color="auto" w:sz="8" w:space="0"/>
            </w:tcBorders>
            <w:shd w:val="clear" w:color="auto" w:fill="F2F2F2"/>
            <w:vAlign w:val="bottom"/>
          </w:tcPr>
          <w:p w:rsidRPr="00E52AA5" w:rsidR="003703E0" w:rsidP="000E0D7A" w:rsidRDefault="009B31B2" w14:paraId="188E4430" w14:textId="743E4BF4">
            <w:pPr>
              <w:jc w:val="right"/>
              <w:rPr>
                <w:sz w:val="20"/>
                <w:szCs w:val="20"/>
              </w:rPr>
            </w:pPr>
            <w:r w:rsidRPr="00E52AA5">
              <w:rPr>
                <w:sz w:val="20"/>
                <w:szCs w:val="20"/>
              </w:rPr>
              <w:t>$959.73</w:t>
            </w:r>
          </w:p>
        </w:tc>
      </w:tr>
      <w:tr w:rsidRPr="00E52AA5" w:rsidR="000E0D7A" w:rsidTr="003C4D40" w14:paraId="20F60C15" w14:textId="77777777">
        <w:trPr>
          <w:trHeight w:val="270"/>
        </w:trPr>
        <w:tc>
          <w:tcPr>
            <w:tcW w:w="1363" w:type="dxa"/>
            <w:tcBorders>
              <w:top w:val="nil"/>
              <w:left w:val="single" w:color="auto" w:sz="4" w:space="0"/>
              <w:bottom w:val="single" w:color="auto" w:sz="4" w:space="0"/>
              <w:right w:val="single" w:color="auto" w:sz="8" w:space="0"/>
            </w:tcBorders>
            <w:shd w:val="clear" w:color="auto" w:fill="auto"/>
            <w:vAlign w:val="bottom"/>
          </w:tcPr>
          <w:p w:rsidRPr="00E52AA5" w:rsidR="000E0D7A" w:rsidP="00231DDA" w:rsidRDefault="000E0D7A" w14:paraId="6D0B7D73" w14:textId="77777777">
            <w:pPr>
              <w:rPr>
                <w:b/>
                <w:sz w:val="20"/>
                <w:szCs w:val="20"/>
              </w:rPr>
            </w:pPr>
            <w:r w:rsidRPr="00E52AA5">
              <w:rPr>
                <w:b/>
                <w:sz w:val="20"/>
                <w:szCs w:val="20"/>
              </w:rPr>
              <w:t>TOTAL</w:t>
            </w:r>
          </w:p>
        </w:tc>
        <w:tc>
          <w:tcPr>
            <w:tcW w:w="1530" w:type="dxa"/>
            <w:tcBorders>
              <w:top w:val="nil"/>
              <w:left w:val="nil"/>
              <w:bottom w:val="single" w:color="auto" w:sz="4" w:space="0"/>
              <w:right w:val="single" w:color="auto" w:sz="8" w:space="0"/>
            </w:tcBorders>
            <w:shd w:val="clear" w:color="auto" w:fill="FFFFFF"/>
            <w:vAlign w:val="bottom"/>
          </w:tcPr>
          <w:p w:rsidRPr="00E52AA5" w:rsidR="000E0D7A" w:rsidP="000E0D7A" w:rsidRDefault="006D6316" w14:paraId="6CD8A7AD" w14:textId="14F4B7DE">
            <w:pPr>
              <w:jc w:val="center"/>
              <w:rPr>
                <w:b/>
                <w:bCs/>
                <w:sz w:val="20"/>
                <w:szCs w:val="20"/>
              </w:rPr>
            </w:pPr>
            <w:r w:rsidRPr="00E52AA5">
              <w:rPr>
                <w:b/>
                <w:bCs/>
                <w:sz w:val="20"/>
                <w:szCs w:val="20"/>
              </w:rPr>
              <w:t>287</w:t>
            </w:r>
            <w:r w:rsidRPr="00E52AA5" w:rsidR="003703E0">
              <w:rPr>
                <w:b/>
                <w:bCs/>
                <w:sz w:val="20"/>
                <w:szCs w:val="20"/>
              </w:rPr>
              <w:t>*</w:t>
            </w:r>
          </w:p>
        </w:tc>
        <w:tc>
          <w:tcPr>
            <w:tcW w:w="1440" w:type="dxa"/>
            <w:tcBorders>
              <w:top w:val="nil"/>
              <w:left w:val="nil"/>
              <w:bottom w:val="single" w:color="auto" w:sz="4" w:space="0"/>
              <w:right w:val="single" w:color="auto" w:sz="8" w:space="0"/>
            </w:tcBorders>
            <w:shd w:val="clear" w:color="auto" w:fill="000000"/>
            <w:vAlign w:val="bottom"/>
          </w:tcPr>
          <w:p w:rsidRPr="00E52AA5" w:rsidR="000E0D7A" w:rsidP="000E0D7A" w:rsidRDefault="000E0D7A" w14:paraId="4EA57E46" w14:textId="77777777">
            <w:pPr>
              <w:jc w:val="right"/>
              <w:rPr>
                <w:b/>
                <w:sz w:val="20"/>
                <w:szCs w:val="20"/>
              </w:rPr>
            </w:pPr>
          </w:p>
        </w:tc>
        <w:tc>
          <w:tcPr>
            <w:tcW w:w="1350" w:type="dxa"/>
            <w:tcBorders>
              <w:top w:val="nil"/>
              <w:left w:val="nil"/>
              <w:bottom w:val="single" w:color="auto" w:sz="4" w:space="0"/>
              <w:right w:val="single" w:color="auto" w:sz="8" w:space="0"/>
            </w:tcBorders>
            <w:shd w:val="clear" w:color="auto" w:fill="auto"/>
            <w:vAlign w:val="bottom"/>
          </w:tcPr>
          <w:p w:rsidRPr="00E52AA5" w:rsidR="000E0D7A" w:rsidP="000E0D7A" w:rsidRDefault="00AE388C" w14:paraId="3DEA28F5" w14:textId="537A56AA">
            <w:pPr>
              <w:jc w:val="right"/>
              <w:rPr>
                <w:b/>
                <w:sz w:val="20"/>
                <w:szCs w:val="20"/>
              </w:rPr>
            </w:pPr>
            <w:r w:rsidRPr="00E52AA5">
              <w:rPr>
                <w:b/>
                <w:sz w:val="20"/>
                <w:szCs w:val="20"/>
              </w:rPr>
              <w:t>287*</w:t>
            </w:r>
          </w:p>
        </w:tc>
        <w:tc>
          <w:tcPr>
            <w:tcW w:w="1260" w:type="dxa"/>
            <w:tcBorders>
              <w:top w:val="nil"/>
              <w:left w:val="nil"/>
              <w:bottom w:val="single" w:color="auto" w:sz="4" w:space="0"/>
              <w:right w:val="single" w:color="auto" w:sz="8" w:space="0"/>
            </w:tcBorders>
            <w:shd w:val="clear" w:color="auto" w:fill="000000"/>
            <w:vAlign w:val="bottom"/>
          </w:tcPr>
          <w:p w:rsidRPr="00E52AA5" w:rsidR="000E0D7A" w:rsidP="000E0D7A" w:rsidRDefault="000E0D7A" w14:paraId="5B321D90" w14:textId="77777777">
            <w:pPr>
              <w:jc w:val="center"/>
              <w:rPr>
                <w:b/>
                <w:sz w:val="20"/>
                <w:szCs w:val="20"/>
              </w:rPr>
            </w:pPr>
          </w:p>
        </w:tc>
        <w:tc>
          <w:tcPr>
            <w:tcW w:w="1260" w:type="dxa"/>
            <w:tcBorders>
              <w:top w:val="nil"/>
              <w:left w:val="nil"/>
              <w:bottom w:val="single" w:color="auto" w:sz="4" w:space="0"/>
              <w:right w:val="single" w:color="auto" w:sz="8" w:space="0"/>
            </w:tcBorders>
            <w:shd w:val="clear" w:color="auto" w:fill="auto"/>
            <w:vAlign w:val="bottom"/>
          </w:tcPr>
          <w:p w:rsidRPr="00E52AA5" w:rsidR="006D6316" w:rsidP="006D6316" w:rsidRDefault="006D6316" w14:paraId="7F0909C1" w14:textId="79A4B853">
            <w:pPr>
              <w:jc w:val="right"/>
              <w:rPr>
                <w:b/>
                <w:sz w:val="20"/>
                <w:szCs w:val="20"/>
              </w:rPr>
            </w:pPr>
            <w:r w:rsidRPr="00E52AA5">
              <w:rPr>
                <w:b/>
                <w:sz w:val="20"/>
                <w:szCs w:val="20"/>
              </w:rPr>
              <w:t>1,962</w:t>
            </w:r>
          </w:p>
          <w:p w:rsidRPr="00E52AA5" w:rsidR="000E0D7A" w:rsidP="006D6316" w:rsidRDefault="000E0D7A" w14:paraId="2CA4FFFF" w14:textId="4512D884">
            <w:pPr>
              <w:jc w:val="right"/>
              <w:rPr>
                <w:b/>
                <w:bCs/>
                <w:sz w:val="20"/>
                <w:szCs w:val="20"/>
              </w:rPr>
            </w:pPr>
            <w:r w:rsidRPr="00E52AA5">
              <w:rPr>
                <w:b/>
                <w:sz w:val="20"/>
                <w:szCs w:val="20"/>
              </w:rPr>
              <w:t>(rounded)</w:t>
            </w:r>
          </w:p>
        </w:tc>
        <w:tc>
          <w:tcPr>
            <w:tcW w:w="1260" w:type="dxa"/>
            <w:tcBorders>
              <w:top w:val="nil"/>
              <w:left w:val="nil"/>
              <w:bottom w:val="single" w:color="auto" w:sz="4" w:space="0"/>
              <w:right w:val="single" w:color="auto" w:sz="8" w:space="0"/>
            </w:tcBorders>
            <w:shd w:val="clear" w:color="auto" w:fill="000000"/>
            <w:vAlign w:val="bottom"/>
          </w:tcPr>
          <w:p w:rsidRPr="00E52AA5" w:rsidR="000E0D7A" w:rsidP="000E0D7A" w:rsidRDefault="000E0D7A" w14:paraId="50FD9594" w14:textId="77777777">
            <w:pPr>
              <w:jc w:val="center"/>
              <w:rPr>
                <w:b/>
                <w:sz w:val="20"/>
                <w:szCs w:val="20"/>
              </w:rPr>
            </w:pPr>
          </w:p>
        </w:tc>
        <w:tc>
          <w:tcPr>
            <w:tcW w:w="1333" w:type="dxa"/>
            <w:tcBorders>
              <w:top w:val="nil"/>
              <w:left w:val="nil"/>
              <w:bottom w:val="single" w:color="auto" w:sz="4" w:space="0"/>
              <w:right w:val="single" w:color="auto" w:sz="8" w:space="0"/>
            </w:tcBorders>
            <w:shd w:val="clear" w:color="auto" w:fill="auto"/>
            <w:vAlign w:val="bottom"/>
          </w:tcPr>
          <w:p w:rsidRPr="00E52AA5" w:rsidR="000E0D7A" w:rsidP="000E0D7A" w:rsidRDefault="009B31B2" w14:paraId="24CE7F4A" w14:textId="1D11003E">
            <w:pPr>
              <w:widowControl w:val="0"/>
              <w:autoSpaceDE w:val="0"/>
              <w:autoSpaceDN w:val="0"/>
              <w:adjustRightInd w:val="0"/>
              <w:jc w:val="right"/>
              <w:rPr>
                <w:color w:val="000000"/>
                <w:sz w:val="20"/>
                <w:szCs w:val="20"/>
              </w:rPr>
            </w:pPr>
            <w:r w:rsidRPr="00E52AA5">
              <w:rPr>
                <w:b/>
                <w:bCs/>
                <w:sz w:val="20"/>
                <w:szCs w:val="20"/>
              </w:rPr>
              <w:t>$138,744</w:t>
            </w:r>
            <w:r w:rsidRPr="00E52AA5" w:rsidDel="009B31B2">
              <w:rPr>
                <w:b/>
                <w:bCs/>
                <w:sz w:val="20"/>
                <w:szCs w:val="20"/>
              </w:rPr>
              <w:t xml:space="preserve"> </w:t>
            </w:r>
            <w:r w:rsidRPr="00E52AA5" w:rsidR="000E0D7A">
              <w:rPr>
                <w:b/>
                <w:color w:val="000000"/>
                <w:sz w:val="20"/>
                <w:szCs w:val="20"/>
              </w:rPr>
              <w:t>(rounded)</w:t>
            </w:r>
          </w:p>
        </w:tc>
      </w:tr>
    </w:tbl>
    <w:p w:rsidRPr="00E52AA5" w:rsidR="000E0D7A" w:rsidP="000E0D7A" w:rsidRDefault="000E0D7A" w14:paraId="1A3A3F13" w14:textId="77777777">
      <w:pPr>
        <w:tabs>
          <w:tab w:val="left" w:pos="-720"/>
        </w:tabs>
        <w:suppressAutoHyphens/>
        <w:jc w:val="center"/>
        <w:rPr>
          <w:sz w:val="16"/>
          <w:szCs w:val="16"/>
        </w:rPr>
      </w:pPr>
    </w:p>
    <w:p w:rsidRPr="00E52AA5" w:rsidR="003703E0" w:rsidP="000E0D7A" w:rsidRDefault="003703E0" w14:paraId="1BF1C1CC" w14:textId="4165AA4B">
      <w:pPr>
        <w:widowControl w:val="0"/>
      </w:pPr>
      <w:r w:rsidRPr="00E52AA5">
        <w:t xml:space="preserve">*Responses </w:t>
      </w:r>
      <w:r w:rsidRPr="00E52AA5" w:rsidR="00AE388C">
        <w:t xml:space="preserve">and respondents </w:t>
      </w:r>
      <w:r w:rsidRPr="00E52AA5">
        <w:t>are not cumulative.</w:t>
      </w:r>
      <w:r w:rsidRPr="00E52AA5" w:rsidR="001939C0">
        <w:t xml:space="preserve">  </w:t>
      </w:r>
      <w:r w:rsidRPr="00E52AA5">
        <w:t xml:space="preserve">Clerical responses are </w:t>
      </w:r>
      <w:r w:rsidRPr="00E52AA5" w:rsidR="00AE388C">
        <w:t xml:space="preserve">not </w:t>
      </w:r>
      <w:r w:rsidRPr="00E52AA5">
        <w:t xml:space="preserve">counted as an additional response. </w:t>
      </w:r>
    </w:p>
    <w:p w:rsidRPr="000E0D7A" w:rsidR="000E0D7A" w:rsidP="000E0D7A" w:rsidRDefault="000E0D7A" w14:paraId="57773188" w14:textId="77777777">
      <w:pPr>
        <w:widowControl w:val="0"/>
        <w:rPr>
          <w:rFonts w:ascii="Arial" w:hAnsi="Arial" w:cs="Arial"/>
          <w:b/>
          <w:color w:val="FF0000"/>
        </w:rPr>
      </w:pPr>
    </w:p>
    <w:p w:rsidR="000E0D7A" w:rsidP="00A6042E" w:rsidRDefault="000E0D7A" w14:paraId="2B0F1695" w14:textId="77777777">
      <w:pPr>
        <w:pStyle w:val="Default"/>
        <w:widowControl/>
        <w:jc w:val="center"/>
        <w:rPr>
          <w:rFonts w:ascii="Times New Roman" w:hAnsi="Times New Roman" w:cs="Times New Roman"/>
          <w:b/>
          <w:color w:val="auto"/>
        </w:rPr>
      </w:pPr>
    </w:p>
    <w:p w:rsidRPr="00972025" w:rsidR="0020092F" w:rsidP="00A6042E" w:rsidRDefault="0020092F" w14:paraId="5BB7865C" w14:textId="77777777">
      <w:pPr>
        <w:rPr>
          <w:b/>
        </w:rPr>
      </w:pPr>
      <w:r w:rsidRPr="00972025">
        <w:rPr>
          <w:b/>
        </w:rPr>
        <w:t xml:space="preserve">13. Provide an estimate for the total annual cost burden to respondents or recordkeepers resulting from the collection of information. (Do not include the cost of any hour burden </w:t>
      </w:r>
      <w:r w:rsidRPr="00972025" w:rsidR="00AE5939">
        <w:rPr>
          <w:b/>
        </w:rPr>
        <w:t>already reflected on the burden worksheet</w:t>
      </w:r>
      <w:r w:rsidRPr="00972025">
        <w:rPr>
          <w:b/>
        </w:rPr>
        <w:t>).</w:t>
      </w:r>
    </w:p>
    <w:p w:rsidRPr="00972025" w:rsidR="0020092F" w:rsidP="00A6042E" w:rsidRDefault="0020092F" w14:paraId="2AAA4DD1" w14:textId="77777777">
      <w:pPr>
        <w:rPr>
          <w:b/>
        </w:rPr>
      </w:pPr>
      <w:r w:rsidRPr="00972025">
        <w:rPr>
          <w:b/>
        </w:rPr>
        <w:lastRenderedPageBreak/>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972025">
        <w:rPr>
          <w:b/>
        </w:rPr>
        <w:t>take into account</w:t>
      </w:r>
      <w:proofErr w:type="gramEnd"/>
      <w:r w:rsidRPr="00972025">
        <w:rPr>
          <w:b/>
        </w:rPr>
        <w:t xml:space="preserve"> costs associated with generating, maintaining, and disclosing or providing the information.</w:t>
      </w:r>
      <w:r w:rsidRPr="00972025" w:rsidR="002739AF">
        <w:rPr>
          <w:b/>
        </w:rPr>
        <w:t xml:space="preserve"> </w:t>
      </w:r>
      <w:r w:rsidRPr="00972025">
        <w:rPr>
          <w:b/>
        </w:rPr>
        <w:t xml:space="preserve"> Include descriptions of methods used to estimate major cost factors including system and technology acquisition, expected useful life of capital equipment, the discount rate(s), and the </w:t>
      </w:r>
      <w:proofErr w:type="gramStart"/>
      <w:r w:rsidRPr="00972025">
        <w:rPr>
          <w:b/>
        </w:rPr>
        <w:t>time period</w:t>
      </w:r>
      <w:proofErr w:type="gramEnd"/>
      <w:r w:rsidRPr="00972025">
        <w:rPr>
          <w:b/>
        </w:rPr>
        <w:t xml:space="preserve"> over which costs will be incurred. Capital and start-up costs include, among other items, preparations for collecting information such as purchasing computers and software; monitoring, sampling, </w:t>
      </w:r>
      <w:proofErr w:type="gramStart"/>
      <w:r w:rsidRPr="00972025">
        <w:rPr>
          <w:b/>
        </w:rPr>
        <w:t>drilling</w:t>
      </w:r>
      <w:proofErr w:type="gramEnd"/>
      <w:r w:rsidRPr="00972025">
        <w:rPr>
          <w:b/>
        </w:rPr>
        <w:t xml:space="preserve"> and testing equipment; and record storage facilities.</w:t>
      </w:r>
    </w:p>
    <w:p w:rsidRPr="00972025" w:rsidR="0020092F" w:rsidP="00A6042E" w:rsidRDefault="0020092F" w14:paraId="62780EF5" w14:textId="77777777">
      <w:pPr>
        <w:rPr>
          <w:b/>
        </w:rPr>
      </w:pPr>
      <w:r w:rsidRPr="00972025">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972025">
        <w:rPr>
          <w:b/>
        </w:rPr>
        <w:t>process</w:t>
      </w:r>
      <w:proofErr w:type="gramEnd"/>
      <w:r w:rsidRPr="00972025">
        <w:rPr>
          <w:b/>
        </w:rPr>
        <w:t xml:space="preserve"> and use existing economic or regulatory impact analysis associated with the rulemaking containing the information collection, as appropriate.</w:t>
      </w:r>
    </w:p>
    <w:p w:rsidRPr="00972025" w:rsidR="0020092F" w:rsidP="00A6042E" w:rsidRDefault="0020092F" w14:paraId="32E2CA83" w14:textId="77777777">
      <w:pPr>
        <w:rPr>
          <w:b/>
        </w:rPr>
      </w:pPr>
      <w:r w:rsidRPr="00972025">
        <w:rPr>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72025" w:rsidR="005C5609" w:rsidP="00A6042E" w:rsidRDefault="005C5609" w14:paraId="417FC095" w14:textId="77777777">
      <w:pPr>
        <w:pStyle w:val="Default"/>
        <w:widowControl/>
        <w:rPr>
          <w:rFonts w:ascii="Times New Roman" w:hAnsi="Times New Roman" w:cs="Times New Roman"/>
          <w:color w:val="auto"/>
        </w:rPr>
      </w:pPr>
    </w:p>
    <w:p w:rsidRPr="00972025" w:rsidR="005C5609" w:rsidP="00A6042E" w:rsidRDefault="005C5609" w14:paraId="5D0BE86C"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MSHA estimates that the only cost associated with submitting ground control plans is the cost of </w:t>
      </w:r>
      <w:r w:rsidRPr="00972025" w:rsidR="0039220C">
        <w:rPr>
          <w:rFonts w:ascii="Times New Roman" w:hAnsi="Times New Roman" w:cs="Times New Roman"/>
          <w:color w:val="auto"/>
        </w:rPr>
        <w:t xml:space="preserve">copying and </w:t>
      </w:r>
      <w:r w:rsidRPr="00972025">
        <w:rPr>
          <w:rFonts w:ascii="Times New Roman" w:hAnsi="Times New Roman" w:cs="Times New Roman"/>
          <w:color w:val="auto"/>
        </w:rPr>
        <w:t xml:space="preserve">mailing the plans.  This cost is calculated as follows: </w:t>
      </w:r>
    </w:p>
    <w:p w:rsidRPr="00972025" w:rsidR="005C5609" w:rsidP="00A6042E" w:rsidRDefault="005C5609" w14:paraId="2CE05E56" w14:textId="77777777">
      <w:pPr>
        <w:pStyle w:val="Default"/>
        <w:widowControl/>
        <w:rPr>
          <w:rFonts w:ascii="Times New Roman" w:hAnsi="Times New Roman" w:cs="Times New Roman"/>
          <w:color w:val="auto"/>
        </w:rPr>
      </w:pPr>
      <w:r w:rsidRPr="00972025">
        <w:rPr>
          <w:rFonts w:ascii="Times New Roman" w:hAnsi="Times New Roman" w:cs="Times New Roman"/>
          <w:color w:val="auto"/>
        </w:rPr>
        <w:t xml:space="preserve"> </w:t>
      </w:r>
    </w:p>
    <w:p w:rsidRPr="00972025" w:rsidR="0035332B" w:rsidP="00972025" w:rsidRDefault="00810A0A" w14:paraId="368FE0AF" w14:textId="618594C6">
      <w:pPr>
        <w:pStyle w:val="Default"/>
        <w:widowControl/>
        <w:shd w:val="clear" w:color="auto" w:fill="FFFFFF" w:themeFill="background1"/>
        <w:rPr>
          <w:rFonts w:ascii="Times New Roman" w:hAnsi="Times New Roman" w:cs="Times New Roman"/>
          <w:color w:val="auto"/>
        </w:rPr>
      </w:pPr>
      <w:r w:rsidRPr="00972025">
        <w:rPr>
          <w:rFonts w:ascii="Times New Roman" w:hAnsi="Times New Roman" w:cs="Times New Roman"/>
          <w:color w:val="auto"/>
        </w:rPr>
        <w:t>287</w:t>
      </w:r>
      <w:r w:rsidRPr="00972025" w:rsidR="00F62479">
        <w:rPr>
          <w:rFonts w:ascii="Times New Roman" w:hAnsi="Times New Roman" w:cs="Times New Roman"/>
          <w:color w:val="auto"/>
        </w:rPr>
        <w:t xml:space="preserve"> plans and revisions x </w:t>
      </w:r>
      <w:r w:rsidRPr="00972025" w:rsidR="00275AF1">
        <w:rPr>
          <w:rFonts w:ascii="Times New Roman" w:hAnsi="Times New Roman" w:cs="Times New Roman"/>
          <w:color w:val="auto"/>
        </w:rPr>
        <w:t>[(</w:t>
      </w:r>
      <w:r w:rsidRPr="00972025" w:rsidR="0039220C">
        <w:rPr>
          <w:rFonts w:ascii="Times New Roman" w:hAnsi="Times New Roman" w:cs="Times New Roman"/>
          <w:color w:val="auto"/>
        </w:rPr>
        <w:t>6 pages x $0.15/page</w:t>
      </w:r>
      <w:r w:rsidRPr="00972025" w:rsidR="00275AF1">
        <w:rPr>
          <w:rFonts w:ascii="Times New Roman" w:hAnsi="Times New Roman" w:cs="Times New Roman"/>
          <w:color w:val="auto"/>
        </w:rPr>
        <w:t>)</w:t>
      </w:r>
      <w:r w:rsidRPr="00972025" w:rsidR="0039220C">
        <w:rPr>
          <w:rFonts w:ascii="Times New Roman" w:hAnsi="Times New Roman" w:cs="Times New Roman"/>
          <w:color w:val="auto"/>
        </w:rPr>
        <w:t xml:space="preserve"> + </w:t>
      </w:r>
      <w:r w:rsidRPr="00972025" w:rsidR="00F62479">
        <w:rPr>
          <w:rFonts w:ascii="Times New Roman" w:hAnsi="Times New Roman" w:cs="Times New Roman"/>
          <w:color w:val="auto"/>
        </w:rPr>
        <w:t>$</w:t>
      </w:r>
      <w:r w:rsidRPr="00972025" w:rsidR="00142161">
        <w:rPr>
          <w:rFonts w:ascii="Times New Roman" w:hAnsi="Times New Roman" w:cs="Times New Roman"/>
          <w:color w:val="auto"/>
        </w:rPr>
        <w:t>1.00</w:t>
      </w:r>
      <w:r w:rsidRPr="00972025" w:rsidR="00F62479">
        <w:rPr>
          <w:rFonts w:ascii="Times New Roman" w:hAnsi="Times New Roman" w:cs="Times New Roman"/>
          <w:color w:val="auto"/>
        </w:rPr>
        <w:t xml:space="preserve"> postage</w:t>
      </w:r>
      <w:r w:rsidRPr="00972025" w:rsidR="00275AF1">
        <w:rPr>
          <w:rFonts w:ascii="Times New Roman" w:hAnsi="Times New Roman" w:cs="Times New Roman"/>
          <w:color w:val="auto"/>
        </w:rPr>
        <w:t>]</w:t>
      </w:r>
      <w:r w:rsidRPr="00972025" w:rsidR="0035332B">
        <w:rPr>
          <w:rFonts w:ascii="Times New Roman" w:hAnsi="Times New Roman" w:cs="Times New Roman"/>
          <w:color w:val="auto"/>
        </w:rPr>
        <w:tab/>
      </w:r>
      <w:r w:rsidRPr="00972025" w:rsidR="00F62479">
        <w:rPr>
          <w:rFonts w:ascii="Times New Roman" w:hAnsi="Times New Roman" w:cs="Times New Roman"/>
          <w:color w:val="auto"/>
        </w:rPr>
        <w:t>=</w:t>
      </w:r>
      <w:r w:rsidRPr="00972025" w:rsidR="0035332B">
        <w:rPr>
          <w:rFonts w:ascii="Times New Roman" w:hAnsi="Times New Roman" w:cs="Times New Roman"/>
          <w:color w:val="auto"/>
        </w:rPr>
        <w:tab/>
      </w:r>
      <w:r w:rsidRPr="00972025" w:rsidR="00F62479">
        <w:rPr>
          <w:rFonts w:ascii="Times New Roman" w:hAnsi="Times New Roman" w:cs="Times New Roman"/>
          <w:color w:val="auto"/>
        </w:rPr>
        <w:t>$</w:t>
      </w:r>
      <w:r w:rsidRPr="00972025">
        <w:rPr>
          <w:rFonts w:ascii="Times New Roman" w:hAnsi="Times New Roman" w:cs="Times New Roman"/>
          <w:color w:val="auto"/>
        </w:rPr>
        <w:t>545.3</w:t>
      </w:r>
      <w:r w:rsidRPr="000135C7" w:rsidR="00FA3DD4">
        <w:rPr>
          <w:rFonts w:ascii="Times New Roman" w:hAnsi="Times New Roman" w:cs="Times New Roman"/>
          <w:color w:val="auto"/>
        </w:rPr>
        <w:t>0</w:t>
      </w:r>
    </w:p>
    <w:p w:rsidRPr="00972025" w:rsidR="0035332B" w:rsidP="00972025" w:rsidRDefault="0035332B" w14:paraId="48AB7270" w14:textId="77777777">
      <w:pPr>
        <w:pStyle w:val="Default"/>
        <w:widowControl/>
        <w:shd w:val="clear" w:color="auto" w:fill="FFFFFF" w:themeFill="background1"/>
        <w:rPr>
          <w:rFonts w:ascii="Times New Roman" w:hAnsi="Times New Roman" w:cs="Times New Roman"/>
          <w:color w:val="auto"/>
        </w:rPr>
      </w:pPr>
    </w:p>
    <w:p w:rsidRPr="00972025" w:rsidR="005C5609" w:rsidP="00972025" w:rsidRDefault="00FA3DD4" w14:paraId="74521CDC" w14:textId="7242A0A0">
      <w:pPr>
        <w:pStyle w:val="Default"/>
        <w:widowControl/>
        <w:shd w:val="clear" w:color="auto" w:fill="FFFFFF" w:themeFill="background1"/>
        <w:ind w:left="1440" w:firstLine="720"/>
        <w:rPr>
          <w:rFonts w:ascii="Times New Roman" w:hAnsi="Times New Roman" w:cs="Times New Roman"/>
          <w:b/>
          <w:bCs/>
          <w:color w:val="auto"/>
        </w:rPr>
      </w:pPr>
      <w:r w:rsidRPr="000135C7">
        <w:rPr>
          <w:rFonts w:ascii="Times New Roman" w:hAnsi="Times New Roman" w:cs="Times New Roman"/>
          <w:b/>
          <w:bCs/>
        </w:rPr>
        <w:t xml:space="preserve">Rounded </w:t>
      </w:r>
      <w:r w:rsidRPr="00972025" w:rsidR="0035332B">
        <w:rPr>
          <w:rFonts w:ascii="Times New Roman" w:hAnsi="Times New Roman" w:cs="Times New Roman"/>
          <w:b/>
          <w:bCs/>
        </w:rPr>
        <w:t>Total Burden Cost</w:t>
      </w:r>
      <w:r w:rsidRPr="00972025" w:rsidR="0012758F">
        <w:rPr>
          <w:rFonts w:ascii="Times New Roman" w:hAnsi="Times New Roman" w:cs="Times New Roman"/>
          <w:b/>
          <w:bCs/>
          <w:color w:val="auto"/>
        </w:rPr>
        <w:tab/>
      </w:r>
      <w:r w:rsidRPr="00972025" w:rsidR="0012758F">
        <w:rPr>
          <w:rFonts w:ascii="Times New Roman" w:hAnsi="Times New Roman" w:cs="Times New Roman"/>
          <w:b/>
          <w:bCs/>
          <w:color w:val="auto"/>
        </w:rPr>
        <w:tab/>
      </w:r>
      <w:r w:rsidRPr="00972025" w:rsidR="0035332B">
        <w:rPr>
          <w:rFonts w:ascii="Times New Roman" w:hAnsi="Times New Roman" w:cs="Times New Roman"/>
          <w:b/>
          <w:bCs/>
        </w:rPr>
        <w:t>=</w:t>
      </w:r>
      <w:r w:rsidRPr="00972025" w:rsidR="0012758F">
        <w:rPr>
          <w:rFonts w:ascii="Times New Roman" w:hAnsi="Times New Roman" w:cs="Times New Roman"/>
          <w:b/>
          <w:bCs/>
          <w:color w:val="auto"/>
        </w:rPr>
        <w:tab/>
      </w:r>
      <w:r w:rsidRPr="00972025" w:rsidR="0035332B">
        <w:rPr>
          <w:rFonts w:ascii="Times New Roman" w:hAnsi="Times New Roman" w:cs="Times New Roman"/>
          <w:b/>
          <w:bCs/>
        </w:rPr>
        <w:t>$</w:t>
      </w:r>
      <w:r w:rsidRPr="00972025" w:rsidR="00810A0A">
        <w:rPr>
          <w:rFonts w:ascii="Times New Roman" w:hAnsi="Times New Roman" w:cs="Times New Roman"/>
          <w:b/>
          <w:bCs/>
          <w:color w:val="auto"/>
        </w:rPr>
        <w:t>545</w:t>
      </w:r>
      <w:r w:rsidRPr="000135C7" w:rsidR="00810A0A">
        <w:rPr>
          <w:rFonts w:ascii="Times New Roman" w:hAnsi="Times New Roman" w:cs="Times New Roman"/>
          <w:b/>
          <w:bCs/>
          <w:color w:val="auto"/>
        </w:rPr>
        <w:t xml:space="preserve"> </w:t>
      </w:r>
    </w:p>
    <w:p w:rsidRPr="00972025" w:rsidR="0012758F" w:rsidP="00972025" w:rsidRDefault="0012758F" w14:paraId="0D2A0C86" w14:textId="77777777">
      <w:pPr>
        <w:pStyle w:val="Default"/>
        <w:widowControl/>
        <w:shd w:val="clear" w:color="auto" w:fill="FFFFFF" w:themeFill="background1"/>
        <w:ind w:left="720" w:firstLine="720"/>
        <w:rPr>
          <w:rFonts w:ascii="Times New Roman" w:hAnsi="Times New Roman" w:cs="Times New Roman"/>
          <w:color w:val="auto"/>
        </w:rPr>
      </w:pPr>
    </w:p>
    <w:p w:rsidRPr="00972025" w:rsidR="0020092F" w:rsidP="00972025" w:rsidRDefault="0020092F" w14:paraId="212F3A09" w14:textId="718FE195">
      <w:pPr>
        <w:shd w:val="clear" w:color="auto" w:fill="FFFFFF" w:themeFill="background1"/>
        <w:rPr>
          <w:b/>
        </w:rPr>
      </w:pPr>
      <w:r w:rsidRPr="00972025">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972025" w:rsidR="005C5609" w:rsidP="00972025" w:rsidRDefault="005C5609" w14:paraId="2BD23E71" w14:textId="77777777">
      <w:pPr>
        <w:pStyle w:val="Default"/>
        <w:widowControl/>
        <w:shd w:val="clear" w:color="auto" w:fill="FFFFFF" w:themeFill="background1"/>
        <w:rPr>
          <w:rFonts w:ascii="Times New Roman" w:hAnsi="Times New Roman" w:cs="Times New Roman"/>
          <w:color w:val="auto"/>
        </w:rPr>
      </w:pPr>
    </w:p>
    <w:p w:rsidRPr="00972025" w:rsidR="00990EA8" w:rsidP="00972025" w:rsidRDefault="005C5609" w14:paraId="3BB2405B" w14:textId="5D5FE993">
      <w:pPr>
        <w:pStyle w:val="Default"/>
        <w:widowControl/>
        <w:shd w:val="clear" w:color="auto" w:fill="FFFFFF" w:themeFill="background1"/>
        <w:rPr>
          <w:rFonts w:ascii="Times New Roman" w:hAnsi="Times New Roman" w:cs="Times New Roman"/>
          <w:color w:val="auto"/>
        </w:rPr>
      </w:pPr>
      <w:r w:rsidRPr="00972025">
        <w:rPr>
          <w:rFonts w:ascii="Times New Roman" w:hAnsi="Times New Roman" w:cs="Times New Roman"/>
          <w:color w:val="auto"/>
        </w:rPr>
        <w:t xml:space="preserve">MSHA </w:t>
      </w:r>
      <w:r w:rsidRPr="00972025" w:rsidR="00F62479">
        <w:rPr>
          <w:rFonts w:ascii="Times New Roman" w:hAnsi="Times New Roman" w:cs="Times New Roman"/>
          <w:color w:val="auto"/>
        </w:rPr>
        <w:t>estimates that approximately</w:t>
      </w:r>
      <w:r w:rsidRPr="00972025" w:rsidR="00E162EC">
        <w:rPr>
          <w:rFonts w:ascii="Times New Roman" w:hAnsi="Times New Roman" w:cs="Times New Roman"/>
          <w:color w:val="auto"/>
        </w:rPr>
        <w:t xml:space="preserve"> </w:t>
      </w:r>
      <w:r w:rsidRPr="00972025" w:rsidR="00810A0A">
        <w:rPr>
          <w:rFonts w:ascii="Times New Roman" w:hAnsi="Times New Roman" w:cs="Times New Roman"/>
          <w:color w:val="auto"/>
        </w:rPr>
        <w:t>166</w:t>
      </w:r>
      <w:r w:rsidRPr="00972025">
        <w:rPr>
          <w:rFonts w:ascii="Times New Roman" w:hAnsi="Times New Roman" w:cs="Times New Roman"/>
          <w:color w:val="auto"/>
        </w:rPr>
        <w:t xml:space="preserve"> new </w:t>
      </w:r>
      <w:r w:rsidRPr="00972025" w:rsidR="00990EA8">
        <w:rPr>
          <w:rFonts w:ascii="Times New Roman" w:hAnsi="Times New Roman" w:cs="Times New Roman"/>
          <w:color w:val="auto"/>
        </w:rPr>
        <w:t xml:space="preserve">ground control plans </w:t>
      </w:r>
      <w:r w:rsidRPr="00972025" w:rsidR="0039220C">
        <w:rPr>
          <w:rFonts w:ascii="Times New Roman" w:hAnsi="Times New Roman" w:cs="Times New Roman"/>
          <w:color w:val="auto"/>
        </w:rPr>
        <w:t xml:space="preserve">and </w:t>
      </w:r>
      <w:r w:rsidRPr="00972025" w:rsidR="00810A0A">
        <w:rPr>
          <w:rFonts w:ascii="Times New Roman" w:hAnsi="Times New Roman" w:cs="Times New Roman"/>
          <w:color w:val="auto"/>
        </w:rPr>
        <w:t>121</w:t>
      </w:r>
      <w:r w:rsidRPr="00972025" w:rsidR="009D0838">
        <w:rPr>
          <w:rFonts w:ascii="Times New Roman" w:hAnsi="Times New Roman" w:cs="Times New Roman"/>
          <w:color w:val="auto"/>
        </w:rPr>
        <w:t xml:space="preserve"> </w:t>
      </w:r>
      <w:r w:rsidRPr="00972025" w:rsidR="0039220C">
        <w:rPr>
          <w:rFonts w:ascii="Times New Roman" w:hAnsi="Times New Roman" w:cs="Times New Roman"/>
          <w:color w:val="auto"/>
        </w:rPr>
        <w:t xml:space="preserve">revisions to existing ground control plans </w:t>
      </w:r>
      <w:r w:rsidR="002B7B5A">
        <w:rPr>
          <w:rFonts w:ascii="Times New Roman" w:hAnsi="Times New Roman" w:cs="Times New Roman"/>
          <w:color w:val="auto"/>
        </w:rPr>
        <w:t>(</w:t>
      </w:r>
      <w:r w:rsidRPr="00972025" w:rsidR="00810A0A">
        <w:rPr>
          <w:rFonts w:ascii="Times New Roman" w:hAnsi="Times New Roman" w:cs="Times New Roman"/>
          <w:color w:val="auto"/>
        </w:rPr>
        <w:t>287</w:t>
      </w:r>
      <w:r w:rsidR="00810A0A">
        <w:rPr>
          <w:rFonts w:ascii="Times New Roman" w:hAnsi="Times New Roman" w:cs="Times New Roman"/>
          <w:color w:val="auto"/>
        </w:rPr>
        <w:t xml:space="preserve"> </w:t>
      </w:r>
      <w:r w:rsidRPr="00972025" w:rsidR="004E5498">
        <w:rPr>
          <w:rFonts w:ascii="Times New Roman" w:hAnsi="Times New Roman" w:cs="Times New Roman"/>
          <w:color w:val="auto"/>
        </w:rPr>
        <w:t>total plans</w:t>
      </w:r>
      <w:r w:rsidR="002B7B5A">
        <w:rPr>
          <w:rFonts w:ascii="Times New Roman" w:hAnsi="Times New Roman" w:cs="Times New Roman"/>
          <w:color w:val="auto"/>
        </w:rPr>
        <w:t>)</w:t>
      </w:r>
      <w:r w:rsidRPr="00972025" w:rsidR="004E5498">
        <w:rPr>
          <w:rFonts w:ascii="Times New Roman" w:hAnsi="Times New Roman" w:cs="Times New Roman"/>
          <w:color w:val="auto"/>
        </w:rPr>
        <w:t xml:space="preserve"> will be </w:t>
      </w:r>
      <w:r w:rsidRPr="00972025" w:rsidR="00990EA8">
        <w:rPr>
          <w:rFonts w:ascii="Times New Roman" w:hAnsi="Times New Roman" w:cs="Times New Roman"/>
          <w:color w:val="auto"/>
        </w:rPr>
        <w:t xml:space="preserve">filed </w:t>
      </w:r>
      <w:r w:rsidRPr="00972025" w:rsidR="004E5498">
        <w:rPr>
          <w:rFonts w:ascii="Times New Roman" w:hAnsi="Times New Roman" w:cs="Times New Roman"/>
          <w:color w:val="auto"/>
        </w:rPr>
        <w:t>each year</w:t>
      </w:r>
      <w:r w:rsidRPr="00972025" w:rsidR="009044E7">
        <w:rPr>
          <w:rFonts w:ascii="Times New Roman" w:hAnsi="Times New Roman" w:cs="Times New Roman"/>
          <w:color w:val="auto"/>
        </w:rPr>
        <w:t xml:space="preserve"> and will require a Safety Specialist, GS-12, 30 minutes to review</w:t>
      </w:r>
      <w:r w:rsidRPr="00972025">
        <w:rPr>
          <w:rFonts w:ascii="Times New Roman" w:hAnsi="Times New Roman" w:cs="Times New Roman"/>
          <w:color w:val="auto"/>
        </w:rPr>
        <w:t xml:space="preserve">.  </w:t>
      </w:r>
      <w:bookmarkStart w:name="OLE_LINK3" w:id="0"/>
      <w:r w:rsidRPr="00972025" w:rsidR="001D30A9">
        <w:rPr>
          <w:rFonts w:ascii="Times New Roman" w:hAnsi="Times New Roman" w:cs="Times New Roman"/>
        </w:rPr>
        <w:t xml:space="preserve">As of </w:t>
      </w:r>
      <w:r w:rsidR="00401D71">
        <w:rPr>
          <w:rFonts w:ascii="Times New Roman" w:hAnsi="Times New Roman" w:cs="Times New Roman"/>
        </w:rPr>
        <w:t>June 2021</w:t>
      </w:r>
      <w:r w:rsidRPr="00972025" w:rsidR="001D30A9">
        <w:rPr>
          <w:rFonts w:ascii="Times New Roman" w:hAnsi="Times New Roman" w:cs="Times New Roman"/>
        </w:rPr>
        <w:t xml:space="preserve">, the average </w:t>
      </w:r>
      <w:r w:rsidRPr="00972025" w:rsidR="009044E7">
        <w:rPr>
          <w:rFonts w:ascii="Times New Roman" w:hAnsi="Times New Roman" w:cs="Times New Roman"/>
        </w:rPr>
        <w:t xml:space="preserve">wage </w:t>
      </w:r>
      <w:r w:rsidRPr="00972025" w:rsidR="001D30A9">
        <w:rPr>
          <w:rFonts w:ascii="Times New Roman" w:hAnsi="Times New Roman" w:cs="Times New Roman"/>
        </w:rPr>
        <w:t xml:space="preserve">of a </w:t>
      </w:r>
      <w:r w:rsidRPr="00972025" w:rsidR="001D30A9">
        <w:rPr>
          <w:rFonts w:ascii="Times New Roman" w:hAnsi="Times New Roman" w:cs="Times New Roman"/>
          <w:color w:val="auto"/>
        </w:rPr>
        <w:t>Safety Specialist</w:t>
      </w:r>
      <w:r w:rsidRPr="00972025" w:rsidR="009044E7">
        <w:rPr>
          <w:rFonts w:ascii="Times New Roman" w:hAnsi="Times New Roman" w:cs="Times New Roman"/>
          <w:color w:val="auto"/>
        </w:rPr>
        <w:t xml:space="preserve">, </w:t>
      </w:r>
      <w:r w:rsidRPr="00972025" w:rsidR="001D30A9">
        <w:rPr>
          <w:rFonts w:ascii="Times New Roman" w:hAnsi="Times New Roman" w:cs="Times New Roman"/>
        </w:rPr>
        <w:t>GS</w:t>
      </w:r>
      <w:r w:rsidRPr="00972025" w:rsidR="00E162EC">
        <w:rPr>
          <w:rFonts w:ascii="Times New Roman" w:hAnsi="Times New Roman" w:cs="Times New Roman"/>
        </w:rPr>
        <w:t>-</w:t>
      </w:r>
      <w:r w:rsidRPr="00972025" w:rsidR="001D30A9">
        <w:rPr>
          <w:rFonts w:ascii="Times New Roman" w:hAnsi="Times New Roman" w:cs="Times New Roman"/>
        </w:rPr>
        <w:t xml:space="preserve">12, </w:t>
      </w:r>
      <w:r w:rsidRPr="00972025" w:rsidR="009044E7">
        <w:rPr>
          <w:rFonts w:ascii="Times New Roman" w:hAnsi="Times New Roman" w:cs="Times New Roman"/>
        </w:rPr>
        <w:t>is</w:t>
      </w:r>
      <w:r w:rsidRPr="00972025" w:rsidR="001D30A9">
        <w:rPr>
          <w:rFonts w:ascii="Times New Roman" w:hAnsi="Times New Roman" w:cs="Times New Roman"/>
        </w:rPr>
        <w:t xml:space="preserve"> $</w:t>
      </w:r>
      <w:r w:rsidR="00241AD1">
        <w:rPr>
          <w:rFonts w:ascii="Times New Roman" w:hAnsi="Times New Roman" w:cs="Times New Roman"/>
        </w:rPr>
        <w:t>61.79</w:t>
      </w:r>
      <w:r w:rsidRPr="00972025" w:rsidR="001D30A9">
        <w:rPr>
          <w:rFonts w:ascii="Times New Roman" w:hAnsi="Times New Roman" w:cs="Times New Roman"/>
        </w:rPr>
        <w:t xml:space="preserve"> per hour including benefits</w:t>
      </w:r>
      <w:r w:rsidRPr="00972025" w:rsidR="00A40124">
        <w:rPr>
          <w:rFonts w:ascii="Times New Roman" w:hAnsi="Times New Roman" w:cs="Times New Roman"/>
        </w:rPr>
        <w:t>.</w:t>
      </w:r>
      <w:r w:rsidRPr="00972025" w:rsidR="00A40124">
        <w:rPr>
          <w:rStyle w:val="FootnoteReference"/>
          <w:rFonts w:ascii="Times New Roman" w:hAnsi="Times New Roman" w:cs="Times New Roman"/>
        </w:rPr>
        <w:footnoteReference w:id="4"/>
      </w:r>
      <w:r w:rsidRPr="00972025" w:rsidR="001D30A9">
        <w:rPr>
          <w:rFonts w:ascii="Times New Roman" w:hAnsi="Times New Roman" w:cs="Times New Roman"/>
        </w:rPr>
        <w:t xml:space="preserve"> </w:t>
      </w:r>
      <w:bookmarkEnd w:id="0"/>
    </w:p>
    <w:p w:rsidRPr="00972025" w:rsidR="0012758F" w:rsidP="00A6042E" w:rsidRDefault="0012758F" w14:paraId="17D2931B" w14:textId="77777777">
      <w:pPr>
        <w:pStyle w:val="Default"/>
        <w:widowControl/>
        <w:rPr>
          <w:rFonts w:ascii="Times New Roman" w:hAnsi="Times New Roman" w:cs="Times New Roman"/>
          <w:color w:val="auto"/>
        </w:rPr>
      </w:pPr>
    </w:p>
    <w:p w:rsidRPr="00972025" w:rsidR="005C5609" w:rsidP="00A6042E" w:rsidRDefault="00810A0A" w14:paraId="04621EB8" w14:textId="15F21057">
      <w:pPr>
        <w:pStyle w:val="Default"/>
        <w:widowControl/>
        <w:rPr>
          <w:rFonts w:ascii="Times New Roman" w:hAnsi="Times New Roman" w:cs="Times New Roman"/>
          <w:color w:val="auto"/>
        </w:rPr>
      </w:pPr>
      <w:r w:rsidRPr="00972025">
        <w:rPr>
          <w:rFonts w:ascii="Times New Roman" w:hAnsi="Times New Roman" w:cs="Times New Roman"/>
          <w:color w:val="auto"/>
        </w:rPr>
        <w:t>287</w:t>
      </w:r>
      <w:r w:rsidRPr="00972025" w:rsidR="00990EA8">
        <w:rPr>
          <w:rFonts w:ascii="Times New Roman" w:hAnsi="Times New Roman" w:cs="Times New Roman"/>
          <w:color w:val="auto"/>
        </w:rPr>
        <w:t xml:space="preserve"> plans x </w:t>
      </w:r>
      <w:r w:rsidRPr="00972025" w:rsidR="009044E7">
        <w:rPr>
          <w:rFonts w:ascii="Times New Roman" w:hAnsi="Times New Roman" w:cs="Times New Roman"/>
          <w:color w:val="auto"/>
        </w:rPr>
        <w:t xml:space="preserve">30 minutes </w:t>
      </w:r>
      <w:r w:rsidRPr="00972025" w:rsidR="00990EA8">
        <w:rPr>
          <w:rFonts w:ascii="Times New Roman" w:hAnsi="Times New Roman" w:cs="Times New Roman"/>
          <w:color w:val="auto"/>
        </w:rPr>
        <w:t>x $</w:t>
      </w:r>
      <w:r w:rsidR="00241AD1">
        <w:rPr>
          <w:rFonts w:ascii="Times New Roman" w:hAnsi="Times New Roman" w:cs="Times New Roman"/>
          <w:color w:val="auto"/>
        </w:rPr>
        <w:t>61.79</w:t>
      </w:r>
      <w:r w:rsidRPr="00972025" w:rsidR="00990EA8">
        <w:rPr>
          <w:rFonts w:ascii="Times New Roman" w:hAnsi="Times New Roman" w:cs="Times New Roman"/>
          <w:color w:val="auto"/>
        </w:rPr>
        <w:t>/hour</w:t>
      </w:r>
      <w:r w:rsidRPr="00972025" w:rsidR="004E5498">
        <w:rPr>
          <w:rFonts w:ascii="Times New Roman" w:hAnsi="Times New Roman" w:cs="Times New Roman"/>
          <w:color w:val="auto"/>
        </w:rPr>
        <w:tab/>
      </w:r>
      <w:r w:rsidRPr="00972025" w:rsidR="002D16A5">
        <w:rPr>
          <w:rFonts w:ascii="Times New Roman" w:hAnsi="Times New Roman" w:cs="Times New Roman"/>
          <w:color w:val="auto"/>
        </w:rPr>
        <w:tab/>
      </w:r>
      <w:r w:rsidRPr="00972025" w:rsidR="001067EB">
        <w:rPr>
          <w:rFonts w:ascii="Times New Roman" w:hAnsi="Times New Roman" w:cs="Times New Roman"/>
          <w:color w:val="auto"/>
        </w:rPr>
        <w:tab/>
      </w:r>
      <w:r w:rsidR="00FA3DD4">
        <w:rPr>
          <w:rFonts w:ascii="Times New Roman" w:hAnsi="Times New Roman" w:cs="Times New Roman"/>
          <w:color w:val="auto"/>
        </w:rPr>
        <w:tab/>
      </w:r>
      <w:r w:rsidRPr="00972025" w:rsidR="001067EB">
        <w:rPr>
          <w:rFonts w:ascii="Times New Roman" w:hAnsi="Times New Roman" w:cs="Times New Roman"/>
          <w:color w:val="auto"/>
        </w:rPr>
        <w:tab/>
      </w:r>
      <w:r w:rsidRPr="00972025" w:rsidR="005C2FBA">
        <w:rPr>
          <w:rFonts w:ascii="Times New Roman" w:hAnsi="Times New Roman" w:cs="Times New Roman"/>
          <w:color w:val="auto"/>
        </w:rPr>
        <w:tab/>
      </w:r>
      <w:r w:rsidRPr="00972025" w:rsidR="005F2ABD">
        <w:rPr>
          <w:rFonts w:ascii="Times New Roman" w:hAnsi="Times New Roman" w:cs="Times New Roman"/>
          <w:color w:val="auto"/>
        </w:rPr>
        <w:t>=</w:t>
      </w:r>
      <w:r w:rsidRPr="00972025" w:rsidR="005C2FBA">
        <w:rPr>
          <w:rFonts w:ascii="Times New Roman" w:hAnsi="Times New Roman" w:cs="Times New Roman"/>
          <w:color w:val="auto"/>
        </w:rPr>
        <w:t xml:space="preserve">   </w:t>
      </w:r>
      <w:r w:rsidRPr="00972025" w:rsidR="00990EA8">
        <w:rPr>
          <w:rFonts w:ascii="Times New Roman" w:hAnsi="Times New Roman" w:cs="Times New Roman"/>
          <w:color w:val="auto"/>
        </w:rPr>
        <w:t>$</w:t>
      </w:r>
      <w:r w:rsidRPr="00241AD1" w:rsidR="00241AD1">
        <w:rPr>
          <w:rFonts w:ascii="Times New Roman" w:hAnsi="Times New Roman" w:cs="Times New Roman"/>
          <w:color w:val="auto"/>
        </w:rPr>
        <w:t>8,866.87</w:t>
      </w:r>
    </w:p>
    <w:p w:rsidRPr="00972025" w:rsidR="0035332B" w:rsidP="00A6042E" w:rsidRDefault="0035332B" w14:paraId="43413D41" w14:textId="77777777">
      <w:pPr>
        <w:pStyle w:val="Default"/>
        <w:widowControl/>
        <w:rPr>
          <w:rFonts w:ascii="Times New Roman" w:hAnsi="Times New Roman" w:cs="Times New Roman"/>
          <w:color w:val="auto"/>
        </w:rPr>
      </w:pPr>
    </w:p>
    <w:p w:rsidRPr="00972025" w:rsidR="0035332B" w:rsidP="009044E7" w:rsidRDefault="005F2ABD" w14:paraId="38D7BA3C" w14:textId="486C996D">
      <w:pPr>
        <w:pStyle w:val="Default"/>
        <w:widowControl/>
        <w:rPr>
          <w:rFonts w:ascii="Times New Roman" w:hAnsi="Times New Roman" w:cs="Times New Roman"/>
          <w:b/>
          <w:bCs/>
          <w:color w:val="auto"/>
        </w:rPr>
      </w:pPr>
      <w:r w:rsidRPr="00972025">
        <w:rPr>
          <w:rFonts w:ascii="Times New Roman" w:hAnsi="Times New Roman" w:cs="Times New Roman"/>
          <w:b/>
          <w:bCs/>
          <w:color w:val="auto"/>
        </w:rPr>
        <w:t xml:space="preserve">Annualized </w:t>
      </w:r>
      <w:r w:rsidRPr="00972025" w:rsidR="005C5609">
        <w:rPr>
          <w:rFonts w:ascii="Times New Roman" w:hAnsi="Times New Roman" w:cs="Times New Roman"/>
          <w:b/>
          <w:bCs/>
          <w:color w:val="auto"/>
        </w:rPr>
        <w:t>Cost to the Federal Government</w:t>
      </w:r>
      <w:r w:rsidRPr="00972025" w:rsidR="0035332B">
        <w:rPr>
          <w:rFonts w:ascii="Times New Roman" w:hAnsi="Times New Roman" w:cs="Times New Roman"/>
          <w:b/>
          <w:bCs/>
          <w:color w:val="auto"/>
        </w:rPr>
        <w:tab/>
        <w:t xml:space="preserve">    </w:t>
      </w:r>
      <w:r w:rsidRPr="00972025" w:rsidR="009044E7">
        <w:rPr>
          <w:rFonts w:ascii="Times New Roman" w:hAnsi="Times New Roman" w:cs="Times New Roman"/>
          <w:b/>
          <w:bCs/>
          <w:color w:val="auto"/>
        </w:rPr>
        <w:tab/>
      </w:r>
      <w:r w:rsidRPr="00972025" w:rsidR="001067EB">
        <w:rPr>
          <w:rFonts w:ascii="Times New Roman" w:hAnsi="Times New Roman" w:cs="Times New Roman"/>
          <w:b/>
          <w:bCs/>
          <w:color w:val="auto"/>
        </w:rPr>
        <w:tab/>
      </w:r>
      <w:r w:rsidRPr="00972025" w:rsidR="001067EB">
        <w:rPr>
          <w:rFonts w:ascii="Times New Roman" w:hAnsi="Times New Roman" w:cs="Times New Roman"/>
          <w:b/>
          <w:bCs/>
          <w:color w:val="auto"/>
        </w:rPr>
        <w:tab/>
      </w:r>
      <w:r w:rsidRPr="00972025" w:rsidR="005C2FBA">
        <w:rPr>
          <w:rFonts w:ascii="Times New Roman" w:hAnsi="Times New Roman" w:cs="Times New Roman"/>
          <w:b/>
          <w:bCs/>
          <w:color w:val="auto"/>
        </w:rPr>
        <w:tab/>
      </w:r>
      <w:r w:rsidRPr="00972025" w:rsidR="005C5609">
        <w:rPr>
          <w:rFonts w:ascii="Times New Roman" w:hAnsi="Times New Roman" w:cs="Times New Roman"/>
          <w:b/>
          <w:bCs/>
          <w:color w:val="auto"/>
        </w:rPr>
        <w:t>=</w:t>
      </w:r>
      <w:r w:rsidRPr="00972025" w:rsidR="005C2FBA">
        <w:rPr>
          <w:rFonts w:ascii="Times New Roman" w:hAnsi="Times New Roman" w:cs="Times New Roman"/>
          <w:b/>
          <w:bCs/>
          <w:color w:val="auto"/>
        </w:rPr>
        <w:t xml:space="preserve">   </w:t>
      </w:r>
      <w:r w:rsidRPr="00972025" w:rsidR="00990EA8">
        <w:rPr>
          <w:rFonts w:ascii="Times New Roman" w:hAnsi="Times New Roman" w:cs="Times New Roman"/>
          <w:b/>
          <w:bCs/>
          <w:color w:val="auto"/>
        </w:rPr>
        <w:t>$</w:t>
      </w:r>
      <w:r w:rsidRPr="00241AD1" w:rsidR="00241AD1">
        <w:rPr>
          <w:rFonts w:ascii="Times New Roman" w:hAnsi="Times New Roman" w:cs="Times New Roman"/>
          <w:b/>
          <w:bCs/>
          <w:color w:val="auto"/>
        </w:rPr>
        <w:t>8,867</w:t>
      </w:r>
    </w:p>
    <w:p w:rsidRPr="00972025" w:rsidR="00A43006" w:rsidP="009044E7" w:rsidRDefault="00A43006" w14:paraId="47105E8C" w14:textId="77777777">
      <w:pPr>
        <w:pStyle w:val="Default"/>
        <w:widowControl/>
        <w:rPr>
          <w:rFonts w:ascii="Times New Roman" w:hAnsi="Times New Roman" w:cs="Times New Roman"/>
          <w:b/>
          <w:bCs/>
          <w:color w:val="auto"/>
        </w:rPr>
      </w:pPr>
    </w:p>
    <w:p w:rsidRPr="00972025" w:rsidR="009044E7" w:rsidP="009044E7" w:rsidRDefault="009044E7" w14:paraId="5A07F707" w14:textId="77777777">
      <w:pPr>
        <w:pStyle w:val="Default"/>
        <w:widowControl/>
        <w:rPr>
          <w:rFonts w:ascii="Times New Roman" w:hAnsi="Times New Roman" w:cs="Times New Roman"/>
          <w:color w:val="auto"/>
        </w:rPr>
      </w:pPr>
    </w:p>
    <w:p w:rsidRPr="00972025" w:rsidR="0020092F" w:rsidP="00A6042E" w:rsidRDefault="0020092F" w14:paraId="7E9C9D08" w14:textId="753AF32C">
      <w:pPr>
        <w:rPr>
          <w:b/>
        </w:rPr>
      </w:pPr>
      <w:r w:rsidRPr="00972025">
        <w:rPr>
          <w:b/>
        </w:rPr>
        <w:t xml:space="preserve">15. Explain the reasons for any program changes or </w:t>
      </w:r>
      <w:r w:rsidR="00B259DF">
        <w:rPr>
          <w:b/>
        </w:rPr>
        <w:t>adjustments.</w:t>
      </w:r>
    </w:p>
    <w:p w:rsidRPr="00972025" w:rsidR="005F2ABD" w:rsidP="00A6042E" w:rsidRDefault="005F2ABD" w14:paraId="594145C6" w14:textId="77777777">
      <w:pPr>
        <w:pStyle w:val="Default"/>
        <w:widowControl/>
        <w:rPr>
          <w:rFonts w:ascii="Times New Roman" w:hAnsi="Times New Roman" w:cs="Times New Roman"/>
          <w:color w:val="auto"/>
        </w:rPr>
      </w:pPr>
    </w:p>
    <w:p w:rsidRPr="00972025" w:rsidR="005F2ABD" w:rsidP="00A6042E" w:rsidRDefault="005F2ABD" w14:paraId="381E9F29" w14:textId="08E920D1">
      <w:r w:rsidRPr="00972025">
        <w:rPr>
          <w:b/>
        </w:rPr>
        <w:t>Respondents</w:t>
      </w:r>
      <w:r w:rsidRPr="00972025">
        <w:t>:</w:t>
      </w:r>
      <w:r w:rsidRPr="00972025" w:rsidR="00C945FE">
        <w:t xml:space="preserve"> There has been </w:t>
      </w:r>
      <w:r w:rsidRPr="00972025" w:rsidR="00792990">
        <w:t>an</w:t>
      </w:r>
      <w:r w:rsidRPr="00972025" w:rsidR="002B7169">
        <w:t xml:space="preserve"> increase</w:t>
      </w:r>
      <w:r w:rsidR="00F1335D">
        <w:t xml:space="preserve"> </w:t>
      </w:r>
      <w:r w:rsidR="000D172D">
        <w:t>of 17</w:t>
      </w:r>
      <w:r w:rsidRPr="00972025" w:rsidR="00C945FE">
        <w:t xml:space="preserve"> respondents </w:t>
      </w:r>
      <w:r w:rsidR="000D172D">
        <w:t xml:space="preserve">(from </w:t>
      </w:r>
      <w:r w:rsidRPr="00972025" w:rsidR="002B7169">
        <w:t>270</w:t>
      </w:r>
      <w:r w:rsidR="00FA3DD4">
        <w:t xml:space="preserve"> </w:t>
      </w:r>
      <w:r w:rsidRPr="000135C7" w:rsidR="00FA3DD4">
        <w:t xml:space="preserve">to </w:t>
      </w:r>
      <w:r w:rsidRPr="00972025" w:rsidR="00F1335D">
        <w:t>287</w:t>
      </w:r>
      <w:r w:rsidR="000D172D">
        <w:t>)</w:t>
      </w:r>
      <w:r w:rsidRPr="00972025" w:rsidR="00C945FE">
        <w:t xml:space="preserve"> due to a</w:t>
      </w:r>
      <w:r w:rsidRPr="000135C7" w:rsidR="00FA3DD4">
        <w:t>n increase</w:t>
      </w:r>
      <w:r w:rsidRPr="00972025" w:rsidR="00C945FE">
        <w:t xml:space="preserve"> in the number of </w:t>
      </w:r>
      <w:r w:rsidRPr="000135C7" w:rsidR="00FA3DD4">
        <w:t xml:space="preserve">active </w:t>
      </w:r>
      <w:r w:rsidRPr="00972025" w:rsidR="00C945FE">
        <w:t xml:space="preserve">surface coal </w:t>
      </w:r>
      <w:r w:rsidRPr="00972025" w:rsidR="005B297C">
        <w:t>mines.</w:t>
      </w:r>
      <w:r w:rsidRPr="000135C7" w:rsidR="00F1335D">
        <w:t xml:space="preserve"> </w:t>
      </w:r>
    </w:p>
    <w:p w:rsidRPr="00972025" w:rsidR="00C945FE" w:rsidP="00A6042E" w:rsidRDefault="00C945FE" w14:paraId="09CCC6C2" w14:textId="77777777"/>
    <w:p w:rsidRPr="00972025" w:rsidR="00C945FE" w:rsidP="00A6042E" w:rsidRDefault="005F2ABD" w14:paraId="0FF1B24F" w14:textId="35EB6143">
      <w:r w:rsidRPr="00972025">
        <w:rPr>
          <w:b/>
        </w:rPr>
        <w:t>Responses</w:t>
      </w:r>
      <w:r w:rsidRPr="00972025">
        <w:t>:</w:t>
      </w:r>
      <w:r w:rsidRPr="000135C7" w:rsidR="00FA3DD4">
        <w:t xml:space="preserve"> </w:t>
      </w:r>
      <w:r w:rsidRPr="00972025" w:rsidR="00C945FE">
        <w:t xml:space="preserve">There has been </w:t>
      </w:r>
      <w:r w:rsidRPr="00972025" w:rsidR="00792990">
        <w:t>an</w:t>
      </w:r>
      <w:r w:rsidRPr="00972025" w:rsidR="002B7169">
        <w:t xml:space="preserve"> increase</w:t>
      </w:r>
      <w:r w:rsidRPr="00972025">
        <w:t xml:space="preserve"> </w:t>
      </w:r>
      <w:r w:rsidR="000D172D">
        <w:t>of 17</w:t>
      </w:r>
      <w:r w:rsidRPr="00972025">
        <w:t xml:space="preserve"> </w:t>
      </w:r>
      <w:r w:rsidRPr="00972025" w:rsidR="00C945FE">
        <w:t xml:space="preserve">responses </w:t>
      </w:r>
      <w:r w:rsidRPr="00972025">
        <w:t xml:space="preserve">(from </w:t>
      </w:r>
      <w:r w:rsidRPr="00972025" w:rsidR="002B7169">
        <w:t>270</w:t>
      </w:r>
      <w:r w:rsidRPr="000135C7" w:rsidR="00FA3DD4">
        <w:t xml:space="preserve"> to </w:t>
      </w:r>
      <w:r w:rsidRPr="00972025" w:rsidR="004C37B7">
        <w:t>287</w:t>
      </w:r>
      <w:r w:rsidRPr="000135C7" w:rsidR="004C37B7">
        <w:t>)</w:t>
      </w:r>
      <w:r w:rsidRPr="000135C7" w:rsidR="00F45416">
        <w:t xml:space="preserve"> </w:t>
      </w:r>
      <w:r w:rsidRPr="00972025" w:rsidR="00F45416">
        <w:t xml:space="preserve">due to </w:t>
      </w:r>
      <w:r w:rsidRPr="00972025" w:rsidR="00792990">
        <w:t>an</w:t>
      </w:r>
      <w:r w:rsidRPr="00972025" w:rsidR="002B7169">
        <w:t xml:space="preserve"> increase</w:t>
      </w:r>
      <w:r w:rsidRPr="00972025" w:rsidR="00F45416">
        <w:t xml:space="preserve"> in the number of </w:t>
      </w:r>
      <w:r w:rsidRPr="00972025" w:rsidR="00525451">
        <w:t xml:space="preserve">respondents in the form of </w:t>
      </w:r>
      <w:r w:rsidRPr="00972025" w:rsidR="00F45416">
        <w:t>surface coal mines.</w:t>
      </w:r>
    </w:p>
    <w:p w:rsidRPr="00972025" w:rsidR="00F45416" w:rsidP="00A6042E" w:rsidRDefault="00F45416" w14:paraId="46522C28" w14:textId="77777777"/>
    <w:p w:rsidRPr="00972025" w:rsidR="00C945FE" w:rsidP="00A6042E" w:rsidRDefault="005F2ABD" w14:paraId="5974E1DB" w14:textId="5BEF7C88">
      <w:r w:rsidRPr="00972025">
        <w:rPr>
          <w:b/>
        </w:rPr>
        <w:t>Burden Hours:</w:t>
      </w:r>
      <w:r w:rsidRPr="00972025" w:rsidR="00051284">
        <w:rPr>
          <w:b/>
        </w:rPr>
        <w:t xml:space="preserve"> </w:t>
      </w:r>
      <w:r w:rsidRPr="00972025" w:rsidR="00C945FE">
        <w:t xml:space="preserve">There has been </w:t>
      </w:r>
      <w:r w:rsidRPr="00972025" w:rsidR="00792990">
        <w:t>an</w:t>
      </w:r>
      <w:r w:rsidRPr="00972025" w:rsidR="00C945FE">
        <w:rPr>
          <w:b/>
        </w:rPr>
        <w:t xml:space="preserve"> </w:t>
      </w:r>
      <w:r w:rsidRPr="00972025" w:rsidR="002B7169">
        <w:t>increase</w:t>
      </w:r>
      <w:r w:rsidRPr="00972025" w:rsidR="004E5498">
        <w:t xml:space="preserve"> </w:t>
      </w:r>
      <w:r w:rsidR="000D172D">
        <w:t>of 114</w:t>
      </w:r>
      <w:r w:rsidRPr="000135C7" w:rsidR="006D6316">
        <w:t xml:space="preserve"> </w:t>
      </w:r>
      <w:r w:rsidRPr="00972025" w:rsidR="00C945FE">
        <w:t xml:space="preserve">hours </w:t>
      </w:r>
      <w:r w:rsidRPr="00972025">
        <w:t>(from</w:t>
      </w:r>
      <w:r w:rsidRPr="00972025" w:rsidR="002B7169">
        <w:t xml:space="preserve"> 1</w:t>
      </w:r>
      <w:r w:rsidRPr="00972025" w:rsidR="0050616A">
        <w:t>,</w:t>
      </w:r>
      <w:r w:rsidRPr="00972025" w:rsidR="002B7169">
        <w:t>848</w:t>
      </w:r>
      <w:r w:rsidRPr="000135C7" w:rsidR="00FA3DD4">
        <w:t xml:space="preserve"> to </w:t>
      </w:r>
      <w:r w:rsidRPr="00972025" w:rsidR="004C37B7">
        <w:t>1,96</w:t>
      </w:r>
      <w:r w:rsidR="006D6316">
        <w:t>2</w:t>
      </w:r>
      <w:r w:rsidR="004C37B7">
        <w:t>)</w:t>
      </w:r>
      <w:r w:rsidRPr="00972025" w:rsidR="00C945FE">
        <w:t xml:space="preserve">. </w:t>
      </w:r>
      <w:r w:rsidRPr="00972025" w:rsidR="007F35CC">
        <w:t xml:space="preserve"> The</w:t>
      </w:r>
      <w:r w:rsidRPr="00972025" w:rsidR="002B7169">
        <w:t xml:space="preserve"> increase</w:t>
      </w:r>
      <w:r w:rsidRPr="00972025" w:rsidR="007F35CC">
        <w:t xml:space="preserve"> in burden hours is due to the</w:t>
      </w:r>
      <w:r w:rsidRPr="00972025" w:rsidR="002B7169">
        <w:t xml:space="preserve"> increase</w:t>
      </w:r>
      <w:r w:rsidRPr="00972025" w:rsidR="007F35CC">
        <w:t xml:space="preserve"> </w:t>
      </w:r>
      <w:r w:rsidRPr="00972025" w:rsidR="00F45416">
        <w:t>in the number of surface coal mines and responses</w:t>
      </w:r>
      <w:r w:rsidRPr="00972025" w:rsidR="007F35CC">
        <w:t>.</w:t>
      </w:r>
    </w:p>
    <w:p w:rsidRPr="00972025" w:rsidR="004E5498" w:rsidP="00A6042E" w:rsidRDefault="004E5498" w14:paraId="74097AE7" w14:textId="77777777"/>
    <w:p w:rsidRPr="00972025" w:rsidR="005F2ABD" w:rsidP="00A6042E" w:rsidRDefault="00C945FE" w14:paraId="2ABCE2C9" w14:textId="3AEDED8E">
      <w:pPr>
        <w:pStyle w:val="Default"/>
        <w:widowControl/>
        <w:rPr>
          <w:rFonts w:ascii="Times New Roman" w:hAnsi="Times New Roman" w:cs="Times New Roman"/>
        </w:rPr>
      </w:pPr>
      <w:r w:rsidRPr="00972025">
        <w:rPr>
          <w:rFonts w:ascii="Times New Roman" w:hAnsi="Times New Roman" w:cs="Times New Roman"/>
          <w:b/>
        </w:rPr>
        <w:t>Annual</w:t>
      </w:r>
      <w:r w:rsidRPr="00972025">
        <w:rPr>
          <w:rFonts w:ascii="Times New Roman" w:hAnsi="Times New Roman" w:cs="Times New Roman"/>
        </w:rPr>
        <w:t xml:space="preserve"> </w:t>
      </w:r>
      <w:r w:rsidRPr="00972025" w:rsidR="005F2ABD">
        <w:rPr>
          <w:rFonts w:ascii="Times New Roman" w:hAnsi="Times New Roman" w:cs="Times New Roman"/>
          <w:b/>
        </w:rPr>
        <w:t>Cost</w:t>
      </w:r>
      <w:r w:rsidRPr="00972025">
        <w:rPr>
          <w:rFonts w:ascii="Times New Roman" w:hAnsi="Times New Roman" w:cs="Times New Roman"/>
          <w:b/>
        </w:rPr>
        <w:t xml:space="preserve"> </w:t>
      </w:r>
      <w:r w:rsidRPr="00972025" w:rsidR="005F2ABD">
        <w:rPr>
          <w:rFonts w:ascii="Times New Roman" w:hAnsi="Times New Roman" w:cs="Times New Roman"/>
          <w:b/>
        </w:rPr>
        <w:t>Burden:</w:t>
      </w:r>
      <w:r w:rsidRPr="00972025">
        <w:rPr>
          <w:rFonts w:ascii="Times New Roman" w:hAnsi="Times New Roman" w:cs="Times New Roman"/>
        </w:rPr>
        <w:t xml:space="preserve"> There has been </w:t>
      </w:r>
      <w:r w:rsidRPr="00972025" w:rsidR="00316A90">
        <w:rPr>
          <w:rFonts w:ascii="Times New Roman" w:hAnsi="Times New Roman" w:cs="Times New Roman"/>
        </w:rPr>
        <w:t>an</w:t>
      </w:r>
      <w:r w:rsidRPr="00972025">
        <w:rPr>
          <w:rFonts w:ascii="Times New Roman" w:hAnsi="Times New Roman" w:cs="Times New Roman"/>
        </w:rPr>
        <w:t xml:space="preserve"> </w:t>
      </w:r>
      <w:r w:rsidRPr="00972025" w:rsidR="002B7169">
        <w:rPr>
          <w:rFonts w:ascii="Times New Roman" w:hAnsi="Times New Roman" w:cs="Times New Roman"/>
        </w:rPr>
        <w:t>increase</w:t>
      </w:r>
      <w:r w:rsidRPr="00972025" w:rsidR="00AC089B">
        <w:rPr>
          <w:rFonts w:ascii="Times New Roman" w:hAnsi="Times New Roman" w:cs="Times New Roman"/>
        </w:rPr>
        <w:t xml:space="preserve"> </w:t>
      </w:r>
      <w:r w:rsidR="000D172D">
        <w:rPr>
          <w:rFonts w:ascii="Times New Roman" w:hAnsi="Times New Roman" w:cs="Times New Roman"/>
        </w:rPr>
        <w:t xml:space="preserve">of $32 </w:t>
      </w:r>
      <w:r w:rsidR="00FA3DD4">
        <w:rPr>
          <w:rFonts w:ascii="Times New Roman" w:hAnsi="Times New Roman" w:cs="Times New Roman"/>
        </w:rPr>
        <w:t xml:space="preserve">in cost </w:t>
      </w:r>
      <w:r w:rsidRPr="00972025" w:rsidR="005F2ABD">
        <w:rPr>
          <w:rFonts w:ascii="Times New Roman" w:hAnsi="Times New Roman" w:cs="Times New Roman"/>
        </w:rPr>
        <w:t>(from</w:t>
      </w:r>
      <w:r w:rsidRPr="00972025" w:rsidR="002B7169">
        <w:rPr>
          <w:rFonts w:ascii="Times New Roman" w:hAnsi="Times New Roman" w:cs="Times New Roman"/>
        </w:rPr>
        <w:t xml:space="preserve"> </w:t>
      </w:r>
      <w:r w:rsidRPr="00972025" w:rsidR="007F35CC">
        <w:rPr>
          <w:rFonts w:ascii="Times New Roman" w:hAnsi="Times New Roman" w:cs="Times New Roman"/>
        </w:rPr>
        <w:t>$</w:t>
      </w:r>
      <w:r w:rsidRPr="00972025" w:rsidR="00316A90">
        <w:rPr>
          <w:rFonts w:ascii="Times New Roman" w:hAnsi="Times New Roman" w:cs="Times New Roman"/>
        </w:rPr>
        <w:t>513</w:t>
      </w:r>
      <w:r w:rsidR="00FA3DD4">
        <w:rPr>
          <w:rFonts w:ascii="Times New Roman" w:hAnsi="Times New Roman" w:cs="Times New Roman"/>
        </w:rPr>
        <w:t xml:space="preserve"> to $545</w:t>
      </w:r>
      <w:r w:rsidRPr="00972025" w:rsidR="005F2ABD">
        <w:rPr>
          <w:rFonts w:ascii="Times New Roman" w:hAnsi="Times New Roman" w:cs="Times New Roman"/>
        </w:rPr>
        <w:t>)</w:t>
      </w:r>
      <w:r w:rsidRPr="00972025">
        <w:rPr>
          <w:rFonts w:ascii="Times New Roman" w:hAnsi="Times New Roman" w:cs="Times New Roman"/>
        </w:rPr>
        <w:t>.</w:t>
      </w:r>
      <w:r w:rsidRPr="00972025" w:rsidR="002739AF">
        <w:rPr>
          <w:rFonts w:ascii="Times New Roman" w:hAnsi="Times New Roman" w:cs="Times New Roman"/>
        </w:rPr>
        <w:t xml:space="preserve"> </w:t>
      </w:r>
      <w:r w:rsidRPr="00972025">
        <w:rPr>
          <w:rFonts w:ascii="Times New Roman" w:hAnsi="Times New Roman" w:cs="Times New Roman"/>
        </w:rPr>
        <w:t xml:space="preserve"> </w:t>
      </w:r>
      <w:r w:rsidRPr="00972025" w:rsidR="007F35CC">
        <w:rPr>
          <w:rFonts w:ascii="Times New Roman" w:hAnsi="Times New Roman" w:cs="Times New Roman"/>
        </w:rPr>
        <w:t xml:space="preserve">The </w:t>
      </w:r>
      <w:r w:rsidRPr="00972025" w:rsidR="002B7169">
        <w:rPr>
          <w:rFonts w:ascii="Times New Roman" w:hAnsi="Times New Roman" w:cs="Times New Roman"/>
        </w:rPr>
        <w:t>increase</w:t>
      </w:r>
      <w:r w:rsidRPr="00972025" w:rsidR="007F35CC">
        <w:rPr>
          <w:rFonts w:ascii="Times New Roman" w:hAnsi="Times New Roman" w:cs="Times New Roman"/>
        </w:rPr>
        <w:t xml:space="preserve"> in cost burden is due to the </w:t>
      </w:r>
      <w:r w:rsidRPr="00972025" w:rsidR="002B7169">
        <w:rPr>
          <w:rFonts w:ascii="Times New Roman" w:hAnsi="Times New Roman" w:cs="Times New Roman"/>
        </w:rPr>
        <w:t>increase</w:t>
      </w:r>
      <w:r w:rsidRPr="00972025" w:rsidR="007F35CC">
        <w:rPr>
          <w:rFonts w:ascii="Times New Roman" w:hAnsi="Times New Roman" w:cs="Times New Roman"/>
        </w:rPr>
        <w:t xml:space="preserve"> in responses. </w:t>
      </w:r>
      <w:r w:rsidR="004C37B7">
        <w:rPr>
          <w:rFonts w:ascii="Times New Roman" w:hAnsi="Times New Roman" w:cs="Times New Roman"/>
        </w:rPr>
        <w:t xml:space="preserve">  </w:t>
      </w:r>
      <w:r w:rsidRPr="00972025" w:rsidR="007F35CC">
        <w:rPr>
          <w:rFonts w:ascii="Times New Roman" w:hAnsi="Times New Roman" w:cs="Times New Roman"/>
        </w:rPr>
        <w:t xml:space="preserve"> </w:t>
      </w:r>
    </w:p>
    <w:p w:rsidRPr="00972025" w:rsidR="005B297C" w:rsidP="00A6042E" w:rsidRDefault="005B297C" w14:paraId="2B54FE08" w14:textId="77777777">
      <w:pPr>
        <w:pStyle w:val="Default"/>
        <w:widowControl/>
        <w:rPr>
          <w:rFonts w:ascii="Times New Roman" w:hAnsi="Times New Roman" w:cs="Times New Roman"/>
          <w:color w:val="auto"/>
        </w:rPr>
      </w:pPr>
    </w:p>
    <w:p w:rsidRPr="00972025" w:rsidR="0020092F" w:rsidP="00A6042E" w:rsidRDefault="0020092F" w14:paraId="76A2378B" w14:textId="77777777">
      <w:pPr>
        <w:rPr>
          <w:b/>
        </w:rPr>
      </w:pPr>
      <w:r w:rsidRPr="00972025">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72025" w:rsidR="005C5609" w:rsidP="00A6042E" w:rsidRDefault="005C5609" w14:paraId="4839CA01" w14:textId="77777777">
      <w:pPr>
        <w:pStyle w:val="Default"/>
        <w:widowControl/>
        <w:rPr>
          <w:rFonts w:ascii="Times New Roman" w:hAnsi="Times New Roman" w:cs="Times New Roman"/>
        </w:rPr>
      </w:pPr>
      <w:r w:rsidRPr="00972025">
        <w:rPr>
          <w:rFonts w:ascii="Times New Roman" w:hAnsi="Times New Roman" w:cs="Times New Roman"/>
        </w:rPr>
        <w:t xml:space="preserve"> </w:t>
      </w:r>
    </w:p>
    <w:p w:rsidRPr="00972025" w:rsidR="005C5609" w:rsidP="00A6042E" w:rsidRDefault="005C5609" w14:paraId="6C07619A" w14:textId="77777777">
      <w:pPr>
        <w:pStyle w:val="Default"/>
        <w:widowControl/>
        <w:rPr>
          <w:rFonts w:ascii="Times New Roman" w:hAnsi="Times New Roman" w:cs="Times New Roman"/>
        </w:rPr>
      </w:pPr>
      <w:r w:rsidRPr="00972025">
        <w:rPr>
          <w:rFonts w:ascii="Times New Roman" w:hAnsi="Times New Roman" w:cs="Times New Roman"/>
        </w:rPr>
        <w:t xml:space="preserve">The results from the information gathered from this collection will not be published. </w:t>
      </w:r>
    </w:p>
    <w:p w:rsidRPr="00972025" w:rsidR="005C5609" w:rsidP="00A6042E" w:rsidRDefault="005C5609" w14:paraId="72383798" w14:textId="77777777">
      <w:pPr>
        <w:pStyle w:val="Default"/>
        <w:widowControl/>
        <w:rPr>
          <w:rFonts w:ascii="Times New Roman" w:hAnsi="Times New Roman" w:cs="Times New Roman"/>
        </w:rPr>
      </w:pPr>
      <w:r w:rsidRPr="00972025">
        <w:rPr>
          <w:rFonts w:ascii="Times New Roman" w:hAnsi="Times New Roman" w:cs="Times New Roman"/>
        </w:rPr>
        <w:t xml:space="preserve"> </w:t>
      </w:r>
    </w:p>
    <w:p w:rsidRPr="00972025" w:rsidR="0020092F" w:rsidP="00A6042E" w:rsidRDefault="0020092F" w14:paraId="71B9BCB9" w14:textId="77777777">
      <w:pPr>
        <w:rPr>
          <w:b/>
        </w:rPr>
      </w:pPr>
      <w:r w:rsidRPr="00972025">
        <w:rPr>
          <w:b/>
        </w:rPr>
        <w:t>17. If seeking approval to not display the expiration date for OMB approval of the information collection, explain the reasons that display would be inappropriate.</w:t>
      </w:r>
    </w:p>
    <w:p w:rsidRPr="00972025" w:rsidR="005C5609" w:rsidP="00A6042E" w:rsidRDefault="005C5609" w14:paraId="7D8A04CE" w14:textId="77777777">
      <w:pPr>
        <w:pStyle w:val="Default"/>
        <w:widowControl/>
        <w:rPr>
          <w:rFonts w:ascii="Times New Roman" w:hAnsi="Times New Roman" w:cs="Times New Roman"/>
        </w:rPr>
      </w:pPr>
    </w:p>
    <w:p w:rsidRPr="00972025" w:rsidR="005C5609" w:rsidP="00A6042E" w:rsidRDefault="005C5609" w14:paraId="32E75FED" w14:textId="77777777">
      <w:pPr>
        <w:pStyle w:val="Default"/>
        <w:widowControl/>
        <w:rPr>
          <w:rFonts w:ascii="Times New Roman" w:hAnsi="Times New Roman" w:cs="Times New Roman"/>
        </w:rPr>
      </w:pPr>
      <w:r w:rsidRPr="00972025">
        <w:rPr>
          <w:rFonts w:ascii="Times New Roman" w:hAnsi="Times New Roman" w:cs="Times New Roman"/>
        </w:rPr>
        <w:t xml:space="preserve">MSHA has no forms associated with this collection of information on which to display an expiration date. </w:t>
      </w:r>
    </w:p>
    <w:p w:rsidRPr="00972025" w:rsidR="005C5609" w:rsidP="00A6042E" w:rsidRDefault="005C5609" w14:paraId="7157E222" w14:textId="77777777">
      <w:pPr>
        <w:pStyle w:val="Default"/>
        <w:widowControl/>
        <w:rPr>
          <w:rFonts w:ascii="Times New Roman" w:hAnsi="Times New Roman" w:cs="Times New Roman"/>
        </w:rPr>
      </w:pPr>
      <w:r w:rsidRPr="00972025">
        <w:rPr>
          <w:rFonts w:ascii="Times New Roman" w:hAnsi="Times New Roman" w:cs="Times New Roman"/>
          <w:b/>
          <w:bCs/>
        </w:rPr>
        <w:t xml:space="preserve"> </w:t>
      </w:r>
    </w:p>
    <w:p w:rsidRPr="00972025" w:rsidR="0020092F" w:rsidP="00A6042E" w:rsidRDefault="0020092F" w14:paraId="538B26CA" w14:textId="314F1071">
      <w:pPr>
        <w:rPr>
          <w:b/>
        </w:rPr>
      </w:pPr>
      <w:r w:rsidRPr="00972025">
        <w:rPr>
          <w:b/>
        </w:rPr>
        <w:t xml:space="preserve">18. Explain each exception to the </w:t>
      </w:r>
      <w:r w:rsidRPr="00972025" w:rsidR="00AE5939">
        <w:rPr>
          <w:b/>
        </w:rPr>
        <w:t xml:space="preserve">topics of the </w:t>
      </w:r>
      <w:r w:rsidRPr="00972025">
        <w:rPr>
          <w:b/>
        </w:rPr>
        <w:t>certification statement</w:t>
      </w:r>
      <w:r w:rsidR="00B259DF">
        <w:rPr>
          <w:b/>
        </w:rPr>
        <w:t>.</w:t>
      </w:r>
    </w:p>
    <w:p w:rsidRPr="00972025" w:rsidR="005C5609" w:rsidP="00A6042E" w:rsidRDefault="005C5609" w14:paraId="1C5BF7B7" w14:textId="77777777">
      <w:pPr>
        <w:pStyle w:val="Default"/>
        <w:widowControl/>
        <w:rPr>
          <w:rFonts w:ascii="Times New Roman" w:hAnsi="Times New Roman" w:cs="Times New Roman"/>
        </w:rPr>
      </w:pPr>
      <w:r w:rsidRPr="00972025">
        <w:rPr>
          <w:rFonts w:ascii="Times New Roman" w:hAnsi="Times New Roman" w:cs="Times New Roman"/>
          <w:b/>
          <w:bCs/>
        </w:rPr>
        <w:t xml:space="preserve"> </w:t>
      </w:r>
    </w:p>
    <w:p w:rsidRPr="00972025" w:rsidR="005C5609" w:rsidP="00A6042E" w:rsidRDefault="005C5609" w14:paraId="0F3AE347" w14:textId="77777777">
      <w:pPr>
        <w:pStyle w:val="Default"/>
        <w:widowControl/>
        <w:rPr>
          <w:rFonts w:ascii="Times New Roman" w:hAnsi="Times New Roman" w:cs="Times New Roman"/>
        </w:rPr>
      </w:pPr>
      <w:r w:rsidRPr="00972025">
        <w:rPr>
          <w:rFonts w:ascii="Times New Roman" w:hAnsi="Times New Roman" w:cs="Times New Roman"/>
        </w:rPr>
        <w:t xml:space="preserve">There are no certification exceptions identified with this information collection. </w:t>
      </w:r>
    </w:p>
    <w:p w:rsidRPr="00972025" w:rsidR="005C5609" w:rsidP="00A6042E" w:rsidRDefault="005C5609" w14:paraId="612DCC52" w14:textId="77777777">
      <w:pPr>
        <w:pStyle w:val="Default"/>
        <w:widowControl/>
        <w:rPr>
          <w:rFonts w:ascii="Times New Roman" w:hAnsi="Times New Roman" w:cs="Times New Roman"/>
        </w:rPr>
      </w:pPr>
      <w:r w:rsidRPr="00972025">
        <w:rPr>
          <w:rFonts w:ascii="Times New Roman" w:hAnsi="Times New Roman" w:cs="Times New Roman"/>
          <w:b/>
          <w:bCs/>
        </w:rPr>
        <w:t xml:space="preserve"> </w:t>
      </w:r>
    </w:p>
    <w:p w:rsidRPr="00972025" w:rsidR="00AE5939" w:rsidP="00A6042E" w:rsidRDefault="00AE5939" w14:paraId="3504421A" w14:textId="77777777">
      <w:pPr>
        <w:pStyle w:val="Default"/>
        <w:widowControl/>
        <w:rPr>
          <w:rFonts w:ascii="Times New Roman" w:hAnsi="Times New Roman" w:cs="Times New Roman"/>
          <w:b/>
          <w:bCs/>
        </w:rPr>
      </w:pPr>
    </w:p>
    <w:p w:rsidRPr="00972025" w:rsidR="005C5609" w:rsidP="00A6042E" w:rsidRDefault="005C5609" w14:paraId="7F68B0E4" w14:textId="77777777">
      <w:pPr>
        <w:pStyle w:val="Default"/>
        <w:widowControl/>
        <w:rPr>
          <w:rFonts w:ascii="Times New Roman" w:hAnsi="Times New Roman" w:cs="Times New Roman"/>
        </w:rPr>
      </w:pPr>
      <w:r w:rsidRPr="00972025">
        <w:rPr>
          <w:rFonts w:ascii="Times New Roman" w:hAnsi="Times New Roman" w:cs="Times New Roman"/>
          <w:b/>
          <w:bCs/>
        </w:rPr>
        <w:t xml:space="preserve">B.  COLLECTIONS OF INFORMATION EMPLOYING STATISTICAL METHODS </w:t>
      </w:r>
    </w:p>
    <w:p w:rsidRPr="00972025" w:rsidR="005C5609" w:rsidP="00A6042E" w:rsidRDefault="005C5609" w14:paraId="6E5705AC" w14:textId="77777777">
      <w:pPr>
        <w:pStyle w:val="Default"/>
        <w:widowControl/>
        <w:rPr>
          <w:rFonts w:ascii="Times New Roman" w:hAnsi="Times New Roman" w:cs="Times New Roman"/>
        </w:rPr>
      </w:pPr>
      <w:r w:rsidRPr="00972025">
        <w:rPr>
          <w:rFonts w:ascii="Times New Roman" w:hAnsi="Times New Roman" w:cs="Times New Roman"/>
          <w:b/>
          <w:bCs/>
        </w:rPr>
        <w:t xml:space="preserve"> </w:t>
      </w:r>
    </w:p>
    <w:p w:rsidRPr="00972025" w:rsidR="009F7FBC" w:rsidP="009311EE" w:rsidRDefault="005C5609" w14:paraId="2341CB7D" w14:textId="1069C026">
      <w:pPr>
        <w:pStyle w:val="Default"/>
        <w:widowControl/>
        <w:rPr>
          <w:rFonts w:ascii="Times New Roman" w:hAnsi="Times New Roman" w:cs="Times New Roman"/>
        </w:rPr>
      </w:pPr>
      <w:r w:rsidRPr="00972025">
        <w:rPr>
          <w:rFonts w:ascii="Times New Roman" w:hAnsi="Times New Roman" w:cs="Times New Roman"/>
        </w:rPr>
        <w:t xml:space="preserve">As statistical analysis is not required by the regulation, questions 1 through 5 do not apply. </w:t>
      </w:r>
    </w:p>
    <w:sectPr w:rsidRPr="00972025" w:rsidR="009F7FBC" w:rsidSect="000D6D5C">
      <w:headerReference w:type="default" r:id="rId12"/>
      <w:footerReference w:type="even" r:id="rId13"/>
      <w:footerReference w:type="default" r:id="rId14"/>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11BC" w14:textId="77777777" w:rsidR="00F96D29" w:rsidRDefault="00F96D29">
      <w:r>
        <w:separator/>
      </w:r>
    </w:p>
  </w:endnote>
  <w:endnote w:type="continuationSeparator" w:id="0">
    <w:p w14:paraId="09EA44F9" w14:textId="77777777" w:rsidR="00F96D29" w:rsidRDefault="00F9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577A" w14:textId="77777777" w:rsidR="00BC2BA6" w:rsidRDefault="00BC2BA6" w:rsidP="005C5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BA9C1" w14:textId="77777777" w:rsidR="00BC2BA6" w:rsidRDefault="00BC2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3563" w14:textId="3D2B854B" w:rsidR="00BC2BA6" w:rsidRPr="00A17C12" w:rsidRDefault="00BC2BA6" w:rsidP="005C5609">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1A5E40">
      <w:rPr>
        <w:rStyle w:val="PageNumber"/>
        <w:noProof/>
      </w:rPr>
      <w:t>9</w:t>
    </w:r>
    <w:r>
      <w:rPr>
        <w:rStyle w:val="PageNumber"/>
      </w:rPr>
      <w:fldChar w:fldCharType="end"/>
    </w:r>
  </w:p>
  <w:p w14:paraId="0EA5D0E3" w14:textId="77777777" w:rsidR="00BC2BA6" w:rsidRPr="00A17C12" w:rsidRDefault="00BC2BA6" w:rsidP="00C268D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579B" w14:textId="77777777" w:rsidR="00F96D29" w:rsidRDefault="00F96D29">
      <w:r>
        <w:separator/>
      </w:r>
    </w:p>
  </w:footnote>
  <w:footnote w:type="continuationSeparator" w:id="0">
    <w:p w14:paraId="076C7F33" w14:textId="77777777" w:rsidR="00F96D29" w:rsidRDefault="00F96D29">
      <w:r>
        <w:continuationSeparator/>
      </w:r>
    </w:p>
  </w:footnote>
  <w:footnote w:id="1">
    <w:p w14:paraId="619D906E" w14:textId="492B8DBF" w:rsidR="006D6316" w:rsidRPr="00A34304" w:rsidRDefault="006D6316" w:rsidP="006D6316">
      <w:pPr>
        <w:pStyle w:val="FootnoteText"/>
      </w:pPr>
      <w:r w:rsidRPr="00A34304">
        <w:rPr>
          <w:rStyle w:val="FootnoteReference"/>
        </w:rPr>
        <w:footnoteRef/>
      </w:r>
      <w:r w:rsidRPr="00A34304">
        <w:rPr>
          <w:vertAlign w:val="superscript"/>
        </w:rPr>
        <w:t xml:space="preserve"> </w:t>
      </w:r>
      <w:r w:rsidRPr="00A34304">
        <w:t>Options for obtaining OE</w:t>
      </w:r>
      <w:r w:rsidR="009B31B2">
        <w:t>W</w:t>
      </w:r>
      <w:r w:rsidRPr="00A34304">
        <w:t>S data are available at item “E3.  How to get OE</w:t>
      </w:r>
      <w:r w:rsidR="00AE388C">
        <w:t>W</w:t>
      </w:r>
      <w:r w:rsidRPr="00A34304">
        <w:t>S data.  What are the different ways to obtain OE</w:t>
      </w:r>
      <w:r w:rsidR="009B31B2">
        <w:t>W</w:t>
      </w:r>
      <w:r w:rsidRPr="00A34304">
        <w:t xml:space="preserve">S estimates from this website?” at </w:t>
      </w:r>
      <w:hyperlink r:id="rId1" w:history="1">
        <w:r w:rsidRPr="00A34304">
          <w:rPr>
            <w:rStyle w:val="Hyperlink"/>
          </w:rPr>
          <w:t>https://www.bls.gov/oes/oes_ques.htm</w:t>
        </w:r>
      </w:hyperlink>
      <w:r w:rsidRPr="00A34304">
        <w:t>.</w:t>
      </w:r>
    </w:p>
    <w:p w14:paraId="74BAC711" w14:textId="77777777" w:rsidR="006D6316" w:rsidRPr="00A34304" w:rsidRDefault="006D6316" w:rsidP="006D6316">
      <w:pPr>
        <w:pStyle w:val="FootnoteText"/>
      </w:pPr>
    </w:p>
  </w:footnote>
  <w:footnote w:id="2">
    <w:p w14:paraId="3C73C1B9" w14:textId="43909E98" w:rsidR="006D6316" w:rsidRPr="00A34304" w:rsidRDefault="006D6316" w:rsidP="006D6316">
      <w:pPr>
        <w:pStyle w:val="FootnoteText"/>
        <w:keepLines/>
      </w:pPr>
      <w:r w:rsidRPr="00A34304">
        <w:rPr>
          <w:vertAlign w:val="superscript"/>
        </w:rPr>
        <w:footnoteRef/>
      </w:r>
      <w:r w:rsidRPr="00A34304">
        <w:t xml:space="preserve"> The benefit-scaler comes from BLS Employer Costs for Employee Compensation access</w:t>
      </w:r>
      <w:r w:rsidR="000C71C2">
        <w:t>ed</w:t>
      </w:r>
      <w:r w:rsidRPr="00A34304">
        <w:t xml:space="preserve"> by menu </w:t>
      </w:r>
      <w:r w:rsidR="000C71C2">
        <w:t xml:space="preserve">at </w:t>
      </w:r>
      <w:hyperlink r:id="rId2" w:history="1">
        <w:r w:rsidR="000C71C2" w:rsidRPr="000C71C2">
          <w:rPr>
            <w:rStyle w:val="Hyperlink"/>
          </w:rPr>
          <w:t>http://www.bls.gov/data/</w:t>
        </w:r>
      </w:hyperlink>
      <w:r w:rsidRPr="00A34304">
        <w:t xml:space="preserve"> or directly with </w:t>
      </w:r>
      <w:hyperlink r:id="rId3" w:history="1">
        <w:r w:rsidRPr="00A34304">
          <w:rPr>
            <w:rStyle w:val="Hyperlink"/>
          </w:rPr>
          <w:t>http://download.bls.gov/pub/time.series/cm/cm.data.0.Current</w:t>
        </w:r>
      </w:hyperlink>
      <w:r w:rsidRPr="00A34304">
        <w:t xml:space="preserve">.  </w:t>
      </w:r>
      <w:r w:rsidR="00E52AA5">
        <w:t xml:space="preserve">Insert the </w:t>
      </w:r>
      <w:r w:rsidRPr="00A34304">
        <w:t xml:space="preserve"> data series CMU2030000405000P, Private Industry Total benefits for Construction, extraction, farming, fishing, and forestry occupations, </w:t>
      </w:r>
      <w:r w:rsidR="00E52AA5">
        <w:t xml:space="preserve">which </w:t>
      </w:r>
      <w:r w:rsidRPr="00A34304">
        <w:t>is divided by 100 to convert to a decimal value.  MSHA used the latest 4-quarter moving average 20</w:t>
      </w:r>
      <w:r w:rsidR="00CE6DCF">
        <w:t>20</w:t>
      </w:r>
      <w:r w:rsidRPr="00A34304">
        <w:t>Qtr3-20</w:t>
      </w:r>
      <w:r w:rsidR="00CE6DCF">
        <w:t>21</w:t>
      </w:r>
      <w:r w:rsidRPr="00A34304">
        <w:t>Qtr2 to determine that 32.9 percent of total loaded wages are benefits.  MSHA computes the scaling factor with a number of detailed calculations</w:t>
      </w:r>
      <w:r w:rsidR="000C71C2">
        <w:t>,</w:t>
      </w:r>
      <w:r w:rsidRPr="00A34304">
        <w:t xml:space="preserve"> but it may be approximated with the formula and values 1 + (benefit percentage/(1-benefit percentage)) = 1+(.329/(1-.329)) =1.49.</w:t>
      </w:r>
    </w:p>
    <w:p w14:paraId="3FDBBB6F" w14:textId="77777777" w:rsidR="006D6316" w:rsidRPr="00A34304" w:rsidRDefault="006D6316" w:rsidP="006D6316">
      <w:pPr>
        <w:pStyle w:val="FootnoteText"/>
        <w:keepLines/>
      </w:pPr>
    </w:p>
  </w:footnote>
  <w:footnote w:id="3">
    <w:p w14:paraId="6BB27A5F" w14:textId="51A76ABA" w:rsidR="006D6316" w:rsidRPr="00A34304" w:rsidRDefault="006D6316" w:rsidP="006D6316">
      <w:pPr>
        <w:pStyle w:val="FootnoteText"/>
      </w:pPr>
      <w:r w:rsidRPr="00A34304">
        <w:rPr>
          <w:rStyle w:val="FootnoteReference"/>
        </w:rPr>
        <w:footnoteRef/>
      </w:r>
      <w:r w:rsidRPr="00A34304">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A34304">
          <w:rPr>
            <w:rStyle w:val="Hyperlink"/>
          </w:rPr>
          <w:t>https://data.bls.gov/cgi-bin/srgate</w:t>
        </w:r>
      </w:hyperlink>
      <w:r w:rsidRPr="00A34304">
        <w:t>; Qtr 2 20</w:t>
      </w:r>
      <w:r w:rsidR="00CE6DCF">
        <w:t>21</w:t>
      </w:r>
      <w:r w:rsidRPr="00A34304">
        <w:t>/Qtr 2 20</w:t>
      </w:r>
      <w:r w:rsidR="00CE6DCF">
        <w:t>20</w:t>
      </w:r>
      <w:r w:rsidRPr="00A34304">
        <w:t>=</w:t>
      </w:r>
      <w:r w:rsidR="00CE6DCF" w:rsidRPr="00CE6DCF">
        <w:t>144.3/139.2=1.037</w:t>
      </w:r>
      <w:r w:rsidRPr="00A34304">
        <w:t>).</w:t>
      </w:r>
    </w:p>
    <w:p w14:paraId="390D81AD" w14:textId="77777777" w:rsidR="006D6316" w:rsidRPr="00A34304" w:rsidRDefault="006D6316" w:rsidP="006D6316">
      <w:pPr>
        <w:pStyle w:val="FootnoteText"/>
      </w:pPr>
    </w:p>
  </w:footnote>
  <w:footnote w:id="4">
    <w:p w14:paraId="1E30C317" w14:textId="7945F440" w:rsidR="00A40124" w:rsidRPr="00972025" w:rsidRDefault="00A40124">
      <w:pPr>
        <w:pStyle w:val="FootnoteText"/>
      </w:pPr>
      <w:r w:rsidRPr="00972025">
        <w:rPr>
          <w:rStyle w:val="FootnoteReference"/>
        </w:rPr>
        <w:footnoteRef/>
      </w:r>
      <w:r w:rsidRPr="00972025">
        <w:t xml:space="preserve"> The wage rates shown here come from the Office of Personnel Management (OPM) </w:t>
      </w:r>
      <w:r w:rsidR="00401D71">
        <w:t>June 2021</w:t>
      </w:r>
      <w:r w:rsidRPr="00972025">
        <w:t xml:space="preserve"> data cube, </w:t>
      </w:r>
      <w:hyperlink r:id="rId5" w:history="1">
        <w:r w:rsidRPr="00972025">
          <w:rPr>
            <w:rStyle w:val="Hyperlink"/>
          </w:rPr>
          <w:t>http://www.fedscope.opm.gov/</w:t>
        </w:r>
      </w:hyperlink>
      <w:r w:rsidRPr="00972025">
        <w:t xml:space="preserve">.  Average salary was obtained for the appropriate grade and occupation for DOL-MSHA employees.  In order to include the cost of benefits, this annual average salary was multiplied by a benefits scaler of </w:t>
      </w:r>
      <w:r w:rsidR="00955498">
        <w:t>1.400</w:t>
      </w:r>
      <w:r w:rsidRPr="00972025">
        <w:t xml:space="preserve"> computed from MSHA’s </w:t>
      </w:r>
      <w:r w:rsidR="00955498">
        <w:t>2021</w:t>
      </w:r>
      <w:r w:rsidR="00955498" w:rsidRPr="00972025">
        <w:t xml:space="preserve"> </w:t>
      </w:r>
      <w:r w:rsidRPr="00972025">
        <w:t xml:space="preserve">budget submission. </w:t>
      </w:r>
      <w:r w:rsidR="00757E29" w:rsidRPr="00972025">
        <w:t xml:space="preserve"> </w:t>
      </w:r>
      <w:r w:rsidRPr="00972025">
        <w:t>The final hourly wage rate was derived by dividing the adjusted annual average salary by 2,087 hours</w:t>
      </w:r>
      <w:r w:rsidR="002B3965" w:rsidRPr="00972025">
        <w:t xml:space="preserve"> ($</w:t>
      </w:r>
      <w:r w:rsidR="00955498">
        <w:t>92,116</w:t>
      </w:r>
      <w:r w:rsidR="002B3965" w:rsidRPr="00972025">
        <w:t xml:space="preserve"> x </w:t>
      </w:r>
      <w:r w:rsidR="00955498">
        <w:t>1.400</w:t>
      </w:r>
      <w:r w:rsidR="002B3965" w:rsidRPr="00972025">
        <w:t>/2,087 = $</w:t>
      </w:r>
      <w:r w:rsidR="00955498">
        <w:t>61.79</w:t>
      </w:r>
      <w:r w:rsidR="002B3965" w:rsidRPr="0097202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0CF4" w14:textId="2ED7703F" w:rsidR="00972025" w:rsidRDefault="00972025" w:rsidP="00972025">
    <w:pPr>
      <w:pStyle w:val="Header"/>
    </w:pPr>
    <w:r>
      <w:t>Ground Control for Surface Coal Mines and Surface Work Areas of</w:t>
    </w:r>
    <w:r w:rsidR="00733A14">
      <w:t xml:space="preserve"> </w:t>
    </w:r>
    <w:r>
      <w:t>Underground Coal Mines</w:t>
    </w:r>
  </w:p>
  <w:p w14:paraId="413ECBA6" w14:textId="28A7D7E2" w:rsidR="00972025" w:rsidRDefault="00972025" w:rsidP="00972025">
    <w:pPr>
      <w:pStyle w:val="Header"/>
    </w:pPr>
    <w:r>
      <w:t xml:space="preserve">OMB </w:t>
    </w:r>
    <w:r w:rsidR="00733A14">
      <w:t xml:space="preserve">Control </w:t>
    </w:r>
    <w:r>
      <w:t>N</w:t>
    </w:r>
    <w:r w:rsidR="00733A14">
      <w:t>umber</w:t>
    </w:r>
    <w:r>
      <w:t>:</w:t>
    </w:r>
    <w:r w:rsidR="00733A14">
      <w:t xml:space="preserve"> </w:t>
    </w:r>
    <w:r>
      <w:t>1219-0026</w:t>
    </w:r>
  </w:p>
  <w:p w14:paraId="2117856F" w14:textId="77777777" w:rsidR="00972025" w:rsidRDefault="00972025" w:rsidP="00972025">
    <w:pPr>
      <w:pStyle w:val="Header"/>
    </w:pPr>
    <w:r>
      <w:t>OMB Expiration Date: 7/31/2022</w:t>
    </w:r>
  </w:p>
  <w:p w14:paraId="145242C2" w14:textId="77777777" w:rsidR="002739AF" w:rsidRDefault="0027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5195A"/>
    <w:multiLevelType w:val="hybridMultilevel"/>
    <w:tmpl w:val="484F2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73743E"/>
    <w:multiLevelType w:val="hybridMultilevel"/>
    <w:tmpl w:val="EBE38B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1B9899"/>
    <w:multiLevelType w:val="hybridMultilevel"/>
    <w:tmpl w:val="0968E3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6238E0"/>
    <w:multiLevelType w:val="hybridMultilevel"/>
    <w:tmpl w:val="1D80B0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E414D67"/>
    <w:multiLevelType w:val="hybridMultilevel"/>
    <w:tmpl w:val="8AA50D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10F3E3"/>
    <w:multiLevelType w:val="hybridMultilevel"/>
    <w:tmpl w:val="8D689F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3177F2"/>
    <w:multiLevelType w:val="hybridMultilevel"/>
    <w:tmpl w:val="43F5AB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2315AC"/>
    <w:multiLevelType w:val="hybridMultilevel"/>
    <w:tmpl w:val="A17F2F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9BA04E"/>
    <w:multiLevelType w:val="hybridMultilevel"/>
    <w:tmpl w:val="237E7A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94ACAC"/>
    <w:multiLevelType w:val="hybridMultilevel"/>
    <w:tmpl w:val="E5BC3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7D4506D"/>
    <w:multiLevelType w:val="hybridMultilevel"/>
    <w:tmpl w:val="08EA3A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E03122"/>
    <w:multiLevelType w:val="hybridMultilevel"/>
    <w:tmpl w:val="6669CF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21A8F73"/>
    <w:multiLevelType w:val="hybridMultilevel"/>
    <w:tmpl w:val="06C5EC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A860F13"/>
    <w:multiLevelType w:val="hybridMultilevel"/>
    <w:tmpl w:val="A04A1E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F32DB46"/>
    <w:multiLevelType w:val="hybridMultilevel"/>
    <w:tmpl w:val="E072F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400590A"/>
    <w:multiLevelType w:val="hybridMultilevel"/>
    <w:tmpl w:val="09A0C6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566A0FA"/>
    <w:multiLevelType w:val="hybridMultilevel"/>
    <w:tmpl w:val="F04000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ECE8FAA"/>
    <w:multiLevelType w:val="hybridMultilevel"/>
    <w:tmpl w:val="2DD28A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CF4BEE"/>
    <w:multiLevelType w:val="hybridMultilevel"/>
    <w:tmpl w:val="AFBC8C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9F65B3"/>
    <w:multiLevelType w:val="hybridMultilevel"/>
    <w:tmpl w:val="92FD1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FA43CE3"/>
    <w:multiLevelType w:val="hybridMultilevel"/>
    <w:tmpl w:val="5E3EE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EFBB9E1"/>
    <w:multiLevelType w:val="hybridMultilevel"/>
    <w:tmpl w:val="27B800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095647E"/>
    <w:multiLevelType w:val="hybridMultilevel"/>
    <w:tmpl w:val="DA5D12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1433B97"/>
    <w:multiLevelType w:val="hybridMultilevel"/>
    <w:tmpl w:val="B075B6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C60183"/>
    <w:multiLevelType w:val="hybridMultilevel"/>
    <w:tmpl w:val="0ACEA1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3253162"/>
    <w:multiLevelType w:val="hybridMultilevel"/>
    <w:tmpl w:val="62A2B5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863DDC1"/>
    <w:multiLevelType w:val="hybridMultilevel"/>
    <w:tmpl w:val="BE96C7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99B9839"/>
    <w:multiLevelType w:val="hybridMultilevel"/>
    <w:tmpl w:val="1C380E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B207B6"/>
    <w:multiLevelType w:val="hybridMultilevel"/>
    <w:tmpl w:val="C35766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1D4038A"/>
    <w:multiLevelType w:val="hybridMultilevel"/>
    <w:tmpl w:val="1B7320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504311"/>
    <w:multiLevelType w:val="hybridMultilevel"/>
    <w:tmpl w:val="93F80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F44F11"/>
    <w:multiLevelType w:val="hybridMultilevel"/>
    <w:tmpl w:val="1E79BE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518296"/>
    <w:multiLevelType w:val="hybridMultilevel"/>
    <w:tmpl w:val="896DD4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F87906"/>
    <w:multiLevelType w:val="hybridMultilevel"/>
    <w:tmpl w:val="D2375A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761FCC0"/>
    <w:multiLevelType w:val="hybridMultilevel"/>
    <w:tmpl w:val="35164A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0B606D"/>
    <w:multiLevelType w:val="hybridMultilevel"/>
    <w:tmpl w:val="F6432F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208C30"/>
    <w:multiLevelType w:val="hybridMultilevel"/>
    <w:tmpl w:val="DD746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30EBDF"/>
    <w:multiLevelType w:val="hybridMultilevel"/>
    <w:tmpl w:val="9B1DC0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925FCD"/>
    <w:multiLevelType w:val="hybridMultilevel"/>
    <w:tmpl w:val="59B443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76B94F"/>
    <w:multiLevelType w:val="hybridMultilevel"/>
    <w:tmpl w:val="4FC742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6"/>
  </w:num>
  <w:num w:numId="3">
    <w:abstractNumId w:val="0"/>
  </w:num>
  <w:num w:numId="4">
    <w:abstractNumId w:val="28"/>
  </w:num>
  <w:num w:numId="5">
    <w:abstractNumId w:val="39"/>
  </w:num>
  <w:num w:numId="6">
    <w:abstractNumId w:val="37"/>
  </w:num>
  <w:num w:numId="7">
    <w:abstractNumId w:val="22"/>
  </w:num>
  <w:num w:numId="8">
    <w:abstractNumId w:val="20"/>
  </w:num>
  <w:num w:numId="9">
    <w:abstractNumId w:val="33"/>
  </w:num>
  <w:num w:numId="10">
    <w:abstractNumId w:val="25"/>
  </w:num>
  <w:num w:numId="11">
    <w:abstractNumId w:val="23"/>
  </w:num>
  <w:num w:numId="12">
    <w:abstractNumId w:val="7"/>
  </w:num>
  <w:num w:numId="13">
    <w:abstractNumId w:val="12"/>
  </w:num>
  <w:num w:numId="14">
    <w:abstractNumId w:val="17"/>
  </w:num>
  <w:num w:numId="15">
    <w:abstractNumId w:val="27"/>
  </w:num>
  <w:num w:numId="16">
    <w:abstractNumId w:val="21"/>
  </w:num>
  <w:num w:numId="17">
    <w:abstractNumId w:val="15"/>
  </w:num>
  <w:num w:numId="18">
    <w:abstractNumId w:val="13"/>
  </w:num>
  <w:num w:numId="19">
    <w:abstractNumId w:val="34"/>
  </w:num>
  <w:num w:numId="20">
    <w:abstractNumId w:val="1"/>
  </w:num>
  <w:num w:numId="21">
    <w:abstractNumId w:val="19"/>
  </w:num>
  <w:num w:numId="22">
    <w:abstractNumId w:val="10"/>
  </w:num>
  <w:num w:numId="23">
    <w:abstractNumId w:val="2"/>
  </w:num>
  <w:num w:numId="24">
    <w:abstractNumId w:val="3"/>
  </w:num>
  <w:num w:numId="25">
    <w:abstractNumId w:val="29"/>
  </w:num>
  <w:num w:numId="26">
    <w:abstractNumId w:val="4"/>
  </w:num>
  <w:num w:numId="27">
    <w:abstractNumId w:val="6"/>
  </w:num>
  <w:num w:numId="28">
    <w:abstractNumId w:val="24"/>
  </w:num>
  <w:num w:numId="29">
    <w:abstractNumId w:val="14"/>
  </w:num>
  <w:num w:numId="30">
    <w:abstractNumId w:val="31"/>
  </w:num>
  <w:num w:numId="31">
    <w:abstractNumId w:val="26"/>
  </w:num>
  <w:num w:numId="32">
    <w:abstractNumId w:val="8"/>
  </w:num>
  <w:num w:numId="33">
    <w:abstractNumId w:val="18"/>
  </w:num>
  <w:num w:numId="34">
    <w:abstractNumId w:val="5"/>
  </w:num>
  <w:num w:numId="35">
    <w:abstractNumId w:val="32"/>
  </w:num>
  <w:num w:numId="36">
    <w:abstractNumId w:val="16"/>
  </w:num>
  <w:num w:numId="37">
    <w:abstractNumId w:val="9"/>
  </w:num>
  <w:num w:numId="38">
    <w:abstractNumId w:val="3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5C"/>
    <w:rsid w:val="00005E25"/>
    <w:rsid w:val="000135C7"/>
    <w:rsid w:val="0002095A"/>
    <w:rsid w:val="000265B8"/>
    <w:rsid w:val="00031629"/>
    <w:rsid w:val="000372DC"/>
    <w:rsid w:val="00050537"/>
    <w:rsid w:val="00051284"/>
    <w:rsid w:val="00056C96"/>
    <w:rsid w:val="00061D47"/>
    <w:rsid w:val="00061F16"/>
    <w:rsid w:val="000665AD"/>
    <w:rsid w:val="000672C0"/>
    <w:rsid w:val="00090162"/>
    <w:rsid w:val="000A230E"/>
    <w:rsid w:val="000C71C2"/>
    <w:rsid w:val="000D172D"/>
    <w:rsid w:val="000D6D5C"/>
    <w:rsid w:val="000E0D7A"/>
    <w:rsid w:val="000F0EA7"/>
    <w:rsid w:val="000F123B"/>
    <w:rsid w:val="000F2766"/>
    <w:rsid w:val="001067EB"/>
    <w:rsid w:val="0011756A"/>
    <w:rsid w:val="0012758F"/>
    <w:rsid w:val="0013409A"/>
    <w:rsid w:val="00142161"/>
    <w:rsid w:val="00144384"/>
    <w:rsid w:val="001939C0"/>
    <w:rsid w:val="00196D85"/>
    <w:rsid w:val="001A3FEE"/>
    <w:rsid w:val="001A5E40"/>
    <w:rsid w:val="001B425D"/>
    <w:rsid w:val="001B7C1C"/>
    <w:rsid w:val="001D2BB6"/>
    <w:rsid w:val="001D30A9"/>
    <w:rsid w:val="001D3D60"/>
    <w:rsid w:val="001E061A"/>
    <w:rsid w:val="001E1BA5"/>
    <w:rsid w:val="001E3134"/>
    <w:rsid w:val="001F2F84"/>
    <w:rsid w:val="002006D3"/>
    <w:rsid w:val="0020092F"/>
    <w:rsid w:val="00231DDA"/>
    <w:rsid w:val="00241AD1"/>
    <w:rsid w:val="00264A90"/>
    <w:rsid w:val="002739AF"/>
    <w:rsid w:val="00275AF1"/>
    <w:rsid w:val="00280E2A"/>
    <w:rsid w:val="00285ED9"/>
    <w:rsid w:val="00292A77"/>
    <w:rsid w:val="002A2F41"/>
    <w:rsid w:val="002B23E7"/>
    <w:rsid w:val="002B3965"/>
    <w:rsid w:val="002B5A6F"/>
    <w:rsid w:val="002B7169"/>
    <w:rsid w:val="002B7B5A"/>
    <w:rsid w:val="002C7EAF"/>
    <w:rsid w:val="002D16A5"/>
    <w:rsid w:val="002E2017"/>
    <w:rsid w:val="002E441C"/>
    <w:rsid w:val="002F20A1"/>
    <w:rsid w:val="0030024C"/>
    <w:rsid w:val="003010F0"/>
    <w:rsid w:val="00301F9C"/>
    <w:rsid w:val="00316A90"/>
    <w:rsid w:val="0034387F"/>
    <w:rsid w:val="0035332B"/>
    <w:rsid w:val="00356DA4"/>
    <w:rsid w:val="003576F4"/>
    <w:rsid w:val="00367EC7"/>
    <w:rsid w:val="003703E0"/>
    <w:rsid w:val="0039220C"/>
    <w:rsid w:val="003A11D5"/>
    <w:rsid w:val="003C1A35"/>
    <w:rsid w:val="003D6C43"/>
    <w:rsid w:val="00401977"/>
    <w:rsid w:val="00401D71"/>
    <w:rsid w:val="004204C1"/>
    <w:rsid w:val="004321D6"/>
    <w:rsid w:val="00432A47"/>
    <w:rsid w:val="0047172C"/>
    <w:rsid w:val="00480B17"/>
    <w:rsid w:val="00481075"/>
    <w:rsid w:val="00493D8F"/>
    <w:rsid w:val="00494B59"/>
    <w:rsid w:val="004B6D6C"/>
    <w:rsid w:val="004C37B7"/>
    <w:rsid w:val="004D2146"/>
    <w:rsid w:val="004D5BB9"/>
    <w:rsid w:val="004E2E30"/>
    <w:rsid w:val="004E2EB1"/>
    <w:rsid w:val="004E5498"/>
    <w:rsid w:val="004F3060"/>
    <w:rsid w:val="0050146D"/>
    <w:rsid w:val="0050616A"/>
    <w:rsid w:val="0051508B"/>
    <w:rsid w:val="00515A35"/>
    <w:rsid w:val="00525451"/>
    <w:rsid w:val="00544D57"/>
    <w:rsid w:val="00557CA1"/>
    <w:rsid w:val="00561C4A"/>
    <w:rsid w:val="00591B10"/>
    <w:rsid w:val="00595B3C"/>
    <w:rsid w:val="005B297C"/>
    <w:rsid w:val="005B6929"/>
    <w:rsid w:val="005C2FBA"/>
    <w:rsid w:val="005C5609"/>
    <w:rsid w:val="005E4C49"/>
    <w:rsid w:val="005F2ABD"/>
    <w:rsid w:val="005F2C59"/>
    <w:rsid w:val="006135E4"/>
    <w:rsid w:val="00633120"/>
    <w:rsid w:val="0063620A"/>
    <w:rsid w:val="00636943"/>
    <w:rsid w:val="00642545"/>
    <w:rsid w:val="00643535"/>
    <w:rsid w:val="00675268"/>
    <w:rsid w:val="0069386B"/>
    <w:rsid w:val="00693D5A"/>
    <w:rsid w:val="0069547B"/>
    <w:rsid w:val="006A4177"/>
    <w:rsid w:val="006C645F"/>
    <w:rsid w:val="006D6316"/>
    <w:rsid w:val="006E7FFB"/>
    <w:rsid w:val="00712BCC"/>
    <w:rsid w:val="00724F7F"/>
    <w:rsid w:val="00733A14"/>
    <w:rsid w:val="00745833"/>
    <w:rsid w:val="00757E29"/>
    <w:rsid w:val="0077530B"/>
    <w:rsid w:val="00792990"/>
    <w:rsid w:val="007B4606"/>
    <w:rsid w:val="007C310F"/>
    <w:rsid w:val="007C4BC3"/>
    <w:rsid w:val="007C4C9D"/>
    <w:rsid w:val="007E5074"/>
    <w:rsid w:val="007F2F5A"/>
    <w:rsid w:val="007F35CC"/>
    <w:rsid w:val="008021A0"/>
    <w:rsid w:val="008066FF"/>
    <w:rsid w:val="00810A0A"/>
    <w:rsid w:val="00820E76"/>
    <w:rsid w:val="00836447"/>
    <w:rsid w:val="00844648"/>
    <w:rsid w:val="00874D29"/>
    <w:rsid w:val="00876423"/>
    <w:rsid w:val="00886745"/>
    <w:rsid w:val="00893E4A"/>
    <w:rsid w:val="008A1C8E"/>
    <w:rsid w:val="008A6F66"/>
    <w:rsid w:val="008B4B5F"/>
    <w:rsid w:val="008C78F1"/>
    <w:rsid w:val="008F4246"/>
    <w:rsid w:val="008F7C25"/>
    <w:rsid w:val="009044E7"/>
    <w:rsid w:val="0091020B"/>
    <w:rsid w:val="00911F7E"/>
    <w:rsid w:val="009311EE"/>
    <w:rsid w:val="00936E71"/>
    <w:rsid w:val="00945C0E"/>
    <w:rsid w:val="00955498"/>
    <w:rsid w:val="00957488"/>
    <w:rsid w:val="00972025"/>
    <w:rsid w:val="00990EA8"/>
    <w:rsid w:val="009929E9"/>
    <w:rsid w:val="0099495A"/>
    <w:rsid w:val="009A51DF"/>
    <w:rsid w:val="009B249D"/>
    <w:rsid w:val="009B31B2"/>
    <w:rsid w:val="009D0838"/>
    <w:rsid w:val="009D3BCD"/>
    <w:rsid w:val="009D7C77"/>
    <w:rsid w:val="009E5277"/>
    <w:rsid w:val="009F7FBC"/>
    <w:rsid w:val="00A00253"/>
    <w:rsid w:val="00A17C12"/>
    <w:rsid w:val="00A279BC"/>
    <w:rsid w:val="00A3186E"/>
    <w:rsid w:val="00A40124"/>
    <w:rsid w:val="00A43006"/>
    <w:rsid w:val="00A563D5"/>
    <w:rsid w:val="00A6042E"/>
    <w:rsid w:val="00A64E6B"/>
    <w:rsid w:val="00A8106C"/>
    <w:rsid w:val="00A93316"/>
    <w:rsid w:val="00A96561"/>
    <w:rsid w:val="00AA4F3B"/>
    <w:rsid w:val="00AB51EB"/>
    <w:rsid w:val="00AC089B"/>
    <w:rsid w:val="00AD2428"/>
    <w:rsid w:val="00AE388C"/>
    <w:rsid w:val="00AE52C6"/>
    <w:rsid w:val="00AE5939"/>
    <w:rsid w:val="00AE622D"/>
    <w:rsid w:val="00AE7DF4"/>
    <w:rsid w:val="00B038F2"/>
    <w:rsid w:val="00B11526"/>
    <w:rsid w:val="00B259DF"/>
    <w:rsid w:val="00B261BE"/>
    <w:rsid w:val="00B406C3"/>
    <w:rsid w:val="00B4604E"/>
    <w:rsid w:val="00B56835"/>
    <w:rsid w:val="00B72498"/>
    <w:rsid w:val="00B86C33"/>
    <w:rsid w:val="00BA179D"/>
    <w:rsid w:val="00BB13F7"/>
    <w:rsid w:val="00BC11A5"/>
    <w:rsid w:val="00BC2BA6"/>
    <w:rsid w:val="00BD7B82"/>
    <w:rsid w:val="00BD7D42"/>
    <w:rsid w:val="00C03DF2"/>
    <w:rsid w:val="00C17EC6"/>
    <w:rsid w:val="00C25EBC"/>
    <w:rsid w:val="00C268DD"/>
    <w:rsid w:val="00C30B33"/>
    <w:rsid w:val="00C32FEB"/>
    <w:rsid w:val="00C436D4"/>
    <w:rsid w:val="00C5053B"/>
    <w:rsid w:val="00C54D8C"/>
    <w:rsid w:val="00C55602"/>
    <w:rsid w:val="00C855F3"/>
    <w:rsid w:val="00C85CC7"/>
    <w:rsid w:val="00C945FE"/>
    <w:rsid w:val="00C9475E"/>
    <w:rsid w:val="00CE3738"/>
    <w:rsid w:val="00CE3F34"/>
    <w:rsid w:val="00CE48F4"/>
    <w:rsid w:val="00CE6DCF"/>
    <w:rsid w:val="00CF41F9"/>
    <w:rsid w:val="00CF6B18"/>
    <w:rsid w:val="00D126F3"/>
    <w:rsid w:val="00D1624F"/>
    <w:rsid w:val="00D17C32"/>
    <w:rsid w:val="00D35A03"/>
    <w:rsid w:val="00D4484F"/>
    <w:rsid w:val="00D81729"/>
    <w:rsid w:val="00D868EB"/>
    <w:rsid w:val="00D977D9"/>
    <w:rsid w:val="00DC04E0"/>
    <w:rsid w:val="00DD0A85"/>
    <w:rsid w:val="00DD3003"/>
    <w:rsid w:val="00DD3465"/>
    <w:rsid w:val="00DF246F"/>
    <w:rsid w:val="00E078C6"/>
    <w:rsid w:val="00E162EC"/>
    <w:rsid w:val="00E2518F"/>
    <w:rsid w:val="00E365FE"/>
    <w:rsid w:val="00E52AA5"/>
    <w:rsid w:val="00E53962"/>
    <w:rsid w:val="00E60B87"/>
    <w:rsid w:val="00EB07D6"/>
    <w:rsid w:val="00EB108C"/>
    <w:rsid w:val="00ED29D3"/>
    <w:rsid w:val="00F1335D"/>
    <w:rsid w:val="00F13FC3"/>
    <w:rsid w:val="00F147E3"/>
    <w:rsid w:val="00F168B5"/>
    <w:rsid w:val="00F30D7D"/>
    <w:rsid w:val="00F30EB0"/>
    <w:rsid w:val="00F3586E"/>
    <w:rsid w:val="00F45416"/>
    <w:rsid w:val="00F46C8A"/>
    <w:rsid w:val="00F56BA5"/>
    <w:rsid w:val="00F57A1B"/>
    <w:rsid w:val="00F62479"/>
    <w:rsid w:val="00F63B16"/>
    <w:rsid w:val="00F70FBE"/>
    <w:rsid w:val="00F85D4F"/>
    <w:rsid w:val="00F95B86"/>
    <w:rsid w:val="00F96D29"/>
    <w:rsid w:val="00FA3DD4"/>
    <w:rsid w:val="00FA4545"/>
    <w:rsid w:val="00FC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BC18D"/>
  <w15:docId w15:val="{DDC98B0C-9355-42DE-863D-04C0B16C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A3FE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D5BB9"/>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0D6D5C"/>
    <w:pPr>
      <w:tabs>
        <w:tab w:val="center" w:pos="4320"/>
        <w:tab w:val="right" w:pos="8640"/>
      </w:tabs>
    </w:pPr>
  </w:style>
  <w:style w:type="character" w:styleId="PageNumber">
    <w:name w:val="page number"/>
    <w:basedOn w:val="DefaultParagraphFont"/>
    <w:rsid w:val="000D6D5C"/>
  </w:style>
  <w:style w:type="paragraph" w:styleId="Header">
    <w:name w:val="header"/>
    <w:basedOn w:val="Normal"/>
    <w:link w:val="HeaderChar"/>
    <w:uiPriority w:val="99"/>
    <w:rsid w:val="000D6D5C"/>
    <w:pPr>
      <w:tabs>
        <w:tab w:val="center" w:pos="4320"/>
        <w:tab w:val="right" w:pos="8640"/>
      </w:tabs>
    </w:pPr>
  </w:style>
  <w:style w:type="paragraph" w:styleId="NormalWeb">
    <w:name w:val="Normal (Web)"/>
    <w:basedOn w:val="Normal"/>
    <w:rsid w:val="004D5BB9"/>
    <w:pPr>
      <w:spacing w:before="100" w:beforeAutospacing="1" w:after="100" w:afterAutospacing="1"/>
    </w:pPr>
  </w:style>
  <w:style w:type="paragraph" w:styleId="BalloonText">
    <w:name w:val="Balloon Text"/>
    <w:basedOn w:val="Normal"/>
    <w:semiHidden/>
    <w:rsid w:val="004B6D6C"/>
    <w:rPr>
      <w:rFonts w:ascii="Tahoma" w:hAnsi="Tahoma" w:cs="Tahoma"/>
      <w:sz w:val="16"/>
      <w:szCs w:val="16"/>
    </w:rPr>
  </w:style>
  <w:style w:type="character" w:styleId="Hyperlink">
    <w:name w:val="Hyperlink"/>
    <w:rsid w:val="00D1624F"/>
    <w:rPr>
      <w:color w:val="0000FF"/>
      <w:u w:val="single"/>
    </w:rPr>
  </w:style>
  <w:style w:type="character" w:styleId="FollowedHyperlink">
    <w:name w:val="FollowedHyperlink"/>
    <w:rsid w:val="00D1624F"/>
    <w:rPr>
      <w:color w:val="606420"/>
      <w:u w:val="single"/>
    </w:rPr>
  </w:style>
  <w:style w:type="character" w:styleId="CommentReference">
    <w:name w:val="annotation reference"/>
    <w:rsid w:val="00C25EBC"/>
    <w:rPr>
      <w:sz w:val="16"/>
      <w:szCs w:val="16"/>
    </w:rPr>
  </w:style>
  <w:style w:type="paragraph" w:styleId="CommentText">
    <w:name w:val="annotation text"/>
    <w:basedOn w:val="Normal"/>
    <w:link w:val="CommentTextChar"/>
    <w:rsid w:val="00C25EBC"/>
    <w:rPr>
      <w:sz w:val="20"/>
      <w:szCs w:val="20"/>
    </w:rPr>
  </w:style>
  <w:style w:type="character" w:customStyle="1" w:styleId="CommentTextChar">
    <w:name w:val="Comment Text Char"/>
    <w:basedOn w:val="DefaultParagraphFont"/>
    <w:link w:val="CommentText"/>
    <w:rsid w:val="00C25EBC"/>
  </w:style>
  <w:style w:type="paragraph" w:styleId="CommentSubject">
    <w:name w:val="annotation subject"/>
    <w:basedOn w:val="CommentText"/>
    <w:next w:val="CommentText"/>
    <w:link w:val="CommentSubjectChar"/>
    <w:rsid w:val="00C25EBC"/>
    <w:rPr>
      <w:b/>
      <w:bCs/>
    </w:rPr>
  </w:style>
  <w:style w:type="character" w:customStyle="1" w:styleId="CommentSubjectChar">
    <w:name w:val="Comment Subject Char"/>
    <w:link w:val="CommentSubject"/>
    <w:rsid w:val="00C25EBC"/>
    <w:rPr>
      <w:b/>
      <w:bCs/>
    </w:rPr>
  </w:style>
  <w:style w:type="character" w:customStyle="1" w:styleId="Heading1Char">
    <w:name w:val="Heading 1 Char"/>
    <w:link w:val="Heading1"/>
    <w:rsid w:val="001A3FEE"/>
    <w:rPr>
      <w:rFonts w:ascii="Cambria" w:eastAsia="Times New Roman" w:hAnsi="Cambria" w:cs="Times New Roman"/>
      <w:b/>
      <w:bCs/>
      <w:kern w:val="32"/>
      <w:sz w:val="32"/>
      <w:szCs w:val="32"/>
    </w:rPr>
  </w:style>
  <w:style w:type="paragraph" w:styleId="Revision">
    <w:name w:val="Revision"/>
    <w:hidden/>
    <w:uiPriority w:val="99"/>
    <w:semiHidden/>
    <w:rsid w:val="007F35CC"/>
    <w:rPr>
      <w:sz w:val="24"/>
      <w:szCs w:val="24"/>
    </w:rPr>
  </w:style>
  <w:style w:type="character" w:customStyle="1" w:styleId="HeaderChar">
    <w:name w:val="Header Char"/>
    <w:link w:val="Header"/>
    <w:uiPriority w:val="99"/>
    <w:rsid w:val="002739AF"/>
    <w:rPr>
      <w:sz w:val="24"/>
      <w:szCs w:val="24"/>
    </w:rPr>
  </w:style>
  <w:style w:type="paragraph" w:styleId="FootnoteText">
    <w:name w:val="footnote text"/>
    <w:basedOn w:val="Normal"/>
    <w:link w:val="FootnoteTextChar"/>
    <w:rsid w:val="00F63B16"/>
    <w:rPr>
      <w:sz w:val="20"/>
      <w:szCs w:val="20"/>
    </w:rPr>
  </w:style>
  <w:style w:type="character" w:customStyle="1" w:styleId="FootnoteTextChar">
    <w:name w:val="Footnote Text Char"/>
    <w:basedOn w:val="DefaultParagraphFont"/>
    <w:link w:val="FootnoteText"/>
    <w:rsid w:val="00F63B16"/>
  </w:style>
  <w:style w:type="character" w:styleId="FootnoteReference">
    <w:name w:val="footnote reference"/>
    <w:rsid w:val="00F63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7718">
      <w:bodyDiv w:val="1"/>
      <w:marLeft w:val="0"/>
      <w:marRight w:val="0"/>
      <w:marTop w:val="0"/>
      <w:marBottom w:val="0"/>
      <w:divBdr>
        <w:top w:val="none" w:sz="0" w:space="0" w:color="auto"/>
        <w:left w:val="none" w:sz="0" w:space="0" w:color="auto"/>
        <w:bottom w:val="none" w:sz="0" w:space="0" w:color="auto"/>
        <w:right w:val="none" w:sz="0" w:space="0" w:color="auto"/>
      </w:divBdr>
    </w:div>
    <w:div w:id="717970036">
      <w:bodyDiv w:val="1"/>
      <w:marLeft w:val="0"/>
      <w:marRight w:val="0"/>
      <w:marTop w:val="0"/>
      <w:marBottom w:val="0"/>
      <w:divBdr>
        <w:top w:val="none" w:sz="0" w:space="0" w:color="auto"/>
        <w:left w:val="none" w:sz="0" w:space="0" w:color="auto"/>
        <w:bottom w:val="none" w:sz="0" w:space="0" w:color="auto"/>
        <w:right w:val="none" w:sz="0" w:space="0" w:color="auto"/>
      </w:divBdr>
    </w:div>
    <w:div w:id="99471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h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9" ma:contentTypeDescription="Create a new document." ma:contentTypeScope="" ma:versionID="9a1fb919845300515f3204e08310a5da">
  <xsd:schema xmlns:xsd="http://www.w3.org/2001/XMLSchema" xmlns:xs="http://www.w3.org/2001/XMLSchema" xmlns:p="http://schemas.microsoft.com/office/2006/metadata/properties" xmlns:ns3="ab3b13d9-1588-48a0-b603-43f746d050c7" targetNamespace="http://schemas.microsoft.com/office/2006/metadata/properties" ma:root="true" ma:fieldsID="23af8177bf74558dc9376e44dccf88f7"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A8012-0285-4636-A51F-E0069D2B099A}">
  <ds:schemaRefs>
    <ds:schemaRef ds:uri="http://schemas.openxmlformats.org/officeDocument/2006/bibliography"/>
  </ds:schemaRefs>
</ds:datastoreItem>
</file>

<file path=customXml/itemProps2.xml><?xml version="1.0" encoding="utf-8"?>
<ds:datastoreItem xmlns:ds="http://schemas.openxmlformats.org/officeDocument/2006/customXml" ds:itemID="{12C01C07-553A-49D3-A0CF-8D314DCE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13910-52AF-4BDF-B1D6-3D85B2645E15}">
  <ds:schemaRefs>
    <ds:schemaRef ds:uri="http://schemas.microsoft.com/sharepoint/v3/contenttype/forms"/>
  </ds:schemaRefs>
</ds:datastoreItem>
</file>

<file path=customXml/itemProps4.xml><?xml version="1.0" encoding="utf-8"?>
<ds:datastoreItem xmlns:ds="http://schemas.openxmlformats.org/officeDocument/2006/customXml" ds:itemID="{E36AD414-7F73-495B-B1FC-6253C4FD1985}">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ab3b13d9-1588-48a0-b603-43f746d050c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2990</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19576</CharactersWithSpaces>
  <SharedDoc>false</SharedDoc>
  <HLinks>
    <vt:vector size="30" baseType="variant">
      <vt:variant>
        <vt:i4>4194387</vt:i4>
      </vt:variant>
      <vt:variant>
        <vt:i4>0</vt:i4>
      </vt:variant>
      <vt:variant>
        <vt:i4>0</vt:i4>
      </vt:variant>
      <vt:variant>
        <vt:i4>5</vt:i4>
      </vt:variant>
      <vt:variant>
        <vt:lpwstr>http://www.msha.gov/</vt:lpwstr>
      </vt:variant>
      <vt:variant>
        <vt:lpwstr/>
      </vt:variant>
      <vt:variant>
        <vt:i4>655455</vt:i4>
      </vt:variant>
      <vt:variant>
        <vt:i4>9</vt:i4>
      </vt:variant>
      <vt:variant>
        <vt:i4>0</vt:i4>
      </vt:variant>
      <vt:variant>
        <vt:i4>5</vt:i4>
      </vt:variant>
      <vt:variant>
        <vt:lpwstr>http://www.fedscope.opm.gov/</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allen.david.h</dc:creator>
  <cp:keywords/>
  <cp:lastModifiedBy>Bouchet, Nicole - MSHA</cp:lastModifiedBy>
  <cp:revision>19</cp:revision>
  <cp:lastPrinted>2018-11-09T16:30:00Z</cp:lastPrinted>
  <dcterms:created xsi:type="dcterms:W3CDTF">2021-12-09T18:11:00Z</dcterms:created>
  <dcterms:modified xsi:type="dcterms:W3CDTF">2022-03-30T17:54:00Z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0x0101005470EAB1142E744CABB1FD7AF4CE0D7A</vt:lpwstr>
  </property>
</Properties>
</file>