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565B7E" w:rsidR="00D17D57" w:rsidP="00071F1A" w:rsidRDefault="004548F5" w14:paraId="4514D745" w14:textId="77777777">
      <w:pPr>
        <w:pStyle w:val="BodyText"/>
        <w:spacing w:before="71"/>
        <w:ind w:right="1677"/>
        <w:jc w:val="center"/>
        <w:rPr>
          <w:sz w:val="24"/>
          <w:szCs w:val="24"/>
          <w:u w:val="single"/>
        </w:rPr>
      </w:pPr>
      <w:r w:rsidRPr="00565B7E">
        <w:rPr>
          <w:sz w:val="24"/>
          <w:szCs w:val="24"/>
          <w:u w:val="single"/>
        </w:rPr>
        <w:t>Supporting</w:t>
      </w:r>
      <w:r w:rsidRPr="00565B7E">
        <w:rPr>
          <w:spacing w:val="54"/>
          <w:sz w:val="24"/>
          <w:szCs w:val="24"/>
          <w:u w:val="single"/>
        </w:rPr>
        <w:t xml:space="preserve"> </w:t>
      </w:r>
      <w:r w:rsidRPr="00565B7E" w:rsidR="00CD22D4">
        <w:rPr>
          <w:sz w:val="24"/>
          <w:szCs w:val="24"/>
          <w:u w:val="single"/>
        </w:rPr>
        <w:t>Statement</w:t>
      </w:r>
    </w:p>
    <w:p w:rsidRPr="00565B7E" w:rsidR="00D17D57" w:rsidP="00F96BD8" w:rsidRDefault="00CD22D4" w14:paraId="6D15F1FA" w14:textId="77777777">
      <w:pPr>
        <w:pStyle w:val="BodyText"/>
        <w:spacing w:before="16"/>
        <w:ind w:right="1613"/>
        <w:jc w:val="center"/>
        <w:rPr>
          <w:sz w:val="24"/>
          <w:szCs w:val="24"/>
          <w:u w:val="single"/>
        </w:rPr>
      </w:pPr>
      <w:r w:rsidRPr="00565B7E">
        <w:rPr>
          <w:sz w:val="24"/>
          <w:szCs w:val="24"/>
          <w:u w:val="single"/>
        </w:rPr>
        <w:t>OMB</w:t>
      </w:r>
      <w:r w:rsidRPr="00565B7E">
        <w:rPr>
          <w:spacing w:val="21"/>
          <w:sz w:val="24"/>
          <w:szCs w:val="24"/>
          <w:u w:val="single"/>
        </w:rPr>
        <w:t xml:space="preserve"> </w:t>
      </w:r>
      <w:r w:rsidRPr="00565B7E">
        <w:rPr>
          <w:sz w:val="24"/>
          <w:szCs w:val="24"/>
          <w:u w:val="single"/>
        </w:rPr>
        <w:t>Control</w:t>
      </w:r>
      <w:r w:rsidRPr="00565B7E">
        <w:rPr>
          <w:spacing w:val="20"/>
          <w:sz w:val="24"/>
          <w:szCs w:val="24"/>
          <w:u w:val="single"/>
        </w:rPr>
        <w:t xml:space="preserve"> </w:t>
      </w:r>
      <w:r w:rsidRPr="00565B7E">
        <w:rPr>
          <w:sz w:val="24"/>
          <w:szCs w:val="24"/>
          <w:u w:val="single"/>
        </w:rPr>
        <w:t>Number 1506-0055</w:t>
      </w:r>
    </w:p>
    <w:p w:rsidRPr="00213B35" w:rsidR="00E84EFB" w:rsidP="00565B7E" w:rsidRDefault="00071F1A" w14:paraId="1F6E2BCC" w14:textId="5C3A532F">
      <w:pPr>
        <w:pStyle w:val="BodyText"/>
        <w:spacing w:before="16"/>
        <w:ind w:left="0" w:right="1613"/>
        <w:jc w:val="center"/>
        <w:rPr>
          <w:sz w:val="24"/>
          <w:szCs w:val="24"/>
        </w:rPr>
      </w:pPr>
      <w:r w:rsidRPr="005636CF">
        <w:rPr>
          <w:sz w:val="24"/>
          <w:szCs w:val="24"/>
        </w:rPr>
        <w:tab/>
      </w:r>
      <w:r w:rsidRPr="005636CF">
        <w:rPr>
          <w:sz w:val="24"/>
          <w:szCs w:val="24"/>
        </w:rPr>
        <w:tab/>
      </w:r>
      <w:r w:rsidRPr="00565B7E" w:rsidR="00E84EFB">
        <w:rPr>
          <w:sz w:val="24"/>
          <w:szCs w:val="24"/>
          <w:u w:val="single"/>
        </w:rPr>
        <w:t>Reports of Transactions with Foreign Financial Agencies</w:t>
      </w:r>
    </w:p>
    <w:p w:rsidRPr="00046F42" w:rsidR="00D17D57" w:rsidP="00DA4035" w:rsidRDefault="00D17D57" w14:paraId="6092F8AA" w14:textId="77777777">
      <w:pPr>
        <w:spacing w:before="7"/>
        <w:rPr>
          <w:rFonts w:ascii="Times New Roman" w:hAnsi="Times New Roman" w:eastAsia="Times New Roman" w:cs="Times New Roman"/>
          <w:sz w:val="24"/>
          <w:szCs w:val="24"/>
        </w:rPr>
      </w:pPr>
    </w:p>
    <w:p w:rsidRPr="00565B7E" w:rsidR="00D17D57" w:rsidP="00565B7E" w:rsidRDefault="009426DC" w14:paraId="015A7D82" w14:textId="5D27CB57">
      <w:pPr>
        <w:pStyle w:val="BodyText"/>
        <w:tabs>
          <w:tab w:val="left" w:pos="440"/>
        </w:tabs>
        <w:ind w:left="0"/>
        <w:rPr>
          <w:sz w:val="24"/>
          <w:szCs w:val="24"/>
        </w:rPr>
      </w:pPr>
      <w:r w:rsidRPr="00565B7E">
        <w:rPr>
          <w:sz w:val="24"/>
          <w:szCs w:val="24"/>
          <w:u w:color="000000"/>
        </w:rPr>
        <w:t xml:space="preserve">1. </w:t>
      </w:r>
      <w:r w:rsidRPr="000A263A" w:rsidR="00046F42">
        <w:rPr>
          <w:rFonts w:cs="Times New Roman"/>
          <w:sz w:val="24"/>
          <w:szCs w:val="24"/>
          <w:u w:val="single"/>
        </w:rPr>
        <w:t>Circumstances necessitating collection of information.</w:t>
      </w:r>
    </w:p>
    <w:p w:rsidRPr="00565B7E" w:rsidR="00D17D57" w:rsidP="00DA4035" w:rsidRDefault="00D17D57" w14:paraId="078D9F59" w14:textId="77777777">
      <w:pPr>
        <w:spacing w:before="2"/>
        <w:rPr>
          <w:rFonts w:ascii="Times New Roman" w:hAnsi="Times New Roman" w:eastAsia="Times New Roman" w:cs="Times New Roman"/>
          <w:sz w:val="24"/>
          <w:szCs w:val="24"/>
        </w:rPr>
      </w:pPr>
    </w:p>
    <w:p w:rsidRPr="00DF7F8B" w:rsidR="00A24438" w:rsidP="00565B7E" w:rsidRDefault="00A24438" w14:paraId="7D9D59B2" w14:textId="5AB0ACEF">
      <w:pPr>
        <w:spacing w:before="2"/>
        <w:ind w:firstLine="720"/>
        <w:rPr>
          <w:rFonts w:ascii="Times New Roman" w:hAnsi="Times New Roman" w:eastAsia="Times New Roman"/>
          <w:sz w:val="24"/>
          <w:szCs w:val="24"/>
        </w:rPr>
      </w:pPr>
      <w:r w:rsidRPr="00DF7F8B">
        <w:rPr>
          <w:rFonts w:ascii="Times New Roman" w:hAnsi="Times New Roman" w:eastAsia="Times New Roman"/>
          <w:sz w:val="24"/>
          <w:szCs w:val="24"/>
        </w:rPr>
        <w:t>The legislative framework generally referred to as the Bank Secrecy Act (BSA) consists of the Currency and Financial Transactions Reporting Act of 1970, as amended by the Uniting and Strengthening America by Providing Appropriate Tools Required to Intercept and Obstruct Terrorism Act of 2001 (USA PATRIOT Act), Public Law 107–56 (October 26, 2001), and other legislation, including most recently the Anti-Money Laundering Act of 2020 (AML Act).</w:t>
      </w:r>
      <w:r w:rsidRPr="00DF7F8B" w:rsidR="00D369F6">
        <w:rPr>
          <w:rStyle w:val="FootnoteReference"/>
          <w:rFonts w:ascii="Times New Roman" w:hAnsi="Times New Roman" w:cs="Times New Roman"/>
          <w:sz w:val="24"/>
          <w:szCs w:val="24"/>
        </w:rPr>
        <w:footnoteReference w:id="1"/>
      </w:r>
      <w:r w:rsidRPr="00DF7F8B" w:rsidR="00E12F55">
        <w:rPr>
          <w:rFonts w:ascii="Times New Roman" w:hAnsi="Times New Roman" w:cs="Times New Roman"/>
          <w:sz w:val="24"/>
          <w:szCs w:val="24"/>
        </w:rPr>
        <w:t xml:space="preserve"> </w:t>
      </w:r>
      <w:r w:rsidRPr="00DF7F8B" w:rsidR="00071F1A">
        <w:rPr>
          <w:rFonts w:ascii="Times New Roman" w:hAnsi="Times New Roman" w:cs="Times New Roman"/>
          <w:sz w:val="24"/>
          <w:szCs w:val="24"/>
        </w:rPr>
        <w:t xml:space="preserve"> </w:t>
      </w:r>
      <w:r w:rsidRPr="00DF7F8B">
        <w:rPr>
          <w:rFonts w:ascii="Times New Roman" w:hAnsi="Times New Roman" w:eastAsia="Times New Roman"/>
          <w:sz w:val="24"/>
          <w:szCs w:val="24"/>
        </w:rPr>
        <w:t xml:space="preserve">The BSA is codified at 12 U.S.C. 1829b, 12 U.S.C. 1951–1960, 31 U.S.C. 5311–5314 and 5316–5336, and includes notes thereto, with implementing regulations at 31 CFR Chapter X.  </w:t>
      </w:r>
    </w:p>
    <w:p w:rsidRPr="00DF7F8B" w:rsidR="00761A53" w:rsidP="00565B7E" w:rsidRDefault="00761A53" w14:paraId="191A8B8F" w14:textId="77777777">
      <w:pPr>
        <w:spacing w:before="2"/>
        <w:ind w:firstLine="720"/>
        <w:rPr>
          <w:rFonts w:ascii="Times New Roman" w:hAnsi="Times New Roman" w:eastAsia="Times New Roman"/>
          <w:sz w:val="24"/>
          <w:szCs w:val="24"/>
        </w:rPr>
      </w:pPr>
    </w:p>
    <w:p w:rsidRPr="00565B7E" w:rsidR="00761A53" w:rsidP="00565B7E" w:rsidRDefault="00A24438" w14:paraId="40FABFA2" w14:textId="2A49B0B6">
      <w:pPr>
        <w:pStyle w:val="BodyText"/>
        <w:ind w:left="0" w:firstLine="720"/>
        <w:rPr>
          <w:sz w:val="24"/>
          <w:szCs w:val="24"/>
        </w:rPr>
      </w:pPr>
      <w:r w:rsidRPr="00DF7F8B">
        <w:rPr>
          <w:sz w:val="24"/>
          <w:szCs w:val="24"/>
        </w:rPr>
        <w:t>The BSA authorizes the Secretary of the Treasury</w:t>
      </w:r>
      <w:r w:rsidRPr="00DF7F8B" w:rsidR="00761FF7">
        <w:rPr>
          <w:sz w:val="24"/>
          <w:szCs w:val="24"/>
        </w:rPr>
        <w:t xml:space="preserve"> (the </w:t>
      </w:r>
      <w:r w:rsidR="003B515C">
        <w:rPr>
          <w:sz w:val="24"/>
          <w:szCs w:val="24"/>
        </w:rPr>
        <w:t>“</w:t>
      </w:r>
      <w:r w:rsidRPr="00DF7F8B" w:rsidR="00761FF7">
        <w:rPr>
          <w:sz w:val="24"/>
          <w:szCs w:val="24"/>
        </w:rPr>
        <w:t>Secretary</w:t>
      </w:r>
      <w:r w:rsidR="003B515C">
        <w:rPr>
          <w:sz w:val="24"/>
          <w:szCs w:val="24"/>
        </w:rPr>
        <w:t>”</w:t>
      </w:r>
      <w:r w:rsidRPr="00DF7F8B" w:rsidR="00761FF7">
        <w:rPr>
          <w:sz w:val="24"/>
          <w:szCs w:val="24"/>
        </w:rPr>
        <w:t>)</w:t>
      </w:r>
      <w:r w:rsidRPr="00DF7F8B">
        <w:rPr>
          <w:sz w:val="24"/>
          <w:szCs w:val="24"/>
        </w:rPr>
        <w:t>, inter alia, to require financial institutions to keep records and file reports that are determined to have a high degree of usefulness in criminal, tax, and regulatory matters, or in the conduct of intelligence or counter-intelligence activities to protect against international terrorism, and to implement AML programs and compliance procedures.</w:t>
      </w:r>
      <w:r w:rsidRPr="00DF7F8B" w:rsidR="00D369F6">
        <w:rPr>
          <w:rStyle w:val="FootnoteReference"/>
          <w:sz w:val="24"/>
          <w:szCs w:val="24"/>
        </w:rPr>
        <w:footnoteReference w:id="2"/>
      </w:r>
      <w:r w:rsidRPr="00DF7F8B" w:rsidR="00E12F55">
        <w:rPr>
          <w:sz w:val="24"/>
          <w:szCs w:val="24"/>
        </w:rPr>
        <w:t xml:space="preserve"> </w:t>
      </w:r>
      <w:r w:rsidRPr="00DF7F8B" w:rsidR="00071F1A">
        <w:rPr>
          <w:sz w:val="24"/>
          <w:szCs w:val="24"/>
        </w:rPr>
        <w:t xml:space="preserve"> </w:t>
      </w:r>
      <w:r w:rsidRPr="00DF7F8B">
        <w:rPr>
          <w:sz w:val="24"/>
          <w:szCs w:val="24"/>
        </w:rPr>
        <w:t>The authority of the Secretary to administer the BSA has been delegated to the Director of FinCEN.</w:t>
      </w:r>
      <w:r w:rsidRPr="00DF7F8B" w:rsidR="00D369F6">
        <w:rPr>
          <w:rStyle w:val="FootnoteReference"/>
          <w:sz w:val="24"/>
          <w:szCs w:val="24"/>
        </w:rPr>
        <w:footnoteReference w:id="3"/>
      </w:r>
      <w:r w:rsidRPr="00565B7E">
        <w:rPr>
          <w:sz w:val="24"/>
          <w:szCs w:val="24"/>
        </w:rPr>
        <w:t xml:space="preserve"> </w:t>
      </w:r>
    </w:p>
    <w:p w:rsidRPr="00565B7E" w:rsidR="00D17D57" w:rsidP="00565B7E" w:rsidRDefault="00D17D57" w14:paraId="65F302FB" w14:textId="23A0E217">
      <w:pPr>
        <w:pStyle w:val="BodyText"/>
        <w:ind w:left="0" w:firstLine="720"/>
        <w:rPr>
          <w:sz w:val="24"/>
          <w:szCs w:val="24"/>
        </w:rPr>
      </w:pPr>
    </w:p>
    <w:p w:rsidR="00D751F1" w:rsidP="00D751F1" w:rsidRDefault="00761FF7" w14:paraId="67CAD527" w14:textId="5E82E2AF">
      <w:pPr>
        <w:shd w:val="clear" w:color="auto" w:fill="FFFFFF"/>
        <w:ind w:firstLine="720"/>
        <w:rPr>
          <w:rFonts w:ascii="Times New Roman" w:hAnsi="Times New Roman" w:eastAsia="MS Mincho" w:cs="Times New Roman"/>
          <w:bCs/>
          <w:sz w:val="24"/>
          <w:szCs w:val="24"/>
        </w:rPr>
      </w:pPr>
      <w:r w:rsidRPr="00B1380E">
        <w:rPr>
          <w:rFonts w:ascii="Times New Roman" w:hAnsi="Times New Roman" w:eastAsia="Times New Roman" w:cs="Times New Roman"/>
          <w:sz w:val="24"/>
          <w:szCs w:val="24"/>
        </w:rPr>
        <w:t>T</w:t>
      </w:r>
      <w:r w:rsidRPr="00B1380E" w:rsidR="00D369F6">
        <w:rPr>
          <w:rFonts w:ascii="Times New Roman" w:hAnsi="Times New Roman" w:eastAsia="Times New Roman" w:cs="Times New Roman"/>
          <w:sz w:val="24"/>
          <w:szCs w:val="24"/>
        </w:rPr>
        <w:t>he Secretary is authorized to require any “resident or citizen of the United States or a person in, and doing business in, the United States, to . . . keep records and file reports, when the resident, citizen, or person makes a transaction or maintains a relation for any person with a foreign financial agency.”</w:t>
      </w:r>
      <w:r w:rsidRPr="00B1380E">
        <w:rPr>
          <w:rStyle w:val="FootnoteReference"/>
          <w:rFonts w:ascii="Times New Roman" w:hAnsi="Times New Roman" w:eastAsia="Times New Roman" w:cs="Times New Roman"/>
          <w:sz w:val="24"/>
          <w:szCs w:val="24"/>
        </w:rPr>
        <w:footnoteReference w:id="4"/>
      </w:r>
      <w:r w:rsidRPr="00B1380E" w:rsidR="00E12F55">
        <w:rPr>
          <w:rFonts w:ascii="Times New Roman" w:hAnsi="Times New Roman" w:eastAsia="Times New Roman" w:cs="Times New Roman"/>
          <w:sz w:val="24"/>
          <w:szCs w:val="24"/>
        </w:rPr>
        <w:t xml:space="preserve"> </w:t>
      </w:r>
      <w:r w:rsidRPr="00B1380E" w:rsidR="00F96BD8">
        <w:rPr>
          <w:rFonts w:ascii="Times New Roman" w:hAnsi="Times New Roman" w:eastAsia="Times New Roman" w:cs="Times New Roman"/>
          <w:sz w:val="24"/>
          <w:szCs w:val="24"/>
        </w:rPr>
        <w:t xml:space="preserve"> </w:t>
      </w:r>
      <w:r w:rsidRPr="00B1380E" w:rsidR="00E12F55">
        <w:rPr>
          <w:rFonts w:ascii="Times New Roman" w:hAnsi="Times New Roman" w:eastAsia="Times New Roman" w:cs="Times New Roman"/>
          <w:sz w:val="24"/>
          <w:szCs w:val="24"/>
        </w:rPr>
        <w:t>The term “foreign financial agency” (FFA) means any person engaging in any activities outside the United States as a “financial agency,” which the statute defines as “a person acting for a person . . . as a financial institution, bailee, depository trustee, or agent, or acting in a similar way related to money, credit, securities, gold, or a transaction in money, credit, securities or gold, or a service provided with respect to money, securities, futures, precious metals, stones and jewels, or value that substitutes for currency.”</w:t>
      </w:r>
      <w:r w:rsidRPr="003B515C" w:rsidR="003B515C">
        <w:rPr>
          <w:rStyle w:val="FootnoteReference"/>
          <w:rFonts w:ascii="Times New Roman" w:hAnsi="Times New Roman" w:eastAsia="Times New Roman" w:cs="Times New Roman"/>
          <w:sz w:val="24"/>
          <w:szCs w:val="24"/>
        </w:rPr>
        <w:t xml:space="preserve"> </w:t>
      </w:r>
      <w:r w:rsidRPr="00B1380E" w:rsidR="003B515C">
        <w:rPr>
          <w:rStyle w:val="FootnoteReference"/>
          <w:rFonts w:ascii="Times New Roman" w:hAnsi="Times New Roman" w:eastAsia="Times New Roman" w:cs="Times New Roman"/>
          <w:sz w:val="24"/>
          <w:szCs w:val="24"/>
        </w:rPr>
        <w:footnoteReference w:id="5"/>
      </w:r>
      <w:r w:rsidR="00D751F1">
        <w:rPr>
          <w:rFonts w:ascii="Times New Roman" w:hAnsi="Times New Roman" w:eastAsia="Times New Roman" w:cs="Times New Roman"/>
          <w:sz w:val="24"/>
          <w:szCs w:val="24"/>
        </w:rPr>
        <w:t xml:space="preserve">  </w:t>
      </w:r>
      <w:r w:rsidRPr="00D751F1" w:rsidR="00D751F1">
        <w:rPr>
          <w:rFonts w:ascii="Times New Roman" w:hAnsi="Times New Roman" w:cs="Times New Roman"/>
          <w:sz w:val="24"/>
          <w:szCs w:val="24"/>
          <w:shd w:val="clear" w:color="auto" w:fill="FFFFFF"/>
        </w:rPr>
        <w:t xml:space="preserve">The regulations implementing </w:t>
      </w:r>
      <w:r w:rsidRPr="00D751F1" w:rsidR="00D751F1">
        <w:rPr>
          <w:rFonts w:ascii="Times New Roman" w:hAnsi="Times New Roman" w:eastAsia="MS Mincho" w:cs="Times New Roman"/>
          <w:bCs/>
          <w:sz w:val="24"/>
          <w:szCs w:val="24"/>
        </w:rPr>
        <w:t xml:space="preserve">reports of transactions with </w:t>
      </w:r>
      <w:r w:rsidR="003B515C">
        <w:rPr>
          <w:rFonts w:ascii="Times New Roman" w:hAnsi="Times New Roman" w:eastAsia="MS Mincho" w:cs="Times New Roman"/>
          <w:bCs/>
          <w:sz w:val="24"/>
          <w:szCs w:val="24"/>
        </w:rPr>
        <w:t>FFAs</w:t>
      </w:r>
      <w:r w:rsidRPr="00D751F1" w:rsidR="00D751F1">
        <w:rPr>
          <w:rFonts w:ascii="Times New Roman" w:hAnsi="Times New Roman" w:eastAsia="MS Mincho" w:cs="Times New Roman"/>
          <w:bCs/>
          <w:sz w:val="24"/>
          <w:szCs w:val="24"/>
        </w:rPr>
        <w:t xml:space="preserve"> are found at 31 CFR 1010.360. </w:t>
      </w:r>
    </w:p>
    <w:p w:rsidR="00D751F1" w:rsidP="00D751F1" w:rsidRDefault="00D751F1" w14:paraId="459155F3" w14:textId="452C8DCE">
      <w:pPr>
        <w:shd w:val="clear" w:color="auto" w:fill="FFFFFF"/>
        <w:ind w:firstLine="720"/>
        <w:rPr>
          <w:rFonts w:ascii="Times New Roman" w:hAnsi="Times New Roman" w:eastAsia="MS Mincho" w:cs="Times New Roman"/>
          <w:bCs/>
          <w:sz w:val="24"/>
          <w:szCs w:val="24"/>
        </w:rPr>
      </w:pPr>
    </w:p>
    <w:p w:rsidRPr="00DF7F8B" w:rsidR="00D751F1" w:rsidP="00D751F1" w:rsidRDefault="00D751F1" w14:paraId="5948FC50" w14:textId="1D6939B1">
      <w:pPr>
        <w:shd w:val="clear" w:color="auto" w:fill="FFFFFF"/>
        <w:ind w:firstLine="720"/>
        <w:rPr>
          <w:rFonts w:ascii="Times New Roman" w:hAnsi="Times New Roman" w:eastAsia="MS Mincho" w:cs="Times New Roman"/>
          <w:sz w:val="24"/>
          <w:szCs w:val="24"/>
        </w:rPr>
      </w:pPr>
      <w:r w:rsidRPr="00D751F1">
        <w:rPr>
          <w:rFonts w:ascii="Times New Roman" w:hAnsi="Times New Roman" w:eastAsia="MS Mincho" w:cs="Times New Roman"/>
          <w:bCs/>
          <w:sz w:val="24"/>
          <w:szCs w:val="24"/>
        </w:rPr>
        <w:t>31 CFR 1010.360</w:t>
      </w:r>
      <w:r w:rsidRPr="00D751F1">
        <w:rPr>
          <w:rFonts w:ascii="Times New Roman" w:hAnsi="Times New Roman" w:cs="Times New Roman"/>
          <w:color w:val="000000"/>
          <w:sz w:val="24"/>
          <w:szCs w:val="24"/>
        </w:rPr>
        <w:t xml:space="preserve">(a) authorizes the Secretary, when the Secretary deems appropriate, to promulgate regulations requiring specified financial institutions to file reports of certain transactions with designated FFAs.  </w:t>
      </w:r>
      <w:r w:rsidRPr="00D751F1">
        <w:rPr>
          <w:rFonts w:ascii="Times New Roman" w:hAnsi="Times New Roman" w:cs="Times New Roman"/>
          <w:sz w:val="24"/>
          <w:szCs w:val="24"/>
        </w:rPr>
        <w:t>A regulation promulgated pursuant to 31 CFR 1010.360(a) must designa</w:t>
      </w:r>
      <w:r>
        <w:rPr>
          <w:rFonts w:ascii="Times New Roman" w:hAnsi="Times New Roman" w:cs="Times New Roman"/>
          <w:sz w:val="24"/>
          <w:szCs w:val="24"/>
        </w:rPr>
        <w:t xml:space="preserve">te one or more </w:t>
      </w:r>
      <w:r w:rsidRPr="00D751F1">
        <w:rPr>
          <w:rFonts w:ascii="Times New Roman" w:hAnsi="Times New Roman" w:cs="Times New Roman"/>
          <w:sz w:val="24"/>
          <w:szCs w:val="24"/>
        </w:rPr>
        <w:t>categories of information to be reported by the financial institution</w:t>
      </w:r>
      <w:r w:rsidR="00FC6CAD">
        <w:rPr>
          <w:rFonts w:ascii="Times New Roman" w:hAnsi="Times New Roman" w:cs="Times New Roman"/>
          <w:sz w:val="24"/>
          <w:szCs w:val="24"/>
        </w:rPr>
        <w:t xml:space="preserve"> as it relates to a designated FFA</w:t>
      </w:r>
      <w:r w:rsidR="008415CE">
        <w:rPr>
          <w:rFonts w:ascii="Times New Roman" w:hAnsi="Times New Roman" w:cs="Times New Roman"/>
          <w:sz w:val="24"/>
          <w:szCs w:val="24"/>
        </w:rPr>
        <w:t xml:space="preserve">, including one or more </w:t>
      </w:r>
      <w:r w:rsidR="008415CE">
        <w:rPr>
          <w:rFonts w:ascii="Times New Roman" w:hAnsi="Times New Roman" w:cs="Times New Roman"/>
          <w:sz w:val="24"/>
          <w:szCs w:val="24"/>
        </w:rPr>
        <w:lastRenderedPageBreak/>
        <w:t xml:space="preserve">of the following: </w:t>
      </w:r>
      <w:r w:rsidRPr="008415CE" w:rsidR="008415CE">
        <w:rPr>
          <w:rFonts w:ascii="Times New Roman" w:hAnsi="Times New Roman" w:cs="Times New Roman"/>
          <w:sz w:val="24"/>
          <w:szCs w:val="24"/>
        </w:rPr>
        <w:t>(i) checks or drafts; (ii) transmittal orders; (iii) loans; (iv) commercial paper; (v) stocks; (vi) bonds; and (vii) certificates of deposit</w:t>
      </w:r>
      <w:r w:rsidR="00330063">
        <w:rPr>
          <w:rFonts w:ascii="Times New Roman" w:hAnsi="Times New Roman" w:cs="Times New Roman"/>
          <w:sz w:val="24"/>
          <w:szCs w:val="24"/>
        </w:rPr>
        <w:t>.</w:t>
      </w:r>
      <w:r w:rsidRPr="00DF7F8B" w:rsidR="00DF7F8B">
        <w:rPr>
          <w:rFonts w:ascii="Times New Roman" w:hAnsi="Times New Roman" w:eastAsia="MS Mincho" w:cs="Times New Roman"/>
          <w:sz w:val="24"/>
          <w:szCs w:val="24"/>
        </w:rPr>
        <w:t xml:space="preserve"> </w:t>
      </w:r>
    </w:p>
    <w:p w:rsidR="0086000E" w:rsidP="00D751F1" w:rsidRDefault="0086000E" w14:paraId="4068F2C8" w14:textId="5FAEB22C">
      <w:pPr>
        <w:shd w:val="clear" w:color="auto" w:fill="FFFFFF"/>
        <w:ind w:firstLine="720"/>
        <w:rPr>
          <w:rFonts w:ascii="Times New Roman" w:hAnsi="Times New Roman" w:eastAsia="MS Mincho" w:cs="Times New Roman"/>
          <w:sz w:val="24"/>
          <w:szCs w:val="24"/>
        </w:rPr>
      </w:pPr>
    </w:p>
    <w:p w:rsidRPr="0053423B" w:rsidR="0086000E" w:rsidP="0086000E" w:rsidRDefault="0086000E" w14:paraId="76453B4D" w14:textId="5332ACF7">
      <w:pPr>
        <w:pStyle w:val="NormalWeb"/>
        <w:shd w:val="clear" w:color="auto" w:fill="FFFFFF"/>
        <w:spacing w:before="0" w:beforeAutospacing="0" w:after="0" w:afterAutospacing="0"/>
        <w:ind w:firstLine="720"/>
        <w:rPr>
          <w:rFonts w:eastAsia="MS Mincho"/>
        </w:rPr>
      </w:pPr>
      <w:r w:rsidRPr="0053423B">
        <w:rPr>
          <w:rFonts w:eastAsia="MS Mincho"/>
        </w:rPr>
        <w:t xml:space="preserve">31 CFR 1010.430(d) requires that all records that </w:t>
      </w:r>
      <w:r w:rsidR="001543C3">
        <w:rPr>
          <w:rFonts w:eastAsia="MS Mincho"/>
        </w:rPr>
        <w:t>must</w:t>
      </w:r>
      <w:r w:rsidRPr="0053423B">
        <w:rPr>
          <w:rFonts w:eastAsia="MS Mincho"/>
        </w:rPr>
        <w:t xml:space="preserve"> be retained </w:t>
      </w:r>
      <w:r w:rsidR="001543C3">
        <w:rPr>
          <w:rFonts w:eastAsia="MS Mincho"/>
        </w:rPr>
        <w:t>pursuant to</w:t>
      </w:r>
      <w:r w:rsidRPr="0053423B" w:rsidR="001543C3">
        <w:rPr>
          <w:rFonts w:eastAsia="MS Mincho"/>
        </w:rPr>
        <w:t xml:space="preserve"> </w:t>
      </w:r>
      <w:r w:rsidR="001543C3">
        <w:rPr>
          <w:rFonts w:eastAsia="MS Mincho"/>
        </w:rPr>
        <w:t xml:space="preserve">31 CFR </w:t>
      </w:r>
      <w:r w:rsidRPr="0053423B">
        <w:rPr>
          <w:rFonts w:eastAsia="MS Mincho"/>
        </w:rPr>
        <w:t>Chapter X</w:t>
      </w:r>
      <w:r w:rsidR="001543C3">
        <w:rPr>
          <w:rFonts w:eastAsia="MS Mincho"/>
        </w:rPr>
        <w:t>,</w:t>
      </w:r>
      <w:r w:rsidRPr="0053423B">
        <w:rPr>
          <w:rFonts w:eastAsia="MS Mincho"/>
        </w:rPr>
        <w:t xml:space="preserve"> be retained for a period of five years. </w:t>
      </w:r>
    </w:p>
    <w:p w:rsidRPr="00046F42" w:rsidR="00D369F6" w:rsidP="00DA4035" w:rsidRDefault="00D369F6" w14:paraId="6470BCB2" w14:textId="77777777">
      <w:pPr>
        <w:rPr>
          <w:rFonts w:ascii="Times New Roman" w:hAnsi="Times New Roman" w:eastAsia="Times New Roman" w:cs="Times New Roman"/>
          <w:sz w:val="24"/>
          <w:szCs w:val="24"/>
        </w:rPr>
      </w:pPr>
    </w:p>
    <w:p w:rsidRPr="00E0720F" w:rsidR="00D17D57" w:rsidP="00E0720F" w:rsidRDefault="009426DC" w14:paraId="715B4AE9" w14:textId="0CDBDF5C">
      <w:pPr>
        <w:pStyle w:val="BodyText"/>
        <w:tabs>
          <w:tab w:val="left" w:pos="404"/>
        </w:tabs>
        <w:ind w:left="0"/>
        <w:rPr>
          <w:sz w:val="24"/>
          <w:szCs w:val="24"/>
          <w:u w:val="single"/>
        </w:rPr>
      </w:pPr>
      <w:r w:rsidRPr="00E0720F">
        <w:rPr>
          <w:sz w:val="24"/>
          <w:szCs w:val="24"/>
        </w:rPr>
        <w:t xml:space="preserve">2. </w:t>
      </w:r>
      <w:r w:rsidRPr="00E0720F" w:rsidR="00046F42">
        <w:rPr>
          <w:bCs/>
          <w:sz w:val="24"/>
          <w:szCs w:val="24"/>
          <w:u w:val="single"/>
        </w:rPr>
        <w:t>Method of collection and use of data.</w:t>
      </w:r>
    </w:p>
    <w:p w:rsidRPr="00046F42" w:rsidR="00D17D57" w:rsidP="00DA4035" w:rsidRDefault="00D17D57" w14:paraId="5655C79A" w14:textId="77777777">
      <w:pPr>
        <w:spacing w:before="7"/>
        <w:rPr>
          <w:rFonts w:ascii="Times New Roman" w:hAnsi="Times New Roman" w:eastAsia="Times New Roman" w:cs="Times New Roman"/>
          <w:sz w:val="24"/>
          <w:szCs w:val="24"/>
        </w:rPr>
      </w:pPr>
    </w:p>
    <w:p w:rsidR="00A9543F" w:rsidP="00E0720F" w:rsidRDefault="00667513" w14:paraId="1A145CD5" w14:textId="0DC7BEF2">
      <w:pPr>
        <w:pStyle w:val="BodyText"/>
        <w:ind w:left="0" w:firstLine="720"/>
        <w:rPr>
          <w:sz w:val="24"/>
          <w:szCs w:val="24"/>
        </w:rPr>
      </w:pPr>
      <w:r w:rsidRPr="00667513">
        <w:rPr>
          <w:sz w:val="24"/>
          <w:szCs w:val="24"/>
        </w:rPr>
        <w:t>There are no specific methods required to collect</w:t>
      </w:r>
      <w:r>
        <w:rPr>
          <w:sz w:val="24"/>
          <w:szCs w:val="24"/>
        </w:rPr>
        <w:t xml:space="preserve"> information in response to FFA requests</w:t>
      </w:r>
      <w:r w:rsidRPr="00667513">
        <w:rPr>
          <w:sz w:val="24"/>
          <w:szCs w:val="24"/>
        </w:rPr>
        <w:t xml:space="preserve">.  </w:t>
      </w:r>
      <w:r w:rsidR="00FF4861">
        <w:rPr>
          <w:sz w:val="24"/>
          <w:szCs w:val="24"/>
        </w:rPr>
        <w:t xml:space="preserve">As noted above, </w:t>
      </w:r>
      <w:r w:rsidRPr="00761A53" w:rsidR="00761A53">
        <w:rPr>
          <w:sz w:val="24"/>
          <w:szCs w:val="24"/>
        </w:rPr>
        <w:t xml:space="preserve">FinCEN </w:t>
      </w:r>
      <w:r w:rsidR="00C96937">
        <w:rPr>
          <w:sz w:val="24"/>
          <w:szCs w:val="24"/>
        </w:rPr>
        <w:t>may</w:t>
      </w:r>
      <w:r w:rsidRPr="00761A53" w:rsidR="00761A53">
        <w:rPr>
          <w:sz w:val="24"/>
          <w:szCs w:val="24"/>
        </w:rPr>
        <w:t xml:space="preserve"> specify the form and method for reporting and typically provides a reporting schedule to each specified financial institution.  If </w:t>
      </w:r>
      <w:r w:rsidR="00FF4861">
        <w:rPr>
          <w:sz w:val="24"/>
          <w:szCs w:val="24"/>
        </w:rPr>
        <w:t>the</w:t>
      </w:r>
      <w:r w:rsidRPr="00761A53" w:rsidR="00761A53">
        <w:rPr>
          <w:sz w:val="24"/>
          <w:szCs w:val="24"/>
        </w:rPr>
        <w:t xml:space="preserve"> financial institution does not have any reportable transactions, that information must be reported to FinCEN.</w:t>
      </w:r>
      <w:r w:rsidR="00761A53">
        <w:rPr>
          <w:sz w:val="24"/>
          <w:szCs w:val="24"/>
        </w:rPr>
        <w:t xml:space="preserve"> </w:t>
      </w:r>
      <w:r w:rsidRPr="0001798C" w:rsidR="0001798C">
        <w:rPr>
          <w:sz w:val="24"/>
          <w:szCs w:val="24"/>
        </w:rPr>
        <w:t>FFA information is typically reported by uploading a comma-separated value file spreadsheet through FinCEN’s Secure Information Sharing System, which allows the filer to save an electronic version of the report and satisfy the recordkeeping requirement.</w:t>
      </w:r>
    </w:p>
    <w:p w:rsidR="00667513" w:rsidP="008415CE" w:rsidRDefault="00667513" w14:paraId="083CDB0F" w14:textId="77777777">
      <w:pPr>
        <w:pStyle w:val="BodyText"/>
        <w:ind w:left="0"/>
        <w:rPr>
          <w:sz w:val="24"/>
          <w:szCs w:val="24"/>
        </w:rPr>
      </w:pPr>
    </w:p>
    <w:p w:rsidRPr="008415CE" w:rsidR="00A9543F" w:rsidP="008415CE" w:rsidRDefault="00A9543F" w14:paraId="7D7434E2" w14:textId="762C07C2">
      <w:pPr>
        <w:pStyle w:val="BodyText"/>
        <w:spacing w:after="120"/>
        <w:ind w:left="0" w:firstLine="720"/>
        <w:rPr>
          <w:sz w:val="24"/>
          <w:szCs w:val="24"/>
        </w:rPr>
      </w:pPr>
      <w:r w:rsidRPr="00A9543F">
        <w:rPr>
          <w:sz w:val="24"/>
          <w:szCs w:val="24"/>
        </w:rPr>
        <w:t>The informa</w:t>
      </w:r>
      <w:r w:rsidR="0001798C">
        <w:rPr>
          <w:sz w:val="24"/>
          <w:szCs w:val="24"/>
        </w:rPr>
        <w:t>tion collected and retained</w:t>
      </w:r>
      <w:r w:rsidRPr="00A9543F">
        <w:rPr>
          <w:sz w:val="24"/>
          <w:szCs w:val="24"/>
        </w:rPr>
        <w:t xml:space="preserve"> assists Federal, state and local law enforcement </w:t>
      </w:r>
      <w:r w:rsidR="00AD3F08">
        <w:rPr>
          <w:sz w:val="24"/>
          <w:szCs w:val="24"/>
        </w:rPr>
        <w:t xml:space="preserve">and other government agencies </w:t>
      </w:r>
      <w:r w:rsidRPr="00A9543F">
        <w:rPr>
          <w:sz w:val="24"/>
          <w:szCs w:val="24"/>
        </w:rPr>
        <w:t>in tracing the proceeds of criminal or illegal activity and in identifying, investigating, and prosecuting individuals and entities involved in a variety of financial crimes.</w:t>
      </w:r>
    </w:p>
    <w:p w:rsidRPr="008415CE" w:rsidR="00D17D57" w:rsidP="00DA4035" w:rsidRDefault="00D17D57" w14:paraId="631783C6" w14:textId="77777777">
      <w:pPr>
        <w:spacing w:before="2"/>
        <w:rPr>
          <w:rFonts w:ascii="Times New Roman" w:hAnsi="Times New Roman" w:eastAsia="Times New Roman" w:cs="Times New Roman"/>
          <w:sz w:val="24"/>
          <w:szCs w:val="24"/>
        </w:rPr>
      </w:pPr>
    </w:p>
    <w:p w:rsidRPr="009610E2" w:rsidR="00046F42" w:rsidP="00046F42" w:rsidRDefault="009426DC" w14:paraId="18273F8A" w14:textId="77777777">
      <w:pPr>
        <w:pStyle w:val="BodyText"/>
        <w:tabs>
          <w:tab w:val="left" w:pos="397"/>
        </w:tabs>
        <w:ind w:left="0"/>
        <w:rPr>
          <w:sz w:val="24"/>
          <w:szCs w:val="24"/>
          <w:u w:val="single"/>
        </w:rPr>
      </w:pPr>
      <w:r w:rsidRPr="009610E2">
        <w:rPr>
          <w:sz w:val="24"/>
          <w:szCs w:val="24"/>
        </w:rPr>
        <w:t xml:space="preserve">3. </w:t>
      </w:r>
      <w:r w:rsidRPr="009610E2" w:rsidR="00046F42">
        <w:rPr>
          <w:sz w:val="24"/>
          <w:szCs w:val="24"/>
          <w:u w:val="single"/>
        </w:rPr>
        <w:t>Use of improved information technology to reduce burden.</w:t>
      </w:r>
    </w:p>
    <w:p w:rsidRPr="009610E2" w:rsidR="00D17D57" w:rsidP="00046F42" w:rsidRDefault="00D17D57" w14:paraId="5C6281D1" w14:textId="77777777">
      <w:pPr>
        <w:pStyle w:val="BodyText"/>
        <w:tabs>
          <w:tab w:val="left" w:pos="397"/>
        </w:tabs>
        <w:ind w:left="0"/>
        <w:rPr>
          <w:sz w:val="24"/>
          <w:szCs w:val="24"/>
        </w:rPr>
      </w:pPr>
    </w:p>
    <w:p w:rsidRPr="008415CE" w:rsidR="00D17D57" w:rsidP="008415CE" w:rsidRDefault="00615A88" w14:paraId="4A1B1188" w14:textId="015F2B2A">
      <w:pPr>
        <w:pStyle w:val="BodyText"/>
        <w:ind w:left="0"/>
        <w:rPr>
          <w:sz w:val="24"/>
          <w:szCs w:val="24"/>
        </w:rPr>
      </w:pPr>
      <w:r w:rsidRPr="00E90CDF">
        <w:rPr>
          <w:spacing w:val="15"/>
          <w:sz w:val="24"/>
          <w:szCs w:val="24"/>
        </w:rPr>
        <w:tab/>
      </w:r>
      <w:r w:rsidRPr="008415CE" w:rsidR="0001798C">
        <w:rPr>
          <w:sz w:val="24"/>
          <w:szCs w:val="24"/>
        </w:rPr>
        <w:t xml:space="preserve">As noted above, there are no specific methods required to collect information in response to FFA requests. </w:t>
      </w:r>
      <w:r w:rsidR="008415CE">
        <w:rPr>
          <w:sz w:val="24"/>
          <w:szCs w:val="24"/>
        </w:rPr>
        <w:t xml:space="preserve"> </w:t>
      </w:r>
      <w:r w:rsidRPr="00E64DE8" w:rsidR="00E64DE8">
        <w:rPr>
          <w:sz w:val="24"/>
          <w:szCs w:val="24"/>
        </w:rPr>
        <w:t xml:space="preserve">FinCEN </w:t>
      </w:r>
      <w:r w:rsidR="00116A81">
        <w:rPr>
          <w:sz w:val="24"/>
          <w:szCs w:val="24"/>
        </w:rPr>
        <w:t>may</w:t>
      </w:r>
      <w:r w:rsidRPr="00E64DE8" w:rsidR="00E64DE8">
        <w:rPr>
          <w:sz w:val="24"/>
          <w:szCs w:val="24"/>
        </w:rPr>
        <w:t xml:space="preserve"> specify the form and method for reporting and typically provides a reporting schedule to each specified financial institution.  If </w:t>
      </w:r>
      <w:r w:rsidR="00620A75">
        <w:rPr>
          <w:sz w:val="24"/>
          <w:szCs w:val="24"/>
        </w:rPr>
        <w:t>the</w:t>
      </w:r>
      <w:r w:rsidRPr="00E64DE8" w:rsidR="00E64DE8">
        <w:rPr>
          <w:sz w:val="24"/>
          <w:szCs w:val="24"/>
        </w:rPr>
        <w:t xml:space="preserve"> financial institution does not have any reportable transactions, that information must be reported to FinCEN.</w:t>
      </w:r>
      <w:r w:rsidRPr="008415CE" w:rsidR="0001798C">
        <w:rPr>
          <w:sz w:val="24"/>
          <w:szCs w:val="24"/>
        </w:rPr>
        <w:t xml:space="preserve"> </w:t>
      </w:r>
      <w:r w:rsidR="00E64DE8">
        <w:rPr>
          <w:sz w:val="24"/>
          <w:szCs w:val="24"/>
        </w:rPr>
        <w:t xml:space="preserve"> </w:t>
      </w:r>
      <w:r w:rsidRPr="008415CE" w:rsidR="0001798C">
        <w:rPr>
          <w:sz w:val="24"/>
          <w:szCs w:val="24"/>
        </w:rPr>
        <w:t>FFA information is typically reported by uploading a comma-separated value file spreadsheet through FinCEN’s Secure Information Sharing System, which allows the filer to save an electronic version of the report and satisfy the recordkeeping requirement.</w:t>
      </w:r>
    </w:p>
    <w:p w:rsidRPr="008415CE" w:rsidR="00D17D57" w:rsidP="00DA4035" w:rsidRDefault="00D17D57" w14:paraId="0B7C69BF" w14:textId="77777777">
      <w:pPr>
        <w:spacing w:before="1"/>
        <w:rPr>
          <w:rFonts w:ascii="Times New Roman" w:hAnsi="Times New Roman" w:eastAsia="Times New Roman" w:cs="Times New Roman"/>
          <w:sz w:val="24"/>
          <w:szCs w:val="24"/>
        </w:rPr>
      </w:pPr>
    </w:p>
    <w:p w:rsidRPr="009610E2" w:rsidR="003B0AEB" w:rsidP="009610E2" w:rsidRDefault="009426DC" w14:paraId="3EF187F9" w14:textId="2C9087BD">
      <w:pPr>
        <w:pStyle w:val="BodyText"/>
        <w:tabs>
          <w:tab w:val="left" w:pos="383"/>
        </w:tabs>
        <w:ind w:left="0"/>
        <w:rPr>
          <w:sz w:val="24"/>
          <w:szCs w:val="24"/>
        </w:rPr>
      </w:pPr>
      <w:r w:rsidRPr="009610E2">
        <w:rPr>
          <w:sz w:val="24"/>
          <w:szCs w:val="24"/>
        </w:rPr>
        <w:t xml:space="preserve">4. </w:t>
      </w:r>
      <w:r w:rsidRPr="009610E2" w:rsidR="00046F42">
        <w:rPr>
          <w:sz w:val="24"/>
          <w:szCs w:val="24"/>
          <w:u w:val="single"/>
        </w:rPr>
        <w:t>Efforts to identify duplication.</w:t>
      </w:r>
    </w:p>
    <w:p w:rsidRPr="009610E2" w:rsidR="003B0AEB" w:rsidP="00DA4035" w:rsidRDefault="003B0AEB" w14:paraId="52FA2F27" w14:textId="77777777">
      <w:pPr>
        <w:pStyle w:val="BodyText"/>
        <w:tabs>
          <w:tab w:val="left" w:pos="383"/>
        </w:tabs>
        <w:ind w:left="0"/>
        <w:rPr>
          <w:sz w:val="24"/>
          <w:szCs w:val="24"/>
        </w:rPr>
      </w:pPr>
    </w:p>
    <w:p w:rsidRPr="009610E2" w:rsidR="00D17D57" w:rsidP="00DA4035" w:rsidRDefault="003B0AEB" w14:paraId="62EFC0E2" w14:textId="0DADF8EC">
      <w:pPr>
        <w:pStyle w:val="BodyText"/>
        <w:ind w:left="0"/>
        <w:rPr>
          <w:sz w:val="24"/>
          <w:szCs w:val="24"/>
        </w:rPr>
      </w:pPr>
      <w:r w:rsidRPr="009610E2">
        <w:rPr>
          <w:sz w:val="24"/>
          <w:szCs w:val="24"/>
        </w:rPr>
        <w:tab/>
      </w:r>
      <w:r w:rsidRPr="009610E2" w:rsidR="00B2443A">
        <w:rPr>
          <w:sz w:val="24"/>
          <w:szCs w:val="24"/>
        </w:rPr>
        <w:t>There is no similar information available; thus there is no duplication.</w:t>
      </w:r>
    </w:p>
    <w:p w:rsidRPr="008415CE" w:rsidR="003B0AEB" w:rsidP="00DA4035" w:rsidRDefault="003B0AEB" w14:paraId="22C79683" w14:textId="77777777">
      <w:pPr>
        <w:pStyle w:val="BodyText"/>
        <w:tabs>
          <w:tab w:val="left" w:pos="383"/>
        </w:tabs>
        <w:ind w:left="0"/>
        <w:rPr>
          <w:sz w:val="24"/>
          <w:szCs w:val="24"/>
        </w:rPr>
      </w:pPr>
    </w:p>
    <w:p w:rsidRPr="009610E2" w:rsidR="00DA4035" w:rsidP="009610E2" w:rsidRDefault="009426DC" w14:paraId="5DE5F575" w14:textId="0D2A6218">
      <w:pPr>
        <w:pStyle w:val="BodyText"/>
        <w:tabs>
          <w:tab w:val="left" w:pos="376"/>
        </w:tabs>
        <w:ind w:left="0"/>
        <w:rPr>
          <w:sz w:val="24"/>
          <w:szCs w:val="24"/>
        </w:rPr>
      </w:pPr>
      <w:r w:rsidRPr="009610E2">
        <w:rPr>
          <w:sz w:val="24"/>
          <w:szCs w:val="24"/>
          <w:u w:color="000000"/>
        </w:rPr>
        <w:t xml:space="preserve">5. </w:t>
      </w:r>
      <w:r w:rsidRPr="009610E2" w:rsidR="00046F42">
        <w:rPr>
          <w:sz w:val="24"/>
          <w:szCs w:val="24"/>
          <w:u w:val="single"/>
        </w:rPr>
        <w:t>Methods to minimize burden on small businesses or other small entities.</w:t>
      </w:r>
      <w:r w:rsidRPr="009610E2" w:rsidR="00CD22D4">
        <w:rPr>
          <w:w w:val="102"/>
          <w:sz w:val="24"/>
          <w:szCs w:val="24"/>
        </w:rPr>
        <w:t xml:space="preserve"> </w:t>
      </w:r>
    </w:p>
    <w:p w:rsidRPr="008415CE" w:rsidR="00FD6F34" w:rsidP="00DA4035" w:rsidRDefault="00FD6F34" w14:paraId="4309AE09" w14:textId="77777777">
      <w:pPr>
        <w:pStyle w:val="BodyText"/>
        <w:tabs>
          <w:tab w:val="left" w:pos="376"/>
        </w:tabs>
        <w:spacing w:before="18"/>
        <w:ind w:left="843" w:right="1364"/>
        <w:jc w:val="right"/>
        <w:rPr>
          <w:sz w:val="24"/>
          <w:szCs w:val="24"/>
        </w:rPr>
      </w:pPr>
    </w:p>
    <w:p w:rsidR="00A24438" w:rsidP="00545FB8" w:rsidRDefault="00545FB8" w14:paraId="426BAE79" w14:textId="5007B671">
      <w:pPr>
        <w:pStyle w:val="BodyText"/>
        <w:tabs>
          <w:tab w:val="left" w:pos="376"/>
        </w:tabs>
        <w:ind w:left="0"/>
        <w:rPr>
          <w:sz w:val="24"/>
        </w:rPr>
      </w:pPr>
      <w:r>
        <w:rPr>
          <w:w w:val="102"/>
          <w:sz w:val="24"/>
          <w:szCs w:val="24"/>
        </w:rPr>
        <w:tab/>
      </w:r>
      <w:r>
        <w:rPr>
          <w:w w:val="102"/>
          <w:sz w:val="24"/>
          <w:szCs w:val="24"/>
        </w:rPr>
        <w:tab/>
      </w:r>
      <w:r w:rsidRPr="006F3812" w:rsidR="006F3812">
        <w:rPr>
          <w:w w:val="102"/>
          <w:sz w:val="24"/>
          <w:szCs w:val="24"/>
        </w:rPr>
        <w:t xml:space="preserve">The reporting and recordkeeping requirements of these regulations </w:t>
      </w:r>
      <w:r w:rsidRPr="00116C59" w:rsidR="00116C59">
        <w:rPr>
          <w:i/>
          <w:w w:val="102"/>
          <w:sz w:val="24"/>
          <w:szCs w:val="24"/>
        </w:rPr>
        <w:t>per se</w:t>
      </w:r>
      <w:r w:rsidR="00116C59">
        <w:rPr>
          <w:w w:val="102"/>
          <w:sz w:val="24"/>
          <w:szCs w:val="24"/>
        </w:rPr>
        <w:t xml:space="preserve"> </w:t>
      </w:r>
      <w:r w:rsidRPr="006F3812" w:rsidR="006F3812">
        <w:rPr>
          <w:w w:val="102"/>
          <w:sz w:val="24"/>
          <w:szCs w:val="24"/>
        </w:rPr>
        <w:t xml:space="preserve">should not pose any adverse impact on small businesses because the information required to be reported is basic information which </w:t>
      </w:r>
      <w:r w:rsidR="004824F3">
        <w:rPr>
          <w:w w:val="102"/>
          <w:sz w:val="24"/>
          <w:szCs w:val="24"/>
        </w:rPr>
        <w:t xml:space="preserve">specified </w:t>
      </w:r>
      <w:r w:rsidRPr="006F3812" w:rsidR="006F3812">
        <w:rPr>
          <w:w w:val="102"/>
          <w:sz w:val="24"/>
          <w:szCs w:val="24"/>
        </w:rPr>
        <w:t>financial institutions would collect in the normal course of doing business.</w:t>
      </w:r>
      <w:r w:rsidRPr="00116C59" w:rsidR="00116C59">
        <w:rPr>
          <w:rFonts w:cs="Times New Roman" w:eastAsiaTheme="minorHAnsi"/>
          <w:w w:val="102"/>
          <w:sz w:val="24"/>
          <w:szCs w:val="24"/>
          <w:vertAlign w:val="superscript"/>
        </w:rPr>
        <w:footnoteReference w:id="6"/>
      </w:r>
      <w:r w:rsidRPr="00116C59" w:rsidR="00116C59">
        <w:rPr>
          <w:rFonts w:cs="Times New Roman" w:eastAsiaTheme="minorHAnsi"/>
          <w:sz w:val="24"/>
          <w:szCs w:val="24"/>
          <w:lang w:val="en-GB"/>
        </w:rPr>
        <w:t xml:space="preserve"> </w:t>
      </w:r>
      <w:r>
        <w:rPr>
          <w:sz w:val="24"/>
          <w:szCs w:val="24"/>
          <w:lang w:val="en-GB"/>
        </w:rPr>
        <w:t xml:space="preserve"> </w:t>
      </w:r>
      <w:r w:rsidRPr="008415CE" w:rsidR="00667513">
        <w:rPr>
          <w:sz w:val="24"/>
          <w:szCs w:val="24"/>
          <w:lang w:val="en-GB"/>
        </w:rPr>
        <w:t xml:space="preserve">Generally, the information required to be reported </w:t>
      </w:r>
      <w:r w:rsidRPr="008415CE" w:rsidR="00667513">
        <w:rPr>
          <w:sz w:val="24"/>
          <w:szCs w:val="24"/>
          <w:lang w:val="en-GB"/>
        </w:rPr>
        <w:lastRenderedPageBreak/>
        <w:t xml:space="preserve">pursuant to an FFA regulation is basic information that a domestic financial institution would already maintain based on current BSA recordkeeping requirements.  For example, a domestic financial institution sending or receiving transmittal orders (funds transfers) with a designated FFA would have access </w:t>
      </w:r>
      <w:r w:rsidRPr="008415CE" w:rsidR="00667513">
        <w:rPr>
          <w:sz w:val="24"/>
          <w:szCs w:val="24"/>
        </w:rPr>
        <w:t>to the information required to be reported.</w:t>
      </w:r>
      <w:r w:rsidRPr="008415CE" w:rsidR="00667513">
        <w:rPr>
          <w:color w:val="0070C0"/>
          <w:sz w:val="24"/>
          <w:szCs w:val="24"/>
        </w:rPr>
        <w:t xml:space="preserve">  </w:t>
      </w:r>
      <w:r w:rsidRPr="008415CE" w:rsidR="00667513">
        <w:rPr>
          <w:sz w:val="24"/>
          <w:szCs w:val="24"/>
        </w:rPr>
        <w:t>The information required to be reported pursuant to an FFA regulation includes one or more of the following categories:</w:t>
      </w:r>
      <w:r w:rsidRPr="009F0DC1" w:rsidR="00FD6F34">
        <w:rPr>
          <w:sz w:val="24"/>
        </w:rPr>
        <w:t xml:space="preserve"> </w:t>
      </w:r>
      <w:r w:rsidRPr="00667513" w:rsidR="00667513">
        <w:rPr>
          <w:sz w:val="24"/>
        </w:rPr>
        <w:t>(i) checks or drafts; (ii) transmittal orders; (iii) loans; (iv) commercial paper; (v) stocks; (vi) bonds; and (vii) certificates of deposit.  Although FFA requests may include any of these types of transactions, in general, over the past three years, FinCEN has only made requests associated with funds transfers.</w:t>
      </w:r>
      <w:r w:rsidR="00667513">
        <w:rPr>
          <w:sz w:val="24"/>
        </w:rPr>
        <w:t xml:space="preserve"> </w:t>
      </w:r>
      <w:r w:rsidRPr="00311296" w:rsidR="00FD6F34">
        <w:rPr>
          <w:sz w:val="24"/>
        </w:rPr>
        <w:t xml:space="preserve">No special accounting or legal skills </w:t>
      </w:r>
      <w:r w:rsidR="00FD6F34">
        <w:rPr>
          <w:sz w:val="24"/>
        </w:rPr>
        <w:t xml:space="preserve">are </w:t>
      </w:r>
      <w:r w:rsidRPr="00311296" w:rsidR="00FD6F34">
        <w:rPr>
          <w:sz w:val="24"/>
        </w:rPr>
        <w:t>necessary to</w:t>
      </w:r>
      <w:r w:rsidR="00FD6F34">
        <w:rPr>
          <w:sz w:val="24"/>
        </w:rPr>
        <w:t xml:space="preserve"> report</w:t>
      </w:r>
      <w:r w:rsidRPr="00311296" w:rsidR="00FD6F34">
        <w:rPr>
          <w:sz w:val="24"/>
        </w:rPr>
        <w:t xml:space="preserve"> the basic informa</w:t>
      </w:r>
      <w:r w:rsidR="00FD6F34">
        <w:rPr>
          <w:sz w:val="24"/>
        </w:rPr>
        <w:t>tion required.</w:t>
      </w:r>
    </w:p>
    <w:p w:rsidRPr="008415CE" w:rsidR="00D17D57" w:rsidP="008415CE" w:rsidRDefault="00D17D57" w14:paraId="2808CDCD" w14:textId="62207F34">
      <w:pPr>
        <w:pStyle w:val="BodyText"/>
        <w:tabs>
          <w:tab w:val="left" w:pos="376"/>
        </w:tabs>
        <w:ind w:left="0"/>
        <w:rPr>
          <w:sz w:val="24"/>
        </w:rPr>
      </w:pPr>
    </w:p>
    <w:p w:rsidRPr="009610E2" w:rsidR="00D17D57" w:rsidP="009610E2" w:rsidRDefault="009426DC" w14:paraId="37AEFF85" w14:textId="4B2FC55C">
      <w:pPr>
        <w:pStyle w:val="BodyText"/>
        <w:tabs>
          <w:tab w:val="left" w:pos="472"/>
        </w:tabs>
        <w:ind w:left="0"/>
        <w:rPr>
          <w:rFonts w:cs="Times New Roman"/>
          <w:sz w:val="24"/>
          <w:szCs w:val="24"/>
          <w:u w:val="single"/>
        </w:rPr>
      </w:pPr>
      <w:r w:rsidRPr="009610E2">
        <w:rPr>
          <w:rFonts w:cs="Times New Roman"/>
          <w:color w:val="2B2A28"/>
          <w:sz w:val="24"/>
          <w:szCs w:val="24"/>
        </w:rPr>
        <w:t xml:space="preserve">6. </w:t>
      </w:r>
      <w:r w:rsidRPr="009610E2" w:rsidR="00046F42">
        <w:rPr>
          <w:rFonts w:cs="Times New Roman"/>
          <w:sz w:val="24"/>
          <w:szCs w:val="24"/>
          <w:u w:val="single"/>
        </w:rPr>
        <w:t>Consequences to the Federal government of not collecting the information.</w:t>
      </w:r>
    </w:p>
    <w:p w:rsidRPr="00046F42" w:rsidR="00D17D57" w:rsidP="00DA4035" w:rsidRDefault="00D17D57" w14:paraId="4F8D64B6" w14:textId="77777777">
      <w:pPr>
        <w:spacing w:before="7"/>
        <w:rPr>
          <w:rFonts w:ascii="Times New Roman" w:hAnsi="Times New Roman" w:eastAsia="Times New Roman" w:cs="Times New Roman"/>
          <w:sz w:val="24"/>
          <w:szCs w:val="24"/>
        </w:rPr>
      </w:pPr>
    </w:p>
    <w:p w:rsidRPr="00A00DEB" w:rsidR="00D17D57" w:rsidP="00A00DEB" w:rsidRDefault="00E74852" w14:paraId="7E5D7A52" w14:textId="1E04F6AD">
      <w:pPr>
        <w:pStyle w:val="BodyText"/>
        <w:spacing w:after="120"/>
        <w:ind w:left="0" w:firstLine="720"/>
        <w:rPr>
          <w:rFonts w:cs="Times New Roman"/>
          <w:color w:val="2B2A28"/>
          <w:sz w:val="24"/>
          <w:szCs w:val="24"/>
        </w:rPr>
      </w:pPr>
      <w:r>
        <w:rPr>
          <w:rFonts w:cs="Times New Roman"/>
          <w:sz w:val="24"/>
          <w:szCs w:val="24"/>
        </w:rPr>
        <w:t>A</w:t>
      </w:r>
      <w:r w:rsidRPr="000A263A" w:rsidR="00B2443A">
        <w:rPr>
          <w:rFonts w:cs="Times New Roman"/>
          <w:sz w:val="24"/>
          <w:szCs w:val="24"/>
        </w:rPr>
        <w:t xml:space="preserve"> failure to collect this information could hamper FinCEN and law enforcement efforts to detect and deter illegal activity while it is still ongoing and discernible. The timely reporting of this information provides law enforcement with important investigative leads in order to take appropriat</w:t>
      </w:r>
      <w:r w:rsidRPr="00213B35" w:rsidR="00B2443A">
        <w:rPr>
          <w:rFonts w:cs="Times New Roman"/>
          <w:sz w:val="24"/>
          <w:szCs w:val="24"/>
        </w:rPr>
        <w:t>e action, including tracing criminal proceeds, gathering additional evidence, seizing funds, and stopping the movem</w:t>
      </w:r>
      <w:r w:rsidRPr="00951FEF" w:rsidR="00B2443A">
        <w:rPr>
          <w:rFonts w:cs="Times New Roman"/>
          <w:sz w:val="24"/>
          <w:szCs w:val="24"/>
        </w:rPr>
        <w:t>ent of funds before criminal elements can change their schemes for disposing of the profits of illegal activity.</w:t>
      </w:r>
    </w:p>
    <w:p w:rsidRPr="00A00DEB" w:rsidR="00B2443A" w:rsidP="00A00DEB" w:rsidRDefault="00B2443A" w14:paraId="632AA4AE" w14:textId="77777777">
      <w:pPr>
        <w:pStyle w:val="BodyText"/>
        <w:ind w:left="0" w:right="445"/>
        <w:rPr>
          <w:rFonts w:cs="Times New Roman"/>
          <w:sz w:val="24"/>
          <w:szCs w:val="24"/>
        </w:rPr>
      </w:pPr>
    </w:p>
    <w:p w:rsidRPr="009610E2" w:rsidR="002E2037" w:rsidP="009610E2" w:rsidRDefault="009426DC" w14:paraId="75FCA204" w14:textId="0AFFED89">
      <w:pPr>
        <w:pStyle w:val="BodyText"/>
        <w:tabs>
          <w:tab w:val="left" w:pos="457"/>
        </w:tabs>
        <w:ind w:left="0"/>
        <w:rPr>
          <w:rFonts w:cs="Times New Roman"/>
          <w:sz w:val="24"/>
          <w:szCs w:val="24"/>
          <w:u w:val="single"/>
        </w:rPr>
      </w:pPr>
      <w:r w:rsidRPr="009610E2">
        <w:rPr>
          <w:rFonts w:cs="Times New Roman"/>
          <w:color w:val="2B2A28"/>
          <w:sz w:val="24"/>
          <w:szCs w:val="24"/>
        </w:rPr>
        <w:t xml:space="preserve">7. </w:t>
      </w:r>
      <w:r w:rsidRPr="009610E2">
        <w:rPr>
          <w:rFonts w:cs="Times New Roman"/>
          <w:sz w:val="24"/>
          <w:szCs w:val="24"/>
          <w:u w:val="single"/>
        </w:rPr>
        <w:t>Special circumstances requiring data collection inconsistent with guidelines.</w:t>
      </w:r>
      <w:r w:rsidRPr="009610E2" w:rsidR="00CD22D4">
        <w:rPr>
          <w:rFonts w:cs="Times New Roman"/>
          <w:color w:val="2B2A28"/>
          <w:w w:val="101"/>
          <w:sz w:val="24"/>
          <w:szCs w:val="24"/>
          <w:u w:val="single"/>
        </w:rPr>
        <w:t xml:space="preserve"> </w:t>
      </w:r>
    </w:p>
    <w:p w:rsidRPr="00A00DEB" w:rsidR="002E2037" w:rsidP="002E2037" w:rsidRDefault="002E2037" w14:paraId="77E0687D" w14:textId="77777777">
      <w:pPr>
        <w:pStyle w:val="BodyText"/>
        <w:tabs>
          <w:tab w:val="left" w:pos="457"/>
        </w:tabs>
        <w:spacing w:before="48"/>
        <w:ind w:left="910" w:right="445"/>
        <w:jc w:val="center"/>
        <w:rPr>
          <w:rFonts w:cs="Times New Roman"/>
          <w:sz w:val="24"/>
          <w:szCs w:val="24"/>
        </w:rPr>
      </w:pPr>
      <w:r w:rsidRPr="00A00DEB">
        <w:rPr>
          <w:rFonts w:cs="Times New Roman"/>
          <w:color w:val="2B2A28"/>
          <w:w w:val="101"/>
          <w:sz w:val="24"/>
          <w:szCs w:val="24"/>
        </w:rPr>
        <w:t xml:space="preserve"> </w:t>
      </w:r>
    </w:p>
    <w:p w:rsidR="00C42992" w:rsidP="00D85F30" w:rsidRDefault="00C42992" w14:paraId="7715791F" w14:textId="55309BE8">
      <w:pPr>
        <w:pStyle w:val="CommentText"/>
        <w:ind w:firstLine="720"/>
        <w:rPr>
          <w:w w:val="101"/>
        </w:rPr>
      </w:pPr>
      <w:r w:rsidRPr="00C42992">
        <w:rPr>
          <w:rFonts w:ascii="Times New Roman" w:hAnsi="Times New Roman" w:eastAsia="Times New Roman" w:cs="Times New Roman"/>
          <w:sz w:val="24"/>
          <w:szCs w:val="4"/>
        </w:rPr>
        <w:t>Pursuant to</w:t>
      </w:r>
      <w:r w:rsidRPr="00C42992">
        <w:rPr>
          <w:rFonts w:ascii="Times New Roman" w:hAnsi="Times New Roman" w:eastAsia="Times New Roman" w:cs="Times New Roman"/>
          <w:sz w:val="24"/>
          <w:szCs w:val="24"/>
        </w:rPr>
        <w:t xml:space="preserve"> 31 CFR 1010.430(d), </w:t>
      </w:r>
      <w:r w:rsidRPr="00C42992">
        <w:rPr>
          <w:rFonts w:ascii="Times New Roman" w:hAnsi="Times New Roman" w:eastAsia="Times New Roman" w:cs="Times New Roman"/>
          <w:sz w:val="24"/>
          <w:szCs w:val="24"/>
          <w:lang w:val="en"/>
        </w:rPr>
        <w:t xml:space="preserve">all records that are required to be retained by 31 CFR Chapter X must be retained for a period of five years. The five year retention period ensures that law enforcement </w:t>
      </w:r>
      <w:r w:rsidR="00E74852">
        <w:rPr>
          <w:rFonts w:ascii="Times New Roman" w:hAnsi="Times New Roman" w:eastAsia="Times New Roman" w:cs="Times New Roman"/>
          <w:sz w:val="24"/>
          <w:szCs w:val="24"/>
          <w:lang w:val="en"/>
        </w:rPr>
        <w:t xml:space="preserve">and other appropriate government agencies </w:t>
      </w:r>
      <w:r w:rsidRPr="00C42992">
        <w:rPr>
          <w:rFonts w:ascii="Times New Roman" w:hAnsi="Times New Roman" w:eastAsia="Times New Roman" w:cs="Times New Roman"/>
          <w:sz w:val="24"/>
          <w:szCs w:val="24"/>
          <w:lang w:val="en"/>
        </w:rPr>
        <w:t xml:space="preserve">will have access to records for a reasonable period of time and allows for verification of </w:t>
      </w:r>
      <w:r w:rsidRPr="00C42992">
        <w:rPr>
          <w:rFonts w:ascii="Times New Roman" w:hAnsi="Times New Roman" w:eastAsia="Times New Roman" w:cs="Times New Roman"/>
          <w:sz w:val="24"/>
          <w:szCs w:val="24"/>
        </w:rPr>
        <w:t>compliance with specific requirements.</w:t>
      </w:r>
      <w:r w:rsidR="00AE687A">
        <w:rPr>
          <w:rFonts w:ascii="Times New Roman" w:hAnsi="Times New Roman" w:eastAsia="Times New Roman" w:cs="Times New Roman"/>
          <w:sz w:val="24"/>
          <w:szCs w:val="24"/>
        </w:rPr>
        <w:t xml:space="preserve">  </w:t>
      </w:r>
      <w:r w:rsidRPr="00AE687A" w:rsidR="00AE687A">
        <w:rPr>
          <w:rFonts w:ascii="Times New Roman" w:hAnsi="Times New Roman" w:cs="Times New Roman"/>
          <w:iCs/>
          <w:sz w:val="24"/>
          <w:szCs w:val="24"/>
        </w:rPr>
        <w:t xml:space="preserve">FinCEN may require </w:t>
      </w:r>
      <w:r w:rsidR="00E362ED">
        <w:rPr>
          <w:rFonts w:ascii="Times New Roman" w:hAnsi="Times New Roman" w:cs="Times New Roman"/>
          <w:iCs/>
          <w:sz w:val="24"/>
          <w:szCs w:val="24"/>
        </w:rPr>
        <w:t xml:space="preserve">financial institutions to </w:t>
      </w:r>
      <w:r w:rsidRPr="00AE687A" w:rsidR="00AE687A">
        <w:rPr>
          <w:rFonts w:ascii="Times New Roman" w:hAnsi="Times New Roman" w:cs="Times New Roman"/>
          <w:iCs/>
          <w:sz w:val="24"/>
          <w:szCs w:val="24"/>
        </w:rPr>
        <w:t>report</w:t>
      </w:r>
      <w:r w:rsidR="00E362ED">
        <w:rPr>
          <w:rFonts w:ascii="Times New Roman" w:hAnsi="Times New Roman" w:cs="Times New Roman"/>
          <w:iCs/>
          <w:sz w:val="24"/>
          <w:szCs w:val="24"/>
        </w:rPr>
        <w:t xml:space="preserve"> FFA data </w:t>
      </w:r>
      <w:r w:rsidRPr="00AE687A" w:rsidR="00AE687A">
        <w:rPr>
          <w:rFonts w:ascii="Times New Roman" w:hAnsi="Times New Roman" w:cs="Times New Roman"/>
          <w:iCs/>
          <w:sz w:val="24"/>
          <w:szCs w:val="24"/>
        </w:rPr>
        <w:t>more frequently than quarterly depending on the circumstance</w:t>
      </w:r>
      <w:r w:rsidR="00190B62">
        <w:rPr>
          <w:rFonts w:ascii="Times New Roman" w:hAnsi="Times New Roman" w:cs="Times New Roman"/>
          <w:iCs/>
          <w:sz w:val="24"/>
          <w:szCs w:val="24"/>
        </w:rPr>
        <w:t>s,</w:t>
      </w:r>
      <w:r w:rsidRPr="00AE687A" w:rsidR="00AE687A">
        <w:rPr>
          <w:rFonts w:ascii="Times New Roman" w:hAnsi="Times New Roman" w:cs="Times New Roman"/>
          <w:iCs/>
          <w:sz w:val="24"/>
          <w:szCs w:val="24"/>
        </w:rPr>
        <w:t xml:space="preserve"> to enable law enforcement to take appropriate investigative action and for FinCEN and other </w:t>
      </w:r>
      <w:r w:rsidR="00AE687A">
        <w:rPr>
          <w:rFonts w:ascii="Times New Roman" w:hAnsi="Times New Roman" w:cs="Times New Roman"/>
          <w:iCs/>
          <w:sz w:val="24"/>
          <w:szCs w:val="24"/>
        </w:rPr>
        <w:t xml:space="preserve">government </w:t>
      </w:r>
      <w:r w:rsidRPr="00AE687A" w:rsidR="00AE687A">
        <w:rPr>
          <w:rFonts w:ascii="Times New Roman" w:hAnsi="Times New Roman" w:cs="Times New Roman"/>
          <w:iCs/>
          <w:sz w:val="24"/>
          <w:szCs w:val="24"/>
        </w:rPr>
        <w:t>agencies to analyze the data in a timely manner to support appropriate follow-on actions.</w:t>
      </w:r>
    </w:p>
    <w:p w:rsidRPr="00046F42" w:rsidR="00D17D57" w:rsidP="00DA4035" w:rsidRDefault="00D17D57" w14:paraId="2C87C366" w14:textId="77777777">
      <w:pPr>
        <w:spacing w:before="10"/>
        <w:rPr>
          <w:rFonts w:ascii="Times New Roman" w:hAnsi="Times New Roman" w:eastAsia="Times New Roman" w:cs="Times New Roman"/>
          <w:sz w:val="24"/>
          <w:szCs w:val="24"/>
        </w:rPr>
      </w:pPr>
    </w:p>
    <w:p w:rsidRPr="009610E2" w:rsidR="00D17D57" w:rsidP="009610E2" w:rsidRDefault="009426DC" w14:paraId="6F5FE30A" w14:textId="310724B0">
      <w:pPr>
        <w:pStyle w:val="BodyText"/>
        <w:tabs>
          <w:tab w:val="left" w:pos="436"/>
        </w:tabs>
        <w:ind w:left="0"/>
        <w:rPr>
          <w:rFonts w:cs="Times New Roman"/>
          <w:sz w:val="24"/>
          <w:szCs w:val="24"/>
        </w:rPr>
      </w:pPr>
      <w:r w:rsidRPr="009610E2">
        <w:rPr>
          <w:rFonts w:cs="Times New Roman"/>
          <w:color w:val="2B2A28"/>
          <w:sz w:val="24"/>
          <w:szCs w:val="24"/>
        </w:rPr>
        <w:t xml:space="preserve">8. </w:t>
      </w:r>
      <w:r w:rsidRPr="009610E2">
        <w:rPr>
          <w:rFonts w:cs="Times New Roman"/>
          <w:sz w:val="24"/>
          <w:szCs w:val="24"/>
          <w:u w:val="single"/>
        </w:rPr>
        <w:t>Consultation with individuals outside of the agency on availability of data, frequency of collection, clarity of instructions and forms, and data elements.</w:t>
      </w:r>
    </w:p>
    <w:p w:rsidRPr="009610E2" w:rsidR="00D17D57" w:rsidP="00DA4035" w:rsidRDefault="00D17D57" w14:paraId="4C95DF4F" w14:textId="77777777">
      <w:pPr>
        <w:spacing w:before="2"/>
        <w:rPr>
          <w:rFonts w:ascii="Times New Roman" w:hAnsi="Times New Roman" w:eastAsia="Times New Roman" w:cs="Times New Roman"/>
          <w:sz w:val="24"/>
          <w:szCs w:val="24"/>
        </w:rPr>
      </w:pPr>
    </w:p>
    <w:p w:rsidR="00C42992" w:rsidP="00D12F66" w:rsidRDefault="00C42992" w14:paraId="2CA4AA19" w14:textId="6DCB96ED">
      <w:pPr>
        <w:ind w:firstLine="720"/>
        <w:rPr>
          <w:rFonts w:ascii="Times New Roman" w:hAnsi="Times New Roman" w:eastAsia="Times New Roman" w:cs="Times New Roman"/>
          <w:sz w:val="24"/>
          <w:szCs w:val="24"/>
        </w:rPr>
      </w:pPr>
      <w:r w:rsidRPr="00C42992">
        <w:rPr>
          <w:rFonts w:ascii="Times New Roman" w:hAnsi="Times New Roman" w:eastAsia="Times New Roman" w:cs="Times New Roman"/>
          <w:sz w:val="24"/>
          <w:szCs w:val="24"/>
        </w:rPr>
        <w:t xml:space="preserve">The 60-day </w:t>
      </w:r>
      <w:r w:rsidR="00D67F58">
        <w:rPr>
          <w:rFonts w:ascii="Times New Roman" w:hAnsi="Times New Roman" w:eastAsia="Times New Roman" w:cs="Times New Roman"/>
          <w:sz w:val="24"/>
          <w:szCs w:val="24"/>
        </w:rPr>
        <w:t>notice was published on January 11, 2022</w:t>
      </w:r>
      <w:r w:rsidRPr="00C42992">
        <w:rPr>
          <w:rFonts w:ascii="Times New Roman" w:hAnsi="Times New Roman" w:eastAsia="Times New Roman" w:cs="Times New Roman"/>
          <w:sz w:val="24"/>
          <w:szCs w:val="24"/>
        </w:rPr>
        <w:t>.</w:t>
      </w:r>
      <w:r w:rsidRPr="00C42992">
        <w:rPr>
          <w:rFonts w:ascii="Times New Roman" w:hAnsi="Times New Roman" w:eastAsia="Times New Roman" w:cs="Times New Roman"/>
          <w:sz w:val="24"/>
          <w:szCs w:val="24"/>
          <w:vertAlign w:val="superscript"/>
        </w:rPr>
        <w:footnoteReference w:id="7"/>
      </w:r>
      <w:r w:rsidR="004A777A">
        <w:rPr>
          <w:rFonts w:ascii="Times New Roman" w:hAnsi="Times New Roman" w:eastAsia="Times New Roman" w:cs="Times New Roman"/>
          <w:sz w:val="24"/>
          <w:szCs w:val="24"/>
        </w:rPr>
        <w:t xml:space="preserve">  </w:t>
      </w:r>
      <w:r w:rsidRPr="008A62BD" w:rsidR="008A62BD">
        <w:rPr>
          <w:rFonts w:ascii="Times New Roman" w:hAnsi="Times New Roman" w:eastAsia="Times New Roman" w:cs="Times New Roman"/>
          <w:sz w:val="24"/>
          <w:szCs w:val="24"/>
        </w:rPr>
        <w:t>The notice requested public comments on the propo</w:t>
      </w:r>
      <w:r w:rsidR="008A62BD">
        <w:rPr>
          <w:rFonts w:ascii="Times New Roman" w:hAnsi="Times New Roman" w:eastAsia="Times New Roman" w:cs="Times New Roman"/>
          <w:sz w:val="24"/>
          <w:szCs w:val="24"/>
        </w:rPr>
        <w:t xml:space="preserve">sed renewal, without change, </w:t>
      </w:r>
      <w:r w:rsidRPr="0055451C" w:rsidR="008A62BD">
        <w:rPr>
          <w:rFonts w:ascii="Times New Roman" w:hAnsi="Times New Roman"/>
          <w:sz w:val="24"/>
        </w:rPr>
        <w:t>of currently approved information</w:t>
      </w:r>
      <w:r w:rsidR="008A62BD">
        <w:rPr>
          <w:rFonts w:ascii="Times New Roman" w:hAnsi="Times New Roman"/>
          <w:sz w:val="24"/>
        </w:rPr>
        <w:t xml:space="preserve"> collections relating</w:t>
      </w:r>
      <w:r w:rsidRPr="008A62BD" w:rsidR="008A62BD">
        <w:rPr>
          <w:rFonts w:ascii="Times New Roman" w:hAnsi="Times New Roman" w:eastAsia="Times New Roman" w:cs="Times New Roman"/>
          <w:sz w:val="24"/>
          <w:szCs w:val="24"/>
        </w:rPr>
        <w:t xml:space="preserve"> </w:t>
      </w:r>
      <w:r w:rsidR="008A62BD">
        <w:rPr>
          <w:rFonts w:ascii="Times New Roman" w:hAnsi="Times New Roman" w:eastAsia="Times New Roman" w:cs="Times New Roman"/>
          <w:sz w:val="24"/>
          <w:szCs w:val="24"/>
        </w:rPr>
        <w:t xml:space="preserve">to </w:t>
      </w:r>
      <w:r w:rsidR="00C43139">
        <w:rPr>
          <w:rFonts w:ascii="Times New Roman" w:hAnsi="Times New Roman" w:eastAsia="Times New Roman" w:cs="Times New Roman"/>
          <w:sz w:val="24"/>
          <w:szCs w:val="24"/>
        </w:rPr>
        <w:t xml:space="preserve">regulations </w:t>
      </w:r>
      <w:r w:rsidRPr="00D751F1" w:rsidR="00C43139">
        <w:rPr>
          <w:rFonts w:ascii="Times New Roman" w:hAnsi="Times New Roman" w:cs="Times New Roman"/>
          <w:color w:val="000000"/>
          <w:sz w:val="24"/>
          <w:szCs w:val="24"/>
        </w:rPr>
        <w:t>requiring specified financial institutions to file reports of certain transactions with designated FFAs</w:t>
      </w:r>
      <w:r w:rsidR="008A62BD">
        <w:rPr>
          <w:rFonts w:ascii="Times New Roman" w:hAnsi="Times New Roman" w:eastAsia="Times New Roman" w:cs="Times New Roman"/>
          <w:sz w:val="24"/>
          <w:szCs w:val="24"/>
        </w:rPr>
        <w:t xml:space="preserve">. </w:t>
      </w:r>
      <w:r w:rsidR="004A777A">
        <w:rPr>
          <w:rFonts w:ascii="Times New Roman" w:hAnsi="Times New Roman" w:eastAsia="Times New Roman" w:cs="Times New Roman"/>
          <w:sz w:val="24"/>
          <w:szCs w:val="24"/>
        </w:rPr>
        <w:t xml:space="preserve"> </w:t>
      </w:r>
      <w:r w:rsidR="00190B62">
        <w:rPr>
          <w:rFonts w:ascii="Times New Roman" w:hAnsi="Times New Roman" w:eastAsia="Times New Roman" w:cs="Times New Roman"/>
          <w:sz w:val="24"/>
          <w:szCs w:val="24"/>
        </w:rPr>
        <w:t>I</w:t>
      </w:r>
      <w:r w:rsidRPr="008A62BD" w:rsidR="00190B62">
        <w:rPr>
          <w:rFonts w:ascii="Times New Roman" w:hAnsi="Times New Roman" w:eastAsia="Times New Roman" w:cs="Times New Roman"/>
          <w:sz w:val="24"/>
          <w:szCs w:val="24"/>
        </w:rPr>
        <w:t>n response to the notice</w:t>
      </w:r>
      <w:r w:rsidR="00190B62">
        <w:rPr>
          <w:rFonts w:ascii="Times New Roman" w:hAnsi="Times New Roman" w:eastAsia="Times New Roman" w:cs="Times New Roman"/>
          <w:sz w:val="24"/>
          <w:szCs w:val="24"/>
        </w:rPr>
        <w:t xml:space="preserve">, </w:t>
      </w:r>
      <w:r w:rsidR="008A62BD">
        <w:rPr>
          <w:rFonts w:ascii="Times New Roman" w:hAnsi="Times New Roman" w:eastAsia="Times New Roman" w:cs="Times New Roman"/>
          <w:sz w:val="24"/>
          <w:szCs w:val="24"/>
        </w:rPr>
        <w:t>FinCEN received</w:t>
      </w:r>
      <w:r w:rsidR="00B1380E">
        <w:rPr>
          <w:rFonts w:ascii="Times New Roman" w:hAnsi="Times New Roman" w:eastAsia="Times New Roman" w:cs="Times New Roman"/>
          <w:sz w:val="24"/>
          <w:szCs w:val="24"/>
        </w:rPr>
        <w:t xml:space="preserve"> on</w:t>
      </w:r>
      <w:r w:rsidR="00A00DEB">
        <w:rPr>
          <w:rFonts w:ascii="Times New Roman" w:hAnsi="Times New Roman" w:eastAsia="Times New Roman" w:cs="Times New Roman"/>
          <w:sz w:val="24"/>
          <w:szCs w:val="24"/>
        </w:rPr>
        <w:t>e</w:t>
      </w:r>
      <w:r w:rsidR="00730468">
        <w:rPr>
          <w:rFonts w:ascii="Times New Roman" w:hAnsi="Times New Roman" w:eastAsia="Times New Roman" w:cs="Times New Roman"/>
          <w:sz w:val="24"/>
          <w:szCs w:val="24"/>
        </w:rPr>
        <w:t xml:space="preserve"> </w:t>
      </w:r>
      <w:r w:rsidR="00A00DEB">
        <w:rPr>
          <w:rFonts w:ascii="Times New Roman" w:hAnsi="Times New Roman" w:eastAsia="Times New Roman" w:cs="Times New Roman"/>
          <w:sz w:val="24"/>
          <w:szCs w:val="24"/>
        </w:rPr>
        <w:t xml:space="preserve">relevant </w:t>
      </w:r>
      <w:r w:rsidRPr="008A62BD" w:rsidR="008A62BD">
        <w:rPr>
          <w:rFonts w:ascii="Times New Roman" w:hAnsi="Times New Roman" w:eastAsia="Times New Roman" w:cs="Times New Roman"/>
          <w:sz w:val="24"/>
          <w:szCs w:val="24"/>
        </w:rPr>
        <w:t>commen</w:t>
      </w:r>
      <w:r w:rsidR="005636CF">
        <w:rPr>
          <w:rFonts w:ascii="Times New Roman" w:hAnsi="Times New Roman" w:eastAsia="Times New Roman" w:cs="Times New Roman"/>
          <w:sz w:val="24"/>
          <w:szCs w:val="24"/>
        </w:rPr>
        <w:t>t</w:t>
      </w:r>
      <w:r w:rsidR="00C43139">
        <w:rPr>
          <w:rFonts w:ascii="Times New Roman" w:hAnsi="Times New Roman" w:eastAsia="Times New Roman" w:cs="Times New Roman"/>
          <w:sz w:val="24"/>
          <w:szCs w:val="24"/>
        </w:rPr>
        <w:t xml:space="preserve"> from </w:t>
      </w:r>
      <w:r w:rsidRPr="00C43139" w:rsidR="00C43139">
        <w:rPr>
          <w:rFonts w:ascii="Times New Roman" w:hAnsi="Times New Roman" w:cs="Times New Roman"/>
          <w:sz w:val="24"/>
          <w:szCs w:val="24"/>
        </w:rPr>
        <w:t>a policy, research and advocacy institute</w:t>
      </w:r>
      <w:r w:rsidRPr="008A62BD" w:rsidR="008A62BD">
        <w:rPr>
          <w:rFonts w:ascii="Times New Roman" w:hAnsi="Times New Roman" w:eastAsia="Times New Roman" w:cs="Times New Roman"/>
          <w:sz w:val="24"/>
          <w:szCs w:val="24"/>
        </w:rPr>
        <w:t>.</w:t>
      </w:r>
      <w:r w:rsidR="00D309D1">
        <w:rPr>
          <w:rFonts w:ascii="Times New Roman" w:hAnsi="Times New Roman" w:eastAsia="Times New Roman" w:cs="Times New Roman"/>
          <w:sz w:val="24"/>
          <w:szCs w:val="24"/>
        </w:rPr>
        <w:t xml:space="preserve"> </w:t>
      </w:r>
    </w:p>
    <w:p w:rsidR="00D309D1" w:rsidP="00D12F66" w:rsidRDefault="00D309D1" w14:paraId="26F129DC" w14:textId="033C706B">
      <w:pPr>
        <w:ind w:firstLine="720"/>
        <w:rPr>
          <w:rFonts w:ascii="Times New Roman" w:hAnsi="Times New Roman" w:eastAsia="Times New Roman" w:cs="Times New Roman"/>
          <w:sz w:val="24"/>
          <w:szCs w:val="24"/>
        </w:rPr>
      </w:pPr>
    </w:p>
    <w:p w:rsidR="00D309D1" w:rsidP="00D12F66" w:rsidRDefault="00D309D1" w14:paraId="40B16F0B" w14:textId="4862CD0D">
      <w:pPr>
        <w:ind w:firstLine="720"/>
        <w:rPr>
          <w:rFonts w:ascii="Times New Roman" w:hAnsi="Times New Roman" w:eastAsia="Times New Roman" w:cs="Times New Roman"/>
          <w:sz w:val="24"/>
          <w:szCs w:val="24"/>
        </w:rPr>
      </w:pPr>
      <w:r>
        <w:rPr>
          <w:rFonts w:ascii="Times New Roman" w:hAnsi="Times New Roman" w:eastAsia="Times New Roman" w:cs="Times New Roman"/>
          <w:sz w:val="24"/>
          <w:szCs w:val="24"/>
        </w:rPr>
        <w:t>The c</w:t>
      </w:r>
      <w:r w:rsidR="00490D11">
        <w:rPr>
          <w:rFonts w:ascii="Times New Roman" w:hAnsi="Times New Roman" w:eastAsia="Times New Roman" w:cs="Times New Roman"/>
          <w:sz w:val="24"/>
          <w:szCs w:val="24"/>
        </w:rPr>
        <w:t xml:space="preserve">ommenter commended FinCEN for its focus on more accurately estimating burden associated with the FFA reporting requirements.  The </w:t>
      </w:r>
      <w:r w:rsidR="004A777A">
        <w:rPr>
          <w:rFonts w:ascii="Times New Roman" w:hAnsi="Times New Roman" w:eastAsia="Times New Roman" w:cs="Times New Roman"/>
          <w:sz w:val="24"/>
          <w:szCs w:val="24"/>
        </w:rPr>
        <w:t>commenter</w:t>
      </w:r>
      <w:r w:rsidR="00490D11">
        <w:rPr>
          <w:rFonts w:ascii="Times New Roman" w:hAnsi="Times New Roman" w:eastAsia="Times New Roman" w:cs="Times New Roman"/>
          <w:sz w:val="24"/>
          <w:szCs w:val="24"/>
        </w:rPr>
        <w:t xml:space="preserve"> shared information provided by </w:t>
      </w:r>
      <w:r w:rsidR="004A777A">
        <w:rPr>
          <w:rFonts w:ascii="Times New Roman" w:hAnsi="Times New Roman" w:eastAsia="Times New Roman" w:cs="Times New Roman"/>
          <w:sz w:val="24"/>
          <w:szCs w:val="24"/>
        </w:rPr>
        <w:t>its</w:t>
      </w:r>
      <w:r w:rsidR="00490D11">
        <w:rPr>
          <w:rFonts w:ascii="Times New Roman" w:hAnsi="Times New Roman" w:eastAsia="Times New Roman" w:cs="Times New Roman"/>
          <w:sz w:val="24"/>
          <w:szCs w:val="24"/>
        </w:rPr>
        <w:t xml:space="preserve"> members on hours invested and resources devoted to FFA requests.  </w:t>
      </w:r>
    </w:p>
    <w:p w:rsidR="00490D11" w:rsidP="00D12F66" w:rsidRDefault="00490D11" w14:paraId="0F6D7D98" w14:textId="7677E531">
      <w:pPr>
        <w:ind w:firstLine="720"/>
        <w:rPr>
          <w:rFonts w:ascii="Times New Roman" w:hAnsi="Times New Roman" w:eastAsia="Times New Roman" w:cs="Times New Roman"/>
          <w:sz w:val="24"/>
          <w:szCs w:val="24"/>
        </w:rPr>
      </w:pPr>
    </w:p>
    <w:p w:rsidR="00490D11" w:rsidP="00D12F66" w:rsidRDefault="00490D11" w14:paraId="70A072BF" w14:textId="51F95872">
      <w:pPr>
        <w:ind w:firstLine="720"/>
        <w:rPr>
          <w:rFonts w:ascii="Times New Roman" w:hAnsi="Times New Roman" w:eastAsia="Times New Roman" w:cs="Times New Roman"/>
          <w:sz w:val="24"/>
          <w:szCs w:val="24"/>
        </w:rPr>
      </w:pPr>
      <w:r>
        <w:rPr>
          <w:rFonts w:ascii="Times New Roman" w:hAnsi="Times New Roman" w:eastAsia="Times New Roman" w:cs="Times New Roman"/>
          <w:sz w:val="24"/>
          <w:szCs w:val="24"/>
        </w:rPr>
        <w:t>The commenter noted that it recognizes the value of these reports to law enforcement</w:t>
      </w:r>
      <w:r w:rsidR="00FA675E">
        <w:rPr>
          <w:rFonts w:ascii="Times New Roman" w:hAnsi="Times New Roman" w:eastAsia="Times New Roman" w:cs="Times New Roman"/>
          <w:sz w:val="24"/>
          <w:szCs w:val="24"/>
        </w:rPr>
        <w:t>, and suggested</w:t>
      </w:r>
      <w:r>
        <w:rPr>
          <w:rFonts w:ascii="Times New Roman" w:hAnsi="Times New Roman" w:eastAsia="Times New Roman" w:cs="Times New Roman"/>
          <w:sz w:val="24"/>
          <w:szCs w:val="24"/>
        </w:rPr>
        <w:t xml:space="preserve"> that institutions could provide more substantial and useful information to FFA investigations if </w:t>
      </w:r>
      <w:r w:rsidR="00FA675E">
        <w:rPr>
          <w:rFonts w:ascii="Times New Roman" w:hAnsi="Times New Roman" w:eastAsia="Times New Roman" w:cs="Times New Roman"/>
          <w:sz w:val="24"/>
          <w:szCs w:val="24"/>
        </w:rPr>
        <w:t xml:space="preserve">FinCEN could provide additional information on the rationale for an FFA request.  The commenter also recommended that FinCEN consider </w:t>
      </w:r>
      <w:r w:rsidR="00D95ACD">
        <w:rPr>
          <w:rFonts w:ascii="Times New Roman" w:hAnsi="Times New Roman" w:eastAsia="Times New Roman" w:cs="Times New Roman"/>
          <w:sz w:val="24"/>
          <w:szCs w:val="24"/>
        </w:rPr>
        <w:t xml:space="preserve">ways to </w:t>
      </w:r>
      <w:r w:rsidR="00FA675E">
        <w:rPr>
          <w:rFonts w:ascii="Times New Roman" w:hAnsi="Times New Roman" w:eastAsia="Times New Roman" w:cs="Times New Roman"/>
          <w:sz w:val="24"/>
          <w:szCs w:val="24"/>
        </w:rPr>
        <w:t>enhanc</w:t>
      </w:r>
      <w:r w:rsidR="00D95ACD">
        <w:rPr>
          <w:rFonts w:ascii="Times New Roman" w:hAnsi="Times New Roman" w:eastAsia="Times New Roman" w:cs="Times New Roman"/>
          <w:sz w:val="24"/>
          <w:szCs w:val="24"/>
        </w:rPr>
        <w:t>e</w:t>
      </w:r>
      <w:r w:rsidR="00FA675E">
        <w:rPr>
          <w:rFonts w:ascii="Times New Roman" w:hAnsi="Times New Roman" w:eastAsia="Times New Roman" w:cs="Times New Roman"/>
          <w:sz w:val="24"/>
          <w:szCs w:val="24"/>
        </w:rPr>
        <w:t xml:space="preserve"> reporting capabilities, because </w:t>
      </w:r>
      <w:r w:rsidR="004A777A">
        <w:rPr>
          <w:rFonts w:ascii="Times New Roman" w:hAnsi="Times New Roman" w:eastAsia="Times New Roman" w:cs="Times New Roman"/>
          <w:sz w:val="24"/>
          <w:szCs w:val="24"/>
        </w:rPr>
        <w:t xml:space="preserve">some </w:t>
      </w:r>
      <w:r w:rsidR="00FA675E">
        <w:rPr>
          <w:rFonts w:ascii="Times New Roman" w:hAnsi="Times New Roman" w:eastAsia="Times New Roman" w:cs="Times New Roman"/>
          <w:sz w:val="24"/>
          <w:szCs w:val="24"/>
        </w:rPr>
        <w:t>institutions indicate</w:t>
      </w:r>
      <w:r w:rsidR="004A777A">
        <w:rPr>
          <w:rFonts w:ascii="Times New Roman" w:hAnsi="Times New Roman" w:eastAsia="Times New Roman" w:cs="Times New Roman"/>
          <w:sz w:val="24"/>
          <w:szCs w:val="24"/>
        </w:rPr>
        <w:t>d</w:t>
      </w:r>
      <w:r w:rsidR="00FA675E">
        <w:rPr>
          <w:rFonts w:ascii="Times New Roman" w:hAnsi="Times New Roman" w:eastAsia="Times New Roman" w:cs="Times New Roman"/>
          <w:sz w:val="24"/>
          <w:szCs w:val="24"/>
        </w:rPr>
        <w:t xml:space="preserve"> </w:t>
      </w:r>
      <w:r w:rsidR="004A777A">
        <w:rPr>
          <w:rFonts w:ascii="Times New Roman" w:hAnsi="Times New Roman" w:eastAsia="Times New Roman" w:cs="Times New Roman"/>
          <w:sz w:val="24"/>
          <w:szCs w:val="24"/>
        </w:rPr>
        <w:t>that it is a</w:t>
      </w:r>
      <w:r w:rsidR="00FA675E">
        <w:rPr>
          <w:rFonts w:ascii="Times New Roman" w:hAnsi="Times New Roman" w:eastAsia="Times New Roman" w:cs="Times New Roman"/>
          <w:sz w:val="24"/>
          <w:szCs w:val="24"/>
        </w:rPr>
        <w:t xml:space="preserve"> substantial effort to provide the reports in a manner FinCEN can accept. </w:t>
      </w:r>
      <w:r w:rsidR="004A777A">
        <w:rPr>
          <w:rFonts w:ascii="Times New Roman" w:hAnsi="Times New Roman" w:eastAsia="Times New Roman" w:cs="Times New Roman"/>
          <w:sz w:val="24"/>
          <w:szCs w:val="24"/>
        </w:rPr>
        <w:t xml:space="preserve"> </w:t>
      </w:r>
      <w:r w:rsidR="00FA675E">
        <w:rPr>
          <w:rFonts w:ascii="Times New Roman" w:hAnsi="Times New Roman" w:eastAsia="Times New Roman" w:cs="Times New Roman"/>
          <w:sz w:val="24"/>
          <w:szCs w:val="24"/>
        </w:rPr>
        <w:t xml:space="preserve">Specifically, </w:t>
      </w:r>
      <w:r w:rsidR="004A777A">
        <w:rPr>
          <w:rFonts w:ascii="Times New Roman" w:hAnsi="Times New Roman" w:eastAsia="Times New Roman" w:cs="Times New Roman"/>
          <w:sz w:val="24"/>
          <w:szCs w:val="24"/>
        </w:rPr>
        <w:t>these institutions</w:t>
      </w:r>
      <w:r w:rsidR="00FA675E">
        <w:rPr>
          <w:rFonts w:ascii="Times New Roman" w:hAnsi="Times New Roman" w:eastAsia="Times New Roman" w:cs="Times New Roman"/>
          <w:sz w:val="24"/>
          <w:szCs w:val="24"/>
        </w:rPr>
        <w:t xml:space="preserve"> noted that FinCEN has a 100-megabyte file size limit for FFA reports</w:t>
      </w:r>
      <w:r w:rsidR="005D09B1">
        <w:rPr>
          <w:rFonts w:ascii="Times New Roman" w:hAnsi="Times New Roman" w:eastAsia="Times New Roman" w:cs="Times New Roman"/>
          <w:sz w:val="24"/>
          <w:szCs w:val="24"/>
        </w:rPr>
        <w:t xml:space="preserve">, so institutions have to devote significant time to </w:t>
      </w:r>
      <w:r w:rsidR="00D07B39">
        <w:rPr>
          <w:rFonts w:ascii="Times New Roman" w:hAnsi="Times New Roman" w:eastAsia="Times New Roman" w:cs="Times New Roman"/>
          <w:sz w:val="24"/>
          <w:szCs w:val="24"/>
        </w:rPr>
        <w:t xml:space="preserve">the activity of </w:t>
      </w:r>
      <w:r w:rsidR="005D09B1">
        <w:rPr>
          <w:rFonts w:ascii="Times New Roman" w:hAnsi="Times New Roman" w:eastAsia="Times New Roman" w:cs="Times New Roman"/>
          <w:sz w:val="24"/>
          <w:szCs w:val="24"/>
        </w:rPr>
        <w:t>break</w:t>
      </w:r>
      <w:r w:rsidR="00D07B39">
        <w:rPr>
          <w:rFonts w:ascii="Times New Roman" w:hAnsi="Times New Roman" w:eastAsia="Times New Roman" w:cs="Times New Roman"/>
          <w:sz w:val="24"/>
          <w:szCs w:val="24"/>
        </w:rPr>
        <w:t>ing</w:t>
      </w:r>
      <w:r w:rsidR="005D09B1">
        <w:rPr>
          <w:rFonts w:ascii="Times New Roman" w:hAnsi="Times New Roman" w:eastAsia="Times New Roman" w:cs="Times New Roman"/>
          <w:sz w:val="24"/>
          <w:szCs w:val="24"/>
        </w:rPr>
        <w:t xml:space="preserve"> down response</w:t>
      </w:r>
      <w:r w:rsidR="004A777A">
        <w:rPr>
          <w:rFonts w:ascii="Times New Roman" w:hAnsi="Times New Roman" w:eastAsia="Times New Roman" w:cs="Times New Roman"/>
          <w:sz w:val="24"/>
          <w:szCs w:val="24"/>
        </w:rPr>
        <w:t>s</w:t>
      </w:r>
      <w:r w:rsidR="005D09B1">
        <w:rPr>
          <w:rFonts w:ascii="Times New Roman" w:hAnsi="Times New Roman" w:eastAsia="Times New Roman" w:cs="Times New Roman"/>
          <w:sz w:val="24"/>
          <w:szCs w:val="24"/>
        </w:rPr>
        <w:t xml:space="preserve"> to large requests into multiple files.</w:t>
      </w:r>
      <w:r w:rsidR="00FA675E">
        <w:rPr>
          <w:rFonts w:ascii="Times New Roman" w:hAnsi="Times New Roman" w:eastAsia="Times New Roman" w:cs="Times New Roman"/>
          <w:sz w:val="24"/>
          <w:szCs w:val="24"/>
        </w:rPr>
        <w:t xml:space="preserve"> </w:t>
      </w:r>
    </w:p>
    <w:p w:rsidR="00CA0B1A" w:rsidP="00D12F66" w:rsidRDefault="00CA0B1A" w14:paraId="17807D71" w14:textId="3759127F">
      <w:pPr>
        <w:ind w:firstLine="720"/>
        <w:rPr>
          <w:rFonts w:ascii="Times New Roman" w:hAnsi="Times New Roman" w:eastAsia="Times New Roman" w:cs="Times New Roman"/>
          <w:sz w:val="24"/>
          <w:szCs w:val="24"/>
        </w:rPr>
      </w:pPr>
    </w:p>
    <w:p w:rsidR="00CA0B1A" w:rsidP="00D12F66" w:rsidRDefault="00CA0B1A" w14:paraId="6F275FAF" w14:textId="67AE5BD1">
      <w:pPr>
        <w:ind w:firstLine="72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The commenter noted that FinCEN’s estimate of 5 hours and 5 minutes per FFA response significantly underestimates the amount of time it takes for institutions to respond to these requests, particularly large banks. </w:t>
      </w:r>
      <w:r w:rsidR="004A777A">
        <w:rPr>
          <w:rFonts w:ascii="Times New Roman" w:hAnsi="Times New Roman" w:eastAsia="Times New Roman" w:cs="Times New Roman"/>
          <w:sz w:val="24"/>
          <w:szCs w:val="24"/>
        </w:rPr>
        <w:t xml:space="preserve"> The commenter</w:t>
      </w:r>
      <w:r>
        <w:rPr>
          <w:rFonts w:ascii="Times New Roman" w:hAnsi="Times New Roman" w:eastAsia="Times New Roman" w:cs="Times New Roman"/>
          <w:sz w:val="24"/>
          <w:szCs w:val="24"/>
        </w:rPr>
        <w:t xml:space="preserve"> noted that while some institutions indicated that certain requests can take 5 to 8 hours, the majority take significantly more time. </w:t>
      </w:r>
      <w:r w:rsidR="004A777A">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The commenter clarified that the key elements that impact the burden of a </w:t>
      </w:r>
      <w:r w:rsidR="00190B62">
        <w:rPr>
          <w:rFonts w:ascii="Times New Roman" w:hAnsi="Times New Roman" w:eastAsia="Times New Roman" w:cs="Times New Roman"/>
          <w:sz w:val="24"/>
          <w:szCs w:val="24"/>
        </w:rPr>
        <w:t xml:space="preserve">FFA </w:t>
      </w:r>
      <w:r>
        <w:rPr>
          <w:rFonts w:ascii="Times New Roman" w:hAnsi="Times New Roman" w:eastAsia="Times New Roman" w:cs="Times New Roman"/>
          <w:sz w:val="24"/>
          <w:szCs w:val="24"/>
        </w:rPr>
        <w:t xml:space="preserve">request </w:t>
      </w:r>
      <w:r w:rsidR="00190B62">
        <w:rPr>
          <w:rFonts w:ascii="Times New Roman" w:hAnsi="Times New Roman" w:eastAsia="Times New Roman" w:cs="Times New Roman"/>
          <w:sz w:val="24"/>
          <w:szCs w:val="24"/>
        </w:rPr>
        <w:t xml:space="preserve">include: (i) </w:t>
      </w:r>
      <w:r>
        <w:rPr>
          <w:rFonts w:ascii="Times New Roman" w:hAnsi="Times New Roman" w:eastAsia="Times New Roman" w:cs="Times New Roman"/>
          <w:sz w:val="24"/>
          <w:szCs w:val="24"/>
        </w:rPr>
        <w:t xml:space="preserve">the number of individuals </w:t>
      </w:r>
      <w:r w:rsidR="00190B62">
        <w:rPr>
          <w:rFonts w:ascii="Times New Roman" w:hAnsi="Times New Roman" w:eastAsia="Times New Roman" w:cs="Times New Roman"/>
          <w:sz w:val="24"/>
          <w:szCs w:val="24"/>
        </w:rPr>
        <w:t>and their function; (ii) the jurisdiction of the FFA</w:t>
      </w:r>
      <w:r w:rsidR="00252FC0">
        <w:rPr>
          <w:rFonts w:ascii="Times New Roman" w:hAnsi="Times New Roman" w:eastAsia="Times New Roman" w:cs="Times New Roman"/>
          <w:sz w:val="24"/>
          <w:szCs w:val="24"/>
        </w:rPr>
        <w:t xml:space="preserve">; and </w:t>
      </w:r>
      <w:r w:rsidR="00190B62">
        <w:rPr>
          <w:rFonts w:ascii="Times New Roman" w:hAnsi="Times New Roman" w:eastAsia="Times New Roman" w:cs="Times New Roman"/>
          <w:sz w:val="24"/>
          <w:szCs w:val="24"/>
        </w:rPr>
        <w:t xml:space="preserve">(iii) </w:t>
      </w:r>
      <w:r>
        <w:rPr>
          <w:rFonts w:ascii="Times New Roman" w:hAnsi="Times New Roman" w:eastAsia="Times New Roman" w:cs="Times New Roman"/>
          <w:sz w:val="24"/>
          <w:szCs w:val="24"/>
        </w:rPr>
        <w:t>and the search period. The commenter further noted that some institutions reported that si</w:t>
      </w:r>
      <w:r w:rsidR="00801FFA">
        <w:rPr>
          <w:rFonts w:ascii="Times New Roman" w:hAnsi="Times New Roman" w:eastAsia="Times New Roman" w:cs="Times New Roman"/>
          <w:sz w:val="24"/>
          <w:szCs w:val="24"/>
        </w:rPr>
        <w:t xml:space="preserve">gnificant requests can take 320 to </w:t>
      </w:r>
      <w:r>
        <w:rPr>
          <w:rFonts w:ascii="Times New Roman" w:hAnsi="Times New Roman" w:eastAsia="Times New Roman" w:cs="Times New Roman"/>
          <w:sz w:val="24"/>
          <w:szCs w:val="24"/>
        </w:rPr>
        <w:t xml:space="preserve">400 </w:t>
      </w:r>
      <w:r w:rsidR="00801FFA">
        <w:rPr>
          <w:rFonts w:ascii="Times New Roman" w:hAnsi="Times New Roman" w:eastAsia="Times New Roman" w:cs="Times New Roman"/>
          <w:sz w:val="24"/>
          <w:szCs w:val="24"/>
        </w:rPr>
        <w:t xml:space="preserve">hours </w:t>
      </w:r>
      <w:r>
        <w:rPr>
          <w:rFonts w:ascii="Times New Roman" w:hAnsi="Times New Roman" w:eastAsia="Times New Roman" w:cs="Times New Roman"/>
          <w:sz w:val="24"/>
          <w:szCs w:val="24"/>
        </w:rPr>
        <w:t xml:space="preserve">per request, while other requests </w:t>
      </w:r>
      <w:r w:rsidR="00801FFA">
        <w:rPr>
          <w:rFonts w:ascii="Times New Roman" w:hAnsi="Times New Roman" w:eastAsia="Times New Roman" w:cs="Times New Roman"/>
          <w:sz w:val="24"/>
          <w:szCs w:val="24"/>
        </w:rPr>
        <w:t>have required 80 to 120 hours per request.</w:t>
      </w:r>
    </w:p>
    <w:p w:rsidR="002B758D" w:rsidP="00D12F66" w:rsidRDefault="002B758D" w14:paraId="6F1FADCA" w14:textId="2D5B21E2">
      <w:pPr>
        <w:ind w:firstLine="720"/>
        <w:rPr>
          <w:rFonts w:ascii="Times New Roman" w:hAnsi="Times New Roman" w:eastAsia="Times New Roman" w:cs="Times New Roman"/>
          <w:sz w:val="24"/>
          <w:szCs w:val="24"/>
        </w:rPr>
      </w:pPr>
    </w:p>
    <w:p w:rsidR="002B758D" w:rsidP="00D12F66" w:rsidRDefault="002B758D" w14:paraId="1C2FAC8D" w14:textId="12F1CBD4">
      <w:pPr>
        <w:ind w:firstLine="720"/>
        <w:rPr>
          <w:rFonts w:ascii="Times New Roman" w:hAnsi="Times New Roman" w:cs="Times New Roman"/>
          <w:color w:val="2B2A28"/>
          <w:sz w:val="24"/>
          <w:szCs w:val="24"/>
        </w:rPr>
      </w:pPr>
      <w:r>
        <w:rPr>
          <w:rFonts w:ascii="Times New Roman" w:hAnsi="Times New Roman" w:eastAsia="Times New Roman" w:cs="Times New Roman"/>
          <w:sz w:val="24"/>
          <w:szCs w:val="24"/>
        </w:rPr>
        <w:t xml:space="preserve">FinCEN appreciates the recommendations concerning ways to clarify FFA requests and minimize burden via </w:t>
      </w:r>
      <w:r w:rsidR="004A777A">
        <w:rPr>
          <w:rFonts w:ascii="Times New Roman" w:hAnsi="Times New Roman" w:eastAsia="Times New Roman" w:cs="Times New Roman"/>
          <w:sz w:val="24"/>
          <w:szCs w:val="24"/>
        </w:rPr>
        <w:t xml:space="preserve">the </w:t>
      </w:r>
      <w:r>
        <w:rPr>
          <w:rFonts w:ascii="Times New Roman" w:hAnsi="Times New Roman" w:eastAsia="Times New Roman" w:cs="Times New Roman"/>
          <w:sz w:val="24"/>
          <w:szCs w:val="24"/>
        </w:rPr>
        <w:t xml:space="preserve">expansion of the size of files that can be accepted per request and will take these recommendations into consideration. </w:t>
      </w:r>
      <w:r w:rsidR="004A777A">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In addition, based on the burden estimates described directly above, FinCEN is increasing its estimate of burden as described in detail in section 12 below.</w:t>
      </w:r>
    </w:p>
    <w:p w:rsidRPr="00D12F66" w:rsidR="00D17D57" w:rsidP="00DA4035" w:rsidRDefault="00D17D57" w14:paraId="5B004800" w14:textId="77777777">
      <w:pPr>
        <w:rPr>
          <w:rFonts w:ascii="Times New Roman" w:hAnsi="Times New Roman" w:eastAsia="Times New Roman" w:cs="Times New Roman"/>
          <w:i/>
          <w:sz w:val="24"/>
          <w:szCs w:val="24"/>
        </w:rPr>
      </w:pPr>
    </w:p>
    <w:p w:rsidR="00046F42" w:rsidP="00DA4035" w:rsidRDefault="00046F42" w14:paraId="34D713BF" w14:textId="77777777">
      <w:pPr>
        <w:spacing w:before="5"/>
        <w:rPr>
          <w:rFonts w:ascii="Times New Roman" w:hAnsi="Times New Roman" w:cs="Times New Roman"/>
          <w:sz w:val="24"/>
          <w:szCs w:val="24"/>
          <w:u w:val="single"/>
        </w:rPr>
      </w:pPr>
      <w:r w:rsidRPr="009610E2">
        <w:rPr>
          <w:rFonts w:ascii="Times New Roman" w:hAnsi="Times New Roman" w:cs="Times New Roman"/>
          <w:sz w:val="24"/>
          <w:szCs w:val="24"/>
        </w:rPr>
        <w:t xml:space="preserve">9. </w:t>
      </w:r>
      <w:r w:rsidRPr="009610E2">
        <w:rPr>
          <w:rFonts w:ascii="Times New Roman" w:hAnsi="Times New Roman" w:cs="Times New Roman"/>
          <w:sz w:val="24"/>
          <w:szCs w:val="24"/>
          <w:u w:val="single"/>
        </w:rPr>
        <w:t>Explanation of decision to provide any payment or gift to respondents.</w:t>
      </w:r>
    </w:p>
    <w:p w:rsidRPr="009610E2" w:rsidR="00D17D57" w:rsidP="00DA4035" w:rsidRDefault="00D17D57" w14:paraId="1526958E" w14:textId="77777777">
      <w:pPr>
        <w:spacing w:before="5"/>
        <w:rPr>
          <w:rFonts w:ascii="Times New Roman" w:hAnsi="Times New Roman" w:eastAsia="Times New Roman" w:cs="Times New Roman"/>
          <w:color w:val="2B2A28"/>
          <w:sz w:val="24"/>
          <w:szCs w:val="24"/>
        </w:rPr>
      </w:pPr>
    </w:p>
    <w:p w:rsidR="00C42992" w:rsidP="009610E2" w:rsidRDefault="00C42992" w14:paraId="04441D44" w14:textId="77777777">
      <w:pPr>
        <w:ind w:firstLine="720"/>
        <w:rPr>
          <w:rFonts w:ascii="Times New Roman" w:hAnsi="Times New Roman" w:cs="Times New Roman"/>
          <w:color w:val="2B2A28"/>
          <w:sz w:val="24"/>
          <w:szCs w:val="24"/>
        </w:rPr>
      </w:pPr>
      <w:r w:rsidRPr="00C42992">
        <w:rPr>
          <w:rFonts w:ascii="Times New Roman" w:hAnsi="Times New Roman" w:eastAsia="Times New Roman" w:cs="Times New Roman"/>
          <w:sz w:val="24"/>
        </w:rPr>
        <w:t>No payments or gifts were made to respondents.</w:t>
      </w:r>
    </w:p>
    <w:p w:rsidRPr="00D12F66" w:rsidR="00D17D57" w:rsidP="00DA4035" w:rsidRDefault="00D17D57" w14:paraId="1C5D03B0" w14:textId="77777777">
      <w:pPr>
        <w:spacing w:before="2"/>
        <w:rPr>
          <w:rFonts w:ascii="Times New Roman" w:hAnsi="Times New Roman" w:eastAsia="Times New Roman" w:cs="Times New Roman"/>
          <w:sz w:val="24"/>
          <w:szCs w:val="24"/>
        </w:rPr>
      </w:pPr>
    </w:p>
    <w:p w:rsidRPr="009610E2" w:rsidR="00D17D57" w:rsidP="009610E2" w:rsidRDefault="00046F42" w14:paraId="37634B28" w14:textId="56BA8252">
      <w:pPr>
        <w:pStyle w:val="BodyText"/>
        <w:tabs>
          <w:tab w:val="left" w:pos="522"/>
        </w:tabs>
        <w:ind w:left="0"/>
        <w:rPr>
          <w:rFonts w:cs="Times New Roman"/>
          <w:sz w:val="24"/>
          <w:szCs w:val="24"/>
          <w:u w:val="single"/>
        </w:rPr>
      </w:pPr>
      <w:r w:rsidRPr="009610E2">
        <w:rPr>
          <w:sz w:val="24"/>
        </w:rPr>
        <w:t xml:space="preserve">10. </w:t>
      </w:r>
      <w:r w:rsidRPr="00AA6051">
        <w:rPr>
          <w:sz w:val="24"/>
          <w:u w:val="single"/>
        </w:rPr>
        <w:t>Assurance of confidentiality of responses.</w:t>
      </w:r>
    </w:p>
    <w:p w:rsidRPr="009610E2" w:rsidR="00D17D57" w:rsidP="00DA4035" w:rsidRDefault="00D17D57" w14:paraId="77471DA9" w14:textId="77777777">
      <w:pPr>
        <w:spacing w:before="4"/>
        <w:rPr>
          <w:rFonts w:ascii="Times New Roman" w:hAnsi="Times New Roman" w:eastAsia="Times New Roman" w:cs="Times New Roman"/>
          <w:sz w:val="24"/>
          <w:szCs w:val="24"/>
        </w:rPr>
      </w:pPr>
    </w:p>
    <w:p w:rsidRPr="002575CF" w:rsidR="00C42992" w:rsidP="002575CF" w:rsidRDefault="00D06A06" w14:paraId="7E49DE51" w14:textId="42BCA062">
      <w:pPr>
        <w:tabs>
          <w:tab w:val="left" w:pos="0"/>
        </w:tabs>
        <w:rPr>
          <w:rFonts w:ascii="Times New Roman" w:hAnsi="Times New Roman"/>
          <w:sz w:val="24"/>
          <w:vertAlign w:val="superscript"/>
        </w:rPr>
      </w:pPr>
      <w:r>
        <w:rPr>
          <w:rFonts w:cs="Times New Roman"/>
          <w:sz w:val="24"/>
          <w:szCs w:val="24"/>
        </w:rPr>
        <w:tab/>
      </w:r>
      <w:r w:rsidRPr="001F7618">
        <w:rPr>
          <w:rFonts w:ascii="Times New Roman" w:hAnsi="Times New Roman"/>
          <w:sz w:val="24"/>
        </w:rPr>
        <w:t xml:space="preserve">The information collected under this requirement is made available to appropriate agencies and organizations as disclosed in FinCEN's Privacy Act System of Records Notice </w:t>
      </w:r>
      <w:r w:rsidR="00FF2828">
        <w:rPr>
          <w:rFonts w:ascii="Times New Roman" w:hAnsi="Times New Roman"/>
          <w:sz w:val="24"/>
        </w:rPr>
        <w:t xml:space="preserve">(SORN) </w:t>
      </w:r>
      <w:r w:rsidRPr="001F7618">
        <w:rPr>
          <w:rFonts w:ascii="Times New Roman" w:hAnsi="Times New Roman"/>
          <w:sz w:val="24"/>
        </w:rPr>
        <w:t>relating to BSA reports.</w:t>
      </w:r>
      <w:r w:rsidRPr="001F7618">
        <w:rPr>
          <w:rStyle w:val="FootnoteReference"/>
          <w:rFonts w:ascii="Times New Roman" w:hAnsi="Times New Roman"/>
          <w:sz w:val="24"/>
        </w:rPr>
        <w:footnoteReference w:id="8"/>
      </w:r>
    </w:p>
    <w:p w:rsidRPr="00A00DEB" w:rsidR="00D17D57" w:rsidP="00DA4035" w:rsidRDefault="00D17D57" w14:paraId="72E2C86D" w14:textId="77777777">
      <w:pPr>
        <w:spacing w:before="10"/>
        <w:rPr>
          <w:rFonts w:ascii="Times New Roman" w:hAnsi="Times New Roman" w:eastAsia="Times New Roman" w:cs="Times New Roman"/>
          <w:sz w:val="24"/>
          <w:szCs w:val="24"/>
        </w:rPr>
      </w:pPr>
    </w:p>
    <w:p w:rsidRPr="00C14283" w:rsidR="00D17D57" w:rsidP="00C14283" w:rsidRDefault="00046F42" w14:paraId="012FF94F" w14:textId="25805360">
      <w:pPr>
        <w:pStyle w:val="BodyText"/>
        <w:tabs>
          <w:tab w:val="left" w:pos="500"/>
        </w:tabs>
        <w:ind w:left="0"/>
        <w:rPr>
          <w:rFonts w:cs="Times New Roman"/>
          <w:sz w:val="24"/>
          <w:szCs w:val="24"/>
          <w:u w:val="single"/>
        </w:rPr>
      </w:pPr>
      <w:r w:rsidRPr="00C14283">
        <w:rPr>
          <w:sz w:val="24"/>
          <w:szCs w:val="24"/>
        </w:rPr>
        <w:t xml:space="preserve">11. </w:t>
      </w:r>
      <w:r w:rsidRPr="00C14283">
        <w:rPr>
          <w:sz w:val="24"/>
          <w:szCs w:val="24"/>
          <w:u w:val="single"/>
        </w:rPr>
        <w:t>Justification of sensitive questions.</w:t>
      </w:r>
    </w:p>
    <w:p w:rsidRPr="00C14283" w:rsidR="00D17D57" w:rsidP="00DA4035" w:rsidRDefault="00D17D57" w14:paraId="287BFAFB" w14:textId="77777777">
      <w:pPr>
        <w:spacing w:before="1"/>
        <w:rPr>
          <w:rFonts w:ascii="Times New Roman" w:hAnsi="Times New Roman" w:eastAsia="Times New Roman" w:cs="Times New Roman"/>
          <w:sz w:val="24"/>
          <w:szCs w:val="24"/>
        </w:rPr>
      </w:pPr>
    </w:p>
    <w:p w:rsidRPr="006801D6" w:rsidR="00D17D57" w:rsidP="006801D6" w:rsidRDefault="003B0AEB" w14:paraId="4EC001D4" w14:textId="55600CE8">
      <w:pPr>
        <w:tabs>
          <w:tab w:val="left" w:pos="0"/>
        </w:tabs>
        <w:rPr>
          <w:rFonts w:ascii="Times New Roman" w:hAnsi="Times New Roman"/>
          <w:color w:val="1F497D"/>
          <w:sz w:val="24"/>
        </w:rPr>
      </w:pPr>
      <w:r w:rsidRPr="00002436">
        <w:rPr>
          <w:rFonts w:cs="Times New Roman"/>
          <w:color w:val="2B2A28"/>
          <w:sz w:val="24"/>
          <w:szCs w:val="24"/>
        </w:rPr>
        <w:tab/>
      </w:r>
      <w:r w:rsidRPr="004A44F3" w:rsidR="006801D6">
        <w:rPr>
          <w:rFonts w:ascii="Times New Roman" w:hAnsi="Times New Roman"/>
          <w:sz w:val="24"/>
        </w:rPr>
        <w:t xml:space="preserve">There are no questions of a sensitive nature in the collection of information. </w:t>
      </w:r>
      <w:r w:rsidR="006801D6">
        <w:rPr>
          <w:rFonts w:ascii="Times New Roman" w:hAnsi="Times New Roman"/>
          <w:sz w:val="24"/>
        </w:rPr>
        <w:t xml:space="preserve"> Any personally identifiable information collected under the BSA is strictly controlled as outlined in FinCEN’s </w:t>
      </w:r>
      <w:r w:rsidR="00FF2828">
        <w:rPr>
          <w:rFonts w:ascii="Times New Roman" w:hAnsi="Times New Roman"/>
          <w:sz w:val="24"/>
        </w:rPr>
        <w:t>SORN</w:t>
      </w:r>
      <w:r w:rsidR="006801D6">
        <w:rPr>
          <w:rFonts w:ascii="Times New Roman" w:hAnsi="Times New Roman"/>
          <w:color w:val="1F497D"/>
          <w:sz w:val="24"/>
        </w:rPr>
        <w:t>.</w:t>
      </w:r>
      <w:r w:rsidRPr="001F7618" w:rsidR="006801D6">
        <w:rPr>
          <w:rStyle w:val="FootnoteReference"/>
          <w:rFonts w:ascii="Times New Roman" w:hAnsi="Times New Roman"/>
          <w:sz w:val="24"/>
        </w:rPr>
        <w:footnoteReference w:id="9"/>
      </w:r>
    </w:p>
    <w:p w:rsidR="0009442F" w:rsidP="0009442F" w:rsidRDefault="0009442F" w14:paraId="37131050" w14:textId="77777777">
      <w:pPr>
        <w:pStyle w:val="BodyText"/>
        <w:tabs>
          <w:tab w:val="left" w:pos="486"/>
        </w:tabs>
        <w:ind w:left="360"/>
        <w:jc w:val="right"/>
        <w:rPr>
          <w:rFonts w:cs="Times New Roman"/>
          <w:sz w:val="24"/>
          <w:szCs w:val="24"/>
          <w:u w:val="single"/>
        </w:rPr>
      </w:pPr>
    </w:p>
    <w:p w:rsidRPr="00A00DEB" w:rsidR="00046F42" w:rsidP="00046F42" w:rsidRDefault="00046F42" w14:paraId="71658EEC" w14:textId="38987759">
      <w:pPr>
        <w:rPr>
          <w:rFonts w:ascii="Times New Roman" w:hAnsi="Times New Roman" w:cs="Times New Roman"/>
          <w:sz w:val="24"/>
          <w:szCs w:val="24"/>
          <w:u w:val="single"/>
        </w:rPr>
      </w:pPr>
      <w:r>
        <w:rPr>
          <w:rFonts w:ascii="Times New Roman" w:hAnsi="Times New Roman" w:cs="Times New Roman"/>
          <w:sz w:val="24"/>
          <w:szCs w:val="24"/>
        </w:rPr>
        <w:t>12.</w:t>
      </w:r>
      <w:r w:rsidRPr="00A00DEB">
        <w:rPr>
          <w:rFonts w:ascii="Times New Roman" w:hAnsi="Times New Roman" w:cs="Times New Roman"/>
          <w:sz w:val="24"/>
          <w:szCs w:val="24"/>
        </w:rPr>
        <w:t xml:space="preserve"> </w:t>
      </w:r>
      <w:r w:rsidRPr="00A00DEB">
        <w:rPr>
          <w:rFonts w:ascii="Times New Roman" w:hAnsi="Times New Roman" w:cs="Times New Roman"/>
          <w:sz w:val="24"/>
          <w:szCs w:val="24"/>
          <w:u w:val="single"/>
        </w:rPr>
        <w:t>Estimated</w:t>
      </w:r>
      <w:r w:rsidR="008869DB">
        <w:rPr>
          <w:rFonts w:ascii="Times New Roman" w:hAnsi="Times New Roman" w:cs="Times New Roman"/>
          <w:sz w:val="24"/>
          <w:szCs w:val="24"/>
          <w:u w:val="single"/>
        </w:rPr>
        <w:t xml:space="preserve"> annual hourly </w:t>
      </w:r>
      <w:r w:rsidRPr="00A00DEB">
        <w:rPr>
          <w:rFonts w:ascii="Times New Roman" w:hAnsi="Times New Roman" w:cs="Times New Roman"/>
          <w:sz w:val="24"/>
          <w:szCs w:val="24"/>
          <w:u w:val="single"/>
        </w:rPr>
        <w:t>burden.</w:t>
      </w:r>
    </w:p>
    <w:p w:rsidRPr="006C4ED1" w:rsidR="00615A88" w:rsidP="00DA4035" w:rsidRDefault="00615A88" w14:paraId="3C9474F8" w14:textId="77777777">
      <w:pPr>
        <w:pStyle w:val="BodyText"/>
        <w:ind w:left="0"/>
        <w:rPr>
          <w:rFonts w:cs="Times New Roman"/>
          <w:sz w:val="24"/>
          <w:szCs w:val="24"/>
        </w:rPr>
      </w:pPr>
    </w:p>
    <w:p w:rsidR="00AB0459" w:rsidP="006C4ED1" w:rsidRDefault="00AB0459" w14:paraId="742B4094" w14:textId="025630A8">
      <w:pPr>
        <w:pStyle w:val="BodyText"/>
        <w:ind w:left="0"/>
        <w:rPr>
          <w:rFonts w:cs="Times New Roman"/>
          <w:sz w:val="24"/>
          <w:szCs w:val="24"/>
        </w:rPr>
      </w:pPr>
      <w:r w:rsidRPr="001C7A3B">
        <w:rPr>
          <w:rFonts w:cs="Times New Roman"/>
          <w:sz w:val="24"/>
          <w:szCs w:val="24"/>
          <w:u w:val="single"/>
        </w:rPr>
        <w:t>Frequency:</w:t>
      </w:r>
      <w:r w:rsidRPr="006C4ED1">
        <w:rPr>
          <w:rFonts w:cs="Times New Roman"/>
          <w:sz w:val="24"/>
          <w:szCs w:val="24"/>
        </w:rPr>
        <w:t xml:space="preserve"> As required.</w:t>
      </w:r>
    </w:p>
    <w:p w:rsidRPr="006C4ED1" w:rsidR="00AB0459" w:rsidP="006C4ED1" w:rsidRDefault="00AB0459" w14:paraId="3F9542B8" w14:textId="77777777">
      <w:pPr>
        <w:pStyle w:val="BodyText"/>
        <w:ind w:left="0"/>
        <w:rPr>
          <w:rFonts w:cs="Times New Roman"/>
          <w:sz w:val="24"/>
          <w:szCs w:val="24"/>
        </w:rPr>
      </w:pPr>
    </w:p>
    <w:p w:rsidR="00AB0459" w:rsidP="006C4ED1" w:rsidRDefault="00AB0459" w14:paraId="3A595744" w14:textId="258BB6BB">
      <w:pPr>
        <w:pStyle w:val="BodyText"/>
        <w:ind w:left="0"/>
        <w:rPr>
          <w:rFonts w:cs="Times New Roman"/>
          <w:sz w:val="24"/>
          <w:szCs w:val="24"/>
        </w:rPr>
      </w:pPr>
      <w:r w:rsidRPr="001C7A3B">
        <w:rPr>
          <w:rFonts w:cs="Times New Roman"/>
          <w:sz w:val="24"/>
          <w:szCs w:val="24"/>
          <w:u w:val="single"/>
        </w:rPr>
        <w:t>Estimated Number of Respondents:</w:t>
      </w:r>
      <w:r w:rsidRPr="006C4ED1">
        <w:rPr>
          <w:rFonts w:cs="Times New Roman"/>
          <w:sz w:val="24"/>
          <w:szCs w:val="24"/>
        </w:rPr>
        <w:t xml:space="preserve"> 9 domestic financial institutions.</w:t>
      </w:r>
      <w:r w:rsidRPr="0053423B">
        <w:rPr>
          <w:rStyle w:val="FootnoteReference"/>
          <w:rFonts w:cs="Times New Roman"/>
          <w:sz w:val="24"/>
          <w:szCs w:val="24"/>
        </w:rPr>
        <w:footnoteReference w:id="10"/>
      </w:r>
      <w:r w:rsidRPr="006C4ED1">
        <w:rPr>
          <w:rFonts w:cs="Times New Roman"/>
          <w:sz w:val="24"/>
          <w:szCs w:val="24"/>
        </w:rPr>
        <w:t xml:space="preserve"> </w:t>
      </w:r>
    </w:p>
    <w:p w:rsidRPr="006C4ED1" w:rsidR="00AB0459" w:rsidP="006C4ED1" w:rsidRDefault="00AB0459" w14:paraId="56E2B810" w14:textId="77777777">
      <w:pPr>
        <w:pStyle w:val="BodyText"/>
        <w:ind w:left="0"/>
        <w:rPr>
          <w:rFonts w:cs="Times New Roman"/>
          <w:sz w:val="24"/>
          <w:szCs w:val="24"/>
        </w:rPr>
      </w:pPr>
    </w:p>
    <w:p w:rsidRPr="006C4ED1" w:rsidR="00AB0459" w:rsidP="00AB0459" w:rsidRDefault="00AB0459" w14:paraId="0B17412E" w14:textId="50EEAC65">
      <w:pPr>
        <w:pStyle w:val="BodyText"/>
        <w:ind w:left="0"/>
        <w:rPr>
          <w:rFonts w:cs="Times New Roman"/>
          <w:sz w:val="24"/>
          <w:szCs w:val="24"/>
        </w:rPr>
      </w:pPr>
      <w:r w:rsidRPr="001C7A3B">
        <w:rPr>
          <w:rFonts w:cs="Times New Roman"/>
          <w:sz w:val="24"/>
          <w:szCs w:val="24"/>
          <w:u w:val="single"/>
        </w:rPr>
        <w:t>Est</w:t>
      </w:r>
      <w:r w:rsidRPr="001C7A3B" w:rsidR="00E25A0C">
        <w:rPr>
          <w:rFonts w:cs="Times New Roman"/>
          <w:sz w:val="24"/>
          <w:szCs w:val="24"/>
          <w:u w:val="single"/>
        </w:rPr>
        <w:t>imated Total Annual Responses:</w:t>
      </w:r>
      <w:r w:rsidR="00E25A0C">
        <w:rPr>
          <w:rFonts w:cs="Times New Roman"/>
          <w:sz w:val="24"/>
          <w:szCs w:val="24"/>
        </w:rPr>
        <w:t xml:space="preserve"> </w:t>
      </w:r>
      <w:r w:rsidRPr="006C4ED1">
        <w:rPr>
          <w:rFonts w:cs="Times New Roman"/>
          <w:sz w:val="24"/>
          <w:szCs w:val="24"/>
        </w:rPr>
        <w:t>84 responses.</w:t>
      </w:r>
      <w:r w:rsidRPr="00AB0459">
        <w:rPr>
          <w:vertAlign w:val="superscript"/>
        </w:rPr>
        <w:footnoteReference w:id="11"/>
      </w:r>
    </w:p>
    <w:p w:rsidRPr="006C4ED1" w:rsidR="00AB0459" w:rsidP="00DA4035" w:rsidRDefault="00AB0459" w14:paraId="281FCF7B" w14:textId="77777777">
      <w:pPr>
        <w:pStyle w:val="BodyText"/>
        <w:ind w:left="0"/>
        <w:rPr>
          <w:rFonts w:cs="Times New Roman"/>
          <w:sz w:val="24"/>
          <w:szCs w:val="24"/>
        </w:rPr>
      </w:pPr>
    </w:p>
    <w:p w:rsidRPr="00FF2828" w:rsidR="00EB1B35" w:rsidP="00DA4035" w:rsidRDefault="00CA6BCF" w14:paraId="35692BAC" w14:textId="79ECB9B2">
      <w:pPr>
        <w:pStyle w:val="BodyText"/>
        <w:ind w:left="0"/>
        <w:rPr>
          <w:rFonts w:cs="Times New Roman"/>
          <w:sz w:val="24"/>
          <w:szCs w:val="24"/>
        </w:rPr>
      </w:pPr>
      <w:r w:rsidRPr="006D017C">
        <w:rPr>
          <w:b/>
          <w:sz w:val="24"/>
          <w:szCs w:val="24"/>
        </w:rPr>
        <w:t xml:space="preserve">Table 1 - </w:t>
      </w:r>
      <w:r w:rsidRPr="006D017C" w:rsidR="00EB1B35">
        <w:rPr>
          <w:b/>
          <w:sz w:val="24"/>
          <w:szCs w:val="24"/>
        </w:rPr>
        <w:t xml:space="preserve">Burden associated with each portion of the traditional annual </w:t>
      </w:r>
      <w:r w:rsidR="005903D0">
        <w:rPr>
          <w:b/>
          <w:sz w:val="24"/>
          <w:szCs w:val="24"/>
        </w:rPr>
        <w:t>Paperwork Reduction Act of 1995 (</w:t>
      </w:r>
      <w:r w:rsidRPr="0003048E" w:rsidR="00EB1B35">
        <w:rPr>
          <w:b/>
          <w:sz w:val="24"/>
          <w:szCs w:val="24"/>
        </w:rPr>
        <w:t>PRA</w:t>
      </w:r>
      <w:r w:rsidR="005903D0">
        <w:rPr>
          <w:b/>
          <w:sz w:val="24"/>
          <w:szCs w:val="24"/>
        </w:rPr>
        <w:t>)</w:t>
      </w:r>
      <w:r w:rsidRPr="0003048E" w:rsidR="00EB1B35">
        <w:rPr>
          <w:b/>
          <w:sz w:val="24"/>
          <w:szCs w:val="24"/>
        </w:rPr>
        <w:t xml:space="preserve"> estimate</w:t>
      </w:r>
      <w:r w:rsidRPr="0003048E">
        <w:rPr>
          <w:b/>
          <w:sz w:val="24"/>
          <w:szCs w:val="24"/>
        </w:rPr>
        <w:t xml:space="preserve"> as noted in the 60-day notice published in the Federal Register</w:t>
      </w:r>
    </w:p>
    <w:tbl>
      <w:tblPr>
        <w:tblStyle w:val="TableGrid"/>
        <w:tblW w:w="8365" w:type="dxa"/>
        <w:tblLook w:val="04A0" w:firstRow="1" w:lastRow="0" w:firstColumn="1" w:lastColumn="0" w:noHBand="0" w:noVBand="1"/>
      </w:tblPr>
      <w:tblGrid>
        <w:gridCol w:w="2425"/>
        <w:gridCol w:w="1980"/>
        <w:gridCol w:w="1980"/>
        <w:gridCol w:w="1980"/>
      </w:tblGrid>
      <w:tr w:rsidRPr="00FF2828" w:rsidR="00EB1B35" w:rsidTr="00607492" w14:paraId="3A3C448B" w14:textId="77777777">
        <w:trPr>
          <w:trHeight w:val="719"/>
          <w:tblHeader/>
        </w:trPr>
        <w:tc>
          <w:tcPr>
            <w:tcW w:w="2425" w:type="dxa"/>
            <w:shd w:val="clear" w:color="auto" w:fill="D9D9D9" w:themeFill="background1" w:themeFillShade="D9"/>
            <w:vAlign w:val="center"/>
          </w:tcPr>
          <w:p w:rsidRPr="0003048E" w:rsidR="00EB1B35" w:rsidP="002B6D38" w:rsidRDefault="00EB1B35" w14:paraId="0A69E106" w14:textId="77777777">
            <w:pPr>
              <w:jc w:val="center"/>
              <w:rPr>
                <w:rFonts w:ascii="Times New Roman" w:hAnsi="Times New Roman" w:cs="Times New Roman"/>
                <w:b/>
                <w:sz w:val="24"/>
                <w:szCs w:val="24"/>
                <w:lang w:val="en-US"/>
              </w:rPr>
            </w:pPr>
          </w:p>
          <w:p w:rsidRPr="0003048E" w:rsidR="00EB1B35" w:rsidP="002B6D38" w:rsidRDefault="00EB1B35" w14:paraId="3322A258" w14:textId="5BA9568A">
            <w:pPr>
              <w:jc w:val="center"/>
              <w:rPr>
                <w:rFonts w:ascii="Times New Roman" w:hAnsi="Times New Roman" w:cs="Times New Roman"/>
                <w:b/>
                <w:sz w:val="24"/>
                <w:szCs w:val="24"/>
                <w:lang w:val="en-US"/>
              </w:rPr>
            </w:pPr>
            <w:r w:rsidRPr="0003048E">
              <w:rPr>
                <w:rFonts w:ascii="Times New Roman" w:hAnsi="Times New Roman" w:cs="Times New Roman"/>
                <w:b/>
                <w:sz w:val="24"/>
                <w:szCs w:val="24"/>
              </w:rPr>
              <w:t>Action</w:t>
            </w:r>
          </w:p>
        </w:tc>
        <w:tc>
          <w:tcPr>
            <w:tcW w:w="1980" w:type="dxa"/>
            <w:shd w:val="clear" w:color="auto" w:fill="D9D9D9" w:themeFill="background1" w:themeFillShade="D9"/>
            <w:vAlign w:val="center"/>
          </w:tcPr>
          <w:p w:rsidRPr="0003048E" w:rsidR="00EB1B35" w:rsidP="002B6D38" w:rsidRDefault="00EB1B35" w14:paraId="52BACB61" w14:textId="77777777">
            <w:pPr>
              <w:jc w:val="center"/>
              <w:rPr>
                <w:rFonts w:ascii="Times New Roman" w:hAnsi="Times New Roman" w:cs="Times New Roman"/>
                <w:b/>
                <w:sz w:val="24"/>
                <w:szCs w:val="24"/>
                <w:lang w:val="en-US"/>
              </w:rPr>
            </w:pPr>
            <w:r w:rsidRPr="0003048E">
              <w:rPr>
                <w:rFonts w:ascii="Times New Roman" w:hAnsi="Times New Roman" w:cs="Times New Roman"/>
                <w:b/>
                <w:sz w:val="24"/>
                <w:szCs w:val="24"/>
              </w:rPr>
              <w:t>Responses per Year</w:t>
            </w:r>
          </w:p>
        </w:tc>
        <w:tc>
          <w:tcPr>
            <w:tcW w:w="1980" w:type="dxa"/>
            <w:shd w:val="clear" w:color="auto" w:fill="D9D9D9" w:themeFill="background1" w:themeFillShade="D9"/>
            <w:vAlign w:val="center"/>
          </w:tcPr>
          <w:p w:rsidRPr="0003048E" w:rsidR="00EB1B35" w:rsidP="002B6D38" w:rsidRDefault="00EB1B35" w14:paraId="63193808" w14:textId="77777777">
            <w:pPr>
              <w:jc w:val="center"/>
              <w:rPr>
                <w:rFonts w:ascii="Times New Roman" w:hAnsi="Times New Roman" w:cs="Times New Roman"/>
                <w:b/>
                <w:sz w:val="24"/>
                <w:szCs w:val="24"/>
                <w:lang w:val="en-US"/>
              </w:rPr>
            </w:pPr>
            <w:r w:rsidRPr="0003048E">
              <w:rPr>
                <w:rFonts w:ascii="Times New Roman" w:hAnsi="Times New Roman" w:cs="Times New Roman"/>
                <w:b/>
                <w:sz w:val="24"/>
                <w:szCs w:val="24"/>
              </w:rPr>
              <w:t>Time per Instance</w:t>
            </w:r>
          </w:p>
        </w:tc>
        <w:tc>
          <w:tcPr>
            <w:tcW w:w="1980" w:type="dxa"/>
            <w:shd w:val="clear" w:color="auto" w:fill="D9D9D9" w:themeFill="background1" w:themeFillShade="D9"/>
            <w:vAlign w:val="center"/>
          </w:tcPr>
          <w:p w:rsidRPr="0003048E" w:rsidR="00EB1B35" w:rsidP="002B6D38" w:rsidRDefault="00EB1B35" w14:paraId="5987650B" w14:textId="77777777">
            <w:pPr>
              <w:jc w:val="center"/>
              <w:rPr>
                <w:rFonts w:ascii="Times New Roman" w:hAnsi="Times New Roman" w:cs="Times New Roman"/>
                <w:b/>
                <w:sz w:val="24"/>
                <w:szCs w:val="24"/>
                <w:lang w:val="en-US"/>
              </w:rPr>
            </w:pPr>
            <w:r w:rsidRPr="0003048E">
              <w:rPr>
                <w:rFonts w:ascii="Times New Roman" w:hAnsi="Times New Roman" w:cs="Times New Roman"/>
                <w:b/>
                <w:sz w:val="24"/>
                <w:szCs w:val="24"/>
              </w:rPr>
              <w:t>Total Hourly Burden</w:t>
            </w:r>
          </w:p>
        </w:tc>
      </w:tr>
      <w:tr w:rsidRPr="00FF2828" w:rsidR="00EB1B35" w:rsidTr="002B6D38" w14:paraId="63750F84" w14:textId="77777777">
        <w:trPr>
          <w:trHeight w:val="964"/>
        </w:trPr>
        <w:tc>
          <w:tcPr>
            <w:tcW w:w="2425" w:type="dxa"/>
            <w:vAlign w:val="center"/>
          </w:tcPr>
          <w:p w:rsidRPr="0003048E" w:rsidR="00EB1B35" w:rsidP="00EB1B35" w:rsidRDefault="00EB1B35" w14:paraId="351E5167" w14:textId="77777777">
            <w:pPr>
              <w:pStyle w:val="ListParagraph"/>
              <w:numPr>
                <w:ilvl w:val="0"/>
                <w:numId w:val="3"/>
              </w:numPr>
              <w:contextualSpacing/>
              <w:rPr>
                <w:rFonts w:ascii="Times New Roman" w:hAnsi="Times New Roman" w:cs="Times New Roman"/>
                <w:sz w:val="24"/>
                <w:szCs w:val="24"/>
                <w:lang w:val="en-US"/>
              </w:rPr>
            </w:pPr>
            <w:r w:rsidRPr="0003048E">
              <w:rPr>
                <w:rFonts w:ascii="Times New Roman" w:hAnsi="Times New Roman" w:cs="Times New Roman"/>
                <w:sz w:val="24"/>
                <w:szCs w:val="24"/>
              </w:rPr>
              <w:t>Filing reports of certain transactions with designated FFAs</w:t>
            </w:r>
          </w:p>
        </w:tc>
        <w:tc>
          <w:tcPr>
            <w:tcW w:w="1980" w:type="dxa"/>
            <w:vAlign w:val="center"/>
          </w:tcPr>
          <w:p w:rsidRPr="0003048E" w:rsidR="00EB1B35" w:rsidP="002B6D38" w:rsidRDefault="00EB1B35" w14:paraId="6725AC24" w14:textId="77777777">
            <w:pPr>
              <w:jc w:val="center"/>
              <w:rPr>
                <w:rFonts w:ascii="Times New Roman" w:hAnsi="Times New Roman" w:cs="Times New Roman"/>
                <w:sz w:val="24"/>
                <w:szCs w:val="24"/>
                <w:lang w:val="en-US"/>
              </w:rPr>
            </w:pPr>
            <w:r w:rsidRPr="0003048E">
              <w:rPr>
                <w:rFonts w:ascii="Times New Roman" w:hAnsi="Times New Roman" w:cs="Times New Roman"/>
                <w:sz w:val="24"/>
                <w:szCs w:val="24"/>
              </w:rPr>
              <w:t>84 reports per year</w:t>
            </w:r>
          </w:p>
        </w:tc>
        <w:tc>
          <w:tcPr>
            <w:tcW w:w="1980" w:type="dxa"/>
            <w:vAlign w:val="center"/>
          </w:tcPr>
          <w:p w:rsidRPr="0003048E" w:rsidR="00EB1B35" w:rsidP="002B6D38" w:rsidRDefault="00EB1B35" w14:paraId="2B49C51C" w14:textId="77777777">
            <w:pPr>
              <w:jc w:val="center"/>
              <w:rPr>
                <w:rFonts w:ascii="Times New Roman" w:hAnsi="Times New Roman" w:cs="Times New Roman"/>
                <w:sz w:val="24"/>
                <w:szCs w:val="24"/>
                <w:lang w:val="en-US"/>
              </w:rPr>
            </w:pPr>
            <w:r w:rsidRPr="0003048E">
              <w:rPr>
                <w:rFonts w:ascii="Times New Roman" w:hAnsi="Times New Roman" w:cs="Times New Roman"/>
                <w:sz w:val="24"/>
                <w:szCs w:val="24"/>
              </w:rPr>
              <w:t>5 hours</w:t>
            </w:r>
          </w:p>
        </w:tc>
        <w:tc>
          <w:tcPr>
            <w:tcW w:w="1980" w:type="dxa"/>
            <w:vAlign w:val="center"/>
          </w:tcPr>
          <w:p w:rsidRPr="0003048E" w:rsidR="00EB1B35" w:rsidP="002B6D38" w:rsidRDefault="00EB1B35" w14:paraId="481B8974" w14:textId="77777777">
            <w:pPr>
              <w:jc w:val="center"/>
              <w:rPr>
                <w:rFonts w:ascii="Times New Roman" w:hAnsi="Times New Roman" w:cs="Times New Roman"/>
                <w:sz w:val="24"/>
                <w:szCs w:val="24"/>
                <w:lang w:val="en-US"/>
              </w:rPr>
            </w:pPr>
            <w:r w:rsidRPr="0003048E">
              <w:rPr>
                <w:rFonts w:ascii="Times New Roman" w:hAnsi="Times New Roman" w:cs="Times New Roman"/>
                <w:sz w:val="24"/>
                <w:szCs w:val="24"/>
              </w:rPr>
              <w:t>420 hours</w:t>
            </w:r>
          </w:p>
        </w:tc>
      </w:tr>
      <w:tr w:rsidRPr="00FF2828" w:rsidR="00EB1B35" w:rsidTr="002B6D38" w14:paraId="207EFC3B" w14:textId="77777777">
        <w:trPr>
          <w:trHeight w:val="1209"/>
        </w:trPr>
        <w:tc>
          <w:tcPr>
            <w:tcW w:w="2425" w:type="dxa"/>
            <w:vAlign w:val="center"/>
          </w:tcPr>
          <w:p w:rsidRPr="0003048E" w:rsidR="00EB1B35" w:rsidP="00EB1B35" w:rsidRDefault="00EB1B35" w14:paraId="1CE115C5" w14:textId="77777777">
            <w:pPr>
              <w:pStyle w:val="ListParagraph"/>
              <w:numPr>
                <w:ilvl w:val="0"/>
                <w:numId w:val="3"/>
              </w:numPr>
              <w:contextualSpacing/>
              <w:rPr>
                <w:rFonts w:ascii="Times New Roman" w:hAnsi="Times New Roman" w:cs="Times New Roman"/>
                <w:sz w:val="24"/>
                <w:szCs w:val="24"/>
                <w:lang w:val="en-US"/>
              </w:rPr>
            </w:pPr>
            <w:r w:rsidRPr="0003048E">
              <w:rPr>
                <w:rFonts w:ascii="Times New Roman" w:hAnsi="Times New Roman" w:cs="Times New Roman"/>
                <w:sz w:val="24"/>
                <w:szCs w:val="24"/>
              </w:rPr>
              <w:t>Complying with recordkeeping requirements in 31 CFR 1010.430</w:t>
            </w:r>
          </w:p>
        </w:tc>
        <w:tc>
          <w:tcPr>
            <w:tcW w:w="1980" w:type="dxa"/>
            <w:vAlign w:val="center"/>
          </w:tcPr>
          <w:p w:rsidRPr="0003048E" w:rsidR="00EB1B35" w:rsidP="002B6D38" w:rsidRDefault="00EB1B35" w14:paraId="020CDFBE" w14:textId="77777777">
            <w:pPr>
              <w:jc w:val="center"/>
              <w:rPr>
                <w:rFonts w:ascii="Times New Roman" w:hAnsi="Times New Roman" w:cs="Times New Roman"/>
                <w:sz w:val="24"/>
                <w:szCs w:val="24"/>
                <w:lang w:val="en-US"/>
              </w:rPr>
            </w:pPr>
            <w:r w:rsidRPr="0003048E">
              <w:rPr>
                <w:rFonts w:ascii="Times New Roman" w:hAnsi="Times New Roman" w:cs="Times New Roman"/>
                <w:sz w:val="24"/>
                <w:szCs w:val="24"/>
              </w:rPr>
              <w:t>84 records per year</w:t>
            </w:r>
          </w:p>
        </w:tc>
        <w:tc>
          <w:tcPr>
            <w:tcW w:w="1980" w:type="dxa"/>
            <w:vAlign w:val="center"/>
          </w:tcPr>
          <w:p w:rsidRPr="0003048E" w:rsidR="00EB1B35" w:rsidP="002B6D38" w:rsidRDefault="00EB1B35" w14:paraId="42F01FD7" w14:textId="77777777">
            <w:pPr>
              <w:jc w:val="center"/>
              <w:rPr>
                <w:rFonts w:ascii="Times New Roman" w:hAnsi="Times New Roman" w:cs="Times New Roman"/>
                <w:sz w:val="24"/>
                <w:szCs w:val="24"/>
                <w:lang w:val="en-US"/>
              </w:rPr>
            </w:pPr>
            <w:r w:rsidRPr="0003048E">
              <w:rPr>
                <w:rFonts w:ascii="Times New Roman" w:hAnsi="Times New Roman" w:cs="Times New Roman"/>
                <w:sz w:val="24"/>
                <w:szCs w:val="24"/>
              </w:rPr>
              <w:t>5 minutes</w:t>
            </w:r>
          </w:p>
        </w:tc>
        <w:tc>
          <w:tcPr>
            <w:tcW w:w="1980" w:type="dxa"/>
            <w:vAlign w:val="center"/>
          </w:tcPr>
          <w:p w:rsidRPr="0003048E" w:rsidR="00EB1B35" w:rsidP="002B6D38" w:rsidRDefault="00EB1B35" w14:paraId="11024E35" w14:textId="77777777">
            <w:pPr>
              <w:jc w:val="center"/>
              <w:rPr>
                <w:rFonts w:ascii="Times New Roman" w:hAnsi="Times New Roman" w:cs="Times New Roman"/>
                <w:sz w:val="24"/>
                <w:szCs w:val="24"/>
                <w:lang w:val="en-US"/>
              </w:rPr>
            </w:pPr>
            <w:r w:rsidRPr="0003048E">
              <w:rPr>
                <w:rFonts w:ascii="Times New Roman" w:hAnsi="Times New Roman" w:cs="Times New Roman"/>
                <w:sz w:val="24"/>
                <w:szCs w:val="24"/>
              </w:rPr>
              <w:t>7 hours</w:t>
            </w:r>
          </w:p>
        </w:tc>
      </w:tr>
      <w:tr w:rsidRPr="00FF2828" w:rsidR="00EB1B35" w:rsidTr="002B6D38" w14:paraId="5AA17D4E" w14:textId="77777777">
        <w:trPr>
          <w:trHeight w:val="439"/>
        </w:trPr>
        <w:tc>
          <w:tcPr>
            <w:tcW w:w="6385" w:type="dxa"/>
            <w:gridSpan w:val="3"/>
            <w:tcBorders>
              <w:top w:val="single" w:color="auto" w:sz="12" w:space="0"/>
              <w:left w:val="single" w:color="auto" w:sz="6" w:space="0"/>
              <w:bottom w:val="single" w:color="auto" w:sz="12" w:space="0"/>
            </w:tcBorders>
            <w:vAlign w:val="center"/>
          </w:tcPr>
          <w:p w:rsidRPr="0003048E" w:rsidR="00EB1B35" w:rsidP="002B6D38" w:rsidRDefault="00EB1B35" w14:paraId="429F2705" w14:textId="77777777">
            <w:pPr>
              <w:rPr>
                <w:rFonts w:ascii="Times New Roman" w:hAnsi="Times New Roman" w:cs="Times New Roman"/>
                <w:b/>
                <w:sz w:val="24"/>
                <w:szCs w:val="24"/>
              </w:rPr>
            </w:pPr>
            <w:r w:rsidRPr="0003048E">
              <w:rPr>
                <w:rFonts w:ascii="Times New Roman" w:hAnsi="Times New Roman" w:cs="Times New Roman"/>
                <w:b/>
                <w:sz w:val="24"/>
                <w:szCs w:val="24"/>
              </w:rPr>
              <w:t xml:space="preserve">Total Hourly Burden </w:t>
            </w:r>
          </w:p>
        </w:tc>
        <w:tc>
          <w:tcPr>
            <w:tcW w:w="1980" w:type="dxa"/>
            <w:tcBorders>
              <w:top w:val="single" w:color="auto" w:sz="12" w:space="0"/>
              <w:left w:val="single" w:color="auto" w:sz="6" w:space="0"/>
              <w:bottom w:val="single" w:color="auto" w:sz="12" w:space="0"/>
            </w:tcBorders>
            <w:vAlign w:val="center"/>
          </w:tcPr>
          <w:p w:rsidRPr="0003048E" w:rsidR="00EB1B35" w:rsidP="002B6D38" w:rsidRDefault="00EB1B35" w14:paraId="6EA8BE82" w14:textId="77777777">
            <w:pPr>
              <w:jc w:val="center"/>
              <w:rPr>
                <w:rFonts w:ascii="Times New Roman" w:hAnsi="Times New Roman" w:cs="Times New Roman"/>
                <w:b/>
                <w:sz w:val="24"/>
                <w:szCs w:val="24"/>
                <w:lang w:val="en-US"/>
              </w:rPr>
            </w:pPr>
            <w:r w:rsidRPr="0003048E">
              <w:rPr>
                <w:rFonts w:ascii="Times New Roman" w:hAnsi="Times New Roman" w:cs="Times New Roman"/>
                <w:b/>
                <w:sz w:val="24"/>
                <w:szCs w:val="24"/>
              </w:rPr>
              <w:t>427 hours</w:t>
            </w:r>
          </w:p>
        </w:tc>
      </w:tr>
    </w:tbl>
    <w:p w:rsidR="00EB1B35" w:rsidP="00DA4035" w:rsidRDefault="00EB1B35" w14:paraId="6D78174C" w14:textId="13342290">
      <w:pPr>
        <w:pStyle w:val="BodyText"/>
        <w:ind w:left="0"/>
        <w:rPr>
          <w:rFonts w:cs="Times New Roman"/>
          <w:sz w:val="24"/>
          <w:szCs w:val="24"/>
        </w:rPr>
      </w:pPr>
    </w:p>
    <w:p w:rsidR="00DC1DDE" w:rsidP="00DC1DDE" w:rsidRDefault="00CA6BCF" w14:paraId="268D0493" w14:textId="158A4D03">
      <w:pPr>
        <w:pStyle w:val="BodyText"/>
        <w:ind w:left="0" w:firstLine="720"/>
        <w:rPr>
          <w:rFonts w:cs="Times New Roman"/>
          <w:sz w:val="24"/>
          <w:szCs w:val="24"/>
        </w:rPr>
      </w:pPr>
      <w:r w:rsidRPr="00DC1DDE">
        <w:rPr>
          <w:rFonts w:cs="Times New Roman"/>
          <w:sz w:val="24"/>
          <w:szCs w:val="24"/>
        </w:rPr>
        <w:t xml:space="preserve">Based on burden estimates provided by one commenter, </w:t>
      </w:r>
      <w:r w:rsidR="00DC1DDE">
        <w:rPr>
          <w:rFonts w:cs="Times New Roman"/>
          <w:sz w:val="24"/>
          <w:szCs w:val="24"/>
        </w:rPr>
        <w:t xml:space="preserve">as </w:t>
      </w:r>
      <w:r w:rsidR="00FF2828">
        <w:rPr>
          <w:rFonts w:cs="Times New Roman"/>
          <w:sz w:val="24"/>
          <w:szCs w:val="24"/>
        </w:rPr>
        <w:t xml:space="preserve">described </w:t>
      </w:r>
      <w:r w:rsidR="00DC1DDE">
        <w:rPr>
          <w:rFonts w:cs="Times New Roman"/>
          <w:sz w:val="24"/>
          <w:szCs w:val="24"/>
        </w:rPr>
        <w:t xml:space="preserve">in section 8 above, </w:t>
      </w:r>
      <w:r w:rsidRPr="00DC1DDE">
        <w:rPr>
          <w:rFonts w:cs="Times New Roman"/>
          <w:sz w:val="24"/>
          <w:szCs w:val="24"/>
        </w:rPr>
        <w:t>FinCEN is revising its burden estimate related to the number of hours</w:t>
      </w:r>
      <w:r w:rsidRPr="00DC1DDE" w:rsidR="00DC1DDE">
        <w:rPr>
          <w:rFonts w:cs="Times New Roman"/>
          <w:sz w:val="24"/>
          <w:szCs w:val="24"/>
        </w:rPr>
        <w:t xml:space="preserve"> necessary to file a report for one FFA response from 5 hours, to a range of </w:t>
      </w:r>
      <w:r w:rsidR="00F145EE">
        <w:rPr>
          <w:rFonts w:cs="Times New Roman"/>
          <w:sz w:val="24"/>
          <w:szCs w:val="24"/>
        </w:rPr>
        <w:t>the following:</w:t>
      </w:r>
    </w:p>
    <w:p w:rsidRPr="00DC1DDE" w:rsidR="00F145EE" w:rsidP="00DC1DDE" w:rsidRDefault="00F145EE" w14:paraId="3006F78D" w14:textId="77777777">
      <w:pPr>
        <w:pStyle w:val="BodyText"/>
        <w:ind w:left="0" w:firstLine="720"/>
        <w:rPr>
          <w:rFonts w:cs="Times New Roman"/>
          <w:sz w:val="24"/>
          <w:szCs w:val="24"/>
        </w:rPr>
      </w:pPr>
    </w:p>
    <w:p w:rsidRPr="00DC1DDE" w:rsidR="00DC1DDE" w:rsidP="00F145EE" w:rsidRDefault="00F145EE" w14:paraId="2ED17D61" w14:textId="194CE376">
      <w:pPr>
        <w:pStyle w:val="BodyText"/>
        <w:numPr>
          <w:ilvl w:val="0"/>
          <w:numId w:val="5"/>
        </w:numPr>
        <w:rPr>
          <w:rFonts w:cs="Times New Roman"/>
          <w:sz w:val="24"/>
          <w:szCs w:val="24"/>
        </w:rPr>
      </w:pPr>
      <w:r>
        <w:rPr>
          <w:rFonts w:cs="Times New Roman"/>
          <w:sz w:val="24"/>
          <w:szCs w:val="24"/>
        </w:rPr>
        <w:t xml:space="preserve">Simple request - </w:t>
      </w:r>
      <w:r w:rsidRPr="00DC1DDE" w:rsidR="00DC1DDE">
        <w:rPr>
          <w:rFonts w:cs="Times New Roman"/>
          <w:sz w:val="24"/>
          <w:szCs w:val="24"/>
        </w:rPr>
        <w:t>5 to 8 hours</w:t>
      </w:r>
      <w:r>
        <w:rPr>
          <w:rFonts w:cs="Times New Roman"/>
          <w:sz w:val="24"/>
          <w:szCs w:val="24"/>
        </w:rPr>
        <w:t xml:space="preserve"> </w:t>
      </w:r>
      <w:r w:rsidRPr="00DC1DDE" w:rsidR="00DC1DDE">
        <w:rPr>
          <w:rFonts w:cs="Times New Roman"/>
          <w:sz w:val="24"/>
          <w:szCs w:val="24"/>
        </w:rPr>
        <w:t>(average 6.5 hours</w:t>
      </w:r>
      <w:r w:rsidR="006D017C">
        <w:rPr>
          <w:rFonts w:cs="Times New Roman"/>
          <w:sz w:val="24"/>
          <w:szCs w:val="24"/>
        </w:rPr>
        <w:t xml:space="preserve"> round</w:t>
      </w:r>
      <w:r w:rsidR="00B83A2D">
        <w:rPr>
          <w:rFonts w:cs="Times New Roman"/>
          <w:sz w:val="24"/>
          <w:szCs w:val="24"/>
        </w:rPr>
        <w:t>ed</w:t>
      </w:r>
      <w:r w:rsidR="006D017C">
        <w:rPr>
          <w:rFonts w:cs="Times New Roman"/>
          <w:sz w:val="24"/>
          <w:szCs w:val="24"/>
        </w:rPr>
        <w:t xml:space="preserve"> up to 7 hours</w:t>
      </w:r>
      <w:r w:rsidRPr="00DC1DDE" w:rsidR="00DC1DDE">
        <w:rPr>
          <w:rFonts w:cs="Times New Roman"/>
          <w:sz w:val="24"/>
          <w:szCs w:val="24"/>
        </w:rPr>
        <w:t>)</w:t>
      </w:r>
    </w:p>
    <w:p w:rsidRPr="00DC1DDE" w:rsidR="00DC1DDE" w:rsidP="00F145EE" w:rsidRDefault="00F145EE" w14:paraId="6C5ACE63" w14:textId="14AAE157">
      <w:pPr>
        <w:pStyle w:val="BodyText"/>
        <w:numPr>
          <w:ilvl w:val="0"/>
          <w:numId w:val="5"/>
        </w:numPr>
        <w:rPr>
          <w:rFonts w:cs="Times New Roman"/>
          <w:sz w:val="24"/>
          <w:szCs w:val="24"/>
        </w:rPr>
      </w:pPr>
      <w:r>
        <w:rPr>
          <w:rFonts w:cs="Times New Roman"/>
          <w:sz w:val="24"/>
          <w:szCs w:val="24"/>
        </w:rPr>
        <w:t xml:space="preserve">Typical request - </w:t>
      </w:r>
      <w:r w:rsidRPr="00DC1DDE" w:rsidR="00DC1DDE">
        <w:rPr>
          <w:rFonts w:cs="Times New Roman"/>
          <w:sz w:val="24"/>
          <w:szCs w:val="24"/>
        </w:rPr>
        <w:t>80 to 120 hours</w:t>
      </w:r>
      <w:r>
        <w:rPr>
          <w:rFonts w:cs="Times New Roman"/>
          <w:sz w:val="24"/>
          <w:szCs w:val="24"/>
        </w:rPr>
        <w:t xml:space="preserve"> </w:t>
      </w:r>
      <w:r w:rsidRPr="00DC1DDE" w:rsidR="00DC1DDE">
        <w:rPr>
          <w:rFonts w:cs="Times New Roman"/>
          <w:sz w:val="24"/>
          <w:szCs w:val="24"/>
        </w:rPr>
        <w:t>(average 100 hours)</w:t>
      </w:r>
    </w:p>
    <w:p w:rsidR="00656A00" w:rsidP="00F145EE" w:rsidRDefault="00F145EE" w14:paraId="521EAD54" w14:textId="1653BA7C">
      <w:pPr>
        <w:pStyle w:val="BodyText"/>
        <w:numPr>
          <w:ilvl w:val="0"/>
          <w:numId w:val="5"/>
        </w:numPr>
        <w:rPr>
          <w:rFonts w:cs="Times New Roman"/>
          <w:sz w:val="24"/>
          <w:szCs w:val="24"/>
        </w:rPr>
      </w:pPr>
      <w:r>
        <w:rPr>
          <w:rFonts w:cs="Times New Roman"/>
          <w:sz w:val="24"/>
          <w:szCs w:val="24"/>
        </w:rPr>
        <w:t xml:space="preserve">Complex request - </w:t>
      </w:r>
      <w:r w:rsidRPr="00DC1DDE" w:rsidR="00DC1DDE">
        <w:rPr>
          <w:rFonts w:cs="Times New Roman"/>
          <w:sz w:val="24"/>
          <w:szCs w:val="24"/>
        </w:rPr>
        <w:t>320 to 400 hours</w:t>
      </w:r>
      <w:r>
        <w:rPr>
          <w:rFonts w:cs="Times New Roman"/>
          <w:sz w:val="24"/>
          <w:szCs w:val="24"/>
        </w:rPr>
        <w:t xml:space="preserve"> </w:t>
      </w:r>
      <w:r w:rsidRPr="00DC1DDE" w:rsidR="00DC1DDE">
        <w:rPr>
          <w:rFonts w:cs="Times New Roman"/>
          <w:sz w:val="24"/>
          <w:szCs w:val="24"/>
        </w:rPr>
        <w:t>(average 360</w:t>
      </w:r>
      <w:r>
        <w:rPr>
          <w:rFonts w:cs="Times New Roman"/>
          <w:sz w:val="24"/>
          <w:szCs w:val="24"/>
        </w:rPr>
        <w:t xml:space="preserve"> hours</w:t>
      </w:r>
      <w:r w:rsidRPr="00DC1DDE" w:rsidR="00DC1DDE">
        <w:rPr>
          <w:rFonts w:cs="Times New Roman"/>
          <w:sz w:val="24"/>
          <w:szCs w:val="24"/>
        </w:rPr>
        <w:t xml:space="preserve">)  </w:t>
      </w:r>
    </w:p>
    <w:p w:rsidR="00F145EE" w:rsidP="00F145EE" w:rsidRDefault="00F145EE" w14:paraId="2525EDDB" w14:textId="3B22B6FC">
      <w:pPr>
        <w:pStyle w:val="BodyText"/>
        <w:ind w:left="0"/>
        <w:rPr>
          <w:rFonts w:cs="Times New Roman"/>
          <w:sz w:val="24"/>
          <w:szCs w:val="24"/>
        </w:rPr>
      </w:pPr>
    </w:p>
    <w:p w:rsidR="00F145EE" w:rsidP="00F145EE" w:rsidRDefault="00F145EE" w14:paraId="3DD2C5E0" w14:textId="0E6A6A29">
      <w:pPr>
        <w:pStyle w:val="BodyText"/>
        <w:ind w:left="0" w:firstLine="360"/>
        <w:rPr>
          <w:rFonts w:cs="Times New Roman"/>
          <w:sz w:val="24"/>
          <w:szCs w:val="24"/>
        </w:rPr>
      </w:pPr>
      <w:r>
        <w:rPr>
          <w:rFonts w:cs="Times New Roman"/>
          <w:sz w:val="24"/>
          <w:szCs w:val="24"/>
        </w:rPr>
        <w:t>FinCEN</w:t>
      </w:r>
      <w:r w:rsidR="002D2720">
        <w:rPr>
          <w:rFonts w:cs="Times New Roman"/>
          <w:sz w:val="24"/>
          <w:szCs w:val="24"/>
        </w:rPr>
        <w:t>’</w:t>
      </w:r>
      <w:r>
        <w:rPr>
          <w:rFonts w:cs="Times New Roman"/>
          <w:sz w:val="24"/>
          <w:szCs w:val="24"/>
        </w:rPr>
        <w:t>s revised burden estimate as outlined in Table 2 directly below makes the assumption that the percentage of requests are broken down as follows:</w:t>
      </w:r>
    </w:p>
    <w:p w:rsidR="00616285" w:rsidP="00F145EE" w:rsidRDefault="00616285" w14:paraId="73FA82B6" w14:textId="77777777">
      <w:pPr>
        <w:pStyle w:val="BodyText"/>
        <w:ind w:left="0" w:firstLine="360"/>
        <w:rPr>
          <w:rFonts w:cs="Times New Roman"/>
          <w:sz w:val="24"/>
          <w:szCs w:val="24"/>
        </w:rPr>
      </w:pPr>
    </w:p>
    <w:p w:rsidRPr="00DC1DDE" w:rsidR="00F145EE" w:rsidP="00F145EE" w:rsidRDefault="00F145EE" w14:paraId="46E2731B" w14:textId="4E2798A1">
      <w:pPr>
        <w:pStyle w:val="BodyText"/>
        <w:numPr>
          <w:ilvl w:val="0"/>
          <w:numId w:val="5"/>
        </w:numPr>
        <w:rPr>
          <w:rFonts w:cs="Times New Roman"/>
          <w:sz w:val="24"/>
          <w:szCs w:val="24"/>
        </w:rPr>
      </w:pPr>
      <w:r>
        <w:rPr>
          <w:rFonts w:cs="Times New Roman"/>
          <w:sz w:val="24"/>
          <w:szCs w:val="24"/>
        </w:rPr>
        <w:t>Simple request - 25%</w:t>
      </w:r>
    </w:p>
    <w:p w:rsidRPr="00DC1DDE" w:rsidR="00F145EE" w:rsidP="00F145EE" w:rsidRDefault="00F145EE" w14:paraId="7866A500" w14:textId="585A9F1B">
      <w:pPr>
        <w:pStyle w:val="BodyText"/>
        <w:numPr>
          <w:ilvl w:val="0"/>
          <w:numId w:val="5"/>
        </w:numPr>
        <w:rPr>
          <w:rFonts w:cs="Times New Roman"/>
          <w:sz w:val="24"/>
          <w:szCs w:val="24"/>
        </w:rPr>
      </w:pPr>
      <w:r>
        <w:rPr>
          <w:rFonts w:cs="Times New Roman"/>
          <w:sz w:val="24"/>
          <w:szCs w:val="24"/>
        </w:rPr>
        <w:t>Typical request - 50%</w:t>
      </w:r>
    </w:p>
    <w:p w:rsidRPr="00DC1DDE" w:rsidR="00F145EE" w:rsidP="00F145EE" w:rsidRDefault="00F145EE" w14:paraId="0C20DEB7" w14:textId="34580BF3">
      <w:pPr>
        <w:pStyle w:val="BodyText"/>
        <w:numPr>
          <w:ilvl w:val="0"/>
          <w:numId w:val="5"/>
        </w:numPr>
        <w:rPr>
          <w:rFonts w:cs="Times New Roman"/>
          <w:sz w:val="24"/>
          <w:szCs w:val="24"/>
        </w:rPr>
      </w:pPr>
      <w:r>
        <w:rPr>
          <w:rFonts w:cs="Times New Roman"/>
          <w:sz w:val="24"/>
          <w:szCs w:val="24"/>
        </w:rPr>
        <w:t>Complex request - 25%</w:t>
      </w:r>
    </w:p>
    <w:p w:rsidR="00CA6BCF" w:rsidP="00656A00" w:rsidRDefault="00CA6BCF" w14:paraId="6FC44CC4" w14:textId="6C756A83">
      <w:pPr>
        <w:rPr>
          <w:rFonts w:ascii="Times New Roman" w:hAnsi="Times New Roman" w:cs="Times New Roman"/>
          <w:sz w:val="24"/>
          <w:szCs w:val="24"/>
        </w:rPr>
      </w:pPr>
    </w:p>
    <w:p w:rsidR="00656A00" w:rsidP="00656A00" w:rsidRDefault="00CA6BCF" w14:paraId="7ABBF6B4" w14:textId="6BD44D6F">
      <w:pPr>
        <w:rPr>
          <w:rFonts w:ascii="Times New Roman" w:hAnsi="Times New Roman" w:cs="Times New Roman"/>
          <w:sz w:val="24"/>
          <w:szCs w:val="24"/>
        </w:rPr>
      </w:pPr>
      <w:r w:rsidRPr="00CA6BCF">
        <w:rPr>
          <w:rFonts w:ascii="Times New Roman" w:hAnsi="Times New Roman" w:cs="Times New Roman"/>
          <w:b/>
          <w:sz w:val="24"/>
          <w:szCs w:val="24"/>
        </w:rPr>
        <w:t xml:space="preserve">Table 2 - </w:t>
      </w:r>
      <w:r w:rsidRPr="00CA6BCF" w:rsidR="00656A00">
        <w:rPr>
          <w:rFonts w:ascii="Times New Roman" w:hAnsi="Times New Roman" w:cs="Times New Roman"/>
          <w:b/>
          <w:sz w:val="24"/>
          <w:szCs w:val="24"/>
        </w:rPr>
        <w:t xml:space="preserve">Revised </w:t>
      </w:r>
      <w:r w:rsidR="00A85B8D">
        <w:rPr>
          <w:rFonts w:ascii="Times New Roman" w:hAnsi="Times New Roman" w:cs="Times New Roman"/>
          <w:b/>
          <w:sz w:val="24"/>
          <w:szCs w:val="24"/>
        </w:rPr>
        <w:t xml:space="preserve">reporting </w:t>
      </w:r>
      <w:r w:rsidRPr="00CA6BCF">
        <w:rPr>
          <w:rFonts w:ascii="Times New Roman" w:hAnsi="Times New Roman" w:cs="Times New Roman"/>
          <w:b/>
          <w:sz w:val="24"/>
          <w:szCs w:val="24"/>
        </w:rPr>
        <w:t>burden associated with each portion of the traditional annual PRA estimate, as a result of public comments</w:t>
      </w:r>
    </w:p>
    <w:tbl>
      <w:tblPr>
        <w:tblStyle w:val="TableGrid"/>
        <w:tblW w:w="0" w:type="auto"/>
        <w:tblLook w:val="04A0" w:firstRow="1" w:lastRow="0" w:firstColumn="1" w:lastColumn="0" w:noHBand="0" w:noVBand="1"/>
      </w:tblPr>
      <w:tblGrid>
        <w:gridCol w:w="1745"/>
        <w:gridCol w:w="1757"/>
        <w:gridCol w:w="1772"/>
        <w:gridCol w:w="1772"/>
        <w:gridCol w:w="1744"/>
      </w:tblGrid>
      <w:tr w:rsidRPr="000F5390" w:rsidR="00DE5FB8" w:rsidTr="00607492" w14:paraId="78AD414C" w14:textId="0570C79A">
        <w:tc>
          <w:tcPr>
            <w:tcW w:w="1745" w:type="dxa"/>
            <w:shd w:val="clear" w:color="auto" w:fill="D9D9D9" w:themeFill="background1" w:themeFillShade="D9"/>
          </w:tcPr>
          <w:p w:rsidRPr="00DE5FB8" w:rsidR="00DE5FB8" w:rsidP="00DE5FB8" w:rsidRDefault="00DE5FB8" w14:paraId="17F44B9B" w14:textId="16451988">
            <w:pPr>
              <w:jc w:val="center"/>
              <w:rPr>
                <w:rFonts w:ascii="Times New Roman" w:hAnsi="Times New Roman" w:cs="Times New Roman"/>
                <w:b/>
                <w:sz w:val="24"/>
                <w:szCs w:val="24"/>
              </w:rPr>
            </w:pPr>
            <w:r w:rsidRPr="00DE5FB8">
              <w:rPr>
                <w:rFonts w:ascii="Times New Roman" w:hAnsi="Times New Roman" w:cs="Times New Roman"/>
                <w:b/>
                <w:sz w:val="24"/>
                <w:szCs w:val="24"/>
              </w:rPr>
              <w:t>Type of FFA request:</w:t>
            </w:r>
          </w:p>
        </w:tc>
        <w:tc>
          <w:tcPr>
            <w:tcW w:w="1757" w:type="dxa"/>
            <w:shd w:val="clear" w:color="auto" w:fill="D9D9D9" w:themeFill="background1" w:themeFillShade="D9"/>
          </w:tcPr>
          <w:p w:rsidRPr="00DE5FB8" w:rsidR="00DE5FB8" w:rsidP="00DE5FB8" w:rsidRDefault="00DE5FB8" w14:paraId="120548A9" w14:textId="26ACAD91">
            <w:pPr>
              <w:jc w:val="center"/>
              <w:rPr>
                <w:rFonts w:ascii="Times New Roman" w:hAnsi="Times New Roman" w:cs="Times New Roman"/>
                <w:b/>
                <w:sz w:val="24"/>
                <w:szCs w:val="24"/>
              </w:rPr>
            </w:pPr>
            <w:r w:rsidRPr="00DE5FB8">
              <w:rPr>
                <w:rFonts w:ascii="Times New Roman" w:hAnsi="Times New Roman" w:cs="Times New Roman"/>
                <w:b/>
                <w:sz w:val="24"/>
                <w:szCs w:val="24"/>
              </w:rPr>
              <w:t>Simple request (5 to 8 hours per response)</w:t>
            </w:r>
          </w:p>
        </w:tc>
        <w:tc>
          <w:tcPr>
            <w:tcW w:w="1772" w:type="dxa"/>
            <w:shd w:val="clear" w:color="auto" w:fill="D9D9D9" w:themeFill="background1" w:themeFillShade="D9"/>
          </w:tcPr>
          <w:p w:rsidRPr="00DE5FB8" w:rsidR="00DE5FB8" w:rsidP="00DE5FB8" w:rsidRDefault="00DE5FB8" w14:paraId="6FC13C94" w14:textId="6C164C01">
            <w:pPr>
              <w:jc w:val="center"/>
              <w:rPr>
                <w:rFonts w:ascii="Times New Roman" w:hAnsi="Times New Roman" w:cs="Times New Roman"/>
                <w:b/>
                <w:sz w:val="24"/>
                <w:szCs w:val="24"/>
              </w:rPr>
            </w:pPr>
            <w:r w:rsidRPr="00DE5FB8">
              <w:rPr>
                <w:rFonts w:ascii="Times New Roman" w:hAnsi="Times New Roman" w:cs="Times New Roman"/>
                <w:b/>
                <w:sz w:val="24"/>
                <w:szCs w:val="24"/>
              </w:rPr>
              <w:t>Typical request (80 to 120 hours per response)</w:t>
            </w:r>
          </w:p>
        </w:tc>
        <w:tc>
          <w:tcPr>
            <w:tcW w:w="1772" w:type="dxa"/>
            <w:shd w:val="clear" w:color="auto" w:fill="D9D9D9" w:themeFill="background1" w:themeFillShade="D9"/>
          </w:tcPr>
          <w:p w:rsidRPr="00DE5FB8" w:rsidR="00DE5FB8" w:rsidP="00DE5FB8" w:rsidRDefault="00DE5FB8" w14:paraId="633DFB04" w14:textId="1171C63D">
            <w:pPr>
              <w:jc w:val="center"/>
              <w:rPr>
                <w:rFonts w:ascii="Times New Roman" w:hAnsi="Times New Roman" w:cs="Times New Roman"/>
                <w:b/>
                <w:sz w:val="24"/>
                <w:szCs w:val="24"/>
              </w:rPr>
            </w:pPr>
            <w:r w:rsidRPr="00DE5FB8">
              <w:rPr>
                <w:rFonts w:ascii="Times New Roman" w:hAnsi="Times New Roman" w:cs="Times New Roman"/>
                <w:b/>
                <w:sz w:val="24"/>
                <w:szCs w:val="24"/>
              </w:rPr>
              <w:t>Complex request (320 to 400 hours per response)</w:t>
            </w:r>
          </w:p>
        </w:tc>
        <w:tc>
          <w:tcPr>
            <w:tcW w:w="1744" w:type="dxa"/>
            <w:shd w:val="clear" w:color="auto" w:fill="D9D9D9" w:themeFill="background1" w:themeFillShade="D9"/>
          </w:tcPr>
          <w:p w:rsidRPr="00DE5FB8" w:rsidR="00DE5FB8" w:rsidP="00DE5FB8" w:rsidRDefault="00DE5FB8" w14:paraId="52A604EF" w14:textId="0434EDD6">
            <w:pPr>
              <w:jc w:val="center"/>
              <w:rPr>
                <w:rFonts w:ascii="Times New Roman" w:hAnsi="Times New Roman" w:cs="Times New Roman"/>
                <w:b/>
                <w:sz w:val="24"/>
                <w:szCs w:val="24"/>
              </w:rPr>
            </w:pPr>
            <w:r>
              <w:rPr>
                <w:rFonts w:ascii="Times New Roman" w:hAnsi="Times New Roman" w:cs="Times New Roman"/>
                <w:b/>
                <w:sz w:val="24"/>
                <w:szCs w:val="24"/>
              </w:rPr>
              <w:t>Totals</w:t>
            </w:r>
          </w:p>
        </w:tc>
      </w:tr>
      <w:tr w:rsidRPr="000F5390" w:rsidR="00DE5FB8" w:rsidTr="00DE5FB8" w14:paraId="4854FC41" w14:textId="4618222F">
        <w:tc>
          <w:tcPr>
            <w:tcW w:w="1745" w:type="dxa"/>
          </w:tcPr>
          <w:p w:rsidRPr="000F5390" w:rsidR="00DE5FB8" w:rsidP="002B6D38" w:rsidRDefault="00DE5FB8" w14:paraId="29AEEAEF" w14:textId="77777777">
            <w:pPr>
              <w:rPr>
                <w:rFonts w:ascii="Times New Roman" w:hAnsi="Times New Roman" w:cs="Times New Roman"/>
                <w:sz w:val="24"/>
                <w:szCs w:val="24"/>
              </w:rPr>
            </w:pPr>
            <w:r w:rsidRPr="000F5390">
              <w:rPr>
                <w:rFonts w:ascii="Times New Roman" w:hAnsi="Times New Roman" w:cs="Times New Roman"/>
                <w:sz w:val="24"/>
                <w:szCs w:val="24"/>
              </w:rPr>
              <w:t>Average</w:t>
            </w:r>
            <w:r>
              <w:rPr>
                <w:rFonts w:ascii="Times New Roman" w:hAnsi="Times New Roman" w:cs="Times New Roman"/>
                <w:sz w:val="24"/>
                <w:szCs w:val="24"/>
              </w:rPr>
              <w:t xml:space="preserve"> hours per response</w:t>
            </w:r>
          </w:p>
        </w:tc>
        <w:tc>
          <w:tcPr>
            <w:tcW w:w="1757" w:type="dxa"/>
          </w:tcPr>
          <w:p w:rsidRPr="000F5390" w:rsidR="00DE5FB8" w:rsidP="002B6D38" w:rsidRDefault="0006130C" w14:paraId="3677A313" w14:textId="3FBC1C81">
            <w:pPr>
              <w:rPr>
                <w:rFonts w:ascii="Times New Roman" w:hAnsi="Times New Roman" w:cs="Times New Roman"/>
                <w:sz w:val="24"/>
                <w:szCs w:val="24"/>
              </w:rPr>
            </w:pPr>
            <w:r>
              <w:rPr>
                <w:rFonts w:ascii="Times New Roman" w:hAnsi="Times New Roman" w:cs="Times New Roman"/>
                <w:sz w:val="24"/>
                <w:szCs w:val="24"/>
              </w:rPr>
              <w:t>7</w:t>
            </w:r>
            <w:r w:rsidRPr="000F5390" w:rsidR="00DE5FB8">
              <w:rPr>
                <w:rFonts w:ascii="Times New Roman" w:hAnsi="Times New Roman" w:cs="Times New Roman"/>
                <w:sz w:val="24"/>
                <w:szCs w:val="24"/>
              </w:rPr>
              <w:t xml:space="preserve"> hours</w:t>
            </w:r>
          </w:p>
        </w:tc>
        <w:tc>
          <w:tcPr>
            <w:tcW w:w="1772" w:type="dxa"/>
          </w:tcPr>
          <w:p w:rsidRPr="000F5390" w:rsidR="00DE5FB8" w:rsidP="002B6D38" w:rsidRDefault="00DE5FB8" w14:paraId="26B7D7FC" w14:textId="77777777">
            <w:pPr>
              <w:rPr>
                <w:rFonts w:ascii="Times New Roman" w:hAnsi="Times New Roman" w:cs="Times New Roman"/>
                <w:sz w:val="24"/>
                <w:szCs w:val="24"/>
              </w:rPr>
            </w:pPr>
            <w:r>
              <w:rPr>
                <w:rFonts w:ascii="Times New Roman" w:hAnsi="Times New Roman" w:cs="Times New Roman"/>
                <w:sz w:val="24"/>
                <w:szCs w:val="24"/>
              </w:rPr>
              <w:t>100</w:t>
            </w:r>
            <w:r w:rsidRPr="000F5390">
              <w:rPr>
                <w:rFonts w:ascii="Times New Roman" w:hAnsi="Times New Roman" w:cs="Times New Roman"/>
                <w:sz w:val="24"/>
                <w:szCs w:val="24"/>
              </w:rPr>
              <w:t xml:space="preserve"> hours</w:t>
            </w:r>
          </w:p>
        </w:tc>
        <w:tc>
          <w:tcPr>
            <w:tcW w:w="1772" w:type="dxa"/>
          </w:tcPr>
          <w:p w:rsidRPr="000F5390" w:rsidR="00DE5FB8" w:rsidP="002B6D38" w:rsidRDefault="00DE5FB8" w14:paraId="75E5AE58" w14:textId="77777777">
            <w:pPr>
              <w:rPr>
                <w:rFonts w:ascii="Times New Roman" w:hAnsi="Times New Roman" w:cs="Times New Roman"/>
                <w:sz w:val="24"/>
                <w:szCs w:val="24"/>
              </w:rPr>
            </w:pPr>
            <w:r w:rsidRPr="000F5390">
              <w:rPr>
                <w:rFonts w:ascii="Times New Roman" w:hAnsi="Times New Roman" w:cs="Times New Roman"/>
                <w:sz w:val="24"/>
                <w:szCs w:val="24"/>
              </w:rPr>
              <w:t>360 hours</w:t>
            </w:r>
          </w:p>
        </w:tc>
        <w:tc>
          <w:tcPr>
            <w:tcW w:w="1744" w:type="dxa"/>
          </w:tcPr>
          <w:p w:rsidRPr="000F5390" w:rsidR="00DE5FB8" w:rsidP="002B6D38" w:rsidRDefault="00DE5FB8" w14:paraId="26E44B5A" w14:textId="77777777">
            <w:pPr>
              <w:rPr>
                <w:rFonts w:ascii="Times New Roman" w:hAnsi="Times New Roman" w:cs="Times New Roman"/>
                <w:sz w:val="24"/>
                <w:szCs w:val="24"/>
              </w:rPr>
            </w:pPr>
          </w:p>
        </w:tc>
      </w:tr>
      <w:tr w:rsidRPr="000F5390" w:rsidR="00DE5FB8" w:rsidTr="00DE5FB8" w14:paraId="412E49FB" w14:textId="1F2B9337">
        <w:tc>
          <w:tcPr>
            <w:tcW w:w="1745" w:type="dxa"/>
          </w:tcPr>
          <w:p w:rsidRPr="000F5390" w:rsidR="00DE5FB8" w:rsidP="002B6D38" w:rsidRDefault="00DE5FB8" w14:paraId="7F5E325C" w14:textId="4FF6289B">
            <w:pPr>
              <w:rPr>
                <w:rFonts w:ascii="Times New Roman" w:hAnsi="Times New Roman" w:cs="Times New Roman"/>
                <w:sz w:val="24"/>
                <w:szCs w:val="24"/>
              </w:rPr>
            </w:pPr>
            <w:r>
              <w:rPr>
                <w:rFonts w:ascii="Times New Roman" w:hAnsi="Times New Roman" w:cs="Times New Roman"/>
                <w:sz w:val="24"/>
                <w:szCs w:val="24"/>
              </w:rPr>
              <w:t xml:space="preserve">Number of responses per FFA request type </w:t>
            </w:r>
          </w:p>
        </w:tc>
        <w:tc>
          <w:tcPr>
            <w:tcW w:w="1757" w:type="dxa"/>
          </w:tcPr>
          <w:p w:rsidRPr="000F5390" w:rsidR="00DE5FB8" w:rsidP="002B6D38" w:rsidRDefault="00DE5FB8" w14:paraId="5BBEF113" w14:textId="779FF758">
            <w:pPr>
              <w:rPr>
                <w:rFonts w:ascii="Times New Roman" w:hAnsi="Times New Roman" w:cs="Times New Roman"/>
                <w:sz w:val="24"/>
                <w:szCs w:val="24"/>
              </w:rPr>
            </w:pPr>
            <w:r>
              <w:rPr>
                <w:rFonts w:ascii="Times New Roman" w:hAnsi="Times New Roman" w:cs="Times New Roman"/>
                <w:sz w:val="24"/>
                <w:szCs w:val="24"/>
              </w:rPr>
              <w:t>21 responses</w:t>
            </w:r>
            <w:r>
              <w:rPr>
                <w:rStyle w:val="FootnoteReference"/>
                <w:rFonts w:ascii="Times New Roman" w:hAnsi="Times New Roman" w:cs="Times New Roman"/>
                <w:sz w:val="24"/>
                <w:szCs w:val="24"/>
              </w:rPr>
              <w:footnoteReference w:id="12"/>
            </w:r>
          </w:p>
        </w:tc>
        <w:tc>
          <w:tcPr>
            <w:tcW w:w="1772" w:type="dxa"/>
          </w:tcPr>
          <w:p w:rsidRPr="000F5390" w:rsidR="00DE5FB8" w:rsidP="002B6D38" w:rsidRDefault="00DE5FB8" w14:paraId="47335745" w14:textId="2E6EC677">
            <w:pPr>
              <w:rPr>
                <w:rFonts w:ascii="Times New Roman" w:hAnsi="Times New Roman" w:cs="Times New Roman"/>
                <w:sz w:val="24"/>
                <w:szCs w:val="24"/>
              </w:rPr>
            </w:pPr>
            <w:r>
              <w:rPr>
                <w:rFonts w:ascii="Times New Roman" w:hAnsi="Times New Roman" w:cs="Times New Roman"/>
                <w:sz w:val="24"/>
                <w:szCs w:val="24"/>
              </w:rPr>
              <w:t>42 responses</w:t>
            </w:r>
            <w:r>
              <w:rPr>
                <w:rStyle w:val="FootnoteReference"/>
                <w:rFonts w:ascii="Times New Roman" w:hAnsi="Times New Roman" w:cs="Times New Roman"/>
                <w:sz w:val="24"/>
                <w:szCs w:val="24"/>
              </w:rPr>
              <w:footnoteReference w:id="13"/>
            </w:r>
          </w:p>
        </w:tc>
        <w:tc>
          <w:tcPr>
            <w:tcW w:w="1772" w:type="dxa"/>
          </w:tcPr>
          <w:p w:rsidRPr="000F5390" w:rsidR="00DE5FB8" w:rsidP="002B6D38" w:rsidRDefault="00DE5FB8" w14:paraId="17A7C517" w14:textId="02639E68">
            <w:pPr>
              <w:rPr>
                <w:rFonts w:ascii="Times New Roman" w:hAnsi="Times New Roman" w:cs="Times New Roman"/>
                <w:sz w:val="24"/>
                <w:szCs w:val="24"/>
              </w:rPr>
            </w:pPr>
            <w:r>
              <w:rPr>
                <w:rFonts w:ascii="Times New Roman" w:hAnsi="Times New Roman" w:cs="Times New Roman"/>
                <w:sz w:val="24"/>
                <w:szCs w:val="24"/>
              </w:rPr>
              <w:t>21 responses</w:t>
            </w:r>
            <w:r>
              <w:rPr>
                <w:rStyle w:val="FootnoteReference"/>
                <w:rFonts w:ascii="Times New Roman" w:hAnsi="Times New Roman" w:cs="Times New Roman"/>
                <w:sz w:val="24"/>
                <w:szCs w:val="24"/>
              </w:rPr>
              <w:footnoteReference w:id="14"/>
            </w:r>
          </w:p>
        </w:tc>
        <w:tc>
          <w:tcPr>
            <w:tcW w:w="1744" w:type="dxa"/>
          </w:tcPr>
          <w:p w:rsidRPr="00607492" w:rsidR="00DE5FB8" w:rsidP="002B6D38" w:rsidRDefault="00DE5FB8" w14:paraId="65BB5E73" w14:textId="36DCE4D8">
            <w:pPr>
              <w:rPr>
                <w:rFonts w:ascii="Times New Roman" w:hAnsi="Times New Roman" w:cs="Times New Roman"/>
                <w:b/>
                <w:sz w:val="24"/>
                <w:szCs w:val="24"/>
              </w:rPr>
            </w:pPr>
            <w:r w:rsidRPr="00607492">
              <w:rPr>
                <w:rFonts w:ascii="Times New Roman" w:hAnsi="Times New Roman" w:cs="Times New Roman"/>
                <w:b/>
                <w:sz w:val="24"/>
                <w:szCs w:val="24"/>
              </w:rPr>
              <w:t>84 responses</w:t>
            </w:r>
          </w:p>
        </w:tc>
      </w:tr>
      <w:tr w:rsidRPr="000F5390" w:rsidR="00DE5FB8" w:rsidTr="00DE5FB8" w14:paraId="354011BB" w14:textId="602347D4">
        <w:tc>
          <w:tcPr>
            <w:tcW w:w="1745" w:type="dxa"/>
          </w:tcPr>
          <w:p w:rsidRPr="00607492" w:rsidR="00DE5FB8" w:rsidP="002B6D38" w:rsidRDefault="00DE5FB8" w14:paraId="27D8F4AE" w14:textId="0D038A04">
            <w:pPr>
              <w:rPr>
                <w:rFonts w:ascii="Times New Roman" w:hAnsi="Times New Roman" w:cs="Times New Roman"/>
                <w:sz w:val="24"/>
                <w:szCs w:val="24"/>
              </w:rPr>
            </w:pPr>
            <w:r w:rsidRPr="00607492">
              <w:rPr>
                <w:rFonts w:ascii="Times New Roman" w:hAnsi="Times New Roman" w:cs="Times New Roman"/>
                <w:sz w:val="24"/>
                <w:szCs w:val="24"/>
              </w:rPr>
              <w:t xml:space="preserve">Total anual </w:t>
            </w:r>
            <w:r w:rsidR="00A85B8D">
              <w:rPr>
                <w:rFonts w:ascii="Times New Roman" w:hAnsi="Times New Roman" w:cs="Times New Roman"/>
                <w:sz w:val="24"/>
                <w:szCs w:val="24"/>
              </w:rPr>
              <w:t xml:space="preserve">reporting </w:t>
            </w:r>
            <w:r w:rsidRPr="00607492">
              <w:rPr>
                <w:rFonts w:ascii="Times New Roman" w:hAnsi="Times New Roman" w:cs="Times New Roman"/>
                <w:sz w:val="24"/>
                <w:szCs w:val="24"/>
              </w:rPr>
              <w:t>burden hours per FFA request type</w:t>
            </w:r>
          </w:p>
        </w:tc>
        <w:tc>
          <w:tcPr>
            <w:tcW w:w="1757" w:type="dxa"/>
          </w:tcPr>
          <w:p w:rsidRPr="000F5390" w:rsidR="00DE5FB8" w:rsidP="002B6D38" w:rsidRDefault="0006130C" w14:paraId="492F9086" w14:textId="2E9E547C">
            <w:pPr>
              <w:rPr>
                <w:rFonts w:ascii="Times New Roman" w:hAnsi="Times New Roman" w:cs="Times New Roman"/>
                <w:sz w:val="24"/>
                <w:szCs w:val="24"/>
              </w:rPr>
            </w:pPr>
            <w:r>
              <w:rPr>
                <w:rFonts w:ascii="Times New Roman" w:hAnsi="Times New Roman" w:cs="Times New Roman"/>
                <w:sz w:val="24"/>
                <w:szCs w:val="24"/>
              </w:rPr>
              <w:t>147</w:t>
            </w:r>
            <w:r w:rsidR="00DE5FB8">
              <w:rPr>
                <w:rFonts w:ascii="Times New Roman" w:hAnsi="Times New Roman" w:cs="Times New Roman"/>
                <w:sz w:val="24"/>
                <w:szCs w:val="24"/>
              </w:rPr>
              <w:t xml:space="preserve"> hours</w:t>
            </w:r>
          </w:p>
        </w:tc>
        <w:tc>
          <w:tcPr>
            <w:tcW w:w="1772" w:type="dxa"/>
          </w:tcPr>
          <w:p w:rsidRPr="000F5390" w:rsidR="00DE5FB8" w:rsidP="002B6D38" w:rsidRDefault="00DE5FB8" w14:paraId="40C8524D" w14:textId="77777777">
            <w:pPr>
              <w:rPr>
                <w:rFonts w:ascii="Times New Roman" w:hAnsi="Times New Roman" w:cs="Times New Roman"/>
                <w:sz w:val="24"/>
                <w:szCs w:val="24"/>
              </w:rPr>
            </w:pPr>
            <w:r>
              <w:rPr>
                <w:rFonts w:ascii="Times New Roman" w:hAnsi="Times New Roman" w:cs="Times New Roman"/>
                <w:sz w:val="24"/>
                <w:szCs w:val="24"/>
              </w:rPr>
              <w:t>4,200 hours</w:t>
            </w:r>
          </w:p>
        </w:tc>
        <w:tc>
          <w:tcPr>
            <w:tcW w:w="1772" w:type="dxa"/>
          </w:tcPr>
          <w:p w:rsidRPr="000F5390" w:rsidR="00DE5FB8" w:rsidP="002B6D38" w:rsidRDefault="00DE5FB8" w14:paraId="600A23D8" w14:textId="77777777">
            <w:pPr>
              <w:rPr>
                <w:rFonts w:ascii="Times New Roman" w:hAnsi="Times New Roman" w:cs="Times New Roman"/>
                <w:sz w:val="24"/>
                <w:szCs w:val="24"/>
              </w:rPr>
            </w:pPr>
            <w:r>
              <w:rPr>
                <w:rFonts w:ascii="Times New Roman" w:hAnsi="Times New Roman" w:cs="Times New Roman"/>
                <w:sz w:val="24"/>
                <w:szCs w:val="24"/>
              </w:rPr>
              <w:t>7,560</w:t>
            </w:r>
            <w:r w:rsidRPr="000F5390">
              <w:rPr>
                <w:rFonts w:ascii="Times New Roman" w:hAnsi="Times New Roman" w:cs="Times New Roman"/>
                <w:sz w:val="24"/>
                <w:szCs w:val="24"/>
              </w:rPr>
              <w:t xml:space="preserve"> hours</w:t>
            </w:r>
          </w:p>
        </w:tc>
        <w:tc>
          <w:tcPr>
            <w:tcW w:w="1744" w:type="dxa"/>
          </w:tcPr>
          <w:p w:rsidRPr="00607492" w:rsidR="00DE5FB8" w:rsidP="002B6D38" w:rsidRDefault="00DE5FB8" w14:paraId="448778FD" w14:textId="0B1BE7CD">
            <w:pPr>
              <w:rPr>
                <w:rFonts w:ascii="Times New Roman" w:hAnsi="Times New Roman" w:cs="Times New Roman"/>
                <w:b/>
                <w:sz w:val="24"/>
                <w:szCs w:val="24"/>
              </w:rPr>
            </w:pPr>
            <w:r w:rsidRPr="00607492">
              <w:rPr>
                <w:rFonts w:ascii="Times New Roman" w:hAnsi="Times New Roman" w:cs="Times New Roman"/>
                <w:b/>
                <w:sz w:val="24"/>
                <w:szCs w:val="24"/>
              </w:rPr>
              <w:t>11,</w:t>
            </w:r>
            <w:r w:rsidR="0006130C">
              <w:rPr>
                <w:rFonts w:ascii="Times New Roman" w:hAnsi="Times New Roman" w:cs="Times New Roman"/>
                <w:b/>
                <w:sz w:val="24"/>
                <w:szCs w:val="24"/>
              </w:rPr>
              <w:t>907</w:t>
            </w:r>
            <w:r w:rsidRPr="00607492">
              <w:rPr>
                <w:rFonts w:ascii="Times New Roman" w:hAnsi="Times New Roman" w:cs="Times New Roman"/>
                <w:b/>
                <w:sz w:val="24"/>
                <w:szCs w:val="24"/>
              </w:rPr>
              <w:t xml:space="preserve"> hours</w:t>
            </w:r>
          </w:p>
        </w:tc>
      </w:tr>
    </w:tbl>
    <w:p w:rsidR="00656A00" w:rsidP="00DA4035" w:rsidRDefault="00656A00" w14:paraId="6B6569A3" w14:textId="33575202">
      <w:pPr>
        <w:pStyle w:val="BodyText"/>
        <w:ind w:left="0"/>
        <w:rPr>
          <w:rFonts w:cs="Times New Roman"/>
          <w:sz w:val="24"/>
          <w:szCs w:val="24"/>
        </w:rPr>
      </w:pPr>
    </w:p>
    <w:p w:rsidR="00607492" w:rsidP="00607492" w:rsidRDefault="00607492" w14:paraId="58B21052" w14:textId="15B8CF26">
      <w:pPr>
        <w:pStyle w:val="BodyText"/>
        <w:ind w:left="0"/>
        <w:rPr>
          <w:rFonts w:cs="Times New Roman"/>
          <w:sz w:val="24"/>
          <w:szCs w:val="24"/>
        </w:rPr>
      </w:pPr>
      <w:r w:rsidRPr="001C7A3B">
        <w:rPr>
          <w:rFonts w:cs="Times New Roman"/>
          <w:sz w:val="24"/>
          <w:szCs w:val="24"/>
          <w:u w:val="single"/>
        </w:rPr>
        <w:t>Estimated Total Annual Burden Hours</w:t>
      </w:r>
      <w:r>
        <w:rPr>
          <w:rFonts w:cs="Times New Roman"/>
          <w:sz w:val="24"/>
          <w:szCs w:val="24"/>
        </w:rPr>
        <w:t>:</w:t>
      </w:r>
      <w:bookmarkStart w:name="_GoBack" w:id="0"/>
      <w:bookmarkEnd w:id="0"/>
      <w:r>
        <w:rPr>
          <w:rFonts w:cs="Times New Roman"/>
          <w:sz w:val="24"/>
          <w:szCs w:val="24"/>
        </w:rPr>
        <w:t xml:space="preserve">  </w:t>
      </w:r>
      <w:r w:rsidR="00A85B8D">
        <w:rPr>
          <w:rFonts w:cs="Times New Roman"/>
          <w:sz w:val="24"/>
          <w:szCs w:val="24"/>
        </w:rPr>
        <w:t>11,914 hours (</w:t>
      </w:r>
      <w:r>
        <w:rPr>
          <w:rFonts w:cs="Times New Roman"/>
          <w:sz w:val="24"/>
          <w:szCs w:val="24"/>
        </w:rPr>
        <w:t>11,</w:t>
      </w:r>
      <w:r w:rsidR="0006130C">
        <w:rPr>
          <w:rFonts w:cs="Times New Roman"/>
          <w:sz w:val="24"/>
          <w:szCs w:val="24"/>
        </w:rPr>
        <w:t>907</w:t>
      </w:r>
      <w:r>
        <w:rPr>
          <w:rFonts w:cs="Times New Roman"/>
          <w:sz w:val="24"/>
          <w:szCs w:val="24"/>
        </w:rPr>
        <w:t xml:space="preserve"> </w:t>
      </w:r>
      <w:r w:rsidR="00A85B8D">
        <w:rPr>
          <w:rFonts w:cs="Times New Roman"/>
          <w:sz w:val="24"/>
          <w:szCs w:val="24"/>
        </w:rPr>
        <w:t>reporting burden hours</w:t>
      </w:r>
      <w:r w:rsidR="00A85B8D">
        <w:rPr>
          <w:rStyle w:val="FootnoteReference"/>
          <w:rFonts w:cs="Times New Roman"/>
          <w:sz w:val="24"/>
          <w:szCs w:val="24"/>
        </w:rPr>
        <w:footnoteReference w:id="15"/>
      </w:r>
      <w:r w:rsidR="00A85B8D">
        <w:rPr>
          <w:rFonts w:cs="Times New Roman"/>
          <w:sz w:val="24"/>
          <w:szCs w:val="24"/>
        </w:rPr>
        <w:t xml:space="preserve"> plus 7 recordkeeping burden hours).</w:t>
      </w:r>
      <w:r w:rsidR="00A85B8D">
        <w:rPr>
          <w:rStyle w:val="FootnoteReference"/>
          <w:rFonts w:cs="Times New Roman"/>
          <w:sz w:val="24"/>
          <w:szCs w:val="24"/>
        </w:rPr>
        <w:footnoteReference w:id="16"/>
      </w:r>
    </w:p>
    <w:p w:rsidR="00607492" w:rsidP="00DA4035" w:rsidRDefault="00607492" w14:paraId="37F1F789" w14:textId="77777777">
      <w:pPr>
        <w:pStyle w:val="BodyText"/>
        <w:ind w:left="0"/>
        <w:rPr>
          <w:rFonts w:cs="Times New Roman"/>
          <w:sz w:val="24"/>
          <w:szCs w:val="24"/>
        </w:rPr>
      </w:pPr>
    </w:p>
    <w:p w:rsidR="00656A00" w:rsidP="00DA4035" w:rsidRDefault="008869DB" w14:paraId="09731963" w14:textId="59A1579E">
      <w:pPr>
        <w:pStyle w:val="BodyText"/>
        <w:ind w:left="0"/>
        <w:rPr>
          <w:rFonts w:cs="Times New Roman"/>
          <w:sz w:val="24"/>
          <w:szCs w:val="24"/>
          <w:u w:val="single"/>
        </w:rPr>
      </w:pPr>
      <w:r>
        <w:rPr>
          <w:rFonts w:cs="Times New Roman"/>
          <w:sz w:val="24"/>
          <w:szCs w:val="24"/>
        </w:rPr>
        <w:t xml:space="preserve">13. </w:t>
      </w:r>
      <w:r w:rsidRPr="008869DB">
        <w:rPr>
          <w:rFonts w:cs="Times New Roman"/>
          <w:sz w:val="24"/>
          <w:szCs w:val="24"/>
          <w:u w:val="single"/>
        </w:rPr>
        <w:t>Estimated annual co</w:t>
      </w:r>
      <w:r w:rsidR="00C47E2A">
        <w:rPr>
          <w:rFonts w:cs="Times New Roman"/>
          <w:sz w:val="24"/>
          <w:szCs w:val="24"/>
          <w:u w:val="single"/>
        </w:rPr>
        <w:t xml:space="preserve">st </w:t>
      </w:r>
      <w:r w:rsidRPr="008869DB">
        <w:rPr>
          <w:rFonts w:cs="Times New Roman"/>
          <w:sz w:val="24"/>
          <w:szCs w:val="24"/>
          <w:u w:val="single"/>
        </w:rPr>
        <w:t>burden.</w:t>
      </w:r>
    </w:p>
    <w:p w:rsidR="008869DB" w:rsidP="00DA4035" w:rsidRDefault="008869DB" w14:paraId="2F764AFF" w14:textId="6827D434">
      <w:pPr>
        <w:pStyle w:val="BodyText"/>
        <w:ind w:left="0"/>
        <w:rPr>
          <w:rFonts w:cs="Times New Roman"/>
          <w:sz w:val="24"/>
          <w:szCs w:val="24"/>
          <w:u w:val="single"/>
        </w:rPr>
      </w:pPr>
    </w:p>
    <w:p w:rsidR="008869DB" w:rsidP="00C47E2A" w:rsidRDefault="008869DB" w14:paraId="5B04B83D" w14:textId="5D978F8A">
      <w:pPr>
        <w:pStyle w:val="BodyText"/>
        <w:ind w:left="0" w:firstLine="720"/>
        <w:rPr>
          <w:rFonts w:cs="Times New Roman"/>
          <w:sz w:val="24"/>
          <w:szCs w:val="24"/>
        </w:rPr>
      </w:pPr>
      <w:r w:rsidRPr="00C47E2A">
        <w:rPr>
          <w:rFonts w:cs="Times New Roman"/>
          <w:sz w:val="24"/>
          <w:szCs w:val="24"/>
        </w:rPr>
        <w:t>FinCEN revi</w:t>
      </w:r>
      <w:r w:rsidR="00633FE0">
        <w:rPr>
          <w:rFonts w:cs="Times New Roman"/>
          <w:sz w:val="24"/>
          <w:szCs w:val="24"/>
        </w:rPr>
        <w:t xml:space="preserve">sed its </w:t>
      </w:r>
      <w:r w:rsidR="00232F16">
        <w:rPr>
          <w:rFonts w:cs="Times New Roman"/>
          <w:sz w:val="24"/>
          <w:szCs w:val="24"/>
        </w:rPr>
        <w:t xml:space="preserve">cost </w:t>
      </w:r>
      <w:r w:rsidR="00633FE0">
        <w:rPr>
          <w:rFonts w:cs="Times New Roman"/>
          <w:sz w:val="24"/>
          <w:szCs w:val="24"/>
        </w:rPr>
        <w:t>estimate to account for the</w:t>
      </w:r>
      <w:r w:rsidRPr="00C47E2A">
        <w:rPr>
          <w:rFonts w:cs="Times New Roman"/>
          <w:sz w:val="24"/>
          <w:szCs w:val="24"/>
        </w:rPr>
        <w:t xml:space="preserve"> increase in the </w:t>
      </w:r>
      <w:r w:rsidR="00633FE0">
        <w:rPr>
          <w:rFonts w:cs="Times New Roman"/>
          <w:sz w:val="24"/>
          <w:szCs w:val="24"/>
        </w:rPr>
        <w:t>reporting burden per FFA response</w:t>
      </w:r>
      <w:r w:rsidRPr="00C47E2A">
        <w:rPr>
          <w:rFonts w:cs="Times New Roman"/>
          <w:sz w:val="24"/>
          <w:szCs w:val="24"/>
        </w:rPr>
        <w:t>, as described directly above.</w:t>
      </w:r>
    </w:p>
    <w:p w:rsidRPr="00232F16" w:rsidR="00EB1B35" w:rsidP="00DA4035" w:rsidRDefault="00EB1B35" w14:paraId="7697A3E9" w14:textId="0443E1D4">
      <w:pPr>
        <w:pStyle w:val="BodyText"/>
        <w:ind w:left="0"/>
        <w:rPr>
          <w:rFonts w:cs="Times New Roman"/>
          <w:sz w:val="24"/>
          <w:szCs w:val="24"/>
        </w:rPr>
      </w:pPr>
    </w:p>
    <w:p w:rsidRPr="00232F16" w:rsidR="00EB1B35" w:rsidP="00DA4035" w:rsidRDefault="00DE5FB8" w14:paraId="48B428CE" w14:textId="561117E3">
      <w:pPr>
        <w:pStyle w:val="BodyText"/>
        <w:ind w:left="0"/>
        <w:rPr>
          <w:rFonts w:cs="Times New Roman"/>
          <w:sz w:val="24"/>
          <w:szCs w:val="24"/>
        </w:rPr>
      </w:pPr>
      <w:r w:rsidRPr="0003048E">
        <w:rPr>
          <w:b/>
          <w:sz w:val="24"/>
          <w:szCs w:val="24"/>
        </w:rPr>
        <w:t>Table 3 – Revised t</w:t>
      </w:r>
      <w:r w:rsidRPr="0003048E" w:rsidR="00EB1B35">
        <w:rPr>
          <w:b/>
          <w:sz w:val="24"/>
          <w:szCs w:val="24"/>
        </w:rPr>
        <w:t>otal cost of traditional annual PRA burden</w:t>
      </w:r>
    </w:p>
    <w:tbl>
      <w:tblPr>
        <w:tblStyle w:val="TableGrid"/>
        <w:tblW w:w="9450" w:type="dxa"/>
        <w:tblInd w:w="-5" w:type="dxa"/>
        <w:tblLook w:val="04A0" w:firstRow="1" w:lastRow="0" w:firstColumn="1" w:lastColumn="0" w:noHBand="0" w:noVBand="1"/>
      </w:tblPr>
      <w:tblGrid>
        <w:gridCol w:w="3493"/>
        <w:gridCol w:w="2248"/>
        <w:gridCol w:w="1915"/>
        <w:gridCol w:w="1794"/>
      </w:tblGrid>
      <w:tr w:rsidRPr="00BF1ED1" w:rsidR="00EB1B35" w:rsidTr="00DE5FB8" w14:paraId="2CEA8567" w14:textId="77777777">
        <w:trPr>
          <w:tblHeader/>
        </w:trPr>
        <w:tc>
          <w:tcPr>
            <w:tcW w:w="3493" w:type="dxa"/>
            <w:shd w:val="clear" w:color="auto" w:fill="F2F2F2" w:themeFill="background1" w:themeFillShade="F2"/>
            <w:vAlign w:val="center"/>
          </w:tcPr>
          <w:p w:rsidRPr="00BF1ED1" w:rsidR="00EB1B35" w:rsidP="002B6D38" w:rsidRDefault="00EB1B35" w14:paraId="47763E4D" w14:textId="77777777">
            <w:pPr>
              <w:jc w:val="center"/>
              <w:rPr>
                <w:rFonts w:ascii="Times New Roman" w:hAnsi="Times New Roman" w:cs="Times New Roman"/>
                <w:b/>
                <w:sz w:val="24"/>
                <w:szCs w:val="24"/>
                <w:lang w:val="en-US"/>
              </w:rPr>
            </w:pPr>
            <w:r w:rsidRPr="00BF1ED1">
              <w:rPr>
                <w:rFonts w:ascii="Times New Roman" w:hAnsi="Times New Roman" w:cs="Times New Roman"/>
                <w:b/>
                <w:sz w:val="24"/>
                <w:szCs w:val="24"/>
                <w:lang w:val="en-US"/>
              </w:rPr>
              <w:t>Steps</w:t>
            </w:r>
          </w:p>
        </w:tc>
        <w:tc>
          <w:tcPr>
            <w:tcW w:w="2248" w:type="dxa"/>
            <w:shd w:val="clear" w:color="auto" w:fill="F2F2F2" w:themeFill="background1" w:themeFillShade="F2"/>
          </w:tcPr>
          <w:p w:rsidRPr="00BF1ED1" w:rsidR="00EB1B35" w:rsidP="002B6D38" w:rsidRDefault="00EB1B35" w14:paraId="1E40F2F5" w14:textId="77777777">
            <w:pPr>
              <w:jc w:val="center"/>
              <w:rPr>
                <w:rFonts w:ascii="Times New Roman" w:hAnsi="Times New Roman" w:cs="Times New Roman"/>
                <w:b/>
                <w:sz w:val="24"/>
                <w:szCs w:val="24"/>
                <w:lang w:val="en-US"/>
              </w:rPr>
            </w:pPr>
            <w:r w:rsidRPr="00BF1ED1">
              <w:rPr>
                <w:rFonts w:ascii="Times New Roman" w:hAnsi="Times New Roman" w:cs="Times New Roman"/>
                <w:b/>
                <w:sz w:val="24"/>
                <w:szCs w:val="24"/>
                <w:lang w:val="en-US"/>
              </w:rPr>
              <w:t>Hourly Burden</w:t>
            </w:r>
          </w:p>
        </w:tc>
        <w:tc>
          <w:tcPr>
            <w:tcW w:w="1915" w:type="dxa"/>
            <w:shd w:val="clear" w:color="auto" w:fill="F2F2F2" w:themeFill="background1" w:themeFillShade="F2"/>
            <w:vAlign w:val="center"/>
          </w:tcPr>
          <w:p w:rsidRPr="00BF1ED1" w:rsidR="00EB1B35" w:rsidP="002B6D38" w:rsidRDefault="00EB1B35" w14:paraId="3CB55275" w14:textId="77777777">
            <w:pPr>
              <w:jc w:val="center"/>
              <w:rPr>
                <w:rFonts w:ascii="Times New Roman" w:hAnsi="Times New Roman" w:cs="Times New Roman"/>
                <w:b/>
                <w:sz w:val="24"/>
                <w:szCs w:val="24"/>
                <w:lang w:val="en-US"/>
              </w:rPr>
            </w:pPr>
            <w:r w:rsidRPr="00BF1ED1">
              <w:rPr>
                <w:rFonts w:ascii="Times New Roman" w:hAnsi="Times New Roman" w:cs="Times New Roman"/>
                <w:b/>
                <w:sz w:val="24"/>
                <w:szCs w:val="24"/>
                <w:lang w:val="en-US"/>
              </w:rPr>
              <w:t>Hourly Cost</w:t>
            </w:r>
          </w:p>
        </w:tc>
        <w:tc>
          <w:tcPr>
            <w:tcW w:w="1794" w:type="dxa"/>
            <w:shd w:val="clear" w:color="auto" w:fill="F2F2F2" w:themeFill="background1" w:themeFillShade="F2"/>
            <w:vAlign w:val="center"/>
          </w:tcPr>
          <w:p w:rsidRPr="00BF1ED1" w:rsidR="00EB1B35" w:rsidP="002B6D38" w:rsidRDefault="00EB1B35" w14:paraId="132927DA" w14:textId="77777777">
            <w:pPr>
              <w:jc w:val="center"/>
              <w:rPr>
                <w:rFonts w:ascii="Times New Roman" w:hAnsi="Times New Roman" w:cs="Times New Roman"/>
                <w:b/>
                <w:sz w:val="24"/>
                <w:szCs w:val="24"/>
                <w:lang w:val="en-US"/>
              </w:rPr>
            </w:pPr>
            <w:r w:rsidRPr="00BF1ED1">
              <w:rPr>
                <w:rFonts w:ascii="Times New Roman" w:hAnsi="Times New Roman" w:cs="Times New Roman"/>
                <w:b/>
                <w:sz w:val="24"/>
                <w:szCs w:val="24"/>
                <w:lang w:val="en-US"/>
              </w:rPr>
              <w:t>Total Cost</w:t>
            </w:r>
          </w:p>
        </w:tc>
      </w:tr>
      <w:tr w:rsidRPr="00232F16" w:rsidR="00EB1B35" w:rsidTr="00DE5FB8" w14:paraId="4FBAD392" w14:textId="77777777">
        <w:trPr>
          <w:trHeight w:val="339"/>
        </w:trPr>
        <w:tc>
          <w:tcPr>
            <w:tcW w:w="3493" w:type="dxa"/>
            <w:vAlign w:val="center"/>
          </w:tcPr>
          <w:p w:rsidRPr="00BF1ED1" w:rsidR="00EB1B35" w:rsidP="00213B35" w:rsidRDefault="00EB1B35" w14:paraId="3C0C8487" w14:textId="1915286E">
            <w:pPr>
              <w:rPr>
                <w:rFonts w:ascii="Times New Roman" w:hAnsi="Times New Roman" w:cs="Times New Roman"/>
                <w:sz w:val="24"/>
                <w:szCs w:val="24"/>
                <w:lang w:val="en-US"/>
              </w:rPr>
            </w:pPr>
            <w:r w:rsidRPr="00BF1ED1">
              <w:rPr>
                <w:rFonts w:ascii="Times New Roman" w:hAnsi="Times New Roman" w:cs="Times New Roman"/>
                <w:sz w:val="24"/>
                <w:szCs w:val="24"/>
                <w:lang w:val="en-US"/>
              </w:rPr>
              <w:t>Filing reports of certain tr</w:t>
            </w:r>
            <w:r w:rsidRPr="00BF1ED1" w:rsidR="008F04B3">
              <w:rPr>
                <w:rFonts w:ascii="Times New Roman" w:hAnsi="Times New Roman" w:cs="Times New Roman"/>
                <w:sz w:val="24"/>
                <w:szCs w:val="24"/>
                <w:lang w:val="en-US"/>
              </w:rPr>
              <w:t>ansactions with designated FFAs</w:t>
            </w:r>
          </w:p>
        </w:tc>
        <w:tc>
          <w:tcPr>
            <w:tcW w:w="2248" w:type="dxa"/>
            <w:vAlign w:val="center"/>
          </w:tcPr>
          <w:p w:rsidRPr="00BF1ED1" w:rsidR="00EB1B35" w:rsidRDefault="00DE5FB8" w14:paraId="47450D27" w14:textId="292068B2">
            <w:pPr>
              <w:rPr>
                <w:rFonts w:ascii="Times New Roman" w:hAnsi="Times New Roman" w:cs="Times New Roman"/>
                <w:sz w:val="24"/>
                <w:szCs w:val="24"/>
                <w:lang w:val="en-US"/>
              </w:rPr>
            </w:pPr>
            <w:r w:rsidRPr="00BF1ED1">
              <w:rPr>
                <w:rFonts w:ascii="Times New Roman" w:hAnsi="Times New Roman" w:cs="Times New Roman"/>
                <w:sz w:val="24"/>
                <w:szCs w:val="24"/>
                <w:lang w:val="en-US"/>
              </w:rPr>
              <w:t>11</w:t>
            </w:r>
            <w:r w:rsidR="0006130C">
              <w:rPr>
                <w:rFonts w:ascii="Times New Roman" w:hAnsi="Times New Roman" w:cs="Times New Roman"/>
                <w:sz w:val="24"/>
                <w:szCs w:val="24"/>
                <w:lang w:val="en-US"/>
              </w:rPr>
              <w:t>,907</w:t>
            </w:r>
            <w:r w:rsidR="00064166">
              <w:rPr>
                <w:rStyle w:val="FootnoteReference"/>
                <w:rFonts w:ascii="Times New Roman" w:hAnsi="Times New Roman" w:cs="Times New Roman"/>
                <w:sz w:val="24"/>
                <w:szCs w:val="24"/>
                <w:lang w:val="en-US"/>
              </w:rPr>
              <w:footnoteReference w:id="17"/>
            </w:r>
          </w:p>
        </w:tc>
        <w:tc>
          <w:tcPr>
            <w:tcW w:w="1915" w:type="dxa"/>
            <w:vAlign w:val="center"/>
          </w:tcPr>
          <w:p w:rsidRPr="0003048E" w:rsidR="00EB1B35" w:rsidP="002B6D38" w:rsidRDefault="00EB1B35" w14:paraId="3F167067" w14:textId="77777777">
            <w:pPr>
              <w:rPr>
                <w:rFonts w:ascii="Times New Roman" w:hAnsi="Times New Roman" w:cs="Times New Roman"/>
                <w:sz w:val="24"/>
                <w:szCs w:val="24"/>
                <w:lang w:val="en-US"/>
              </w:rPr>
            </w:pPr>
            <w:r w:rsidRPr="00BF1ED1">
              <w:rPr>
                <w:rFonts w:ascii="Times New Roman" w:hAnsi="Times New Roman" w:cs="Times New Roman"/>
                <w:sz w:val="24"/>
                <w:szCs w:val="24"/>
                <w:lang w:val="en-US"/>
              </w:rPr>
              <w:t>$95.00</w:t>
            </w:r>
            <w:r w:rsidRPr="0003048E">
              <w:rPr>
                <w:rStyle w:val="FootnoteReference"/>
                <w:rFonts w:ascii="Times New Roman" w:hAnsi="Times New Roman" w:cs="Times New Roman"/>
                <w:sz w:val="24"/>
                <w:szCs w:val="24"/>
              </w:rPr>
              <w:footnoteReference w:id="18"/>
            </w:r>
          </w:p>
        </w:tc>
        <w:tc>
          <w:tcPr>
            <w:tcW w:w="1794" w:type="dxa"/>
            <w:vAlign w:val="center"/>
          </w:tcPr>
          <w:p w:rsidRPr="0003048E" w:rsidR="00EB1B35" w:rsidP="002B6D38" w:rsidRDefault="00DE5FB8" w14:paraId="5AE2F416" w14:textId="0343EC1B">
            <w:pPr>
              <w:jc w:val="right"/>
              <w:rPr>
                <w:rFonts w:ascii="Times New Roman" w:hAnsi="Times New Roman" w:cs="Times New Roman"/>
                <w:sz w:val="24"/>
                <w:szCs w:val="24"/>
                <w:lang w:val="en-US"/>
              </w:rPr>
            </w:pPr>
            <w:r w:rsidRPr="0003048E">
              <w:rPr>
                <w:rFonts w:ascii="Times New Roman" w:hAnsi="Times New Roman" w:cs="Times New Roman"/>
                <w:sz w:val="24"/>
                <w:szCs w:val="24"/>
              </w:rPr>
              <w:t>$</w:t>
            </w:r>
            <w:r w:rsidR="0006130C">
              <w:rPr>
                <w:rFonts w:ascii="Times New Roman" w:hAnsi="Times New Roman" w:cs="Times New Roman"/>
                <w:sz w:val="24"/>
                <w:szCs w:val="24"/>
              </w:rPr>
              <w:t>1,131,165</w:t>
            </w:r>
          </w:p>
        </w:tc>
      </w:tr>
      <w:tr w:rsidRPr="00232F16" w:rsidR="00EB1B35" w:rsidTr="00DE5FB8" w14:paraId="61353508" w14:textId="77777777">
        <w:trPr>
          <w:trHeight w:val="339"/>
        </w:trPr>
        <w:tc>
          <w:tcPr>
            <w:tcW w:w="3493" w:type="dxa"/>
            <w:vAlign w:val="center"/>
          </w:tcPr>
          <w:p w:rsidRPr="006D017C" w:rsidR="00EB1B35" w:rsidP="00213B35" w:rsidRDefault="00EB1B35" w14:paraId="4D53713D" w14:textId="5BBCD542">
            <w:pPr>
              <w:rPr>
                <w:rFonts w:ascii="Times New Roman" w:hAnsi="Times New Roman" w:cs="Times New Roman"/>
                <w:sz w:val="24"/>
                <w:szCs w:val="24"/>
                <w:lang w:val="en-US"/>
              </w:rPr>
            </w:pPr>
            <w:r w:rsidRPr="006D017C">
              <w:rPr>
                <w:rFonts w:ascii="Times New Roman" w:hAnsi="Times New Roman" w:cs="Times New Roman"/>
                <w:sz w:val="24"/>
                <w:szCs w:val="24"/>
              </w:rPr>
              <w:t xml:space="preserve">Complying with the recordkeeping requirements in 31 CFR 1010.430 </w:t>
            </w:r>
          </w:p>
        </w:tc>
        <w:tc>
          <w:tcPr>
            <w:tcW w:w="2248" w:type="dxa"/>
            <w:vAlign w:val="center"/>
          </w:tcPr>
          <w:p w:rsidRPr="00BF1ED1" w:rsidR="00EB1B35" w:rsidRDefault="00EB1B35" w14:paraId="152C0BE7" w14:textId="3D13DB06">
            <w:pPr>
              <w:rPr>
                <w:rFonts w:ascii="Times New Roman" w:hAnsi="Times New Roman" w:cs="Times New Roman"/>
                <w:sz w:val="24"/>
                <w:szCs w:val="24"/>
                <w:lang w:val="en-US"/>
              </w:rPr>
            </w:pPr>
            <w:r w:rsidRPr="006D017C">
              <w:rPr>
                <w:rFonts w:ascii="Times New Roman" w:hAnsi="Times New Roman" w:cs="Times New Roman"/>
                <w:sz w:val="24"/>
                <w:szCs w:val="24"/>
              </w:rPr>
              <w:t>7</w:t>
            </w:r>
            <w:r w:rsidRPr="006D017C" w:rsidR="00DE5FB8">
              <w:rPr>
                <w:rStyle w:val="FootnoteReference"/>
                <w:rFonts w:ascii="Times New Roman" w:hAnsi="Times New Roman" w:cs="Times New Roman"/>
                <w:sz w:val="24"/>
                <w:szCs w:val="24"/>
              </w:rPr>
              <w:footnoteReference w:id="19"/>
            </w:r>
          </w:p>
        </w:tc>
        <w:tc>
          <w:tcPr>
            <w:tcW w:w="1915" w:type="dxa"/>
            <w:vAlign w:val="center"/>
          </w:tcPr>
          <w:p w:rsidRPr="006D017C" w:rsidR="00EB1B35" w:rsidP="002B6D38" w:rsidRDefault="00EB1B35" w14:paraId="55D14F1E" w14:textId="77777777">
            <w:pPr>
              <w:rPr>
                <w:rFonts w:ascii="Times New Roman" w:hAnsi="Times New Roman" w:cs="Times New Roman"/>
                <w:sz w:val="24"/>
                <w:szCs w:val="24"/>
                <w:lang w:val="en-US"/>
              </w:rPr>
            </w:pPr>
            <w:r w:rsidRPr="00BF1ED1">
              <w:rPr>
                <w:rFonts w:ascii="Times New Roman" w:hAnsi="Times New Roman" w:cs="Times New Roman"/>
                <w:sz w:val="24"/>
                <w:szCs w:val="24"/>
                <w:lang w:val="en-US"/>
              </w:rPr>
              <w:t>$95.00</w:t>
            </w:r>
            <w:r w:rsidRPr="006D017C">
              <w:rPr>
                <w:rStyle w:val="FootnoteReference"/>
                <w:rFonts w:ascii="Times New Roman" w:hAnsi="Times New Roman" w:cs="Times New Roman"/>
                <w:sz w:val="24"/>
                <w:szCs w:val="24"/>
              </w:rPr>
              <w:footnoteReference w:id="20"/>
            </w:r>
          </w:p>
        </w:tc>
        <w:tc>
          <w:tcPr>
            <w:tcW w:w="1794" w:type="dxa"/>
            <w:vAlign w:val="center"/>
          </w:tcPr>
          <w:p w:rsidRPr="006D017C" w:rsidR="00EB1B35" w:rsidP="002B6D38" w:rsidRDefault="00EB1B35" w14:paraId="59D5268F" w14:textId="77777777">
            <w:pPr>
              <w:jc w:val="right"/>
              <w:rPr>
                <w:rFonts w:ascii="Times New Roman" w:hAnsi="Times New Roman" w:cs="Times New Roman"/>
                <w:sz w:val="24"/>
                <w:szCs w:val="24"/>
                <w:lang w:val="en-US"/>
              </w:rPr>
            </w:pPr>
            <w:r w:rsidRPr="006D017C">
              <w:rPr>
                <w:rFonts w:ascii="Times New Roman" w:hAnsi="Times New Roman" w:cs="Times New Roman"/>
                <w:sz w:val="24"/>
                <w:szCs w:val="24"/>
              </w:rPr>
              <w:t>$665</w:t>
            </w:r>
          </w:p>
        </w:tc>
      </w:tr>
      <w:tr w:rsidRPr="00232F16" w:rsidR="00EB1B35" w:rsidTr="00DE5FB8" w14:paraId="02091D1A" w14:textId="77777777">
        <w:trPr>
          <w:trHeight w:val="339"/>
        </w:trPr>
        <w:tc>
          <w:tcPr>
            <w:tcW w:w="7656" w:type="dxa"/>
            <w:gridSpan w:val="3"/>
          </w:tcPr>
          <w:p w:rsidRPr="006D017C" w:rsidR="00EB1B35" w:rsidP="00586B18" w:rsidRDefault="00EB1B35" w14:paraId="51406220" w14:textId="5FC57417">
            <w:pPr>
              <w:rPr>
                <w:rFonts w:ascii="Times New Roman" w:hAnsi="Times New Roman" w:cs="Times New Roman"/>
                <w:b/>
                <w:sz w:val="24"/>
                <w:szCs w:val="24"/>
                <w:lang w:val="en-US"/>
              </w:rPr>
            </w:pPr>
            <w:r w:rsidRPr="006D017C">
              <w:rPr>
                <w:rFonts w:ascii="Times New Roman" w:hAnsi="Times New Roman" w:cs="Times New Roman"/>
                <w:b/>
                <w:sz w:val="24"/>
                <w:szCs w:val="24"/>
              </w:rPr>
              <w:t xml:space="preserve">Total </w:t>
            </w:r>
            <w:r w:rsidR="00586B18">
              <w:rPr>
                <w:rFonts w:ascii="Times New Roman" w:hAnsi="Times New Roman" w:cs="Times New Roman"/>
                <w:b/>
                <w:sz w:val="24"/>
                <w:szCs w:val="24"/>
                <w:lang w:val="en-US"/>
              </w:rPr>
              <w:t>Cost</w:t>
            </w:r>
          </w:p>
        </w:tc>
        <w:tc>
          <w:tcPr>
            <w:tcW w:w="1794" w:type="dxa"/>
            <w:vAlign w:val="center"/>
          </w:tcPr>
          <w:p w:rsidRPr="006D017C" w:rsidR="00EB1B35" w:rsidP="002B6D38" w:rsidRDefault="00DE5FB8" w14:paraId="2E0146E2" w14:textId="35037D9C">
            <w:pPr>
              <w:jc w:val="right"/>
              <w:rPr>
                <w:rFonts w:ascii="Times New Roman" w:hAnsi="Times New Roman" w:cs="Times New Roman"/>
                <w:b/>
                <w:sz w:val="24"/>
                <w:szCs w:val="24"/>
                <w:lang w:val="en-US"/>
              </w:rPr>
            </w:pPr>
            <w:r w:rsidRPr="006D017C">
              <w:rPr>
                <w:rFonts w:ascii="Times New Roman" w:hAnsi="Times New Roman" w:cs="Times New Roman"/>
                <w:b/>
                <w:sz w:val="24"/>
                <w:szCs w:val="24"/>
              </w:rPr>
              <w:t>$</w:t>
            </w:r>
            <w:r w:rsidR="0006130C">
              <w:rPr>
                <w:rFonts w:ascii="Times New Roman" w:hAnsi="Times New Roman" w:cs="Times New Roman"/>
                <w:b/>
                <w:sz w:val="24"/>
                <w:szCs w:val="24"/>
              </w:rPr>
              <w:t>1,131,830</w:t>
            </w:r>
          </w:p>
        </w:tc>
      </w:tr>
    </w:tbl>
    <w:p w:rsidR="00EB1B35" w:rsidP="00DA4035" w:rsidRDefault="00EB1B35" w14:paraId="638E1AEA" w14:textId="77777777">
      <w:pPr>
        <w:pStyle w:val="BodyText"/>
        <w:ind w:left="0"/>
        <w:rPr>
          <w:rFonts w:cs="Times New Roman"/>
          <w:sz w:val="24"/>
          <w:szCs w:val="24"/>
        </w:rPr>
      </w:pPr>
    </w:p>
    <w:p w:rsidR="00633FE0" w:rsidP="00633FE0" w:rsidRDefault="00633FE0" w14:paraId="218EAE39" w14:textId="0C8053C9">
      <w:pPr>
        <w:pStyle w:val="BodyText"/>
        <w:ind w:left="0"/>
        <w:rPr>
          <w:rFonts w:cs="Times New Roman"/>
          <w:sz w:val="24"/>
          <w:szCs w:val="24"/>
        </w:rPr>
      </w:pPr>
      <w:r w:rsidRPr="001C7A3B">
        <w:rPr>
          <w:rFonts w:cs="Times New Roman"/>
          <w:sz w:val="24"/>
          <w:szCs w:val="24"/>
          <w:u w:val="single"/>
        </w:rPr>
        <w:t>Estimated Total Annual Cost:</w:t>
      </w:r>
      <w:r>
        <w:rPr>
          <w:rFonts w:cs="Times New Roman"/>
          <w:sz w:val="24"/>
          <w:szCs w:val="24"/>
        </w:rPr>
        <w:t xml:space="preserve"> </w:t>
      </w:r>
      <w:r w:rsidR="0006130C">
        <w:rPr>
          <w:rFonts w:cs="Times New Roman"/>
          <w:sz w:val="24"/>
          <w:szCs w:val="24"/>
        </w:rPr>
        <w:t>$1,131,830</w:t>
      </w:r>
      <w:r w:rsidRPr="00EB1B35">
        <w:rPr>
          <w:rFonts w:cs="Times New Roman"/>
          <w:sz w:val="24"/>
          <w:szCs w:val="24"/>
        </w:rPr>
        <w:t>.</w:t>
      </w:r>
    </w:p>
    <w:p w:rsidR="00633FE0" w:rsidP="00002436" w:rsidRDefault="00633FE0" w14:paraId="1E8F71CE" w14:textId="77777777">
      <w:pPr>
        <w:pStyle w:val="BodyText"/>
        <w:ind w:left="0" w:firstLine="720"/>
        <w:rPr>
          <w:rFonts w:cs="Times New Roman"/>
          <w:sz w:val="24"/>
          <w:szCs w:val="24"/>
        </w:rPr>
      </w:pPr>
    </w:p>
    <w:p w:rsidR="00EB1B35" w:rsidP="00002436" w:rsidRDefault="00EB1B35" w14:paraId="2F518CC0" w14:textId="402D3673">
      <w:pPr>
        <w:pStyle w:val="BodyText"/>
        <w:ind w:left="0" w:firstLine="720"/>
        <w:rPr>
          <w:rFonts w:cs="Times New Roman"/>
          <w:sz w:val="24"/>
          <w:szCs w:val="24"/>
        </w:rPr>
      </w:pPr>
      <w:r w:rsidRPr="00EB1B35">
        <w:rPr>
          <w:rFonts w:cs="Times New Roman"/>
          <w:sz w:val="24"/>
          <w:szCs w:val="24"/>
        </w:rPr>
        <w:t>There are no non-labor costs associated with this collection of information.</w:t>
      </w:r>
    </w:p>
    <w:p w:rsidRPr="00002436" w:rsidR="003B0AEB" w:rsidP="00DA4035" w:rsidRDefault="003B0AEB" w14:paraId="5D809B3C" w14:textId="77777777">
      <w:pPr>
        <w:pStyle w:val="BodyText"/>
        <w:ind w:left="0"/>
        <w:rPr>
          <w:rFonts w:cs="Times New Roman"/>
          <w:sz w:val="24"/>
          <w:szCs w:val="24"/>
        </w:rPr>
      </w:pPr>
    </w:p>
    <w:p w:rsidRPr="00C14283" w:rsidR="00615A88" w:rsidP="00C14283" w:rsidRDefault="00046F42" w14:paraId="29D04309" w14:textId="511DA9EB">
      <w:pPr>
        <w:pStyle w:val="BodyText"/>
        <w:tabs>
          <w:tab w:val="left" w:pos="450"/>
        </w:tabs>
        <w:ind w:left="0"/>
        <w:rPr>
          <w:rFonts w:cs="Times New Roman"/>
          <w:sz w:val="24"/>
          <w:szCs w:val="24"/>
        </w:rPr>
      </w:pPr>
      <w:r w:rsidRPr="00C14283">
        <w:rPr>
          <w:szCs w:val="22"/>
        </w:rPr>
        <w:t xml:space="preserve">14. </w:t>
      </w:r>
      <w:r w:rsidRPr="00D700D9">
        <w:rPr>
          <w:szCs w:val="22"/>
          <w:u w:val="single"/>
        </w:rPr>
        <w:t>Estimated annual cost to the Federal government.</w:t>
      </w:r>
      <w:r w:rsidRPr="00AA6051">
        <w:rPr>
          <w:szCs w:val="22"/>
        </w:rPr>
        <w:t xml:space="preserve"> </w:t>
      </w:r>
    </w:p>
    <w:p w:rsidR="00615A88" w:rsidP="00DA4035" w:rsidRDefault="00615A88" w14:paraId="35A87BE0" w14:textId="77777777">
      <w:pPr>
        <w:pStyle w:val="BodyText"/>
        <w:tabs>
          <w:tab w:val="left" w:pos="450"/>
        </w:tabs>
        <w:ind w:left="0"/>
        <w:rPr>
          <w:rFonts w:cs="Times New Roman"/>
          <w:color w:val="2B2A28"/>
          <w:sz w:val="24"/>
          <w:szCs w:val="24"/>
        </w:rPr>
      </w:pPr>
    </w:p>
    <w:p w:rsidRPr="003E419B" w:rsidR="00C42992" w:rsidP="00002436" w:rsidRDefault="00C42992" w14:paraId="1BA4FE6B" w14:textId="3B356167">
      <w:pPr>
        <w:pStyle w:val="BodyText"/>
        <w:tabs>
          <w:tab w:val="left" w:pos="450"/>
        </w:tabs>
        <w:ind w:left="0" w:firstLine="720"/>
        <w:rPr>
          <w:rFonts w:cs="Times New Roman"/>
          <w:color w:val="2B2A28"/>
          <w:sz w:val="24"/>
          <w:szCs w:val="24"/>
        </w:rPr>
      </w:pPr>
      <w:r w:rsidRPr="00A82845">
        <w:rPr>
          <w:sz w:val="24"/>
        </w:rPr>
        <w:t>Electronic processing cos</w:t>
      </w:r>
      <w:r w:rsidRPr="00A82845" w:rsidR="0001798C">
        <w:rPr>
          <w:sz w:val="24"/>
        </w:rPr>
        <w:t xml:space="preserve">t to the </w:t>
      </w:r>
      <w:r w:rsidRPr="003E419B" w:rsidR="0001798C">
        <w:rPr>
          <w:sz w:val="24"/>
        </w:rPr>
        <w:t>Federal government for 84</w:t>
      </w:r>
      <w:r w:rsidRPr="003E419B">
        <w:rPr>
          <w:sz w:val="24"/>
        </w:rPr>
        <w:t xml:space="preserve"> responses x $0.10</w:t>
      </w:r>
      <w:r w:rsidRPr="003E419B">
        <w:rPr>
          <w:sz w:val="24"/>
          <w:vertAlign w:val="superscript"/>
        </w:rPr>
        <w:t xml:space="preserve"> </w:t>
      </w:r>
      <w:r w:rsidRPr="003E419B">
        <w:rPr>
          <w:sz w:val="24"/>
        </w:rPr>
        <w:t>per response</w:t>
      </w:r>
      <w:r w:rsidRPr="003E419B">
        <w:rPr>
          <w:rStyle w:val="FootnoteReference"/>
          <w:sz w:val="24"/>
        </w:rPr>
        <w:footnoteReference w:id="21"/>
      </w:r>
      <w:r w:rsidRPr="003E419B">
        <w:rPr>
          <w:sz w:val="24"/>
          <w:vertAlign w:val="superscript"/>
        </w:rPr>
        <w:t xml:space="preserve"> </w:t>
      </w:r>
      <w:r w:rsidRPr="003E419B">
        <w:rPr>
          <w:sz w:val="24"/>
        </w:rPr>
        <w:t>= $</w:t>
      </w:r>
      <w:r w:rsidRPr="003E419B" w:rsidR="00F76D21">
        <w:rPr>
          <w:sz w:val="24"/>
        </w:rPr>
        <w:t>8.40</w:t>
      </w:r>
      <w:r w:rsidRPr="003E419B">
        <w:rPr>
          <w:sz w:val="24"/>
        </w:rPr>
        <w:t>.</w:t>
      </w:r>
    </w:p>
    <w:p w:rsidRPr="00002436" w:rsidR="00615A88" w:rsidP="00DA4035" w:rsidRDefault="00615A88" w14:paraId="40CE479F" w14:textId="77777777">
      <w:pPr>
        <w:pStyle w:val="BodyText"/>
        <w:tabs>
          <w:tab w:val="left" w:pos="450"/>
        </w:tabs>
        <w:ind w:left="0"/>
        <w:rPr>
          <w:rFonts w:cs="Times New Roman"/>
          <w:sz w:val="24"/>
          <w:szCs w:val="24"/>
        </w:rPr>
      </w:pPr>
    </w:p>
    <w:p w:rsidRPr="00046F42" w:rsidR="00046F42" w:rsidP="00046F42" w:rsidRDefault="00046F42" w14:paraId="449E7B73" w14:textId="77777777">
      <w:pPr>
        <w:widowControl/>
        <w:rPr>
          <w:rFonts w:ascii="Times New Roman" w:hAnsi="Times New Roman" w:eastAsia="Times New Roman" w:cs="Times New Roman"/>
          <w:sz w:val="24"/>
        </w:rPr>
      </w:pPr>
      <w:r w:rsidRPr="00046F42">
        <w:rPr>
          <w:rFonts w:ascii="Times New Roman" w:hAnsi="Times New Roman" w:eastAsia="Times New Roman" w:cs="Times New Roman"/>
          <w:sz w:val="24"/>
        </w:rPr>
        <w:t xml:space="preserve">15. </w:t>
      </w:r>
      <w:r w:rsidRPr="00046F42">
        <w:rPr>
          <w:rFonts w:ascii="Times New Roman" w:hAnsi="Times New Roman" w:eastAsia="Times New Roman" w:cs="Times New Roman"/>
          <w:sz w:val="24"/>
          <w:u w:val="single"/>
        </w:rPr>
        <w:t>Reason for change in burden.</w:t>
      </w:r>
      <w:r w:rsidRPr="00046F42">
        <w:rPr>
          <w:rFonts w:ascii="Times New Roman" w:hAnsi="Times New Roman" w:eastAsia="Times New Roman" w:cs="Times New Roman"/>
          <w:sz w:val="24"/>
        </w:rPr>
        <w:t xml:space="preserve"> </w:t>
      </w:r>
    </w:p>
    <w:p w:rsidRPr="00C14283" w:rsidR="00D17D57" w:rsidP="00C14283" w:rsidRDefault="00D17D57" w14:paraId="10A4A7A3" w14:textId="77777777">
      <w:pPr>
        <w:pStyle w:val="BodyText"/>
        <w:tabs>
          <w:tab w:val="left" w:pos="526"/>
        </w:tabs>
        <w:ind w:left="0"/>
      </w:pPr>
    </w:p>
    <w:p w:rsidRPr="00002436" w:rsidR="00D17D57" w:rsidP="00002436" w:rsidRDefault="00F76D21" w14:paraId="17BFCE51" w14:textId="530AAF1D">
      <w:pPr>
        <w:pStyle w:val="BodyText"/>
        <w:ind w:left="0" w:firstLine="720"/>
        <w:rPr>
          <w:rFonts w:cs="Times New Roman"/>
          <w:sz w:val="24"/>
          <w:szCs w:val="24"/>
        </w:rPr>
      </w:pPr>
      <w:r w:rsidRPr="00F76D21">
        <w:rPr>
          <w:rFonts w:cs="Times New Roman"/>
          <w:sz w:val="24"/>
          <w:szCs w:val="24"/>
        </w:rPr>
        <w:t xml:space="preserve">The estimated total annual burden hours </w:t>
      </w:r>
      <w:r w:rsidR="00884443">
        <w:rPr>
          <w:rFonts w:cs="Times New Roman"/>
          <w:sz w:val="24"/>
          <w:szCs w:val="24"/>
        </w:rPr>
        <w:t>inc</w:t>
      </w:r>
      <w:r w:rsidR="00655B6D">
        <w:rPr>
          <w:rFonts w:cs="Times New Roman"/>
          <w:sz w:val="24"/>
          <w:szCs w:val="24"/>
        </w:rPr>
        <w:t>r</w:t>
      </w:r>
      <w:r w:rsidR="00884443">
        <w:rPr>
          <w:rFonts w:cs="Times New Roman"/>
          <w:sz w:val="24"/>
          <w:szCs w:val="24"/>
        </w:rPr>
        <w:t>eased</w:t>
      </w:r>
      <w:r w:rsidRPr="00F76D21">
        <w:rPr>
          <w:rFonts w:cs="Times New Roman"/>
          <w:sz w:val="24"/>
          <w:szCs w:val="24"/>
        </w:rPr>
        <w:t xml:space="preserve"> by</w:t>
      </w:r>
      <w:r w:rsidR="00C6567A">
        <w:rPr>
          <w:rFonts w:cs="Times New Roman"/>
          <w:sz w:val="24"/>
          <w:szCs w:val="24"/>
        </w:rPr>
        <w:t xml:space="preserve"> 10,</w:t>
      </w:r>
      <w:r w:rsidR="0006130C">
        <w:rPr>
          <w:rFonts w:cs="Times New Roman"/>
          <w:sz w:val="24"/>
          <w:szCs w:val="24"/>
        </w:rPr>
        <w:t>9</w:t>
      </w:r>
      <w:r w:rsidR="00A85B8D">
        <w:rPr>
          <w:rFonts w:cs="Times New Roman"/>
          <w:sz w:val="24"/>
          <w:szCs w:val="24"/>
        </w:rPr>
        <w:t>14</w:t>
      </w:r>
      <w:r w:rsidRPr="00F76D21">
        <w:rPr>
          <w:rFonts w:cs="Times New Roman"/>
          <w:sz w:val="24"/>
          <w:szCs w:val="24"/>
        </w:rPr>
        <w:t xml:space="preserve"> </w:t>
      </w:r>
      <w:r>
        <w:rPr>
          <w:rFonts w:cs="Times New Roman"/>
          <w:sz w:val="24"/>
          <w:szCs w:val="24"/>
        </w:rPr>
        <w:t>hours from 1,000</w:t>
      </w:r>
      <w:r w:rsidRPr="00F76D21">
        <w:rPr>
          <w:rFonts w:cs="Times New Roman"/>
          <w:sz w:val="24"/>
          <w:szCs w:val="24"/>
        </w:rPr>
        <w:t xml:space="preserve"> hours in</w:t>
      </w:r>
      <w:r>
        <w:rPr>
          <w:rFonts w:cs="Times New Roman"/>
          <w:sz w:val="24"/>
          <w:szCs w:val="24"/>
        </w:rPr>
        <w:t xml:space="preserve"> 2016 to </w:t>
      </w:r>
      <w:r w:rsidR="00C6567A">
        <w:rPr>
          <w:rFonts w:cs="Times New Roman"/>
          <w:sz w:val="24"/>
          <w:szCs w:val="24"/>
        </w:rPr>
        <w:t>11,</w:t>
      </w:r>
      <w:r w:rsidR="0006130C">
        <w:rPr>
          <w:rFonts w:cs="Times New Roman"/>
          <w:sz w:val="24"/>
          <w:szCs w:val="24"/>
        </w:rPr>
        <w:t>9</w:t>
      </w:r>
      <w:r w:rsidR="00A85B8D">
        <w:rPr>
          <w:rFonts w:cs="Times New Roman"/>
          <w:sz w:val="24"/>
          <w:szCs w:val="24"/>
        </w:rPr>
        <w:t>14</w:t>
      </w:r>
      <w:r w:rsidR="002D0FB4">
        <w:rPr>
          <w:rFonts w:cs="Times New Roman"/>
          <w:sz w:val="24"/>
          <w:szCs w:val="24"/>
        </w:rPr>
        <w:t xml:space="preserve"> hours in 2022</w:t>
      </w:r>
      <w:r w:rsidRPr="00F76D21">
        <w:rPr>
          <w:rFonts w:cs="Times New Roman"/>
          <w:sz w:val="24"/>
          <w:szCs w:val="24"/>
        </w:rPr>
        <w:t xml:space="preserve">, </w:t>
      </w:r>
      <w:r w:rsidR="00655B6D">
        <w:rPr>
          <w:rFonts w:cs="Times New Roman"/>
          <w:sz w:val="24"/>
          <w:szCs w:val="24"/>
        </w:rPr>
        <w:t>because</w:t>
      </w:r>
      <w:r w:rsidRPr="00F76D21">
        <w:rPr>
          <w:rFonts w:cs="Times New Roman"/>
          <w:sz w:val="24"/>
          <w:szCs w:val="24"/>
        </w:rPr>
        <w:t xml:space="preserve"> the annual hou</w:t>
      </w:r>
      <w:r w:rsidR="002D0FB4">
        <w:rPr>
          <w:rFonts w:cs="Times New Roman"/>
          <w:sz w:val="24"/>
          <w:szCs w:val="24"/>
        </w:rPr>
        <w:t xml:space="preserve">rly burden estimate per </w:t>
      </w:r>
      <w:r w:rsidR="00C6567A">
        <w:rPr>
          <w:rFonts w:cs="Times New Roman"/>
          <w:sz w:val="24"/>
          <w:szCs w:val="24"/>
        </w:rPr>
        <w:t>FFA response</w:t>
      </w:r>
      <w:r w:rsidRPr="00F76D21">
        <w:rPr>
          <w:rFonts w:cs="Times New Roman"/>
          <w:sz w:val="24"/>
          <w:szCs w:val="24"/>
        </w:rPr>
        <w:t xml:space="preserve"> </w:t>
      </w:r>
      <w:r w:rsidR="002D0FB4">
        <w:rPr>
          <w:rFonts w:cs="Times New Roman"/>
          <w:sz w:val="24"/>
          <w:szCs w:val="24"/>
        </w:rPr>
        <w:t xml:space="preserve">increased from 5 hours in 2016 to </w:t>
      </w:r>
      <w:r w:rsidR="00C6567A">
        <w:rPr>
          <w:rFonts w:cs="Times New Roman"/>
          <w:sz w:val="24"/>
          <w:szCs w:val="24"/>
        </w:rPr>
        <w:t>14</w:t>
      </w:r>
      <w:r w:rsidR="0006130C">
        <w:rPr>
          <w:rFonts w:cs="Times New Roman"/>
          <w:sz w:val="24"/>
          <w:szCs w:val="24"/>
        </w:rPr>
        <w:t>2</w:t>
      </w:r>
      <w:r w:rsidR="00C6567A">
        <w:rPr>
          <w:rStyle w:val="FootnoteReference"/>
          <w:rFonts w:cs="Times New Roman"/>
          <w:sz w:val="24"/>
          <w:szCs w:val="24"/>
        </w:rPr>
        <w:footnoteReference w:id="22"/>
      </w:r>
      <w:r w:rsidR="00884443">
        <w:rPr>
          <w:rFonts w:cs="Times New Roman"/>
          <w:sz w:val="24"/>
          <w:szCs w:val="24"/>
        </w:rPr>
        <w:t xml:space="preserve"> hours</w:t>
      </w:r>
      <w:r w:rsidR="002D0FB4">
        <w:rPr>
          <w:rFonts w:cs="Times New Roman"/>
          <w:sz w:val="24"/>
          <w:szCs w:val="24"/>
        </w:rPr>
        <w:t xml:space="preserve"> in 2022</w:t>
      </w:r>
      <w:r w:rsidR="003E419B">
        <w:rPr>
          <w:rFonts w:cs="Times New Roman"/>
          <w:sz w:val="24"/>
          <w:szCs w:val="24"/>
        </w:rPr>
        <w:t>, even though the number of responses decreased from 200 responses in 2016 to 84 responses in 2022.</w:t>
      </w:r>
    </w:p>
    <w:p w:rsidRPr="00046F42" w:rsidR="00D17D57" w:rsidP="00DA4035" w:rsidRDefault="00D17D57" w14:paraId="345AB272" w14:textId="77777777">
      <w:pPr>
        <w:spacing w:before="11"/>
        <w:rPr>
          <w:rFonts w:ascii="Times New Roman" w:hAnsi="Times New Roman" w:eastAsia="Times New Roman" w:cs="Times New Roman"/>
          <w:sz w:val="24"/>
          <w:szCs w:val="24"/>
        </w:rPr>
      </w:pPr>
    </w:p>
    <w:p w:rsidRPr="001B5A23" w:rsidR="001B5A23" w:rsidP="001B5A23" w:rsidRDefault="001B5A23" w14:paraId="167CA206" w14:textId="77777777">
      <w:pPr>
        <w:widowControl/>
        <w:rPr>
          <w:rFonts w:ascii="Times New Roman" w:hAnsi="Times New Roman" w:eastAsia="Times New Roman" w:cs="Times New Roman"/>
          <w:sz w:val="24"/>
        </w:rPr>
      </w:pPr>
      <w:r w:rsidRPr="001B5A23">
        <w:rPr>
          <w:rFonts w:ascii="Times New Roman" w:hAnsi="Times New Roman" w:eastAsia="Times New Roman" w:cs="Times New Roman"/>
          <w:sz w:val="24"/>
        </w:rPr>
        <w:t xml:space="preserve">16. </w:t>
      </w:r>
      <w:r w:rsidRPr="001B5A23">
        <w:rPr>
          <w:rFonts w:ascii="Times New Roman" w:hAnsi="Times New Roman" w:eastAsia="Times New Roman" w:cs="Times New Roman"/>
          <w:sz w:val="24"/>
          <w:u w:val="single"/>
        </w:rPr>
        <w:t>Plans for tabulation, statistical analysis, and publication.</w:t>
      </w:r>
    </w:p>
    <w:p w:rsidRPr="00C14283" w:rsidR="00615A88" w:rsidP="00DA4035" w:rsidRDefault="00615A88" w14:paraId="7D7B431D" w14:textId="77777777">
      <w:pPr>
        <w:pStyle w:val="BodyText"/>
        <w:ind w:left="0"/>
        <w:rPr>
          <w:rFonts w:cs="Times New Roman"/>
          <w:sz w:val="24"/>
          <w:szCs w:val="24"/>
        </w:rPr>
      </w:pPr>
    </w:p>
    <w:p w:rsidRPr="00C14283" w:rsidR="00D17D57" w:rsidP="00C14283" w:rsidRDefault="00CD22D4" w14:paraId="7CCAA997" w14:textId="38A2C506">
      <w:pPr>
        <w:pStyle w:val="BodyText"/>
        <w:ind w:left="0" w:firstLine="720"/>
        <w:rPr>
          <w:rFonts w:cs="Times New Roman"/>
          <w:sz w:val="24"/>
          <w:szCs w:val="24"/>
        </w:rPr>
      </w:pPr>
      <w:r w:rsidRPr="00C14283">
        <w:rPr>
          <w:rFonts w:cs="Times New Roman"/>
          <w:sz w:val="24"/>
          <w:szCs w:val="24"/>
        </w:rPr>
        <w:t>This</w:t>
      </w:r>
      <w:r w:rsidRPr="00C14283">
        <w:rPr>
          <w:rFonts w:cs="Times New Roman"/>
          <w:spacing w:val="-3"/>
          <w:sz w:val="24"/>
          <w:szCs w:val="24"/>
        </w:rPr>
        <w:t xml:space="preserve"> </w:t>
      </w:r>
      <w:r w:rsidRPr="00C14283">
        <w:rPr>
          <w:rFonts w:cs="Times New Roman"/>
          <w:sz w:val="24"/>
          <w:szCs w:val="24"/>
        </w:rPr>
        <w:t>collection</w:t>
      </w:r>
      <w:r w:rsidRPr="00C14283">
        <w:rPr>
          <w:rFonts w:cs="Times New Roman"/>
          <w:spacing w:val="16"/>
          <w:sz w:val="24"/>
          <w:szCs w:val="24"/>
        </w:rPr>
        <w:t xml:space="preserve"> </w:t>
      </w:r>
      <w:r w:rsidRPr="00C14283">
        <w:rPr>
          <w:rFonts w:cs="Times New Roman"/>
          <w:sz w:val="24"/>
          <w:szCs w:val="24"/>
        </w:rPr>
        <w:t>of</w:t>
      </w:r>
      <w:r w:rsidRPr="00C14283">
        <w:rPr>
          <w:rFonts w:cs="Times New Roman"/>
          <w:spacing w:val="3"/>
          <w:sz w:val="24"/>
          <w:szCs w:val="24"/>
        </w:rPr>
        <w:t xml:space="preserve"> </w:t>
      </w:r>
      <w:r w:rsidRPr="00C14283">
        <w:rPr>
          <w:rFonts w:cs="Times New Roman"/>
          <w:sz w:val="24"/>
          <w:szCs w:val="24"/>
        </w:rPr>
        <w:t>information</w:t>
      </w:r>
      <w:r w:rsidRPr="00C14283">
        <w:rPr>
          <w:rFonts w:cs="Times New Roman"/>
          <w:spacing w:val="13"/>
          <w:sz w:val="24"/>
          <w:szCs w:val="24"/>
        </w:rPr>
        <w:t xml:space="preserve"> </w:t>
      </w:r>
      <w:r w:rsidRPr="00C14283">
        <w:rPr>
          <w:rFonts w:cs="Times New Roman"/>
          <w:sz w:val="24"/>
          <w:szCs w:val="24"/>
        </w:rPr>
        <w:t>will</w:t>
      </w:r>
      <w:r w:rsidRPr="00C14283">
        <w:rPr>
          <w:rFonts w:cs="Times New Roman"/>
          <w:spacing w:val="20"/>
          <w:sz w:val="24"/>
          <w:szCs w:val="24"/>
        </w:rPr>
        <w:t xml:space="preserve"> </w:t>
      </w:r>
      <w:r w:rsidRPr="00C14283">
        <w:rPr>
          <w:rFonts w:cs="Times New Roman"/>
          <w:sz w:val="24"/>
          <w:szCs w:val="24"/>
        </w:rPr>
        <w:t>not</w:t>
      </w:r>
      <w:r w:rsidRPr="00C14283">
        <w:rPr>
          <w:rFonts w:cs="Times New Roman"/>
          <w:spacing w:val="16"/>
          <w:sz w:val="24"/>
          <w:szCs w:val="24"/>
        </w:rPr>
        <w:t xml:space="preserve"> </w:t>
      </w:r>
      <w:r w:rsidRPr="00C14283">
        <w:rPr>
          <w:rFonts w:cs="Times New Roman"/>
          <w:sz w:val="24"/>
          <w:szCs w:val="24"/>
        </w:rPr>
        <w:t>be</w:t>
      </w:r>
      <w:r w:rsidRPr="00C14283">
        <w:rPr>
          <w:rFonts w:cs="Times New Roman"/>
          <w:spacing w:val="3"/>
          <w:sz w:val="24"/>
          <w:szCs w:val="24"/>
        </w:rPr>
        <w:t xml:space="preserve"> </w:t>
      </w:r>
      <w:r w:rsidRPr="00C14283">
        <w:rPr>
          <w:rFonts w:cs="Times New Roman"/>
          <w:sz w:val="24"/>
          <w:szCs w:val="24"/>
        </w:rPr>
        <w:t>published.</w:t>
      </w:r>
    </w:p>
    <w:p w:rsidRPr="00C14283" w:rsidR="00615A88" w:rsidP="00DA4035" w:rsidRDefault="00615A88" w14:paraId="05D90204" w14:textId="77777777">
      <w:pPr>
        <w:pStyle w:val="BodyText"/>
        <w:tabs>
          <w:tab w:val="left" w:pos="519"/>
        </w:tabs>
        <w:ind w:left="0"/>
        <w:rPr>
          <w:rFonts w:cs="Times New Roman"/>
          <w:sz w:val="24"/>
          <w:szCs w:val="24"/>
        </w:rPr>
      </w:pPr>
    </w:p>
    <w:p w:rsidRPr="001B5A23" w:rsidR="001B5A23" w:rsidP="001B5A23" w:rsidRDefault="001B5A23" w14:paraId="712F062D" w14:textId="77777777">
      <w:pPr>
        <w:widowControl/>
        <w:rPr>
          <w:rFonts w:ascii="Times New Roman" w:hAnsi="Times New Roman" w:eastAsia="Times New Roman" w:cs="Times New Roman"/>
          <w:sz w:val="24"/>
        </w:rPr>
      </w:pPr>
      <w:r w:rsidRPr="001B5A23">
        <w:rPr>
          <w:rFonts w:ascii="Times New Roman" w:hAnsi="Times New Roman" w:eastAsia="Times New Roman" w:cs="Times New Roman"/>
          <w:sz w:val="24"/>
        </w:rPr>
        <w:t xml:space="preserve">17. </w:t>
      </w:r>
      <w:r w:rsidRPr="001B5A23">
        <w:rPr>
          <w:rFonts w:ascii="Times New Roman" w:hAnsi="Times New Roman" w:eastAsia="Times New Roman" w:cs="Times New Roman"/>
          <w:sz w:val="24"/>
          <w:szCs w:val="24"/>
          <w:u w:val="single"/>
        </w:rPr>
        <w:t>Request not to display the expiration date of the OMB control number.</w:t>
      </w:r>
    </w:p>
    <w:p w:rsidRPr="00C14283" w:rsidR="00D17D57" w:rsidP="00DA4035" w:rsidRDefault="00D17D57" w14:paraId="6EB090D5" w14:textId="77777777">
      <w:pPr>
        <w:spacing w:before="6"/>
        <w:rPr>
          <w:rFonts w:ascii="Times New Roman" w:hAnsi="Times New Roman" w:eastAsia="Times New Roman" w:cs="Times New Roman"/>
          <w:sz w:val="24"/>
          <w:szCs w:val="24"/>
        </w:rPr>
      </w:pPr>
    </w:p>
    <w:p w:rsidRPr="00C14283" w:rsidR="00D17D57" w:rsidP="00C14283" w:rsidRDefault="00CD22D4" w14:paraId="06B12C3A" w14:textId="0B656870">
      <w:pPr>
        <w:pStyle w:val="BodyText"/>
        <w:ind w:left="0" w:firstLine="720"/>
        <w:rPr>
          <w:rFonts w:cs="Times New Roman"/>
          <w:sz w:val="24"/>
          <w:szCs w:val="24"/>
        </w:rPr>
      </w:pPr>
      <w:r w:rsidRPr="00C14283">
        <w:rPr>
          <w:rFonts w:cs="Times New Roman"/>
          <w:sz w:val="24"/>
          <w:szCs w:val="24"/>
        </w:rPr>
        <w:t>FinCEN</w:t>
      </w:r>
      <w:r w:rsidRPr="00C14283">
        <w:rPr>
          <w:rFonts w:cs="Times New Roman"/>
          <w:spacing w:val="14"/>
          <w:sz w:val="24"/>
          <w:szCs w:val="24"/>
        </w:rPr>
        <w:t xml:space="preserve"> </w:t>
      </w:r>
      <w:r w:rsidRPr="00C14283">
        <w:rPr>
          <w:rFonts w:cs="Times New Roman"/>
          <w:sz w:val="24"/>
          <w:szCs w:val="24"/>
        </w:rPr>
        <w:t>requests</w:t>
      </w:r>
      <w:r w:rsidRPr="00C14283">
        <w:rPr>
          <w:rFonts w:cs="Times New Roman"/>
          <w:spacing w:val="13"/>
          <w:sz w:val="24"/>
          <w:szCs w:val="24"/>
        </w:rPr>
        <w:t xml:space="preserve"> </w:t>
      </w:r>
      <w:r w:rsidRPr="00C14283">
        <w:rPr>
          <w:rFonts w:cs="Times New Roman"/>
          <w:sz w:val="24"/>
          <w:szCs w:val="24"/>
        </w:rPr>
        <w:t>that</w:t>
      </w:r>
      <w:r w:rsidRPr="00C14283">
        <w:rPr>
          <w:rFonts w:cs="Times New Roman"/>
          <w:spacing w:val="15"/>
          <w:sz w:val="24"/>
          <w:szCs w:val="24"/>
        </w:rPr>
        <w:t xml:space="preserve"> </w:t>
      </w:r>
      <w:r w:rsidRPr="00C14283">
        <w:rPr>
          <w:rFonts w:cs="Times New Roman"/>
          <w:sz w:val="24"/>
          <w:szCs w:val="24"/>
        </w:rPr>
        <w:t>it</w:t>
      </w:r>
      <w:r w:rsidRPr="00C14283">
        <w:rPr>
          <w:rFonts w:cs="Times New Roman"/>
          <w:spacing w:val="-1"/>
          <w:sz w:val="24"/>
          <w:szCs w:val="24"/>
        </w:rPr>
        <w:t xml:space="preserve"> </w:t>
      </w:r>
      <w:r w:rsidRPr="00C14283">
        <w:rPr>
          <w:rFonts w:cs="Times New Roman"/>
          <w:sz w:val="24"/>
          <w:szCs w:val="24"/>
        </w:rPr>
        <w:t>not</w:t>
      </w:r>
      <w:r w:rsidRPr="00C14283">
        <w:rPr>
          <w:rFonts w:cs="Times New Roman"/>
          <w:spacing w:val="16"/>
          <w:sz w:val="24"/>
          <w:szCs w:val="24"/>
        </w:rPr>
        <w:t xml:space="preserve"> </w:t>
      </w:r>
      <w:r w:rsidRPr="00C14283">
        <w:rPr>
          <w:rFonts w:cs="Times New Roman"/>
          <w:sz w:val="24"/>
          <w:szCs w:val="24"/>
        </w:rPr>
        <w:t>be</w:t>
      </w:r>
      <w:r w:rsidRPr="00C14283">
        <w:rPr>
          <w:rFonts w:cs="Times New Roman"/>
          <w:spacing w:val="9"/>
          <w:sz w:val="24"/>
          <w:szCs w:val="24"/>
        </w:rPr>
        <w:t xml:space="preserve"> </w:t>
      </w:r>
      <w:r w:rsidRPr="00B1380E">
        <w:rPr>
          <w:rFonts w:cs="Times New Roman"/>
          <w:sz w:val="24"/>
          <w:szCs w:val="24"/>
        </w:rPr>
        <w:t>required</w:t>
      </w:r>
      <w:r w:rsidRPr="00B1380E">
        <w:rPr>
          <w:rFonts w:cs="Times New Roman"/>
          <w:spacing w:val="15"/>
          <w:sz w:val="24"/>
          <w:szCs w:val="24"/>
        </w:rPr>
        <w:t xml:space="preserve"> </w:t>
      </w:r>
      <w:r w:rsidRPr="00B1380E">
        <w:rPr>
          <w:rFonts w:cs="Times New Roman"/>
          <w:sz w:val="24"/>
          <w:szCs w:val="24"/>
        </w:rPr>
        <w:t>to</w:t>
      </w:r>
      <w:r w:rsidRPr="00B1380E">
        <w:rPr>
          <w:rFonts w:cs="Times New Roman"/>
          <w:spacing w:val="4"/>
          <w:sz w:val="24"/>
          <w:szCs w:val="24"/>
        </w:rPr>
        <w:t xml:space="preserve"> </w:t>
      </w:r>
      <w:r w:rsidRPr="00B1380E">
        <w:rPr>
          <w:rFonts w:cs="Times New Roman"/>
          <w:sz w:val="24"/>
          <w:szCs w:val="24"/>
        </w:rPr>
        <w:t>display</w:t>
      </w:r>
      <w:r w:rsidRPr="00B1380E">
        <w:rPr>
          <w:rFonts w:cs="Times New Roman"/>
          <w:spacing w:val="10"/>
          <w:sz w:val="24"/>
          <w:szCs w:val="24"/>
        </w:rPr>
        <w:t xml:space="preserve"> </w:t>
      </w:r>
      <w:r w:rsidRPr="00B1380E">
        <w:rPr>
          <w:rFonts w:cs="Times New Roman"/>
          <w:sz w:val="24"/>
          <w:szCs w:val="24"/>
        </w:rPr>
        <w:t>the expiration</w:t>
      </w:r>
      <w:r w:rsidRPr="00B1380E">
        <w:rPr>
          <w:rFonts w:cs="Times New Roman"/>
          <w:spacing w:val="18"/>
          <w:sz w:val="24"/>
          <w:szCs w:val="24"/>
        </w:rPr>
        <w:t xml:space="preserve"> </w:t>
      </w:r>
      <w:r w:rsidRPr="00B1380E">
        <w:rPr>
          <w:rFonts w:cs="Times New Roman"/>
          <w:sz w:val="24"/>
          <w:szCs w:val="24"/>
        </w:rPr>
        <w:t>date</w:t>
      </w:r>
      <w:r w:rsidRPr="00B1380E">
        <w:rPr>
          <w:rFonts w:cs="Times New Roman"/>
          <w:spacing w:val="5"/>
          <w:sz w:val="24"/>
          <w:szCs w:val="24"/>
        </w:rPr>
        <w:t xml:space="preserve"> </w:t>
      </w:r>
      <w:r w:rsidRPr="00B1380E">
        <w:rPr>
          <w:rFonts w:cs="Times New Roman"/>
          <w:sz w:val="24"/>
          <w:szCs w:val="24"/>
        </w:rPr>
        <w:t>so</w:t>
      </w:r>
      <w:r w:rsidRPr="00B1380E">
        <w:rPr>
          <w:rFonts w:cs="Times New Roman"/>
          <w:spacing w:val="-5"/>
          <w:sz w:val="24"/>
          <w:szCs w:val="24"/>
        </w:rPr>
        <w:t xml:space="preserve"> </w:t>
      </w:r>
      <w:r w:rsidRPr="00B1380E">
        <w:rPr>
          <w:rFonts w:cs="Times New Roman"/>
          <w:sz w:val="24"/>
          <w:szCs w:val="24"/>
        </w:rPr>
        <w:t>that</w:t>
      </w:r>
      <w:r w:rsidRPr="00B1380E">
        <w:rPr>
          <w:rFonts w:cs="Times New Roman"/>
          <w:spacing w:val="8"/>
          <w:sz w:val="24"/>
          <w:szCs w:val="24"/>
        </w:rPr>
        <w:t xml:space="preserve"> </w:t>
      </w:r>
      <w:r w:rsidRPr="00B1380E">
        <w:rPr>
          <w:rFonts w:cs="Times New Roman"/>
          <w:sz w:val="24"/>
          <w:szCs w:val="24"/>
        </w:rPr>
        <w:t>the</w:t>
      </w:r>
      <w:r w:rsidRPr="00B1380E">
        <w:rPr>
          <w:rFonts w:cs="Times New Roman"/>
          <w:w w:val="99"/>
          <w:sz w:val="24"/>
          <w:szCs w:val="24"/>
        </w:rPr>
        <w:t xml:space="preserve"> </w:t>
      </w:r>
      <w:r w:rsidRPr="00B1380E">
        <w:rPr>
          <w:rFonts w:cs="Times New Roman"/>
          <w:sz w:val="24"/>
          <w:szCs w:val="24"/>
        </w:rPr>
        <w:t>regulations</w:t>
      </w:r>
      <w:r w:rsidRPr="00B1380E">
        <w:rPr>
          <w:rFonts w:cs="Times New Roman"/>
          <w:spacing w:val="13"/>
          <w:sz w:val="24"/>
          <w:szCs w:val="24"/>
        </w:rPr>
        <w:t xml:space="preserve"> </w:t>
      </w:r>
      <w:r w:rsidRPr="00B1380E">
        <w:rPr>
          <w:rFonts w:cs="Times New Roman"/>
          <w:sz w:val="24"/>
          <w:szCs w:val="24"/>
        </w:rPr>
        <w:t>will</w:t>
      </w:r>
      <w:r w:rsidRPr="00B1380E">
        <w:rPr>
          <w:rFonts w:cs="Times New Roman"/>
          <w:spacing w:val="6"/>
          <w:sz w:val="24"/>
          <w:szCs w:val="24"/>
        </w:rPr>
        <w:t xml:space="preserve"> </w:t>
      </w:r>
      <w:r w:rsidRPr="00B1380E">
        <w:rPr>
          <w:rFonts w:cs="Times New Roman"/>
          <w:sz w:val="24"/>
          <w:szCs w:val="24"/>
        </w:rPr>
        <w:t>not</w:t>
      </w:r>
      <w:r w:rsidRPr="00B1380E">
        <w:rPr>
          <w:rFonts w:cs="Times New Roman"/>
          <w:spacing w:val="9"/>
          <w:sz w:val="24"/>
          <w:szCs w:val="24"/>
        </w:rPr>
        <w:t xml:space="preserve"> </w:t>
      </w:r>
      <w:r w:rsidRPr="00B1380E">
        <w:rPr>
          <w:rFonts w:cs="Times New Roman"/>
          <w:sz w:val="24"/>
          <w:szCs w:val="24"/>
        </w:rPr>
        <w:t>have</w:t>
      </w:r>
      <w:r w:rsidRPr="00B1380E">
        <w:rPr>
          <w:rFonts w:cs="Times New Roman"/>
          <w:spacing w:val="11"/>
          <w:sz w:val="24"/>
          <w:szCs w:val="24"/>
        </w:rPr>
        <w:t xml:space="preserve"> </w:t>
      </w:r>
      <w:r w:rsidRPr="00B1380E">
        <w:rPr>
          <w:rFonts w:cs="Times New Roman"/>
          <w:sz w:val="24"/>
          <w:szCs w:val="24"/>
        </w:rPr>
        <w:t>to</w:t>
      </w:r>
      <w:r w:rsidRPr="00B1380E">
        <w:rPr>
          <w:rFonts w:cs="Times New Roman"/>
          <w:spacing w:val="12"/>
          <w:sz w:val="24"/>
          <w:szCs w:val="24"/>
        </w:rPr>
        <w:t xml:space="preserve"> </w:t>
      </w:r>
      <w:r w:rsidRPr="00B1380E">
        <w:rPr>
          <w:rFonts w:cs="Times New Roman"/>
          <w:sz w:val="24"/>
          <w:szCs w:val="24"/>
        </w:rPr>
        <w:t>be</w:t>
      </w:r>
      <w:r w:rsidRPr="00B1380E">
        <w:rPr>
          <w:rFonts w:cs="Times New Roman"/>
          <w:spacing w:val="9"/>
          <w:sz w:val="24"/>
          <w:szCs w:val="24"/>
        </w:rPr>
        <w:t xml:space="preserve"> </w:t>
      </w:r>
      <w:r w:rsidRPr="00B1380E">
        <w:rPr>
          <w:rFonts w:cs="Times New Roman"/>
          <w:sz w:val="24"/>
          <w:szCs w:val="24"/>
        </w:rPr>
        <w:t>amended</w:t>
      </w:r>
      <w:r w:rsidRPr="00B1380E">
        <w:rPr>
          <w:rFonts w:cs="Times New Roman"/>
          <w:spacing w:val="23"/>
          <w:sz w:val="24"/>
          <w:szCs w:val="24"/>
        </w:rPr>
        <w:t xml:space="preserve"> </w:t>
      </w:r>
      <w:r w:rsidRPr="00B1380E">
        <w:rPr>
          <w:rFonts w:cs="Times New Roman"/>
          <w:sz w:val="24"/>
          <w:szCs w:val="24"/>
        </w:rPr>
        <w:t>for</w:t>
      </w:r>
      <w:r w:rsidRPr="00B1380E">
        <w:rPr>
          <w:rFonts w:cs="Times New Roman"/>
          <w:spacing w:val="2"/>
          <w:sz w:val="24"/>
          <w:szCs w:val="24"/>
        </w:rPr>
        <w:t xml:space="preserve"> </w:t>
      </w:r>
      <w:r w:rsidRPr="00B1380E">
        <w:rPr>
          <w:rFonts w:cs="Times New Roman"/>
          <w:sz w:val="24"/>
          <w:szCs w:val="24"/>
        </w:rPr>
        <w:t>the</w:t>
      </w:r>
      <w:r w:rsidRPr="00B1380E">
        <w:rPr>
          <w:rFonts w:cs="Times New Roman"/>
          <w:spacing w:val="8"/>
          <w:sz w:val="24"/>
          <w:szCs w:val="24"/>
        </w:rPr>
        <w:t xml:space="preserve"> </w:t>
      </w:r>
      <w:r w:rsidRPr="00B1380E">
        <w:rPr>
          <w:rFonts w:cs="Times New Roman"/>
          <w:sz w:val="24"/>
          <w:szCs w:val="24"/>
        </w:rPr>
        <w:t>new</w:t>
      </w:r>
      <w:r w:rsidRPr="00B1380E">
        <w:rPr>
          <w:rFonts w:cs="Times New Roman"/>
          <w:spacing w:val="1"/>
          <w:sz w:val="24"/>
          <w:szCs w:val="24"/>
        </w:rPr>
        <w:t xml:space="preserve"> </w:t>
      </w:r>
      <w:r w:rsidRPr="00B1380E">
        <w:rPr>
          <w:rFonts w:cs="Times New Roman"/>
          <w:sz w:val="24"/>
          <w:szCs w:val="24"/>
        </w:rPr>
        <w:t>expiration</w:t>
      </w:r>
      <w:r w:rsidRPr="00B1380E">
        <w:rPr>
          <w:rFonts w:cs="Times New Roman"/>
          <w:spacing w:val="16"/>
          <w:sz w:val="24"/>
          <w:szCs w:val="24"/>
        </w:rPr>
        <w:t xml:space="preserve"> </w:t>
      </w:r>
      <w:r w:rsidRPr="00B1380E">
        <w:rPr>
          <w:rFonts w:cs="Times New Roman"/>
          <w:sz w:val="24"/>
          <w:szCs w:val="24"/>
        </w:rPr>
        <w:t>date</w:t>
      </w:r>
      <w:r w:rsidRPr="00B1380E">
        <w:rPr>
          <w:rFonts w:cs="Times New Roman"/>
          <w:spacing w:val="2"/>
          <w:sz w:val="24"/>
          <w:szCs w:val="24"/>
        </w:rPr>
        <w:t xml:space="preserve"> </w:t>
      </w:r>
      <w:r w:rsidRPr="00B1380E">
        <w:rPr>
          <w:rFonts w:cs="Times New Roman"/>
          <w:sz w:val="24"/>
          <w:szCs w:val="24"/>
        </w:rPr>
        <w:t>every</w:t>
      </w:r>
      <w:r w:rsidRPr="00B1380E">
        <w:rPr>
          <w:rFonts w:cs="Times New Roman"/>
          <w:spacing w:val="2"/>
          <w:sz w:val="24"/>
          <w:szCs w:val="24"/>
        </w:rPr>
        <w:t xml:space="preserve"> </w:t>
      </w:r>
      <w:r w:rsidRPr="00B1380E">
        <w:rPr>
          <w:rFonts w:cs="Times New Roman"/>
          <w:sz w:val="24"/>
          <w:szCs w:val="24"/>
        </w:rPr>
        <w:t>three</w:t>
      </w:r>
      <w:r w:rsidRPr="00B1380E">
        <w:rPr>
          <w:rFonts w:cs="Times New Roman"/>
          <w:spacing w:val="10"/>
          <w:sz w:val="24"/>
          <w:szCs w:val="24"/>
        </w:rPr>
        <w:t xml:space="preserve"> </w:t>
      </w:r>
      <w:r w:rsidRPr="00B1380E">
        <w:rPr>
          <w:rFonts w:cs="Times New Roman"/>
          <w:sz w:val="24"/>
          <w:szCs w:val="24"/>
        </w:rPr>
        <w:t>years.</w:t>
      </w:r>
    </w:p>
    <w:p w:rsidRPr="00046F42" w:rsidR="00D17D57" w:rsidP="00DA4035" w:rsidRDefault="00D17D57" w14:paraId="55FA4F76" w14:textId="77777777">
      <w:pPr>
        <w:spacing w:before="11"/>
        <w:rPr>
          <w:rFonts w:ascii="Times New Roman" w:hAnsi="Times New Roman" w:eastAsia="Times New Roman" w:cs="Times New Roman"/>
          <w:sz w:val="24"/>
          <w:szCs w:val="24"/>
        </w:rPr>
      </w:pPr>
    </w:p>
    <w:p w:rsidRPr="00C14283" w:rsidR="00D17D57" w:rsidP="00C14283" w:rsidRDefault="001B5A23" w14:paraId="7EC74A04" w14:textId="3BF8D29D">
      <w:pPr>
        <w:autoSpaceDE w:val="0"/>
        <w:autoSpaceDN w:val="0"/>
        <w:adjustRightInd w:val="0"/>
        <w:spacing w:line="240" w:lineRule="exact"/>
        <w:ind w:right="220"/>
        <w:jc w:val="both"/>
        <w:rPr>
          <w:rFonts w:cs="Times New Roman"/>
          <w:sz w:val="24"/>
          <w:u w:val="single"/>
        </w:rPr>
      </w:pPr>
      <w:r w:rsidRPr="001B5A23">
        <w:rPr>
          <w:rFonts w:ascii="Times New Roman" w:hAnsi="Times New Roman" w:eastAsia="Times New Roman" w:cs="Times New Roman"/>
          <w:sz w:val="24"/>
        </w:rPr>
        <w:t xml:space="preserve">18.  </w:t>
      </w:r>
      <w:r w:rsidRPr="001B5A23">
        <w:rPr>
          <w:rFonts w:ascii="Times New Roman" w:hAnsi="Times New Roman" w:eastAsia="Times New Roman" w:cs="Times New Roman"/>
          <w:sz w:val="24"/>
          <w:u w:val="single"/>
        </w:rPr>
        <w:t>Exceptions to the certification statement.</w:t>
      </w:r>
    </w:p>
    <w:p w:rsidRPr="00046F42" w:rsidR="00D17D57" w:rsidP="00DA4035" w:rsidRDefault="00D17D57" w14:paraId="3E6F67BA" w14:textId="77777777">
      <w:pPr>
        <w:spacing w:before="11"/>
        <w:rPr>
          <w:rFonts w:ascii="Times New Roman" w:hAnsi="Times New Roman" w:eastAsia="Times New Roman" w:cs="Times New Roman"/>
          <w:sz w:val="24"/>
          <w:szCs w:val="24"/>
        </w:rPr>
      </w:pPr>
    </w:p>
    <w:p w:rsidR="00D17D57" w:rsidP="00C14283" w:rsidRDefault="00CD22D4" w14:paraId="52EB102E" w14:textId="53B493DF">
      <w:pPr>
        <w:pStyle w:val="BodyText"/>
        <w:ind w:left="0" w:firstLine="720"/>
      </w:pPr>
      <w:r w:rsidRPr="00C14283">
        <w:rPr>
          <w:rFonts w:cs="Times New Roman"/>
          <w:sz w:val="24"/>
          <w:szCs w:val="24"/>
        </w:rPr>
        <w:t>There</w:t>
      </w:r>
      <w:r w:rsidRPr="00C14283">
        <w:rPr>
          <w:rFonts w:cs="Times New Roman"/>
          <w:spacing w:val="11"/>
          <w:sz w:val="24"/>
          <w:szCs w:val="24"/>
        </w:rPr>
        <w:t xml:space="preserve"> </w:t>
      </w:r>
      <w:r w:rsidRPr="00C14283">
        <w:rPr>
          <w:rFonts w:cs="Times New Roman"/>
          <w:sz w:val="24"/>
          <w:szCs w:val="24"/>
        </w:rPr>
        <w:t>are</w:t>
      </w:r>
      <w:r w:rsidRPr="00C14283">
        <w:rPr>
          <w:rFonts w:cs="Times New Roman"/>
          <w:spacing w:val="-5"/>
          <w:sz w:val="24"/>
          <w:szCs w:val="24"/>
        </w:rPr>
        <w:t xml:space="preserve"> </w:t>
      </w:r>
      <w:r w:rsidRPr="00C14283">
        <w:rPr>
          <w:rFonts w:cs="Times New Roman"/>
          <w:sz w:val="24"/>
          <w:szCs w:val="24"/>
        </w:rPr>
        <w:t>no</w:t>
      </w:r>
      <w:r w:rsidRPr="00C14283">
        <w:rPr>
          <w:rFonts w:cs="Times New Roman"/>
          <w:spacing w:val="8"/>
          <w:sz w:val="24"/>
          <w:szCs w:val="24"/>
        </w:rPr>
        <w:t xml:space="preserve"> </w:t>
      </w:r>
      <w:r w:rsidRPr="00C14283">
        <w:rPr>
          <w:rFonts w:cs="Times New Roman"/>
          <w:sz w:val="24"/>
          <w:szCs w:val="24"/>
        </w:rPr>
        <w:t>exceptions</w:t>
      </w:r>
      <w:r w:rsidRPr="00C14283">
        <w:rPr>
          <w:rFonts w:cs="Times New Roman"/>
          <w:spacing w:val="18"/>
          <w:sz w:val="24"/>
          <w:szCs w:val="24"/>
        </w:rPr>
        <w:t xml:space="preserve"> </w:t>
      </w:r>
      <w:r w:rsidRPr="00C14283">
        <w:rPr>
          <w:rFonts w:cs="Times New Roman"/>
          <w:sz w:val="24"/>
          <w:szCs w:val="24"/>
        </w:rPr>
        <w:t>to</w:t>
      </w:r>
      <w:r w:rsidRPr="00C14283">
        <w:rPr>
          <w:rFonts w:cs="Times New Roman"/>
          <w:spacing w:val="7"/>
          <w:sz w:val="24"/>
          <w:szCs w:val="24"/>
        </w:rPr>
        <w:t xml:space="preserve"> </w:t>
      </w:r>
      <w:r w:rsidRPr="00C14283">
        <w:rPr>
          <w:rFonts w:cs="Times New Roman"/>
          <w:sz w:val="24"/>
          <w:szCs w:val="24"/>
        </w:rPr>
        <w:t>the</w:t>
      </w:r>
      <w:r w:rsidRPr="00C14283">
        <w:rPr>
          <w:rFonts w:cs="Times New Roman"/>
          <w:spacing w:val="10"/>
          <w:sz w:val="24"/>
          <w:szCs w:val="24"/>
        </w:rPr>
        <w:t xml:space="preserve"> </w:t>
      </w:r>
      <w:r w:rsidRPr="00C14283">
        <w:rPr>
          <w:rFonts w:cs="Times New Roman"/>
          <w:sz w:val="24"/>
          <w:szCs w:val="24"/>
        </w:rPr>
        <w:t>certification</w:t>
      </w:r>
      <w:r w:rsidRPr="00C14283">
        <w:rPr>
          <w:rFonts w:cs="Times New Roman"/>
          <w:spacing w:val="26"/>
          <w:sz w:val="24"/>
          <w:szCs w:val="24"/>
        </w:rPr>
        <w:t xml:space="preserve"> </w:t>
      </w:r>
      <w:r w:rsidRPr="00C14283">
        <w:rPr>
          <w:rFonts w:cs="Times New Roman"/>
          <w:sz w:val="24"/>
          <w:szCs w:val="24"/>
        </w:rPr>
        <w:t>statement.</w:t>
      </w:r>
    </w:p>
    <w:sectPr w:rsidR="00D17D57">
      <w:headerReference w:type="even" r:id="rId8"/>
      <w:headerReference w:type="default" r:id="rId9"/>
      <w:footerReference w:type="even" r:id="rId10"/>
      <w:footerReference w:type="default" r:id="rId11"/>
      <w:headerReference w:type="first" r:id="rId12"/>
      <w:footerReference w:type="first" r:id="rId13"/>
      <w:pgSz w:w="12240" w:h="15840"/>
      <w:pgMar w:top="1400" w:right="1720" w:bottom="280" w:left="1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C17739" w14:textId="77777777" w:rsidR="00DD151B" w:rsidRDefault="00DD151B" w:rsidP="00DA4035">
      <w:r>
        <w:separator/>
      </w:r>
    </w:p>
  </w:endnote>
  <w:endnote w:type="continuationSeparator" w:id="0">
    <w:p w14:paraId="4860F0F4" w14:textId="77777777" w:rsidR="00DD151B" w:rsidRDefault="00DD151B" w:rsidP="00DA40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2FE436" w14:textId="77777777" w:rsidR="00DD151B" w:rsidRDefault="00DD15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44945796"/>
      <w:docPartObj>
        <w:docPartGallery w:val="Page Numbers (Bottom of Page)"/>
        <w:docPartUnique/>
      </w:docPartObj>
    </w:sdtPr>
    <w:sdtEndPr>
      <w:rPr>
        <w:rFonts w:ascii="Times New Roman" w:hAnsi="Times New Roman" w:cs="Times New Roman"/>
        <w:noProof/>
      </w:rPr>
    </w:sdtEndPr>
    <w:sdtContent>
      <w:p w14:paraId="28E7729E" w14:textId="17C35968" w:rsidR="00DD151B" w:rsidRPr="006D017C" w:rsidRDefault="00DD151B">
        <w:pPr>
          <w:pStyle w:val="Footer"/>
          <w:jc w:val="center"/>
          <w:rPr>
            <w:rFonts w:ascii="Times New Roman" w:hAnsi="Times New Roman" w:cs="Times New Roman"/>
          </w:rPr>
        </w:pPr>
        <w:r w:rsidRPr="006D017C">
          <w:rPr>
            <w:rFonts w:ascii="Times New Roman" w:hAnsi="Times New Roman" w:cs="Times New Roman"/>
          </w:rPr>
          <w:fldChar w:fldCharType="begin"/>
        </w:r>
        <w:r w:rsidRPr="006D017C">
          <w:rPr>
            <w:rFonts w:ascii="Times New Roman" w:hAnsi="Times New Roman" w:cs="Times New Roman"/>
          </w:rPr>
          <w:instrText xml:space="preserve"> PAGE   \* MERGEFORMAT </w:instrText>
        </w:r>
        <w:r w:rsidRPr="006D017C">
          <w:rPr>
            <w:rFonts w:ascii="Times New Roman" w:hAnsi="Times New Roman" w:cs="Times New Roman"/>
          </w:rPr>
          <w:fldChar w:fldCharType="separate"/>
        </w:r>
        <w:r w:rsidR="009F38A5">
          <w:rPr>
            <w:rFonts w:ascii="Times New Roman" w:hAnsi="Times New Roman" w:cs="Times New Roman"/>
            <w:noProof/>
          </w:rPr>
          <w:t>7</w:t>
        </w:r>
        <w:r w:rsidRPr="006D017C">
          <w:rPr>
            <w:rFonts w:ascii="Times New Roman" w:hAnsi="Times New Roman" w:cs="Times New Roman"/>
            <w:noProof/>
          </w:rPr>
          <w:fldChar w:fldCharType="end"/>
        </w:r>
      </w:p>
    </w:sdtContent>
  </w:sdt>
  <w:p w14:paraId="75C6F8FC" w14:textId="77777777" w:rsidR="00DD151B" w:rsidRDefault="00DD151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0B6914" w14:textId="77777777" w:rsidR="00DD151B" w:rsidRDefault="00DD15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B3275B" w14:textId="77777777" w:rsidR="00DD151B" w:rsidRDefault="00DD151B" w:rsidP="00DA4035">
      <w:r>
        <w:separator/>
      </w:r>
    </w:p>
  </w:footnote>
  <w:footnote w:type="continuationSeparator" w:id="0">
    <w:p w14:paraId="76E471A3" w14:textId="77777777" w:rsidR="00DD151B" w:rsidRDefault="00DD151B" w:rsidP="00DA4035">
      <w:r>
        <w:continuationSeparator/>
      </w:r>
    </w:p>
  </w:footnote>
  <w:footnote w:id="1">
    <w:p w14:paraId="79A739B5" w14:textId="77777777" w:rsidR="00DD151B" w:rsidRPr="00DF7F8B" w:rsidRDefault="00DD151B" w:rsidP="00D369F6">
      <w:pPr>
        <w:pStyle w:val="FootnoteText"/>
        <w:rPr>
          <w:rFonts w:ascii="Times New Roman" w:hAnsi="Times New Roman" w:cs="Times New Roman"/>
        </w:rPr>
      </w:pPr>
      <w:r w:rsidRPr="00DF7F8B">
        <w:rPr>
          <w:rStyle w:val="FootnoteReference"/>
          <w:rFonts w:ascii="Times New Roman" w:hAnsi="Times New Roman" w:cs="Times New Roman"/>
        </w:rPr>
        <w:footnoteRef/>
      </w:r>
      <w:r w:rsidRPr="00DF7F8B">
        <w:rPr>
          <w:rFonts w:ascii="Times New Roman" w:hAnsi="Times New Roman" w:cs="Times New Roman"/>
        </w:rPr>
        <w:t xml:space="preserve"> The AML Act was enacted as Division F, §§ 6001-6511, of the William M. (Mac) Thornberry National</w:t>
      </w:r>
    </w:p>
    <w:p w14:paraId="1F5DDA81" w14:textId="77777777" w:rsidR="00DD151B" w:rsidRPr="00DF7F8B" w:rsidRDefault="00DD151B" w:rsidP="00D369F6">
      <w:pPr>
        <w:pStyle w:val="FootnoteText"/>
        <w:rPr>
          <w:rFonts w:ascii="Times New Roman" w:hAnsi="Times New Roman" w:cs="Times New Roman"/>
        </w:rPr>
      </w:pPr>
      <w:r w:rsidRPr="00DF7F8B">
        <w:rPr>
          <w:rFonts w:ascii="Times New Roman" w:hAnsi="Times New Roman" w:cs="Times New Roman"/>
        </w:rPr>
        <w:t>Defense Authorization Act for Fiscal Year 2021, Pub. L. 116-283, 134 Stat 3388 (2021).</w:t>
      </w:r>
    </w:p>
  </w:footnote>
  <w:footnote w:id="2">
    <w:p w14:paraId="44E5C40F" w14:textId="77777777" w:rsidR="00DD151B" w:rsidRPr="00DF7F8B" w:rsidRDefault="00DD151B" w:rsidP="00D369F6">
      <w:pPr>
        <w:pStyle w:val="FootnoteText"/>
        <w:rPr>
          <w:rFonts w:ascii="Times New Roman" w:hAnsi="Times New Roman" w:cs="Times New Roman"/>
        </w:rPr>
      </w:pPr>
      <w:r w:rsidRPr="00DF7F8B">
        <w:rPr>
          <w:rStyle w:val="FootnoteReference"/>
          <w:rFonts w:ascii="Times New Roman" w:hAnsi="Times New Roman" w:cs="Times New Roman"/>
        </w:rPr>
        <w:footnoteRef/>
      </w:r>
      <w:r w:rsidRPr="00DF7F8B">
        <w:rPr>
          <w:rFonts w:ascii="Times New Roman" w:hAnsi="Times New Roman" w:cs="Times New Roman"/>
        </w:rPr>
        <w:t xml:space="preserve"> Section 358 of the USA PATRIOT Act added language expanding the scope of the BSA to intelligence or counter-intelligence activities to protect against international terrorism.  Section 6101 of the AML Act added language further expanding the scope of the BSA but did not amend these longstanding purposes.</w:t>
      </w:r>
      <w:r w:rsidRPr="00DF7F8B">
        <w:rPr>
          <w:rFonts w:ascii="Times New Roman" w:hAnsi="Times New Roman" w:cs="Times New Roman"/>
          <w:color w:val="1F497D"/>
        </w:rPr>
        <w:t xml:space="preserve"> </w:t>
      </w:r>
    </w:p>
  </w:footnote>
  <w:footnote w:id="3">
    <w:p w14:paraId="673865E7" w14:textId="77777777" w:rsidR="00DD151B" w:rsidRPr="00565B7E" w:rsidRDefault="00DD151B" w:rsidP="00D369F6">
      <w:pPr>
        <w:pStyle w:val="FootnoteText"/>
        <w:rPr>
          <w:rFonts w:ascii="Times New Roman" w:hAnsi="Times New Roman" w:cs="Times New Roman"/>
        </w:rPr>
      </w:pPr>
      <w:r w:rsidRPr="00DF7F8B">
        <w:rPr>
          <w:rStyle w:val="FootnoteReference"/>
          <w:rFonts w:ascii="Times New Roman" w:hAnsi="Times New Roman" w:cs="Times New Roman"/>
        </w:rPr>
        <w:footnoteRef/>
      </w:r>
      <w:r w:rsidRPr="00DF7F8B">
        <w:rPr>
          <w:rFonts w:ascii="Times New Roman" w:hAnsi="Times New Roman" w:cs="Times New Roman"/>
        </w:rPr>
        <w:t xml:space="preserve"> Treasury Order 180-01 (re-affirmed Jan. 14, 2020).</w:t>
      </w:r>
      <w:r w:rsidRPr="0053423B">
        <w:t xml:space="preserve"> </w:t>
      </w:r>
    </w:p>
  </w:footnote>
  <w:footnote w:id="4">
    <w:p w14:paraId="6241AC2B" w14:textId="2B349717" w:rsidR="00DD151B" w:rsidRPr="00761FF7" w:rsidRDefault="00DD151B">
      <w:pPr>
        <w:pStyle w:val="FootnoteText"/>
        <w:rPr>
          <w:rFonts w:ascii="Times New Roman" w:hAnsi="Times New Roman" w:cs="Times New Roman"/>
        </w:rPr>
      </w:pPr>
      <w:r w:rsidRPr="00761FF7">
        <w:rPr>
          <w:rStyle w:val="FootnoteReference"/>
          <w:rFonts w:ascii="Times New Roman" w:hAnsi="Times New Roman" w:cs="Times New Roman"/>
        </w:rPr>
        <w:footnoteRef/>
      </w:r>
      <w:r w:rsidRPr="00761FF7">
        <w:rPr>
          <w:rFonts w:ascii="Times New Roman" w:hAnsi="Times New Roman" w:cs="Times New Roman"/>
        </w:rPr>
        <w:t xml:space="preserve"> 31 U.S.C. 5314(a).</w:t>
      </w:r>
    </w:p>
  </w:footnote>
  <w:footnote w:id="5">
    <w:p w14:paraId="69413FD5" w14:textId="77777777" w:rsidR="00DD151B" w:rsidRPr="00761FF7" w:rsidRDefault="00DD151B" w:rsidP="003B515C">
      <w:pPr>
        <w:pStyle w:val="FootnoteText"/>
        <w:rPr>
          <w:rFonts w:ascii="Times New Roman" w:hAnsi="Times New Roman" w:cs="Times New Roman"/>
        </w:rPr>
      </w:pPr>
      <w:r w:rsidRPr="00761FF7">
        <w:rPr>
          <w:rStyle w:val="FootnoteReference"/>
          <w:rFonts w:ascii="Times New Roman" w:hAnsi="Times New Roman" w:cs="Times New Roman"/>
        </w:rPr>
        <w:footnoteRef/>
      </w:r>
      <w:r w:rsidRPr="00761FF7">
        <w:rPr>
          <w:rFonts w:ascii="Times New Roman" w:hAnsi="Times New Roman" w:cs="Times New Roman"/>
        </w:rPr>
        <w:t xml:space="preserve"> 31 U.S.C. 5312(b)(2).</w:t>
      </w:r>
    </w:p>
  </w:footnote>
  <w:footnote w:id="6">
    <w:p w14:paraId="7FD7C27E" w14:textId="25917EE5" w:rsidR="00DD151B" w:rsidRPr="00116C59" w:rsidRDefault="00DD151B" w:rsidP="00116C59">
      <w:pPr>
        <w:pStyle w:val="FootnoteText"/>
        <w:rPr>
          <w:rFonts w:ascii="Times New Roman" w:hAnsi="Times New Roman" w:cs="Times New Roman"/>
        </w:rPr>
      </w:pPr>
      <w:r w:rsidRPr="00116C59">
        <w:rPr>
          <w:rStyle w:val="FootnoteReference"/>
          <w:rFonts w:ascii="Times New Roman" w:hAnsi="Times New Roman" w:cs="Times New Roman"/>
        </w:rPr>
        <w:footnoteRef/>
      </w:r>
      <w:r w:rsidRPr="00116C59">
        <w:rPr>
          <w:rFonts w:ascii="Times New Roman" w:hAnsi="Times New Roman" w:cs="Times New Roman"/>
        </w:rPr>
        <w:t xml:space="preserve"> </w:t>
      </w:r>
      <w:r w:rsidRPr="00392D92">
        <w:rPr>
          <w:rFonts w:ascii="Times New Roman" w:hAnsi="Times New Roman" w:cs="Times New Roman"/>
        </w:rPr>
        <w:t>As noted in section 8 below, one commenter pointed out that, independent of any difficulties associated with recording and reporting the required information, the technical limitations that FinCEN has imposed on reports of FFA data impose their own, possibly significant burden on financial institutions required to file such reports; the commenter made recommendations about how to ease that burden.  FinCEN is adjusting the burden associated with these filings to take into account filers’ need to address those technical limitations, and is also considering the commenter’s recommendations.</w:t>
      </w:r>
    </w:p>
  </w:footnote>
  <w:footnote w:id="7">
    <w:p w14:paraId="713F55DA" w14:textId="027D785B" w:rsidR="00DD151B" w:rsidRPr="00D12F66" w:rsidRDefault="00DD151B" w:rsidP="00C42992">
      <w:pPr>
        <w:pStyle w:val="FootnoteText"/>
        <w:rPr>
          <w:rFonts w:ascii="Times New Roman" w:hAnsi="Times New Roman" w:cs="Times New Roman"/>
        </w:rPr>
      </w:pPr>
      <w:r w:rsidRPr="00D12F66">
        <w:rPr>
          <w:rStyle w:val="FootnoteReference"/>
          <w:rFonts w:ascii="Times New Roman" w:hAnsi="Times New Roman" w:cs="Times New Roman"/>
        </w:rPr>
        <w:footnoteRef/>
      </w:r>
      <w:r w:rsidRPr="00D12F66">
        <w:rPr>
          <w:rFonts w:ascii="Times New Roman" w:hAnsi="Times New Roman" w:cs="Times New Roman"/>
        </w:rPr>
        <w:t xml:space="preserve"> 87 FR 1479</w:t>
      </w:r>
      <w:r>
        <w:rPr>
          <w:rFonts w:ascii="Times New Roman" w:hAnsi="Times New Roman" w:cs="Times New Roman"/>
        </w:rPr>
        <w:t>, available</w:t>
      </w:r>
      <w:r w:rsidRPr="00D12F66">
        <w:rPr>
          <w:rFonts w:ascii="Times New Roman" w:hAnsi="Times New Roman" w:cs="Times New Roman"/>
        </w:rPr>
        <w:t xml:space="preserve"> at </w:t>
      </w:r>
      <w:hyperlink r:id="rId1" w:history="1">
        <w:r w:rsidRPr="00B83A2D">
          <w:rPr>
            <w:rStyle w:val="Hyperlink"/>
            <w:rFonts w:ascii="Times New Roman" w:hAnsi="Times New Roman" w:cs="Times New Roman"/>
          </w:rPr>
          <w:t>2022-00332.pdf (govinfo.gov)</w:t>
        </w:r>
      </w:hyperlink>
      <w:r w:rsidRPr="00312A86">
        <w:rPr>
          <w:rStyle w:val="Hyperlink"/>
          <w:rFonts w:ascii="Times New Roman" w:hAnsi="Times New Roman" w:cs="Times New Roman"/>
        </w:rPr>
        <w:t>.</w:t>
      </w:r>
    </w:p>
  </w:footnote>
  <w:footnote w:id="8">
    <w:p w14:paraId="65387D23" w14:textId="249E47D0" w:rsidR="00DD151B" w:rsidRDefault="00DD151B" w:rsidP="00D06A06">
      <w:pPr>
        <w:pStyle w:val="HTMLPreformatted"/>
        <w:shd w:val="clear" w:color="auto" w:fill="FFFFFF"/>
      </w:pPr>
      <w:r w:rsidRPr="001F7618">
        <w:rPr>
          <w:rStyle w:val="FootnoteReference"/>
          <w:rFonts w:ascii="Times New Roman" w:hAnsi="Times New Roman" w:cs="Times New Roman"/>
        </w:rPr>
        <w:footnoteRef/>
      </w:r>
      <w:r>
        <w:t xml:space="preserve"> </w:t>
      </w:r>
      <w:r w:rsidRPr="001F7618">
        <w:rPr>
          <w:rFonts w:ascii="Times New Roman" w:eastAsia="Courier New" w:hAnsi="Times New Roman"/>
          <w:lang w:val="x-none" w:eastAsia="x-none"/>
        </w:rPr>
        <w:t>See</w:t>
      </w:r>
      <w:r w:rsidRPr="001F7618">
        <w:rPr>
          <w:rFonts w:ascii="Times New Roman" w:eastAsia="Courier New" w:hAnsi="Times New Roman"/>
          <w:lang w:eastAsia="x-none"/>
        </w:rPr>
        <w:t xml:space="preserve"> </w:t>
      </w:r>
      <w:r w:rsidRPr="001F7618">
        <w:rPr>
          <w:rFonts w:ascii="Times New Roman" w:eastAsia="Courier New" w:hAnsi="Times New Roman"/>
          <w:color w:val="000000"/>
          <w:lang w:val="x-none" w:eastAsia="x-none"/>
        </w:rPr>
        <w:t>FinCEN's System of Records Notice for</w:t>
      </w:r>
      <w:r w:rsidRPr="001F7618">
        <w:rPr>
          <w:rFonts w:ascii="Times New Roman" w:eastAsia="Courier New" w:hAnsi="Times New Roman"/>
          <w:color w:val="000000"/>
          <w:lang w:eastAsia="x-none"/>
        </w:rPr>
        <w:t xml:space="preserve"> the</w:t>
      </w:r>
      <w:r w:rsidRPr="001F7618">
        <w:rPr>
          <w:rFonts w:ascii="Times New Roman" w:eastAsia="Courier New" w:hAnsi="Times New Roman"/>
          <w:color w:val="000000"/>
          <w:lang w:val="x-none" w:eastAsia="x-none"/>
        </w:rPr>
        <w:t xml:space="preserve"> BSA System at </w:t>
      </w:r>
      <w:r w:rsidRPr="001F7618">
        <w:rPr>
          <w:rFonts w:ascii="Times New Roman" w:eastAsia="Courier New" w:hAnsi="Times New Roman"/>
          <w:lang w:eastAsia="x-none"/>
        </w:rPr>
        <w:t>79 FR 20974, April 14, 2014</w:t>
      </w:r>
      <w:r w:rsidR="007F1173">
        <w:rPr>
          <w:rFonts w:ascii="Times New Roman" w:eastAsia="Courier New" w:hAnsi="Times New Roman"/>
          <w:lang w:eastAsia="x-none"/>
        </w:rPr>
        <w:t xml:space="preserve"> </w:t>
      </w:r>
      <w:hyperlink r:id="rId2" w:history="1">
        <w:r w:rsidRPr="001F7618">
          <w:rPr>
            <w:rFonts w:ascii="Times New Roman" w:eastAsia="Courier New" w:hAnsi="Times New Roman"/>
            <w:color w:val="0000FF"/>
            <w:u w:val="single"/>
            <w:lang w:val="x-none" w:eastAsia="x-none"/>
          </w:rPr>
          <w:t>https://www.federalregister.gov/documents/2014/04/14/2014-08254/privacy-act-of-1974-as-amended-system-of-records-notice</w:t>
        </w:r>
      </w:hyperlink>
      <w:r w:rsidRPr="001F7618">
        <w:rPr>
          <w:rFonts w:ascii="Times New Roman" w:eastAsia="Courier New" w:hAnsi="Times New Roman"/>
          <w:color w:val="000000"/>
          <w:lang w:eastAsia="x-none"/>
        </w:rPr>
        <w:t xml:space="preserve">. </w:t>
      </w:r>
    </w:p>
  </w:footnote>
  <w:footnote w:id="9">
    <w:p w14:paraId="4C5C57EF" w14:textId="77777777" w:rsidR="00DD151B" w:rsidRPr="001F7618" w:rsidRDefault="00DD151B" w:rsidP="006801D6">
      <w:pPr>
        <w:pStyle w:val="FootnoteText"/>
        <w:rPr>
          <w:rFonts w:ascii="Times New Roman" w:hAnsi="Times New Roman"/>
        </w:rPr>
      </w:pPr>
      <w:r w:rsidRPr="001F7618">
        <w:rPr>
          <w:rStyle w:val="FootnoteReference"/>
          <w:rFonts w:ascii="Times New Roman" w:hAnsi="Times New Roman"/>
        </w:rPr>
        <w:footnoteRef/>
      </w:r>
      <w:r w:rsidRPr="001F7618">
        <w:rPr>
          <w:rFonts w:ascii="Times New Roman" w:hAnsi="Times New Roman"/>
        </w:rPr>
        <w:t xml:space="preserve"> </w:t>
      </w:r>
      <w:r w:rsidRPr="0003048E">
        <w:rPr>
          <w:rFonts w:ascii="Times New Roman" w:hAnsi="Times New Roman"/>
          <w:i/>
        </w:rPr>
        <w:t>Id.</w:t>
      </w:r>
    </w:p>
  </w:footnote>
  <w:footnote w:id="10">
    <w:p w14:paraId="55AD1530" w14:textId="77777777" w:rsidR="00DD151B" w:rsidRPr="006C4ED1" w:rsidRDefault="00DD151B" w:rsidP="00AB0459">
      <w:pPr>
        <w:pStyle w:val="CommentText"/>
        <w:rPr>
          <w:rFonts w:ascii="Times New Roman" w:hAnsi="Times New Roman" w:cs="Times New Roman"/>
        </w:rPr>
      </w:pPr>
      <w:r w:rsidRPr="006C4ED1">
        <w:rPr>
          <w:rStyle w:val="FootnoteReference"/>
          <w:rFonts w:ascii="Times New Roman" w:hAnsi="Times New Roman" w:cs="Times New Roman"/>
        </w:rPr>
        <w:footnoteRef/>
      </w:r>
      <w:r w:rsidRPr="006C4ED1">
        <w:rPr>
          <w:rFonts w:ascii="Times New Roman" w:hAnsi="Times New Roman" w:cs="Times New Roman"/>
        </w:rPr>
        <w:t xml:space="preserve"> Between 2019-2021, FinCEN sent FFA requests to an average of 9 financial institutions (5-13 financial institutions per request for an average of 9 financial institutions per request).  </w:t>
      </w:r>
    </w:p>
  </w:footnote>
  <w:footnote w:id="11">
    <w:p w14:paraId="78E7E0C1" w14:textId="4EF8670D" w:rsidR="00DD151B" w:rsidRPr="006C4ED1" w:rsidRDefault="00DD151B" w:rsidP="00AB0459">
      <w:pPr>
        <w:pStyle w:val="FootnoteText"/>
        <w:rPr>
          <w:rFonts w:ascii="Times New Roman" w:hAnsi="Times New Roman" w:cs="Times New Roman"/>
        </w:rPr>
      </w:pPr>
      <w:r w:rsidRPr="006C4ED1">
        <w:rPr>
          <w:rStyle w:val="FootnoteReference"/>
          <w:rFonts w:ascii="Times New Roman" w:hAnsi="Times New Roman" w:cs="Times New Roman"/>
        </w:rPr>
        <w:footnoteRef/>
      </w:r>
      <w:r w:rsidRPr="006C4ED1">
        <w:rPr>
          <w:rFonts w:ascii="Times New Roman" w:hAnsi="Times New Roman" w:cs="Times New Roman"/>
        </w:rPr>
        <w:t xml:space="preserve"> Between 2019-2021, FinCEN sent a total of 4 requests to an average of 9 financial institutions, for a total of 36 requests over three years.  The requests asked for information on 1 to 12 FFAs per request, with an average of 6.5 (rounded up to 7) FFAs per request.  36 total requests multiplied by 7 FFAs</w:t>
      </w:r>
      <w:r>
        <w:t xml:space="preserve"> </w:t>
      </w:r>
      <w:r w:rsidRPr="006C4ED1">
        <w:rPr>
          <w:rFonts w:ascii="Times New Roman" w:hAnsi="Times New Roman" w:cs="Times New Roman"/>
        </w:rPr>
        <w:t>per request equals 252 responses over the course of 3 years.  Therefore, the annual estimated number of responses is 252 responses divided by 3 years, which equals 84 responses annually.</w:t>
      </w:r>
    </w:p>
  </w:footnote>
  <w:footnote w:id="12">
    <w:p w14:paraId="4EE0E9BF" w14:textId="54E64A52" w:rsidR="00DD151B" w:rsidRPr="00DE5FB8" w:rsidRDefault="00DD151B">
      <w:pPr>
        <w:pStyle w:val="FootnoteText"/>
        <w:rPr>
          <w:rFonts w:ascii="Times New Roman" w:hAnsi="Times New Roman" w:cs="Times New Roman"/>
        </w:rPr>
      </w:pPr>
      <w:r w:rsidRPr="00DE5FB8">
        <w:rPr>
          <w:rStyle w:val="FootnoteReference"/>
          <w:rFonts w:ascii="Times New Roman" w:hAnsi="Times New Roman" w:cs="Times New Roman"/>
        </w:rPr>
        <w:footnoteRef/>
      </w:r>
      <w:r w:rsidRPr="00DE5FB8">
        <w:rPr>
          <w:rFonts w:ascii="Times New Roman" w:hAnsi="Times New Roman" w:cs="Times New Roman"/>
        </w:rPr>
        <w:t xml:space="preserve"> </w:t>
      </w:r>
      <w:r>
        <w:rPr>
          <w:rFonts w:ascii="Times New Roman" w:hAnsi="Times New Roman" w:cs="Times New Roman"/>
        </w:rPr>
        <w:t>84 total FFA responses multiplied by 25 percent equals 21.</w:t>
      </w:r>
    </w:p>
  </w:footnote>
  <w:footnote w:id="13">
    <w:p w14:paraId="01A28815" w14:textId="70AE8C9B" w:rsidR="00DD151B" w:rsidRPr="00591B2C" w:rsidRDefault="00DD151B">
      <w:pPr>
        <w:pStyle w:val="FootnoteText"/>
        <w:rPr>
          <w:rFonts w:ascii="Times New Roman" w:hAnsi="Times New Roman" w:cs="Times New Roman"/>
        </w:rPr>
      </w:pPr>
      <w:r w:rsidRPr="00591B2C">
        <w:rPr>
          <w:rStyle w:val="FootnoteReference"/>
          <w:rFonts w:ascii="Times New Roman" w:hAnsi="Times New Roman" w:cs="Times New Roman"/>
        </w:rPr>
        <w:footnoteRef/>
      </w:r>
      <w:r w:rsidRPr="00591B2C">
        <w:rPr>
          <w:rFonts w:ascii="Times New Roman" w:hAnsi="Times New Roman" w:cs="Times New Roman"/>
        </w:rPr>
        <w:t xml:space="preserve"> </w:t>
      </w:r>
      <w:r>
        <w:rPr>
          <w:rFonts w:ascii="Times New Roman" w:hAnsi="Times New Roman" w:cs="Times New Roman"/>
        </w:rPr>
        <w:t>84 total FFA responses multiplied by 50 percent equals 42.</w:t>
      </w:r>
    </w:p>
  </w:footnote>
  <w:footnote w:id="14">
    <w:p w14:paraId="42C0B4E0" w14:textId="401E8753" w:rsidR="00DD151B" w:rsidRPr="00591B2C" w:rsidRDefault="00DD151B">
      <w:pPr>
        <w:pStyle w:val="FootnoteText"/>
        <w:rPr>
          <w:rFonts w:ascii="Times New Roman" w:hAnsi="Times New Roman" w:cs="Times New Roman"/>
        </w:rPr>
      </w:pPr>
      <w:r w:rsidRPr="00591B2C">
        <w:rPr>
          <w:rStyle w:val="FootnoteReference"/>
          <w:rFonts w:ascii="Times New Roman" w:hAnsi="Times New Roman" w:cs="Times New Roman"/>
        </w:rPr>
        <w:footnoteRef/>
      </w:r>
      <w:r w:rsidRPr="00591B2C">
        <w:rPr>
          <w:rFonts w:ascii="Times New Roman" w:hAnsi="Times New Roman" w:cs="Times New Roman"/>
        </w:rPr>
        <w:t xml:space="preserve"> </w:t>
      </w:r>
      <w:r>
        <w:rPr>
          <w:rFonts w:ascii="Times New Roman" w:hAnsi="Times New Roman" w:cs="Times New Roman"/>
        </w:rPr>
        <w:t>84 total FFA response multiplied by 25 percent equals 21.</w:t>
      </w:r>
    </w:p>
  </w:footnote>
  <w:footnote w:id="15">
    <w:p w14:paraId="0BFDC4EA" w14:textId="1D66143E" w:rsidR="00A85B8D" w:rsidRPr="00A85B8D" w:rsidRDefault="00A85B8D">
      <w:pPr>
        <w:pStyle w:val="FootnoteText"/>
        <w:rPr>
          <w:rFonts w:ascii="Times New Roman" w:hAnsi="Times New Roman" w:cs="Times New Roman"/>
        </w:rPr>
      </w:pPr>
      <w:r w:rsidRPr="00A85B8D">
        <w:rPr>
          <w:rStyle w:val="FootnoteReference"/>
          <w:rFonts w:ascii="Times New Roman" w:hAnsi="Times New Roman" w:cs="Times New Roman"/>
        </w:rPr>
        <w:footnoteRef/>
      </w:r>
      <w:r w:rsidRPr="00A85B8D">
        <w:rPr>
          <w:rFonts w:ascii="Times New Roman" w:hAnsi="Times New Roman" w:cs="Times New Roman"/>
        </w:rPr>
        <w:t xml:space="preserve"> </w:t>
      </w:r>
      <w:r w:rsidRPr="00A85B8D">
        <w:rPr>
          <w:rFonts w:ascii="Times New Roman" w:hAnsi="Times New Roman" w:cs="Times New Roman"/>
          <w:i/>
        </w:rPr>
        <w:t>See</w:t>
      </w:r>
      <w:r w:rsidRPr="00A85B8D">
        <w:rPr>
          <w:rFonts w:ascii="Times New Roman" w:hAnsi="Times New Roman" w:cs="Times New Roman"/>
        </w:rPr>
        <w:t xml:space="preserve"> Table 2.</w:t>
      </w:r>
    </w:p>
  </w:footnote>
  <w:footnote w:id="16">
    <w:p w14:paraId="66D80946" w14:textId="000B0DF7" w:rsidR="00A85B8D" w:rsidRPr="00A85B8D" w:rsidRDefault="00A85B8D">
      <w:pPr>
        <w:pStyle w:val="FootnoteText"/>
        <w:rPr>
          <w:rFonts w:ascii="Times New Roman" w:hAnsi="Times New Roman" w:cs="Times New Roman"/>
        </w:rPr>
      </w:pPr>
      <w:r w:rsidRPr="00A85B8D">
        <w:rPr>
          <w:rStyle w:val="FootnoteReference"/>
          <w:rFonts w:ascii="Times New Roman" w:hAnsi="Times New Roman" w:cs="Times New Roman"/>
        </w:rPr>
        <w:footnoteRef/>
      </w:r>
      <w:r w:rsidRPr="00A85B8D">
        <w:rPr>
          <w:rFonts w:ascii="Times New Roman" w:hAnsi="Times New Roman" w:cs="Times New Roman"/>
        </w:rPr>
        <w:t xml:space="preserve"> </w:t>
      </w:r>
      <w:r w:rsidRPr="00A85B8D">
        <w:rPr>
          <w:rFonts w:ascii="Times New Roman" w:hAnsi="Times New Roman" w:cs="Times New Roman"/>
          <w:i/>
        </w:rPr>
        <w:t xml:space="preserve">See </w:t>
      </w:r>
      <w:r w:rsidRPr="00A85B8D">
        <w:rPr>
          <w:rFonts w:ascii="Times New Roman" w:hAnsi="Times New Roman" w:cs="Times New Roman"/>
        </w:rPr>
        <w:t>Table 1.</w:t>
      </w:r>
    </w:p>
  </w:footnote>
  <w:footnote w:id="17">
    <w:p w14:paraId="5B5D3B3F" w14:textId="6AA7B59D" w:rsidR="00064166" w:rsidRPr="00064166" w:rsidRDefault="00064166">
      <w:pPr>
        <w:pStyle w:val="FootnoteText"/>
        <w:rPr>
          <w:rFonts w:ascii="Times New Roman" w:hAnsi="Times New Roman" w:cs="Times New Roman"/>
        </w:rPr>
      </w:pPr>
      <w:r w:rsidRPr="00064166">
        <w:rPr>
          <w:rStyle w:val="FootnoteReference"/>
          <w:rFonts w:ascii="Times New Roman" w:hAnsi="Times New Roman" w:cs="Times New Roman"/>
        </w:rPr>
        <w:footnoteRef/>
      </w:r>
      <w:r w:rsidRPr="00064166">
        <w:rPr>
          <w:rFonts w:ascii="Times New Roman" w:hAnsi="Times New Roman" w:cs="Times New Roman"/>
        </w:rPr>
        <w:t xml:space="preserve"> </w:t>
      </w:r>
      <w:r w:rsidRPr="00064166">
        <w:rPr>
          <w:rFonts w:ascii="Times New Roman" w:hAnsi="Times New Roman" w:cs="Times New Roman"/>
          <w:i/>
        </w:rPr>
        <w:t>See</w:t>
      </w:r>
      <w:r w:rsidRPr="00064166">
        <w:rPr>
          <w:rFonts w:ascii="Times New Roman" w:hAnsi="Times New Roman" w:cs="Times New Roman"/>
        </w:rPr>
        <w:t xml:space="preserve"> Table 2.</w:t>
      </w:r>
    </w:p>
  </w:footnote>
  <w:footnote w:id="18">
    <w:p w14:paraId="5F607500" w14:textId="15F1B8CA" w:rsidR="00DD151B" w:rsidRPr="00591B2C" w:rsidRDefault="00DD151B" w:rsidP="00EB1B35">
      <w:pPr>
        <w:pStyle w:val="FootnoteText"/>
        <w:rPr>
          <w:rFonts w:ascii="Times New Roman" w:hAnsi="Times New Roman" w:cs="Times New Roman"/>
        </w:rPr>
      </w:pPr>
      <w:r w:rsidRPr="00591B2C">
        <w:rPr>
          <w:rStyle w:val="FootnoteReference"/>
          <w:rFonts w:ascii="Times New Roman" w:hAnsi="Times New Roman" w:cs="Times New Roman"/>
        </w:rPr>
        <w:footnoteRef/>
      </w:r>
      <w:r w:rsidRPr="00591B2C">
        <w:rPr>
          <w:rFonts w:ascii="Times New Roman" w:hAnsi="Times New Roman" w:cs="Times New Roman"/>
        </w:rPr>
        <w:t xml:space="preserve"> </w:t>
      </w:r>
      <w:r w:rsidRPr="00E66DE1">
        <w:rPr>
          <w:rFonts w:ascii="Times New Roman" w:hAnsi="Times New Roman" w:cs="Times New Roman"/>
          <w:i/>
        </w:rPr>
        <w:t>See supra</w:t>
      </w:r>
      <w:r>
        <w:rPr>
          <w:rFonts w:ascii="Times New Roman" w:hAnsi="Times New Roman" w:cs="Times New Roman"/>
        </w:rPr>
        <w:t xml:space="preserve"> note </w:t>
      </w:r>
      <w:r w:rsidR="00064166">
        <w:rPr>
          <w:rFonts w:ascii="Times New Roman" w:hAnsi="Times New Roman" w:cs="Times New Roman"/>
        </w:rPr>
        <w:t>7</w:t>
      </w:r>
      <w:r>
        <w:rPr>
          <w:rFonts w:ascii="Times New Roman" w:hAnsi="Times New Roman" w:cs="Times New Roman"/>
        </w:rPr>
        <w:t>.</w:t>
      </w:r>
    </w:p>
  </w:footnote>
  <w:footnote w:id="19">
    <w:p w14:paraId="3DC63D30" w14:textId="75242331" w:rsidR="00DD151B" w:rsidRPr="00DE5FB8" w:rsidRDefault="00DD151B">
      <w:pPr>
        <w:pStyle w:val="FootnoteText"/>
        <w:rPr>
          <w:rFonts w:ascii="Times New Roman" w:hAnsi="Times New Roman" w:cs="Times New Roman"/>
        </w:rPr>
      </w:pPr>
      <w:r w:rsidRPr="00DE5FB8">
        <w:rPr>
          <w:rStyle w:val="FootnoteReference"/>
          <w:rFonts w:ascii="Times New Roman" w:hAnsi="Times New Roman" w:cs="Times New Roman"/>
        </w:rPr>
        <w:footnoteRef/>
      </w:r>
      <w:r w:rsidRPr="00DE5FB8">
        <w:rPr>
          <w:rFonts w:ascii="Times New Roman" w:hAnsi="Times New Roman" w:cs="Times New Roman"/>
        </w:rPr>
        <w:t xml:space="preserve"> </w:t>
      </w:r>
      <w:r w:rsidRPr="0006130C">
        <w:rPr>
          <w:rFonts w:ascii="Times New Roman" w:hAnsi="Times New Roman" w:cs="Times New Roman"/>
          <w:i/>
        </w:rPr>
        <w:t>See</w:t>
      </w:r>
      <w:r w:rsidRPr="00DE5FB8">
        <w:rPr>
          <w:rFonts w:ascii="Times New Roman" w:hAnsi="Times New Roman" w:cs="Times New Roman"/>
        </w:rPr>
        <w:t xml:space="preserve"> Table 1.</w:t>
      </w:r>
    </w:p>
  </w:footnote>
  <w:footnote w:id="20">
    <w:p w14:paraId="3BFF7235" w14:textId="754AE6A9" w:rsidR="00DD151B" w:rsidRPr="00591B2C" w:rsidRDefault="00DD151B" w:rsidP="00EB1B35">
      <w:pPr>
        <w:pStyle w:val="FootnoteText"/>
        <w:rPr>
          <w:rFonts w:ascii="Times New Roman" w:hAnsi="Times New Roman" w:cs="Times New Roman"/>
        </w:rPr>
      </w:pPr>
      <w:r w:rsidRPr="00591B2C">
        <w:rPr>
          <w:rStyle w:val="FootnoteReference"/>
          <w:rFonts w:ascii="Times New Roman" w:hAnsi="Times New Roman" w:cs="Times New Roman"/>
        </w:rPr>
        <w:footnoteRef/>
      </w:r>
      <w:r w:rsidRPr="00591B2C">
        <w:rPr>
          <w:rFonts w:ascii="Times New Roman" w:hAnsi="Times New Roman" w:cs="Times New Roman"/>
        </w:rPr>
        <w:t xml:space="preserve"> </w:t>
      </w:r>
      <w:r w:rsidRPr="0006130C">
        <w:rPr>
          <w:rFonts w:ascii="Times New Roman" w:hAnsi="Times New Roman" w:cs="Times New Roman"/>
          <w:i/>
        </w:rPr>
        <w:t>See</w:t>
      </w:r>
      <w:r w:rsidRPr="00591B2C">
        <w:rPr>
          <w:rFonts w:ascii="Times New Roman" w:hAnsi="Times New Roman" w:cs="Times New Roman"/>
        </w:rPr>
        <w:t xml:space="preserve"> </w:t>
      </w:r>
      <w:r w:rsidRPr="00E66DE1">
        <w:rPr>
          <w:rFonts w:ascii="Times New Roman" w:hAnsi="Times New Roman" w:cs="Times New Roman"/>
          <w:i/>
        </w:rPr>
        <w:t>supra</w:t>
      </w:r>
      <w:r>
        <w:rPr>
          <w:rFonts w:ascii="Times New Roman" w:hAnsi="Times New Roman" w:cs="Times New Roman"/>
        </w:rPr>
        <w:t xml:space="preserve"> note </w:t>
      </w:r>
      <w:r w:rsidR="00064166">
        <w:rPr>
          <w:rFonts w:ascii="Times New Roman" w:hAnsi="Times New Roman" w:cs="Times New Roman"/>
        </w:rPr>
        <w:t>7</w:t>
      </w:r>
      <w:r>
        <w:rPr>
          <w:rFonts w:ascii="Times New Roman" w:hAnsi="Times New Roman" w:cs="Times New Roman"/>
        </w:rPr>
        <w:t>.</w:t>
      </w:r>
    </w:p>
  </w:footnote>
  <w:footnote w:id="21">
    <w:p w14:paraId="25CD7CD1" w14:textId="5D37E90D" w:rsidR="00DD151B" w:rsidRPr="00591B2C" w:rsidRDefault="00DD151B" w:rsidP="00C42992">
      <w:pPr>
        <w:pStyle w:val="FootnoteText"/>
        <w:rPr>
          <w:rFonts w:ascii="Times New Roman" w:hAnsi="Times New Roman" w:cs="Times New Roman"/>
        </w:rPr>
      </w:pPr>
      <w:r w:rsidRPr="00591B2C">
        <w:rPr>
          <w:rStyle w:val="FootnoteReference"/>
          <w:rFonts w:ascii="Times New Roman" w:hAnsi="Times New Roman" w:cs="Times New Roman"/>
          <w:color w:val="000000" w:themeColor="text1"/>
        </w:rPr>
        <w:footnoteRef/>
      </w:r>
      <w:r w:rsidRPr="00591B2C">
        <w:rPr>
          <w:rFonts w:ascii="Times New Roman" w:hAnsi="Times New Roman" w:cs="Times New Roman"/>
          <w:color w:val="000000" w:themeColor="text1"/>
          <w:vertAlign w:val="superscript"/>
        </w:rPr>
        <w:t xml:space="preserve"> </w:t>
      </w:r>
      <w:r w:rsidRPr="00591B2C">
        <w:rPr>
          <w:rFonts w:ascii="Times New Roman" w:hAnsi="Times New Roman" w:cs="Times New Roman"/>
          <w:iCs/>
        </w:rPr>
        <w:t>The estimated cost to FinCEN per BSA report submitted to FinCEN is $0.10.</w:t>
      </w:r>
    </w:p>
  </w:footnote>
  <w:footnote w:id="22">
    <w:p w14:paraId="0C368177" w14:textId="3087FBAC" w:rsidR="00DD151B" w:rsidRPr="00C6567A" w:rsidRDefault="00DD151B">
      <w:pPr>
        <w:pStyle w:val="FootnoteText"/>
        <w:rPr>
          <w:rFonts w:ascii="Times New Roman" w:hAnsi="Times New Roman" w:cs="Times New Roman"/>
        </w:rPr>
      </w:pPr>
      <w:r w:rsidRPr="00C6567A">
        <w:rPr>
          <w:rStyle w:val="FootnoteReference"/>
          <w:rFonts w:ascii="Times New Roman" w:hAnsi="Times New Roman" w:cs="Times New Roman"/>
        </w:rPr>
        <w:footnoteRef/>
      </w:r>
      <w:r w:rsidRPr="00C6567A">
        <w:rPr>
          <w:rFonts w:ascii="Times New Roman" w:hAnsi="Times New Roman" w:cs="Times New Roman"/>
        </w:rPr>
        <w:t xml:space="preserve"> 11,</w:t>
      </w:r>
      <w:r>
        <w:rPr>
          <w:rFonts w:ascii="Times New Roman" w:hAnsi="Times New Roman" w:cs="Times New Roman"/>
        </w:rPr>
        <w:t>9</w:t>
      </w:r>
      <w:r w:rsidR="00A85B8D">
        <w:rPr>
          <w:rFonts w:ascii="Times New Roman" w:hAnsi="Times New Roman" w:cs="Times New Roman"/>
        </w:rPr>
        <w:t>14</w:t>
      </w:r>
      <w:r w:rsidRPr="00C6567A">
        <w:rPr>
          <w:rFonts w:ascii="Times New Roman" w:hAnsi="Times New Roman" w:cs="Times New Roman"/>
        </w:rPr>
        <w:t xml:space="preserve"> hours divided by 84 FFA responses equals an average of 141.</w:t>
      </w:r>
      <w:r w:rsidR="00A85B8D">
        <w:rPr>
          <w:rFonts w:ascii="Times New Roman" w:hAnsi="Times New Roman" w:cs="Times New Roman"/>
        </w:rPr>
        <w:t>83</w:t>
      </w:r>
      <w:r w:rsidRPr="00C6567A">
        <w:rPr>
          <w:rFonts w:ascii="Times New Roman" w:hAnsi="Times New Roman" w:cs="Times New Roman"/>
        </w:rPr>
        <w:t xml:space="preserve"> hours</w:t>
      </w:r>
      <w:r>
        <w:rPr>
          <w:rFonts w:ascii="Times New Roman" w:hAnsi="Times New Roman" w:cs="Times New Roman"/>
        </w:rPr>
        <w:t xml:space="preserve"> (rounded up to 142 hours)</w:t>
      </w:r>
      <w:r w:rsidRPr="00C6567A">
        <w:rPr>
          <w:rFonts w:ascii="Times New Roman" w:hAnsi="Times New Roman" w:cs="Times New Roman"/>
        </w:rPr>
        <w:t xml:space="preserve"> per FFA response.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F1DE27" w14:textId="77777777" w:rsidR="00DD151B" w:rsidRDefault="00DD15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F9EBEC" w14:textId="77777777" w:rsidR="00DD151B" w:rsidRPr="006D017C" w:rsidRDefault="00DD151B">
    <w:pPr>
      <w:pStyle w:val="Header"/>
      <w:rPr>
        <w:rFonts w:ascii="Times New Roman" w:hAnsi="Times New Roman" w:cs="Times New Roman"/>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A6E60F" w14:textId="77777777" w:rsidR="00DD151B" w:rsidRDefault="00DD15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F2DBE"/>
    <w:multiLevelType w:val="hybridMultilevel"/>
    <w:tmpl w:val="C6C646B8"/>
    <w:lvl w:ilvl="0" w:tplc="B172163E">
      <w:start w:val="14"/>
      <w:numFmt w:val="decimal"/>
      <w:lvlText w:val="%1."/>
      <w:lvlJc w:val="left"/>
      <w:pPr>
        <w:ind w:left="720" w:hanging="360"/>
      </w:pPr>
      <w:rPr>
        <w:rFonts w:cstheme="minorBidi" w:hint="default"/>
        <w:sz w:val="23"/>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9D6251"/>
    <w:multiLevelType w:val="hybridMultilevel"/>
    <w:tmpl w:val="678E323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AA75AC4"/>
    <w:multiLevelType w:val="hybridMultilevel"/>
    <w:tmpl w:val="BDA29BFE"/>
    <w:lvl w:ilvl="0" w:tplc="0C36ECF0">
      <w:start w:val="1"/>
      <w:numFmt w:val="decimal"/>
      <w:lvlText w:val="%1."/>
      <w:lvlJc w:val="left"/>
      <w:pPr>
        <w:ind w:left="850" w:hanging="216"/>
        <w:jc w:val="right"/>
      </w:pPr>
      <w:rPr>
        <w:rFonts w:ascii="Times New Roman" w:eastAsia="Times New Roman" w:hAnsi="Times New Roman" w:hint="default"/>
        <w:w w:val="98"/>
        <w:sz w:val="23"/>
        <w:szCs w:val="23"/>
      </w:rPr>
    </w:lvl>
    <w:lvl w:ilvl="1" w:tplc="64DE249C">
      <w:start w:val="1"/>
      <w:numFmt w:val="bullet"/>
      <w:lvlText w:val="•"/>
      <w:lvlJc w:val="left"/>
      <w:pPr>
        <w:ind w:left="1645" w:hanging="216"/>
      </w:pPr>
      <w:rPr>
        <w:rFonts w:hint="default"/>
      </w:rPr>
    </w:lvl>
    <w:lvl w:ilvl="2" w:tplc="BEE84AE6">
      <w:start w:val="1"/>
      <w:numFmt w:val="bullet"/>
      <w:lvlText w:val="•"/>
      <w:lvlJc w:val="left"/>
      <w:pPr>
        <w:ind w:left="2440" w:hanging="216"/>
      </w:pPr>
      <w:rPr>
        <w:rFonts w:hint="default"/>
      </w:rPr>
    </w:lvl>
    <w:lvl w:ilvl="3" w:tplc="E988A00E">
      <w:start w:val="1"/>
      <w:numFmt w:val="bullet"/>
      <w:lvlText w:val="•"/>
      <w:lvlJc w:val="left"/>
      <w:pPr>
        <w:ind w:left="3235" w:hanging="216"/>
      </w:pPr>
      <w:rPr>
        <w:rFonts w:hint="default"/>
      </w:rPr>
    </w:lvl>
    <w:lvl w:ilvl="4" w:tplc="DA744284">
      <w:start w:val="1"/>
      <w:numFmt w:val="bullet"/>
      <w:lvlText w:val="•"/>
      <w:lvlJc w:val="left"/>
      <w:pPr>
        <w:ind w:left="4030" w:hanging="216"/>
      </w:pPr>
      <w:rPr>
        <w:rFonts w:hint="default"/>
      </w:rPr>
    </w:lvl>
    <w:lvl w:ilvl="5" w:tplc="1DC42D0C">
      <w:start w:val="1"/>
      <w:numFmt w:val="bullet"/>
      <w:lvlText w:val="•"/>
      <w:lvlJc w:val="left"/>
      <w:pPr>
        <w:ind w:left="4825" w:hanging="216"/>
      </w:pPr>
      <w:rPr>
        <w:rFonts w:hint="default"/>
      </w:rPr>
    </w:lvl>
    <w:lvl w:ilvl="6" w:tplc="A0A42190">
      <w:start w:val="1"/>
      <w:numFmt w:val="bullet"/>
      <w:lvlText w:val="•"/>
      <w:lvlJc w:val="left"/>
      <w:pPr>
        <w:ind w:left="5620" w:hanging="216"/>
      </w:pPr>
      <w:rPr>
        <w:rFonts w:hint="default"/>
      </w:rPr>
    </w:lvl>
    <w:lvl w:ilvl="7" w:tplc="E76A6176">
      <w:start w:val="1"/>
      <w:numFmt w:val="bullet"/>
      <w:lvlText w:val="•"/>
      <w:lvlJc w:val="left"/>
      <w:pPr>
        <w:ind w:left="6415" w:hanging="216"/>
      </w:pPr>
      <w:rPr>
        <w:rFonts w:hint="default"/>
      </w:rPr>
    </w:lvl>
    <w:lvl w:ilvl="8" w:tplc="87985A72">
      <w:start w:val="1"/>
      <w:numFmt w:val="bullet"/>
      <w:lvlText w:val="•"/>
      <w:lvlJc w:val="left"/>
      <w:pPr>
        <w:ind w:left="7210" w:hanging="216"/>
      </w:pPr>
      <w:rPr>
        <w:rFonts w:hint="default"/>
      </w:rPr>
    </w:lvl>
  </w:abstractNum>
  <w:abstractNum w:abstractNumId="3" w15:restartNumberingAfterBreak="0">
    <w:nsid w:val="4A7247AF"/>
    <w:multiLevelType w:val="hybridMultilevel"/>
    <w:tmpl w:val="A31E57D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7D14674"/>
    <w:multiLevelType w:val="hybridMultilevel"/>
    <w:tmpl w:val="619C345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AR" w:vendorID="64" w:dllVersion="131078" w:nlCheck="1" w:checkStyle="0"/>
  <w:activeWritingStyle w:appName="MSWord" w:lang="en-US" w:vendorID="64" w:dllVersion="131078" w:nlCheck="1" w:checkStyle="1"/>
  <w:activeWritingStyle w:appName="MSWord" w:lang="en-GB" w:vendorID="64" w:dllVersion="131078" w:nlCheck="1" w:checkStyle="1"/>
  <w:trackRevisions/>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7D57"/>
    <w:rsid w:val="00000440"/>
    <w:rsid w:val="00002436"/>
    <w:rsid w:val="0000369A"/>
    <w:rsid w:val="00010B00"/>
    <w:rsid w:val="0001798C"/>
    <w:rsid w:val="0003048E"/>
    <w:rsid w:val="00046F42"/>
    <w:rsid w:val="0006130C"/>
    <w:rsid w:val="00064166"/>
    <w:rsid w:val="00071ECE"/>
    <w:rsid w:val="00071F1A"/>
    <w:rsid w:val="00077C99"/>
    <w:rsid w:val="00087CC5"/>
    <w:rsid w:val="0009442F"/>
    <w:rsid w:val="00097593"/>
    <w:rsid w:val="000A263A"/>
    <w:rsid w:val="000C08FE"/>
    <w:rsid w:val="000C5018"/>
    <w:rsid w:val="000D5596"/>
    <w:rsid w:val="00105D36"/>
    <w:rsid w:val="00116A81"/>
    <w:rsid w:val="00116C59"/>
    <w:rsid w:val="001272C0"/>
    <w:rsid w:val="001543C3"/>
    <w:rsid w:val="0017484A"/>
    <w:rsid w:val="00190B62"/>
    <w:rsid w:val="001B5A23"/>
    <w:rsid w:val="001C0616"/>
    <w:rsid w:val="001C7A3B"/>
    <w:rsid w:val="00213B35"/>
    <w:rsid w:val="00232F16"/>
    <w:rsid w:val="00251F11"/>
    <w:rsid w:val="00252FC0"/>
    <w:rsid w:val="002575CF"/>
    <w:rsid w:val="00267A14"/>
    <w:rsid w:val="00285BE3"/>
    <w:rsid w:val="002B5A6A"/>
    <w:rsid w:val="002B6D38"/>
    <w:rsid w:val="002B758D"/>
    <w:rsid w:val="002D0FB4"/>
    <w:rsid w:val="002D2720"/>
    <w:rsid w:val="002D77D4"/>
    <w:rsid w:val="002E2037"/>
    <w:rsid w:val="002F12D9"/>
    <w:rsid w:val="00312A86"/>
    <w:rsid w:val="00330063"/>
    <w:rsid w:val="003370C3"/>
    <w:rsid w:val="00363506"/>
    <w:rsid w:val="00363B86"/>
    <w:rsid w:val="0037237D"/>
    <w:rsid w:val="00387B51"/>
    <w:rsid w:val="003A2748"/>
    <w:rsid w:val="003B0AEB"/>
    <w:rsid w:val="003B2C93"/>
    <w:rsid w:val="003B515C"/>
    <w:rsid w:val="003D7C80"/>
    <w:rsid w:val="003E419B"/>
    <w:rsid w:val="003F5F79"/>
    <w:rsid w:val="0040233E"/>
    <w:rsid w:val="004411B1"/>
    <w:rsid w:val="004434C7"/>
    <w:rsid w:val="0044772D"/>
    <w:rsid w:val="004548F5"/>
    <w:rsid w:val="00476546"/>
    <w:rsid w:val="004824F3"/>
    <w:rsid w:val="00490D11"/>
    <w:rsid w:val="004A777A"/>
    <w:rsid w:val="004B761C"/>
    <w:rsid w:val="004E67B5"/>
    <w:rsid w:val="004E7776"/>
    <w:rsid w:val="004F55B6"/>
    <w:rsid w:val="00542CB6"/>
    <w:rsid w:val="00545FB8"/>
    <w:rsid w:val="005636CF"/>
    <w:rsid w:val="00565B7E"/>
    <w:rsid w:val="0057018A"/>
    <w:rsid w:val="00577FF7"/>
    <w:rsid w:val="00586B18"/>
    <w:rsid w:val="005903D0"/>
    <w:rsid w:val="00591B2C"/>
    <w:rsid w:val="005A28D8"/>
    <w:rsid w:val="005B4444"/>
    <w:rsid w:val="005D09B1"/>
    <w:rsid w:val="0060534B"/>
    <w:rsid w:val="00607492"/>
    <w:rsid w:val="00615A88"/>
    <w:rsid w:val="00616285"/>
    <w:rsid w:val="00620A75"/>
    <w:rsid w:val="00633FE0"/>
    <w:rsid w:val="00655A8C"/>
    <w:rsid w:val="00655B6D"/>
    <w:rsid w:val="00656A00"/>
    <w:rsid w:val="00667513"/>
    <w:rsid w:val="006801D6"/>
    <w:rsid w:val="006976B6"/>
    <w:rsid w:val="006A2A29"/>
    <w:rsid w:val="006A778E"/>
    <w:rsid w:val="006A799E"/>
    <w:rsid w:val="006B1E18"/>
    <w:rsid w:val="006B525E"/>
    <w:rsid w:val="006C1651"/>
    <w:rsid w:val="006C4ED1"/>
    <w:rsid w:val="006D017C"/>
    <w:rsid w:val="006F3812"/>
    <w:rsid w:val="006F7CFA"/>
    <w:rsid w:val="00717A0F"/>
    <w:rsid w:val="00730468"/>
    <w:rsid w:val="00761A53"/>
    <w:rsid w:val="00761FF7"/>
    <w:rsid w:val="00791115"/>
    <w:rsid w:val="0079671E"/>
    <w:rsid w:val="00797CEC"/>
    <w:rsid w:val="007A36FE"/>
    <w:rsid w:val="007A60BF"/>
    <w:rsid w:val="007F1173"/>
    <w:rsid w:val="00801FFA"/>
    <w:rsid w:val="008349E4"/>
    <w:rsid w:val="008415CE"/>
    <w:rsid w:val="00844502"/>
    <w:rsid w:val="00854385"/>
    <w:rsid w:val="00856F92"/>
    <w:rsid w:val="0086000E"/>
    <w:rsid w:val="00883492"/>
    <w:rsid w:val="00884443"/>
    <w:rsid w:val="008869DB"/>
    <w:rsid w:val="008A62BD"/>
    <w:rsid w:val="008F04B3"/>
    <w:rsid w:val="008F0A6D"/>
    <w:rsid w:val="008F48D3"/>
    <w:rsid w:val="00923DF4"/>
    <w:rsid w:val="009426DC"/>
    <w:rsid w:val="00951FEF"/>
    <w:rsid w:val="00957285"/>
    <w:rsid w:val="009610E2"/>
    <w:rsid w:val="00972FFB"/>
    <w:rsid w:val="0099253F"/>
    <w:rsid w:val="009962F1"/>
    <w:rsid w:val="009B2184"/>
    <w:rsid w:val="009B2925"/>
    <w:rsid w:val="009F38A5"/>
    <w:rsid w:val="00A00DEB"/>
    <w:rsid w:val="00A129DA"/>
    <w:rsid w:val="00A13F5F"/>
    <w:rsid w:val="00A24438"/>
    <w:rsid w:val="00A356C5"/>
    <w:rsid w:val="00A4602E"/>
    <w:rsid w:val="00A55DC7"/>
    <w:rsid w:val="00A65DBF"/>
    <w:rsid w:val="00A77D88"/>
    <w:rsid w:val="00A82845"/>
    <w:rsid w:val="00A85B8D"/>
    <w:rsid w:val="00A9543F"/>
    <w:rsid w:val="00AB0459"/>
    <w:rsid w:val="00AB5038"/>
    <w:rsid w:val="00AC4720"/>
    <w:rsid w:val="00AC504E"/>
    <w:rsid w:val="00AC7454"/>
    <w:rsid w:val="00AD3F08"/>
    <w:rsid w:val="00AE687A"/>
    <w:rsid w:val="00B07F67"/>
    <w:rsid w:val="00B1380E"/>
    <w:rsid w:val="00B2443A"/>
    <w:rsid w:val="00B4309B"/>
    <w:rsid w:val="00B75361"/>
    <w:rsid w:val="00B83A2D"/>
    <w:rsid w:val="00BB5D7E"/>
    <w:rsid w:val="00BC557E"/>
    <w:rsid w:val="00BC70DF"/>
    <w:rsid w:val="00BF1ED1"/>
    <w:rsid w:val="00C14283"/>
    <w:rsid w:val="00C22FB8"/>
    <w:rsid w:val="00C331C7"/>
    <w:rsid w:val="00C41E75"/>
    <w:rsid w:val="00C42992"/>
    <w:rsid w:val="00C43139"/>
    <w:rsid w:val="00C47E2A"/>
    <w:rsid w:val="00C51097"/>
    <w:rsid w:val="00C61DB4"/>
    <w:rsid w:val="00C6567A"/>
    <w:rsid w:val="00C732E9"/>
    <w:rsid w:val="00C96937"/>
    <w:rsid w:val="00CA0B1A"/>
    <w:rsid w:val="00CA6BCF"/>
    <w:rsid w:val="00CC7E63"/>
    <w:rsid w:val="00CD22D4"/>
    <w:rsid w:val="00CE2BEE"/>
    <w:rsid w:val="00D06A06"/>
    <w:rsid w:val="00D07B39"/>
    <w:rsid w:val="00D12F66"/>
    <w:rsid w:val="00D17D57"/>
    <w:rsid w:val="00D309D1"/>
    <w:rsid w:val="00D369F6"/>
    <w:rsid w:val="00D64E82"/>
    <w:rsid w:val="00D65F40"/>
    <w:rsid w:val="00D67F58"/>
    <w:rsid w:val="00D73A66"/>
    <w:rsid w:val="00D751F1"/>
    <w:rsid w:val="00D85F30"/>
    <w:rsid w:val="00D95ACD"/>
    <w:rsid w:val="00DA4035"/>
    <w:rsid w:val="00DA60D9"/>
    <w:rsid w:val="00DC05E0"/>
    <w:rsid w:val="00DC1DDE"/>
    <w:rsid w:val="00DC42AB"/>
    <w:rsid w:val="00DC4ED0"/>
    <w:rsid w:val="00DD151B"/>
    <w:rsid w:val="00DE5FB8"/>
    <w:rsid w:val="00DF7F8B"/>
    <w:rsid w:val="00E0720F"/>
    <w:rsid w:val="00E11339"/>
    <w:rsid w:val="00E12F55"/>
    <w:rsid w:val="00E174A6"/>
    <w:rsid w:val="00E25A0C"/>
    <w:rsid w:val="00E362ED"/>
    <w:rsid w:val="00E64DE8"/>
    <w:rsid w:val="00E66DE1"/>
    <w:rsid w:val="00E674EA"/>
    <w:rsid w:val="00E74852"/>
    <w:rsid w:val="00E84EFB"/>
    <w:rsid w:val="00E850CE"/>
    <w:rsid w:val="00E90CDF"/>
    <w:rsid w:val="00EB1B35"/>
    <w:rsid w:val="00EB2DC8"/>
    <w:rsid w:val="00F145EE"/>
    <w:rsid w:val="00F17FF0"/>
    <w:rsid w:val="00F63BE5"/>
    <w:rsid w:val="00F76D21"/>
    <w:rsid w:val="00F86D13"/>
    <w:rsid w:val="00F96BD8"/>
    <w:rsid w:val="00FA675E"/>
    <w:rsid w:val="00FB659F"/>
    <w:rsid w:val="00FC6CAD"/>
    <w:rsid w:val="00FD6F34"/>
    <w:rsid w:val="00FF2828"/>
    <w:rsid w:val="00FF48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0C0FC"/>
  <w15:docId w15:val="{78CBA1F6-FDEB-431C-852B-856D5CF77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859"/>
    </w:pPr>
    <w:rPr>
      <w:rFonts w:ascii="Times New Roman" w:eastAsia="Times New Roman" w:hAnsi="Times New Roman"/>
      <w:sz w:val="23"/>
      <w:szCs w:val="23"/>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4548F5"/>
    <w:rPr>
      <w:sz w:val="16"/>
      <w:szCs w:val="16"/>
    </w:rPr>
  </w:style>
  <w:style w:type="paragraph" w:styleId="CommentText">
    <w:name w:val="annotation text"/>
    <w:basedOn w:val="Normal"/>
    <w:link w:val="CommentTextChar"/>
    <w:uiPriority w:val="99"/>
    <w:unhideWhenUsed/>
    <w:rsid w:val="004548F5"/>
    <w:rPr>
      <w:sz w:val="20"/>
      <w:szCs w:val="20"/>
    </w:rPr>
  </w:style>
  <w:style w:type="character" w:customStyle="1" w:styleId="CommentTextChar">
    <w:name w:val="Comment Text Char"/>
    <w:basedOn w:val="DefaultParagraphFont"/>
    <w:link w:val="CommentText"/>
    <w:uiPriority w:val="99"/>
    <w:rsid w:val="004548F5"/>
    <w:rPr>
      <w:sz w:val="20"/>
      <w:szCs w:val="20"/>
    </w:rPr>
  </w:style>
  <w:style w:type="paragraph" w:styleId="CommentSubject">
    <w:name w:val="annotation subject"/>
    <w:basedOn w:val="CommentText"/>
    <w:next w:val="CommentText"/>
    <w:link w:val="CommentSubjectChar"/>
    <w:uiPriority w:val="99"/>
    <w:semiHidden/>
    <w:unhideWhenUsed/>
    <w:rsid w:val="004548F5"/>
    <w:rPr>
      <w:b/>
      <w:bCs/>
    </w:rPr>
  </w:style>
  <w:style w:type="character" w:customStyle="1" w:styleId="CommentSubjectChar">
    <w:name w:val="Comment Subject Char"/>
    <w:basedOn w:val="CommentTextChar"/>
    <w:link w:val="CommentSubject"/>
    <w:uiPriority w:val="99"/>
    <w:semiHidden/>
    <w:rsid w:val="004548F5"/>
    <w:rPr>
      <w:b/>
      <w:bCs/>
      <w:sz w:val="20"/>
      <w:szCs w:val="20"/>
    </w:rPr>
  </w:style>
  <w:style w:type="paragraph" w:styleId="BalloonText">
    <w:name w:val="Balloon Text"/>
    <w:basedOn w:val="Normal"/>
    <w:link w:val="BalloonTextChar"/>
    <w:uiPriority w:val="99"/>
    <w:semiHidden/>
    <w:unhideWhenUsed/>
    <w:rsid w:val="004548F5"/>
    <w:rPr>
      <w:rFonts w:ascii="Tahoma" w:hAnsi="Tahoma" w:cs="Tahoma"/>
      <w:sz w:val="16"/>
      <w:szCs w:val="16"/>
    </w:rPr>
  </w:style>
  <w:style w:type="character" w:customStyle="1" w:styleId="BalloonTextChar">
    <w:name w:val="Balloon Text Char"/>
    <w:basedOn w:val="DefaultParagraphFont"/>
    <w:link w:val="BalloonText"/>
    <w:uiPriority w:val="99"/>
    <w:semiHidden/>
    <w:rsid w:val="004548F5"/>
    <w:rPr>
      <w:rFonts w:ascii="Tahoma" w:hAnsi="Tahoma" w:cs="Tahoma"/>
      <w:sz w:val="16"/>
      <w:szCs w:val="16"/>
    </w:rPr>
  </w:style>
  <w:style w:type="paragraph" w:styleId="Revision">
    <w:name w:val="Revision"/>
    <w:hidden/>
    <w:uiPriority w:val="99"/>
    <w:semiHidden/>
    <w:rsid w:val="00615A88"/>
    <w:pPr>
      <w:widowControl/>
    </w:pPr>
  </w:style>
  <w:style w:type="paragraph" w:styleId="FootnoteText">
    <w:name w:val="footnote text"/>
    <w:aliases w:val="Footnote Text Char1 Char,Footnote Text Char Char Char,Footnote Text Char1 Char Char Char,Footnote Text Char Char Char Char Char,Footnote Text Char1 Char Char Char Char Char,Footnote Text Char1 Char Char,Footnote Text Char1"/>
    <w:basedOn w:val="Normal"/>
    <w:link w:val="FootnoteTextChar"/>
    <w:uiPriority w:val="99"/>
    <w:unhideWhenUsed/>
    <w:rsid w:val="00DA4035"/>
    <w:rPr>
      <w:sz w:val="20"/>
      <w:szCs w:val="20"/>
    </w:rPr>
  </w:style>
  <w:style w:type="character" w:customStyle="1" w:styleId="FootnoteTextChar">
    <w:name w:val="Footnote Text Char"/>
    <w:aliases w:val="Footnote Text Char1 Char Char1,Footnote Text Char Char Char Char,Footnote Text Char1 Char Char Char Char,Footnote Text Char Char Char Char Char Char,Footnote Text Char1 Char Char Char Char Char Char,Footnote Text Char1 Char Char Char1"/>
    <w:basedOn w:val="DefaultParagraphFont"/>
    <w:link w:val="FootnoteText"/>
    <w:uiPriority w:val="99"/>
    <w:rsid w:val="00DA4035"/>
    <w:rPr>
      <w:sz w:val="20"/>
      <w:szCs w:val="20"/>
    </w:rPr>
  </w:style>
  <w:style w:type="character" w:styleId="FootnoteReference">
    <w:name w:val="footnote reference"/>
    <w:aliases w:val="fr,12,Style 19,Style 16,Style 35,Footnote Reference Superscript,SUPERS,BVI fnr,Footnote symbol,Footnote,(Footnote Reference),Footnote reference number,note TESI,EN Footnote Reference,Voetnootverwijzing,Times 10 Point,Exposant 3 Point"/>
    <w:basedOn w:val="DefaultParagraphFont"/>
    <w:unhideWhenUsed/>
    <w:qFormat/>
    <w:rsid w:val="00DA4035"/>
    <w:rPr>
      <w:vertAlign w:val="superscript"/>
    </w:rPr>
  </w:style>
  <w:style w:type="character" w:styleId="Hyperlink">
    <w:name w:val="Hyperlink"/>
    <w:rsid w:val="0009442F"/>
    <w:rPr>
      <w:color w:val="0000FF"/>
      <w:u w:val="single"/>
    </w:rPr>
  </w:style>
  <w:style w:type="paragraph" w:styleId="Header">
    <w:name w:val="header"/>
    <w:basedOn w:val="Normal"/>
    <w:link w:val="HeaderChar"/>
    <w:uiPriority w:val="99"/>
    <w:unhideWhenUsed/>
    <w:rsid w:val="00A24438"/>
    <w:pPr>
      <w:tabs>
        <w:tab w:val="center" w:pos="4680"/>
        <w:tab w:val="right" w:pos="9360"/>
      </w:tabs>
    </w:pPr>
  </w:style>
  <w:style w:type="character" w:customStyle="1" w:styleId="HeaderChar">
    <w:name w:val="Header Char"/>
    <w:basedOn w:val="DefaultParagraphFont"/>
    <w:link w:val="Header"/>
    <w:uiPriority w:val="99"/>
    <w:rsid w:val="00A24438"/>
  </w:style>
  <w:style w:type="paragraph" w:styleId="Footer">
    <w:name w:val="footer"/>
    <w:basedOn w:val="Normal"/>
    <w:link w:val="FooterChar"/>
    <w:uiPriority w:val="99"/>
    <w:unhideWhenUsed/>
    <w:rsid w:val="00A24438"/>
    <w:pPr>
      <w:tabs>
        <w:tab w:val="center" w:pos="4680"/>
        <w:tab w:val="right" w:pos="9360"/>
      </w:tabs>
    </w:pPr>
  </w:style>
  <w:style w:type="character" w:customStyle="1" w:styleId="FooterChar">
    <w:name w:val="Footer Char"/>
    <w:basedOn w:val="DefaultParagraphFont"/>
    <w:link w:val="Footer"/>
    <w:uiPriority w:val="99"/>
    <w:rsid w:val="00A24438"/>
  </w:style>
  <w:style w:type="paragraph" w:styleId="BodyTextIndent">
    <w:name w:val="Body Text Indent"/>
    <w:basedOn w:val="Normal"/>
    <w:link w:val="BodyTextIndentChar"/>
    <w:uiPriority w:val="99"/>
    <w:semiHidden/>
    <w:unhideWhenUsed/>
    <w:rsid w:val="00A24438"/>
    <w:pPr>
      <w:spacing w:after="120"/>
      <w:ind w:left="360"/>
    </w:pPr>
  </w:style>
  <w:style w:type="character" w:customStyle="1" w:styleId="BodyTextIndentChar">
    <w:name w:val="Body Text Indent Char"/>
    <w:basedOn w:val="DefaultParagraphFont"/>
    <w:link w:val="BodyTextIndent"/>
    <w:uiPriority w:val="99"/>
    <w:semiHidden/>
    <w:rsid w:val="00A24438"/>
  </w:style>
  <w:style w:type="table" w:styleId="TableGrid">
    <w:name w:val="Table Grid"/>
    <w:basedOn w:val="TableNormal"/>
    <w:uiPriority w:val="39"/>
    <w:rsid w:val="00EB1B35"/>
    <w:pPr>
      <w:widowControl/>
    </w:pPr>
    <w:rPr>
      <w:lang w:val="es-A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6000E"/>
    <w:pPr>
      <w:widowControl/>
      <w:spacing w:before="100" w:beforeAutospacing="1" w:after="100" w:afterAutospacing="1"/>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D12F66"/>
    <w:rPr>
      <w:color w:val="800080" w:themeColor="followedHyperlink"/>
      <w:u w:val="single"/>
    </w:rPr>
  </w:style>
  <w:style w:type="paragraph" w:styleId="HTMLPreformatted">
    <w:name w:val="HTML Preformatted"/>
    <w:basedOn w:val="Normal"/>
    <w:link w:val="HTMLPreformattedChar"/>
    <w:unhideWhenUsed/>
    <w:rsid w:val="00D06A06"/>
    <w:pPr>
      <w:autoSpaceDE w:val="0"/>
      <w:autoSpaceDN w:val="0"/>
      <w:adjustRightInd w:val="0"/>
    </w:pPr>
    <w:rPr>
      <w:rFonts w:ascii="Consolas" w:eastAsia="Times New Roman" w:hAnsi="Consolas" w:cs="Consolas"/>
      <w:sz w:val="20"/>
      <w:szCs w:val="20"/>
    </w:rPr>
  </w:style>
  <w:style w:type="character" w:customStyle="1" w:styleId="HTMLPreformattedChar">
    <w:name w:val="HTML Preformatted Char"/>
    <w:basedOn w:val="DefaultParagraphFont"/>
    <w:link w:val="HTMLPreformatted"/>
    <w:rsid w:val="00D06A06"/>
    <w:rPr>
      <w:rFonts w:ascii="Consolas" w:eastAsia="Times New Roman" w:hAnsi="Consolas" w:cs="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0842284">
      <w:bodyDiv w:val="1"/>
      <w:marLeft w:val="0"/>
      <w:marRight w:val="0"/>
      <w:marTop w:val="0"/>
      <w:marBottom w:val="0"/>
      <w:divBdr>
        <w:top w:val="none" w:sz="0" w:space="0" w:color="auto"/>
        <w:left w:val="none" w:sz="0" w:space="0" w:color="auto"/>
        <w:bottom w:val="none" w:sz="0" w:space="0" w:color="auto"/>
        <w:right w:val="none" w:sz="0" w:space="0" w:color="auto"/>
      </w:divBdr>
    </w:div>
    <w:div w:id="17229470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federalregister.gov/documents/2014/04/14/2014-08254/privacy-act-of-1974-as-amended-system-of-records-notice" TargetMode="External"/><Relationship Id="rId1" Type="http://schemas.openxmlformats.org/officeDocument/2006/relationships/hyperlink" Target="https://www.govinfo.gov/content/pkg/FR-2022-01-11/pdf/2022-0033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EDC1BF-51C7-4473-9281-1AF3004E90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2138</Words>
  <Characters>12193</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#1506-0055 supporting statement</vt:lpstr>
    </vt:vector>
  </TitlesOfParts>
  <Company>Department of the Treasury</Company>
  <LinksUpToDate>false</LinksUpToDate>
  <CharactersWithSpaces>14303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#1506-0055 supporting statement</dc:title>
  <dc:subject/>
  <dc:creator>FinCEN</dc:creator>
  <cp:keywords/>
  <dc:description/>
  <cp:lastModifiedBy>Stewart, Jaclyn</cp:lastModifiedBy>
  <cp:revision>2</cp:revision>
  <dcterms:created xsi:type="dcterms:W3CDTF">2022-03-30T13:36:00Z</dcterms:created>
  <dcterms:modified xsi:type="dcterms:W3CDTF">2022-03-30T13:36:00Z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2015-09-29T00:00:00Z</vt:filetime>
  </property>
  <property fmtid="{D5CDD505-2E9C-101B-9397-08002B2CF9AE}" pid="3" name="LastSaved">
    <vt:filetime>2015-09-29T00:00:00Z</vt:filetime>
  </property>
</Properties>
</file>