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CFA" w:rsidR="004A066D" w:rsidP="00E90D20" w:rsidRDefault="00130845" w14:paraId="745C3DF5" w14:textId="77777777">
      <w:pPr>
        <w:jc w:val="center"/>
        <w:rPr>
          <w:sz w:val="22"/>
          <w:szCs w:val="22"/>
        </w:rPr>
      </w:pPr>
      <w:r w:rsidRPr="00125CFA">
        <w:rPr>
          <w:sz w:val="22"/>
          <w:szCs w:val="22"/>
        </w:rPr>
        <w:t>SUPPORTING STATEMENT</w:t>
      </w:r>
    </w:p>
    <w:p w:rsidRPr="00125CFA" w:rsidR="00522D23" w:rsidP="00E90D20" w:rsidRDefault="00522D23" w14:paraId="11C1CAEE" w14:textId="51A3BEB0">
      <w:pPr>
        <w:jc w:val="center"/>
        <w:rPr>
          <w:sz w:val="22"/>
          <w:szCs w:val="22"/>
        </w:rPr>
      </w:pPr>
      <w:r w:rsidRPr="00125CFA">
        <w:rPr>
          <w:sz w:val="22"/>
          <w:szCs w:val="22"/>
        </w:rPr>
        <w:t xml:space="preserve">Internal Revenue Service </w:t>
      </w:r>
      <w:r w:rsidRPr="00125CFA" w:rsidR="0011582C">
        <w:rPr>
          <w:sz w:val="22"/>
          <w:szCs w:val="22"/>
        </w:rPr>
        <w:t>(IRS)</w:t>
      </w:r>
    </w:p>
    <w:p w:rsidRPr="00536B53" w:rsidR="00536B53" w:rsidP="00536B53" w:rsidRDefault="00536B53" w14:paraId="7B7AE072" w14:textId="77777777">
      <w:pPr>
        <w:jc w:val="center"/>
        <w:rPr>
          <w:sz w:val="22"/>
          <w:szCs w:val="22"/>
        </w:rPr>
      </w:pPr>
      <w:r w:rsidRPr="00536B53">
        <w:rPr>
          <w:sz w:val="22"/>
          <w:szCs w:val="22"/>
        </w:rPr>
        <w:t>Treasury Decision 9308</w:t>
      </w:r>
    </w:p>
    <w:p w:rsidRPr="00536B53" w:rsidR="00536B53" w:rsidP="00536B53" w:rsidRDefault="00536B53" w14:paraId="34017F95" w14:textId="77777777">
      <w:pPr>
        <w:jc w:val="center"/>
        <w:rPr>
          <w:sz w:val="22"/>
          <w:szCs w:val="22"/>
        </w:rPr>
      </w:pPr>
      <w:r w:rsidRPr="00536B53">
        <w:rPr>
          <w:sz w:val="22"/>
          <w:szCs w:val="22"/>
        </w:rPr>
        <w:t>Reporting Requirement for Widely Held Fixed Investment Trusts</w:t>
      </w:r>
    </w:p>
    <w:p w:rsidRPr="00125CFA" w:rsidR="00246160" w:rsidP="00E90D20" w:rsidRDefault="00536B53" w14:paraId="336C74F1" w14:textId="104F2770">
      <w:pPr>
        <w:jc w:val="center"/>
        <w:rPr>
          <w:sz w:val="22"/>
          <w:szCs w:val="22"/>
        </w:rPr>
      </w:pPr>
      <w:r>
        <w:rPr>
          <w:sz w:val="22"/>
          <w:szCs w:val="22"/>
        </w:rPr>
        <w:t xml:space="preserve">OMB Control Number </w:t>
      </w:r>
      <w:r w:rsidRPr="00125CFA" w:rsidR="00246160">
        <w:rPr>
          <w:sz w:val="22"/>
          <w:szCs w:val="22"/>
        </w:rPr>
        <w:t>1545-15</w:t>
      </w:r>
      <w:r>
        <w:rPr>
          <w:sz w:val="22"/>
          <w:szCs w:val="22"/>
        </w:rPr>
        <w:t>4</w:t>
      </w:r>
      <w:r w:rsidRPr="00125CFA" w:rsidR="00246160">
        <w:rPr>
          <w:sz w:val="22"/>
          <w:szCs w:val="22"/>
        </w:rPr>
        <w:t>0</w:t>
      </w:r>
    </w:p>
    <w:p w:rsidRPr="00125CFA" w:rsidR="00130845" w:rsidRDefault="00130845" w14:paraId="62CF1060" w14:textId="77777777">
      <w:pPr>
        <w:rPr>
          <w:sz w:val="22"/>
          <w:szCs w:val="22"/>
        </w:rPr>
      </w:pPr>
    </w:p>
    <w:p w:rsidRPr="00125CFA" w:rsidR="00130845" w:rsidRDefault="00130845" w14:paraId="3CB41003" w14:textId="77777777">
      <w:pPr>
        <w:rPr>
          <w:sz w:val="22"/>
          <w:szCs w:val="22"/>
        </w:rPr>
      </w:pPr>
    </w:p>
    <w:p w:rsidRPr="00125CFA" w:rsidR="00130845" w:rsidP="00E90D20" w:rsidRDefault="00130845" w14:paraId="62D71476" w14:textId="77777777">
      <w:pPr>
        <w:numPr>
          <w:ilvl w:val="0"/>
          <w:numId w:val="2"/>
        </w:numPr>
        <w:rPr>
          <w:sz w:val="22"/>
          <w:szCs w:val="22"/>
          <w:u w:val="single"/>
        </w:rPr>
      </w:pPr>
      <w:r w:rsidRPr="00125CFA">
        <w:rPr>
          <w:sz w:val="22"/>
          <w:szCs w:val="22"/>
          <w:u w:val="single"/>
        </w:rPr>
        <w:t>CIRCUMSTANCES NECESSITATING COLLECTION OF INFORMATION</w:t>
      </w:r>
    </w:p>
    <w:p w:rsidRPr="00125CFA" w:rsidR="00130845" w:rsidRDefault="00130845" w14:paraId="7038D6BE" w14:textId="77777777">
      <w:pPr>
        <w:rPr>
          <w:sz w:val="22"/>
          <w:szCs w:val="22"/>
          <w:u w:val="single"/>
        </w:rPr>
      </w:pPr>
    </w:p>
    <w:p w:rsidR="00125CFA" w:rsidP="005D2CED" w:rsidRDefault="00536B53" w14:paraId="4E99C87C" w14:textId="12ABF90E">
      <w:pPr>
        <w:ind w:left="720"/>
        <w:rPr>
          <w:sz w:val="22"/>
          <w:szCs w:val="22"/>
        </w:rPr>
      </w:pPr>
      <w:r w:rsidRPr="00536B53">
        <w:rPr>
          <w:sz w:val="22"/>
          <w:szCs w:val="22"/>
        </w:rPr>
        <w:t>The collection of information in these Final regulations is in §1.671</w:t>
      </w:r>
      <w:r w:rsidR="00BF7307">
        <w:rPr>
          <w:sz w:val="22"/>
          <w:szCs w:val="22"/>
        </w:rPr>
        <w:t>-</w:t>
      </w:r>
      <w:r w:rsidRPr="00536B53">
        <w:rPr>
          <w:sz w:val="22"/>
          <w:szCs w:val="22"/>
        </w:rPr>
        <w:t>5.  This information is required to enable unit interest holders to report, under section 671, items of income, deduction, and credit of a widely held fixed investment trust. In addition, this information will be used by the IRS to insure those items are reported accurately by unit interest holders in these trusts.</w:t>
      </w:r>
    </w:p>
    <w:p w:rsidR="00A66AD7" w:rsidP="005D2CED" w:rsidRDefault="00A66AD7" w14:paraId="6A7E52F1" w14:textId="0B40E4FC">
      <w:pPr>
        <w:ind w:left="720"/>
        <w:rPr>
          <w:sz w:val="22"/>
          <w:szCs w:val="22"/>
        </w:rPr>
      </w:pPr>
    </w:p>
    <w:p w:rsidRPr="00125CFA" w:rsidR="00A66AD7" w:rsidP="005D2CED" w:rsidRDefault="00A66AD7" w14:paraId="539D4D92" w14:textId="676908AF">
      <w:pPr>
        <w:ind w:left="720"/>
        <w:rPr>
          <w:sz w:val="22"/>
          <w:szCs w:val="22"/>
        </w:rPr>
      </w:pPr>
      <w:r w:rsidRPr="00A66AD7">
        <w:rPr>
          <w:sz w:val="22"/>
          <w:szCs w:val="22"/>
        </w:rPr>
        <w:t>Under §1.671</w:t>
      </w:r>
      <w:r>
        <w:rPr>
          <w:sz w:val="22"/>
          <w:szCs w:val="22"/>
        </w:rPr>
        <w:t>-</w:t>
      </w:r>
      <w:r w:rsidRPr="00A66AD7">
        <w:rPr>
          <w:sz w:val="22"/>
          <w:szCs w:val="22"/>
        </w:rPr>
        <w:t xml:space="preserve">5, the trustee or the middleman who holds an interest in these trusts for an investor will be required to provide a Form 1099 to the </w:t>
      </w:r>
      <w:r w:rsidR="001D2CEF">
        <w:rPr>
          <w:sz w:val="22"/>
          <w:szCs w:val="22"/>
        </w:rPr>
        <w:t xml:space="preserve">IRS </w:t>
      </w:r>
      <w:r w:rsidRPr="00A66AD7">
        <w:rPr>
          <w:sz w:val="22"/>
          <w:szCs w:val="22"/>
        </w:rPr>
        <w:t>and a tax information statement to the investor.  The trust is also required to provide more detailed tax information to middlemen and certain other persons, upon request.</w:t>
      </w:r>
    </w:p>
    <w:p w:rsidRPr="00125CFA" w:rsidR="003E430F" w:rsidRDefault="003E430F" w14:paraId="5E755556" w14:textId="77777777">
      <w:pPr>
        <w:rPr>
          <w:sz w:val="22"/>
          <w:szCs w:val="22"/>
        </w:rPr>
      </w:pPr>
    </w:p>
    <w:p w:rsidRPr="00125CFA" w:rsidR="003E430F" w:rsidP="00E90D20" w:rsidRDefault="003E430F" w14:paraId="56579E4E" w14:textId="77777777">
      <w:pPr>
        <w:numPr>
          <w:ilvl w:val="0"/>
          <w:numId w:val="2"/>
        </w:numPr>
        <w:rPr>
          <w:sz w:val="22"/>
          <w:szCs w:val="22"/>
        </w:rPr>
      </w:pPr>
      <w:r w:rsidRPr="00125CFA">
        <w:rPr>
          <w:sz w:val="22"/>
          <w:szCs w:val="22"/>
          <w:u w:val="single"/>
        </w:rPr>
        <w:t>USE OF DATA</w:t>
      </w:r>
    </w:p>
    <w:p w:rsidRPr="00125CFA" w:rsidR="003E430F" w:rsidRDefault="003E430F" w14:paraId="7A60FCE9" w14:textId="77777777">
      <w:pPr>
        <w:rPr>
          <w:sz w:val="22"/>
          <w:szCs w:val="22"/>
        </w:rPr>
      </w:pPr>
    </w:p>
    <w:p w:rsidRPr="00125CFA" w:rsidR="007A0871" w:rsidP="00375077" w:rsidRDefault="00536B53" w14:paraId="75D36A08" w14:textId="3FFCE479">
      <w:pPr>
        <w:ind w:left="720"/>
        <w:rPr>
          <w:sz w:val="22"/>
          <w:szCs w:val="22"/>
        </w:rPr>
      </w:pPr>
      <w:r w:rsidRPr="00536B53">
        <w:rPr>
          <w:sz w:val="22"/>
          <w:szCs w:val="22"/>
        </w:rPr>
        <w:t>The information will be used in determining a unit interest holder's taxable income and credits and in auditing taxpayers.</w:t>
      </w:r>
      <w:r>
        <w:rPr>
          <w:sz w:val="22"/>
          <w:szCs w:val="22"/>
        </w:rPr>
        <w:t xml:space="preserve"> </w:t>
      </w:r>
    </w:p>
    <w:p w:rsidRPr="00125CFA" w:rsidR="007A0871" w:rsidRDefault="007A0871" w14:paraId="4A97AA9E" w14:textId="77777777">
      <w:pPr>
        <w:rPr>
          <w:sz w:val="22"/>
          <w:szCs w:val="22"/>
        </w:rPr>
      </w:pPr>
    </w:p>
    <w:p w:rsidRPr="00125CFA" w:rsidR="007A0871" w:rsidP="00E90D20" w:rsidRDefault="007A0871" w14:paraId="37795706" w14:textId="77777777">
      <w:pPr>
        <w:numPr>
          <w:ilvl w:val="0"/>
          <w:numId w:val="2"/>
        </w:numPr>
        <w:rPr>
          <w:sz w:val="22"/>
          <w:szCs w:val="22"/>
        </w:rPr>
      </w:pPr>
      <w:r w:rsidRPr="00125CFA">
        <w:rPr>
          <w:sz w:val="22"/>
          <w:szCs w:val="22"/>
          <w:u w:val="single"/>
        </w:rPr>
        <w:t>USE OF IMPROVED INFORMATION TECHNOLOGY TO REDUCE BURDEN</w:t>
      </w:r>
    </w:p>
    <w:p w:rsidRPr="00125CFA" w:rsidR="007A0871" w:rsidRDefault="007A0871" w14:paraId="450C6309" w14:textId="77777777">
      <w:pPr>
        <w:rPr>
          <w:sz w:val="22"/>
          <w:szCs w:val="22"/>
        </w:rPr>
      </w:pPr>
    </w:p>
    <w:p w:rsidRPr="00125CFA" w:rsidR="007A0871" w:rsidP="00375077" w:rsidRDefault="00F92AC0" w14:paraId="074032A7" w14:textId="05163474">
      <w:pPr>
        <w:ind w:left="720"/>
        <w:rPr>
          <w:sz w:val="22"/>
          <w:szCs w:val="22"/>
        </w:rPr>
      </w:pPr>
      <w:r w:rsidRPr="00F92AC0">
        <w:rPr>
          <w:sz w:val="22"/>
          <w:szCs w:val="22"/>
        </w:rPr>
        <w:t xml:space="preserve">Electronic filing of Forms 1099 as required by §1.671-5 of the regulation is currently available. </w:t>
      </w:r>
    </w:p>
    <w:p w:rsidRPr="00125CFA" w:rsidR="007A0871" w:rsidRDefault="007A0871" w14:paraId="44E3F71A" w14:textId="77777777">
      <w:pPr>
        <w:rPr>
          <w:sz w:val="22"/>
          <w:szCs w:val="22"/>
        </w:rPr>
      </w:pPr>
    </w:p>
    <w:p w:rsidRPr="00125CFA" w:rsidR="007A0871" w:rsidP="00E90D20" w:rsidRDefault="007A0871" w14:paraId="788B7064" w14:textId="77777777">
      <w:pPr>
        <w:numPr>
          <w:ilvl w:val="0"/>
          <w:numId w:val="2"/>
        </w:numPr>
        <w:rPr>
          <w:sz w:val="22"/>
          <w:szCs w:val="22"/>
        </w:rPr>
      </w:pPr>
      <w:r w:rsidRPr="00125CFA">
        <w:rPr>
          <w:sz w:val="22"/>
          <w:szCs w:val="22"/>
          <w:u w:val="single"/>
        </w:rPr>
        <w:t>EFFORTS TO IDENTIFY DUPLICATION</w:t>
      </w:r>
    </w:p>
    <w:p w:rsidRPr="00125CFA" w:rsidR="007A0871" w:rsidRDefault="007A0871" w14:paraId="1863A544" w14:textId="77777777">
      <w:pPr>
        <w:rPr>
          <w:sz w:val="22"/>
          <w:szCs w:val="22"/>
        </w:rPr>
      </w:pPr>
    </w:p>
    <w:p w:rsidR="007A0871" w:rsidP="00375077" w:rsidRDefault="00740FA3" w14:paraId="41C7DBC6" w14:textId="568BB6E9">
      <w:pPr>
        <w:ind w:left="720"/>
        <w:rPr>
          <w:sz w:val="22"/>
          <w:szCs w:val="22"/>
        </w:rPr>
      </w:pPr>
      <w:r w:rsidRPr="00125CFA">
        <w:rPr>
          <w:sz w:val="22"/>
          <w:szCs w:val="22"/>
        </w:rPr>
        <w:t xml:space="preserve">The </w:t>
      </w:r>
      <w:r w:rsidRPr="00125CFA" w:rsidR="00D30FA8">
        <w:rPr>
          <w:sz w:val="22"/>
          <w:szCs w:val="22"/>
        </w:rPr>
        <w:t>information obtained through this collection is unique and is not already available for use of adaptation from another source.</w:t>
      </w:r>
    </w:p>
    <w:p w:rsidR="00125CFA" w:rsidP="00375077" w:rsidRDefault="00125CFA" w14:paraId="48F4F2BE" w14:textId="781144A7">
      <w:pPr>
        <w:ind w:left="720"/>
        <w:rPr>
          <w:sz w:val="22"/>
          <w:szCs w:val="22"/>
        </w:rPr>
      </w:pPr>
    </w:p>
    <w:p w:rsidRPr="00125CFA" w:rsidR="007A0871" w:rsidP="00E90D20" w:rsidRDefault="007A0871" w14:paraId="5FA44A5E" w14:textId="77777777">
      <w:pPr>
        <w:numPr>
          <w:ilvl w:val="0"/>
          <w:numId w:val="2"/>
        </w:numPr>
        <w:rPr>
          <w:sz w:val="22"/>
          <w:szCs w:val="22"/>
        </w:rPr>
      </w:pPr>
      <w:r w:rsidRPr="00125CFA">
        <w:rPr>
          <w:sz w:val="22"/>
          <w:szCs w:val="22"/>
          <w:u w:val="single"/>
        </w:rPr>
        <w:t>METHODS TO MINIMIZE BURDEN ON SMALL BUSINESS OR OTHER SMALL ENTITIES</w:t>
      </w:r>
    </w:p>
    <w:p w:rsidRPr="00125CFA" w:rsidR="007A0871" w:rsidRDefault="007A0871" w14:paraId="3CC5E758" w14:textId="77777777">
      <w:pPr>
        <w:rPr>
          <w:sz w:val="22"/>
          <w:szCs w:val="22"/>
        </w:rPr>
      </w:pPr>
    </w:p>
    <w:p w:rsidRPr="00125CFA" w:rsidR="007A0871" w:rsidP="00125CFA" w:rsidRDefault="001F48E1" w14:paraId="7A55185B" w14:textId="437F1F61">
      <w:pPr>
        <w:ind w:left="720"/>
        <w:rPr>
          <w:sz w:val="22"/>
          <w:szCs w:val="22"/>
        </w:rPr>
      </w:pPr>
      <w:r w:rsidRPr="001F48E1">
        <w:rPr>
          <w:sz w:val="22"/>
          <w:szCs w:val="22"/>
        </w:rPr>
        <w:t xml:space="preserve">Small businesses should not be disadvantaged as the collection has been structured to request the least amount of information and still satisfy the requirements of the statute and the needs of the </w:t>
      </w:r>
      <w:r w:rsidR="001D2CEF">
        <w:rPr>
          <w:sz w:val="22"/>
          <w:szCs w:val="22"/>
        </w:rPr>
        <w:t>IRS</w:t>
      </w:r>
      <w:r w:rsidRPr="001F48E1">
        <w:rPr>
          <w:sz w:val="22"/>
          <w:szCs w:val="22"/>
        </w:rPr>
        <w:t xml:space="preserve">.  </w:t>
      </w:r>
    </w:p>
    <w:p w:rsidRPr="00125CFA" w:rsidR="007A0871" w:rsidRDefault="007A0871" w14:paraId="2D944755" w14:textId="77777777">
      <w:pPr>
        <w:rPr>
          <w:sz w:val="22"/>
          <w:szCs w:val="22"/>
        </w:rPr>
      </w:pPr>
    </w:p>
    <w:p w:rsidRPr="00125CFA" w:rsidR="007A0871" w:rsidP="00E90D20" w:rsidRDefault="007A0871" w14:paraId="2C814D7D" w14:textId="77777777">
      <w:pPr>
        <w:numPr>
          <w:ilvl w:val="0"/>
          <w:numId w:val="2"/>
        </w:numPr>
        <w:rPr>
          <w:sz w:val="22"/>
          <w:szCs w:val="22"/>
        </w:rPr>
      </w:pPr>
      <w:r w:rsidRPr="00125CFA">
        <w:rPr>
          <w:sz w:val="22"/>
          <w:szCs w:val="22"/>
          <w:u w:val="single"/>
        </w:rPr>
        <w:t>CONSEQUENCES OF LESS FREQUENT COLLECTION ON FEDERAL PROGRAMS OR POLICY ACTIVITIES</w:t>
      </w:r>
    </w:p>
    <w:p w:rsidRPr="00125CFA" w:rsidR="007A0871" w:rsidRDefault="007A0871" w14:paraId="7786846E" w14:textId="77777777">
      <w:pPr>
        <w:rPr>
          <w:sz w:val="22"/>
          <w:szCs w:val="22"/>
        </w:rPr>
      </w:pPr>
    </w:p>
    <w:p w:rsidR="007A0871" w:rsidP="00375077" w:rsidRDefault="001F48E1" w14:paraId="7E936FDC" w14:textId="0F68B72A">
      <w:pPr>
        <w:ind w:left="720"/>
        <w:rPr>
          <w:sz w:val="22"/>
          <w:szCs w:val="22"/>
        </w:rPr>
      </w:pPr>
      <w:r w:rsidRPr="001F48E1">
        <w:rPr>
          <w:sz w:val="22"/>
          <w:szCs w:val="22"/>
        </w:rPr>
        <w:t xml:space="preserve">This information is used by the IRS to ensure that items of income, deduction, and credit of a widely held fixed investment trust are reported accurately by unit interest holders in these trusts.  A less frequent collection will prevent the IRS from auditing taxpayers and determining a unit interest holder's taxable income and credits. This could result in the IRS being unable to meet its mission. </w:t>
      </w:r>
    </w:p>
    <w:p w:rsidRPr="00125CFA" w:rsidR="00A66AD7" w:rsidP="00375077" w:rsidRDefault="00A66AD7" w14:paraId="3F4779E2" w14:textId="77777777">
      <w:pPr>
        <w:ind w:left="720"/>
        <w:rPr>
          <w:sz w:val="22"/>
          <w:szCs w:val="22"/>
        </w:rPr>
      </w:pPr>
    </w:p>
    <w:p w:rsidRPr="00125CFA" w:rsidR="007A0871" w:rsidRDefault="007A0871" w14:paraId="79374D85" w14:textId="77777777">
      <w:pPr>
        <w:rPr>
          <w:sz w:val="22"/>
          <w:szCs w:val="22"/>
        </w:rPr>
      </w:pPr>
    </w:p>
    <w:p w:rsidRPr="00125CFA" w:rsidR="007A0871" w:rsidP="00E90D20" w:rsidRDefault="007A0871" w14:paraId="59A5D83B" w14:textId="77777777">
      <w:pPr>
        <w:numPr>
          <w:ilvl w:val="0"/>
          <w:numId w:val="2"/>
        </w:numPr>
        <w:rPr>
          <w:sz w:val="22"/>
          <w:szCs w:val="22"/>
        </w:rPr>
      </w:pPr>
      <w:r w:rsidRPr="00125CFA">
        <w:rPr>
          <w:sz w:val="22"/>
          <w:szCs w:val="22"/>
          <w:u w:val="single"/>
        </w:rPr>
        <w:lastRenderedPageBreak/>
        <w:t>SPECIAL CIRCUMSTANCES REQUIRING DATA COLLECTION TO BE INCONSISTENT WITH GUIDELINES IN 5 CFR 1320.5(d)(2)</w:t>
      </w:r>
    </w:p>
    <w:p w:rsidRPr="00125CFA" w:rsidR="007A0871" w:rsidRDefault="007A0871" w14:paraId="4A654572" w14:textId="77777777">
      <w:pPr>
        <w:rPr>
          <w:sz w:val="22"/>
          <w:szCs w:val="22"/>
        </w:rPr>
      </w:pPr>
    </w:p>
    <w:p w:rsidRPr="00125CFA" w:rsidR="007A0871" w:rsidP="00375077" w:rsidRDefault="003015D7" w14:paraId="2A26037A" w14:textId="77777777">
      <w:pPr>
        <w:ind w:left="720"/>
        <w:rPr>
          <w:sz w:val="22"/>
          <w:szCs w:val="22"/>
        </w:rPr>
      </w:pPr>
      <w:r w:rsidRPr="00125CFA">
        <w:rPr>
          <w:sz w:val="22"/>
          <w:szCs w:val="22"/>
        </w:rPr>
        <w:t>There are no special circumstances requiring data collection to be inconsistent with guidelines in 5 CFR 1320.5(d)(2)</w:t>
      </w:r>
      <w:r w:rsidRPr="00125CFA" w:rsidR="007A0871">
        <w:rPr>
          <w:sz w:val="22"/>
          <w:szCs w:val="22"/>
        </w:rPr>
        <w:t>.</w:t>
      </w:r>
    </w:p>
    <w:p w:rsidRPr="00125CFA" w:rsidR="007A0871" w:rsidRDefault="007A0871" w14:paraId="0F6029BA" w14:textId="77777777">
      <w:pPr>
        <w:rPr>
          <w:sz w:val="22"/>
          <w:szCs w:val="22"/>
        </w:rPr>
      </w:pPr>
    </w:p>
    <w:p w:rsidRPr="00125CFA" w:rsidR="007A0871" w:rsidP="00E90D20" w:rsidRDefault="007A0871" w14:paraId="772D8634" w14:textId="77777777">
      <w:pPr>
        <w:numPr>
          <w:ilvl w:val="0"/>
          <w:numId w:val="2"/>
        </w:numPr>
        <w:rPr>
          <w:sz w:val="22"/>
          <w:szCs w:val="22"/>
        </w:rPr>
      </w:pPr>
      <w:r w:rsidRPr="002C6734">
        <w:rPr>
          <w:sz w:val="22"/>
          <w:szCs w:val="22"/>
          <w:u w:val="single"/>
        </w:rPr>
        <w:t>CONS</w:t>
      </w:r>
      <w:r w:rsidRPr="00125CFA">
        <w:rPr>
          <w:sz w:val="22"/>
          <w:szCs w:val="22"/>
          <w:u w:val="single"/>
        </w:rPr>
        <w:t>ULTATION WITH INDIVIDUALS OUTSIDE OF THE AGENCY ON AVAILABILITY OF DATA, FRE</w:t>
      </w:r>
      <w:r w:rsidRPr="00125CFA" w:rsidR="00490086">
        <w:rPr>
          <w:sz w:val="22"/>
          <w:szCs w:val="22"/>
          <w:u w:val="single"/>
        </w:rPr>
        <w:t>QUENCY OF COLLECTION, CLARITY OF INSTRUCTIONS AND FORMS, AND DATA ELEMENTS</w:t>
      </w:r>
    </w:p>
    <w:p w:rsidRPr="00125CFA" w:rsidR="00490086" w:rsidRDefault="00490086" w14:paraId="28827D97" w14:textId="77777777">
      <w:pPr>
        <w:rPr>
          <w:sz w:val="22"/>
          <w:szCs w:val="22"/>
        </w:rPr>
      </w:pPr>
    </w:p>
    <w:p w:rsidRPr="00125CFA" w:rsidR="00490086" w:rsidP="005D2CED" w:rsidRDefault="00125CFA" w14:paraId="32458F20" w14:textId="7D967718">
      <w:pPr>
        <w:ind w:left="720"/>
        <w:rPr>
          <w:sz w:val="22"/>
          <w:szCs w:val="22"/>
        </w:rPr>
      </w:pPr>
      <w:r>
        <w:rPr>
          <w:sz w:val="22"/>
          <w:szCs w:val="22"/>
        </w:rPr>
        <w:t>The agency</w:t>
      </w:r>
      <w:r w:rsidRPr="00125CFA" w:rsidR="00490086">
        <w:rPr>
          <w:sz w:val="22"/>
          <w:szCs w:val="22"/>
        </w:rPr>
        <w:t xml:space="preserve"> received </w:t>
      </w:r>
      <w:r w:rsidRPr="00125CFA" w:rsidR="005D2CED">
        <w:rPr>
          <w:sz w:val="22"/>
          <w:szCs w:val="22"/>
        </w:rPr>
        <w:t xml:space="preserve">no comments during the comment period in response to the </w:t>
      </w:r>
      <w:r w:rsidRPr="00125CFA" w:rsidR="00490086">
        <w:rPr>
          <w:bCs/>
          <w:sz w:val="22"/>
          <w:szCs w:val="22"/>
        </w:rPr>
        <w:t>Federal Register</w:t>
      </w:r>
      <w:r w:rsidRPr="00125CFA" w:rsidR="00490086">
        <w:rPr>
          <w:sz w:val="22"/>
          <w:szCs w:val="22"/>
        </w:rPr>
        <w:t xml:space="preserve"> notice dated </w:t>
      </w:r>
      <w:r w:rsidRPr="00125CFA" w:rsidR="0011582C">
        <w:rPr>
          <w:sz w:val="22"/>
          <w:szCs w:val="22"/>
        </w:rPr>
        <w:t xml:space="preserve">January </w:t>
      </w:r>
      <w:r w:rsidR="00BF7307">
        <w:rPr>
          <w:sz w:val="22"/>
          <w:szCs w:val="22"/>
        </w:rPr>
        <w:t>31</w:t>
      </w:r>
      <w:r w:rsidRPr="00125CFA" w:rsidR="003015D7">
        <w:rPr>
          <w:sz w:val="22"/>
          <w:szCs w:val="22"/>
        </w:rPr>
        <w:t>, 20</w:t>
      </w:r>
      <w:r w:rsidRPr="00125CFA" w:rsidR="0011582C">
        <w:rPr>
          <w:sz w:val="22"/>
          <w:szCs w:val="22"/>
        </w:rPr>
        <w:t>22</w:t>
      </w:r>
      <w:r w:rsidRPr="00125CFA" w:rsidR="00490086">
        <w:rPr>
          <w:sz w:val="22"/>
          <w:szCs w:val="22"/>
        </w:rPr>
        <w:t xml:space="preserve"> </w:t>
      </w:r>
      <w:r w:rsidRPr="00125CFA" w:rsidR="007A71BE">
        <w:rPr>
          <w:sz w:val="22"/>
          <w:szCs w:val="22"/>
        </w:rPr>
        <w:t>(</w:t>
      </w:r>
      <w:r w:rsidRPr="00125CFA" w:rsidR="003015D7">
        <w:rPr>
          <w:sz w:val="22"/>
          <w:szCs w:val="22"/>
        </w:rPr>
        <w:t>8</w:t>
      </w:r>
      <w:r w:rsidRPr="00125CFA" w:rsidR="0011582C">
        <w:rPr>
          <w:sz w:val="22"/>
          <w:szCs w:val="22"/>
        </w:rPr>
        <w:t>7</w:t>
      </w:r>
      <w:r w:rsidRPr="00125CFA" w:rsidR="005D2CED">
        <w:rPr>
          <w:sz w:val="22"/>
          <w:szCs w:val="22"/>
        </w:rPr>
        <w:t xml:space="preserve"> </w:t>
      </w:r>
      <w:r w:rsidRPr="00125CFA" w:rsidR="00490086">
        <w:rPr>
          <w:sz w:val="22"/>
          <w:szCs w:val="22"/>
        </w:rPr>
        <w:t>FR</w:t>
      </w:r>
      <w:r w:rsidRPr="00125CFA" w:rsidR="005D2CED">
        <w:rPr>
          <w:sz w:val="22"/>
          <w:szCs w:val="22"/>
        </w:rPr>
        <w:t xml:space="preserve"> </w:t>
      </w:r>
      <w:r w:rsidRPr="00BF7307" w:rsidR="00BF7307">
        <w:rPr>
          <w:sz w:val="22"/>
          <w:szCs w:val="22"/>
        </w:rPr>
        <w:t>4998</w:t>
      </w:r>
      <w:r w:rsidRPr="00125CFA" w:rsidR="00490086">
        <w:rPr>
          <w:sz w:val="22"/>
          <w:szCs w:val="22"/>
        </w:rPr>
        <w:t xml:space="preserve">).  </w:t>
      </w:r>
    </w:p>
    <w:p w:rsidRPr="00125CFA" w:rsidR="005D2CED" w:rsidP="005D2CED" w:rsidRDefault="005D2CED" w14:paraId="31909DA3" w14:textId="77777777">
      <w:pPr>
        <w:ind w:left="720"/>
        <w:rPr>
          <w:sz w:val="22"/>
          <w:szCs w:val="22"/>
        </w:rPr>
      </w:pPr>
    </w:p>
    <w:p w:rsidRPr="00125CFA" w:rsidR="00490086" w:rsidP="00E90D20" w:rsidRDefault="00AB2ACA" w14:paraId="13FC35FB" w14:textId="77777777">
      <w:pPr>
        <w:numPr>
          <w:ilvl w:val="0"/>
          <w:numId w:val="2"/>
        </w:numPr>
        <w:rPr>
          <w:sz w:val="22"/>
          <w:szCs w:val="22"/>
        </w:rPr>
      </w:pPr>
      <w:r w:rsidRPr="00125CFA">
        <w:rPr>
          <w:sz w:val="22"/>
          <w:szCs w:val="22"/>
          <w:u w:val="single"/>
        </w:rPr>
        <w:t>E</w:t>
      </w:r>
      <w:r w:rsidRPr="00125CFA" w:rsidR="00AA2F91">
        <w:rPr>
          <w:sz w:val="22"/>
          <w:szCs w:val="22"/>
          <w:u w:val="single"/>
        </w:rPr>
        <w:t>X</w:t>
      </w:r>
      <w:r w:rsidRPr="00125CFA">
        <w:rPr>
          <w:sz w:val="22"/>
          <w:szCs w:val="22"/>
          <w:u w:val="single"/>
        </w:rPr>
        <w:t>PLANATION OF DECISION TO</w:t>
      </w:r>
      <w:r w:rsidRPr="00125CFA" w:rsidR="003015D7">
        <w:rPr>
          <w:sz w:val="22"/>
          <w:szCs w:val="22"/>
          <w:u w:val="single"/>
        </w:rPr>
        <w:t xml:space="preserve"> </w:t>
      </w:r>
      <w:r w:rsidRPr="00125CFA">
        <w:rPr>
          <w:sz w:val="22"/>
          <w:szCs w:val="22"/>
          <w:u w:val="single"/>
        </w:rPr>
        <w:t>PROVIDE ANY PAYMENT OR GIFT TO RESPONDENTS</w:t>
      </w:r>
    </w:p>
    <w:p w:rsidRPr="00125CFA" w:rsidR="00AB2ACA" w:rsidRDefault="00AB2ACA" w14:paraId="4DAFA7C3" w14:textId="77777777">
      <w:pPr>
        <w:rPr>
          <w:sz w:val="22"/>
          <w:szCs w:val="22"/>
        </w:rPr>
      </w:pPr>
    </w:p>
    <w:p w:rsidRPr="00125CFA" w:rsidR="00AB2ACA" w:rsidP="00375077" w:rsidRDefault="003015D7" w14:paraId="66C3CBEA" w14:textId="77777777">
      <w:pPr>
        <w:ind w:left="720"/>
        <w:rPr>
          <w:sz w:val="22"/>
          <w:szCs w:val="22"/>
        </w:rPr>
      </w:pPr>
      <w:r w:rsidRPr="00125CFA">
        <w:rPr>
          <w:sz w:val="22"/>
          <w:szCs w:val="22"/>
        </w:rPr>
        <w:t>No payment or gift has been provided to any respondents</w:t>
      </w:r>
      <w:r w:rsidRPr="00125CFA" w:rsidR="00AB2ACA">
        <w:rPr>
          <w:sz w:val="22"/>
          <w:szCs w:val="22"/>
        </w:rPr>
        <w:t>.</w:t>
      </w:r>
    </w:p>
    <w:p w:rsidRPr="00125CFA" w:rsidR="00AB2ACA" w:rsidRDefault="00AB2ACA" w14:paraId="0072B551" w14:textId="77777777">
      <w:pPr>
        <w:rPr>
          <w:sz w:val="22"/>
          <w:szCs w:val="22"/>
        </w:rPr>
      </w:pPr>
    </w:p>
    <w:p w:rsidRPr="00125CFA" w:rsidR="00AB2ACA" w:rsidP="00E90D20" w:rsidRDefault="00AB2ACA" w14:paraId="4BA287B7" w14:textId="77777777">
      <w:pPr>
        <w:numPr>
          <w:ilvl w:val="0"/>
          <w:numId w:val="2"/>
        </w:numPr>
        <w:rPr>
          <w:sz w:val="22"/>
          <w:szCs w:val="22"/>
        </w:rPr>
      </w:pPr>
      <w:r w:rsidRPr="00125CFA">
        <w:rPr>
          <w:sz w:val="22"/>
          <w:szCs w:val="22"/>
          <w:u w:val="single"/>
        </w:rPr>
        <w:t>ASSURANCE OF CONFIDENTIALITY OF RESPONSES</w:t>
      </w:r>
    </w:p>
    <w:p w:rsidRPr="00125CFA" w:rsidR="00AB2ACA" w:rsidRDefault="00AB2ACA" w14:paraId="353D6687" w14:textId="77777777">
      <w:pPr>
        <w:rPr>
          <w:sz w:val="22"/>
          <w:szCs w:val="22"/>
        </w:rPr>
      </w:pPr>
    </w:p>
    <w:p w:rsidRPr="00125CFA" w:rsidR="00AB2ACA" w:rsidP="00375077" w:rsidRDefault="00AB2ACA" w14:paraId="0F930F54" w14:textId="77777777">
      <w:pPr>
        <w:ind w:left="720"/>
        <w:rPr>
          <w:sz w:val="22"/>
          <w:szCs w:val="22"/>
        </w:rPr>
      </w:pPr>
      <w:r w:rsidRPr="00125CFA">
        <w:rPr>
          <w:sz w:val="22"/>
          <w:szCs w:val="22"/>
        </w:rPr>
        <w:t>Generally, tax returns and tax return information are confidential as required by 26 U.S.C. 6103.</w:t>
      </w:r>
    </w:p>
    <w:p w:rsidRPr="00125CFA" w:rsidR="00AB2ACA" w:rsidRDefault="00AB2ACA" w14:paraId="17BFCB88" w14:textId="77777777">
      <w:pPr>
        <w:rPr>
          <w:sz w:val="22"/>
          <w:szCs w:val="22"/>
        </w:rPr>
      </w:pPr>
    </w:p>
    <w:p w:rsidRPr="00125CFA" w:rsidR="00AB2ACA" w:rsidP="00E90D20" w:rsidRDefault="00AB2ACA" w14:paraId="33EFD4DB" w14:textId="77777777">
      <w:pPr>
        <w:numPr>
          <w:ilvl w:val="0"/>
          <w:numId w:val="2"/>
        </w:numPr>
        <w:rPr>
          <w:sz w:val="22"/>
          <w:szCs w:val="22"/>
        </w:rPr>
      </w:pPr>
      <w:r w:rsidRPr="00125CFA">
        <w:rPr>
          <w:sz w:val="22"/>
          <w:szCs w:val="22"/>
          <w:u w:val="single"/>
        </w:rPr>
        <w:t>JUSTIFICATION OF SENSITIVE QUESTIONS</w:t>
      </w:r>
    </w:p>
    <w:p w:rsidRPr="00125CFA" w:rsidR="00AB2ACA" w:rsidRDefault="00AB2ACA" w14:paraId="12C5B518" w14:textId="77777777">
      <w:pPr>
        <w:rPr>
          <w:sz w:val="22"/>
          <w:szCs w:val="22"/>
        </w:rPr>
      </w:pPr>
    </w:p>
    <w:p w:rsidRPr="00125CFA" w:rsidR="00AB2ACA" w:rsidP="00375077" w:rsidRDefault="00587602" w14:paraId="45C123E6" w14:textId="77777777">
      <w:pPr>
        <w:ind w:left="720"/>
        <w:rPr>
          <w:sz w:val="22"/>
          <w:szCs w:val="22"/>
        </w:rPr>
      </w:pPr>
      <w:r w:rsidRPr="00125CFA">
        <w:rPr>
          <w:sz w:val="22"/>
          <w:szCs w:val="22"/>
        </w:rPr>
        <w:t>There is n</w:t>
      </w:r>
      <w:r w:rsidRPr="00125CFA" w:rsidR="003015D7">
        <w:rPr>
          <w:sz w:val="22"/>
          <w:szCs w:val="22"/>
        </w:rPr>
        <w:t xml:space="preserve">o </w:t>
      </w:r>
      <w:r w:rsidRPr="00125CFA">
        <w:rPr>
          <w:sz w:val="22"/>
          <w:szCs w:val="22"/>
        </w:rPr>
        <w:t xml:space="preserve">sensitive </w:t>
      </w:r>
      <w:r w:rsidRPr="00125CFA" w:rsidR="003015D7">
        <w:rPr>
          <w:sz w:val="22"/>
          <w:szCs w:val="22"/>
        </w:rPr>
        <w:t xml:space="preserve">personally identifiable information (PII) </w:t>
      </w:r>
      <w:r w:rsidRPr="00125CFA">
        <w:rPr>
          <w:sz w:val="22"/>
          <w:szCs w:val="22"/>
        </w:rPr>
        <w:t>in th</w:t>
      </w:r>
      <w:r w:rsidRPr="00125CFA" w:rsidR="003015D7">
        <w:rPr>
          <w:sz w:val="22"/>
          <w:szCs w:val="22"/>
        </w:rPr>
        <w:t>is collect</w:t>
      </w:r>
      <w:r w:rsidRPr="00125CFA">
        <w:rPr>
          <w:sz w:val="22"/>
          <w:szCs w:val="22"/>
        </w:rPr>
        <w:t>ion</w:t>
      </w:r>
      <w:r w:rsidRPr="00125CFA" w:rsidR="00AB2ACA">
        <w:rPr>
          <w:sz w:val="22"/>
          <w:szCs w:val="22"/>
        </w:rPr>
        <w:t>.</w:t>
      </w:r>
    </w:p>
    <w:p w:rsidRPr="00125CFA" w:rsidR="00AB2ACA" w:rsidRDefault="00AB2ACA" w14:paraId="1D8B01A7" w14:textId="77777777">
      <w:pPr>
        <w:rPr>
          <w:sz w:val="22"/>
          <w:szCs w:val="22"/>
        </w:rPr>
      </w:pPr>
    </w:p>
    <w:p w:rsidRPr="00125CFA" w:rsidR="00AB2ACA" w:rsidP="00E90D20" w:rsidRDefault="00AB2ACA" w14:paraId="78CB2800" w14:textId="77777777">
      <w:pPr>
        <w:numPr>
          <w:ilvl w:val="0"/>
          <w:numId w:val="2"/>
        </w:numPr>
        <w:rPr>
          <w:sz w:val="22"/>
          <w:szCs w:val="22"/>
        </w:rPr>
      </w:pPr>
      <w:r w:rsidRPr="00125CFA">
        <w:rPr>
          <w:sz w:val="22"/>
          <w:szCs w:val="22"/>
          <w:u w:val="single"/>
        </w:rPr>
        <w:t>ESTIMATED BURDEN OF INFORMATION COLLECTION</w:t>
      </w:r>
    </w:p>
    <w:p w:rsidRPr="00125CFA" w:rsidR="00AB2ACA" w:rsidRDefault="00AB2ACA" w14:paraId="24CA7B04" w14:textId="77777777">
      <w:pPr>
        <w:rPr>
          <w:sz w:val="22"/>
          <w:szCs w:val="22"/>
        </w:rPr>
      </w:pPr>
    </w:p>
    <w:p w:rsidRPr="001F48E1" w:rsidR="001F48E1" w:rsidP="001F48E1" w:rsidRDefault="001F48E1" w14:paraId="14069CE0" w14:textId="7EE3A51A">
      <w:pPr>
        <w:ind w:left="720"/>
        <w:rPr>
          <w:sz w:val="22"/>
          <w:szCs w:val="22"/>
        </w:rPr>
      </w:pPr>
      <w:bookmarkStart w:name="_Hlk98441884" w:id="0"/>
      <w:r w:rsidRPr="001F48E1">
        <w:rPr>
          <w:sz w:val="22"/>
          <w:szCs w:val="22"/>
        </w:rPr>
        <w:t xml:space="preserve">Under §1.671 5, the trustee or the middleman who holds an interest in these trusts for an investor will be required to provide a Form 1099 to the </w:t>
      </w:r>
      <w:r w:rsidR="001D2CEF">
        <w:rPr>
          <w:sz w:val="22"/>
          <w:szCs w:val="22"/>
        </w:rPr>
        <w:t>IRS</w:t>
      </w:r>
      <w:r w:rsidRPr="001F48E1">
        <w:rPr>
          <w:sz w:val="22"/>
          <w:szCs w:val="22"/>
        </w:rPr>
        <w:t xml:space="preserve"> and a tax information statement to the investor.  The trust is also required to provide more detailed tax information to middlemen and certain other persons, upon request.</w:t>
      </w:r>
    </w:p>
    <w:bookmarkEnd w:id="0"/>
    <w:p w:rsidRPr="001F48E1" w:rsidR="001F48E1" w:rsidP="001F48E1" w:rsidRDefault="001F48E1" w14:paraId="5CBCFCB0" w14:textId="77777777">
      <w:pPr>
        <w:rPr>
          <w:sz w:val="22"/>
          <w:szCs w:val="22"/>
        </w:rPr>
      </w:pPr>
    </w:p>
    <w:p w:rsidRPr="00125CFA" w:rsidR="00911FF4" w:rsidP="001F48E1" w:rsidRDefault="00BF7307" w14:paraId="1BB2AC6A" w14:textId="7E65B77B">
      <w:pPr>
        <w:ind w:left="720"/>
        <w:rPr>
          <w:sz w:val="22"/>
          <w:szCs w:val="22"/>
        </w:rPr>
      </w:pPr>
      <w:r>
        <w:rPr>
          <w:sz w:val="22"/>
          <w:szCs w:val="22"/>
        </w:rPr>
        <w:t>The agency</w:t>
      </w:r>
      <w:r w:rsidRPr="001F48E1" w:rsidR="001F48E1">
        <w:rPr>
          <w:sz w:val="22"/>
          <w:szCs w:val="22"/>
        </w:rPr>
        <w:t xml:space="preserve"> estimate</w:t>
      </w:r>
      <w:r>
        <w:rPr>
          <w:sz w:val="22"/>
          <w:szCs w:val="22"/>
        </w:rPr>
        <w:t>s</w:t>
      </w:r>
      <w:r w:rsidRPr="001F48E1" w:rsidR="001F48E1">
        <w:rPr>
          <w:sz w:val="22"/>
          <w:szCs w:val="22"/>
        </w:rPr>
        <w:t xml:space="preserve"> that approximately 1,200 respondents comprised of trustees and brokerage firms will be affected by these regulations. As these trustees and middlemen already have an obligation to file a form (either Form 1099 or Form 1041) with the IRS, and provide tax reporting information to the actual investors, we estimate that it will take each respondent an average of an extra 2 hours to submit the more detailed and accurate information we are requesting. The total burden of this reporting requirement is 2,400 hours.</w:t>
      </w:r>
    </w:p>
    <w:p w:rsidRPr="00125CFA" w:rsidR="00DB403B" w:rsidP="00375077" w:rsidRDefault="00DB403B" w14:paraId="308D14FB" w14:textId="77777777">
      <w:pPr>
        <w:ind w:left="720"/>
        <w:rPr>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8"/>
        <w:gridCol w:w="1808"/>
        <w:gridCol w:w="1306"/>
        <w:gridCol w:w="1228"/>
        <w:gridCol w:w="1094"/>
        <w:gridCol w:w="1147"/>
        <w:gridCol w:w="1123"/>
      </w:tblGrid>
      <w:tr w:rsidRPr="00125CFA" w:rsidR="0072145D" w:rsidTr="00E50953" w14:paraId="6D9F4F8C" w14:textId="77777777">
        <w:tc>
          <w:tcPr>
            <w:tcW w:w="1258" w:type="dxa"/>
            <w:shd w:val="clear" w:color="auto" w:fill="auto"/>
            <w:vAlign w:val="bottom"/>
          </w:tcPr>
          <w:p w:rsidRPr="00125CFA" w:rsidR="0072145D" w:rsidP="00E50953" w:rsidRDefault="0072145D" w14:paraId="2F6ABD0C" w14:textId="77777777">
            <w:pPr>
              <w:keepNext/>
              <w:keepLines/>
              <w:numPr>
                <w:ilvl w:val="12"/>
                <w:numId w:val="0"/>
              </w:numPr>
              <w:jc w:val="center"/>
              <w:rPr>
                <w:b/>
                <w:sz w:val="20"/>
                <w:szCs w:val="20"/>
              </w:rPr>
            </w:pPr>
            <w:r w:rsidRPr="00125CFA">
              <w:rPr>
                <w:b/>
                <w:sz w:val="20"/>
                <w:szCs w:val="20"/>
              </w:rPr>
              <w:t>Authority</w:t>
            </w:r>
          </w:p>
        </w:tc>
        <w:tc>
          <w:tcPr>
            <w:tcW w:w="1916" w:type="dxa"/>
            <w:vAlign w:val="bottom"/>
          </w:tcPr>
          <w:p w:rsidRPr="00125CFA" w:rsidR="0072145D" w:rsidP="00E50953" w:rsidRDefault="0072145D" w14:paraId="2CE3435C" w14:textId="77777777">
            <w:pPr>
              <w:keepNext/>
              <w:keepLines/>
              <w:numPr>
                <w:ilvl w:val="12"/>
                <w:numId w:val="0"/>
              </w:numPr>
              <w:jc w:val="center"/>
              <w:rPr>
                <w:b/>
                <w:sz w:val="20"/>
                <w:szCs w:val="20"/>
              </w:rPr>
            </w:pPr>
            <w:r w:rsidRPr="00125CFA">
              <w:rPr>
                <w:b/>
                <w:sz w:val="20"/>
                <w:szCs w:val="20"/>
              </w:rPr>
              <w:t>Description</w:t>
            </w:r>
          </w:p>
        </w:tc>
        <w:tc>
          <w:tcPr>
            <w:tcW w:w="1170" w:type="dxa"/>
            <w:vAlign w:val="bottom"/>
          </w:tcPr>
          <w:p w:rsidRPr="00125CFA" w:rsidR="0072145D" w:rsidP="00E50953" w:rsidRDefault="0072145D" w14:paraId="259BFDA2" w14:textId="77777777">
            <w:pPr>
              <w:keepNext/>
              <w:keepLines/>
              <w:numPr>
                <w:ilvl w:val="12"/>
                <w:numId w:val="0"/>
              </w:numPr>
              <w:jc w:val="center"/>
              <w:rPr>
                <w:b/>
                <w:sz w:val="20"/>
                <w:szCs w:val="20"/>
              </w:rPr>
            </w:pPr>
            <w:r w:rsidRPr="00125CFA">
              <w:rPr>
                <w:b/>
                <w:sz w:val="20"/>
                <w:szCs w:val="20"/>
              </w:rPr>
              <w:t xml:space="preserve"># </w:t>
            </w:r>
            <w:proofErr w:type="gramStart"/>
            <w:r w:rsidRPr="00125CFA">
              <w:rPr>
                <w:b/>
                <w:sz w:val="20"/>
                <w:szCs w:val="20"/>
              </w:rPr>
              <w:t>of</w:t>
            </w:r>
            <w:proofErr w:type="gramEnd"/>
            <w:r w:rsidRPr="00125CFA">
              <w:rPr>
                <w:b/>
                <w:sz w:val="20"/>
                <w:szCs w:val="20"/>
              </w:rPr>
              <w:t xml:space="preserve"> Respondents</w:t>
            </w:r>
          </w:p>
        </w:tc>
        <w:tc>
          <w:tcPr>
            <w:tcW w:w="1170" w:type="dxa"/>
            <w:vAlign w:val="bottom"/>
          </w:tcPr>
          <w:p w:rsidRPr="00125CFA" w:rsidR="0072145D" w:rsidP="00E50953" w:rsidRDefault="0072145D" w14:paraId="6C5E0831" w14:textId="77777777">
            <w:pPr>
              <w:keepNext/>
              <w:keepLines/>
              <w:numPr>
                <w:ilvl w:val="12"/>
                <w:numId w:val="0"/>
              </w:numPr>
              <w:jc w:val="center"/>
              <w:rPr>
                <w:b/>
                <w:sz w:val="20"/>
                <w:szCs w:val="20"/>
              </w:rPr>
            </w:pPr>
            <w:r w:rsidRPr="00125CFA">
              <w:rPr>
                <w:b/>
                <w:sz w:val="20"/>
                <w:szCs w:val="20"/>
              </w:rPr>
              <w:t># Responses per Respondent</w:t>
            </w:r>
          </w:p>
        </w:tc>
        <w:tc>
          <w:tcPr>
            <w:tcW w:w="1080" w:type="dxa"/>
            <w:shd w:val="clear" w:color="auto" w:fill="auto"/>
            <w:vAlign w:val="bottom"/>
          </w:tcPr>
          <w:p w:rsidRPr="00125CFA" w:rsidR="0072145D" w:rsidP="00E50953" w:rsidRDefault="0072145D" w14:paraId="6E6D1F8F" w14:textId="77777777">
            <w:pPr>
              <w:keepNext/>
              <w:keepLines/>
              <w:numPr>
                <w:ilvl w:val="12"/>
                <w:numId w:val="0"/>
              </w:numPr>
              <w:jc w:val="center"/>
              <w:rPr>
                <w:b/>
                <w:sz w:val="20"/>
                <w:szCs w:val="20"/>
              </w:rPr>
            </w:pPr>
            <w:r w:rsidRPr="00125CFA">
              <w:rPr>
                <w:b/>
                <w:sz w:val="20"/>
                <w:szCs w:val="20"/>
              </w:rPr>
              <w:t>Annual Responses</w:t>
            </w:r>
          </w:p>
        </w:tc>
        <w:tc>
          <w:tcPr>
            <w:tcW w:w="1170" w:type="dxa"/>
            <w:vAlign w:val="bottom"/>
          </w:tcPr>
          <w:p w:rsidRPr="00125CFA" w:rsidR="0072145D" w:rsidP="00E50953" w:rsidRDefault="0072145D" w14:paraId="6B60902E" w14:textId="77777777">
            <w:pPr>
              <w:keepNext/>
              <w:keepLines/>
              <w:numPr>
                <w:ilvl w:val="12"/>
                <w:numId w:val="0"/>
              </w:numPr>
              <w:jc w:val="center"/>
              <w:rPr>
                <w:b/>
                <w:sz w:val="20"/>
                <w:szCs w:val="20"/>
              </w:rPr>
            </w:pPr>
            <w:r w:rsidRPr="00125CFA">
              <w:rPr>
                <w:b/>
                <w:sz w:val="20"/>
                <w:szCs w:val="20"/>
              </w:rPr>
              <w:t>Hours per Response</w:t>
            </w:r>
          </w:p>
        </w:tc>
        <w:tc>
          <w:tcPr>
            <w:tcW w:w="1170" w:type="dxa"/>
            <w:shd w:val="clear" w:color="auto" w:fill="auto"/>
            <w:vAlign w:val="bottom"/>
          </w:tcPr>
          <w:p w:rsidRPr="00125CFA" w:rsidR="0072145D" w:rsidP="00E50953" w:rsidRDefault="0072145D" w14:paraId="72882FD1" w14:textId="77777777">
            <w:pPr>
              <w:keepNext/>
              <w:keepLines/>
              <w:numPr>
                <w:ilvl w:val="12"/>
                <w:numId w:val="0"/>
              </w:numPr>
              <w:jc w:val="center"/>
              <w:rPr>
                <w:b/>
                <w:sz w:val="20"/>
                <w:szCs w:val="20"/>
              </w:rPr>
            </w:pPr>
            <w:r w:rsidRPr="00125CFA">
              <w:rPr>
                <w:b/>
                <w:sz w:val="20"/>
                <w:szCs w:val="20"/>
              </w:rPr>
              <w:t>Total Burden</w:t>
            </w:r>
          </w:p>
        </w:tc>
      </w:tr>
      <w:tr w:rsidRPr="00125CFA" w:rsidR="0072145D" w:rsidTr="00E50953" w14:paraId="61B81D7B" w14:textId="77777777">
        <w:tc>
          <w:tcPr>
            <w:tcW w:w="1258" w:type="dxa"/>
            <w:shd w:val="clear" w:color="auto" w:fill="auto"/>
            <w:vAlign w:val="bottom"/>
          </w:tcPr>
          <w:p w:rsidRPr="00125CFA" w:rsidR="0072145D" w:rsidP="00E50953" w:rsidRDefault="001F48E1" w14:paraId="13BB99FC" w14:textId="43339B76">
            <w:pPr>
              <w:keepNext/>
              <w:keepLines/>
              <w:numPr>
                <w:ilvl w:val="12"/>
                <w:numId w:val="0"/>
              </w:numPr>
              <w:jc w:val="center"/>
              <w:rPr>
                <w:sz w:val="20"/>
                <w:szCs w:val="20"/>
              </w:rPr>
            </w:pPr>
            <w:r w:rsidRPr="001F48E1">
              <w:rPr>
                <w:sz w:val="20"/>
                <w:szCs w:val="20"/>
              </w:rPr>
              <w:t>§1.671-5</w:t>
            </w:r>
          </w:p>
        </w:tc>
        <w:tc>
          <w:tcPr>
            <w:tcW w:w="1916" w:type="dxa"/>
            <w:vAlign w:val="bottom"/>
          </w:tcPr>
          <w:p w:rsidRPr="00125CFA" w:rsidR="0072145D" w:rsidP="00E50953" w:rsidRDefault="001F48E1" w14:paraId="1F0F1039" w14:textId="7F3F3A11">
            <w:pPr>
              <w:keepNext/>
              <w:keepLines/>
              <w:numPr>
                <w:ilvl w:val="12"/>
                <w:numId w:val="0"/>
              </w:numPr>
              <w:jc w:val="center"/>
              <w:rPr>
                <w:sz w:val="20"/>
                <w:szCs w:val="20"/>
              </w:rPr>
            </w:pPr>
            <w:r>
              <w:rPr>
                <w:sz w:val="20"/>
                <w:szCs w:val="20"/>
              </w:rPr>
              <w:t>Treasury Decision 9308</w:t>
            </w:r>
          </w:p>
        </w:tc>
        <w:tc>
          <w:tcPr>
            <w:tcW w:w="1170" w:type="dxa"/>
            <w:vAlign w:val="bottom"/>
          </w:tcPr>
          <w:p w:rsidRPr="00BF7307" w:rsidR="0072145D" w:rsidP="00E50953" w:rsidRDefault="001F48E1" w14:paraId="1FEE0C9D" w14:textId="29EE9901">
            <w:pPr>
              <w:keepNext/>
              <w:keepLines/>
              <w:numPr>
                <w:ilvl w:val="12"/>
                <w:numId w:val="0"/>
              </w:numPr>
              <w:jc w:val="center"/>
              <w:rPr>
                <w:sz w:val="20"/>
                <w:szCs w:val="20"/>
              </w:rPr>
            </w:pPr>
            <w:r w:rsidRPr="00BF7307">
              <w:rPr>
                <w:sz w:val="20"/>
                <w:szCs w:val="20"/>
              </w:rPr>
              <w:t>1,200</w:t>
            </w:r>
          </w:p>
        </w:tc>
        <w:tc>
          <w:tcPr>
            <w:tcW w:w="1170" w:type="dxa"/>
            <w:vAlign w:val="bottom"/>
          </w:tcPr>
          <w:p w:rsidRPr="00125CFA" w:rsidR="0072145D" w:rsidP="00E50953" w:rsidRDefault="00BF7307" w14:paraId="0A669577" w14:textId="1F2DD053">
            <w:pPr>
              <w:keepNext/>
              <w:keepLines/>
              <w:numPr>
                <w:ilvl w:val="12"/>
                <w:numId w:val="0"/>
              </w:numPr>
              <w:jc w:val="center"/>
              <w:rPr>
                <w:sz w:val="20"/>
                <w:szCs w:val="20"/>
              </w:rPr>
            </w:pPr>
            <w:r>
              <w:rPr>
                <w:sz w:val="20"/>
                <w:szCs w:val="20"/>
              </w:rPr>
              <w:t>1</w:t>
            </w:r>
          </w:p>
        </w:tc>
        <w:tc>
          <w:tcPr>
            <w:tcW w:w="1080" w:type="dxa"/>
            <w:shd w:val="clear" w:color="auto" w:fill="auto"/>
            <w:vAlign w:val="bottom"/>
          </w:tcPr>
          <w:p w:rsidRPr="00125CFA" w:rsidR="0072145D" w:rsidP="00E50953" w:rsidRDefault="00BF7307" w14:paraId="1C80B313" w14:textId="739A4761">
            <w:pPr>
              <w:keepNext/>
              <w:keepLines/>
              <w:numPr>
                <w:ilvl w:val="12"/>
                <w:numId w:val="0"/>
              </w:numPr>
              <w:jc w:val="center"/>
              <w:rPr>
                <w:sz w:val="20"/>
                <w:szCs w:val="20"/>
              </w:rPr>
            </w:pPr>
            <w:r>
              <w:rPr>
                <w:sz w:val="20"/>
                <w:szCs w:val="20"/>
              </w:rPr>
              <w:t>1,200</w:t>
            </w:r>
          </w:p>
        </w:tc>
        <w:tc>
          <w:tcPr>
            <w:tcW w:w="1170" w:type="dxa"/>
            <w:vAlign w:val="bottom"/>
          </w:tcPr>
          <w:p w:rsidRPr="00125CFA" w:rsidR="0072145D" w:rsidP="00E50953" w:rsidRDefault="00BF7307" w14:paraId="1062A643" w14:textId="3F5163B9">
            <w:pPr>
              <w:keepNext/>
              <w:keepLines/>
              <w:numPr>
                <w:ilvl w:val="12"/>
                <w:numId w:val="0"/>
              </w:numPr>
              <w:jc w:val="center"/>
              <w:rPr>
                <w:sz w:val="20"/>
                <w:szCs w:val="20"/>
              </w:rPr>
            </w:pPr>
            <w:r>
              <w:rPr>
                <w:sz w:val="20"/>
                <w:szCs w:val="20"/>
              </w:rPr>
              <w:t>2</w:t>
            </w:r>
          </w:p>
        </w:tc>
        <w:tc>
          <w:tcPr>
            <w:tcW w:w="1170" w:type="dxa"/>
            <w:shd w:val="clear" w:color="auto" w:fill="auto"/>
            <w:vAlign w:val="bottom"/>
          </w:tcPr>
          <w:p w:rsidRPr="00125CFA" w:rsidR="0072145D" w:rsidP="00E50953" w:rsidRDefault="00BF7307" w14:paraId="33912152" w14:textId="0D76884A">
            <w:pPr>
              <w:keepNext/>
              <w:keepLines/>
              <w:numPr>
                <w:ilvl w:val="12"/>
                <w:numId w:val="0"/>
              </w:numPr>
              <w:jc w:val="center"/>
              <w:rPr>
                <w:sz w:val="20"/>
                <w:szCs w:val="20"/>
                <w:highlight w:val="yellow"/>
              </w:rPr>
            </w:pPr>
            <w:r w:rsidRPr="00BF7307">
              <w:rPr>
                <w:sz w:val="20"/>
                <w:szCs w:val="20"/>
              </w:rPr>
              <w:t>2,400</w:t>
            </w:r>
          </w:p>
        </w:tc>
      </w:tr>
      <w:tr w:rsidRPr="00125CFA" w:rsidR="0072145D" w:rsidTr="00E50953" w14:paraId="6519517B" w14:textId="77777777">
        <w:tc>
          <w:tcPr>
            <w:tcW w:w="1258" w:type="dxa"/>
            <w:shd w:val="clear" w:color="auto" w:fill="auto"/>
            <w:vAlign w:val="bottom"/>
          </w:tcPr>
          <w:p w:rsidRPr="00125CFA" w:rsidR="0072145D" w:rsidP="00E50953" w:rsidRDefault="0072145D" w14:paraId="6F4FD797" w14:textId="77777777">
            <w:pPr>
              <w:keepNext/>
              <w:keepLines/>
              <w:numPr>
                <w:ilvl w:val="12"/>
                <w:numId w:val="0"/>
              </w:numPr>
              <w:jc w:val="center"/>
              <w:rPr>
                <w:sz w:val="20"/>
                <w:szCs w:val="20"/>
              </w:rPr>
            </w:pPr>
            <w:r w:rsidRPr="00125CFA">
              <w:rPr>
                <w:sz w:val="20"/>
                <w:szCs w:val="20"/>
              </w:rPr>
              <w:t>Totals</w:t>
            </w:r>
          </w:p>
        </w:tc>
        <w:tc>
          <w:tcPr>
            <w:tcW w:w="1916" w:type="dxa"/>
            <w:vAlign w:val="bottom"/>
          </w:tcPr>
          <w:p w:rsidRPr="00125CFA" w:rsidR="0072145D" w:rsidP="00E50953" w:rsidRDefault="0072145D" w14:paraId="650EA8E0" w14:textId="77777777">
            <w:pPr>
              <w:keepNext/>
              <w:keepLines/>
              <w:numPr>
                <w:ilvl w:val="12"/>
                <w:numId w:val="0"/>
              </w:numPr>
              <w:jc w:val="center"/>
              <w:rPr>
                <w:sz w:val="20"/>
                <w:szCs w:val="20"/>
              </w:rPr>
            </w:pPr>
          </w:p>
        </w:tc>
        <w:tc>
          <w:tcPr>
            <w:tcW w:w="1170" w:type="dxa"/>
            <w:vAlign w:val="bottom"/>
          </w:tcPr>
          <w:p w:rsidRPr="00125CFA" w:rsidR="0072145D" w:rsidP="00E50953" w:rsidRDefault="00BF7307" w14:paraId="7E717E4D" w14:textId="0D8D9EBF">
            <w:pPr>
              <w:keepNext/>
              <w:keepLines/>
              <w:numPr>
                <w:ilvl w:val="12"/>
                <w:numId w:val="0"/>
              </w:numPr>
              <w:jc w:val="center"/>
              <w:rPr>
                <w:sz w:val="20"/>
                <w:szCs w:val="20"/>
              </w:rPr>
            </w:pPr>
            <w:r>
              <w:rPr>
                <w:sz w:val="20"/>
                <w:szCs w:val="20"/>
              </w:rPr>
              <w:t>1,200</w:t>
            </w:r>
          </w:p>
        </w:tc>
        <w:tc>
          <w:tcPr>
            <w:tcW w:w="1170" w:type="dxa"/>
            <w:vAlign w:val="bottom"/>
          </w:tcPr>
          <w:p w:rsidRPr="00125CFA" w:rsidR="0072145D" w:rsidP="00E50953" w:rsidRDefault="0011582C" w14:paraId="63074383" w14:textId="2F6EB976">
            <w:pPr>
              <w:keepNext/>
              <w:keepLines/>
              <w:numPr>
                <w:ilvl w:val="12"/>
                <w:numId w:val="0"/>
              </w:numPr>
              <w:jc w:val="center"/>
              <w:rPr>
                <w:sz w:val="20"/>
                <w:szCs w:val="20"/>
              </w:rPr>
            </w:pPr>
            <w:r w:rsidRPr="00125CFA">
              <w:rPr>
                <w:sz w:val="20"/>
                <w:szCs w:val="20"/>
              </w:rPr>
              <w:t>1</w:t>
            </w:r>
          </w:p>
        </w:tc>
        <w:tc>
          <w:tcPr>
            <w:tcW w:w="1080" w:type="dxa"/>
            <w:shd w:val="clear" w:color="auto" w:fill="auto"/>
            <w:vAlign w:val="bottom"/>
          </w:tcPr>
          <w:p w:rsidRPr="00125CFA" w:rsidR="0072145D" w:rsidP="00E50953" w:rsidRDefault="00BF7307" w14:paraId="28B5D607" w14:textId="490E5C12">
            <w:pPr>
              <w:keepNext/>
              <w:keepLines/>
              <w:numPr>
                <w:ilvl w:val="12"/>
                <w:numId w:val="0"/>
              </w:numPr>
              <w:jc w:val="center"/>
              <w:rPr>
                <w:sz w:val="20"/>
                <w:szCs w:val="20"/>
              </w:rPr>
            </w:pPr>
            <w:r>
              <w:rPr>
                <w:sz w:val="20"/>
                <w:szCs w:val="20"/>
              </w:rPr>
              <w:t>1,200</w:t>
            </w:r>
          </w:p>
        </w:tc>
        <w:tc>
          <w:tcPr>
            <w:tcW w:w="1170" w:type="dxa"/>
            <w:vAlign w:val="bottom"/>
          </w:tcPr>
          <w:p w:rsidRPr="00125CFA" w:rsidR="0072145D" w:rsidP="00E50953" w:rsidRDefault="00BF7307" w14:paraId="62E0916C" w14:textId="4CBBBD05">
            <w:pPr>
              <w:keepNext/>
              <w:keepLines/>
              <w:numPr>
                <w:ilvl w:val="12"/>
                <w:numId w:val="0"/>
              </w:numPr>
              <w:jc w:val="center"/>
              <w:rPr>
                <w:sz w:val="20"/>
                <w:szCs w:val="20"/>
              </w:rPr>
            </w:pPr>
            <w:r>
              <w:rPr>
                <w:sz w:val="20"/>
                <w:szCs w:val="20"/>
              </w:rPr>
              <w:t>2</w:t>
            </w:r>
          </w:p>
        </w:tc>
        <w:tc>
          <w:tcPr>
            <w:tcW w:w="1170" w:type="dxa"/>
            <w:shd w:val="clear" w:color="auto" w:fill="auto"/>
            <w:vAlign w:val="bottom"/>
          </w:tcPr>
          <w:p w:rsidRPr="00125CFA" w:rsidR="0072145D" w:rsidP="00E50953" w:rsidRDefault="00BF7307" w14:paraId="5C37D5FE" w14:textId="6D87CC77">
            <w:pPr>
              <w:keepNext/>
              <w:keepLines/>
              <w:numPr>
                <w:ilvl w:val="12"/>
                <w:numId w:val="0"/>
              </w:numPr>
              <w:jc w:val="center"/>
              <w:rPr>
                <w:sz w:val="20"/>
                <w:szCs w:val="20"/>
              </w:rPr>
            </w:pPr>
            <w:r>
              <w:rPr>
                <w:sz w:val="20"/>
                <w:szCs w:val="20"/>
              </w:rPr>
              <w:t>2,400</w:t>
            </w:r>
          </w:p>
        </w:tc>
      </w:tr>
    </w:tbl>
    <w:p w:rsidRPr="00125CFA" w:rsidR="00DB403B" w:rsidP="00375077" w:rsidRDefault="00DB403B" w14:paraId="1757BE38" w14:textId="77777777">
      <w:pPr>
        <w:ind w:left="720"/>
        <w:rPr>
          <w:sz w:val="20"/>
          <w:szCs w:val="20"/>
        </w:rPr>
      </w:pPr>
    </w:p>
    <w:p w:rsidR="00DB403B" w:rsidP="00375077" w:rsidRDefault="00DB403B" w14:paraId="1C29185A" w14:textId="341BB2B6">
      <w:pPr>
        <w:ind w:left="720"/>
        <w:rPr>
          <w:sz w:val="20"/>
          <w:szCs w:val="20"/>
        </w:rPr>
      </w:pPr>
    </w:p>
    <w:p w:rsidR="00A66AD7" w:rsidP="00375077" w:rsidRDefault="00A66AD7" w14:paraId="25A3C144" w14:textId="163A1CAE">
      <w:pPr>
        <w:ind w:left="720"/>
        <w:rPr>
          <w:sz w:val="20"/>
          <w:szCs w:val="20"/>
        </w:rPr>
      </w:pPr>
    </w:p>
    <w:p w:rsidR="00A66AD7" w:rsidP="00375077" w:rsidRDefault="00A66AD7" w14:paraId="4E6B03EB" w14:textId="7A823DDC">
      <w:pPr>
        <w:ind w:left="720"/>
        <w:rPr>
          <w:sz w:val="20"/>
          <w:szCs w:val="20"/>
        </w:rPr>
      </w:pPr>
    </w:p>
    <w:p w:rsidRPr="00125CFA" w:rsidR="00A66AD7" w:rsidP="00375077" w:rsidRDefault="00A66AD7" w14:paraId="718C2BE9" w14:textId="77777777">
      <w:pPr>
        <w:ind w:left="720"/>
        <w:rPr>
          <w:sz w:val="20"/>
          <w:szCs w:val="20"/>
        </w:rPr>
      </w:pPr>
    </w:p>
    <w:p w:rsidRPr="00125CFA" w:rsidR="0015535A" w:rsidP="00E90D20" w:rsidRDefault="0015535A" w14:paraId="6F97FC66" w14:textId="77777777">
      <w:pPr>
        <w:numPr>
          <w:ilvl w:val="0"/>
          <w:numId w:val="2"/>
        </w:numPr>
        <w:rPr>
          <w:sz w:val="22"/>
          <w:szCs w:val="22"/>
        </w:rPr>
      </w:pPr>
      <w:r w:rsidRPr="00125CFA">
        <w:rPr>
          <w:sz w:val="22"/>
          <w:szCs w:val="22"/>
          <w:u w:val="single"/>
        </w:rPr>
        <w:lastRenderedPageBreak/>
        <w:t>ESTIMATED TOTAL ANNUAL COST BURDEN TO RESPONDENTS</w:t>
      </w:r>
    </w:p>
    <w:p w:rsidRPr="00125CFA" w:rsidR="0015535A" w:rsidP="00911FF4" w:rsidRDefault="0015535A" w14:paraId="34BACEBD" w14:textId="77777777">
      <w:pPr>
        <w:rPr>
          <w:sz w:val="22"/>
          <w:szCs w:val="22"/>
        </w:rPr>
      </w:pPr>
    </w:p>
    <w:p w:rsidR="0015535A" w:rsidP="00375077" w:rsidRDefault="00587602" w14:paraId="7D9A01E5" w14:textId="0DBBEFF0">
      <w:pPr>
        <w:ind w:left="720"/>
        <w:rPr>
          <w:sz w:val="22"/>
          <w:szCs w:val="22"/>
        </w:rPr>
      </w:pPr>
      <w:bookmarkStart w:name="_Hlk516578395" w:id="1"/>
      <w:r w:rsidRPr="00125CFA">
        <w:rPr>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Pr="00125CFA" w:rsidR="0015535A" w:rsidP="00911FF4" w:rsidRDefault="0015535A" w14:paraId="1847BB36" w14:textId="77777777">
      <w:pPr>
        <w:rPr>
          <w:sz w:val="22"/>
          <w:szCs w:val="22"/>
        </w:rPr>
      </w:pPr>
    </w:p>
    <w:p w:rsidRPr="00125CFA" w:rsidR="0015535A" w:rsidP="00E90D20" w:rsidRDefault="0015535A" w14:paraId="12E5B467" w14:textId="77777777">
      <w:pPr>
        <w:numPr>
          <w:ilvl w:val="0"/>
          <w:numId w:val="2"/>
        </w:numPr>
        <w:rPr>
          <w:sz w:val="22"/>
          <w:szCs w:val="22"/>
          <w:u w:val="single"/>
        </w:rPr>
      </w:pPr>
      <w:r w:rsidRPr="00125CFA">
        <w:rPr>
          <w:sz w:val="22"/>
          <w:szCs w:val="22"/>
          <w:u w:val="single"/>
        </w:rPr>
        <w:t>ESTIMATED ANNULIZED COST TO THE FEDERAL GOVERNMENT</w:t>
      </w:r>
    </w:p>
    <w:p w:rsidRPr="00125CFA" w:rsidR="0015535A" w:rsidP="00911FF4" w:rsidRDefault="0015535A" w14:paraId="11468639" w14:textId="77777777">
      <w:pPr>
        <w:rPr>
          <w:sz w:val="22"/>
          <w:szCs w:val="22"/>
          <w:u w:val="single"/>
        </w:rPr>
      </w:pPr>
    </w:p>
    <w:p w:rsidRPr="00125CFA" w:rsidR="0015535A" w:rsidP="00587602" w:rsidRDefault="00587602" w14:paraId="5997F207" w14:textId="77777777">
      <w:pPr>
        <w:ind w:left="720"/>
        <w:rPr>
          <w:sz w:val="22"/>
          <w:szCs w:val="22"/>
        </w:rPr>
      </w:pPr>
      <w:r w:rsidRPr="00125CFA">
        <w:rPr>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125CFA" w:rsidR="00587602" w:rsidP="00587602" w:rsidRDefault="00587602" w14:paraId="352CCEA9" w14:textId="77777777">
      <w:pPr>
        <w:ind w:left="720"/>
        <w:rPr>
          <w:sz w:val="22"/>
          <w:szCs w:val="22"/>
        </w:rPr>
      </w:pPr>
    </w:p>
    <w:p w:rsidRPr="00125CFA" w:rsidR="0015535A" w:rsidP="00E90D20" w:rsidRDefault="0015535A" w14:paraId="1300F440" w14:textId="77777777">
      <w:pPr>
        <w:numPr>
          <w:ilvl w:val="0"/>
          <w:numId w:val="2"/>
        </w:numPr>
        <w:rPr>
          <w:sz w:val="22"/>
          <w:szCs w:val="22"/>
          <w:u w:val="single"/>
        </w:rPr>
      </w:pPr>
      <w:r w:rsidRPr="00125CFA">
        <w:rPr>
          <w:sz w:val="22"/>
          <w:szCs w:val="22"/>
          <w:u w:val="single"/>
        </w:rPr>
        <w:t>REASONS FOR CHANGE IN BURDEN</w:t>
      </w:r>
    </w:p>
    <w:p w:rsidRPr="00125CFA" w:rsidR="0015535A" w:rsidP="00911FF4" w:rsidRDefault="0015535A" w14:paraId="26A70056" w14:textId="77777777">
      <w:pPr>
        <w:rPr>
          <w:sz w:val="22"/>
          <w:szCs w:val="22"/>
          <w:u w:val="single"/>
        </w:rPr>
      </w:pPr>
    </w:p>
    <w:p w:rsidR="0015535A" w:rsidP="00375077" w:rsidRDefault="00BF7307" w14:paraId="6FC4A8D9" w14:textId="3474CAC0">
      <w:pPr>
        <w:ind w:left="720"/>
        <w:rPr>
          <w:sz w:val="22"/>
          <w:szCs w:val="22"/>
        </w:rPr>
      </w:pPr>
      <w:r w:rsidRPr="00BF7307">
        <w:rPr>
          <w:sz w:val="22"/>
          <w:szCs w:val="22"/>
        </w:rPr>
        <w:t xml:space="preserve">There is no change in the paperwork burden previously approved by OMB.  We are making this submission to renew the OMB approval.      </w:t>
      </w:r>
      <w:r w:rsidR="00125CFA">
        <w:rPr>
          <w:sz w:val="22"/>
          <w:szCs w:val="22"/>
        </w:rPr>
        <w:t xml:space="preserve"> </w:t>
      </w:r>
    </w:p>
    <w:p w:rsidR="00125CFA" w:rsidP="00375077" w:rsidRDefault="00125CFA" w14:paraId="2C097652" w14:textId="020CEF5A">
      <w:pPr>
        <w:ind w:left="720"/>
        <w:rPr>
          <w:sz w:val="22"/>
          <w:szCs w:val="22"/>
        </w:rPr>
      </w:pPr>
    </w:p>
    <w:tbl>
      <w:tblPr>
        <w:tblW w:w="4373"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165"/>
        <w:gridCol w:w="932"/>
        <w:gridCol w:w="1402"/>
        <w:gridCol w:w="1272"/>
        <w:gridCol w:w="1402"/>
        <w:gridCol w:w="1013"/>
        <w:gridCol w:w="986"/>
        <w:tblGridChange w:id="2">
          <w:tblGrid>
            <w:gridCol w:w="1165"/>
            <w:gridCol w:w="932"/>
            <w:gridCol w:w="1402"/>
            <w:gridCol w:w="1272"/>
            <w:gridCol w:w="1402"/>
            <w:gridCol w:w="1013"/>
            <w:gridCol w:w="986"/>
          </w:tblGrid>
        </w:tblGridChange>
      </w:tblGrid>
      <w:tr w:rsidRPr="00F82368" w:rsidR="001D2CEF" w:rsidTr="001D2CEF" w14:paraId="6F2C922F" w14:textId="77777777">
        <w:tc>
          <w:tcPr>
            <w:tcW w:w="712" w:type="pct"/>
            <w:tcBorders>
              <w:top w:val="outset" w:color="auto" w:sz="6" w:space="0"/>
              <w:left w:val="outset" w:color="auto" w:sz="6" w:space="0"/>
              <w:bottom w:val="outset" w:color="auto" w:sz="6" w:space="0"/>
              <w:right w:val="outset" w:color="auto" w:sz="6" w:space="0"/>
            </w:tcBorders>
            <w:vAlign w:val="center"/>
            <w:hideMark/>
          </w:tcPr>
          <w:p w:rsidRPr="00F82368" w:rsidR="00125CFA" w:rsidP="0044047D" w:rsidRDefault="00125CFA" w14:paraId="2BCEF1D5"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 </w:t>
            </w:r>
          </w:p>
        </w:tc>
        <w:tc>
          <w:tcPr>
            <w:tcW w:w="570" w:type="pct"/>
            <w:tcBorders>
              <w:top w:val="outset" w:color="auto" w:sz="6" w:space="0"/>
              <w:left w:val="outset" w:color="auto" w:sz="6" w:space="0"/>
              <w:bottom w:val="outset" w:color="auto" w:sz="6" w:space="0"/>
              <w:right w:val="outset" w:color="auto" w:sz="6" w:space="0"/>
            </w:tcBorders>
            <w:vAlign w:val="center"/>
            <w:hideMark/>
          </w:tcPr>
          <w:p w:rsidRPr="00F82368" w:rsidR="00125CFA" w:rsidP="0044047D" w:rsidRDefault="00125CFA" w14:paraId="3D20536B"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Requested</w:t>
            </w:r>
          </w:p>
        </w:tc>
        <w:tc>
          <w:tcPr>
            <w:tcW w:w="858" w:type="pct"/>
            <w:tcBorders>
              <w:top w:val="outset" w:color="auto" w:sz="6" w:space="0"/>
              <w:left w:val="outset" w:color="auto" w:sz="6" w:space="0"/>
              <w:bottom w:val="outset" w:color="auto" w:sz="6" w:space="0"/>
              <w:right w:val="outset" w:color="auto" w:sz="6" w:space="0"/>
            </w:tcBorders>
            <w:vAlign w:val="center"/>
            <w:hideMark/>
          </w:tcPr>
          <w:p w:rsidRPr="00F82368" w:rsidR="00125CFA" w:rsidP="0044047D" w:rsidRDefault="00125CFA" w14:paraId="1C2CFDF3"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Program Change Due to New Statute</w:t>
            </w:r>
          </w:p>
        </w:tc>
        <w:tc>
          <w:tcPr>
            <w:tcW w:w="778" w:type="pct"/>
            <w:tcBorders>
              <w:top w:val="outset" w:color="auto" w:sz="6" w:space="0"/>
              <w:left w:val="outset" w:color="auto" w:sz="6" w:space="0"/>
              <w:bottom w:val="outset" w:color="auto" w:sz="6" w:space="0"/>
              <w:right w:val="outset" w:color="auto" w:sz="6" w:space="0"/>
            </w:tcBorders>
            <w:vAlign w:val="center"/>
            <w:hideMark/>
          </w:tcPr>
          <w:p w:rsidRPr="00F82368" w:rsidR="00125CFA" w:rsidP="0044047D" w:rsidRDefault="00125CFA" w14:paraId="05171119"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Program Change Due to Agency Discretion</w:t>
            </w:r>
          </w:p>
        </w:tc>
        <w:tc>
          <w:tcPr>
            <w:tcW w:w="858" w:type="pct"/>
            <w:tcBorders>
              <w:top w:val="outset" w:color="auto" w:sz="6" w:space="0"/>
              <w:left w:val="outset" w:color="auto" w:sz="6" w:space="0"/>
              <w:bottom w:val="outset" w:color="auto" w:sz="6" w:space="0"/>
              <w:right w:val="outset" w:color="auto" w:sz="6" w:space="0"/>
            </w:tcBorders>
            <w:vAlign w:val="center"/>
            <w:hideMark/>
          </w:tcPr>
          <w:p w:rsidRPr="00F82368" w:rsidR="00125CFA" w:rsidP="0044047D" w:rsidRDefault="00125CFA" w14:paraId="60F799F0"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Change Due to Adjustment in Agency Estimate</w:t>
            </w:r>
          </w:p>
        </w:tc>
        <w:tc>
          <w:tcPr>
            <w:tcW w:w="620" w:type="pct"/>
            <w:tcBorders>
              <w:top w:val="outset" w:color="auto" w:sz="6" w:space="0"/>
              <w:left w:val="outset" w:color="auto" w:sz="6" w:space="0"/>
              <w:bottom w:val="outset" w:color="auto" w:sz="6" w:space="0"/>
              <w:right w:val="outset" w:color="auto" w:sz="6" w:space="0"/>
            </w:tcBorders>
            <w:vAlign w:val="center"/>
            <w:hideMark/>
          </w:tcPr>
          <w:p w:rsidRPr="00F82368" w:rsidR="00125CFA" w:rsidP="0044047D" w:rsidRDefault="00125CFA" w14:paraId="15D96C53"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Change Due to Potential Violation of the PRA</w:t>
            </w:r>
          </w:p>
        </w:tc>
        <w:tc>
          <w:tcPr>
            <w:tcW w:w="603" w:type="pct"/>
            <w:tcBorders>
              <w:top w:val="outset" w:color="auto" w:sz="6" w:space="0"/>
              <w:left w:val="outset" w:color="auto" w:sz="6" w:space="0"/>
              <w:bottom w:val="outset" w:color="auto" w:sz="6" w:space="0"/>
              <w:right w:val="outset" w:color="auto" w:sz="6" w:space="0"/>
            </w:tcBorders>
            <w:vAlign w:val="center"/>
            <w:hideMark/>
          </w:tcPr>
          <w:p w:rsidRPr="00F82368" w:rsidR="00125CFA" w:rsidP="0044047D" w:rsidRDefault="00125CFA" w14:paraId="511D615A"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Previously Approved</w:t>
            </w:r>
          </w:p>
        </w:tc>
      </w:tr>
      <w:tr w:rsidRPr="00F82368" w:rsidR="001D2CEF" w:rsidTr="001D2CEF" w14:paraId="20AADD19" w14:textId="77777777">
        <w:tc>
          <w:tcPr>
            <w:tcW w:w="712" w:type="pct"/>
            <w:tcBorders>
              <w:top w:val="outset" w:color="auto" w:sz="6" w:space="0"/>
              <w:left w:val="outset" w:color="auto" w:sz="6" w:space="0"/>
              <w:bottom w:val="outset" w:color="auto" w:sz="6" w:space="0"/>
              <w:right w:val="outset" w:color="auto" w:sz="6" w:space="0"/>
            </w:tcBorders>
            <w:hideMark/>
          </w:tcPr>
          <w:p w:rsidRPr="00F82368" w:rsidR="00125CFA" w:rsidP="0044047D" w:rsidRDefault="00125CFA" w14:paraId="1BF102C6" w14:textId="77777777">
            <w:pPr>
              <w:rPr>
                <w:rFonts w:ascii="Arial Narrow" w:hAnsi="Arial Narrow" w:cs="Arial"/>
                <w:color w:val="000000"/>
                <w:sz w:val="18"/>
                <w:szCs w:val="18"/>
              </w:rPr>
            </w:pPr>
            <w:r w:rsidRPr="00F82368">
              <w:rPr>
                <w:rFonts w:ascii="Arial Narrow" w:hAnsi="Arial Narrow" w:cs="Arial"/>
                <w:color w:val="000000"/>
                <w:sz w:val="18"/>
                <w:szCs w:val="18"/>
              </w:rPr>
              <w:t>Annual Number of Responses for this IC</w:t>
            </w:r>
          </w:p>
        </w:tc>
        <w:tc>
          <w:tcPr>
            <w:tcW w:w="570"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08041669" w14:textId="62AE55FB">
            <w:pPr>
              <w:rPr>
                <w:rFonts w:ascii="Arial Narrow" w:hAnsi="Arial Narrow" w:cs="Arial"/>
                <w:color w:val="000000"/>
                <w:sz w:val="18"/>
                <w:szCs w:val="18"/>
              </w:rPr>
            </w:pPr>
            <w:r>
              <w:rPr>
                <w:rFonts w:ascii="Arial Narrow" w:hAnsi="Arial Narrow" w:cs="Arial"/>
                <w:color w:val="000000"/>
                <w:sz w:val="18"/>
                <w:szCs w:val="18"/>
              </w:rPr>
              <w:t>1,200</w:t>
            </w:r>
          </w:p>
        </w:tc>
        <w:tc>
          <w:tcPr>
            <w:tcW w:w="858"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1FDC81A1" w14:textId="5804AAC7">
            <w:pPr>
              <w:rPr>
                <w:rFonts w:ascii="Arial Narrow" w:hAnsi="Arial Narrow" w:cs="Arial"/>
                <w:color w:val="000000"/>
                <w:sz w:val="18"/>
                <w:szCs w:val="18"/>
              </w:rPr>
            </w:pPr>
            <w:r>
              <w:rPr>
                <w:rFonts w:ascii="Arial Narrow" w:hAnsi="Arial Narrow" w:cs="Arial"/>
                <w:color w:val="000000"/>
                <w:sz w:val="18"/>
                <w:szCs w:val="18"/>
              </w:rPr>
              <w:t>0</w:t>
            </w:r>
          </w:p>
        </w:tc>
        <w:tc>
          <w:tcPr>
            <w:tcW w:w="778"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6965BBE7" w14:textId="46187E9E">
            <w:pPr>
              <w:rPr>
                <w:rFonts w:ascii="Arial Narrow" w:hAnsi="Arial Narrow" w:cs="Arial"/>
                <w:color w:val="000000"/>
                <w:sz w:val="18"/>
                <w:szCs w:val="18"/>
              </w:rPr>
            </w:pPr>
            <w:r>
              <w:rPr>
                <w:rFonts w:ascii="Arial Narrow" w:hAnsi="Arial Narrow" w:cs="Arial"/>
                <w:color w:val="000000"/>
                <w:sz w:val="18"/>
                <w:szCs w:val="18"/>
              </w:rPr>
              <w:t>0</w:t>
            </w:r>
          </w:p>
        </w:tc>
        <w:tc>
          <w:tcPr>
            <w:tcW w:w="858"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7EE67284" w14:textId="34BE4393">
            <w:pPr>
              <w:rPr>
                <w:rFonts w:ascii="Arial Narrow" w:hAnsi="Arial Narrow" w:cs="Arial"/>
                <w:color w:val="000000"/>
                <w:sz w:val="18"/>
                <w:szCs w:val="18"/>
              </w:rPr>
            </w:pPr>
            <w:r>
              <w:rPr>
                <w:rFonts w:ascii="Arial Narrow" w:hAnsi="Arial Narrow" w:cs="Arial"/>
                <w:color w:val="000000"/>
                <w:sz w:val="18"/>
                <w:szCs w:val="18"/>
              </w:rPr>
              <w:t>0</w:t>
            </w:r>
          </w:p>
        </w:tc>
        <w:tc>
          <w:tcPr>
            <w:tcW w:w="620"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69C43DD8" w14:textId="02331F85">
            <w:pPr>
              <w:rPr>
                <w:rFonts w:ascii="Arial Narrow" w:hAnsi="Arial Narrow" w:cs="Arial"/>
                <w:color w:val="000000"/>
                <w:sz w:val="18"/>
                <w:szCs w:val="18"/>
              </w:rPr>
            </w:pPr>
            <w:r>
              <w:rPr>
                <w:rFonts w:ascii="Arial Narrow" w:hAnsi="Arial Narrow" w:cs="Arial"/>
                <w:color w:val="000000"/>
                <w:sz w:val="18"/>
                <w:szCs w:val="18"/>
              </w:rPr>
              <w:t>0</w:t>
            </w:r>
          </w:p>
        </w:tc>
        <w:tc>
          <w:tcPr>
            <w:tcW w:w="603"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2885661B" w14:textId="116D0D72">
            <w:pPr>
              <w:rPr>
                <w:rFonts w:ascii="Arial Narrow" w:hAnsi="Arial Narrow" w:cs="Arial"/>
                <w:color w:val="000000"/>
                <w:sz w:val="18"/>
                <w:szCs w:val="18"/>
              </w:rPr>
            </w:pPr>
            <w:r>
              <w:rPr>
                <w:rFonts w:ascii="Arial Narrow" w:hAnsi="Arial Narrow" w:cs="Arial"/>
                <w:color w:val="000000"/>
                <w:sz w:val="18"/>
                <w:szCs w:val="18"/>
              </w:rPr>
              <w:t>1,200</w:t>
            </w:r>
          </w:p>
        </w:tc>
      </w:tr>
      <w:tr w:rsidRPr="00F82368" w:rsidR="001D2CEF" w:rsidTr="001D2CEF" w14:paraId="609DDEAD" w14:textId="77777777">
        <w:tc>
          <w:tcPr>
            <w:tcW w:w="712" w:type="pct"/>
            <w:tcBorders>
              <w:top w:val="outset" w:color="auto" w:sz="6" w:space="0"/>
              <w:left w:val="outset" w:color="auto" w:sz="6" w:space="0"/>
              <w:bottom w:val="outset" w:color="auto" w:sz="6" w:space="0"/>
              <w:right w:val="outset" w:color="auto" w:sz="6" w:space="0"/>
            </w:tcBorders>
            <w:hideMark/>
          </w:tcPr>
          <w:p w:rsidRPr="00F82368" w:rsidR="00125CFA" w:rsidP="0044047D" w:rsidRDefault="00125CFA" w14:paraId="55F0BFE7" w14:textId="77777777">
            <w:pPr>
              <w:rPr>
                <w:rFonts w:ascii="Arial Narrow" w:hAnsi="Arial Narrow" w:cs="Arial"/>
                <w:color w:val="000000"/>
                <w:sz w:val="18"/>
                <w:szCs w:val="18"/>
              </w:rPr>
            </w:pPr>
            <w:r w:rsidRPr="00F82368">
              <w:rPr>
                <w:rFonts w:ascii="Arial Narrow" w:hAnsi="Arial Narrow" w:cs="Arial"/>
                <w:color w:val="000000"/>
                <w:sz w:val="18"/>
                <w:szCs w:val="18"/>
              </w:rPr>
              <w:t>Annual IC Time Burden (Hours)</w:t>
            </w:r>
          </w:p>
        </w:tc>
        <w:tc>
          <w:tcPr>
            <w:tcW w:w="570"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0FFEE720" w14:textId="5692E41A">
            <w:pPr>
              <w:rPr>
                <w:rFonts w:ascii="Arial Narrow" w:hAnsi="Arial Narrow" w:cs="Arial"/>
                <w:color w:val="000000"/>
                <w:sz w:val="18"/>
                <w:szCs w:val="18"/>
              </w:rPr>
            </w:pPr>
            <w:r>
              <w:rPr>
                <w:rFonts w:ascii="Arial Narrow" w:hAnsi="Arial Narrow" w:cs="Arial"/>
                <w:color w:val="000000"/>
                <w:sz w:val="18"/>
                <w:szCs w:val="18"/>
              </w:rPr>
              <w:t>2,400</w:t>
            </w:r>
          </w:p>
        </w:tc>
        <w:tc>
          <w:tcPr>
            <w:tcW w:w="858"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40F560CF" w14:textId="7E4CDEDF">
            <w:pPr>
              <w:rPr>
                <w:rFonts w:ascii="Arial Narrow" w:hAnsi="Arial Narrow" w:cs="Arial"/>
                <w:color w:val="000000"/>
                <w:sz w:val="18"/>
                <w:szCs w:val="18"/>
              </w:rPr>
            </w:pPr>
            <w:r>
              <w:rPr>
                <w:rFonts w:ascii="Arial Narrow" w:hAnsi="Arial Narrow" w:cs="Arial"/>
                <w:color w:val="000000"/>
                <w:sz w:val="18"/>
                <w:szCs w:val="18"/>
              </w:rPr>
              <w:t>0</w:t>
            </w:r>
          </w:p>
        </w:tc>
        <w:tc>
          <w:tcPr>
            <w:tcW w:w="778"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208FC928" w14:textId="660EFBA3">
            <w:pPr>
              <w:rPr>
                <w:rFonts w:ascii="Arial Narrow" w:hAnsi="Arial Narrow" w:cs="Arial"/>
                <w:color w:val="000000"/>
                <w:sz w:val="18"/>
                <w:szCs w:val="18"/>
              </w:rPr>
            </w:pPr>
            <w:r>
              <w:rPr>
                <w:rFonts w:ascii="Arial Narrow" w:hAnsi="Arial Narrow" w:cs="Arial"/>
                <w:color w:val="000000"/>
                <w:sz w:val="18"/>
                <w:szCs w:val="18"/>
              </w:rPr>
              <w:t>0</w:t>
            </w:r>
          </w:p>
        </w:tc>
        <w:tc>
          <w:tcPr>
            <w:tcW w:w="858"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4724C2D8" w14:textId="67D878E6">
            <w:pPr>
              <w:rPr>
                <w:rFonts w:ascii="Arial Narrow" w:hAnsi="Arial Narrow" w:cs="Arial"/>
                <w:color w:val="000000"/>
                <w:sz w:val="18"/>
                <w:szCs w:val="18"/>
              </w:rPr>
            </w:pPr>
            <w:r>
              <w:rPr>
                <w:rFonts w:ascii="Arial Narrow" w:hAnsi="Arial Narrow" w:cs="Arial"/>
                <w:color w:val="000000"/>
                <w:sz w:val="18"/>
                <w:szCs w:val="18"/>
              </w:rPr>
              <w:t>0</w:t>
            </w:r>
          </w:p>
        </w:tc>
        <w:tc>
          <w:tcPr>
            <w:tcW w:w="620"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6853C4F6" w14:textId="76A303D7">
            <w:pPr>
              <w:rPr>
                <w:rFonts w:ascii="Arial Narrow" w:hAnsi="Arial Narrow" w:cs="Arial"/>
                <w:color w:val="000000"/>
                <w:sz w:val="18"/>
                <w:szCs w:val="18"/>
              </w:rPr>
            </w:pPr>
            <w:r>
              <w:rPr>
                <w:rFonts w:ascii="Arial Narrow" w:hAnsi="Arial Narrow" w:cs="Arial"/>
                <w:color w:val="000000"/>
                <w:sz w:val="18"/>
                <w:szCs w:val="18"/>
              </w:rPr>
              <w:t>0</w:t>
            </w:r>
          </w:p>
        </w:tc>
        <w:tc>
          <w:tcPr>
            <w:tcW w:w="603" w:type="pct"/>
            <w:tcBorders>
              <w:top w:val="outset" w:color="auto" w:sz="6" w:space="0"/>
              <w:left w:val="outset" w:color="auto" w:sz="6" w:space="0"/>
              <w:bottom w:val="outset" w:color="auto" w:sz="6" w:space="0"/>
              <w:right w:val="outset" w:color="auto" w:sz="6" w:space="0"/>
            </w:tcBorders>
          </w:tcPr>
          <w:p w:rsidRPr="00F82368" w:rsidR="00125CFA" w:rsidP="0044047D" w:rsidRDefault="00674E25" w14:paraId="70B8122B" w14:textId="6C60C8CF">
            <w:pPr>
              <w:rPr>
                <w:rFonts w:ascii="Arial Narrow" w:hAnsi="Arial Narrow" w:cs="Arial"/>
                <w:color w:val="000000"/>
                <w:sz w:val="18"/>
                <w:szCs w:val="18"/>
              </w:rPr>
            </w:pPr>
            <w:r>
              <w:rPr>
                <w:rFonts w:ascii="Arial Narrow" w:hAnsi="Arial Narrow" w:cs="Arial"/>
                <w:color w:val="000000"/>
                <w:sz w:val="18"/>
                <w:szCs w:val="18"/>
              </w:rPr>
              <w:t>2,400</w:t>
            </w:r>
          </w:p>
        </w:tc>
      </w:tr>
    </w:tbl>
    <w:p w:rsidRPr="00125CFA" w:rsidR="00125CFA" w:rsidP="00375077" w:rsidRDefault="00125CFA" w14:paraId="4546EEB7" w14:textId="77777777">
      <w:pPr>
        <w:ind w:left="720"/>
        <w:rPr>
          <w:sz w:val="22"/>
          <w:szCs w:val="22"/>
        </w:rPr>
      </w:pPr>
    </w:p>
    <w:p w:rsidRPr="00125CFA" w:rsidR="0015535A" w:rsidP="00911FF4" w:rsidRDefault="00125CFA" w14:paraId="668E8337" w14:textId="2E6825DB">
      <w:pPr>
        <w:rPr>
          <w:sz w:val="22"/>
          <w:szCs w:val="22"/>
        </w:rPr>
      </w:pPr>
      <w:r>
        <w:rPr>
          <w:sz w:val="22"/>
          <w:szCs w:val="22"/>
        </w:rPr>
        <w:t xml:space="preserve"> </w:t>
      </w:r>
    </w:p>
    <w:p w:rsidRPr="00125CFA" w:rsidR="0015535A" w:rsidP="00E90D20" w:rsidRDefault="0015535A" w14:paraId="044CD4E3" w14:textId="77777777">
      <w:pPr>
        <w:numPr>
          <w:ilvl w:val="0"/>
          <w:numId w:val="2"/>
        </w:numPr>
        <w:rPr>
          <w:sz w:val="22"/>
          <w:szCs w:val="22"/>
          <w:u w:val="single"/>
        </w:rPr>
      </w:pPr>
      <w:r w:rsidRPr="00125CFA">
        <w:rPr>
          <w:sz w:val="22"/>
          <w:szCs w:val="22"/>
          <w:u w:val="single"/>
        </w:rPr>
        <w:t>PLANS FOR TABULATION, STATISTICAL ANALYSIS AND PUBLICATION</w:t>
      </w:r>
    </w:p>
    <w:p w:rsidRPr="00125CFA" w:rsidR="0015535A" w:rsidP="00911FF4" w:rsidRDefault="0015535A" w14:paraId="128FBE44" w14:textId="77777777">
      <w:pPr>
        <w:rPr>
          <w:sz w:val="22"/>
          <w:szCs w:val="22"/>
          <w:u w:val="single"/>
        </w:rPr>
      </w:pPr>
    </w:p>
    <w:p w:rsidRPr="00125CFA" w:rsidR="0015535A" w:rsidP="00375077" w:rsidRDefault="007C2333" w14:paraId="2F82FA37" w14:textId="20315B4A">
      <w:pPr>
        <w:ind w:left="720"/>
        <w:rPr>
          <w:sz w:val="22"/>
          <w:szCs w:val="22"/>
        </w:rPr>
      </w:pPr>
      <w:r w:rsidRPr="00125CFA">
        <w:rPr>
          <w:sz w:val="22"/>
          <w:szCs w:val="22"/>
        </w:rPr>
        <w:t>There are no plans for tabulation, statistical analysis</w:t>
      </w:r>
      <w:r w:rsidRPr="00125CFA" w:rsidR="0011582C">
        <w:rPr>
          <w:sz w:val="22"/>
          <w:szCs w:val="22"/>
        </w:rPr>
        <w:t>,</w:t>
      </w:r>
      <w:r w:rsidRPr="00125CFA">
        <w:rPr>
          <w:sz w:val="22"/>
          <w:szCs w:val="22"/>
        </w:rPr>
        <w:t xml:space="preserve"> and publication</w:t>
      </w:r>
      <w:r w:rsidRPr="00125CFA" w:rsidR="0015535A">
        <w:rPr>
          <w:sz w:val="22"/>
          <w:szCs w:val="22"/>
        </w:rPr>
        <w:t>.</w:t>
      </w:r>
    </w:p>
    <w:p w:rsidRPr="00125CFA" w:rsidR="0015535A" w:rsidP="00911FF4" w:rsidRDefault="0015535A" w14:paraId="4EC5DCB5" w14:textId="77777777">
      <w:pPr>
        <w:rPr>
          <w:sz w:val="22"/>
          <w:szCs w:val="22"/>
        </w:rPr>
      </w:pPr>
    </w:p>
    <w:p w:rsidRPr="00125CFA" w:rsidR="0015535A" w:rsidP="00E90D20" w:rsidRDefault="00DF6E81" w14:paraId="17B0E599" w14:textId="77777777">
      <w:pPr>
        <w:numPr>
          <w:ilvl w:val="0"/>
          <w:numId w:val="2"/>
        </w:numPr>
        <w:rPr>
          <w:sz w:val="22"/>
          <w:szCs w:val="22"/>
          <w:u w:val="single"/>
        </w:rPr>
      </w:pPr>
      <w:r w:rsidRPr="00125CFA">
        <w:rPr>
          <w:sz w:val="22"/>
          <w:szCs w:val="22"/>
          <w:u w:val="single"/>
        </w:rPr>
        <w:t>REASONS WHY DISPLAYING THE OMB EXPIRATION DATE IS IN APPROPRIATE</w:t>
      </w:r>
    </w:p>
    <w:p w:rsidRPr="00125CFA" w:rsidR="00DF6E81" w:rsidP="00911FF4" w:rsidRDefault="00DF6E81" w14:paraId="7864C9E3" w14:textId="77777777">
      <w:pPr>
        <w:rPr>
          <w:sz w:val="22"/>
          <w:szCs w:val="22"/>
          <w:u w:val="single"/>
        </w:rPr>
      </w:pPr>
    </w:p>
    <w:p w:rsidRPr="00125CFA" w:rsidR="00DF6E81" w:rsidP="00375077" w:rsidRDefault="005234DA" w14:paraId="4DA20938" w14:textId="51FDE74D">
      <w:pPr>
        <w:ind w:left="720"/>
        <w:rPr>
          <w:sz w:val="22"/>
          <w:szCs w:val="22"/>
        </w:rPr>
      </w:pPr>
      <w:r w:rsidRPr="00125CFA">
        <w:rPr>
          <w:sz w:val="22"/>
          <w:szCs w:val="22"/>
        </w:rPr>
        <w:t xml:space="preserve">IRS </w:t>
      </w:r>
      <w:r w:rsidRPr="00125CFA" w:rsidR="00DF6E81">
        <w:rPr>
          <w:sz w:val="22"/>
          <w:szCs w:val="22"/>
        </w:rPr>
        <w:t>believe</w:t>
      </w:r>
      <w:r w:rsidRPr="00125CFA">
        <w:rPr>
          <w:sz w:val="22"/>
          <w:szCs w:val="22"/>
        </w:rPr>
        <w:t>s</w:t>
      </w:r>
      <w:r w:rsidRPr="00125CFA" w:rsidR="00DF6E81">
        <w:rPr>
          <w:sz w:val="22"/>
          <w:szCs w:val="22"/>
        </w:rPr>
        <w:t xml:space="preserve"> that displaying the OMB expiration date is inappropriate because it could cause confusion by leading taxpayers to believe that the document sunsets as of the expiration date.  Taxpayers are not likely to be aware that the </w:t>
      </w:r>
      <w:r w:rsidR="001D2CEF">
        <w:rPr>
          <w:sz w:val="22"/>
          <w:szCs w:val="22"/>
        </w:rPr>
        <w:t>IRS</w:t>
      </w:r>
      <w:r w:rsidRPr="00125CFA" w:rsidR="00DF6E81">
        <w:rPr>
          <w:sz w:val="22"/>
          <w:szCs w:val="22"/>
        </w:rPr>
        <w:t xml:space="preserve"> intends to request renewal of the OMB approval and obtain a new expiration date before the old one expires.</w:t>
      </w:r>
    </w:p>
    <w:p w:rsidRPr="00125CFA" w:rsidR="00DF6E81" w:rsidP="00911FF4" w:rsidRDefault="00DF6E81" w14:paraId="5C4877A4" w14:textId="77777777">
      <w:pPr>
        <w:rPr>
          <w:sz w:val="22"/>
          <w:szCs w:val="22"/>
        </w:rPr>
      </w:pPr>
    </w:p>
    <w:p w:rsidRPr="00125CFA" w:rsidR="00DF6E81" w:rsidP="00911FF4" w:rsidRDefault="00DF6E81" w14:paraId="6322C7A9" w14:textId="77777777">
      <w:pPr>
        <w:numPr>
          <w:ilvl w:val="0"/>
          <w:numId w:val="2"/>
        </w:numPr>
        <w:rPr>
          <w:sz w:val="22"/>
          <w:szCs w:val="22"/>
          <w:u w:val="single"/>
        </w:rPr>
      </w:pPr>
      <w:r w:rsidRPr="00125CFA">
        <w:rPr>
          <w:sz w:val="22"/>
          <w:szCs w:val="22"/>
          <w:u w:val="single"/>
        </w:rPr>
        <w:t xml:space="preserve">EXCEPTIONS TO THE CERTIFICATION STATEMENT </w:t>
      </w:r>
    </w:p>
    <w:p w:rsidRPr="00125CFA" w:rsidR="00587602" w:rsidP="00587602" w:rsidRDefault="00587602" w14:paraId="48528C9D" w14:textId="77777777">
      <w:pPr>
        <w:ind w:left="720"/>
        <w:rPr>
          <w:sz w:val="22"/>
          <w:szCs w:val="22"/>
          <w:u w:val="single"/>
        </w:rPr>
      </w:pPr>
    </w:p>
    <w:p w:rsidRPr="00125CFA" w:rsidR="00DF6E81" w:rsidP="00375077" w:rsidRDefault="00587602" w14:paraId="21E9444B" w14:textId="77777777">
      <w:pPr>
        <w:ind w:left="720"/>
        <w:rPr>
          <w:sz w:val="22"/>
          <w:szCs w:val="22"/>
        </w:rPr>
      </w:pPr>
      <w:r w:rsidRPr="00125CFA">
        <w:rPr>
          <w:sz w:val="22"/>
          <w:szCs w:val="22"/>
        </w:rPr>
        <w:t>There are no exceptions to the certification statement</w:t>
      </w:r>
      <w:r w:rsidRPr="00125CFA" w:rsidR="00E90D20">
        <w:rPr>
          <w:sz w:val="22"/>
          <w:szCs w:val="22"/>
        </w:rPr>
        <w:t>.</w:t>
      </w:r>
    </w:p>
    <w:p w:rsidRPr="00125CFA" w:rsidR="00E90D20" w:rsidP="00911FF4" w:rsidRDefault="00E90D20" w14:paraId="0CEDC23F" w14:textId="77777777">
      <w:pPr>
        <w:rPr>
          <w:sz w:val="22"/>
          <w:szCs w:val="22"/>
        </w:rPr>
      </w:pPr>
    </w:p>
    <w:p w:rsidRPr="00125CFA" w:rsidR="00E90D20" w:rsidP="0069493C" w:rsidRDefault="00E90D20" w14:paraId="1841ABED" w14:textId="4FCD9F33">
      <w:pPr>
        <w:ind w:left="720"/>
        <w:rPr>
          <w:sz w:val="22"/>
          <w:szCs w:val="22"/>
        </w:rPr>
      </w:pPr>
      <w:r w:rsidRPr="00125CFA">
        <w:rPr>
          <w:b/>
          <w:sz w:val="22"/>
          <w:szCs w:val="22"/>
          <w:u w:val="single"/>
        </w:rPr>
        <w:t>Note:</w:t>
      </w:r>
      <w:r w:rsidRPr="00125CFA">
        <w:rPr>
          <w:b/>
          <w:sz w:val="22"/>
          <w:szCs w:val="22"/>
        </w:rPr>
        <w:t xml:space="preserve"> </w:t>
      </w:r>
      <w:r w:rsidRPr="00125CFA">
        <w:rPr>
          <w:sz w:val="22"/>
          <w:szCs w:val="22"/>
        </w:rPr>
        <w:t xml:space="preserve"> The following paragraph applies to </w:t>
      </w:r>
      <w:proofErr w:type="gramStart"/>
      <w:r w:rsidRPr="00125CFA">
        <w:rPr>
          <w:sz w:val="22"/>
          <w:szCs w:val="22"/>
        </w:rPr>
        <w:t>all</w:t>
      </w:r>
      <w:r w:rsidR="00A66AD7">
        <w:rPr>
          <w:sz w:val="22"/>
          <w:szCs w:val="22"/>
        </w:rPr>
        <w:t xml:space="preserve"> </w:t>
      </w:r>
      <w:r w:rsidRPr="00125CFA">
        <w:rPr>
          <w:sz w:val="22"/>
          <w:szCs w:val="22"/>
        </w:rPr>
        <w:t>of</w:t>
      </w:r>
      <w:proofErr w:type="gramEnd"/>
      <w:r w:rsidRPr="00125CFA">
        <w:rPr>
          <w:sz w:val="22"/>
          <w:szCs w:val="22"/>
        </w:rPr>
        <w:t xml:space="preserve"> the collections of information in this submission:</w:t>
      </w:r>
    </w:p>
    <w:p w:rsidRPr="00125CFA" w:rsidR="00E90D20" w:rsidP="0069493C" w:rsidRDefault="00E90D20" w14:paraId="2A6D700D" w14:textId="77777777">
      <w:pPr>
        <w:ind w:left="720"/>
        <w:rPr>
          <w:sz w:val="22"/>
          <w:szCs w:val="22"/>
        </w:rPr>
      </w:pPr>
    </w:p>
    <w:p w:rsidRPr="00125CFA" w:rsidR="00130845" w:rsidP="000C0941" w:rsidRDefault="00E90D20" w14:paraId="4AC9B01E" w14:textId="149F4AFE">
      <w:pPr>
        <w:ind w:left="720" w:firstLine="720"/>
        <w:rPr>
          <w:sz w:val="22"/>
          <w:szCs w:val="22"/>
        </w:rPr>
      </w:pPr>
      <w:r w:rsidRPr="00125CFA">
        <w:rPr>
          <w:sz w:val="22"/>
          <w:szCs w:val="22"/>
        </w:rPr>
        <w:t xml:space="preserve">An agency may not conduct or sponsor, and a person is not required to </w:t>
      </w:r>
      <w:r w:rsidRPr="00125CFA" w:rsidR="00AA2F91">
        <w:rPr>
          <w:sz w:val="22"/>
          <w:szCs w:val="22"/>
        </w:rPr>
        <w:t>respond to</w:t>
      </w:r>
      <w:r w:rsidRPr="00125CFA">
        <w:rPr>
          <w:sz w:val="22"/>
          <w:szCs w:val="22"/>
        </w:rPr>
        <w:t xml:space="preserve">, a collection of information unless the collection of information displays a valid OMB control number.  Books or records relating to a collection of information must be retained </w:t>
      </w:r>
      <w:proofErr w:type="gramStart"/>
      <w:r w:rsidRPr="00125CFA">
        <w:rPr>
          <w:sz w:val="22"/>
          <w:szCs w:val="22"/>
        </w:rPr>
        <w:t>as long as</w:t>
      </w:r>
      <w:proofErr w:type="gramEnd"/>
      <w:r w:rsidRPr="00125CFA">
        <w:rPr>
          <w:sz w:val="22"/>
          <w:szCs w:val="22"/>
        </w:rPr>
        <w:t xml:space="preserve"> their contents may become material in the administration of any internal revenue law.  Generally, tax returns and tax return information are confidential, as required by 26 U.S.C. 6103.</w:t>
      </w:r>
    </w:p>
    <w:sectPr w:rsidRPr="00125CFA" w:rsidR="00130845" w:rsidSect="0013084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8253" w14:textId="77777777" w:rsidR="00367ACE" w:rsidRDefault="00367ACE">
      <w:r>
        <w:separator/>
      </w:r>
    </w:p>
  </w:endnote>
  <w:endnote w:type="continuationSeparator" w:id="0">
    <w:p w14:paraId="105836BE" w14:textId="77777777" w:rsidR="00367ACE" w:rsidRDefault="0036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9549" w14:textId="77777777" w:rsidR="00375077" w:rsidRDefault="00375077" w:rsidP="006949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D2C18C" w14:textId="77777777" w:rsidR="00375077" w:rsidRDefault="00375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751F" w14:textId="77777777" w:rsidR="00375077" w:rsidRDefault="00375077" w:rsidP="006949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210">
      <w:rPr>
        <w:rStyle w:val="PageNumber"/>
        <w:noProof/>
      </w:rPr>
      <w:t>1</w:t>
    </w:r>
    <w:r>
      <w:rPr>
        <w:rStyle w:val="PageNumber"/>
      </w:rPr>
      <w:fldChar w:fldCharType="end"/>
    </w:r>
  </w:p>
  <w:p w14:paraId="2AA8E341" w14:textId="77777777" w:rsidR="00375077" w:rsidRDefault="00375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E446" w14:textId="77777777" w:rsidR="00367ACE" w:rsidRDefault="00367ACE">
      <w:r>
        <w:separator/>
      </w:r>
    </w:p>
  </w:footnote>
  <w:footnote w:type="continuationSeparator" w:id="0">
    <w:p w14:paraId="3B9940E7" w14:textId="77777777" w:rsidR="00367ACE" w:rsidRDefault="0036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72A70"/>
    <w:multiLevelType w:val="hybridMultilevel"/>
    <w:tmpl w:val="93BE7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7A60E2"/>
    <w:multiLevelType w:val="hybridMultilevel"/>
    <w:tmpl w:val="137CFC36"/>
    <w:lvl w:ilvl="0" w:tplc="19A2ACB4">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45"/>
    <w:rsid w:val="000039E5"/>
    <w:rsid w:val="000077FE"/>
    <w:rsid w:val="00010DD2"/>
    <w:rsid w:val="00015211"/>
    <w:rsid w:val="000245C5"/>
    <w:rsid w:val="00031519"/>
    <w:rsid w:val="00033008"/>
    <w:rsid w:val="00043123"/>
    <w:rsid w:val="000438BB"/>
    <w:rsid w:val="00044283"/>
    <w:rsid w:val="00044F84"/>
    <w:rsid w:val="00046CB3"/>
    <w:rsid w:val="000477A5"/>
    <w:rsid w:val="000529CA"/>
    <w:rsid w:val="000538CC"/>
    <w:rsid w:val="00054D97"/>
    <w:rsid w:val="00055669"/>
    <w:rsid w:val="000668C7"/>
    <w:rsid w:val="00073A68"/>
    <w:rsid w:val="00074CB9"/>
    <w:rsid w:val="000878E6"/>
    <w:rsid w:val="00097D83"/>
    <w:rsid w:val="000A42EA"/>
    <w:rsid w:val="000A68C4"/>
    <w:rsid w:val="000B4983"/>
    <w:rsid w:val="000B4A16"/>
    <w:rsid w:val="000C0941"/>
    <w:rsid w:val="000C375D"/>
    <w:rsid w:val="000D7B09"/>
    <w:rsid w:val="000E469E"/>
    <w:rsid w:val="000E74AE"/>
    <w:rsid w:val="000F6A18"/>
    <w:rsid w:val="0010167F"/>
    <w:rsid w:val="00102B09"/>
    <w:rsid w:val="0010706D"/>
    <w:rsid w:val="0011582C"/>
    <w:rsid w:val="00116E90"/>
    <w:rsid w:val="001170C1"/>
    <w:rsid w:val="00122376"/>
    <w:rsid w:val="00125CFA"/>
    <w:rsid w:val="001279CB"/>
    <w:rsid w:val="00130845"/>
    <w:rsid w:val="0015535A"/>
    <w:rsid w:val="001776FC"/>
    <w:rsid w:val="001810D6"/>
    <w:rsid w:val="00183634"/>
    <w:rsid w:val="001874CD"/>
    <w:rsid w:val="00195FD4"/>
    <w:rsid w:val="001A412D"/>
    <w:rsid w:val="001B1F16"/>
    <w:rsid w:val="001C5BF5"/>
    <w:rsid w:val="001D2CEF"/>
    <w:rsid w:val="001F48E1"/>
    <w:rsid w:val="001F52F8"/>
    <w:rsid w:val="00210104"/>
    <w:rsid w:val="00212952"/>
    <w:rsid w:val="00223DBF"/>
    <w:rsid w:val="00246160"/>
    <w:rsid w:val="00261337"/>
    <w:rsid w:val="00263A56"/>
    <w:rsid w:val="00265370"/>
    <w:rsid w:val="00270AF7"/>
    <w:rsid w:val="00271DD7"/>
    <w:rsid w:val="00285153"/>
    <w:rsid w:val="002920ED"/>
    <w:rsid w:val="002959A4"/>
    <w:rsid w:val="002A1526"/>
    <w:rsid w:val="002A3D10"/>
    <w:rsid w:val="002C6734"/>
    <w:rsid w:val="002D7EF4"/>
    <w:rsid w:val="002E07AF"/>
    <w:rsid w:val="002E3F89"/>
    <w:rsid w:val="002F50A5"/>
    <w:rsid w:val="002F5CAF"/>
    <w:rsid w:val="002F7B36"/>
    <w:rsid w:val="003015D7"/>
    <w:rsid w:val="00310471"/>
    <w:rsid w:val="003211F4"/>
    <w:rsid w:val="00325115"/>
    <w:rsid w:val="00325673"/>
    <w:rsid w:val="0033393C"/>
    <w:rsid w:val="00333C4F"/>
    <w:rsid w:val="00335D99"/>
    <w:rsid w:val="00336295"/>
    <w:rsid w:val="00341834"/>
    <w:rsid w:val="00341E82"/>
    <w:rsid w:val="003470D7"/>
    <w:rsid w:val="003658CA"/>
    <w:rsid w:val="00367ACE"/>
    <w:rsid w:val="00375077"/>
    <w:rsid w:val="00382CCD"/>
    <w:rsid w:val="0038739D"/>
    <w:rsid w:val="00397382"/>
    <w:rsid w:val="00397732"/>
    <w:rsid w:val="003A2426"/>
    <w:rsid w:val="003A32A4"/>
    <w:rsid w:val="003A7366"/>
    <w:rsid w:val="003C507F"/>
    <w:rsid w:val="003D19BD"/>
    <w:rsid w:val="003D33B9"/>
    <w:rsid w:val="003D5187"/>
    <w:rsid w:val="003E430F"/>
    <w:rsid w:val="003E532C"/>
    <w:rsid w:val="003F64B2"/>
    <w:rsid w:val="003F6C56"/>
    <w:rsid w:val="00404AB1"/>
    <w:rsid w:val="00415E46"/>
    <w:rsid w:val="0043302B"/>
    <w:rsid w:val="00436C94"/>
    <w:rsid w:val="00437851"/>
    <w:rsid w:val="00440B32"/>
    <w:rsid w:val="004415EB"/>
    <w:rsid w:val="004864F9"/>
    <w:rsid w:val="00490086"/>
    <w:rsid w:val="0049766B"/>
    <w:rsid w:val="00497F06"/>
    <w:rsid w:val="004A066D"/>
    <w:rsid w:val="004A75A8"/>
    <w:rsid w:val="004B12AF"/>
    <w:rsid w:val="004B65B6"/>
    <w:rsid w:val="004E1263"/>
    <w:rsid w:val="004E1FEB"/>
    <w:rsid w:val="004F1A88"/>
    <w:rsid w:val="00501D5E"/>
    <w:rsid w:val="00520B90"/>
    <w:rsid w:val="00522D23"/>
    <w:rsid w:val="005234DA"/>
    <w:rsid w:val="00536B53"/>
    <w:rsid w:val="005412BB"/>
    <w:rsid w:val="005501F1"/>
    <w:rsid w:val="005576E6"/>
    <w:rsid w:val="00560EEC"/>
    <w:rsid w:val="00570F43"/>
    <w:rsid w:val="005730A8"/>
    <w:rsid w:val="00587602"/>
    <w:rsid w:val="005A68F5"/>
    <w:rsid w:val="005B195D"/>
    <w:rsid w:val="005C1432"/>
    <w:rsid w:val="005C275F"/>
    <w:rsid w:val="005C7D47"/>
    <w:rsid w:val="005D2CED"/>
    <w:rsid w:val="005E2416"/>
    <w:rsid w:val="00606117"/>
    <w:rsid w:val="00610176"/>
    <w:rsid w:val="00614FEE"/>
    <w:rsid w:val="0061595B"/>
    <w:rsid w:val="0062293F"/>
    <w:rsid w:val="00622C11"/>
    <w:rsid w:val="00634660"/>
    <w:rsid w:val="006400D9"/>
    <w:rsid w:val="00650A52"/>
    <w:rsid w:val="00656B1C"/>
    <w:rsid w:val="006615CD"/>
    <w:rsid w:val="00674E25"/>
    <w:rsid w:val="00682D9F"/>
    <w:rsid w:val="00690CF5"/>
    <w:rsid w:val="006920AE"/>
    <w:rsid w:val="0069493C"/>
    <w:rsid w:val="00696850"/>
    <w:rsid w:val="00696CCF"/>
    <w:rsid w:val="006C058A"/>
    <w:rsid w:val="006C1DCA"/>
    <w:rsid w:val="006C57F4"/>
    <w:rsid w:val="006D0BE2"/>
    <w:rsid w:val="006D7A6B"/>
    <w:rsid w:val="006F78EB"/>
    <w:rsid w:val="00701F20"/>
    <w:rsid w:val="00715ED8"/>
    <w:rsid w:val="0072145D"/>
    <w:rsid w:val="007263D2"/>
    <w:rsid w:val="00740FA3"/>
    <w:rsid w:val="00741E76"/>
    <w:rsid w:val="007463D3"/>
    <w:rsid w:val="00753596"/>
    <w:rsid w:val="007710F1"/>
    <w:rsid w:val="0078515E"/>
    <w:rsid w:val="007920F2"/>
    <w:rsid w:val="00793624"/>
    <w:rsid w:val="007A0871"/>
    <w:rsid w:val="007A71BE"/>
    <w:rsid w:val="007B328F"/>
    <w:rsid w:val="007C2333"/>
    <w:rsid w:val="007C234E"/>
    <w:rsid w:val="007E2A55"/>
    <w:rsid w:val="007F141E"/>
    <w:rsid w:val="007F607C"/>
    <w:rsid w:val="00800470"/>
    <w:rsid w:val="00800BEE"/>
    <w:rsid w:val="00803739"/>
    <w:rsid w:val="00804B6B"/>
    <w:rsid w:val="00805695"/>
    <w:rsid w:val="00807E82"/>
    <w:rsid w:val="00826ED5"/>
    <w:rsid w:val="00832F11"/>
    <w:rsid w:val="00841C19"/>
    <w:rsid w:val="00841C7E"/>
    <w:rsid w:val="00845519"/>
    <w:rsid w:val="00853FEB"/>
    <w:rsid w:val="00860208"/>
    <w:rsid w:val="008702B2"/>
    <w:rsid w:val="0089348B"/>
    <w:rsid w:val="00894A73"/>
    <w:rsid w:val="008A0A41"/>
    <w:rsid w:val="008A2E29"/>
    <w:rsid w:val="008A4BF2"/>
    <w:rsid w:val="008B36D0"/>
    <w:rsid w:val="008B701A"/>
    <w:rsid w:val="008C2204"/>
    <w:rsid w:val="008C4544"/>
    <w:rsid w:val="008D270A"/>
    <w:rsid w:val="008D6075"/>
    <w:rsid w:val="008E399A"/>
    <w:rsid w:val="00911FF4"/>
    <w:rsid w:val="009215B4"/>
    <w:rsid w:val="0092307B"/>
    <w:rsid w:val="009243D3"/>
    <w:rsid w:val="00940589"/>
    <w:rsid w:val="0094210F"/>
    <w:rsid w:val="00947E26"/>
    <w:rsid w:val="00950000"/>
    <w:rsid w:val="00951180"/>
    <w:rsid w:val="00951210"/>
    <w:rsid w:val="00953FBB"/>
    <w:rsid w:val="0095629D"/>
    <w:rsid w:val="0095676B"/>
    <w:rsid w:val="00963ADF"/>
    <w:rsid w:val="0096710C"/>
    <w:rsid w:val="00972C5C"/>
    <w:rsid w:val="00973FA7"/>
    <w:rsid w:val="00976895"/>
    <w:rsid w:val="0098056C"/>
    <w:rsid w:val="0098524F"/>
    <w:rsid w:val="009852D6"/>
    <w:rsid w:val="00992838"/>
    <w:rsid w:val="009A4EA1"/>
    <w:rsid w:val="009A56D9"/>
    <w:rsid w:val="009B2B30"/>
    <w:rsid w:val="009E2771"/>
    <w:rsid w:val="00A053A4"/>
    <w:rsid w:val="00A0645E"/>
    <w:rsid w:val="00A10B3D"/>
    <w:rsid w:val="00A311C5"/>
    <w:rsid w:val="00A321D3"/>
    <w:rsid w:val="00A37983"/>
    <w:rsid w:val="00A442A3"/>
    <w:rsid w:val="00A47FD0"/>
    <w:rsid w:val="00A51845"/>
    <w:rsid w:val="00A614DF"/>
    <w:rsid w:val="00A62688"/>
    <w:rsid w:val="00A66AD7"/>
    <w:rsid w:val="00A81965"/>
    <w:rsid w:val="00A82EA2"/>
    <w:rsid w:val="00A83679"/>
    <w:rsid w:val="00A86D49"/>
    <w:rsid w:val="00AA05F6"/>
    <w:rsid w:val="00AA0F32"/>
    <w:rsid w:val="00AA2F91"/>
    <w:rsid w:val="00AA33BA"/>
    <w:rsid w:val="00AB2ACA"/>
    <w:rsid w:val="00AC3FC8"/>
    <w:rsid w:val="00AD6AA3"/>
    <w:rsid w:val="00AE4757"/>
    <w:rsid w:val="00B20A41"/>
    <w:rsid w:val="00B275AE"/>
    <w:rsid w:val="00B33F9B"/>
    <w:rsid w:val="00B3545C"/>
    <w:rsid w:val="00B362D2"/>
    <w:rsid w:val="00B650DD"/>
    <w:rsid w:val="00B722A2"/>
    <w:rsid w:val="00B7416F"/>
    <w:rsid w:val="00B76683"/>
    <w:rsid w:val="00B92CAD"/>
    <w:rsid w:val="00B93CBC"/>
    <w:rsid w:val="00BB336D"/>
    <w:rsid w:val="00BB5EEF"/>
    <w:rsid w:val="00BF7307"/>
    <w:rsid w:val="00C01A8F"/>
    <w:rsid w:val="00C11508"/>
    <w:rsid w:val="00C2005D"/>
    <w:rsid w:val="00C22DD1"/>
    <w:rsid w:val="00C356F9"/>
    <w:rsid w:val="00C4039D"/>
    <w:rsid w:val="00C45FAC"/>
    <w:rsid w:val="00C675AB"/>
    <w:rsid w:val="00C7206D"/>
    <w:rsid w:val="00C80ACE"/>
    <w:rsid w:val="00C914DB"/>
    <w:rsid w:val="00CB0645"/>
    <w:rsid w:val="00CB60E2"/>
    <w:rsid w:val="00CC3225"/>
    <w:rsid w:val="00CD7EFC"/>
    <w:rsid w:val="00CE4C72"/>
    <w:rsid w:val="00CF0934"/>
    <w:rsid w:val="00D10851"/>
    <w:rsid w:val="00D275D8"/>
    <w:rsid w:val="00D30FA8"/>
    <w:rsid w:val="00D337B6"/>
    <w:rsid w:val="00D604CB"/>
    <w:rsid w:val="00D7191F"/>
    <w:rsid w:val="00D8185C"/>
    <w:rsid w:val="00D9125E"/>
    <w:rsid w:val="00D9337A"/>
    <w:rsid w:val="00DA0A4D"/>
    <w:rsid w:val="00DA3016"/>
    <w:rsid w:val="00DA304C"/>
    <w:rsid w:val="00DB403B"/>
    <w:rsid w:val="00DC5685"/>
    <w:rsid w:val="00DC75C7"/>
    <w:rsid w:val="00DF0C97"/>
    <w:rsid w:val="00DF3B76"/>
    <w:rsid w:val="00DF6E81"/>
    <w:rsid w:val="00E11792"/>
    <w:rsid w:val="00E21262"/>
    <w:rsid w:val="00E26B49"/>
    <w:rsid w:val="00E309FF"/>
    <w:rsid w:val="00E43A95"/>
    <w:rsid w:val="00E50953"/>
    <w:rsid w:val="00E54DFC"/>
    <w:rsid w:val="00E57581"/>
    <w:rsid w:val="00E62E6C"/>
    <w:rsid w:val="00E80A23"/>
    <w:rsid w:val="00E87C39"/>
    <w:rsid w:val="00E90D20"/>
    <w:rsid w:val="00EC16F5"/>
    <w:rsid w:val="00EC217F"/>
    <w:rsid w:val="00ED3B1F"/>
    <w:rsid w:val="00ED669B"/>
    <w:rsid w:val="00EE2723"/>
    <w:rsid w:val="00EE31B6"/>
    <w:rsid w:val="00EF260E"/>
    <w:rsid w:val="00F015ED"/>
    <w:rsid w:val="00F030E2"/>
    <w:rsid w:val="00F31FFD"/>
    <w:rsid w:val="00F45454"/>
    <w:rsid w:val="00F627D8"/>
    <w:rsid w:val="00F81505"/>
    <w:rsid w:val="00F85404"/>
    <w:rsid w:val="00F85C97"/>
    <w:rsid w:val="00F85DF3"/>
    <w:rsid w:val="00F86197"/>
    <w:rsid w:val="00F87F42"/>
    <w:rsid w:val="00F92AC0"/>
    <w:rsid w:val="00F94863"/>
    <w:rsid w:val="00F96C86"/>
    <w:rsid w:val="00FA5B13"/>
    <w:rsid w:val="00FB0DC0"/>
    <w:rsid w:val="00FB2765"/>
    <w:rsid w:val="00FB5579"/>
    <w:rsid w:val="00FC222B"/>
    <w:rsid w:val="00FC26A3"/>
    <w:rsid w:val="00FE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3F4DC"/>
  <w15:chartTrackingRefBased/>
  <w15:docId w15:val="{2FD51797-E049-41CB-B9FA-48D1AEBE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493C"/>
    <w:pPr>
      <w:tabs>
        <w:tab w:val="center" w:pos="4320"/>
        <w:tab w:val="right" w:pos="8640"/>
      </w:tabs>
    </w:pPr>
  </w:style>
  <w:style w:type="character" w:styleId="PageNumber">
    <w:name w:val="page number"/>
    <w:basedOn w:val="DefaultParagraphFont"/>
    <w:rsid w:val="0069493C"/>
  </w:style>
  <w:style w:type="paragraph" w:styleId="BalloonText">
    <w:name w:val="Balloon Text"/>
    <w:basedOn w:val="Normal"/>
    <w:semiHidden/>
    <w:rsid w:val="005D2CED"/>
    <w:rPr>
      <w:rFonts w:ascii="Tahoma" w:hAnsi="Tahoma" w:cs="Tahoma"/>
      <w:sz w:val="16"/>
      <w:szCs w:val="16"/>
    </w:rPr>
  </w:style>
  <w:style w:type="character" w:styleId="CommentReference">
    <w:name w:val="annotation reference"/>
    <w:rsid w:val="000878E6"/>
    <w:rPr>
      <w:sz w:val="16"/>
      <w:szCs w:val="16"/>
    </w:rPr>
  </w:style>
  <w:style w:type="paragraph" w:styleId="CommentText">
    <w:name w:val="annotation text"/>
    <w:basedOn w:val="Normal"/>
    <w:link w:val="CommentTextChar"/>
    <w:rsid w:val="000878E6"/>
    <w:rPr>
      <w:sz w:val="20"/>
      <w:szCs w:val="20"/>
    </w:rPr>
  </w:style>
  <w:style w:type="character" w:customStyle="1" w:styleId="CommentTextChar">
    <w:name w:val="Comment Text Char"/>
    <w:basedOn w:val="DefaultParagraphFont"/>
    <w:link w:val="CommentText"/>
    <w:rsid w:val="000878E6"/>
  </w:style>
  <w:style w:type="paragraph" w:styleId="CommentSubject">
    <w:name w:val="annotation subject"/>
    <w:basedOn w:val="CommentText"/>
    <w:next w:val="CommentText"/>
    <w:link w:val="CommentSubjectChar"/>
    <w:rsid w:val="000878E6"/>
    <w:rPr>
      <w:b/>
      <w:bCs/>
    </w:rPr>
  </w:style>
  <w:style w:type="character" w:customStyle="1" w:styleId="CommentSubjectChar">
    <w:name w:val="Comment Subject Char"/>
    <w:link w:val="CommentSubject"/>
    <w:rsid w:val="00087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32mjb</dc:creator>
  <cp:keywords/>
  <dc:description/>
  <cp:lastModifiedBy>Garcia Andres</cp:lastModifiedBy>
  <cp:revision>3</cp:revision>
  <cp:lastPrinted>2006-03-10T14:38:00Z</cp:lastPrinted>
  <dcterms:created xsi:type="dcterms:W3CDTF">2022-04-12T16:20:00Z</dcterms:created>
  <dcterms:modified xsi:type="dcterms:W3CDTF">2022-04-12T16:20:00Z</dcterms:modified>
</cp:coreProperties>
</file>