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AD381B" w:rsidRDefault="00043C32" w14:paraId="64280E54" w14:textId="77777777">
      <w:pPr>
        <w:pStyle w:val="Heading1"/>
        <w:rPr>
          <w:b/>
          <w:bCs/>
          <w:sz w:val="24"/>
          <w:szCs w:val="24"/>
        </w:rPr>
      </w:pPr>
      <w:r w:rsidRPr="00F74288">
        <w:rPr>
          <w:b/>
          <w:bCs/>
          <w:sz w:val="24"/>
          <w:szCs w:val="24"/>
        </w:rPr>
        <w:t>SUPPORTING STATEMENT</w:t>
      </w:r>
    </w:p>
    <w:p w:rsidRPr="00F74288" w:rsidR="00043C32" w:rsidP="00AD381B" w:rsidRDefault="00043C32" w14:paraId="64280E55" w14:textId="0EEBC467">
      <w:pPr>
        <w:pStyle w:val="Heading1"/>
        <w:rPr>
          <w:b/>
          <w:bCs/>
          <w:sz w:val="24"/>
          <w:szCs w:val="24"/>
        </w:rPr>
      </w:pPr>
      <w:r w:rsidRPr="00F74288">
        <w:rPr>
          <w:b/>
          <w:bCs/>
          <w:sz w:val="24"/>
          <w:szCs w:val="24"/>
        </w:rPr>
        <w:t>FOR PAPERWORK REDUCTION ACT SUBMISSION</w:t>
      </w:r>
    </w:p>
    <w:p w:rsidRPr="00F74288" w:rsidR="005F4E11" w:rsidP="00F74288" w:rsidRDefault="00EF4C67" w14:paraId="05DA5314" w14:textId="4449C18E">
      <w:pPr>
        <w:jc w:val="center"/>
        <w:rPr>
          <w:rFonts w:asciiTheme="minorHAnsi" w:hAnsiTheme="minorHAnsi" w:cstheme="minorHAnsi"/>
        </w:rPr>
      </w:pPr>
      <w:r>
        <w:rPr>
          <w:rFonts w:asciiTheme="minorHAnsi" w:hAnsiTheme="minorHAnsi" w:cstheme="minorHAnsi"/>
        </w:rPr>
        <w:t>Cancer Treatment Deferment Form</w:t>
      </w: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FB6309" w:rsidR="00EF4C67" w:rsidP="00EF4C67" w:rsidRDefault="00EF4C67" w14:paraId="37BBA99C" w14:textId="77777777">
      <w:pPr>
        <w:ind w:left="720"/>
        <w:rPr>
          <w:rFonts w:asciiTheme="minorHAnsi" w:hAnsiTheme="minorHAnsi" w:cstheme="minorHAnsi"/>
          <w:szCs w:val="24"/>
        </w:rPr>
      </w:pPr>
      <w:r w:rsidRPr="00FB6309">
        <w:rPr>
          <w:rFonts w:asciiTheme="minorHAnsi" w:hAnsiTheme="minorHAnsi" w:cstheme="minorHAnsi"/>
          <w:szCs w:val="24"/>
        </w:rPr>
        <w:t xml:space="preserve">The Department of Education (Department) is requesting an extension of the current Cancer Treatment Deferment Form information collection, OMB Control Number 1845-0154.  This collection is used to obtain information from federal student loan borrowers to determine eligibility for a deferment of repayment of their federal student loan while receiving cancer treatment and for the 6-month period after such treatment.  </w:t>
      </w:r>
    </w:p>
    <w:p w:rsidRPr="00FB6309" w:rsidR="00EF4C67" w:rsidP="00EF4C67" w:rsidRDefault="00EF4C67" w14:paraId="3566A6B5" w14:textId="77777777">
      <w:pPr>
        <w:ind w:left="720"/>
        <w:rPr>
          <w:rFonts w:asciiTheme="minorHAnsi" w:hAnsiTheme="minorHAnsi" w:cstheme="minorHAnsi"/>
          <w:szCs w:val="24"/>
        </w:rPr>
      </w:pPr>
    </w:p>
    <w:p w:rsidRPr="00FB6309" w:rsidR="00EF4C67" w:rsidP="00EF4C67" w:rsidRDefault="00EF4C67" w14:paraId="3E16383C" w14:textId="77777777">
      <w:pPr>
        <w:ind w:left="720"/>
        <w:rPr>
          <w:rStyle w:val="result-item2"/>
          <w:rFonts w:asciiTheme="minorHAnsi" w:hAnsiTheme="minorHAnsi" w:cstheme="minorHAnsi"/>
          <w:lang w:val="en"/>
        </w:rPr>
      </w:pPr>
      <w:r w:rsidRPr="00FB6309">
        <w:rPr>
          <w:rFonts w:asciiTheme="minorHAnsi" w:hAnsiTheme="minorHAnsi" w:cstheme="minorHAnsi"/>
          <w:szCs w:val="24"/>
        </w:rPr>
        <w:t>Section 309 of the Consolidated Appropriations Act, 2019, (</w:t>
      </w:r>
      <w:r w:rsidRPr="00FB6309">
        <w:rPr>
          <w:rStyle w:val="result-item2"/>
          <w:rFonts w:asciiTheme="minorHAnsi" w:hAnsiTheme="minorHAnsi" w:cstheme="minorHAnsi"/>
          <w:lang w:val="en"/>
          <w:specVanish w:val="0"/>
        </w:rPr>
        <w:t>Pub. L. No. 115-245) included a provision for the Department to implement this circumstance as a basis for deferment.</w:t>
      </w:r>
    </w:p>
    <w:p w:rsidRPr="00FB6309" w:rsidR="00EF4C67" w:rsidP="00EF4C67" w:rsidRDefault="00EF4C67" w14:paraId="75781E66" w14:textId="77777777">
      <w:pPr>
        <w:ind w:left="720"/>
        <w:rPr>
          <w:rStyle w:val="result-item2"/>
          <w:rFonts w:asciiTheme="minorHAnsi" w:hAnsiTheme="minorHAnsi" w:cstheme="minorHAnsi"/>
          <w:lang w:val="en"/>
        </w:rPr>
      </w:pPr>
    </w:p>
    <w:p w:rsidRPr="00FB6309" w:rsidR="00EF4C67" w:rsidP="00EF4C67" w:rsidRDefault="00EF4C67" w14:paraId="1C332FA2" w14:textId="77777777">
      <w:pPr>
        <w:tabs>
          <w:tab w:val="left" w:pos="-720"/>
        </w:tabs>
        <w:suppressAutoHyphens/>
        <w:ind w:left="720"/>
        <w:rPr>
          <w:rFonts w:asciiTheme="minorHAnsi" w:hAnsiTheme="minorHAnsi" w:cstheme="minorHAnsi"/>
          <w:szCs w:val="24"/>
        </w:rPr>
      </w:pPr>
      <w:r w:rsidRPr="00FB6309">
        <w:rPr>
          <w:rFonts w:asciiTheme="minorHAnsi" w:hAnsiTheme="minorHAnsi" w:cstheme="minorHAnsi"/>
          <w:szCs w:val="24"/>
        </w:rPr>
        <w:t xml:space="preserve">Due to the effects of the COVID-19 pandemic and the suspension of the collection of loans, the Department lacks sufficient data to allow for updates to the usage of these forms.  </w:t>
      </w:r>
    </w:p>
    <w:p w:rsidRPr="00AD381B" w:rsidR="00AD381B" w:rsidP="00AD381B" w:rsidRDefault="00AD381B" w14:paraId="64280E59"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FB6309" w:rsidR="00EF4C67" w:rsidP="00EF4C67" w:rsidRDefault="00EF4C67" w14:paraId="29246E85" w14:textId="77777777">
      <w:pPr>
        <w:ind w:left="720"/>
        <w:rPr>
          <w:rFonts w:asciiTheme="minorHAnsi" w:hAnsiTheme="minorHAnsi" w:cstheme="minorHAnsi"/>
          <w:szCs w:val="24"/>
        </w:rPr>
      </w:pPr>
      <w:r w:rsidRPr="00FB6309">
        <w:rPr>
          <w:rFonts w:asciiTheme="minorHAnsi" w:hAnsiTheme="minorHAnsi" w:cstheme="minorHAnsi"/>
          <w:szCs w:val="24"/>
        </w:rPr>
        <w:t>The information collected is used by the Department to determine a borrower’s eligibility for the deferment mandated by the appropriations law.</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FB6309" w:rsidR="00EF4C67" w:rsidP="00EF4C67" w:rsidRDefault="00EF4C67" w14:paraId="2D2F6A02" w14:textId="77777777">
      <w:pPr>
        <w:tabs>
          <w:tab w:val="left" w:pos="0"/>
        </w:tabs>
        <w:suppressAutoHyphens/>
        <w:ind w:left="720"/>
        <w:rPr>
          <w:rFonts w:asciiTheme="minorHAnsi" w:hAnsiTheme="minorHAnsi" w:cstheme="minorHAnsi"/>
          <w:szCs w:val="24"/>
        </w:rPr>
      </w:pPr>
      <w:r w:rsidRPr="00FB6309">
        <w:rPr>
          <w:rFonts w:asciiTheme="minorHAnsi" w:hAnsiTheme="minorHAnsi" w:cstheme="minorHAnsi"/>
          <w:szCs w:val="24"/>
        </w:rPr>
        <w:t>Like all of the Department’s deferment forms, they may be submitted by mail, fax, or online upload, after the borrower and, in this case, the borrower’s physician, have completed the form.</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EF4C67" w:rsidR="00EF4C67" w:rsidP="00EF4C67" w:rsidRDefault="00EF4C67" w14:paraId="508F69B7" w14:textId="77777777">
      <w:pPr>
        <w:pStyle w:val="ListParagraph"/>
        <w:tabs>
          <w:tab w:val="left" w:pos="0"/>
        </w:tabs>
        <w:suppressAutoHyphens/>
        <w:rPr>
          <w:rFonts w:asciiTheme="minorHAnsi" w:hAnsiTheme="minorHAnsi" w:cstheme="minorHAnsi"/>
          <w:szCs w:val="24"/>
        </w:rPr>
      </w:pPr>
      <w:r w:rsidRPr="00EF4C67">
        <w:rPr>
          <w:rFonts w:asciiTheme="minorHAnsi" w:hAnsiTheme="minorHAnsi" w:cstheme="minorHAnsi"/>
          <w:szCs w:val="24"/>
        </w:rPr>
        <w:t>The Department does not have information in its possession already to determine whether a borrower qualifies for this deferment.  Moreover, the law requires that borrowers specifically request deferment.  Therefore, there is no duplication of information.</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FB6309" w:rsidR="00EF4C67" w:rsidP="00EF4C67" w:rsidRDefault="00EF4C67" w14:paraId="27DEE347" w14:textId="77777777">
      <w:pPr>
        <w:tabs>
          <w:tab w:val="left" w:pos="0"/>
        </w:tabs>
        <w:suppressAutoHyphens/>
        <w:ind w:left="720"/>
        <w:rPr>
          <w:rFonts w:asciiTheme="minorHAnsi" w:hAnsiTheme="minorHAnsi" w:cstheme="minorHAnsi"/>
          <w:szCs w:val="24"/>
        </w:rPr>
      </w:pPr>
      <w:r w:rsidRPr="00FB6309">
        <w:rPr>
          <w:rFonts w:asciiTheme="minorHAnsi" w:hAnsiTheme="minorHAnsi" w:cstheme="minorHAnsi"/>
          <w:szCs w:val="24"/>
        </w:rPr>
        <w:t xml:space="preserve">No small businesses are affected by this information collection. </w:t>
      </w:r>
    </w:p>
    <w:p w:rsidRPr="005F4E11" w:rsidR="00EF4C67" w:rsidP="00AD381B" w:rsidRDefault="00EF4C67" w14:paraId="48B8773E"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FB6309" w:rsidR="00EF4C67" w:rsidP="00EF4C67" w:rsidRDefault="00EF4C67" w14:paraId="33BB654D" w14:textId="77777777">
      <w:pPr>
        <w:pStyle w:val="BodyTextIndent"/>
        <w:rPr>
          <w:rFonts w:asciiTheme="minorHAnsi" w:hAnsiTheme="minorHAnsi" w:cstheme="minorHAnsi"/>
        </w:rPr>
      </w:pPr>
      <w:r w:rsidRPr="00FB6309">
        <w:rPr>
          <w:rFonts w:asciiTheme="minorHAnsi" w:hAnsiTheme="minorHAnsi" w:cstheme="minorHAnsi"/>
        </w:rPr>
        <w:t>Absent this data collection form, a borrower’s loan holder would not have sufficient or accurate information required to make eligibility determinations for the statutory deferment authorized for these borrowers.</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that </w:t>
      </w:r>
      <w:r w:rsidRPr="00AD381B">
        <w:rPr>
          <w:rFonts w:ascii="Times New Roman" w:hAnsi="Times New Roman"/>
          <w:b/>
          <w:szCs w:val="24"/>
        </w:rPr>
        <w:lastRenderedPageBreak/>
        <w:t>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FB6309" w:rsidR="00EF4C67" w:rsidP="00EF4C67" w:rsidRDefault="00EF4C67" w14:paraId="5837EBEF" w14:textId="77777777">
      <w:pPr>
        <w:tabs>
          <w:tab w:val="left" w:pos="720"/>
        </w:tabs>
        <w:suppressAutoHyphens/>
        <w:ind w:left="720"/>
        <w:rPr>
          <w:rFonts w:asciiTheme="minorHAnsi" w:hAnsiTheme="minorHAnsi" w:cstheme="minorHAnsi"/>
          <w:szCs w:val="24"/>
        </w:rPr>
      </w:pPr>
      <w:r w:rsidRPr="00FB6309">
        <w:rPr>
          <w:rFonts w:asciiTheme="minorHAnsi" w:hAnsiTheme="minorHAnsi" w:cstheme="minorHAnsi"/>
          <w:szCs w:val="24"/>
        </w:rPr>
        <w:t>This information collection does not involve any of the above conditions.</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00DA58FF" w:rsidP="00DA58FF" w:rsidRDefault="00DA58FF" w14:paraId="08779C2B" w14:textId="078A5DF3">
      <w:pPr>
        <w:ind w:left="720"/>
        <w:rPr>
          <w:rFonts w:asciiTheme="minorHAnsi" w:hAnsiTheme="minorHAnsi" w:cstheme="minorHAnsi"/>
        </w:rPr>
      </w:pPr>
      <w:r w:rsidRPr="00DA58FF">
        <w:rPr>
          <w:rFonts w:asciiTheme="minorHAnsi" w:hAnsiTheme="minorHAnsi" w:cstheme="minorHAnsi"/>
        </w:rPr>
        <w:t xml:space="preserve">On March 8, 2022, a notice was published in the Federal Register, Vol. 87, No. 45 page 12943, inviting public comment on the burden estimates for the Cancer Treatment Deferment form.  The comment period expired May 9, 2022 and 5 comments were received.  The table </w:t>
      </w:r>
      <w:r>
        <w:rPr>
          <w:rFonts w:asciiTheme="minorHAnsi" w:hAnsiTheme="minorHAnsi" w:cstheme="minorHAnsi"/>
        </w:rPr>
        <w:t>attached</w:t>
      </w:r>
      <w:r w:rsidRPr="00DA58FF">
        <w:rPr>
          <w:rFonts w:asciiTheme="minorHAnsi" w:hAnsiTheme="minorHAnsi" w:cstheme="minorHAnsi"/>
        </w:rPr>
        <w:t xml:space="preserve"> shows the comment and FSA’s response to that comment.  </w:t>
      </w:r>
    </w:p>
    <w:p w:rsidR="001673E5" w:rsidP="00DA58FF" w:rsidRDefault="001673E5" w14:paraId="6242EA59" w14:textId="3C254594">
      <w:pPr>
        <w:ind w:left="720"/>
        <w:rPr>
          <w:rFonts w:asciiTheme="minorHAnsi" w:hAnsiTheme="minorHAnsi" w:cstheme="minorHAnsi"/>
        </w:rPr>
      </w:pPr>
    </w:p>
    <w:p w:rsidR="001673E5" w:rsidP="00DA58FF" w:rsidRDefault="001673E5" w14:paraId="7CEB1228" w14:textId="3F55BC76">
      <w:pPr>
        <w:ind w:left="720"/>
        <w:rPr>
          <w:rFonts w:asciiTheme="minorHAnsi" w:hAnsiTheme="minorHAnsi" w:cstheme="minorHAnsi"/>
        </w:rPr>
      </w:pPr>
      <w:r>
        <w:rPr>
          <w:rFonts w:asciiTheme="minorHAnsi" w:hAnsiTheme="minorHAnsi" w:cstheme="minorHAnsi"/>
        </w:rPr>
        <w:t>One change was made to the “Note” in Section 2: Physician Certification to clarify that is it a doctor of medicine or osteopathy legally authorized to practice medicine who is to complete the section if the borrower is not providing separate documentation that provides the required information.  No other change has been made to the form.</w:t>
      </w:r>
    </w:p>
    <w:p w:rsidRPr="00DA58FF" w:rsidR="00DA58FF" w:rsidP="00DA58FF" w:rsidRDefault="00DA58FF" w14:paraId="1A2BEB2A" w14:textId="22CC08BA">
      <w:pPr>
        <w:ind w:left="720"/>
        <w:rPr>
          <w:rFonts w:asciiTheme="minorHAnsi" w:hAnsiTheme="minorHAnsi" w:cstheme="minorHAnsi"/>
        </w:rPr>
      </w:pPr>
      <w:r w:rsidRPr="00DA58FF">
        <w:rPr>
          <w:rFonts w:asciiTheme="minorHAnsi" w:hAnsiTheme="minorHAnsi" w:cstheme="minorHAnsi"/>
        </w:rPr>
        <w:t xml:space="preserve"> </w:t>
      </w:r>
    </w:p>
    <w:p w:rsidRPr="00FB6309" w:rsidR="00EF4C67" w:rsidP="00EF4C67" w:rsidRDefault="00EF4C67" w14:paraId="38934B9D" w14:textId="200EC496">
      <w:pPr>
        <w:tabs>
          <w:tab w:val="left" w:pos="-720"/>
        </w:tabs>
        <w:suppressAutoHyphens/>
        <w:ind w:left="720"/>
        <w:rPr>
          <w:rFonts w:asciiTheme="minorHAnsi" w:hAnsiTheme="minorHAnsi" w:cstheme="minorHAnsi"/>
          <w:szCs w:val="24"/>
        </w:rPr>
      </w:pPr>
      <w:r w:rsidRPr="00FB6309">
        <w:rPr>
          <w:rFonts w:asciiTheme="minorHAnsi" w:hAnsiTheme="minorHAnsi" w:cstheme="minorHAnsi"/>
          <w:szCs w:val="24"/>
        </w:rPr>
        <w:t xml:space="preserve">This is a request for a notice </w:t>
      </w:r>
      <w:r>
        <w:rPr>
          <w:rFonts w:asciiTheme="minorHAnsi" w:hAnsiTheme="minorHAnsi" w:cstheme="minorHAnsi"/>
          <w:szCs w:val="24"/>
        </w:rPr>
        <w:t>in</w:t>
      </w:r>
      <w:r w:rsidRPr="00FB6309">
        <w:rPr>
          <w:rFonts w:asciiTheme="minorHAnsi" w:hAnsiTheme="minorHAnsi" w:cstheme="minorHAnsi"/>
          <w:szCs w:val="24"/>
        </w:rPr>
        <w:t xml:space="preserve"> the Federal Register requesting a </w:t>
      </w:r>
      <w:r w:rsidR="00DA58FF">
        <w:rPr>
          <w:rFonts w:asciiTheme="minorHAnsi" w:hAnsiTheme="minorHAnsi" w:cstheme="minorHAnsi"/>
          <w:szCs w:val="24"/>
        </w:rPr>
        <w:t>3</w:t>
      </w:r>
      <w:r w:rsidRPr="00FB6309">
        <w:rPr>
          <w:rFonts w:asciiTheme="minorHAnsi" w:hAnsiTheme="minorHAnsi" w:cstheme="minorHAnsi"/>
          <w:szCs w:val="24"/>
        </w:rPr>
        <w:t xml:space="preserve">0-day public comment period.   </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FB6309" w:rsidR="00EF4C67" w:rsidP="00EF4C67" w:rsidRDefault="00EF4C67" w14:paraId="522C6A88" w14:textId="77777777">
      <w:pPr>
        <w:tabs>
          <w:tab w:val="left" w:pos="0"/>
        </w:tabs>
        <w:suppressAutoHyphens/>
        <w:ind w:left="720"/>
        <w:rPr>
          <w:rFonts w:asciiTheme="minorHAnsi" w:hAnsiTheme="minorHAnsi" w:cstheme="minorHAnsi"/>
          <w:szCs w:val="24"/>
        </w:rPr>
      </w:pPr>
      <w:r w:rsidRPr="00FB6309">
        <w:rPr>
          <w:rFonts w:asciiTheme="minorHAnsi" w:hAnsiTheme="minorHAnsi" w:cstheme="minorHAnsi"/>
          <w:szCs w:val="24"/>
        </w:rPr>
        <w:t>No payments or gifts have been provided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00920F63" w:rsidP="005F4E11" w:rsidRDefault="00EF4C67" w14:paraId="64280E88" w14:textId="0ADF0AB3">
      <w:pPr>
        <w:tabs>
          <w:tab w:val="left" w:pos="-720"/>
        </w:tabs>
        <w:suppressAutoHyphens/>
        <w:ind w:left="720"/>
        <w:rPr>
          <w:rFonts w:asciiTheme="minorHAnsi" w:hAnsiTheme="minorHAnsi" w:cstheme="minorHAnsi"/>
          <w:szCs w:val="24"/>
        </w:rPr>
      </w:pPr>
      <w:r w:rsidRPr="00FB6309">
        <w:rPr>
          <w:rFonts w:asciiTheme="minorHAnsi" w:hAnsiTheme="minorHAnsi" w:cstheme="minorHAnsi"/>
          <w:szCs w:val="24"/>
        </w:rPr>
        <w:t>The collection include</w:t>
      </w:r>
      <w:r>
        <w:rPr>
          <w:rFonts w:asciiTheme="minorHAnsi" w:hAnsiTheme="minorHAnsi" w:cstheme="minorHAnsi"/>
          <w:szCs w:val="24"/>
        </w:rPr>
        <w:t>s</w:t>
      </w:r>
      <w:r w:rsidRPr="00FB6309">
        <w:rPr>
          <w:rFonts w:asciiTheme="minorHAnsi" w:hAnsiTheme="minorHAnsi" w:cstheme="minorHAnsi"/>
          <w:szCs w:val="24"/>
        </w:rPr>
        <w:t xml:space="preserve"> a Privacy Act Notice that (1) informs borrowers of the statutory authority for the information collection; (2) explains that the disclosure of the information is </w:t>
      </w:r>
      <w:proofErr w:type="gramStart"/>
      <w:r w:rsidRPr="00FB6309">
        <w:rPr>
          <w:rFonts w:asciiTheme="minorHAnsi" w:hAnsiTheme="minorHAnsi" w:cstheme="minorHAnsi"/>
          <w:szCs w:val="24"/>
        </w:rPr>
        <w:t>voluntary, but</w:t>
      </w:r>
      <w:proofErr w:type="gramEnd"/>
      <w:r w:rsidRPr="00FB6309">
        <w:rPr>
          <w:rFonts w:asciiTheme="minorHAnsi" w:hAnsiTheme="minorHAnsi" w:cstheme="minorHAnsi"/>
          <w:szCs w:val="24"/>
        </w:rPr>
        <w:t xml:space="preserve"> is required in order to qualify for a loan forgiveness; and (3) identifies the third parties to whom the information may be disclosed and explains the circumstances under which those disclosures may occur.</w:t>
      </w:r>
      <w:r>
        <w:rPr>
          <w:rFonts w:asciiTheme="minorHAnsi" w:hAnsiTheme="minorHAnsi" w:cstheme="minorHAnsi"/>
          <w:szCs w:val="24"/>
        </w:rPr>
        <w:t xml:space="preserve">  </w:t>
      </w:r>
      <w:r w:rsidR="00616E9C">
        <w:rPr>
          <w:rFonts w:asciiTheme="minorHAnsi" w:hAnsiTheme="minorHAnsi" w:cstheme="minorHAnsi"/>
          <w:szCs w:val="24"/>
        </w:rPr>
        <w:t xml:space="preserve">The appropriate Systems of Records Notice (SORN) is Common Services for Borrowers (CSB) System, </w:t>
      </w:r>
      <w:r w:rsidR="00B632BF">
        <w:rPr>
          <w:rFonts w:asciiTheme="minorHAnsi" w:hAnsiTheme="minorHAnsi" w:cstheme="minorHAnsi"/>
          <w:szCs w:val="24"/>
        </w:rPr>
        <w:t>18-11-16</w:t>
      </w:r>
      <w:r w:rsidR="00616E9C">
        <w:rPr>
          <w:rFonts w:asciiTheme="minorHAnsi" w:hAnsiTheme="minorHAnsi" w:cstheme="minorHAnsi"/>
          <w:szCs w:val="24"/>
        </w:rPr>
        <w:t>.</w:t>
      </w:r>
    </w:p>
    <w:p w:rsidRPr="005F4E11" w:rsidR="00EF4C67" w:rsidP="005F4E11" w:rsidRDefault="00EF4C67" w14:paraId="481A5EB4"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FB6309" w:rsidR="00EF4C67" w:rsidP="00EF4C67" w:rsidRDefault="00EF4C67" w14:paraId="309A1FA1" w14:textId="77777777">
      <w:pPr>
        <w:tabs>
          <w:tab w:val="left" w:pos="0"/>
        </w:tabs>
        <w:suppressAutoHyphens/>
        <w:ind w:left="720"/>
        <w:rPr>
          <w:rFonts w:asciiTheme="minorHAnsi" w:hAnsiTheme="minorHAnsi" w:cstheme="minorHAnsi"/>
          <w:szCs w:val="24"/>
        </w:rPr>
      </w:pPr>
      <w:r w:rsidRPr="00FB6309">
        <w:rPr>
          <w:rFonts w:asciiTheme="minorHAnsi" w:hAnsiTheme="minorHAnsi" w:cstheme="minorHAnsi"/>
          <w:szCs w:val="24"/>
        </w:rPr>
        <w:t>The deferment form requires a borrower to disclose to the borrower’s loan holder that the borrower is receiving treatment for cancer.  This information is necessary as the eligibility criteria for the deferment is only for those receiving such treatment are eligible for the deferment.</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FB6309" w:rsidR="00EF4C67" w:rsidP="00EF4C67" w:rsidRDefault="00EF4C67" w14:paraId="554B87E0" w14:textId="77777777">
      <w:pPr>
        <w:tabs>
          <w:tab w:val="left" w:pos="-720"/>
        </w:tabs>
        <w:suppressAutoHyphens/>
        <w:ind w:left="1080"/>
        <w:rPr>
          <w:rFonts w:asciiTheme="minorHAnsi" w:hAnsiTheme="minorHAnsi" w:cstheme="minorHAnsi"/>
          <w:szCs w:val="24"/>
        </w:rPr>
      </w:pPr>
      <w:r w:rsidRPr="00FB6309">
        <w:rPr>
          <w:rFonts w:asciiTheme="minorHAnsi" w:hAnsiTheme="minorHAnsi" w:cstheme="minorHAnsi"/>
          <w:szCs w:val="24"/>
        </w:rPr>
        <w:t>The Department files this request with the same total annual number of respondents for this renewal collection as was used in the prior filing.  Due to the effects of the COVID-19 pandemic and the suspension of the collection of loans, the Department lacks sufficient data to allow for more accurate updates to the usage of these forms.  There has been no change in the underlying statutes or regulations which support this deferment form.</w:t>
      </w:r>
    </w:p>
    <w:p w:rsidRPr="00FB6309" w:rsidR="00EF4C67" w:rsidP="00EF4C67" w:rsidRDefault="00EF4C67" w14:paraId="4DA88F3D" w14:textId="77777777">
      <w:pPr>
        <w:tabs>
          <w:tab w:val="left" w:pos="-720"/>
        </w:tabs>
        <w:suppressAutoHyphens/>
        <w:ind w:left="1080"/>
        <w:rPr>
          <w:rFonts w:asciiTheme="minorHAnsi" w:hAnsiTheme="minorHAnsi" w:cstheme="minorHAnsi"/>
          <w:szCs w:val="24"/>
        </w:rPr>
      </w:pPr>
    </w:p>
    <w:p w:rsidRPr="00FB6309" w:rsidR="00EF4C67" w:rsidP="00EF4C67" w:rsidRDefault="00EF4C67" w14:paraId="568C0275" w14:textId="3DDC9F1D">
      <w:pPr>
        <w:tabs>
          <w:tab w:val="left" w:pos="-720"/>
        </w:tabs>
        <w:suppressAutoHyphens/>
        <w:ind w:left="1080"/>
        <w:rPr>
          <w:rFonts w:asciiTheme="minorHAnsi" w:hAnsiTheme="minorHAnsi" w:cstheme="minorHAnsi"/>
          <w:szCs w:val="24"/>
        </w:rPr>
      </w:pPr>
      <w:r w:rsidRPr="00FB6309">
        <w:rPr>
          <w:rFonts w:asciiTheme="minorHAnsi" w:hAnsiTheme="minorHAnsi" w:cstheme="minorHAnsi"/>
          <w:szCs w:val="24"/>
        </w:rPr>
        <w:t xml:space="preserve">The estimated time required to complete the collection of information is 10 minutes per request. </w:t>
      </w:r>
      <w:r w:rsidRPr="00FB6309" w:rsidR="00BB03CE">
        <w:rPr>
          <w:rFonts w:asciiTheme="minorHAnsi" w:hAnsiTheme="minorHAnsi" w:cstheme="minorHAnsi"/>
          <w:szCs w:val="24"/>
        </w:rPr>
        <w:t>There are no annual costs to respondents associated with operating or maintaining systems or purchasing services.</w:t>
      </w:r>
      <w:r w:rsidR="00BB03CE">
        <w:rPr>
          <w:rFonts w:asciiTheme="minorHAnsi" w:hAnsiTheme="minorHAnsi" w:cstheme="minorHAnsi"/>
          <w:szCs w:val="24"/>
        </w:rPr>
        <w:t xml:space="preserve">  </w:t>
      </w:r>
      <w:r w:rsidRPr="00FB6309">
        <w:rPr>
          <w:rFonts w:asciiTheme="minorHAnsi" w:hAnsiTheme="minorHAnsi" w:cstheme="minorHAnsi"/>
          <w:szCs w:val="24"/>
        </w:rPr>
        <w:t xml:space="preserve">Based on one response per respondent, this equates to a total estimated annual reporting burden of 833 hours, calculated as follows:  </w:t>
      </w:r>
    </w:p>
    <w:p w:rsidR="00920F63" w:rsidP="00920F63" w:rsidRDefault="00920F63" w14:paraId="64280E95"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E22FD3" w:rsidTr="00E22FD3" w14:paraId="64280EAE" w14:textId="77777777">
        <w:trPr>
          <w:tblHeader/>
        </w:trPr>
        <w:tc>
          <w:tcPr>
            <w:tcW w:w="1345" w:type="dxa"/>
          </w:tcPr>
          <w:p w:rsidRPr="007F6104" w:rsidR="00E22FD3" w:rsidP="00FE1BAE" w:rsidRDefault="00E22FD3" w14:paraId="64280E99" w14:textId="77777777">
            <w:pPr>
              <w:jc w:val="center"/>
              <w:rPr>
                <w:rFonts w:ascii="Times New Roman" w:hAnsi="Times New Roman"/>
                <w:sz w:val="20"/>
              </w:rPr>
            </w:pPr>
            <w:r w:rsidRPr="007F6104">
              <w:rPr>
                <w:rFonts w:ascii="Times New Roman" w:hAnsi="Times New Roman"/>
                <w:sz w:val="20"/>
              </w:rPr>
              <w:lastRenderedPageBreak/>
              <w:t>Information Activity or IC</w:t>
            </w:r>
            <w:r>
              <w:rPr>
                <w:rFonts w:ascii="Times New Roman" w:hAnsi="Times New Roman"/>
                <w:sz w:val="20"/>
              </w:rPr>
              <w:t xml:space="preserve"> (with type of respondent)</w:t>
            </w:r>
          </w:p>
        </w:tc>
        <w:tc>
          <w:tcPr>
            <w:tcW w:w="1275" w:type="dxa"/>
          </w:tcPr>
          <w:p w:rsidRPr="007F6104" w:rsidR="00E22FD3" w:rsidP="00FE1BAE" w:rsidRDefault="00E22FD3"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Pr="007F6104" w:rsidR="00E22FD3" w:rsidP="00FE1BAE" w:rsidRDefault="00E22FD3"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Pr="007F6104" w:rsidR="00E22FD3" w:rsidP="00FE1BAE" w:rsidRDefault="00E22FD3"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Pr="007F6104" w:rsidR="00E22FD3" w:rsidP="00F31BEC" w:rsidRDefault="00E22FD3"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Pr="007F6104" w:rsidR="00E22FD3" w:rsidP="00FE1BAE" w:rsidRDefault="00E22FD3"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Pr="007F6104" w:rsidR="00E22FD3" w:rsidP="00FE1BAE" w:rsidRDefault="00E22FD3"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E22FD3" w:rsidTr="00E22FD3" w14:paraId="64280EB8" w14:textId="77777777">
        <w:tc>
          <w:tcPr>
            <w:tcW w:w="1345" w:type="dxa"/>
          </w:tcPr>
          <w:p w:rsidRPr="00AA5138" w:rsidR="00E22FD3" w:rsidP="00AA5138" w:rsidRDefault="00E22FD3" w14:paraId="64280EAF" w14:textId="290F9851">
            <w:pPr>
              <w:rPr>
                <w:rFonts w:asciiTheme="minorHAnsi" w:hAnsiTheme="minorHAnsi" w:cstheme="minorHAnsi"/>
                <w:szCs w:val="24"/>
              </w:rPr>
            </w:pPr>
            <w:r>
              <w:rPr>
                <w:rFonts w:asciiTheme="minorHAnsi" w:hAnsiTheme="minorHAnsi" w:cstheme="minorHAnsi"/>
                <w:szCs w:val="24"/>
              </w:rPr>
              <w:t>Individual</w:t>
            </w:r>
          </w:p>
        </w:tc>
        <w:tc>
          <w:tcPr>
            <w:tcW w:w="1275" w:type="dxa"/>
          </w:tcPr>
          <w:p w:rsidRPr="00AA5138" w:rsidR="00E22FD3" w:rsidP="00861EBD" w:rsidRDefault="00EF4C67" w14:paraId="64280EB2" w14:textId="51471331">
            <w:pPr>
              <w:jc w:val="center"/>
              <w:rPr>
                <w:rFonts w:asciiTheme="minorHAnsi" w:hAnsiTheme="minorHAnsi" w:cstheme="minorHAnsi"/>
                <w:szCs w:val="24"/>
              </w:rPr>
            </w:pPr>
            <w:r>
              <w:rPr>
                <w:rFonts w:asciiTheme="minorHAnsi" w:hAnsiTheme="minorHAnsi" w:cstheme="minorHAnsi"/>
                <w:szCs w:val="24"/>
              </w:rPr>
              <w:t>5</w:t>
            </w:r>
            <w:r w:rsidR="00861EBD">
              <w:rPr>
                <w:rFonts w:asciiTheme="minorHAnsi" w:hAnsiTheme="minorHAnsi" w:cstheme="minorHAnsi"/>
                <w:szCs w:val="24"/>
              </w:rPr>
              <w:t>,</w:t>
            </w:r>
            <w:r>
              <w:rPr>
                <w:rFonts w:asciiTheme="minorHAnsi" w:hAnsiTheme="minorHAnsi" w:cstheme="minorHAnsi"/>
                <w:szCs w:val="24"/>
              </w:rPr>
              <w:t>000</w:t>
            </w:r>
          </w:p>
        </w:tc>
        <w:tc>
          <w:tcPr>
            <w:tcW w:w="1080" w:type="dxa"/>
          </w:tcPr>
          <w:p w:rsidRPr="00AA5138" w:rsidR="00E22FD3" w:rsidP="00861EBD" w:rsidRDefault="00EF4C67" w14:paraId="64280EB3" w14:textId="6845755C">
            <w:pPr>
              <w:jc w:val="center"/>
              <w:rPr>
                <w:rFonts w:asciiTheme="minorHAnsi" w:hAnsiTheme="minorHAnsi" w:cstheme="minorHAnsi"/>
                <w:szCs w:val="24"/>
              </w:rPr>
            </w:pPr>
            <w:r>
              <w:rPr>
                <w:rFonts w:asciiTheme="minorHAnsi" w:hAnsiTheme="minorHAnsi" w:cstheme="minorHAnsi"/>
                <w:szCs w:val="24"/>
              </w:rPr>
              <w:t>5</w:t>
            </w:r>
            <w:r w:rsidR="00861EBD">
              <w:rPr>
                <w:rFonts w:asciiTheme="minorHAnsi" w:hAnsiTheme="minorHAnsi" w:cstheme="minorHAnsi"/>
                <w:szCs w:val="24"/>
              </w:rPr>
              <w:t>,</w:t>
            </w:r>
            <w:r>
              <w:rPr>
                <w:rFonts w:asciiTheme="minorHAnsi" w:hAnsiTheme="minorHAnsi" w:cstheme="minorHAnsi"/>
                <w:szCs w:val="24"/>
              </w:rPr>
              <w:t>000</w:t>
            </w:r>
          </w:p>
        </w:tc>
        <w:tc>
          <w:tcPr>
            <w:tcW w:w="1335" w:type="dxa"/>
          </w:tcPr>
          <w:p w:rsidRPr="00AA5138" w:rsidR="00E22FD3" w:rsidP="00861EBD" w:rsidRDefault="00BB03CE" w14:paraId="64280EB4" w14:textId="54740C93">
            <w:pPr>
              <w:jc w:val="center"/>
              <w:rPr>
                <w:rFonts w:asciiTheme="minorHAnsi" w:hAnsiTheme="minorHAnsi" w:cstheme="minorHAnsi"/>
                <w:szCs w:val="24"/>
              </w:rPr>
            </w:pPr>
            <w:r>
              <w:rPr>
                <w:rFonts w:asciiTheme="minorHAnsi" w:hAnsiTheme="minorHAnsi" w:cstheme="minorHAnsi"/>
                <w:szCs w:val="24"/>
              </w:rPr>
              <w:t>0.16667</w:t>
            </w:r>
          </w:p>
        </w:tc>
        <w:tc>
          <w:tcPr>
            <w:tcW w:w="900" w:type="dxa"/>
          </w:tcPr>
          <w:p w:rsidRPr="00AA5138" w:rsidR="00E22FD3" w:rsidP="00861EBD" w:rsidRDefault="00BB03CE" w14:paraId="64280EB5" w14:textId="3B84CA40">
            <w:pPr>
              <w:jc w:val="center"/>
              <w:rPr>
                <w:rFonts w:asciiTheme="minorHAnsi" w:hAnsiTheme="minorHAnsi" w:cstheme="minorHAnsi"/>
                <w:szCs w:val="24"/>
              </w:rPr>
            </w:pPr>
            <w:r>
              <w:rPr>
                <w:rFonts w:asciiTheme="minorHAnsi" w:hAnsiTheme="minorHAnsi" w:cstheme="minorHAnsi"/>
                <w:szCs w:val="24"/>
              </w:rPr>
              <w:t>833</w:t>
            </w:r>
          </w:p>
        </w:tc>
        <w:tc>
          <w:tcPr>
            <w:tcW w:w="1530" w:type="dxa"/>
          </w:tcPr>
          <w:p w:rsidRPr="00AA5138" w:rsidR="00E22FD3" w:rsidP="00861EBD" w:rsidRDefault="00861EBD" w14:paraId="64280EB6" w14:textId="44885213">
            <w:pPr>
              <w:tabs>
                <w:tab w:val="left" w:pos="1156"/>
              </w:tabs>
              <w:jc w:val="center"/>
              <w:rPr>
                <w:rFonts w:asciiTheme="minorHAnsi" w:hAnsiTheme="minorHAnsi" w:cstheme="minorHAnsi"/>
                <w:szCs w:val="24"/>
              </w:rPr>
            </w:pPr>
            <w:r>
              <w:rPr>
                <w:rFonts w:asciiTheme="minorHAnsi" w:hAnsiTheme="minorHAnsi" w:cstheme="minorHAnsi"/>
                <w:szCs w:val="24"/>
              </w:rPr>
              <w:t>$</w:t>
            </w:r>
            <w:r w:rsidR="00DA58FF">
              <w:rPr>
                <w:rFonts w:asciiTheme="minorHAnsi" w:hAnsiTheme="minorHAnsi" w:cstheme="minorHAnsi"/>
                <w:szCs w:val="24"/>
              </w:rPr>
              <w:t>20.17</w:t>
            </w:r>
          </w:p>
        </w:tc>
        <w:tc>
          <w:tcPr>
            <w:tcW w:w="1350" w:type="dxa"/>
          </w:tcPr>
          <w:p w:rsidRPr="00AA5138" w:rsidR="00E22FD3" w:rsidP="00861EBD" w:rsidRDefault="00861EBD" w14:paraId="64280EB7" w14:textId="6E5A33D7">
            <w:pPr>
              <w:jc w:val="center"/>
              <w:rPr>
                <w:rFonts w:asciiTheme="minorHAnsi" w:hAnsiTheme="minorHAnsi" w:cstheme="minorHAnsi"/>
                <w:szCs w:val="24"/>
              </w:rPr>
            </w:pPr>
            <w:r>
              <w:rPr>
                <w:rFonts w:asciiTheme="minorHAnsi" w:hAnsiTheme="minorHAnsi" w:cstheme="minorHAnsi"/>
                <w:szCs w:val="24"/>
              </w:rPr>
              <w:t>$1</w:t>
            </w:r>
            <w:r w:rsidR="00DA58FF">
              <w:rPr>
                <w:rFonts w:asciiTheme="minorHAnsi" w:hAnsiTheme="minorHAnsi" w:cstheme="minorHAnsi"/>
                <w:szCs w:val="24"/>
              </w:rPr>
              <w:t>6</w:t>
            </w:r>
            <w:r>
              <w:rPr>
                <w:rFonts w:asciiTheme="minorHAnsi" w:hAnsiTheme="minorHAnsi" w:cstheme="minorHAnsi"/>
                <w:szCs w:val="24"/>
              </w:rPr>
              <w:t>,</w:t>
            </w:r>
            <w:r w:rsidR="00DA58FF">
              <w:rPr>
                <w:rFonts w:asciiTheme="minorHAnsi" w:hAnsiTheme="minorHAnsi" w:cstheme="minorHAnsi"/>
                <w:szCs w:val="24"/>
              </w:rPr>
              <w:t>802</w:t>
            </w:r>
          </w:p>
        </w:tc>
      </w:tr>
      <w:tr w:rsidRPr="00442E07" w:rsidR="00E22FD3" w:rsidTr="00E22FD3" w14:paraId="64280EE0" w14:textId="77777777">
        <w:tc>
          <w:tcPr>
            <w:tcW w:w="1345" w:type="dxa"/>
          </w:tcPr>
          <w:p w:rsidRPr="00442E07" w:rsidR="00E22FD3" w:rsidP="00AA5138" w:rsidRDefault="00E22FD3" w14:paraId="64280ED7" w14:textId="77777777">
            <w:pPr>
              <w:rPr>
                <w:rFonts w:ascii="Times New Roman" w:hAnsi="Times New Roman"/>
                <w:szCs w:val="24"/>
              </w:rPr>
            </w:pPr>
            <w:r>
              <w:rPr>
                <w:rFonts w:ascii="Times New Roman" w:hAnsi="Times New Roman"/>
                <w:szCs w:val="24"/>
              </w:rPr>
              <w:t>Annualized Totals</w:t>
            </w:r>
          </w:p>
        </w:tc>
        <w:tc>
          <w:tcPr>
            <w:tcW w:w="1275" w:type="dxa"/>
          </w:tcPr>
          <w:p w:rsidRPr="00AA5138" w:rsidR="00E22FD3" w:rsidP="00861EBD" w:rsidRDefault="00861EBD" w14:paraId="64280EDA" w14:textId="2EB81D36">
            <w:pPr>
              <w:jc w:val="center"/>
              <w:rPr>
                <w:rFonts w:asciiTheme="minorHAnsi" w:hAnsiTheme="minorHAnsi" w:cstheme="minorHAnsi"/>
                <w:b/>
                <w:bCs/>
                <w:szCs w:val="24"/>
              </w:rPr>
            </w:pPr>
            <w:r>
              <w:rPr>
                <w:rFonts w:asciiTheme="minorHAnsi" w:hAnsiTheme="minorHAnsi" w:cstheme="minorHAnsi"/>
                <w:b/>
                <w:bCs/>
                <w:szCs w:val="24"/>
              </w:rPr>
              <w:t>5,000</w:t>
            </w:r>
          </w:p>
        </w:tc>
        <w:tc>
          <w:tcPr>
            <w:tcW w:w="1080" w:type="dxa"/>
          </w:tcPr>
          <w:p w:rsidRPr="00AA5138" w:rsidR="00E22FD3" w:rsidP="00861EBD" w:rsidRDefault="00861EBD" w14:paraId="64280EDB" w14:textId="4BB434F8">
            <w:pPr>
              <w:jc w:val="center"/>
              <w:rPr>
                <w:rFonts w:asciiTheme="minorHAnsi" w:hAnsiTheme="minorHAnsi" w:cstheme="minorHAnsi"/>
                <w:b/>
                <w:bCs/>
                <w:szCs w:val="24"/>
              </w:rPr>
            </w:pPr>
            <w:r>
              <w:rPr>
                <w:rFonts w:asciiTheme="minorHAnsi" w:hAnsiTheme="minorHAnsi" w:cstheme="minorHAnsi"/>
                <w:b/>
                <w:bCs/>
                <w:szCs w:val="24"/>
              </w:rPr>
              <w:t>5,000</w:t>
            </w:r>
          </w:p>
        </w:tc>
        <w:tc>
          <w:tcPr>
            <w:tcW w:w="1335" w:type="dxa"/>
          </w:tcPr>
          <w:p w:rsidRPr="00AA5138" w:rsidR="00E22FD3" w:rsidP="00861EBD" w:rsidRDefault="00E22FD3" w14:paraId="64280EDC" w14:textId="77777777">
            <w:pPr>
              <w:jc w:val="center"/>
              <w:rPr>
                <w:rFonts w:asciiTheme="minorHAnsi" w:hAnsiTheme="minorHAnsi" w:cstheme="minorHAnsi"/>
                <w:b/>
                <w:bCs/>
                <w:szCs w:val="24"/>
              </w:rPr>
            </w:pPr>
          </w:p>
        </w:tc>
        <w:tc>
          <w:tcPr>
            <w:tcW w:w="900" w:type="dxa"/>
          </w:tcPr>
          <w:p w:rsidRPr="00AA5138" w:rsidR="00E22FD3" w:rsidP="00861EBD" w:rsidRDefault="00861EBD" w14:paraId="64280EDD" w14:textId="00AD1D87">
            <w:pPr>
              <w:jc w:val="center"/>
              <w:rPr>
                <w:rFonts w:asciiTheme="minorHAnsi" w:hAnsiTheme="minorHAnsi" w:cstheme="minorHAnsi"/>
                <w:b/>
                <w:bCs/>
                <w:szCs w:val="24"/>
              </w:rPr>
            </w:pPr>
            <w:r>
              <w:rPr>
                <w:rFonts w:asciiTheme="minorHAnsi" w:hAnsiTheme="minorHAnsi" w:cstheme="minorHAnsi"/>
                <w:b/>
                <w:bCs/>
                <w:szCs w:val="24"/>
              </w:rPr>
              <w:t>833</w:t>
            </w:r>
          </w:p>
        </w:tc>
        <w:tc>
          <w:tcPr>
            <w:tcW w:w="1530" w:type="dxa"/>
          </w:tcPr>
          <w:p w:rsidRPr="00AA5138" w:rsidR="00E22FD3" w:rsidP="00861EBD" w:rsidRDefault="00E22FD3" w14:paraId="64280EDE" w14:textId="77777777">
            <w:pPr>
              <w:jc w:val="center"/>
              <w:rPr>
                <w:rFonts w:asciiTheme="minorHAnsi" w:hAnsiTheme="minorHAnsi" w:cstheme="minorHAnsi"/>
                <w:b/>
                <w:bCs/>
                <w:szCs w:val="24"/>
              </w:rPr>
            </w:pPr>
          </w:p>
        </w:tc>
        <w:tc>
          <w:tcPr>
            <w:tcW w:w="1350" w:type="dxa"/>
          </w:tcPr>
          <w:p w:rsidRPr="00AA5138" w:rsidR="00E22FD3" w:rsidP="00861EBD" w:rsidRDefault="00861EBD" w14:paraId="64280EDF" w14:textId="2D968068">
            <w:pPr>
              <w:jc w:val="center"/>
              <w:rPr>
                <w:rFonts w:asciiTheme="minorHAnsi" w:hAnsiTheme="minorHAnsi" w:cstheme="minorHAnsi"/>
                <w:b/>
                <w:bCs/>
                <w:szCs w:val="24"/>
              </w:rPr>
            </w:pPr>
            <w:r>
              <w:rPr>
                <w:rFonts w:asciiTheme="minorHAnsi" w:hAnsiTheme="minorHAnsi" w:cstheme="minorHAnsi"/>
                <w:b/>
                <w:bCs/>
                <w:szCs w:val="24"/>
              </w:rPr>
              <w:t>$1</w:t>
            </w:r>
            <w:r w:rsidR="00DA58FF">
              <w:rPr>
                <w:rFonts w:asciiTheme="minorHAnsi" w:hAnsiTheme="minorHAnsi" w:cstheme="minorHAnsi"/>
                <w:b/>
                <w:bCs/>
                <w:szCs w:val="24"/>
              </w:rPr>
              <w:t>6</w:t>
            </w:r>
            <w:r>
              <w:rPr>
                <w:rFonts w:asciiTheme="minorHAnsi" w:hAnsiTheme="minorHAnsi" w:cstheme="minorHAnsi"/>
                <w:b/>
                <w:bCs/>
                <w:szCs w:val="24"/>
              </w:rPr>
              <w:t>,</w:t>
            </w:r>
            <w:r w:rsidR="00DA58FF">
              <w:rPr>
                <w:rFonts w:asciiTheme="minorHAnsi" w:hAnsiTheme="minorHAnsi" w:cstheme="minorHAnsi"/>
                <w:b/>
                <w:bCs/>
                <w:szCs w:val="24"/>
              </w:rPr>
              <w:t>802</w:t>
            </w:r>
          </w:p>
        </w:tc>
      </w:tr>
    </w:tbl>
    <w:p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Pr="00DA58FF" w:rsidR="00DA58FF" w:rsidP="00DA58FF" w:rsidRDefault="00DA58FF" w14:paraId="4F2B9D2B" w14:textId="169364CE">
      <w:pPr>
        <w:pStyle w:val="ListParagraph"/>
        <w:tabs>
          <w:tab w:val="left" w:pos="-720"/>
        </w:tabs>
        <w:suppressAutoHyphens/>
        <w:rPr>
          <w:rStyle w:val="a"/>
          <w:rFonts w:asciiTheme="minorHAnsi" w:hAnsiTheme="minorHAnsi" w:cstheme="minorHAnsi"/>
          <w:b/>
          <w:bCs/>
          <w:i/>
          <w:iCs/>
          <w:sz w:val="22"/>
          <w:szCs w:val="22"/>
        </w:rPr>
      </w:pPr>
      <w:r w:rsidRPr="00DA58FF">
        <w:rPr>
          <w:rFonts w:asciiTheme="minorHAnsi" w:hAnsiTheme="minorHAnsi" w:cstheme="minorHAnsi"/>
        </w:rPr>
        <w:t xml:space="preserve">For overall borrowers, the median hourly wage for all occupations (probably low for college graduate population but allows for non-graduates as well) is $20.17 per hour according to BLS. </w:t>
      </w:r>
      <w:hyperlink w:history="1" w:anchor="00-0000" r:id="rId12">
        <w:r w:rsidRPr="00DA58FF">
          <w:rPr>
            <w:rStyle w:val="Hyperlink"/>
            <w:rFonts w:asciiTheme="minorHAnsi" w:hAnsiTheme="minorHAnsi" w:cstheme="minorHAnsi"/>
          </w:rPr>
          <w:t>https://www.bls.gov/oes/current/oes_nat.htm#00-0000</w:t>
        </w:r>
      </w:hyperlink>
      <w:r w:rsidRPr="00DA58FF">
        <w:rPr>
          <w:rFonts w:asciiTheme="minorHAnsi" w:hAnsiTheme="minorHAnsi" w:cstheme="minorHAnsi"/>
        </w:rPr>
        <w:t> </w:t>
      </w:r>
    </w:p>
    <w:p w:rsidR="00DA58FF" w:rsidP="000446F5" w:rsidRDefault="00DA58FF" w14:paraId="4EA07692" w14:textId="77777777">
      <w:pPr>
        <w:pStyle w:val="ListParagraph"/>
        <w:tabs>
          <w:tab w:val="left" w:pos="-720"/>
        </w:tabs>
        <w:suppressAutoHyphens/>
        <w:ind w:left="-864" w:right="-864"/>
        <w:rPr>
          <w:rStyle w:val="a"/>
          <w:rFonts w:ascii="Times New Roman" w:hAnsi="Times New Roman"/>
          <w:b/>
          <w:bCs/>
          <w:i/>
          <w:iCs/>
          <w:sz w:val="22"/>
          <w:szCs w:val="22"/>
        </w:rPr>
      </w:pPr>
    </w:p>
    <w:p w:rsidRPr="00AF5D1A" w:rsidR="00F31BEC" w:rsidP="000446F5" w:rsidRDefault="00F31BEC" w14:paraId="64280EE2" w14:textId="57395C8D">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w:t>
      </w:r>
      <w:r w:rsidRPr="00ED7195">
        <w:rPr>
          <w:rFonts w:ascii="Times New Roman" w:hAnsi="Times New Roman"/>
          <w:b/>
          <w:szCs w:val="24"/>
        </w:rPr>
        <w:lastRenderedPageBreak/>
        <w:t>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rsidRDefault="00BB03CE" w14:paraId="124B3696" w14:textId="6A79C61F">
      <w:pPr>
        <w:tabs>
          <w:tab w:val="left" w:pos="-720"/>
        </w:tabs>
        <w:suppressAutoHyphens/>
        <w:rPr>
          <w:rFonts w:ascii="Times New Roman" w:hAnsi="Times New Roman"/>
          <w:b/>
          <w:szCs w:val="24"/>
        </w:rPr>
      </w:pPr>
    </w:p>
    <w:p w:rsidRPr="00FB6309" w:rsidR="00BB03CE" w:rsidP="00BB03CE" w:rsidRDefault="00BB03CE" w14:paraId="5A2DA262" w14:textId="77777777">
      <w:pPr>
        <w:tabs>
          <w:tab w:val="left" w:pos="-720"/>
        </w:tabs>
        <w:suppressAutoHyphens/>
        <w:ind w:left="720"/>
        <w:rPr>
          <w:rFonts w:asciiTheme="minorHAnsi" w:hAnsiTheme="minorHAnsi" w:cstheme="minorHAnsi"/>
          <w:szCs w:val="24"/>
        </w:rPr>
      </w:pPr>
      <w:r w:rsidRPr="00FB6309">
        <w:rPr>
          <w:rFonts w:asciiTheme="minorHAnsi" w:hAnsiTheme="minorHAnsi" w:cstheme="minorHAnsi"/>
          <w:szCs w:val="24"/>
        </w:rPr>
        <w:t>There are no capital/startup costs to respondents.</w:t>
      </w:r>
    </w:p>
    <w:p w:rsidR="00043C32" w:rsidP="00AD381B" w:rsidRDefault="00043C32" w14:paraId="64280EEF"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FB6309" w:rsidR="00BB03CE" w:rsidP="00BB03CE" w:rsidRDefault="00BB03CE" w14:paraId="006FA0FD" w14:textId="77777777">
      <w:pPr>
        <w:ind w:left="720"/>
        <w:rPr>
          <w:rFonts w:asciiTheme="minorHAnsi" w:hAnsiTheme="minorHAnsi" w:cstheme="minorHAnsi"/>
          <w:szCs w:val="24"/>
        </w:rPr>
      </w:pPr>
      <w:r w:rsidRPr="00FB6309">
        <w:rPr>
          <w:rFonts w:asciiTheme="minorHAnsi" w:hAnsiTheme="minorHAnsi" w:cstheme="minorHAnsi"/>
          <w:szCs w:val="24"/>
        </w:rPr>
        <w:t>There is no significant cost to the federal government related to these processes for its loan portfolio and the Department includes this type of information collection in its contracts for these services.  The Department does not pay for regulated entities in the FFEL or Perkins Loan programs to implement forms.</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Pr="007A5F49" w:rsidR="0052073E" w:rsidP="007A5F49" w:rsidRDefault="004163CA" w14:paraId="64280EFE" w14:textId="7C7BD3F5">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0</w:t>
            </w: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Pr="007A5F49" w:rsidR="0052073E" w:rsidP="007A5F49" w:rsidRDefault="004163CA" w14:paraId="64280F03" w14:textId="70D839CF">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0</w:t>
            </w: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Pr="007A5F49" w:rsidR="0052073E" w:rsidP="007A5F49" w:rsidRDefault="007A5F49" w14:paraId="64280F08" w14:textId="46782A2B">
            <w:pPr>
              <w:tabs>
                <w:tab w:val="left" w:pos="-720"/>
              </w:tabs>
              <w:suppressAutoHyphens/>
              <w:jc w:val="center"/>
              <w:rPr>
                <w:rFonts w:asciiTheme="minorHAnsi" w:hAnsiTheme="minorHAnsi" w:cstheme="minorHAnsi"/>
                <w:b/>
                <w:szCs w:val="24"/>
              </w:rPr>
            </w:pPr>
            <w:r w:rsidRPr="007A5F49">
              <w:rPr>
                <w:rFonts w:asciiTheme="minorHAnsi" w:hAnsiTheme="minorHAnsi" w:cstheme="minorHAnsi"/>
                <w:szCs w:val="24"/>
              </w:rPr>
              <w:t>$</w:t>
            </w:r>
            <w:r w:rsidR="004163CA">
              <w:rPr>
                <w:rFonts w:asciiTheme="minorHAnsi" w:hAnsiTheme="minorHAnsi" w:cstheme="minorHAnsi"/>
                <w:szCs w:val="24"/>
              </w:rPr>
              <w:t>0</w:t>
            </w: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FB6309" w:rsidR="00BB03CE" w:rsidP="00BB03CE" w:rsidRDefault="00BB03CE" w14:paraId="6566D56D" w14:textId="77777777">
      <w:pPr>
        <w:tabs>
          <w:tab w:val="left" w:pos="-720"/>
        </w:tabs>
        <w:suppressAutoHyphens/>
        <w:ind w:left="720"/>
        <w:rPr>
          <w:rFonts w:asciiTheme="minorHAnsi" w:hAnsiTheme="minorHAnsi" w:cstheme="minorHAnsi"/>
          <w:szCs w:val="24"/>
        </w:rPr>
      </w:pPr>
      <w:r w:rsidRPr="00FB6309">
        <w:rPr>
          <w:rFonts w:asciiTheme="minorHAnsi" w:hAnsiTheme="minorHAnsi" w:cstheme="minorHAnsi"/>
          <w:szCs w:val="24"/>
        </w:rPr>
        <w:lastRenderedPageBreak/>
        <w:t>This is an information collection renewal.  The annual burden to individuals remains an estimated total 833 hours based on an estimated 5,000 borrowers.  The Department files this request with the same total annual number of respondents for this renewal collection as was used in the prior filing.  Due to the effects of the COVID-19 pandemic and the suspension of the collection of loans, the Department lacks sufficient data to allow for more accurate updates to the usage of these forms.  There has been no change in the underlying statutes or regulations which support this deferment form.</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FB6309" w:rsidR="00BB03CE" w:rsidP="00BB03CE" w:rsidRDefault="00BB03CE" w14:paraId="02E31F69" w14:textId="77777777">
      <w:pPr>
        <w:tabs>
          <w:tab w:val="left" w:pos="-720"/>
        </w:tabs>
        <w:suppressAutoHyphens/>
        <w:ind w:left="720"/>
        <w:rPr>
          <w:rFonts w:asciiTheme="minorHAnsi" w:hAnsiTheme="minorHAnsi" w:cstheme="minorHAnsi"/>
          <w:szCs w:val="24"/>
        </w:rPr>
      </w:pPr>
      <w:r w:rsidRPr="00FB6309">
        <w:rPr>
          <w:rFonts w:asciiTheme="minorHAnsi" w:hAnsiTheme="minorHAnsi" w:cstheme="minorHAnsi"/>
          <w:szCs w:val="24"/>
        </w:rPr>
        <w:t>The results of this information collection will not be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FB6309" w:rsidR="00BB03CE" w:rsidP="00BB03CE" w:rsidRDefault="00BB03CE" w14:paraId="204081A4" w14:textId="77777777">
      <w:pPr>
        <w:tabs>
          <w:tab w:val="left" w:pos="-720"/>
        </w:tabs>
        <w:suppressAutoHyphens/>
        <w:ind w:left="720"/>
        <w:rPr>
          <w:rFonts w:asciiTheme="minorHAnsi" w:hAnsiTheme="minorHAnsi" w:cstheme="minorHAnsi"/>
          <w:szCs w:val="24"/>
        </w:rPr>
      </w:pPr>
      <w:r w:rsidRPr="00FB6309">
        <w:rPr>
          <w:rFonts w:asciiTheme="minorHAnsi" w:hAnsiTheme="minorHAnsi" w:cstheme="minorHAnsi"/>
          <w:szCs w:val="24"/>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FB6309" w:rsidR="00BB03CE" w:rsidP="00BB03CE" w:rsidRDefault="00BB03CE" w14:paraId="57056D8D" w14:textId="77777777">
      <w:pPr>
        <w:tabs>
          <w:tab w:val="left" w:pos="-720"/>
        </w:tabs>
        <w:suppressAutoHyphens/>
        <w:ind w:left="720"/>
        <w:rPr>
          <w:rFonts w:asciiTheme="minorHAnsi" w:hAnsiTheme="minorHAnsi" w:cstheme="minorHAnsi"/>
          <w:szCs w:val="24"/>
        </w:rPr>
      </w:pPr>
      <w:r w:rsidRPr="00FB6309">
        <w:rPr>
          <w:rFonts w:asciiTheme="minorHAnsi" w:hAnsiTheme="minorHAnsi" w:cstheme="minorHAnsi"/>
          <w:szCs w:val="24"/>
        </w:rPr>
        <w:t>The Department is not requesting any exceptions to the "Certification for Paperwork Reduction Act Submissions".</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9522" w14:textId="77777777" w:rsidR="00834A62" w:rsidRDefault="00834A62" w:rsidP="00043C32">
      <w:r>
        <w:separator/>
      </w:r>
    </w:p>
  </w:endnote>
  <w:endnote w:type="continuationSeparator" w:id="0">
    <w:p w14:paraId="451A69C0" w14:textId="77777777" w:rsidR="00834A62" w:rsidRDefault="00834A6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604DA7">
    <w:pPr>
      <w:spacing w:before="140" w:line="100" w:lineRule="exact"/>
      <w:rPr>
        <w:sz w:val="10"/>
      </w:rPr>
    </w:pPr>
  </w:p>
  <w:p w14:paraId="64280F19" w14:textId="77777777" w:rsidR="00386054" w:rsidRDefault="00604DA7">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3EA7" w14:textId="77777777" w:rsidR="00834A62" w:rsidRDefault="00834A62" w:rsidP="00043C32">
      <w:r>
        <w:separator/>
      </w:r>
    </w:p>
  </w:footnote>
  <w:footnote w:type="continuationSeparator" w:id="0">
    <w:p w14:paraId="37022C58" w14:textId="77777777" w:rsidR="00834A62" w:rsidRDefault="00834A62"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78C0C368"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EF4C67">
      <w:rPr>
        <w:rFonts w:ascii="Times New Roman" w:hAnsi="Times New Roman"/>
        <w:szCs w:val="24"/>
      </w:rPr>
      <w:t>1845-0154</w:t>
    </w:r>
    <w:r w:rsidR="00E22FD3">
      <w:rPr>
        <w:rFonts w:ascii="Times New Roman" w:hAnsi="Times New Roman"/>
        <w:szCs w:val="24"/>
      </w:rPr>
      <w:tab/>
    </w:r>
    <w:r w:rsidRPr="00C875E8">
      <w:rPr>
        <w:rFonts w:ascii="Times New Roman" w:hAnsi="Times New Roman"/>
        <w:szCs w:val="24"/>
      </w:rPr>
      <w:t xml:space="preserve">Revised: </w:t>
    </w:r>
    <w:r w:rsidR="00DA58FF">
      <w:rPr>
        <w:rFonts w:ascii="Times New Roman" w:hAnsi="Times New Roman"/>
        <w:szCs w:val="24"/>
      </w:rPr>
      <w:t>6/8</w:t>
    </w:r>
    <w:r w:rsidR="00EF4C67">
      <w:rPr>
        <w:rFonts w:ascii="Times New Roman" w:hAnsi="Times New Roman"/>
        <w:szCs w:val="24"/>
      </w:rPr>
      <w:t>/2022</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800049">
    <w:abstractNumId w:val="0"/>
  </w:num>
  <w:num w:numId="2" w16cid:durableId="840894103">
    <w:abstractNumId w:val="2"/>
  </w:num>
  <w:num w:numId="3" w16cid:durableId="72747649">
    <w:abstractNumId w:val="1"/>
  </w:num>
  <w:num w:numId="4" w16cid:durableId="836114958">
    <w:abstractNumId w:val="3"/>
  </w:num>
  <w:num w:numId="5" w16cid:durableId="2009936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1673E5"/>
    <w:rsid w:val="001824F3"/>
    <w:rsid w:val="001A6AE0"/>
    <w:rsid w:val="001C73C0"/>
    <w:rsid w:val="001E79BD"/>
    <w:rsid w:val="002225CC"/>
    <w:rsid w:val="00224A3B"/>
    <w:rsid w:val="00240A39"/>
    <w:rsid w:val="00246FE9"/>
    <w:rsid w:val="00250100"/>
    <w:rsid w:val="00262A69"/>
    <w:rsid w:val="00270AF7"/>
    <w:rsid w:val="002A3221"/>
    <w:rsid w:val="002C3520"/>
    <w:rsid w:val="002E14E0"/>
    <w:rsid w:val="002F55E5"/>
    <w:rsid w:val="0032078A"/>
    <w:rsid w:val="0032539E"/>
    <w:rsid w:val="003860E4"/>
    <w:rsid w:val="003B1545"/>
    <w:rsid w:val="00412915"/>
    <w:rsid w:val="004163CA"/>
    <w:rsid w:val="00442E07"/>
    <w:rsid w:val="0052073E"/>
    <w:rsid w:val="00534B4A"/>
    <w:rsid w:val="00575DDA"/>
    <w:rsid w:val="00581C11"/>
    <w:rsid w:val="005F4E11"/>
    <w:rsid w:val="00604DA7"/>
    <w:rsid w:val="00616E9C"/>
    <w:rsid w:val="0068567A"/>
    <w:rsid w:val="006A292A"/>
    <w:rsid w:val="006A38F7"/>
    <w:rsid w:val="006A4EBB"/>
    <w:rsid w:val="006B4172"/>
    <w:rsid w:val="00713B69"/>
    <w:rsid w:val="00755D99"/>
    <w:rsid w:val="00756FD3"/>
    <w:rsid w:val="00765392"/>
    <w:rsid w:val="00790E3E"/>
    <w:rsid w:val="007A5F49"/>
    <w:rsid w:val="007C0A4C"/>
    <w:rsid w:val="007F6104"/>
    <w:rsid w:val="00800D30"/>
    <w:rsid w:val="00807D1A"/>
    <w:rsid w:val="00834A62"/>
    <w:rsid w:val="00861EBD"/>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0D2F"/>
    <w:rsid w:val="00B54167"/>
    <w:rsid w:val="00B62E06"/>
    <w:rsid w:val="00B632BF"/>
    <w:rsid w:val="00B64B1D"/>
    <w:rsid w:val="00B6729C"/>
    <w:rsid w:val="00B9671B"/>
    <w:rsid w:val="00BA1D31"/>
    <w:rsid w:val="00BB03CE"/>
    <w:rsid w:val="00BC1A67"/>
    <w:rsid w:val="00C164D3"/>
    <w:rsid w:val="00C20670"/>
    <w:rsid w:val="00C224FD"/>
    <w:rsid w:val="00C86713"/>
    <w:rsid w:val="00C875E8"/>
    <w:rsid w:val="00C92035"/>
    <w:rsid w:val="00CC2A72"/>
    <w:rsid w:val="00CC3FB5"/>
    <w:rsid w:val="00CD2067"/>
    <w:rsid w:val="00CD47BC"/>
    <w:rsid w:val="00D34984"/>
    <w:rsid w:val="00D36C35"/>
    <w:rsid w:val="00D75313"/>
    <w:rsid w:val="00DA58FF"/>
    <w:rsid w:val="00E16ACD"/>
    <w:rsid w:val="00E17134"/>
    <w:rsid w:val="00E22FD3"/>
    <w:rsid w:val="00E25EBC"/>
    <w:rsid w:val="00E66550"/>
    <w:rsid w:val="00E877BF"/>
    <w:rsid w:val="00EA1767"/>
    <w:rsid w:val="00EB0929"/>
    <w:rsid w:val="00EB0FA5"/>
    <w:rsid w:val="00EC01DD"/>
    <w:rsid w:val="00EC35E3"/>
    <w:rsid w:val="00ED7195"/>
    <w:rsid w:val="00EF4C67"/>
    <w:rsid w:val="00F0414F"/>
    <w:rsid w:val="00F070F3"/>
    <w:rsid w:val="00F27AAF"/>
    <w:rsid w:val="00F31BEC"/>
    <w:rsid w:val="00F5782B"/>
    <w:rsid w:val="00F73131"/>
    <w:rsid w:val="00F74288"/>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2936</Words>
  <Characters>16740</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2022-06-08T15:37:00Z</dcterms:created>
  <dcterms:modified xsi:type="dcterms:W3CDTF">2022-06-08T15:37:00Z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