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74288" w:rsidR="00043C32" w:rsidP="00AD381B" w:rsidRDefault="00043C32" w14:paraId="64280E54" w14:textId="77777777">
      <w:pPr>
        <w:pStyle w:val="Heading1"/>
        <w:rPr>
          <w:b/>
          <w:bCs/>
          <w:sz w:val="24"/>
          <w:szCs w:val="24"/>
        </w:rPr>
      </w:pPr>
      <w:r w:rsidRPr="00F74288">
        <w:rPr>
          <w:b/>
          <w:bCs/>
          <w:sz w:val="24"/>
          <w:szCs w:val="24"/>
        </w:rPr>
        <w:t>SUPPORTING STATEMENT</w:t>
      </w:r>
    </w:p>
    <w:p w:rsidRPr="00F74288" w:rsidR="00043C32" w:rsidP="00AD381B" w:rsidRDefault="00043C32" w14:paraId="64280E55" w14:textId="0EEBC467">
      <w:pPr>
        <w:pStyle w:val="Heading1"/>
        <w:rPr>
          <w:b/>
          <w:bCs/>
          <w:sz w:val="24"/>
          <w:szCs w:val="24"/>
        </w:rPr>
      </w:pPr>
      <w:r w:rsidRPr="00F74288">
        <w:rPr>
          <w:b/>
          <w:bCs/>
          <w:sz w:val="24"/>
          <w:szCs w:val="24"/>
        </w:rPr>
        <w:t>FOR PAPERWORK REDUCTION ACT SUBMISSION</w:t>
      </w:r>
    </w:p>
    <w:p w:rsidRPr="00290CAB" w:rsidR="00043C32" w:rsidP="00290CAB" w:rsidRDefault="00A16FA0" w14:paraId="64280E56" w14:textId="21FCA4D5">
      <w:pPr>
        <w:tabs>
          <w:tab w:val="left" w:pos="0"/>
        </w:tabs>
        <w:suppressAutoHyphens/>
        <w:jc w:val="center"/>
        <w:rPr>
          <w:rFonts w:ascii="Calibri" w:hAnsi="Calibri"/>
          <w:szCs w:val="24"/>
        </w:rPr>
      </w:pPr>
      <w:r w:rsidRPr="00290CAB">
        <w:rPr>
          <w:rFonts w:ascii="Calibri" w:hAnsi="Calibri"/>
          <w:szCs w:val="24"/>
        </w:rPr>
        <w:t>William D. Ford Federal Direct Loan Program (Direct Loan Program) Promissory Notes</w:t>
      </w:r>
    </w:p>
    <w:p w:rsidRPr="00290CAB" w:rsidR="00290CAB" w:rsidP="00290CAB" w:rsidRDefault="00290CAB" w14:paraId="2C9DB255" w14:textId="77777777">
      <w:pPr>
        <w:pStyle w:val="Title"/>
        <w:spacing w:before="0" w:after="0"/>
        <w:ind w:left="720"/>
        <w:jc w:val="left"/>
        <w:rPr>
          <w:rFonts w:ascii="Calibri" w:hAnsi="Calibri"/>
          <w:b w:val="0"/>
          <w:sz w:val="24"/>
          <w:szCs w:val="24"/>
        </w:rPr>
      </w:pPr>
      <w:r w:rsidRPr="00290CAB">
        <w:rPr>
          <w:rFonts w:ascii="Calibri" w:hAnsi="Calibri"/>
          <w:b w:val="0"/>
          <w:sz w:val="24"/>
          <w:szCs w:val="24"/>
        </w:rPr>
        <w:t>Direct Subsidized Loan and Direct Unsubsidized Loan Master Promissory Note</w:t>
      </w:r>
    </w:p>
    <w:p w:rsidRPr="00290CAB" w:rsidR="00290CAB" w:rsidP="00290CAB" w:rsidRDefault="00290CAB" w14:paraId="7FED3BCA" w14:textId="77777777">
      <w:pPr>
        <w:pStyle w:val="Title"/>
        <w:spacing w:before="0" w:after="0"/>
        <w:ind w:left="720"/>
        <w:jc w:val="left"/>
        <w:rPr>
          <w:rFonts w:ascii="Calibri" w:hAnsi="Calibri"/>
          <w:b w:val="0"/>
          <w:sz w:val="24"/>
          <w:szCs w:val="24"/>
        </w:rPr>
      </w:pPr>
      <w:r w:rsidRPr="00290CAB">
        <w:rPr>
          <w:rFonts w:ascii="Calibri" w:hAnsi="Calibri"/>
          <w:b w:val="0"/>
          <w:sz w:val="24"/>
          <w:szCs w:val="24"/>
        </w:rPr>
        <w:t>Direct PLUS Loan Master Promissory Note and Direct PLUS Loan Endorser Addendum</w:t>
      </w:r>
    </w:p>
    <w:p w:rsidRPr="00290CAB" w:rsidR="00290CAB" w:rsidP="00290CAB" w:rsidRDefault="00290CAB" w14:paraId="7CB35759" w14:textId="77777777">
      <w:pPr>
        <w:pStyle w:val="Title"/>
        <w:spacing w:before="0" w:after="0"/>
        <w:ind w:left="720"/>
        <w:jc w:val="left"/>
        <w:rPr>
          <w:rFonts w:ascii="Calibri" w:hAnsi="Calibri"/>
          <w:b w:val="0"/>
          <w:sz w:val="24"/>
          <w:szCs w:val="24"/>
        </w:rPr>
      </w:pPr>
      <w:r w:rsidRPr="00290CAB">
        <w:rPr>
          <w:rFonts w:ascii="Calibri" w:hAnsi="Calibri"/>
          <w:b w:val="0"/>
          <w:sz w:val="24"/>
          <w:szCs w:val="24"/>
        </w:rPr>
        <w:t>Direct Consolidation Loan Application and Promissory Note and Related Forms</w:t>
      </w:r>
    </w:p>
    <w:p w:rsidRPr="00AD381B" w:rsidR="00A16FA0" w:rsidP="00AD381B" w:rsidRDefault="00A16FA0" w14:paraId="08C60711" w14:textId="77777777">
      <w:pPr>
        <w:tabs>
          <w:tab w:val="left" w:pos="0"/>
        </w:tabs>
        <w:suppressAutoHyphens/>
        <w:rPr>
          <w:rFonts w:ascii="Times New Roman" w:hAnsi="Times New Roman"/>
          <w:szCs w:val="24"/>
        </w:rPr>
      </w:pPr>
    </w:p>
    <w:p w:rsidR="00EA1767" w:rsidP="00AD381B" w:rsidRDefault="00043C32" w14:paraId="64280E57" w14:textId="5E2927C5">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w:t>
      </w:r>
      <w:proofErr w:type="spellStart"/>
      <w:r w:rsidRPr="00AD381B">
        <w:rPr>
          <w:rFonts w:ascii="Times New Roman" w:hAnsi="Times New Roman"/>
          <w:b/>
          <w:szCs w:val="24"/>
        </w:rPr>
        <w:t>reistatement</w:t>
      </w:r>
      <w:proofErr w:type="spellEnd"/>
      <w:r w:rsidRPr="00AD381B">
        <w:rPr>
          <w:rFonts w:ascii="Times New Roman" w:hAnsi="Times New Roman"/>
          <w:b/>
          <w:szCs w:val="24"/>
        </w:rPr>
        <w:t xml:space="preserve">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BC1A67" w:rsidR="005F4E11" w:rsidP="00BC1A67" w:rsidRDefault="005F4E11" w14:paraId="763DBF3F" w14:textId="77777777">
      <w:pPr>
        <w:suppressAutoHyphens/>
        <w:spacing w:line="240" w:lineRule="exact"/>
        <w:ind w:left="720"/>
        <w:rPr>
          <w:rFonts w:ascii="Times New Roman" w:hAnsi="Times New Roman"/>
          <w:bCs/>
          <w:szCs w:val="24"/>
        </w:rPr>
      </w:pPr>
    </w:p>
    <w:p w:rsidRPr="004463BF" w:rsidR="000B1A1C" w:rsidP="000B1A1C" w:rsidRDefault="000B1A1C" w14:paraId="767B3A59" w14:textId="77777777">
      <w:pPr>
        <w:pStyle w:val="BodyTextIndent"/>
        <w:rPr>
          <w:rFonts w:ascii="Calibri" w:hAnsi="Calibri"/>
          <w:i/>
        </w:rPr>
      </w:pPr>
      <w:r w:rsidRPr="004463BF">
        <w:rPr>
          <w:rFonts w:ascii="Calibri" w:hAnsi="Calibri"/>
          <w:i/>
        </w:rPr>
        <w:t>Direct Subsidized Loan and Direct Unsubsidized Loan Master Promissory Note</w:t>
      </w:r>
      <w:r w:rsidRPr="004463BF">
        <w:rPr>
          <w:rFonts w:ascii="Calibri" w:hAnsi="Calibri"/>
          <w:i/>
        </w:rPr>
        <w:br/>
        <w:t>Direct PLUS Loan Master Promissory Note and Direct PLUS Loan Endorser Addendum</w:t>
      </w:r>
    </w:p>
    <w:p w:rsidR="000B1A1C" w:rsidP="000B1A1C" w:rsidRDefault="000B1A1C" w14:paraId="707A51C1" w14:textId="03899BF4">
      <w:pPr>
        <w:pStyle w:val="BodyTextIndent"/>
        <w:rPr>
          <w:rFonts w:ascii="Calibri" w:hAnsi="Calibri"/>
        </w:rPr>
      </w:pPr>
      <w:r w:rsidRPr="004463BF">
        <w:rPr>
          <w:rFonts w:ascii="Calibri" w:hAnsi="Calibri"/>
        </w:rPr>
        <w:t xml:space="preserve">Section 455(i) of the Higher Education Act of 1965, as amended (the HEA) requires the U.S. Department of Education (the Department) to develop, print, and distribute a standard promissory note to schools that participate in the William D. Ford Federal Direct Loan Program (Direct Loan Program). </w:t>
      </w:r>
    </w:p>
    <w:p w:rsidRPr="004463BF" w:rsidR="000B1A1C" w:rsidP="000B1A1C" w:rsidRDefault="000B1A1C" w14:paraId="513099DC" w14:textId="77777777">
      <w:pPr>
        <w:pStyle w:val="BodyTextIndent"/>
        <w:rPr>
          <w:rFonts w:ascii="Calibri" w:hAnsi="Calibri"/>
        </w:rPr>
      </w:pPr>
    </w:p>
    <w:p w:rsidRPr="004463BF" w:rsidR="000B1A1C" w:rsidP="000B1A1C" w:rsidRDefault="000B1A1C" w14:paraId="1F9F48D5" w14:textId="77777777">
      <w:pPr>
        <w:pStyle w:val="BodyTextIndent"/>
        <w:rPr>
          <w:rFonts w:ascii="Calibri" w:hAnsi="Calibri"/>
        </w:rPr>
      </w:pPr>
      <w:r w:rsidRPr="004463BF">
        <w:rPr>
          <w:rFonts w:ascii="Calibri" w:hAnsi="Calibri"/>
        </w:rPr>
        <w:t xml:space="preserve">The standard promissory note for Federal Direct Stafford/Ford Loans (Direct Subsidized Loans) and Federal Direct Unsubsidized Stafford/Ford Loans (Direct Unsubsidized Loans) is the Direct Subsidized Loan and Direct Unsubsidized Loan Master Promissory Note (Subsidized/Unsubsidized MPN). The standard promissory note for Federal Direct PLUS Loans (Direct PLUS Loans) is the </w:t>
      </w:r>
      <w:r w:rsidRPr="004463BF">
        <w:rPr>
          <w:rFonts w:asciiTheme="minorHAnsi" w:hAnsiTheme="minorHAnsi"/>
        </w:rPr>
        <w:t xml:space="preserve">Direct PLUS Loan  Master Promissory Note (PLUS MPN). </w:t>
      </w:r>
    </w:p>
    <w:p w:rsidR="000B1A1C" w:rsidP="000B1A1C" w:rsidRDefault="000B1A1C" w14:paraId="3CB9E6A0" w14:textId="508B6BEE">
      <w:pPr>
        <w:pStyle w:val="BodyTextIndent"/>
        <w:rPr>
          <w:rFonts w:ascii="Calibri" w:hAnsi="Calibri"/>
        </w:rPr>
      </w:pPr>
      <w:r w:rsidRPr="004463BF">
        <w:rPr>
          <w:rFonts w:ascii="Calibri" w:hAnsi="Calibri"/>
        </w:rPr>
        <w:t xml:space="preserve">The Subsidized/Unsubsidized MPN and the PLUS MPN were developed by the Department in accordance with §432(m)(1)(D) of the HEA, </w:t>
      </w:r>
      <w:r w:rsidRPr="004463BF">
        <w:rPr>
          <w:rFonts w:asciiTheme="minorHAnsi" w:hAnsiTheme="minorHAnsi"/>
        </w:rPr>
        <w:t>which requires the Department to develop and use master promissory notes for loans made under the Direct Loan program. A master promissory note is a promissory note under which a borrower may receive loans for a single academic year or multiple academic years (see 34 CFR 685.102(b)).</w:t>
      </w:r>
      <w:r w:rsidRPr="004463BF">
        <w:rPr>
          <w:rFonts w:ascii="Calibri" w:hAnsi="Calibri"/>
        </w:rPr>
        <w:t xml:space="preserve"> </w:t>
      </w:r>
    </w:p>
    <w:p w:rsidRPr="004463BF" w:rsidR="000B1A1C" w:rsidP="000B1A1C" w:rsidRDefault="000B1A1C" w14:paraId="0FB86F97" w14:textId="77777777">
      <w:pPr>
        <w:pStyle w:val="BodyTextIndent"/>
        <w:rPr>
          <w:rFonts w:ascii="Calibri" w:hAnsi="Calibri"/>
        </w:rPr>
      </w:pPr>
    </w:p>
    <w:p w:rsidR="000B1A1C" w:rsidP="000B1A1C" w:rsidRDefault="000B1A1C" w14:paraId="42D15A65" w14:textId="319DBD70">
      <w:pPr>
        <w:pStyle w:val="BodyTextIndent"/>
        <w:rPr>
          <w:rFonts w:ascii="Calibri" w:hAnsi="Calibri"/>
        </w:rPr>
      </w:pPr>
      <w:r w:rsidRPr="004463BF">
        <w:rPr>
          <w:rFonts w:ascii="Calibri" w:hAnsi="Calibri"/>
        </w:rPr>
        <w:t>The Direct Loan Program regulations at 34 CFR 685.201(a)(2)require a borrower to complete a Subsidized/Unsubsidized MPN before receiving a Direct Subsidized or Direct Unsubsidized loan. Regulations at 34 CFR 685.201(b)(1) and (b)(2) require parent or graduate and professional student borrowers to complete a PLUS MPN before receiving a Direct PLUS Loan.</w:t>
      </w:r>
    </w:p>
    <w:p w:rsidRPr="004463BF" w:rsidR="000B1A1C" w:rsidP="000B1A1C" w:rsidRDefault="000B1A1C" w14:paraId="0B793367" w14:textId="77777777">
      <w:pPr>
        <w:pStyle w:val="BodyTextIndent"/>
        <w:rPr>
          <w:rFonts w:ascii="Calibri" w:hAnsi="Calibri"/>
        </w:rPr>
      </w:pPr>
    </w:p>
    <w:p w:rsidR="000B1A1C" w:rsidP="000B1A1C" w:rsidRDefault="000B1A1C" w14:paraId="7485BF76" w14:textId="43B5B55C">
      <w:pPr>
        <w:pStyle w:val="BodyTextIndent"/>
        <w:rPr>
          <w:rFonts w:asciiTheme="minorHAnsi" w:hAnsiTheme="minorHAnsi"/>
        </w:rPr>
      </w:pPr>
      <w:r w:rsidRPr="004463BF">
        <w:rPr>
          <w:rFonts w:asciiTheme="minorHAnsi" w:hAnsiTheme="minorHAnsi"/>
        </w:rPr>
        <w:t xml:space="preserve">Under §428B(a)(1)(A) of the HEA, one of the eligibility requirements to receive a Direct PLUS Loan is that a parent or a graduate or professional student borrower must not have an adverse credit history, as determined by regulations issued by the Department. The Direct Loan Program regulations allow a parent or a graduate or professional </w:t>
      </w:r>
      <w:r w:rsidRPr="004463BF">
        <w:rPr>
          <w:rFonts w:asciiTheme="minorHAnsi" w:hAnsiTheme="minorHAnsi"/>
        </w:rPr>
        <w:lastRenderedPageBreak/>
        <w:t>student who has an adverse credit history to receive a Direct PLUS Loan if the individual obtains an endorser who does not have an adverse credit history (34 CFR 685.200(b)(5) and 34 CFR 685.200(c)(1)(vii)(A)(</w:t>
      </w:r>
      <w:r w:rsidRPr="004463BF">
        <w:rPr>
          <w:rFonts w:asciiTheme="minorHAnsi" w:hAnsiTheme="minorHAnsi"/>
          <w:i/>
        </w:rPr>
        <w:t>2</w:t>
      </w:r>
      <w:r w:rsidRPr="004463BF">
        <w:rPr>
          <w:rFonts w:asciiTheme="minorHAnsi" w:hAnsiTheme="minorHAnsi"/>
        </w:rPr>
        <w:t>)). The Endorser Addendum to the PLUS MPN (PLUS Endorser Addendum) is the means by which an endorser agrees to repay a Direct PLUS Loan if the borrower does not repay the loan. If an applicant for a Direct PLUS Loan is determined to have an adverse credit history and obtains an endorser, only one loan can be made under the PLUS MPN. To obtain a subsequent Direct PLUS Loan, the borrower must complete a new PLUS MPN.</w:t>
      </w:r>
    </w:p>
    <w:p w:rsidRPr="004463BF" w:rsidR="000B1A1C" w:rsidP="000B1A1C" w:rsidRDefault="000B1A1C" w14:paraId="2CFB5414" w14:textId="77777777">
      <w:pPr>
        <w:pStyle w:val="BodyTextIndent"/>
        <w:rPr>
          <w:rFonts w:asciiTheme="minorHAnsi" w:hAnsiTheme="minorHAnsi"/>
        </w:rPr>
      </w:pPr>
    </w:p>
    <w:p w:rsidRPr="004463BF" w:rsidR="000B1A1C" w:rsidP="000B1A1C" w:rsidRDefault="000B1A1C" w14:paraId="4A0F0BDA" w14:textId="77777777">
      <w:pPr>
        <w:pStyle w:val="BodyTextIndent"/>
        <w:rPr>
          <w:rFonts w:asciiTheme="minorHAnsi" w:hAnsiTheme="minorHAnsi"/>
          <w:i/>
        </w:rPr>
      </w:pPr>
      <w:r w:rsidRPr="004463BF">
        <w:rPr>
          <w:rFonts w:asciiTheme="minorHAnsi" w:hAnsiTheme="minorHAnsi"/>
          <w:i/>
        </w:rPr>
        <w:t>Direct Consolidation Loan Application and Promissory Note and related forms</w:t>
      </w:r>
    </w:p>
    <w:p w:rsidR="000B1A1C" w:rsidP="000B1A1C" w:rsidRDefault="000B1A1C" w14:paraId="3E4678F2" w14:textId="7EACADAD">
      <w:pPr>
        <w:ind w:left="720"/>
        <w:rPr>
          <w:rFonts w:asciiTheme="minorHAnsi" w:hAnsiTheme="minorHAnsi"/>
          <w:szCs w:val="24"/>
        </w:rPr>
      </w:pPr>
      <w:r w:rsidRPr="004463BF">
        <w:rPr>
          <w:rFonts w:asciiTheme="minorHAnsi" w:hAnsiTheme="minorHAnsi"/>
          <w:szCs w:val="24"/>
        </w:rPr>
        <w:t>The Student Loan Reform Act of 1993, enacted on August 10, 1993, established the Direct Loan Program under Title IV, Part D, of the HEA. This legislation authorized the Federal Direct Consolidation Loan Program, which allows eligible borrowers to consolidate certain federal education loans into a Direct Consolidation Loan. A Direct Consolidation Loan may allow a borrower to extend the period for repaying a loan, and in some cases may provide the borrower with a lower fixed interest rate. In addition, borrowers with loans made under the Federal Family Education Loan (FFEL) Program may consolidate their loans into a Direct Consolidation Loan to take advantage of certain benefits and repayment options that are available only in the Direct Loan Program. The regulations governing Direct Consolidation Loans are contained in 34 CFR 685.220.</w:t>
      </w:r>
    </w:p>
    <w:p w:rsidRPr="004463BF" w:rsidR="000B1A1C" w:rsidP="000B1A1C" w:rsidRDefault="000B1A1C" w14:paraId="418FBBB6" w14:textId="77777777">
      <w:pPr>
        <w:ind w:left="720"/>
        <w:rPr>
          <w:rFonts w:asciiTheme="minorHAnsi" w:hAnsiTheme="minorHAnsi"/>
          <w:szCs w:val="24"/>
        </w:rPr>
      </w:pPr>
    </w:p>
    <w:p w:rsidR="000B1A1C" w:rsidP="000B1A1C" w:rsidRDefault="000B1A1C" w14:paraId="309AB215" w14:textId="2A8E9C34">
      <w:pPr>
        <w:ind w:left="720"/>
        <w:rPr>
          <w:rFonts w:asciiTheme="minorHAnsi" w:hAnsiTheme="minorHAnsi"/>
          <w:szCs w:val="24"/>
        </w:rPr>
      </w:pPr>
      <w:r w:rsidRPr="004463BF">
        <w:rPr>
          <w:rFonts w:asciiTheme="minorHAnsi" w:hAnsiTheme="minorHAnsi"/>
          <w:szCs w:val="24"/>
        </w:rPr>
        <w:t>The Direct Loan regulations at 34 CFR 685.202(c) and 34 CFR 685.220(e) require a borrower who wishes to receive a Direct Consolidation Loan to submit a completed Direct Consolidation Loan Application and Promissory Note (Consolidation Note) to the Department. The processing of a borrower’s consolidation application involves the three forms that are described in Item 2 of this Supporting Statement.</w:t>
      </w:r>
    </w:p>
    <w:p w:rsidRPr="004463BF" w:rsidR="00C45982" w:rsidP="000B1A1C" w:rsidRDefault="00C45982" w14:paraId="3C0B4963" w14:textId="77777777">
      <w:pPr>
        <w:ind w:left="720"/>
        <w:rPr>
          <w:rFonts w:asciiTheme="minorHAnsi" w:hAnsiTheme="minorHAnsi"/>
          <w:szCs w:val="24"/>
        </w:rPr>
      </w:pPr>
    </w:p>
    <w:p w:rsidR="000B1A1C" w:rsidP="000B1A1C" w:rsidRDefault="000B1A1C" w14:paraId="39AEA51F" w14:textId="64623361">
      <w:pPr>
        <w:pStyle w:val="BodyTextIndent"/>
        <w:rPr>
          <w:rFonts w:ascii="Calibri" w:hAnsi="Calibri"/>
        </w:rPr>
      </w:pPr>
      <w:r w:rsidRPr="004463BF">
        <w:rPr>
          <w:rFonts w:ascii="Calibri" w:hAnsi="Calibri"/>
        </w:rPr>
        <w:t>In this Supporting Statement, we use the term “promissory note” to refer collectively to the Subsidized/Unsubsidized MPN, the PLUS MPN, and the Consolidation Note.</w:t>
      </w:r>
    </w:p>
    <w:p w:rsidRPr="004463BF" w:rsidR="00C45982" w:rsidP="000B1A1C" w:rsidRDefault="00C45982" w14:paraId="265A0235" w14:textId="77777777">
      <w:pPr>
        <w:pStyle w:val="BodyTextIndent"/>
        <w:rPr>
          <w:rFonts w:ascii="Calibri" w:hAnsi="Calibri"/>
        </w:rPr>
      </w:pPr>
    </w:p>
    <w:p w:rsidR="000B1A1C" w:rsidP="000B1A1C" w:rsidRDefault="000B1A1C" w14:paraId="7C0179C3" w14:textId="42210451">
      <w:pPr>
        <w:pStyle w:val="BodyTextIndent"/>
        <w:rPr>
          <w:rFonts w:ascii="Calibri" w:hAnsi="Calibri"/>
        </w:rPr>
      </w:pPr>
      <w:r w:rsidRPr="004463BF">
        <w:rPr>
          <w:rFonts w:ascii="Calibri" w:hAnsi="Calibri"/>
        </w:rPr>
        <w:t>The Department is requesting a revision of the currently approved Subsidized/Unsubsidized MPN and Consolidation Note. We are not proposing any changes to the PLUS MPN or to any of the other related forms included in this submission.</w:t>
      </w:r>
    </w:p>
    <w:p w:rsidRPr="004463BF" w:rsidR="000B1A1C" w:rsidP="000B1A1C" w:rsidRDefault="000B1A1C" w14:paraId="07AF710B" w14:textId="77777777">
      <w:pPr>
        <w:pStyle w:val="BodyTextIndent"/>
        <w:rPr>
          <w:rFonts w:ascii="Calibri" w:hAnsi="Calibri"/>
        </w:rPr>
      </w:pPr>
    </w:p>
    <w:p w:rsidR="000B1A1C" w:rsidP="000B1A1C" w:rsidRDefault="000B1A1C" w14:paraId="5FA9366F" w14:textId="180B3448">
      <w:pPr>
        <w:pStyle w:val="BodyTextIndent"/>
        <w:rPr>
          <w:rFonts w:ascii="Calibri" w:hAnsi="Calibri"/>
        </w:rPr>
      </w:pPr>
      <w:r w:rsidRPr="004463BF">
        <w:rPr>
          <w:rFonts w:ascii="Calibri" w:hAnsi="Calibri"/>
        </w:rPr>
        <w:t xml:space="preserve">The proposed changes to the Subsidized/Unsubsidized MPN and the Consolidation Note are limited to the removal of information describing the limitation on borrower eligibility for Direct Subsidized Loans known as the "150% Subsidized Usage Limit." This statutory provision, which was in effect from 2013 to July 1, 2021, placed a limit on the maximum time period for which a student loan borrower could receive Direct Subsidized Loans, and borrowers who exceeded the limit were subject to loss of the interest subsidy on their Direct Subsidized Loans. If a borrower who lost the interest subsidy on a Direct Subsidized Loan consolidated the loan into a Direct Consolidation </w:t>
      </w:r>
      <w:r w:rsidRPr="004463BF">
        <w:rPr>
          <w:rFonts w:ascii="Calibri" w:hAnsi="Calibri"/>
        </w:rPr>
        <w:lastRenderedPageBreak/>
        <w:t xml:space="preserve">Loan, the borrower was responsible for paying the interest on the portion of the consolidation loan that repaid the Direct Subsidized Loan. </w:t>
      </w:r>
    </w:p>
    <w:p w:rsidRPr="004463BF" w:rsidR="00C45982" w:rsidP="000B1A1C" w:rsidRDefault="00C45982" w14:paraId="00E1756B" w14:textId="77777777">
      <w:pPr>
        <w:pStyle w:val="BodyTextIndent"/>
        <w:rPr>
          <w:rFonts w:ascii="Calibri" w:hAnsi="Calibri"/>
        </w:rPr>
      </w:pPr>
    </w:p>
    <w:p w:rsidRPr="004463BF" w:rsidR="000B1A1C" w:rsidP="000B1A1C" w:rsidRDefault="000B1A1C" w14:paraId="799A1F41" w14:textId="77777777">
      <w:pPr>
        <w:pStyle w:val="BodyTextIndent"/>
        <w:rPr>
          <w:rFonts w:ascii="Calibri" w:hAnsi="Calibri"/>
        </w:rPr>
      </w:pPr>
      <w:r w:rsidRPr="004463BF">
        <w:rPr>
          <w:rFonts w:ascii="Calibri" w:hAnsi="Calibri"/>
        </w:rPr>
        <w:t xml:space="preserve">The 150% Subsidized Usage Limit was repealed by the FAFSA Simplification Act, part of the </w:t>
      </w:r>
      <w:r w:rsidRPr="004463BF">
        <w:rPr>
          <w:rFonts w:asciiTheme="minorHAnsi" w:hAnsiTheme="minorHAnsi" w:cstheme="minorHAnsi"/>
          <w:color w:val="17232E"/>
          <w:shd w:val="clear" w:color="auto" w:fill="FFFFFF"/>
        </w:rPr>
        <w:t>part of the </w:t>
      </w:r>
      <w:r w:rsidRPr="004463BF">
        <w:rPr>
          <w:rStyle w:val="Emphasis"/>
          <w:rFonts w:asciiTheme="minorHAnsi" w:hAnsiTheme="minorHAnsi" w:cstheme="minorHAnsi"/>
          <w:color w:val="17232E"/>
          <w:shd w:val="clear" w:color="auto" w:fill="FFFFFF"/>
        </w:rPr>
        <w:t>Consolidated Appropriations Act, 2021</w:t>
      </w:r>
      <w:r w:rsidRPr="004463BF">
        <w:rPr>
          <w:rFonts w:asciiTheme="minorHAnsi" w:hAnsiTheme="minorHAnsi" w:cstheme="minorHAnsi"/>
          <w:color w:val="17232E"/>
          <w:shd w:val="clear" w:color="auto" w:fill="FFFFFF"/>
        </w:rPr>
        <w:t xml:space="preserve"> (Public Law 116-260). Final regulations for the repeal of the </w:t>
      </w:r>
      <w:r w:rsidRPr="004463BF">
        <w:rPr>
          <w:rFonts w:ascii="Calibri" w:hAnsi="Calibri"/>
        </w:rPr>
        <w:t>150% Subsidized Usage Limit</w:t>
      </w:r>
      <w:r w:rsidRPr="004463BF">
        <w:rPr>
          <w:rFonts w:asciiTheme="minorHAnsi" w:hAnsiTheme="minorHAnsi" w:cstheme="minorHAnsi"/>
          <w:color w:val="17232E"/>
          <w:shd w:val="clear" w:color="auto" w:fill="FFFFFF"/>
        </w:rPr>
        <w:t xml:space="preserve"> requirements were published in the </w:t>
      </w:r>
      <w:r w:rsidRPr="004463BF">
        <w:rPr>
          <w:rStyle w:val="Emphasis"/>
          <w:rFonts w:asciiTheme="minorHAnsi" w:hAnsiTheme="minorHAnsi" w:cstheme="minorHAnsi"/>
          <w:color w:val="17232E"/>
          <w:shd w:val="clear" w:color="auto" w:fill="FFFFFF"/>
        </w:rPr>
        <w:t>Federal Register</w:t>
      </w:r>
      <w:r w:rsidRPr="004463BF">
        <w:rPr>
          <w:rFonts w:asciiTheme="minorHAnsi" w:hAnsiTheme="minorHAnsi" w:cstheme="minorHAnsi"/>
          <w:color w:val="17232E"/>
          <w:shd w:val="clear" w:color="auto" w:fill="FFFFFF"/>
        </w:rPr>
        <w:t xml:space="preserve"> on </w:t>
      </w:r>
      <w:hyperlink w:history="1" r:id="rId11">
        <w:r w:rsidRPr="004463BF">
          <w:rPr>
            <w:rStyle w:val="Hyperlink"/>
            <w:rFonts w:asciiTheme="minorHAnsi" w:hAnsiTheme="minorHAnsi" w:cstheme="minorHAnsi"/>
          </w:rPr>
          <w:t>June 14, 2021</w:t>
        </w:r>
      </w:hyperlink>
      <w:r w:rsidRPr="004463BF">
        <w:rPr>
          <w:rFonts w:asciiTheme="minorHAnsi" w:hAnsiTheme="minorHAnsi" w:cstheme="minorHAnsi"/>
        </w:rPr>
        <w:t xml:space="preserve">. The previous time limit on subsidized loan eligibility no longer applies to borrowers who receive Direct Subsidized Loans, and borrowers who previously lost the interest subsidy on Direct Subsidized Loans due to the </w:t>
      </w:r>
      <w:r w:rsidRPr="004463BF">
        <w:rPr>
          <w:rFonts w:ascii="Calibri" w:hAnsi="Calibri"/>
        </w:rPr>
        <w:t>150% Subsidized Usage Limit</w:t>
      </w:r>
      <w:r w:rsidRPr="004463BF">
        <w:rPr>
          <w:rFonts w:asciiTheme="minorHAnsi" w:hAnsiTheme="minorHAnsi" w:cstheme="minorHAnsi"/>
          <w:color w:val="17232E"/>
          <w:shd w:val="clear" w:color="auto" w:fill="FFFFFF"/>
        </w:rPr>
        <w:t xml:space="preserve"> requirements have had the interest subsidy restored. Therefore, we are removing all information describing the </w:t>
      </w:r>
      <w:r w:rsidRPr="004463BF">
        <w:rPr>
          <w:rFonts w:ascii="Calibri" w:hAnsi="Calibri"/>
        </w:rPr>
        <w:t>150% Subsidized Usage Limit</w:t>
      </w:r>
      <w:r w:rsidRPr="004463BF">
        <w:rPr>
          <w:rFonts w:asciiTheme="minorHAnsi" w:hAnsiTheme="minorHAnsi" w:cstheme="minorHAnsi"/>
          <w:color w:val="17232E"/>
          <w:shd w:val="clear" w:color="auto" w:fill="FFFFFF"/>
        </w:rPr>
        <w:t xml:space="preserve"> requirements from the Subsidized/Unsubsidized MPN and the Consolidation Note. Because the </w:t>
      </w:r>
      <w:r w:rsidRPr="004463BF">
        <w:rPr>
          <w:rFonts w:ascii="Calibri" w:hAnsi="Calibri"/>
        </w:rPr>
        <w:t xml:space="preserve">150% Subsidized Usage Limit did not apply to Direct PLUS Loan borrowers, no changes are needed to the PLUS MPN. </w:t>
      </w:r>
    </w:p>
    <w:p w:rsidRPr="00AD381B" w:rsidR="007C700A" w:rsidP="00AD381B" w:rsidRDefault="007C700A" w14:paraId="5182F308" w14:textId="77777777">
      <w:pPr>
        <w:pStyle w:val="ListParagraph"/>
        <w:suppressAutoHyphens/>
        <w:spacing w:line="240" w:lineRule="exact"/>
        <w:contextualSpacing w:val="0"/>
        <w:rPr>
          <w:rFonts w:ascii="Times New Roman" w:hAnsi="Times New Roman"/>
          <w:szCs w:val="24"/>
        </w:rPr>
      </w:pPr>
    </w:p>
    <w:p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rsidRDefault="00AD381B" w14:paraId="64280E5B" w14:textId="6D06EA58">
      <w:pPr>
        <w:suppressAutoHyphens/>
        <w:spacing w:line="240" w:lineRule="exact"/>
        <w:ind w:left="720"/>
        <w:rPr>
          <w:rFonts w:ascii="Times New Roman" w:hAnsi="Times New Roman"/>
          <w:szCs w:val="24"/>
        </w:rPr>
      </w:pPr>
    </w:p>
    <w:p w:rsidR="000B1A1C" w:rsidP="000B1A1C" w:rsidRDefault="000B1A1C" w14:paraId="04165AB7" w14:textId="538A25CD">
      <w:pPr>
        <w:ind w:left="720"/>
        <w:rPr>
          <w:rFonts w:asciiTheme="minorHAnsi" w:hAnsiTheme="minorHAnsi"/>
          <w:szCs w:val="24"/>
        </w:rPr>
      </w:pPr>
      <w:r w:rsidRPr="004463BF">
        <w:rPr>
          <w:rFonts w:ascii="Calibri" w:hAnsi="Calibri"/>
          <w:szCs w:val="24"/>
        </w:rPr>
        <w:t xml:space="preserve">The Department will continue to use the information collected on the promissory notes and PLUS Endorser Addendum to process and service loans made under the Direct Loan Program and, for Direct PLUS Loans, </w:t>
      </w:r>
      <w:r w:rsidRPr="004463BF">
        <w:rPr>
          <w:rFonts w:asciiTheme="minorHAnsi" w:hAnsiTheme="minorHAnsi"/>
          <w:szCs w:val="24"/>
        </w:rPr>
        <w:t>to determine the eligibility of the borrower and endorser</w:t>
      </w:r>
      <w:r w:rsidRPr="004463BF">
        <w:rPr>
          <w:rFonts w:ascii="Calibri" w:hAnsi="Calibri"/>
          <w:szCs w:val="24"/>
        </w:rPr>
        <w:t xml:space="preserve">. Each promissory note serves as a borrower’s legally binding promise to repay all loans made under that promissory note. The </w:t>
      </w:r>
      <w:r w:rsidRPr="004463BF">
        <w:rPr>
          <w:rFonts w:asciiTheme="minorHAnsi" w:hAnsiTheme="minorHAnsi"/>
          <w:szCs w:val="24"/>
        </w:rPr>
        <w:t>Endorser Addendum serves as the endorser’s legally binding promise to repay a Direct PLUS Loan if the borrower does not repay the loan.</w:t>
      </w:r>
    </w:p>
    <w:p w:rsidRPr="004463BF" w:rsidR="000B1A1C" w:rsidP="000B1A1C" w:rsidRDefault="000B1A1C" w14:paraId="75D8F90B" w14:textId="77777777">
      <w:pPr>
        <w:ind w:left="720"/>
        <w:rPr>
          <w:rFonts w:ascii="Calibri" w:hAnsi="Calibri"/>
          <w:szCs w:val="24"/>
        </w:rPr>
      </w:pPr>
    </w:p>
    <w:p w:rsidRPr="004463BF" w:rsidR="000B1A1C" w:rsidP="000B1A1C" w:rsidRDefault="000B1A1C" w14:paraId="68A2C2BE" w14:textId="77777777">
      <w:pPr>
        <w:pStyle w:val="BodyText0"/>
        <w:spacing w:after="0"/>
        <w:ind w:left="720"/>
        <w:rPr>
          <w:rFonts w:asciiTheme="minorHAnsi" w:hAnsiTheme="minorHAnsi"/>
          <w:b/>
          <w:bCs/>
          <w:szCs w:val="24"/>
        </w:rPr>
      </w:pPr>
      <w:r w:rsidRPr="004463BF">
        <w:rPr>
          <w:rFonts w:asciiTheme="minorHAnsi" w:hAnsiTheme="minorHAnsi"/>
          <w:szCs w:val="24"/>
        </w:rPr>
        <w:t>In addition to the Consolidation Note, there are three additional Direct Consolidation Loan forms that will continue to be used as follows:</w:t>
      </w:r>
    </w:p>
    <w:p w:rsidRPr="004463BF" w:rsidR="000B1A1C" w:rsidP="00C45982" w:rsidRDefault="000B1A1C" w14:paraId="4715EFEE" w14:textId="77777777">
      <w:pPr>
        <w:pStyle w:val="BodyTextIndent"/>
        <w:numPr>
          <w:ilvl w:val="0"/>
          <w:numId w:val="7"/>
        </w:numPr>
        <w:tabs>
          <w:tab w:val="clear" w:pos="-720"/>
          <w:tab w:val="clear" w:pos="0"/>
          <w:tab w:val="clear" w:pos="720"/>
          <w:tab w:val="num" w:pos="1080"/>
        </w:tabs>
        <w:suppressAutoHyphens w:val="0"/>
        <w:spacing w:after="100" w:afterAutospacing="1"/>
        <w:ind w:left="1080" w:firstLine="0"/>
        <w:rPr>
          <w:rFonts w:asciiTheme="minorHAnsi" w:hAnsiTheme="minorHAnsi"/>
          <w:b/>
          <w:bCs/>
        </w:rPr>
      </w:pPr>
      <w:r w:rsidRPr="004463BF">
        <w:rPr>
          <w:rFonts w:asciiTheme="minorHAnsi" w:hAnsiTheme="minorHAnsi"/>
        </w:rPr>
        <w:t xml:space="preserve">Additional Loan Listing Sheet. This is simply an extension of the Note that may be used by an applicant if there is insufficient space on the Note to list all of the loans that the applicant does or does not want to consolidate. </w:t>
      </w:r>
    </w:p>
    <w:p w:rsidRPr="004463BF" w:rsidR="000B1A1C" w:rsidP="00C45982" w:rsidRDefault="000B1A1C" w14:paraId="2FA24F6F" w14:textId="77777777">
      <w:pPr>
        <w:pStyle w:val="BodyTextIndent"/>
        <w:numPr>
          <w:ilvl w:val="0"/>
          <w:numId w:val="7"/>
        </w:numPr>
        <w:tabs>
          <w:tab w:val="clear" w:pos="-720"/>
          <w:tab w:val="clear" w:pos="0"/>
          <w:tab w:val="clear" w:pos="720"/>
          <w:tab w:val="num" w:pos="1080"/>
        </w:tabs>
        <w:suppressAutoHyphens w:val="0"/>
        <w:spacing w:after="100" w:afterAutospacing="1"/>
        <w:ind w:left="1080" w:firstLine="0"/>
        <w:rPr>
          <w:rFonts w:asciiTheme="minorHAnsi" w:hAnsiTheme="minorHAnsi"/>
          <w:b/>
          <w:bCs/>
        </w:rPr>
      </w:pPr>
      <w:r w:rsidRPr="004463BF">
        <w:rPr>
          <w:rFonts w:asciiTheme="minorHAnsi" w:hAnsiTheme="minorHAnsi"/>
        </w:rPr>
        <w:t>Instructions. This form explains how to complete the Consolidation Note.</w:t>
      </w:r>
    </w:p>
    <w:p w:rsidRPr="004463BF" w:rsidR="000B1A1C" w:rsidP="00C45982" w:rsidRDefault="000B1A1C" w14:paraId="00CE243A" w14:textId="77777777">
      <w:pPr>
        <w:pStyle w:val="BodyTextIndent"/>
        <w:numPr>
          <w:ilvl w:val="0"/>
          <w:numId w:val="7"/>
        </w:numPr>
        <w:tabs>
          <w:tab w:val="clear" w:pos="-720"/>
          <w:tab w:val="clear" w:pos="0"/>
          <w:tab w:val="clear" w:pos="720"/>
          <w:tab w:val="num" w:pos="1080"/>
        </w:tabs>
        <w:suppressAutoHyphens w:val="0"/>
        <w:spacing w:after="100" w:afterAutospacing="1"/>
        <w:ind w:left="1080" w:firstLine="0"/>
        <w:rPr>
          <w:rFonts w:asciiTheme="minorHAnsi" w:hAnsiTheme="minorHAnsi"/>
          <w:b/>
          <w:bCs/>
        </w:rPr>
      </w:pPr>
      <w:r w:rsidRPr="004463BF">
        <w:rPr>
          <w:rFonts w:asciiTheme="minorHAnsi" w:hAnsiTheme="minorHAnsi"/>
        </w:rPr>
        <w:t>Request to Add Loans. This form may be used by borrowers to add additional loans to a Direct Consolidation Loans after the application and promissory note has been submitted, or up to 180 days after a Direct Consolidation Loan has been made.</w:t>
      </w:r>
    </w:p>
    <w:p w:rsidR="000B1A1C" w:rsidP="00C45982" w:rsidRDefault="000B1A1C" w14:paraId="66EE7805" w14:textId="77777777">
      <w:pPr>
        <w:pStyle w:val="BodyTextIndent"/>
        <w:numPr>
          <w:ilvl w:val="0"/>
          <w:numId w:val="7"/>
        </w:numPr>
        <w:tabs>
          <w:tab w:val="clear" w:pos="-720"/>
          <w:tab w:val="clear" w:pos="0"/>
          <w:tab w:val="clear" w:pos="720"/>
          <w:tab w:val="num" w:pos="1080"/>
        </w:tabs>
        <w:spacing w:after="100" w:afterAutospacing="1"/>
        <w:ind w:left="1080" w:firstLine="0"/>
        <w:rPr>
          <w:rFonts w:asciiTheme="minorHAnsi" w:hAnsiTheme="minorHAnsi"/>
        </w:rPr>
      </w:pPr>
      <w:r w:rsidRPr="000B1A1C">
        <w:rPr>
          <w:rFonts w:asciiTheme="minorHAnsi" w:hAnsiTheme="minorHAnsi"/>
        </w:rPr>
        <w:t>Loan Verification Certificate (LVC). The LVC is used to confirm that a borrower’s loans are eligible for consolidation, and to verify the current payoff amount of each loan. Once a borrower’s application and promissory note has been processed, ED sends an LVC to the loan holder or loan servicer of each loan that the borrower wants to consolidate. After completing the LVC, the loan holder/servicer returns the form to ED. Most loan holders/servicers provide the LVC information to ED electronically via our website or a batch process</w:t>
      </w:r>
      <w:r>
        <w:rPr>
          <w:rFonts w:asciiTheme="minorHAnsi" w:hAnsiTheme="minorHAnsi"/>
        </w:rPr>
        <w:t>.</w:t>
      </w:r>
    </w:p>
    <w:p w:rsidRPr="000B1A1C" w:rsidR="00043C32" w:rsidP="00C45982" w:rsidRDefault="000B1A1C" w14:paraId="64280E5C" w14:textId="20909D47">
      <w:pPr>
        <w:pStyle w:val="BodyTextIndent"/>
        <w:numPr>
          <w:ilvl w:val="0"/>
          <w:numId w:val="7"/>
        </w:numPr>
        <w:tabs>
          <w:tab w:val="clear" w:pos="-720"/>
          <w:tab w:val="clear" w:pos="0"/>
          <w:tab w:val="clear" w:pos="720"/>
          <w:tab w:val="num" w:pos="1080"/>
        </w:tabs>
        <w:spacing w:after="100" w:afterAutospacing="1"/>
        <w:ind w:left="1080" w:firstLine="0"/>
        <w:rPr>
          <w:rFonts w:asciiTheme="minorHAnsi" w:hAnsiTheme="minorHAnsi"/>
        </w:rPr>
      </w:pPr>
      <w:r w:rsidRPr="000B1A1C">
        <w:rPr>
          <w:rFonts w:asciiTheme="minorHAnsi" w:hAnsiTheme="minorHAnsi"/>
        </w:rPr>
        <w:lastRenderedPageBreak/>
        <w:t>Borrowers may complete and submit the promissory notes online at the Department’s StudentAid.gov website, or may complete and return paper promissory notes.</w:t>
      </w:r>
    </w:p>
    <w:p w:rsidRPr="00AD381B" w:rsidR="000B1A1C" w:rsidP="000B1A1C" w:rsidRDefault="000B1A1C" w14:paraId="61E56E11" w14:textId="77777777">
      <w:pPr>
        <w:tabs>
          <w:tab w:val="num" w:pos="1080"/>
        </w:tabs>
        <w:suppressAutoHyphens/>
        <w:spacing w:line="240" w:lineRule="exact"/>
        <w:ind w:left="720"/>
        <w:rPr>
          <w:rFonts w:ascii="Times New Roman" w:hAnsi="Times New Roman"/>
          <w:szCs w:val="24"/>
        </w:rPr>
      </w:pPr>
    </w:p>
    <w:p w:rsidRPr="00AD381B"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64280E5E" w14:textId="77777777">
      <w:pPr>
        <w:pStyle w:val="ListParagraph"/>
        <w:tabs>
          <w:tab w:val="left" w:pos="-720"/>
        </w:tabs>
        <w:suppressAutoHyphens/>
        <w:contextualSpacing w:val="0"/>
        <w:rPr>
          <w:rFonts w:ascii="Times New Roman" w:hAnsi="Times New Roman"/>
          <w:szCs w:val="24"/>
        </w:rPr>
      </w:pPr>
    </w:p>
    <w:p w:rsidR="000B1A1C" w:rsidP="000B1A1C" w:rsidRDefault="000B1A1C" w14:paraId="1EBD8CF3" w14:textId="38CE834A">
      <w:pPr>
        <w:pStyle w:val="Footer"/>
        <w:ind w:left="720"/>
        <w:rPr>
          <w:rFonts w:ascii="Calibri" w:hAnsi="Calibri"/>
          <w:szCs w:val="24"/>
        </w:rPr>
      </w:pPr>
      <w:r w:rsidRPr="004463BF">
        <w:rPr>
          <w:rFonts w:ascii="Calibri" w:hAnsi="Calibri"/>
          <w:szCs w:val="24"/>
        </w:rPr>
        <w:t>The Department makes maximum use of available information technology to process promissory notes and related forms.</w:t>
      </w:r>
    </w:p>
    <w:p w:rsidRPr="004463BF" w:rsidR="000B1A1C" w:rsidP="000B1A1C" w:rsidRDefault="000B1A1C" w14:paraId="658F736A" w14:textId="77777777">
      <w:pPr>
        <w:pStyle w:val="Footer"/>
        <w:ind w:left="720"/>
        <w:rPr>
          <w:rFonts w:ascii="Calibri" w:hAnsi="Calibri"/>
          <w:i/>
          <w:szCs w:val="24"/>
        </w:rPr>
      </w:pPr>
    </w:p>
    <w:p w:rsidRPr="004463BF" w:rsidR="000B1A1C" w:rsidP="000B1A1C" w:rsidRDefault="000B1A1C" w14:paraId="68D503DE" w14:textId="77777777">
      <w:pPr>
        <w:pStyle w:val="Footer"/>
        <w:ind w:left="720"/>
        <w:rPr>
          <w:rFonts w:ascii="Calibri" w:hAnsi="Calibri"/>
          <w:i/>
          <w:szCs w:val="24"/>
        </w:rPr>
      </w:pPr>
      <w:r w:rsidRPr="004463BF">
        <w:rPr>
          <w:rFonts w:ascii="Calibri" w:hAnsi="Calibri"/>
          <w:i/>
          <w:szCs w:val="24"/>
        </w:rPr>
        <w:t>Subsidized/Unsubsidized MPN</w:t>
      </w:r>
    </w:p>
    <w:p w:rsidR="000B1A1C" w:rsidP="000B1A1C" w:rsidRDefault="000B1A1C" w14:paraId="4F024153" w14:textId="4B4B98ED">
      <w:pPr>
        <w:pStyle w:val="Footer"/>
        <w:ind w:left="720"/>
        <w:rPr>
          <w:rFonts w:ascii="Calibri" w:hAnsi="Calibri"/>
          <w:szCs w:val="24"/>
        </w:rPr>
      </w:pPr>
      <w:r w:rsidRPr="004463BF">
        <w:rPr>
          <w:rFonts w:ascii="Calibri" w:hAnsi="Calibri"/>
          <w:szCs w:val="24"/>
        </w:rPr>
        <w:t>Schools electronically receive data provided by the student on the Free Application for Federal Student Aid (FAFSA) and create loan records based on the FAFSA data and additional data provided by the school. This process allows most of the information requested in the Borrower Information section of the MPN to be preprinted, thus reducing burden on borrowers.</w:t>
      </w:r>
    </w:p>
    <w:p w:rsidRPr="004463BF" w:rsidR="000B1A1C" w:rsidP="000B1A1C" w:rsidRDefault="000B1A1C" w14:paraId="2E3699C2" w14:textId="77777777">
      <w:pPr>
        <w:pStyle w:val="Footer"/>
        <w:ind w:left="720"/>
        <w:rPr>
          <w:rFonts w:ascii="Calibri" w:hAnsi="Calibri"/>
          <w:szCs w:val="24"/>
        </w:rPr>
      </w:pPr>
    </w:p>
    <w:p w:rsidR="000B1A1C" w:rsidP="000B1A1C" w:rsidRDefault="000B1A1C" w14:paraId="2490F9A7" w14:textId="7FB58343">
      <w:pPr>
        <w:pStyle w:val="Footer"/>
        <w:ind w:left="720"/>
        <w:rPr>
          <w:rFonts w:ascii="Calibri" w:hAnsi="Calibri"/>
          <w:szCs w:val="24"/>
        </w:rPr>
      </w:pPr>
      <w:r w:rsidRPr="004463BF">
        <w:rPr>
          <w:rFonts w:ascii="Calibri" w:hAnsi="Calibri"/>
          <w:szCs w:val="24"/>
        </w:rPr>
        <w:t>Borrowers have the option of completing the Subsidized/Unsubsidized MPN through an entirely electronic process, using a personal identification number (PIN) provided by the Department. The Department will continue to offer this option with the revised form. The electronic process uses an HTML (hypertext markup language) version of the paper Subsidized/Unsubsidized MPN and stores the HTML version as the authoritative copy of the form. The text and data elements on the HTML version are identical to the text and data elements on the paper form.</w:t>
      </w:r>
    </w:p>
    <w:p w:rsidRPr="004463BF" w:rsidR="000B1A1C" w:rsidP="000B1A1C" w:rsidRDefault="000B1A1C" w14:paraId="71798EBC" w14:textId="77777777">
      <w:pPr>
        <w:pStyle w:val="Footer"/>
        <w:ind w:left="720"/>
        <w:rPr>
          <w:rFonts w:ascii="Calibri" w:hAnsi="Calibri"/>
          <w:szCs w:val="24"/>
        </w:rPr>
      </w:pPr>
    </w:p>
    <w:p w:rsidR="000B1A1C" w:rsidP="000B1A1C" w:rsidRDefault="000B1A1C" w14:paraId="68C62FBE" w14:textId="5F65A3A1">
      <w:pPr>
        <w:pStyle w:val="Footer"/>
        <w:ind w:left="720"/>
        <w:rPr>
          <w:rFonts w:ascii="Calibri" w:hAnsi="Calibri"/>
          <w:szCs w:val="24"/>
        </w:rPr>
      </w:pPr>
      <w:r w:rsidRPr="004463BF">
        <w:rPr>
          <w:rFonts w:ascii="Calibri" w:hAnsi="Calibri"/>
          <w:szCs w:val="24"/>
        </w:rPr>
        <w:t>Since the introduction of the electronic MPN option during the 2001-2002 program year, the percentage of Subsidized/Unsubsidized MPNs that are completed electronically has steadily increased. Currently, more than 99% of Subsidized/Unsubsidized MPNs are completed electronically.</w:t>
      </w:r>
    </w:p>
    <w:p w:rsidRPr="004463BF" w:rsidR="000B1A1C" w:rsidP="000B1A1C" w:rsidRDefault="000B1A1C" w14:paraId="59432F87" w14:textId="77777777">
      <w:pPr>
        <w:pStyle w:val="Footer"/>
        <w:ind w:left="720"/>
        <w:rPr>
          <w:rFonts w:ascii="Calibri" w:hAnsi="Calibri"/>
          <w:szCs w:val="24"/>
        </w:rPr>
      </w:pPr>
    </w:p>
    <w:p w:rsidRPr="004463BF" w:rsidR="000B1A1C" w:rsidP="000B1A1C" w:rsidRDefault="000B1A1C" w14:paraId="16226F15" w14:textId="77777777">
      <w:pPr>
        <w:pStyle w:val="Footer"/>
        <w:ind w:left="720"/>
        <w:rPr>
          <w:rFonts w:ascii="Calibri" w:hAnsi="Calibri"/>
          <w:i/>
          <w:szCs w:val="24"/>
        </w:rPr>
      </w:pPr>
      <w:r w:rsidRPr="004463BF">
        <w:rPr>
          <w:rFonts w:ascii="Calibri" w:hAnsi="Calibri"/>
          <w:i/>
          <w:szCs w:val="24"/>
        </w:rPr>
        <w:t xml:space="preserve">PLUS MPN </w:t>
      </w:r>
    </w:p>
    <w:p w:rsidR="000B1A1C" w:rsidP="000B1A1C" w:rsidRDefault="000B1A1C" w14:paraId="420C310D" w14:textId="0183384C">
      <w:pPr>
        <w:pStyle w:val="Footer"/>
        <w:ind w:left="720"/>
        <w:rPr>
          <w:rFonts w:asciiTheme="minorHAnsi" w:hAnsiTheme="minorHAnsi"/>
          <w:szCs w:val="24"/>
        </w:rPr>
      </w:pPr>
      <w:r w:rsidRPr="004463BF">
        <w:rPr>
          <w:rFonts w:asciiTheme="minorHAnsi" w:hAnsiTheme="minorHAnsi"/>
          <w:szCs w:val="24"/>
        </w:rPr>
        <w:t xml:space="preserve">A school may use information reported on the Free Application for Federal Student Aid (FAFSA) by a graduate or professional student borrower or by the student for whom a parent is borrowing a Direct PLUS Loan to complete portions of the PLUS MPN before the form is given to the borrower to sign. This reduces burden by eliminating the need for the borrower to provide the same information again. Similarly, schools electronically transmit information collected on the PLUS MPN to the Department. That information is </w:t>
      </w:r>
      <w:r w:rsidRPr="004463BF">
        <w:rPr>
          <w:rFonts w:asciiTheme="minorHAnsi" w:hAnsiTheme="minorHAnsi"/>
          <w:szCs w:val="24"/>
        </w:rPr>
        <w:lastRenderedPageBreak/>
        <w:t>then used by the Department to preprint borrower and/or student information on the PLUS Endorser Addendum if an applicant for a Direct PLUS Loan is determined to have an adverse credit history.</w:t>
      </w:r>
    </w:p>
    <w:p w:rsidRPr="004463BF" w:rsidR="000B1A1C" w:rsidP="000B1A1C" w:rsidRDefault="000B1A1C" w14:paraId="22135E74" w14:textId="77777777">
      <w:pPr>
        <w:pStyle w:val="Footer"/>
        <w:ind w:left="720"/>
        <w:rPr>
          <w:rFonts w:asciiTheme="minorHAnsi" w:hAnsiTheme="minorHAnsi"/>
          <w:szCs w:val="24"/>
        </w:rPr>
      </w:pPr>
    </w:p>
    <w:p w:rsidR="000B1A1C" w:rsidP="000B1A1C" w:rsidRDefault="000B1A1C" w14:paraId="68C290F1" w14:textId="5C1B4D60">
      <w:pPr>
        <w:pStyle w:val="Footer"/>
        <w:ind w:left="720"/>
        <w:rPr>
          <w:rFonts w:asciiTheme="minorHAnsi" w:hAnsiTheme="minorHAnsi"/>
          <w:szCs w:val="24"/>
        </w:rPr>
      </w:pPr>
      <w:r w:rsidRPr="004463BF">
        <w:rPr>
          <w:rFonts w:asciiTheme="minorHAnsi" w:hAnsiTheme="minorHAnsi"/>
          <w:szCs w:val="24"/>
        </w:rPr>
        <w:t>Borrowers have the option of completing the PLUS MPN through an entirely electronic process, using a personal identification number (PIN) provided by the Department. This process is essentially the same as the electronic process that is available to Direct Subsidized and Direct Unsubsidized loan borrowers. The electronic process for Direct PLUS Loans uses an HTML (hypertext markup language) version of the paper PLUS MPN and stores the HTML version as the authoritative copy of the form. The text and data elements on the HTML version are identical to the text and data elements on the paper PLUS MPN. Currently, more than 99% of Direct PLUS Loan MPNs are completed electronically.</w:t>
      </w:r>
    </w:p>
    <w:p w:rsidRPr="004463BF" w:rsidR="000B1A1C" w:rsidP="000B1A1C" w:rsidRDefault="000B1A1C" w14:paraId="1E743AED" w14:textId="77777777">
      <w:pPr>
        <w:pStyle w:val="Footer"/>
        <w:ind w:left="720"/>
        <w:rPr>
          <w:rFonts w:asciiTheme="minorHAnsi" w:hAnsiTheme="minorHAnsi"/>
          <w:szCs w:val="24"/>
        </w:rPr>
      </w:pPr>
    </w:p>
    <w:p w:rsidR="000B1A1C" w:rsidP="000B1A1C" w:rsidRDefault="000B1A1C" w14:paraId="0B3F69DC" w14:textId="6C054633">
      <w:pPr>
        <w:pStyle w:val="Footer"/>
        <w:ind w:left="720"/>
        <w:rPr>
          <w:rFonts w:asciiTheme="minorHAnsi" w:hAnsiTheme="minorHAnsi"/>
          <w:szCs w:val="24"/>
        </w:rPr>
      </w:pPr>
      <w:r w:rsidRPr="004463BF">
        <w:rPr>
          <w:rFonts w:asciiTheme="minorHAnsi" w:hAnsiTheme="minorHAnsi"/>
          <w:szCs w:val="24"/>
        </w:rPr>
        <w:t xml:space="preserve">The Department also gives Direct PLUS Loan endorsers the option of completing the PLUS Endorser Addendum through an entirely electronic process that is modeled on the electronic process for the PLUS Loan MPN, as described above. Currently, approximately 96% of Direct PLUS Loan endorsers complete the PLUS Endorser Addendum electronically. </w:t>
      </w:r>
    </w:p>
    <w:p w:rsidRPr="004463BF" w:rsidR="000B1A1C" w:rsidP="000B1A1C" w:rsidRDefault="000B1A1C" w14:paraId="216303E5" w14:textId="77777777">
      <w:pPr>
        <w:pStyle w:val="Footer"/>
        <w:ind w:left="720"/>
        <w:rPr>
          <w:rFonts w:asciiTheme="minorHAnsi" w:hAnsiTheme="minorHAnsi"/>
          <w:szCs w:val="24"/>
        </w:rPr>
      </w:pPr>
    </w:p>
    <w:p w:rsidRPr="004463BF" w:rsidR="000B1A1C" w:rsidP="000B1A1C" w:rsidRDefault="000B1A1C" w14:paraId="1ACCDD83" w14:textId="77777777">
      <w:pPr>
        <w:pStyle w:val="Footer"/>
        <w:ind w:left="720"/>
        <w:rPr>
          <w:rFonts w:ascii="Calibri" w:hAnsi="Calibri"/>
          <w:i/>
          <w:szCs w:val="24"/>
        </w:rPr>
      </w:pPr>
      <w:r w:rsidRPr="004463BF">
        <w:rPr>
          <w:rFonts w:ascii="Calibri" w:hAnsi="Calibri"/>
          <w:i/>
          <w:szCs w:val="24"/>
        </w:rPr>
        <w:t>Consolidation Note and related consolidation forms:</w:t>
      </w:r>
    </w:p>
    <w:p w:rsidR="000B1A1C" w:rsidP="000B1A1C" w:rsidRDefault="000B1A1C" w14:paraId="405AB418" w14:textId="6E993B49">
      <w:pPr>
        <w:pStyle w:val="BodyText0"/>
        <w:spacing w:after="0"/>
        <w:ind w:left="720"/>
        <w:rPr>
          <w:rFonts w:asciiTheme="minorHAnsi" w:hAnsiTheme="minorHAnsi"/>
          <w:szCs w:val="24"/>
        </w:rPr>
      </w:pPr>
      <w:r w:rsidRPr="004463BF">
        <w:rPr>
          <w:rFonts w:asciiTheme="minorHAnsi" w:hAnsiTheme="minorHAnsi"/>
          <w:szCs w:val="24"/>
        </w:rPr>
        <w:t xml:space="preserve">The Consolidation Note, LVC, and Request to Add Loans are all available on our website in PDF format for respondents to download in PDF format, complete, and submit to us. In addition, respondents may complete the Note and the LVC electronically. Approximately 99% of Direct Consolidation Loan applicants complete and submit the Consolidation Note electronically on our website. </w:t>
      </w:r>
    </w:p>
    <w:p w:rsidRPr="004463BF" w:rsidR="000B1A1C" w:rsidP="000B1A1C" w:rsidRDefault="000B1A1C" w14:paraId="07844A39" w14:textId="77777777">
      <w:pPr>
        <w:pStyle w:val="BodyText0"/>
        <w:spacing w:after="0"/>
        <w:ind w:left="720"/>
        <w:rPr>
          <w:rFonts w:asciiTheme="minorHAnsi" w:hAnsiTheme="minorHAnsi"/>
          <w:b/>
          <w:bCs/>
          <w:szCs w:val="24"/>
        </w:rPr>
      </w:pPr>
    </w:p>
    <w:p w:rsidR="000B1A1C" w:rsidP="000B1A1C" w:rsidRDefault="000B1A1C" w14:paraId="72BBDDD3" w14:textId="792012FE">
      <w:pPr>
        <w:pStyle w:val="BodyText0"/>
        <w:spacing w:after="0"/>
        <w:ind w:left="720"/>
        <w:rPr>
          <w:rFonts w:asciiTheme="minorHAnsi" w:hAnsiTheme="minorHAnsi"/>
          <w:szCs w:val="24"/>
        </w:rPr>
      </w:pPr>
      <w:r w:rsidRPr="004463BF">
        <w:rPr>
          <w:rFonts w:asciiTheme="minorHAnsi" w:hAnsiTheme="minorHAnsi"/>
          <w:szCs w:val="24"/>
        </w:rPr>
        <w:t>For borrowers who complete and submit the Note electronically on the Department’s website, and in some cases for borrowers who download the Note in PDF format from our website, the Department prepopulates the Borrower Information section, the Loans I Want to Consolidate section, and the Loans I Do Not Want to Consolidate section using existing information about the borrower and the borrower’s loans in our loan servicing systems and/or the National Student Loan Data System (NSLDS). The instructions for completing the Consolidation Note inform borrowers that some of the information in these sections may have been completed for them. Prepopulating portions of the form significantly reduces burden on applicants, since they only have to review the preprinted information for completeness and accuracy and make any necessary changes (e.g., correcting information or indicating that they do not want to consolidate a loan listed in the Loans I Want to Consolidate section).</w:t>
      </w:r>
    </w:p>
    <w:p w:rsidRPr="004463BF" w:rsidR="000B1A1C" w:rsidP="000B1A1C" w:rsidRDefault="000B1A1C" w14:paraId="5E859382" w14:textId="77777777">
      <w:pPr>
        <w:pStyle w:val="BodyText0"/>
        <w:spacing w:after="0"/>
        <w:ind w:left="720"/>
        <w:rPr>
          <w:rFonts w:asciiTheme="minorHAnsi" w:hAnsiTheme="minorHAnsi"/>
          <w:b/>
          <w:bCs/>
          <w:szCs w:val="24"/>
        </w:rPr>
      </w:pPr>
    </w:p>
    <w:p w:rsidRPr="004463BF" w:rsidR="000B1A1C" w:rsidP="000B1A1C" w:rsidRDefault="000B1A1C" w14:paraId="2C39D114" w14:textId="77777777">
      <w:pPr>
        <w:pStyle w:val="BodyText0"/>
        <w:spacing w:after="0"/>
        <w:ind w:left="720"/>
        <w:rPr>
          <w:rFonts w:asciiTheme="minorHAnsi" w:hAnsiTheme="minorHAnsi"/>
          <w:b/>
          <w:bCs/>
          <w:szCs w:val="24"/>
        </w:rPr>
      </w:pPr>
      <w:r w:rsidRPr="004463BF">
        <w:rPr>
          <w:rFonts w:asciiTheme="minorHAnsi" w:hAnsiTheme="minorHAnsi"/>
          <w:szCs w:val="24"/>
        </w:rPr>
        <w:t xml:space="preserve">All loan holders/servicers have the option of completing the LVC electronically. They may do this (1) by completing and returning an LVC for each applicant via our website for loan holders/servicers or (2) by completing and returning LVCs for multiple applicants through a batch process. Both electronic processes reduce burden for loan </w:t>
      </w:r>
      <w:r w:rsidRPr="004463BF">
        <w:rPr>
          <w:rFonts w:asciiTheme="minorHAnsi" w:hAnsiTheme="minorHAnsi"/>
          <w:szCs w:val="24"/>
        </w:rPr>
        <w:lastRenderedPageBreak/>
        <w:t>holders/servicers by providing a more convenient, efficient and expedient way to complete and return the required LVCs. Approximately 90% of LVCs are completed electronically.</w:t>
      </w:r>
    </w:p>
    <w:p w:rsidR="005F4E11" w:rsidP="00AD381B" w:rsidRDefault="005F4E11" w14:paraId="50B84318" w14:textId="77777777">
      <w:pPr>
        <w:pStyle w:val="ListParagraph"/>
        <w:tabs>
          <w:tab w:val="left" w:pos="-720"/>
        </w:tabs>
        <w:suppressAutoHyphens/>
        <w:contextualSpacing w:val="0"/>
        <w:rPr>
          <w:rFonts w:ascii="Times New Roman" w:hAnsi="Times New Roman"/>
          <w:szCs w:val="24"/>
        </w:rPr>
      </w:pPr>
    </w:p>
    <w:p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64280E61" w14:textId="3E50282B">
      <w:pPr>
        <w:pStyle w:val="ListParagraph"/>
        <w:tabs>
          <w:tab w:val="left" w:pos="-720"/>
        </w:tabs>
        <w:suppressAutoHyphens/>
        <w:contextualSpacing w:val="0"/>
        <w:rPr>
          <w:rFonts w:ascii="Times New Roman" w:hAnsi="Times New Roman"/>
          <w:b/>
          <w:szCs w:val="24"/>
        </w:rPr>
      </w:pPr>
    </w:p>
    <w:p w:rsidRPr="000872D9" w:rsidR="000872D9" w:rsidP="000872D9" w:rsidRDefault="000872D9" w14:paraId="0D2DB349" w14:textId="77777777">
      <w:pPr>
        <w:ind w:left="720"/>
        <w:rPr>
          <w:rFonts w:ascii="Calibri" w:hAnsi="Calibri"/>
          <w:szCs w:val="24"/>
        </w:rPr>
      </w:pPr>
      <w:r w:rsidRPr="000872D9">
        <w:rPr>
          <w:rFonts w:ascii="Calibri" w:hAnsi="Calibri"/>
          <w:szCs w:val="24"/>
        </w:rPr>
        <w:t>Except as explained in Item 3, above, there is no information available from other sources that can be used for the purposes described in Item 2.</w:t>
      </w:r>
    </w:p>
    <w:p w:rsidRPr="005F4E11" w:rsidR="00043C32" w:rsidP="005F4E11" w:rsidRDefault="00043C32"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4280E63" w14:textId="77777777">
      <w:pPr>
        <w:pStyle w:val="ListParagraph"/>
        <w:contextualSpacing w:val="0"/>
        <w:rPr>
          <w:rFonts w:ascii="Times New Roman" w:hAnsi="Times New Roman"/>
          <w:szCs w:val="24"/>
        </w:rPr>
      </w:pPr>
    </w:p>
    <w:p w:rsidRPr="004463BF" w:rsidR="000872D9" w:rsidP="000872D9" w:rsidRDefault="000872D9" w14:paraId="10059D2B" w14:textId="77777777">
      <w:pPr>
        <w:ind w:left="720"/>
        <w:rPr>
          <w:rFonts w:ascii="Calibri" w:hAnsi="Calibri"/>
          <w:szCs w:val="24"/>
        </w:rPr>
      </w:pPr>
      <w:r w:rsidRPr="004463BF">
        <w:rPr>
          <w:rFonts w:ascii="Calibri" w:hAnsi="Calibri"/>
          <w:szCs w:val="24"/>
        </w:rPr>
        <w:t>No small businesses are affected by this information collection.</w:t>
      </w:r>
    </w:p>
    <w:p w:rsidRPr="005F4E11" w:rsidR="00EF4C67" w:rsidP="00AD381B" w:rsidRDefault="00EF4C67" w14:paraId="48B8773E" w14:textId="77777777">
      <w:pPr>
        <w:pStyle w:val="ListParagraph"/>
        <w:contextualSpacing w:val="0"/>
        <w:rPr>
          <w:rFonts w:asciiTheme="minorHAnsi" w:hAnsiTheme="minorHAnsi" w:cstheme="minorHAnsi"/>
          <w:szCs w:val="24"/>
        </w:rPr>
      </w:pPr>
    </w:p>
    <w:p w:rsidR="00043C32" w:rsidP="00AD381B"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5F4E11" w:rsidR="005F4E11" w:rsidP="005F4E11" w:rsidRDefault="005F4E11" w14:paraId="3424297C" w14:textId="6A8F3E9A">
      <w:pPr>
        <w:tabs>
          <w:tab w:val="left" w:pos="-720"/>
        </w:tabs>
        <w:suppressAutoHyphens/>
        <w:ind w:left="720"/>
        <w:rPr>
          <w:rFonts w:ascii="Times New Roman" w:hAnsi="Times New Roman"/>
          <w:bCs/>
          <w:szCs w:val="24"/>
        </w:rPr>
      </w:pPr>
    </w:p>
    <w:p w:rsidR="000872D9" w:rsidP="000872D9" w:rsidRDefault="000872D9" w14:paraId="3C9A0B5A" w14:textId="131E0078">
      <w:pPr>
        <w:tabs>
          <w:tab w:val="left" w:pos="-720"/>
        </w:tabs>
        <w:suppressAutoHyphens/>
        <w:ind w:left="720"/>
        <w:rPr>
          <w:rFonts w:ascii="Calibri" w:hAnsi="Calibri"/>
          <w:szCs w:val="24"/>
        </w:rPr>
      </w:pPr>
      <w:r w:rsidRPr="004463BF">
        <w:rPr>
          <w:rFonts w:ascii="Calibri" w:hAnsi="Calibri"/>
          <w:szCs w:val="24"/>
        </w:rPr>
        <w:t>Without this collection of information, borrowers would not be able to receive Direct Loan Program loans. The Subsidized/Unsubsidized and PLUS MPNs minimize the frequency of data collection by allowing a borrower who has completed an initial MPN to receive subsequent loans for up to 10 years without signing another MPN, if the borrower is attending a school that is authorized to make multiple loans under the MPN and chooses to do so. The MPN also reduces burden for borrowers attending schools that are not authorized to use the multi-year feature of the MPN (or that choose not to do so), since they may receive subsequent loans during the same academic year without having to sign a new MPN.</w:t>
      </w:r>
    </w:p>
    <w:p w:rsidRPr="004463BF" w:rsidR="000872D9" w:rsidP="000872D9" w:rsidRDefault="000872D9" w14:paraId="0104B5E5" w14:textId="77777777">
      <w:pPr>
        <w:tabs>
          <w:tab w:val="left" w:pos="-720"/>
        </w:tabs>
        <w:suppressAutoHyphens/>
        <w:ind w:left="720"/>
        <w:rPr>
          <w:rFonts w:ascii="Calibri" w:hAnsi="Calibri"/>
          <w:szCs w:val="24"/>
        </w:rPr>
      </w:pPr>
    </w:p>
    <w:p w:rsidR="000872D9" w:rsidP="000872D9" w:rsidRDefault="000872D9" w14:paraId="7CB25468" w14:textId="2CC2C272">
      <w:pPr>
        <w:tabs>
          <w:tab w:val="left" w:pos="-720"/>
        </w:tabs>
        <w:suppressAutoHyphens/>
        <w:ind w:left="720"/>
        <w:rPr>
          <w:rFonts w:asciiTheme="minorHAnsi" w:hAnsiTheme="minorHAnsi"/>
          <w:szCs w:val="24"/>
        </w:rPr>
      </w:pPr>
      <w:r w:rsidRPr="004463BF">
        <w:rPr>
          <w:rFonts w:asciiTheme="minorHAnsi" w:hAnsiTheme="minorHAnsi"/>
          <w:szCs w:val="24"/>
        </w:rPr>
        <w:t>The PLUS Endorser Addendum must be completed each time a borrower who is determined to have an adverse credit history obtains an endorser for a Direct PLUS Loan.</w:t>
      </w:r>
    </w:p>
    <w:p w:rsidRPr="004463BF" w:rsidR="000872D9" w:rsidP="000872D9" w:rsidRDefault="000872D9" w14:paraId="46AA685B" w14:textId="77777777">
      <w:pPr>
        <w:tabs>
          <w:tab w:val="left" w:pos="-720"/>
        </w:tabs>
        <w:suppressAutoHyphens/>
        <w:ind w:left="720"/>
        <w:rPr>
          <w:rFonts w:asciiTheme="minorHAnsi" w:hAnsiTheme="minorHAnsi"/>
          <w:szCs w:val="24"/>
        </w:rPr>
      </w:pPr>
    </w:p>
    <w:p w:rsidRPr="004463BF" w:rsidR="000872D9" w:rsidP="000872D9" w:rsidRDefault="000872D9" w14:paraId="605D1C61" w14:textId="77777777">
      <w:pPr>
        <w:tabs>
          <w:tab w:val="left" w:pos="-720"/>
        </w:tabs>
        <w:suppressAutoHyphens/>
        <w:ind w:left="720"/>
        <w:rPr>
          <w:rFonts w:asciiTheme="minorHAnsi" w:hAnsiTheme="minorHAnsi"/>
          <w:szCs w:val="24"/>
        </w:rPr>
      </w:pPr>
      <w:r w:rsidRPr="004463BF">
        <w:rPr>
          <w:rFonts w:asciiTheme="minorHAnsi" w:hAnsiTheme="minorHAnsi"/>
          <w:szCs w:val="24"/>
        </w:rPr>
        <w:t xml:space="preserve">The Consolidation Note and the LVC will be completed by an applicant or a loan holder/servicer one time for each Direct Consolidation Loan. The Request to Add Loans will be completed by a borrower only when the borrower wants to request that one or more loans not included on the original Consolidation Note be added to the borrower’s Direct Consolidation Loan, either before the loan is made or within 180 days of the date </w:t>
      </w:r>
      <w:r w:rsidRPr="004463BF">
        <w:rPr>
          <w:rFonts w:asciiTheme="minorHAnsi" w:hAnsiTheme="minorHAnsi"/>
          <w:szCs w:val="24"/>
        </w:rPr>
        <w:lastRenderedPageBreak/>
        <w:t>the loan is made. If the information requested on the Direct Consolidation Loan forms were not collected, borrowers would not be able to take advantage of the benefits offered by Direct Consolidation Loans, as described in Item 1 of this supporting statement.</w:t>
      </w:r>
    </w:p>
    <w:p w:rsidRPr="005F4E11" w:rsidR="005F4E11" w:rsidP="005F4E11" w:rsidRDefault="005F4E11" w14:paraId="51872AEE" w14:textId="77777777">
      <w:pPr>
        <w:tabs>
          <w:tab w:val="left" w:pos="-720"/>
        </w:tabs>
        <w:suppressAutoHyphens/>
        <w:ind w:left="720"/>
        <w:rPr>
          <w:rFonts w:ascii="Times New Roman" w:hAnsi="Times New Roman"/>
          <w:bCs/>
          <w:szCs w:val="24"/>
        </w:rPr>
      </w:pPr>
    </w:p>
    <w:p w:rsidRPr="00AD381B"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4280E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4280E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4280E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4280E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4280E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4280E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64280E7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F4E11" w:rsidR="00AD381B" w:rsidP="00AD381B" w:rsidRDefault="00AD381B" w14:paraId="64280E77" w14:textId="77777777">
      <w:pPr>
        <w:pStyle w:val="ListParagraph"/>
        <w:rPr>
          <w:rFonts w:ascii="Times New Roman" w:hAnsi="Times New Roman"/>
          <w:bCs/>
          <w:szCs w:val="24"/>
        </w:rPr>
      </w:pPr>
    </w:p>
    <w:p w:rsidRPr="004463BF" w:rsidR="000872D9" w:rsidP="000872D9" w:rsidRDefault="000872D9" w14:paraId="57C17BDE" w14:textId="77777777">
      <w:pPr>
        <w:pStyle w:val="BodyText0"/>
        <w:spacing w:after="0"/>
        <w:ind w:left="720"/>
        <w:rPr>
          <w:rFonts w:asciiTheme="minorHAnsi" w:hAnsiTheme="minorHAnsi"/>
          <w:b/>
          <w:bCs/>
          <w:szCs w:val="24"/>
        </w:rPr>
      </w:pPr>
      <w:r w:rsidRPr="004463BF">
        <w:rPr>
          <w:rFonts w:asciiTheme="minorHAnsi" w:hAnsiTheme="minorHAnsi"/>
          <w:szCs w:val="24"/>
        </w:rPr>
        <w:t>The collection of this information will be conducted in a manner that is consistent with the guidelines in 5 CFR 1320.5(d)(2), with one exception. The LVC must be completed and returned by the loan holder/servicer within 10 business days of the date received. This deadline is established in 34 CFR 685.220(f)(1)(i).</w:t>
      </w:r>
    </w:p>
    <w:p w:rsidRPr="00AD381B" w:rsidR="005F4E11" w:rsidP="005F4E11" w:rsidRDefault="005F4E11" w14:paraId="6109B5F4" w14:textId="77777777">
      <w:pPr>
        <w:tabs>
          <w:tab w:val="left" w:pos="-720"/>
        </w:tabs>
        <w:suppressAutoHyphens/>
        <w:ind w:left="720"/>
        <w:rPr>
          <w:rFonts w:ascii="Times New Roman" w:hAnsi="Times New Roman"/>
          <w:szCs w:val="24"/>
        </w:rPr>
      </w:pPr>
    </w:p>
    <w:p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lastRenderedPageBreak/>
        <w:t>For the 30 day notice, indicate that a notice will be published.</w:t>
      </w:r>
    </w:p>
    <w:p w:rsidRPr="00AD381B" w:rsidR="00043C32" w:rsidP="00AD381B" w:rsidRDefault="00043C32"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4280E7F" w14:textId="77777777">
      <w:pPr>
        <w:tabs>
          <w:tab w:val="left" w:pos="-720"/>
        </w:tabs>
        <w:suppressAutoHyphens/>
        <w:rPr>
          <w:rStyle w:val="a"/>
          <w:rFonts w:ascii="Times New Roman" w:hAnsi="Times New Roman"/>
          <w:b/>
          <w:szCs w:val="24"/>
        </w:rPr>
      </w:pPr>
    </w:p>
    <w:p w:rsidR="00043C32" w:rsidP="00AD381B" w:rsidRDefault="00043C32"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F4E11" w:rsidR="00AD381B" w:rsidP="00AD381B" w:rsidRDefault="00AD381B" w14:paraId="64280E81" w14:textId="77777777">
      <w:pPr>
        <w:tabs>
          <w:tab w:val="left" w:pos="-720"/>
        </w:tabs>
        <w:suppressAutoHyphens/>
        <w:ind w:left="720"/>
        <w:rPr>
          <w:rFonts w:ascii="Times New Roman" w:hAnsi="Times New Roman"/>
          <w:bCs/>
          <w:szCs w:val="24"/>
        </w:rPr>
      </w:pPr>
    </w:p>
    <w:p w:rsidR="00B22D9E" w:rsidP="00831B1D" w:rsidRDefault="00B57F22" w14:paraId="5B7972D0" w14:textId="316B6C10">
      <w:pPr>
        <w:tabs>
          <w:tab w:val="left" w:pos="-720"/>
        </w:tabs>
        <w:suppressAutoHyphens/>
        <w:ind w:left="720"/>
        <w:rPr>
          <w:rFonts w:ascii="Calibri" w:hAnsi="Calibri"/>
          <w:szCs w:val="24"/>
        </w:rPr>
      </w:pPr>
      <w:r w:rsidRPr="004463BF">
        <w:rPr>
          <w:rFonts w:ascii="Calibri" w:hAnsi="Calibri"/>
          <w:szCs w:val="24"/>
        </w:rPr>
        <w:t>The Department consulted with schools and other members of the financial aid community in developing the original promissory notes and related forms. The paperwork clearance process provide</w:t>
      </w:r>
      <w:r w:rsidR="00167D77">
        <w:rPr>
          <w:rFonts w:ascii="Calibri" w:hAnsi="Calibri"/>
          <w:szCs w:val="24"/>
        </w:rPr>
        <w:t>s</w:t>
      </w:r>
      <w:r w:rsidRPr="004463BF">
        <w:rPr>
          <w:rFonts w:ascii="Calibri" w:hAnsi="Calibri"/>
          <w:szCs w:val="24"/>
        </w:rPr>
        <w:t xml:space="preserve"> the public with two opportunities to submit comments on the revised forms. </w:t>
      </w:r>
    </w:p>
    <w:p w:rsidR="00B22D9E" w:rsidP="00831B1D" w:rsidRDefault="00B22D9E" w14:paraId="0D84A6C6" w14:textId="77777777">
      <w:pPr>
        <w:tabs>
          <w:tab w:val="left" w:pos="-720"/>
        </w:tabs>
        <w:suppressAutoHyphens/>
        <w:ind w:left="720"/>
        <w:rPr>
          <w:rFonts w:ascii="Calibri" w:hAnsi="Calibri"/>
          <w:szCs w:val="24"/>
        </w:rPr>
      </w:pPr>
    </w:p>
    <w:p w:rsidR="00167D77" w:rsidP="00831B1D" w:rsidRDefault="00A81A92" w14:paraId="10F6AF27"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A</w:t>
      </w:r>
      <w:r w:rsidRPr="00FB6309" w:rsidR="00831B1D">
        <w:rPr>
          <w:rFonts w:asciiTheme="minorHAnsi" w:hAnsiTheme="minorHAnsi" w:cstheme="minorHAnsi"/>
          <w:szCs w:val="24"/>
        </w:rPr>
        <w:t xml:space="preserve"> notice </w:t>
      </w:r>
      <w:r w:rsidR="00F737DA">
        <w:rPr>
          <w:rFonts w:asciiTheme="minorHAnsi" w:hAnsiTheme="minorHAnsi" w:cstheme="minorHAnsi"/>
          <w:szCs w:val="24"/>
        </w:rPr>
        <w:t xml:space="preserve">was published in </w:t>
      </w:r>
      <w:r w:rsidRPr="00FB6309" w:rsidR="00831B1D">
        <w:rPr>
          <w:rFonts w:asciiTheme="minorHAnsi" w:hAnsiTheme="minorHAnsi" w:cstheme="minorHAnsi"/>
          <w:szCs w:val="24"/>
        </w:rPr>
        <w:t xml:space="preserve">the Federal Register </w:t>
      </w:r>
      <w:r w:rsidR="00F737DA">
        <w:rPr>
          <w:rFonts w:asciiTheme="minorHAnsi" w:hAnsiTheme="minorHAnsi" w:cstheme="minorHAnsi"/>
          <w:szCs w:val="24"/>
        </w:rPr>
        <w:t xml:space="preserve">on March 15, 2022 (87 FR 14525) </w:t>
      </w:r>
      <w:r w:rsidRPr="00FB6309" w:rsidR="00831B1D">
        <w:rPr>
          <w:rFonts w:asciiTheme="minorHAnsi" w:hAnsiTheme="minorHAnsi" w:cstheme="minorHAnsi"/>
          <w:szCs w:val="24"/>
        </w:rPr>
        <w:t xml:space="preserve">requesting </w:t>
      </w:r>
      <w:r w:rsidR="0090387A">
        <w:rPr>
          <w:rFonts w:asciiTheme="minorHAnsi" w:hAnsiTheme="minorHAnsi" w:cstheme="minorHAnsi"/>
          <w:szCs w:val="24"/>
        </w:rPr>
        <w:t xml:space="preserve">comments during </w:t>
      </w:r>
      <w:r w:rsidRPr="00FB6309" w:rsidR="00831B1D">
        <w:rPr>
          <w:rFonts w:asciiTheme="minorHAnsi" w:hAnsiTheme="minorHAnsi" w:cstheme="minorHAnsi"/>
          <w:szCs w:val="24"/>
        </w:rPr>
        <w:t xml:space="preserve">a 60-day public comment period. </w:t>
      </w:r>
      <w:r w:rsidR="00BC6024">
        <w:rPr>
          <w:rFonts w:asciiTheme="minorHAnsi" w:hAnsiTheme="minorHAnsi" w:cstheme="minorHAnsi"/>
          <w:szCs w:val="24"/>
        </w:rPr>
        <w:t xml:space="preserve">Five individuals and organizations submitted comments during the initial 60-day comment period. </w:t>
      </w:r>
    </w:p>
    <w:p w:rsidR="00167D77" w:rsidP="00831B1D" w:rsidRDefault="00167D77" w14:paraId="333B538E" w14:textId="77777777">
      <w:pPr>
        <w:tabs>
          <w:tab w:val="left" w:pos="-720"/>
        </w:tabs>
        <w:suppressAutoHyphens/>
        <w:ind w:left="720"/>
        <w:rPr>
          <w:rFonts w:asciiTheme="minorHAnsi" w:hAnsiTheme="minorHAnsi" w:cstheme="minorHAnsi"/>
          <w:szCs w:val="24"/>
        </w:rPr>
      </w:pPr>
    </w:p>
    <w:p w:rsidR="00167D77" w:rsidP="00831B1D" w:rsidRDefault="00EC3EB4" w14:paraId="48AD960D"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The comments from one of the commenters were unrelated to the </w:t>
      </w:r>
      <w:r w:rsidR="002C4EDF">
        <w:rPr>
          <w:rFonts w:asciiTheme="minorHAnsi" w:hAnsiTheme="minorHAnsi" w:cstheme="minorHAnsi"/>
          <w:szCs w:val="24"/>
        </w:rPr>
        <w:t xml:space="preserve">Direct Loan promissory notes. </w:t>
      </w:r>
      <w:r w:rsidR="006E5F84">
        <w:rPr>
          <w:rFonts w:asciiTheme="minorHAnsi" w:hAnsiTheme="minorHAnsi" w:cstheme="minorHAnsi"/>
          <w:szCs w:val="24"/>
        </w:rPr>
        <w:t>T</w:t>
      </w:r>
      <w:r w:rsidR="00E34BD5">
        <w:rPr>
          <w:rFonts w:asciiTheme="minorHAnsi" w:hAnsiTheme="minorHAnsi" w:cstheme="minorHAnsi"/>
          <w:szCs w:val="24"/>
        </w:rPr>
        <w:t xml:space="preserve">he Department considered </w:t>
      </w:r>
      <w:r w:rsidR="006E5F84">
        <w:rPr>
          <w:rFonts w:asciiTheme="minorHAnsi" w:hAnsiTheme="minorHAnsi" w:cstheme="minorHAnsi"/>
          <w:szCs w:val="24"/>
        </w:rPr>
        <w:t xml:space="preserve">the majority of the comments submitted by the other comments to be </w:t>
      </w:r>
      <w:r w:rsidR="00E34BD5">
        <w:rPr>
          <w:rFonts w:asciiTheme="minorHAnsi" w:hAnsiTheme="minorHAnsi" w:cstheme="minorHAnsi"/>
          <w:szCs w:val="24"/>
        </w:rPr>
        <w:t>unnecessary or not supported by applicable statute and regulations</w:t>
      </w:r>
      <w:r w:rsidR="00445D51">
        <w:rPr>
          <w:rFonts w:asciiTheme="minorHAnsi" w:hAnsiTheme="minorHAnsi" w:cstheme="minorHAnsi"/>
          <w:szCs w:val="24"/>
        </w:rPr>
        <w:t>, or to be impractical to make at this time</w:t>
      </w:r>
      <w:r w:rsidR="00167D77">
        <w:rPr>
          <w:rFonts w:asciiTheme="minorHAnsi" w:hAnsiTheme="minorHAnsi" w:cstheme="minorHAnsi"/>
          <w:szCs w:val="24"/>
        </w:rPr>
        <w:t xml:space="preserve">. </w:t>
      </w:r>
    </w:p>
    <w:p w:rsidR="00167D77" w:rsidP="00831B1D" w:rsidRDefault="00167D77" w14:paraId="455D1644" w14:textId="77777777">
      <w:pPr>
        <w:tabs>
          <w:tab w:val="left" w:pos="-720"/>
        </w:tabs>
        <w:suppressAutoHyphens/>
        <w:ind w:left="720"/>
        <w:rPr>
          <w:rFonts w:asciiTheme="minorHAnsi" w:hAnsiTheme="minorHAnsi" w:cstheme="minorHAnsi"/>
          <w:szCs w:val="24"/>
        </w:rPr>
      </w:pPr>
    </w:p>
    <w:p w:rsidR="00F4441D" w:rsidP="00831B1D" w:rsidRDefault="00167D77" w14:paraId="041ADC16" w14:textId="466254D4">
      <w:pPr>
        <w:tabs>
          <w:tab w:val="left" w:pos="-720"/>
        </w:tabs>
        <w:suppressAutoHyphens/>
        <w:ind w:left="720"/>
        <w:rPr>
          <w:rFonts w:asciiTheme="minorHAnsi" w:hAnsiTheme="minorHAnsi" w:cstheme="minorHAnsi"/>
          <w:szCs w:val="24"/>
        </w:rPr>
      </w:pPr>
      <w:r>
        <w:rPr>
          <w:rFonts w:asciiTheme="minorHAnsi" w:hAnsiTheme="minorHAnsi" w:cstheme="minorHAnsi"/>
          <w:szCs w:val="24"/>
        </w:rPr>
        <w:t>T</w:t>
      </w:r>
      <w:r w:rsidR="00206FCC">
        <w:rPr>
          <w:rFonts w:asciiTheme="minorHAnsi" w:hAnsiTheme="minorHAnsi" w:cstheme="minorHAnsi"/>
          <w:szCs w:val="24"/>
        </w:rPr>
        <w:t xml:space="preserve">he </w:t>
      </w:r>
      <w:r>
        <w:rPr>
          <w:rFonts w:asciiTheme="minorHAnsi" w:hAnsiTheme="minorHAnsi" w:cstheme="minorHAnsi"/>
          <w:szCs w:val="24"/>
        </w:rPr>
        <w:t xml:space="preserve">Department anticipates that the </w:t>
      </w:r>
      <w:r w:rsidR="00206FCC">
        <w:rPr>
          <w:rFonts w:asciiTheme="minorHAnsi" w:hAnsiTheme="minorHAnsi" w:cstheme="minorHAnsi"/>
          <w:szCs w:val="24"/>
        </w:rPr>
        <w:t xml:space="preserve">promissory notes will need to be revised again in the relatively near future to incorporate changes </w:t>
      </w:r>
      <w:r w:rsidR="00F4441D">
        <w:rPr>
          <w:rFonts w:asciiTheme="minorHAnsi" w:hAnsiTheme="minorHAnsi" w:cstheme="minorHAnsi"/>
          <w:szCs w:val="24"/>
        </w:rPr>
        <w:t>anticipated</w:t>
      </w:r>
      <w:r w:rsidR="00206FCC">
        <w:rPr>
          <w:rFonts w:asciiTheme="minorHAnsi" w:hAnsiTheme="minorHAnsi" w:cstheme="minorHAnsi"/>
          <w:szCs w:val="24"/>
        </w:rPr>
        <w:t xml:space="preserve"> from final regulations expected to be </w:t>
      </w:r>
      <w:r w:rsidR="00CC4396">
        <w:rPr>
          <w:rFonts w:asciiTheme="minorHAnsi" w:hAnsiTheme="minorHAnsi" w:cstheme="minorHAnsi"/>
          <w:szCs w:val="24"/>
        </w:rPr>
        <w:t xml:space="preserve">published in late 2022. </w:t>
      </w:r>
      <w:r w:rsidR="00F4441D">
        <w:rPr>
          <w:rFonts w:asciiTheme="minorHAnsi" w:hAnsiTheme="minorHAnsi" w:cstheme="minorHAnsi"/>
          <w:szCs w:val="24"/>
        </w:rPr>
        <w:t xml:space="preserve">At that time, there will be additional opportunities to make comment on the updated promissory notes. </w:t>
      </w:r>
      <w:r w:rsidR="00CC4396">
        <w:rPr>
          <w:rFonts w:asciiTheme="minorHAnsi" w:hAnsiTheme="minorHAnsi" w:cstheme="minorHAnsi"/>
          <w:szCs w:val="24"/>
        </w:rPr>
        <w:t xml:space="preserve">The Department's responses to the 60-day comments are included </w:t>
      </w:r>
      <w:r w:rsidR="008B0A72">
        <w:rPr>
          <w:rFonts w:asciiTheme="minorHAnsi" w:hAnsiTheme="minorHAnsi" w:cstheme="minorHAnsi"/>
          <w:szCs w:val="24"/>
        </w:rPr>
        <w:t xml:space="preserve">with this submission. </w:t>
      </w:r>
    </w:p>
    <w:p w:rsidR="00F4441D" w:rsidP="00831B1D" w:rsidRDefault="00F4441D" w14:paraId="021A22F5" w14:textId="77777777">
      <w:pPr>
        <w:tabs>
          <w:tab w:val="left" w:pos="-720"/>
        </w:tabs>
        <w:suppressAutoHyphens/>
        <w:ind w:left="720"/>
        <w:rPr>
          <w:rFonts w:asciiTheme="minorHAnsi" w:hAnsiTheme="minorHAnsi" w:cstheme="minorHAnsi"/>
          <w:szCs w:val="24"/>
        </w:rPr>
      </w:pPr>
    </w:p>
    <w:p w:rsidR="0090387A" w:rsidP="00831B1D" w:rsidRDefault="008B0A72" w14:paraId="7139280F" w14:textId="005021DA">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The forms submitted for public comment for the 30-day comment period are identical to the </w:t>
      </w:r>
      <w:r w:rsidR="004B2115">
        <w:rPr>
          <w:rFonts w:asciiTheme="minorHAnsi" w:hAnsiTheme="minorHAnsi" w:cstheme="minorHAnsi"/>
          <w:szCs w:val="24"/>
        </w:rPr>
        <w:t xml:space="preserve">60-day comment period forms. </w:t>
      </w:r>
    </w:p>
    <w:p w:rsidR="00167D77" w:rsidP="00831B1D" w:rsidRDefault="00167D77" w14:paraId="1D2F53E2" w14:textId="3BB1B49C">
      <w:pPr>
        <w:tabs>
          <w:tab w:val="left" w:pos="-720"/>
        </w:tabs>
        <w:suppressAutoHyphens/>
        <w:ind w:left="720"/>
        <w:rPr>
          <w:rFonts w:asciiTheme="minorHAnsi" w:hAnsiTheme="minorHAnsi" w:cstheme="minorHAnsi"/>
          <w:szCs w:val="24"/>
        </w:rPr>
      </w:pPr>
    </w:p>
    <w:p w:rsidR="00167D77" w:rsidP="00167D77" w:rsidRDefault="00167D77" w14:paraId="31A3B80B"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This is a request for a </w:t>
      </w:r>
      <w:r w:rsidRPr="00FB6309">
        <w:rPr>
          <w:rFonts w:asciiTheme="minorHAnsi" w:hAnsiTheme="minorHAnsi" w:cstheme="minorHAnsi"/>
          <w:szCs w:val="24"/>
        </w:rPr>
        <w:t xml:space="preserve">30-day Federal Register notice to allow for full public comment on the process. </w:t>
      </w:r>
    </w:p>
    <w:p w:rsidR="005F4E11" w:rsidP="00AD381B" w:rsidRDefault="005F4E11" w14:paraId="477C84F0" w14:textId="77777777">
      <w:pPr>
        <w:tabs>
          <w:tab w:val="left" w:pos="-720"/>
        </w:tabs>
        <w:suppressAutoHyphens/>
        <w:ind w:left="720"/>
        <w:rPr>
          <w:rFonts w:ascii="Times New Roman" w:hAnsi="Times New Roman"/>
          <w:szCs w:val="24"/>
        </w:rPr>
      </w:pPr>
    </w:p>
    <w:p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Pr="004463BF" w:rsidR="00B57F22" w:rsidP="00B57F22" w:rsidRDefault="00B57F22" w14:paraId="22418F1C" w14:textId="77777777">
      <w:pPr>
        <w:pStyle w:val="BodyTextIndent"/>
        <w:rPr>
          <w:rFonts w:ascii="Calibri" w:hAnsi="Calibri"/>
        </w:rPr>
      </w:pPr>
      <w:r w:rsidRPr="004463BF">
        <w:rPr>
          <w:rFonts w:ascii="Calibri" w:hAnsi="Calibri"/>
        </w:rPr>
        <w:t>No payments or gifts will be provided to respondents.</w:t>
      </w:r>
    </w:p>
    <w:p w:rsidRPr="005F4E11" w:rsidR="00920F63" w:rsidP="00920F63" w:rsidRDefault="00920F63" w14:paraId="64280E85" w14:textId="77777777">
      <w:pPr>
        <w:pStyle w:val="ListParagraph"/>
        <w:tabs>
          <w:tab w:val="left" w:pos="-720"/>
        </w:tabs>
        <w:suppressAutoHyphens/>
        <w:contextualSpacing w:val="0"/>
        <w:rPr>
          <w:rFonts w:ascii="Times New Roman" w:hAnsi="Times New Roman"/>
          <w:bCs/>
          <w:szCs w:val="24"/>
        </w:rPr>
      </w:pPr>
    </w:p>
    <w:p w:rsidRPr="00D75313"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w:t>
      </w:r>
      <w:r w:rsidRPr="00920F63">
        <w:rPr>
          <w:rFonts w:ascii="Times New Roman" w:hAnsi="Times New Roman"/>
          <w:b/>
          <w:szCs w:val="24"/>
        </w:rPr>
        <w:lastRenderedPageBreak/>
        <w:t>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rsidRDefault="00920F63" w14:paraId="64280E87" w14:textId="08ED8571">
      <w:pPr>
        <w:tabs>
          <w:tab w:val="left" w:pos="-720"/>
        </w:tabs>
        <w:suppressAutoHyphens/>
        <w:ind w:left="720"/>
        <w:rPr>
          <w:rFonts w:ascii="Times New Roman" w:hAnsi="Times New Roman"/>
          <w:bCs/>
          <w:szCs w:val="24"/>
        </w:rPr>
      </w:pPr>
    </w:p>
    <w:p w:rsidRPr="004463BF" w:rsidR="00B57F22" w:rsidP="00B57F22" w:rsidRDefault="00B57F22" w14:paraId="4A7ED857" w14:textId="77777777">
      <w:pPr>
        <w:ind w:left="720"/>
        <w:rPr>
          <w:rFonts w:ascii="Calibri" w:hAnsi="Calibri"/>
          <w:szCs w:val="24"/>
        </w:rPr>
      </w:pPr>
      <w:r w:rsidRPr="004463BF">
        <w:rPr>
          <w:rFonts w:ascii="Calibri" w:hAnsi="Calibri"/>
          <w:szCs w:val="24"/>
        </w:rPr>
        <w:t>The promissory notes and PLUS Endorser Addendum include a Privacy Act Notice that (1) informs the borrower or endorser of the statutory authority for the information collection; (2) explains that disclosure of the information is voluntary, but is required in order to receive a benefit under the Direct Loan Program; and (3) identifies the third parties to whom the information may be disclosed, and explains the circumstances under which such disclosures may occur.</w:t>
      </w:r>
    </w:p>
    <w:p w:rsidRPr="005F4E11" w:rsidR="007C700A" w:rsidP="005F4E11" w:rsidRDefault="007C700A" w14:paraId="7A4EA0F0" w14:textId="77777777">
      <w:pPr>
        <w:tabs>
          <w:tab w:val="left" w:pos="-720"/>
        </w:tabs>
        <w:suppressAutoHyphens/>
        <w:ind w:left="720"/>
        <w:rPr>
          <w:rFonts w:ascii="Times New Roman" w:hAnsi="Times New Roman"/>
          <w:bCs/>
          <w:szCs w:val="24"/>
        </w:rPr>
      </w:pPr>
    </w:p>
    <w:p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rsidRDefault="00920F63" w14:paraId="64280E8A" w14:textId="6031739C">
      <w:pPr>
        <w:tabs>
          <w:tab w:val="left" w:pos="-720"/>
        </w:tabs>
        <w:suppressAutoHyphens/>
        <w:ind w:left="720"/>
        <w:rPr>
          <w:rFonts w:ascii="Times New Roman" w:hAnsi="Times New Roman"/>
          <w:bCs/>
          <w:szCs w:val="24"/>
        </w:rPr>
      </w:pPr>
    </w:p>
    <w:p w:rsidRPr="004463BF" w:rsidR="00B57F22" w:rsidP="00B57F22" w:rsidRDefault="00B57F22" w14:paraId="0E8ED1B5" w14:textId="77777777">
      <w:pPr>
        <w:ind w:left="720"/>
        <w:rPr>
          <w:rFonts w:ascii="Calibri" w:hAnsi="Calibri"/>
          <w:szCs w:val="24"/>
        </w:rPr>
      </w:pPr>
      <w:r w:rsidRPr="004463BF">
        <w:rPr>
          <w:rFonts w:ascii="Calibri" w:hAnsi="Calibri"/>
          <w:szCs w:val="24"/>
        </w:rPr>
        <w:t>The MPN does not require a borrower to provide any information that would be considered sensitive.</w:t>
      </w:r>
    </w:p>
    <w:p w:rsidRPr="005F4E11" w:rsidR="00920F63" w:rsidP="005F4E11" w:rsidRDefault="00920F63" w14:paraId="64280E8B" w14:textId="77777777">
      <w:pPr>
        <w:tabs>
          <w:tab w:val="left" w:pos="-720"/>
        </w:tabs>
        <w:suppressAutoHyphens/>
        <w:ind w:left="720"/>
        <w:rPr>
          <w:rFonts w:ascii="Times New Roman" w:hAnsi="Times New Roman"/>
          <w:bCs/>
          <w:szCs w:val="24"/>
        </w:rPr>
      </w:pPr>
    </w:p>
    <w:p w:rsidRPr="00920F63"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280E8D" w14:textId="77777777">
      <w:pPr>
        <w:tabs>
          <w:tab w:val="left" w:pos="-720"/>
        </w:tabs>
        <w:suppressAutoHyphens/>
        <w:rPr>
          <w:rStyle w:val="a"/>
          <w:rFonts w:ascii="Times New Roman" w:hAnsi="Times New Roman"/>
          <w:b/>
          <w:szCs w:val="24"/>
        </w:rPr>
      </w:pPr>
    </w:p>
    <w:p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lastRenderedPageBreak/>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2">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4280E93" w14:textId="77777777">
      <w:pPr>
        <w:tabs>
          <w:tab w:val="left" w:pos="-720"/>
          <w:tab w:val="left" w:pos="1247"/>
        </w:tabs>
        <w:suppressAutoHyphens/>
        <w:rPr>
          <w:rStyle w:val="a"/>
          <w:rFonts w:ascii="Times New Roman" w:hAnsi="Times New Roman"/>
          <w:b/>
          <w:szCs w:val="24"/>
        </w:rPr>
      </w:pPr>
    </w:p>
    <w:p w:rsidRPr="00E97F8E" w:rsidR="00963D2D" w:rsidP="00963D2D" w:rsidRDefault="00963D2D" w14:paraId="026BBEEA" w14:textId="75D6B75D">
      <w:pPr>
        <w:pStyle w:val="BodyTextIndent"/>
        <w:rPr>
          <w:rFonts w:asciiTheme="minorHAnsi" w:hAnsiTheme="minorHAnsi" w:cstheme="minorHAnsi"/>
        </w:rPr>
      </w:pPr>
      <w:r w:rsidRPr="00E97F8E">
        <w:rPr>
          <w:rFonts w:asciiTheme="minorHAnsi" w:hAnsiTheme="minorHAnsi" w:cstheme="minorHAnsi"/>
        </w:rPr>
        <w:t xml:space="preserve">Calculations of the estimates for each of the individual promissory notes and related forms are shown below. </w:t>
      </w:r>
    </w:p>
    <w:p w:rsidRPr="00E97F8E" w:rsidR="00963D2D" w:rsidP="00963D2D" w:rsidRDefault="00963D2D" w14:paraId="494564FE" w14:textId="77777777">
      <w:pPr>
        <w:pStyle w:val="BodyTextIndent"/>
        <w:rPr>
          <w:rFonts w:asciiTheme="minorHAnsi" w:hAnsiTheme="minorHAnsi" w:cstheme="minorHAnsi"/>
        </w:rPr>
      </w:pPr>
    </w:p>
    <w:p w:rsidRPr="00E97F8E" w:rsidR="00963D2D" w:rsidP="00963D2D" w:rsidRDefault="00963D2D" w14:paraId="7A87BE31" w14:textId="77777777">
      <w:pPr>
        <w:pStyle w:val="BodyTextIndent"/>
        <w:rPr>
          <w:rFonts w:asciiTheme="minorHAnsi" w:hAnsiTheme="minorHAnsi" w:cstheme="minorHAnsi"/>
          <w:i/>
        </w:rPr>
      </w:pPr>
      <w:r w:rsidRPr="00E97F8E">
        <w:rPr>
          <w:rFonts w:asciiTheme="minorHAnsi" w:hAnsiTheme="minorHAnsi" w:cstheme="minorHAnsi"/>
          <w:i/>
        </w:rPr>
        <w:t>Subsidized/Unsubsidized MPN</w:t>
      </w:r>
    </w:p>
    <w:p w:rsidRPr="00E97F8E" w:rsidR="00963D2D" w:rsidP="00963D2D" w:rsidRDefault="00963D2D" w14:paraId="44985DEE" w14:textId="06404802">
      <w:pPr>
        <w:pStyle w:val="BodyTextIndent"/>
        <w:rPr>
          <w:rFonts w:asciiTheme="minorHAnsi" w:hAnsiTheme="minorHAnsi" w:cstheme="minorHAnsi"/>
        </w:rPr>
      </w:pPr>
      <w:r w:rsidRPr="00E97F8E">
        <w:rPr>
          <w:rFonts w:asciiTheme="minorHAnsi" w:hAnsiTheme="minorHAnsi" w:cstheme="minorHAnsi"/>
        </w:rPr>
        <w:t xml:space="preserve">There </w:t>
      </w:r>
      <w:proofErr w:type="gramStart"/>
      <w:r w:rsidRPr="00E97F8E">
        <w:rPr>
          <w:rFonts w:asciiTheme="minorHAnsi" w:hAnsiTheme="minorHAnsi" w:cstheme="minorHAnsi"/>
        </w:rPr>
        <w:t>is</w:t>
      </w:r>
      <w:proofErr w:type="gramEnd"/>
      <w:r w:rsidRPr="00E97F8E">
        <w:rPr>
          <w:rFonts w:asciiTheme="minorHAnsi" w:hAnsiTheme="minorHAnsi" w:cstheme="minorHAnsi"/>
        </w:rPr>
        <w:t xml:space="preserve"> an estimated 5,027,286 respondents for the Subsidized/Unsubsidized MPN. The estimated time required to complete the Subsidized/Unsubsidized MPN is 0.5 hours (30 minutes). Based on one response per respondent, this equates to a total estimated annual reporting burden of 2,513,643 hours.</w:t>
      </w:r>
    </w:p>
    <w:p w:rsidRPr="00E97F8E" w:rsidR="00963D2D" w:rsidP="00963D2D" w:rsidRDefault="00963D2D" w14:paraId="6B171F22" w14:textId="77777777">
      <w:pPr>
        <w:pStyle w:val="BodyTextIndent"/>
        <w:rPr>
          <w:rFonts w:asciiTheme="minorHAnsi" w:hAnsiTheme="minorHAnsi" w:cstheme="minorHAnsi"/>
        </w:rPr>
      </w:pPr>
    </w:p>
    <w:p w:rsidRPr="00E97F8E" w:rsidR="00963D2D" w:rsidP="00963D2D" w:rsidRDefault="00963D2D" w14:paraId="2458553F" w14:textId="77777777">
      <w:pPr>
        <w:pStyle w:val="BodyTextIndent"/>
        <w:rPr>
          <w:rFonts w:asciiTheme="minorHAnsi" w:hAnsiTheme="minorHAnsi" w:cstheme="minorHAnsi"/>
          <w:i/>
        </w:rPr>
      </w:pPr>
      <w:r w:rsidRPr="00E97F8E">
        <w:rPr>
          <w:rFonts w:asciiTheme="minorHAnsi" w:hAnsiTheme="minorHAnsi" w:cstheme="minorHAnsi"/>
          <w:i/>
        </w:rPr>
        <w:t>PLUS MPN and PLUS Endorser Addendum</w:t>
      </w:r>
    </w:p>
    <w:p w:rsidRPr="00E97F8E" w:rsidR="00963D2D" w:rsidP="00963D2D" w:rsidRDefault="00963D2D" w14:paraId="6BCB06EF" w14:textId="71125435">
      <w:pPr>
        <w:pStyle w:val="BodyTextIndent"/>
        <w:rPr>
          <w:rFonts w:asciiTheme="minorHAnsi" w:hAnsiTheme="minorHAnsi" w:cstheme="minorHAnsi"/>
        </w:rPr>
      </w:pPr>
      <w:r w:rsidRPr="00E97F8E">
        <w:rPr>
          <w:rFonts w:asciiTheme="minorHAnsi" w:hAnsiTheme="minorHAnsi" w:cstheme="minorHAnsi"/>
        </w:rPr>
        <w:t xml:space="preserve">There are an estimated 1,302,427 respondents for the PLUS MPN and 78,496 respondents for the PLUS Endorser Addendum, for a total of 1,380,923 respondents. The estimated time required to complete an MPN or Endorser Addendum is 0.5 hours hour (30 minutes). Based on one response per respondent, this equates to a total estimated annual reporting burden of 690,462 hours.  </w:t>
      </w:r>
    </w:p>
    <w:p w:rsidRPr="00E97F8E" w:rsidR="00963D2D" w:rsidP="00963D2D" w:rsidRDefault="00963D2D" w14:paraId="67357501" w14:textId="77777777">
      <w:pPr>
        <w:pStyle w:val="BodyTextIndent"/>
        <w:rPr>
          <w:rFonts w:asciiTheme="minorHAnsi" w:hAnsiTheme="minorHAnsi" w:cstheme="minorHAnsi"/>
        </w:rPr>
      </w:pPr>
    </w:p>
    <w:p w:rsidRPr="00E97F8E" w:rsidR="00963D2D" w:rsidP="00963D2D" w:rsidRDefault="00963D2D" w14:paraId="66D5EFBD" w14:textId="77777777">
      <w:pPr>
        <w:pStyle w:val="BodyTextIndent"/>
        <w:rPr>
          <w:rFonts w:asciiTheme="minorHAnsi" w:hAnsiTheme="minorHAnsi" w:cstheme="minorHAnsi"/>
          <w:i/>
        </w:rPr>
      </w:pPr>
      <w:r w:rsidRPr="00E97F8E">
        <w:rPr>
          <w:rFonts w:asciiTheme="minorHAnsi" w:hAnsiTheme="minorHAnsi" w:cstheme="minorHAnsi"/>
          <w:i/>
        </w:rPr>
        <w:t>Consolidation Note and Related Forms</w:t>
      </w:r>
    </w:p>
    <w:p w:rsidRPr="00E97F8E" w:rsidR="00963D2D" w:rsidP="00963D2D" w:rsidRDefault="00963D2D" w14:paraId="385B1BAC" w14:textId="42530736">
      <w:pPr>
        <w:pStyle w:val="BodyText0"/>
        <w:spacing w:after="0"/>
        <w:ind w:left="720"/>
        <w:rPr>
          <w:rFonts w:asciiTheme="minorHAnsi" w:hAnsiTheme="minorHAnsi" w:cstheme="minorHAnsi"/>
          <w:szCs w:val="24"/>
        </w:rPr>
      </w:pPr>
      <w:r w:rsidRPr="00E97F8E">
        <w:rPr>
          <w:rFonts w:asciiTheme="minorHAnsi" w:hAnsiTheme="minorHAnsi" w:cstheme="minorHAnsi"/>
          <w:szCs w:val="24"/>
        </w:rPr>
        <w:t>The total estimated annual reporting hour burden for this collection is approximately 817</w:t>
      </w:r>
      <w:r w:rsidRPr="00E97F8E" w:rsidR="008E005B">
        <w:rPr>
          <w:rFonts w:asciiTheme="minorHAnsi" w:hAnsiTheme="minorHAnsi" w:cstheme="minorHAnsi"/>
          <w:szCs w:val="24"/>
        </w:rPr>
        <w:t>,560</w:t>
      </w:r>
      <w:r w:rsidRPr="00E97F8E">
        <w:rPr>
          <w:rFonts w:asciiTheme="minorHAnsi" w:hAnsiTheme="minorHAnsi" w:cstheme="minorHAnsi"/>
          <w:szCs w:val="24"/>
        </w:rPr>
        <w:t xml:space="preserve"> hours. This represents the total of the burden estimates for the hour burden for the Note, the LVC, and the Request to Add Loans. We calculated the burden estimate for each form as follows:</w:t>
      </w:r>
    </w:p>
    <w:p w:rsidRPr="00E97F8E" w:rsidR="00963D2D" w:rsidP="00963D2D" w:rsidRDefault="00963D2D" w14:paraId="2C2C8B44" w14:textId="77777777">
      <w:pPr>
        <w:pStyle w:val="BodyText0"/>
        <w:spacing w:after="0"/>
        <w:ind w:left="720"/>
        <w:rPr>
          <w:rFonts w:asciiTheme="minorHAnsi" w:hAnsiTheme="minorHAnsi" w:cstheme="minorHAnsi"/>
          <w:b/>
          <w:bCs/>
          <w:szCs w:val="24"/>
        </w:rPr>
      </w:pPr>
    </w:p>
    <w:p w:rsidRPr="00E97F8E" w:rsidR="00963D2D" w:rsidP="00963D2D" w:rsidRDefault="00963D2D" w14:paraId="1A41728C" w14:textId="77777777">
      <w:pPr>
        <w:pStyle w:val="BodyText0"/>
        <w:spacing w:after="0"/>
        <w:ind w:left="720"/>
        <w:rPr>
          <w:rFonts w:asciiTheme="minorHAnsi" w:hAnsiTheme="minorHAnsi" w:cstheme="minorHAnsi"/>
          <w:b/>
          <w:bCs/>
          <w:i/>
          <w:iCs/>
          <w:szCs w:val="24"/>
        </w:rPr>
      </w:pPr>
      <w:r w:rsidRPr="00E97F8E">
        <w:rPr>
          <w:rFonts w:asciiTheme="minorHAnsi" w:hAnsiTheme="minorHAnsi" w:cstheme="minorHAnsi"/>
          <w:i/>
          <w:iCs/>
          <w:szCs w:val="24"/>
        </w:rPr>
        <w:t>Note (includes Additional Loan Listing Sheet)</w:t>
      </w:r>
    </w:p>
    <w:tbl>
      <w:tblPr>
        <w:tblW w:w="0" w:type="auto"/>
        <w:tblLook w:val="0000" w:firstRow="0" w:lastRow="0" w:firstColumn="0" w:lastColumn="0" w:noHBand="0" w:noVBand="0"/>
      </w:tblPr>
      <w:tblGrid>
        <w:gridCol w:w="3168"/>
        <w:gridCol w:w="720"/>
        <w:gridCol w:w="1980"/>
      </w:tblGrid>
      <w:tr w:rsidRPr="00E97F8E" w:rsidR="00963D2D" w:rsidTr="007A3675" w14:paraId="5C6EC366" w14:textId="77777777">
        <w:tc>
          <w:tcPr>
            <w:tcW w:w="3168" w:type="dxa"/>
          </w:tcPr>
          <w:p w:rsidRPr="00E97F8E" w:rsidR="00963D2D" w:rsidP="00963D2D" w:rsidRDefault="00963D2D" w14:paraId="5BD42F43" w14:textId="77777777">
            <w:pPr>
              <w:pStyle w:val="BodyText0"/>
              <w:spacing w:after="0"/>
              <w:ind w:left="720"/>
              <w:rPr>
                <w:rFonts w:asciiTheme="minorHAnsi" w:hAnsiTheme="minorHAnsi" w:cstheme="minorHAnsi"/>
                <w:b/>
                <w:bCs/>
                <w:szCs w:val="24"/>
              </w:rPr>
            </w:pPr>
            <w:r w:rsidRPr="00E97F8E">
              <w:rPr>
                <w:rFonts w:asciiTheme="minorHAnsi" w:hAnsiTheme="minorHAnsi" w:cstheme="minorHAnsi"/>
                <w:szCs w:val="24"/>
              </w:rPr>
              <w:t>Respondents</w:t>
            </w:r>
          </w:p>
        </w:tc>
        <w:tc>
          <w:tcPr>
            <w:tcW w:w="720" w:type="dxa"/>
          </w:tcPr>
          <w:p w:rsidRPr="00E97F8E" w:rsidR="00963D2D" w:rsidP="00963D2D" w:rsidRDefault="00963D2D" w14:paraId="76260556" w14:textId="77777777">
            <w:pPr>
              <w:pStyle w:val="BodyText0"/>
              <w:spacing w:after="0"/>
              <w:ind w:left="720"/>
              <w:rPr>
                <w:rFonts w:asciiTheme="minorHAnsi" w:hAnsiTheme="minorHAnsi" w:cstheme="minorHAnsi"/>
                <w:b/>
                <w:bCs/>
                <w:szCs w:val="24"/>
              </w:rPr>
            </w:pPr>
          </w:p>
        </w:tc>
        <w:tc>
          <w:tcPr>
            <w:tcW w:w="1980" w:type="dxa"/>
          </w:tcPr>
          <w:p w:rsidRPr="00E97F8E" w:rsidR="00963D2D" w:rsidP="00963D2D" w:rsidRDefault="00963D2D" w14:paraId="2BA7B8F1" w14:textId="77777777">
            <w:pPr>
              <w:pStyle w:val="BodyText0"/>
              <w:spacing w:after="0"/>
              <w:ind w:left="720"/>
              <w:jc w:val="right"/>
              <w:rPr>
                <w:rFonts w:asciiTheme="minorHAnsi" w:hAnsiTheme="minorHAnsi" w:cstheme="minorHAnsi"/>
                <w:b/>
                <w:bCs/>
                <w:szCs w:val="24"/>
              </w:rPr>
            </w:pPr>
            <w:r w:rsidRPr="00E97F8E">
              <w:rPr>
                <w:rFonts w:asciiTheme="minorHAnsi" w:hAnsiTheme="minorHAnsi" w:cstheme="minorHAnsi"/>
                <w:szCs w:val="24"/>
              </w:rPr>
              <w:t>852,957</w:t>
            </w:r>
          </w:p>
        </w:tc>
      </w:tr>
      <w:tr w:rsidRPr="00E97F8E" w:rsidR="00963D2D" w:rsidTr="007A3675" w14:paraId="0636404E" w14:textId="77777777">
        <w:tc>
          <w:tcPr>
            <w:tcW w:w="3168" w:type="dxa"/>
          </w:tcPr>
          <w:p w:rsidRPr="00E97F8E" w:rsidR="00963D2D" w:rsidP="00963D2D" w:rsidRDefault="00963D2D" w14:paraId="204B15B2" w14:textId="77777777">
            <w:pPr>
              <w:pStyle w:val="BodyText0"/>
              <w:spacing w:after="0"/>
              <w:ind w:left="720"/>
              <w:rPr>
                <w:rFonts w:asciiTheme="minorHAnsi" w:hAnsiTheme="minorHAnsi" w:cstheme="minorHAnsi"/>
                <w:b/>
                <w:bCs/>
                <w:szCs w:val="24"/>
              </w:rPr>
            </w:pPr>
            <w:r w:rsidRPr="00E97F8E">
              <w:rPr>
                <w:rFonts w:asciiTheme="minorHAnsi" w:hAnsiTheme="minorHAnsi" w:cstheme="minorHAnsi"/>
                <w:szCs w:val="24"/>
              </w:rPr>
              <w:t>Responses</w:t>
            </w:r>
          </w:p>
        </w:tc>
        <w:tc>
          <w:tcPr>
            <w:tcW w:w="720" w:type="dxa"/>
          </w:tcPr>
          <w:p w:rsidRPr="00E97F8E" w:rsidR="00963D2D" w:rsidP="00963D2D" w:rsidRDefault="00963D2D" w14:paraId="7B8C07E1" w14:textId="77777777">
            <w:pPr>
              <w:pStyle w:val="BodyText0"/>
              <w:spacing w:after="0"/>
              <w:ind w:left="720"/>
              <w:rPr>
                <w:rFonts w:asciiTheme="minorHAnsi" w:hAnsiTheme="minorHAnsi" w:cstheme="minorHAnsi"/>
                <w:b/>
                <w:bCs/>
                <w:szCs w:val="24"/>
              </w:rPr>
            </w:pPr>
          </w:p>
        </w:tc>
        <w:tc>
          <w:tcPr>
            <w:tcW w:w="1980" w:type="dxa"/>
          </w:tcPr>
          <w:p w:rsidRPr="00E97F8E" w:rsidR="00963D2D" w:rsidP="00963D2D" w:rsidRDefault="00963D2D" w14:paraId="4617481C" w14:textId="77777777">
            <w:pPr>
              <w:pStyle w:val="BodyText0"/>
              <w:spacing w:after="0"/>
              <w:ind w:left="720"/>
              <w:jc w:val="right"/>
              <w:rPr>
                <w:rFonts w:asciiTheme="minorHAnsi" w:hAnsiTheme="minorHAnsi" w:cstheme="minorHAnsi"/>
                <w:b/>
                <w:bCs/>
                <w:szCs w:val="24"/>
              </w:rPr>
            </w:pPr>
            <w:r w:rsidRPr="00E97F8E">
              <w:rPr>
                <w:rFonts w:asciiTheme="minorHAnsi" w:hAnsiTheme="minorHAnsi" w:cstheme="minorHAnsi"/>
                <w:szCs w:val="24"/>
              </w:rPr>
              <w:t>x 1</w:t>
            </w:r>
          </w:p>
        </w:tc>
      </w:tr>
      <w:tr w:rsidRPr="00E97F8E" w:rsidR="00963D2D" w:rsidTr="007A3675" w14:paraId="0A6BF2AA" w14:textId="77777777">
        <w:tc>
          <w:tcPr>
            <w:tcW w:w="3168" w:type="dxa"/>
          </w:tcPr>
          <w:p w:rsidRPr="00E97F8E" w:rsidR="00963D2D" w:rsidP="00963D2D" w:rsidRDefault="00963D2D" w14:paraId="6A4D938D" w14:textId="77777777">
            <w:pPr>
              <w:pStyle w:val="BodyText0"/>
              <w:spacing w:after="0"/>
              <w:ind w:left="720"/>
              <w:rPr>
                <w:rFonts w:asciiTheme="minorHAnsi" w:hAnsiTheme="minorHAnsi" w:cstheme="minorHAnsi"/>
                <w:b/>
                <w:bCs/>
                <w:szCs w:val="24"/>
              </w:rPr>
            </w:pPr>
            <w:r w:rsidRPr="00E97F8E">
              <w:rPr>
                <w:rFonts w:asciiTheme="minorHAnsi" w:hAnsiTheme="minorHAnsi" w:cstheme="minorHAnsi"/>
                <w:szCs w:val="24"/>
              </w:rPr>
              <w:t xml:space="preserve">Hours per response </w:t>
            </w:r>
          </w:p>
        </w:tc>
        <w:tc>
          <w:tcPr>
            <w:tcW w:w="720" w:type="dxa"/>
          </w:tcPr>
          <w:p w:rsidRPr="00E97F8E" w:rsidR="00963D2D" w:rsidP="00963D2D" w:rsidRDefault="00963D2D" w14:paraId="3D22704C" w14:textId="77777777">
            <w:pPr>
              <w:pStyle w:val="BodyText0"/>
              <w:spacing w:after="0"/>
              <w:ind w:left="720"/>
              <w:rPr>
                <w:rFonts w:asciiTheme="minorHAnsi" w:hAnsiTheme="minorHAnsi" w:cstheme="minorHAnsi"/>
                <w:b/>
                <w:bCs/>
                <w:szCs w:val="24"/>
              </w:rPr>
            </w:pPr>
          </w:p>
        </w:tc>
        <w:tc>
          <w:tcPr>
            <w:tcW w:w="1980" w:type="dxa"/>
            <w:tcBorders>
              <w:bottom w:val="single" w:color="auto" w:sz="12" w:space="0"/>
            </w:tcBorders>
          </w:tcPr>
          <w:p w:rsidRPr="00E97F8E" w:rsidR="00963D2D" w:rsidP="00353B13" w:rsidRDefault="00963D2D" w14:paraId="6D3AF8E9" w14:textId="77777777">
            <w:pPr>
              <w:pStyle w:val="BodyText0"/>
              <w:spacing w:after="0"/>
              <w:jc w:val="right"/>
              <w:rPr>
                <w:rFonts w:asciiTheme="minorHAnsi" w:hAnsiTheme="minorHAnsi" w:cstheme="minorHAnsi"/>
                <w:b/>
                <w:bCs/>
                <w:szCs w:val="24"/>
              </w:rPr>
            </w:pPr>
            <w:r w:rsidRPr="00E97F8E">
              <w:rPr>
                <w:rFonts w:asciiTheme="minorHAnsi" w:hAnsiTheme="minorHAnsi" w:cstheme="minorHAnsi"/>
                <w:szCs w:val="24"/>
              </w:rPr>
              <w:t>x 0.5 (30 minutes)</w:t>
            </w:r>
          </w:p>
        </w:tc>
      </w:tr>
      <w:tr w:rsidRPr="00E97F8E" w:rsidR="00963D2D" w:rsidTr="007A3675" w14:paraId="22DE895C" w14:textId="77777777">
        <w:tc>
          <w:tcPr>
            <w:tcW w:w="3168" w:type="dxa"/>
          </w:tcPr>
          <w:p w:rsidRPr="00E97F8E" w:rsidR="00963D2D" w:rsidP="00963D2D" w:rsidRDefault="00963D2D" w14:paraId="6A492C83" w14:textId="77777777">
            <w:pPr>
              <w:pStyle w:val="BodyText0"/>
              <w:spacing w:after="0"/>
              <w:ind w:left="720"/>
              <w:rPr>
                <w:rFonts w:asciiTheme="minorHAnsi" w:hAnsiTheme="minorHAnsi" w:cstheme="minorHAnsi"/>
                <w:b/>
                <w:bCs/>
                <w:szCs w:val="24"/>
              </w:rPr>
            </w:pPr>
            <w:r w:rsidRPr="00E97F8E">
              <w:rPr>
                <w:rFonts w:asciiTheme="minorHAnsi" w:hAnsiTheme="minorHAnsi" w:cstheme="minorHAnsi"/>
                <w:szCs w:val="24"/>
              </w:rPr>
              <w:lastRenderedPageBreak/>
              <w:t>Annual reporting burden</w:t>
            </w:r>
          </w:p>
        </w:tc>
        <w:tc>
          <w:tcPr>
            <w:tcW w:w="720" w:type="dxa"/>
          </w:tcPr>
          <w:p w:rsidRPr="00E97F8E" w:rsidR="00963D2D" w:rsidP="00963D2D" w:rsidRDefault="00963D2D" w14:paraId="143D85BE" w14:textId="77777777">
            <w:pPr>
              <w:pStyle w:val="BodyText0"/>
              <w:spacing w:after="0"/>
              <w:ind w:left="720"/>
              <w:rPr>
                <w:rFonts w:asciiTheme="minorHAnsi" w:hAnsiTheme="minorHAnsi" w:cstheme="minorHAnsi"/>
                <w:b/>
                <w:bCs/>
                <w:szCs w:val="24"/>
              </w:rPr>
            </w:pPr>
          </w:p>
        </w:tc>
        <w:tc>
          <w:tcPr>
            <w:tcW w:w="1980" w:type="dxa"/>
            <w:tcBorders>
              <w:top w:val="single" w:color="auto" w:sz="12" w:space="0"/>
            </w:tcBorders>
          </w:tcPr>
          <w:p w:rsidRPr="00E97F8E" w:rsidR="00963D2D" w:rsidP="00353B13" w:rsidRDefault="00963D2D" w14:paraId="17408FEF" w14:textId="77777777">
            <w:pPr>
              <w:pStyle w:val="BodyText0"/>
              <w:spacing w:after="0"/>
              <w:ind w:left="410"/>
              <w:jc w:val="right"/>
              <w:rPr>
                <w:rFonts w:asciiTheme="minorHAnsi" w:hAnsiTheme="minorHAnsi" w:cstheme="minorHAnsi"/>
                <w:b/>
                <w:bCs/>
                <w:szCs w:val="24"/>
              </w:rPr>
            </w:pPr>
            <w:r w:rsidRPr="00E97F8E">
              <w:rPr>
                <w:rFonts w:asciiTheme="minorHAnsi" w:hAnsiTheme="minorHAnsi" w:cstheme="minorHAnsi"/>
                <w:szCs w:val="24"/>
              </w:rPr>
              <w:t>426,479 hours</w:t>
            </w:r>
          </w:p>
        </w:tc>
      </w:tr>
    </w:tbl>
    <w:p w:rsidRPr="00E97F8E" w:rsidR="00963D2D" w:rsidP="00963D2D" w:rsidRDefault="00963D2D" w14:paraId="4E48577A" w14:textId="77777777">
      <w:pPr>
        <w:pStyle w:val="BodyText0"/>
        <w:spacing w:after="0"/>
        <w:ind w:left="720"/>
        <w:rPr>
          <w:rFonts w:asciiTheme="minorHAnsi" w:hAnsiTheme="minorHAnsi" w:cstheme="minorHAnsi"/>
          <w:b/>
          <w:bCs/>
          <w:szCs w:val="24"/>
        </w:rPr>
      </w:pPr>
    </w:p>
    <w:p w:rsidRPr="00E97F8E" w:rsidR="00963D2D" w:rsidP="00963D2D" w:rsidRDefault="00963D2D" w14:paraId="4850C0FB" w14:textId="77777777">
      <w:pPr>
        <w:pStyle w:val="BodyText0"/>
        <w:spacing w:after="0"/>
        <w:ind w:left="720"/>
        <w:rPr>
          <w:rFonts w:asciiTheme="minorHAnsi" w:hAnsiTheme="minorHAnsi" w:cstheme="minorHAnsi"/>
          <w:b/>
          <w:bCs/>
          <w:i/>
          <w:iCs/>
          <w:szCs w:val="24"/>
        </w:rPr>
      </w:pPr>
      <w:r w:rsidRPr="00E97F8E">
        <w:rPr>
          <w:rFonts w:asciiTheme="minorHAnsi" w:hAnsiTheme="minorHAnsi" w:cstheme="minorHAnsi"/>
          <w:i/>
          <w:iCs/>
          <w:szCs w:val="24"/>
        </w:rPr>
        <w:t>LVC</w:t>
      </w:r>
    </w:p>
    <w:tbl>
      <w:tblPr>
        <w:tblW w:w="0" w:type="auto"/>
        <w:tblLook w:val="0000" w:firstRow="0" w:lastRow="0" w:firstColumn="0" w:lastColumn="0" w:noHBand="0" w:noVBand="0"/>
      </w:tblPr>
      <w:tblGrid>
        <w:gridCol w:w="3168"/>
        <w:gridCol w:w="720"/>
        <w:gridCol w:w="2160"/>
      </w:tblGrid>
      <w:tr w:rsidRPr="00E97F8E" w:rsidR="00963D2D" w:rsidTr="007A3675" w14:paraId="0A0523FE" w14:textId="77777777">
        <w:tc>
          <w:tcPr>
            <w:tcW w:w="3168" w:type="dxa"/>
          </w:tcPr>
          <w:p w:rsidRPr="00E97F8E" w:rsidR="00963D2D" w:rsidP="00963D2D" w:rsidRDefault="00963D2D" w14:paraId="5D0838F8" w14:textId="77777777">
            <w:pPr>
              <w:pStyle w:val="BodyText0"/>
              <w:spacing w:after="0"/>
              <w:ind w:left="720"/>
              <w:rPr>
                <w:rFonts w:asciiTheme="minorHAnsi" w:hAnsiTheme="minorHAnsi" w:cstheme="minorHAnsi"/>
                <w:b/>
                <w:bCs/>
                <w:szCs w:val="24"/>
              </w:rPr>
            </w:pPr>
            <w:r w:rsidRPr="00E97F8E">
              <w:rPr>
                <w:rFonts w:asciiTheme="minorHAnsi" w:hAnsiTheme="minorHAnsi" w:cstheme="minorHAnsi"/>
                <w:szCs w:val="24"/>
              </w:rPr>
              <w:t>Respondents</w:t>
            </w:r>
          </w:p>
        </w:tc>
        <w:tc>
          <w:tcPr>
            <w:tcW w:w="720" w:type="dxa"/>
          </w:tcPr>
          <w:p w:rsidRPr="00E97F8E" w:rsidR="00963D2D" w:rsidP="00963D2D" w:rsidRDefault="00963D2D" w14:paraId="1F7E6F7E" w14:textId="77777777">
            <w:pPr>
              <w:pStyle w:val="BodyText0"/>
              <w:spacing w:after="0"/>
              <w:ind w:left="720"/>
              <w:rPr>
                <w:rFonts w:asciiTheme="minorHAnsi" w:hAnsiTheme="minorHAnsi" w:cstheme="minorHAnsi"/>
                <w:b/>
                <w:bCs/>
                <w:szCs w:val="24"/>
              </w:rPr>
            </w:pPr>
          </w:p>
        </w:tc>
        <w:tc>
          <w:tcPr>
            <w:tcW w:w="2160" w:type="dxa"/>
          </w:tcPr>
          <w:p w:rsidRPr="00E97F8E" w:rsidR="00963D2D" w:rsidP="00963D2D" w:rsidRDefault="00963D2D" w14:paraId="5087EFBE" w14:textId="5C712F3C">
            <w:pPr>
              <w:pStyle w:val="BodyText0"/>
              <w:spacing w:after="0"/>
              <w:ind w:left="720"/>
              <w:jc w:val="center"/>
              <w:rPr>
                <w:rFonts w:asciiTheme="minorHAnsi" w:hAnsiTheme="minorHAnsi" w:cstheme="minorHAnsi"/>
                <w:b/>
                <w:bCs/>
                <w:szCs w:val="24"/>
              </w:rPr>
            </w:pPr>
            <w:r w:rsidRPr="00E97F8E">
              <w:rPr>
                <w:rFonts w:asciiTheme="minorHAnsi" w:hAnsiTheme="minorHAnsi" w:cstheme="minorHAnsi"/>
                <w:szCs w:val="24"/>
              </w:rPr>
              <w:t xml:space="preserve">        2,000</w:t>
            </w:r>
          </w:p>
        </w:tc>
      </w:tr>
      <w:tr w:rsidRPr="00E97F8E" w:rsidR="00963D2D" w:rsidTr="007A3675" w14:paraId="1D2F31E7" w14:textId="77777777">
        <w:tc>
          <w:tcPr>
            <w:tcW w:w="3168" w:type="dxa"/>
          </w:tcPr>
          <w:p w:rsidRPr="00E97F8E" w:rsidR="00963D2D" w:rsidP="00963D2D" w:rsidRDefault="00963D2D" w14:paraId="02428432" w14:textId="77777777">
            <w:pPr>
              <w:pStyle w:val="BodyText0"/>
              <w:spacing w:after="0"/>
              <w:ind w:left="720"/>
              <w:rPr>
                <w:rFonts w:asciiTheme="minorHAnsi" w:hAnsiTheme="minorHAnsi" w:cstheme="minorHAnsi"/>
                <w:b/>
                <w:bCs/>
                <w:szCs w:val="24"/>
              </w:rPr>
            </w:pPr>
            <w:r w:rsidRPr="00E97F8E">
              <w:rPr>
                <w:rFonts w:asciiTheme="minorHAnsi" w:hAnsiTheme="minorHAnsi" w:cstheme="minorHAnsi"/>
                <w:szCs w:val="24"/>
              </w:rPr>
              <w:t>Responses</w:t>
            </w:r>
          </w:p>
        </w:tc>
        <w:tc>
          <w:tcPr>
            <w:tcW w:w="720" w:type="dxa"/>
          </w:tcPr>
          <w:p w:rsidRPr="00E97F8E" w:rsidR="00963D2D" w:rsidP="00963D2D" w:rsidRDefault="00963D2D" w14:paraId="4CD61920" w14:textId="77777777">
            <w:pPr>
              <w:pStyle w:val="BodyText0"/>
              <w:spacing w:after="0"/>
              <w:ind w:left="720"/>
              <w:rPr>
                <w:rFonts w:asciiTheme="minorHAnsi" w:hAnsiTheme="minorHAnsi" w:cstheme="minorHAnsi"/>
                <w:b/>
                <w:bCs/>
                <w:szCs w:val="24"/>
              </w:rPr>
            </w:pPr>
          </w:p>
        </w:tc>
        <w:tc>
          <w:tcPr>
            <w:tcW w:w="2160" w:type="dxa"/>
          </w:tcPr>
          <w:p w:rsidRPr="00E97F8E" w:rsidR="00963D2D" w:rsidP="00963D2D" w:rsidRDefault="00963D2D" w14:paraId="4C8ECBD9" w14:textId="0B2B55C2">
            <w:pPr>
              <w:pStyle w:val="BodyText0"/>
              <w:spacing w:after="0"/>
              <w:ind w:left="720"/>
              <w:jc w:val="center"/>
              <w:rPr>
                <w:rFonts w:asciiTheme="minorHAnsi" w:hAnsiTheme="minorHAnsi" w:cstheme="minorHAnsi"/>
                <w:bCs/>
                <w:color w:val="000000"/>
                <w:szCs w:val="24"/>
              </w:rPr>
            </w:pPr>
            <w:r w:rsidRPr="00E97F8E">
              <w:rPr>
                <w:rFonts w:asciiTheme="minorHAnsi" w:hAnsiTheme="minorHAnsi" w:cstheme="minorHAnsi"/>
                <w:bCs/>
                <w:color w:val="000000"/>
                <w:szCs w:val="24"/>
              </w:rPr>
              <w:t xml:space="preserve"> 2,558,871</w:t>
            </w:r>
          </w:p>
        </w:tc>
      </w:tr>
      <w:tr w:rsidRPr="00E97F8E" w:rsidR="00963D2D" w:rsidTr="007A3675" w14:paraId="11DEE1C0" w14:textId="77777777">
        <w:tc>
          <w:tcPr>
            <w:tcW w:w="3168" w:type="dxa"/>
          </w:tcPr>
          <w:p w:rsidRPr="00E97F8E" w:rsidR="00963D2D" w:rsidP="00963D2D" w:rsidRDefault="00963D2D" w14:paraId="369A3E3D" w14:textId="77777777">
            <w:pPr>
              <w:pStyle w:val="BodyText0"/>
              <w:spacing w:after="0"/>
              <w:ind w:left="720"/>
              <w:rPr>
                <w:rFonts w:asciiTheme="minorHAnsi" w:hAnsiTheme="minorHAnsi" w:cstheme="minorHAnsi"/>
                <w:b/>
                <w:bCs/>
                <w:szCs w:val="24"/>
              </w:rPr>
            </w:pPr>
            <w:r w:rsidRPr="00E97F8E">
              <w:rPr>
                <w:rFonts w:asciiTheme="minorHAnsi" w:hAnsiTheme="minorHAnsi" w:cstheme="minorHAnsi"/>
                <w:szCs w:val="24"/>
              </w:rPr>
              <w:t xml:space="preserve">Hours per response </w:t>
            </w:r>
          </w:p>
        </w:tc>
        <w:tc>
          <w:tcPr>
            <w:tcW w:w="720" w:type="dxa"/>
          </w:tcPr>
          <w:p w:rsidRPr="00E97F8E" w:rsidR="00963D2D" w:rsidP="00963D2D" w:rsidRDefault="00963D2D" w14:paraId="56528366" w14:textId="77777777">
            <w:pPr>
              <w:pStyle w:val="BodyText0"/>
              <w:spacing w:after="0"/>
              <w:ind w:left="720"/>
              <w:rPr>
                <w:rFonts w:asciiTheme="minorHAnsi" w:hAnsiTheme="minorHAnsi" w:cstheme="minorHAnsi"/>
                <w:b/>
                <w:bCs/>
                <w:szCs w:val="24"/>
              </w:rPr>
            </w:pPr>
          </w:p>
        </w:tc>
        <w:tc>
          <w:tcPr>
            <w:tcW w:w="2160" w:type="dxa"/>
            <w:tcBorders>
              <w:bottom w:val="single" w:color="auto" w:sz="12" w:space="0"/>
            </w:tcBorders>
          </w:tcPr>
          <w:p w:rsidRPr="00E97F8E" w:rsidR="00963D2D" w:rsidP="00353B13" w:rsidRDefault="00963D2D" w14:paraId="3687C6B5" w14:textId="77777777">
            <w:pPr>
              <w:pStyle w:val="BodyText0"/>
              <w:spacing w:after="0"/>
              <w:ind w:left="140"/>
              <w:jc w:val="right"/>
              <w:rPr>
                <w:rFonts w:asciiTheme="minorHAnsi" w:hAnsiTheme="minorHAnsi" w:cstheme="minorHAnsi"/>
                <w:b/>
                <w:bCs/>
                <w:szCs w:val="24"/>
              </w:rPr>
            </w:pPr>
            <w:r w:rsidRPr="00E97F8E">
              <w:rPr>
                <w:rFonts w:asciiTheme="minorHAnsi" w:hAnsiTheme="minorHAnsi" w:cstheme="minorHAnsi"/>
                <w:szCs w:val="24"/>
              </w:rPr>
              <w:t>x 0.15 (9 minutes)</w:t>
            </w:r>
          </w:p>
        </w:tc>
      </w:tr>
      <w:tr w:rsidRPr="00E97F8E" w:rsidR="00963D2D" w:rsidTr="007A3675" w14:paraId="607BEB02" w14:textId="77777777">
        <w:tc>
          <w:tcPr>
            <w:tcW w:w="3168" w:type="dxa"/>
          </w:tcPr>
          <w:p w:rsidRPr="00E97F8E" w:rsidR="00963D2D" w:rsidP="00963D2D" w:rsidRDefault="00963D2D" w14:paraId="2E874DFB" w14:textId="77777777">
            <w:pPr>
              <w:pStyle w:val="BodyText0"/>
              <w:spacing w:after="0"/>
              <w:ind w:left="720"/>
              <w:rPr>
                <w:rFonts w:asciiTheme="minorHAnsi" w:hAnsiTheme="minorHAnsi" w:cstheme="minorHAnsi"/>
                <w:b/>
                <w:bCs/>
                <w:szCs w:val="24"/>
              </w:rPr>
            </w:pPr>
            <w:r w:rsidRPr="00E97F8E">
              <w:rPr>
                <w:rFonts w:asciiTheme="minorHAnsi" w:hAnsiTheme="minorHAnsi" w:cstheme="minorHAnsi"/>
                <w:szCs w:val="24"/>
              </w:rPr>
              <w:t>Annual reporting burden</w:t>
            </w:r>
          </w:p>
        </w:tc>
        <w:tc>
          <w:tcPr>
            <w:tcW w:w="720" w:type="dxa"/>
          </w:tcPr>
          <w:p w:rsidRPr="00E97F8E" w:rsidR="00963D2D" w:rsidP="00963D2D" w:rsidRDefault="00963D2D" w14:paraId="17C757C0" w14:textId="77777777">
            <w:pPr>
              <w:pStyle w:val="BodyText0"/>
              <w:spacing w:after="0"/>
              <w:ind w:left="720"/>
              <w:rPr>
                <w:rFonts w:asciiTheme="minorHAnsi" w:hAnsiTheme="minorHAnsi" w:cstheme="minorHAnsi"/>
                <w:b/>
                <w:bCs/>
                <w:szCs w:val="24"/>
              </w:rPr>
            </w:pPr>
          </w:p>
        </w:tc>
        <w:tc>
          <w:tcPr>
            <w:tcW w:w="2160" w:type="dxa"/>
            <w:tcBorders>
              <w:top w:val="single" w:color="auto" w:sz="12" w:space="0"/>
            </w:tcBorders>
          </w:tcPr>
          <w:p w:rsidRPr="00E97F8E" w:rsidR="00963D2D" w:rsidP="00353B13" w:rsidRDefault="00963D2D" w14:paraId="557E11C1" w14:textId="77777777">
            <w:pPr>
              <w:pStyle w:val="BodyText0"/>
              <w:spacing w:after="0"/>
              <w:ind w:left="410"/>
              <w:jc w:val="right"/>
              <w:rPr>
                <w:rFonts w:asciiTheme="minorHAnsi" w:hAnsiTheme="minorHAnsi" w:cstheme="minorHAnsi"/>
                <w:b/>
                <w:bCs/>
                <w:szCs w:val="24"/>
              </w:rPr>
            </w:pPr>
            <w:r w:rsidRPr="00E97F8E">
              <w:rPr>
                <w:rFonts w:asciiTheme="minorHAnsi" w:hAnsiTheme="minorHAnsi" w:cstheme="minorHAnsi"/>
                <w:szCs w:val="24"/>
              </w:rPr>
              <w:t>383,831 hours</w:t>
            </w:r>
          </w:p>
        </w:tc>
      </w:tr>
    </w:tbl>
    <w:p w:rsidR="002E4B48" w:rsidP="00963D2D" w:rsidRDefault="002E4B48" w14:paraId="0CF39A06" w14:textId="6F5EF76E">
      <w:pPr>
        <w:pStyle w:val="BodyText0"/>
        <w:spacing w:after="0"/>
        <w:ind w:left="720"/>
        <w:rPr>
          <w:rFonts w:asciiTheme="minorHAnsi" w:hAnsiTheme="minorHAnsi" w:cstheme="minorHAnsi"/>
          <w:b/>
          <w:bCs/>
          <w:szCs w:val="24"/>
        </w:rPr>
      </w:pPr>
    </w:p>
    <w:p w:rsidRPr="00E97F8E" w:rsidR="00963D2D" w:rsidP="00963D2D" w:rsidRDefault="00963D2D" w14:paraId="78689A0A" w14:textId="77777777">
      <w:pPr>
        <w:pStyle w:val="BodyText0"/>
        <w:spacing w:after="0"/>
        <w:ind w:left="720"/>
        <w:rPr>
          <w:rFonts w:asciiTheme="minorHAnsi" w:hAnsiTheme="minorHAnsi" w:cstheme="minorHAnsi"/>
          <w:b/>
          <w:bCs/>
          <w:szCs w:val="24"/>
        </w:rPr>
      </w:pPr>
      <w:r w:rsidRPr="00E97F8E">
        <w:rPr>
          <w:rFonts w:asciiTheme="minorHAnsi" w:hAnsiTheme="minorHAnsi" w:cstheme="minorHAnsi"/>
          <w:szCs w:val="24"/>
        </w:rPr>
        <w:t xml:space="preserve">NOTE: Each Direct Consolidation Loan application averages three different loan holders/servicers. This means that an average of three LVCs will be generated for each Direct Consolidation Loan, for a total of 2,558,871 responses (3 x 852,957 = 2,558,871). There are approximately 2,000 loan holders/servicers. </w:t>
      </w:r>
    </w:p>
    <w:p w:rsidRPr="00E97F8E" w:rsidR="00963D2D" w:rsidP="00963D2D" w:rsidRDefault="00963D2D" w14:paraId="78ABE756" w14:textId="77777777">
      <w:pPr>
        <w:pStyle w:val="BodyText0"/>
        <w:spacing w:after="0"/>
        <w:ind w:left="720"/>
        <w:rPr>
          <w:rFonts w:asciiTheme="minorHAnsi" w:hAnsiTheme="minorHAnsi" w:cstheme="minorHAnsi"/>
          <w:i/>
          <w:iCs/>
          <w:szCs w:val="24"/>
        </w:rPr>
      </w:pPr>
    </w:p>
    <w:p w:rsidRPr="00E97F8E" w:rsidR="00963D2D" w:rsidP="00963D2D" w:rsidRDefault="00963D2D" w14:paraId="5FEA64DF" w14:textId="6FC521BB">
      <w:pPr>
        <w:pStyle w:val="BodyText0"/>
        <w:spacing w:after="0"/>
        <w:ind w:left="720"/>
        <w:rPr>
          <w:rFonts w:asciiTheme="minorHAnsi" w:hAnsiTheme="minorHAnsi" w:cstheme="minorHAnsi"/>
          <w:b/>
          <w:bCs/>
          <w:i/>
          <w:iCs/>
          <w:szCs w:val="24"/>
        </w:rPr>
      </w:pPr>
      <w:r w:rsidRPr="00E97F8E">
        <w:rPr>
          <w:rFonts w:asciiTheme="minorHAnsi" w:hAnsiTheme="minorHAnsi" w:cstheme="minorHAnsi"/>
          <w:i/>
          <w:iCs/>
          <w:szCs w:val="24"/>
        </w:rPr>
        <w:t>Request to Add Loans</w:t>
      </w:r>
    </w:p>
    <w:tbl>
      <w:tblPr>
        <w:tblW w:w="0" w:type="auto"/>
        <w:tblLook w:val="0000" w:firstRow="0" w:lastRow="0" w:firstColumn="0" w:lastColumn="0" w:noHBand="0" w:noVBand="0"/>
      </w:tblPr>
      <w:tblGrid>
        <w:gridCol w:w="3168"/>
        <w:gridCol w:w="720"/>
        <w:gridCol w:w="2160"/>
      </w:tblGrid>
      <w:tr w:rsidRPr="00E97F8E" w:rsidR="00963D2D" w:rsidTr="007A3675" w14:paraId="042F6DFB" w14:textId="77777777">
        <w:tc>
          <w:tcPr>
            <w:tcW w:w="3168" w:type="dxa"/>
          </w:tcPr>
          <w:p w:rsidRPr="00E97F8E" w:rsidR="00963D2D" w:rsidP="00963D2D" w:rsidRDefault="00963D2D" w14:paraId="3E2CA6F0" w14:textId="5CBF51D8">
            <w:pPr>
              <w:pStyle w:val="BodyText0"/>
              <w:spacing w:after="0"/>
              <w:ind w:left="720"/>
              <w:rPr>
                <w:rFonts w:asciiTheme="minorHAnsi" w:hAnsiTheme="minorHAnsi" w:cstheme="minorHAnsi"/>
                <w:b/>
                <w:bCs/>
                <w:szCs w:val="24"/>
              </w:rPr>
            </w:pPr>
            <w:r w:rsidRPr="00E97F8E">
              <w:rPr>
                <w:rFonts w:asciiTheme="minorHAnsi" w:hAnsiTheme="minorHAnsi" w:cstheme="minorHAnsi"/>
                <w:szCs w:val="24"/>
              </w:rPr>
              <w:t>Respondents</w:t>
            </w:r>
            <w:r w:rsidRPr="00E97F8E" w:rsidR="00353B13">
              <w:rPr>
                <w:rFonts w:asciiTheme="minorHAnsi" w:hAnsiTheme="minorHAnsi" w:cstheme="minorHAnsi"/>
                <w:szCs w:val="24"/>
              </w:rPr>
              <w:t>*</w:t>
            </w:r>
          </w:p>
        </w:tc>
        <w:tc>
          <w:tcPr>
            <w:tcW w:w="720" w:type="dxa"/>
          </w:tcPr>
          <w:p w:rsidRPr="00E97F8E" w:rsidR="00963D2D" w:rsidP="00963D2D" w:rsidRDefault="00963D2D" w14:paraId="520D1C8E" w14:textId="77777777">
            <w:pPr>
              <w:pStyle w:val="BodyText0"/>
              <w:spacing w:after="0"/>
              <w:ind w:left="720"/>
              <w:rPr>
                <w:rFonts w:asciiTheme="minorHAnsi" w:hAnsiTheme="minorHAnsi" w:cstheme="minorHAnsi"/>
                <w:b/>
                <w:bCs/>
                <w:szCs w:val="24"/>
              </w:rPr>
            </w:pPr>
          </w:p>
        </w:tc>
        <w:tc>
          <w:tcPr>
            <w:tcW w:w="2160" w:type="dxa"/>
          </w:tcPr>
          <w:p w:rsidRPr="00E97F8E" w:rsidR="00963D2D" w:rsidP="00963D2D" w:rsidRDefault="00963D2D" w14:paraId="5C0D457B" w14:textId="77777777">
            <w:pPr>
              <w:pStyle w:val="BodyText0"/>
              <w:spacing w:after="0"/>
              <w:ind w:left="720"/>
              <w:jc w:val="right"/>
              <w:rPr>
                <w:rFonts w:asciiTheme="minorHAnsi" w:hAnsiTheme="minorHAnsi" w:cstheme="minorHAnsi"/>
                <w:b/>
                <w:bCs/>
                <w:szCs w:val="24"/>
              </w:rPr>
            </w:pPr>
            <w:r w:rsidRPr="00E97F8E">
              <w:rPr>
                <w:rFonts w:asciiTheme="minorHAnsi" w:hAnsiTheme="minorHAnsi" w:cstheme="minorHAnsi"/>
                <w:szCs w:val="24"/>
              </w:rPr>
              <w:t>42,648</w:t>
            </w:r>
          </w:p>
        </w:tc>
      </w:tr>
      <w:tr w:rsidRPr="00E97F8E" w:rsidR="00963D2D" w:rsidTr="007A3675" w14:paraId="58023081" w14:textId="77777777">
        <w:tc>
          <w:tcPr>
            <w:tcW w:w="3168" w:type="dxa"/>
          </w:tcPr>
          <w:p w:rsidRPr="00E97F8E" w:rsidR="00963D2D" w:rsidP="00963D2D" w:rsidRDefault="00963D2D" w14:paraId="17119785" w14:textId="77777777">
            <w:pPr>
              <w:pStyle w:val="BodyText0"/>
              <w:spacing w:after="0"/>
              <w:ind w:left="720"/>
              <w:rPr>
                <w:rFonts w:asciiTheme="minorHAnsi" w:hAnsiTheme="minorHAnsi" w:cstheme="minorHAnsi"/>
                <w:b/>
                <w:bCs/>
                <w:szCs w:val="24"/>
              </w:rPr>
            </w:pPr>
            <w:r w:rsidRPr="00E97F8E">
              <w:rPr>
                <w:rFonts w:asciiTheme="minorHAnsi" w:hAnsiTheme="minorHAnsi" w:cstheme="minorHAnsi"/>
                <w:szCs w:val="24"/>
              </w:rPr>
              <w:t>Responses</w:t>
            </w:r>
          </w:p>
        </w:tc>
        <w:tc>
          <w:tcPr>
            <w:tcW w:w="720" w:type="dxa"/>
          </w:tcPr>
          <w:p w:rsidRPr="00E97F8E" w:rsidR="00963D2D" w:rsidP="00963D2D" w:rsidRDefault="00963D2D" w14:paraId="18EE9080" w14:textId="77777777">
            <w:pPr>
              <w:pStyle w:val="BodyText0"/>
              <w:spacing w:after="0"/>
              <w:ind w:left="720"/>
              <w:rPr>
                <w:rFonts w:asciiTheme="minorHAnsi" w:hAnsiTheme="minorHAnsi" w:cstheme="minorHAnsi"/>
                <w:b/>
                <w:bCs/>
                <w:szCs w:val="24"/>
              </w:rPr>
            </w:pPr>
          </w:p>
        </w:tc>
        <w:tc>
          <w:tcPr>
            <w:tcW w:w="2160" w:type="dxa"/>
          </w:tcPr>
          <w:p w:rsidRPr="00E97F8E" w:rsidR="00963D2D" w:rsidP="00963D2D" w:rsidRDefault="00963D2D" w14:paraId="132A4769" w14:textId="77777777">
            <w:pPr>
              <w:pStyle w:val="BodyText0"/>
              <w:spacing w:after="0"/>
              <w:ind w:left="720"/>
              <w:jc w:val="right"/>
              <w:rPr>
                <w:rFonts w:asciiTheme="minorHAnsi" w:hAnsiTheme="minorHAnsi" w:cstheme="minorHAnsi"/>
                <w:b/>
                <w:bCs/>
                <w:szCs w:val="24"/>
              </w:rPr>
            </w:pPr>
            <w:r w:rsidRPr="00E97F8E">
              <w:rPr>
                <w:rFonts w:asciiTheme="minorHAnsi" w:hAnsiTheme="minorHAnsi" w:cstheme="minorHAnsi"/>
                <w:szCs w:val="24"/>
              </w:rPr>
              <w:t>x 1</w:t>
            </w:r>
          </w:p>
        </w:tc>
      </w:tr>
      <w:tr w:rsidRPr="00E97F8E" w:rsidR="00963D2D" w:rsidTr="007A3675" w14:paraId="6C4A90B1" w14:textId="77777777">
        <w:tc>
          <w:tcPr>
            <w:tcW w:w="3168" w:type="dxa"/>
          </w:tcPr>
          <w:p w:rsidRPr="00E97F8E" w:rsidR="00963D2D" w:rsidP="00963D2D" w:rsidRDefault="00963D2D" w14:paraId="670BA8E4" w14:textId="77777777">
            <w:pPr>
              <w:pStyle w:val="BodyText0"/>
              <w:spacing w:after="0"/>
              <w:ind w:left="720"/>
              <w:rPr>
                <w:rFonts w:asciiTheme="minorHAnsi" w:hAnsiTheme="minorHAnsi" w:cstheme="minorHAnsi"/>
                <w:b/>
                <w:bCs/>
                <w:szCs w:val="24"/>
              </w:rPr>
            </w:pPr>
            <w:r w:rsidRPr="00E97F8E">
              <w:rPr>
                <w:rFonts w:asciiTheme="minorHAnsi" w:hAnsiTheme="minorHAnsi" w:cstheme="minorHAnsi"/>
                <w:szCs w:val="24"/>
              </w:rPr>
              <w:t xml:space="preserve">Hours per response </w:t>
            </w:r>
          </w:p>
        </w:tc>
        <w:tc>
          <w:tcPr>
            <w:tcW w:w="720" w:type="dxa"/>
          </w:tcPr>
          <w:p w:rsidRPr="00E97F8E" w:rsidR="00963D2D" w:rsidP="00963D2D" w:rsidRDefault="00963D2D" w14:paraId="455B1F79" w14:textId="77777777">
            <w:pPr>
              <w:pStyle w:val="BodyText0"/>
              <w:spacing w:after="0"/>
              <w:ind w:left="720"/>
              <w:rPr>
                <w:rFonts w:asciiTheme="minorHAnsi" w:hAnsiTheme="minorHAnsi" w:cstheme="minorHAnsi"/>
                <w:b/>
                <w:bCs/>
                <w:szCs w:val="24"/>
              </w:rPr>
            </w:pPr>
          </w:p>
        </w:tc>
        <w:tc>
          <w:tcPr>
            <w:tcW w:w="2160" w:type="dxa"/>
            <w:tcBorders>
              <w:bottom w:val="single" w:color="auto" w:sz="12" w:space="0"/>
            </w:tcBorders>
          </w:tcPr>
          <w:p w:rsidRPr="00E97F8E" w:rsidR="00963D2D" w:rsidP="00353B13" w:rsidRDefault="00963D2D" w14:paraId="53D34D55" w14:textId="77777777">
            <w:pPr>
              <w:pStyle w:val="BodyText0"/>
              <w:spacing w:after="0"/>
              <w:ind w:left="140"/>
              <w:jc w:val="right"/>
              <w:rPr>
                <w:rFonts w:asciiTheme="minorHAnsi" w:hAnsiTheme="minorHAnsi" w:cstheme="minorHAnsi"/>
                <w:b/>
                <w:bCs/>
                <w:szCs w:val="24"/>
              </w:rPr>
            </w:pPr>
            <w:r w:rsidRPr="00E97F8E">
              <w:rPr>
                <w:rFonts w:asciiTheme="minorHAnsi" w:hAnsiTheme="minorHAnsi" w:cstheme="minorHAnsi"/>
                <w:szCs w:val="24"/>
              </w:rPr>
              <w:t>x 0.17 (10 minutes)</w:t>
            </w:r>
          </w:p>
        </w:tc>
      </w:tr>
      <w:tr w:rsidRPr="00E97F8E" w:rsidR="00963D2D" w:rsidTr="00963D2D" w14:paraId="6078059A" w14:textId="77777777">
        <w:tc>
          <w:tcPr>
            <w:tcW w:w="3168" w:type="dxa"/>
          </w:tcPr>
          <w:p w:rsidRPr="00E97F8E" w:rsidR="00963D2D" w:rsidP="00963D2D" w:rsidRDefault="00963D2D" w14:paraId="039DB5D7" w14:textId="77777777">
            <w:pPr>
              <w:pStyle w:val="BodyText0"/>
              <w:spacing w:after="0"/>
              <w:ind w:left="720"/>
              <w:rPr>
                <w:rFonts w:asciiTheme="minorHAnsi" w:hAnsiTheme="minorHAnsi" w:cstheme="minorHAnsi"/>
                <w:b/>
                <w:bCs/>
                <w:szCs w:val="24"/>
              </w:rPr>
            </w:pPr>
            <w:r w:rsidRPr="00E97F8E">
              <w:rPr>
                <w:rFonts w:asciiTheme="minorHAnsi" w:hAnsiTheme="minorHAnsi" w:cstheme="minorHAnsi"/>
                <w:szCs w:val="24"/>
              </w:rPr>
              <w:t>Annual reporting burden</w:t>
            </w:r>
          </w:p>
        </w:tc>
        <w:tc>
          <w:tcPr>
            <w:tcW w:w="720" w:type="dxa"/>
          </w:tcPr>
          <w:p w:rsidRPr="00E97F8E" w:rsidR="00963D2D" w:rsidP="00963D2D" w:rsidRDefault="00963D2D" w14:paraId="54559CFF" w14:textId="77777777">
            <w:pPr>
              <w:pStyle w:val="BodyText0"/>
              <w:spacing w:after="0"/>
              <w:ind w:left="720"/>
              <w:rPr>
                <w:rFonts w:asciiTheme="minorHAnsi" w:hAnsiTheme="minorHAnsi" w:cstheme="minorHAnsi"/>
                <w:szCs w:val="24"/>
              </w:rPr>
            </w:pPr>
          </w:p>
        </w:tc>
        <w:tc>
          <w:tcPr>
            <w:tcW w:w="2160" w:type="dxa"/>
            <w:tcBorders>
              <w:top w:val="single" w:color="auto" w:sz="12" w:space="0"/>
              <w:bottom w:val="single" w:color="auto" w:sz="12" w:space="0"/>
            </w:tcBorders>
          </w:tcPr>
          <w:p w:rsidRPr="00E97F8E" w:rsidR="00963D2D" w:rsidP="00963D2D" w:rsidRDefault="00963D2D" w14:paraId="7374BCB3" w14:textId="77777777">
            <w:pPr>
              <w:pStyle w:val="BodyText0"/>
              <w:spacing w:after="0"/>
              <w:ind w:left="720"/>
              <w:jc w:val="right"/>
              <w:rPr>
                <w:rFonts w:asciiTheme="minorHAnsi" w:hAnsiTheme="minorHAnsi" w:cstheme="minorHAnsi"/>
                <w:b/>
                <w:bCs/>
                <w:szCs w:val="24"/>
              </w:rPr>
            </w:pPr>
            <w:r w:rsidRPr="00E97F8E">
              <w:rPr>
                <w:rFonts w:asciiTheme="minorHAnsi" w:hAnsiTheme="minorHAnsi" w:cstheme="minorHAnsi"/>
                <w:szCs w:val="24"/>
              </w:rPr>
              <w:t>7,250 hours</w:t>
            </w:r>
          </w:p>
        </w:tc>
      </w:tr>
    </w:tbl>
    <w:p w:rsidRPr="00E97F8E" w:rsidR="00353B13" w:rsidP="00353B13" w:rsidRDefault="00353B13" w14:paraId="7F9CB68D" w14:textId="54E3FA3A">
      <w:pPr>
        <w:ind w:left="720"/>
        <w:rPr>
          <w:rFonts w:asciiTheme="minorHAnsi" w:hAnsiTheme="minorHAnsi" w:cstheme="minorHAnsi"/>
          <w:color w:val="000000"/>
          <w:szCs w:val="24"/>
        </w:rPr>
      </w:pPr>
      <w:r w:rsidRPr="00E97F8E">
        <w:rPr>
          <w:rFonts w:asciiTheme="minorHAnsi" w:hAnsiTheme="minorHAnsi" w:cstheme="minorHAnsi"/>
          <w:szCs w:val="24"/>
        </w:rPr>
        <w:t>*</w:t>
      </w:r>
      <w:r w:rsidRPr="00E97F8E">
        <w:rPr>
          <w:rFonts w:asciiTheme="minorHAnsi" w:hAnsiTheme="minorHAnsi" w:cstheme="minorHAnsi"/>
          <w:color w:val="000000"/>
          <w:szCs w:val="24"/>
        </w:rPr>
        <w:t>5% of the # of respondents for the Note</w:t>
      </w:r>
    </w:p>
    <w:p w:rsidRPr="00E97F8E" w:rsidR="00353B13" w:rsidP="00353B13" w:rsidRDefault="00353B13" w14:paraId="02232E98" w14:textId="77777777">
      <w:pPr>
        <w:ind w:left="720"/>
        <w:rPr>
          <w:rFonts w:asciiTheme="minorHAnsi" w:hAnsiTheme="minorHAnsi" w:cstheme="minorHAnsi"/>
          <w:szCs w:val="24"/>
        </w:rPr>
      </w:pPr>
    </w:p>
    <w:p w:rsidR="00ED7195" w:rsidP="00E97F8E" w:rsidRDefault="00ED7195" w14:paraId="64280E96" w14:textId="301D1D81">
      <w:pPr>
        <w:ind w:firstLine="720"/>
        <w:rPr>
          <w:rFonts w:ascii="Times New Roman" w:hAnsi="Times New Roman"/>
          <w:color w:val="000000" w:themeColor="text1"/>
          <w:szCs w:val="24"/>
        </w:rPr>
      </w:pPr>
      <w:r w:rsidRPr="00920F63">
        <w:rPr>
          <w:rFonts w:ascii="Times New Roman" w:hAnsi="Times New Roman"/>
          <w:color w:val="000000" w:themeColor="text1"/>
          <w:szCs w:val="24"/>
        </w:rPr>
        <w:t xml:space="preserve">Estimated </w:t>
      </w:r>
      <w:r w:rsidR="00F31BEC">
        <w:rPr>
          <w:rFonts w:ascii="Times New Roman" w:hAnsi="Times New Roman"/>
          <w:color w:val="000000" w:themeColor="text1"/>
          <w:szCs w:val="24"/>
        </w:rPr>
        <w:t xml:space="preserve">Annual </w:t>
      </w:r>
      <w:r w:rsidR="007F6104">
        <w:rPr>
          <w:rFonts w:ascii="Times New Roman" w:hAnsi="Times New Roman"/>
          <w:color w:val="000000" w:themeColor="text1"/>
          <w:szCs w:val="24"/>
        </w:rPr>
        <w:t>Burden and Respondent Costs</w:t>
      </w:r>
      <w:r w:rsidR="00F5782B">
        <w:rPr>
          <w:rFonts w:ascii="Times New Roman" w:hAnsi="Times New Roman"/>
          <w:color w:val="000000" w:themeColor="text1"/>
          <w:szCs w:val="24"/>
        </w:rPr>
        <w:t xml:space="preserve"> Table</w:t>
      </w:r>
    </w:p>
    <w:tbl>
      <w:tblPr>
        <w:tblStyle w:val="TableGridLight"/>
        <w:tblpPr w:leftFromText="180" w:rightFromText="180" w:vertAnchor="text" w:horzAnchor="margin" w:tblpXSpec="center" w:tblpY="174"/>
        <w:tblW w:w="9445" w:type="dxa"/>
        <w:tblLayout w:type="fixed"/>
        <w:tblLook w:val="0020" w:firstRow="1" w:lastRow="0" w:firstColumn="0" w:lastColumn="0" w:noHBand="0" w:noVBand="0"/>
      </w:tblPr>
      <w:tblGrid>
        <w:gridCol w:w="1345"/>
        <w:gridCol w:w="1275"/>
        <w:gridCol w:w="1335"/>
        <w:gridCol w:w="1335"/>
        <w:gridCol w:w="1275"/>
        <w:gridCol w:w="1260"/>
        <w:gridCol w:w="1620"/>
      </w:tblGrid>
      <w:tr w:rsidRPr="00442E07" w:rsidR="009C37AF" w:rsidTr="00E97F8E" w14:paraId="30194A75" w14:textId="77777777">
        <w:trPr>
          <w:tblHeader/>
        </w:trPr>
        <w:tc>
          <w:tcPr>
            <w:tcW w:w="1345" w:type="dxa"/>
          </w:tcPr>
          <w:p w:rsidRPr="007F6104" w:rsidR="009C37AF" w:rsidP="00535791" w:rsidRDefault="009C37AF"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9C37AF" w:rsidP="00535791" w:rsidRDefault="009C37AF"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335" w:type="dxa"/>
          </w:tcPr>
          <w:p w:rsidRPr="007F6104" w:rsidR="009C37AF" w:rsidP="00535791" w:rsidRDefault="009C37AF"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Pr="007F6104" w:rsidR="009C37AF" w:rsidP="00535791" w:rsidRDefault="009C37AF"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1275" w:type="dxa"/>
          </w:tcPr>
          <w:p w:rsidRPr="007F6104" w:rsidR="009C37AF" w:rsidP="00535791" w:rsidRDefault="009C37AF" w14:paraId="41E0E3BB"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260" w:type="dxa"/>
          </w:tcPr>
          <w:p w:rsidRPr="007F6104" w:rsidR="009C37AF" w:rsidP="00535791" w:rsidRDefault="009C37AF"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620" w:type="dxa"/>
          </w:tcPr>
          <w:p w:rsidRPr="007F6104" w:rsidR="009C37AF" w:rsidP="00535791" w:rsidRDefault="009C37AF"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9C37AF" w:rsidTr="00E97F8E" w14:paraId="34D5C39E" w14:textId="77777777">
        <w:tc>
          <w:tcPr>
            <w:tcW w:w="1345" w:type="dxa"/>
          </w:tcPr>
          <w:p w:rsidRPr="009C37AF" w:rsidR="009C37AF" w:rsidP="005D28E6" w:rsidRDefault="009C37AF"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275" w:type="dxa"/>
          </w:tcPr>
          <w:p w:rsidRPr="00442E07" w:rsidR="009C37AF" w:rsidP="00535791" w:rsidRDefault="00856F2C" w14:paraId="55A5A72E" w14:textId="44A60974">
            <w:pPr>
              <w:jc w:val="right"/>
              <w:rPr>
                <w:rFonts w:ascii="Times New Roman" w:hAnsi="Times New Roman"/>
                <w:szCs w:val="24"/>
              </w:rPr>
            </w:pPr>
            <w:r>
              <w:rPr>
                <w:rFonts w:ascii="Times New Roman" w:hAnsi="Times New Roman"/>
                <w:szCs w:val="24"/>
              </w:rPr>
              <w:t>7,305,814</w:t>
            </w:r>
          </w:p>
        </w:tc>
        <w:tc>
          <w:tcPr>
            <w:tcW w:w="1335" w:type="dxa"/>
          </w:tcPr>
          <w:p w:rsidRPr="00442E07" w:rsidR="009C37AF" w:rsidP="00535791" w:rsidRDefault="00856F2C" w14:paraId="4F0B7217" w14:textId="10FD4B3E">
            <w:pPr>
              <w:jc w:val="right"/>
              <w:rPr>
                <w:rFonts w:ascii="Times New Roman" w:hAnsi="Times New Roman"/>
                <w:szCs w:val="24"/>
              </w:rPr>
            </w:pPr>
            <w:r>
              <w:rPr>
                <w:rFonts w:ascii="Times New Roman" w:hAnsi="Times New Roman"/>
                <w:szCs w:val="24"/>
              </w:rPr>
              <w:t>9,862,685</w:t>
            </w:r>
          </w:p>
        </w:tc>
        <w:tc>
          <w:tcPr>
            <w:tcW w:w="1335" w:type="dxa"/>
          </w:tcPr>
          <w:p w:rsidRPr="00442E07" w:rsidR="009C37AF" w:rsidP="00535791" w:rsidRDefault="00856F2C" w14:paraId="0524C928" w14:textId="14EACCC5">
            <w:pPr>
              <w:jc w:val="center"/>
              <w:rPr>
                <w:rFonts w:ascii="Times New Roman" w:hAnsi="Times New Roman"/>
                <w:szCs w:val="24"/>
              </w:rPr>
            </w:pPr>
            <w:r>
              <w:rPr>
                <w:rFonts w:ascii="Times New Roman" w:hAnsi="Times New Roman"/>
                <w:szCs w:val="24"/>
              </w:rPr>
              <w:t>See above</w:t>
            </w:r>
          </w:p>
        </w:tc>
        <w:tc>
          <w:tcPr>
            <w:tcW w:w="1275" w:type="dxa"/>
          </w:tcPr>
          <w:p w:rsidRPr="00442E07" w:rsidR="009C37AF" w:rsidP="00535791" w:rsidRDefault="00856F2C" w14:paraId="6F45AD1D" w14:textId="3DB18E5D">
            <w:pPr>
              <w:jc w:val="right"/>
              <w:rPr>
                <w:rFonts w:ascii="Times New Roman" w:hAnsi="Times New Roman"/>
                <w:szCs w:val="24"/>
              </w:rPr>
            </w:pPr>
            <w:r>
              <w:rPr>
                <w:rFonts w:ascii="Times New Roman" w:hAnsi="Times New Roman"/>
                <w:szCs w:val="24"/>
              </w:rPr>
              <w:t>4,021,665</w:t>
            </w:r>
          </w:p>
        </w:tc>
        <w:tc>
          <w:tcPr>
            <w:tcW w:w="1260" w:type="dxa"/>
          </w:tcPr>
          <w:p w:rsidRPr="00442E07" w:rsidR="009C37AF" w:rsidP="00535791" w:rsidRDefault="002545A2" w14:paraId="5F0F2A78" w14:textId="46E9586F">
            <w:pPr>
              <w:jc w:val="right"/>
              <w:rPr>
                <w:rFonts w:ascii="Times New Roman" w:hAnsi="Times New Roman"/>
                <w:szCs w:val="24"/>
              </w:rPr>
            </w:pPr>
            <w:r>
              <w:rPr>
                <w:rFonts w:ascii="Times New Roman" w:hAnsi="Times New Roman"/>
                <w:szCs w:val="24"/>
              </w:rPr>
              <w:t>$16.30</w:t>
            </w:r>
          </w:p>
        </w:tc>
        <w:tc>
          <w:tcPr>
            <w:tcW w:w="1620" w:type="dxa"/>
          </w:tcPr>
          <w:p w:rsidRPr="00442E07" w:rsidR="00E97F8E" w:rsidP="00535791" w:rsidRDefault="00E97F8E" w14:paraId="63DD1E06" w14:textId="0CFC3373">
            <w:pPr>
              <w:jc w:val="right"/>
              <w:rPr>
                <w:rFonts w:ascii="Times New Roman" w:hAnsi="Times New Roman"/>
                <w:szCs w:val="24"/>
              </w:rPr>
            </w:pPr>
            <w:r>
              <w:rPr>
                <w:rFonts w:ascii="Times New Roman" w:hAnsi="Times New Roman"/>
                <w:szCs w:val="24"/>
              </w:rPr>
              <w:t>$65,553,140</w:t>
            </w:r>
          </w:p>
        </w:tc>
      </w:tr>
      <w:tr w:rsidRPr="00442E07" w:rsidR="009C37AF" w:rsidTr="00E97F8E" w14:paraId="3DEE77D3" w14:textId="77777777">
        <w:tc>
          <w:tcPr>
            <w:tcW w:w="1345" w:type="dxa"/>
          </w:tcPr>
          <w:p w:rsidRPr="00442E07" w:rsidR="009C37AF" w:rsidP="005D28E6" w:rsidRDefault="009C37AF" w14:paraId="597BF3F3" w14:textId="77777777">
            <w:pPr>
              <w:rPr>
                <w:rFonts w:ascii="Times New Roman" w:hAnsi="Times New Roman"/>
                <w:szCs w:val="24"/>
              </w:rPr>
            </w:pPr>
            <w:r>
              <w:rPr>
                <w:rFonts w:ascii="Times New Roman" w:hAnsi="Times New Roman"/>
                <w:szCs w:val="24"/>
              </w:rPr>
              <w:t>Annualized Totals</w:t>
            </w:r>
          </w:p>
        </w:tc>
        <w:tc>
          <w:tcPr>
            <w:tcW w:w="1275" w:type="dxa"/>
          </w:tcPr>
          <w:p w:rsidRPr="00442E07" w:rsidR="009C37AF" w:rsidP="00535791" w:rsidRDefault="00E97F8E" w14:paraId="224C2C47" w14:textId="4658C139">
            <w:pPr>
              <w:jc w:val="right"/>
              <w:rPr>
                <w:rFonts w:ascii="Times New Roman" w:hAnsi="Times New Roman"/>
                <w:szCs w:val="24"/>
              </w:rPr>
            </w:pPr>
            <w:r>
              <w:rPr>
                <w:rFonts w:ascii="Times New Roman" w:hAnsi="Times New Roman"/>
                <w:szCs w:val="24"/>
              </w:rPr>
              <w:t>7,305,814</w:t>
            </w:r>
          </w:p>
        </w:tc>
        <w:tc>
          <w:tcPr>
            <w:tcW w:w="1335" w:type="dxa"/>
          </w:tcPr>
          <w:p w:rsidRPr="00442E07" w:rsidR="009C37AF" w:rsidP="00535791" w:rsidRDefault="00E97F8E" w14:paraId="5F4B54EA" w14:textId="5AFE49B5">
            <w:pPr>
              <w:jc w:val="right"/>
              <w:rPr>
                <w:rFonts w:ascii="Times New Roman" w:hAnsi="Times New Roman"/>
                <w:szCs w:val="24"/>
              </w:rPr>
            </w:pPr>
            <w:r>
              <w:rPr>
                <w:rFonts w:ascii="Times New Roman" w:hAnsi="Times New Roman"/>
                <w:szCs w:val="24"/>
              </w:rPr>
              <w:t>9,862,685</w:t>
            </w:r>
          </w:p>
        </w:tc>
        <w:tc>
          <w:tcPr>
            <w:tcW w:w="1335" w:type="dxa"/>
          </w:tcPr>
          <w:p w:rsidRPr="00442E07" w:rsidR="009C37AF" w:rsidP="00535791" w:rsidRDefault="009C37AF" w14:paraId="68058CE4" w14:textId="77777777">
            <w:pPr>
              <w:jc w:val="right"/>
              <w:rPr>
                <w:rFonts w:ascii="Times New Roman" w:hAnsi="Times New Roman"/>
                <w:szCs w:val="24"/>
              </w:rPr>
            </w:pPr>
          </w:p>
        </w:tc>
        <w:tc>
          <w:tcPr>
            <w:tcW w:w="1275" w:type="dxa"/>
          </w:tcPr>
          <w:p w:rsidRPr="00442E07" w:rsidR="009C37AF" w:rsidP="00535791" w:rsidRDefault="00E97F8E" w14:paraId="37FAF8A5" w14:textId="71030C1E">
            <w:pPr>
              <w:jc w:val="right"/>
              <w:rPr>
                <w:rFonts w:ascii="Times New Roman" w:hAnsi="Times New Roman"/>
                <w:szCs w:val="24"/>
              </w:rPr>
            </w:pPr>
            <w:r>
              <w:rPr>
                <w:rFonts w:ascii="Times New Roman" w:hAnsi="Times New Roman"/>
                <w:szCs w:val="24"/>
              </w:rPr>
              <w:t>4,021,665</w:t>
            </w:r>
          </w:p>
        </w:tc>
        <w:tc>
          <w:tcPr>
            <w:tcW w:w="1260" w:type="dxa"/>
          </w:tcPr>
          <w:p w:rsidRPr="00442E07" w:rsidR="009C37AF" w:rsidP="00535791" w:rsidRDefault="009C37AF" w14:paraId="3221A869" w14:textId="77777777">
            <w:pPr>
              <w:jc w:val="right"/>
              <w:rPr>
                <w:rFonts w:ascii="Times New Roman" w:hAnsi="Times New Roman"/>
                <w:szCs w:val="24"/>
              </w:rPr>
            </w:pPr>
          </w:p>
        </w:tc>
        <w:tc>
          <w:tcPr>
            <w:tcW w:w="1620" w:type="dxa"/>
          </w:tcPr>
          <w:p w:rsidRPr="00442E07" w:rsidR="009C37AF" w:rsidP="00535791" w:rsidRDefault="00E97F8E" w14:paraId="50468F26" w14:textId="1E86CCF4">
            <w:pPr>
              <w:jc w:val="right"/>
              <w:rPr>
                <w:rFonts w:ascii="Times New Roman" w:hAnsi="Times New Roman"/>
                <w:szCs w:val="24"/>
              </w:rPr>
            </w:pPr>
            <w:r>
              <w:rPr>
                <w:rFonts w:ascii="Times New Roman" w:hAnsi="Times New Roman"/>
                <w:szCs w:val="24"/>
              </w:rPr>
              <w:t>$65,553,140</w:t>
            </w:r>
          </w:p>
        </w:tc>
      </w:tr>
    </w:tbl>
    <w:p w:rsidRPr="009C37AF" w:rsidR="009C37AF" w:rsidP="009C37AF" w:rsidRDefault="009C37AF" w14:paraId="41C4D4A6" w14:textId="77777777"/>
    <w:p w:rsidRPr="00AF5D1A" w:rsidR="00F31BEC" w:rsidP="000446F5" w:rsidRDefault="00F31BEC"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4280EE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4280EE5" w14:textId="77777777">
      <w:pPr>
        <w:tabs>
          <w:tab w:val="left" w:pos="-720"/>
        </w:tabs>
        <w:suppressAutoHyphens/>
        <w:rPr>
          <w:rFonts w:ascii="Times New Roman" w:hAnsi="Times New Roman"/>
          <w:b/>
          <w:szCs w:val="24"/>
        </w:rPr>
      </w:pPr>
    </w:p>
    <w:p w:rsidRPr="00ED7195" w:rsidR="00043C32" w:rsidP="007C700A" w:rsidRDefault="00043C32" w14:paraId="64280EE6" w14:textId="77777777">
      <w:pPr>
        <w:numPr>
          <w:ilvl w:val="0"/>
          <w:numId w:val="1"/>
        </w:numPr>
        <w:tabs>
          <w:tab w:val="clear" w:pos="700"/>
          <w:tab w:val="left" w:pos="-720"/>
        </w:tabs>
        <w:suppressAutoHyphens/>
        <w:ind w:left="117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w:t>
      </w:r>
      <w:r w:rsidRPr="00ED7195">
        <w:rPr>
          <w:rFonts w:ascii="Times New Roman" w:hAnsi="Times New Roman"/>
          <w:b/>
          <w:szCs w:val="24"/>
        </w:rPr>
        <w:lastRenderedPageBreak/>
        <w:t>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ED7195" w:rsidR="00043C32" w:rsidP="007C700A" w:rsidRDefault="00043C32" w14:paraId="64280EE8" w14:textId="77777777">
      <w:pPr>
        <w:numPr>
          <w:ilvl w:val="0"/>
          <w:numId w:val="1"/>
        </w:numPr>
        <w:tabs>
          <w:tab w:val="clear" w:pos="700"/>
          <w:tab w:val="left" w:pos="-72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7C700A" w:rsidRDefault="00043C32" w14:paraId="64280EEA" w14:textId="77777777">
      <w:pPr>
        <w:numPr>
          <w:ilvl w:val="0"/>
          <w:numId w:val="1"/>
        </w:numPr>
        <w:tabs>
          <w:tab w:val="clear" w:pos="700"/>
          <w:tab w:val="left" w:pos="-72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4280EEB" w14:textId="77777777">
      <w:pPr>
        <w:tabs>
          <w:tab w:val="left" w:pos="-720"/>
        </w:tabs>
        <w:suppressAutoHyphens/>
        <w:rPr>
          <w:rFonts w:ascii="Times New Roman" w:hAnsi="Times New Roman"/>
          <w:b/>
          <w:szCs w:val="24"/>
        </w:rPr>
      </w:pPr>
    </w:p>
    <w:p w:rsidRPr="00ED7195" w:rsidR="00043C32" w:rsidP="00AD381B" w:rsidRDefault="00043C32"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rsidRDefault="00043C32"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rsidRDefault="00BB03CE" w14:paraId="124B3696" w14:textId="6A79C61F">
      <w:pPr>
        <w:tabs>
          <w:tab w:val="left" w:pos="-720"/>
        </w:tabs>
        <w:suppressAutoHyphens/>
        <w:rPr>
          <w:rFonts w:ascii="Times New Roman" w:hAnsi="Times New Roman"/>
          <w:b/>
          <w:szCs w:val="24"/>
        </w:rPr>
      </w:pPr>
    </w:p>
    <w:p w:rsidRPr="00460941" w:rsidR="00460941" w:rsidP="00460941" w:rsidRDefault="00460941" w14:paraId="27F77B27" w14:textId="77777777">
      <w:pPr>
        <w:pStyle w:val="BodyTextIndent"/>
        <w:rPr>
          <w:rFonts w:ascii="Calibri" w:hAnsi="Calibri"/>
        </w:rPr>
      </w:pPr>
      <w:r w:rsidRPr="00460941">
        <w:rPr>
          <w:rFonts w:ascii="Calibri" w:hAnsi="Calibri"/>
        </w:rPr>
        <w:t>There are no annual capital/startup costs to respondents, nor are there any annual costs to respondents associated with operating or maintaining systems or purchasing services.</w:t>
      </w:r>
    </w:p>
    <w:p w:rsidR="00043C32" w:rsidP="00460941" w:rsidRDefault="00043C32" w14:paraId="64280EEF" w14:textId="35DC2EE6">
      <w:pPr>
        <w:tabs>
          <w:tab w:val="left" w:pos="-720"/>
        </w:tabs>
        <w:suppressAutoHyphens/>
        <w:ind w:left="720"/>
        <w:rPr>
          <w:rFonts w:ascii="Times New Roman" w:hAnsi="Times New Roman"/>
          <w:szCs w:val="24"/>
        </w:rPr>
      </w:pPr>
    </w:p>
    <w:p w:rsidRPr="00534B4A"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rsidRDefault="00534B4A" w14:paraId="64280EF1" w14:textId="77777777">
      <w:pPr>
        <w:tabs>
          <w:tab w:val="left" w:pos="-720"/>
        </w:tabs>
        <w:suppressAutoHyphens/>
        <w:ind w:left="720"/>
        <w:rPr>
          <w:rFonts w:ascii="Times New Roman" w:hAnsi="Times New Roman"/>
          <w:szCs w:val="24"/>
        </w:rPr>
      </w:pPr>
    </w:p>
    <w:p w:rsidR="00460941" w:rsidP="00460941" w:rsidRDefault="00460941" w14:paraId="1BBD2C83" w14:textId="135AC57D">
      <w:pPr>
        <w:pStyle w:val="BodyTextIndent"/>
        <w:rPr>
          <w:rFonts w:ascii="Calibri" w:hAnsi="Calibri"/>
        </w:rPr>
      </w:pPr>
      <w:r w:rsidRPr="004C401E">
        <w:rPr>
          <w:rFonts w:ascii="Calibri" w:hAnsi="Calibri"/>
        </w:rPr>
        <w:t xml:space="preserve">There is no annual cost to the Federal government associated with the paper versions of the promissory notes or PLUS Endorser Addendum, as the Department does not print and distribute the paper versions of the forms. The small number of borrowers who wish to complete the paper versions of the forms may download and print the documents.  </w:t>
      </w:r>
    </w:p>
    <w:p w:rsidRPr="004C401E" w:rsidR="00460941" w:rsidP="00460941" w:rsidRDefault="00460941" w14:paraId="1C57074E" w14:textId="77777777">
      <w:pPr>
        <w:pStyle w:val="BodyTextIndent"/>
        <w:rPr>
          <w:rFonts w:ascii="Calibri" w:hAnsi="Calibri"/>
        </w:rPr>
      </w:pPr>
    </w:p>
    <w:p w:rsidRPr="004C401E" w:rsidR="00460941" w:rsidP="00460941" w:rsidRDefault="00460941" w14:paraId="43614FCB" w14:textId="77777777">
      <w:pPr>
        <w:pStyle w:val="BodyTextIndent"/>
        <w:rPr>
          <w:rFonts w:ascii="Calibri" w:hAnsi="Calibri"/>
        </w:rPr>
      </w:pPr>
      <w:r w:rsidRPr="004C401E">
        <w:rPr>
          <w:rFonts w:ascii="Calibri" w:hAnsi="Calibri"/>
        </w:rPr>
        <w:t xml:space="preserve">It is not possible to provide annualized costs associated with the implementation of the electronic versions of the forms. The terms of the Department’s contract with the entity </w:t>
      </w:r>
      <w:r w:rsidRPr="004C401E">
        <w:rPr>
          <w:rFonts w:ascii="Calibri" w:hAnsi="Calibri"/>
        </w:rPr>
        <w:lastRenderedPageBreak/>
        <w:t>that is responsible for performing this function (and other functions) does not provide for itemization of costs associated with specific functions.</w:t>
      </w:r>
    </w:p>
    <w:p w:rsidR="00460941" w:rsidP="005F4E11" w:rsidRDefault="00460941" w14:paraId="76BE4953" w14:textId="77777777">
      <w:pPr>
        <w:pStyle w:val="ListParagraph"/>
        <w:tabs>
          <w:tab w:val="left" w:pos="-720"/>
        </w:tabs>
        <w:suppressAutoHyphens/>
        <w:contextualSpacing w:val="0"/>
        <w:rPr>
          <w:rFonts w:ascii="Times New Roman" w:hAnsi="Times New Roman"/>
          <w:szCs w:val="24"/>
        </w:rPr>
      </w:pPr>
    </w:p>
    <w:p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Pr="00460941" w:rsidR="00460941" w:rsidP="00460941" w:rsidRDefault="00460941" w14:paraId="097D428C" w14:textId="7E994501">
      <w:pPr>
        <w:pStyle w:val="BodyTextIndent"/>
        <w:rPr>
          <w:rFonts w:ascii="Calibri" w:hAnsi="Calibri"/>
        </w:rPr>
      </w:pPr>
      <w:r w:rsidRPr="00460941">
        <w:rPr>
          <w:rFonts w:ascii="Calibri" w:hAnsi="Calibri"/>
        </w:rPr>
        <w:t xml:space="preserve">The Department is </w:t>
      </w:r>
      <w:r>
        <w:rPr>
          <w:rFonts w:ascii="Calibri" w:hAnsi="Calibri"/>
        </w:rPr>
        <w:t xml:space="preserve">requesting a revision to the form without change to the </w:t>
      </w:r>
      <w:r w:rsidR="002E4B48">
        <w:rPr>
          <w:rFonts w:ascii="Calibri" w:hAnsi="Calibri"/>
        </w:rPr>
        <w:t>7,305,814</w:t>
      </w:r>
      <w:r>
        <w:rPr>
          <w:rFonts w:ascii="Calibri" w:hAnsi="Calibri"/>
        </w:rPr>
        <w:t xml:space="preserve"> respondents,</w:t>
      </w:r>
      <w:r w:rsidR="002E4B48">
        <w:rPr>
          <w:rFonts w:ascii="Calibri" w:hAnsi="Calibri"/>
        </w:rPr>
        <w:t xml:space="preserve"> 9,862,685 </w:t>
      </w:r>
      <w:r>
        <w:rPr>
          <w:rFonts w:ascii="Calibri" w:hAnsi="Calibri"/>
        </w:rPr>
        <w:t xml:space="preserve">responses or </w:t>
      </w:r>
      <w:r w:rsidR="002E4B48">
        <w:rPr>
          <w:rFonts w:ascii="Calibri" w:hAnsi="Calibri"/>
        </w:rPr>
        <w:t xml:space="preserve">4,021,665 </w:t>
      </w:r>
      <w:r>
        <w:rPr>
          <w:rFonts w:ascii="Calibri" w:hAnsi="Calibri"/>
        </w:rPr>
        <w:t>burden hours as identified in item 12.</w:t>
      </w:r>
    </w:p>
    <w:p w:rsidR="00534B4A" w:rsidP="00534B4A" w:rsidRDefault="00534B4A" w14:paraId="64280EF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280EFB" w14:textId="77777777">
        <w:tc>
          <w:tcPr>
            <w:tcW w:w="2048" w:type="dxa"/>
            <w:shd w:val="clear" w:color="auto" w:fill="D9D9D9" w:themeFill="background1" w:themeFillShade="D9"/>
          </w:tcPr>
          <w:p w:rsidR="0052073E" w:rsidP="00534B4A" w:rsidRDefault="0052073E" w14:paraId="64280EF7" w14:textId="77777777">
            <w:pPr>
              <w:tabs>
                <w:tab w:val="left" w:pos="-720"/>
              </w:tabs>
              <w:suppressAutoHyphens/>
              <w:rPr>
                <w:rFonts w:ascii="Times New Roman" w:hAnsi="Times New Roman"/>
                <w:b/>
                <w:szCs w:val="24"/>
              </w:rPr>
            </w:pPr>
          </w:p>
        </w:tc>
        <w:tc>
          <w:tcPr>
            <w:tcW w:w="2048" w:type="dxa"/>
          </w:tcPr>
          <w:p w:rsidR="0052073E" w:rsidP="00534B4A" w:rsidRDefault="0052073E"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4280F00" w14:textId="77777777">
        <w:tc>
          <w:tcPr>
            <w:tcW w:w="2048" w:type="dxa"/>
          </w:tcPr>
          <w:p w:rsidR="0052073E" w:rsidP="00534B4A" w:rsidRDefault="0052073E"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2E4B48" w:rsidRDefault="0052073E" w14:paraId="64280EFD" w14:textId="77777777">
            <w:pPr>
              <w:tabs>
                <w:tab w:val="left" w:pos="-720"/>
              </w:tabs>
              <w:suppressAutoHyphens/>
              <w:jc w:val="center"/>
              <w:rPr>
                <w:rFonts w:ascii="Times New Roman" w:hAnsi="Times New Roman"/>
                <w:b/>
                <w:szCs w:val="24"/>
              </w:rPr>
            </w:pPr>
          </w:p>
        </w:tc>
        <w:tc>
          <w:tcPr>
            <w:tcW w:w="2829" w:type="dxa"/>
          </w:tcPr>
          <w:p w:rsidRPr="007A5F49" w:rsidR="0052073E" w:rsidP="002E4B48" w:rsidRDefault="002E4B48" w14:paraId="64280EFE" w14:textId="4687776C">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0</w:t>
            </w:r>
          </w:p>
        </w:tc>
        <w:tc>
          <w:tcPr>
            <w:tcW w:w="2520" w:type="dxa"/>
          </w:tcPr>
          <w:p w:rsidR="0052073E" w:rsidP="002E4B48" w:rsidRDefault="0052073E" w14:paraId="64280EFF" w14:textId="77777777">
            <w:pPr>
              <w:tabs>
                <w:tab w:val="left" w:pos="-720"/>
              </w:tabs>
              <w:suppressAutoHyphens/>
              <w:jc w:val="center"/>
              <w:rPr>
                <w:rFonts w:ascii="Times New Roman" w:hAnsi="Times New Roman"/>
                <w:b/>
                <w:szCs w:val="24"/>
              </w:rPr>
            </w:pPr>
          </w:p>
        </w:tc>
      </w:tr>
      <w:tr w:rsidR="0052073E" w:rsidTr="0052073E" w14:paraId="64280F05" w14:textId="77777777">
        <w:tc>
          <w:tcPr>
            <w:tcW w:w="2048" w:type="dxa"/>
          </w:tcPr>
          <w:p w:rsidR="0052073E" w:rsidP="00534B4A" w:rsidRDefault="0052073E"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2E4B48" w:rsidRDefault="0052073E" w14:paraId="64280F02" w14:textId="77777777">
            <w:pPr>
              <w:tabs>
                <w:tab w:val="left" w:pos="-720"/>
              </w:tabs>
              <w:suppressAutoHyphens/>
              <w:jc w:val="center"/>
              <w:rPr>
                <w:rFonts w:ascii="Times New Roman" w:hAnsi="Times New Roman"/>
                <w:b/>
                <w:szCs w:val="24"/>
              </w:rPr>
            </w:pPr>
          </w:p>
        </w:tc>
        <w:tc>
          <w:tcPr>
            <w:tcW w:w="2829" w:type="dxa"/>
          </w:tcPr>
          <w:p w:rsidRPr="007A5F49" w:rsidR="0052073E" w:rsidP="002E4B48" w:rsidRDefault="002E4B48" w14:paraId="64280F03" w14:textId="55FD3B02">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0</w:t>
            </w:r>
          </w:p>
        </w:tc>
        <w:tc>
          <w:tcPr>
            <w:tcW w:w="2520" w:type="dxa"/>
          </w:tcPr>
          <w:p w:rsidR="0052073E" w:rsidP="002E4B48" w:rsidRDefault="0052073E" w14:paraId="64280F04" w14:textId="77777777">
            <w:pPr>
              <w:tabs>
                <w:tab w:val="left" w:pos="-720"/>
              </w:tabs>
              <w:suppressAutoHyphens/>
              <w:jc w:val="center"/>
              <w:rPr>
                <w:rFonts w:ascii="Times New Roman" w:hAnsi="Times New Roman"/>
                <w:b/>
                <w:szCs w:val="24"/>
              </w:rPr>
            </w:pPr>
          </w:p>
        </w:tc>
      </w:tr>
      <w:tr w:rsidR="0052073E" w:rsidTr="0052073E" w14:paraId="64280F0A" w14:textId="77777777">
        <w:tc>
          <w:tcPr>
            <w:tcW w:w="2048" w:type="dxa"/>
          </w:tcPr>
          <w:p w:rsidR="0052073E" w:rsidP="00534B4A" w:rsidRDefault="0052073E"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2E4B48" w:rsidRDefault="0052073E" w14:paraId="64280F07" w14:textId="77777777">
            <w:pPr>
              <w:tabs>
                <w:tab w:val="left" w:pos="-720"/>
              </w:tabs>
              <w:suppressAutoHyphens/>
              <w:jc w:val="center"/>
              <w:rPr>
                <w:rFonts w:ascii="Times New Roman" w:hAnsi="Times New Roman"/>
                <w:b/>
                <w:szCs w:val="24"/>
              </w:rPr>
            </w:pPr>
          </w:p>
        </w:tc>
        <w:tc>
          <w:tcPr>
            <w:tcW w:w="2829" w:type="dxa"/>
          </w:tcPr>
          <w:p w:rsidRPr="007A5F49" w:rsidR="0052073E" w:rsidP="002E4B48" w:rsidRDefault="0052073E" w14:paraId="64280F08" w14:textId="5ED5FA05">
            <w:pPr>
              <w:tabs>
                <w:tab w:val="left" w:pos="-720"/>
              </w:tabs>
              <w:suppressAutoHyphens/>
              <w:jc w:val="center"/>
              <w:rPr>
                <w:rFonts w:asciiTheme="minorHAnsi" w:hAnsiTheme="minorHAnsi" w:cstheme="minorHAnsi"/>
                <w:b/>
                <w:szCs w:val="24"/>
              </w:rPr>
            </w:pPr>
          </w:p>
        </w:tc>
        <w:tc>
          <w:tcPr>
            <w:tcW w:w="2520" w:type="dxa"/>
          </w:tcPr>
          <w:p w:rsidR="0052073E" w:rsidP="002E4B48" w:rsidRDefault="0052073E" w14:paraId="64280F09" w14:textId="77777777">
            <w:pPr>
              <w:tabs>
                <w:tab w:val="left" w:pos="-720"/>
              </w:tabs>
              <w:suppressAutoHyphens/>
              <w:jc w:val="center"/>
              <w:rPr>
                <w:rFonts w:ascii="Times New Roman" w:hAnsi="Times New Roman"/>
                <w:b/>
                <w:szCs w:val="24"/>
              </w:rPr>
            </w:pPr>
          </w:p>
        </w:tc>
      </w:tr>
    </w:tbl>
    <w:p w:rsidRPr="005F4E11" w:rsidR="00F27AAF" w:rsidP="005F4E11" w:rsidRDefault="00F27AAF" w14:paraId="64280F0B" w14:textId="77777777">
      <w:pPr>
        <w:tabs>
          <w:tab w:val="left" w:pos="-720"/>
        </w:tabs>
        <w:suppressAutoHyphens/>
        <w:ind w:left="720"/>
        <w:rPr>
          <w:rFonts w:ascii="Times New Roman" w:hAnsi="Times New Roman"/>
          <w:bCs/>
          <w:szCs w:val="24"/>
        </w:rPr>
      </w:pPr>
    </w:p>
    <w:p w:rsidR="00043C32" w:rsidP="0041502D" w:rsidRDefault="00043C32" w14:paraId="64280F0D" w14:textId="77777777">
      <w:pPr>
        <w:pStyle w:val="ListParagraph"/>
        <w:numPr>
          <w:ilvl w:val="0"/>
          <w:numId w:val="5"/>
        </w:numPr>
        <w:tabs>
          <w:tab w:val="left" w:pos="-720"/>
        </w:tabs>
        <w:suppressAutoHyphens/>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rsidRDefault="00534B4A" w14:paraId="64280F0E" w14:textId="77777777">
      <w:pPr>
        <w:tabs>
          <w:tab w:val="left" w:pos="-720"/>
        </w:tabs>
        <w:suppressAutoHyphens/>
        <w:ind w:left="720"/>
        <w:rPr>
          <w:rFonts w:ascii="Times New Roman" w:hAnsi="Times New Roman"/>
          <w:szCs w:val="24"/>
        </w:rPr>
      </w:pPr>
    </w:p>
    <w:p w:rsidRPr="00DD44C1" w:rsidR="002E4B48" w:rsidP="0041502D" w:rsidRDefault="002E4B48" w14:paraId="32F34238" w14:textId="77777777">
      <w:pPr>
        <w:ind w:left="720"/>
        <w:rPr>
          <w:rFonts w:ascii="Calibri" w:hAnsi="Calibri"/>
          <w:szCs w:val="24"/>
        </w:rPr>
      </w:pPr>
      <w:r w:rsidRPr="00DD44C1">
        <w:rPr>
          <w:rFonts w:ascii="Calibri" w:hAnsi="Calibri"/>
          <w:szCs w:val="24"/>
        </w:rPr>
        <w:t>The results of this information collection will not be published.</w:t>
      </w:r>
    </w:p>
    <w:p w:rsidRPr="00534B4A" w:rsidR="00534B4A" w:rsidP="00AA5138" w:rsidRDefault="00534B4A" w14:paraId="64280F0F" w14:textId="77777777">
      <w:pPr>
        <w:tabs>
          <w:tab w:val="left" w:pos="-720"/>
        </w:tabs>
        <w:suppressAutoHyphens/>
        <w:ind w:left="720"/>
        <w:rPr>
          <w:rFonts w:ascii="Times New Roman" w:hAnsi="Times New Roman"/>
          <w:szCs w:val="24"/>
        </w:rPr>
      </w:pPr>
    </w:p>
    <w:p w:rsidRPr="00534B4A" w:rsidR="00043C32" w:rsidP="0041502D" w:rsidRDefault="00043C32" w14:paraId="64280F10" w14:textId="77777777">
      <w:pPr>
        <w:pStyle w:val="ListParagraph"/>
        <w:numPr>
          <w:ilvl w:val="0"/>
          <w:numId w:val="5"/>
        </w:numPr>
        <w:tabs>
          <w:tab w:val="left" w:pos="-720"/>
        </w:tabs>
        <w:suppressAutoHyphens/>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A5138" w:rsidR="00534B4A" w:rsidP="00AA5138" w:rsidRDefault="00534B4A" w14:paraId="64280F11" w14:textId="77777777">
      <w:pPr>
        <w:tabs>
          <w:tab w:val="left" w:pos="-720"/>
        </w:tabs>
        <w:suppressAutoHyphens/>
        <w:ind w:left="720"/>
        <w:rPr>
          <w:rFonts w:ascii="Times New Roman" w:hAnsi="Times New Roman"/>
          <w:bCs/>
          <w:szCs w:val="24"/>
        </w:rPr>
      </w:pPr>
    </w:p>
    <w:p w:rsidRPr="00052A8F" w:rsidR="0041502D" w:rsidP="0041502D" w:rsidRDefault="0041502D" w14:paraId="76774FC3" w14:textId="77777777">
      <w:pPr>
        <w:ind w:left="720"/>
        <w:rPr>
          <w:rFonts w:ascii="Calibri" w:hAnsi="Calibri"/>
          <w:szCs w:val="24"/>
        </w:rPr>
      </w:pPr>
      <w:r w:rsidRPr="00052A8F">
        <w:rPr>
          <w:rFonts w:ascii="Calibri" w:hAnsi="Calibri"/>
          <w:szCs w:val="24"/>
        </w:rPr>
        <w:t>The Department is not seeking this approval.</w:t>
      </w:r>
    </w:p>
    <w:p w:rsidRPr="00AA5138" w:rsidR="00534B4A" w:rsidP="00AA5138" w:rsidRDefault="00534B4A" w14:paraId="64280F12" w14:textId="77777777">
      <w:pPr>
        <w:tabs>
          <w:tab w:val="left" w:pos="-720"/>
        </w:tabs>
        <w:suppressAutoHyphens/>
        <w:ind w:left="720"/>
        <w:rPr>
          <w:rFonts w:ascii="Times New Roman" w:hAnsi="Times New Roman"/>
          <w:bCs/>
          <w:szCs w:val="24"/>
        </w:rPr>
      </w:pPr>
    </w:p>
    <w:p w:rsidRPr="0041502D" w:rsidR="0041502D" w:rsidP="0041502D" w:rsidRDefault="00043C32" w14:paraId="0DA39DD8" w14:textId="77777777">
      <w:pPr>
        <w:pStyle w:val="ListParagraph"/>
        <w:numPr>
          <w:ilvl w:val="0"/>
          <w:numId w:val="5"/>
        </w:numPr>
        <w:tabs>
          <w:tab w:val="left" w:pos="-720"/>
        </w:tabs>
        <w:suppressAutoHyphens/>
        <w:rPr>
          <w:rStyle w:val="a"/>
          <w:rFonts w:ascii="Calibri" w:hAnsi="Calibri"/>
          <w:sz w:val="22"/>
          <w:szCs w:val="22"/>
        </w:rPr>
      </w:pPr>
      <w:r w:rsidRPr="0041502D">
        <w:rPr>
          <w:rStyle w:val="a"/>
          <w:rFonts w:ascii="Times New Roman" w:hAnsi="Times New Roman"/>
          <w:b/>
          <w:szCs w:val="24"/>
        </w:rPr>
        <w:t>Explain each exception to the certification statement identified in the Certification of Paperwork Reduction Act.</w:t>
      </w:r>
    </w:p>
    <w:p w:rsidR="0041502D" w:rsidP="0041502D" w:rsidRDefault="0041502D" w14:paraId="519D433F" w14:textId="77777777">
      <w:pPr>
        <w:pStyle w:val="ListParagraph"/>
        <w:tabs>
          <w:tab w:val="left" w:pos="-720"/>
        </w:tabs>
        <w:suppressAutoHyphens/>
        <w:rPr>
          <w:rStyle w:val="a"/>
          <w:rFonts w:ascii="Times New Roman" w:hAnsi="Times New Roman"/>
          <w:b/>
          <w:szCs w:val="24"/>
        </w:rPr>
      </w:pPr>
    </w:p>
    <w:p w:rsidRPr="0041502D" w:rsidR="0041502D" w:rsidP="0041502D" w:rsidRDefault="0041502D" w14:paraId="34E12EBC" w14:textId="58EB3000">
      <w:pPr>
        <w:pStyle w:val="ListParagraph"/>
        <w:tabs>
          <w:tab w:val="left" w:pos="-720"/>
        </w:tabs>
        <w:suppressAutoHyphens/>
        <w:rPr>
          <w:rFonts w:ascii="Calibri" w:hAnsi="Calibri"/>
          <w:szCs w:val="24"/>
        </w:rPr>
      </w:pPr>
      <w:r w:rsidRPr="0041502D">
        <w:rPr>
          <w:rFonts w:ascii="Calibri" w:hAnsi="Calibri"/>
          <w:szCs w:val="24"/>
        </w:rPr>
        <w:t>The Department is not requesting any exceptions to the “Certification for Paperwork Reduction Act Submissions” of OMB Form 83-I.</w:t>
      </w:r>
    </w:p>
    <w:p w:rsidRPr="00AA5138" w:rsidR="00AA5138" w:rsidP="0041502D" w:rsidRDefault="00AA5138" w14:paraId="07117DF1" w14:textId="68EA5D2C">
      <w:pPr>
        <w:tabs>
          <w:tab w:val="left" w:pos="-720"/>
        </w:tabs>
        <w:suppressAutoHyphens/>
        <w:ind w:left="720"/>
        <w:rPr>
          <w:rFonts w:ascii="Times New Roman" w:hAnsi="Times New Roman"/>
          <w:bCs/>
          <w:szCs w:val="24"/>
        </w:rPr>
      </w:pPr>
    </w:p>
    <w:sectPr w:rsidRPr="00AA5138" w:rsidR="00AA5138" w:rsidSect="00043C32">
      <w:headerReference w:type="default" r:id="rId13"/>
      <w:footerReference w:type="default" r:id="rId1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1FDF9" w14:textId="77777777" w:rsidR="00A93109" w:rsidRDefault="00A93109" w:rsidP="00043C32">
      <w:r>
        <w:separator/>
      </w:r>
    </w:p>
  </w:endnote>
  <w:endnote w:type="continuationSeparator" w:id="0">
    <w:p w14:paraId="791045D5" w14:textId="77777777" w:rsidR="00A93109" w:rsidRDefault="00A93109"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0F18" w14:textId="77777777" w:rsidR="00386054" w:rsidRDefault="00835B7D">
    <w:pPr>
      <w:spacing w:before="140" w:line="100" w:lineRule="exact"/>
      <w:rPr>
        <w:sz w:val="10"/>
      </w:rPr>
    </w:pPr>
  </w:p>
  <w:p w14:paraId="64280F19" w14:textId="77777777" w:rsidR="00386054" w:rsidRDefault="00835B7D">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89F7E" w14:textId="77777777" w:rsidR="00A93109" w:rsidRDefault="00A93109" w:rsidP="00043C32">
      <w:r>
        <w:separator/>
      </w:r>
    </w:p>
  </w:footnote>
  <w:footnote w:type="continuationSeparator" w:id="0">
    <w:p w14:paraId="1DB5CADA" w14:textId="77777777" w:rsidR="00A93109" w:rsidRDefault="00A93109" w:rsidP="00043C32">
      <w:r>
        <w:continuationSeparator/>
      </w:r>
    </w:p>
  </w:footnote>
  <w:footnote w:id="1">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8400" w14:textId="30E2CFE9"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735FCB">
      <w:rPr>
        <w:rFonts w:ascii="Times New Roman" w:hAnsi="Times New Roman"/>
        <w:szCs w:val="24"/>
      </w:rPr>
      <w:t>1845</w:t>
    </w:r>
    <w:r w:rsidR="007C700A">
      <w:rPr>
        <w:rFonts w:ascii="Times New Roman" w:hAnsi="Times New Roman"/>
        <w:szCs w:val="24"/>
      </w:rPr>
      <w:t>-</w:t>
    </w:r>
    <w:r w:rsidR="00735FCB">
      <w:rPr>
        <w:rFonts w:ascii="Times New Roman" w:hAnsi="Times New Roman"/>
        <w:szCs w:val="24"/>
      </w:rPr>
      <w:t>0007</w:t>
    </w:r>
    <w:r w:rsidR="00E22FD3">
      <w:rPr>
        <w:rFonts w:ascii="Times New Roman" w:hAnsi="Times New Roman"/>
        <w:szCs w:val="24"/>
      </w:rPr>
      <w:tab/>
    </w:r>
    <w:r w:rsidRPr="00C875E8">
      <w:rPr>
        <w:rFonts w:ascii="Times New Roman" w:hAnsi="Times New Roman"/>
        <w:szCs w:val="24"/>
      </w:rPr>
      <w:t xml:space="preserve">Revised: </w:t>
    </w:r>
    <w:r w:rsidR="00552DBF">
      <w:rPr>
        <w:rFonts w:ascii="Times New Roman" w:hAnsi="Times New Roman"/>
        <w:szCs w:val="24"/>
      </w:rPr>
      <w:t>06/02/2022</w:t>
    </w:r>
  </w:p>
  <w:p w14:paraId="1EC4CE47" w14:textId="77777777" w:rsidR="005F4E11" w:rsidRDefault="005F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03B141A4"/>
    <w:multiLevelType w:val="hybridMultilevel"/>
    <w:tmpl w:val="D9DA4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6F5F8A"/>
    <w:multiLevelType w:val="hybridMultilevel"/>
    <w:tmpl w:val="E78A2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4024793">
    <w:abstractNumId w:val="0"/>
  </w:num>
  <w:num w:numId="2" w16cid:durableId="1903102604">
    <w:abstractNumId w:val="4"/>
  </w:num>
  <w:num w:numId="3" w16cid:durableId="1739014602">
    <w:abstractNumId w:val="3"/>
  </w:num>
  <w:num w:numId="4" w16cid:durableId="418138525">
    <w:abstractNumId w:val="5"/>
  </w:num>
  <w:num w:numId="5" w16cid:durableId="1730689210">
    <w:abstractNumId w:val="6"/>
  </w:num>
  <w:num w:numId="6" w16cid:durableId="797333526">
    <w:abstractNumId w:val="2"/>
  </w:num>
  <w:num w:numId="7" w16cid:durableId="1174149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34DD"/>
    <w:rsid w:val="00010D85"/>
    <w:rsid w:val="0002290A"/>
    <w:rsid w:val="00035ED5"/>
    <w:rsid w:val="00043C32"/>
    <w:rsid w:val="000446F5"/>
    <w:rsid w:val="000872D9"/>
    <w:rsid w:val="00093017"/>
    <w:rsid w:val="000B1A1C"/>
    <w:rsid w:val="0016136D"/>
    <w:rsid w:val="00167D77"/>
    <w:rsid w:val="001824F3"/>
    <w:rsid w:val="001A1407"/>
    <w:rsid w:val="001A6AE0"/>
    <w:rsid w:val="001C73C0"/>
    <w:rsid w:val="001E79BD"/>
    <w:rsid w:val="00206FCC"/>
    <w:rsid w:val="002225CC"/>
    <w:rsid w:val="00224A3B"/>
    <w:rsid w:val="00240A39"/>
    <w:rsid w:val="00246FE9"/>
    <w:rsid w:val="00250100"/>
    <w:rsid w:val="002545A2"/>
    <w:rsid w:val="00262A69"/>
    <w:rsid w:val="00270AF7"/>
    <w:rsid w:val="00290CAB"/>
    <w:rsid w:val="002A3221"/>
    <w:rsid w:val="002C3520"/>
    <w:rsid w:val="002C4EDF"/>
    <w:rsid w:val="002E14E0"/>
    <w:rsid w:val="002E4B48"/>
    <w:rsid w:val="002F55E5"/>
    <w:rsid w:val="0032078A"/>
    <w:rsid w:val="0032539E"/>
    <w:rsid w:val="00342A36"/>
    <w:rsid w:val="00353B13"/>
    <w:rsid w:val="003860E4"/>
    <w:rsid w:val="003B1545"/>
    <w:rsid w:val="00412915"/>
    <w:rsid w:val="0041502D"/>
    <w:rsid w:val="00442E07"/>
    <w:rsid w:val="00445D51"/>
    <w:rsid w:val="00460941"/>
    <w:rsid w:val="004B2115"/>
    <w:rsid w:val="0052073E"/>
    <w:rsid w:val="00534B4A"/>
    <w:rsid w:val="00535791"/>
    <w:rsid w:val="00552DBF"/>
    <w:rsid w:val="00575DDA"/>
    <w:rsid w:val="00581C11"/>
    <w:rsid w:val="00586764"/>
    <w:rsid w:val="005F4E11"/>
    <w:rsid w:val="00616E9C"/>
    <w:rsid w:val="0068567A"/>
    <w:rsid w:val="006A292A"/>
    <w:rsid w:val="006A38F7"/>
    <w:rsid w:val="006A4EBB"/>
    <w:rsid w:val="006B4172"/>
    <w:rsid w:val="006E5F84"/>
    <w:rsid w:val="00713B69"/>
    <w:rsid w:val="00735FCB"/>
    <w:rsid w:val="00755D99"/>
    <w:rsid w:val="00756FD3"/>
    <w:rsid w:val="00765392"/>
    <w:rsid w:val="00790E3E"/>
    <w:rsid w:val="007A5F49"/>
    <w:rsid w:val="007C0A4C"/>
    <w:rsid w:val="007C700A"/>
    <w:rsid w:val="007F6104"/>
    <w:rsid w:val="00800D30"/>
    <w:rsid w:val="00807D1A"/>
    <w:rsid w:val="008311E4"/>
    <w:rsid w:val="00831B1D"/>
    <w:rsid w:val="00834A62"/>
    <w:rsid w:val="00835B7D"/>
    <w:rsid w:val="00856F2C"/>
    <w:rsid w:val="00861EBD"/>
    <w:rsid w:val="00874EFE"/>
    <w:rsid w:val="00882126"/>
    <w:rsid w:val="008933F1"/>
    <w:rsid w:val="008B0A72"/>
    <w:rsid w:val="008D0601"/>
    <w:rsid w:val="008D1F11"/>
    <w:rsid w:val="008E005B"/>
    <w:rsid w:val="008E5919"/>
    <w:rsid w:val="0090387A"/>
    <w:rsid w:val="00905951"/>
    <w:rsid w:val="0090611E"/>
    <w:rsid w:val="00912D2C"/>
    <w:rsid w:val="00916EE4"/>
    <w:rsid w:val="00920F63"/>
    <w:rsid w:val="009243F3"/>
    <w:rsid w:val="0093366B"/>
    <w:rsid w:val="00934185"/>
    <w:rsid w:val="00946126"/>
    <w:rsid w:val="00952DF9"/>
    <w:rsid w:val="0095421D"/>
    <w:rsid w:val="00960C86"/>
    <w:rsid w:val="00963D2D"/>
    <w:rsid w:val="009767AF"/>
    <w:rsid w:val="00981F58"/>
    <w:rsid w:val="00986D0A"/>
    <w:rsid w:val="009C37AF"/>
    <w:rsid w:val="009E3E86"/>
    <w:rsid w:val="00A118A2"/>
    <w:rsid w:val="00A16FA0"/>
    <w:rsid w:val="00A23F26"/>
    <w:rsid w:val="00A4001C"/>
    <w:rsid w:val="00A40AAB"/>
    <w:rsid w:val="00A46D01"/>
    <w:rsid w:val="00A70816"/>
    <w:rsid w:val="00A73590"/>
    <w:rsid w:val="00A7636D"/>
    <w:rsid w:val="00A81A92"/>
    <w:rsid w:val="00A9138E"/>
    <w:rsid w:val="00A92DEF"/>
    <w:rsid w:val="00A93109"/>
    <w:rsid w:val="00AA5138"/>
    <w:rsid w:val="00AC1C89"/>
    <w:rsid w:val="00AD381B"/>
    <w:rsid w:val="00AF5B5B"/>
    <w:rsid w:val="00AF5D1A"/>
    <w:rsid w:val="00B017F9"/>
    <w:rsid w:val="00B07213"/>
    <w:rsid w:val="00B10A05"/>
    <w:rsid w:val="00B124C6"/>
    <w:rsid w:val="00B22D9E"/>
    <w:rsid w:val="00B36A73"/>
    <w:rsid w:val="00B54167"/>
    <w:rsid w:val="00B57F22"/>
    <w:rsid w:val="00B62E06"/>
    <w:rsid w:val="00B632BF"/>
    <w:rsid w:val="00B64B1D"/>
    <w:rsid w:val="00B6729C"/>
    <w:rsid w:val="00B9671B"/>
    <w:rsid w:val="00BA1D31"/>
    <w:rsid w:val="00BB03CE"/>
    <w:rsid w:val="00BC1A67"/>
    <w:rsid w:val="00BC6024"/>
    <w:rsid w:val="00C164D3"/>
    <w:rsid w:val="00C20670"/>
    <w:rsid w:val="00C224FD"/>
    <w:rsid w:val="00C45982"/>
    <w:rsid w:val="00C86713"/>
    <w:rsid w:val="00C875E8"/>
    <w:rsid w:val="00C92035"/>
    <w:rsid w:val="00CC2A72"/>
    <w:rsid w:val="00CC3FB5"/>
    <w:rsid w:val="00CC4396"/>
    <w:rsid w:val="00CD2067"/>
    <w:rsid w:val="00CD47BC"/>
    <w:rsid w:val="00D34984"/>
    <w:rsid w:val="00D36C35"/>
    <w:rsid w:val="00D42315"/>
    <w:rsid w:val="00D75313"/>
    <w:rsid w:val="00E16ACD"/>
    <w:rsid w:val="00E17134"/>
    <w:rsid w:val="00E22FD3"/>
    <w:rsid w:val="00E25EBC"/>
    <w:rsid w:val="00E34BD5"/>
    <w:rsid w:val="00E66550"/>
    <w:rsid w:val="00E877BF"/>
    <w:rsid w:val="00E97F8E"/>
    <w:rsid w:val="00EA1767"/>
    <w:rsid w:val="00EB0929"/>
    <w:rsid w:val="00EB0FA5"/>
    <w:rsid w:val="00EC01DD"/>
    <w:rsid w:val="00EC35E3"/>
    <w:rsid w:val="00EC3EB4"/>
    <w:rsid w:val="00ED7195"/>
    <w:rsid w:val="00EF4C67"/>
    <w:rsid w:val="00F0414F"/>
    <w:rsid w:val="00F070F3"/>
    <w:rsid w:val="00F27AAF"/>
    <w:rsid w:val="00F31BEC"/>
    <w:rsid w:val="00F4441D"/>
    <w:rsid w:val="00F5782B"/>
    <w:rsid w:val="00F73131"/>
    <w:rsid w:val="00F737DA"/>
    <w:rsid w:val="00F74288"/>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uiPriority w:val="20"/>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Title">
    <w:name w:val="Title"/>
    <w:basedOn w:val="Normal"/>
    <w:link w:val="TitleChar"/>
    <w:qFormat/>
    <w:rsid w:val="00290CAB"/>
    <w:pPr>
      <w:spacing w:before="240" w:after="60"/>
      <w:jc w:val="center"/>
    </w:pPr>
    <w:rPr>
      <w:rFonts w:ascii="Arial" w:hAnsi="Arial"/>
      <w:b/>
      <w:kern w:val="28"/>
      <w:sz w:val="32"/>
    </w:rPr>
  </w:style>
  <w:style w:type="character" w:customStyle="1" w:styleId="TitleChar">
    <w:name w:val="Title Char"/>
    <w:basedOn w:val="DefaultParagraphFont"/>
    <w:link w:val="Title"/>
    <w:rsid w:val="00290CAB"/>
    <w:rPr>
      <w:rFonts w:ascii="Arial" w:hAnsi="Arial"/>
      <w:b/>
      <w:kern w:val="28"/>
      <w:sz w:val="32"/>
    </w:rPr>
  </w:style>
  <w:style w:type="paragraph" w:styleId="BodyText0">
    <w:name w:val="Body Text"/>
    <w:basedOn w:val="Normal"/>
    <w:link w:val="BodyTextChar0"/>
    <w:rsid w:val="000B1A1C"/>
    <w:pPr>
      <w:spacing w:after="120"/>
    </w:pPr>
  </w:style>
  <w:style w:type="character" w:customStyle="1" w:styleId="BodyTextChar0">
    <w:name w:val="Body Text Char"/>
    <w:basedOn w:val="DefaultParagraphFont"/>
    <w:link w:val="BodyText0"/>
    <w:rsid w:val="000B1A1C"/>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content/pkg/FR-2021-06-14/pdf/2021-12384.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5163</Words>
  <Characters>29433</Characters>
  <Application>Microsoft Office Word</Application>
  <DocSecurity>4</DocSecurity>
  <Lines>245</Lines>
  <Paragraphs>69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34527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2022-06-14T17:56:00Z</dcterms:created>
  <dcterms:modified xsi:type="dcterms:W3CDTF">2022-06-14T17:56:00Z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