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B06" w:rsidP="00D36763" w:rsidRDefault="006E3B06" w14:paraId="06417B2D" w14:textId="77777777">
      <w:pPr>
        <w:spacing w:line="240" w:lineRule="auto"/>
      </w:pPr>
    </w:p>
    <w:p w:rsidR="006E3B06" w:rsidP="00D36763" w:rsidRDefault="006E3B06" w14:paraId="191F1789" w14:textId="77777777">
      <w:pPr>
        <w:spacing w:line="240" w:lineRule="auto"/>
        <w:jc w:val="center"/>
        <w:rPr>
          <w:rFonts w:ascii="Times New Roman" w:hAnsi="Times New Roman" w:cs="Times New Roman"/>
          <w:sz w:val="40"/>
          <w:szCs w:val="40"/>
        </w:rPr>
      </w:pPr>
    </w:p>
    <w:p w:rsidR="006E3B06" w:rsidP="00D36763" w:rsidRDefault="006E3B06" w14:paraId="58D6A05C" w14:textId="77777777">
      <w:pPr>
        <w:spacing w:line="240" w:lineRule="auto"/>
        <w:jc w:val="center"/>
        <w:rPr>
          <w:rFonts w:ascii="Times New Roman" w:hAnsi="Times New Roman" w:cs="Times New Roman"/>
          <w:sz w:val="40"/>
          <w:szCs w:val="40"/>
        </w:rPr>
      </w:pPr>
    </w:p>
    <w:p w:rsidRPr="006E3B06" w:rsidR="00D9241E" w:rsidP="00D36763" w:rsidRDefault="006B3B39" w14:paraId="3CD2CF1A" w14:textId="17715666">
      <w:pPr>
        <w:spacing w:line="240" w:lineRule="auto"/>
        <w:jc w:val="center"/>
        <w:rPr>
          <w:rFonts w:ascii="Times New Roman" w:hAnsi="Times New Roman" w:cs="Times New Roman"/>
          <w:sz w:val="40"/>
          <w:szCs w:val="40"/>
        </w:rPr>
      </w:pPr>
      <w:r>
        <w:rPr>
          <w:rFonts w:ascii="Times New Roman" w:hAnsi="Times New Roman" w:cs="Times New Roman"/>
          <w:sz w:val="40"/>
          <w:szCs w:val="40"/>
        </w:rPr>
        <w:t>2024</w:t>
      </w:r>
      <w:r w:rsidR="00470586">
        <w:rPr>
          <w:rFonts w:ascii="Times New Roman" w:hAnsi="Times New Roman" w:cs="Times New Roman"/>
          <w:sz w:val="40"/>
          <w:szCs w:val="40"/>
        </w:rPr>
        <w:t xml:space="preserve"> </w:t>
      </w:r>
      <w:r w:rsidRPr="006E3B06" w:rsidR="008764CB">
        <w:rPr>
          <w:rFonts w:ascii="Times New Roman" w:hAnsi="Times New Roman" w:cs="Times New Roman"/>
          <w:sz w:val="40"/>
          <w:szCs w:val="40"/>
        </w:rPr>
        <w:t>Teaching and L</w:t>
      </w:r>
      <w:r w:rsidRPr="006E3B06" w:rsidR="00D9241E">
        <w:rPr>
          <w:rFonts w:ascii="Times New Roman" w:hAnsi="Times New Roman" w:cs="Times New Roman"/>
          <w:sz w:val="40"/>
          <w:szCs w:val="40"/>
        </w:rPr>
        <w:t>earning Internation</w:t>
      </w:r>
      <w:r w:rsidRPr="006E3B06" w:rsidR="00413511">
        <w:rPr>
          <w:rFonts w:ascii="Times New Roman" w:hAnsi="Times New Roman" w:cs="Times New Roman"/>
          <w:sz w:val="40"/>
          <w:szCs w:val="40"/>
        </w:rPr>
        <w:t>a</w:t>
      </w:r>
      <w:r w:rsidRPr="006E3B06" w:rsidR="00D9241E">
        <w:rPr>
          <w:rFonts w:ascii="Times New Roman" w:hAnsi="Times New Roman" w:cs="Times New Roman"/>
          <w:sz w:val="40"/>
          <w:szCs w:val="40"/>
        </w:rPr>
        <w:t xml:space="preserve">l Survey </w:t>
      </w:r>
      <w:r w:rsidRPr="006E3B06" w:rsidR="00D9241E">
        <w:rPr>
          <w:rFonts w:ascii="Times New Roman" w:hAnsi="Times New Roman" w:cs="Times New Roman"/>
          <w:sz w:val="40"/>
          <w:szCs w:val="40"/>
        </w:rPr>
        <w:br/>
        <w:t xml:space="preserve">(TALIS </w:t>
      </w:r>
      <w:r>
        <w:rPr>
          <w:rFonts w:ascii="Times New Roman" w:hAnsi="Times New Roman" w:cs="Times New Roman"/>
          <w:sz w:val="40"/>
          <w:szCs w:val="40"/>
        </w:rPr>
        <w:t>2024</w:t>
      </w:r>
      <w:r w:rsidR="002B26CE">
        <w:rPr>
          <w:rFonts w:ascii="Times New Roman" w:hAnsi="Times New Roman" w:cs="Times New Roman"/>
          <w:sz w:val="40"/>
          <w:szCs w:val="40"/>
        </w:rPr>
        <w:t>)</w:t>
      </w:r>
      <w:r w:rsidRPr="006E3B06" w:rsidR="00037AE1">
        <w:rPr>
          <w:rFonts w:ascii="Times New Roman" w:hAnsi="Times New Roman" w:cs="Times New Roman"/>
          <w:sz w:val="40"/>
          <w:szCs w:val="40"/>
        </w:rPr>
        <w:t xml:space="preserve"> </w:t>
      </w:r>
      <w:r w:rsidRPr="000142AA" w:rsidR="00470586">
        <w:rPr>
          <w:rFonts w:ascii="Times New Roman" w:hAnsi="Times New Roman" w:cs="Times New Roman"/>
          <w:sz w:val="40"/>
          <w:szCs w:val="40"/>
        </w:rPr>
        <w:t>Main Study Recruitment and Field Test</w:t>
      </w:r>
    </w:p>
    <w:p w:rsidR="009004DA" w:rsidP="00D36763" w:rsidRDefault="009004DA" w14:paraId="7E5FDE93" w14:textId="77777777">
      <w:pPr>
        <w:pStyle w:val="C1-CtrBoldHd"/>
        <w:spacing w:after="0" w:line="240" w:lineRule="auto"/>
        <w:rPr>
          <w:sz w:val="28"/>
        </w:rPr>
      </w:pPr>
    </w:p>
    <w:p w:rsidRPr="00470586" w:rsidR="00D9241E" w:rsidP="00D36763" w:rsidRDefault="009004DA" w14:paraId="3EEAAE34" w14:textId="45C9D7EC">
      <w:pPr>
        <w:spacing w:line="240" w:lineRule="auto"/>
        <w:jc w:val="center"/>
        <w:rPr>
          <w:rFonts w:ascii="Times New Roman" w:hAnsi="Times New Roman" w:cs="Times New Roman"/>
          <w:sz w:val="28"/>
        </w:rPr>
      </w:pPr>
      <w:r w:rsidRPr="00470586">
        <w:rPr>
          <w:rFonts w:ascii="Times New Roman" w:hAnsi="Times New Roman" w:cs="Times New Roman"/>
          <w:sz w:val="28"/>
        </w:rPr>
        <w:t xml:space="preserve">OMB# </w:t>
      </w:r>
      <w:r w:rsidRPr="00D104BB">
        <w:rPr>
          <w:rFonts w:ascii="Times New Roman" w:hAnsi="Times New Roman" w:cs="Times New Roman"/>
          <w:sz w:val="28"/>
        </w:rPr>
        <w:t>1850-</w:t>
      </w:r>
      <w:r w:rsidRPr="00D104BB" w:rsidR="00390467">
        <w:rPr>
          <w:rFonts w:ascii="Times New Roman" w:hAnsi="Times New Roman" w:cs="Times New Roman"/>
          <w:sz w:val="28"/>
        </w:rPr>
        <w:t>0888</w:t>
      </w:r>
      <w:r w:rsidRPr="00D104BB">
        <w:rPr>
          <w:rFonts w:ascii="Times New Roman" w:hAnsi="Times New Roman" w:cs="Times New Roman"/>
          <w:sz w:val="28"/>
        </w:rPr>
        <w:t xml:space="preserve"> v.</w:t>
      </w:r>
      <w:r w:rsidRPr="00D104BB" w:rsidR="00D104BB">
        <w:rPr>
          <w:rFonts w:ascii="Times New Roman" w:hAnsi="Times New Roman" w:cs="Times New Roman"/>
          <w:sz w:val="28"/>
        </w:rPr>
        <w:t>8</w:t>
      </w:r>
    </w:p>
    <w:p w:rsidRPr="002E211C" w:rsidR="00D9241E" w:rsidP="00D36763" w:rsidRDefault="00D9241E" w14:paraId="4C29E405" w14:textId="77777777">
      <w:pPr>
        <w:spacing w:line="240" w:lineRule="auto"/>
        <w:jc w:val="center"/>
        <w:rPr>
          <w:rFonts w:ascii="Times New Roman" w:hAnsi="Times New Roman" w:cs="Times New Roman"/>
          <w:sz w:val="24"/>
          <w:szCs w:val="24"/>
        </w:rPr>
      </w:pPr>
    </w:p>
    <w:p w:rsidRPr="006E3B06" w:rsidR="00D9241E" w:rsidP="00D36763" w:rsidRDefault="0012152F" w14:paraId="7E1D7991" w14:textId="77777777">
      <w:pPr>
        <w:spacing w:line="240" w:lineRule="auto"/>
        <w:jc w:val="center"/>
        <w:rPr>
          <w:rFonts w:ascii="Times New Roman" w:hAnsi="Times New Roman" w:cs="Times New Roman"/>
          <w:sz w:val="32"/>
          <w:szCs w:val="32"/>
        </w:rPr>
      </w:pPr>
      <w:r w:rsidRPr="006E3B06">
        <w:rPr>
          <w:rFonts w:ascii="Times New Roman" w:hAnsi="Times New Roman" w:cs="Times New Roman"/>
          <w:sz w:val="32"/>
          <w:szCs w:val="32"/>
        </w:rPr>
        <w:t xml:space="preserve">Supporting Statement </w:t>
      </w:r>
      <w:proofErr w:type="gramStart"/>
      <w:r w:rsidRPr="006E3B06">
        <w:rPr>
          <w:rFonts w:ascii="Times New Roman" w:hAnsi="Times New Roman" w:cs="Times New Roman"/>
          <w:sz w:val="32"/>
          <w:szCs w:val="32"/>
        </w:rPr>
        <w:t>Part</w:t>
      </w:r>
      <w:proofErr w:type="gramEnd"/>
      <w:r w:rsidRPr="006E3B06">
        <w:rPr>
          <w:rFonts w:ascii="Times New Roman" w:hAnsi="Times New Roman" w:cs="Times New Roman"/>
          <w:sz w:val="32"/>
          <w:szCs w:val="32"/>
        </w:rPr>
        <w:t xml:space="preserve"> A</w:t>
      </w:r>
    </w:p>
    <w:p w:rsidRPr="002E211C" w:rsidR="00D9241E" w:rsidP="00D36763" w:rsidRDefault="00D9241E" w14:paraId="4BCDA324" w14:textId="77777777">
      <w:pPr>
        <w:spacing w:line="240" w:lineRule="auto"/>
        <w:jc w:val="center"/>
        <w:rPr>
          <w:rFonts w:ascii="Times New Roman" w:hAnsi="Times New Roman" w:cs="Times New Roman"/>
          <w:sz w:val="24"/>
          <w:szCs w:val="24"/>
        </w:rPr>
      </w:pPr>
    </w:p>
    <w:p w:rsidRPr="002E211C" w:rsidR="00D9241E" w:rsidP="00D36763" w:rsidRDefault="00D9241E" w14:paraId="2AF87279" w14:textId="77777777">
      <w:pPr>
        <w:spacing w:line="240" w:lineRule="auto"/>
        <w:jc w:val="center"/>
        <w:rPr>
          <w:rFonts w:ascii="Times New Roman" w:hAnsi="Times New Roman" w:cs="Times New Roman"/>
          <w:sz w:val="24"/>
          <w:szCs w:val="24"/>
        </w:rPr>
      </w:pPr>
    </w:p>
    <w:p w:rsidRPr="002E211C" w:rsidR="00D9241E" w:rsidP="00D36763" w:rsidRDefault="00D9241E" w14:paraId="184C4FFF" w14:textId="77777777">
      <w:pPr>
        <w:spacing w:line="240" w:lineRule="auto"/>
        <w:jc w:val="center"/>
        <w:rPr>
          <w:rFonts w:ascii="Times New Roman" w:hAnsi="Times New Roman" w:cs="Times New Roman"/>
          <w:sz w:val="24"/>
          <w:szCs w:val="24"/>
        </w:rPr>
      </w:pPr>
    </w:p>
    <w:p w:rsidR="00D9241E" w:rsidP="00D36763" w:rsidRDefault="00D9241E" w14:paraId="42A59A6A" w14:textId="77777777">
      <w:pPr>
        <w:spacing w:line="240" w:lineRule="auto"/>
        <w:jc w:val="center"/>
        <w:rPr>
          <w:rFonts w:ascii="Times New Roman" w:hAnsi="Times New Roman" w:cs="Times New Roman"/>
          <w:sz w:val="24"/>
          <w:szCs w:val="24"/>
        </w:rPr>
      </w:pPr>
    </w:p>
    <w:p w:rsidRPr="002E211C" w:rsidR="003F72CA" w:rsidP="00D36763" w:rsidRDefault="003F72CA" w14:paraId="6621B7DC" w14:textId="77777777">
      <w:pPr>
        <w:spacing w:line="240" w:lineRule="auto"/>
        <w:jc w:val="center"/>
        <w:rPr>
          <w:rFonts w:ascii="Times New Roman" w:hAnsi="Times New Roman" w:cs="Times New Roman"/>
          <w:sz w:val="24"/>
          <w:szCs w:val="24"/>
        </w:rPr>
      </w:pPr>
    </w:p>
    <w:p w:rsidRPr="002E211C" w:rsidR="00D9241E" w:rsidP="00D36763" w:rsidRDefault="0012152F" w14:paraId="36976D95"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Pr="002E211C" w:rsidR="00525C5E" w:rsidP="00D36763" w:rsidRDefault="00525C5E" w14:paraId="6A53ADDD" w14:textId="5AE63CCD">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Institute </w:t>
      </w:r>
      <w:r w:rsidR="006B3B39">
        <w:rPr>
          <w:rFonts w:ascii="Times New Roman" w:hAnsi="Times New Roman" w:cs="Times New Roman"/>
          <w:sz w:val="24"/>
          <w:szCs w:val="24"/>
        </w:rPr>
        <w:t>o</w:t>
      </w:r>
      <w:r w:rsidRPr="002E211C">
        <w:rPr>
          <w:rFonts w:ascii="Times New Roman" w:hAnsi="Times New Roman" w:cs="Times New Roman"/>
          <w:sz w:val="24"/>
          <w:szCs w:val="24"/>
        </w:rPr>
        <w:t>f Education Sciences</w:t>
      </w:r>
    </w:p>
    <w:p w:rsidRPr="002E211C" w:rsidR="00D9241E" w:rsidP="00D36763" w:rsidRDefault="0012152F" w14:paraId="2741F517" w14:textId="0F566CFA">
      <w:pPr>
        <w:spacing w:after="0" w:line="240" w:lineRule="auto"/>
        <w:jc w:val="center"/>
        <w:rPr>
          <w:rFonts w:ascii="Times New Roman" w:hAnsi="Times New Roman" w:cs="Times New Roman"/>
          <w:caps/>
          <w:sz w:val="24"/>
          <w:szCs w:val="24"/>
        </w:rPr>
      </w:pPr>
      <w:r w:rsidRPr="002E211C">
        <w:rPr>
          <w:rFonts w:ascii="Times New Roman" w:hAnsi="Times New Roman" w:cs="Times New Roman"/>
          <w:sz w:val="24"/>
          <w:szCs w:val="24"/>
        </w:rPr>
        <w:t xml:space="preserve">U.S. Department </w:t>
      </w:r>
      <w:r w:rsidR="006B3B39">
        <w:rPr>
          <w:rFonts w:ascii="Times New Roman" w:hAnsi="Times New Roman" w:cs="Times New Roman"/>
          <w:sz w:val="24"/>
          <w:szCs w:val="24"/>
        </w:rPr>
        <w:t>o</w:t>
      </w:r>
      <w:r w:rsidRPr="002E211C">
        <w:rPr>
          <w:rFonts w:ascii="Times New Roman" w:hAnsi="Times New Roman" w:cs="Times New Roman"/>
          <w:sz w:val="24"/>
          <w:szCs w:val="24"/>
        </w:rPr>
        <w:t>f Education</w:t>
      </w:r>
    </w:p>
    <w:p w:rsidRPr="002E211C" w:rsidR="00D9241E" w:rsidP="00D36763" w:rsidRDefault="0012152F" w14:paraId="28644C39"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Pr="002E211C" w:rsidR="00CB1BB2">
        <w:rPr>
          <w:rFonts w:ascii="Times New Roman" w:hAnsi="Times New Roman" w:cs="Times New Roman"/>
          <w:sz w:val="24"/>
          <w:szCs w:val="24"/>
        </w:rPr>
        <w:t>.C.</w:t>
      </w:r>
    </w:p>
    <w:p w:rsidRPr="002E211C" w:rsidR="00D9241E" w:rsidP="00D36763" w:rsidRDefault="00D9241E" w14:paraId="2ACCEA85" w14:textId="77777777">
      <w:pPr>
        <w:spacing w:line="240" w:lineRule="auto"/>
        <w:jc w:val="center"/>
        <w:rPr>
          <w:rFonts w:ascii="Times New Roman" w:hAnsi="Times New Roman" w:cs="Times New Roman"/>
          <w:sz w:val="24"/>
          <w:szCs w:val="24"/>
        </w:rPr>
      </w:pPr>
    </w:p>
    <w:p w:rsidRPr="002E211C" w:rsidR="00D9241E" w:rsidP="00D36763" w:rsidRDefault="00D9241E" w14:paraId="124DB28E" w14:textId="77777777">
      <w:pPr>
        <w:spacing w:line="240" w:lineRule="auto"/>
        <w:jc w:val="center"/>
        <w:rPr>
          <w:rFonts w:ascii="Times New Roman" w:hAnsi="Times New Roman" w:cs="Times New Roman"/>
          <w:sz w:val="24"/>
          <w:szCs w:val="24"/>
        </w:rPr>
      </w:pPr>
    </w:p>
    <w:p w:rsidRPr="002E211C" w:rsidR="00D9241E" w:rsidP="00D36763" w:rsidRDefault="00D9241E" w14:paraId="49C7BAF1" w14:textId="77777777">
      <w:pPr>
        <w:spacing w:line="240" w:lineRule="auto"/>
        <w:jc w:val="center"/>
        <w:rPr>
          <w:rFonts w:ascii="Times New Roman" w:hAnsi="Times New Roman" w:cs="Times New Roman"/>
          <w:sz w:val="24"/>
          <w:szCs w:val="24"/>
        </w:rPr>
      </w:pPr>
    </w:p>
    <w:p w:rsidRPr="002E211C" w:rsidR="00D9241E" w:rsidP="00D36763" w:rsidRDefault="00D9241E" w14:paraId="0E5B82B9" w14:textId="77777777">
      <w:pPr>
        <w:spacing w:line="240" w:lineRule="auto"/>
        <w:jc w:val="center"/>
        <w:rPr>
          <w:rFonts w:ascii="Times New Roman" w:hAnsi="Times New Roman" w:cs="Times New Roman"/>
          <w:sz w:val="24"/>
          <w:szCs w:val="24"/>
        </w:rPr>
      </w:pPr>
    </w:p>
    <w:p w:rsidRPr="002E211C" w:rsidR="00D9241E" w:rsidP="00D36763" w:rsidRDefault="00D9241E" w14:paraId="67B2BE82" w14:textId="77777777">
      <w:pPr>
        <w:spacing w:line="240" w:lineRule="auto"/>
        <w:jc w:val="center"/>
        <w:rPr>
          <w:rFonts w:ascii="Times New Roman" w:hAnsi="Times New Roman" w:cs="Times New Roman"/>
          <w:sz w:val="24"/>
          <w:szCs w:val="24"/>
        </w:rPr>
      </w:pPr>
    </w:p>
    <w:p w:rsidR="00002845" w:rsidP="00D36763" w:rsidRDefault="00002845" w14:paraId="71A1875E" w14:textId="77777777">
      <w:pPr>
        <w:spacing w:line="240" w:lineRule="auto"/>
        <w:jc w:val="center"/>
        <w:rPr>
          <w:rFonts w:ascii="Times New Roman" w:hAnsi="Times New Roman" w:cs="Times New Roman"/>
          <w:sz w:val="24"/>
          <w:szCs w:val="24"/>
        </w:rPr>
      </w:pPr>
      <w:bookmarkStart w:name="_Hlk83197301" w:id="0"/>
      <w:r>
        <w:rPr>
          <w:rFonts w:ascii="Times New Roman" w:hAnsi="Times New Roman" w:cs="Times New Roman"/>
          <w:sz w:val="24"/>
          <w:szCs w:val="24"/>
        </w:rPr>
        <w:t>February 2022</w:t>
      </w:r>
    </w:p>
    <w:p w:rsidR="00330A34" w:rsidP="00002845" w:rsidRDefault="00002845" w14:paraId="4F43701F" w14:textId="0DB8F54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revised </w:t>
      </w:r>
      <w:r w:rsidRPr="44FD35A1" w:rsidR="44FD35A1">
        <w:rPr>
          <w:rFonts w:ascii="Times New Roman" w:hAnsi="Times New Roman" w:cs="Times New Roman"/>
          <w:sz w:val="24"/>
          <w:szCs w:val="24"/>
        </w:rPr>
        <w:t>June 2022</w:t>
      </w:r>
    </w:p>
    <w:p w:rsidR="006B3B39" w:rsidP="00D36763" w:rsidRDefault="006B3B39" w14:paraId="1DEBD580" w14:textId="5E435F54">
      <w:pPr>
        <w:spacing w:line="240" w:lineRule="auto"/>
        <w:rPr>
          <w:rFonts w:ascii="Times New Roman" w:hAnsi="Times New Roman" w:cs="Times New Roman"/>
          <w:bCs/>
          <w:caps/>
          <w:sz w:val="28"/>
          <w:szCs w:val="28"/>
        </w:rPr>
      </w:pPr>
      <w:bookmarkStart w:name="_Toc260729186" w:id="1"/>
      <w:bookmarkStart w:name="_Toc299121361" w:id="2"/>
      <w:bookmarkEnd w:id="0"/>
      <w:r>
        <w:br w:type="page"/>
      </w:r>
    </w:p>
    <w:p w:rsidR="006E3B06" w:rsidP="00D36763" w:rsidRDefault="006E3B06" w14:paraId="59ACF826" w14:textId="77777777">
      <w:pPr>
        <w:pStyle w:val="TOC1"/>
        <w:spacing w:line="240" w:lineRule="auto"/>
      </w:pPr>
    </w:p>
    <w:p w:rsidR="006E3B06" w:rsidP="00D36763" w:rsidRDefault="002203DD" w14:paraId="7B6A53E8" w14:textId="47D76AA0">
      <w:pPr>
        <w:pStyle w:val="TOC1"/>
        <w:spacing w:line="240" w:lineRule="auto"/>
      </w:pPr>
      <w:r w:rsidRPr="002203DD">
        <w:t>Table of Content</w:t>
      </w:r>
      <w:r w:rsidR="006B3B39">
        <w:t>S</w:t>
      </w:r>
    </w:p>
    <w:p w:rsidRPr="002203DD" w:rsidR="002203DD" w:rsidP="00D36763" w:rsidRDefault="002203DD" w14:paraId="3921E544" w14:textId="77777777">
      <w:pPr>
        <w:spacing w:line="240" w:lineRule="auto"/>
      </w:pPr>
    </w:p>
    <w:p w:rsidR="00FF7101" w:rsidRDefault="00814924" w14:paraId="35D8E0E8" w14:textId="3DCFD238">
      <w:pPr>
        <w:pStyle w:val="TOC1"/>
        <w:rPr>
          <w:rFonts w:asciiTheme="minorHAnsi" w:hAnsiTheme="minorHAnsi" w:cstheme="minorBidi"/>
          <w:bCs w:val="0"/>
          <w:caps w:val="0"/>
          <w:noProof/>
          <w:sz w:val="22"/>
          <w:szCs w:val="22"/>
        </w:rPr>
      </w:pPr>
      <w:r w:rsidRPr="002203DD">
        <w:fldChar w:fldCharType="begin"/>
      </w:r>
      <w:r w:rsidRPr="002203DD" w:rsidR="00330A34">
        <w:instrText xml:space="preserve"> TOC \h \z \t "Style1,1,Style2,2" </w:instrText>
      </w:r>
      <w:r w:rsidRPr="002203DD">
        <w:fldChar w:fldCharType="separate"/>
      </w:r>
      <w:hyperlink w:history="1" w:anchor="_Toc90025995">
        <w:r w:rsidRPr="00BC3243" w:rsidR="00FF7101">
          <w:rPr>
            <w:rStyle w:val="Hyperlink"/>
            <w:noProof/>
          </w:rPr>
          <w:t>PREFACE</w:t>
        </w:r>
        <w:r w:rsidR="00FF7101">
          <w:rPr>
            <w:noProof/>
            <w:webHidden/>
          </w:rPr>
          <w:tab/>
        </w:r>
        <w:r w:rsidR="00FF7101">
          <w:rPr>
            <w:noProof/>
            <w:webHidden/>
          </w:rPr>
          <w:fldChar w:fldCharType="begin"/>
        </w:r>
        <w:r w:rsidR="00FF7101">
          <w:rPr>
            <w:noProof/>
            <w:webHidden/>
          </w:rPr>
          <w:instrText xml:space="preserve"> PAGEREF _Toc90025995 \h </w:instrText>
        </w:r>
        <w:r w:rsidR="00FF7101">
          <w:rPr>
            <w:noProof/>
            <w:webHidden/>
          </w:rPr>
        </w:r>
        <w:r w:rsidR="00FF7101">
          <w:rPr>
            <w:noProof/>
            <w:webHidden/>
          </w:rPr>
          <w:fldChar w:fldCharType="separate"/>
        </w:r>
        <w:r w:rsidR="00FF7101">
          <w:rPr>
            <w:noProof/>
            <w:webHidden/>
          </w:rPr>
          <w:t>3</w:t>
        </w:r>
        <w:r w:rsidR="00FF7101">
          <w:rPr>
            <w:noProof/>
            <w:webHidden/>
          </w:rPr>
          <w:fldChar w:fldCharType="end"/>
        </w:r>
      </w:hyperlink>
    </w:p>
    <w:p w:rsidR="00FF7101" w:rsidRDefault="002A19C3" w14:paraId="5C38EACA" w14:textId="6DD6184D">
      <w:pPr>
        <w:pStyle w:val="TOC1"/>
        <w:rPr>
          <w:rFonts w:asciiTheme="minorHAnsi" w:hAnsiTheme="minorHAnsi" w:cstheme="minorBidi"/>
          <w:bCs w:val="0"/>
          <w:caps w:val="0"/>
          <w:noProof/>
          <w:sz w:val="22"/>
          <w:szCs w:val="22"/>
        </w:rPr>
      </w:pPr>
      <w:hyperlink w:history="1" w:anchor="_Toc90025996">
        <w:r w:rsidRPr="00BC3243" w:rsidR="00FF7101">
          <w:rPr>
            <w:rStyle w:val="Hyperlink"/>
            <w:noProof/>
          </w:rPr>
          <w:t>A. JUSTIFICATION</w:t>
        </w:r>
        <w:r w:rsidR="00FF7101">
          <w:rPr>
            <w:noProof/>
            <w:webHidden/>
          </w:rPr>
          <w:tab/>
        </w:r>
        <w:r w:rsidR="00FF7101">
          <w:rPr>
            <w:noProof/>
            <w:webHidden/>
          </w:rPr>
          <w:fldChar w:fldCharType="begin"/>
        </w:r>
        <w:r w:rsidR="00FF7101">
          <w:rPr>
            <w:noProof/>
            <w:webHidden/>
          </w:rPr>
          <w:instrText xml:space="preserve"> PAGEREF _Toc90025996 \h </w:instrText>
        </w:r>
        <w:r w:rsidR="00FF7101">
          <w:rPr>
            <w:noProof/>
            <w:webHidden/>
          </w:rPr>
        </w:r>
        <w:r w:rsidR="00FF7101">
          <w:rPr>
            <w:noProof/>
            <w:webHidden/>
          </w:rPr>
          <w:fldChar w:fldCharType="separate"/>
        </w:r>
        <w:r w:rsidR="00FF7101">
          <w:rPr>
            <w:noProof/>
            <w:webHidden/>
          </w:rPr>
          <w:t>4</w:t>
        </w:r>
        <w:r w:rsidR="00FF7101">
          <w:rPr>
            <w:noProof/>
            <w:webHidden/>
          </w:rPr>
          <w:fldChar w:fldCharType="end"/>
        </w:r>
      </w:hyperlink>
    </w:p>
    <w:p w:rsidR="00FF7101" w:rsidP="007B21B5" w:rsidRDefault="002A19C3" w14:paraId="0E941E4E" w14:textId="14C6D3D9">
      <w:pPr>
        <w:pStyle w:val="TOC2"/>
        <w:rPr>
          <w:noProof/>
          <w:sz w:val="22"/>
          <w:szCs w:val="22"/>
        </w:rPr>
      </w:pPr>
      <w:hyperlink w:history="1" w:anchor="_Toc90025997">
        <w:r w:rsidRPr="00BC3243" w:rsidR="00FF7101">
          <w:rPr>
            <w:rStyle w:val="Hyperlink"/>
            <w:rFonts w:ascii="Times New Roman" w:hAnsi="Times New Roman" w:cs="Times New Roman"/>
            <w:noProof/>
          </w:rPr>
          <w:t>A.1</w:t>
        </w:r>
        <w:r w:rsidR="00FF7101">
          <w:rPr>
            <w:noProof/>
            <w:sz w:val="22"/>
            <w:szCs w:val="22"/>
          </w:rPr>
          <w:tab/>
        </w:r>
        <w:r w:rsidRPr="00BC3243" w:rsidR="00FF7101">
          <w:rPr>
            <w:rStyle w:val="Hyperlink"/>
            <w:rFonts w:ascii="Times New Roman" w:hAnsi="Times New Roman" w:cs="Times New Roman"/>
            <w:noProof/>
          </w:rPr>
          <w:t>Importance of Information</w:t>
        </w:r>
        <w:r w:rsidR="00FF7101">
          <w:rPr>
            <w:noProof/>
            <w:webHidden/>
          </w:rPr>
          <w:tab/>
        </w:r>
        <w:r w:rsidR="00FF7101">
          <w:rPr>
            <w:noProof/>
            <w:webHidden/>
          </w:rPr>
          <w:fldChar w:fldCharType="begin"/>
        </w:r>
        <w:r w:rsidR="00FF7101">
          <w:rPr>
            <w:noProof/>
            <w:webHidden/>
          </w:rPr>
          <w:instrText xml:space="preserve"> PAGEREF _Toc90025997 \h </w:instrText>
        </w:r>
        <w:r w:rsidR="00FF7101">
          <w:rPr>
            <w:noProof/>
            <w:webHidden/>
          </w:rPr>
        </w:r>
        <w:r w:rsidR="00FF7101">
          <w:rPr>
            <w:noProof/>
            <w:webHidden/>
          </w:rPr>
          <w:fldChar w:fldCharType="separate"/>
        </w:r>
        <w:r w:rsidR="00FF7101">
          <w:rPr>
            <w:noProof/>
            <w:webHidden/>
          </w:rPr>
          <w:t>4</w:t>
        </w:r>
        <w:r w:rsidR="00FF7101">
          <w:rPr>
            <w:noProof/>
            <w:webHidden/>
          </w:rPr>
          <w:fldChar w:fldCharType="end"/>
        </w:r>
      </w:hyperlink>
    </w:p>
    <w:p w:rsidR="00FF7101" w:rsidP="007B21B5" w:rsidRDefault="002A19C3" w14:paraId="635B3E6C" w14:textId="67F16B6D">
      <w:pPr>
        <w:pStyle w:val="TOC2"/>
        <w:rPr>
          <w:noProof/>
          <w:sz w:val="22"/>
          <w:szCs w:val="22"/>
        </w:rPr>
      </w:pPr>
      <w:hyperlink w:history="1" w:anchor="_Toc90025998">
        <w:r w:rsidRPr="00BC3243" w:rsidR="00FF7101">
          <w:rPr>
            <w:rStyle w:val="Hyperlink"/>
            <w:rFonts w:ascii="Times New Roman" w:hAnsi="Times New Roman" w:cs="Times New Roman"/>
            <w:noProof/>
          </w:rPr>
          <w:t>A.2</w:t>
        </w:r>
        <w:r w:rsidR="00FF7101">
          <w:rPr>
            <w:noProof/>
            <w:sz w:val="22"/>
            <w:szCs w:val="22"/>
          </w:rPr>
          <w:tab/>
        </w:r>
        <w:r w:rsidRPr="00BC3243" w:rsidR="00FF7101">
          <w:rPr>
            <w:rStyle w:val="Hyperlink"/>
            <w:rFonts w:ascii="Times New Roman" w:hAnsi="Times New Roman" w:cs="Times New Roman"/>
            <w:noProof/>
          </w:rPr>
          <w:t>Purposes and Uses of Data</w:t>
        </w:r>
        <w:r w:rsidR="00FF7101">
          <w:rPr>
            <w:noProof/>
            <w:webHidden/>
          </w:rPr>
          <w:tab/>
        </w:r>
        <w:r w:rsidR="00FF7101">
          <w:rPr>
            <w:noProof/>
            <w:webHidden/>
          </w:rPr>
          <w:fldChar w:fldCharType="begin"/>
        </w:r>
        <w:r w:rsidR="00FF7101">
          <w:rPr>
            <w:noProof/>
            <w:webHidden/>
          </w:rPr>
          <w:instrText xml:space="preserve"> PAGEREF _Toc90025998 \h </w:instrText>
        </w:r>
        <w:r w:rsidR="00FF7101">
          <w:rPr>
            <w:noProof/>
            <w:webHidden/>
          </w:rPr>
        </w:r>
        <w:r w:rsidR="00FF7101">
          <w:rPr>
            <w:noProof/>
            <w:webHidden/>
          </w:rPr>
          <w:fldChar w:fldCharType="separate"/>
        </w:r>
        <w:r w:rsidR="00FF7101">
          <w:rPr>
            <w:noProof/>
            <w:webHidden/>
          </w:rPr>
          <w:t>4</w:t>
        </w:r>
        <w:r w:rsidR="00FF7101">
          <w:rPr>
            <w:noProof/>
            <w:webHidden/>
          </w:rPr>
          <w:fldChar w:fldCharType="end"/>
        </w:r>
      </w:hyperlink>
    </w:p>
    <w:p w:rsidR="00FF7101" w:rsidP="007B21B5" w:rsidRDefault="002A19C3" w14:paraId="3E7695E4" w14:textId="3BE36B3E">
      <w:pPr>
        <w:pStyle w:val="TOC2"/>
        <w:rPr>
          <w:noProof/>
          <w:sz w:val="22"/>
          <w:szCs w:val="22"/>
        </w:rPr>
      </w:pPr>
      <w:hyperlink w:history="1" w:anchor="_Toc90025999">
        <w:r w:rsidRPr="00BC3243" w:rsidR="00FF7101">
          <w:rPr>
            <w:rStyle w:val="Hyperlink"/>
            <w:rFonts w:ascii="Times New Roman" w:hAnsi="Times New Roman" w:cs="Times New Roman"/>
            <w:noProof/>
          </w:rPr>
          <w:t>A.3</w:t>
        </w:r>
        <w:r w:rsidR="00FF7101">
          <w:rPr>
            <w:noProof/>
            <w:sz w:val="22"/>
            <w:szCs w:val="22"/>
          </w:rPr>
          <w:tab/>
        </w:r>
        <w:r w:rsidRPr="00BC3243" w:rsidR="00FF7101">
          <w:rPr>
            <w:rStyle w:val="Hyperlink"/>
            <w:rFonts w:ascii="Times New Roman" w:hAnsi="Times New Roman" w:cs="Times New Roman"/>
            <w:noProof/>
          </w:rPr>
          <w:t>Improved Information Technology (Reduction of Burden)</w:t>
        </w:r>
        <w:r w:rsidR="00FF7101">
          <w:rPr>
            <w:noProof/>
            <w:webHidden/>
          </w:rPr>
          <w:tab/>
        </w:r>
        <w:r w:rsidR="00FF7101">
          <w:rPr>
            <w:noProof/>
            <w:webHidden/>
          </w:rPr>
          <w:fldChar w:fldCharType="begin"/>
        </w:r>
        <w:r w:rsidR="00FF7101">
          <w:rPr>
            <w:noProof/>
            <w:webHidden/>
          </w:rPr>
          <w:instrText xml:space="preserve"> PAGEREF _Toc90025999 \h </w:instrText>
        </w:r>
        <w:r w:rsidR="00FF7101">
          <w:rPr>
            <w:noProof/>
            <w:webHidden/>
          </w:rPr>
        </w:r>
        <w:r w:rsidR="00FF7101">
          <w:rPr>
            <w:noProof/>
            <w:webHidden/>
          </w:rPr>
          <w:fldChar w:fldCharType="separate"/>
        </w:r>
        <w:r w:rsidR="00FF7101">
          <w:rPr>
            <w:noProof/>
            <w:webHidden/>
          </w:rPr>
          <w:t>5</w:t>
        </w:r>
        <w:r w:rsidR="00FF7101">
          <w:rPr>
            <w:noProof/>
            <w:webHidden/>
          </w:rPr>
          <w:fldChar w:fldCharType="end"/>
        </w:r>
      </w:hyperlink>
    </w:p>
    <w:p w:rsidR="00FF7101" w:rsidP="007B21B5" w:rsidRDefault="002A19C3" w14:paraId="666131CE" w14:textId="0B817D1C">
      <w:pPr>
        <w:pStyle w:val="TOC2"/>
        <w:rPr>
          <w:noProof/>
          <w:sz w:val="22"/>
          <w:szCs w:val="22"/>
        </w:rPr>
      </w:pPr>
      <w:hyperlink w:history="1" w:anchor="_Toc90026000">
        <w:r w:rsidRPr="00BC3243" w:rsidR="00FF7101">
          <w:rPr>
            <w:rStyle w:val="Hyperlink"/>
            <w:rFonts w:ascii="Times New Roman" w:hAnsi="Times New Roman" w:cs="Times New Roman"/>
            <w:noProof/>
          </w:rPr>
          <w:t>A.4</w:t>
        </w:r>
        <w:r w:rsidR="00FF7101">
          <w:rPr>
            <w:noProof/>
            <w:sz w:val="22"/>
            <w:szCs w:val="22"/>
          </w:rPr>
          <w:tab/>
        </w:r>
        <w:r w:rsidRPr="00BC3243" w:rsidR="00FF7101">
          <w:rPr>
            <w:rStyle w:val="Hyperlink"/>
            <w:rFonts w:ascii="Times New Roman" w:hAnsi="Times New Roman" w:cs="Times New Roman"/>
            <w:noProof/>
          </w:rPr>
          <w:t>Efforts to Identify Duplication</w:t>
        </w:r>
        <w:r w:rsidR="00FF7101">
          <w:rPr>
            <w:noProof/>
            <w:webHidden/>
          </w:rPr>
          <w:tab/>
        </w:r>
        <w:r w:rsidR="00FF7101">
          <w:rPr>
            <w:noProof/>
            <w:webHidden/>
          </w:rPr>
          <w:fldChar w:fldCharType="begin"/>
        </w:r>
        <w:r w:rsidR="00FF7101">
          <w:rPr>
            <w:noProof/>
            <w:webHidden/>
          </w:rPr>
          <w:instrText xml:space="preserve"> PAGEREF _Toc90026000 \h </w:instrText>
        </w:r>
        <w:r w:rsidR="00FF7101">
          <w:rPr>
            <w:noProof/>
            <w:webHidden/>
          </w:rPr>
        </w:r>
        <w:r w:rsidR="00FF7101">
          <w:rPr>
            <w:noProof/>
            <w:webHidden/>
          </w:rPr>
          <w:fldChar w:fldCharType="separate"/>
        </w:r>
        <w:r w:rsidR="00FF7101">
          <w:rPr>
            <w:noProof/>
            <w:webHidden/>
          </w:rPr>
          <w:t>5</w:t>
        </w:r>
        <w:r w:rsidR="00FF7101">
          <w:rPr>
            <w:noProof/>
            <w:webHidden/>
          </w:rPr>
          <w:fldChar w:fldCharType="end"/>
        </w:r>
      </w:hyperlink>
    </w:p>
    <w:p w:rsidR="00FF7101" w:rsidP="007B21B5" w:rsidRDefault="002A19C3" w14:paraId="39C08DD8" w14:textId="0DB2742C">
      <w:pPr>
        <w:pStyle w:val="TOC2"/>
        <w:rPr>
          <w:noProof/>
          <w:sz w:val="22"/>
          <w:szCs w:val="22"/>
        </w:rPr>
      </w:pPr>
      <w:hyperlink w:history="1" w:anchor="_Toc90026001">
        <w:r w:rsidRPr="00BC3243" w:rsidR="00FF7101">
          <w:rPr>
            <w:rStyle w:val="Hyperlink"/>
            <w:rFonts w:ascii="Times New Roman" w:hAnsi="Times New Roman" w:cs="Times New Roman"/>
            <w:noProof/>
          </w:rPr>
          <w:t>A.5</w:t>
        </w:r>
        <w:r w:rsidR="00FF7101">
          <w:rPr>
            <w:noProof/>
            <w:sz w:val="22"/>
            <w:szCs w:val="22"/>
          </w:rPr>
          <w:tab/>
        </w:r>
        <w:r w:rsidRPr="00BC3243" w:rsidR="00FF7101">
          <w:rPr>
            <w:rStyle w:val="Hyperlink"/>
            <w:rFonts w:ascii="Times New Roman" w:hAnsi="Times New Roman" w:cs="Times New Roman"/>
            <w:noProof/>
          </w:rPr>
          <w:t>Minimizing Burden for Small Entities</w:t>
        </w:r>
        <w:r w:rsidR="00FF7101">
          <w:rPr>
            <w:noProof/>
            <w:webHidden/>
          </w:rPr>
          <w:tab/>
        </w:r>
        <w:r w:rsidR="00FF7101">
          <w:rPr>
            <w:noProof/>
            <w:webHidden/>
          </w:rPr>
          <w:fldChar w:fldCharType="begin"/>
        </w:r>
        <w:r w:rsidR="00FF7101">
          <w:rPr>
            <w:noProof/>
            <w:webHidden/>
          </w:rPr>
          <w:instrText xml:space="preserve"> PAGEREF _Toc90026001 \h </w:instrText>
        </w:r>
        <w:r w:rsidR="00FF7101">
          <w:rPr>
            <w:noProof/>
            <w:webHidden/>
          </w:rPr>
        </w:r>
        <w:r w:rsidR="00FF7101">
          <w:rPr>
            <w:noProof/>
            <w:webHidden/>
          </w:rPr>
          <w:fldChar w:fldCharType="separate"/>
        </w:r>
        <w:r w:rsidR="00FF7101">
          <w:rPr>
            <w:noProof/>
            <w:webHidden/>
          </w:rPr>
          <w:t>8</w:t>
        </w:r>
        <w:r w:rsidR="00FF7101">
          <w:rPr>
            <w:noProof/>
            <w:webHidden/>
          </w:rPr>
          <w:fldChar w:fldCharType="end"/>
        </w:r>
      </w:hyperlink>
    </w:p>
    <w:p w:rsidR="00FF7101" w:rsidP="007B21B5" w:rsidRDefault="002A19C3" w14:paraId="2B0E616D" w14:textId="735BD43F">
      <w:pPr>
        <w:pStyle w:val="TOC2"/>
        <w:rPr>
          <w:noProof/>
          <w:sz w:val="22"/>
          <w:szCs w:val="22"/>
        </w:rPr>
      </w:pPr>
      <w:hyperlink w:history="1" w:anchor="_Toc90026002">
        <w:r w:rsidRPr="00BC3243" w:rsidR="00FF7101">
          <w:rPr>
            <w:rStyle w:val="Hyperlink"/>
            <w:rFonts w:ascii="Times New Roman" w:hAnsi="Times New Roman" w:cs="Times New Roman"/>
            <w:noProof/>
          </w:rPr>
          <w:t>A.6</w:t>
        </w:r>
        <w:r w:rsidR="00FF7101">
          <w:rPr>
            <w:noProof/>
            <w:sz w:val="22"/>
            <w:szCs w:val="22"/>
          </w:rPr>
          <w:tab/>
        </w:r>
        <w:r w:rsidRPr="00BC3243" w:rsidR="00FF7101">
          <w:rPr>
            <w:rStyle w:val="Hyperlink"/>
            <w:rFonts w:ascii="Times New Roman" w:hAnsi="Times New Roman" w:cs="Times New Roman"/>
            <w:noProof/>
          </w:rPr>
          <w:t>Frequency of Data Collection</w:t>
        </w:r>
        <w:r w:rsidR="00FF7101">
          <w:rPr>
            <w:noProof/>
            <w:webHidden/>
          </w:rPr>
          <w:tab/>
        </w:r>
        <w:r w:rsidR="00FF7101">
          <w:rPr>
            <w:noProof/>
            <w:webHidden/>
          </w:rPr>
          <w:fldChar w:fldCharType="begin"/>
        </w:r>
        <w:r w:rsidR="00FF7101">
          <w:rPr>
            <w:noProof/>
            <w:webHidden/>
          </w:rPr>
          <w:instrText xml:space="preserve"> PAGEREF _Toc90026002 \h </w:instrText>
        </w:r>
        <w:r w:rsidR="00FF7101">
          <w:rPr>
            <w:noProof/>
            <w:webHidden/>
          </w:rPr>
        </w:r>
        <w:r w:rsidR="00FF7101">
          <w:rPr>
            <w:noProof/>
            <w:webHidden/>
          </w:rPr>
          <w:fldChar w:fldCharType="separate"/>
        </w:r>
        <w:r w:rsidR="00FF7101">
          <w:rPr>
            <w:noProof/>
            <w:webHidden/>
          </w:rPr>
          <w:t>8</w:t>
        </w:r>
        <w:r w:rsidR="00FF7101">
          <w:rPr>
            <w:noProof/>
            <w:webHidden/>
          </w:rPr>
          <w:fldChar w:fldCharType="end"/>
        </w:r>
      </w:hyperlink>
    </w:p>
    <w:p w:rsidR="00FF7101" w:rsidP="007B21B5" w:rsidRDefault="002A19C3" w14:paraId="61BC50C9" w14:textId="315E9C39">
      <w:pPr>
        <w:pStyle w:val="TOC2"/>
        <w:rPr>
          <w:noProof/>
          <w:sz w:val="22"/>
          <w:szCs w:val="22"/>
        </w:rPr>
      </w:pPr>
      <w:hyperlink w:history="1" w:anchor="_Toc90026003">
        <w:r w:rsidRPr="00BC3243" w:rsidR="00FF7101">
          <w:rPr>
            <w:rStyle w:val="Hyperlink"/>
            <w:rFonts w:ascii="Times New Roman" w:hAnsi="Times New Roman" w:cs="Times New Roman"/>
            <w:noProof/>
          </w:rPr>
          <w:t>A.7</w:t>
        </w:r>
        <w:r w:rsidR="00FF7101">
          <w:rPr>
            <w:noProof/>
            <w:sz w:val="22"/>
            <w:szCs w:val="22"/>
          </w:rPr>
          <w:tab/>
        </w:r>
        <w:r w:rsidRPr="00BC3243" w:rsidR="00FF7101">
          <w:rPr>
            <w:rStyle w:val="Hyperlink"/>
            <w:rFonts w:ascii="Times New Roman" w:hAnsi="Times New Roman" w:cs="Times New Roman"/>
            <w:noProof/>
          </w:rPr>
          <w:t>Special Circumstances</w:t>
        </w:r>
        <w:r w:rsidR="00FF7101">
          <w:rPr>
            <w:noProof/>
            <w:webHidden/>
          </w:rPr>
          <w:tab/>
        </w:r>
        <w:r w:rsidR="00FF7101">
          <w:rPr>
            <w:noProof/>
            <w:webHidden/>
          </w:rPr>
          <w:fldChar w:fldCharType="begin"/>
        </w:r>
        <w:r w:rsidR="00FF7101">
          <w:rPr>
            <w:noProof/>
            <w:webHidden/>
          </w:rPr>
          <w:instrText xml:space="preserve"> PAGEREF _Toc90026003 \h </w:instrText>
        </w:r>
        <w:r w:rsidR="00FF7101">
          <w:rPr>
            <w:noProof/>
            <w:webHidden/>
          </w:rPr>
        </w:r>
        <w:r w:rsidR="00FF7101">
          <w:rPr>
            <w:noProof/>
            <w:webHidden/>
          </w:rPr>
          <w:fldChar w:fldCharType="separate"/>
        </w:r>
        <w:r w:rsidR="00FF7101">
          <w:rPr>
            <w:noProof/>
            <w:webHidden/>
          </w:rPr>
          <w:t>8</w:t>
        </w:r>
        <w:r w:rsidR="00FF7101">
          <w:rPr>
            <w:noProof/>
            <w:webHidden/>
          </w:rPr>
          <w:fldChar w:fldCharType="end"/>
        </w:r>
      </w:hyperlink>
    </w:p>
    <w:p w:rsidR="00FF7101" w:rsidP="007B21B5" w:rsidRDefault="002A19C3" w14:paraId="10742615" w14:textId="4FAB7109">
      <w:pPr>
        <w:pStyle w:val="TOC2"/>
        <w:rPr>
          <w:noProof/>
          <w:sz w:val="22"/>
          <w:szCs w:val="22"/>
        </w:rPr>
      </w:pPr>
      <w:hyperlink w:history="1" w:anchor="_Toc90026004">
        <w:r w:rsidRPr="00BC3243" w:rsidR="00FF7101">
          <w:rPr>
            <w:rStyle w:val="Hyperlink"/>
            <w:rFonts w:ascii="Times New Roman" w:hAnsi="Times New Roman" w:cs="Times New Roman"/>
            <w:noProof/>
          </w:rPr>
          <w:t>A.8</w:t>
        </w:r>
        <w:r w:rsidR="00FF7101">
          <w:rPr>
            <w:noProof/>
            <w:sz w:val="22"/>
            <w:szCs w:val="22"/>
          </w:rPr>
          <w:tab/>
        </w:r>
        <w:r w:rsidRPr="00BC3243" w:rsidR="00FF7101">
          <w:rPr>
            <w:rStyle w:val="Hyperlink"/>
            <w:rFonts w:ascii="Times New Roman" w:hAnsi="Times New Roman" w:cs="Times New Roman"/>
            <w:noProof/>
          </w:rPr>
          <w:t>Consultations Outside NCES</w:t>
        </w:r>
        <w:r w:rsidR="00FF7101">
          <w:rPr>
            <w:noProof/>
            <w:webHidden/>
          </w:rPr>
          <w:tab/>
        </w:r>
        <w:r w:rsidR="00FF7101">
          <w:rPr>
            <w:noProof/>
            <w:webHidden/>
          </w:rPr>
          <w:fldChar w:fldCharType="begin"/>
        </w:r>
        <w:r w:rsidR="00FF7101">
          <w:rPr>
            <w:noProof/>
            <w:webHidden/>
          </w:rPr>
          <w:instrText xml:space="preserve"> PAGEREF _Toc90026004 \h </w:instrText>
        </w:r>
        <w:r w:rsidR="00FF7101">
          <w:rPr>
            <w:noProof/>
            <w:webHidden/>
          </w:rPr>
        </w:r>
        <w:r w:rsidR="00FF7101">
          <w:rPr>
            <w:noProof/>
            <w:webHidden/>
          </w:rPr>
          <w:fldChar w:fldCharType="separate"/>
        </w:r>
        <w:r w:rsidR="00FF7101">
          <w:rPr>
            <w:noProof/>
            <w:webHidden/>
          </w:rPr>
          <w:t>8</w:t>
        </w:r>
        <w:r w:rsidR="00FF7101">
          <w:rPr>
            <w:noProof/>
            <w:webHidden/>
          </w:rPr>
          <w:fldChar w:fldCharType="end"/>
        </w:r>
      </w:hyperlink>
    </w:p>
    <w:p w:rsidR="00FF7101" w:rsidP="007B21B5" w:rsidRDefault="002A19C3" w14:paraId="52E5BF28" w14:textId="6096CD1F">
      <w:pPr>
        <w:pStyle w:val="TOC2"/>
        <w:rPr>
          <w:noProof/>
          <w:sz w:val="22"/>
          <w:szCs w:val="22"/>
        </w:rPr>
      </w:pPr>
      <w:hyperlink w:history="1" w:anchor="_Toc90026005">
        <w:r w:rsidRPr="00BC3243" w:rsidR="00FF7101">
          <w:rPr>
            <w:rStyle w:val="Hyperlink"/>
            <w:rFonts w:ascii="Times New Roman" w:hAnsi="Times New Roman" w:cs="Times New Roman"/>
            <w:noProof/>
          </w:rPr>
          <w:t>A.9</w:t>
        </w:r>
        <w:r w:rsidR="00FF7101">
          <w:rPr>
            <w:noProof/>
            <w:sz w:val="22"/>
            <w:szCs w:val="22"/>
          </w:rPr>
          <w:tab/>
        </w:r>
        <w:r w:rsidRPr="00BC3243" w:rsidR="00FF7101">
          <w:rPr>
            <w:rStyle w:val="Hyperlink"/>
            <w:rFonts w:ascii="Times New Roman" w:hAnsi="Times New Roman" w:cs="Times New Roman"/>
            <w:noProof/>
          </w:rPr>
          <w:t>Payments or Gifts to Respondents</w:t>
        </w:r>
        <w:r w:rsidR="00FF7101">
          <w:rPr>
            <w:noProof/>
            <w:webHidden/>
          </w:rPr>
          <w:tab/>
        </w:r>
        <w:r w:rsidR="00FF7101">
          <w:rPr>
            <w:noProof/>
            <w:webHidden/>
          </w:rPr>
          <w:fldChar w:fldCharType="begin"/>
        </w:r>
        <w:r w:rsidR="00FF7101">
          <w:rPr>
            <w:noProof/>
            <w:webHidden/>
          </w:rPr>
          <w:instrText xml:space="preserve"> PAGEREF _Toc90026005 \h </w:instrText>
        </w:r>
        <w:r w:rsidR="00FF7101">
          <w:rPr>
            <w:noProof/>
            <w:webHidden/>
          </w:rPr>
        </w:r>
        <w:r w:rsidR="00FF7101">
          <w:rPr>
            <w:noProof/>
            <w:webHidden/>
          </w:rPr>
          <w:fldChar w:fldCharType="separate"/>
        </w:r>
        <w:r w:rsidR="00FF7101">
          <w:rPr>
            <w:noProof/>
            <w:webHidden/>
          </w:rPr>
          <w:t>9</w:t>
        </w:r>
        <w:r w:rsidR="00FF7101">
          <w:rPr>
            <w:noProof/>
            <w:webHidden/>
          </w:rPr>
          <w:fldChar w:fldCharType="end"/>
        </w:r>
      </w:hyperlink>
    </w:p>
    <w:p w:rsidR="00FF7101" w:rsidP="007B21B5" w:rsidRDefault="002A19C3" w14:paraId="52E33EF7" w14:textId="273DE1BD">
      <w:pPr>
        <w:pStyle w:val="TOC2"/>
        <w:rPr>
          <w:noProof/>
          <w:sz w:val="22"/>
          <w:szCs w:val="22"/>
        </w:rPr>
      </w:pPr>
      <w:hyperlink w:history="1" w:anchor="_Toc90026006">
        <w:r w:rsidRPr="00BC3243" w:rsidR="00FF7101">
          <w:rPr>
            <w:rStyle w:val="Hyperlink"/>
            <w:rFonts w:ascii="Times New Roman" w:hAnsi="Times New Roman" w:cs="Times New Roman"/>
            <w:noProof/>
          </w:rPr>
          <w:t>A.10</w:t>
        </w:r>
        <w:r w:rsidR="00FF7101">
          <w:rPr>
            <w:noProof/>
            <w:sz w:val="22"/>
            <w:szCs w:val="22"/>
          </w:rPr>
          <w:tab/>
        </w:r>
        <w:r w:rsidRPr="00BC3243" w:rsidR="00FF7101">
          <w:rPr>
            <w:rStyle w:val="Hyperlink"/>
            <w:rFonts w:ascii="Times New Roman" w:hAnsi="Times New Roman" w:cs="Times New Roman"/>
            <w:noProof/>
          </w:rPr>
          <w:t>Assurance of Confidentiality</w:t>
        </w:r>
        <w:r w:rsidR="00FF7101">
          <w:rPr>
            <w:noProof/>
            <w:webHidden/>
          </w:rPr>
          <w:tab/>
        </w:r>
        <w:r w:rsidR="00FF7101">
          <w:rPr>
            <w:noProof/>
            <w:webHidden/>
          </w:rPr>
          <w:fldChar w:fldCharType="begin"/>
        </w:r>
        <w:r w:rsidR="00FF7101">
          <w:rPr>
            <w:noProof/>
            <w:webHidden/>
          </w:rPr>
          <w:instrText xml:space="preserve"> PAGEREF _Toc90026006 \h </w:instrText>
        </w:r>
        <w:r w:rsidR="00FF7101">
          <w:rPr>
            <w:noProof/>
            <w:webHidden/>
          </w:rPr>
        </w:r>
        <w:r w:rsidR="00FF7101">
          <w:rPr>
            <w:noProof/>
            <w:webHidden/>
          </w:rPr>
          <w:fldChar w:fldCharType="separate"/>
        </w:r>
        <w:r w:rsidR="00FF7101">
          <w:rPr>
            <w:noProof/>
            <w:webHidden/>
          </w:rPr>
          <w:t>10</w:t>
        </w:r>
        <w:r w:rsidR="00FF7101">
          <w:rPr>
            <w:noProof/>
            <w:webHidden/>
          </w:rPr>
          <w:fldChar w:fldCharType="end"/>
        </w:r>
      </w:hyperlink>
    </w:p>
    <w:p w:rsidR="00FF7101" w:rsidP="007B21B5" w:rsidRDefault="002A19C3" w14:paraId="72F376F9" w14:textId="35CBF234">
      <w:pPr>
        <w:pStyle w:val="TOC2"/>
        <w:rPr>
          <w:noProof/>
          <w:sz w:val="22"/>
          <w:szCs w:val="22"/>
        </w:rPr>
      </w:pPr>
      <w:hyperlink w:history="1" w:anchor="_Toc90026007">
        <w:r w:rsidRPr="00BC3243" w:rsidR="00FF7101">
          <w:rPr>
            <w:rStyle w:val="Hyperlink"/>
            <w:rFonts w:ascii="Times New Roman" w:hAnsi="Times New Roman" w:cs="Times New Roman"/>
            <w:noProof/>
          </w:rPr>
          <w:t>A.11</w:t>
        </w:r>
        <w:r w:rsidR="00FF7101">
          <w:rPr>
            <w:noProof/>
            <w:sz w:val="22"/>
            <w:szCs w:val="22"/>
          </w:rPr>
          <w:tab/>
        </w:r>
        <w:r w:rsidRPr="00BC3243" w:rsidR="00FF7101">
          <w:rPr>
            <w:rStyle w:val="Hyperlink"/>
            <w:rFonts w:ascii="Times New Roman" w:hAnsi="Times New Roman" w:cs="Times New Roman"/>
            <w:noProof/>
          </w:rPr>
          <w:t>Sensitive Questions</w:t>
        </w:r>
        <w:r w:rsidR="00FF7101">
          <w:rPr>
            <w:noProof/>
            <w:webHidden/>
          </w:rPr>
          <w:tab/>
        </w:r>
        <w:r w:rsidR="00FF7101">
          <w:rPr>
            <w:noProof/>
            <w:webHidden/>
          </w:rPr>
          <w:fldChar w:fldCharType="begin"/>
        </w:r>
        <w:r w:rsidR="00FF7101">
          <w:rPr>
            <w:noProof/>
            <w:webHidden/>
          </w:rPr>
          <w:instrText xml:space="preserve"> PAGEREF _Toc90026007 \h </w:instrText>
        </w:r>
        <w:r w:rsidR="00FF7101">
          <w:rPr>
            <w:noProof/>
            <w:webHidden/>
          </w:rPr>
        </w:r>
        <w:r w:rsidR="00FF7101">
          <w:rPr>
            <w:noProof/>
            <w:webHidden/>
          </w:rPr>
          <w:fldChar w:fldCharType="separate"/>
        </w:r>
        <w:r w:rsidR="00FF7101">
          <w:rPr>
            <w:noProof/>
            <w:webHidden/>
          </w:rPr>
          <w:t>11</w:t>
        </w:r>
        <w:r w:rsidR="00FF7101">
          <w:rPr>
            <w:noProof/>
            <w:webHidden/>
          </w:rPr>
          <w:fldChar w:fldCharType="end"/>
        </w:r>
      </w:hyperlink>
    </w:p>
    <w:p w:rsidR="00FF7101" w:rsidP="007B21B5" w:rsidRDefault="002A19C3" w14:paraId="01282838" w14:textId="0ECEDA94">
      <w:pPr>
        <w:pStyle w:val="TOC2"/>
        <w:rPr>
          <w:noProof/>
          <w:sz w:val="22"/>
          <w:szCs w:val="22"/>
        </w:rPr>
      </w:pPr>
      <w:hyperlink w:history="1" w:anchor="_Toc90026008">
        <w:r w:rsidRPr="00BC3243" w:rsidR="00FF7101">
          <w:rPr>
            <w:rStyle w:val="Hyperlink"/>
            <w:rFonts w:ascii="Times New Roman" w:hAnsi="Times New Roman" w:cs="Times New Roman"/>
            <w:noProof/>
          </w:rPr>
          <w:t>A.12</w:t>
        </w:r>
        <w:r w:rsidR="00FF7101">
          <w:rPr>
            <w:noProof/>
            <w:sz w:val="22"/>
            <w:szCs w:val="22"/>
          </w:rPr>
          <w:tab/>
        </w:r>
        <w:r w:rsidRPr="00BC3243" w:rsidR="00FF7101">
          <w:rPr>
            <w:rStyle w:val="Hyperlink"/>
            <w:rFonts w:ascii="Times New Roman" w:hAnsi="Times New Roman" w:cs="Times New Roman"/>
            <w:noProof/>
          </w:rPr>
          <w:t>Estimates of Burden</w:t>
        </w:r>
        <w:r w:rsidR="00FF7101">
          <w:rPr>
            <w:noProof/>
            <w:webHidden/>
          </w:rPr>
          <w:tab/>
        </w:r>
        <w:r w:rsidR="00FF7101">
          <w:rPr>
            <w:noProof/>
            <w:webHidden/>
          </w:rPr>
          <w:fldChar w:fldCharType="begin"/>
        </w:r>
        <w:r w:rsidR="00FF7101">
          <w:rPr>
            <w:noProof/>
            <w:webHidden/>
          </w:rPr>
          <w:instrText xml:space="preserve"> PAGEREF _Toc90026008 \h </w:instrText>
        </w:r>
        <w:r w:rsidR="00FF7101">
          <w:rPr>
            <w:noProof/>
            <w:webHidden/>
          </w:rPr>
        </w:r>
        <w:r w:rsidR="00FF7101">
          <w:rPr>
            <w:noProof/>
            <w:webHidden/>
          </w:rPr>
          <w:fldChar w:fldCharType="separate"/>
        </w:r>
        <w:r w:rsidR="00FF7101">
          <w:rPr>
            <w:noProof/>
            <w:webHidden/>
          </w:rPr>
          <w:t>11</w:t>
        </w:r>
        <w:r w:rsidR="00FF7101">
          <w:rPr>
            <w:noProof/>
            <w:webHidden/>
          </w:rPr>
          <w:fldChar w:fldCharType="end"/>
        </w:r>
      </w:hyperlink>
    </w:p>
    <w:p w:rsidR="00FF7101" w:rsidP="007B21B5" w:rsidRDefault="002A19C3" w14:paraId="7C9BA643" w14:textId="399AC6B2">
      <w:pPr>
        <w:pStyle w:val="TOC2"/>
        <w:rPr>
          <w:noProof/>
          <w:sz w:val="22"/>
          <w:szCs w:val="22"/>
        </w:rPr>
      </w:pPr>
      <w:hyperlink w:history="1" w:anchor="_Toc90026009">
        <w:r w:rsidRPr="00BC3243" w:rsidR="00FF7101">
          <w:rPr>
            <w:rStyle w:val="Hyperlink"/>
            <w:rFonts w:ascii="Times New Roman" w:hAnsi="Times New Roman" w:cs="Times New Roman"/>
            <w:noProof/>
          </w:rPr>
          <w:t>A.13</w:t>
        </w:r>
        <w:r w:rsidR="00FF7101">
          <w:rPr>
            <w:noProof/>
            <w:sz w:val="22"/>
            <w:szCs w:val="22"/>
          </w:rPr>
          <w:tab/>
        </w:r>
        <w:r w:rsidRPr="00BC3243" w:rsidR="00FF7101">
          <w:rPr>
            <w:rStyle w:val="Hyperlink"/>
            <w:rFonts w:ascii="Times New Roman" w:hAnsi="Times New Roman" w:cs="Times New Roman"/>
            <w:noProof/>
          </w:rPr>
          <w:t>Total Annual Cost Burden</w:t>
        </w:r>
        <w:r w:rsidR="00FF7101">
          <w:rPr>
            <w:noProof/>
            <w:webHidden/>
          </w:rPr>
          <w:tab/>
        </w:r>
        <w:r w:rsidR="00FF7101">
          <w:rPr>
            <w:noProof/>
            <w:webHidden/>
          </w:rPr>
          <w:fldChar w:fldCharType="begin"/>
        </w:r>
        <w:r w:rsidR="00FF7101">
          <w:rPr>
            <w:noProof/>
            <w:webHidden/>
          </w:rPr>
          <w:instrText xml:space="preserve"> PAGEREF _Toc90026009 \h </w:instrText>
        </w:r>
        <w:r w:rsidR="00FF7101">
          <w:rPr>
            <w:noProof/>
            <w:webHidden/>
          </w:rPr>
        </w:r>
        <w:r w:rsidR="00FF7101">
          <w:rPr>
            <w:noProof/>
            <w:webHidden/>
          </w:rPr>
          <w:fldChar w:fldCharType="separate"/>
        </w:r>
        <w:r w:rsidR="00FF7101">
          <w:rPr>
            <w:noProof/>
            <w:webHidden/>
          </w:rPr>
          <w:t>14</w:t>
        </w:r>
        <w:r w:rsidR="00FF7101">
          <w:rPr>
            <w:noProof/>
            <w:webHidden/>
          </w:rPr>
          <w:fldChar w:fldCharType="end"/>
        </w:r>
      </w:hyperlink>
    </w:p>
    <w:p w:rsidR="00FF7101" w:rsidP="007B21B5" w:rsidRDefault="002A19C3" w14:paraId="7A4641D6" w14:textId="3D5FC351">
      <w:pPr>
        <w:pStyle w:val="TOC2"/>
        <w:rPr>
          <w:noProof/>
          <w:sz w:val="22"/>
          <w:szCs w:val="22"/>
        </w:rPr>
      </w:pPr>
      <w:hyperlink w:history="1" w:anchor="_Toc90026010">
        <w:r w:rsidRPr="00BC3243" w:rsidR="00FF7101">
          <w:rPr>
            <w:rStyle w:val="Hyperlink"/>
            <w:rFonts w:ascii="Times New Roman" w:hAnsi="Times New Roman" w:cs="Times New Roman"/>
            <w:noProof/>
          </w:rPr>
          <w:t>A.14</w:t>
        </w:r>
        <w:r w:rsidR="00FF7101">
          <w:rPr>
            <w:noProof/>
            <w:sz w:val="22"/>
            <w:szCs w:val="22"/>
          </w:rPr>
          <w:tab/>
        </w:r>
        <w:r w:rsidRPr="00BC3243" w:rsidR="00FF7101">
          <w:rPr>
            <w:rStyle w:val="Hyperlink"/>
            <w:rFonts w:ascii="Times New Roman" w:hAnsi="Times New Roman" w:cs="Times New Roman"/>
            <w:noProof/>
          </w:rPr>
          <w:t>Annualized Cost to Federal Government</w:t>
        </w:r>
        <w:r w:rsidR="00FF7101">
          <w:rPr>
            <w:noProof/>
            <w:webHidden/>
          </w:rPr>
          <w:tab/>
        </w:r>
        <w:r w:rsidR="00FF7101">
          <w:rPr>
            <w:noProof/>
            <w:webHidden/>
          </w:rPr>
          <w:fldChar w:fldCharType="begin"/>
        </w:r>
        <w:r w:rsidR="00FF7101">
          <w:rPr>
            <w:noProof/>
            <w:webHidden/>
          </w:rPr>
          <w:instrText xml:space="preserve"> PAGEREF _Toc90026010 \h </w:instrText>
        </w:r>
        <w:r w:rsidR="00FF7101">
          <w:rPr>
            <w:noProof/>
            <w:webHidden/>
          </w:rPr>
        </w:r>
        <w:r w:rsidR="00FF7101">
          <w:rPr>
            <w:noProof/>
            <w:webHidden/>
          </w:rPr>
          <w:fldChar w:fldCharType="separate"/>
        </w:r>
        <w:r w:rsidR="00FF7101">
          <w:rPr>
            <w:noProof/>
            <w:webHidden/>
          </w:rPr>
          <w:t>14</w:t>
        </w:r>
        <w:r w:rsidR="00FF7101">
          <w:rPr>
            <w:noProof/>
            <w:webHidden/>
          </w:rPr>
          <w:fldChar w:fldCharType="end"/>
        </w:r>
      </w:hyperlink>
    </w:p>
    <w:p w:rsidR="00FF7101" w:rsidP="007B21B5" w:rsidRDefault="002A19C3" w14:paraId="7458B0E4" w14:textId="22DCEE63">
      <w:pPr>
        <w:pStyle w:val="TOC2"/>
        <w:rPr>
          <w:noProof/>
          <w:sz w:val="22"/>
          <w:szCs w:val="22"/>
        </w:rPr>
      </w:pPr>
      <w:hyperlink w:history="1" w:anchor="_Toc90026011">
        <w:r w:rsidRPr="00BC3243" w:rsidR="00FF7101">
          <w:rPr>
            <w:rStyle w:val="Hyperlink"/>
            <w:rFonts w:ascii="Times New Roman" w:hAnsi="Times New Roman" w:cs="Times New Roman"/>
            <w:noProof/>
          </w:rPr>
          <w:t>A.15</w:t>
        </w:r>
        <w:r w:rsidR="00FF7101">
          <w:rPr>
            <w:noProof/>
            <w:sz w:val="22"/>
            <w:szCs w:val="22"/>
          </w:rPr>
          <w:tab/>
        </w:r>
        <w:r w:rsidRPr="00BC3243" w:rsidR="00FF7101">
          <w:rPr>
            <w:rStyle w:val="Hyperlink"/>
            <w:rFonts w:ascii="Times New Roman" w:hAnsi="Times New Roman" w:cs="Times New Roman"/>
            <w:noProof/>
          </w:rPr>
          <w:t>Program Changes or Adjustments</w:t>
        </w:r>
        <w:r w:rsidR="00FF7101">
          <w:rPr>
            <w:noProof/>
            <w:webHidden/>
          </w:rPr>
          <w:tab/>
        </w:r>
        <w:r w:rsidR="00FF7101">
          <w:rPr>
            <w:noProof/>
            <w:webHidden/>
          </w:rPr>
          <w:fldChar w:fldCharType="begin"/>
        </w:r>
        <w:r w:rsidR="00FF7101">
          <w:rPr>
            <w:noProof/>
            <w:webHidden/>
          </w:rPr>
          <w:instrText xml:space="preserve"> PAGEREF _Toc90026011 \h </w:instrText>
        </w:r>
        <w:r w:rsidR="00FF7101">
          <w:rPr>
            <w:noProof/>
            <w:webHidden/>
          </w:rPr>
        </w:r>
        <w:r w:rsidR="00FF7101">
          <w:rPr>
            <w:noProof/>
            <w:webHidden/>
          </w:rPr>
          <w:fldChar w:fldCharType="separate"/>
        </w:r>
        <w:r w:rsidR="00FF7101">
          <w:rPr>
            <w:noProof/>
            <w:webHidden/>
          </w:rPr>
          <w:t>15</w:t>
        </w:r>
        <w:r w:rsidR="00FF7101">
          <w:rPr>
            <w:noProof/>
            <w:webHidden/>
          </w:rPr>
          <w:fldChar w:fldCharType="end"/>
        </w:r>
      </w:hyperlink>
    </w:p>
    <w:p w:rsidR="00FF7101" w:rsidP="007B21B5" w:rsidRDefault="002A19C3" w14:paraId="0987084D" w14:textId="766B39C1">
      <w:pPr>
        <w:pStyle w:val="TOC2"/>
        <w:rPr>
          <w:noProof/>
          <w:sz w:val="22"/>
          <w:szCs w:val="22"/>
        </w:rPr>
      </w:pPr>
      <w:hyperlink w:history="1" w:anchor="_Toc90026012">
        <w:r w:rsidRPr="00BC3243" w:rsidR="00FF7101">
          <w:rPr>
            <w:rStyle w:val="Hyperlink"/>
            <w:rFonts w:ascii="Times New Roman" w:hAnsi="Times New Roman" w:cs="Times New Roman"/>
            <w:noProof/>
          </w:rPr>
          <w:t>A.16</w:t>
        </w:r>
        <w:r w:rsidR="00FF7101">
          <w:rPr>
            <w:noProof/>
            <w:sz w:val="22"/>
            <w:szCs w:val="22"/>
          </w:rPr>
          <w:tab/>
        </w:r>
        <w:r w:rsidRPr="00BC3243" w:rsidR="00FF7101">
          <w:rPr>
            <w:rStyle w:val="Hyperlink"/>
            <w:rFonts w:ascii="Times New Roman" w:hAnsi="Times New Roman" w:cs="Times New Roman"/>
            <w:noProof/>
          </w:rPr>
          <w:t>Plans for Tabulation and Publication</w:t>
        </w:r>
        <w:r w:rsidR="00FF7101">
          <w:rPr>
            <w:noProof/>
            <w:webHidden/>
          </w:rPr>
          <w:tab/>
        </w:r>
        <w:r w:rsidR="00FF7101">
          <w:rPr>
            <w:noProof/>
            <w:webHidden/>
          </w:rPr>
          <w:fldChar w:fldCharType="begin"/>
        </w:r>
        <w:r w:rsidR="00FF7101">
          <w:rPr>
            <w:noProof/>
            <w:webHidden/>
          </w:rPr>
          <w:instrText xml:space="preserve"> PAGEREF _Toc90026012 \h </w:instrText>
        </w:r>
        <w:r w:rsidR="00FF7101">
          <w:rPr>
            <w:noProof/>
            <w:webHidden/>
          </w:rPr>
        </w:r>
        <w:r w:rsidR="00FF7101">
          <w:rPr>
            <w:noProof/>
            <w:webHidden/>
          </w:rPr>
          <w:fldChar w:fldCharType="separate"/>
        </w:r>
        <w:r w:rsidR="00FF7101">
          <w:rPr>
            <w:noProof/>
            <w:webHidden/>
          </w:rPr>
          <w:t>15</w:t>
        </w:r>
        <w:r w:rsidR="00FF7101">
          <w:rPr>
            <w:noProof/>
            <w:webHidden/>
          </w:rPr>
          <w:fldChar w:fldCharType="end"/>
        </w:r>
      </w:hyperlink>
    </w:p>
    <w:p w:rsidR="00FF7101" w:rsidP="007B21B5" w:rsidRDefault="002A19C3" w14:paraId="1C5633FD" w14:textId="3E0329D8">
      <w:pPr>
        <w:pStyle w:val="TOC2"/>
        <w:rPr>
          <w:noProof/>
          <w:sz w:val="22"/>
          <w:szCs w:val="22"/>
        </w:rPr>
      </w:pPr>
      <w:hyperlink w:history="1" w:anchor="_Toc90026013">
        <w:r w:rsidRPr="00BC3243" w:rsidR="00FF7101">
          <w:rPr>
            <w:rStyle w:val="Hyperlink"/>
            <w:rFonts w:ascii="Times New Roman" w:hAnsi="Times New Roman" w:cs="Times New Roman"/>
            <w:noProof/>
          </w:rPr>
          <w:t>A.17</w:t>
        </w:r>
        <w:r w:rsidR="00FF7101">
          <w:rPr>
            <w:noProof/>
            <w:sz w:val="22"/>
            <w:szCs w:val="22"/>
          </w:rPr>
          <w:tab/>
        </w:r>
        <w:r w:rsidRPr="00BC3243" w:rsidR="00FF7101">
          <w:rPr>
            <w:rStyle w:val="Hyperlink"/>
            <w:rFonts w:ascii="Times New Roman" w:hAnsi="Times New Roman" w:cs="Times New Roman"/>
            <w:noProof/>
          </w:rPr>
          <w:t>Display OMB Expiration Date</w:t>
        </w:r>
        <w:r w:rsidR="00FF7101">
          <w:rPr>
            <w:noProof/>
            <w:webHidden/>
          </w:rPr>
          <w:tab/>
        </w:r>
        <w:r w:rsidR="00FF7101">
          <w:rPr>
            <w:noProof/>
            <w:webHidden/>
          </w:rPr>
          <w:fldChar w:fldCharType="begin"/>
        </w:r>
        <w:r w:rsidR="00FF7101">
          <w:rPr>
            <w:noProof/>
            <w:webHidden/>
          </w:rPr>
          <w:instrText xml:space="preserve"> PAGEREF _Toc90026013 \h </w:instrText>
        </w:r>
        <w:r w:rsidR="00FF7101">
          <w:rPr>
            <w:noProof/>
            <w:webHidden/>
          </w:rPr>
        </w:r>
        <w:r w:rsidR="00FF7101">
          <w:rPr>
            <w:noProof/>
            <w:webHidden/>
          </w:rPr>
          <w:fldChar w:fldCharType="separate"/>
        </w:r>
        <w:r w:rsidR="00FF7101">
          <w:rPr>
            <w:noProof/>
            <w:webHidden/>
          </w:rPr>
          <w:t>16</w:t>
        </w:r>
        <w:r w:rsidR="00FF7101">
          <w:rPr>
            <w:noProof/>
            <w:webHidden/>
          </w:rPr>
          <w:fldChar w:fldCharType="end"/>
        </w:r>
      </w:hyperlink>
    </w:p>
    <w:p w:rsidR="00FF7101" w:rsidP="007B21B5" w:rsidRDefault="002A19C3" w14:paraId="3215255C" w14:textId="43EE8E4E">
      <w:pPr>
        <w:pStyle w:val="TOC2"/>
        <w:rPr>
          <w:noProof/>
          <w:sz w:val="22"/>
          <w:szCs w:val="22"/>
        </w:rPr>
      </w:pPr>
      <w:hyperlink w:history="1" w:anchor="_Toc90026014">
        <w:r w:rsidRPr="00BC3243" w:rsidR="00FF7101">
          <w:rPr>
            <w:rStyle w:val="Hyperlink"/>
            <w:rFonts w:ascii="Times New Roman" w:hAnsi="Times New Roman" w:cs="Times New Roman"/>
            <w:noProof/>
          </w:rPr>
          <w:t>A.18</w:t>
        </w:r>
        <w:r w:rsidR="00FF7101">
          <w:rPr>
            <w:noProof/>
            <w:sz w:val="22"/>
            <w:szCs w:val="22"/>
          </w:rPr>
          <w:tab/>
        </w:r>
        <w:r w:rsidRPr="00BC3243" w:rsidR="00FF7101">
          <w:rPr>
            <w:rStyle w:val="Hyperlink"/>
            <w:rFonts w:ascii="Times New Roman" w:hAnsi="Times New Roman" w:cs="Times New Roman"/>
            <w:noProof/>
          </w:rPr>
          <w:t>Exceptions to Certification Statement</w:t>
        </w:r>
        <w:r w:rsidR="00FF7101">
          <w:rPr>
            <w:noProof/>
            <w:webHidden/>
          </w:rPr>
          <w:tab/>
        </w:r>
        <w:r w:rsidR="00FF7101">
          <w:rPr>
            <w:noProof/>
            <w:webHidden/>
          </w:rPr>
          <w:fldChar w:fldCharType="begin"/>
        </w:r>
        <w:r w:rsidR="00FF7101">
          <w:rPr>
            <w:noProof/>
            <w:webHidden/>
          </w:rPr>
          <w:instrText xml:space="preserve"> PAGEREF _Toc90026014 \h </w:instrText>
        </w:r>
        <w:r w:rsidR="00FF7101">
          <w:rPr>
            <w:noProof/>
            <w:webHidden/>
          </w:rPr>
        </w:r>
        <w:r w:rsidR="00FF7101">
          <w:rPr>
            <w:noProof/>
            <w:webHidden/>
          </w:rPr>
          <w:fldChar w:fldCharType="separate"/>
        </w:r>
        <w:r w:rsidR="00FF7101">
          <w:rPr>
            <w:noProof/>
            <w:webHidden/>
          </w:rPr>
          <w:t>16</w:t>
        </w:r>
        <w:r w:rsidR="00FF7101">
          <w:rPr>
            <w:noProof/>
            <w:webHidden/>
          </w:rPr>
          <w:fldChar w:fldCharType="end"/>
        </w:r>
      </w:hyperlink>
    </w:p>
    <w:p w:rsidR="002203DD" w:rsidP="00D36763" w:rsidRDefault="00814924" w14:paraId="047DC2EE" w14:textId="704719F4">
      <w:pPr>
        <w:pStyle w:val="TOC1"/>
        <w:spacing w:line="240" w:lineRule="auto"/>
      </w:pPr>
      <w:r w:rsidRPr="002203DD">
        <w:fldChar w:fldCharType="end"/>
      </w:r>
    </w:p>
    <w:p w:rsidRPr="002203DD" w:rsidR="00A8293B" w:rsidP="00D36763" w:rsidRDefault="002203DD" w14:paraId="67ABD829" w14:textId="77777777">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 xml:space="preserve">Part </w:t>
      </w:r>
      <w:r w:rsidRPr="002203DD" w:rsidR="00A8293B">
        <w:rPr>
          <w:rFonts w:ascii="Times New Roman" w:hAnsi="Times New Roman"/>
          <w:b w:val="0"/>
          <w:noProof/>
          <w:szCs w:val="24"/>
        </w:rPr>
        <w:t>B.</w:t>
      </w:r>
      <w:r w:rsidRPr="002203DD" w:rsidR="00093BF5">
        <w:rPr>
          <w:rFonts w:ascii="Times New Roman" w:hAnsi="Times New Roman"/>
          <w:b w:val="0"/>
          <w:noProof/>
          <w:szCs w:val="24"/>
        </w:rPr>
        <w:t xml:space="preserve"> </w:t>
      </w:r>
      <w:r w:rsidRPr="002203DD" w:rsidR="00A8293B">
        <w:rPr>
          <w:rFonts w:ascii="Times New Roman" w:hAnsi="Times New Roman"/>
          <w:b w:val="0"/>
          <w:noProof/>
          <w:szCs w:val="24"/>
        </w:rPr>
        <w:t>STATISTICAL METHODS</w:t>
      </w:r>
    </w:p>
    <w:p w:rsidRPr="002203DD" w:rsidR="00FA2A01" w:rsidP="00D36763" w:rsidRDefault="00FA2A01" w14:paraId="46908379" w14:textId="46876EFA">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sidR="002D064E">
        <w:rPr>
          <w:rFonts w:ascii="Times New Roman" w:hAnsi="Times New Roman"/>
          <w:b w:val="0"/>
          <w:noProof/>
          <w:szCs w:val="24"/>
        </w:rPr>
        <w:t>-1</w:t>
      </w:r>
      <w:r w:rsidRPr="002203DD">
        <w:rPr>
          <w:rFonts w:ascii="Times New Roman" w:hAnsi="Times New Roman"/>
          <w:b w:val="0"/>
          <w:noProof/>
          <w:szCs w:val="24"/>
        </w:rPr>
        <w:t xml:space="preserve">: </w:t>
      </w:r>
      <w:r w:rsidR="002D064E">
        <w:rPr>
          <w:rFonts w:ascii="Times New Roman" w:hAnsi="Times New Roman"/>
          <w:b w:val="0"/>
          <w:noProof/>
          <w:szCs w:val="24"/>
        </w:rPr>
        <w:t xml:space="preserve">FiELD TEST </w:t>
      </w:r>
      <w:r w:rsidRPr="002203DD">
        <w:rPr>
          <w:rFonts w:ascii="Times New Roman" w:hAnsi="Times New Roman"/>
          <w:b w:val="0"/>
          <w:noProof/>
          <w:szCs w:val="24"/>
        </w:rPr>
        <w:t>RECRUITMENT MATERIALS</w:t>
      </w:r>
    </w:p>
    <w:p w:rsidRPr="002203DD" w:rsidR="002D064E" w:rsidP="002D064E" w:rsidRDefault="002D064E" w14:paraId="4B912A0A" w14:textId="6B98719E">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Pr>
          <w:rFonts w:ascii="Times New Roman" w:hAnsi="Times New Roman"/>
          <w:b w:val="0"/>
          <w:noProof/>
          <w:szCs w:val="24"/>
        </w:rPr>
        <w:t>-2</w:t>
      </w:r>
      <w:r w:rsidRPr="002203DD">
        <w:rPr>
          <w:rFonts w:ascii="Times New Roman" w:hAnsi="Times New Roman"/>
          <w:b w:val="0"/>
          <w:noProof/>
          <w:szCs w:val="24"/>
        </w:rPr>
        <w:t xml:space="preserve">: </w:t>
      </w:r>
      <w:r>
        <w:rPr>
          <w:rFonts w:ascii="Times New Roman" w:hAnsi="Times New Roman"/>
          <w:b w:val="0"/>
          <w:noProof/>
          <w:szCs w:val="24"/>
        </w:rPr>
        <w:t xml:space="preserve">MAIN STUDY </w:t>
      </w:r>
      <w:r w:rsidRPr="002203DD">
        <w:rPr>
          <w:rFonts w:ascii="Times New Roman" w:hAnsi="Times New Roman"/>
          <w:b w:val="0"/>
          <w:noProof/>
          <w:szCs w:val="24"/>
        </w:rPr>
        <w:t>RECRUITMENT MATERIALS</w:t>
      </w:r>
    </w:p>
    <w:p w:rsidRPr="002203DD" w:rsidR="00FA2A01" w:rsidP="00D36763" w:rsidRDefault="00FA2A01" w14:paraId="311085FC" w14:textId="77777777">
      <w:pPr>
        <w:pStyle w:val="C1-CtrBoldHd"/>
        <w:tabs>
          <w:tab w:val="left" w:pos="900"/>
          <w:tab w:val="right" w:leader="dot" w:pos="9360"/>
        </w:tabs>
        <w:spacing w:after="0" w:line="240" w:lineRule="auto"/>
        <w:ind w:right="720"/>
        <w:jc w:val="both"/>
        <w:rPr>
          <w:rFonts w:ascii="Times New Roman" w:hAnsi="Times New Roman"/>
          <w:szCs w:val="24"/>
        </w:rPr>
      </w:pPr>
      <w:r w:rsidRPr="002203DD">
        <w:rPr>
          <w:rFonts w:ascii="Times New Roman" w:hAnsi="Times New Roman"/>
          <w:b w:val="0"/>
          <w:noProof/>
          <w:szCs w:val="24"/>
        </w:rPr>
        <w:t>APPENDIX</w:t>
      </w:r>
      <w:r w:rsidRPr="002203DD" w:rsidR="00071187">
        <w:rPr>
          <w:rFonts w:ascii="Times New Roman" w:hAnsi="Times New Roman"/>
          <w:b w:val="0"/>
          <w:noProof/>
          <w:szCs w:val="24"/>
        </w:rPr>
        <w:t xml:space="preserve"> </w:t>
      </w:r>
      <w:r w:rsidRPr="002203DD">
        <w:rPr>
          <w:rFonts w:ascii="Times New Roman" w:hAnsi="Times New Roman"/>
          <w:b w:val="0"/>
          <w:noProof/>
          <w:szCs w:val="24"/>
        </w:rPr>
        <w:t>B: INSTRUMENTS</w:t>
      </w:r>
    </w:p>
    <w:p w:rsidR="00FA2A01" w:rsidP="00D36763" w:rsidRDefault="00FA2A01" w14:paraId="61F0E3E5" w14:textId="77777777">
      <w:pPr>
        <w:pStyle w:val="TOC1"/>
        <w:spacing w:line="240" w:lineRule="auto"/>
      </w:pPr>
    </w:p>
    <w:p w:rsidR="003C6275" w:rsidP="00D36763" w:rsidRDefault="003C6275" w14:paraId="7163AFBD" w14:textId="77777777">
      <w:pPr>
        <w:pStyle w:val="TOC1"/>
        <w:spacing w:line="240" w:lineRule="auto"/>
        <w:rPr>
          <w:noProof/>
        </w:rPr>
      </w:pPr>
    </w:p>
    <w:p w:rsidRPr="000548C0" w:rsidR="00330A34" w:rsidP="00D36763" w:rsidRDefault="00330A34" w14:paraId="1859E6EA" w14:textId="77777777">
      <w:pPr>
        <w:pStyle w:val="TOC1"/>
        <w:spacing w:line="240" w:lineRule="auto"/>
        <w:rPr>
          <w:szCs w:val="24"/>
        </w:rPr>
      </w:pPr>
      <w:r w:rsidRPr="002E211C">
        <w:br w:type="page"/>
      </w:r>
    </w:p>
    <w:p w:rsidRPr="002203DD" w:rsidR="00D9241E" w:rsidP="00D36763" w:rsidRDefault="00D9241E" w14:paraId="4BFC5F39" w14:textId="77777777">
      <w:pPr>
        <w:pStyle w:val="Style1"/>
        <w:spacing w:line="240" w:lineRule="auto"/>
        <w:rPr>
          <w:rFonts w:ascii="Times New Roman" w:hAnsi="Times New Roman" w:cs="Times New Roman"/>
        </w:rPr>
      </w:pPr>
      <w:bookmarkStart w:name="_Toc90025995" w:id="3"/>
      <w:r w:rsidRPr="002203DD">
        <w:rPr>
          <w:rFonts w:ascii="Times New Roman" w:hAnsi="Times New Roman" w:cs="Times New Roman"/>
        </w:rPr>
        <w:lastRenderedPageBreak/>
        <w:t>PREFACE</w:t>
      </w:r>
      <w:bookmarkEnd w:id="1"/>
      <w:bookmarkEnd w:id="2"/>
      <w:bookmarkEnd w:id="3"/>
    </w:p>
    <w:p w:rsidR="009774EE" w:rsidP="00D36763" w:rsidRDefault="05FE9296" w14:paraId="608199AD" w14:textId="3045D58A">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The Teaching and Learning International Survey (TALIS) is an international survey of teachers and principals focusing on the working conditions of teachers and the teaching and learning practices in schools. The United States will administer TALIS for the third time in 2024, having participated in 2013 and 2018.</w:t>
      </w:r>
    </w:p>
    <w:p w:rsidR="00F745F0" w:rsidP="00D36763" w:rsidRDefault="006B3B39" w14:paraId="2BDDDABC" w14:textId="79EC47DD">
      <w:pPr>
        <w:spacing w:line="240" w:lineRule="auto"/>
        <w:ind w:right="-216"/>
        <w:rPr>
          <w:rFonts w:ascii="Times New Roman" w:hAnsi="Times New Roman" w:cs="Times New Roman"/>
          <w:sz w:val="24"/>
          <w:szCs w:val="24"/>
        </w:rPr>
      </w:pP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sponsored by the Organization for Economic Cooperation and Development (OECD).</w:t>
      </w:r>
      <w:r w:rsidR="009774EE">
        <w:rPr>
          <w:rFonts w:ascii="Times New Roman" w:hAnsi="Times New Roman" w:cs="Times New Roman"/>
          <w:sz w:val="24"/>
          <w:szCs w:val="24"/>
        </w:rPr>
        <w:t xml:space="preserve"> TALIS is steered by the TALIS Governing Board (TGB), comprising representatives from the OECD member countries, and implemented internationally by organizations contracted by the OECD (referred to as the “international consortium” or “IC”). </w:t>
      </w:r>
      <w:r w:rsidRPr="002E211C" w:rsidR="00943B21">
        <w:rPr>
          <w:rFonts w:ascii="Times New Roman" w:hAnsi="Times New Roman" w:cs="Times New Roman"/>
          <w:sz w:val="24"/>
          <w:szCs w:val="24"/>
        </w:rPr>
        <w:t xml:space="preserve">In the </w:t>
      </w:r>
      <w:r w:rsidR="0043779C">
        <w:rPr>
          <w:rFonts w:ascii="Times New Roman" w:hAnsi="Times New Roman" w:cs="Times New Roman"/>
          <w:sz w:val="24"/>
          <w:szCs w:val="24"/>
        </w:rPr>
        <w:t>U.S.</w:t>
      </w:r>
      <w:r w:rsidRPr="002E211C" w:rsidR="00943B21">
        <w:rPr>
          <w:rFonts w:ascii="Times New Roman" w:hAnsi="Times New Roman" w:cs="Times New Roman"/>
          <w:sz w:val="24"/>
          <w:szCs w:val="24"/>
        </w:rPr>
        <w:t xml:space="preserve">, </w:t>
      </w: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conducted by the National Center for Education Statistics (NCES) of the Institute of Education Sciences, U.S. Department of Education</w:t>
      </w:r>
      <w:r w:rsidR="00943B21">
        <w:rPr>
          <w:rFonts w:ascii="Times New Roman" w:hAnsi="Times New Roman" w:cs="Times New Roman"/>
          <w:sz w:val="24"/>
          <w:szCs w:val="24"/>
        </w:rPr>
        <w:t>.</w:t>
      </w:r>
      <w:r w:rsidR="00F745F0">
        <w:rPr>
          <w:rFonts w:ascii="Times New Roman" w:hAnsi="Times New Roman" w:cs="Times New Roman"/>
          <w:sz w:val="24"/>
          <w:szCs w:val="24"/>
        </w:rPr>
        <w:t xml:space="preserve"> </w:t>
      </w:r>
      <w:r w:rsidR="00943B21">
        <w:rPr>
          <w:rFonts w:ascii="Times New Roman" w:hAnsi="Times New Roman" w:cs="Times New Roman"/>
          <w:sz w:val="24"/>
          <w:szCs w:val="24"/>
        </w:rPr>
        <w:t xml:space="preserve">Each administration of TALIS </w:t>
      </w:r>
      <w:r w:rsidRPr="002E211C" w:rsidR="00943B21">
        <w:rPr>
          <w:rFonts w:ascii="Times New Roman" w:hAnsi="Times New Roman" w:cs="Times New Roman"/>
          <w:sz w:val="24"/>
          <w:szCs w:val="24"/>
        </w:rPr>
        <w:t xml:space="preserve">is a collaborative effort by the participating countries, guided by their governments </w:t>
      </w:r>
      <w:proofErr w:type="gramStart"/>
      <w:r w:rsidRPr="002E211C" w:rsidR="00943B21">
        <w:rPr>
          <w:rFonts w:ascii="Times New Roman" w:hAnsi="Times New Roman" w:cs="Times New Roman"/>
          <w:sz w:val="24"/>
          <w:szCs w:val="24"/>
        </w:rPr>
        <w:t>on the basis of</w:t>
      </w:r>
      <w:proofErr w:type="gramEnd"/>
      <w:r w:rsidRPr="002E211C" w:rsidR="00943B21">
        <w:rPr>
          <w:rFonts w:ascii="Times New Roman" w:hAnsi="Times New Roman" w:cs="Times New Roman"/>
          <w:sz w:val="24"/>
          <w:szCs w:val="24"/>
        </w:rPr>
        <w:t xml:space="preserve"> shared policy driven interests.</w:t>
      </w:r>
    </w:p>
    <w:p w:rsidRPr="002E211C" w:rsidR="00943B21" w:rsidP="00D36763" w:rsidRDefault="05FE9296" w14:paraId="791D2DA5" w14:textId="26F9CB3E">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 xml:space="preserve">TALIS 2024 is focused on teachers’ professional environment, teaching conditions, and their impact on school and teacher effectiveness. TALIS 2024 will address teacher training and professional development, teacher appraisal, school climate, school leadership, instructional approaches, pedagogical practices, and teaching experience with and support for teaching diverse populations. </w:t>
      </w:r>
    </w:p>
    <w:p w:rsidR="001F14F1" w:rsidP="00D36763" w:rsidRDefault="05FE9296" w14:paraId="253059F9" w14:textId="14354384">
      <w:pPr>
        <w:pStyle w:val="BodyText1"/>
        <w:spacing w:line="240" w:lineRule="auto"/>
        <w:rPr>
          <w:rFonts w:ascii="Times New Roman" w:hAnsi="Times New Roman"/>
        </w:rPr>
      </w:pPr>
      <w:r w:rsidRPr="05FE9296">
        <w:rPr>
          <w:rFonts w:ascii="Times New Roman" w:hAnsi="Times New Roman"/>
        </w:rPr>
        <w:t>OECD has scheduled the main study to occur in the Northern hemisphere from February through March 2024 and in the Southern hemisphere from June through August 2024. To prepare for the main study, several TALIS countries will conduct pilot studies in February 2022; the U.S. will not participate. Countries will also conduct a field test in the first quarter of 2023, primarily to evaluate newly developed questionnaire items and school recruitment materials; the U.S. will participate in the field test.</w:t>
      </w:r>
    </w:p>
    <w:p w:rsidRPr="000E54C4" w:rsidR="00943B21" w:rsidP="730B5A0A" w:rsidRDefault="730B5A0A" w14:paraId="357B506E" w14:textId="644D2DAF">
      <w:pPr>
        <w:pStyle w:val="BodyText1"/>
        <w:spacing w:line="240" w:lineRule="auto"/>
        <w:rPr>
          <w:rFonts w:ascii="Times New Roman" w:hAnsi="Times New Roman"/>
        </w:rPr>
      </w:pPr>
      <w:r w:rsidRPr="730B5A0A">
        <w:rPr>
          <w:rFonts w:ascii="Times New Roman" w:hAnsi="Times New Roman"/>
        </w:rPr>
        <w:t xml:space="preserve">To meet the international data collection schedule for the field test, U.S. recruitment activities need to </w:t>
      </w:r>
      <w:r w:rsidRPr="000E54C4">
        <w:rPr>
          <w:rFonts w:ascii="Times New Roman" w:hAnsi="Times New Roman"/>
        </w:rPr>
        <w:t>begin by August 2022 and U.S. questionnaires must be finalized by December 2022.</w:t>
      </w:r>
    </w:p>
    <w:p w:rsidRPr="002E7CAE" w:rsidR="00943B21" w:rsidP="20F13338" w:rsidRDefault="44FD35A1" w14:paraId="0E92C4C6" w14:textId="08718266">
      <w:pPr>
        <w:pStyle w:val="BodyText1"/>
        <w:spacing w:line="240" w:lineRule="auto"/>
        <w:rPr>
          <w:rFonts w:ascii="Times New Roman" w:hAnsi="Times New Roman"/>
        </w:rPr>
      </w:pPr>
      <w:r w:rsidRPr="44FD35A1">
        <w:rPr>
          <w:rFonts w:ascii="Times New Roman" w:hAnsi="Times New Roman"/>
        </w:rPr>
        <w:t xml:space="preserve">TALIS 2024 includes the core TALIS teacher and principal questionnaires that are required for each participating country, as well as a new and optional Teacher Knowledge Survey (TKS). The TKS is intended to better understand the teacher pedagogical knowledge base at the national level. Results from the TKS can be used to understand the extent to which teachers are prepared with the knowledge and skills for 21st century teaching such as using technology in instruction, teaching in diverse classroom environments, and using modern pedagogical approaches. The US is including the TKS in the upcoming TALIS 2024 field test and will evaluate these results to determine the feasibility of including TKS as part of the US Main Study. The TKS is a new and proprietary instrument and will not be published for public comment as part of the Paperwork Reduction Act (PRA) review process. </w:t>
      </w:r>
    </w:p>
    <w:p w:rsidRPr="002E7CAE" w:rsidR="00943B21" w:rsidP="00D36763" w:rsidRDefault="20F13338" w14:paraId="6F6CFA7D" w14:textId="49682557">
      <w:pPr>
        <w:pStyle w:val="BodyText1"/>
        <w:spacing w:line="240" w:lineRule="auto"/>
        <w:rPr>
          <w:rFonts w:ascii="Times New Roman" w:hAnsi="Times New Roman"/>
        </w:rPr>
      </w:pPr>
      <w:r w:rsidRPr="20F13338">
        <w:rPr>
          <w:rFonts w:ascii="Times New Roman" w:hAnsi="Times New Roman"/>
        </w:rPr>
        <w:t>This submission requests approval for:</w:t>
      </w:r>
    </w:p>
    <w:p w:rsidRPr="002E7CAE" w:rsidR="00943B21" w:rsidP="00D36763" w:rsidRDefault="00943B21" w14:paraId="42D28ED0" w14:textId="1DA5CF3D">
      <w:pPr>
        <w:pStyle w:val="BodyText1"/>
        <w:numPr>
          <w:ilvl w:val="0"/>
          <w:numId w:val="7"/>
        </w:numPr>
        <w:spacing w:line="240" w:lineRule="auto"/>
        <w:rPr>
          <w:rFonts w:ascii="Times New Roman" w:hAnsi="Times New Roman"/>
        </w:rPr>
      </w:pPr>
      <w:r w:rsidRPr="002E7CAE">
        <w:rPr>
          <w:rFonts w:ascii="Times New Roman" w:hAnsi="Times New Roman"/>
        </w:rPr>
        <w:t>recruitment and pre-survey activities for the 20</w:t>
      </w:r>
      <w:r w:rsidRPr="002E7CAE" w:rsidR="002E7CAE">
        <w:rPr>
          <w:rFonts w:ascii="Times New Roman" w:hAnsi="Times New Roman"/>
        </w:rPr>
        <w:t>23</w:t>
      </w:r>
      <w:r w:rsidRPr="002E7CAE">
        <w:rPr>
          <w:rFonts w:ascii="Times New Roman" w:hAnsi="Times New Roman"/>
        </w:rPr>
        <w:t xml:space="preserve"> field test </w:t>
      </w:r>
      <w:proofErr w:type="gramStart"/>
      <w:r w:rsidRPr="002E7CAE">
        <w:rPr>
          <w:rFonts w:ascii="Times New Roman" w:hAnsi="Times New Roman"/>
        </w:rPr>
        <w:t>sample;</w:t>
      </w:r>
      <w:proofErr w:type="gramEnd"/>
    </w:p>
    <w:p w:rsidRPr="002E7CAE" w:rsidR="00943B21" w:rsidP="00D36763" w:rsidRDefault="00943B21" w14:paraId="22BD8FB7" w14:textId="77777777">
      <w:pPr>
        <w:pStyle w:val="BodyText1"/>
        <w:numPr>
          <w:ilvl w:val="0"/>
          <w:numId w:val="7"/>
        </w:numPr>
        <w:spacing w:line="240" w:lineRule="auto"/>
        <w:rPr>
          <w:rFonts w:ascii="Times New Roman" w:hAnsi="Times New Roman"/>
        </w:rPr>
      </w:pPr>
      <w:r w:rsidRPr="002E7CAE">
        <w:rPr>
          <w:rFonts w:ascii="Times New Roman" w:hAnsi="Times New Roman"/>
        </w:rPr>
        <w:t>administration of the field test; and</w:t>
      </w:r>
    </w:p>
    <w:p w:rsidRPr="002E7CAE" w:rsidR="00F745F0" w:rsidP="730B5A0A" w:rsidRDefault="00943B21" w14:paraId="5D3F2443" w14:textId="6A75606C">
      <w:pPr>
        <w:pStyle w:val="BodyText1"/>
        <w:numPr>
          <w:ilvl w:val="0"/>
          <w:numId w:val="7"/>
        </w:numPr>
        <w:spacing w:line="240" w:lineRule="auto"/>
      </w:pPr>
      <w:r w:rsidRPr="002E7CAE">
        <w:rPr>
          <w:rFonts w:ascii="Times New Roman" w:hAnsi="Times New Roman"/>
        </w:rPr>
        <w:t>school</w:t>
      </w:r>
      <w:r w:rsidRPr="002E7CAE" w:rsidR="00F745F0">
        <w:rPr>
          <w:rFonts w:ascii="Times New Roman" w:hAnsi="Times New Roman"/>
        </w:rPr>
        <w:t xml:space="preserve"> recruitment and pre-survey activities</w:t>
      </w:r>
      <w:r w:rsidRPr="002E7CAE">
        <w:rPr>
          <w:rFonts w:ascii="Times New Roman" w:hAnsi="Times New Roman"/>
        </w:rPr>
        <w:t xml:space="preserve"> for the 20</w:t>
      </w:r>
      <w:r w:rsidRPr="002E7CAE" w:rsidR="002E7CAE">
        <w:rPr>
          <w:rFonts w:ascii="Times New Roman" w:hAnsi="Times New Roman"/>
        </w:rPr>
        <w:t>24</w:t>
      </w:r>
      <w:r w:rsidRPr="002E7CAE">
        <w:rPr>
          <w:rFonts w:ascii="Times New Roman" w:hAnsi="Times New Roman"/>
        </w:rPr>
        <w:t xml:space="preserve"> main study sample</w:t>
      </w:r>
      <w:r w:rsidRPr="25CE0EC7" w:rsidR="25CE0EC7">
        <w:rPr>
          <w:rFonts w:ascii="Times New Roman" w:hAnsi="Times New Roman"/>
        </w:rPr>
        <w:t>.</w:t>
      </w:r>
      <w:r w:rsidRPr="002E7CAE" w:rsidR="00F745F0">
        <w:rPr>
          <w:rStyle w:val="FootnoteReference"/>
          <w:rFonts w:ascii="Times New Roman" w:hAnsi="Times New Roman"/>
        </w:rPr>
        <w:footnoteReference w:id="1"/>
      </w:r>
    </w:p>
    <w:p w:rsidR="00D50591" w:rsidP="00D36763" w:rsidRDefault="6664A677" w14:paraId="580CEF02" w14:textId="43FDDBCD">
      <w:pPr>
        <w:spacing w:line="240" w:lineRule="auto"/>
        <w:ind w:right="-216"/>
        <w:rPr>
          <w:rFonts w:ascii="Times New Roman" w:hAnsi="Times New Roman" w:cs="Times New Roman"/>
          <w:sz w:val="24"/>
          <w:szCs w:val="24"/>
        </w:rPr>
      </w:pPr>
      <w:r w:rsidRPr="6664A677">
        <w:rPr>
          <w:rFonts w:ascii="Times New Roman" w:hAnsi="Times New Roman" w:cs="Times New Roman"/>
          <w:sz w:val="24"/>
          <w:szCs w:val="24"/>
        </w:rPr>
        <w:lastRenderedPageBreak/>
        <w:t xml:space="preserve">Field test recruitment materials, including letters to state and district officials and school principals, the text for a TALIS field test brochure, summary of activities, “frequently asked questions,” and the text for the teacher invitation email are provided in Appendix A-1. A similar set of Main study recruitment materials are provided in Appendix A-2. </w:t>
      </w:r>
      <w:r w:rsidRPr="00C07749">
        <w:rPr>
          <w:rFonts w:ascii="Times New Roman" w:hAnsi="Times New Roman" w:cs="Times New Roman"/>
          <w:sz w:val="24"/>
          <w:szCs w:val="24"/>
        </w:rPr>
        <w:t xml:space="preserve">The </w:t>
      </w:r>
      <w:r w:rsidRPr="00C07749" w:rsidR="00C07749">
        <w:rPr>
          <w:rFonts w:ascii="Times New Roman" w:hAnsi="Times New Roman" w:cs="Times New Roman"/>
          <w:sz w:val="24"/>
          <w:szCs w:val="24"/>
        </w:rPr>
        <w:t>2018 core TALIS</w:t>
      </w:r>
      <w:r w:rsidRPr="00C07749">
        <w:rPr>
          <w:rFonts w:ascii="Times New Roman" w:hAnsi="Times New Roman" w:cs="Times New Roman"/>
          <w:sz w:val="24"/>
          <w:szCs w:val="24"/>
        </w:rPr>
        <w:t xml:space="preserve"> principal and teacher questionnaires are provided in Appendix B.</w:t>
      </w:r>
    </w:p>
    <w:p w:rsidRPr="002E7CAE" w:rsidR="00282E22" w:rsidP="00282E22" w:rsidRDefault="6664A677" w14:paraId="2B300BE2" w14:textId="21657CA9">
      <w:pPr>
        <w:spacing w:line="240" w:lineRule="auto"/>
        <w:ind w:right="-216"/>
        <w:rPr>
          <w:rFonts w:ascii="Times New Roman" w:hAnsi="Times New Roman" w:cs="Times New Roman"/>
          <w:sz w:val="24"/>
          <w:szCs w:val="24"/>
        </w:rPr>
      </w:pPr>
      <w:r w:rsidRPr="6664A677">
        <w:rPr>
          <w:rFonts w:ascii="Times New Roman" w:hAnsi="Times New Roman" w:cs="Times New Roman"/>
          <w:sz w:val="24"/>
          <w:szCs w:val="24"/>
        </w:rPr>
        <w:t>Because TALIS is a collaborative international study, the U.S. administration of TALIS operates under some constraints, particularly around the schedule and the availability of instruments, which are developed and negotiated internationally. For example, at present, the international field test questionnaires for core TALIS and TKS remain under development by the IC and have not yet been finalized and adapted for U.S. administration. In Appendix B, NCES has included the principal and teacher instruments that were fielded in the 2018 TALIS main study, and a list of 2018 U.S. adaptations. These documents from 2018 TALIS provide information about the type of adaptations NCES ant</w:t>
      </w:r>
      <w:r w:rsidRPr="002D064E">
        <w:rPr>
          <w:rFonts w:ascii="Times New Roman" w:hAnsi="Times New Roman" w:cs="Times New Roman"/>
          <w:sz w:val="24"/>
          <w:szCs w:val="24"/>
        </w:rPr>
        <w:t xml:space="preserve">icipates making to the 2024 instruments. </w:t>
      </w:r>
      <w:r w:rsidRPr="002D064E" w:rsidR="00282E22">
        <w:rPr>
          <w:rFonts w:ascii="Times New Roman" w:hAnsi="Times New Roman" w:cs="Times New Roman"/>
          <w:sz w:val="24"/>
          <w:szCs w:val="24"/>
        </w:rPr>
        <w:t>The final versions of the 2024 core TALIS and TKS field test questionnaires will be submitted to OMB as an updated package once NCES receives them from the IC.</w:t>
      </w:r>
      <w:r w:rsidRPr="6664A677" w:rsidR="00282E22">
        <w:rPr>
          <w:rFonts w:ascii="Times New Roman" w:hAnsi="Times New Roman" w:cs="Times New Roman"/>
          <w:sz w:val="24"/>
          <w:szCs w:val="24"/>
        </w:rPr>
        <w:t xml:space="preserve"> We anticipate receiving the final instruments and submitting this </w:t>
      </w:r>
      <w:r w:rsidR="00282E22">
        <w:rPr>
          <w:rFonts w:ascii="Times New Roman" w:hAnsi="Times New Roman" w:cs="Times New Roman"/>
          <w:sz w:val="24"/>
          <w:szCs w:val="24"/>
        </w:rPr>
        <w:t>updated package</w:t>
      </w:r>
      <w:r w:rsidRPr="6664A677" w:rsidR="00282E22">
        <w:rPr>
          <w:rFonts w:ascii="Times New Roman" w:hAnsi="Times New Roman" w:cs="Times New Roman"/>
          <w:sz w:val="24"/>
          <w:szCs w:val="24"/>
        </w:rPr>
        <w:t xml:space="preserve"> in fall 2022</w:t>
      </w:r>
      <w:r w:rsidR="002954DA">
        <w:rPr>
          <w:rFonts w:ascii="Times New Roman" w:hAnsi="Times New Roman" w:cs="Times New Roman"/>
          <w:sz w:val="24"/>
          <w:szCs w:val="24"/>
        </w:rPr>
        <w:t>, shortly after clearance of this submission</w:t>
      </w:r>
      <w:r w:rsidRPr="6664A677" w:rsidR="00282E22">
        <w:rPr>
          <w:rFonts w:ascii="Times New Roman" w:hAnsi="Times New Roman" w:cs="Times New Roman"/>
          <w:sz w:val="24"/>
          <w:szCs w:val="24"/>
        </w:rPr>
        <w:t>.</w:t>
      </w:r>
    </w:p>
    <w:p w:rsidRPr="002E7CAE" w:rsidR="00943B21" w:rsidP="002E7CAE" w:rsidRDefault="00982426" w14:paraId="0503613A" w14:textId="6D44972B">
      <w:pPr>
        <w:spacing w:line="240" w:lineRule="auto"/>
        <w:ind w:right="-216"/>
        <w:rPr>
          <w:rFonts w:ascii="Times New Roman" w:hAnsi="Times New Roman" w:cs="Times New Roman"/>
          <w:sz w:val="24"/>
          <w:szCs w:val="24"/>
        </w:rPr>
      </w:pPr>
      <w:r>
        <w:rPr>
          <w:rFonts w:ascii="Times New Roman" w:hAnsi="Times New Roman" w:cs="Times New Roman"/>
          <w:sz w:val="24"/>
          <w:szCs w:val="24"/>
        </w:rPr>
        <w:t>To</w:t>
      </w:r>
      <w:r w:rsidRPr="002E7CAE" w:rsidR="00943B21">
        <w:rPr>
          <w:rFonts w:ascii="Times New Roman" w:hAnsi="Times New Roman" w:cs="Times New Roman"/>
          <w:sz w:val="24"/>
          <w:szCs w:val="24"/>
        </w:rPr>
        <w:t xml:space="preserve"> begin recruiting schools for the main study by </w:t>
      </w:r>
      <w:r w:rsidRPr="002E7CAE" w:rsidR="002E7CAE">
        <w:rPr>
          <w:rFonts w:ascii="Times New Roman" w:hAnsi="Times New Roman" w:cs="Times New Roman"/>
          <w:sz w:val="24"/>
          <w:szCs w:val="24"/>
        </w:rPr>
        <w:t>August</w:t>
      </w:r>
      <w:r w:rsidRPr="002E7CAE" w:rsidR="0061667C">
        <w:rPr>
          <w:rFonts w:ascii="Times New Roman" w:hAnsi="Times New Roman" w:cs="Times New Roman"/>
          <w:sz w:val="24"/>
          <w:szCs w:val="24"/>
        </w:rPr>
        <w:t xml:space="preserve"> 20</w:t>
      </w:r>
      <w:r w:rsidRPr="002E7CAE" w:rsidR="002E7CAE">
        <w:rPr>
          <w:rFonts w:ascii="Times New Roman" w:hAnsi="Times New Roman" w:cs="Times New Roman"/>
          <w:sz w:val="24"/>
          <w:szCs w:val="24"/>
        </w:rPr>
        <w:t>23</w:t>
      </w:r>
      <w:r w:rsidRPr="002E7CAE" w:rsidR="0061667C">
        <w:rPr>
          <w:rFonts w:ascii="Times New Roman" w:hAnsi="Times New Roman" w:cs="Times New Roman"/>
          <w:sz w:val="24"/>
          <w:szCs w:val="24"/>
        </w:rPr>
        <w:t xml:space="preserve">, </w:t>
      </w:r>
      <w:r w:rsidRPr="002E7CAE" w:rsidR="003364D3">
        <w:rPr>
          <w:rFonts w:ascii="Times New Roman" w:hAnsi="Times New Roman" w:cs="Times New Roman"/>
          <w:sz w:val="24"/>
          <w:szCs w:val="24"/>
        </w:rPr>
        <w:t>NCES</w:t>
      </w:r>
      <w:r w:rsidRPr="002E7CAE" w:rsidR="0061667C">
        <w:rPr>
          <w:rFonts w:ascii="Times New Roman" w:hAnsi="Times New Roman" w:cs="Times New Roman"/>
          <w:sz w:val="24"/>
          <w:szCs w:val="24"/>
        </w:rPr>
        <w:t xml:space="preserve"> will submit </w:t>
      </w:r>
      <w:r w:rsidR="0068237B">
        <w:rPr>
          <w:rFonts w:ascii="Times New Roman" w:hAnsi="Times New Roman" w:cs="Times New Roman"/>
          <w:sz w:val="24"/>
          <w:szCs w:val="24"/>
        </w:rPr>
        <w:t>an updated package</w:t>
      </w:r>
      <w:r w:rsidRPr="002E7CAE" w:rsidR="00943B21">
        <w:rPr>
          <w:rFonts w:ascii="Times New Roman" w:hAnsi="Times New Roman" w:cs="Times New Roman"/>
          <w:sz w:val="24"/>
          <w:szCs w:val="24"/>
        </w:rPr>
        <w:t xml:space="preserve"> to OMB in </w:t>
      </w:r>
      <w:r w:rsidRPr="002E7CAE" w:rsidR="002E7CAE">
        <w:rPr>
          <w:rFonts w:ascii="Times New Roman" w:hAnsi="Times New Roman" w:cs="Times New Roman"/>
          <w:sz w:val="24"/>
          <w:szCs w:val="24"/>
        </w:rPr>
        <w:t>June</w:t>
      </w:r>
      <w:r w:rsidRPr="002E7CAE" w:rsidR="00943B21">
        <w:rPr>
          <w:rFonts w:ascii="Times New Roman" w:hAnsi="Times New Roman" w:cs="Times New Roman"/>
          <w:sz w:val="24"/>
          <w:szCs w:val="24"/>
        </w:rPr>
        <w:t xml:space="preserve"> 20</w:t>
      </w:r>
      <w:r w:rsidRPr="002E7CAE" w:rsidR="002E7CAE">
        <w:rPr>
          <w:rFonts w:ascii="Times New Roman" w:hAnsi="Times New Roman" w:cs="Times New Roman"/>
          <w:sz w:val="24"/>
          <w:szCs w:val="24"/>
        </w:rPr>
        <w:t>23</w:t>
      </w:r>
      <w:r w:rsidRPr="002E7CAE" w:rsidR="00943B21">
        <w:rPr>
          <w:rFonts w:ascii="Times New Roman" w:hAnsi="Times New Roman" w:cs="Times New Roman"/>
          <w:sz w:val="24"/>
          <w:szCs w:val="24"/>
        </w:rPr>
        <w:t xml:space="preserve"> that will provide the final main study recruitment materials</w:t>
      </w:r>
      <w:r w:rsidRPr="002E7CAE" w:rsidR="002E7CAE">
        <w:rPr>
          <w:rFonts w:ascii="Times New Roman" w:hAnsi="Times New Roman" w:cs="Times New Roman"/>
          <w:sz w:val="24"/>
          <w:szCs w:val="24"/>
        </w:rPr>
        <w:t xml:space="preserve"> and</w:t>
      </w:r>
      <w:r w:rsidRPr="002E7CAE" w:rsidR="00943B21">
        <w:rPr>
          <w:rFonts w:ascii="Times New Roman" w:hAnsi="Times New Roman" w:cs="Times New Roman"/>
          <w:sz w:val="24"/>
          <w:szCs w:val="24"/>
        </w:rPr>
        <w:t xml:space="preserve"> document any changes to the design and procedures for the main study</w:t>
      </w:r>
      <w:r w:rsidRPr="002E7CAE" w:rsidR="003364D3">
        <w:rPr>
          <w:rFonts w:ascii="Times New Roman" w:hAnsi="Times New Roman" w:cs="Times New Roman"/>
          <w:sz w:val="24"/>
          <w:szCs w:val="24"/>
        </w:rPr>
        <w:t xml:space="preserve"> and potentially to the main study </w:t>
      </w:r>
      <w:r w:rsidRPr="002E7CAE" w:rsidR="00943B21">
        <w:rPr>
          <w:rFonts w:ascii="Times New Roman" w:hAnsi="Times New Roman" w:cs="Times New Roman"/>
          <w:sz w:val="24"/>
          <w:szCs w:val="24"/>
        </w:rPr>
        <w:t>respondent burden estimates.</w:t>
      </w:r>
      <w:r w:rsidRPr="002E7CAE" w:rsidR="003364D3">
        <w:rPr>
          <w:rFonts w:ascii="Times New Roman" w:hAnsi="Times New Roman" w:cs="Times New Roman"/>
          <w:sz w:val="24"/>
          <w:szCs w:val="24"/>
        </w:rPr>
        <w:t xml:space="preserve"> I</w:t>
      </w:r>
      <w:r w:rsidRPr="002E7CAE" w:rsidR="00943B21">
        <w:rPr>
          <w:rFonts w:ascii="Times New Roman" w:hAnsi="Times New Roman" w:cs="Times New Roman"/>
          <w:sz w:val="24"/>
          <w:szCs w:val="24"/>
        </w:rPr>
        <w:t>n fall 20</w:t>
      </w:r>
      <w:r w:rsidRPr="002E7CAE" w:rsidR="002E7CAE">
        <w:rPr>
          <w:rFonts w:ascii="Times New Roman" w:hAnsi="Times New Roman" w:cs="Times New Roman"/>
          <w:sz w:val="24"/>
          <w:szCs w:val="24"/>
        </w:rPr>
        <w:t>23</w:t>
      </w:r>
      <w:r w:rsidRPr="002E7CAE" w:rsidR="003364D3">
        <w:rPr>
          <w:rFonts w:ascii="Times New Roman" w:hAnsi="Times New Roman" w:cs="Times New Roman"/>
          <w:sz w:val="24"/>
          <w:szCs w:val="24"/>
        </w:rPr>
        <w:t>, NCES</w:t>
      </w:r>
      <w:r w:rsidRPr="002E7CAE" w:rsidR="00943B21">
        <w:rPr>
          <w:rFonts w:ascii="Times New Roman" w:hAnsi="Times New Roman" w:cs="Times New Roman"/>
          <w:sz w:val="24"/>
          <w:szCs w:val="24"/>
        </w:rPr>
        <w:t xml:space="preserve"> will submit a </w:t>
      </w:r>
      <w:r w:rsidRPr="002E7CAE" w:rsidR="003364D3">
        <w:rPr>
          <w:rFonts w:ascii="Times New Roman" w:hAnsi="Times New Roman" w:cs="Times New Roman"/>
          <w:sz w:val="24"/>
          <w:szCs w:val="24"/>
        </w:rPr>
        <w:t>request for the spring of 20</w:t>
      </w:r>
      <w:r w:rsidRPr="002E7CAE" w:rsidR="002E7CAE">
        <w:rPr>
          <w:rFonts w:ascii="Times New Roman" w:hAnsi="Times New Roman" w:cs="Times New Roman"/>
          <w:sz w:val="24"/>
          <w:szCs w:val="24"/>
        </w:rPr>
        <w:t>24</w:t>
      </w:r>
      <w:r w:rsidRPr="002E7CAE" w:rsidR="003364D3">
        <w:rPr>
          <w:rFonts w:ascii="Times New Roman" w:hAnsi="Times New Roman" w:cs="Times New Roman"/>
          <w:sz w:val="24"/>
          <w:szCs w:val="24"/>
        </w:rPr>
        <w:t xml:space="preserve"> main study data collection, </w:t>
      </w:r>
      <w:r w:rsidRPr="002E7CAE" w:rsidR="00943B21">
        <w:rPr>
          <w:rFonts w:ascii="Times New Roman" w:hAnsi="Times New Roman" w:cs="Times New Roman"/>
          <w:sz w:val="24"/>
          <w:szCs w:val="24"/>
        </w:rPr>
        <w:t xml:space="preserve">with a </w:t>
      </w:r>
      <w:r w:rsidRPr="002E7CAE" w:rsidR="003364D3">
        <w:rPr>
          <w:rFonts w:ascii="Times New Roman" w:hAnsi="Times New Roman" w:cs="Times New Roman"/>
          <w:sz w:val="24"/>
          <w:szCs w:val="24"/>
        </w:rPr>
        <w:t xml:space="preserve">corresponding </w:t>
      </w:r>
      <w:r w:rsidRPr="002E7CAE" w:rsidR="00943B21">
        <w:rPr>
          <w:rFonts w:ascii="Times New Roman" w:hAnsi="Times New Roman" w:cs="Times New Roman"/>
          <w:sz w:val="24"/>
          <w:szCs w:val="24"/>
        </w:rPr>
        <w:t xml:space="preserve">30-day </w:t>
      </w:r>
      <w:r w:rsidR="00D50591">
        <w:rPr>
          <w:rFonts w:ascii="Times New Roman" w:hAnsi="Times New Roman" w:cs="Times New Roman"/>
          <w:sz w:val="24"/>
          <w:szCs w:val="24"/>
        </w:rPr>
        <w:t xml:space="preserve">public comment period </w:t>
      </w:r>
      <w:r w:rsidRPr="002E7CAE" w:rsidR="00943B21">
        <w:rPr>
          <w:rFonts w:ascii="Times New Roman" w:hAnsi="Times New Roman" w:cs="Times New Roman"/>
          <w:sz w:val="24"/>
          <w:szCs w:val="24"/>
        </w:rPr>
        <w:t>notice pu</w:t>
      </w:r>
      <w:r w:rsidRPr="002E7CAE" w:rsidR="003364D3">
        <w:rPr>
          <w:rFonts w:ascii="Times New Roman" w:hAnsi="Times New Roman" w:cs="Times New Roman"/>
          <w:sz w:val="24"/>
          <w:szCs w:val="24"/>
        </w:rPr>
        <w:t xml:space="preserve">blished in the </w:t>
      </w:r>
      <w:r w:rsidR="00D50591">
        <w:rPr>
          <w:rFonts w:ascii="Times New Roman" w:hAnsi="Times New Roman" w:cs="Times New Roman"/>
          <w:sz w:val="24"/>
          <w:szCs w:val="24"/>
        </w:rPr>
        <w:t>F</w:t>
      </w:r>
      <w:r w:rsidRPr="002E7CAE" w:rsidR="003364D3">
        <w:rPr>
          <w:rFonts w:ascii="Times New Roman" w:hAnsi="Times New Roman" w:cs="Times New Roman"/>
          <w:sz w:val="24"/>
          <w:szCs w:val="24"/>
        </w:rPr>
        <w:t xml:space="preserve">ederal </w:t>
      </w:r>
      <w:r w:rsidR="00D50591">
        <w:rPr>
          <w:rFonts w:ascii="Times New Roman" w:hAnsi="Times New Roman" w:cs="Times New Roman"/>
          <w:sz w:val="24"/>
          <w:szCs w:val="24"/>
        </w:rPr>
        <w:t>R</w:t>
      </w:r>
      <w:r w:rsidRPr="002E7CAE" w:rsidR="003364D3">
        <w:rPr>
          <w:rFonts w:ascii="Times New Roman" w:hAnsi="Times New Roman" w:cs="Times New Roman"/>
          <w:sz w:val="24"/>
          <w:szCs w:val="24"/>
        </w:rPr>
        <w:t>egister</w:t>
      </w:r>
      <w:r w:rsidRPr="002E7CAE" w:rsidR="00943B21">
        <w:rPr>
          <w:rFonts w:ascii="Times New Roman" w:hAnsi="Times New Roman" w:cs="Times New Roman"/>
          <w:sz w:val="24"/>
          <w:szCs w:val="24"/>
        </w:rPr>
        <w:t>. The main study questionnaires will be a subset of the field test instruments.</w:t>
      </w:r>
    </w:p>
    <w:p w:rsidRPr="002E7CAE" w:rsidR="00D9241E" w:rsidP="00D36763" w:rsidRDefault="00D9241E" w14:paraId="6DB5B1F4" w14:textId="0D42F29A">
      <w:pPr>
        <w:pStyle w:val="Style1"/>
        <w:spacing w:after="120" w:line="240" w:lineRule="auto"/>
        <w:rPr>
          <w:rFonts w:ascii="Times New Roman" w:hAnsi="Times New Roman" w:cs="Times New Roman"/>
        </w:rPr>
      </w:pPr>
      <w:bookmarkStart w:name="_Toc260729187" w:id="4"/>
      <w:bookmarkStart w:name="_Toc299121362" w:id="5"/>
      <w:bookmarkStart w:name="_Toc90025996" w:id="6"/>
      <w:r w:rsidRPr="002E7CAE">
        <w:rPr>
          <w:rFonts w:ascii="Times New Roman" w:hAnsi="Times New Roman" w:cs="Times New Roman"/>
        </w:rPr>
        <w:t>A.</w:t>
      </w:r>
      <w:r w:rsidRPr="002E7CAE" w:rsidR="00093BF5">
        <w:rPr>
          <w:rFonts w:ascii="Times New Roman" w:hAnsi="Times New Roman" w:cs="Times New Roman"/>
        </w:rPr>
        <w:t xml:space="preserve"> </w:t>
      </w:r>
      <w:r w:rsidRPr="002E7CAE">
        <w:rPr>
          <w:rFonts w:ascii="Times New Roman" w:hAnsi="Times New Roman" w:cs="Times New Roman"/>
        </w:rPr>
        <w:t>JUSTIFICATION</w:t>
      </w:r>
      <w:bookmarkEnd w:id="4"/>
      <w:bookmarkEnd w:id="5"/>
      <w:bookmarkEnd w:id="6"/>
    </w:p>
    <w:p w:rsidRPr="002E7CAE" w:rsidR="00D9241E" w:rsidP="00F63C37" w:rsidRDefault="00D9241E" w14:paraId="6E78CD35" w14:textId="6138AC75">
      <w:pPr>
        <w:pStyle w:val="Heading1"/>
      </w:pPr>
      <w:bookmarkStart w:name="_Toc260729188" w:id="7"/>
      <w:bookmarkStart w:name="_Toc299121363" w:id="8"/>
      <w:bookmarkStart w:name="_Toc90025997" w:id="9"/>
      <w:r w:rsidRPr="002E7CAE">
        <w:t>A.1</w:t>
      </w:r>
      <w:r w:rsidRPr="002E7CAE">
        <w:tab/>
        <w:t>Importance of Information</w:t>
      </w:r>
      <w:bookmarkEnd w:id="7"/>
      <w:bookmarkEnd w:id="8"/>
      <w:bookmarkEnd w:id="9"/>
    </w:p>
    <w:p w:rsidRPr="002E7CAE" w:rsidR="00D9241E" w:rsidP="00D36763" w:rsidRDefault="05FE9296" w14:paraId="2B6555ED" w14:textId="6B9FDA7A">
      <w:pPr>
        <w:spacing w:line="240" w:lineRule="auto"/>
        <w:rPr>
          <w:rFonts w:ascii="Times New Roman" w:hAnsi="Times New Roman" w:cs="Times New Roman"/>
          <w:sz w:val="24"/>
          <w:szCs w:val="24"/>
        </w:rPr>
      </w:pPr>
      <w:r w:rsidRPr="05FE9296">
        <w:rPr>
          <w:rFonts w:ascii="Times New Roman" w:hAnsi="Times New Roman" w:cs="Times New Roman"/>
          <w:sz w:val="24"/>
          <w:szCs w:val="24"/>
        </w:rPr>
        <w:t>As part of a continuing cycle of international education studies, the U.S., through NCES, is currently and in the coming years participating in several international assessments and surveys. TALIS, sponsored by OECD, is one of these studies. TALIS 2024 is part of the larger international program that NCES has actively participated in through collaboration with and representation at the OECD. Through this active participation, NCES has sought to strengthen the quality, consistency, and timeliness of international data. To continue this effort, the U.S. must participate with well-organized and well-executed data gathering activities within the nation’s boundaries. These efforts allow NCES to build a comprehensive data network that reports on the status of education in the U.S. and informs decision-making at the national, state, and local levels.</w:t>
      </w:r>
    </w:p>
    <w:p w:rsidRPr="002E7CAE" w:rsidR="00093BF5" w:rsidP="00D36763" w:rsidRDefault="05FE9296" w14:paraId="699E3FAF" w14:textId="64BD7401">
      <w:pPr>
        <w:spacing w:line="240" w:lineRule="auto"/>
        <w:rPr>
          <w:rFonts w:ascii="Times New Roman" w:hAnsi="Times New Roman" w:cs="Times New Roman"/>
          <w:sz w:val="24"/>
          <w:szCs w:val="24"/>
        </w:rPr>
      </w:pPr>
      <w:r w:rsidRPr="05FE9296">
        <w:rPr>
          <w:rFonts w:ascii="Times New Roman" w:hAnsi="Times New Roman" w:cs="Times New Roman"/>
          <w:sz w:val="24"/>
          <w:szCs w:val="24"/>
        </w:rPr>
        <w:t>Participating in TALIS 2024 will allow the U.S. to continue to compare with and learn from other countries working to improve their education systems using a variety of approaches. Re</w:t>
      </w:r>
      <w:r w:rsidR="002A19C3">
        <w:rPr>
          <w:rFonts w:ascii="Times New Roman" w:hAnsi="Times New Roman" w:cs="Times New Roman"/>
          <w:sz w:val="24"/>
          <w:szCs w:val="24"/>
        </w:rPr>
        <w:t>s</w:t>
      </w:r>
      <w:r w:rsidRPr="05FE9296">
        <w:rPr>
          <w:rFonts w:ascii="Times New Roman" w:hAnsi="Times New Roman" w:cs="Times New Roman"/>
          <w:sz w:val="24"/>
          <w:szCs w:val="24"/>
        </w:rPr>
        <w:t>ponses from school principals and teachers cover subjects such as professional development they have received; their teaching beliefs and practices; the review of teacher work and the feedback and recognition they received about their work; and various other school leadership, management, and workplace issues.</w:t>
      </w:r>
    </w:p>
    <w:p w:rsidRPr="0052088D" w:rsidR="003017AC" w:rsidP="00F63C37" w:rsidRDefault="00045894" w14:paraId="0B5B4A39" w14:textId="26A5C0E5">
      <w:pPr>
        <w:pStyle w:val="Heading1"/>
      </w:pPr>
      <w:bookmarkStart w:name="_Toc299121364" w:id="10"/>
      <w:bookmarkStart w:name="_Toc90025998" w:id="11"/>
      <w:r w:rsidRPr="0052088D">
        <w:t>A.2</w:t>
      </w:r>
      <w:r w:rsidRPr="0052088D">
        <w:tab/>
        <w:t>Purposes and Uses of Data</w:t>
      </w:r>
      <w:bookmarkEnd w:id="10"/>
      <w:bookmarkEnd w:id="11"/>
    </w:p>
    <w:p w:rsidRPr="0052088D" w:rsidR="003017AC" w:rsidP="00D36763" w:rsidRDefault="00915F94" w14:paraId="483B1864" w14:textId="2373659B">
      <w:pPr>
        <w:spacing w:line="240" w:lineRule="auto"/>
        <w:rPr>
          <w:rFonts w:ascii="Times New Roman" w:hAnsi="Times New Roman" w:cs="Times New Roman"/>
          <w:sz w:val="24"/>
          <w:szCs w:val="24"/>
        </w:rPr>
      </w:pPr>
      <w:r w:rsidRPr="0052088D">
        <w:rPr>
          <w:rFonts w:ascii="Times New Roman" w:hAnsi="Times New Roman" w:cs="Times New Roman"/>
          <w:sz w:val="24"/>
          <w:szCs w:val="24"/>
        </w:rPr>
        <w:t>T</w:t>
      </w:r>
      <w:r w:rsidRPr="0052088D" w:rsidR="009A7949">
        <w:rPr>
          <w:rFonts w:ascii="Times New Roman" w:hAnsi="Times New Roman" w:cs="Times New Roman"/>
          <w:sz w:val="24"/>
          <w:szCs w:val="24"/>
        </w:rPr>
        <w:t xml:space="preserve">he OECD launched the </w:t>
      </w:r>
      <w:r w:rsidRPr="0052088D" w:rsidR="003017AC">
        <w:rPr>
          <w:rFonts w:ascii="Times New Roman" w:hAnsi="Times New Roman" w:cs="Times New Roman"/>
          <w:sz w:val="24"/>
          <w:szCs w:val="24"/>
        </w:rPr>
        <w:t xml:space="preserve">Education Indicators Project (INES) </w:t>
      </w:r>
      <w:r w:rsidRPr="0052088D" w:rsidR="009A7949">
        <w:rPr>
          <w:rFonts w:ascii="Times New Roman" w:hAnsi="Times New Roman" w:cs="Times New Roman"/>
          <w:sz w:val="24"/>
          <w:szCs w:val="24"/>
        </w:rPr>
        <w:t xml:space="preserve">to </w:t>
      </w:r>
      <w:r w:rsidRPr="0052088D" w:rsidR="003017AC">
        <w:rPr>
          <w:rFonts w:ascii="Times New Roman" w:hAnsi="Times New Roman" w:cs="Times New Roman"/>
          <w:sz w:val="24"/>
          <w:szCs w:val="24"/>
        </w:rPr>
        <w:t>help create a system of indicators for cross-national comparisons in education for the use of policy makers, consumers, and private industry. INES achieves its purpose by collecting and analyzing a set of key indicators for international comparison</w:t>
      </w:r>
      <w:r w:rsidRPr="0052088D" w:rsidR="00621C43">
        <w:rPr>
          <w:rFonts w:ascii="Times New Roman" w:hAnsi="Times New Roman" w:cs="Times New Roman"/>
          <w:sz w:val="24"/>
          <w:szCs w:val="24"/>
        </w:rPr>
        <w:t>;</w:t>
      </w:r>
      <w:r w:rsidRPr="0052088D" w:rsidR="003017AC">
        <w:rPr>
          <w:rFonts w:ascii="Times New Roman" w:hAnsi="Times New Roman" w:cs="Times New Roman"/>
          <w:sz w:val="24"/>
          <w:szCs w:val="24"/>
        </w:rPr>
        <w:t xml:space="preserve"> providing an international forum for the exchange of methods and practices of developing </w:t>
      </w:r>
      <w:r w:rsidRPr="0052088D" w:rsidR="003017AC">
        <w:rPr>
          <w:rFonts w:ascii="Times New Roman" w:hAnsi="Times New Roman" w:cs="Times New Roman"/>
          <w:sz w:val="24"/>
          <w:szCs w:val="24"/>
        </w:rPr>
        <w:lastRenderedPageBreak/>
        <w:t>and using education indic</w:t>
      </w:r>
      <w:r w:rsidRPr="0052088D" w:rsidR="00621C43">
        <w:rPr>
          <w:rFonts w:ascii="Times New Roman" w:hAnsi="Times New Roman" w:cs="Times New Roman"/>
          <w:sz w:val="24"/>
          <w:szCs w:val="24"/>
        </w:rPr>
        <w:t>ators for national policymakers;</w:t>
      </w:r>
      <w:r w:rsidRPr="0052088D" w:rsidR="003017AC">
        <w:rPr>
          <w:rFonts w:ascii="Times New Roman" w:hAnsi="Times New Roman" w:cs="Times New Roman"/>
          <w:sz w:val="24"/>
          <w:szCs w:val="24"/>
        </w:rPr>
        <w:t xml:space="preserve"> and contributing to evaluation methodology and developing more valid, reliable, and comprehensive indi</w:t>
      </w:r>
      <w:r w:rsidRPr="0052088D" w:rsidR="009A7949">
        <w:rPr>
          <w:rFonts w:ascii="Times New Roman" w:hAnsi="Times New Roman" w:cs="Times New Roman"/>
          <w:sz w:val="24"/>
          <w:szCs w:val="24"/>
        </w:rPr>
        <w:t>cators for use in policymaking.</w:t>
      </w:r>
      <w:r w:rsidRPr="0052088D" w:rsidR="003017AC">
        <w:rPr>
          <w:rFonts w:ascii="Times New Roman" w:hAnsi="Times New Roman" w:cs="Times New Roman"/>
          <w:sz w:val="24"/>
          <w:szCs w:val="24"/>
        </w:rPr>
        <w:t xml:space="preserve"> TALIS</w:t>
      </w:r>
      <w:r w:rsidRPr="0052088D" w:rsidR="00CE6683">
        <w:rPr>
          <w:rFonts w:ascii="Times New Roman" w:hAnsi="Times New Roman" w:cs="Times New Roman"/>
          <w:sz w:val="24"/>
          <w:szCs w:val="24"/>
        </w:rPr>
        <w:t xml:space="preserve"> h</w:t>
      </w:r>
      <w:r w:rsidRPr="0052088D" w:rsidR="003017AC">
        <w:rPr>
          <w:rFonts w:ascii="Times New Roman" w:hAnsi="Times New Roman" w:cs="Times New Roman"/>
          <w:sz w:val="24"/>
          <w:szCs w:val="24"/>
        </w:rPr>
        <w:t>as been designed to increase the international information available to OECD countries on teachers, teaching, and the impact that teachers</w:t>
      </w:r>
      <w:r w:rsidRPr="0052088D" w:rsidR="00621C43">
        <w:rPr>
          <w:rFonts w:ascii="Times New Roman" w:hAnsi="Times New Roman" w:cs="Times New Roman"/>
          <w:sz w:val="24"/>
          <w:szCs w:val="24"/>
        </w:rPr>
        <w:t xml:space="preserve"> can have on student learning. </w:t>
      </w:r>
      <w:r w:rsidRPr="0052088D" w:rsidR="009A7949">
        <w:rPr>
          <w:rFonts w:ascii="Times New Roman" w:hAnsi="Times New Roman" w:cs="Times New Roman"/>
          <w:sz w:val="24"/>
          <w:szCs w:val="24"/>
        </w:rPr>
        <w:t>The overall objective of TALIS is to provide international indicators and policy-relevant analysis on teachers and teaching to help countries develop</w:t>
      </w:r>
      <w:r w:rsidRPr="0052088D" w:rsidR="00413511">
        <w:rPr>
          <w:rFonts w:ascii="Times New Roman" w:hAnsi="Times New Roman" w:cs="Times New Roman"/>
          <w:sz w:val="24"/>
          <w:szCs w:val="24"/>
        </w:rPr>
        <w:t xml:space="preserve"> and review</w:t>
      </w:r>
      <w:r w:rsidRPr="0052088D" w:rsidR="009A7949">
        <w:rPr>
          <w:rFonts w:ascii="Times New Roman" w:hAnsi="Times New Roman" w:cs="Times New Roman"/>
          <w:sz w:val="24"/>
          <w:szCs w:val="24"/>
        </w:rPr>
        <w:t xml:space="preserve"> policies that create the conditions for effective schooling.</w:t>
      </w:r>
    </w:p>
    <w:p w:rsidRPr="0052088D" w:rsidR="00DD6264" w:rsidP="00D36763" w:rsidRDefault="00DD6264" w14:paraId="1E238A33" w14:textId="5E3A8B67">
      <w:pPr>
        <w:widowControl w:val="0"/>
        <w:spacing w:line="240" w:lineRule="auto"/>
        <w:rPr>
          <w:rFonts w:ascii="Times New Roman" w:hAnsi="Times New Roman" w:cs="Times New Roman"/>
          <w:sz w:val="24"/>
          <w:szCs w:val="24"/>
        </w:rPr>
      </w:pPr>
      <w:r w:rsidRPr="0052088D">
        <w:rPr>
          <w:rFonts w:ascii="Times New Roman" w:hAnsi="Times New Roman" w:cs="Times New Roman"/>
          <w:sz w:val="24"/>
          <w:szCs w:val="24"/>
        </w:rPr>
        <w:t xml:space="preserve">The </w:t>
      </w:r>
      <w:r w:rsidRPr="0052088D" w:rsidR="006B3B39">
        <w:rPr>
          <w:rFonts w:ascii="Times New Roman" w:hAnsi="Times New Roman" w:cs="Times New Roman"/>
          <w:sz w:val="24"/>
          <w:szCs w:val="24"/>
        </w:rPr>
        <w:t>TALIS 2024</w:t>
      </w:r>
      <w:r w:rsidRPr="0052088D">
        <w:rPr>
          <w:rFonts w:ascii="Times New Roman" w:hAnsi="Times New Roman" w:cs="Times New Roman"/>
          <w:sz w:val="24"/>
          <w:szCs w:val="24"/>
        </w:rPr>
        <w:t xml:space="preserve"> administ</w:t>
      </w:r>
      <w:r w:rsidRPr="0052088D" w:rsidR="00A921F7">
        <w:rPr>
          <w:rFonts w:ascii="Times New Roman" w:hAnsi="Times New Roman" w:cs="Times New Roman"/>
          <w:sz w:val="24"/>
          <w:szCs w:val="24"/>
        </w:rPr>
        <w:t>ration will focus on the ISCED</w:t>
      </w:r>
      <w:r w:rsidRPr="0052088D" w:rsidR="00BB3EF1">
        <w:rPr>
          <w:rStyle w:val="FootnoteReference"/>
          <w:rFonts w:ascii="Times New Roman" w:hAnsi="Times New Roman" w:cs="Times New Roman"/>
          <w:sz w:val="24"/>
          <w:szCs w:val="24"/>
        </w:rPr>
        <w:footnoteReference w:id="2"/>
      </w:r>
      <w:r w:rsidRPr="0052088D" w:rsidR="00A921F7">
        <w:rPr>
          <w:rFonts w:ascii="Times New Roman" w:hAnsi="Times New Roman" w:cs="Times New Roman"/>
          <w:sz w:val="24"/>
          <w:szCs w:val="24"/>
        </w:rPr>
        <w:t xml:space="preserve"> L</w:t>
      </w:r>
      <w:r w:rsidRPr="0052088D">
        <w:rPr>
          <w:rFonts w:ascii="Times New Roman" w:hAnsi="Times New Roman" w:cs="Times New Roman"/>
          <w:sz w:val="24"/>
          <w:szCs w:val="24"/>
        </w:rPr>
        <w:t xml:space="preserve">evel 2 teacher workforce. ISCED Level 2 </w:t>
      </w:r>
      <w:r w:rsidRPr="0052088D" w:rsidR="00A921F7">
        <w:rPr>
          <w:rFonts w:ascii="Times New Roman" w:hAnsi="Times New Roman" w:cs="Times New Roman"/>
          <w:sz w:val="24"/>
          <w:szCs w:val="24"/>
        </w:rPr>
        <w:t xml:space="preserve">is also known as lower secondary education; it </w:t>
      </w:r>
      <w:r w:rsidR="00B253F8">
        <w:rPr>
          <w:rFonts w:ascii="Times New Roman" w:hAnsi="Times New Roman" w:cs="Times New Roman"/>
          <w:sz w:val="24"/>
          <w:szCs w:val="24"/>
        </w:rPr>
        <w:t xml:space="preserve">begins around age 11 and </w:t>
      </w:r>
      <w:r w:rsidRPr="0052088D">
        <w:rPr>
          <w:rFonts w:ascii="Times New Roman" w:hAnsi="Times New Roman" w:cs="Times New Roman"/>
          <w:sz w:val="24"/>
          <w:szCs w:val="24"/>
        </w:rPr>
        <w:t>usually lasts between 2 and 6 year</w:t>
      </w:r>
      <w:r w:rsidRPr="0052088D" w:rsidR="00A921F7">
        <w:rPr>
          <w:rFonts w:ascii="Times New Roman" w:hAnsi="Times New Roman" w:cs="Times New Roman"/>
          <w:sz w:val="24"/>
          <w:szCs w:val="24"/>
        </w:rPr>
        <w:t>s</w:t>
      </w:r>
      <w:r w:rsidRPr="0052088D">
        <w:rPr>
          <w:rFonts w:ascii="Times New Roman" w:hAnsi="Times New Roman" w:cs="Times New Roman"/>
          <w:sz w:val="24"/>
          <w:szCs w:val="24"/>
        </w:rPr>
        <w:t>.</w:t>
      </w:r>
      <w:r w:rsidRPr="0052088D" w:rsidR="00093BF5">
        <w:rPr>
          <w:rFonts w:ascii="Times New Roman" w:hAnsi="Times New Roman" w:cs="Times New Roman"/>
          <w:sz w:val="24"/>
          <w:szCs w:val="24"/>
        </w:rPr>
        <w:t xml:space="preserve"> </w:t>
      </w:r>
      <w:r w:rsidRPr="0052088D">
        <w:rPr>
          <w:rFonts w:ascii="Times New Roman" w:hAnsi="Times New Roman" w:cs="Times New Roman"/>
          <w:sz w:val="24"/>
          <w:szCs w:val="24"/>
        </w:rPr>
        <w:t>Middle school and junior high</w:t>
      </w:r>
      <w:r w:rsidRPr="0052088D" w:rsidR="00D25639">
        <w:rPr>
          <w:rFonts w:ascii="Times New Roman" w:hAnsi="Times New Roman" w:cs="Times New Roman"/>
          <w:sz w:val="24"/>
          <w:szCs w:val="24"/>
        </w:rPr>
        <w:t xml:space="preserve"> </w:t>
      </w:r>
      <w:r w:rsidRPr="0052088D" w:rsidR="008451E4">
        <w:rPr>
          <w:rFonts w:ascii="Times New Roman" w:hAnsi="Times New Roman" w:cs="Times New Roman"/>
          <w:sz w:val="24"/>
          <w:szCs w:val="24"/>
        </w:rPr>
        <w:t>school</w:t>
      </w:r>
      <w:r w:rsidRPr="0052088D">
        <w:rPr>
          <w:rFonts w:ascii="Times New Roman" w:hAnsi="Times New Roman" w:cs="Times New Roman"/>
          <w:sz w:val="24"/>
          <w:szCs w:val="24"/>
        </w:rPr>
        <w:t xml:space="preserve"> (grades 7 through 9) in the </w:t>
      </w:r>
      <w:r w:rsidRPr="0052088D" w:rsidR="0043779C">
        <w:rPr>
          <w:rFonts w:ascii="Times New Roman" w:hAnsi="Times New Roman" w:cs="Times New Roman"/>
          <w:sz w:val="24"/>
          <w:szCs w:val="24"/>
        </w:rPr>
        <w:t>U.S.</w:t>
      </w:r>
      <w:r w:rsidRPr="0052088D" w:rsidR="00A921F7">
        <w:rPr>
          <w:rFonts w:ascii="Times New Roman" w:hAnsi="Times New Roman" w:cs="Times New Roman"/>
          <w:sz w:val="24"/>
          <w:szCs w:val="24"/>
        </w:rPr>
        <w:t xml:space="preserve"> are classified as ISCED L</w:t>
      </w:r>
      <w:r w:rsidRPr="0052088D">
        <w:rPr>
          <w:rFonts w:ascii="Times New Roman" w:hAnsi="Times New Roman" w:cs="Times New Roman"/>
          <w:sz w:val="24"/>
          <w:szCs w:val="24"/>
        </w:rPr>
        <w:t xml:space="preserve">evel 2. </w:t>
      </w:r>
      <w:r w:rsidRPr="0052088D" w:rsidR="00A921F7">
        <w:rPr>
          <w:rFonts w:ascii="Times New Roman" w:hAnsi="Times New Roman" w:cs="Times New Roman"/>
          <w:sz w:val="24"/>
          <w:szCs w:val="24"/>
        </w:rPr>
        <w:t xml:space="preserve">The administration of </w:t>
      </w:r>
      <w:r w:rsidRPr="0052088D" w:rsidR="006B3B39">
        <w:rPr>
          <w:rFonts w:ascii="Times New Roman" w:hAnsi="Times New Roman" w:cs="Times New Roman"/>
          <w:sz w:val="24"/>
          <w:szCs w:val="24"/>
        </w:rPr>
        <w:t>TALIS 2024</w:t>
      </w:r>
      <w:r w:rsidRPr="0052088D" w:rsidR="00A921F7">
        <w:rPr>
          <w:rFonts w:ascii="Times New Roman" w:hAnsi="Times New Roman" w:cs="Times New Roman"/>
          <w:sz w:val="24"/>
          <w:szCs w:val="24"/>
        </w:rPr>
        <w:t xml:space="preserve"> will </w:t>
      </w:r>
      <w:r w:rsidRPr="0052088D">
        <w:rPr>
          <w:rFonts w:ascii="Times New Roman" w:hAnsi="Times New Roman" w:cs="Times New Roman"/>
          <w:sz w:val="24"/>
          <w:szCs w:val="24"/>
        </w:rPr>
        <w:t xml:space="preserve">include both classroom teachers </w:t>
      </w:r>
      <w:r w:rsidRPr="0052088D" w:rsidR="0052088D">
        <w:rPr>
          <w:rFonts w:ascii="Times New Roman" w:hAnsi="Times New Roman" w:cs="Times New Roman"/>
          <w:sz w:val="24"/>
          <w:szCs w:val="24"/>
        </w:rPr>
        <w:t>in</w:t>
      </w:r>
      <w:r w:rsidRPr="0052088D">
        <w:rPr>
          <w:rFonts w:ascii="Times New Roman" w:hAnsi="Times New Roman" w:cs="Times New Roman"/>
          <w:sz w:val="24"/>
          <w:szCs w:val="24"/>
        </w:rPr>
        <w:t xml:space="preserve"> lower secondary </w:t>
      </w:r>
      <w:r w:rsidRPr="0052088D" w:rsidR="00A921F7">
        <w:rPr>
          <w:rFonts w:ascii="Times New Roman" w:hAnsi="Times New Roman" w:cs="Times New Roman"/>
          <w:sz w:val="24"/>
          <w:szCs w:val="24"/>
        </w:rPr>
        <w:t xml:space="preserve">education </w:t>
      </w:r>
      <w:r w:rsidRPr="0052088D">
        <w:rPr>
          <w:rFonts w:ascii="Times New Roman" w:hAnsi="Times New Roman" w:cs="Times New Roman"/>
          <w:sz w:val="24"/>
          <w:szCs w:val="24"/>
        </w:rPr>
        <w:t xml:space="preserve">school programs as well as the principals of their schools. Teachers </w:t>
      </w:r>
      <w:r w:rsidR="00DB0B3C">
        <w:rPr>
          <w:rFonts w:ascii="Times New Roman" w:hAnsi="Times New Roman" w:cs="Times New Roman"/>
          <w:sz w:val="24"/>
          <w:szCs w:val="24"/>
        </w:rPr>
        <w:t>who</w:t>
      </w:r>
      <w:r w:rsidRPr="0052088D">
        <w:rPr>
          <w:rFonts w:ascii="Times New Roman" w:hAnsi="Times New Roman" w:cs="Times New Roman"/>
          <w:sz w:val="24"/>
          <w:szCs w:val="24"/>
        </w:rPr>
        <w:t xml:space="preserve"> teach </w:t>
      </w:r>
      <w:r w:rsidRPr="0052088D" w:rsidR="00882454">
        <w:rPr>
          <w:rFonts w:ascii="Times New Roman" w:hAnsi="Times New Roman" w:cs="Times New Roman"/>
          <w:sz w:val="24"/>
          <w:szCs w:val="24"/>
        </w:rPr>
        <w:t xml:space="preserve">in </w:t>
      </w:r>
      <w:r w:rsidRPr="0052088D">
        <w:rPr>
          <w:rFonts w:ascii="Times New Roman" w:hAnsi="Times New Roman" w:cs="Times New Roman"/>
          <w:sz w:val="24"/>
          <w:szCs w:val="24"/>
        </w:rPr>
        <w:t>special needs</w:t>
      </w:r>
      <w:r w:rsidRPr="0052088D" w:rsidR="009C5032">
        <w:rPr>
          <w:rFonts w:ascii="Times New Roman" w:hAnsi="Times New Roman" w:cs="Times New Roman"/>
          <w:sz w:val="24"/>
          <w:szCs w:val="24"/>
        </w:rPr>
        <w:t>-</w:t>
      </w:r>
      <w:r w:rsidRPr="0052088D" w:rsidR="00882454">
        <w:rPr>
          <w:rFonts w:ascii="Times New Roman" w:hAnsi="Times New Roman" w:cs="Times New Roman"/>
          <w:sz w:val="24"/>
          <w:szCs w:val="24"/>
        </w:rPr>
        <w:t>only schools</w:t>
      </w:r>
      <w:r w:rsidRPr="0052088D">
        <w:rPr>
          <w:rFonts w:ascii="Times New Roman" w:hAnsi="Times New Roman" w:cs="Times New Roman"/>
          <w:sz w:val="24"/>
          <w:szCs w:val="24"/>
        </w:rPr>
        <w:t xml:space="preserve">, </w:t>
      </w:r>
      <w:r w:rsidR="00DB0B3C">
        <w:rPr>
          <w:rFonts w:ascii="Times New Roman" w:hAnsi="Times New Roman" w:cs="Times New Roman"/>
          <w:sz w:val="24"/>
          <w:szCs w:val="24"/>
        </w:rPr>
        <w:t xml:space="preserve">teachers who </w:t>
      </w:r>
      <w:r w:rsidRPr="0052088D">
        <w:rPr>
          <w:rFonts w:ascii="Times New Roman" w:hAnsi="Times New Roman" w:cs="Times New Roman"/>
          <w:sz w:val="24"/>
          <w:szCs w:val="24"/>
        </w:rPr>
        <w:t>teach exclusively adults, occasional or emergency teachers</w:t>
      </w:r>
      <w:r w:rsidRPr="0052088D" w:rsidR="004A0A15">
        <w:rPr>
          <w:rFonts w:ascii="Times New Roman" w:hAnsi="Times New Roman" w:cs="Times New Roman"/>
          <w:sz w:val="24"/>
          <w:szCs w:val="24"/>
        </w:rPr>
        <w:t>,</w:t>
      </w:r>
      <w:r w:rsidRPr="0052088D">
        <w:rPr>
          <w:rFonts w:ascii="Times New Roman" w:hAnsi="Times New Roman" w:cs="Times New Roman"/>
          <w:sz w:val="24"/>
          <w:szCs w:val="24"/>
        </w:rPr>
        <w:t xml:space="preserve"> or teachers who are on long-term leave </w:t>
      </w:r>
      <w:r w:rsidRPr="0052088D" w:rsidR="004A0A15">
        <w:rPr>
          <w:rFonts w:ascii="Times New Roman" w:hAnsi="Times New Roman" w:cs="Times New Roman"/>
          <w:sz w:val="24"/>
          <w:szCs w:val="24"/>
        </w:rPr>
        <w:t>and</w:t>
      </w:r>
      <w:r w:rsidRPr="0052088D">
        <w:rPr>
          <w:rFonts w:ascii="Times New Roman" w:hAnsi="Times New Roman" w:cs="Times New Roman"/>
          <w:sz w:val="24"/>
          <w:szCs w:val="24"/>
        </w:rPr>
        <w:t xml:space="preserve"> are not expected to be back teaching at the time of data collection will not be included in the sample.</w:t>
      </w:r>
    </w:p>
    <w:p w:rsidRPr="0052088D" w:rsidR="00637450" w:rsidP="4546EA1D" w:rsidRDefault="05FE9296" w14:paraId="54798025" w14:textId="627C9573">
      <w:pPr>
        <w:spacing w:line="240" w:lineRule="auto"/>
        <w:rPr>
          <w:rFonts w:ascii="Times New Roman" w:hAnsi="Times New Roman" w:cs="Times New Roman"/>
          <w:sz w:val="24"/>
          <w:szCs w:val="24"/>
        </w:rPr>
      </w:pPr>
      <w:r w:rsidRPr="05FE9296">
        <w:rPr>
          <w:rFonts w:ascii="Times New Roman" w:hAnsi="Times New Roman" w:cs="Times New Roman"/>
          <w:b/>
          <w:bCs/>
          <w:sz w:val="24"/>
          <w:szCs w:val="24"/>
        </w:rPr>
        <w:t xml:space="preserve">TALIS </w:t>
      </w:r>
      <w:r w:rsidRPr="000E54C4">
        <w:rPr>
          <w:rFonts w:ascii="Times New Roman" w:hAnsi="Times New Roman" w:cs="Times New Roman"/>
          <w:b/>
          <w:bCs/>
          <w:sz w:val="24"/>
          <w:szCs w:val="24"/>
        </w:rPr>
        <w:t>Instruments</w:t>
      </w:r>
      <w:r w:rsidRPr="000E54C4">
        <w:rPr>
          <w:rFonts w:ascii="Times New Roman" w:hAnsi="Times New Roman" w:cs="Times New Roman"/>
          <w:sz w:val="24"/>
          <w:szCs w:val="24"/>
        </w:rPr>
        <w:t>: Every participating country must implement two core background questionnaires for core TALIS 2024: a principal questionnaire and a teacher questionnaire. These instruments have been developed to address the TALIS 2024 questionnaire frameworks, which define the themes described below in section A.4. Themes captured in the teacher and principal core questionnaires include practices and beliefs about teaching and learning, professional development, job satisfaction, school climate, teacher self-efficacy, and school leadership. These teacher and principal questionnaires include items that have been administered in multiple cycles of TALIS, allowing the investigation of patterns and trends over time. The TKS questionnaire will capture teacher’s pedagogical knowledge as well as background and contextual items</w:t>
      </w:r>
      <w:r w:rsidR="0073361F">
        <w:rPr>
          <w:rFonts w:ascii="Times New Roman" w:hAnsi="Times New Roman" w:cs="Times New Roman"/>
          <w:sz w:val="24"/>
          <w:szCs w:val="24"/>
        </w:rPr>
        <w:t>.</w:t>
      </w:r>
      <w:r w:rsidR="001F20CF">
        <w:rPr>
          <w:rStyle w:val="FootnoteReference"/>
          <w:rFonts w:ascii="Times New Roman" w:hAnsi="Times New Roman" w:cs="Times New Roman"/>
          <w:sz w:val="24"/>
          <w:szCs w:val="24"/>
        </w:rPr>
        <w:footnoteReference w:id="3"/>
      </w:r>
      <w:r w:rsidRPr="000E54C4">
        <w:rPr>
          <w:rFonts w:ascii="Times New Roman" w:hAnsi="Times New Roman" w:cs="Times New Roman"/>
          <w:sz w:val="24"/>
          <w:szCs w:val="24"/>
        </w:rPr>
        <w:t xml:space="preserve"> Sampled teachers will complete either the core TALIS questionnaire or the TKS questionnaire, but not both. Countries adapt the questions to fit their national context and the questionnaires are reviewed and professionally verified</w:t>
      </w:r>
      <w:r w:rsidRPr="05FE9296">
        <w:rPr>
          <w:rFonts w:ascii="Times New Roman" w:hAnsi="Times New Roman" w:cs="Times New Roman"/>
          <w:sz w:val="24"/>
          <w:szCs w:val="24"/>
        </w:rPr>
        <w:t xml:space="preserve"> to ensure they remain comparable across countries.</w:t>
      </w:r>
    </w:p>
    <w:p w:rsidRPr="0052088D" w:rsidR="00413511" w:rsidP="00F63C37" w:rsidRDefault="00413511" w14:paraId="5435FF6E" w14:textId="3B674DE4">
      <w:pPr>
        <w:pStyle w:val="Heading1"/>
      </w:pPr>
      <w:bookmarkStart w:name="_Toc260729190" w:id="12"/>
      <w:bookmarkStart w:name="_Toc299121365" w:id="13"/>
      <w:bookmarkStart w:name="_Toc90025999" w:id="14"/>
      <w:r w:rsidRPr="0052088D">
        <w:t>A.3</w:t>
      </w:r>
      <w:r w:rsidRPr="0052088D">
        <w:tab/>
        <w:t>Improved Information Technology (Reduction of Burden)</w:t>
      </w:r>
      <w:bookmarkEnd w:id="12"/>
      <w:bookmarkEnd w:id="13"/>
      <w:bookmarkEnd w:id="14"/>
    </w:p>
    <w:p w:rsidRPr="000E54C4" w:rsidR="00045894" w:rsidP="00D36763" w:rsidRDefault="44FD35A1" w14:paraId="3694FFB2" w14:textId="38AC052F">
      <w:pPr>
        <w:spacing w:line="240" w:lineRule="auto"/>
        <w:rPr>
          <w:rFonts w:ascii="Times New Roman" w:hAnsi="Times New Roman" w:cs="Times New Roman"/>
          <w:sz w:val="24"/>
          <w:szCs w:val="24"/>
        </w:rPr>
      </w:pPr>
      <w:r w:rsidRPr="44FD35A1">
        <w:rPr>
          <w:rFonts w:ascii="Times New Roman" w:hAnsi="Times New Roman" w:cs="Times New Roman"/>
          <w:sz w:val="24"/>
          <w:szCs w:val="24"/>
        </w:rPr>
        <w:t>The TALIS 2024 design and procedures are prescribed internationally. Data collection will involve teachers completing either the core or TKS questionnaire, each estimated to be completed in 60 minutes. Principals will complete a 45-minute questionnaire. To reduce the amount of paper and printing costs, the TALIS instruments for the field test and main study will be administered online, although paper versions will be made available to participants upon request.</w:t>
      </w:r>
    </w:p>
    <w:p w:rsidRPr="00936FF0" w:rsidR="004436CA" w:rsidP="00D36763" w:rsidRDefault="2669B493" w14:paraId="2AE0D39B" w14:textId="7E3CD654">
      <w:pPr>
        <w:spacing w:line="240" w:lineRule="auto"/>
        <w:rPr>
          <w:rFonts w:ascii="Times New Roman" w:hAnsi="Times New Roman" w:cs="Times New Roman"/>
          <w:sz w:val="24"/>
          <w:szCs w:val="24"/>
        </w:rPr>
      </w:pPr>
      <w:r w:rsidRPr="000E54C4">
        <w:rPr>
          <w:rFonts w:ascii="Times New Roman" w:hAnsi="Times New Roman" w:cs="Times New Roman"/>
          <w:sz w:val="24"/>
          <w:szCs w:val="24"/>
        </w:rPr>
        <w:t xml:space="preserve">A communication website, MyTALIS.us, will be used during the 2023 field test and 2024 main study to provide a simple, single source of information to support engaging teachers and principals and maintain high levels of their involvement. This secure portal will be used to inform schools, particularly school coordinators, of their tasks and to provide them with easy access to information tailored for their anticipated needs. We will gather teacher sampling information from participating schools electronically using an adaptation of </w:t>
      </w:r>
      <w:r w:rsidRPr="000E54C4" w:rsidR="002A19C3">
        <w:rPr>
          <w:rFonts w:ascii="Times New Roman" w:hAnsi="Times New Roman" w:cs="Times New Roman"/>
          <w:sz w:val="24"/>
          <w:szCs w:val="24"/>
        </w:rPr>
        <w:t>We stat’s</w:t>
      </w:r>
      <w:r w:rsidRPr="000E54C4">
        <w:rPr>
          <w:rFonts w:ascii="Times New Roman" w:hAnsi="Times New Roman" w:cs="Times New Roman"/>
          <w:sz w:val="24"/>
          <w:szCs w:val="24"/>
        </w:rPr>
        <w:t xml:space="preserve"> secure E-filing process through the MyTALIS.us portal. E-filing is an electronic system for submitting lists of teacher information, including limited background information from school records. E-filing has been used successfully in the National Assessment of Educational Progress (NAEP) for more than 10 years, and was used in TALIS 2018, as well as in </w:t>
      </w:r>
      <w:r w:rsidRPr="000E54C4" w:rsidR="00215B23">
        <w:rPr>
          <w:rFonts w:ascii="Times New Roman" w:hAnsi="Times New Roman" w:cs="Times New Roman"/>
          <w:sz w:val="24"/>
          <w:szCs w:val="24"/>
        </w:rPr>
        <w:t xml:space="preserve">the Trends in </w:t>
      </w:r>
      <w:r w:rsidRPr="000E54C4" w:rsidR="00215B23">
        <w:rPr>
          <w:rFonts w:ascii="Times New Roman" w:hAnsi="Times New Roman" w:cs="Times New Roman"/>
          <w:sz w:val="24"/>
          <w:szCs w:val="24"/>
        </w:rPr>
        <w:lastRenderedPageBreak/>
        <w:t>International Mathematics and Science Study</w:t>
      </w:r>
      <w:r w:rsidR="00215B23">
        <w:rPr>
          <w:rFonts w:ascii="Times New Roman" w:hAnsi="Times New Roman" w:cs="Times New Roman"/>
          <w:sz w:val="24"/>
          <w:szCs w:val="24"/>
        </w:rPr>
        <w:t xml:space="preserve"> (</w:t>
      </w:r>
      <w:r w:rsidRPr="2669B493">
        <w:rPr>
          <w:rFonts w:ascii="Times New Roman" w:hAnsi="Times New Roman" w:cs="Times New Roman"/>
          <w:sz w:val="24"/>
          <w:szCs w:val="24"/>
        </w:rPr>
        <w:t>TIMSS</w:t>
      </w:r>
      <w:r w:rsidR="00215B23">
        <w:rPr>
          <w:rFonts w:ascii="Times New Roman" w:hAnsi="Times New Roman" w:cs="Times New Roman"/>
          <w:sz w:val="24"/>
          <w:szCs w:val="24"/>
        </w:rPr>
        <w:t>)</w:t>
      </w:r>
      <w:r w:rsidRPr="2669B493">
        <w:rPr>
          <w:rFonts w:ascii="Times New Roman" w:hAnsi="Times New Roman" w:cs="Times New Roman"/>
          <w:sz w:val="24"/>
          <w:szCs w:val="24"/>
        </w:rPr>
        <w:t xml:space="preserve"> 2015 and 2019, </w:t>
      </w:r>
      <w:r w:rsidR="00EA587B">
        <w:rPr>
          <w:rFonts w:ascii="Times New Roman" w:hAnsi="Times New Roman" w:cs="Times New Roman"/>
          <w:sz w:val="24"/>
          <w:szCs w:val="24"/>
        </w:rPr>
        <w:t>the International Computer and Information Literacy Study (</w:t>
      </w:r>
      <w:r w:rsidRPr="2669B493">
        <w:rPr>
          <w:rFonts w:ascii="Times New Roman" w:hAnsi="Times New Roman" w:cs="Times New Roman"/>
          <w:sz w:val="24"/>
          <w:szCs w:val="24"/>
        </w:rPr>
        <w:t>ICILS</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2018, and </w:t>
      </w:r>
      <w:r w:rsidR="00EA587B">
        <w:rPr>
          <w:rFonts w:ascii="Times New Roman" w:hAnsi="Times New Roman" w:cs="Times New Roman"/>
          <w:sz w:val="24"/>
          <w:szCs w:val="24"/>
        </w:rPr>
        <w:t>the Program for International Student Assessment (</w:t>
      </w:r>
      <w:r w:rsidRPr="2669B493">
        <w:rPr>
          <w:rFonts w:ascii="Times New Roman" w:hAnsi="Times New Roman" w:cs="Times New Roman"/>
          <w:sz w:val="24"/>
          <w:szCs w:val="24"/>
        </w:rPr>
        <w:t>PISA</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2012, 2015, and 2018 assessments. The E-filing system provides advantageous features such as efficiency and data quality checks, and secure data transmission.</w:t>
      </w:r>
    </w:p>
    <w:p w:rsidRPr="0052088D" w:rsidR="00AC189E" w:rsidP="00F63C37" w:rsidRDefault="00AC189E" w14:paraId="0D221640" w14:textId="77777777">
      <w:pPr>
        <w:pStyle w:val="Heading1"/>
      </w:pPr>
      <w:bookmarkStart w:name="_Toc260729191" w:id="15"/>
      <w:bookmarkStart w:name="_Toc299121366" w:id="16"/>
      <w:bookmarkStart w:name="_Toc90026000" w:id="17"/>
      <w:bookmarkStart w:name="_Toc260729192" w:id="18"/>
      <w:r w:rsidRPr="0052088D">
        <w:t>A.4</w:t>
      </w:r>
      <w:r w:rsidRPr="0052088D">
        <w:tab/>
        <w:t>Efforts to Identify Duplication</w:t>
      </w:r>
      <w:bookmarkEnd w:id="15"/>
      <w:bookmarkEnd w:id="16"/>
      <w:bookmarkEnd w:id="17"/>
    </w:p>
    <w:p w:rsidRPr="0052088D" w:rsidR="00AC189E" w:rsidP="25CE0EC7" w:rsidRDefault="730B5A0A" w14:paraId="6FBC4CC5" w14:textId="16DC080A">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The U.S., through NCES, has been conducting its own national survey of schools and school personnel called the </w:t>
      </w:r>
      <w:r w:rsidR="00215B23">
        <w:rPr>
          <w:rFonts w:ascii="Times New Roman" w:hAnsi="Times New Roman" w:cs="Times New Roman"/>
          <w:sz w:val="24"/>
          <w:szCs w:val="24"/>
        </w:rPr>
        <w:t>National Teacher and Principal Survey (NTPS, formerly known as the Schools and Staffing Survey)</w:t>
      </w:r>
      <w:r w:rsidRPr="730B5A0A">
        <w:rPr>
          <w:rFonts w:ascii="Times New Roman" w:hAnsi="Times New Roman" w:cs="Times New Roman"/>
          <w:sz w:val="24"/>
          <w:szCs w:val="24"/>
        </w:rPr>
        <w:t xml:space="preserve"> since 1985. Additionally, the U.S. continues to conduct NAEP, which includes teacher and school questionnaires</w:t>
      </w:r>
      <w:r w:rsidR="00215B23">
        <w:rPr>
          <w:rFonts w:ascii="Times New Roman" w:hAnsi="Times New Roman" w:cs="Times New Roman"/>
          <w:sz w:val="24"/>
          <w:szCs w:val="24"/>
        </w:rPr>
        <w:t xml:space="preserve">. The U.S. also </w:t>
      </w:r>
      <w:r w:rsidRPr="730B5A0A">
        <w:rPr>
          <w:rFonts w:ascii="Times New Roman" w:hAnsi="Times New Roman" w:cs="Times New Roman"/>
          <w:sz w:val="24"/>
          <w:szCs w:val="24"/>
        </w:rPr>
        <w:t>participates in several international assessments that have teacher and school questionnaires, including TIMSS, the Progress in International Reading Literacy Study (PIRLS</w:t>
      </w:r>
      <w:r w:rsidRPr="730B5A0A">
        <w:rPr>
          <w:sz w:val="24"/>
          <w:szCs w:val="24"/>
        </w:rPr>
        <w:t>), and</w:t>
      </w:r>
      <w:r w:rsidR="00EA587B">
        <w:rPr>
          <w:sz w:val="24"/>
          <w:szCs w:val="24"/>
        </w:rPr>
        <w:t xml:space="preserve"> </w:t>
      </w:r>
      <w:r w:rsidRPr="730B5A0A">
        <w:rPr>
          <w:color w:val="000000" w:themeColor="text1"/>
          <w:sz w:val="24"/>
          <w:szCs w:val="24"/>
        </w:rPr>
        <w:t>ICILS</w:t>
      </w:r>
      <w:r w:rsidRPr="730B5A0A">
        <w:rPr>
          <w:sz w:val="24"/>
          <w:szCs w:val="24"/>
        </w:rPr>
        <w:t xml:space="preserve">. </w:t>
      </w:r>
      <w:r w:rsidRPr="730B5A0A">
        <w:rPr>
          <w:rFonts w:ascii="Times New Roman" w:hAnsi="Times New Roman" w:cs="Times New Roman"/>
          <w:sz w:val="24"/>
          <w:szCs w:val="24"/>
        </w:rPr>
        <w:t>The teacher and principal questionnaires used in TALIS differ from these studies’ questionnaires in several important ways.</w:t>
      </w:r>
    </w:p>
    <w:p w:rsidRPr="0052088D" w:rsidR="00093BF5" w:rsidP="00D36763" w:rsidRDefault="05FE9296" w14:paraId="25DA1243" w14:textId="236EF1F6">
      <w:pPr>
        <w:spacing w:line="240" w:lineRule="auto"/>
        <w:rPr>
          <w:rFonts w:ascii="Times New Roman" w:hAnsi="Times New Roman" w:cs="Times New Roman"/>
          <w:sz w:val="24"/>
          <w:szCs w:val="24"/>
        </w:rPr>
      </w:pPr>
      <w:r w:rsidRPr="05FE9296">
        <w:rPr>
          <w:rFonts w:ascii="Times New Roman" w:hAnsi="Times New Roman" w:cs="Times New Roman"/>
          <w:sz w:val="24"/>
          <w:szCs w:val="24"/>
        </w:rPr>
        <w:t>NTPS focus on collecting foundational school and organizational teacher characteristics, such as teacher demand and shortage, teacher and administrator characteristics, school programs, general conditions in schools, perceptions of school climate, and problems in school, teacher compensation, and hiring practices. TALIS items, on the other hand, aim to form connections between these key characteristics and highlight the underlying mechanisms driving teacher practice. More specifically, where NTPS collect a large amount of information on a teacher’s background, training, and in-field or out-of-field credentials, TALIS investigates other factors that may impact instructional practice such as instructional beliefs and the likelihood of utilizing various pedagogical strategies. Notably, TALIS also focuses on gathering the information necessary to make connections between teacher appraisal and feedback and the type, frequency, and duration of professional development opportunities teachers receive.</w:t>
      </w:r>
    </w:p>
    <w:p w:rsidRPr="006C0E03" w:rsidR="00AC189E" w:rsidP="25CE0EC7" w:rsidRDefault="2669B493" w14:paraId="7912E22E" w14:textId="438B7A18">
      <w:pPr>
        <w:widowControl w:val="0"/>
        <w:spacing w:line="240" w:lineRule="auto"/>
        <w:rPr>
          <w:rFonts w:ascii="Times New Roman" w:hAnsi="Times New Roman" w:cs="Times New Roman"/>
          <w:sz w:val="24"/>
          <w:szCs w:val="24"/>
        </w:rPr>
      </w:pPr>
      <w:r w:rsidRPr="2669B493">
        <w:rPr>
          <w:rFonts w:ascii="Times New Roman" w:hAnsi="Times New Roman" w:cs="Times New Roman"/>
          <w:sz w:val="24"/>
          <w:szCs w:val="24"/>
        </w:rPr>
        <w:t xml:space="preserve">In addition to conceptual differences in item design, TALIS and NTPS also differ in the measurement of items. In the areas where there is some overlap between these two survey programs’ instruments, the questions for teachers are quite different and not interchangeable. In 2016, NCES convened a task force to compare the most recent NTPS and TALIS questionnaires to identify potential areas of overlap and avoid duplicative efforts in the latest iterations of both surveys. For example, both the NTPS and TALIS measure preparedness for various teaching elements, but TALIS asks about whether various elements were included in the teachers’ formal education or training while NTPS does not. Both questionnaires measure teacher perception of preparedness using the same response options, but TALIS and NTPS focus on different elements. For example, TALIS asks teachers about their preparedness regarding the content of subjects taught as well as pedagogy for subjects taught and general pedagogy. NTPS measures preparedness for content only. Further, NTPS and TALIS measure working conditions differently. Both surveys use a similar definition for the reference period and measure the number of hours spent in instruction. However, TALIS also gathers information on hours spent on a wide range of non-instructional activities not gathered in detail by NTPS. The NAEP, TIMSS, ICILS, and PIRLS </w:t>
      </w:r>
      <w:r w:rsidR="009714C7">
        <w:rPr>
          <w:rFonts w:ascii="Times New Roman" w:hAnsi="Times New Roman" w:cs="Times New Roman"/>
          <w:sz w:val="24"/>
          <w:szCs w:val="24"/>
        </w:rPr>
        <w:t xml:space="preserve">studies </w:t>
      </w:r>
      <w:r w:rsidRPr="2669B493">
        <w:rPr>
          <w:rFonts w:ascii="Times New Roman" w:hAnsi="Times New Roman" w:cs="Times New Roman"/>
          <w:sz w:val="24"/>
          <w:szCs w:val="24"/>
        </w:rPr>
        <w:t xml:space="preserve">also have teacher and school questionnaires, but their focus is student achievement in concentrated subject areas. NAEP collects information about teachers’ backgrounds and instructional practices as they relate to student achievement, which can be used to investigate the relationship between students’ achievement and various school and teacher factors that may influence this achievement. TIMSS seeks information about teachers’ background, instructional practices, and attitudes toward teaching a specific subject (mathematics or science). ICILS captures information on the use of </w:t>
      </w:r>
      <w:r w:rsidRPr="2669B493">
        <w:rPr>
          <w:rFonts w:ascii="Times New Roman" w:hAnsi="Times New Roman" w:eastAsia="Times New Roman" w:cs="Times New Roman"/>
          <w:sz w:val="24"/>
          <w:szCs w:val="24"/>
        </w:rPr>
        <w:t>Information and Communication Technology</w:t>
      </w:r>
      <w:r w:rsidRPr="2669B493">
        <w:rPr>
          <w:rFonts w:ascii="Times New Roman" w:hAnsi="Times New Roman" w:cs="Times New Roman"/>
          <w:sz w:val="24"/>
          <w:szCs w:val="24"/>
        </w:rPr>
        <w:t xml:space="preserve"> (ICT) and student development of ICT literacy. PIRLS intends to supply information about teacher backgrounds, classroom resources, and instructional materials for teaching reading. Therefore, for both conceptual and measurement reasons, alternate sources for these data do not exist.</w:t>
      </w:r>
    </w:p>
    <w:p w:rsidRPr="000D75CF" w:rsidR="00AC189E" w:rsidP="00D36763" w:rsidRDefault="730B5A0A" w14:paraId="647BF279" w14:textId="7572B0FE">
      <w:pPr>
        <w:spacing w:line="240" w:lineRule="auto"/>
        <w:rPr>
          <w:rFonts w:ascii="Times New Roman" w:hAnsi="Times New Roman" w:cs="Times New Roman"/>
          <w:sz w:val="24"/>
          <w:szCs w:val="24"/>
        </w:rPr>
      </w:pPr>
      <w:r w:rsidRPr="730B5A0A">
        <w:rPr>
          <w:rFonts w:ascii="Times New Roman" w:hAnsi="Times New Roman" w:cs="Times New Roman"/>
          <w:sz w:val="24"/>
          <w:szCs w:val="24"/>
        </w:rPr>
        <w:lastRenderedPageBreak/>
        <w:t>TALIS 2024 focuses on 11 themes motivated by current theory and research:</w:t>
      </w:r>
    </w:p>
    <w:p w:rsidRPr="000D75CF" w:rsidR="00D27FBC" w:rsidP="000D75CF" w:rsidRDefault="730B5A0A" w14:paraId="0211FE3A" w14:textId="3EBF0D36">
      <w:pPr>
        <w:pStyle w:val="ListParagraph"/>
      </w:pPr>
      <w:r>
        <w:t>Teachers’ instructional practices and beliefs: teaching practices and beliefs with a focus on classroom management, teachers’ views on resources of effective teaching, teachers’ openness to adopting innovative teaching practices, and their views on school conditions and incentives to foster innovation.</w:t>
      </w:r>
    </w:p>
    <w:p w:rsidRPr="00CA2BD2" w:rsidR="00D27FBC" w:rsidP="000D75CF" w:rsidRDefault="730B5A0A" w14:paraId="0752AAA0" w14:textId="7BFEFDFD">
      <w:pPr>
        <w:pStyle w:val="ListParagraph"/>
      </w:pPr>
      <w:r>
        <w:t>School leadership: the profile of school leadership and management styles (including indicators on the roles and functions of school leaders) and distributed/team leadership.</w:t>
      </w:r>
    </w:p>
    <w:p w:rsidRPr="00CA2BD2" w:rsidR="00882B2B" w:rsidP="000D75CF" w:rsidRDefault="730B5A0A" w14:paraId="09686E68" w14:textId="5168D989">
      <w:pPr>
        <w:pStyle w:val="ListParagraph"/>
      </w:pPr>
      <w:r>
        <w:t>Teachers’ professional practices: teaching practices, cooperation among teaching staff, teaching special education needs students, the pedagogical use of technology (while ensuring there is no overlap with other studies), and student assessment practices.</w:t>
      </w:r>
    </w:p>
    <w:p w:rsidRPr="00CA2BD2" w:rsidR="00D27FBC" w:rsidP="000D75CF" w:rsidRDefault="730B5A0A" w14:paraId="066051AF" w14:textId="2C0B4A47">
      <w:pPr>
        <w:pStyle w:val="ListParagraph"/>
      </w:pPr>
      <w:r>
        <w:t>Teacher education and initial preparation: duration of education, content of formal education or training, pedagogical content knowledge, general pedagogical knowledge, and practical experience</w:t>
      </w:r>
      <w:r w:rsidR="00842DD3">
        <w:t>.</w:t>
      </w:r>
    </w:p>
    <w:p w:rsidR="000D75CF" w:rsidP="000D75CF" w:rsidRDefault="730B5A0A" w14:paraId="4E35E7FF" w14:textId="3A790900">
      <w:pPr>
        <w:pStyle w:val="ListParagraph"/>
      </w:pPr>
      <w:r>
        <w:t>Teacher feedback and development: in-service professional development (types of activities, participation rates, intensity of participation, mentoring, and induction programs), the needs and demands for in-service professional development, barriers preventing participation in in-service professional development, the perceived impact of in-service professional development, forms of professional development that impact teaching and other aspects of professional practice, connections between teacher feedback and development, feedback as a feature of effective professional development, and feedback supporting innovation in teaching practice.</w:t>
      </w:r>
    </w:p>
    <w:p w:rsidRPr="000D75CF" w:rsidR="00021198" w:rsidP="000D75CF" w:rsidRDefault="730B5A0A" w14:paraId="4C38E58F" w14:textId="5764C760">
      <w:pPr>
        <w:pStyle w:val="ListParagraph"/>
      </w:pPr>
      <w:r>
        <w:t>School climate: disciplinary climate, teacher-student relations, teachers’ working time, and parent-teacher and parent-school relations.</w:t>
      </w:r>
    </w:p>
    <w:p w:rsidRPr="00CA2BD2" w:rsidR="00D27FBC" w:rsidP="000D75CF" w:rsidRDefault="730B5A0A" w14:paraId="3DCB8FB7" w14:textId="7FB7ACE0">
      <w:pPr>
        <w:pStyle w:val="ListParagraph"/>
      </w:pPr>
      <w:r>
        <w:t>Job satisfaction: overall job satisfaction, teacher perception of the value of the teaching profession, teachers’ views on the factors that would increase their job satisfaction, and perception of the value of the profession.</w:t>
      </w:r>
    </w:p>
    <w:p w:rsidRPr="00CA2BD2" w:rsidR="00D27FBC" w:rsidP="000D75CF" w:rsidRDefault="730B5A0A" w14:paraId="73A41804" w14:textId="2646CC71">
      <w:pPr>
        <w:pStyle w:val="ListParagraph"/>
        <w:rPr>
          <w:rFonts w:asciiTheme="minorHAnsi" w:hAnsiTheme="minorHAnsi" w:cstheme="minorBidi"/>
        </w:rPr>
      </w:pPr>
      <w:r>
        <w:t>Teacher self-efficacy: the extent to which teachers feel capable of performing general teaching practices and specific instruction to foster 21</w:t>
      </w:r>
      <w:r w:rsidRPr="730B5A0A">
        <w:rPr>
          <w:vertAlign w:val="superscript"/>
        </w:rPr>
        <w:t>st</w:t>
      </w:r>
      <w:r>
        <w:t xml:space="preserve"> century skills, the relations between self-efficacy, job satisfaction, and further relevant teacher outcomes, individual differences in self-efficacy with respect to teachers’ age, education, gender, and school environment.</w:t>
      </w:r>
    </w:p>
    <w:p w:rsidRPr="000E54C4" w:rsidR="00EB1D99" w:rsidP="000D75CF" w:rsidRDefault="730B5A0A" w14:paraId="4B8CA0AD" w14:textId="77777777">
      <w:pPr>
        <w:pStyle w:val="ListParagraph"/>
      </w:pPr>
      <w:r>
        <w:t xml:space="preserve">Diversity: policies and practices surrounding the recognition of diversity and supports for inclusion </w:t>
      </w:r>
      <w:r w:rsidRPr="000E54C4">
        <w:t>at the school and in the classroom.</w:t>
      </w:r>
    </w:p>
    <w:p w:rsidRPr="000E54C4" w:rsidR="1128E4B2" w:rsidP="730B5A0A" w:rsidRDefault="730B5A0A" w14:paraId="473C2E35" w14:textId="303563AC">
      <w:pPr>
        <w:pStyle w:val="ListParagraph"/>
      </w:pPr>
      <w:r w:rsidRPr="000E54C4">
        <w:t>Educational use of technology: teachers’ education and professional learning in the use of technology, teaching and professional practices, occupational perceptions, teacher attitudes toward and beliefs about technology, and school leadership and resources.</w:t>
      </w:r>
    </w:p>
    <w:p w:rsidRPr="000E54C4" w:rsidR="1128E4B2" w:rsidP="730B5A0A" w:rsidRDefault="730B5A0A" w14:paraId="72673089" w14:textId="6CBA7574">
      <w:pPr>
        <w:pStyle w:val="ListParagraph"/>
      </w:pPr>
      <w:r w:rsidRPr="000E54C4">
        <w:t>Social and emotional learning: student task performance, emotional regulation, collaboration, open-mindedness, engaging with others, and motivational aspects of learning.</w:t>
      </w:r>
    </w:p>
    <w:p w:rsidRPr="000E54C4" w:rsidR="1128E4B2" w:rsidP="730B5A0A" w:rsidRDefault="730B5A0A" w14:paraId="3E7CB079" w14:textId="0305AE79">
      <w:pPr>
        <w:rPr>
          <w:rFonts w:ascii="Times New Roman" w:hAnsi="Times New Roman" w:cs="Times New Roman"/>
          <w:sz w:val="24"/>
          <w:szCs w:val="24"/>
        </w:rPr>
      </w:pPr>
      <w:r w:rsidRPr="000E54C4">
        <w:rPr>
          <w:rFonts w:ascii="Times New Roman" w:hAnsi="Times New Roman" w:cs="Times New Roman"/>
          <w:sz w:val="24"/>
          <w:szCs w:val="24"/>
        </w:rPr>
        <w:t xml:space="preserve">The TKS </w:t>
      </w:r>
      <w:r w:rsidR="00977C92">
        <w:rPr>
          <w:rFonts w:ascii="Times New Roman" w:hAnsi="Times New Roman" w:cs="Times New Roman"/>
          <w:sz w:val="24"/>
          <w:szCs w:val="24"/>
        </w:rPr>
        <w:t>questionnaire</w:t>
      </w:r>
      <w:r w:rsidRPr="000E54C4">
        <w:rPr>
          <w:rFonts w:ascii="Times New Roman" w:hAnsi="Times New Roman" w:cs="Times New Roman"/>
          <w:sz w:val="24"/>
          <w:szCs w:val="24"/>
        </w:rPr>
        <w:t xml:space="preserve"> includes six additional themes:</w:t>
      </w:r>
    </w:p>
    <w:p w:rsidR="1128E4B2" w:rsidP="730B5A0A" w:rsidRDefault="730B5A0A" w14:paraId="7467EE0D" w14:textId="59404ABF">
      <w:pPr>
        <w:pStyle w:val="ListParagraph"/>
        <w:numPr>
          <w:ilvl w:val="0"/>
          <w:numId w:val="1"/>
        </w:numPr>
        <w:rPr>
          <w:rFonts w:asciiTheme="minorHAnsi" w:hAnsiTheme="minorHAnsi" w:cstheme="minorBidi"/>
        </w:rPr>
      </w:pPr>
      <w:r w:rsidRPr="000E54C4">
        <w:t>Teaching methods</w:t>
      </w:r>
      <w:r w:rsidRPr="730B5A0A">
        <w:t xml:space="preserve"> and lesson planning: productively utilizing instructional time through use of various teaching methods, knowing when and how to apply each method to promote students’ conceptual understanding of learning tasks, and structuring learning objectives, lessons, curricular units, and assessment.</w:t>
      </w:r>
    </w:p>
    <w:p w:rsidR="1128E4B2" w:rsidP="730B5A0A" w:rsidRDefault="730B5A0A" w14:paraId="5B736749" w14:textId="6E199244">
      <w:pPr>
        <w:pStyle w:val="ListParagraph"/>
        <w:numPr>
          <w:ilvl w:val="0"/>
          <w:numId w:val="1"/>
        </w:numPr>
      </w:pPr>
      <w:r w:rsidRPr="730B5A0A">
        <w:t>Classroom management: maximizing instructional time through awareness of all classroom activity, handling multiple classroom events concurrently, pacing lessons appropriately to maintain momentum, providing clear directions, and maintaining student attention.</w:t>
      </w:r>
    </w:p>
    <w:p w:rsidR="1128E4B2" w:rsidP="730B5A0A" w:rsidRDefault="730B5A0A" w14:paraId="39D1708C" w14:textId="1610D993">
      <w:pPr>
        <w:pStyle w:val="ListParagraph"/>
        <w:numPr>
          <w:ilvl w:val="0"/>
          <w:numId w:val="1"/>
        </w:numPr>
      </w:pPr>
      <w:r w:rsidRPr="730B5A0A">
        <w:t xml:space="preserve">Learning and development: fostering individual learning through knowledge of various cognitive learning processes, including learning strategies, impact of prior knowledge, memory and </w:t>
      </w:r>
      <w:r w:rsidRPr="730B5A0A">
        <w:lastRenderedPageBreak/>
        <w:t>information processing, causal attributions, effects and quality characteristics of praise, and opportunities for increasing student engagement.</w:t>
      </w:r>
    </w:p>
    <w:p w:rsidR="1128E4B2" w:rsidP="730B5A0A" w:rsidRDefault="730B5A0A" w14:paraId="646DD8D0" w14:textId="2B6DAF22">
      <w:pPr>
        <w:pStyle w:val="ListParagraph"/>
        <w:numPr>
          <w:ilvl w:val="0"/>
          <w:numId w:val="1"/>
        </w:numPr>
      </w:pPr>
      <w:r w:rsidRPr="730B5A0A">
        <w:t>Affective-motivational dispositions: knowledge of motivational learning processes and strategies to motivate a single student or whole group.</w:t>
      </w:r>
    </w:p>
    <w:p w:rsidR="1128E4B2" w:rsidP="730B5A0A" w:rsidRDefault="730B5A0A" w14:paraId="14FBC230" w14:textId="73B3F2CD">
      <w:pPr>
        <w:pStyle w:val="ListParagraph"/>
        <w:numPr>
          <w:ilvl w:val="0"/>
          <w:numId w:val="1"/>
        </w:numPr>
      </w:pPr>
      <w:r w:rsidRPr="730B5A0A">
        <w:t>Evaluation and diagnosis procedures: knowledge of different forms and purposes of formative and summative classroom assessments, how various frames of reference impact student motivation, and quality of assessment.</w:t>
      </w:r>
    </w:p>
    <w:p w:rsidR="1128E4B2" w:rsidP="730B5A0A" w:rsidRDefault="730B5A0A" w14:paraId="744ECB66" w14:textId="25930BD4">
      <w:pPr>
        <w:pStyle w:val="ListParagraph"/>
        <w:numPr>
          <w:ilvl w:val="0"/>
          <w:numId w:val="1"/>
        </w:numPr>
      </w:pPr>
      <w:r w:rsidRPr="730B5A0A">
        <w:t>Data and research literacy: knowledge of interpreting, evaluating, and using research and data to inform the teaching and learning process.</w:t>
      </w:r>
    </w:p>
    <w:p w:rsidRPr="000D75CF" w:rsidR="00AC189E" w:rsidP="00D36763" w:rsidRDefault="2669B493" w14:paraId="6CFCD932" w14:textId="17787B6A">
      <w:pPr>
        <w:pStyle w:val="BodyText1"/>
        <w:spacing w:line="240" w:lineRule="auto"/>
        <w:rPr>
          <w:rFonts w:ascii="Times New Roman" w:hAnsi="Times New Roman"/>
        </w:rPr>
      </w:pPr>
      <w:r w:rsidRPr="2669B493">
        <w:rPr>
          <w:rFonts w:ascii="Times New Roman" w:hAnsi="Times New Roman"/>
        </w:rPr>
        <w:t>These themes encompass both new topics deemed important in the current teaching landscape and retain specific topics covered in TALIS 2018. The results of TALIS will inform education policy and spur further investigation into differences within and between countries. Alternate sources for these data do not exist. This submission represents participation of the U.S. in TALIS 2024 involving 53 countries, with eight of those countries also participating in TKS. The U.S. must collect the same information at the same time as the other nations for purposes of making international comparisons. No other study in the U.S. will be using the instruments developed by the international sponsoring organization; thus, no alternative sources of comparable data are available.</w:t>
      </w:r>
    </w:p>
    <w:p w:rsidRPr="000D75CF" w:rsidR="00AC189E" w:rsidP="00D36763" w:rsidRDefault="00842DD3" w14:paraId="3B2556E3" w14:textId="617753BA">
      <w:pPr>
        <w:spacing w:line="240" w:lineRule="auto"/>
        <w:rPr>
          <w:rFonts w:ascii="Times New Roman" w:hAnsi="Times New Roman" w:cs="Times New Roman"/>
          <w:sz w:val="24"/>
          <w:szCs w:val="24"/>
        </w:rPr>
      </w:pPr>
      <w:r>
        <w:rPr>
          <w:rFonts w:ascii="Times New Roman" w:hAnsi="Times New Roman" w:cs="Times New Roman"/>
          <w:sz w:val="24"/>
          <w:szCs w:val="24"/>
        </w:rPr>
        <w:t>T</w:t>
      </w:r>
      <w:r w:rsidRPr="000D75CF" w:rsidR="00AC189E">
        <w:rPr>
          <w:rFonts w:ascii="Times New Roman" w:hAnsi="Times New Roman" w:cs="Times New Roman"/>
          <w:sz w:val="24"/>
          <w:szCs w:val="24"/>
        </w:rPr>
        <w:t xml:space="preserve">o participate in the international study, the </w:t>
      </w:r>
      <w:r w:rsidRPr="000D75CF" w:rsidR="0043779C">
        <w:rPr>
          <w:rFonts w:ascii="Times New Roman" w:hAnsi="Times New Roman" w:cs="Times New Roman"/>
          <w:sz w:val="24"/>
          <w:szCs w:val="24"/>
        </w:rPr>
        <w:t>U.S.</w:t>
      </w:r>
      <w:r w:rsidRPr="000D75CF" w:rsidR="00AC189E">
        <w:rPr>
          <w:rFonts w:ascii="Times New Roman" w:hAnsi="Times New Roman" w:cs="Times New Roman"/>
          <w:sz w:val="24"/>
          <w:szCs w:val="24"/>
        </w:rPr>
        <w:t xml:space="preserve">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w:t>
      </w:r>
      <w:r w:rsidRPr="000D75CF" w:rsidR="006B3B39">
        <w:rPr>
          <w:rFonts w:ascii="Times New Roman" w:hAnsi="Times New Roman" w:cs="Times New Roman"/>
          <w:sz w:val="24"/>
          <w:szCs w:val="24"/>
        </w:rPr>
        <w:t>TALIS 2024</w:t>
      </w:r>
      <w:r w:rsidRPr="000D75CF" w:rsidR="00AC189E">
        <w:rPr>
          <w:rFonts w:ascii="Times New Roman" w:hAnsi="Times New Roman" w:cs="Times New Roman"/>
          <w:sz w:val="24"/>
          <w:szCs w:val="24"/>
        </w:rPr>
        <w:t xml:space="preserve"> instruments would also require international coordination.</w:t>
      </w:r>
      <w:r w:rsidRPr="000D75CF" w:rsidR="00F15737">
        <w:rPr>
          <w:rFonts w:ascii="Times New Roman" w:hAnsi="Times New Roman" w:cs="Times New Roman"/>
          <w:sz w:val="24"/>
          <w:szCs w:val="24"/>
        </w:rPr>
        <w:t xml:space="preserve"> Thus, opportunities to impact the survey instruments are limited to key international dates.</w:t>
      </w:r>
      <w:r w:rsidRPr="000D75CF" w:rsidR="002B2D49">
        <w:rPr>
          <w:rFonts w:ascii="Times New Roman" w:hAnsi="Times New Roman" w:cs="Times New Roman"/>
          <w:sz w:val="24"/>
          <w:szCs w:val="24"/>
        </w:rPr>
        <w:t xml:space="preserve"> The next opportunity to </w:t>
      </w:r>
      <w:r w:rsidRPr="000D75CF" w:rsidR="002F41A7">
        <w:rPr>
          <w:rFonts w:ascii="Times New Roman" w:hAnsi="Times New Roman" w:cs="Times New Roman"/>
          <w:sz w:val="24"/>
          <w:szCs w:val="24"/>
        </w:rPr>
        <w:t>discuss</w:t>
      </w:r>
      <w:r w:rsidRPr="000D75CF" w:rsidR="002B2D49">
        <w:rPr>
          <w:rFonts w:ascii="Times New Roman" w:hAnsi="Times New Roman" w:cs="Times New Roman"/>
          <w:sz w:val="24"/>
          <w:szCs w:val="24"/>
        </w:rPr>
        <w:t xml:space="preserve"> changes to the instruments will be after the </w:t>
      </w:r>
      <w:r w:rsidRPr="000D75CF" w:rsidR="0043712A">
        <w:rPr>
          <w:rFonts w:ascii="Times New Roman" w:hAnsi="Times New Roman" w:cs="Times New Roman"/>
          <w:sz w:val="24"/>
          <w:szCs w:val="24"/>
        </w:rPr>
        <w:t>field test</w:t>
      </w:r>
      <w:r w:rsidRPr="000D75CF" w:rsidR="002B2D49">
        <w:rPr>
          <w:rFonts w:ascii="Times New Roman" w:hAnsi="Times New Roman" w:cs="Times New Roman"/>
          <w:sz w:val="24"/>
          <w:szCs w:val="24"/>
        </w:rPr>
        <w:t>, during the summer of 20</w:t>
      </w:r>
      <w:r w:rsidRPr="000D75CF" w:rsidR="000D75CF">
        <w:rPr>
          <w:rFonts w:ascii="Times New Roman" w:hAnsi="Times New Roman" w:cs="Times New Roman"/>
          <w:sz w:val="24"/>
          <w:szCs w:val="24"/>
        </w:rPr>
        <w:t>23</w:t>
      </w:r>
      <w:r w:rsidRPr="000D75CF" w:rsidR="002B2D49">
        <w:rPr>
          <w:rFonts w:ascii="Times New Roman" w:hAnsi="Times New Roman" w:cs="Times New Roman"/>
          <w:sz w:val="24"/>
          <w:szCs w:val="24"/>
        </w:rPr>
        <w:t>.</w:t>
      </w:r>
    </w:p>
    <w:p w:rsidRPr="00F63C37" w:rsidR="00234D2A" w:rsidP="00F63C37" w:rsidRDefault="00234D2A" w14:paraId="228328E5" w14:textId="0E3817D6">
      <w:pPr>
        <w:pStyle w:val="Heading1"/>
      </w:pPr>
      <w:bookmarkStart w:name="_Toc299121367" w:id="19"/>
      <w:bookmarkStart w:name="_Toc90026001" w:id="20"/>
      <w:r w:rsidRPr="00F63C37">
        <w:t>A.5</w:t>
      </w:r>
      <w:r w:rsidRPr="00F63C37">
        <w:tab/>
        <w:t xml:space="preserve">Minimizing Burden for Small </w:t>
      </w:r>
      <w:bookmarkEnd w:id="18"/>
      <w:r w:rsidRPr="00F63C37">
        <w:t>Entities</w:t>
      </w:r>
      <w:bookmarkEnd w:id="19"/>
      <w:bookmarkEnd w:id="20"/>
    </w:p>
    <w:p w:rsidRPr="0071144F" w:rsidR="00234D2A" w:rsidP="00D36763" w:rsidRDefault="1B122FAD" w14:paraId="1CC49849" w14:textId="5E8C50DE">
      <w:pPr>
        <w:spacing w:line="240" w:lineRule="auto"/>
        <w:rPr>
          <w:rFonts w:ascii="Times New Roman" w:hAnsi="Times New Roman" w:cs="Times New Roman"/>
          <w:sz w:val="24"/>
          <w:szCs w:val="24"/>
        </w:rPr>
      </w:pPr>
      <w:r w:rsidRPr="1B122FAD">
        <w:rPr>
          <w:rFonts w:ascii="Times New Roman" w:hAnsi="Times New Roman" w:cs="Times New Roman"/>
          <w:sz w:val="24"/>
          <w:szCs w:val="24"/>
        </w:rPr>
        <w:t xml:space="preserve">No small entities are part of the field test sample. The school sample for the TALIS field test will contain a wide range of school types, including private schools, and burden will be minimized wherever possible for all institutions participating in the data </w:t>
      </w:r>
      <w:r w:rsidRPr="000E54C4">
        <w:rPr>
          <w:rFonts w:ascii="Times New Roman" w:hAnsi="Times New Roman" w:cs="Times New Roman"/>
          <w:sz w:val="24"/>
          <w:szCs w:val="24"/>
        </w:rPr>
        <w:t>collection. For example, the selection of schools to be included in the TALIS 2024 field test (in February and March 2023) will attempt to avoid overlap with the selection of schools for TIMSS 2023 and ICILS 2023, both of which will be in the field in the spring of 2023. The selection of schools will also attempt to avoid overlap with the selection of schools for High School and Beyond, 2022, which will be in main study collection in the fall of 2022. Schools included in the field test will have a low likelihood of being</w:t>
      </w:r>
      <w:r w:rsidRPr="1B122FAD">
        <w:rPr>
          <w:rFonts w:ascii="Times New Roman" w:hAnsi="Times New Roman" w:cs="Times New Roman"/>
          <w:sz w:val="24"/>
          <w:szCs w:val="24"/>
        </w:rPr>
        <w:t xml:space="preserve"> included in the main study. In addition, contractor staff will perform as much of the organization and survey administration as possible within each school.</w:t>
      </w:r>
    </w:p>
    <w:p w:rsidRPr="0071144F" w:rsidR="004C4F36" w:rsidP="00F63C37" w:rsidRDefault="004C4F36" w14:paraId="3D12D9BF" w14:textId="241B4C49">
      <w:pPr>
        <w:pStyle w:val="Heading1"/>
      </w:pPr>
      <w:bookmarkStart w:name="_Toc260729193" w:id="21"/>
      <w:bookmarkStart w:name="_Toc299121368" w:id="22"/>
      <w:bookmarkStart w:name="_Toc90026002" w:id="23"/>
      <w:r w:rsidRPr="0071144F">
        <w:t>A.6</w:t>
      </w:r>
      <w:r w:rsidRPr="0071144F">
        <w:tab/>
        <w:t>Frequency of Data Collection</w:t>
      </w:r>
      <w:bookmarkEnd w:id="21"/>
      <w:bookmarkEnd w:id="22"/>
      <w:bookmarkEnd w:id="23"/>
    </w:p>
    <w:p w:rsidRPr="0071144F" w:rsidR="004C4F36" w:rsidP="00D36763" w:rsidRDefault="006B3B39" w14:paraId="17385B31" w14:textId="75F8E6F8">
      <w:pPr>
        <w:widowControl w:val="0"/>
        <w:spacing w:line="240" w:lineRule="auto"/>
        <w:rPr>
          <w:rFonts w:ascii="Times New Roman" w:hAnsi="Times New Roman" w:cs="Times New Roman"/>
          <w:sz w:val="24"/>
          <w:szCs w:val="24"/>
        </w:rPr>
      </w:pPr>
      <w:r w:rsidRPr="0071144F">
        <w:rPr>
          <w:rFonts w:ascii="Times New Roman" w:hAnsi="Times New Roman" w:cs="Times New Roman"/>
          <w:sz w:val="24"/>
          <w:szCs w:val="24"/>
        </w:rPr>
        <w:t>TALIS 2024</w:t>
      </w:r>
      <w:r w:rsidRPr="0071144F" w:rsidR="00882B2B">
        <w:rPr>
          <w:rFonts w:ascii="Times New Roman" w:hAnsi="Times New Roman" w:cs="Times New Roman"/>
          <w:sz w:val="24"/>
          <w:szCs w:val="24"/>
        </w:rPr>
        <w:t xml:space="preserve"> is the </w:t>
      </w:r>
      <w:r w:rsidRPr="0071144F" w:rsidR="0071144F">
        <w:rPr>
          <w:rFonts w:ascii="Times New Roman" w:hAnsi="Times New Roman" w:cs="Times New Roman"/>
          <w:sz w:val="24"/>
          <w:szCs w:val="24"/>
        </w:rPr>
        <w:t>third</w:t>
      </w:r>
      <w:r w:rsidRPr="0071144F" w:rsidR="00882B2B">
        <w:rPr>
          <w:rFonts w:ascii="Times New Roman" w:hAnsi="Times New Roman" w:cs="Times New Roman"/>
          <w:sz w:val="24"/>
          <w:szCs w:val="24"/>
        </w:rPr>
        <w:t xml:space="preserve"> administration of </w:t>
      </w:r>
      <w:r w:rsidRPr="0071144F" w:rsidR="00A33BB8">
        <w:rPr>
          <w:rFonts w:ascii="Times New Roman" w:hAnsi="Times New Roman" w:cs="Times New Roman"/>
          <w:sz w:val="24"/>
          <w:szCs w:val="24"/>
        </w:rPr>
        <w:t>TALIS in</w:t>
      </w:r>
      <w:r w:rsidRPr="0071144F" w:rsidR="004C4F36">
        <w:rPr>
          <w:rFonts w:ascii="Times New Roman" w:hAnsi="Times New Roman" w:cs="Times New Roman"/>
          <w:sz w:val="24"/>
          <w:szCs w:val="24"/>
        </w:rPr>
        <w:t xml:space="preserve"> the </w:t>
      </w:r>
      <w:r w:rsidRPr="0071144F" w:rsidR="0043779C">
        <w:rPr>
          <w:rFonts w:ascii="Times New Roman" w:hAnsi="Times New Roman" w:cs="Times New Roman"/>
          <w:sz w:val="24"/>
          <w:szCs w:val="24"/>
        </w:rPr>
        <w:t>U.S.</w:t>
      </w:r>
      <w:r w:rsidRPr="0071144F" w:rsidR="00D25639">
        <w:rPr>
          <w:rFonts w:ascii="Times New Roman" w:hAnsi="Times New Roman" w:cs="Times New Roman"/>
          <w:sz w:val="24"/>
          <w:szCs w:val="24"/>
        </w:rPr>
        <w:t xml:space="preserve"> </w:t>
      </w:r>
      <w:r w:rsidRPr="0071144F" w:rsidR="00882B2B">
        <w:rPr>
          <w:rFonts w:ascii="Times New Roman" w:hAnsi="Times New Roman" w:cs="Times New Roman"/>
          <w:sz w:val="24"/>
          <w:szCs w:val="24"/>
        </w:rPr>
        <w:t>T</w:t>
      </w:r>
      <w:r w:rsidRPr="0071144F" w:rsidR="004C4F36">
        <w:rPr>
          <w:rFonts w:ascii="Times New Roman" w:hAnsi="Times New Roman" w:cs="Times New Roman"/>
          <w:sz w:val="24"/>
          <w:szCs w:val="24"/>
        </w:rPr>
        <w:t>he survey is conducted on a 5-</w:t>
      </w:r>
      <w:r w:rsidRPr="0071144F" w:rsidR="0071144F">
        <w:rPr>
          <w:rFonts w:ascii="Times New Roman" w:hAnsi="Times New Roman" w:cs="Times New Roman"/>
          <w:sz w:val="24"/>
          <w:szCs w:val="24"/>
        </w:rPr>
        <w:t xml:space="preserve"> to 6-</w:t>
      </w:r>
      <w:r w:rsidRPr="0071144F" w:rsidR="004C4F36">
        <w:rPr>
          <w:rFonts w:ascii="Times New Roman" w:hAnsi="Times New Roman" w:cs="Times New Roman"/>
          <w:sz w:val="24"/>
          <w:szCs w:val="24"/>
        </w:rPr>
        <w:t>year cycle</w:t>
      </w:r>
      <w:r w:rsidRPr="0071144F" w:rsidR="00FB317E">
        <w:rPr>
          <w:rFonts w:ascii="Times New Roman" w:hAnsi="Times New Roman" w:cs="Times New Roman"/>
          <w:sz w:val="24"/>
          <w:szCs w:val="24"/>
        </w:rPr>
        <w:t>,</w:t>
      </w:r>
      <w:r w:rsidRPr="0071144F" w:rsidR="004C4F36">
        <w:rPr>
          <w:rFonts w:ascii="Times New Roman" w:hAnsi="Times New Roman" w:cs="Times New Roman"/>
          <w:sz w:val="24"/>
          <w:szCs w:val="24"/>
        </w:rPr>
        <w:t xml:space="preserve"> as prescribed by the international sponsoring organization</w:t>
      </w:r>
      <w:r w:rsidRPr="0071144F" w:rsidR="00FB317E">
        <w:rPr>
          <w:rFonts w:ascii="Times New Roman" w:hAnsi="Times New Roman" w:cs="Times New Roman"/>
          <w:sz w:val="24"/>
          <w:szCs w:val="24"/>
        </w:rPr>
        <w:t>,</w:t>
      </w:r>
      <w:r w:rsidRPr="0071144F" w:rsidR="004C4F36">
        <w:rPr>
          <w:rFonts w:ascii="Times New Roman" w:hAnsi="Times New Roman" w:cs="Times New Roman"/>
          <w:sz w:val="24"/>
          <w:szCs w:val="24"/>
        </w:rPr>
        <w:t xml:space="preserve"> and adherence to this schedule is necessary to establish consistency in survey operations among the many participating countries.</w:t>
      </w:r>
    </w:p>
    <w:p w:rsidRPr="0071144F" w:rsidR="004C4F36" w:rsidP="00F63C37" w:rsidRDefault="004C4F36" w14:paraId="680F225E" w14:textId="39380D6A">
      <w:pPr>
        <w:pStyle w:val="Heading1"/>
      </w:pPr>
      <w:bookmarkStart w:name="_Toc260729194" w:id="24"/>
      <w:bookmarkStart w:name="_Toc299121369" w:id="25"/>
      <w:bookmarkStart w:name="_Toc90026003" w:id="26"/>
      <w:r w:rsidRPr="0071144F">
        <w:t>A.7</w:t>
      </w:r>
      <w:r w:rsidRPr="0071144F">
        <w:tab/>
        <w:t>Special Circumstances</w:t>
      </w:r>
      <w:bookmarkEnd w:id="24"/>
      <w:bookmarkEnd w:id="25"/>
      <w:bookmarkEnd w:id="26"/>
    </w:p>
    <w:p w:rsidRPr="0071144F" w:rsidR="004C4F36" w:rsidP="00D36763" w:rsidRDefault="004C4F36" w14:paraId="27A65980" w14:textId="6AFAF61D">
      <w:pPr>
        <w:spacing w:line="240" w:lineRule="auto"/>
        <w:rPr>
          <w:rFonts w:ascii="Times New Roman" w:hAnsi="Times New Roman" w:cs="Times New Roman"/>
          <w:sz w:val="24"/>
          <w:szCs w:val="24"/>
        </w:rPr>
      </w:pPr>
      <w:r w:rsidRPr="0071144F">
        <w:rPr>
          <w:rFonts w:ascii="Times New Roman" w:hAnsi="Times New Roman" w:cs="Times New Roman"/>
          <w:sz w:val="24"/>
          <w:szCs w:val="24"/>
        </w:rPr>
        <w:t xml:space="preserve">No special circumstances exist in the data collection plan for </w:t>
      </w:r>
      <w:r w:rsidRPr="0071144F" w:rsidR="006B3B39">
        <w:rPr>
          <w:rFonts w:ascii="Times New Roman" w:hAnsi="Times New Roman" w:cs="Times New Roman"/>
          <w:sz w:val="24"/>
          <w:szCs w:val="24"/>
        </w:rPr>
        <w:t>TALIS 2024</w:t>
      </w:r>
      <w:r w:rsidRPr="0071144F" w:rsidR="00071187">
        <w:rPr>
          <w:rFonts w:ascii="Times New Roman" w:hAnsi="Times New Roman" w:cs="Times New Roman"/>
          <w:sz w:val="24"/>
          <w:szCs w:val="24"/>
        </w:rPr>
        <w:t xml:space="preserve"> </w:t>
      </w:r>
      <w:r w:rsidRPr="0071144F">
        <w:rPr>
          <w:rFonts w:ascii="Times New Roman" w:hAnsi="Times New Roman" w:cs="Times New Roman"/>
          <w:sz w:val="24"/>
          <w:szCs w:val="24"/>
        </w:rPr>
        <w:t>that would necessitate unique or unu</w:t>
      </w:r>
      <w:r w:rsidRPr="0071144F" w:rsidR="0043779C">
        <w:rPr>
          <w:rFonts w:ascii="Times New Roman" w:hAnsi="Times New Roman" w:cs="Times New Roman"/>
          <w:sz w:val="24"/>
          <w:szCs w:val="24"/>
        </w:rPr>
        <w:t>sual manners of data collection</w:t>
      </w:r>
      <w:r w:rsidRPr="0071144F">
        <w:rPr>
          <w:rFonts w:ascii="Times New Roman" w:hAnsi="Times New Roman" w:cs="Times New Roman"/>
          <w:sz w:val="24"/>
          <w:szCs w:val="24"/>
        </w:rPr>
        <w:t>.</w:t>
      </w:r>
    </w:p>
    <w:p w:rsidRPr="0071144F" w:rsidR="00220670" w:rsidP="00F63C37" w:rsidRDefault="730B5A0A" w14:paraId="33C445D0" w14:textId="1959405E">
      <w:pPr>
        <w:pStyle w:val="Heading1"/>
      </w:pPr>
      <w:bookmarkStart w:name="_Toc260729195" w:id="27"/>
      <w:bookmarkStart w:name="_Toc299121370" w:id="28"/>
      <w:bookmarkStart w:name="_Toc90026004" w:id="29"/>
      <w:r w:rsidRPr="730B5A0A">
        <w:lastRenderedPageBreak/>
        <w:t>A.8</w:t>
      </w:r>
      <w:r w:rsidR="00220670">
        <w:tab/>
      </w:r>
      <w:r w:rsidRPr="730B5A0A">
        <w:t>Consultations Outside NCES</w:t>
      </w:r>
      <w:bookmarkEnd w:id="27"/>
      <w:bookmarkEnd w:id="28"/>
      <w:bookmarkEnd w:id="29"/>
    </w:p>
    <w:p w:rsidRPr="0071144F" w:rsidR="00093BF5" w:rsidP="00D36763" w:rsidRDefault="00220670" w14:paraId="0BB70CE4" w14:textId="12715582">
      <w:pPr>
        <w:spacing w:line="240" w:lineRule="auto"/>
        <w:rPr>
          <w:rFonts w:ascii="Times New Roman" w:hAnsi="Times New Roman" w:cs="Times New Roman"/>
          <w:sz w:val="24"/>
          <w:szCs w:val="24"/>
        </w:rPr>
      </w:pPr>
      <w:r w:rsidRPr="0071144F">
        <w:rPr>
          <w:rFonts w:ascii="Times New Roman" w:hAnsi="Times New Roman" w:cs="Times New Roman"/>
          <w:sz w:val="24"/>
          <w:szCs w:val="24"/>
        </w:rPr>
        <w:t>Consultations outside NCES have been extensive and will continue throu</w:t>
      </w:r>
      <w:r w:rsidRPr="0071144F" w:rsidR="00E66087">
        <w:rPr>
          <w:rFonts w:ascii="Times New Roman" w:hAnsi="Times New Roman" w:cs="Times New Roman"/>
          <w:sz w:val="24"/>
          <w:szCs w:val="24"/>
        </w:rPr>
        <w:t xml:space="preserve">ghout the life of the project. </w:t>
      </w:r>
      <w:r w:rsidRPr="0071144F">
        <w:rPr>
          <w:rFonts w:ascii="Times New Roman" w:hAnsi="Times New Roman" w:cs="Times New Roman"/>
          <w:sz w:val="24"/>
          <w:szCs w:val="24"/>
        </w:rPr>
        <w:t xml:space="preserve">The nature of the study requires this because international studies typically are developed as a cooperative enterprise involving all </w:t>
      </w:r>
      <w:r w:rsidRPr="000E54C4">
        <w:rPr>
          <w:rFonts w:ascii="Times New Roman" w:hAnsi="Times New Roman" w:cs="Times New Roman"/>
          <w:sz w:val="24"/>
          <w:szCs w:val="24"/>
        </w:rPr>
        <w:t>participating countries.</w:t>
      </w:r>
      <w:r w:rsidRPr="000E54C4" w:rsidR="00D25639">
        <w:rPr>
          <w:rFonts w:ascii="Times New Roman" w:hAnsi="Times New Roman" w:cs="Times New Roman"/>
          <w:sz w:val="24"/>
          <w:szCs w:val="24"/>
        </w:rPr>
        <w:t xml:space="preserve"> </w:t>
      </w:r>
      <w:r w:rsidRPr="000E54C4" w:rsidR="006B3B39">
        <w:rPr>
          <w:rFonts w:ascii="Times New Roman" w:hAnsi="Times New Roman" w:cs="Times New Roman"/>
          <w:sz w:val="24"/>
          <w:szCs w:val="24"/>
        </w:rPr>
        <w:t>TALIS 2024</w:t>
      </w:r>
      <w:r w:rsidRPr="000E54C4">
        <w:rPr>
          <w:rFonts w:ascii="Times New Roman" w:hAnsi="Times New Roman" w:cs="Times New Roman"/>
          <w:sz w:val="24"/>
          <w:szCs w:val="24"/>
        </w:rPr>
        <w:t xml:space="preserve"> is being developed and operated, under the auspices of the OECD, b</w:t>
      </w:r>
      <w:r w:rsidRPr="000E54C4" w:rsidR="0043779C">
        <w:rPr>
          <w:rFonts w:ascii="Times New Roman" w:hAnsi="Times New Roman" w:cs="Times New Roman"/>
          <w:sz w:val="24"/>
          <w:szCs w:val="24"/>
        </w:rPr>
        <w:t>y a consortium of organizations:</w:t>
      </w:r>
    </w:p>
    <w:p w:rsidRPr="0085748E" w:rsidR="00CC1F57" w:rsidP="0085748E" w:rsidRDefault="00CC1F57" w14:paraId="396631ED" w14:textId="1CD404EF">
      <w:pPr>
        <w:pStyle w:val="Bodyindent"/>
        <w:numPr>
          <w:ilvl w:val="0"/>
          <w:numId w:val="11"/>
        </w:numPr>
        <w:ind w:left="720"/>
        <w:rPr>
          <w:rFonts w:ascii="Times New Roman" w:hAnsi="Times New Roman"/>
          <w:bCs/>
        </w:rPr>
      </w:pPr>
      <w:r w:rsidRPr="0085748E">
        <w:rPr>
          <w:rFonts w:ascii="Times New Roman" w:hAnsi="Times New Roman"/>
          <w:bCs/>
        </w:rPr>
        <w:t>Organization for Economic Cooperation and Development</w:t>
      </w:r>
    </w:p>
    <w:p w:rsidRPr="0085748E" w:rsidR="009122CE" w:rsidP="0085748E" w:rsidRDefault="00CC1F57" w14:paraId="13BEF0F6" w14:textId="62CC0F2C">
      <w:pPr>
        <w:pStyle w:val="Bodyindent"/>
        <w:numPr>
          <w:ilvl w:val="0"/>
          <w:numId w:val="11"/>
        </w:numPr>
        <w:ind w:left="720"/>
        <w:rPr>
          <w:rFonts w:ascii="Times New Roman" w:hAnsi="Times New Roman"/>
          <w:bCs/>
        </w:rPr>
      </w:pPr>
      <w:r w:rsidRPr="0085748E">
        <w:rPr>
          <w:rFonts w:ascii="Times New Roman" w:hAnsi="Times New Roman"/>
          <w:bCs/>
        </w:rPr>
        <w:t xml:space="preserve">IEA </w:t>
      </w:r>
      <w:r w:rsidRPr="0085748E" w:rsidR="009122CE">
        <w:rPr>
          <w:rFonts w:ascii="Times New Roman" w:hAnsi="Times New Roman"/>
          <w:bCs/>
        </w:rPr>
        <w:t>Hamburg</w:t>
      </w:r>
      <w:r w:rsidRPr="0085748E" w:rsidR="00FD67F0">
        <w:rPr>
          <w:rFonts w:ascii="Times New Roman" w:hAnsi="Times New Roman"/>
          <w:bCs/>
        </w:rPr>
        <w:t xml:space="preserve"> (International Study Centre)</w:t>
      </w:r>
    </w:p>
    <w:p w:rsidRPr="0085748E" w:rsidR="009122CE" w:rsidP="0085748E" w:rsidRDefault="009122CE" w14:paraId="5E8C5CF1" w14:textId="212D486A">
      <w:pPr>
        <w:pStyle w:val="Bodyindent"/>
        <w:numPr>
          <w:ilvl w:val="0"/>
          <w:numId w:val="11"/>
        </w:numPr>
        <w:ind w:left="720"/>
        <w:rPr>
          <w:rFonts w:ascii="Times New Roman" w:hAnsi="Times New Roman"/>
          <w:bCs/>
        </w:rPr>
      </w:pPr>
      <w:r w:rsidRPr="0085748E">
        <w:rPr>
          <w:rFonts w:ascii="Times New Roman" w:hAnsi="Times New Roman"/>
          <w:bCs/>
        </w:rPr>
        <w:t>IEA Amsterdam</w:t>
      </w:r>
    </w:p>
    <w:p w:rsidRPr="0085748E" w:rsidR="009122CE" w:rsidP="0085748E" w:rsidRDefault="005101A3" w14:paraId="6E3D8039" w14:textId="55EBEC4F">
      <w:pPr>
        <w:pStyle w:val="ListParagraph"/>
        <w:numPr>
          <w:ilvl w:val="0"/>
          <w:numId w:val="11"/>
        </w:numPr>
        <w:spacing w:after="0"/>
        <w:ind w:left="720"/>
        <w:rPr>
          <w:bCs/>
        </w:rPr>
      </w:pPr>
      <w:r w:rsidRPr="0085748E">
        <w:rPr>
          <w:bCs/>
        </w:rPr>
        <w:t>RAND Europe</w:t>
      </w:r>
    </w:p>
    <w:p w:rsidRPr="0085748E" w:rsidR="009122CE" w:rsidP="0085748E" w:rsidRDefault="005101A3" w14:paraId="05FC63EA" w14:textId="18121A39">
      <w:pPr>
        <w:pStyle w:val="ListParagraph"/>
        <w:numPr>
          <w:ilvl w:val="0"/>
          <w:numId w:val="11"/>
        </w:numPr>
        <w:spacing w:after="0"/>
        <w:ind w:left="720"/>
        <w:rPr>
          <w:bCs/>
        </w:rPr>
      </w:pPr>
      <w:r w:rsidRPr="0085748E">
        <w:rPr>
          <w:bCs/>
        </w:rPr>
        <w:t>ACER</w:t>
      </w:r>
    </w:p>
    <w:p w:rsidRPr="0085748E" w:rsidR="009122CE" w:rsidP="0085748E" w:rsidRDefault="009122CE" w14:paraId="2E11AD1F" w14:textId="55731190">
      <w:pPr>
        <w:pStyle w:val="ListParagraph"/>
        <w:numPr>
          <w:ilvl w:val="0"/>
          <w:numId w:val="11"/>
        </w:numPr>
        <w:spacing w:after="0"/>
        <w:ind w:left="720"/>
        <w:rPr>
          <w:bCs/>
        </w:rPr>
      </w:pPr>
      <w:proofErr w:type="spellStart"/>
      <w:r w:rsidRPr="0085748E">
        <w:rPr>
          <w:bCs/>
        </w:rPr>
        <w:t>cApStAn</w:t>
      </w:r>
      <w:proofErr w:type="spellEnd"/>
    </w:p>
    <w:p w:rsidRPr="004B00D2" w:rsidR="00AC189E" w:rsidP="00F63C37" w:rsidRDefault="00AC189E" w14:paraId="65E41CAB" w14:textId="036D707E">
      <w:pPr>
        <w:pStyle w:val="Heading1"/>
      </w:pPr>
      <w:bookmarkStart w:name="_Toc299121371" w:id="30"/>
      <w:bookmarkStart w:name="_Toc90026005" w:id="31"/>
      <w:r w:rsidRPr="004B00D2">
        <w:t>A.9</w:t>
      </w:r>
      <w:r w:rsidRPr="004B00D2">
        <w:tab/>
        <w:t>Payments or Gifts to Respondents</w:t>
      </w:r>
      <w:bookmarkEnd w:id="30"/>
      <w:bookmarkEnd w:id="31"/>
    </w:p>
    <w:p w:rsidR="004B00D2" w:rsidP="00D36763" w:rsidRDefault="006476BD" w14:paraId="3244362F" w14:textId="77777777">
      <w:pPr>
        <w:spacing w:line="240" w:lineRule="auto"/>
        <w:rPr>
          <w:rFonts w:ascii="Times New Roman" w:hAnsi="Times New Roman" w:cs="Times New Roman"/>
          <w:sz w:val="24"/>
          <w:szCs w:val="24"/>
        </w:rPr>
      </w:pPr>
      <w:r w:rsidRPr="004B00D2">
        <w:rPr>
          <w:rFonts w:ascii="Times New Roman" w:hAnsi="Times New Roman" w:cs="Times New Roman"/>
          <w:sz w:val="24"/>
          <w:szCs w:val="24"/>
        </w:rPr>
        <w:t>School and teacher participation is vital to reaching the international standard for the target sample size needed for a country to be a part of the study. Currently, the minimum response rate targets required by OECD are at least 75 percent of schools after replacement and 75 percent of selected teachers, while the NCES statistical standards require a minimum response rate target of 85 percent at the school and teacher levels.</w:t>
      </w:r>
    </w:p>
    <w:p w:rsidRPr="000E54C4" w:rsidR="00590C38" w:rsidP="004B00D2" w:rsidRDefault="730B5A0A" w14:paraId="5D216CB6" w14:textId="5F0C14BF">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Historically, these high response rates have been difficult to achieve in school-based studies. In the 2013 cycle, the U.S. did not meet the OECD (or NCES) standards. For the 2018 cycle, NCES used a multi-pronged approach to address the challenge of gaining school and teacher cooperation, which included reviewing the 2013 experience to identify areas for improvement and consulting with colleagues who had expertise in effective approaches to school recruitment. One of the strategies that arose from this work was increasing the dollar values of the incentives for schools, school coordinators, and teachers. In the 2018 cycle, the U.S. met the OECD standards with 77 percent of schools participating after replacement and 90 </w:t>
      </w:r>
      <w:r w:rsidRPr="000E54C4">
        <w:rPr>
          <w:rFonts w:ascii="Times New Roman" w:hAnsi="Times New Roman" w:cs="Times New Roman"/>
          <w:sz w:val="24"/>
          <w:szCs w:val="24"/>
        </w:rPr>
        <w:t>percent of selected teachers participating.</w:t>
      </w:r>
    </w:p>
    <w:p w:rsidRPr="000E54C4" w:rsidR="004B00D2" w:rsidP="00D36763" w:rsidRDefault="1B122FAD" w14:paraId="7D0F0C41" w14:textId="11DE65CE">
      <w:pPr>
        <w:spacing w:line="240" w:lineRule="auto"/>
        <w:rPr>
          <w:rFonts w:ascii="Times New Roman" w:hAnsi="Times New Roman" w:cs="Times New Roman"/>
          <w:sz w:val="24"/>
          <w:szCs w:val="24"/>
        </w:rPr>
      </w:pPr>
      <w:r w:rsidRPr="000E54C4">
        <w:rPr>
          <w:rFonts w:ascii="Times New Roman" w:hAnsi="Times New Roman" w:cs="Times New Roman"/>
          <w:sz w:val="24"/>
          <w:szCs w:val="24"/>
        </w:rPr>
        <w:t>For the 2024 cycle, NCES plans to use the incentive amounts used in the 2018 cycle:</w:t>
      </w:r>
    </w:p>
    <w:p w:rsidRPr="00590C38" w:rsidR="00093BF5" w:rsidP="00D36763" w:rsidRDefault="001A577E" w14:paraId="45ABF6C0" w14:textId="578C37B3">
      <w:pPr>
        <w:spacing w:line="240" w:lineRule="auto"/>
        <w:rPr>
          <w:rFonts w:ascii="Times New Roman" w:hAnsi="Times New Roman" w:cs="Times New Roman"/>
          <w:sz w:val="24"/>
          <w:szCs w:val="24"/>
        </w:rPr>
      </w:pPr>
      <w:r w:rsidRPr="000E54C4">
        <w:rPr>
          <w:rFonts w:ascii="Times New Roman" w:hAnsi="Times New Roman" w:cs="Times New Roman"/>
          <w:sz w:val="24"/>
          <w:szCs w:val="24"/>
          <w:u w:val="single"/>
        </w:rPr>
        <w:t>Schools</w:t>
      </w:r>
      <w:r w:rsidRPr="000E54C4">
        <w:rPr>
          <w:rFonts w:ascii="Times New Roman" w:hAnsi="Times New Roman" w:cs="Times New Roman"/>
          <w:sz w:val="24"/>
          <w:szCs w:val="24"/>
        </w:rPr>
        <w:t>. Schools</w:t>
      </w:r>
      <w:r w:rsidRPr="00590C38">
        <w:rPr>
          <w:rFonts w:ascii="Times New Roman" w:hAnsi="Times New Roman" w:cs="Times New Roman"/>
          <w:sz w:val="24"/>
          <w:szCs w:val="24"/>
        </w:rPr>
        <w:t xml:space="preserve"> participating in TALIS will receive $200. </w:t>
      </w:r>
      <w:r w:rsidR="00842DD3">
        <w:rPr>
          <w:rFonts w:ascii="Times New Roman" w:hAnsi="Times New Roman" w:cs="Times New Roman"/>
          <w:sz w:val="24"/>
          <w:szCs w:val="24"/>
        </w:rPr>
        <w:t>T</w:t>
      </w:r>
      <w:r w:rsidRPr="00590C38">
        <w:rPr>
          <w:rFonts w:ascii="Times New Roman" w:hAnsi="Times New Roman" w:cs="Times New Roman"/>
          <w:sz w:val="24"/>
          <w:szCs w:val="24"/>
        </w:rPr>
        <w:t>o meet the minimum school response rates mandated by the TALIS international governing board, and to compensate the school for the increased disruption, we believe it is necessary to offer schools this incentive to encourage participation.</w:t>
      </w:r>
    </w:p>
    <w:p w:rsidRPr="00590C38" w:rsidR="00590C38" w:rsidP="00590C38" w:rsidRDefault="001A577E" w14:paraId="4F66B1B8" w14:textId="7689D62B">
      <w:pPr>
        <w:spacing w:line="240" w:lineRule="auto"/>
        <w:rPr>
          <w:rFonts w:ascii="Times New Roman" w:hAnsi="Times New Roman" w:cs="Times New Roman"/>
          <w:sz w:val="24"/>
          <w:szCs w:val="24"/>
        </w:rPr>
      </w:pPr>
      <w:r w:rsidRPr="00590C38">
        <w:rPr>
          <w:rFonts w:ascii="Times New Roman" w:hAnsi="Times New Roman" w:cs="Times New Roman"/>
          <w:sz w:val="24"/>
          <w:szCs w:val="24"/>
          <w:u w:val="single"/>
        </w:rPr>
        <w:t>School coordinators</w:t>
      </w:r>
      <w:r w:rsidRPr="00590C38">
        <w:rPr>
          <w:rFonts w:ascii="Times New Roman" w:hAnsi="Times New Roman" w:cs="Times New Roman"/>
          <w:sz w:val="24"/>
          <w:szCs w:val="24"/>
        </w:rPr>
        <w:t xml:space="preserve">. The school coordinator will be offered $200. The role of the school coordinator is critical for the success of the study. The coordinator is expected to coordinate logistics with the data collection contractor; supply a list of eligible teachers for sampling to the data collection contractor; </w:t>
      </w:r>
      <w:r w:rsidRPr="00590C38" w:rsidR="00590C38">
        <w:rPr>
          <w:rFonts w:ascii="Times New Roman" w:hAnsi="Times New Roman" w:cs="Times New Roman"/>
          <w:sz w:val="24"/>
          <w:szCs w:val="24"/>
        </w:rPr>
        <w:t xml:space="preserve">and </w:t>
      </w:r>
      <w:r w:rsidRPr="00590C38">
        <w:rPr>
          <w:rFonts w:ascii="Times New Roman" w:hAnsi="Times New Roman" w:cs="Times New Roman"/>
          <w:sz w:val="24"/>
          <w:szCs w:val="24"/>
        </w:rPr>
        <w:t>communicate with teachers about the study to encourage participation.</w:t>
      </w:r>
      <w:r w:rsidRPr="00590C38" w:rsidR="00590C38">
        <w:rPr>
          <w:rFonts w:ascii="Times New Roman" w:hAnsi="Times New Roman" w:cs="Times New Roman"/>
          <w:sz w:val="24"/>
          <w:szCs w:val="24"/>
        </w:rPr>
        <w:t xml:space="preserve"> The school coordinators are an integral part of the success of TALIS in schools. While we try to minimize their burden, they are our link to the school and teachers. We want to limit as much as we can the possibility of the school coordinator feeling burdened or unrewarded for their time and effort.</w:t>
      </w:r>
    </w:p>
    <w:p w:rsidR="25CE0EC7" w:rsidP="25CE0EC7" w:rsidRDefault="44FD35A1" w14:paraId="31C6AC2A" w14:textId="4713C35E">
      <w:pPr>
        <w:spacing w:line="240" w:lineRule="auto"/>
        <w:rPr>
          <w:rFonts w:ascii="Times New Roman" w:hAnsi="Times New Roman" w:cs="Times New Roman"/>
          <w:sz w:val="24"/>
          <w:szCs w:val="24"/>
        </w:rPr>
      </w:pPr>
      <w:r w:rsidRPr="44FD35A1">
        <w:rPr>
          <w:rFonts w:ascii="Times New Roman" w:hAnsi="Times New Roman" w:cs="Times New Roman"/>
          <w:sz w:val="24"/>
          <w:szCs w:val="24"/>
          <w:u w:val="single"/>
        </w:rPr>
        <w:t>Teachers</w:t>
      </w:r>
      <w:r w:rsidRPr="44FD35A1">
        <w:rPr>
          <w:rFonts w:ascii="Times New Roman" w:hAnsi="Times New Roman" w:cs="Times New Roman"/>
          <w:sz w:val="24"/>
          <w:szCs w:val="24"/>
        </w:rPr>
        <w:t xml:space="preserve">: The field test will implement core and TKS teacher questionnaires delivered on-line with paper versions available upon request. Selected teachers will be offered $25 for completing the questionnaire. </w:t>
      </w:r>
    </w:p>
    <w:p w:rsidRPr="000E54C4" w:rsidR="00C87773" w:rsidP="00F63C37" w:rsidRDefault="18447277" w14:paraId="56DC17E1" w14:textId="79C02531">
      <w:pPr>
        <w:pStyle w:val="Heading1"/>
      </w:pPr>
      <w:bookmarkStart w:name="_Toc299121372" w:id="32"/>
      <w:bookmarkStart w:name="_Toc90026006" w:id="33"/>
      <w:r w:rsidRPr="18447277">
        <w:t>A.10</w:t>
      </w:r>
      <w:r w:rsidR="003C40EE">
        <w:tab/>
      </w:r>
      <w:r w:rsidRPr="000E54C4">
        <w:t>Assurance of Confidentiality</w:t>
      </w:r>
      <w:bookmarkEnd w:id="32"/>
      <w:bookmarkEnd w:id="33"/>
    </w:p>
    <w:p w:rsidRPr="00BF35C5" w:rsidR="00BF35C5" w:rsidP="00BF35C5" w:rsidRDefault="1B122FAD" w14:paraId="6061B142" w14:textId="47D9B52C">
      <w:pPr>
        <w:spacing w:line="240" w:lineRule="auto"/>
        <w:rPr>
          <w:rFonts w:ascii="Times New Roman" w:hAnsi="Times New Roman" w:cs="Times New Roman"/>
          <w:sz w:val="24"/>
          <w:szCs w:val="24"/>
        </w:rPr>
      </w:pPr>
      <w:r w:rsidRPr="000E54C4">
        <w:rPr>
          <w:rFonts w:ascii="Times New Roman" w:hAnsi="Times New Roman" w:cs="Times New Roman"/>
          <w:sz w:val="24"/>
          <w:szCs w:val="24"/>
        </w:rPr>
        <w:t>Data security</w:t>
      </w:r>
      <w:r w:rsidRPr="1B122FAD">
        <w:rPr>
          <w:rFonts w:ascii="Times New Roman" w:hAnsi="Times New Roman" w:cs="Times New Roman"/>
          <w:sz w:val="24"/>
          <w:szCs w:val="24"/>
        </w:rPr>
        <w:t xml:space="preserve"> and confidentiality protection procedures have been put in place for TALIS 2024 to ensure that the contractor and its subcontractors comply with all privacy requirements, including:</w:t>
      </w:r>
    </w:p>
    <w:p w:rsidRPr="0085748E" w:rsidR="00BF35C5" w:rsidP="0085748E" w:rsidRDefault="00BF35C5" w14:paraId="1EDA147C" w14:textId="581E8090">
      <w:pPr>
        <w:pStyle w:val="ListParagraph"/>
        <w:numPr>
          <w:ilvl w:val="0"/>
          <w:numId w:val="9"/>
        </w:numPr>
        <w:ind w:left="720" w:hanging="360"/>
      </w:pPr>
      <w:r w:rsidRPr="0085748E">
        <w:lastRenderedPageBreak/>
        <w:t xml:space="preserve">The statement of work of this </w:t>
      </w:r>
      <w:proofErr w:type="gramStart"/>
      <w:r w:rsidRPr="0085748E">
        <w:t>contract;</w:t>
      </w:r>
      <w:proofErr w:type="gramEnd"/>
    </w:p>
    <w:p w:rsidRPr="0085748E" w:rsidR="00BF35C5" w:rsidP="0085748E" w:rsidRDefault="00BF35C5" w14:paraId="2F5094EA" w14:textId="1C0F2210">
      <w:pPr>
        <w:pStyle w:val="ListParagraph"/>
        <w:numPr>
          <w:ilvl w:val="0"/>
          <w:numId w:val="9"/>
        </w:numPr>
        <w:ind w:left="720" w:hanging="360"/>
      </w:pPr>
      <w:r w:rsidRPr="0085748E">
        <w:rPr>
          <w:i/>
          <w:iCs/>
        </w:rPr>
        <w:t>Family Educational Rights and Privacy Act (FERPA) of 1974</w:t>
      </w:r>
      <w:r w:rsidRPr="0085748E">
        <w:t xml:space="preserve"> (20 U.S.C. §1232(g)</w:t>
      </w:r>
      <w:proofErr w:type="gramStart"/>
      <w:r w:rsidRPr="0085748E">
        <w:t>);</w:t>
      </w:r>
      <w:proofErr w:type="gramEnd"/>
    </w:p>
    <w:p w:rsidRPr="0085748E" w:rsidR="00BF35C5" w:rsidP="0085748E" w:rsidRDefault="00BF35C5" w14:paraId="416DB3DE" w14:textId="215A4DA5">
      <w:pPr>
        <w:pStyle w:val="ListParagraph"/>
        <w:numPr>
          <w:ilvl w:val="0"/>
          <w:numId w:val="9"/>
        </w:numPr>
        <w:ind w:left="720" w:hanging="360"/>
      </w:pPr>
      <w:r w:rsidRPr="0085748E">
        <w:rPr>
          <w:i/>
          <w:iCs/>
        </w:rPr>
        <w:t>Privacy Act of 1974</w:t>
      </w:r>
      <w:r w:rsidRPr="0085748E">
        <w:t xml:space="preserve"> (5 U.S.C. §552a</w:t>
      </w:r>
      <w:proofErr w:type="gramStart"/>
      <w:r w:rsidRPr="0085748E">
        <w:t>);</w:t>
      </w:r>
      <w:proofErr w:type="gramEnd"/>
    </w:p>
    <w:p w:rsidRPr="0085748E" w:rsidR="000155B1" w:rsidP="0085748E" w:rsidRDefault="1B122FAD" w14:paraId="4C88D127" w14:textId="6D2425BF">
      <w:pPr>
        <w:pStyle w:val="ListParagraph"/>
        <w:numPr>
          <w:ilvl w:val="0"/>
          <w:numId w:val="9"/>
        </w:numPr>
        <w:ind w:left="720" w:hanging="360"/>
        <w:rPr>
          <w:rStyle w:val="CommentReference"/>
          <w:sz w:val="24"/>
          <w:szCs w:val="24"/>
        </w:rPr>
      </w:pPr>
      <w:r w:rsidRPr="0085748E">
        <w:rPr>
          <w:i/>
          <w:iCs/>
        </w:rPr>
        <w:t>Privacy Act Regulations</w:t>
      </w:r>
      <w:r w:rsidRPr="0085748E">
        <w:t xml:space="preserve"> (34 CFR Part 5b</w:t>
      </w:r>
      <w:proofErr w:type="gramStart"/>
      <w:r w:rsidRPr="0085748E">
        <w:t>);</w:t>
      </w:r>
      <w:proofErr w:type="gramEnd"/>
    </w:p>
    <w:p w:rsidRPr="0085748E" w:rsidR="000155B1" w:rsidP="0085748E" w:rsidRDefault="00BF35C5" w14:paraId="3C5DC0ED" w14:textId="294103EE">
      <w:pPr>
        <w:pStyle w:val="ListParagraph"/>
        <w:numPr>
          <w:ilvl w:val="0"/>
          <w:numId w:val="9"/>
        </w:numPr>
        <w:ind w:left="720" w:hanging="360"/>
        <w:rPr>
          <w:rStyle w:val="CommentReference"/>
          <w:sz w:val="24"/>
          <w:szCs w:val="24"/>
        </w:rPr>
      </w:pPr>
      <w:r w:rsidRPr="0085748E">
        <w:rPr>
          <w:i/>
          <w:iCs/>
        </w:rPr>
        <w:t xml:space="preserve">Computer Security Act of </w:t>
      </w:r>
      <w:proofErr w:type="gramStart"/>
      <w:r w:rsidRPr="0085748E">
        <w:rPr>
          <w:i/>
          <w:iCs/>
        </w:rPr>
        <w:t>1987</w:t>
      </w:r>
      <w:r w:rsidRPr="0085748E">
        <w:t>;</w:t>
      </w:r>
      <w:proofErr w:type="gramEnd"/>
    </w:p>
    <w:p w:rsidRPr="0085748E" w:rsidR="00BF35C5" w:rsidP="0085748E" w:rsidRDefault="1B122FAD" w14:paraId="73BF2B6C" w14:textId="7A456887">
      <w:pPr>
        <w:pStyle w:val="ListParagraph"/>
        <w:numPr>
          <w:ilvl w:val="0"/>
          <w:numId w:val="9"/>
        </w:numPr>
        <w:ind w:left="720" w:hanging="360"/>
      </w:pPr>
      <w:r w:rsidRPr="0085748E">
        <w:rPr>
          <w:i/>
          <w:iCs/>
        </w:rPr>
        <w:t>U.S.A. Patriot Act of 2001</w:t>
      </w:r>
      <w:r w:rsidRPr="0085748E">
        <w:t xml:space="preserve"> (P.L. 107-56</w:t>
      </w:r>
      <w:proofErr w:type="gramStart"/>
      <w:r w:rsidRPr="0085748E">
        <w:t>);</w:t>
      </w:r>
      <w:proofErr w:type="gramEnd"/>
    </w:p>
    <w:p w:rsidRPr="0085748E" w:rsidR="00BF35C5" w:rsidP="0085748E" w:rsidRDefault="1B122FAD" w14:paraId="07F1BA96" w14:textId="1E70DDBC">
      <w:pPr>
        <w:pStyle w:val="ListParagraph"/>
        <w:numPr>
          <w:ilvl w:val="0"/>
          <w:numId w:val="9"/>
        </w:numPr>
        <w:ind w:left="720" w:hanging="360"/>
      </w:pPr>
      <w:r w:rsidRPr="0085748E">
        <w:rPr>
          <w:i/>
          <w:iCs/>
        </w:rPr>
        <w:t>Education Sciences Reform Act of 2002</w:t>
      </w:r>
      <w:r w:rsidRPr="0085748E">
        <w:t xml:space="preserve"> (ESRA 2002, 20 U.S.C. §9573</w:t>
      </w:r>
      <w:proofErr w:type="gramStart"/>
      <w:r w:rsidRPr="0085748E">
        <w:t>);</w:t>
      </w:r>
      <w:proofErr w:type="gramEnd"/>
    </w:p>
    <w:p w:rsidRPr="0085748E" w:rsidR="00BF35C5" w:rsidP="0085748E" w:rsidRDefault="1B122FAD" w14:paraId="5F8FB2C7" w14:textId="0FE78C14">
      <w:pPr>
        <w:pStyle w:val="ListParagraph"/>
        <w:numPr>
          <w:ilvl w:val="0"/>
          <w:numId w:val="9"/>
        </w:numPr>
        <w:ind w:left="720" w:hanging="360"/>
      </w:pPr>
      <w:r w:rsidRPr="0085748E">
        <w:rPr>
          <w:i/>
          <w:iCs/>
        </w:rPr>
        <w:t>Cybersecurity Enhancement Act of 2015</w:t>
      </w:r>
      <w:r w:rsidRPr="0085748E">
        <w:t xml:space="preserve"> (6 U.S.C. §151</w:t>
      </w:r>
      <w:proofErr w:type="gramStart"/>
      <w:r w:rsidRPr="0085748E">
        <w:t>);</w:t>
      </w:r>
      <w:proofErr w:type="gramEnd"/>
    </w:p>
    <w:p w:rsidRPr="0085748E" w:rsidR="00BF35C5" w:rsidP="0085748E" w:rsidRDefault="1B122FAD" w14:paraId="26CA7587" w14:textId="17047FDF">
      <w:pPr>
        <w:pStyle w:val="ListParagraph"/>
        <w:numPr>
          <w:ilvl w:val="0"/>
          <w:numId w:val="9"/>
        </w:numPr>
        <w:ind w:left="720" w:hanging="360"/>
      </w:pPr>
      <w:r w:rsidRPr="0085748E">
        <w:rPr>
          <w:i/>
          <w:iCs/>
        </w:rPr>
        <w:t>Foundations of Evidence-Based Policymaking Act of 2018</w:t>
      </w:r>
      <w:r w:rsidRPr="0085748E">
        <w:t xml:space="preserve">, Title III, Part B, Confidential Information </w:t>
      </w:r>
      <w:proofErr w:type="gramStart"/>
      <w:r w:rsidRPr="0085748E">
        <w:t>Protection;</w:t>
      </w:r>
      <w:proofErr w:type="gramEnd"/>
    </w:p>
    <w:p w:rsidRPr="0085748E" w:rsidR="00BF35C5" w:rsidP="0085748E" w:rsidRDefault="1B122FAD" w14:paraId="400B91D6" w14:textId="7B493FDF">
      <w:pPr>
        <w:pStyle w:val="ListParagraph"/>
        <w:numPr>
          <w:ilvl w:val="0"/>
          <w:numId w:val="9"/>
        </w:numPr>
        <w:ind w:left="720" w:hanging="360"/>
      </w:pPr>
      <w:r w:rsidRPr="0085748E">
        <w:t>The U.S. Department of Education General Handbook for Information Technology Security General Support Systems and Major Applications Inventory Procedures (March 2005</w:t>
      </w:r>
      <w:proofErr w:type="gramStart"/>
      <w:r w:rsidRPr="0085748E">
        <w:t>);</w:t>
      </w:r>
      <w:proofErr w:type="gramEnd"/>
    </w:p>
    <w:p w:rsidRPr="0085748E" w:rsidR="00BF35C5" w:rsidP="0085748E" w:rsidRDefault="1B122FAD" w14:paraId="16E697C3" w14:textId="00020AA6">
      <w:pPr>
        <w:pStyle w:val="ListParagraph"/>
        <w:numPr>
          <w:ilvl w:val="0"/>
          <w:numId w:val="9"/>
        </w:numPr>
        <w:ind w:left="720" w:hanging="360"/>
      </w:pPr>
      <w:r w:rsidRPr="0085748E">
        <w:t>The U.S. Department of Education Incident Handling Procedures (February 2009</w:t>
      </w:r>
      <w:proofErr w:type="gramStart"/>
      <w:r w:rsidRPr="0085748E">
        <w:t>);</w:t>
      </w:r>
      <w:proofErr w:type="gramEnd"/>
    </w:p>
    <w:p w:rsidRPr="0085748E" w:rsidR="00BF35C5" w:rsidP="0085748E" w:rsidRDefault="1B122FAD" w14:paraId="2758BF3A" w14:textId="7ACE58DC">
      <w:pPr>
        <w:pStyle w:val="ListParagraph"/>
        <w:numPr>
          <w:ilvl w:val="0"/>
          <w:numId w:val="9"/>
        </w:numPr>
        <w:ind w:left="720" w:hanging="360"/>
      </w:pPr>
      <w:r w:rsidRPr="0085748E">
        <w:t xml:space="preserve">The U.S. Department of Education, ACS Directive OM: 5-101, Contractor Employee Personnel Security </w:t>
      </w:r>
      <w:proofErr w:type="gramStart"/>
      <w:r w:rsidRPr="0085748E">
        <w:t>Screenings;</w:t>
      </w:r>
      <w:proofErr w:type="gramEnd"/>
    </w:p>
    <w:p w:rsidRPr="00BF35C5" w:rsidR="00BF35C5" w:rsidP="0085748E" w:rsidRDefault="1B122FAD" w14:paraId="12ACCE11" w14:textId="7E7A31D4">
      <w:pPr>
        <w:pStyle w:val="ListParagraph"/>
        <w:numPr>
          <w:ilvl w:val="0"/>
          <w:numId w:val="9"/>
        </w:numPr>
        <w:ind w:left="720" w:hanging="360"/>
      </w:pPr>
      <w:r>
        <w:t>NCES Statistical Standards; and</w:t>
      </w:r>
    </w:p>
    <w:p w:rsidRPr="00BF35C5" w:rsidR="00BF35C5" w:rsidP="0085748E" w:rsidRDefault="1B122FAD" w14:paraId="0A6A2C49" w14:textId="44CB03FF">
      <w:pPr>
        <w:pStyle w:val="ListParagraph"/>
        <w:numPr>
          <w:ilvl w:val="0"/>
          <w:numId w:val="9"/>
        </w:numPr>
        <w:ind w:left="720" w:hanging="360"/>
      </w:pPr>
      <w:r>
        <w:t>All new legislation that impacts the data collected through the contract for this study.</w:t>
      </w:r>
    </w:p>
    <w:p w:rsidR="000E18A3" w:rsidP="00BF35C5" w:rsidRDefault="00BF35C5" w14:paraId="7EDFB403" w14:textId="285570A4">
      <w:pPr>
        <w:spacing w:line="240" w:lineRule="auto"/>
        <w:rPr>
          <w:rFonts w:ascii="Times New Roman" w:hAnsi="Times New Roman" w:cs="Times New Roman"/>
          <w:sz w:val="24"/>
          <w:szCs w:val="24"/>
        </w:rPr>
      </w:pPr>
      <w:r w:rsidRPr="00BF35C5">
        <w:rPr>
          <w:rFonts w:ascii="Times New Roman" w:hAnsi="Times New Roman" w:cs="Times New Roman"/>
          <w:sz w:val="24"/>
          <w:szCs w:val="24"/>
        </w:rPr>
        <w:t>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w:t>
      </w:r>
      <w:r>
        <w:rPr>
          <w:rFonts w:ascii="Times New Roman" w:hAnsi="Times New Roman" w:cs="Times New Roman"/>
          <w:sz w:val="24"/>
          <w:szCs w:val="24"/>
        </w:rPr>
        <w:t>odernization</w:t>
      </w:r>
      <w:r w:rsidRPr="00BF35C5">
        <w:rPr>
          <w:rFonts w:ascii="Times New Roman" w:hAnsi="Times New Roman" w:cs="Times New Roman"/>
          <w:sz w:val="24"/>
          <w:szCs w:val="24"/>
        </w:rPr>
        <w:t xml:space="preserve">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8">
        <w:r w:rsidRPr="00A53071">
          <w:rPr>
            <w:rStyle w:val="Hyperlink"/>
            <w:rFonts w:ascii="Times New Roman" w:hAnsi="Times New Roman" w:cs="Times New Roman"/>
            <w:sz w:val="24"/>
            <w:szCs w:val="24"/>
          </w:rPr>
          <w:t>https://nces.ed.gov/statprog/2012/</w:t>
        </w:r>
      </w:hyperlink>
      <w:r w:rsidRPr="00BF35C5">
        <w:rPr>
          <w:rFonts w:ascii="Times New Roman" w:hAnsi="Times New Roman" w:cs="Times New Roman"/>
          <w:sz w:val="24"/>
          <w:szCs w:val="24"/>
        </w:rPr>
        <w:t>.</w:t>
      </w:r>
    </w:p>
    <w:p w:rsidRPr="00BF35C5" w:rsidR="00BF35C5" w:rsidP="00BF35C5" w:rsidRDefault="00BF35C5" w14:paraId="57E06C7C" w14:textId="11EFE976">
      <w:pPr>
        <w:spacing w:line="240" w:lineRule="auto"/>
        <w:rPr>
          <w:rFonts w:ascii="Times New Roman" w:hAnsi="Times New Roman" w:cs="Times New Roman"/>
          <w:sz w:val="24"/>
          <w:szCs w:val="24"/>
        </w:rPr>
      </w:pPr>
      <w:r w:rsidRPr="00BF35C5">
        <w:rPr>
          <w:rFonts w:ascii="Times New Roman" w:hAnsi="Times New Roman" w:cs="Times New Roman"/>
          <w:sz w:val="24"/>
          <w:szCs w:val="24"/>
        </w:rPr>
        <w:t xml:space="preserve">By law (20 U.S.C. §9573), a violation of the confidentiality restrictions is a felony, punishable by imprisonment of up to 5 years and/or a fine of up to $250,000. </w:t>
      </w:r>
      <w:r>
        <w:rPr>
          <w:rFonts w:ascii="Times New Roman" w:hAnsi="Times New Roman" w:cs="Times New Roman"/>
          <w:sz w:val="24"/>
          <w:szCs w:val="24"/>
        </w:rPr>
        <w:t>TALIS</w:t>
      </w:r>
      <w:r w:rsidRPr="00BF35C5">
        <w:rPr>
          <w:rFonts w:ascii="Times New Roman" w:hAnsi="Times New Roman" w:cs="Times New Roman"/>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Pr>
          <w:rFonts w:ascii="Times New Roman" w:hAnsi="Times New Roman" w:cs="Times New Roman"/>
          <w:sz w:val="24"/>
          <w:szCs w:val="24"/>
        </w:rPr>
        <w:t>TALIS</w:t>
      </w:r>
      <w:r w:rsidRPr="00BF35C5">
        <w:rPr>
          <w:rFonts w:ascii="Times New Roman" w:hAnsi="Times New Roman" w:cs="Times New Roman"/>
          <w:sz w:val="24"/>
          <w:szCs w:val="24"/>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BF35C5" w:rsidP="00BF35C5" w:rsidRDefault="00BF35C5" w14:paraId="7BD5BD18" w14:textId="051CDBCB">
      <w:pPr>
        <w:spacing w:line="240" w:lineRule="auto"/>
        <w:rPr>
          <w:rFonts w:ascii="Times New Roman" w:hAnsi="Times New Roman" w:cs="Times New Roman"/>
          <w:sz w:val="24"/>
          <w:szCs w:val="24"/>
        </w:rPr>
      </w:pPr>
      <w:r w:rsidRPr="00BF35C5">
        <w:rPr>
          <w:rFonts w:ascii="Times New Roman" w:hAnsi="Times New Roman" w:cs="Times New Roman"/>
          <w:sz w:val="24"/>
          <w:szCs w:val="24"/>
        </w:rPr>
        <w:t>Additionally, the contractor will take security measures to protect the web data collection applications from 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2B3D7E" w:rsidR="002B3D7E" w:rsidP="002B3D7E" w:rsidRDefault="002B3D7E" w14:paraId="28969405" w14:textId="699C1566">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The laws pertaining to the use of personally identifiable information are clearly communicated in correspondence with states, districts, school administrators, </w:t>
      </w:r>
      <w:r>
        <w:rPr>
          <w:rFonts w:ascii="Times New Roman" w:hAnsi="Times New Roman" w:cs="Times New Roman"/>
          <w:sz w:val="24"/>
          <w:szCs w:val="24"/>
        </w:rPr>
        <w:t>and teachers</w:t>
      </w:r>
      <w:r w:rsidRPr="002B3D7E">
        <w:rPr>
          <w:rFonts w:ascii="Times New Roman" w:hAnsi="Times New Roman" w:cs="Times New Roman"/>
          <w:sz w:val="24"/>
          <w:szCs w:val="24"/>
        </w:rPr>
        <w:t xml:space="preserve">. Letters and information materials describe the study, its voluntary nature, and the extent to which respondents and their responses </w:t>
      </w:r>
      <w:r w:rsidRPr="002B3D7E">
        <w:rPr>
          <w:rFonts w:ascii="Times New Roman" w:hAnsi="Times New Roman" w:cs="Times New Roman"/>
          <w:sz w:val="24"/>
          <w:szCs w:val="24"/>
        </w:rPr>
        <w:lastRenderedPageBreak/>
        <w:t>will be kept confidential (see Appendix A). Recruitment letters, supporting materials, login pages</w:t>
      </w:r>
      <w:r>
        <w:rPr>
          <w:rFonts w:ascii="Times New Roman" w:hAnsi="Times New Roman" w:cs="Times New Roman"/>
          <w:sz w:val="24"/>
          <w:szCs w:val="24"/>
        </w:rPr>
        <w:t>,</w:t>
      </w:r>
      <w:r w:rsidRPr="002B3D7E">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2B3D7E">
        <w:rPr>
          <w:rFonts w:ascii="Times New Roman" w:hAnsi="Times New Roman" w:cs="Times New Roman"/>
          <w:sz w:val="24"/>
          <w:szCs w:val="24"/>
        </w:rPr>
        <w:t>front cover of each data collection instrument, including questionnaires</w:t>
      </w:r>
      <w:r>
        <w:rPr>
          <w:rFonts w:ascii="Times New Roman" w:hAnsi="Times New Roman" w:cs="Times New Roman"/>
          <w:sz w:val="24"/>
          <w:szCs w:val="24"/>
        </w:rPr>
        <w:t xml:space="preserve">, </w:t>
      </w:r>
      <w:r w:rsidRPr="002B3D7E">
        <w:rPr>
          <w:rFonts w:ascii="Times New Roman" w:hAnsi="Times New Roman" w:cs="Times New Roman"/>
          <w:sz w:val="24"/>
          <w:szCs w:val="24"/>
        </w:rPr>
        <w:t>indicate:</w:t>
      </w:r>
    </w:p>
    <w:p w:rsidRPr="00E61E6F" w:rsidR="002B3D7E" w:rsidP="00E61E6F" w:rsidRDefault="002B3D7E" w14:paraId="33B93F76" w14:textId="27AF84B9">
      <w:pPr>
        <w:spacing w:line="240" w:lineRule="auto"/>
        <w:ind w:left="720"/>
        <w:rPr>
          <w:rFonts w:ascii="Times New Roman" w:hAnsi="Times New Roman" w:cs="Times New Roman"/>
          <w:i/>
          <w:iCs/>
          <w:sz w:val="24"/>
          <w:szCs w:val="24"/>
        </w:rPr>
      </w:pPr>
      <w:bookmarkStart w:name="_Hlk95217449" w:id="34"/>
      <w:r w:rsidRPr="00E61E6F">
        <w:rPr>
          <w:rFonts w:ascii="Times New Roman" w:hAnsi="Times New Roman" w:cs="Times New Roman"/>
          <w:i/>
          <w:iCs/>
          <w:sz w:val="24"/>
          <w:szCs w:val="24"/>
        </w:rPr>
        <w:t>The National Center for Education Statistics (NCES) is authorized to conduct the Teaching and Learning International Survey (TALIS) by the Education Sciences Reform Act of 2002 (ESRA 2002, 20 U.S.C. §9543)</w:t>
      </w:r>
      <w:r w:rsidRPr="00E61E6F" w:rsidR="00E61E6F">
        <w:rPr>
          <w:rFonts w:ascii="Times New Roman" w:hAnsi="Times New Roman" w:cs="Times New Roman"/>
          <w:i/>
          <w:iCs/>
          <w:sz w:val="24"/>
          <w:szCs w:val="24"/>
        </w:rPr>
        <w:t xml:space="preserve">. </w:t>
      </w:r>
      <w:r w:rsidRPr="00E61E6F">
        <w:rPr>
          <w:rFonts w:ascii="Times New Roman" w:hAnsi="Times New Roman" w:cs="Times New Roman"/>
          <w:i/>
          <w:iCs/>
          <w:sz w:val="24"/>
          <w:szCs w:val="24"/>
        </w:rPr>
        <w:t xml:space="preserve">The data are being collected for NCES by </w:t>
      </w:r>
      <w:proofErr w:type="spellStart"/>
      <w:r w:rsidRPr="00E61E6F">
        <w:rPr>
          <w:rFonts w:ascii="Times New Roman" w:hAnsi="Times New Roman" w:cs="Times New Roman"/>
          <w:i/>
          <w:iCs/>
          <w:sz w:val="24"/>
          <w:szCs w:val="24"/>
        </w:rPr>
        <w:t>Westat</w:t>
      </w:r>
      <w:proofErr w:type="spellEnd"/>
      <w:r w:rsidRPr="00E61E6F">
        <w:rPr>
          <w:rFonts w:ascii="Times New Roman" w:hAnsi="Times New Roman" w:cs="Times New Roman"/>
          <w:i/>
          <w:iCs/>
          <w:sz w:val="24"/>
          <w:szCs w:val="24"/>
        </w:rPr>
        <w:t xml:space="preserve">, a U.S.-based research organization. </w:t>
      </w:r>
      <w:proofErr w:type="gramStart"/>
      <w:r w:rsidRPr="00E61E6F">
        <w:rPr>
          <w:rFonts w:ascii="Times New Roman" w:hAnsi="Times New Roman" w:cs="Times New Roman"/>
          <w:i/>
          <w:iCs/>
          <w:sz w:val="24"/>
          <w:szCs w:val="24"/>
        </w:rPr>
        <w:t>All of</w:t>
      </w:r>
      <w:proofErr w:type="gramEnd"/>
      <w:r w:rsidRPr="00E61E6F">
        <w:rPr>
          <w:rFonts w:ascii="Times New Roman" w:hAnsi="Times New Roman" w:cs="Times New Roman"/>
          <w:i/>
          <w:iCs/>
          <w:sz w:val="24"/>
          <w:szCs w:val="24"/>
        </w:rPr>
        <w:t xml:space="preserve"> the information </w:t>
      </w:r>
      <w:r w:rsidRPr="00E61E6F" w:rsidR="00E61E6F">
        <w:rPr>
          <w:rFonts w:ascii="Times New Roman" w:hAnsi="Times New Roman" w:cs="Times New Roman"/>
          <w:i/>
          <w:iCs/>
          <w:sz w:val="24"/>
          <w:szCs w:val="24"/>
        </w:rPr>
        <w:t>you</w:t>
      </w:r>
      <w:r w:rsidRPr="00E61E6F">
        <w:rPr>
          <w:rFonts w:ascii="Times New Roman" w:hAnsi="Times New Roman" w:cs="Times New Roman"/>
          <w:i/>
          <w:iCs/>
          <w:sz w:val="24"/>
          <w:szCs w:val="24"/>
        </w:rPr>
        <w:t xml:space="preserve"> provide may be used only for statistical purposes and may not be disclosed, or used, in identifiable form for any other purpose except as required by law (20 U.S.C. §9573 and 6 U.S.C. §151).</w:t>
      </w:r>
    </w:p>
    <w:bookmarkEnd w:id="34"/>
    <w:p w:rsidRPr="002B3D7E" w:rsidR="002B3D7E" w:rsidP="002B3D7E" w:rsidRDefault="002B3D7E" w14:paraId="64C45BD2" w14:textId="60E06E32">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Login pages and </w:t>
      </w:r>
      <w:r w:rsidR="00E61E6F">
        <w:rPr>
          <w:rFonts w:ascii="Times New Roman" w:hAnsi="Times New Roman" w:cs="Times New Roman"/>
          <w:sz w:val="24"/>
          <w:szCs w:val="24"/>
        </w:rPr>
        <w:t xml:space="preserve">the </w:t>
      </w:r>
      <w:r w:rsidRPr="002B3D7E">
        <w:rPr>
          <w:rFonts w:ascii="Times New Roman" w:hAnsi="Times New Roman" w:cs="Times New Roman"/>
          <w:sz w:val="24"/>
          <w:szCs w:val="24"/>
        </w:rPr>
        <w:t xml:space="preserve">front cover of each data collection instrument, including questionnaires, </w:t>
      </w:r>
      <w:r w:rsidR="00E61E6F">
        <w:rPr>
          <w:rFonts w:ascii="Times New Roman" w:hAnsi="Times New Roman" w:cs="Times New Roman"/>
          <w:sz w:val="24"/>
          <w:szCs w:val="24"/>
        </w:rPr>
        <w:t>also</w:t>
      </w:r>
      <w:r w:rsidRPr="002B3D7E">
        <w:rPr>
          <w:rFonts w:ascii="Times New Roman" w:hAnsi="Times New Roman" w:cs="Times New Roman"/>
          <w:sz w:val="24"/>
          <w:szCs w:val="24"/>
        </w:rPr>
        <w:t xml:space="preserve"> include the following statement:</w:t>
      </w:r>
    </w:p>
    <w:p w:rsidRPr="00E61E6F" w:rsidR="002B3D7E" w:rsidP="00E61E6F" w:rsidRDefault="002B3D7E" w14:paraId="5C036BD7" w14:textId="2420A107">
      <w:pPr>
        <w:spacing w:line="240" w:lineRule="auto"/>
        <w:ind w:left="720"/>
        <w:rPr>
          <w:rFonts w:ascii="Times New Roman" w:hAnsi="Times New Roman" w:cs="Times New Roman"/>
          <w:i/>
          <w:iCs/>
          <w:sz w:val="24"/>
          <w:szCs w:val="24"/>
        </w:rPr>
      </w:pPr>
      <w:bookmarkStart w:name="_Hlk95217380" w:id="35"/>
      <w:r w:rsidRPr="00E61E6F">
        <w:rPr>
          <w:rFonts w:ascii="Times New Roman" w:hAnsi="Times New Roman" w:cs="Times New Roman"/>
          <w:i/>
          <w:iCs/>
          <w:sz w:val="24"/>
          <w:szCs w:val="24"/>
        </w:rPr>
        <w:t>According to the Paperwork Reduction Act of 1995, no persons are required to respond to a collection of information unless such collection displays a valid OMB control number. The valid OMB control number for this voluntary information collection is 1850-0</w:t>
      </w:r>
      <w:r w:rsidR="00E61E6F">
        <w:rPr>
          <w:rFonts w:ascii="Times New Roman" w:hAnsi="Times New Roman" w:cs="Times New Roman"/>
          <w:i/>
          <w:iCs/>
          <w:sz w:val="24"/>
          <w:szCs w:val="24"/>
        </w:rPr>
        <w:t>888</w:t>
      </w:r>
      <w:r w:rsidRPr="00E61E6F">
        <w:rPr>
          <w:rFonts w:ascii="Times New Roman" w:hAnsi="Times New Roman" w:cs="Times New Roman"/>
          <w:i/>
          <w:iCs/>
          <w:sz w:val="24"/>
          <w:szCs w:val="24"/>
        </w:rPr>
        <w:t>. The time required to complete this information collection is estimated to average up to [</w:t>
      </w:r>
      <w:r w:rsidR="00E61E6F">
        <w:rPr>
          <w:rFonts w:ascii="Times New Roman" w:hAnsi="Times New Roman" w:cs="Times New Roman"/>
          <w:i/>
          <w:iCs/>
          <w:sz w:val="24"/>
          <w:szCs w:val="24"/>
        </w:rPr>
        <w:t>45/60</w:t>
      </w:r>
      <w:r w:rsidR="0064616D">
        <w:rPr>
          <w:rFonts w:ascii="Times New Roman" w:hAnsi="Times New Roman" w:cs="Times New Roman"/>
          <w:i/>
          <w:iCs/>
          <w:sz w:val="24"/>
          <w:szCs w:val="24"/>
        </w:rPr>
        <w:t>/240</w:t>
      </w:r>
      <w:r w:rsidRPr="00E61E6F">
        <w:rPr>
          <w:rFonts w:ascii="Times New Roman" w:hAnsi="Times New Roman" w:cs="Times New Roman"/>
          <w:i/>
          <w:iCs/>
          <w:sz w:val="24"/>
          <w:szCs w:val="24"/>
        </w:rPr>
        <w:t xml:space="preserve">] minutes per </w:t>
      </w:r>
      <w:r w:rsidR="00E61E6F">
        <w:rPr>
          <w:rFonts w:ascii="Times New Roman" w:hAnsi="Times New Roman" w:cs="Times New Roman"/>
          <w:i/>
          <w:iCs/>
          <w:sz w:val="24"/>
          <w:szCs w:val="24"/>
        </w:rPr>
        <w:t>[</w:t>
      </w:r>
      <w:r w:rsidRPr="00E61E6F">
        <w:rPr>
          <w:rFonts w:ascii="Times New Roman" w:hAnsi="Times New Roman" w:cs="Times New Roman"/>
          <w:i/>
          <w:iCs/>
          <w:sz w:val="24"/>
          <w:szCs w:val="24"/>
        </w:rPr>
        <w:t>school administrator</w:t>
      </w:r>
      <w:r w:rsidR="0064616D">
        <w:rPr>
          <w:rFonts w:ascii="Times New Roman" w:hAnsi="Times New Roman" w:cs="Times New Roman"/>
          <w:i/>
          <w:iCs/>
          <w:sz w:val="24"/>
          <w:szCs w:val="24"/>
        </w:rPr>
        <w:t>/</w:t>
      </w:r>
      <w:r w:rsidR="00153294">
        <w:rPr>
          <w:rFonts w:ascii="Times New Roman" w:hAnsi="Times New Roman" w:cs="Times New Roman"/>
          <w:i/>
          <w:iCs/>
          <w:sz w:val="24"/>
          <w:szCs w:val="24"/>
        </w:rPr>
        <w:t>teacher/</w:t>
      </w:r>
      <w:r w:rsidR="0064616D">
        <w:rPr>
          <w:rFonts w:ascii="Times New Roman" w:hAnsi="Times New Roman" w:cs="Times New Roman"/>
          <w:i/>
          <w:iCs/>
          <w:sz w:val="24"/>
          <w:szCs w:val="24"/>
        </w:rPr>
        <w:t>school coordinator</w:t>
      </w:r>
      <w:r w:rsidRPr="00E61E6F">
        <w:rPr>
          <w:rFonts w:ascii="Times New Roman" w:hAnsi="Times New Roman" w:cs="Times New Roman"/>
          <w:i/>
          <w:iCs/>
          <w:sz w:val="24"/>
          <w:szCs w:val="24"/>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E61E6F">
        <w:rPr>
          <w:rFonts w:ascii="Times New Roman" w:hAnsi="Times New Roman" w:cs="Times New Roman"/>
          <w:i/>
          <w:iCs/>
          <w:sz w:val="24"/>
          <w:szCs w:val="24"/>
        </w:rPr>
        <w:t>Teaching and Learning International Survey (TALIS)</w:t>
      </w:r>
      <w:r w:rsidRPr="00E61E6F">
        <w:rPr>
          <w:rFonts w:ascii="Times New Roman" w:hAnsi="Times New Roman" w:cs="Times New Roman"/>
          <w:i/>
          <w:iCs/>
          <w:sz w:val="24"/>
          <w:szCs w:val="24"/>
        </w:rPr>
        <w:t xml:space="preserve">, National Center for Education Statistics (NCES), Potomac Center Plaza, 550 12th Street, SW, </w:t>
      </w:r>
      <w:r w:rsidR="00E61E6F">
        <w:rPr>
          <w:rFonts w:ascii="Times New Roman" w:hAnsi="Times New Roman" w:cs="Times New Roman"/>
          <w:i/>
          <w:iCs/>
          <w:sz w:val="24"/>
          <w:szCs w:val="24"/>
        </w:rPr>
        <w:t>4</w:t>
      </w:r>
      <w:r w:rsidRPr="00E61E6F" w:rsidR="00E61E6F">
        <w:rPr>
          <w:rFonts w:ascii="Times New Roman" w:hAnsi="Times New Roman" w:cs="Times New Roman"/>
          <w:i/>
          <w:iCs/>
          <w:sz w:val="24"/>
          <w:szCs w:val="24"/>
          <w:vertAlign w:val="superscript"/>
        </w:rPr>
        <w:t>th</w:t>
      </w:r>
      <w:r w:rsidR="00E61E6F">
        <w:rPr>
          <w:rFonts w:ascii="Times New Roman" w:hAnsi="Times New Roman" w:cs="Times New Roman"/>
          <w:i/>
          <w:iCs/>
          <w:sz w:val="24"/>
          <w:szCs w:val="24"/>
        </w:rPr>
        <w:t xml:space="preserve"> floor</w:t>
      </w:r>
      <w:r w:rsidRPr="00E61E6F">
        <w:rPr>
          <w:rFonts w:ascii="Times New Roman" w:hAnsi="Times New Roman" w:cs="Times New Roman"/>
          <w:i/>
          <w:iCs/>
          <w:sz w:val="24"/>
          <w:szCs w:val="24"/>
        </w:rPr>
        <w:t>, Washington, DC 20202.</w:t>
      </w:r>
    </w:p>
    <w:p w:rsidRPr="000E54C4" w:rsidR="002B3D7E" w:rsidP="00E61E6F" w:rsidRDefault="002B3D7E" w14:paraId="0A4D0E2C" w14:textId="7CEDE0B1">
      <w:pPr>
        <w:spacing w:line="240" w:lineRule="auto"/>
        <w:ind w:left="2160" w:firstLine="720"/>
        <w:rPr>
          <w:rFonts w:ascii="Times New Roman" w:hAnsi="Times New Roman" w:cs="Times New Roman"/>
          <w:i/>
          <w:iCs/>
          <w:sz w:val="24"/>
          <w:szCs w:val="24"/>
        </w:rPr>
      </w:pPr>
      <w:r w:rsidRPr="00E61E6F">
        <w:rPr>
          <w:rFonts w:ascii="Times New Roman" w:hAnsi="Times New Roman" w:cs="Times New Roman"/>
          <w:i/>
          <w:iCs/>
          <w:sz w:val="24"/>
          <w:szCs w:val="24"/>
        </w:rPr>
        <w:t>OMB No. 1850-0</w:t>
      </w:r>
      <w:r w:rsidR="00E61E6F">
        <w:rPr>
          <w:rFonts w:ascii="Times New Roman" w:hAnsi="Times New Roman" w:cs="Times New Roman"/>
          <w:i/>
          <w:iCs/>
          <w:sz w:val="24"/>
          <w:szCs w:val="24"/>
        </w:rPr>
        <w:t>888</w:t>
      </w:r>
      <w:r w:rsidRPr="00E61E6F">
        <w:rPr>
          <w:rFonts w:ascii="Times New Roman" w:hAnsi="Times New Roman" w:cs="Times New Roman"/>
          <w:i/>
          <w:iCs/>
          <w:sz w:val="24"/>
          <w:szCs w:val="24"/>
        </w:rPr>
        <w:t xml:space="preserve">, Approval Expires </w:t>
      </w:r>
      <w:r w:rsidRPr="000E54C4" w:rsidR="00E61E6F">
        <w:rPr>
          <w:rFonts w:ascii="Times New Roman" w:hAnsi="Times New Roman" w:cs="Times New Roman"/>
          <w:i/>
          <w:iCs/>
          <w:sz w:val="24"/>
          <w:szCs w:val="24"/>
        </w:rPr>
        <w:t>MM/DD/2025</w:t>
      </w:r>
    </w:p>
    <w:bookmarkEnd w:id="35"/>
    <w:p w:rsidRPr="00AB2A81" w:rsidR="002B3D7E" w:rsidP="002B3D7E" w:rsidRDefault="002B3D7E" w14:paraId="3F28AB00" w14:textId="73D62FB8">
      <w:pPr>
        <w:spacing w:line="240" w:lineRule="auto"/>
        <w:rPr>
          <w:rFonts w:ascii="Times New Roman" w:hAnsi="Times New Roman" w:cs="Times New Roman"/>
          <w:sz w:val="24"/>
          <w:szCs w:val="24"/>
        </w:rPr>
      </w:pPr>
      <w:r w:rsidRPr="000E54C4">
        <w:rPr>
          <w:rFonts w:ascii="Times New Roman" w:hAnsi="Times New Roman" w:cs="Times New Roman"/>
          <w:sz w:val="24"/>
          <w:szCs w:val="24"/>
        </w:rPr>
        <w:t>NCES understands the legal and ethical need to protect the privacy of the</w:t>
      </w:r>
      <w:r w:rsidRPr="002B3D7E">
        <w:rPr>
          <w:rFonts w:ascii="Times New Roman" w:hAnsi="Times New Roman" w:cs="Times New Roman"/>
          <w:sz w:val="24"/>
          <w:szCs w:val="24"/>
        </w:rPr>
        <w:t xml:space="preserve"> </w:t>
      </w:r>
      <w:r w:rsidR="00E61E6F">
        <w:rPr>
          <w:rFonts w:ascii="Times New Roman" w:hAnsi="Times New Roman" w:cs="Times New Roman"/>
          <w:sz w:val="24"/>
          <w:szCs w:val="24"/>
        </w:rPr>
        <w:t>TALIS</w:t>
      </w:r>
      <w:r w:rsidRPr="002B3D7E">
        <w:rPr>
          <w:rFonts w:ascii="Times New Roman" w:hAnsi="Times New Roman" w:cs="Times New Roman"/>
          <w:sz w:val="24"/>
          <w:szCs w:val="24"/>
        </w:rPr>
        <w:t xml:space="preserve"> respondents and has extensive experience in developing data files for release that meet the government’s requirements to protect individually identifiable data from disclosure. The contractor will conduct a thorough disclosure risk analysis of the </w:t>
      </w:r>
      <w:r w:rsidR="00E61E6F">
        <w:rPr>
          <w:rFonts w:ascii="Times New Roman" w:hAnsi="Times New Roman" w:cs="Times New Roman"/>
          <w:sz w:val="24"/>
          <w:szCs w:val="24"/>
        </w:rPr>
        <w:t>TALIS 2024</w:t>
      </w:r>
      <w:r w:rsidR="005862B8">
        <w:rPr>
          <w:rFonts w:ascii="Times New Roman" w:hAnsi="Times New Roman" w:cs="Times New Roman"/>
          <w:sz w:val="24"/>
          <w:szCs w:val="24"/>
        </w:rPr>
        <w:t xml:space="preserve"> main study</w:t>
      </w:r>
      <w:r w:rsidRPr="002B3D7E">
        <w:rPr>
          <w:rFonts w:ascii="Times New Roman" w:hAnsi="Times New Roman" w:cs="Times New Roman"/>
          <w:sz w:val="24"/>
          <w:szCs w:val="24"/>
        </w:rPr>
        <w:t xml:space="preserve">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w:t>
      </w:r>
      <w:r w:rsidR="005862B8">
        <w:rPr>
          <w:rFonts w:ascii="Times New Roman" w:hAnsi="Times New Roman" w:cs="Times New Roman"/>
          <w:sz w:val="24"/>
          <w:szCs w:val="24"/>
        </w:rPr>
        <w:t>TALIS 2024</w:t>
      </w:r>
      <w:r w:rsidRPr="002B3D7E">
        <w:rPr>
          <w:rFonts w:ascii="Times New Roman" w:hAnsi="Times New Roman" w:cs="Times New Roman"/>
          <w:sz w:val="24"/>
          <w:szCs w:val="24"/>
        </w:rPr>
        <w:t xml:space="preserve"> data will be reviewed and approved by the DRB prior to any public release, as has been the protocol for all previous rounds of </w:t>
      </w:r>
      <w:r w:rsidR="005862B8">
        <w:rPr>
          <w:rFonts w:ascii="Times New Roman" w:hAnsi="Times New Roman" w:cs="Times New Roman"/>
          <w:sz w:val="24"/>
          <w:szCs w:val="24"/>
        </w:rPr>
        <w:t>TALIS</w:t>
      </w:r>
      <w:r w:rsidRPr="002B3D7E">
        <w:rPr>
          <w:rFonts w:ascii="Times New Roman" w:hAnsi="Times New Roman" w:cs="Times New Roman"/>
          <w:sz w:val="24"/>
          <w:szCs w:val="24"/>
        </w:rPr>
        <w:t>.</w:t>
      </w:r>
    </w:p>
    <w:p w:rsidRPr="0071144F" w:rsidR="0066245A" w:rsidP="00F63C37" w:rsidRDefault="0066245A" w14:paraId="6709C0A9" w14:textId="77777777">
      <w:pPr>
        <w:pStyle w:val="Heading1"/>
        <w:rPr>
          <w:caps/>
        </w:rPr>
      </w:pPr>
      <w:bookmarkStart w:name="_Toc260729198" w:id="36"/>
      <w:bookmarkStart w:name="_Toc299121373" w:id="37"/>
      <w:bookmarkStart w:name="_Toc90026007" w:id="38"/>
      <w:bookmarkStart w:name="_Toc294859913" w:id="39"/>
      <w:r w:rsidRPr="0071144F">
        <w:t>A.11</w:t>
      </w:r>
      <w:r w:rsidRPr="0071144F">
        <w:tab/>
        <w:t>Sensitive Questions</w:t>
      </w:r>
      <w:bookmarkEnd w:id="36"/>
      <w:bookmarkEnd w:id="37"/>
      <w:bookmarkEnd w:id="38"/>
    </w:p>
    <w:p w:rsidRPr="0071144F" w:rsidR="00BE3E6B" w:rsidP="00D36763" w:rsidRDefault="0071144F" w14:paraId="7C31110C" w14:textId="518351C1">
      <w:pPr>
        <w:spacing w:line="240" w:lineRule="auto"/>
        <w:rPr>
          <w:rFonts w:ascii="Times New Roman" w:hAnsi="Times New Roman" w:cs="Times New Roman"/>
          <w:sz w:val="24"/>
          <w:szCs w:val="24"/>
        </w:rPr>
      </w:pPr>
      <w:r w:rsidRPr="0071144F">
        <w:rPr>
          <w:rFonts w:ascii="Times New Roman" w:hAnsi="Times New Roman" w:cs="Times New Roman"/>
          <w:sz w:val="24"/>
          <w:szCs w:val="24"/>
        </w:rPr>
        <w:t xml:space="preserve">The </w:t>
      </w:r>
      <w:r w:rsidRPr="0071144F" w:rsidR="006B3B39">
        <w:rPr>
          <w:rFonts w:ascii="Times New Roman" w:hAnsi="Times New Roman" w:cs="Times New Roman"/>
          <w:sz w:val="24"/>
          <w:szCs w:val="24"/>
        </w:rPr>
        <w:t>TALIS 2024</w:t>
      </w:r>
      <w:r w:rsidRPr="0071144F" w:rsidR="00411A70">
        <w:rPr>
          <w:rFonts w:ascii="Times New Roman" w:hAnsi="Times New Roman" w:cs="Times New Roman"/>
          <w:sz w:val="24"/>
          <w:szCs w:val="24"/>
        </w:rPr>
        <w:t xml:space="preserve"> </w:t>
      </w:r>
      <w:r w:rsidRPr="0071144F" w:rsidR="0043712A">
        <w:rPr>
          <w:rFonts w:ascii="Times New Roman" w:hAnsi="Times New Roman" w:cs="Times New Roman"/>
          <w:sz w:val="24"/>
          <w:szCs w:val="24"/>
        </w:rPr>
        <w:t>field test</w:t>
      </w:r>
      <w:r w:rsidRPr="0071144F" w:rsidR="0066245A">
        <w:rPr>
          <w:rFonts w:ascii="Times New Roman" w:hAnsi="Times New Roman" w:cs="Times New Roman"/>
          <w:sz w:val="24"/>
          <w:szCs w:val="24"/>
        </w:rPr>
        <w:t xml:space="preserve"> does not include questions usually considered to be of a highly sensitive nature, such as items concerning religion, substance abuse, or sexual activity.</w:t>
      </w:r>
      <w:r w:rsidRPr="0071144F" w:rsidR="00566EE7">
        <w:rPr>
          <w:rFonts w:ascii="Times New Roman" w:hAnsi="Times New Roman" w:cs="Times New Roman"/>
          <w:sz w:val="24"/>
          <w:szCs w:val="24"/>
        </w:rPr>
        <w:t xml:space="preserve"> There is </w:t>
      </w:r>
      <w:r w:rsidRPr="0071144F" w:rsidR="005D1EB5">
        <w:rPr>
          <w:rFonts w:ascii="Times New Roman" w:hAnsi="Times New Roman" w:cs="Times New Roman"/>
          <w:sz w:val="24"/>
          <w:szCs w:val="24"/>
        </w:rPr>
        <w:t xml:space="preserve">also </w:t>
      </w:r>
      <w:r w:rsidRPr="0071144F" w:rsidR="00566EE7">
        <w:rPr>
          <w:rFonts w:ascii="Times New Roman" w:hAnsi="Times New Roman" w:cs="Times New Roman"/>
          <w:sz w:val="24"/>
          <w:szCs w:val="24"/>
        </w:rPr>
        <w:t>no indication that items of a sensitive nature will be included in the main study.</w:t>
      </w:r>
      <w:bookmarkStart w:name="_Toc299121374" w:id="40"/>
    </w:p>
    <w:p w:rsidRPr="00210CC9" w:rsidR="0066245A" w:rsidP="00F63C37" w:rsidRDefault="0066245A" w14:paraId="0167EAA8" w14:textId="77777777">
      <w:pPr>
        <w:pStyle w:val="Heading1"/>
      </w:pPr>
      <w:bookmarkStart w:name="_Toc90026008" w:id="41"/>
      <w:r w:rsidRPr="00210CC9">
        <w:t>A.12</w:t>
      </w:r>
      <w:r w:rsidRPr="00210CC9">
        <w:tab/>
        <w:t>Estimates of Burden</w:t>
      </w:r>
      <w:bookmarkEnd w:id="40"/>
      <w:bookmarkEnd w:id="41"/>
    </w:p>
    <w:p w:rsidRPr="00210CC9" w:rsidR="00F91CB5" w:rsidP="00D36763" w:rsidRDefault="0066245A" w14:paraId="0AA1D4B9" w14:textId="6F3E1860">
      <w:pPr>
        <w:widowControl w:val="0"/>
        <w:spacing w:line="240" w:lineRule="auto"/>
        <w:rPr>
          <w:rFonts w:ascii="Times New Roman" w:hAnsi="Times New Roman" w:cs="Times New Roman"/>
          <w:sz w:val="24"/>
          <w:szCs w:val="24"/>
        </w:rPr>
      </w:pPr>
      <w:r w:rsidRPr="00210CC9">
        <w:rPr>
          <w:rFonts w:ascii="Times New Roman" w:hAnsi="Times New Roman" w:cs="Times New Roman"/>
          <w:sz w:val="24"/>
          <w:szCs w:val="24"/>
        </w:rPr>
        <w:t xml:space="preserve">The burden to respondents for the </w:t>
      </w:r>
      <w:r w:rsidRPr="00210CC9" w:rsidR="006B3B39">
        <w:rPr>
          <w:rFonts w:ascii="Times New Roman" w:hAnsi="Times New Roman" w:cs="Times New Roman"/>
          <w:sz w:val="24"/>
          <w:szCs w:val="24"/>
        </w:rPr>
        <w:t>TALIS 2024</w:t>
      </w:r>
      <w:r w:rsidRPr="00210CC9" w:rsidR="00411A70">
        <w:rPr>
          <w:rFonts w:ascii="Times New Roman" w:hAnsi="Times New Roman" w:cs="Times New Roman"/>
          <w:sz w:val="24"/>
          <w:szCs w:val="24"/>
        </w:rPr>
        <w:t xml:space="preserve"> </w:t>
      </w:r>
      <w:r w:rsidRPr="00210CC9" w:rsidR="0043712A">
        <w:rPr>
          <w:rFonts w:ascii="Times New Roman" w:hAnsi="Times New Roman" w:cs="Times New Roman"/>
          <w:sz w:val="24"/>
          <w:szCs w:val="24"/>
        </w:rPr>
        <w:t>field test</w:t>
      </w:r>
      <w:r w:rsidRPr="00210CC9">
        <w:rPr>
          <w:rFonts w:ascii="Times New Roman" w:hAnsi="Times New Roman" w:cs="Times New Roman"/>
          <w:sz w:val="24"/>
          <w:szCs w:val="24"/>
        </w:rPr>
        <w:t xml:space="preserve"> </w:t>
      </w:r>
      <w:r w:rsidRPr="00210CC9" w:rsidR="00F91CB5">
        <w:rPr>
          <w:rFonts w:ascii="Times New Roman" w:hAnsi="Times New Roman" w:cs="Times New Roman"/>
          <w:sz w:val="24"/>
          <w:szCs w:val="24"/>
        </w:rPr>
        <w:t xml:space="preserve">and main study </w:t>
      </w:r>
      <w:r w:rsidRPr="00210CC9">
        <w:rPr>
          <w:rFonts w:ascii="Times New Roman" w:hAnsi="Times New Roman" w:cs="Times New Roman"/>
          <w:sz w:val="24"/>
          <w:szCs w:val="24"/>
        </w:rPr>
        <w:t xml:space="preserve">is calculated for the estimated time required of </w:t>
      </w:r>
      <w:r w:rsidRPr="00210CC9" w:rsidR="005D1EB5">
        <w:rPr>
          <w:rFonts w:ascii="Times New Roman" w:hAnsi="Times New Roman" w:cs="Times New Roman"/>
          <w:sz w:val="24"/>
          <w:szCs w:val="24"/>
        </w:rPr>
        <w:t xml:space="preserve">special handling districts staff and </w:t>
      </w:r>
      <w:r w:rsidRPr="00210CC9">
        <w:rPr>
          <w:rFonts w:ascii="Times New Roman" w:hAnsi="Times New Roman" w:cs="Times New Roman"/>
          <w:sz w:val="24"/>
          <w:szCs w:val="24"/>
        </w:rPr>
        <w:t>school staff (school administrator</w:t>
      </w:r>
      <w:r w:rsidRPr="00210CC9" w:rsidR="006672CD">
        <w:rPr>
          <w:rFonts w:ascii="Times New Roman" w:hAnsi="Times New Roman" w:cs="Times New Roman"/>
          <w:sz w:val="24"/>
          <w:szCs w:val="24"/>
        </w:rPr>
        <w:t xml:space="preserve">, </w:t>
      </w:r>
      <w:r w:rsidRPr="00210CC9">
        <w:rPr>
          <w:rFonts w:ascii="Times New Roman" w:hAnsi="Times New Roman" w:cs="Times New Roman"/>
          <w:sz w:val="24"/>
          <w:szCs w:val="24"/>
        </w:rPr>
        <w:t>school coordinators</w:t>
      </w:r>
      <w:r w:rsidRPr="00210CC9" w:rsidR="005D1EB5">
        <w:rPr>
          <w:rFonts w:ascii="Times New Roman" w:hAnsi="Times New Roman" w:cs="Times New Roman"/>
          <w:sz w:val="24"/>
          <w:szCs w:val="24"/>
        </w:rPr>
        <w:t>,</w:t>
      </w:r>
      <w:r w:rsidRPr="00210CC9" w:rsidR="006672CD">
        <w:rPr>
          <w:rFonts w:ascii="Times New Roman" w:hAnsi="Times New Roman" w:cs="Times New Roman"/>
          <w:sz w:val="24"/>
          <w:szCs w:val="24"/>
        </w:rPr>
        <w:t xml:space="preserve"> and teachers</w:t>
      </w:r>
      <w:r w:rsidRPr="00210CC9">
        <w:rPr>
          <w:rFonts w:ascii="Times New Roman" w:hAnsi="Times New Roman" w:cs="Times New Roman"/>
          <w:sz w:val="24"/>
          <w:szCs w:val="24"/>
        </w:rPr>
        <w:t>) to complete recruitment,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and </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w:t>
      </w:r>
      <w:r w:rsidRPr="00210CC9" w:rsidR="00F91CB5">
        <w:rPr>
          <w:rFonts w:ascii="Times New Roman" w:hAnsi="Times New Roman" w:cs="Times New Roman"/>
          <w:sz w:val="24"/>
          <w:szCs w:val="24"/>
        </w:rPr>
        <w:t xml:space="preserve"> (</w:t>
      </w:r>
      <w:r w:rsidRPr="00210CC9">
        <w:rPr>
          <w:rFonts w:ascii="Times New Roman" w:hAnsi="Times New Roman" w:cs="Times New Roman"/>
          <w:sz w:val="24"/>
          <w:szCs w:val="24"/>
        </w:rPr>
        <w:t xml:space="preserve">Table </w:t>
      </w:r>
      <w:r w:rsidRPr="00210CC9" w:rsidR="00520334">
        <w:rPr>
          <w:rFonts w:ascii="Times New Roman" w:hAnsi="Times New Roman" w:cs="Times New Roman"/>
          <w:sz w:val="24"/>
          <w:szCs w:val="24"/>
        </w:rPr>
        <w:t>1</w:t>
      </w:r>
      <w:r w:rsidRPr="00210CC9" w:rsidR="00F91CB5">
        <w:rPr>
          <w:rFonts w:ascii="Times New Roman" w:hAnsi="Times New Roman" w:cs="Times New Roman"/>
          <w:sz w:val="24"/>
          <w:szCs w:val="24"/>
        </w:rPr>
        <w:t>)</w:t>
      </w:r>
      <w:r w:rsidRPr="00210CC9">
        <w:rPr>
          <w:rFonts w:ascii="Times New Roman" w:hAnsi="Times New Roman" w:cs="Times New Roman"/>
          <w:sz w:val="24"/>
          <w:szCs w:val="24"/>
        </w:rPr>
        <w:t xml:space="preserve">. </w:t>
      </w:r>
      <w:r w:rsidRPr="00210CC9" w:rsidR="004B1E0E">
        <w:rPr>
          <w:rFonts w:ascii="Times New Roman" w:hAnsi="Times New Roman" w:cs="Times New Roman"/>
          <w:sz w:val="24"/>
          <w:szCs w:val="24"/>
        </w:rPr>
        <w:t>Survey participation</w:t>
      </w:r>
      <w:r w:rsidRPr="00210CC9">
        <w:rPr>
          <w:rFonts w:ascii="Times New Roman" w:hAnsi="Times New Roman" w:cs="Times New Roman"/>
          <w:sz w:val="24"/>
          <w:szCs w:val="24"/>
        </w:rPr>
        <w:t xml:space="preserve"> include</w:t>
      </w:r>
      <w:r w:rsidRPr="00210CC9" w:rsidR="00566EE7">
        <w:rPr>
          <w:rFonts w:ascii="Times New Roman" w:hAnsi="Times New Roman" w:cs="Times New Roman"/>
          <w:sz w:val="24"/>
          <w:szCs w:val="24"/>
        </w:rPr>
        <w:t>s</w:t>
      </w:r>
      <w:r w:rsidRPr="00210CC9">
        <w:rPr>
          <w:rFonts w:ascii="Times New Roman" w:hAnsi="Times New Roman" w:cs="Times New Roman"/>
          <w:sz w:val="24"/>
          <w:szCs w:val="24"/>
        </w:rPr>
        <w:t xml:space="preserve"> the time involved to complete </w:t>
      </w:r>
      <w:r w:rsidRPr="00210CC9" w:rsidR="006672CD">
        <w:rPr>
          <w:rFonts w:ascii="Times New Roman" w:hAnsi="Times New Roman" w:cs="Times New Roman"/>
          <w:sz w:val="24"/>
          <w:szCs w:val="24"/>
        </w:rPr>
        <w:t>teacher</w:t>
      </w:r>
      <w:r w:rsidRPr="00210CC9">
        <w:rPr>
          <w:rFonts w:ascii="Times New Roman" w:hAnsi="Times New Roman" w:cs="Times New Roman"/>
          <w:sz w:val="24"/>
          <w:szCs w:val="24"/>
        </w:rPr>
        <w:t xml:space="preserve"> and school administrator questionnaires. Recruitment and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 include the time involved </w:t>
      </w:r>
      <w:r w:rsidRPr="00210CC9" w:rsidR="005D1EB5">
        <w:rPr>
          <w:rFonts w:ascii="Times New Roman" w:hAnsi="Times New Roman" w:cs="Times New Roman"/>
          <w:sz w:val="24"/>
          <w:szCs w:val="24"/>
        </w:rPr>
        <w:t xml:space="preserve">for </w:t>
      </w:r>
      <w:r w:rsidRPr="00210CC9" w:rsidR="00F91CB5">
        <w:rPr>
          <w:rFonts w:ascii="Times New Roman" w:hAnsi="Times New Roman" w:cs="Times New Roman"/>
          <w:sz w:val="24"/>
          <w:szCs w:val="24"/>
        </w:rPr>
        <w:t xml:space="preserve">(a) </w:t>
      </w:r>
      <w:r w:rsidRPr="00210CC9" w:rsidR="005D1EB5">
        <w:rPr>
          <w:rFonts w:ascii="Times New Roman" w:hAnsi="Times New Roman" w:cs="Times New Roman"/>
          <w:sz w:val="24"/>
          <w:szCs w:val="24"/>
        </w:rPr>
        <w:t xml:space="preserve">special handling districts to review </w:t>
      </w:r>
      <w:r w:rsidRPr="00210CC9" w:rsidR="00210CC9">
        <w:rPr>
          <w:rFonts w:ascii="Times New Roman" w:hAnsi="Times New Roman" w:cs="Times New Roman"/>
          <w:sz w:val="24"/>
          <w:szCs w:val="24"/>
        </w:rPr>
        <w:t xml:space="preserve">the </w:t>
      </w:r>
      <w:r w:rsidRPr="00210CC9" w:rsidR="005D1EB5">
        <w:rPr>
          <w:rFonts w:ascii="Times New Roman" w:hAnsi="Times New Roman" w:cs="Times New Roman"/>
          <w:sz w:val="24"/>
          <w:szCs w:val="24"/>
        </w:rPr>
        <w:t xml:space="preserve">TALIS research application and </w:t>
      </w:r>
      <w:r w:rsidRPr="00210CC9" w:rsidR="00F91CB5">
        <w:rPr>
          <w:rFonts w:ascii="Times New Roman" w:hAnsi="Times New Roman" w:cs="Times New Roman"/>
          <w:sz w:val="24"/>
          <w:szCs w:val="24"/>
        </w:rPr>
        <w:t>(b)</w:t>
      </w:r>
      <w:r w:rsidRPr="00210CC9" w:rsidR="005D1EB5">
        <w:rPr>
          <w:rFonts w:ascii="Times New Roman" w:hAnsi="Times New Roman" w:cs="Times New Roman"/>
          <w:sz w:val="24"/>
          <w:szCs w:val="24"/>
        </w:rPr>
        <w:t xml:space="preserve"> schools </w:t>
      </w:r>
      <w:r w:rsidRPr="00210CC9">
        <w:rPr>
          <w:rFonts w:ascii="Times New Roman" w:hAnsi="Times New Roman" w:cs="Times New Roman"/>
          <w:sz w:val="24"/>
          <w:szCs w:val="24"/>
        </w:rPr>
        <w:t xml:space="preserve">to decide </w:t>
      </w:r>
      <w:r w:rsidRPr="00210CC9" w:rsidR="00F91CB5">
        <w:rPr>
          <w:rFonts w:ascii="Times New Roman" w:hAnsi="Times New Roman" w:cs="Times New Roman"/>
          <w:sz w:val="24"/>
          <w:szCs w:val="24"/>
        </w:rPr>
        <w:t xml:space="preserve">to participate and who will distribute questionnaire to the school administrators and teachers, completing teacher listing forms, and notifying </w:t>
      </w:r>
      <w:r w:rsidRPr="00210CC9" w:rsidR="00F91CB5">
        <w:rPr>
          <w:rFonts w:ascii="Times New Roman" w:hAnsi="Times New Roman" w:cs="Times New Roman"/>
          <w:sz w:val="24"/>
          <w:szCs w:val="24"/>
        </w:rPr>
        <w:lastRenderedPageBreak/>
        <w:t>sampled teachers.</w:t>
      </w:r>
    </w:p>
    <w:p w:rsidRPr="00210CC9" w:rsidR="006476BD" w:rsidP="00D36763" w:rsidRDefault="44FD35A1" w14:paraId="7D6A7EB1" w14:textId="77777777">
      <w:pPr>
        <w:spacing w:line="240" w:lineRule="auto"/>
        <w:rPr>
          <w:rFonts w:ascii="Times New Roman" w:hAnsi="Times New Roman" w:cs="Times New Roman"/>
          <w:sz w:val="24"/>
          <w:szCs w:val="24"/>
        </w:rPr>
      </w:pPr>
      <w:r w:rsidRPr="44FD35A1">
        <w:rPr>
          <w:rFonts w:ascii="Times New Roman" w:hAnsi="Times New Roman" w:cs="Times New Roman"/>
          <w:sz w:val="24"/>
          <w:szCs w:val="24"/>
        </w:rPr>
        <w:t>The estimated response burden for schools is based on a 45 minute online school questionnaire for administrators and a 60 minute online teacher questionnaire (each including 15 minutes for instructions and each available in a paper and pencil version available upon request), 90 minutes for school administrators during the recruitment process, and an average of 4 hours for school coordinators to coordinate logistics with the data collection contractor, supply a list of eligible teachers, and encourage teachers to participate in the survey.</w:t>
      </w:r>
    </w:p>
    <w:p w:rsidRPr="000E54C4" w:rsidR="00BF4A0F" w:rsidP="00D36763" w:rsidRDefault="27ACF25C" w14:paraId="798B4E8F" w14:textId="2822BBD3">
      <w:pPr>
        <w:spacing w:line="240" w:lineRule="auto"/>
        <w:rPr>
          <w:rFonts w:ascii="Times New Roman" w:hAnsi="Times New Roman" w:cs="Times New Roman"/>
          <w:sz w:val="24"/>
          <w:szCs w:val="24"/>
        </w:rPr>
      </w:pPr>
      <w:r w:rsidRPr="27ACF25C">
        <w:rPr>
          <w:rFonts w:ascii="Times New Roman" w:hAnsi="Times New Roman" w:cs="Times New Roman"/>
          <w:sz w:val="24"/>
          <w:szCs w:val="24"/>
        </w:rPr>
        <w:t xml:space="preserve">We estimate that there may be 9 special handling districts in the field test sample – those known to require completion of a research application before they will allow schools under their jurisdiction to participate in a study. These applications are typically reviewed by a district IRB panel. We assume 6 members per district IRB panel. Estimated burden hours for special handling districts are included under “Special Handling Districts IRB Staff” and “Special Handling Districts IRB Panel” and reflect estimated burden associated with school district staff reviewing and processing special handling district research application materials. Contacting special districts begins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is made about the amount of time the districts spend reviewing similar research applications. The estimated number of such districts represents those with particularly detailed application forms and lengthy processes for approval. This operation should begin in August 2022 to allow sufficient time for special districts’ review processes. We will begin contacting these districts upon receiving OMB’s approval and continue to work with them until we receive a final response (approval or </w:t>
      </w:r>
      <w:r w:rsidRPr="000E54C4">
        <w:rPr>
          <w:rFonts w:ascii="Times New Roman" w:hAnsi="Times New Roman" w:cs="Times New Roman"/>
          <w:sz w:val="24"/>
          <w:szCs w:val="24"/>
        </w:rPr>
        <w:t>denial of request) up until March 03, 2023.</w:t>
      </w:r>
    </w:p>
    <w:p w:rsidR="00E01ADF" w:rsidP="27ACF25C" w:rsidRDefault="27ACF25C" w14:paraId="4758FF97" w14:textId="2C1790B7">
      <w:pPr>
        <w:spacing w:line="240" w:lineRule="auto"/>
        <w:rPr>
          <w:rFonts w:ascii="Times New Roman" w:hAnsi="Times New Roman" w:cs="Times New Roman"/>
          <w:sz w:val="24"/>
          <w:szCs w:val="24"/>
        </w:rPr>
      </w:pPr>
      <w:r w:rsidRPr="000E54C4">
        <w:rPr>
          <w:rFonts w:ascii="Times New Roman" w:hAnsi="Times New Roman" w:cs="Times New Roman"/>
          <w:sz w:val="24"/>
          <w:szCs w:val="24"/>
        </w:rPr>
        <w:t>The international sample design for TALIS 2024 calls for a minimum of 30 schools in the field test and a minimum of</w:t>
      </w:r>
      <w:r w:rsidRPr="27ACF25C">
        <w:rPr>
          <w:rFonts w:ascii="Times New Roman" w:hAnsi="Times New Roman" w:cs="Times New Roman"/>
          <w:sz w:val="24"/>
          <w:szCs w:val="24"/>
        </w:rPr>
        <w:t xml:space="preserve"> 200 in the main study. Education systems are allowed to use substitute schools (selected during the sampling process) to increase the school response rate. One substitute school is allowed per sampled school in the field test and two per sampled school in the main study. To allow for reliable estimation, while allowing for some amount of non-response, the U.S. is selecting school samples slightly greater than the minimum required. Similarly, for teachers within schools, the minimum sample size was set at 35 teachers to allow for reliable estimation and account for some non-response.</w:t>
      </w:r>
    </w:p>
    <w:p w:rsidR="00E01ADF" w:rsidRDefault="00E01ADF" w14:paraId="1F178C82" w14:textId="77777777">
      <w:pPr>
        <w:rPr>
          <w:rFonts w:ascii="Times New Roman" w:hAnsi="Times New Roman" w:cs="Times New Roman"/>
          <w:sz w:val="24"/>
          <w:szCs w:val="24"/>
        </w:rPr>
      </w:pPr>
      <w:r>
        <w:rPr>
          <w:rFonts w:ascii="Times New Roman" w:hAnsi="Times New Roman" w:cs="Times New Roman"/>
          <w:sz w:val="24"/>
          <w:szCs w:val="24"/>
        </w:rPr>
        <w:br w:type="page"/>
      </w:r>
    </w:p>
    <w:p w:rsidRPr="00410EC8" w:rsidR="00400973" w:rsidP="00400973" w:rsidRDefault="00400973" w14:paraId="14271D5B" w14:textId="77777777">
      <w:pPr>
        <w:spacing w:after="0" w:line="240" w:lineRule="auto"/>
        <w:rPr>
          <w:rFonts w:ascii="Times New Roman" w:hAnsi="Times New Roman" w:cs="Times New Roman"/>
          <w:b/>
          <w:bCs/>
          <w:sz w:val="24"/>
          <w:szCs w:val="24"/>
        </w:rPr>
      </w:pPr>
      <w:bookmarkStart w:name="_Toc260729200" w:id="42"/>
      <w:bookmarkStart w:name="_Toc299121375" w:id="43"/>
      <w:r w:rsidRPr="0F22E9BF">
        <w:rPr>
          <w:rFonts w:ascii="Times New Roman" w:hAnsi="Times New Roman" w:cs="Times New Roman"/>
          <w:b/>
          <w:bCs/>
          <w:sz w:val="24"/>
          <w:szCs w:val="24"/>
        </w:rPr>
        <w:lastRenderedPageBreak/>
        <w:t>Table 1. Burden estimates for TALIS 2024 field test (FT) and main study (MS)</w:t>
      </w:r>
    </w:p>
    <w:tbl>
      <w:tblPr>
        <w:tblW w:w="10215" w:type="dxa"/>
        <w:tblLayout w:type="fixed"/>
        <w:tblLook w:val="04A0" w:firstRow="1" w:lastRow="0" w:firstColumn="1" w:lastColumn="0" w:noHBand="0" w:noVBand="1"/>
      </w:tblPr>
      <w:tblGrid>
        <w:gridCol w:w="3600"/>
        <w:gridCol w:w="900"/>
        <w:gridCol w:w="1170"/>
        <w:gridCol w:w="1260"/>
        <w:gridCol w:w="1200"/>
        <w:gridCol w:w="1230"/>
        <w:gridCol w:w="855"/>
      </w:tblGrid>
      <w:tr w:rsidR="00400973" w:rsidTr="009625A1" w14:paraId="267F4A78"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B9DF6EA" w14:textId="77777777">
            <w:pPr>
              <w:spacing w:after="0"/>
              <w:rPr>
                <w:rFonts w:ascii="Times New Roman" w:hAnsi="Times New Roman" w:eastAsia="Times New Roman" w:cs="Times New Roman"/>
                <w:b/>
                <w:bCs/>
                <w:sz w:val="20"/>
                <w:szCs w:val="20"/>
              </w:rPr>
            </w:pPr>
          </w:p>
        </w:tc>
        <w:tc>
          <w:tcPr>
            <w:tcW w:w="9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6163418" w14:textId="77777777">
            <w:pPr>
              <w:spacing w:after="0"/>
              <w:jc w:val="right"/>
            </w:pPr>
            <w:r w:rsidRPr="0F22E9BF">
              <w:rPr>
                <w:rFonts w:ascii="Times New Roman" w:hAnsi="Times New Roman" w:eastAsia="Times New Roman" w:cs="Times New Roman"/>
                <w:b/>
                <w:bCs/>
                <w:sz w:val="20"/>
                <w:szCs w:val="20"/>
              </w:rPr>
              <w:t>Sample size</w:t>
            </w:r>
          </w:p>
        </w:tc>
        <w:tc>
          <w:tcPr>
            <w:tcW w:w="117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0CD94255" w14:textId="77777777">
            <w:pPr>
              <w:spacing w:after="0"/>
              <w:jc w:val="right"/>
            </w:pPr>
            <w:r w:rsidRPr="0F22E9BF">
              <w:rPr>
                <w:rFonts w:ascii="Times New Roman" w:hAnsi="Times New Roman" w:eastAsia="Times New Roman" w:cs="Times New Roman"/>
                <w:b/>
                <w:bCs/>
                <w:sz w:val="20"/>
                <w:szCs w:val="20"/>
              </w:rPr>
              <w:t>Expected response rate</w:t>
            </w:r>
            <w:r w:rsidRPr="00296A2E">
              <w:rPr>
                <w:rFonts w:ascii="Times New Roman" w:hAnsi="Times New Roman" w:eastAsia="Times New Roman" w:cs="Times New Roman"/>
                <w:b/>
                <w:bCs/>
                <w:sz w:val="20"/>
                <w:szCs w:val="20"/>
                <w:vertAlign w:val="superscript"/>
              </w:rPr>
              <w:t>1</w:t>
            </w:r>
          </w:p>
        </w:tc>
        <w:tc>
          <w:tcPr>
            <w:tcW w:w="126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05D2608B" w14:textId="77777777">
            <w:pPr>
              <w:spacing w:after="0"/>
              <w:jc w:val="right"/>
            </w:pPr>
            <w:r w:rsidRPr="0F22E9BF">
              <w:rPr>
                <w:rFonts w:ascii="Times New Roman" w:hAnsi="Times New Roman" w:eastAsia="Times New Roman" w:cs="Times New Roman"/>
                <w:b/>
                <w:bCs/>
                <w:sz w:val="20"/>
                <w:szCs w:val="20"/>
              </w:rPr>
              <w:t>Number of respondents</w:t>
            </w:r>
          </w:p>
        </w:tc>
        <w:tc>
          <w:tcPr>
            <w:tcW w:w="12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72CE67AB" w14:textId="77777777">
            <w:pPr>
              <w:spacing w:after="0"/>
              <w:jc w:val="right"/>
            </w:pPr>
            <w:r w:rsidRPr="0F22E9BF">
              <w:rPr>
                <w:rFonts w:ascii="Times New Roman" w:hAnsi="Times New Roman" w:eastAsia="Times New Roman" w:cs="Times New Roman"/>
                <w:b/>
                <w:bCs/>
                <w:sz w:val="20"/>
                <w:szCs w:val="20"/>
              </w:rPr>
              <w:t>Number of responses</w:t>
            </w:r>
          </w:p>
        </w:tc>
        <w:tc>
          <w:tcPr>
            <w:tcW w:w="123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736C0DA5" w14:textId="77777777">
            <w:pPr>
              <w:spacing w:after="0"/>
              <w:jc w:val="right"/>
            </w:pPr>
            <w:r w:rsidRPr="0F22E9BF">
              <w:rPr>
                <w:rFonts w:ascii="Times New Roman" w:hAnsi="Times New Roman" w:eastAsia="Times New Roman" w:cs="Times New Roman"/>
                <w:b/>
                <w:bCs/>
                <w:sz w:val="20"/>
                <w:szCs w:val="20"/>
              </w:rPr>
              <w:t>Burden per respondent (minutes)</w:t>
            </w:r>
          </w:p>
        </w:tc>
        <w:tc>
          <w:tcPr>
            <w:tcW w:w="855"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13545CF8" w14:textId="77777777">
            <w:pPr>
              <w:spacing w:after="0"/>
              <w:jc w:val="right"/>
            </w:pPr>
            <w:r w:rsidRPr="0F22E9BF">
              <w:rPr>
                <w:rFonts w:ascii="Times New Roman" w:hAnsi="Times New Roman" w:eastAsia="Times New Roman" w:cs="Times New Roman"/>
                <w:b/>
                <w:bCs/>
                <w:sz w:val="20"/>
                <w:szCs w:val="20"/>
              </w:rPr>
              <w:t>Total burden (hours)</w:t>
            </w:r>
          </w:p>
        </w:tc>
      </w:tr>
      <w:tr w:rsidR="00400973" w:rsidTr="009625A1" w14:paraId="72511131" w14:textId="77777777">
        <w:trPr>
          <w:trHeight w:val="150"/>
        </w:trPr>
        <w:tc>
          <w:tcPr>
            <w:tcW w:w="10215" w:type="dxa"/>
            <w:gridSpan w:val="7"/>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0E54C4" w:rsidR="00400973" w:rsidP="009625A1" w:rsidRDefault="00400973" w14:paraId="7C58B628" w14:textId="77777777">
            <w:pPr>
              <w:spacing w:after="0"/>
            </w:pPr>
            <w:r w:rsidRPr="000E54C4">
              <w:rPr>
                <w:rFonts w:ascii="Times New Roman" w:hAnsi="Times New Roman" w:eastAsia="Times New Roman" w:cs="Times New Roman"/>
                <w:color w:val="000000" w:themeColor="text1"/>
                <w:sz w:val="20"/>
                <w:szCs w:val="20"/>
              </w:rPr>
              <w:t>Field Test Recruitment and Pre-Survey Activity</w:t>
            </w:r>
          </w:p>
        </w:tc>
      </w:tr>
      <w:tr w:rsidR="00400973" w:rsidTr="009625A1" w14:paraId="22EAA6DF"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2B0D7DF6" w14:textId="77777777">
            <w:pPr>
              <w:spacing w:after="0"/>
            </w:pPr>
            <w:r w:rsidRPr="000E54C4">
              <w:rPr>
                <w:rFonts w:ascii="Times New Roman" w:hAnsi="Times New Roman" w:eastAsia="Times New Roman" w:cs="Times New Roman"/>
                <w:sz w:val="20"/>
                <w:szCs w:val="20"/>
              </w:rPr>
              <w:t>District Administrator</w:t>
            </w:r>
          </w:p>
        </w:tc>
        <w:tc>
          <w:tcPr>
            <w:tcW w:w="900" w:type="dxa"/>
            <w:tcBorders>
              <w:top w:val="nil"/>
              <w:left w:val="single" w:color="auto" w:sz="8" w:space="0"/>
              <w:bottom w:val="single" w:color="auto" w:sz="8" w:space="0"/>
              <w:right w:val="single" w:color="auto" w:sz="8" w:space="0"/>
            </w:tcBorders>
          </w:tcPr>
          <w:p w:rsidR="00400973" w:rsidP="009625A1" w:rsidRDefault="00400973" w14:paraId="3FA61544" w14:textId="77777777">
            <w:pPr>
              <w:spacing w:after="0"/>
              <w:jc w:val="right"/>
            </w:pPr>
            <w:r w:rsidRPr="0F22E9BF">
              <w:rPr>
                <w:rFonts w:ascii="Times New Roman" w:hAnsi="Times New Roman" w:eastAsia="Times New Roman" w:cs="Times New Roman"/>
                <w:sz w:val="20"/>
                <w:szCs w:val="20"/>
              </w:rPr>
              <w:t>70</w:t>
            </w:r>
          </w:p>
        </w:tc>
        <w:tc>
          <w:tcPr>
            <w:tcW w:w="1170" w:type="dxa"/>
            <w:tcBorders>
              <w:top w:val="nil"/>
              <w:left w:val="single" w:color="auto" w:sz="8" w:space="0"/>
              <w:bottom w:val="single" w:color="auto" w:sz="8" w:space="0"/>
              <w:right w:val="single" w:color="auto" w:sz="8" w:space="0"/>
            </w:tcBorders>
          </w:tcPr>
          <w:p w:rsidR="00400973" w:rsidP="009625A1" w:rsidRDefault="00400973" w14:paraId="618AB5CE" w14:textId="77777777">
            <w:pPr>
              <w:spacing w:after="0"/>
              <w:jc w:val="right"/>
            </w:pPr>
            <w:r w:rsidRPr="0F22E9BF">
              <w:rPr>
                <w:rFonts w:ascii="Times New Roman" w:hAnsi="Times New Roman" w:eastAsia="Times New Roman" w:cs="Times New Roman"/>
                <w:sz w:val="20"/>
                <w:szCs w:val="20"/>
              </w:rPr>
              <w:t>1.00</w:t>
            </w:r>
          </w:p>
        </w:tc>
        <w:tc>
          <w:tcPr>
            <w:tcW w:w="1260" w:type="dxa"/>
            <w:tcBorders>
              <w:top w:val="nil"/>
              <w:left w:val="single" w:color="auto" w:sz="8" w:space="0"/>
              <w:bottom w:val="single" w:color="auto" w:sz="8" w:space="0"/>
              <w:right w:val="single" w:color="auto" w:sz="8" w:space="0"/>
            </w:tcBorders>
          </w:tcPr>
          <w:p w:rsidR="00400973" w:rsidP="009625A1" w:rsidRDefault="00400973" w14:paraId="216D9374" w14:textId="77777777">
            <w:pPr>
              <w:spacing w:after="0"/>
              <w:jc w:val="right"/>
            </w:pPr>
            <w:r w:rsidRPr="0F22E9BF">
              <w:rPr>
                <w:rFonts w:ascii="Times New Roman" w:hAnsi="Times New Roman" w:eastAsia="Times New Roman" w:cs="Times New Roman"/>
                <w:sz w:val="20"/>
                <w:szCs w:val="20"/>
              </w:rPr>
              <w:t>70</w:t>
            </w:r>
          </w:p>
        </w:tc>
        <w:tc>
          <w:tcPr>
            <w:tcW w:w="1200" w:type="dxa"/>
            <w:tcBorders>
              <w:top w:val="nil"/>
              <w:left w:val="single" w:color="auto" w:sz="8" w:space="0"/>
              <w:bottom w:val="single" w:color="auto" w:sz="8" w:space="0"/>
              <w:right w:val="single" w:color="auto" w:sz="8" w:space="0"/>
            </w:tcBorders>
          </w:tcPr>
          <w:p w:rsidR="00400973" w:rsidP="009625A1" w:rsidRDefault="00400973" w14:paraId="03BE8709" w14:textId="77777777">
            <w:pPr>
              <w:spacing w:after="0"/>
              <w:jc w:val="right"/>
            </w:pPr>
            <w:r w:rsidRPr="0F22E9BF">
              <w:rPr>
                <w:rFonts w:ascii="Times New Roman" w:hAnsi="Times New Roman" w:eastAsia="Times New Roman" w:cs="Times New Roman"/>
                <w:sz w:val="20"/>
                <w:szCs w:val="20"/>
              </w:rPr>
              <w:t>70</w:t>
            </w:r>
          </w:p>
        </w:tc>
        <w:tc>
          <w:tcPr>
            <w:tcW w:w="1230" w:type="dxa"/>
            <w:tcBorders>
              <w:top w:val="nil"/>
              <w:left w:val="single" w:color="auto" w:sz="8" w:space="0"/>
              <w:bottom w:val="single" w:color="auto" w:sz="8" w:space="0"/>
              <w:right w:val="single" w:color="auto" w:sz="8" w:space="0"/>
            </w:tcBorders>
          </w:tcPr>
          <w:p w:rsidR="00400973" w:rsidP="009625A1" w:rsidRDefault="00400973" w14:paraId="3F4F1918" w14:textId="77777777">
            <w:pPr>
              <w:spacing w:after="0"/>
              <w:jc w:val="right"/>
            </w:pPr>
            <w:r w:rsidRPr="0F22E9BF">
              <w:rPr>
                <w:rFonts w:ascii="Times New Roman" w:hAnsi="Times New Roman" w:eastAsia="Times New Roman" w:cs="Times New Roman"/>
                <w:sz w:val="20"/>
                <w:szCs w:val="20"/>
              </w:rPr>
              <w:t>10</w:t>
            </w:r>
          </w:p>
        </w:tc>
        <w:tc>
          <w:tcPr>
            <w:tcW w:w="855" w:type="dxa"/>
            <w:tcBorders>
              <w:top w:val="nil"/>
              <w:left w:val="single" w:color="auto" w:sz="8" w:space="0"/>
              <w:bottom w:val="single" w:color="auto" w:sz="8" w:space="0"/>
              <w:right w:val="single" w:color="auto" w:sz="8" w:space="0"/>
            </w:tcBorders>
          </w:tcPr>
          <w:p w:rsidR="00400973" w:rsidP="009625A1" w:rsidRDefault="00400973" w14:paraId="588289BB" w14:textId="77777777">
            <w:pPr>
              <w:spacing w:after="0"/>
              <w:jc w:val="right"/>
            </w:pPr>
            <w:r w:rsidRPr="0F22E9BF">
              <w:rPr>
                <w:rFonts w:ascii="Times New Roman" w:hAnsi="Times New Roman" w:eastAsia="Times New Roman" w:cs="Times New Roman"/>
                <w:sz w:val="20"/>
                <w:szCs w:val="20"/>
              </w:rPr>
              <w:t>12</w:t>
            </w:r>
          </w:p>
        </w:tc>
      </w:tr>
      <w:tr w:rsidR="00400973" w:rsidTr="009625A1" w14:paraId="4BA29749"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1F108DFC" w14:textId="77777777">
            <w:pPr>
              <w:spacing w:after="0" w:line="240" w:lineRule="auto"/>
            </w:pPr>
            <w:r w:rsidRPr="000E54C4">
              <w:rPr>
                <w:rFonts w:ascii="Times New Roman" w:hAnsi="Times New Roman" w:eastAsia="Times New Roman" w:cs="Times New Roman"/>
                <w:sz w:val="20"/>
                <w:szCs w:val="20"/>
              </w:rPr>
              <w:t>Special Handling Districts IRB Staff</w:t>
            </w:r>
          </w:p>
        </w:tc>
        <w:tc>
          <w:tcPr>
            <w:tcW w:w="9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5923AF46" w14:textId="77777777">
            <w:pPr>
              <w:spacing w:after="0" w:line="240" w:lineRule="auto"/>
              <w:jc w:val="right"/>
            </w:pPr>
          </w:p>
        </w:tc>
        <w:tc>
          <w:tcPr>
            <w:tcW w:w="117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4907E925" w14:textId="77777777">
            <w:pPr>
              <w:spacing w:after="0" w:line="240" w:lineRule="auto"/>
              <w:jc w:val="right"/>
            </w:pPr>
          </w:p>
        </w:tc>
        <w:tc>
          <w:tcPr>
            <w:tcW w:w="126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4F880CAD" w14:textId="77777777">
            <w:pPr>
              <w:spacing w:after="0" w:line="240" w:lineRule="auto"/>
              <w:jc w:val="right"/>
            </w:pP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315B39B1" w14:textId="77777777">
            <w:pPr>
              <w:spacing w:after="0" w:line="240" w:lineRule="auto"/>
              <w:jc w:val="right"/>
            </w:pP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13C103E9" w14:textId="77777777">
            <w:pPr>
              <w:spacing w:after="0" w:line="240" w:lineRule="auto"/>
              <w:jc w:val="right"/>
            </w:pPr>
          </w:p>
        </w:tc>
        <w:tc>
          <w:tcPr>
            <w:tcW w:w="855"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6EBFB57E" w14:textId="77777777">
            <w:pPr>
              <w:spacing w:after="0" w:line="240" w:lineRule="auto"/>
              <w:jc w:val="right"/>
            </w:pPr>
          </w:p>
        </w:tc>
      </w:tr>
      <w:tr w:rsidR="00400973" w:rsidTr="009625A1" w14:paraId="1A3997DB"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3792B6BE" w14:textId="77777777">
            <w:pPr>
              <w:spacing w:after="0"/>
              <w:ind w:firstLine="337"/>
            </w:pPr>
            <w:r w:rsidRPr="000E54C4">
              <w:rPr>
                <w:rFonts w:ascii="Times New Roman" w:hAnsi="Times New Roman" w:eastAsia="Times New Roman" w:cs="Times New Roman"/>
                <w:sz w:val="20"/>
                <w:szCs w:val="20"/>
              </w:rPr>
              <w:t>Participating Districts</w:t>
            </w:r>
          </w:p>
        </w:tc>
        <w:tc>
          <w:tcPr>
            <w:tcW w:w="900" w:type="dxa"/>
            <w:vMerge w:val="restart"/>
            <w:tcBorders>
              <w:top w:val="single" w:color="auto" w:sz="8" w:space="0"/>
              <w:left w:val="single" w:color="auto" w:sz="8" w:space="0"/>
              <w:right w:val="single" w:color="auto" w:sz="8" w:space="0"/>
            </w:tcBorders>
            <w:vAlign w:val="center"/>
          </w:tcPr>
          <w:p w:rsidR="00400973" w:rsidP="009625A1" w:rsidRDefault="00400973" w14:paraId="12796E18" w14:textId="77777777">
            <w:pPr>
              <w:spacing w:after="0"/>
              <w:jc w:val="right"/>
            </w:pPr>
            <w:r w:rsidRPr="0F22E9BF">
              <w:rPr>
                <w:rFonts w:ascii="Times New Roman" w:hAnsi="Times New Roman" w:eastAsia="Times New Roman" w:cs="Times New Roman"/>
                <w:sz w:val="20"/>
                <w:szCs w:val="20"/>
              </w:rPr>
              <w:t>9</w:t>
            </w:r>
          </w:p>
        </w:tc>
        <w:tc>
          <w:tcPr>
            <w:tcW w:w="1170" w:type="dxa"/>
            <w:vMerge w:val="restart"/>
            <w:tcBorders>
              <w:top w:val="single" w:color="auto" w:sz="8" w:space="0"/>
              <w:left w:val="single" w:color="auto" w:sz="8" w:space="0"/>
              <w:right w:val="single" w:color="auto" w:sz="8" w:space="0"/>
            </w:tcBorders>
            <w:vAlign w:val="center"/>
          </w:tcPr>
          <w:p w:rsidR="00400973" w:rsidP="009625A1" w:rsidRDefault="00400973" w14:paraId="578144BE" w14:textId="77777777">
            <w:pPr>
              <w:spacing w:after="0"/>
              <w:jc w:val="right"/>
            </w:pPr>
            <w:r w:rsidRPr="0F22E9BF">
              <w:rPr>
                <w:rFonts w:ascii="Times New Roman" w:hAnsi="Times New Roman" w:eastAsia="Times New Roman" w:cs="Times New Roman"/>
                <w:sz w:val="20"/>
                <w:szCs w:val="20"/>
              </w:rPr>
              <w:t>0.54</w:t>
            </w:r>
          </w:p>
        </w:tc>
        <w:tc>
          <w:tcPr>
            <w:tcW w:w="126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15370571" w14:textId="77777777">
            <w:pPr>
              <w:spacing w:after="0"/>
              <w:jc w:val="right"/>
            </w:pPr>
            <w:r w:rsidRPr="0F22E9BF">
              <w:rPr>
                <w:rFonts w:ascii="Times New Roman" w:hAnsi="Times New Roman" w:eastAsia="Times New Roman" w:cs="Times New Roman"/>
                <w:sz w:val="20"/>
                <w:szCs w:val="20"/>
              </w:rPr>
              <w:t>5</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7AD88069" w14:textId="77777777">
            <w:pPr>
              <w:spacing w:after="0"/>
              <w:jc w:val="right"/>
            </w:pPr>
            <w:r w:rsidRPr="0F22E9BF">
              <w:rPr>
                <w:rFonts w:ascii="Times New Roman" w:hAnsi="Times New Roman" w:eastAsia="Times New Roman" w:cs="Times New Roman"/>
                <w:sz w:val="20"/>
                <w:szCs w:val="20"/>
              </w:rPr>
              <w:t>5</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5EC33D78" w14:textId="77777777">
            <w:pPr>
              <w:spacing w:after="0"/>
              <w:jc w:val="right"/>
            </w:pPr>
            <w:r w:rsidRPr="0F22E9BF">
              <w:rPr>
                <w:rFonts w:ascii="Times New Roman" w:hAnsi="Times New Roman" w:eastAsia="Times New Roman" w:cs="Times New Roman"/>
                <w:sz w:val="20"/>
                <w:szCs w:val="20"/>
              </w:rPr>
              <w:t>120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031A1238" w14:textId="77777777">
            <w:pPr>
              <w:spacing w:after="0"/>
              <w:jc w:val="right"/>
            </w:pPr>
            <w:r w:rsidRPr="0F22E9BF">
              <w:rPr>
                <w:rFonts w:ascii="Times New Roman" w:hAnsi="Times New Roman" w:eastAsia="Times New Roman" w:cs="Times New Roman"/>
                <w:sz w:val="20"/>
                <w:szCs w:val="20"/>
              </w:rPr>
              <w:t>10</w:t>
            </w:r>
          </w:p>
        </w:tc>
      </w:tr>
      <w:tr w:rsidR="00400973" w:rsidTr="009625A1" w14:paraId="2E73C5F4"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2E83782A" w14:textId="77777777">
            <w:pPr>
              <w:spacing w:after="0"/>
              <w:ind w:firstLine="337"/>
            </w:pPr>
            <w:r w:rsidRPr="000E54C4">
              <w:rPr>
                <w:rFonts w:ascii="Times New Roman" w:hAnsi="Times New Roman" w:eastAsia="Times New Roman" w:cs="Times New Roman"/>
                <w:sz w:val="20"/>
                <w:szCs w:val="20"/>
              </w:rPr>
              <w:t>Non-Participating Districts</w:t>
            </w:r>
          </w:p>
        </w:tc>
        <w:tc>
          <w:tcPr>
            <w:tcW w:w="900" w:type="dxa"/>
            <w:vMerge/>
            <w:tcBorders>
              <w:left w:val="single" w:color="auto" w:sz="8" w:space="0"/>
              <w:bottom w:val="single" w:color="auto" w:sz="8" w:space="0"/>
              <w:right w:val="single" w:color="auto" w:sz="8" w:space="0"/>
            </w:tcBorders>
            <w:vAlign w:val="center"/>
          </w:tcPr>
          <w:p w:rsidR="00400973" w:rsidP="009625A1" w:rsidRDefault="00400973" w14:paraId="04A5B84E" w14:textId="77777777">
            <w:pPr>
              <w:spacing w:after="0"/>
              <w:jc w:val="right"/>
            </w:pPr>
          </w:p>
        </w:tc>
        <w:tc>
          <w:tcPr>
            <w:tcW w:w="1170" w:type="dxa"/>
            <w:vMerge/>
            <w:tcBorders>
              <w:left w:val="single" w:color="auto" w:sz="8" w:space="0"/>
              <w:bottom w:val="single" w:color="auto" w:sz="8" w:space="0"/>
              <w:right w:val="single" w:color="auto" w:sz="8" w:space="0"/>
            </w:tcBorders>
            <w:vAlign w:val="center"/>
          </w:tcPr>
          <w:p w:rsidR="00400973" w:rsidP="009625A1" w:rsidRDefault="00400973" w14:paraId="649C4207" w14:textId="77777777">
            <w:pPr>
              <w:spacing w:after="0"/>
              <w:jc w:val="right"/>
            </w:pPr>
          </w:p>
        </w:tc>
        <w:tc>
          <w:tcPr>
            <w:tcW w:w="126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599E0180" w14:textId="77777777">
            <w:pPr>
              <w:spacing w:after="0"/>
              <w:jc w:val="right"/>
            </w:pPr>
            <w:r w:rsidRPr="0F22E9BF">
              <w:rPr>
                <w:rFonts w:ascii="Times New Roman" w:hAnsi="Times New Roman" w:eastAsia="Times New Roman" w:cs="Times New Roman"/>
                <w:sz w:val="20"/>
                <w:szCs w:val="20"/>
              </w:rPr>
              <w:t>4</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1DAC681D" w14:textId="77777777">
            <w:pPr>
              <w:spacing w:after="0"/>
              <w:jc w:val="right"/>
            </w:pPr>
            <w:r w:rsidRPr="0F22E9BF">
              <w:rPr>
                <w:rFonts w:ascii="Times New Roman" w:hAnsi="Times New Roman" w:eastAsia="Times New Roman" w:cs="Times New Roman"/>
                <w:sz w:val="20"/>
                <w:szCs w:val="20"/>
              </w:rPr>
              <w:t>4</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7A22E77D" w14:textId="77777777">
            <w:pPr>
              <w:spacing w:after="0"/>
              <w:jc w:val="right"/>
            </w:pPr>
            <w:r w:rsidRPr="0F22E9BF">
              <w:rPr>
                <w:rFonts w:ascii="Times New Roman" w:hAnsi="Times New Roman" w:eastAsia="Times New Roman" w:cs="Times New Roman"/>
                <w:sz w:val="20"/>
                <w:szCs w:val="20"/>
              </w:rPr>
              <w:t>120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2817A724" w14:textId="77777777">
            <w:pPr>
              <w:spacing w:after="0"/>
              <w:jc w:val="right"/>
            </w:pPr>
            <w:r w:rsidRPr="0F22E9BF">
              <w:rPr>
                <w:rFonts w:ascii="Times New Roman" w:hAnsi="Times New Roman" w:eastAsia="Times New Roman" w:cs="Times New Roman"/>
                <w:sz w:val="20"/>
                <w:szCs w:val="20"/>
              </w:rPr>
              <w:t>8</w:t>
            </w:r>
          </w:p>
        </w:tc>
      </w:tr>
      <w:tr w:rsidR="00400973" w:rsidTr="009625A1" w14:paraId="7D660459"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2A7DEC1F" w14:textId="77777777">
            <w:pPr>
              <w:spacing w:after="0" w:line="240" w:lineRule="auto"/>
            </w:pPr>
            <w:r w:rsidRPr="000E54C4">
              <w:rPr>
                <w:rFonts w:ascii="Times New Roman" w:hAnsi="Times New Roman" w:eastAsia="Times New Roman" w:cs="Times New Roman"/>
                <w:sz w:val="20"/>
                <w:szCs w:val="20"/>
              </w:rPr>
              <w:t>Special Handling Districts IRB Panel</w:t>
            </w:r>
          </w:p>
        </w:tc>
        <w:tc>
          <w:tcPr>
            <w:tcW w:w="9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BD829DE" w14:textId="77777777">
            <w:pPr>
              <w:spacing w:after="0" w:line="240" w:lineRule="auto"/>
              <w:jc w:val="right"/>
            </w:pPr>
          </w:p>
        </w:tc>
        <w:tc>
          <w:tcPr>
            <w:tcW w:w="117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6ECB03DC" w14:textId="77777777">
            <w:pPr>
              <w:spacing w:after="0" w:line="240" w:lineRule="auto"/>
              <w:jc w:val="right"/>
            </w:pPr>
          </w:p>
        </w:tc>
        <w:tc>
          <w:tcPr>
            <w:tcW w:w="126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7D60036F" w14:textId="77777777">
            <w:pPr>
              <w:spacing w:after="0" w:line="240" w:lineRule="auto"/>
              <w:jc w:val="right"/>
            </w:pP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6770A48B" w14:textId="77777777">
            <w:pPr>
              <w:spacing w:after="0" w:line="240" w:lineRule="auto"/>
              <w:jc w:val="right"/>
            </w:pP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67656600" w14:textId="77777777">
            <w:pPr>
              <w:spacing w:after="0" w:line="240" w:lineRule="auto"/>
              <w:jc w:val="right"/>
            </w:pPr>
          </w:p>
        </w:tc>
        <w:tc>
          <w:tcPr>
            <w:tcW w:w="855"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806F15B" w14:textId="77777777">
            <w:pPr>
              <w:spacing w:after="0" w:line="240" w:lineRule="auto"/>
              <w:jc w:val="right"/>
            </w:pPr>
          </w:p>
        </w:tc>
      </w:tr>
      <w:tr w:rsidR="00400973" w:rsidTr="009625A1" w14:paraId="26F8F13D"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4DC1D7CC" w14:textId="77777777">
            <w:pPr>
              <w:spacing w:after="0"/>
              <w:ind w:firstLine="337"/>
            </w:pPr>
            <w:r w:rsidRPr="000E54C4">
              <w:rPr>
                <w:rFonts w:ascii="Times New Roman" w:hAnsi="Times New Roman" w:eastAsia="Times New Roman" w:cs="Times New Roman"/>
                <w:sz w:val="20"/>
                <w:szCs w:val="20"/>
              </w:rPr>
              <w:t>Participating Districts</w:t>
            </w:r>
          </w:p>
        </w:tc>
        <w:tc>
          <w:tcPr>
            <w:tcW w:w="900" w:type="dxa"/>
            <w:vMerge w:val="restart"/>
            <w:tcBorders>
              <w:top w:val="single" w:color="auto" w:sz="8" w:space="0"/>
              <w:left w:val="single" w:color="auto" w:sz="8" w:space="0"/>
              <w:right w:val="single" w:color="auto" w:sz="8" w:space="0"/>
            </w:tcBorders>
            <w:vAlign w:val="center"/>
          </w:tcPr>
          <w:p w:rsidR="00400973" w:rsidP="009625A1" w:rsidRDefault="00400973" w14:paraId="2080848E" w14:textId="77777777">
            <w:pPr>
              <w:spacing w:after="0"/>
              <w:jc w:val="right"/>
            </w:pPr>
            <w:r w:rsidRPr="0F22E9BF">
              <w:rPr>
                <w:rFonts w:ascii="Times New Roman" w:hAnsi="Times New Roman" w:eastAsia="Times New Roman" w:cs="Times New Roman"/>
                <w:sz w:val="20"/>
                <w:szCs w:val="20"/>
              </w:rPr>
              <w:t>54</w:t>
            </w:r>
          </w:p>
        </w:tc>
        <w:tc>
          <w:tcPr>
            <w:tcW w:w="1170" w:type="dxa"/>
            <w:vMerge w:val="restart"/>
            <w:tcBorders>
              <w:top w:val="single" w:color="auto" w:sz="8" w:space="0"/>
              <w:left w:val="single" w:color="auto" w:sz="8" w:space="0"/>
              <w:right w:val="single" w:color="auto" w:sz="8" w:space="0"/>
            </w:tcBorders>
            <w:vAlign w:val="center"/>
          </w:tcPr>
          <w:p w:rsidR="00400973" w:rsidP="009625A1" w:rsidRDefault="00400973" w14:paraId="7D69EE16" w14:textId="77777777">
            <w:pPr>
              <w:spacing w:after="0"/>
              <w:jc w:val="right"/>
            </w:pPr>
            <w:r w:rsidRPr="0F22E9BF">
              <w:rPr>
                <w:rFonts w:ascii="Times New Roman" w:hAnsi="Times New Roman" w:eastAsia="Times New Roman" w:cs="Times New Roman"/>
                <w:sz w:val="20"/>
                <w:szCs w:val="20"/>
              </w:rPr>
              <w:t>0.54</w:t>
            </w: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63DFAC2A" w14:textId="77777777">
            <w:pPr>
              <w:spacing w:after="0"/>
              <w:jc w:val="right"/>
            </w:pPr>
            <w:r w:rsidRPr="0F22E9BF">
              <w:rPr>
                <w:rFonts w:ascii="Times New Roman" w:hAnsi="Times New Roman" w:eastAsia="Times New Roman" w:cs="Times New Roman"/>
                <w:sz w:val="20"/>
                <w:szCs w:val="20"/>
              </w:rPr>
              <w:t>30</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16DCAFEF" w14:textId="77777777">
            <w:pPr>
              <w:spacing w:after="0"/>
              <w:jc w:val="right"/>
            </w:pPr>
            <w:r w:rsidRPr="0F22E9BF">
              <w:rPr>
                <w:rFonts w:ascii="Times New Roman" w:hAnsi="Times New Roman" w:eastAsia="Times New Roman" w:cs="Times New Roman"/>
                <w:sz w:val="20"/>
                <w:szCs w:val="20"/>
              </w:rPr>
              <w:t>30</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2B563426" w14:textId="77777777">
            <w:pPr>
              <w:spacing w:after="0"/>
              <w:jc w:val="right"/>
            </w:pPr>
            <w:r w:rsidRPr="0F22E9BF">
              <w:rPr>
                <w:rFonts w:ascii="Times New Roman" w:hAnsi="Times New Roman" w:eastAsia="Times New Roman" w:cs="Times New Roman"/>
                <w:sz w:val="20"/>
                <w:szCs w:val="20"/>
              </w:rPr>
              <w:t>60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251B64DB" w14:textId="77777777">
            <w:pPr>
              <w:spacing w:after="0"/>
              <w:jc w:val="right"/>
            </w:pPr>
            <w:r w:rsidRPr="0F22E9BF">
              <w:rPr>
                <w:rFonts w:ascii="Times New Roman" w:hAnsi="Times New Roman" w:eastAsia="Times New Roman" w:cs="Times New Roman"/>
                <w:sz w:val="20"/>
                <w:szCs w:val="20"/>
              </w:rPr>
              <w:t>30</w:t>
            </w:r>
          </w:p>
        </w:tc>
      </w:tr>
      <w:tr w:rsidR="00400973" w:rsidTr="009625A1" w14:paraId="24E0D615"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374B762C" w14:textId="77777777">
            <w:pPr>
              <w:spacing w:after="0"/>
              <w:ind w:firstLine="337"/>
            </w:pPr>
            <w:r w:rsidRPr="000E54C4">
              <w:rPr>
                <w:rFonts w:ascii="Times New Roman" w:hAnsi="Times New Roman" w:eastAsia="Times New Roman" w:cs="Times New Roman"/>
                <w:sz w:val="20"/>
                <w:szCs w:val="20"/>
              </w:rPr>
              <w:t>Non-Participating Districts</w:t>
            </w:r>
          </w:p>
        </w:tc>
        <w:tc>
          <w:tcPr>
            <w:tcW w:w="900" w:type="dxa"/>
            <w:vMerge/>
            <w:tcBorders>
              <w:left w:val="single" w:color="auto" w:sz="8" w:space="0"/>
              <w:bottom w:val="single" w:color="auto" w:sz="8" w:space="0"/>
              <w:right w:val="single" w:color="auto" w:sz="8" w:space="0"/>
            </w:tcBorders>
            <w:vAlign w:val="center"/>
          </w:tcPr>
          <w:p w:rsidR="00400973" w:rsidP="009625A1" w:rsidRDefault="00400973" w14:paraId="6501349F" w14:textId="77777777">
            <w:pPr>
              <w:spacing w:after="0"/>
              <w:jc w:val="right"/>
            </w:pPr>
          </w:p>
        </w:tc>
        <w:tc>
          <w:tcPr>
            <w:tcW w:w="1170" w:type="dxa"/>
            <w:vMerge/>
            <w:tcBorders>
              <w:left w:val="single" w:color="auto" w:sz="8" w:space="0"/>
              <w:bottom w:val="single" w:color="auto" w:sz="8" w:space="0"/>
              <w:right w:val="single" w:color="auto" w:sz="8" w:space="0"/>
            </w:tcBorders>
            <w:vAlign w:val="center"/>
          </w:tcPr>
          <w:p w:rsidR="00400973" w:rsidP="009625A1" w:rsidRDefault="00400973" w14:paraId="7A4CB244" w14:textId="77777777">
            <w:pPr>
              <w:spacing w:after="0"/>
              <w:jc w:val="right"/>
            </w:pP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6B5FDA3B" w14:textId="77777777">
            <w:pPr>
              <w:spacing w:after="0"/>
              <w:jc w:val="right"/>
            </w:pPr>
            <w:r w:rsidRPr="0F22E9BF">
              <w:rPr>
                <w:rFonts w:ascii="Times New Roman" w:hAnsi="Times New Roman" w:eastAsia="Times New Roman" w:cs="Times New Roman"/>
                <w:sz w:val="20"/>
                <w:szCs w:val="20"/>
              </w:rPr>
              <w:t>24</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5743E944" w14:textId="77777777">
            <w:pPr>
              <w:spacing w:after="0"/>
              <w:jc w:val="right"/>
            </w:pPr>
            <w:r w:rsidRPr="0F22E9BF">
              <w:rPr>
                <w:rFonts w:ascii="Times New Roman" w:hAnsi="Times New Roman" w:eastAsia="Times New Roman" w:cs="Times New Roman"/>
                <w:sz w:val="20"/>
                <w:szCs w:val="20"/>
              </w:rPr>
              <w:t>24</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6358BBD4" w14:textId="77777777">
            <w:pPr>
              <w:spacing w:after="0"/>
              <w:jc w:val="right"/>
            </w:pPr>
            <w:r w:rsidRPr="0F22E9BF">
              <w:rPr>
                <w:rFonts w:ascii="Times New Roman" w:hAnsi="Times New Roman" w:eastAsia="Times New Roman" w:cs="Times New Roman"/>
                <w:sz w:val="20"/>
                <w:szCs w:val="20"/>
              </w:rPr>
              <w:t>60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5E2AA3F5" w14:textId="77777777">
            <w:pPr>
              <w:spacing w:after="0"/>
              <w:jc w:val="right"/>
            </w:pPr>
            <w:r w:rsidRPr="0F22E9BF">
              <w:rPr>
                <w:rFonts w:ascii="Times New Roman" w:hAnsi="Times New Roman" w:eastAsia="Times New Roman" w:cs="Times New Roman"/>
                <w:sz w:val="20"/>
                <w:szCs w:val="20"/>
              </w:rPr>
              <w:t>24</w:t>
            </w:r>
          </w:p>
        </w:tc>
      </w:tr>
      <w:tr w:rsidR="00400973" w:rsidTr="009625A1" w14:paraId="025D9110" w14:textId="77777777">
        <w:trPr>
          <w:trHeight w:val="223"/>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6081A291" w14:textId="77777777">
            <w:pPr>
              <w:spacing w:after="0" w:line="240" w:lineRule="auto"/>
            </w:pPr>
            <w:r w:rsidRPr="000E54C4">
              <w:rPr>
                <w:rFonts w:ascii="Times New Roman" w:hAnsi="Times New Roman" w:eastAsia="Times New Roman" w:cs="Times New Roman"/>
                <w:sz w:val="20"/>
                <w:szCs w:val="20"/>
              </w:rPr>
              <w:t>School Administrator</w:t>
            </w:r>
          </w:p>
        </w:tc>
        <w:tc>
          <w:tcPr>
            <w:tcW w:w="9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684684B1" w14:textId="77777777">
            <w:pPr>
              <w:spacing w:after="0" w:line="240" w:lineRule="auto"/>
              <w:jc w:val="right"/>
              <w:rPr>
                <w:rFonts w:ascii="Times New Roman" w:hAnsi="Times New Roman" w:eastAsia="Times New Roman" w:cs="Times New Roman"/>
                <w:sz w:val="20"/>
                <w:szCs w:val="20"/>
              </w:rPr>
            </w:pPr>
          </w:p>
        </w:tc>
        <w:tc>
          <w:tcPr>
            <w:tcW w:w="117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745D6957" w14:textId="77777777">
            <w:pPr>
              <w:spacing w:after="0" w:line="240" w:lineRule="auto"/>
              <w:jc w:val="right"/>
            </w:pPr>
          </w:p>
        </w:tc>
        <w:tc>
          <w:tcPr>
            <w:tcW w:w="126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E9F3627" w14:textId="77777777">
            <w:pPr>
              <w:spacing w:after="0" w:line="240" w:lineRule="auto"/>
              <w:jc w:val="right"/>
            </w:pPr>
          </w:p>
        </w:tc>
        <w:tc>
          <w:tcPr>
            <w:tcW w:w="12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7CED4045" w14:textId="77777777">
            <w:pPr>
              <w:spacing w:after="0" w:line="240" w:lineRule="auto"/>
              <w:jc w:val="right"/>
            </w:pP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34C7898F" w14:textId="77777777">
            <w:pPr>
              <w:spacing w:after="0" w:line="240" w:lineRule="auto"/>
              <w:jc w:val="right"/>
            </w:pPr>
          </w:p>
        </w:tc>
        <w:tc>
          <w:tcPr>
            <w:tcW w:w="855"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65F4FB67" w14:textId="77777777">
            <w:pPr>
              <w:spacing w:after="0" w:line="240" w:lineRule="auto"/>
              <w:jc w:val="right"/>
            </w:pPr>
          </w:p>
        </w:tc>
      </w:tr>
      <w:tr w:rsidR="00400973" w:rsidTr="009625A1" w14:paraId="67FC714A"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5A92C2D7" w14:textId="77777777">
            <w:pPr>
              <w:spacing w:after="0"/>
              <w:ind w:firstLine="337"/>
            </w:pPr>
            <w:r w:rsidRPr="000E54C4">
              <w:rPr>
                <w:rFonts w:ascii="Times New Roman" w:hAnsi="Times New Roman" w:eastAsia="Times New Roman" w:cs="Times New Roman"/>
                <w:sz w:val="20"/>
                <w:szCs w:val="20"/>
              </w:rPr>
              <w:t>Participating Schools</w:t>
            </w:r>
          </w:p>
        </w:tc>
        <w:tc>
          <w:tcPr>
            <w:tcW w:w="900" w:type="dxa"/>
            <w:vMerge w:val="restart"/>
            <w:tcBorders>
              <w:top w:val="single" w:color="auto" w:sz="8" w:space="0"/>
              <w:left w:val="single" w:color="auto" w:sz="8" w:space="0"/>
              <w:right w:val="single" w:color="auto" w:sz="8" w:space="0"/>
            </w:tcBorders>
            <w:vAlign w:val="center"/>
          </w:tcPr>
          <w:p w:rsidR="00400973" w:rsidP="009625A1" w:rsidRDefault="00400973" w14:paraId="4B499C81" w14:textId="77777777">
            <w:pPr>
              <w:spacing w:after="0"/>
              <w:jc w:val="right"/>
            </w:pPr>
            <w:r w:rsidRPr="68BAFA53">
              <w:rPr>
                <w:rFonts w:ascii="Times New Roman" w:hAnsi="Times New Roman" w:eastAsia="Times New Roman" w:cs="Times New Roman"/>
                <w:sz w:val="20"/>
                <w:szCs w:val="20"/>
              </w:rPr>
              <w:t>61</w:t>
            </w:r>
          </w:p>
        </w:tc>
        <w:tc>
          <w:tcPr>
            <w:tcW w:w="1170" w:type="dxa"/>
            <w:vMerge w:val="restart"/>
            <w:tcBorders>
              <w:top w:val="single" w:color="auto" w:sz="8" w:space="0"/>
              <w:left w:val="single" w:color="auto" w:sz="8" w:space="0"/>
              <w:right w:val="single" w:color="auto" w:sz="8" w:space="0"/>
            </w:tcBorders>
            <w:vAlign w:val="center"/>
          </w:tcPr>
          <w:p w:rsidR="00400973" w:rsidP="009625A1" w:rsidRDefault="00400973" w14:paraId="6205EF02" w14:textId="77777777">
            <w:pPr>
              <w:spacing w:after="0"/>
              <w:jc w:val="right"/>
            </w:pPr>
            <w:r w:rsidRPr="0F22E9BF">
              <w:rPr>
                <w:rFonts w:ascii="Times New Roman" w:hAnsi="Times New Roman" w:eastAsia="Times New Roman" w:cs="Times New Roman"/>
                <w:sz w:val="20"/>
                <w:szCs w:val="20"/>
              </w:rPr>
              <w:t>0.58</w:t>
            </w: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18AEFA05"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35</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0BBA4093"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35</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034C0812" w14:textId="77777777">
            <w:pPr>
              <w:spacing w:after="0"/>
              <w:jc w:val="right"/>
            </w:pPr>
            <w:r w:rsidRPr="0F22E9BF">
              <w:rPr>
                <w:rFonts w:ascii="Times New Roman" w:hAnsi="Times New Roman" w:eastAsia="Times New Roman" w:cs="Times New Roman"/>
                <w:sz w:val="20"/>
                <w:szCs w:val="20"/>
              </w:rPr>
              <w:t>90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16DE44A7"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53</w:t>
            </w:r>
          </w:p>
        </w:tc>
      </w:tr>
      <w:tr w:rsidR="00400973" w:rsidTr="009625A1" w14:paraId="07E8BE7D"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5A9324AF" w14:textId="77777777">
            <w:pPr>
              <w:spacing w:after="0"/>
              <w:ind w:firstLine="337"/>
            </w:pPr>
            <w:r w:rsidRPr="000E54C4">
              <w:rPr>
                <w:rFonts w:ascii="Times New Roman" w:hAnsi="Times New Roman" w:eastAsia="Times New Roman" w:cs="Times New Roman"/>
                <w:sz w:val="20"/>
                <w:szCs w:val="20"/>
              </w:rPr>
              <w:t>Non-Participating Schools</w:t>
            </w:r>
          </w:p>
        </w:tc>
        <w:tc>
          <w:tcPr>
            <w:tcW w:w="900" w:type="dxa"/>
            <w:vMerge/>
            <w:tcBorders>
              <w:left w:val="single" w:color="auto" w:sz="8" w:space="0"/>
              <w:bottom w:val="single" w:color="auto" w:sz="8" w:space="0"/>
              <w:right w:val="single" w:color="auto" w:sz="8" w:space="0"/>
            </w:tcBorders>
          </w:tcPr>
          <w:p w:rsidR="00400973" w:rsidP="009625A1" w:rsidRDefault="00400973" w14:paraId="59F330A1" w14:textId="77777777">
            <w:pPr>
              <w:spacing w:after="0"/>
              <w:jc w:val="right"/>
            </w:pPr>
          </w:p>
        </w:tc>
        <w:tc>
          <w:tcPr>
            <w:tcW w:w="1170" w:type="dxa"/>
            <w:vMerge/>
            <w:tcBorders>
              <w:left w:val="single" w:color="auto" w:sz="8" w:space="0"/>
              <w:bottom w:val="single" w:color="auto" w:sz="8" w:space="0"/>
              <w:right w:val="single" w:color="auto" w:sz="8" w:space="0"/>
            </w:tcBorders>
          </w:tcPr>
          <w:p w:rsidR="00400973" w:rsidP="009625A1" w:rsidRDefault="00400973" w14:paraId="619D6F45" w14:textId="77777777">
            <w:pPr>
              <w:spacing w:after="0"/>
              <w:jc w:val="right"/>
            </w:pP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6FC2A1A6"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26</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18C0599D"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26</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263A9CB3" w14:textId="77777777">
            <w:pPr>
              <w:spacing w:after="0"/>
              <w:jc w:val="right"/>
            </w:pPr>
            <w:r w:rsidRPr="0F22E9BF">
              <w:rPr>
                <w:rFonts w:ascii="Times New Roman" w:hAnsi="Times New Roman" w:eastAsia="Times New Roman" w:cs="Times New Roman"/>
                <w:sz w:val="20"/>
                <w:szCs w:val="20"/>
              </w:rPr>
              <w:t>30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319A4F80"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13</w:t>
            </w:r>
          </w:p>
        </w:tc>
      </w:tr>
      <w:tr w:rsidR="00400973" w:rsidTr="009625A1" w14:paraId="7C386062"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06E084D9" w14:textId="77777777">
            <w:pPr>
              <w:spacing w:after="0"/>
            </w:pPr>
            <w:r w:rsidRPr="000E54C4">
              <w:rPr>
                <w:rFonts w:ascii="Times New Roman" w:hAnsi="Times New Roman" w:eastAsia="Times New Roman" w:cs="Times New Roman"/>
                <w:sz w:val="20"/>
                <w:szCs w:val="20"/>
              </w:rPr>
              <w:t>School Coordinator</w:t>
            </w:r>
          </w:p>
        </w:tc>
        <w:tc>
          <w:tcPr>
            <w:tcW w:w="900" w:type="dxa"/>
            <w:tcBorders>
              <w:top w:val="single" w:color="auto" w:sz="8" w:space="0"/>
              <w:left w:val="single" w:color="auto" w:sz="8" w:space="0"/>
              <w:bottom w:val="single" w:color="auto" w:sz="8" w:space="0"/>
              <w:right w:val="single" w:color="auto" w:sz="8" w:space="0"/>
            </w:tcBorders>
          </w:tcPr>
          <w:p w:rsidR="00400973" w:rsidP="009625A1" w:rsidRDefault="00400973" w14:paraId="6E553E96" w14:textId="77777777">
            <w:pPr>
              <w:spacing w:after="0"/>
              <w:jc w:val="right"/>
            </w:pPr>
            <w:r w:rsidRPr="0F22E9BF">
              <w:rPr>
                <w:rFonts w:ascii="Times New Roman" w:hAnsi="Times New Roman" w:eastAsia="Times New Roman" w:cs="Times New Roman"/>
                <w:sz w:val="20"/>
                <w:szCs w:val="20"/>
              </w:rPr>
              <w:t>40</w:t>
            </w:r>
          </w:p>
        </w:tc>
        <w:tc>
          <w:tcPr>
            <w:tcW w:w="1170" w:type="dxa"/>
            <w:tcBorders>
              <w:top w:val="single" w:color="auto" w:sz="8" w:space="0"/>
              <w:left w:val="single" w:color="auto" w:sz="8" w:space="0"/>
              <w:bottom w:val="single" w:color="auto" w:sz="8" w:space="0"/>
              <w:right w:val="single" w:color="auto" w:sz="8" w:space="0"/>
            </w:tcBorders>
          </w:tcPr>
          <w:p w:rsidR="00400973" w:rsidP="009625A1" w:rsidRDefault="00400973" w14:paraId="574F04D1" w14:textId="77777777">
            <w:pPr>
              <w:spacing w:after="0"/>
              <w:jc w:val="right"/>
            </w:pPr>
            <w:r w:rsidRPr="0F22E9BF">
              <w:rPr>
                <w:rFonts w:ascii="Times New Roman" w:hAnsi="Times New Roman" w:eastAsia="Times New Roman" w:cs="Times New Roman"/>
                <w:sz w:val="20"/>
                <w:szCs w:val="20"/>
              </w:rPr>
              <w:t>1.00</w:t>
            </w: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0D789760" w14:textId="77777777">
            <w:pPr>
              <w:spacing w:after="0"/>
              <w:jc w:val="right"/>
            </w:pPr>
            <w:r w:rsidRPr="0F22E9BF">
              <w:rPr>
                <w:rFonts w:ascii="Times New Roman" w:hAnsi="Times New Roman" w:eastAsia="Times New Roman" w:cs="Times New Roman"/>
                <w:sz w:val="20"/>
                <w:szCs w:val="20"/>
              </w:rPr>
              <w:t>40</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6654025C" w14:textId="77777777">
            <w:pPr>
              <w:spacing w:after="0"/>
              <w:jc w:val="right"/>
            </w:pPr>
            <w:r w:rsidRPr="0F22E9BF">
              <w:rPr>
                <w:rFonts w:ascii="Times New Roman" w:hAnsi="Times New Roman" w:eastAsia="Times New Roman" w:cs="Times New Roman"/>
                <w:sz w:val="20"/>
                <w:szCs w:val="20"/>
              </w:rPr>
              <w:t>40</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3FEB5E03" w14:textId="77777777">
            <w:pPr>
              <w:spacing w:after="0"/>
              <w:jc w:val="right"/>
            </w:pPr>
            <w:r w:rsidRPr="0F22E9BF">
              <w:rPr>
                <w:rFonts w:ascii="Times New Roman" w:hAnsi="Times New Roman" w:eastAsia="Times New Roman" w:cs="Times New Roman"/>
                <w:sz w:val="20"/>
                <w:szCs w:val="20"/>
              </w:rPr>
              <w:t>240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438263B8" w14:textId="77777777">
            <w:pPr>
              <w:spacing w:after="0"/>
              <w:jc w:val="right"/>
            </w:pPr>
            <w:r w:rsidRPr="0F22E9BF">
              <w:rPr>
                <w:rFonts w:ascii="Times New Roman" w:hAnsi="Times New Roman" w:eastAsia="Times New Roman" w:cs="Times New Roman"/>
                <w:sz w:val="20"/>
                <w:szCs w:val="20"/>
              </w:rPr>
              <w:t>160</w:t>
            </w:r>
          </w:p>
        </w:tc>
      </w:tr>
      <w:tr w:rsidRPr="00C55C81" w:rsidR="00400973" w:rsidTr="00337BA3" w14:paraId="40A61EB0" w14:textId="77777777">
        <w:trPr>
          <w:trHeight w:val="150"/>
        </w:trPr>
        <w:tc>
          <w:tcPr>
            <w:tcW w:w="360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C55C81" w:rsidR="00400973" w:rsidP="009625A1" w:rsidRDefault="00400973" w14:paraId="19D687F0" w14:textId="77777777">
            <w:pPr>
              <w:spacing w:after="0" w:line="240" w:lineRule="auto"/>
              <w:rPr>
                <w:i/>
                <w:iCs/>
              </w:rPr>
            </w:pPr>
            <w:r w:rsidRPr="00C55C81">
              <w:rPr>
                <w:rFonts w:ascii="Times New Roman" w:hAnsi="Times New Roman" w:eastAsia="Times New Roman" w:cs="Times New Roman"/>
                <w:i/>
                <w:iCs/>
                <w:sz w:val="20"/>
                <w:szCs w:val="20"/>
              </w:rPr>
              <w:t>Burden – Field Test Recruitment</w:t>
            </w:r>
          </w:p>
        </w:tc>
        <w:tc>
          <w:tcPr>
            <w:tcW w:w="9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5629D13C" w14:textId="77777777">
            <w:pPr>
              <w:spacing w:after="0" w:line="240" w:lineRule="auto"/>
              <w:jc w:val="right"/>
              <w:rPr>
                <w:i/>
                <w:iCs/>
              </w:rPr>
            </w:pPr>
          </w:p>
        </w:tc>
        <w:tc>
          <w:tcPr>
            <w:tcW w:w="117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1D4CDCD7" w14:textId="77777777">
            <w:pPr>
              <w:tabs>
                <w:tab w:val="center" w:pos="477"/>
                <w:tab w:val="right" w:pos="954"/>
              </w:tabs>
              <w:spacing w:after="0" w:line="240" w:lineRule="auto"/>
              <w:rPr>
                <w:i/>
                <w:iCs/>
              </w:rPr>
            </w:pPr>
            <w:r w:rsidRPr="00C55C81">
              <w:rPr>
                <w:rFonts w:ascii="Times New Roman" w:hAnsi="Times New Roman" w:eastAsia="Times New Roman" w:cs="Times New Roman"/>
                <w:i/>
                <w:iCs/>
                <w:sz w:val="20"/>
                <w:szCs w:val="20"/>
              </w:rPr>
              <w:tab/>
            </w:r>
          </w:p>
        </w:tc>
        <w:tc>
          <w:tcPr>
            <w:tcW w:w="12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28C0E91E"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234</w:t>
            </w:r>
          </w:p>
        </w:tc>
        <w:tc>
          <w:tcPr>
            <w:tcW w:w="12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0BBBE28B"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234</w:t>
            </w:r>
          </w:p>
        </w:tc>
        <w:tc>
          <w:tcPr>
            <w:tcW w:w="12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41EE9C47" w14:textId="77777777">
            <w:pPr>
              <w:spacing w:after="0" w:line="240" w:lineRule="auto"/>
              <w:jc w:val="right"/>
              <w:rPr>
                <w:rFonts w:ascii="Times New Roman" w:hAnsi="Times New Roman" w:cs="Times New Roman"/>
                <w:i/>
                <w:iCs/>
                <w:sz w:val="20"/>
                <w:szCs w:val="20"/>
              </w:rPr>
            </w:pPr>
          </w:p>
        </w:tc>
        <w:tc>
          <w:tcPr>
            <w:tcW w:w="8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79EE28F4"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310</w:t>
            </w:r>
          </w:p>
        </w:tc>
      </w:tr>
      <w:tr w:rsidR="00400973" w:rsidTr="009625A1" w14:paraId="1334A9D0" w14:textId="77777777">
        <w:trPr>
          <w:trHeight w:val="150"/>
        </w:trPr>
        <w:tc>
          <w:tcPr>
            <w:tcW w:w="10215" w:type="dxa"/>
            <w:gridSpan w:val="7"/>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0E54C4" w:rsidR="00400973" w:rsidP="009625A1" w:rsidRDefault="00400973" w14:paraId="3FF41E21" w14:textId="77777777">
            <w:pPr>
              <w:spacing w:after="0"/>
            </w:pPr>
            <w:r w:rsidRPr="000E54C4">
              <w:rPr>
                <w:rFonts w:ascii="Times New Roman" w:hAnsi="Times New Roman" w:eastAsia="Times New Roman" w:cs="Times New Roman"/>
                <w:color w:val="000000" w:themeColor="text1"/>
                <w:sz w:val="20"/>
                <w:szCs w:val="20"/>
              </w:rPr>
              <w:t>Field Test Survey Participation</w:t>
            </w:r>
          </w:p>
        </w:tc>
      </w:tr>
      <w:tr w:rsidR="00400973" w:rsidTr="009625A1" w14:paraId="068A6AD2"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66635186" w14:textId="77777777">
            <w:pPr>
              <w:spacing w:after="0"/>
            </w:pPr>
            <w:r w:rsidRPr="000E54C4">
              <w:rPr>
                <w:rFonts w:ascii="Times New Roman" w:hAnsi="Times New Roman" w:eastAsia="Times New Roman" w:cs="Times New Roman"/>
                <w:sz w:val="20"/>
                <w:szCs w:val="20"/>
              </w:rPr>
              <w:t xml:space="preserve">School Administrator </w:t>
            </w:r>
          </w:p>
        </w:tc>
        <w:tc>
          <w:tcPr>
            <w:tcW w:w="900" w:type="dxa"/>
            <w:tcBorders>
              <w:top w:val="nil"/>
              <w:left w:val="single" w:color="auto" w:sz="8" w:space="0"/>
              <w:bottom w:val="single" w:color="auto" w:sz="8" w:space="0"/>
              <w:right w:val="single" w:color="auto" w:sz="8" w:space="0"/>
            </w:tcBorders>
          </w:tcPr>
          <w:p w:rsidR="00400973" w:rsidP="009625A1" w:rsidRDefault="00400973" w14:paraId="0B3B6E08" w14:textId="77777777">
            <w:pPr>
              <w:spacing w:after="0"/>
              <w:jc w:val="right"/>
            </w:pPr>
            <w:r w:rsidRPr="0F22E9BF">
              <w:rPr>
                <w:rFonts w:ascii="Times New Roman" w:hAnsi="Times New Roman" w:eastAsia="Times New Roman" w:cs="Times New Roman"/>
                <w:sz w:val="20"/>
                <w:szCs w:val="20"/>
              </w:rPr>
              <w:t>40</w:t>
            </w:r>
          </w:p>
        </w:tc>
        <w:tc>
          <w:tcPr>
            <w:tcW w:w="1170" w:type="dxa"/>
            <w:tcBorders>
              <w:top w:val="nil"/>
              <w:left w:val="single" w:color="auto" w:sz="8" w:space="0"/>
              <w:bottom w:val="single" w:color="auto" w:sz="8" w:space="0"/>
              <w:right w:val="single" w:color="auto" w:sz="8" w:space="0"/>
            </w:tcBorders>
          </w:tcPr>
          <w:p w:rsidR="00400973" w:rsidP="009625A1" w:rsidRDefault="00400973" w14:paraId="01F8CF0D" w14:textId="77777777">
            <w:pPr>
              <w:spacing w:after="0"/>
              <w:jc w:val="right"/>
            </w:pPr>
            <w:r w:rsidRPr="0F22E9BF">
              <w:rPr>
                <w:rFonts w:ascii="Times New Roman" w:hAnsi="Times New Roman" w:eastAsia="Times New Roman" w:cs="Times New Roman"/>
                <w:sz w:val="20"/>
                <w:szCs w:val="20"/>
              </w:rPr>
              <w:t>0.90</w:t>
            </w:r>
          </w:p>
        </w:tc>
        <w:tc>
          <w:tcPr>
            <w:tcW w:w="1260" w:type="dxa"/>
            <w:tcBorders>
              <w:top w:val="nil"/>
              <w:left w:val="single" w:color="auto" w:sz="8" w:space="0"/>
              <w:bottom w:val="single" w:color="auto" w:sz="8" w:space="0"/>
              <w:right w:val="single" w:color="auto" w:sz="8" w:space="0"/>
            </w:tcBorders>
          </w:tcPr>
          <w:p w:rsidR="00400973" w:rsidP="009625A1" w:rsidRDefault="00400973" w14:paraId="412BC44B" w14:textId="77777777">
            <w:pPr>
              <w:spacing w:after="0"/>
              <w:jc w:val="right"/>
            </w:pPr>
            <w:r w:rsidRPr="0F22E9BF">
              <w:rPr>
                <w:rFonts w:ascii="Times New Roman" w:hAnsi="Times New Roman" w:eastAsia="Times New Roman" w:cs="Times New Roman"/>
                <w:sz w:val="20"/>
                <w:szCs w:val="20"/>
              </w:rPr>
              <w:t>36</w:t>
            </w:r>
          </w:p>
        </w:tc>
        <w:tc>
          <w:tcPr>
            <w:tcW w:w="1200" w:type="dxa"/>
            <w:tcBorders>
              <w:top w:val="nil"/>
              <w:left w:val="single" w:color="auto" w:sz="8" w:space="0"/>
              <w:bottom w:val="single" w:color="auto" w:sz="8" w:space="0"/>
              <w:right w:val="single" w:color="auto" w:sz="8" w:space="0"/>
            </w:tcBorders>
          </w:tcPr>
          <w:p w:rsidR="00400973" w:rsidP="009625A1" w:rsidRDefault="00400973" w14:paraId="47164F49" w14:textId="77777777">
            <w:pPr>
              <w:spacing w:after="0"/>
              <w:jc w:val="right"/>
            </w:pPr>
            <w:r w:rsidRPr="0F22E9BF">
              <w:rPr>
                <w:rFonts w:ascii="Times New Roman" w:hAnsi="Times New Roman" w:eastAsia="Times New Roman" w:cs="Times New Roman"/>
                <w:sz w:val="20"/>
                <w:szCs w:val="20"/>
              </w:rPr>
              <w:t>36</w:t>
            </w:r>
          </w:p>
        </w:tc>
        <w:tc>
          <w:tcPr>
            <w:tcW w:w="1230" w:type="dxa"/>
            <w:tcBorders>
              <w:top w:val="nil"/>
              <w:left w:val="single" w:color="auto" w:sz="8" w:space="0"/>
              <w:bottom w:val="single" w:color="auto" w:sz="8" w:space="0"/>
              <w:right w:val="single" w:color="auto" w:sz="8" w:space="0"/>
            </w:tcBorders>
          </w:tcPr>
          <w:p w:rsidR="00400973" w:rsidP="009625A1" w:rsidRDefault="00400973" w14:paraId="3DEC6C6D" w14:textId="77777777">
            <w:pPr>
              <w:spacing w:after="0"/>
              <w:jc w:val="right"/>
            </w:pPr>
            <w:r w:rsidRPr="0F22E9BF">
              <w:rPr>
                <w:rFonts w:ascii="Times New Roman" w:hAnsi="Times New Roman" w:eastAsia="Times New Roman" w:cs="Times New Roman"/>
                <w:sz w:val="20"/>
                <w:szCs w:val="20"/>
              </w:rPr>
              <w:t>45</w:t>
            </w:r>
          </w:p>
        </w:tc>
        <w:tc>
          <w:tcPr>
            <w:tcW w:w="855" w:type="dxa"/>
            <w:tcBorders>
              <w:top w:val="nil"/>
              <w:left w:val="single" w:color="auto" w:sz="8" w:space="0"/>
              <w:bottom w:val="single" w:color="auto" w:sz="8" w:space="0"/>
              <w:right w:val="single" w:color="auto" w:sz="8" w:space="0"/>
            </w:tcBorders>
          </w:tcPr>
          <w:p w:rsidR="00400973" w:rsidP="009625A1" w:rsidRDefault="00400973" w14:paraId="32086153" w14:textId="77777777">
            <w:pPr>
              <w:spacing w:after="0"/>
              <w:jc w:val="right"/>
            </w:pPr>
            <w:r w:rsidRPr="0F22E9BF">
              <w:rPr>
                <w:rFonts w:ascii="Times New Roman" w:hAnsi="Times New Roman" w:eastAsia="Times New Roman" w:cs="Times New Roman"/>
                <w:sz w:val="20"/>
                <w:szCs w:val="20"/>
              </w:rPr>
              <w:t>27</w:t>
            </w:r>
          </w:p>
        </w:tc>
      </w:tr>
      <w:tr w:rsidR="00400973" w:rsidTr="009625A1" w14:paraId="54EC762F"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0730C093" w14:textId="77777777">
            <w:pPr>
              <w:spacing w:after="0"/>
            </w:pPr>
            <w:r w:rsidRPr="000E54C4">
              <w:rPr>
                <w:rFonts w:ascii="Times New Roman" w:hAnsi="Times New Roman" w:eastAsia="Times New Roman" w:cs="Times New Roman"/>
                <w:sz w:val="20"/>
                <w:szCs w:val="20"/>
              </w:rPr>
              <w:t>Teacher (Core)</w:t>
            </w:r>
          </w:p>
        </w:tc>
        <w:tc>
          <w:tcPr>
            <w:tcW w:w="900" w:type="dxa"/>
            <w:tcBorders>
              <w:top w:val="single" w:color="auto" w:sz="8" w:space="0"/>
              <w:left w:val="single" w:color="auto" w:sz="8" w:space="0"/>
              <w:bottom w:val="single" w:color="auto" w:sz="8" w:space="0"/>
              <w:right w:val="single" w:color="auto" w:sz="8" w:space="0"/>
            </w:tcBorders>
          </w:tcPr>
          <w:p w:rsidR="00400973" w:rsidP="009625A1" w:rsidRDefault="00400973" w14:paraId="74588969" w14:textId="77777777">
            <w:pPr>
              <w:spacing w:after="0"/>
              <w:jc w:val="right"/>
            </w:pPr>
            <w:r w:rsidRPr="0F22E9BF">
              <w:rPr>
                <w:rFonts w:ascii="Times New Roman" w:hAnsi="Times New Roman" w:eastAsia="Times New Roman" w:cs="Times New Roman"/>
                <w:sz w:val="20"/>
                <w:szCs w:val="20"/>
              </w:rPr>
              <w:t>800</w:t>
            </w:r>
          </w:p>
        </w:tc>
        <w:tc>
          <w:tcPr>
            <w:tcW w:w="1170" w:type="dxa"/>
            <w:tcBorders>
              <w:top w:val="single" w:color="auto" w:sz="8" w:space="0"/>
              <w:left w:val="single" w:color="auto" w:sz="8" w:space="0"/>
              <w:bottom w:val="single" w:color="auto" w:sz="8" w:space="0"/>
              <w:right w:val="single" w:color="auto" w:sz="8" w:space="0"/>
            </w:tcBorders>
          </w:tcPr>
          <w:p w:rsidR="00400973" w:rsidP="009625A1" w:rsidRDefault="00400973" w14:paraId="039C8253" w14:textId="77777777">
            <w:pPr>
              <w:spacing w:after="0"/>
              <w:jc w:val="right"/>
            </w:pPr>
            <w:r w:rsidRPr="0F22E9BF">
              <w:rPr>
                <w:rFonts w:ascii="Times New Roman" w:hAnsi="Times New Roman" w:eastAsia="Times New Roman" w:cs="Times New Roman"/>
                <w:sz w:val="20"/>
                <w:szCs w:val="20"/>
              </w:rPr>
              <w:t>0.90</w:t>
            </w: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26406353" w14:textId="77777777">
            <w:pPr>
              <w:spacing w:after="0"/>
              <w:jc w:val="right"/>
            </w:pPr>
            <w:r w:rsidRPr="0F22E9BF">
              <w:rPr>
                <w:rFonts w:ascii="Times New Roman" w:hAnsi="Times New Roman" w:eastAsia="Times New Roman" w:cs="Times New Roman"/>
                <w:sz w:val="20"/>
                <w:szCs w:val="20"/>
              </w:rPr>
              <w:t>720</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0F2F3156" w14:textId="77777777">
            <w:pPr>
              <w:spacing w:after="0"/>
              <w:jc w:val="right"/>
            </w:pPr>
            <w:r w:rsidRPr="0F22E9BF">
              <w:rPr>
                <w:rFonts w:ascii="Times New Roman" w:hAnsi="Times New Roman" w:eastAsia="Times New Roman" w:cs="Times New Roman"/>
                <w:sz w:val="20"/>
                <w:szCs w:val="20"/>
              </w:rPr>
              <w:t>720</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20845CFA" w14:textId="77777777">
            <w:pPr>
              <w:spacing w:after="0"/>
              <w:jc w:val="right"/>
            </w:pPr>
            <w:r w:rsidRPr="0F22E9BF">
              <w:rPr>
                <w:rFonts w:ascii="Times New Roman" w:hAnsi="Times New Roman" w:eastAsia="Times New Roman" w:cs="Times New Roman"/>
                <w:sz w:val="20"/>
                <w:szCs w:val="20"/>
              </w:rPr>
              <w:t>60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10EFA728" w14:textId="77777777">
            <w:pPr>
              <w:spacing w:after="0"/>
              <w:jc w:val="right"/>
            </w:pPr>
            <w:r w:rsidRPr="0F22E9BF">
              <w:rPr>
                <w:rFonts w:ascii="Times New Roman" w:hAnsi="Times New Roman" w:eastAsia="Times New Roman" w:cs="Times New Roman"/>
                <w:sz w:val="20"/>
                <w:szCs w:val="20"/>
              </w:rPr>
              <w:t>720</w:t>
            </w:r>
          </w:p>
        </w:tc>
      </w:tr>
      <w:tr w:rsidR="00400973" w:rsidTr="009625A1" w14:paraId="52CA8EC0"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Pr="000E54C4" w:rsidR="00400973" w:rsidP="009625A1" w:rsidRDefault="00400973" w14:paraId="0E7EBBF3" w14:textId="77777777">
            <w:pPr>
              <w:spacing w:after="0"/>
            </w:pPr>
            <w:r w:rsidRPr="000E54C4">
              <w:rPr>
                <w:rFonts w:ascii="Times New Roman" w:hAnsi="Times New Roman" w:eastAsia="Times New Roman" w:cs="Times New Roman"/>
                <w:sz w:val="20"/>
                <w:szCs w:val="20"/>
              </w:rPr>
              <w:t>Teacher (TKS)</w:t>
            </w:r>
          </w:p>
        </w:tc>
        <w:tc>
          <w:tcPr>
            <w:tcW w:w="900" w:type="dxa"/>
            <w:tcBorders>
              <w:top w:val="single" w:color="auto" w:sz="8" w:space="0"/>
              <w:left w:val="single" w:color="auto" w:sz="8" w:space="0"/>
              <w:bottom w:val="single" w:color="auto" w:sz="8" w:space="0"/>
              <w:right w:val="single" w:color="auto" w:sz="8" w:space="0"/>
            </w:tcBorders>
          </w:tcPr>
          <w:p w:rsidR="00400973" w:rsidP="009625A1" w:rsidRDefault="00400973" w14:paraId="2EFD08B5" w14:textId="77777777">
            <w:pPr>
              <w:spacing w:after="0"/>
              <w:jc w:val="right"/>
            </w:pPr>
            <w:r w:rsidRPr="0F22E9BF">
              <w:rPr>
                <w:rFonts w:ascii="Times New Roman" w:hAnsi="Times New Roman" w:eastAsia="Times New Roman" w:cs="Times New Roman"/>
                <w:sz w:val="20"/>
                <w:szCs w:val="20"/>
              </w:rPr>
              <w:t>600</w:t>
            </w:r>
          </w:p>
        </w:tc>
        <w:tc>
          <w:tcPr>
            <w:tcW w:w="1170" w:type="dxa"/>
            <w:tcBorders>
              <w:top w:val="single" w:color="auto" w:sz="8" w:space="0"/>
              <w:left w:val="single" w:color="auto" w:sz="8" w:space="0"/>
              <w:bottom w:val="single" w:color="auto" w:sz="8" w:space="0"/>
              <w:right w:val="single" w:color="auto" w:sz="8" w:space="0"/>
            </w:tcBorders>
          </w:tcPr>
          <w:p w:rsidR="00400973" w:rsidP="009625A1" w:rsidRDefault="00400973" w14:paraId="3C43E0C5" w14:textId="77777777">
            <w:pPr>
              <w:spacing w:after="0"/>
              <w:jc w:val="right"/>
            </w:pPr>
            <w:r w:rsidRPr="0F22E9BF">
              <w:rPr>
                <w:rFonts w:ascii="Times New Roman" w:hAnsi="Times New Roman" w:eastAsia="Times New Roman" w:cs="Times New Roman"/>
                <w:sz w:val="20"/>
                <w:szCs w:val="20"/>
              </w:rPr>
              <w:t>0.90</w:t>
            </w: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1312B751" w14:textId="77777777">
            <w:pPr>
              <w:spacing w:after="0"/>
              <w:jc w:val="right"/>
            </w:pPr>
            <w:r w:rsidRPr="0F22E9BF">
              <w:rPr>
                <w:rFonts w:ascii="Times New Roman" w:hAnsi="Times New Roman" w:eastAsia="Times New Roman" w:cs="Times New Roman"/>
                <w:sz w:val="20"/>
                <w:szCs w:val="20"/>
              </w:rPr>
              <w:t>540</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500F586B" w14:textId="77777777">
            <w:pPr>
              <w:spacing w:after="0"/>
              <w:jc w:val="right"/>
            </w:pPr>
            <w:r w:rsidRPr="0F22E9BF">
              <w:rPr>
                <w:rFonts w:ascii="Times New Roman" w:hAnsi="Times New Roman" w:eastAsia="Times New Roman" w:cs="Times New Roman"/>
                <w:sz w:val="20"/>
                <w:szCs w:val="20"/>
              </w:rPr>
              <w:t>540</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77BFF156" w14:textId="77777777">
            <w:pPr>
              <w:spacing w:after="0"/>
              <w:jc w:val="right"/>
            </w:pPr>
            <w:r w:rsidRPr="0F22E9BF">
              <w:rPr>
                <w:rFonts w:ascii="Times New Roman" w:hAnsi="Times New Roman" w:eastAsia="Times New Roman" w:cs="Times New Roman"/>
                <w:sz w:val="20"/>
                <w:szCs w:val="20"/>
              </w:rPr>
              <w:t>60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199A62BC" w14:textId="77777777">
            <w:pPr>
              <w:spacing w:after="0"/>
              <w:jc w:val="right"/>
            </w:pPr>
            <w:r w:rsidRPr="0F22E9BF">
              <w:rPr>
                <w:rFonts w:ascii="Times New Roman" w:hAnsi="Times New Roman" w:eastAsia="Times New Roman" w:cs="Times New Roman"/>
                <w:sz w:val="20"/>
                <w:szCs w:val="20"/>
              </w:rPr>
              <w:t>540</w:t>
            </w:r>
          </w:p>
        </w:tc>
      </w:tr>
      <w:tr w:rsidRPr="00C55C81" w:rsidR="00400973" w:rsidTr="00B901A6" w14:paraId="4B94A149" w14:textId="77777777">
        <w:trPr>
          <w:trHeight w:val="150"/>
        </w:trPr>
        <w:tc>
          <w:tcPr>
            <w:tcW w:w="360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C55C81" w:rsidR="00400973" w:rsidP="009625A1" w:rsidRDefault="00400973" w14:paraId="3FD34E64" w14:textId="77777777">
            <w:pPr>
              <w:spacing w:after="0" w:line="240" w:lineRule="auto"/>
              <w:rPr>
                <w:i/>
                <w:iCs/>
              </w:rPr>
            </w:pPr>
            <w:r w:rsidRPr="00C55C81">
              <w:rPr>
                <w:rFonts w:ascii="Times New Roman" w:hAnsi="Times New Roman" w:eastAsia="Times New Roman" w:cs="Times New Roman"/>
                <w:i/>
                <w:iCs/>
                <w:sz w:val="20"/>
                <w:szCs w:val="20"/>
              </w:rPr>
              <w:t>Burden – Field Test Data Collection</w:t>
            </w:r>
          </w:p>
        </w:tc>
        <w:tc>
          <w:tcPr>
            <w:tcW w:w="9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287328B9" w14:textId="77777777">
            <w:pPr>
              <w:spacing w:after="0" w:line="240" w:lineRule="auto"/>
              <w:jc w:val="right"/>
              <w:rPr>
                <w:i/>
                <w:iCs/>
              </w:rPr>
            </w:pPr>
          </w:p>
        </w:tc>
        <w:tc>
          <w:tcPr>
            <w:tcW w:w="117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64EE053D" w14:textId="77777777">
            <w:pPr>
              <w:tabs>
                <w:tab w:val="center" w:pos="477"/>
                <w:tab w:val="right" w:pos="954"/>
              </w:tabs>
              <w:spacing w:after="0" w:line="240" w:lineRule="auto"/>
              <w:rPr>
                <w:i/>
                <w:iCs/>
              </w:rPr>
            </w:pPr>
            <w:r w:rsidRPr="00C55C81">
              <w:rPr>
                <w:rFonts w:ascii="Times New Roman" w:hAnsi="Times New Roman" w:eastAsia="Times New Roman" w:cs="Times New Roman"/>
                <w:i/>
                <w:iCs/>
                <w:sz w:val="20"/>
                <w:szCs w:val="20"/>
              </w:rPr>
              <w:tab/>
            </w:r>
          </w:p>
        </w:tc>
        <w:tc>
          <w:tcPr>
            <w:tcW w:w="12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1A4BF2AB"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1</w:t>
            </w:r>
            <w:r>
              <w:rPr>
                <w:rFonts w:ascii="Times New Roman" w:hAnsi="Times New Roman" w:cs="Times New Roman"/>
                <w:i/>
                <w:iCs/>
                <w:sz w:val="20"/>
                <w:szCs w:val="20"/>
              </w:rPr>
              <w:t>,</w:t>
            </w:r>
            <w:r w:rsidRPr="00C55C81">
              <w:rPr>
                <w:rFonts w:ascii="Times New Roman" w:hAnsi="Times New Roman" w:cs="Times New Roman"/>
                <w:i/>
                <w:iCs/>
                <w:sz w:val="20"/>
                <w:szCs w:val="20"/>
              </w:rPr>
              <w:t>296</w:t>
            </w:r>
          </w:p>
        </w:tc>
        <w:tc>
          <w:tcPr>
            <w:tcW w:w="12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6EA9471C"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1</w:t>
            </w:r>
            <w:r>
              <w:rPr>
                <w:rFonts w:ascii="Times New Roman" w:hAnsi="Times New Roman" w:cs="Times New Roman"/>
                <w:i/>
                <w:iCs/>
                <w:sz w:val="20"/>
                <w:szCs w:val="20"/>
              </w:rPr>
              <w:t>,</w:t>
            </w:r>
            <w:r w:rsidRPr="00C55C81">
              <w:rPr>
                <w:rFonts w:ascii="Times New Roman" w:hAnsi="Times New Roman" w:cs="Times New Roman"/>
                <w:i/>
                <w:iCs/>
                <w:sz w:val="20"/>
                <w:szCs w:val="20"/>
              </w:rPr>
              <w:t>296</w:t>
            </w:r>
          </w:p>
        </w:tc>
        <w:tc>
          <w:tcPr>
            <w:tcW w:w="12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6F19F7D4" w14:textId="77777777">
            <w:pPr>
              <w:spacing w:after="0" w:line="240" w:lineRule="auto"/>
              <w:jc w:val="right"/>
              <w:rPr>
                <w:rFonts w:ascii="Times New Roman" w:hAnsi="Times New Roman" w:cs="Times New Roman"/>
                <w:i/>
                <w:iCs/>
                <w:sz w:val="20"/>
                <w:szCs w:val="20"/>
              </w:rPr>
            </w:pPr>
          </w:p>
        </w:tc>
        <w:tc>
          <w:tcPr>
            <w:tcW w:w="8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400973" w:rsidP="009625A1" w:rsidRDefault="00400973" w14:paraId="52456731"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1</w:t>
            </w:r>
            <w:r>
              <w:rPr>
                <w:rFonts w:ascii="Times New Roman" w:hAnsi="Times New Roman" w:cs="Times New Roman"/>
                <w:i/>
                <w:iCs/>
                <w:sz w:val="20"/>
                <w:szCs w:val="20"/>
              </w:rPr>
              <w:t>,</w:t>
            </w:r>
            <w:r w:rsidRPr="00C55C81">
              <w:rPr>
                <w:rFonts w:ascii="Times New Roman" w:hAnsi="Times New Roman" w:cs="Times New Roman"/>
                <w:i/>
                <w:iCs/>
                <w:sz w:val="20"/>
                <w:szCs w:val="20"/>
              </w:rPr>
              <w:t>287</w:t>
            </w:r>
          </w:p>
        </w:tc>
      </w:tr>
      <w:tr w:rsidR="00400973" w:rsidTr="00337BA3" w14:paraId="48021EB9" w14:textId="77777777">
        <w:trPr>
          <w:trHeight w:val="150"/>
        </w:trPr>
        <w:tc>
          <w:tcPr>
            <w:tcW w:w="360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0E54C4" w:rsidR="00400973" w:rsidP="009625A1" w:rsidRDefault="00400973" w14:paraId="1FFC493C" w14:textId="77777777">
            <w:pPr>
              <w:spacing w:after="0"/>
              <w:rPr>
                <w:rFonts w:ascii="Times New Roman" w:hAnsi="Times New Roman" w:eastAsia="Times New Roman" w:cs="Times New Roman"/>
                <w:b/>
                <w:bCs/>
                <w:i/>
                <w:iCs/>
                <w:sz w:val="20"/>
                <w:szCs w:val="20"/>
              </w:rPr>
            </w:pPr>
            <w:r w:rsidRPr="000E54C4">
              <w:rPr>
                <w:rFonts w:ascii="Times New Roman" w:hAnsi="Times New Roman" w:eastAsia="Times New Roman" w:cs="Times New Roman"/>
                <w:b/>
                <w:bCs/>
                <w:i/>
                <w:iCs/>
                <w:sz w:val="20"/>
                <w:szCs w:val="20"/>
              </w:rPr>
              <w:t>Total Burden Field Test</w:t>
            </w:r>
          </w:p>
        </w:tc>
        <w:tc>
          <w:tcPr>
            <w:tcW w:w="9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00400973" w:rsidP="009625A1" w:rsidRDefault="00400973" w14:paraId="2C9242DD" w14:textId="77777777">
            <w:pPr>
              <w:spacing w:after="0"/>
              <w:rPr>
                <w:i/>
                <w:iCs/>
              </w:rPr>
            </w:pPr>
          </w:p>
        </w:tc>
        <w:tc>
          <w:tcPr>
            <w:tcW w:w="117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00400973" w:rsidP="009625A1" w:rsidRDefault="00400973" w14:paraId="021BD761" w14:textId="77777777">
            <w:pPr>
              <w:spacing w:after="0"/>
              <w:rPr>
                <w:i/>
                <w:iCs/>
              </w:rPr>
            </w:pPr>
          </w:p>
        </w:tc>
        <w:tc>
          <w:tcPr>
            <w:tcW w:w="12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00400973" w:rsidP="009625A1" w:rsidRDefault="00400973" w14:paraId="01225578" w14:textId="77777777">
            <w:pPr>
              <w:spacing w:after="0"/>
              <w:jc w:val="right"/>
              <w:rPr>
                <w:rFonts w:ascii="Times New Roman" w:hAnsi="Times New Roman" w:eastAsia="Times New Roman" w:cs="Times New Roman"/>
                <w:b/>
                <w:bCs/>
                <w:i/>
                <w:iCs/>
                <w:sz w:val="20"/>
                <w:szCs w:val="20"/>
              </w:rPr>
            </w:pPr>
            <w:r w:rsidRPr="27ACF25C">
              <w:rPr>
                <w:rFonts w:ascii="Times New Roman" w:hAnsi="Times New Roman" w:eastAsia="Times New Roman" w:cs="Times New Roman"/>
                <w:b/>
                <w:bCs/>
                <w:i/>
                <w:iCs/>
                <w:sz w:val="20"/>
                <w:szCs w:val="20"/>
              </w:rPr>
              <w:t>1,530</w:t>
            </w:r>
          </w:p>
        </w:tc>
        <w:tc>
          <w:tcPr>
            <w:tcW w:w="12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00400973" w:rsidP="009625A1" w:rsidRDefault="00400973" w14:paraId="1D359D09" w14:textId="77777777">
            <w:pPr>
              <w:spacing w:after="0"/>
              <w:jc w:val="right"/>
              <w:rPr>
                <w:rFonts w:ascii="Times New Roman" w:hAnsi="Times New Roman" w:eastAsia="Times New Roman" w:cs="Times New Roman"/>
                <w:b/>
                <w:bCs/>
                <w:i/>
                <w:iCs/>
                <w:sz w:val="20"/>
                <w:szCs w:val="20"/>
              </w:rPr>
            </w:pPr>
            <w:r w:rsidRPr="27ACF25C">
              <w:rPr>
                <w:rFonts w:ascii="Times New Roman" w:hAnsi="Times New Roman" w:eastAsia="Times New Roman" w:cs="Times New Roman"/>
                <w:b/>
                <w:bCs/>
                <w:i/>
                <w:iCs/>
                <w:sz w:val="20"/>
                <w:szCs w:val="20"/>
              </w:rPr>
              <w:t>1,530</w:t>
            </w:r>
          </w:p>
        </w:tc>
        <w:tc>
          <w:tcPr>
            <w:tcW w:w="12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00400973" w:rsidP="009625A1" w:rsidRDefault="00400973" w14:paraId="2CD634D6" w14:textId="77777777">
            <w:pPr>
              <w:spacing w:after="0"/>
              <w:rPr>
                <w:i/>
                <w:iCs/>
              </w:rPr>
            </w:pPr>
          </w:p>
        </w:tc>
        <w:tc>
          <w:tcPr>
            <w:tcW w:w="8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00400973" w:rsidP="009625A1" w:rsidRDefault="00400973" w14:paraId="30B5C2E2" w14:textId="77777777">
            <w:pPr>
              <w:spacing w:after="0"/>
              <w:jc w:val="right"/>
              <w:rPr>
                <w:rFonts w:ascii="Times New Roman" w:hAnsi="Times New Roman" w:eastAsia="Times New Roman" w:cs="Times New Roman"/>
                <w:b/>
                <w:bCs/>
                <w:i/>
                <w:iCs/>
                <w:sz w:val="20"/>
                <w:szCs w:val="20"/>
              </w:rPr>
            </w:pPr>
            <w:r w:rsidRPr="27ACF25C">
              <w:rPr>
                <w:rFonts w:ascii="Times New Roman" w:hAnsi="Times New Roman" w:eastAsia="Times New Roman" w:cs="Times New Roman"/>
                <w:b/>
                <w:bCs/>
                <w:i/>
                <w:iCs/>
                <w:sz w:val="20"/>
                <w:szCs w:val="20"/>
              </w:rPr>
              <w:t>1,597</w:t>
            </w:r>
          </w:p>
        </w:tc>
      </w:tr>
      <w:tr w:rsidR="00400973" w:rsidTr="009625A1" w14:paraId="78AE971A" w14:textId="77777777">
        <w:trPr>
          <w:trHeight w:val="150"/>
        </w:trPr>
        <w:tc>
          <w:tcPr>
            <w:tcW w:w="10215" w:type="dxa"/>
            <w:gridSpan w:val="7"/>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00400973" w:rsidP="009625A1" w:rsidRDefault="00400973" w14:paraId="14616D66" w14:textId="77777777">
            <w:pPr>
              <w:spacing w:after="0"/>
            </w:pPr>
            <w:r w:rsidRPr="0F22E9BF">
              <w:rPr>
                <w:rFonts w:ascii="Times New Roman" w:hAnsi="Times New Roman" w:eastAsia="Times New Roman" w:cs="Times New Roman"/>
                <w:color w:val="000000" w:themeColor="text1"/>
                <w:sz w:val="20"/>
                <w:szCs w:val="20"/>
              </w:rPr>
              <w:t>Main Study Recruitment and Pre-Survey Activity</w:t>
            </w:r>
          </w:p>
        </w:tc>
      </w:tr>
      <w:tr w:rsidR="00400973" w:rsidTr="009625A1" w14:paraId="14497925"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5CE7B15C" w14:textId="77777777">
            <w:pPr>
              <w:spacing w:after="0"/>
            </w:pPr>
            <w:r w:rsidRPr="0F22E9BF">
              <w:rPr>
                <w:rFonts w:ascii="Times New Roman" w:hAnsi="Times New Roman" w:eastAsia="Times New Roman" w:cs="Times New Roman"/>
                <w:sz w:val="20"/>
                <w:szCs w:val="20"/>
              </w:rPr>
              <w:t>District Administrator</w:t>
            </w:r>
          </w:p>
        </w:tc>
        <w:tc>
          <w:tcPr>
            <w:tcW w:w="900" w:type="dxa"/>
            <w:tcBorders>
              <w:top w:val="nil"/>
              <w:left w:val="single" w:color="auto" w:sz="8" w:space="0"/>
              <w:bottom w:val="single" w:color="auto" w:sz="8" w:space="0"/>
              <w:right w:val="single" w:color="auto" w:sz="8" w:space="0"/>
            </w:tcBorders>
          </w:tcPr>
          <w:p w:rsidR="00400973" w:rsidP="009625A1" w:rsidRDefault="00400973" w14:paraId="3F8C0C6F" w14:textId="77777777">
            <w:pPr>
              <w:spacing w:after="0"/>
              <w:jc w:val="right"/>
            </w:pPr>
            <w:r w:rsidRPr="27ACF25C">
              <w:rPr>
                <w:rFonts w:ascii="Times New Roman" w:hAnsi="Times New Roman" w:eastAsia="Times New Roman" w:cs="Times New Roman"/>
                <w:sz w:val="20"/>
                <w:szCs w:val="20"/>
              </w:rPr>
              <w:t>352</w:t>
            </w:r>
          </w:p>
        </w:tc>
        <w:tc>
          <w:tcPr>
            <w:tcW w:w="1170" w:type="dxa"/>
            <w:tcBorders>
              <w:top w:val="nil"/>
              <w:left w:val="single" w:color="auto" w:sz="8" w:space="0"/>
              <w:bottom w:val="single" w:color="auto" w:sz="8" w:space="0"/>
              <w:right w:val="single" w:color="auto" w:sz="8" w:space="0"/>
            </w:tcBorders>
          </w:tcPr>
          <w:p w:rsidR="00400973" w:rsidP="009625A1" w:rsidRDefault="00400973" w14:paraId="7AC5DB62"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1.00</w:t>
            </w:r>
          </w:p>
        </w:tc>
        <w:tc>
          <w:tcPr>
            <w:tcW w:w="1260" w:type="dxa"/>
            <w:tcBorders>
              <w:top w:val="nil"/>
              <w:left w:val="single" w:color="auto" w:sz="8" w:space="0"/>
              <w:bottom w:val="single" w:color="auto" w:sz="8" w:space="0"/>
              <w:right w:val="single" w:color="auto" w:sz="8" w:space="0"/>
            </w:tcBorders>
          </w:tcPr>
          <w:p w:rsidR="00400973" w:rsidP="009625A1" w:rsidRDefault="00400973" w14:paraId="137E2F5F"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352</w:t>
            </w:r>
          </w:p>
        </w:tc>
        <w:tc>
          <w:tcPr>
            <w:tcW w:w="1200" w:type="dxa"/>
            <w:tcBorders>
              <w:top w:val="nil"/>
              <w:left w:val="single" w:color="auto" w:sz="8" w:space="0"/>
              <w:bottom w:val="single" w:color="auto" w:sz="8" w:space="0"/>
              <w:right w:val="single" w:color="auto" w:sz="8" w:space="0"/>
            </w:tcBorders>
          </w:tcPr>
          <w:p w:rsidR="00400973" w:rsidP="009625A1" w:rsidRDefault="00400973" w14:paraId="6AEC1139"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352</w:t>
            </w:r>
          </w:p>
        </w:tc>
        <w:tc>
          <w:tcPr>
            <w:tcW w:w="1230" w:type="dxa"/>
            <w:tcBorders>
              <w:top w:val="nil"/>
              <w:left w:val="single" w:color="auto" w:sz="8" w:space="0"/>
              <w:bottom w:val="single" w:color="auto" w:sz="8" w:space="0"/>
              <w:right w:val="single" w:color="auto" w:sz="8" w:space="0"/>
            </w:tcBorders>
          </w:tcPr>
          <w:p w:rsidR="00400973" w:rsidP="009625A1" w:rsidRDefault="00400973" w14:paraId="7D5D9D02"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10</w:t>
            </w:r>
          </w:p>
        </w:tc>
        <w:tc>
          <w:tcPr>
            <w:tcW w:w="855" w:type="dxa"/>
            <w:tcBorders>
              <w:top w:val="nil"/>
              <w:left w:val="single" w:color="auto" w:sz="8" w:space="0"/>
              <w:bottom w:val="single" w:color="auto" w:sz="8" w:space="0"/>
              <w:right w:val="single" w:color="auto" w:sz="8" w:space="0"/>
            </w:tcBorders>
          </w:tcPr>
          <w:p w:rsidR="00400973" w:rsidP="009625A1" w:rsidRDefault="00400973" w14:paraId="0B5D45BF"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59</w:t>
            </w:r>
          </w:p>
        </w:tc>
      </w:tr>
      <w:tr w:rsidR="00400973" w:rsidTr="009625A1" w14:paraId="1E58F900"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61B9423A" w14:textId="77777777">
            <w:pPr>
              <w:spacing w:after="0" w:line="240" w:lineRule="auto"/>
            </w:pPr>
            <w:r w:rsidRPr="0F22E9BF">
              <w:rPr>
                <w:rFonts w:ascii="Times New Roman" w:hAnsi="Times New Roman" w:eastAsia="Times New Roman" w:cs="Times New Roman"/>
                <w:sz w:val="20"/>
                <w:szCs w:val="20"/>
              </w:rPr>
              <w:t>Special Handling Districts IRB Staff</w:t>
            </w:r>
          </w:p>
        </w:tc>
        <w:tc>
          <w:tcPr>
            <w:tcW w:w="900" w:type="dxa"/>
            <w:tcBorders>
              <w:top w:val="single" w:color="auto" w:sz="8" w:space="0"/>
              <w:left w:val="single" w:color="auto" w:sz="8" w:space="0"/>
              <w:bottom w:val="single" w:color="auto" w:sz="8" w:space="0"/>
              <w:right w:val="single" w:color="auto" w:sz="8" w:space="0"/>
            </w:tcBorders>
          </w:tcPr>
          <w:p w:rsidR="00400973" w:rsidP="009625A1" w:rsidRDefault="00400973" w14:paraId="1B2E9758" w14:textId="77777777">
            <w:pPr>
              <w:spacing w:after="0" w:line="240" w:lineRule="auto"/>
              <w:jc w:val="right"/>
              <w:rPr>
                <w:rFonts w:ascii="Times New Roman" w:hAnsi="Times New Roman" w:eastAsia="Times New Roman" w:cs="Times New Roman"/>
                <w:sz w:val="20"/>
                <w:szCs w:val="20"/>
              </w:rPr>
            </w:pPr>
          </w:p>
        </w:tc>
        <w:tc>
          <w:tcPr>
            <w:tcW w:w="1170" w:type="dxa"/>
            <w:tcBorders>
              <w:top w:val="single" w:color="auto" w:sz="8" w:space="0"/>
              <w:left w:val="single" w:color="auto" w:sz="8" w:space="0"/>
              <w:bottom w:val="single" w:color="auto" w:sz="8" w:space="0"/>
              <w:right w:val="single" w:color="auto" w:sz="8" w:space="0"/>
            </w:tcBorders>
          </w:tcPr>
          <w:p w:rsidR="00400973" w:rsidP="009625A1" w:rsidRDefault="00400973" w14:paraId="6570D080" w14:textId="77777777">
            <w:pPr>
              <w:spacing w:after="0" w:line="240" w:lineRule="auto"/>
              <w:jc w:val="right"/>
              <w:rPr>
                <w:rFonts w:ascii="Times New Roman" w:hAnsi="Times New Roman" w:eastAsia="Times New Roman" w:cs="Times New Roman"/>
                <w:sz w:val="20"/>
                <w:szCs w:val="20"/>
              </w:rPr>
            </w:pPr>
          </w:p>
        </w:tc>
        <w:tc>
          <w:tcPr>
            <w:tcW w:w="126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3FBADEB" w14:textId="77777777">
            <w:pPr>
              <w:spacing w:after="0" w:line="240" w:lineRule="auto"/>
              <w:jc w:val="right"/>
            </w:pP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594BEE08" w14:textId="77777777">
            <w:pPr>
              <w:spacing w:after="0" w:line="240" w:lineRule="auto"/>
              <w:jc w:val="right"/>
            </w:pP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50F784B1" w14:textId="77777777">
            <w:pPr>
              <w:spacing w:after="0" w:line="240" w:lineRule="auto"/>
              <w:jc w:val="right"/>
            </w:pPr>
          </w:p>
        </w:tc>
        <w:tc>
          <w:tcPr>
            <w:tcW w:w="855"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42AA67B2" w14:textId="77777777">
            <w:pPr>
              <w:spacing w:after="0" w:line="240" w:lineRule="auto"/>
              <w:jc w:val="right"/>
            </w:pPr>
          </w:p>
        </w:tc>
      </w:tr>
      <w:tr w:rsidR="00400973" w:rsidTr="009625A1" w14:paraId="28E52235"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5655269A" w14:textId="77777777">
            <w:pPr>
              <w:spacing w:after="0"/>
              <w:ind w:firstLine="337"/>
            </w:pPr>
            <w:r w:rsidRPr="27ACF25C">
              <w:rPr>
                <w:rFonts w:ascii="Times New Roman" w:hAnsi="Times New Roman" w:eastAsia="Times New Roman" w:cs="Times New Roman"/>
                <w:sz w:val="20"/>
                <w:szCs w:val="20"/>
              </w:rPr>
              <w:t>Participating Districts</w:t>
            </w:r>
          </w:p>
        </w:tc>
        <w:tc>
          <w:tcPr>
            <w:tcW w:w="900" w:type="dxa"/>
            <w:vMerge w:val="restart"/>
            <w:tcBorders>
              <w:top w:val="single" w:color="auto" w:sz="8" w:space="0"/>
              <w:left w:val="single" w:color="auto" w:sz="8" w:space="0"/>
              <w:right w:val="single" w:color="auto" w:sz="8" w:space="0"/>
            </w:tcBorders>
            <w:vAlign w:val="center"/>
          </w:tcPr>
          <w:p w:rsidR="00400973" w:rsidP="009625A1" w:rsidRDefault="00400973" w14:paraId="1BB6C53A" w14:textId="77777777">
            <w:pPr>
              <w:spacing w:after="0"/>
              <w:jc w:val="right"/>
            </w:pPr>
            <w:r w:rsidRPr="27ACF25C">
              <w:rPr>
                <w:rFonts w:ascii="Times New Roman" w:hAnsi="Times New Roman" w:eastAsia="Times New Roman" w:cs="Times New Roman"/>
                <w:sz w:val="20"/>
                <w:szCs w:val="20"/>
              </w:rPr>
              <w:t>41</w:t>
            </w:r>
          </w:p>
        </w:tc>
        <w:tc>
          <w:tcPr>
            <w:tcW w:w="1170" w:type="dxa"/>
            <w:vMerge w:val="restart"/>
            <w:tcBorders>
              <w:top w:val="single" w:color="auto" w:sz="8" w:space="0"/>
              <w:left w:val="single" w:color="auto" w:sz="8" w:space="0"/>
              <w:right w:val="single" w:color="auto" w:sz="8" w:space="0"/>
            </w:tcBorders>
            <w:vAlign w:val="center"/>
          </w:tcPr>
          <w:p w:rsidR="00400973" w:rsidP="009625A1" w:rsidRDefault="00400973" w14:paraId="4DB90F65" w14:textId="77777777">
            <w:pPr>
              <w:spacing w:after="0"/>
              <w:jc w:val="right"/>
            </w:pPr>
            <w:r w:rsidRPr="27ACF25C">
              <w:rPr>
                <w:rFonts w:ascii="Times New Roman" w:hAnsi="Times New Roman" w:eastAsia="Times New Roman" w:cs="Times New Roman"/>
                <w:sz w:val="20"/>
                <w:szCs w:val="20"/>
              </w:rPr>
              <w:t>0.54</w:t>
            </w: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4F9080EA"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22</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75AE6812"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22</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3EDB7D4A"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120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05625861"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44</w:t>
            </w:r>
          </w:p>
        </w:tc>
      </w:tr>
      <w:tr w:rsidR="00400973" w:rsidTr="009625A1" w14:paraId="04BB8B28"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795E2218" w14:textId="77777777">
            <w:pPr>
              <w:spacing w:after="0"/>
              <w:ind w:firstLine="337"/>
            </w:pPr>
            <w:r w:rsidRPr="27ACF25C">
              <w:rPr>
                <w:rFonts w:ascii="Times New Roman" w:hAnsi="Times New Roman" w:eastAsia="Times New Roman" w:cs="Times New Roman"/>
                <w:sz w:val="20"/>
                <w:szCs w:val="20"/>
              </w:rPr>
              <w:t>Non-Participating Districts</w:t>
            </w:r>
          </w:p>
        </w:tc>
        <w:tc>
          <w:tcPr>
            <w:tcW w:w="900" w:type="dxa"/>
            <w:vMerge/>
            <w:tcBorders>
              <w:left w:val="single" w:color="auto" w:sz="8" w:space="0"/>
              <w:bottom w:val="single" w:color="auto" w:sz="8" w:space="0"/>
              <w:right w:val="single" w:color="auto" w:sz="8" w:space="0"/>
            </w:tcBorders>
            <w:vAlign w:val="center"/>
          </w:tcPr>
          <w:p w:rsidR="00400973" w:rsidP="009625A1" w:rsidRDefault="00400973" w14:paraId="2B4EE091" w14:textId="77777777">
            <w:pPr>
              <w:spacing w:after="0"/>
              <w:jc w:val="right"/>
            </w:pPr>
          </w:p>
        </w:tc>
        <w:tc>
          <w:tcPr>
            <w:tcW w:w="1170" w:type="dxa"/>
            <w:vMerge/>
            <w:tcBorders>
              <w:left w:val="single" w:color="auto" w:sz="8" w:space="0"/>
              <w:bottom w:val="single" w:color="auto" w:sz="8" w:space="0"/>
              <w:right w:val="single" w:color="auto" w:sz="8" w:space="0"/>
            </w:tcBorders>
            <w:vAlign w:val="center"/>
          </w:tcPr>
          <w:p w:rsidR="00400973" w:rsidP="009625A1" w:rsidRDefault="00400973" w14:paraId="0C09D93F" w14:textId="77777777">
            <w:pPr>
              <w:spacing w:after="0"/>
              <w:jc w:val="right"/>
            </w:pP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70DFECB2"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19</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59886C50"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19</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61B01872"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120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3BA6B005"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38</w:t>
            </w:r>
          </w:p>
        </w:tc>
      </w:tr>
      <w:tr w:rsidR="00400973" w:rsidTr="009625A1" w14:paraId="3ECC0B0A"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29D6411E" w14:textId="77777777">
            <w:pPr>
              <w:spacing w:after="0" w:line="240" w:lineRule="auto"/>
            </w:pPr>
            <w:r w:rsidRPr="0F22E9BF">
              <w:rPr>
                <w:rFonts w:ascii="Times New Roman" w:hAnsi="Times New Roman" w:eastAsia="Times New Roman" w:cs="Times New Roman"/>
                <w:sz w:val="20"/>
                <w:szCs w:val="20"/>
              </w:rPr>
              <w:t>Special Handling Districts IRB Panel</w:t>
            </w:r>
          </w:p>
        </w:tc>
        <w:tc>
          <w:tcPr>
            <w:tcW w:w="9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1B8CEF99" w14:textId="77777777">
            <w:pPr>
              <w:spacing w:after="0" w:line="240" w:lineRule="auto"/>
              <w:jc w:val="right"/>
              <w:rPr>
                <w:rFonts w:ascii="Times New Roman" w:hAnsi="Times New Roman" w:eastAsia="Times New Roman" w:cs="Times New Roman"/>
                <w:sz w:val="20"/>
                <w:szCs w:val="20"/>
              </w:rPr>
            </w:pPr>
          </w:p>
        </w:tc>
        <w:tc>
          <w:tcPr>
            <w:tcW w:w="117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08D06FF1" w14:textId="77777777">
            <w:pPr>
              <w:spacing w:after="0" w:line="240" w:lineRule="auto"/>
              <w:jc w:val="right"/>
              <w:rPr>
                <w:rFonts w:ascii="Times New Roman" w:hAnsi="Times New Roman" w:eastAsia="Times New Roman" w:cs="Times New Roman"/>
                <w:sz w:val="20"/>
                <w:szCs w:val="20"/>
              </w:rPr>
            </w:pPr>
          </w:p>
        </w:tc>
        <w:tc>
          <w:tcPr>
            <w:tcW w:w="126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F631C3C" w14:textId="77777777">
            <w:pPr>
              <w:spacing w:after="0" w:line="240" w:lineRule="auto"/>
              <w:jc w:val="right"/>
            </w:pP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583EFFAA" w14:textId="77777777">
            <w:pPr>
              <w:spacing w:after="0" w:line="240" w:lineRule="auto"/>
              <w:jc w:val="right"/>
            </w:pP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03E2FCBF" w14:textId="77777777">
            <w:pPr>
              <w:spacing w:after="0" w:line="240" w:lineRule="auto"/>
              <w:jc w:val="right"/>
            </w:pPr>
          </w:p>
        </w:tc>
        <w:tc>
          <w:tcPr>
            <w:tcW w:w="855"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606D2A6" w14:textId="77777777">
            <w:pPr>
              <w:spacing w:after="0" w:line="240" w:lineRule="auto"/>
              <w:jc w:val="right"/>
            </w:pPr>
          </w:p>
        </w:tc>
      </w:tr>
      <w:tr w:rsidR="00400973" w:rsidTr="009625A1" w14:paraId="19A50107"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4D04537" w14:textId="77777777">
            <w:pPr>
              <w:spacing w:after="0"/>
              <w:ind w:firstLine="337"/>
            </w:pPr>
            <w:r w:rsidRPr="27ACF25C">
              <w:rPr>
                <w:rFonts w:ascii="Times New Roman" w:hAnsi="Times New Roman" w:eastAsia="Times New Roman" w:cs="Times New Roman"/>
                <w:sz w:val="20"/>
                <w:szCs w:val="20"/>
              </w:rPr>
              <w:t>Participating Districts</w:t>
            </w:r>
          </w:p>
        </w:tc>
        <w:tc>
          <w:tcPr>
            <w:tcW w:w="900" w:type="dxa"/>
            <w:vMerge w:val="restart"/>
            <w:tcBorders>
              <w:top w:val="single" w:color="auto" w:sz="8" w:space="0"/>
              <w:left w:val="single" w:color="auto" w:sz="8" w:space="0"/>
              <w:right w:val="single" w:color="auto" w:sz="8" w:space="0"/>
            </w:tcBorders>
            <w:vAlign w:val="center"/>
          </w:tcPr>
          <w:p w:rsidR="00400973" w:rsidP="009625A1" w:rsidRDefault="00400973" w14:paraId="34FC2CDE" w14:textId="77777777">
            <w:pPr>
              <w:spacing w:after="0"/>
              <w:jc w:val="right"/>
            </w:pPr>
            <w:r w:rsidRPr="27ACF25C">
              <w:rPr>
                <w:rFonts w:ascii="Times New Roman" w:hAnsi="Times New Roman" w:eastAsia="Times New Roman" w:cs="Times New Roman"/>
                <w:sz w:val="20"/>
                <w:szCs w:val="20"/>
              </w:rPr>
              <w:t>246</w:t>
            </w:r>
          </w:p>
        </w:tc>
        <w:tc>
          <w:tcPr>
            <w:tcW w:w="1170" w:type="dxa"/>
            <w:vMerge w:val="restart"/>
            <w:tcBorders>
              <w:top w:val="single" w:color="auto" w:sz="8" w:space="0"/>
              <w:left w:val="single" w:color="auto" w:sz="8" w:space="0"/>
              <w:right w:val="single" w:color="auto" w:sz="8" w:space="0"/>
            </w:tcBorders>
            <w:vAlign w:val="center"/>
          </w:tcPr>
          <w:p w:rsidR="00400973" w:rsidP="009625A1" w:rsidRDefault="00400973" w14:paraId="49520AFA" w14:textId="77777777">
            <w:pPr>
              <w:spacing w:after="0"/>
              <w:jc w:val="right"/>
            </w:pPr>
            <w:r w:rsidRPr="27ACF25C">
              <w:rPr>
                <w:rFonts w:ascii="Times New Roman" w:hAnsi="Times New Roman" w:eastAsia="Times New Roman" w:cs="Times New Roman"/>
                <w:sz w:val="20"/>
                <w:szCs w:val="20"/>
              </w:rPr>
              <w:t>0.54</w:t>
            </w: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6B7BF9DA"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132</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0E2D02A8"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132</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6FCB8E37"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60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6F1BD41B"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132</w:t>
            </w:r>
          </w:p>
        </w:tc>
      </w:tr>
      <w:tr w:rsidR="00400973" w:rsidTr="009625A1" w14:paraId="04E9436A"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6A252EB3" w14:textId="77777777">
            <w:pPr>
              <w:spacing w:after="0"/>
              <w:ind w:firstLine="337"/>
            </w:pPr>
            <w:r w:rsidRPr="27ACF25C">
              <w:rPr>
                <w:rFonts w:ascii="Times New Roman" w:hAnsi="Times New Roman" w:eastAsia="Times New Roman" w:cs="Times New Roman"/>
                <w:sz w:val="20"/>
                <w:szCs w:val="20"/>
              </w:rPr>
              <w:t>Non-Participating Districts</w:t>
            </w:r>
          </w:p>
        </w:tc>
        <w:tc>
          <w:tcPr>
            <w:tcW w:w="900" w:type="dxa"/>
            <w:vMerge/>
            <w:tcBorders>
              <w:left w:val="single" w:color="auto" w:sz="8" w:space="0"/>
              <w:bottom w:val="single" w:color="auto" w:sz="8" w:space="0"/>
              <w:right w:val="single" w:color="auto" w:sz="8" w:space="0"/>
            </w:tcBorders>
            <w:vAlign w:val="center"/>
          </w:tcPr>
          <w:p w:rsidR="00400973" w:rsidP="009625A1" w:rsidRDefault="00400973" w14:paraId="2F7D7BF8" w14:textId="77777777">
            <w:pPr>
              <w:spacing w:after="0"/>
              <w:jc w:val="right"/>
            </w:pPr>
          </w:p>
        </w:tc>
        <w:tc>
          <w:tcPr>
            <w:tcW w:w="1170" w:type="dxa"/>
            <w:vMerge/>
            <w:tcBorders>
              <w:left w:val="single" w:color="auto" w:sz="8" w:space="0"/>
              <w:bottom w:val="single" w:color="auto" w:sz="8" w:space="0"/>
              <w:right w:val="single" w:color="auto" w:sz="8" w:space="0"/>
            </w:tcBorders>
            <w:vAlign w:val="center"/>
          </w:tcPr>
          <w:p w:rsidR="00400973" w:rsidP="009625A1" w:rsidRDefault="00400973" w14:paraId="7C09A4FE" w14:textId="77777777">
            <w:pPr>
              <w:spacing w:after="0"/>
              <w:jc w:val="right"/>
            </w:pP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190BA48E"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114</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6EB48DDC"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114</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1FB32C8E"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60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37C11256"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114</w:t>
            </w:r>
          </w:p>
        </w:tc>
      </w:tr>
      <w:tr w:rsidR="00400973" w:rsidTr="009625A1" w14:paraId="703F4B8A"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03CBE8A4" w14:textId="77777777">
            <w:pPr>
              <w:spacing w:after="0" w:line="240" w:lineRule="auto"/>
            </w:pPr>
            <w:r w:rsidRPr="68BAFA53">
              <w:rPr>
                <w:rFonts w:ascii="Times New Roman" w:hAnsi="Times New Roman" w:eastAsia="Times New Roman" w:cs="Times New Roman"/>
                <w:sz w:val="20"/>
                <w:szCs w:val="20"/>
              </w:rPr>
              <w:t>School Administrator</w:t>
            </w:r>
          </w:p>
        </w:tc>
        <w:tc>
          <w:tcPr>
            <w:tcW w:w="9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40A898B8" w14:textId="77777777">
            <w:pPr>
              <w:spacing w:after="0" w:line="240" w:lineRule="auto"/>
              <w:jc w:val="right"/>
              <w:rPr>
                <w:rFonts w:ascii="Times New Roman" w:hAnsi="Times New Roman" w:eastAsia="Times New Roman" w:cs="Times New Roman"/>
                <w:sz w:val="20"/>
                <w:szCs w:val="20"/>
              </w:rPr>
            </w:pPr>
          </w:p>
        </w:tc>
        <w:tc>
          <w:tcPr>
            <w:tcW w:w="117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1EF7AD14" w14:textId="77777777">
            <w:pPr>
              <w:spacing w:after="0" w:line="240" w:lineRule="auto"/>
              <w:jc w:val="right"/>
              <w:rPr>
                <w:rFonts w:ascii="Times New Roman" w:hAnsi="Times New Roman" w:eastAsia="Times New Roman" w:cs="Times New Roman"/>
                <w:sz w:val="20"/>
                <w:szCs w:val="20"/>
              </w:rPr>
            </w:pPr>
          </w:p>
        </w:tc>
        <w:tc>
          <w:tcPr>
            <w:tcW w:w="126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1EB790C4" w14:textId="77777777">
            <w:pPr>
              <w:spacing w:after="0" w:line="240" w:lineRule="auto"/>
              <w:jc w:val="right"/>
            </w:pPr>
          </w:p>
        </w:tc>
        <w:tc>
          <w:tcPr>
            <w:tcW w:w="12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03396109" w14:textId="77777777">
            <w:pPr>
              <w:spacing w:after="0" w:line="240" w:lineRule="auto"/>
              <w:jc w:val="right"/>
            </w:pP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4B4C41BA" w14:textId="77777777">
            <w:pPr>
              <w:spacing w:after="0" w:line="240" w:lineRule="auto"/>
              <w:jc w:val="right"/>
            </w:pPr>
          </w:p>
        </w:tc>
        <w:tc>
          <w:tcPr>
            <w:tcW w:w="855"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478263E6" w14:textId="77777777">
            <w:pPr>
              <w:spacing w:after="0" w:line="240" w:lineRule="auto"/>
              <w:jc w:val="right"/>
            </w:pPr>
          </w:p>
        </w:tc>
      </w:tr>
      <w:tr w:rsidR="00400973" w:rsidTr="009625A1" w14:paraId="504A1753"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4741D6EE" w14:textId="77777777">
            <w:pPr>
              <w:spacing w:after="0"/>
              <w:ind w:firstLine="337"/>
            </w:pPr>
            <w:r w:rsidRPr="27ACF25C">
              <w:rPr>
                <w:rFonts w:ascii="Times New Roman" w:hAnsi="Times New Roman" w:eastAsia="Times New Roman" w:cs="Times New Roman"/>
                <w:sz w:val="20"/>
                <w:szCs w:val="20"/>
              </w:rPr>
              <w:t>Participating Schools</w:t>
            </w:r>
          </w:p>
        </w:tc>
        <w:tc>
          <w:tcPr>
            <w:tcW w:w="900" w:type="dxa"/>
            <w:vMerge w:val="restart"/>
            <w:tcBorders>
              <w:top w:val="single" w:color="auto" w:sz="8" w:space="0"/>
              <w:left w:val="single" w:color="auto" w:sz="8" w:space="0"/>
              <w:right w:val="single" w:color="auto" w:sz="8" w:space="0"/>
            </w:tcBorders>
            <w:vAlign w:val="center"/>
          </w:tcPr>
          <w:p w:rsidR="00400973" w:rsidP="009625A1" w:rsidRDefault="00400973" w14:paraId="43DF5495" w14:textId="77777777">
            <w:pPr>
              <w:spacing w:after="0"/>
              <w:jc w:val="right"/>
            </w:pPr>
            <w:r w:rsidRPr="68BAFA53">
              <w:rPr>
                <w:rFonts w:ascii="Times New Roman" w:hAnsi="Times New Roman" w:eastAsia="Times New Roman" w:cs="Times New Roman"/>
                <w:sz w:val="20"/>
                <w:szCs w:val="20"/>
              </w:rPr>
              <w:t>311</w:t>
            </w:r>
          </w:p>
        </w:tc>
        <w:tc>
          <w:tcPr>
            <w:tcW w:w="1170" w:type="dxa"/>
            <w:vMerge w:val="restart"/>
            <w:tcBorders>
              <w:top w:val="single" w:color="auto" w:sz="8" w:space="0"/>
              <w:left w:val="single" w:color="auto" w:sz="8" w:space="0"/>
              <w:right w:val="single" w:color="auto" w:sz="8" w:space="0"/>
            </w:tcBorders>
            <w:vAlign w:val="center"/>
          </w:tcPr>
          <w:p w:rsidR="00400973" w:rsidP="009625A1" w:rsidRDefault="00400973" w14:paraId="69BCB616" w14:textId="77777777">
            <w:pPr>
              <w:spacing w:after="0"/>
              <w:jc w:val="right"/>
            </w:pPr>
            <w:r w:rsidRPr="27ACF25C">
              <w:rPr>
                <w:rFonts w:ascii="Times New Roman" w:hAnsi="Times New Roman" w:eastAsia="Times New Roman" w:cs="Times New Roman"/>
                <w:sz w:val="20"/>
                <w:szCs w:val="20"/>
              </w:rPr>
              <w:t>0.58</w:t>
            </w: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07A261A8"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181</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7B892093"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181</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56B3B098"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90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468AA789"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272</w:t>
            </w:r>
          </w:p>
        </w:tc>
      </w:tr>
      <w:tr w:rsidR="00400973" w:rsidTr="009625A1" w14:paraId="4960AF9F"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456D9BDA" w14:textId="77777777">
            <w:pPr>
              <w:spacing w:after="0"/>
              <w:ind w:firstLine="337"/>
            </w:pPr>
            <w:r w:rsidRPr="27ACF25C">
              <w:rPr>
                <w:rFonts w:ascii="Times New Roman" w:hAnsi="Times New Roman" w:eastAsia="Times New Roman" w:cs="Times New Roman"/>
                <w:sz w:val="20"/>
                <w:szCs w:val="20"/>
              </w:rPr>
              <w:t>Non-Participating Schools</w:t>
            </w:r>
          </w:p>
        </w:tc>
        <w:tc>
          <w:tcPr>
            <w:tcW w:w="900" w:type="dxa"/>
            <w:vMerge/>
            <w:tcBorders>
              <w:left w:val="single" w:color="auto" w:sz="8" w:space="0"/>
              <w:bottom w:val="single" w:color="auto" w:sz="8" w:space="0"/>
              <w:right w:val="single" w:color="auto" w:sz="8" w:space="0"/>
            </w:tcBorders>
          </w:tcPr>
          <w:p w:rsidR="00400973" w:rsidP="009625A1" w:rsidRDefault="00400973" w14:paraId="1900C5BA" w14:textId="77777777">
            <w:pPr>
              <w:spacing w:after="0"/>
              <w:jc w:val="right"/>
            </w:pPr>
          </w:p>
        </w:tc>
        <w:tc>
          <w:tcPr>
            <w:tcW w:w="1170" w:type="dxa"/>
            <w:vMerge/>
            <w:tcBorders>
              <w:left w:val="single" w:color="auto" w:sz="8" w:space="0"/>
              <w:bottom w:val="single" w:color="auto" w:sz="8" w:space="0"/>
              <w:right w:val="single" w:color="auto" w:sz="8" w:space="0"/>
            </w:tcBorders>
          </w:tcPr>
          <w:p w:rsidR="00400973" w:rsidP="009625A1" w:rsidRDefault="00400973" w14:paraId="4DAE27A4" w14:textId="77777777">
            <w:pPr>
              <w:spacing w:after="0"/>
              <w:jc w:val="right"/>
            </w:pP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2D33ABD3"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130</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3253910C"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130</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4AF05991"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30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01A8F236" w14:textId="77777777">
            <w:pPr>
              <w:spacing w:after="0"/>
              <w:jc w:val="right"/>
              <w:rPr>
                <w:rFonts w:ascii="Times New Roman" w:hAnsi="Times New Roman" w:eastAsia="Times New Roman" w:cs="Times New Roman"/>
                <w:sz w:val="20"/>
                <w:szCs w:val="20"/>
              </w:rPr>
            </w:pPr>
            <w:r w:rsidRPr="68BAFA53">
              <w:rPr>
                <w:rFonts w:ascii="Times New Roman" w:hAnsi="Times New Roman" w:eastAsia="Times New Roman" w:cs="Times New Roman"/>
                <w:sz w:val="20"/>
                <w:szCs w:val="20"/>
              </w:rPr>
              <w:t>65</w:t>
            </w:r>
          </w:p>
        </w:tc>
      </w:tr>
      <w:tr w:rsidR="00400973" w:rsidTr="009625A1" w14:paraId="26EA38E9"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1D3E54D6" w14:textId="77777777">
            <w:pPr>
              <w:spacing w:after="0"/>
            </w:pPr>
            <w:r w:rsidRPr="0F22E9BF">
              <w:rPr>
                <w:rFonts w:ascii="Times New Roman" w:hAnsi="Times New Roman" w:eastAsia="Times New Roman" w:cs="Times New Roman"/>
                <w:sz w:val="20"/>
                <w:szCs w:val="20"/>
              </w:rPr>
              <w:t>School Coordinator</w:t>
            </w:r>
          </w:p>
        </w:tc>
        <w:tc>
          <w:tcPr>
            <w:tcW w:w="900" w:type="dxa"/>
            <w:tcBorders>
              <w:top w:val="single" w:color="auto" w:sz="8" w:space="0"/>
              <w:left w:val="single" w:color="auto" w:sz="8" w:space="0"/>
              <w:bottom w:val="single" w:color="auto" w:sz="8" w:space="0"/>
              <w:right w:val="single" w:color="auto" w:sz="8" w:space="0"/>
            </w:tcBorders>
          </w:tcPr>
          <w:p w:rsidR="00400973" w:rsidP="009625A1" w:rsidRDefault="00400973" w14:paraId="7B494E29"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203</w:t>
            </w:r>
          </w:p>
        </w:tc>
        <w:tc>
          <w:tcPr>
            <w:tcW w:w="1170" w:type="dxa"/>
            <w:tcBorders>
              <w:top w:val="single" w:color="auto" w:sz="8" w:space="0"/>
              <w:left w:val="single" w:color="auto" w:sz="8" w:space="0"/>
              <w:bottom w:val="single" w:color="auto" w:sz="8" w:space="0"/>
              <w:right w:val="single" w:color="auto" w:sz="8" w:space="0"/>
            </w:tcBorders>
          </w:tcPr>
          <w:p w:rsidR="00400973" w:rsidP="009625A1" w:rsidRDefault="00400973" w14:paraId="4648727B"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1.00</w:t>
            </w:r>
          </w:p>
        </w:tc>
        <w:tc>
          <w:tcPr>
            <w:tcW w:w="1260" w:type="dxa"/>
            <w:tcBorders>
              <w:top w:val="single" w:color="auto" w:sz="8" w:space="0"/>
              <w:left w:val="single" w:color="auto" w:sz="8" w:space="0"/>
              <w:bottom w:val="single" w:color="auto" w:sz="8" w:space="0"/>
              <w:right w:val="single" w:color="auto" w:sz="8" w:space="0"/>
            </w:tcBorders>
          </w:tcPr>
          <w:p w:rsidR="00400973" w:rsidP="009625A1" w:rsidRDefault="00400973" w14:paraId="645CAEA0"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203</w:t>
            </w:r>
          </w:p>
        </w:tc>
        <w:tc>
          <w:tcPr>
            <w:tcW w:w="1200" w:type="dxa"/>
            <w:tcBorders>
              <w:top w:val="single" w:color="auto" w:sz="8" w:space="0"/>
              <w:left w:val="single" w:color="auto" w:sz="8" w:space="0"/>
              <w:bottom w:val="single" w:color="auto" w:sz="8" w:space="0"/>
              <w:right w:val="single" w:color="auto" w:sz="8" w:space="0"/>
            </w:tcBorders>
          </w:tcPr>
          <w:p w:rsidR="00400973" w:rsidP="009625A1" w:rsidRDefault="00400973" w14:paraId="52A41713"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203</w:t>
            </w:r>
          </w:p>
        </w:tc>
        <w:tc>
          <w:tcPr>
            <w:tcW w:w="1230" w:type="dxa"/>
            <w:tcBorders>
              <w:top w:val="single" w:color="auto" w:sz="8" w:space="0"/>
              <w:left w:val="single" w:color="auto" w:sz="8" w:space="0"/>
              <w:bottom w:val="single" w:color="auto" w:sz="8" w:space="0"/>
              <w:right w:val="single" w:color="auto" w:sz="8" w:space="0"/>
            </w:tcBorders>
          </w:tcPr>
          <w:p w:rsidR="00400973" w:rsidP="009625A1" w:rsidRDefault="00400973" w14:paraId="7C1623C4"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240</w:t>
            </w:r>
          </w:p>
        </w:tc>
        <w:tc>
          <w:tcPr>
            <w:tcW w:w="855" w:type="dxa"/>
            <w:tcBorders>
              <w:top w:val="single" w:color="auto" w:sz="8" w:space="0"/>
              <w:left w:val="single" w:color="auto" w:sz="8" w:space="0"/>
              <w:bottom w:val="single" w:color="auto" w:sz="8" w:space="0"/>
              <w:right w:val="single" w:color="auto" w:sz="8" w:space="0"/>
            </w:tcBorders>
          </w:tcPr>
          <w:p w:rsidR="00400973" w:rsidP="009625A1" w:rsidRDefault="00400973" w14:paraId="78671DAC" w14:textId="77777777">
            <w:pPr>
              <w:spacing w:after="0"/>
              <w:jc w:val="right"/>
              <w:rPr>
                <w:rFonts w:ascii="Times New Roman" w:hAnsi="Times New Roman" w:eastAsia="Times New Roman" w:cs="Times New Roman"/>
                <w:sz w:val="20"/>
                <w:szCs w:val="20"/>
              </w:rPr>
            </w:pPr>
            <w:r w:rsidRPr="27ACF25C">
              <w:rPr>
                <w:rFonts w:ascii="Times New Roman" w:hAnsi="Times New Roman" w:eastAsia="Times New Roman" w:cs="Times New Roman"/>
                <w:sz w:val="20"/>
                <w:szCs w:val="20"/>
              </w:rPr>
              <w:t>812</w:t>
            </w:r>
          </w:p>
        </w:tc>
      </w:tr>
      <w:tr w:rsidRPr="00C55C81" w:rsidR="00222A91" w:rsidTr="00337BA3" w14:paraId="6E7472C6" w14:textId="77777777">
        <w:trPr>
          <w:trHeight w:val="150"/>
        </w:trPr>
        <w:tc>
          <w:tcPr>
            <w:tcW w:w="360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C55C81" w:rsidR="00222A91" w:rsidP="00222A91" w:rsidRDefault="00222A91" w14:paraId="02960C01" w14:textId="77777777">
            <w:pPr>
              <w:spacing w:after="0" w:line="240" w:lineRule="auto"/>
              <w:rPr>
                <w:i/>
                <w:iCs/>
              </w:rPr>
            </w:pPr>
            <w:r w:rsidRPr="00C55C81">
              <w:rPr>
                <w:rFonts w:ascii="Times New Roman" w:hAnsi="Times New Roman" w:eastAsia="Times New Roman" w:cs="Times New Roman"/>
                <w:i/>
                <w:iCs/>
                <w:sz w:val="20"/>
                <w:szCs w:val="20"/>
              </w:rPr>
              <w:t xml:space="preserve">Burden – </w:t>
            </w:r>
            <w:r>
              <w:rPr>
                <w:rFonts w:ascii="Times New Roman" w:hAnsi="Times New Roman" w:eastAsia="Times New Roman" w:cs="Times New Roman"/>
                <w:i/>
                <w:iCs/>
                <w:sz w:val="20"/>
                <w:szCs w:val="20"/>
              </w:rPr>
              <w:t>MS</w:t>
            </w:r>
            <w:r w:rsidRPr="00C55C81">
              <w:rPr>
                <w:rFonts w:ascii="Times New Roman" w:hAnsi="Times New Roman" w:eastAsia="Times New Roman" w:cs="Times New Roman"/>
                <w:i/>
                <w:iCs/>
                <w:sz w:val="20"/>
                <w:szCs w:val="20"/>
              </w:rPr>
              <w:t xml:space="preserve"> Recruitment</w:t>
            </w:r>
          </w:p>
        </w:tc>
        <w:tc>
          <w:tcPr>
            <w:tcW w:w="9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222A91" w:rsidP="00222A91" w:rsidRDefault="00222A91" w14:paraId="51572F2B" w14:textId="77777777">
            <w:pPr>
              <w:spacing w:after="0" w:line="240" w:lineRule="auto"/>
              <w:jc w:val="right"/>
              <w:rPr>
                <w:i/>
                <w:iCs/>
              </w:rPr>
            </w:pPr>
          </w:p>
        </w:tc>
        <w:tc>
          <w:tcPr>
            <w:tcW w:w="117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222A91" w:rsidP="00222A91" w:rsidRDefault="00222A91" w14:paraId="18B9764B" w14:textId="77777777">
            <w:pPr>
              <w:tabs>
                <w:tab w:val="center" w:pos="477"/>
                <w:tab w:val="right" w:pos="954"/>
              </w:tabs>
              <w:spacing w:after="0" w:line="240" w:lineRule="auto"/>
              <w:rPr>
                <w:i/>
                <w:iCs/>
              </w:rPr>
            </w:pPr>
            <w:r w:rsidRPr="00C55C81">
              <w:rPr>
                <w:rFonts w:ascii="Times New Roman" w:hAnsi="Times New Roman" w:eastAsia="Times New Roman" w:cs="Times New Roman"/>
                <w:i/>
                <w:iCs/>
                <w:sz w:val="20"/>
                <w:szCs w:val="20"/>
              </w:rPr>
              <w:tab/>
            </w:r>
          </w:p>
        </w:tc>
        <w:tc>
          <w:tcPr>
            <w:tcW w:w="12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222A91" w:rsidP="00222A91" w:rsidRDefault="00222A91" w14:paraId="1DFBD46B" w14:textId="0A4779A9">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1,153</w:t>
            </w:r>
          </w:p>
        </w:tc>
        <w:tc>
          <w:tcPr>
            <w:tcW w:w="12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222A91" w:rsidP="00222A91" w:rsidRDefault="00222A91" w14:paraId="6110D70C" w14:textId="3C1017C5">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1,153</w:t>
            </w:r>
          </w:p>
        </w:tc>
        <w:tc>
          <w:tcPr>
            <w:tcW w:w="12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222A91" w:rsidP="00222A91" w:rsidRDefault="00222A91" w14:paraId="5E16E0D1" w14:textId="77777777">
            <w:pPr>
              <w:spacing w:after="0" w:line="240" w:lineRule="auto"/>
              <w:jc w:val="right"/>
              <w:rPr>
                <w:rFonts w:ascii="Times New Roman" w:hAnsi="Times New Roman" w:cs="Times New Roman"/>
                <w:i/>
                <w:iCs/>
                <w:sz w:val="20"/>
                <w:szCs w:val="20"/>
              </w:rPr>
            </w:pPr>
          </w:p>
        </w:tc>
        <w:tc>
          <w:tcPr>
            <w:tcW w:w="8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C55C81" w:rsidR="00222A91" w:rsidP="00222A91" w:rsidRDefault="00222A91" w14:paraId="2EBB9CA0" w14:textId="778DDE52">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1,536</w:t>
            </w:r>
          </w:p>
        </w:tc>
      </w:tr>
      <w:tr w:rsidR="00400973" w:rsidTr="009625A1" w14:paraId="0DA69434" w14:textId="77777777">
        <w:trPr>
          <w:trHeight w:val="150"/>
        </w:trPr>
        <w:tc>
          <w:tcPr>
            <w:tcW w:w="10215" w:type="dxa"/>
            <w:gridSpan w:val="7"/>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00400973" w:rsidP="009625A1" w:rsidRDefault="00400973" w14:paraId="04640F2B" w14:textId="77777777">
            <w:pPr>
              <w:spacing w:after="0"/>
            </w:pPr>
            <w:r w:rsidRPr="0F22E9BF">
              <w:rPr>
                <w:rFonts w:ascii="Times New Roman" w:hAnsi="Times New Roman" w:eastAsia="Times New Roman" w:cs="Times New Roman"/>
                <w:color w:val="7F7F7F" w:themeColor="text1" w:themeTint="80"/>
                <w:sz w:val="20"/>
                <w:szCs w:val="20"/>
              </w:rPr>
              <w:t>Main Study Survey Participation</w:t>
            </w:r>
          </w:p>
        </w:tc>
      </w:tr>
      <w:tr w:rsidR="00400973" w:rsidTr="009625A1" w14:paraId="08F7D6AA"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4A904F7A" w14:textId="77777777">
            <w:pPr>
              <w:spacing w:after="0"/>
            </w:pPr>
            <w:r w:rsidRPr="00243ED3">
              <w:rPr>
                <w:rFonts w:ascii="Times New Roman" w:hAnsi="Times New Roman" w:eastAsia="Times New Roman" w:cs="Times New Roman"/>
                <w:color w:val="7F7F7F" w:themeColor="text1" w:themeTint="80"/>
                <w:sz w:val="20"/>
                <w:szCs w:val="20"/>
              </w:rPr>
              <w:t>School Administrator</w:t>
            </w:r>
          </w:p>
        </w:tc>
        <w:tc>
          <w:tcPr>
            <w:tcW w:w="900" w:type="dxa"/>
            <w:tcBorders>
              <w:top w:val="nil"/>
              <w:left w:val="single" w:color="auto" w:sz="8" w:space="0"/>
              <w:bottom w:val="single" w:color="auto" w:sz="8" w:space="0"/>
              <w:right w:val="single" w:color="auto" w:sz="8" w:space="0"/>
            </w:tcBorders>
            <w:vAlign w:val="center"/>
          </w:tcPr>
          <w:p w:rsidRPr="00243ED3" w:rsidR="00400973" w:rsidP="009625A1" w:rsidRDefault="00400973" w14:paraId="1D45EB31" w14:textId="77777777">
            <w:pPr>
              <w:spacing w:after="0"/>
              <w:jc w:val="right"/>
              <w:rPr>
                <w:rFonts w:ascii="Times New Roman" w:hAnsi="Times New Roman" w:eastAsia="Times New Roman" w:cs="Times New Roman"/>
                <w:color w:val="7F7F7F" w:themeColor="text1" w:themeTint="80"/>
                <w:sz w:val="20"/>
                <w:szCs w:val="20"/>
              </w:rPr>
            </w:pPr>
            <w:r w:rsidRPr="00243ED3">
              <w:rPr>
                <w:rFonts w:ascii="Times New Roman" w:hAnsi="Times New Roman" w:eastAsia="Times New Roman" w:cs="Times New Roman"/>
                <w:color w:val="7F7F7F" w:themeColor="text1" w:themeTint="80"/>
                <w:sz w:val="20"/>
                <w:szCs w:val="20"/>
              </w:rPr>
              <w:t>203</w:t>
            </w:r>
          </w:p>
        </w:tc>
        <w:tc>
          <w:tcPr>
            <w:tcW w:w="1170" w:type="dxa"/>
            <w:tcBorders>
              <w:top w:val="nil"/>
              <w:left w:val="single" w:color="auto" w:sz="8" w:space="0"/>
              <w:bottom w:val="single" w:color="auto" w:sz="8" w:space="0"/>
              <w:right w:val="single" w:color="auto" w:sz="8" w:space="0"/>
            </w:tcBorders>
            <w:vAlign w:val="center"/>
          </w:tcPr>
          <w:p w:rsidR="00400973" w:rsidP="009625A1" w:rsidRDefault="00400973" w14:paraId="1E5C718C" w14:textId="77777777">
            <w:pPr>
              <w:spacing w:after="0"/>
              <w:jc w:val="right"/>
            </w:pPr>
            <w:r w:rsidRPr="0F22E9BF">
              <w:rPr>
                <w:rFonts w:ascii="Times New Roman" w:hAnsi="Times New Roman" w:eastAsia="Times New Roman" w:cs="Times New Roman"/>
                <w:color w:val="7F7F7F" w:themeColor="text1" w:themeTint="80"/>
                <w:sz w:val="20"/>
                <w:szCs w:val="20"/>
              </w:rPr>
              <w:t>0.90</w:t>
            </w:r>
          </w:p>
        </w:tc>
        <w:tc>
          <w:tcPr>
            <w:tcW w:w="1260" w:type="dxa"/>
            <w:tcBorders>
              <w:top w:val="nil"/>
              <w:left w:val="single" w:color="auto" w:sz="8" w:space="0"/>
              <w:bottom w:val="single" w:color="auto" w:sz="8" w:space="0"/>
              <w:right w:val="single" w:color="auto" w:sz="8" w:space="0"/>
            </w:tcBorders>
            <w:vAlign w:val="center"/>
          </w:tcPr>
          <w:p w:rsidR="00400973" w:rsidP="009625A1" w:rsidRDefault="00400973" w14:paraId="5B7CCAEB" w14:textId="7C65BC7D">
            <w:pPr>
              <w:spacing w:after="0"/>
              <w:jc w:val="right"/>
            </w:pPr>
            <w:r w:rsidRPr="0F22E9BF">
              <w:rPr>
                <w:rFonts w:ascii="Times New Roman" w:hAnsi="Times New Roman" w:eastAsia="Times New Roman" w:cs="Times New Roman"/>
                <w:color w:val="7F7F7F" w:themeColor="text1" w:themeTint="80"/>
                <w:sz w:val="20"/>
                <w:szCs w:val="20"/>
              </w:rPr>
              <w:t>18</w:t>
            </w:r>
            <w:r w:rsidR="0068237B">
              <w:rPr>
                <w:rFonts w:ascii="Times New Roman" w:hAnsi="Times New Roman" w:eastAsia="Times New Roman" w:cs="Times New Roman"/>
                <w:color w:val="7F7F7F" w:themeColor="text1" w:themeTint="80"/>
                <w:sz w:val="20"/>
                <w:szCs w:val="20"/>
              </w:rPr>
              <w:t>3</w:t>
            </w:r>
          </w:p>
        </w:tc>
        <w:tc>
          <w:tcPr>
            <w:tcW w:w="1200" w:type="dxa"/>
            <w:tcBorders>
              <w:top w:val="nil"/>
              <w:left w:val="single" w:color="auto" w:sz="8" w:space="0"/>
              <w:bottom w:val="single" w:color="auto" w:sz="8" w:space="0"/>
              <w:right w:val="single" w:color="auto" w:sz="8" w:space="0"/>
            </w:tcBorders>
            <w:vAlign w:val="center"/>
          </w:tcPr>
          <w:p w:rsidR="00400973" w:rsidP="009625A1" w:rsidRDefault="00400973" w14:paraId="5D818903" w14:textId="379E1DD5">
            <w:pPr>
              <w:spacing w:after="0"/>
              <w:jc w:val="right"/>
            </w:pPr>
            <w:r w:rsidRPr="0F22E9BF">
              <w:rPr>
                <w:rFonts w:ascii="Times New Roman" w:hAnsi="Times New Roman" w:eastAsia="Times New Roman" w:cs="Times New Roman"/>
                <w:color w:val="7F7F7F" w:themeColor="text1" w:themeTint="80"/>
                <w:sz w:val="20"/>
                <w:szCs w:val="20"/>
              </w:rPr>
              <w:t>1</w:t>
            </w:r>
            <w:r>
              <w:rPr>
                <w:rFonts w:ascii="Times New Roman" w:hAnsi="Times New Roman" w:eastAsia="Times New Roman" w:cs="Times New Roman"/>
                <w:color w:val="7F7F7F" w:themeColor="text1" w:themeTint="80"/>
                <w:sz w:val="20"/>
                <w:szCs w:val="20"/>
              </w:rPr>
              <w:t>8</w:t>
            </w:r>
            <w:r w:rsidR="0068237B">
              <w:rPr>
                <w:rFonts w:ascii="Times New Roman" w:hAnsi="Times New Roman" w:eastAsia="Times New Roman" w:cs="Times New Roman"/>
                <w:color w:val="7F7F7F" w:themeColor="text1" w:themeTint="80"/>
                <w:sz w:val="20"/>
                <w:szCs w:val="20"/>
              </w:rPr>
              <w:t>3</w:t>
            </w:r>
          </w:p>
        </w:tc>
        <w:tc>
          <w:tcPr>
            <w:tcW w:w="1230" w:type="dxa"/>
            <w:tcBorders>
              <w:top w:val="nil"/>
              <w:left w:val="single" w:color="auto" w:sz="8" w:space="0"/>
              <w:bottom w:val="single" w:color="auto" w:sz="8" w:space="0"/>
              <w:right w:val="single" w:color="auto" w:sz="8" w:space="0"/>
            </w:tcBorders>
            <w:vAlign w:val="center"/>
          </w:tcPr>
          <w:p w:rsidR="00400973" w:rsidP="009625A1" w:rsidRDefault="00400973" w14:paraId="4D722AA8" w14:textId="77777777">
            <w:pPr>
              <w:spacing w:after="0"/>
              <w:jc w:val="right"/>
            </w:pPr>
            <w:r w:rsidRPr="0F22E9BF">
              <w:rPr>
                <w:rFonts w:ascii="Times New Roman" w:hAnsi="Times New Roman" w:eastAsia="Times New Roman" w:cs="Times New Roman"/>
                <w:color w:val="7F7F7F" w:themeColor="text1" w:themeTint="80"/>
                <w:sz w:val="20"/>
                <w:szCs w:val="20"/>
              </w:rPr>
              <w:t>45</w:t>
            </w:r>
          </w:p>
        </w:tc>
        <w:tc>
          <w:tcPr>
            <w:tcW w:w="855" w:type="dxa"/>
            <w:tcBorders>
              <w:top w:val="nil"/>
              <w:left w:val="single" w:color="auto" w:sz="8" w:space="0"/>
              <w:bottom w:val="single" w:color="auto" w:sz="8" w:space="0"/>
              <w:right w:val="single" w:color="auto" w:sz="8" w:space="0"/>
            </w:tcBorders>
            <w:vAlign w:val="center"/>
          </w:tcPr>
          <w:p w:rsidR="00400973" w:rsidP="009625A1" w:rsidRDefault="00400973" w14:paraId="2FDB3E75" w14:textId="387112E7">
            <w:pPr>
              <w:spacing w:after="0"/>
              <w:jc w:val="right"/>
            </w:pPr>
            <w:r w:rsidRPr="0F22E9BF">
              <w:rPr>
                <w:rFonts w:ascii="Times New Roman" w:hAnsi="Times New Roman" w:eastAsia="Times New Roman" w:cs="Times New Roman"/>
                <w:color w:val="7F7F7F" w:themeColor="text1" w:themeTint="80"/>
                <w:sz w:val="20"/>
                <w:szCs w:val="20"/>
              </w:rPr>
              <w:t>1</w:t>
            </w:r>
            <w:r>
              <w:rPr>
                <w:rFonts w:ascii="Times New Roman" w:hAnsi="Times New Roman" w:eastAsia="Times New Roman" w:cs="Times New Roman"/>
                <w:color w:val="7F7F7F" w:themeColor="text1" w:themeTint="80"/>
                <w:sz w:val="20"/>
                <w:szCs w:val="20"/>
              </w:rPr>
              <w:t>3</w:t>
            </w:r>
            <w:r w:rsidR="0068237B">
              <w:rPr>
                <w:rFonts w:ascii="Times New Roman" w:hAnsi="Times New Roman" w:eastAsia="Times New Roman" w:cs="Times New Roman"/>
                <w:color w:val="7F7F7F" w:themeColor="text1" w:themeTint="80"/>
                <w:sz w:val="20"/>
                <w:szCs w:val="20"/>
              </w:rPr>
              <w:t>7</w:t>
            </w:r>
          </w:p>
        </w:tc>
      </w:tr>
      <w:tr w:rsidR="00400973" w:rsidTr="009625A1" w14:paraId="36F24B7B"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26F2E82A" w14:textId="77777777">
            <w:pPr>
              <w:spacing w:after="0"/>
            </w:pPr>
            <w:r w:rsidRPr="0F22E9BF">
              <w:rPr>
                <w:rFonts w:ascii="Times New Roman" w:hAnsi="Times New Roman" w:eastAsia="Times New Roman" w:cs="Times New Roman"/>
                <w:color w:val="7F7F7F" w:themeColor="text1" w:themeTint="80"/>
                <w:sz w:val="20"/>
                <w:szCs w:val="20"/>
              </w:rPr>
              <w:t>Teacher (Core)</w:t>
            </w:r>
          </w:p>
        </w:tc>
        <w:tc>
          <w:tcPr>
            <w:tcW w:w="900" w:type="dxa"/>
            <w:tcBorders>
              <w:top w:val="single" w:color="auto" w:sz="8" w:space="0"/>
              <w:left w:val="single" w:color="auto" w:sz="8" w:space="0"/>
              <w:bottom w:val="single" w:color="auto" w:sz="8" w:space="0"/>
              <w:right w:val="single" w:color="auto" w:sz="8" w:space="0"/>
            </w:tcBorders>
            <w:vAlign w:val="center"/>
          </w:tcPr>
          <w:p w:rsidRPr="00243ED3" w:rsidR="00400973" w:rsidP="009625A1" w:rsidRDefault="00400973" w14:paraId="4FC153C5" w14:textId="77777777">
            <w:pPr>
              <w:spacing w:after="0"/>
              <w:jc w:val="right"/>
              <w:rPr>
                <w:rFonts w:ascii="Times New Roman" w:hAnsi="Times New Roman" w:eastAsia="Times New Roman" w:cs="Times New Roman"/>
                <w:color w:val="7F7F7F" w:themeColor="text1" w:themeTint="80"/>
                <w:sz w:val="20"/>
                <w:szCs w:val="20"/>
              </w:rPr>
            </w:pPr>
            <w:r w:rsidRPr="00243ED3">
              <w:rPr>
                <w:rFonts w:ascii="Times New Roman" w:hAnsi="Times New Roman" w:eastAsia="Times New Roman" w:cs="Times New Roman"/>
                <w:color w:val="7F7F7F" w:themeColor="text1" w:themeTint="80"/>
                <w:sz w:val="20"/>
                <w:szCs w:val="20"/>
              </w:rPr>
              <w:t>4,060</w:t>
            </w:r>
          </w:p>
        </w:tc>
        <w:tc>
          <w:tcPr>
            <w:tcW w:w="117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46B79577" w14:textId="77777777">
            <w:pPr>
              <w:spacing w:after="0"/>
              <w:jc w:val="right"/>
            </w:pPr>
            <w:r w:rsidRPr="0F22E9BF">
              <w:rPr>
                <w:rFonts w:ascii="Times New Roman" w:hAnsi="Times New Roman" w:eastAsia="Times New Roman" w:cs="Times New Roman"/>
                <w:color w:val="7F7F7F" w:themeColor="text1" w:themeTint="80"/>
                <w:sz w:val="20"/>
                <w:szCs w:val="20"/>
              </w:rPr>
              <w:t>0.90</w:t>
            </w:r>
          </w:p>
        </w:tc>
        <w:tc>
          <w:tcPr>
            <w:tcW w:w="1260" w:type="dxa"/>
            <w:tcBorders>
              <w:top w:val="single" w:color="auto" w:sz="8" w:space="0"/>
              <w:left w:val="single" w:color="auto" w:sz="8" w:space="0"/>
              <w:bottom w:val="single" w:color="auto" w:sz="8" w:space="0"/>
              <w:right w:val="single" w:color="auto" w:sz="8" w:space="0"/>
            </w:tcBorders>
            <w:vAlign w:val="center"/>
          </w:tcPr>
          <w:p w:rsidRPr="00243ED3" w:rsidR="00400973" w:rsidP="009625A1" w:rsidRDefault="00400973" w14:paraId="0BEDDB76" w14:textId="77777777">
            <w:pPr>
              <w:spacing w:after="0"/>
              <w:jc w:val="right"/>
              <w:rPr>
                <w:rFonts w:ascii="Times New Roman" w:hAnsi="Times New Roman" w:eastAsia="Times New Roman" w:cs="Times New Roman"/>
                <w:color w:val="7F7F7F" w:themeColor="text1" w:themeTint="80"/>
                <w:sz w:val="20"/>
                <w:szCs w:val="20"/>
              </w:rPr>
            </w:pPr>
            <w:r w:rsidRPr="00243ED3">
              <w:rPr>
                <w:rFonts w:ascii="Times New Roman" w:hAnsi="Times New Roman" w:eastAsia="Times New Roman" w:cs="Times New Roman"/>
                <w:color w:val="7F7F7F" w:themeColor="text1" w:themeTint="80"/>
                <w:sz w:val="20"/>
                <w:szCs w:val="20"/>
              </w:rPr>
              <w:t>3,654</w:t>
            </w:r>
          </w:p>
        </w:tc>
        <w:tc>
          <w:tcPr>
            <w:tcW w:w="1200" w:type="dxa"/>
            <w:tcBorders>
              <w:top w:val="single" w:color="auto" w:sz="8" w:space="0"/>
              <w:left w:val="single" w:color="auto" w:sz="8" w:space="0"/>
              <w:bottom w:val="single" w:color="auto" w:sz="8" w:space="0"/>
              <w:right w:val="single" w:color="auto" w:sz="8" w:space="0"/>
            </w:tcBorders>
            <w:vAlign w:val="center"/>
          </w:tcPr>
          <w:p w:rsidRPr="00243ED3" w:rsidR="00400973" w:rsidP="009625A1" w:rsidRDefault="00400973" w14:paraId="3F09008E" w14:textId="77777777">
            <w:pPr>
              <w:spacing w:after="0"/>
              <w:jc w:val="right"/>
              <w:rPr>
                <w:rFonts w:ascii="Times New Roman" w:hAnsi="Times New Roman" w:eastAsia="Times New Roman" w:cs="Times New Roman"/>
                <w:color w:val="7F7F7F" w:themeColor="text1" w:themeTint="80"/>
                <w:sz w:val="20"/>
                <w:szCs w:val="20"/>
              </w:rPr>
            </w:pPr>
            <w:r w:rsidRPr="00243ED3">
              <w:rPr>
                <w:rFonts w:ascii="Times New Roman" w:hAnsi="Times New Roman" w:eastAsia="Times New Roman" w:cs="Times New Roman"/>
                <w:color w:val="7F7F7F" w:themeColor="text1" w:themeTint="80"/>
                <w:sz w:val="20"/>
                <w:szCs w:val="20"/>
              </w:rPr>
              <w:t>3,654</w:t>
            </w:r>
          </w:p>
        </w:tc>
        <w:tc>
          <w:tcPr>
            <w:tcW w:w="123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57671463" w14:textId="77777777">
            <w:pPr>
              <w:spacing w:after="0"/>
              <w:jc w:val="right"/>
            </w:pPr>
            <w:r w:rsidRPr="0F22E9BF">
              <w:rPr>
                <w:rFonts w:ascii="Times New Roman" w:hAnsi="Times New Roman" w:eastAsia="Times New Roman" w:cs="Times New Roman"/>
                <w:color w:val="7F7F7F" w:themeColor="text1" w:themeTint="80"/>
                <w:sz w:val="20"/>
                <w:szCs w:val="20"/>
              </w:rPr>
              <w:t>60</w:t>
            </w:r>
          </w:p>
        </w:tc>
        <w:tc>
          <w:tcPr>
            <w:tcW w:w="855" w:type="dxa"/>
            <w:tcBorders>
              <w:top w:val="single" w:color="auto" w:sz="8" w:space="0"/>
              <w:left w:val="single" w:color="auto" w:sz="8" w:space="0"/>
              <w:bottom w:val="single" w:color="auto" w:sz="8" w:space="0"/>
              <w:right w:val="single" w:color="auto" w:sz="8" w:space="0"/>
            </w:tcBorders>
            <w:vAlign w:val="center"/>
          </w:tcPr>
          <w:p w:rsidRPr="00243ED3" w:rsidR="00400973" w:rsidP="009625A1" w:rsidRDefault="00400973" w14:paraId="2885FAC6" w14:textId="77777777">
            <w:pPr>
              <w:spacing w:after="0"/>
              <w:jc w:val="right"/>
              <w:rPr>
                <w:rFonts w:ascii="Times New Roman" w:hAnsi="Times New Roman" w:eastAsia="Times New Roman" w:cs="Times New Roman"/>
                <w:color w:val="7F7F7F" w:themeColor="text1" w:themeTint="80"/>
                <w:sz w:val="20"/>
                <w:szCs w:val="20"/>
              </w:rPr>
            </w:pPr>
            <w:r w:rsidRPr="00243ED3">
              <w:rPr>
                <w:rFonts w:ascii="Times New Roman" w:hAnsi="Times New Roman" w:eastAsia="Times New Roman" w:cs="Times New Roman"/>
                <w:color w:val="7F7F7F" w:themeColor="text1" w:themeTint="80"/>
                <w:sz w:val="20"/>
                <w:szCs w:val="20"/>
              </w:rPr>
              <w:t>3,654</w:t>
            </w:r>
          </w:p>
        </w:tc>
      </w:tr>
      <w:tr w:rsidR="00400973" w:rsidTr="009625A1" w14:paraId="397ED859" w14:textId="77777777">
        <w:trPr>
          <w:trHeight w:val="150"/>
        </w:trPr>
        <w:tc>
          <w:tcPr>
            <w:tcW w:w="360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08468774" w14:textId="77777777">
            <w:pPr>
              <w:spacing w:after="0"/>
            </w:pPr>
            <w:r w:rsidRPr="0F22E9BF">
              <w:rPr>
                <w:rFonts w:ascii="Times New Roman" w:hAnsi="Times New Roman" w:eastAsia="Times New Roman" w:cs="Times New Roman"/>
                <w:color w:val="7F7F7F" w:themeColor="text1" w:themeTint="80"/>
                <w:sz w:val="20"/>
                <w:szCs w:val="20"/>
              </w:rPr>
              <w:t>Teacher (TKS)</w:t>
            </w:r>
          </w:p>
        </w:tc>
        <w:tc>
          <w:tcPr>
            <w:tcW w:w="900" w:type="dxa"/>
            <w:tcBorders>
              <w:top w:val="single" w:color="auto" w:sz="8" w:space="0"/>
              <w:left w:val="single" w:color="auto" w:sz="8" w:space="0"/>
              <w:bottom w:val="single" w:color="auto" w:sz="8" w:space="0"/>
              <w:right w:val="single" w:color="auto" w:sz="8" w:space="0"/>
            </w:tcBorders>
            <w:vAlign w:val="center"/>
          </w:tcPr>
          <w:p w:rsidRPr="00243ED3" w:rsidR="00400973" w:rsidP="009625A1" w:rsidRDefault="00400973" w14:paraId="14C7117C" w14:textId="77777777">
            <w:pPr>
              <w:spacing w:after="0"/>
              <w:jc w:val="right"/>
              <w:rPr>
                <w:rFonts w:ascii="Times New Roman" w:hAnsi="Times New Roman" w:eastAsia="Times New Roman" w:cs="Times New Roman"/>
                <w:color w:val="7F7F7F" w:themeColor="text1" w:themeTint="80"/>
                <w:sz w:val="20"/>
                <w:szCs w:val="20"/>
              </w:rPr>
            </w:pPr>
            <w:r w:rsidRPr="00243ED3">
              <w:rPr>
                <w:rFonts w:ascii="Times New Roman" w:hAnsi="Times New Roman" w:eastAsia="Times New Roman" w:cs="Times New Roman"/>
                <w:color w:val="7F7F7F" w:themeColor="text1" w:themeTint="80"/>
                <w:sz w:val="20"/>
                <w:szCs w:val="20"/>
              </w:rPr>
              <w:t>3,045</w:t>
            </w:r>
          </w:p>
        </w:tc>
        <w:tc>
          <w:tcPr>
            <w:tcW w:w="117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33F67932" w14:textId="77777777">
            <w:pPr>
              <w:spacing w:after="0"/>
              <w:jc w:val="right"/>
            </w:pPr>
            <w:r w:rsidRPr="0F22E9BF">
              <w:rPr>
                <w:rFonts w:ascii="Times New Roman" w:hAnsi="Times New Roman" w:eastAsia="Times New Roman" w:cs="Times New Roman"/>
                <w:color w:val="7F7F7F" w:themeColor="text1" w:themeTint="80"/>
                <w:sz w:val="20"/>
                <w:szCs w:val="20"/>
              </w:rPr>
              <w:t>0.90</w:t>
            </w:r>
          </w:p>
        </w:tc>
        <w:tc>
          <w:tcPr>
            <w:tcW w:w="1260" w:type="dxa"/>
            <w:tcBorders>
              <w:top w:val="single" w:color="auto" w:sz="8" w:space="0"/>
              <w:left w:val="single" w:color="auto" w:sz="8" w:space="0"/>
              <w:bottom w:val="single" w:color="auto" w:sz="8" w:space="0"/>
              <w:right w:val="single" w:color="auto" w:sz="8" w:space="0"/>
            </w:tcBorders>
            <w:vAlign w:val="center"/>
          </w:tcPr>
          <w:p w:rsidRPr="00243ED3" w:rsidR="00400973" w:rsidP="009625A1" w:rsidRDefault="00400973" w14:paraId="11944105" w14:textId="77777777">
            <w:pPr>
              <w:spacing w:after="0"/>
              <w:jc w:val="right"/>
              <w:rPr>
                <w:rFonts w:ascii="Times New Roman" w:hAnsi="Times New Roman" w:eastAsia="Times New Roman" w:cs="Times New Roman"/>
                <w:color w:val="7F7F7F" w:themeColor="text1" w:themeTint="80"/>
                <w:sz w:val="20"/>
                <w:szCs w:val="20"/>
              </w:rPr>
            </w:pPr>
            <w:r w:rsidRPr="00243ED3">
              <w:rPr>
                <w:rFonts w:ascii="Times New Roman" w:hAnsi="Times New Roman" w:eastAsia="Times New Roman" w:cs="Times New Roman"/>
                <w:color w:val="7F7F7F" w:themeColor="text1" w:themeTint="80"/>
                <w:sz w:val="20"/>
                <w:szCs w:val="20"/>
              </w:rPr>
              <w:t>2,741</w:t>
            </w:r>
          </w:p>
        </w:tc>
        <w:tc>
          <w:tcPr>
            <w:tcW w:w="1200" w:type="dxa"/>
            <w:tcBorders>
              <w:top w:val="single" w:color="auto" w:sz="8" w:space="0"/>
              <w:left w:val="single" w:color="auto" w:sz="8" w:space="0"/>
              <w:bottom w:val="single" w:color="auto" w:sz="8" w:space="0"/>
              <w:right w:val="single" w:color="auto" w:sz="8" w:space="0"/>
            </w:tcBorders>
            <w:vAlign w:val="center"/>
          </w:tcPr>
          <w:p w:rsidRPr="00243ED3" w:rsidR="00400973" w:rsidP="009625A1" w:rsidRDefault="00400973" w14:paraId="7F8F05B9" w14:textId="77777777">
            <w:pPr>
              <w:spacing w:after="0"/>
              <w:jc w:val="right"/>
              <w:rPr>
                <w:rFonts w:ascii="Times New Roman" w:hAnsi="Times New Roman" w:eastAsia="Times New Roman" w:cs="Times New Roman"/>
                <w:color w:val="7F7F7F" w:themeColor="text1" w:themeTint="80"/>
                <w:sz w:val="20"/>
                <w:szCs w:val="20"/>
              </w:rPr>
            </w:pPr>
            <w:r w:rsidRPr="00243ED3">
              <w:rPr>
                <w:rFonts w:ascii="Times New Roman" w:hAnsi="Times New Roman" w:eastAsia="Times New Roman" w:cs="Times New Roman"/>
                <w:color w:val="7F7F7F" w:themeColor="text1" w:themeTint="80"/>
                <w:sz w:val="20"/>
                <w:szCs w:val="20"/>
              </w:rPr>
              <w:t>2,741</w:t>
            </w:r>
          </w:p>
        </w:tc>
        <w:tc>
          <w:tcPr>
            <w:tcW w:w="1230" w:type="dxa"/>
            <w:tcBorders>
              <w:top w:val="single" w:color="auto" w:sz="8" w:space="0"/>
              <w:left w:val="single" w:color="auto" w:sz="8" w:space="0"/>
              <w:bottom w:val="single" w:color="auto" w:sz="8" w:space="0"/>
              <w:right w:val="single" w:color="auto" w:sz="8" w:space="0"/>
            </w:tcBorders>
            <w:vAlign w:val="center"/>
          </w:tcPr>
          <w:p w:rsidR="00400973" w:rsidP="009625A1" w:rsidRDefault="00400973" w14:paraId="2CDB9128" w14:textId="77777777">
            <w:pPr>
              <w:spacing w:after="0"/>
              <w:jc w:val="right"/>
            </w:pPr>
            <w:r w:rsidRPr="0F22E9BF">
              <w:rPr>
                <w:rFonts w:ascii="Times New Roman" w:hAnsi="Times New Roman" w:eastAsia="Times New Roman" w:cs="Times New Roman"/>
                <w:color w:val="7F7F7F" w:themeColor="text1" w:themeTint="80"/>
                <w:sz w:val="20"/>
                <w:szCs w:val="20"/>
              </w:rPr>
              <w:t>60</w:t>
            </w:r>
          </w:p>
        </w:tc>
        <w:tc>
          <w:tcPr>
            <w:tcW w:w="855" w:type="dxa"/>
            <w:tcBorders>
              <w:top w:val="single" w:color="auto" w:sz="8" w:space="0"/>
              <w:left w:val="single" w:color="auto" w:sz="8" w:space="0"/>
              <w:bottom w:val="single" w:color="auto" w:sz="8" w:space="0"/>
              <w:right w:val="single" w:color="auto" w:sz="8" w:space="0"/>
            </w:tcBorders>
            <w:vAlign w:val="center"/>
          </w:tcPr>
          <w:p w:rsidRPr="00243ED3" w:rsidR="00400973" w:rsidP="009625A1" w:rsidRDefault="00400973" w14:paraId="7E5C6440" w14:textId="77777777">
            <w:pPr>
              <w:spacing w:after="0"/>
              <w:jc w:val="right"/>
              <w:rPr>
                <w:rFonts w:ascii="Times New Roman" w:hAnsi="Times New Roman" w:eastAsia="Times New Roman" w:cs="Times New Roman"/>
                <w:color w:val="7F7F7F" w:themeColor="text1" w:themeTint="80"/>
                <w:sz w:val="20"/>
                <w:szCs w:val="20"/>
              </w:rPr>
            </w:pPr>
            <w:r w:rsidRPr="00243ED3">
              <w:rPr>
                <w:rFonts w:ascii="Times New Roman" w:hAnsi="Times New Roman" w:eastAsia="Times New Roman" w:cs="Times New Roman"/>
                <w:color w:val="7F7F7F" w:themeColor="text1" w:themeTint="80"/>
                <w:sz w:val="20"/>
                <w:szCs w:val="20"/>
              </w:rPr>
              <w:t>2,741</w:t>
            </w:r>
          </w:p>
        </w:tc>
      </w:tr>
      <w:tr w:rsidRPr="003C500D" w:rsidR="00400973" w:rsidTr="00337BA3" w14:paraId="5051D1EE" w14:textId="77777777">
        <w:trPr>
          <w:trHeight w:val="150"/>
        </w:trPr>
        <w:tc>
          <w:tcPr>
            <w:tcW w:w="360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3C500D" w:rsidR="00400973" w:rsidP="009625A1" w:rsidRDefault="00400973" w14:paraId="523E93CA" w14:textId="77777777">
            <w:pPr>
              <w:spacing w:after="0" w:line="240" w:lineRule="auto"/>
              <w:rPr>
                <w:i/>
                <w:iCs/>
                <w:color w:val="7F7F7F" w:themeColor="text1" w:themeTint="80"/>
              </w:rPr>
            </w:pPr>
            <w:r w:rsidRPr="003C500D">
              <w:rPr>
                <w:rFonts w:ascii="Times New Roman" w:hAnsi="Times New Roman" w:eastAsia="Times New Roman" w:cs="Times New Roman"/>
                <w:i/>
                <w:iCs/>
                <w:color w:val="7F7F7F" w:themeColor="text1" w:themeTint="80"/>
                <w:sz w:val="20"/>
                <w:szCs w:val="20"/>
              </w:rPr>
              <w:t>Burden – MS Data Collection</w:t>
            </w:r>
          </w:p>
        </w:tc>
        <w:tc>
          <w:tcPr>
            <w:tcW w:w="9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3C500D" w:rsidR="00400973" w:rsidP="009625A1" w:rsidRDefault="00400973" w14:paraId="45B894D5" w14:textId="77777777">
            <w:pPr>
              <w:spacing w:after="0" w:line="240" w:lineRule="auto"/>
              <w:jc w:val="right"/>
              <w:rPr>
                <w:i/>
                <w:iCs/>
                <w:color w:val="7F7F7F" w:themeColor="text1" w:themeTint="80"/>
              </w:rPr>
            </w:pPr>
          </w:p>
        </w:tc>
        <w:tc>
          <w:tcPr>
            <w:tcW w:w="117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3C500D" w:rsidR="00400973" w:rsidP="009625A1" w:rsidRDefault="00400973" w14:paraId="55329129" w14:textId="77777777">
            <w:pPr>
              <w:tabs>
                <w:tab w:val="center" w:pos="477"/>
                <w:tab w:val="right" w:pos="954"/>
              </w:tabs>
              <w:spacing w:after="0" w:line="240" w:lineRule="auto"/>
              <w:rPr>
                <w:i/>
                <w:iCs/>
                <w:color w:val="7F7F7F" w:themeColor="text1" w:themeTint="80"/>
              </w:rPr>
            </w:pPr>
            <w:r w:rsidRPr="003C500D">
              <w:rPr>
                <w:rFonts w:ascii="Times New Roman" w:hAnsi="Times New Roman" w:eastAsia="Times New Roman" w:cs="Times New Roman"/>
                <w:i/>
                <w:iCs/>
                <w:color w:val="7F7F7F" w:themeColor="text1" w:themeTint="80"/>
                <w:sz w:val="20"/>
                <w:szCs w:val="20"/>
              </w:rPr>
              <w:tab/>
            </w:r>
          </w:p>
        </w:tc>
        <w:tc>
          <w:tcPr>
            <w:tcW w:w="12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3C500D" w:rsidR="00400973" w:rsidP="009625A1" w:rsidRDefault="00400973" w14:paraId="0FF7AD4F" w14:textId="2A74DCE3">
            <w:pPr>
              <w:spacing w:after="0" w:line="240" w:lineRule="auto"/>
              <w:jc w:val="right"/>
              <w:rPr>
                <w:rFonts w:ascii="Times New Roman" w:hAnsi="Times New Roman" w:cs="Times New Roman"/>
                <w:i/>
                <w:iCs/>
                <w:color w:val="7F7F7F" w:themeColor="text1" w:themeTint="80"/>
                <w:sz w:val="20"/>
                <w:szCs w:val="20"/>
              </w:rPr>
            </w:pPr>
            <w:r>
              <w:rPr>
                <w:rFonts w:ascii="Times New Roman" w:hAnsi="Times New Roman" w:cs="Times New Roman"/>
                <w:i/>
                <w:iCs/>
                <w:color w:val="7F7F7F" w:themeColor="text1" w:themeTint="80"/>
                <w:sz w:val="20"/>
                <w:szCs w:val="20"/>
              </w:rPr>
              <w:t>6,57</w:t>
            </w:r>
            <w:r w:rsidR="0068237B">
              <w:rPr>
                <w:rFonts w:ascii="Times New Roman" w:hAnsi="Times New Roman" w:cs="Times New Roman"/>
                <w:i/>
                <w:iCs/>
                <w:color w:val="7F7F7F" w:themeColor="text1" w:themeTint="80"/>
                <w:sz w:val="20"/>
                <w:szCs w:val="20"/>
              </w:rPr>
              <w:t>8</w:t>
            </w:r>
          </w:p>
        </w:tc>
        <w:tc>
          <w:tcPr>
            <w:tcW w:w="12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3C500D" w:rsidR="00400973" w:rsidP="009625A1" w:rsidRDefault="00400973" w14:paraId="2BC07A41" w14:textId="2CEA2A6B">
            <w:pPr>
              <w:spacing w:after="0" w:line="240" w:lineRule="auto"/>
              <w:jc w:val="right"/>
              <w:rPr>
                <w:rFonts w:ascii="Times New Roman" w:hAnsi="Times New Roman" w:cs="Times New Roman"/>
                <w:i/>
                <w:iCs/>
                <w:color w:val="7F7F7F" w:themeColor="text1" w:themeTint="80"/>
                <w:sz w:val="20"/>
                <w:szCs w:val="20"/>
              </w:rPr>
            </w:pPr>
            <w:r>
              <w:rPr>
                <w:rFonts w:ascii="Times New Roman" w:hAnsi="Times New Roman" w:cs="Times New Roman"/>
                <w:i/>
                <w:iCs/>
                <w:color w:val="7F7F7F" w:themeColor="text1" w:themeTint="80"/>
                <w:sz w:val="20"/>
                <w:szCs w:val="20"/>
              </w:rPr>
              <w:t>6,57</w:t>
            </w:r>
            <w:r w:rsidR="0068237B">
              <w:rPr>
                <w:rFonts w:ascii="Times New Roman" w:hAnsi="Times New Roman" w:cs="Times New Roman"/>
                <w:i/>
                <w:iCs/>
                <w:color w:val="7F7F7F" w:themeColor="text1" w:themeTint="80"/>
                <w:sz w:val="20"/>
                <w:szCs w:val="20"/>
              </w:rPr>
              <w:t>8</w:t>
            </w:r>
          </w:p>
        </w:tc>
        <w:tc>
          <w:tcPr>
            <w:tcW w:w="12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3C500D" w:rsidR="00400973" w:rsidP="009625A1" w:rsidRDefault="00400973" w14:paraId="121EDF31" w14:textId="77777777">
            <w:pPr>
              <w:spacing w:after="0" w:line="240" w:lineRule="auto"/>
              <w:jc w:val="right"/>
              <w:rPr>
                <w:rFonts w:ascii="Times New Roman" w:hAnsi="Times New Roman" w:cs="Times New Roman"/>
                <w:i/>
                <w:iCs/>
                <w:color w:val="7F7F7F" w:themeColor="text1" w:themeTint="80"/>
                <w:sz w:val="20"/>
                <w:szCs w:val="20"/>
              </w:rPr>
            </w:pPr>
          </w:p>
        </w:tc>
        <w:tc>
          <w:tcPr>
            <w:tcW w:w="8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3C500D" w:rsidR="00400973" w:rsidP="009625A1" w:rsidRDefault="00400973" w14:paraId="45650A88" w14:textId="3F8AE801">
            <w:pPr>
              <w:spacing w:after="0" w:line="240" w:lineRule="auto"/>
              <w:jc w:val="right"/>
              <w:rPr>
                <w:rFonts w:ascii="Times New Roman" w:hAnsi="Times New Roman" w:cs="Times New Roman"/>
                <w:i/>
                <w:iCs/>
                <w:color w:val="7F7F7F" w:themeColor="text1" w:themeTint="80"/>
                <w:sz w:val="20"/>
                <w:szCs w:val="20"/>
              </w:rPr>
            </w:pPr>
            <w:r>
              <w:rPr>
                <w:rFonts w:ascii="Times New Roman" w:hAnsi="Times New Roman" w:cs="Times New Roman"/>
                <w:i/>
                <w:iCs/>
                <w:color w:val="7F7F7F" w:themeColor="text1" w:themeTint="80"/>
                <w:sz w:val="20"/>
                <w:szCs w:val="20"/>
              </w:rPr>
              <w:t>6,53</w:t>
            </w:r>
            <w:r w:rsidR="0068237B">
              <w:rPr>
                <w:rFonts w:ascii="Times New Roman" w:hAnsi="Times New Roman" w:cs="Times New Roman"/>
                <w:i/>
                <w:iCs/>
                <w:color w:val="7F7F7F" w:themeColor="text1" w:themeTint="80"/>
                <w:sz w:val="20"/>
                <w:szCs w:val="20"/>
              </w:rPr>
              <w:t>2</w:t>
            </w:r>
          </w:p>
        </w:tc>
      </w:tr>
      <w:tr w:rsidRPr="00B901A6" w:rsidR="00B901A6" w:rsidTr="00B901A6" w14:paraId="421C0B63" w14:textId="77777777">
        <w:trPr>
          <w:trHeight w:val="150"/>
        </w:trPr>
        <w:tc>
          <w:tcPr>
            <w:tcW w:w="360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B901A6" w:rsidR="00400973" w:rsidP="009625A1" w:rsidRDefault="00400973" w14:paraId="6DEF7F16" w14:textId="736AC394">
            <w:pPr>
              <w:spacing w:after="0"/>
              <w:rPr>
                <w:rFonts w:ascii="Times New Roman" w:hAnsi="Times New Roman" w:eastAsia="Times New Roman" w:cs="Times New Roman"/>
                <w:b/>
                <w:bCs/>
                <w:i/>
                <w:iCs/>
                <w:color w:val="7F7F7F" w:themeColor="text1" w:themeTint="80"/>
                <w:sz w:val="20"/>
                <w:szCs w:val="20"/>
              </w:rPr>
            </w:pPr>
            <w:r w:rsidRPr="00B901A6">
              <w:rPr>
                <w:rFonts w:ascii="Times New Roman" w:hAnsi="Times New Roman" w:eastAsia="Times New Roman" w:cs="Times New Roman"/>
                <w:b/>
                <w:bCs/>
                <w:i/>
                <w:iCs/>
                <w:color w:val="7F7F7F" w:themeColor="text1" w:themeTint="80"/>
                <w:sz w:val="20"/>
                <w:szCs w:val="20"/>
              </w:rPr>
              <w:t>Total Burden Main Study</w:t>
            </w:r>
          </w:p>
        </w:tc>
        <w:tc>
          <w:tcPr>
            <w:tcW w:w="90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B901A6" w:rsidR="00400973" w:rsidP="009625A1" w:rsidRDefault="00400973" w14:paraId="17EB50DA" w14:textId="77777777">
            <w:pPr>
              <w:spacing w:after="0"/>
              <w:jc w:val="right"/>
              <w:rPr>
                <w:rFonts w:ascii="Times New Roman" w:hAnsi="Times New Roman" w:eastAsia="Times New Roman" w:cs="Times New Roman"/>
                <w:b/>
                <w:bCs/>
                <w:i/>
                <w:iCs/>
                <w:color w:val="7F7F7F" w:themeColor="text1" w:themeTint="80"/>
                <w:sz w:val="20"/>
                <w:szCs w:val="20"/>
              </w:rPr>
            </w:pPr>
            <w:r w:rsidRPr="00B901A6">
              <w:rPr>
                <w:rFonts w:ascii="Times New Roman" w:hAnsi="Times New Roman" w:eastAsia="Times New Roman" w:cs="Times New Roman"/>
                <w:b/>
                <w:bCs/>
                <w:i/>
                <w:iCs/>
                <w:color w:val="7F7F7F" w:themeColor="text1" w:themeTint="80"/>
                <w:sz w:val="20"/>
                <w:szCs w:val="20"/>
              </w:rPr>
              <w:t xml:space="preserve"> </w:t>
            </w:r>
          </w:p>
        </w:tc>
        <w:tc>
          <w:tcPr>
            <w:tcW w:w="1170"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B901A6" w:rsidR="00400973" w:rsidP="009625A1" w:rsidRDefault="00400973" w14:paraId="3989775D" w14:textId="77777777">
            <w:pPr>
              <w:spacing w:after="0"/>
              <w:jc w:val="right"/>
              <w:rPr>
                <w:rFonts w:ascii="Times New Roman" w:hAnsi="Times New Roman" w:eastAsia="Times New Roman" w:cs="Times New Roman"/>
                <w:b/>
                <w:bCs/>
                <w:i/>
                <w:iCs/>
                <w:color w:val="7F7F7F" w:themeColor="text1" w:themeTint="80"/>
                <w:sz w:val="20"/>
                <w:szCs w:val="20"/>
              </w:rPr>
            </w:pPr>
            <w:r w:rsidRPr="00B901A6">
              <w:rPr>
                <w:rFonts w:ascii="Times New Roman" w:hAnsi="Times New Roman" w:eastAsia="Times New Roman" w:cs="Times New Roman"/>
                <w:b/>
                <w:bCs/>
                <w:i/>
                <w:iCs/>
                <w:color w:val="7F7F7F" w:themeColor="text1" w:themeTint="80"/>
                <w:sz w:val="20"/>
                <w:szCs w:val="20"/>
              </w:rPr>
              <w:t xml:space="preserve"> </w:t>
            </w:r>
          </w:p>
        </w:tc>
        <w:tc>
          <w:tcPr>
            <w:tcW w:w="12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B901A6" w:rsidR="00400973" w:rsidP="009625A1" w:rsidRDefault="0068237B" w14:paraId="69B4FF27" w14:textId="294CE57F">
            <w:pPr>
              <w:spacing w:after="0"/>
              <w:jc w:val="right"/>
              <w:rPr>
                <w:rFonts w:ascii="Times New Roman" w:hAnsi="Times New Roman" w:eastAsia="Times New Roman" w:cs="Times New Roman"/>
                <w:b/>
                <w:bCs/>
                <w:i/>
                <w:iCs/>
                <w:color w:val="7F7F7F" w:themeColor="text1" w:themeTint="80"/>
                <w:sz w:val="20"/>
                <w:szCs w:val="20"/>
              </w:rPr>
            </w:pPr>
            <w:r>
              <w:rPr>
                <w:rFonts w:ascii="Times New Roman" w:hAnsi="Times New Roman" w:eastAsia="Times New Roman" w:cs="Times New Roman"/>
                <w:b/>
                <w:bCs/>
                <w:i/>
                <w:iCs/>
                <w:color w:val="7F7F7F" w:themeColor="text1" w:themeTint="80"/>
                <w:sz w:val="20"/>
                <w:szCs w:val="20"/>
              </w:rPr>
              <w:t>7,731</w:t>
            </w:r>
          </w:p>
        </w:tc>
        <w:tc>
          <w:tcPr>
            <w:tcW w:w="120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B901A6" w:rsidR="00400973" w:rsidP="009625A1" w:rsidRDefault="0068237B" w14:paraId="5FAD693C" w14:textId="0D915828">
            <w:pPr>
              <w:spacing w:after="0"/>
              <w:jc w:val="right"/>
              <w:rPr>
                <w:rFonts w:ascii="Times New Roman" w:hAnsi="Times New Roman" w:eastAsia="Times New Roman" w:cs="Times New Roman"/>
                <w:b/>
                <w:bCs/>
                <w:i/>
                <w:iCs/>
                <w:color w:val="7F7F7F" w:themeColor="text1" w:themeTint="80"/>
                <w:sz w:val="20"/>
                <w:szCs w:val="20"/>
              </w:rPr>
            </w:pPr>
            <w:r>
              <w:rPr>
                <w:rFonts w:ascii="Times New Roman" w:hAnsi="Times New Roman" w:eastAsia="Times New Roman" w:cs="Times New Roman"/>
                <w:b/>
                <w:bCs/>
                <w:i/>
                <w:iCs/>
                <w:color w:val="7F7F7F" w:themeColor="text1" w:themeTint="80"/>
                <w:sz w:val="20"/>
                <w:szCs w:val="20"/>
              </w:rPr>
              <w:t>7,731</w:t>
            </w:r>
          </w:p>
        </w:tc>
        <w:tc>
          <w:tcPr>
            <w:tcW w:w="123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B901A6" w:rsidR="00400973" w:rsidP="009625A1" w:rsidRDefault="00400973" w14:paraId="1AAB1C7C" w14:textId="77777777">
            <w:pPr>
              <w:spacing w:after="0"/>
              <w:jc w:val="right"/>
              <w:rPr>
                <w:rFonts w:ascii="Times New Roman" w:hAnsi="Times New Roman" w:eastAsia="Times New Roman" w:cs="Times New Roman"/>
                <w:b/>
                <w:bCs/>
                <w:i/>
                <w:iCs/>
                <w:color w:val="7F7F7F" w:themeColor="text1" w:themeTint="80"/>
                <w:sz w:val="20"/>
                <w:szCs w:val="20"/>
              </w:rPr>
            </w:pPr>
          </w:p>
        </w:tc>
        <w:tc>
          <w:tcPr>
            <w:tcW w:w="85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B901A6" w:rsidR="00400973" w:rsidP="009625A1" w:rsidRDefault="0068237B" w14:paraId="317073ED" w14:textId="4BD76365">
            <w:pPr>
              <w:spacing w:after="0"/>
              <w:jc w:val="right"/>
              <w:rPr>
                <w:rFonts w:ascii="Times New Roman" w:hAnsi="Times New Roman" w:eastAsia="Times New Roman" w:cs="Times New Roman"/>
                <w:b/>
                <w:bCs/>
                <w:i/>
                <w:iCs/>
                <w:color w:val="7F7F7F" w:themeColor="text1" w:themeTint="80"/>
                <w:sz w:val="20"/>
                <w:szCs w:val="20"/>
              </w:rPr>
            </w:pPr>
            <w:r>
              <w:rPr>
                <w:rFonts w:ascii="Times New Roman" w:hAnsi="Times New Roman" w:eastAsia="Times New Roman" w:cs="Times New Roman"/>
                <w:b/>
                <w:bCs/>
                <w:i/>
                <w:iCs/>
                <w:color w:val="7F7F7F" w:themeColor="text1" w:themeTint="80"/>
                <w:sz w:val="20"/>
                <w:szCs w:val="20"/>
              </w:rPr>
              <w:t>8,068</w:t>
            </w:r>
          </w:p>
        </w:tc>
      </w:tr>
      <w:tr w:rsidR="00400973" w:rsidTr="009625A1" w14:paraId="349A6661" w14:textId="77777777">
        <w:trPr>
          <w:trHeight w:val="150"/>
        </w:trPr>
        <w:tc>
          <w:tcPr>
            <w:tcW w:w="3600" w:type="dxa"/>
            <w:tcBorders>
              <w:top w:val="single" w:color="auto" w:sz="8" w:space="0"/>
              <w:left w:val="single" w:color="auto" w:sz="8" w:space="0"/>
              <w:right w:val="single" w:color="auto" w:sz="8" w:space="0"/>
            </w:tcBorders>
            <w:shd w:val="clear" w:color="auto" w:fill="BFBFBF" w:themeFill="background1" w:themeFillShade="BF"/>
            <w:vAlign w:val="center"/>
          </w:tcPr>
          <w:p w:rsidR="00400973" w:rsidP="009625A1" w:rsidRDefault="00400973" w14:paraId="48EDA8F6" w14:textId="77777777">
            <w:pPr>
              <w:spacing w:after="0"/>
              <w:rPr>
                <w:rFonts w:ascii="Times New Roman" w:hAnsi="Times New Roman" w:eastAsia="Times New Roman" w:cs="Times New Roman"/>
                <w:b/>
                <w:bCs/>
                <w:i/>
                <w:iCs/>
                <w:color w:val="000000" w:themeColor="text1"/>
                <w:sz w:val="20"/>
                <w:szCs w:val="20"/>
              </w:rPr>
            </w:pPr>
            <w:r w:rsidRPr="27ACF25C">
              <w:rPr>
                <w:rFonts w:ascii="Times New Roman" w:hAnsi="Times New Roman" w:eastAsia="Times New Roman" w:cs="Times New Roman"/>
                <w:b/>
                <w:bCs/>
                <w:i/>
                <w:iCs/>
                <w:color w:val="000000" w:themeColor="text1"/>
                <w:sz w:val="20"/>
                <w:szCs w:val="20"/>
              </w:rPr>
              <w:t>Total Burden Requested</w:t>
            </w:r>
          </w:p>
        </w:tc>
        <w:tc>
          <w:tcPr>
            <w:tcW w:w="900" w:type="dxa"/>
            <w:tcBorders>
              <w:top w:val="single" w:color="auto" w:sz="8" w:space="0"/>
              <w:left w:val="single" w:color="auto" w:sz="8" w:space="0"/>
              <w:right w:val="single" w:color="auto" w:sz="8" w:space="0"/>
            </w:tcBorders>
            <w:shd w:val="clear" w:color="auto" w:fill="BFBFBF" w:themeFill="background1" w:themeFillShade="BF"/>
            <w:vAlign w:val="center"/>
          </w:tcPr>
          <w:p w:rsidR="00400973" w:rsidP="009625A1" w:rsidRDefault="00400973" w14:paraId="6077B098" w14:textId="77777777">
            <w:pPr>
              <w:spacing w:after="0"/>
              <w:jc w:val="right"/>
              <w:rPr>
                <w:rFonts w:ascii="Times New Roman" w:hAnsi="Times New Roman" w:eastAsia="Times New Roman" w:cs="Times New Roman"/>
                <w:b/>
                <w:bCs/>
                <w:i/>
                <w:iCs/>
                <w:sz w:val="20"/>
                <w:szCs w:val="20"/>
              </w:rPr>
            </w:pPr>
            <w:r w:rsidRPr="27ACF25C">
              <w:rPr>
                <w:rFonts w:ascii="Times New Roman" w:hAnsi="Times New Roman" w:eastAsia="Times New Roman" w:cs="Times New Roman"/>
                <w:b/>
                <w:bCs/>
                <w:i/>
                <w:iCs/>
                <w:sz w:val="20"/>
                <w:szCs w:val="20"/>
              </w:rPr>
              <w:t xml:space="preserve"> </w:t>
            </w:r>
          </w:p>
        </w:tc>
        <w:tc>
          <w:tcPr>
            <w:tcW w:w="1170" w:type="dxa"/>
            <w:tcBorders>
              <w:top w:val="single" w:color="auto" w:sz="8" w:space="0"/>
              <w:left w:val="single" w:color="auto" w:sz="8" w:space="0"/>
              <w:right w:val="single" w:color="auto" w:sz="8" w:space="0"/>
            </w:tcBorders>
            <w:shd w:val="clear" w:color="auto" w:fill="BFBFBF" w:themeFill="background1" w:themeFillShade="BF"/>
            <w:vAlign w:val="center"/>
          </w:tcPr>
          <w:p w:rsidR="00400973" w:rsidP="009625A1" w:rsidRDefault="00400973" w14:paraId="6ABE9F24" w14:textId="77777777">
            <w:pPr>
              <w:spacing w:after="0"/>
              <w:jc w:val="right"/>
              <w:rPr>
                <w:rFonts w:ascii="Times New Roman" w:hAnsi="Times New Roman" w:eastAsia="Times New Roman" w:cs="Times New Roman"/>
                <w:b/>
                <w:bCs/>
                <w:i/>
                <w:iCs/>
                <w:sz w:val="20"/>
                <w:szCs w:val="20"/>
              </w:rPr>
            </w:pPr>
            <w:r w:rsidRPr="27ACF25C">
              <w:rPr>
                <w:rFonts w:ascii="Times New Roman" w:hAnsi="Times New Roman" w:eastAsia="Times New Roman" w:cs="Times New Roman"/>
                <w:b/>
                <w:bCs/>
                <w:i/>
                <w:iCs/>
                <w:sz w:val="20"/>
                <w:szCs w:val="20"/>
              </w:rPr>
              <w:t xml:space="preserve"> </w:t>
            </w:r>
          </w:p>
        </w:tc>
        <w:tc>
          <w:tcPr>
            <w:tcW w:w="1260" w:type="dxa"/>
            <w:tcBorders>
              <w:top w:val="single" w:color="auto" w:sz="8" w:space="0"/>
              <w:left w:val="single" w:color="auto" w:sz="8" w:space="0"/>
              <w:right w:val="single" w:color="auto" w:sz="8" w:space="0"/>
            </w:tcBorders>
            <w:shd w:val="clear" w:color="auto" w:fill="BFBFBF" w:themeFill="background1" w:themeFillShade="BF"/>
          </w:tcPr>
          <w:p w:rsidR="00400973" w:rsidP="009625A1" w:rsidRDefault="00400973" w14:paraId="2DEC25CF" w14:textId="77777777">
            <w:pPr>
              <w:spacing w:after="0"/>
              <w:jc w:val="right"/>
              <w:rPr>
                <w:rFonts w:ascii="Times New Roman" w:hAnsi="Times New Roman" w:eastAsia="Times New Roman" w:cs="Times New Roman"/>
                <w:b/>
                <w:bCs/>
                <w:i/>
                <w:iCs/>
                <w:color w:val="000000" w:themeColor="text1"/>
                <w:sz w:val="20"/>
                <w:szCs w:val="20"/>
              </w:rPr>
            </w:pPr>
            <w:r w:rsidRPr="27ACF25C">
              <w:rPr>
                <w:rFonts w:ascii="Times New Roman" w:hAnsi="Times New Roman" w:eastAsia="Times New Roman" w:cs="Times New Roman"/>
                <w:b/>
                <w:bCs/>
                <w:i/>
                <w:iCs/>
                <w:color w:val="000000" w:themeColor="text1"/>
                <w:sz w:val="20"/>
                <w:szCs w:val="20"/>
              </w:rPr>
              <w:t>2,683</w:t>
            </w:r>
          </w:p>
        </w:tc>
        <w:tc>
          <w:tcPr>
            <w:tcW w:w="1200" w:type="dxa"/>
            <w:tcBorders>
              <w:top w:val="single" w:color="auto" w:sz="8" w:space="0"/>
              <w:left w:val="single" w:color="auto" w:sz="8" w:space="0"/>
              <w:right w:val="single" w:color="auto" w:sz="8" w:space="0"/>
            </w:tcBorders>
            <w:shd w:val="clear" w:color="auto" w:fill="BFBFBF" w:themeFill="background1" w:themeFillShade="BF"/>
          </w:tcPr>
          <w:p w:rsidR="00400973" w:rsidP="009625A1" w:rsidRDefault="00400973" w14:paraId="57734818" w14:textId="77777777">
            <w:pPr>
              <w:spacing w:after="0"/>
              <w:jc w:val="right"/>
              <w:rPr>
                <w:rFonts w:ascii="Times New Roman" w:hAnsi="Times New Roman" w:eastAsia="Times New Roman" w:cs="Times New Roman"/>
                <w:b/>
                <w:bCs/>
                <w:i/>
                <w:iCs/>
                <w:color w:val="000000" w:themeColor="text1"/>
                <w:sz w:val="20"/>
                <w:szCs w:val="20"/>
              </w:rPr>
            </w:pPr>
            <w:r w:rsidRPr="27ACF25C">
              <w:rPr>
                <w:rFonts w:ascii="Times New Roman" w:hAnsi="Times New Roman" w:eastAsia="Times New Roman" w:cs="Times New Roman"/>
                <w:b/>
                <w:bCs/>
                <w:i/>
                <w:iCs/>
                <w:color w:val="000000" w:themeColor="text1"/>
                <w:sz w:val="20"/>
                <w:szCs w:val="20"/>
              </w:rPr>
              <w:t>2,683</w:t>
            </w:r>
          </w:p>
        </w:tc>
        <w:tc>
          <w:tcPr>
            <w:tcW w:w="1230" w:type="dxa"/>
            <w:tcBorders>
              <w:top w:val="single" w:color="auto" w:sz="8" w:space="0"/>
              <w:left w:val="single" w:color="auto" w:sz="8" w:space="0"/>
              <w:right w:val="single" w:color="auto" w:sz="8" w:space="0"/>
            </w:tcBorders>
            <w:shd w:val="clear" w:color="auto" w:fill="BFBFBF" w:themeFill="background1" w:themeFillShade="BF"/>
          </w:tcPr>
          <w:p w:rsidR="00400973" w:rsidP="009625A1" w:rsidRDefault="00400973" w14:paraId="7CA1AF03" w14:textId="77777777">
            <w:pPr>
              <w:spacing w:after="0"/>
              <w:jc w:val="right"/>
              <w:rPr>
                <w:rFonts w:ascii="Times New Roman" w:hAnsi="Times New Roman" w:eastAsia="Times New Roman" w:cs="Times New Roman"/>
                <w:b/>
                <w:bCs/>
                <w:i/>
                <w:iCs/>
                <w:color w:val="000000" w:themeColor="text1"/>
                <w:sz w:val="20"/>
                <w:szCs w:val="20"/>
              </w:rPr>
            </w:pPr>
          </w:p>
        </w:tc>
        <w:tc>
          <w:tcPr>
            <w:tcW w:w="855" w:type="dxa"/>
            <w:tcBorders>
              <w:top w:val="single" w:color="auto" w:sz="8" w:space="0"/>
              <w:left w:val="single" w:color="auto" w:sz="8" w:space="0"/>
              <w:right w:val="single" w:color="auto" w:sz="8" w:space="0"/>
            </w:tcBorders>
            <w:shd w:val="clear" w:color="auto" w:fill="BFBFBF" w:themeFill="background1" w:themeFillShade="BF"/>
          </w:tcPr>
          <w:p w:rsidR="00400973" w:rsidP="009625A1" w:rsidRDefault="00400973" w14:paraId="61C3EE50" w14:textId="77777777">
            <w:pPr>
              <w:spacing w:after="0"/>
              <w:jc w:val="right"/>
              <w:rPr>
                <w:rFonts w:ascii="Times New Roman" w:hAnsi="Times New Roman" w:eastAsia="Times New Roman" w:cs="Times New Roman"/>
                <w:b/>
                <w:bCs/>
                <w:i/>
                <w:iCs/>
                <w:color w:val="000000" w:themeColor="text1"/>
                <w:sz w:val="20"/>
                <w:szCs w:val="20"/>
              </w:rPr>
            </w:pPr>
            <w:r w:rsidRPr="27ACF25C">
              <w:rPr>
                <w:rFonts w:ascii="Times New Roman" w:hAnsi="Times New Roman" w:eastAsia="Times New Roman" w:cs="Times New Roman"/>
                <w:b/>
                <w:bCs/>
                <w:i/>
                <w:iCs/>
                <w:color w:val="000000" w:themeColor="text1"/>
                <w:sz w:val="20"/>
                <w:szCs w:val="20"/>
              </w:rPr>
              <w:t>3,133</w:t>
            </w:r>
          </w:p>
        </w:tc>
      </w:tr>
      <w:tr w:rsidR="00400973" w:rsidTr="009625A1" w14:paraId="669F1C12" w14:textId="77777777">
        <w:trPr>
          <w:trHeight w:val="150"/>
        </w:trPr>
        <w:tc>
          <w:tcPr>
            <w:tcW w:w="10215" w:type="dxa"/>
            <w:gridSpan w:val="7"/>
            <w:shd w:val="clear" w:color="auto" w:fill="auto"/>
            <w:vAlign w:val="center"/>
          </w:tcPr>
          <w:p w:rsidRPr="27ACF25C" w:rsidR="00400973" w:rsidP="009625A1" w:rsidRDefault="00400973" w14:paraId="22565F9F" w14:textId="28A5F342">
            <w:pPr>
              <w:spacing w:after="0"/>
              <w:rPr>
                <w:rFonts w:ascii="Times New Roman" w:hAnsi="Times New Roman" w:eastAsia="Times New Roman" w:cs="Times New Roman"/>
                <w:b/>
                <w:bCs/>
                <w:i/>
                <w:iCs/>
                <w:color w:val="000000" w:themeColor="text1"/>
                <w:sz w:val="20"/>
                <w:szCs w:val="20"/>
              </w:rPr>
            </w:pPr>
            <w:r w:rsidRPr="00296A2E">
              <w:rPr>
                <w:rFonts w:ascii="Times New Roman" w:hAnsi="Times New Roman" w:cs="Times New Roman"/>
                <w:sz w:val="20"/>
                <w:szCs w:val="20"/>
                <w:vertAlign w:val="superscript"/>
              </w:rPr>
              <w:t>1</w:t>
            </w:r>
            <w:r w:rsidR="0073361F">
              <w:rPr>
                <w:rFonts w:ascii="Times New Roman" w:hAnsi="Times New Roman" w:cs="Times New Roman"/>
                <w:sz w:val="20"/>
                <w:szCs w:val="20"/>
                <w:vertAlign w:val="superscript"/>
              </w:rPr>
              <w:t xml:space="preserve"> </w:t>
            </w:r>
            <w:r w:rsidRPr="27ACF25C">
              <w:rPr>
                <w:rFonts w:ascii="Times New Roman" w:hAnsi="Times New Roman" w:cs="Times New Roman"/>
                <w:sz w:val="20"/>
                <w:szCs w:val="20"/>
              </w:rPr>
              <w:t xml:space="preserve">Expected response rates are based on the TALIS 2018 experience. For details, see </w:t>
            </w:r>
            <w:r w:rsidRPr="27ACF25C">
              <w:rPr>
                <w:rFonts w:ascii="Times New Roman" w:hAnsi="Times New Roman" w:cs="Times New Roman"/>
                <w:i/>
                <w:iCs/>
                <w:sz w:val="20"/>
                <w:szCs w:val="20"/>
              </w:rPr>
              <w:t>U.S. Technical Report and User Guide for the 2018 Teaching and Learning International Survey (TALIS)</w:t>
            </w:r>
            <w:r w:rsidRPr="27ACF25C">
              <w:rPr>
                <w:rFonts w:ascii="Times New Roman" w:hAnsi="Times New Roman" w:cs="Times New Roman"/>
                <w:sz w:val="20"/>
                <w:szCs w:val="20"/>
              </w:rPr>
              <w:t xml:space="preserve">, available at </w:t>
            </w:r>
            <w:hyperlink r:id="rId9">
              <w:r w:rsidRPr="27ACF25C">
                <w:rPr>
                  <w:rStyle w:val="Hyperlink"/>
                  <w:rFonts w:ascii="Times New Roman" w:hAnsi="Times New Roman" w:cs="Times New Roman"/>
                  <w:sz w:val="20"/>
                  <w:szCs w:val="20"/>
                </w:rPr>
                <w:t>https://nces.ed.gov/pubs2021/2021070.pdf</w:t>
              </w:r>
            </w:hyperlink>
            <w:r w:rsidRPr="27ACF25C">
              <w:rPr>
                <w:rFonts w:ascii="Times New Roman" w:hAnsi="Times New Roman" w:cs="Times New Roman"/>
                <w:sz w:val="20"/>
                <w:szCs w:val="20"/>
              </w:rPr>
              <w:t>.</w:t>
            </w:r>
          </w:p>
        </w:tc>
      </w:tr>
      <w:tr w:rsidR="00400973" w:rsidTr="009625A1" w14:paraId="7481A70C" w14:textId="77777777">
        <w:trPr>
          <w:trHeight w:val="150"/>
        </w:trPr>
        <w:tc>
          <w:tcPr>
            <w:tcW w:w="10215" w:type="dxa"/>
            <w:gridSpan w:val="7"/>
            <w:shd w:val="clear" w:color="auto" w:fill="auto"/>
            <w:vAlign w:val="center"/>
          </w:tcPr>
          <w:p w:rsidR="00400973" w:rsidP="009625A1" w:rsidRDefault="00400973" w14:paraId="2D3C11BF" w14:textId="1FA04BA4">
            <w:pPr>
              <w:spacing w:after="0" w:line="240" w:lineRule="auto"/>
              <w:rPr>
                <w:rFonts w:ascii="Times New Roman" w:hAnsi="Times New Roman" w:cs="Times New Roman"/>
                <w:sz w:val="20"/>
                <w:szCs w:val="20"/>
              </w:rPr>
            </w:pPr>
            <w:r w:rsidRPr="68BAFA53">
              <w:rPr>
                <w:rFonts w:ascii="Times New Roman" w:hAnsi="Times New Roman" w:cs="Times New Roman"/>
                <w:sz w:val="20"/>
                <w:szCs w:val="20"/>
              </w:rPr>
              <w:t xml:space="preserve">NOTE: The “Main Study Survey Participation” rows are provided here for informational purposes, but their burden hours are </w:t>
            </w:r>
            <w:r w:rsidR="007E6A54">
              <w:rPr>
                <w:rFonts w:ascii="Times New Roman" w:hAnsi="Times New Roman" w:cs="Times New Roman"/>
                <w:sz w:val="20"/>
                <w:szCs w:val="20"/>
              </w:rPr>
              <w:t xml:space="preserve">greyed out and </w:t>
            </w:r>
            <w:r w:rsidRPr="68BAFA53">
              <w:rPr>
                <w:rFonts w:ascii="Times New Roman" w:hAnsi="Times New Roman" w:cs="Times New Roman"/>
                <w:sz w:val="20"/>
                <w:szCs w:val="20"/>
              </w:rPr>
              <w:t>not requested in this package and their values are not included in totals. Details may not sum to totals due to rounding.</w:t>
            </w:r>
          </w:p>
        </w:tc>
      </w:tr>
    </w:tbl>
    <w:p w:rsidR="00E01ADF" w:rsidP="00E01ADF" w:rsidRDefault="00E01ADF" w14:paraId="6F165E75" w14:textId="7C1BA121">
      <w:pPr>
        <w:spacing w:line="240" w:lineRule="auto"/>
        <w:rPr>
          <w:rFonts w:ascii="Times New Roman" w:hAnsi="Times New Roman" w:cs="Times New Roman"/>
          <w:sz w:val="24"/>
          <w:szCs w:val="24"/>
        </w:rPr>
      </w:pPr>
      <w:r w:rsidRPr="27ACF25C">
        <w:rPr>
          <w:rFonts w:ascii="Times New Roman" w:hAnsi="Times New Roman" w:cs="Times New Roman"/>
          <w:sz w:val="24"/>
          <w:szCs w:val="24"/>
        </w:rPr>
        <w:lastRenderedPageBreak/>
        <w:t>For the TALIS main study recruitment and field test a total of 3,133 burden hours are anticipated, resulting in an estimated burden time cost to respondents of approximately $103,680 based on Bureau of Labor Statistics data.</w:t>
      </w:r>
      <w:r w:rsidRPr="27ACF25C">
        <w:rPr>
          <w:rStyle w:val="FootnoteReference"/>
          <w:rFonts w:ascii="Times New Roman" w:hAnsi="Times New Roman" w:cs="Times New Roman"/>
          <w:sz w:val="24"/>
          <w:szCs w:val="24"/>
        </w:rPr>
        <w:footnoteReference w:id="4"/>
      </w:r>
    </w:p>
    <w:p w:rsidRPr="00A30EF6" w:rsidR="00232AB8" w:rsidP="00F63C37" w:rsidRDefault="00006707" w14:paraId="4A0D2D97" w14:textId="77777777">
      <w:pPr>
        <w:pStyle w:val="Heading1"/>
      </w:pPr>
      <w:bookmarkStart w:name="_Toc90026009" w:id="44"/>
      <w:r w:rsidRPr="00A30EF6">
        <w:t>A.13</w:t>
      </w:r>
      <w:r w:rsidRPr="00A30EF6">
        <w:tab/>
        <w:t>Total Annual Cost Burden</w:t>
      </w:r>
      <w:bookmarkEnd w:id="42"/>
      <w:bookmarkEnd w:id="43"/>
      <w:bookmarkEnd w:id="44"/>
    </w:p>
    <w:p w:rsidRPr="00A30EF6" w:rsidR="00006707" w:rsidP="00D36763" w:rsidRDefault="00006707" w14:paraId="769AD87D" w14:textId="77777777">
      <w:pPr>
        <w:spacing w:line="240" w:lineRule="auto"/>
        <w:rPr>
          <w:rFonts w:ascii="Times New Roman" w:hAnsi="Times New Roman" w:cs="Times New Roman"/>
          <w:sz w:val="24"/>
          <w:szCs w:val="24"/>
        </w:rPr>
      </w:pPr>
      <w:r w:rsidRPr="00A30EF6">
        <w:rPr>
          <w:rFonts w:ascii="Times New Roman" w:hAnsi="Times New Roman" w:cs="Times New Roman"/>
          <w:sz w:val="24"/>
          <w:szCs w:val="24"/>
        </w:rPr>
        <w:t xml:space="preserve">Other than the </w:t>
      </w:r>
      <w:r w:rsidRPr="00A30EF6" w:rsidR="007D4CCE">
        <w:rPr>
          <w:rFonts w:ascii="Times New Roman" w:hAnsi="Times New Roman" w:cs="Times New Roman"/>
          <w:sz w:val="24"/>
          <w:szCs w:val="24"/>
        </w:rPr>
        <w:t xml:space="preserve">time </w:t>
      </w:r>
      <w:r w:rsidRPr="00A30EF6">
        <w:rPr>
          <w:rFonts w:ascii="Times New Roman" w:hAnsi="Times New Roman" w:cs="Times New Roman"/>
          <w:sz w:val="24"/>
          <w:szCs w:val="24"/>
        </w:rPr>
        <w:t xml:space="preserve">burden </w:t>
      </w:r>
      <w:r w:rsidRPr="00A30EF6" w:rsidR="007D4CCE">
        <w:rPr>
          <w:rFonts w:ascii="Times New Roman" w:hAnsi="Times New Roman" w:cs="Times New Roman"/>
          <w:sz w:val="24"/>
          <w:szCs w:val="24"/>
        </w:rPr>
        <w:t xml:space="preserve">cost </w:t>
      </w:r>
      <w:r w:rsidRPr="00A30EF6">
        <w:rPr>
          <w:rFonts w:ascii="Times New Roman" w:hAnsi="Times New Roman" w:cs="Times New Roman"/>
          <w:sz w:val="24"/>
          <w:szCs w:val="24"/>
        </w:rPr>
        <w:t xml:space="preserve">associated with completing the TALIS questionnaires (estimated above in Section A.12), the </w:t>
      </w:r>
      <w:r w:rsidRPr="00A30EF6" w:rsidR="0043712A">
        <w:rPr>
          <w:rFonts w:ascii="Times New Roman" w:hAnsi="Times New Roman" w:cs="Times New Roman"/>
          <w:sz w:val="24"/>
          <w:szCs w:val="24"/>
        </w:rPr>
        <w:t>field test</w:t>
      </w:r>
      <w:r w:rsidRPr="00A30EF6">
        <w:rPr>
          <w:rFonts w:ascii="Times New Roman" w:hAnsi="Times New Roman" w:cs="Times New Roman"/>
          <w:sz w:val="24"/>
          <w:szCs w:val="24"/>
        </w:rPr>
        <w:t xml:space="preserve"> imposes no additional cost to respondents.</w:t>
      </w:r>
    </w:p>
    <w:p w:rsidRPr="0088319A" w:rsidR="00006707" w:rsidP="00F63C37" w:rsidRDefault="730B5A0A" w14:paraId="2D701D0F" w14:textId="77777777">
      <w:pPr>
        <w:pStyle w:val="Heading1"/>
      </w:pPr>
      <w:bookmarkStart w:name="_Toc260729201" w:id="45"/>
      <w:bookmarkStart w:name="_Toc299121376" w:id="46"/>
      <w:bookmarkStart w:name="_Toc90026010" w:id="47"/>
      <w:r w:rsidRPr="730B5A0A">
        <w:t>A.14</w:t>
      </w:r>
      <w:r w:rsidR="00006707">
        <w:tab/>
      </w:r>
      <w:r w:rsidRPr="730B5A0A">
        <w:t>Annualized Cost to Federal Government</w:t>
      </w:r>
      <w:bookmarkEnd w:id="45"/>
      <w:bookmarkEnd w:id="46"/>
      <w:bookmarkEnd w:id="47"/>
    </w:p>
    <w:p w:rsidR="00093BF5" w:rsidP="2EFA9133" w:rsidRDefault="289E9D6B" w14:paraId="4117A6C9" w14:textId="6F0B309A">
      <w:pPr>
        <w:spacing w:line="240" w:lineRule="auto"/>
        <w:rPr>
          <w:rFonts w:ascii="Times New Roman" w:hAnsi="Times New Roman" w:cs="Times New Roman"/>
          <w:sz w:val="24"/>
          <w:szCs w:val="24"/>
        </w:rPr>
      </w:pPr>
      <w:r w:rsidRPr="289E9D6B">
        <w:rPr>
          <w:rFonts w:ascii="Times New Roman" w:hAnsi="Times New Roman" w:cs="Times New Roman"/>
          <w:sz w:val="24"/>
          <w:szCs w:val="24"/>
        </w:rPr>
        <w:t>The total cost to the Federal Government for conducting the TALIS 2024 field test as described in the current request is estimated to be $1,131,287. The total cost to the Federal Government for conducting the TALIS 2024 main study (including components not described in the current request) is estimated to be $2,331,787.</w:t>
      </w:r>
    </w:p>
    <w:p w:rsidRPr="00410EC8" w:rsidR="00E60A0B" w:rsidP="25CE0EC7" w:rsidRDefault="33F82322" w14:paraId="4E6C8330" w14:textId="08E9F4F3">
      <w:pPr>
        <w:spacing w:after="0" w:line="240" w:lineRule="auto"/>
        <w:rPr>
          <w:rFonts w:ascii="Times New Roman" w:hAnsi="Times New Roman" w:cs="Times New Roman"/>
          <w:b/>
          <w:bCs/>
          <w:sz w:val="24"/>
          <w:szCs w:val="24"/>
        </w:rPr>
      </w:pPr>
      <w:r w:rsidRPr="000E54C4">
        <w:rPr>
          <w:rFonts w:ascii="Times New Roman" w:hAnsi="Times New Roman" w:cs="Times New Roman"/>
          <w:b/>
          <w:bCs/>
          <w:sz w:val="24"/>
          <w:szCs w:val="24"/>
        </w:rPr>
        <w:t>Table 2. Estimated</w:t>
      </w:r>
      <w:r w:rsidRPr="33F82322">
        <w:rPr>
          <w:rFonts w:ascii="Times New Roman" w:hAnsi="Times New Roman" w:cs="Times New Roman"/>
          <w:b/>
          <w:bCs/>
          <w:sz w:val="24"/>
          <w:szCs w:val="24"/>
        </w:rPr>
        <w:t xml:space="preserve"> costs for TALIS 2024 field test and main study</w:t>
      </w:r>
    </w:p>
    <w:tbl>
      <w:tblPr>
        <w:tblW w:w="5000" w:type="pct"/>
        <w:tblCellMar>
          <w:left w:w="0" w:type="dxa"/>
          <w:right w:w="0" w:type="dxa"/>
        </w:tblCellMar>
        <w:tblLook w:val="04A0" w:firstRow="1" w:lastRow="0" w:firstColumn="1" w:lastColumn="0" w:noHBand="0" w:noVBand="1"/>
      </w:tblPr>
      <w:tblGrid>
        <w:gridCol w:w="7037"/>
        <w:gridCol w:w="3167"/>
      </w:tblGrid>
      <w:tr w:rsidRPr="00E60A0B" w:rsidR="00E60A0B" w:rsidTr="289E9D6B" w14:paraId="18CC7B1F" w14:textId="77777777">
        <w:trPr>
          <w:trHeight w:val="144"/>
          <w:tblHeader/>
        </w:trPr>
        <w:tc>
          <w:tcPr>
            <w:tcW w:w="344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hideMark/>
          </w:tcPr>
          <w:p w:rsidRPr="00E60A0B" w:rsidR="00E60A0B" w:rsidP="27ACF25C" w:rsidRDefault="27ACF25C" w14:paraId="7A9C7D8D" w14:textId="77777777">
            <w:pPr>
              <w:keepNext/>
              <w:spacing w:after="0" w:line="240" w:lineRule="auto"/>
              <w:rPr>
                <w:rFonts w:ascii="Times New Roman" w:hAnsi="Times New Roman" w:eastAsia="Times New Roman" w:cs="Times New Roman"/>
                <w:b/>
                <w:bCs/>
                <w:sz w:val="20"/>
                <w:szCs w:val="20"/>
              </w:rPr>
            </w:pPr>
            <w:r w:rsidRPr="27ACF25C">
              <w:rPr>
                <w:rFonts w:ascii="Times New Roman" w:hAnsi="Times New Roman" w:eastAsia="Times New Roman" w:cs="Times New Roman"/>
                <w:b/>
                <w:bCs/>
                <w:sz w:val="20"/>
                <w:szCs w:val="20"/>
              </w:rPr>
              <w:t>Components with breakdown</w:t>
            </w:r>
          </w:p>
        </w:tc>
        <w:tc>
          <w:tcPr>
            <w:tcW w:w="155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60A0B" w:rsidR="00E60A0B" w:rsidP="27ACF25C" w:rsidRDefault="27ACF25C" w14:paraId="608992AA" w14:textId="77777777">
            <w:pPr>
              <w:keepNext/>
              <w:spacing w:after="0" w:line="240" w:lineRule="auto"/>
              <w:jc w:val="right"/>
              <w:rPr>
                <w:rFonts w:ascii="Times New Roman" w:hAnsi="Times New Roman" w:eastAsia="Times New Roman" w:cs="Times New Roman"/>
                <w:b/>
                <w:bCs/>
                <w:sz w:val="20"/>
                <w:szCs w:val="20"/>
              </w:rPr>
            </w:pPr>
            <w:r w:rsidRPr="27ACF25C">
              <w:rPr>
                <w:rFonts w:ascii="Times New Roman" w:hAnsi="Times New Roman" w:eastAsia="Times New Roman" w:cs="Times New Roman"/>
                <w:b/>
                <w:bCs/>
                <w:sz w:val="20"/>
                <w:szCs w:val="20"/>
              </w:rPr>
              <w:t>Estimated costs</w:t>
            </w:r>
          </w:p>
        </w:tc>
      </w:tr>
      <w:tr w:rsidRPr="00E60A0B" w:rsidR="00E60A0B" w:rsidTr="289E9D6B" w14:paraId="5FD9078D" w14:textId="77777777">
        <w:trPr>
          <w:trHeight w:val="144"/>
        </w:trPr>
        <w:tc>
          <w:tcPr>
            <w:tcW w:w="3448"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hideMark/>
          </w:tcPr>
          <w:p w:rsidRPr="00E60A0B" w:rsidR="00E60A0B" w:rsidP="00C944E2" w:rsidRDefault="00E60A0B" w14:paraId="779C154C" w14:textId="488B8787">
            <w:pPr>
              <w:tabs>
                <w:tab w:val="left" w:pos="270"/>
              </w:tabs>
              <w:spacing w:after="0" w:line="240" w:lineRule="auto"/>
              <w:rPr>
                <w:rFonts w:ascii="Times New Roman" w:hAnsi="Times New Roman" w:cs="Times New Roman" w:eastAsiaTheme="minorHAnsi"/>
                <w:b/>
                <w:sz w:val="20"/>
                <w:szCs w:val="20"/>
              </w:rPr>
            </w:pPr>
            <w:r w:rsidRPr="00E60A0B">
              <w:rPr>
                <w:rFonts w:ascii="Times New Roman" w:hAnsi="Times New Roman" w:cs="Times New Roman" w:eastAsiaTheme="minorHAnsi"/>
                <w:b/>
                <w:sz w:val="20"/>
                <w:szCs w:val="20"/>
              </w:rPr>
              <w:t>FIELD TEST (20</w:t>
            </w:r>
            <w:r>
              <w:rPr>
                <w:rFonts w:ascii="Times New Roman" w:hAnsi="Times New Roman" w:cs="Times New Roman" w:eastAsiaTheme="minorHAnsi"/>
                <w:b/>
                <w:sz w:val="20"/>
                <w:szCs w:val="20"/>
              </w:rPr>
              <w:t>23</w:t>
            </w:r>
            <w:r w:rsidRPr="00E60A0B">
              <w:rPr>
                <w:rFonts w:ascii="Times New Roman" w:hAnsi="Times New Roman" w:cs="Times New Roman" w:eastAsiaTheme="minorHAnsi"/>
                <w:b/>
                <w:sz w:val="20"/>
                <w:szCs w:val="20"/>
              </w:rPr>
              <w:t>)</w:t>
            </w:r>
          </w:p>
        </w:tc>
        <w:tc>
          <w:tcPr>
            <w:tcW w:w="1552"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tcPr>
          <w:p w:rsidRPr="00E60A0B" w:rsidR="00E60A0B" w:rsidP="27ACF25C" w:rsidRDefault="00E60A0B" w14:paraId="39E9F7ED" w14:textId="77777777">
            <w:pPr>
              <w:spacing w:after="0" w:line="240" w:lineRule="auto"/>
              <w:jc w:val="right"/>
              <w:rPr>
                <w:rFonts w:ascii="Times New Roman" w:hAnsi="Times New Roman" w:cs="Times New Roman"/>
                <w:sz w:val="20"/>
                <w:szCs w:val="20"/>
              </w:rPr>
            </w:pPr>
          </w:p>
        </w:tc>
      </w:tr>
      <w:tr w:rsidRPr="00E60A0B" w:rsidR="00E60A0B" w:rsidTr="289E9D6B" w14:paraId="218D893F"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60A0B" w:rsidR="00E60A0B" w:rsidP="00E60A0B" w:rsidRDefault="00E60A0B" w14:paraId="24039EDD" w14:textId="77777777">
            <w:pPr>
              <w:tabs>
                <w:tab w:val="left" w:pos="270"/>
              </w:tabs>
              <w:spacing w:after="0" w:line="240" w:lineRule="auto"/>
              <w:rPr>
                <w:rFonts w:ascii="Times New Roman" w:hAnsi="Times New Roman" w:cs="Times New Roman" w:eastAsiaTheme="minorHAnsi"/>
                <w:sz w:val="20"/>
                <w:szCs w:val="20"/>
              </w:rPr>
            </w:pPr>
            <w:r w:rsidRPr="00E60A0B">
              <w:rPr>
                <w:rFonts w:ascii="Times New Roman" w:hAnsi="Times New Roman" w:cs="Times New Roman" w:eastAsiaTheme="minorHAnsi"/>
                <w:sz w:val="20"/>
                <w:szCs w:val="20"/>
              </w:rPr>
              <w:tab/>
              <w:t>Recruitment</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60A0B" w:rsidR="00E60A0B" w:rsidP="76F5E614" w:rsidRDefault="2EFA9133" w14:paraId="39F25AAE" w14:textId="203BF9B3">
            <w:pPr>
              <w:tabs>
                <w:tab w:val="decimal" w:pos="1866"/>
              </w:tabs>
              <w:spacing w:after="0" w:line="240" w:lineRule="auto"/>
              <w:jc w:val="right"/>
              <w:rPr>
                <w:rFonts w:ascii="Times New Roman" w:hAnsi="Times New Roman" w:cs="Times New Roman"/>
                <w:sz w:val="20"/>
                <w:szCs w:val="20"/>
                <w:highlight w:val="yellow"/>
              </w:rPr>
            </w:pPr>
            <w:r w:rsidRPr="2EFA9133">
              <w:rPr>
                <w:rFonts w:ascii="Times New Roman" w:hAnsi="Times New Roman" w:cs="Times New Roman"/>
                <w:sz w:val="20"/>
                <w:szCs w:val="20"/>
              </w:rPr>
              <w:t>$190,300</w:t>
            </w:r>
          </w:p>
        </w:tc>
      </w:tr>
      <w:tr w:rsidRPr="00E60A0B" w:rsidR="00E60A0B" w:rsidTr="289E9D6B" w14:paraId="162B53DA"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60A0B" w:rsidR="00E60A0B" w:rsidP="00E60A0B" w:rsidRDefault="00E60A0B" w14:paraId="4DD70D07" w14:textId="77777777">
            <w:pPr>
              <w:tabs>
                <w:tab w:val="left" w:pos="270"/>
              </w:tabs>
              <w:spacing w:after="0" w:line="240" w:lineRule="auto"/>
              <w:rPr>
                <w:rFonts w:ascii="Times New Roman" w:hAnsi="Times New Roman" w:cs="Times New Roman" w:eastAsiaTheme="minorHAnsi"/>
                <w:sz w:val="20"/>
                <w:szCs w:val="20"/>
              </w:rPr>
            </w:pPr>
            <w:r w:rsidRPr="00E60A0B">
              <w:rPr>
                <w:rFonts w:ascii="Times New Roman" w:hAnsi="Times New Roman" w:cs="Times New Roman" w:eastAsiaTheme="minorHAnsi"/>
                <w:sz w:val="20"/>
                <w:szCs w:val="20"/>
              </w:rPr>
              <w:tab/>
              <w:t>Preparations (e.g., adapting instruments, sampling)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60A0B" w:rsidR="00E60A0B" w:rsidP="27ACF25C" w:rsidRDefault="27ACF25C" w14:paraId="4E1BA8E6" w14:textId="2333B2B7">
            <w:pPr>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$630,979</w:t>
            </w:r>
          </w:p>
        </w:tc>
      </w:tr>
      <w:tr w:rsidRPr="00E60A0B" w:rsidR="00E60A0B" w:rsidTr="289E9D6B" w14:paraId="190CB392"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60A0B" w:rsidR="00E60A0B" w:rsidP="00E60A0B" w:rsidRDefault="00E60A0B" w14:paraId="173C92F0" w14:textId="77777777">
            <w:pPr>
              <w:tabs>
                <w:tab w:val="left" w:pos="270"/>
              </w:tabs>
              <w:spacing w:after="0" w:line="240" w:lineRule="auto"/>
              <w:rPr>
                <w:rFonts w:ascii="Times New Roman" w:hAnsi="Times New Roman" w:cs="Times New Roman" w:eastAsiaTheme="minorHAnsi"/>
                <w:sz w:val="20"/>
                <w:szCs w:val="20"/>
              </w:rPr>
            </w:pPr>
            <w:r w:rsidRPr="00E60A0B">
              <w:rPr>
                <w:rFonts w:ascii="Times New Roman" w:hAnsi="Times New Roman" w:cs="Times New Roman" w:eastAsiaTheme="minorHAnsi"/>
                <w:sz w:val="20"/>
                <w:szCs w:val="20"/>
              </w:rPr>
              <w:tab/>
              <w:t>Data collection, scoring, and coding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60A0B" w:rsidR="00E60A0B" w:rsidP="27ACF25C" w:rsidRDefault="289E9D6B" w14:paraId="09DDB245" w14:textId="1F116ADC">
            <w:pPr>
              <w:tabs>
                <w:tab w:val="decimal" w:pos="1866"/>
              </w:tabs>
              <w:spacing w:after="0" w:line="240" w:lineRule="auto"/>
              <w:jc w:val="right"/>
              <w:rPr>
                <w:rFonts w:ascii="Times New Roman" w:hAnsi="Times New Roman" w:cs="Times New Roman"/>
                <w:sz w:val="20"/>
                <w:szCs w:val="20"/>
              </w:rPr>
            </w:pPr>
            <w:r w:rsidRPr="289E9D6B">
              <w:rPr>
                <w:rFonts w:ascii="Times New Roman" w:hAnsi="Times New Roman" w:cs="Times New Roman"/>
                <w:sz w:val="20"/>
                <w:szCs w:val="20"/>
              </w:rPr>
              <w:t>$310,008</w:t>
            </w:r>
          </w:p>
        </w:tc>
      </w:tr>
      <w:tr w:rsidR="27ACF25C" w:rsidTr="289E9D6B" w14:paraId="5755067F" w14:textId="77777777">
        <w:trPr>
          <w:trHeight w:val="144"/>
        </w:trPr>
        <w:tc>
          <w:tcPr>
            <w:tcW w:w="70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27ACF25C" w:rsidP="27ACF25C" w:rsidRDefault="27ACF25C" w14:paraId="40DAEDB1" w14:textId="24D659C7">
            <w:pPr>
              <w:spacing w:line="240" w:lineRule="auto"/>
              <w:rPr>
                <w:rFonts w:ascii="Times New Roman" w:hAnsi="Times New Roman" w:cs="Times New Roman"/>
                <w:sz w:val="20"/>
                <w:szCs w:val="20"/>
              </w:rPr>
            </w:pPr>
            <w:r w:rsidRPr="27ACF25C">
              <w:rPr>
                <w:rFonts w:ascii="Times New Roman" w:hAnsi="Times New Roman" w:cs="Times New Roman"/>
                <w:sz w:val="20"/>
                <w:szCs w:val="20"/>
              </w:rPr>
              <w:t>Total Cost Field Test</w:t>
            </w: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27ACF25C" w:rsidP="27ACF25C" w:rsidRDefault="289E9D6B" w14:paraId="34E8B3A4" w14:textId="556ECB87">
            <w:pPr>
              <w:spacing w:line="240" w:lineRule="auto"/>
              <w:jc w:val="right"/>
              <w:rPr>
                <w:rFonts w:ascii="Times New Roman" w:hAnsi="Times New Roman" w:cs="Times New Roman"/>
                <w:sz w:val="20"/>
                <w:szCs w:val="20"/>
              </w:rPr>
            </w:pPr>
            <w:r w:rsidRPr="289E9D6B">
              <w:rPr>
                <w:rFonts w:ascii="Times New Roman" w:hAnsi="Times New Roman" w:cs="Times New Roman"/>
                <w:sz w:val="20"/>
                <w:szCs w:val="20"/>
              </w:rPr>
              <w:t>$1,131,287</w:t>
            </w:r>
          </w:p>
        </w:tc>
      </w:tr>
      <w:tr w:rsidRPr="00E60A0B" w:rsidR="00E60A0B" w:rsidTr="289E9D6B" w14:paraId="682A47AD" w14:textId="77777777">
        <w:trPr>
          <w:trHeight w:val="144"/>
        </w:trPr>
        <w:tc>
          <w:tcPr>
            <w:tcW w:w="3448"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hideMark/>
          </w:tcPr>
          <w:p w:rsidRPr="00E60A0B" w:rsidR="00E60A0B" w:rsidP="00C944E2" w:rsidRDefault="00E60A0B" w14:paraId="1751ABDA" w14:textId="1F05B3E9">
            <w:pPr>
              <w:keepNext/>
              <w:tabs>
                <w:tab w:val="left" w:pos="270"/>
              </w:tabs>
              <w:spacing w:after="0" w:line="240" w:lineRule="auto"/>
              <w:rPr>
                <w:rFonts w:ascii="Times New Roman" w:hAnsi="Times New Roman" w:cs="Times New Roman" w:eastAsiaTheme="minorHAnsi"/>
                <w:b/>
                <w:sz w:val="20"/>
                <w:szCs w:val="20"/>
              </w:rPr>
            </w:pPr>
            <w:r w:rsidRPr="00E60A0B">
              <w:rPr>
                <w:rFonts w:ascii="Times New Roman" w:hAnsi="Times New Roman" w:cs="Times New Roman" w:eastAsiaTheme="minorHAnsi"/>
                <w:b/>
                <w:sz w:val="20"/>
                <w:szCs w:val="20"/>
              </w:rPr>
              <w:t>MAIN STUDY (20</w:t>
            </w:r>
            <w:r>
              <w:rPr>
                <w:rFonts w:ascii="Times New Roman" w:hAnsi="Times New Roman" w:cs="Times New Roman" w:eastAsiaTheme="minorHAnsi"/>
                <w:b/>
                <w:sz w:val="20"/>
                <w:szCs w:val="20"/>
              </w:rPr>
              <w:t>24</w:t>
            </w:r>
            <w:r w:rsidRPr="00E60A0B">
              <w:rPr>
                <w:rFonts w:ascii="Times New Roman" w:hAnsi="Times New Roman" w:cs="Times New Roman" w:eastAsiaTheme="minorHAnsi"/>
                <w:b/>
                <w:sz w:val="20"/>
                <w:szCs w:val="20"/>
              </w:rPr>
              <w:t>)</w:t>
            </w:r>
          </w:p>
        </w:tc>
        <w:tc>
          <w:tcPr>
            <w:tcW w:w="1552"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tcPr>
          <w:p w:rsidRPr="00E60A0B" w:rsidR="00E60A0B" w:rsidP="27ACF25C" w:rsidRDefault="00E60A0B" w14:paraId="333A8C6F" w14:textId="77777777">
            <w:pPr>
              <w:keepNext/>
              <w:tabs>
                <w:tab w:val="decimal" w:pos="1866"/>
              </w:tabs>
              <w:spacing w:after="0" w:line="240" w:lineRule="auto"/>
              <w:jc w:val="right"/>
              <w:rPr>
                <w:rFonts w:ascii="Times New Roman" w:hAnsi="Times New Roman" w:cs="Times New Roman"/>
                <w:b/>
                <w:bCs/>
                <w:sz w:val="20"/>
                <w:szCs w:val="20"/>
              </w:rPr>
            </w:pPr>
          </w:p>
        </w:tc>
      </w:tr>
      <w:tr w:rsidRPr="00E60A0B" w:rsidR="00E60A0B" w:rsidTr="289E9D6B" w14:paraId="40EAD7D0"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60A0B" w:rsidR="00E60A0B" w:rsidP="00E60A0B" w:rsidRDefault="00E60A0B" w14:paraId="390CB162" w14:textId="77777777">
            <w:pPr>
              <w:keepNext/>
              <w:tabs>
                <w:tab w:val="left" w:pos="270"/>
              </w:tabs>
              <w:spacing w:after="0" w:line="240" w:lineRule="auto"/>
              <w:rPr>
                <w:rFonts w:ascii="Times New Roman" w:hAnsi="Times New Roman" w:cs="Times New Roman" w:eastAsiaTheme="minorHAnsi"/>
                <w:sz w:val="20"/>
                <w:szCs w:val="20"/>
              </w:rPr>
            </w:pPr>
            <w:r w:rsidRPr="00E60A0B">
              <w:rPr>
                <w:rFonts w:ascii="Times New Roman" w:hAnsi="Times New Roman" w:cs="Times New Roman" w:eastAsiaTheme="minorHAnsi"/>
                <w:sz w:val="20"/>
                <w:szCs w:val="20"/>
              </w:rPr>
              <w:tab/>
              <w:t>Recruitment</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60A0B" w:rsidR="00E60A0B" w:rsidP="27ACF25C" w:rsidRDefault="27ACF25C" w14:paraId="36FDC7E8" w14:textId="4E9DA3FD">
            <w:pPr>
              <w:keepNext/>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$581,232</w:t>
            </w:r>
          </w:p>
        </w:tc>
      </w:tr>
      <w:tr w:rsidRPr="00E60A0B" w:rsidR="00E60A0B" w:rsidTr="289E9D6B" w14:paraId="3F94A25E"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60A0B" w:rsidR="00E60A0B" w:rsidP="00E60A0B" w:rsidRDefault="00E60A0B" w14:paraId="0C6619D0" w14:textId="77777777">
            <w:pPr>
              <w:keepNext/>
              <w:tabs>
                <w:tab w:val="left" w:pos="270"/>
              </w:tabs>
              <w:spacing w:after="0" w:line="240" w:lineRule="auto"/>
              <w:rPr>
                <w:rFonts w:ascii="Times New Roman" w:hAnsi="Times New Roman" w:cs="Times New Roman" w:eastAsiaTheme="minorHAnsi"/>
                <w:sz w:val="20"/>
                <w:szCs w:val="20"/>
              </w:rPr>
            </w:pPr>
            <w:r w:rsidRPr="00E60A0B">
              <w:rPr>
                <w:rFonts w:ascii="Times New Roman" w:hAnsi="Times New Roman" w:cs="Times New Roman" w:eastAsiaTheme="minorHAnsi"/>
                <w:sz w:val="20"/>
                <w:szCs w:val="20"/>
              </w:rPr>
              <w:tab/>
              <w:t>Preparations (e.g., adapting instruments, sampling)</w:t>
            </w:r>
          </w:p>
        </w:tc>
        <w:tc>
          <w:tcPr>
            <w:tcW w:w="1552" w:type="pct"/>
            <w:tcBorders>
              <w:top w:val="nil"/>
              <w:left w:val="nil"/>
              <w:bottom w:val="single" w:color="auto" w:sz="8" w:space="0"/>
              <w:right w:val="single" w:color="auto" w:sz="8" w:space="0"/>
            </w:tcBorders>
            <w:tcMar>
              <w:top w:w="0" w:type="dxa"/>
              <w:left w:w="108" w:type="dxa"/>
              <w:bottom w:w="0" w:type="dxa"/>
              <w:right w:w="108" w:type="dxa"/>
            </w:tcMar>
            <w:vAlign w:val="center"/>
          </w:tcPr>
          <w:p w:rsidRPr="00E60A0B" w:rsidR="00E60A0B" w:rsidP="27ACF25C" w:rsidRDefault="27ACF25C" w14:paraId="43F8EC78" w14:textId="6539B02E">
            <w:pPr>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$143,832</w:t>
            </w:r>
          </w:p>
        </w:tc>
      </w:tr>
      <w:tr w:rsidRPr="00E60A0B" w:rsidR="00E60A0B" w:rsidTr="289E9D6B" w14:paraId="218E9898"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60A0B" w:rsidR="00E60A0B" w:rsidP="00E60A0B" w:rsidRDefault="00E60A0B" w14:paraId="4425C3C5" w14:textId="77777777">
            <w:pPr>
              <w:keepNext/>
              <w:tabs>
                <w:tab w:val="left" w:pos="270"/>
              </w:tabs>
              <w:spacing w:after="0" w:line="240" w:lineRule="auto"/>
              <w:rPr>
                <w:rFonts w:ascii="Times New Roman" w:hAnsi="Times New Roman" w:cs="Times New Roman" w:eastAsiaTheme="minorHAnsi"/>
                <w:sz w:val="20"/>
                <w:szCs w:val="20"/>
              </w:rPr>
            </w:pPr>
            <w:r w:rsidRPr="00E60A0B">
              <w:rPr>
                <w:rFonts w:ascii="Times New Roman" w:hAnsi="Times New Roman" w:cs="Times New Roman" w:eastAsiaTheme="minorHAnsi"/>
                <w:sz w:val="20"/>
                <w:szCs w:val="20"/>
              </w:rPr>
              <w:tab/>
              <w:t>Data collection, scoring, and coding</w:t>
            </w:r>
          </w:p>
        </w:tc>
        <w:tc>
          <w:tcPr>
            <w:tcW w:w="1552" w:type="pct"/>
            <w:tcBorders>
              <w:top w:val="nil"/>
              <w:left w:val="nil"/>
              <w:bottom w:val="single" w:color="auto" w:sz="8" w:space="0"/>
              <w:right w:val="single" w:color="auto" w:sz="8" w:space="0"/>
            </w:tcBorders>
            <w:tcMar>
              <w:top w:w="0" w:type="dxa"/>
              <w:left w:w="108" w:type="dxa"/>
              <w:bottom w:w="0" w:type="dxa"/>
              <w:right w:w="108" w:type="dxa"/>
            </w:tcMar>
            <w:vAlign w:val="center"/>
          </w:tcPr>
          <w:p w:rsidRPr="00E60A0B" w:rsidR="00E60A0B" w:rsidP="27ACF25C" w:rsidRDefault="289E9D6B" w14:paraId="77D42B50" w14:textId="5EF4E1AE">
            <w:pPr>
              <w:tabs>
                <w:tab w:val="decimal" w:pos="1866"/>
              </w:tabs>
              <w:spacing w:after="0" w:line="240" w:lineRule="auto"/>
              <w:jc w:val="right"/>
              <w:rPr>
                <w:rFonts w:ascii="Times New Roman" w:hAnsi="Times New Roman" w:cs="Times New Roman"/>
                <w:sz w:val="20"/>
                <w:szCs w:val="20"/>
              </w:rPr>
            </w:pPr>
            <w:r w:rsidRPr="289E9D6B">
              <w:rPr>
                <w:rFonts w:ascii="Times New Roman" w:hAnsi="Times New Roman" w:cs="Times New Roman"/>
                <w:sz w:val="20"/>
                <w:szCs w:val="20"/>
              </w:rPr>
              <w:t>$979,819</w:t>
            </w:r>
          </w:p>
        </w:tc>
      </w:tr>
      <w:tr w:rsidRPr="00E60A0B" w:rsidR="00E60A0B" w:rsidTr="289E9D6B" w14:paraId="1F08E2ED" w14:textId="77777777">
        <w:trPr>
          <w:trHeight w:val="330"/>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E60A0B" w:rsidR="00E60A0B" w:rsidP="00E60A0B" w:rsidRDefault="00E60A0B" w14:paraId="7680D4DC" w14:textId="77777777">
            <w:pPr>
              <w:keepNext/>
              <w:tabs>
                <w:tab w:val="left" w:pos="270"/>
              </w:tabs>
              <w:spacing w:after="0" w:line="240" w:lineRule="auto"/>
              <w:ind w:left="270"/>
              <w:rPr>
                <w:rFonts w:ascii="Times New Roman" w:hAnsi="Times New Roman" w:cs="Times New Roman" w:eastAsiaTheme="minorHAnsi"/>
                <w:bCs/>
                <w:sz w:val="20"/>
                <w:szCs w:val="20"/>
              </w:rPr>
            </w:pPr>
            <w:r w:rsidRPr="00E60A0B">
              <w:rPr>
                <w:rFonts w:ascii="Times New Roman" w:hAnsi="Times New Roman" w:cs="Times New Roman" w:eastAsiaTheme="minorHAnsi"/>
                <w:bCs/>
                <w:sz w:val="20"/>
                <w:szCs w:val="20"/>
              </w:rPr>
              <w:t>Reporting and dissemination</w:t>
            </w:r>
          </w:p>
        </w:tc>
        <w:tc>
          <w:tcPr>
            <w:tcW w:w="1552" w:type="pct"/>
            <w:tcBorders>
              <w:top w:val="nil"/>
              <w:left w:val="nil"/>
              <w:bottom w:val="single" w:color="auto" w:sz="8" w:space="0"/>
              <w:right w:val="single" w:color="auto" w:sz="8" w:space="0"/>
            </w:tcBorders>
            <w:tcMar>
              <w:top w:w="0" w:type="dxa"/>
              <w:left w:w="108" w:type="dxa"/>
              <w:bottom w:w="0" w:type="dxa"/>
              <w:right w:w="108" w:type="dxa"/>
            </w:tcMar>
            <w:vAlign w:val="center"/>
          </w:tcPr>
          <w:p w:rsidRPr="00E60A0B" w:rsidR="00E60A0B" w:rsidP="27ACF25C" w:rsidRDefault="27ACF25C" w14:paraId="4772ED5D" w14:textId="56C9B579">
            <w:pPr>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$626,904</w:t>
            </w:r>
          </w:p>
        </w:tc>
      </w:tr>
      <w:tr w:rsidR="27ACF25C" w:rsidTr="289E9D6B" w14:paraId="42644533" w14:textId="77777777">
        <w:trPr>
          <w:trHeight w:val="330"/>
        </w:trPr>
        <w:tc>
          <w:tcPr>
            <w:tcW w:w="7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27ACF25C" w:rsidP="27ACF25C" w:rsidRDefault="27ACF25C" w14:paraId="1947922B" w14:textId="0008CD10">
            <w:pPr>
              <w:spacing w:line="240" w:lineRule="auto"/>
              <w:rPr>
                <w:rFonts w:ascii="Times New Roman" w:hAnsi="Times New Roman" w:cs="Times New Roman"/>
                <w:sz w:val="20"/>
                <w:szCs w:val="20"/>
              </w:rPr>
            </w:pPr>
            <w:r w:rsidRPr="27ACF25C">
              <w:rPr>
                <w:rFonts w:ascii="Times New Roman" w:hAnsi="Times New Roman" w:cs="Times New Roman"/>
                <w:sz w:val="20"/>
                <w:szCs w:val="20"/>
              </w:rPr>
              <w:t>Total Cost Main Study</w:t>
            </w:r>
          </w:p>
        </w:tc>
        <w:tc>
          <w:tcPr>
            <w:tcW w:w="3167" w:type="dxa"/>
            <w:tcBorders>
              <w:top w:val="nil"/>
              <w:left w:val="nil"/>
              <w:bottom w:val="single" w:color="auto" w:sz="8" w:space="0"/>
              <w:right w:val="single" w:color="auto" w:sz="8" w:space="0"/>
            </w:tcBorders>
            <w:tcMar>
              <w:top w:w="0" w:type="dxa"/>
              <w:left w:w="108" w:type="dxa"/>
              <w:bottom w:w="0" w:type="dxa"/>
              <w:right w:w="108" w:type="dxa"/>
            </w:tcMar>
            <w:vAlign w:val="center"/>
          </w:tcPr>
          <w:p w:rsidR="27ACF25C" w:rsidP="27ACF25C" w:rsidRDefault="289E9D6B" w14:paraId="31269AB7" w14:textId="60F17201">
            <w:pPr>
              <w:spacing w:line="240" w:lineRule="auto"/>
              <w:jc w:val="right"/>
              <w:rPr>
                <w:rFonts w:ascii="Times New Roman" w:hAnsi="Times New Roman" w:cs="Times New Roman"/>
                <w:sz w:val="20"/>
                <w:szCs w:val="20"/>
              </w:rPr>
            </w:pPr>
            <w:r w:rsidRPr="289E9D6B">
              <w:rPr>
                <w:rFonts w:ascii="Times New Roman" w:hAnsi="Times New Roman" w:cs="Times New Roman"/>
                <w:sz w:val="20"/>
                <w:szCs w:val="20"/>
              </w:rPr>
              <w:t>$2,331,787</w:t>
            </w:r>
          </w:p>
        </w:tc>
      </w:tr>
      <w:tr w:rsidR="27ACF25C" w:rsidTr="289E9D6B" w14:paraId="26364068" w14:textId="77777777">
        <w:trPr>
          <w:trHeight w:val="330"/>
        </w:trPr>
        <w:tc>
          <w:tcPr>
            <w:tcW w:w="7037"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tcPr>
          <w:p w:rsidR="27ACF25C" w:rsidP="27ACF25C" w:rsidRDefault="27ACF25C" w14:paraId="09740DA6" w14:textId="362B2A51">
            <w:pPr>
              <w:spacing w:line="240" w:lineRule="auto"/>
              <w:rPr>
                <w:rFonts w:ascii="Times New Roman" w:hAnsi="Times New Roman" w:cs="Times New Roman"/>
                <w:sz w:val="20"/>
                <w:szCs w:val="20"/>
              </w:rPr>
            </w:pPr>
            <w:r w:rsidRPr="27ACF25C">
              <w:rPr>
                <w:rFonts w:ascii="Times New Roman" w:hAnsi="Times New Roman" w:cs="Times New Roman"/>
                <w:sz w:val="20"/>
                <w:szCs w:val="20"/>
              </w:rPr>
              <w:t>Total Cost TALIS 2024</w:t>
            </w:r>
          </w:p>
        </w:tc>
        <w:tc>
          <w:tcPr>
            <w:tcW w:w="3167"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tcPr>
          <w:p w:rsidR="27ACF25C" w:rsidP="27ACF25C" w:rsidRDefault="289E9D6B" w14:paraId="08498E33" w14:textId="591E2C61">
            <w:pPr>
              <w:spacing w:line="240" w:lineRule="auto"/>
              <w:jc w:val="right"/>
              <w:rPr>
                <w:rFonts w:ascii="Times New Roman" w:hAnsi="Times New Roman" w:cs="Times New Roman"/>
                <w:sz w:val="20"/>
                <w:szCs w:val="20"/>
              </w:rPr>
            </w:pPr>
            <w:r w:rsidRPr="289E9D6B">
              <w:rPr>
                <w:rFonts w:ascii="Times New Roman" w:hAnsi="Times New Roman" w:cs="Times New Roman"/>
                <w:sz w:val="20"/>
                <w:szCs w:val="20"/>
              </w:rPr>
              <w:t>$3,463,074</w:t>
            </w:r>
          </w:p>
        </w:tc>
      </w:tr>
    </w:tbl>
    <w:p w:rsidRPr="0088319A" w:rsidR="00E60A0B" w:rsidP="27ACF25C" w:rsidRDefault="00E60A0B" w14:paraId="4284C593" w14:textId="7D564D84">
      <w:pPr>
        <w:spacing w:line="240" w:lineRule="auto"/>
      </w:pPr>
    </w:p>
    <w:p w:rsidRPr="0088319A" w:rsidR="00F745F0" w:rsidP="00F63C37" w:rsidRDefault="008764CB" w14:paraId="43663ACC" w14:textId="77777777">
      <w:pPr>
        <w:pStyle w:val="Heading1"/>
      </w:pPr>
      <w:bookmarkStart w:name="_Toc260729202" w:id="48"/>
      <w:bookmarkStart w:name="_Toc299121377" w:id="49"/>
      <w:bookmarkStart w:name="_Toc90026011" w:id="50"/>
      <w:r w:rsidRPr="0088319A">
        <w:t>A.15</w:t>
      </w:r>
      <w:r w:rsidRPr="0088319A">
        <w:tab/>
        <w:t>Program Changes or Adjustments</w:t>
      </w:r>
      <w:bookmarkEnd w:id="48"/>
      <w:bookmarkEnd w:id="49"/>
      <w:bookmarkEnd w:id="50"/>
    </w:p>
    <w:p w:rsidRPr="00CA2BD2" w:rsidR="008764CB" w:rsidP="00D36763" w:rsidRDefault="44FD35A1" w14:paraId="43EA6C6A" w14:textId="513A0123">
      <w:pPr>
        <w:spacing w:line="240" w:lineRule="auto"/>
        <w:rPr>
          <w:rFonts w:ascii="Times New Roman" w:hAnsi="Times New Roman" w:cs="Times New Roman"/>
          <w:color w:val="C00000"/>
          <w:sz w:val="24"/>
          <w:szCs w:val="24"/>
        </w:rPr>
      </w:pPr>
      <w:r w:rsidRPr="44FD35A1">
        <w:rPr>
          <w:rFonts w:ascii="Times New Roman" w:hAnsi="Times New Roman" w:cs="Times New Roman"/>
          <w:sz w:val="24"/>
          <w:szCs w:val="24"/>
        </w:rPr>
        <w:t xml:space="preserve">This is a reinstatement of a previously approved collection and, as such, shows an increase in respondent burden. Also, the international design calls for an increase in the number of schools in the field test, relative to 2018. As well, TALIS 2024 includes the TKS questionnaire. To allow for reliable estimation for both the core and TKS questionnaires, the sample within schools is increased from 20 to 35 for TALIS 2024. </w:t>
      </w:r>
      <w:proofErr w:type="gramStart"/>
      <w:r w:rsidRPr="44FD35A1">
        <w:rPr>
          <w:rFonts w:ascii="Times New Roman" w:hAnsi="Times New Roman" w:cs="Times New Roman"/>
          <w:sz w:val="24"/>
          <w:szCs w:val="24"/>
        </w:rPr>
        <w:t>Both of these</w:t>
      </w:r>
      <w:proofErr w:type="gramEnd"/>
      <w:r w:rsidRPr="44FD35A1">
        <w:rPr>
          <w:rFonts w:ascii="Times New Roman" w:hAnsi="Times New Roman" w:cs="Times New Roman"/>
          <w:sz w:val="24"/>
          <w:szCs w:val="24"/>
        </w:rPr>
        <w:t xml:space="preserve"> changes increase the teacher sample size for the field test from 700 teachers in TALIS 2018 to 1,400 in TALIS 2024.</w:t>
      </w:r>
    </w:p>
    <w:p w:rsidRPr="0088319A" w:rsidR="008764CB" w:rsidP="00F63C37" w:rsidRDefault="008764CB" w14:paraId="134E0337" w14:textId="77777777">
      <w:pPr>
        <w:pStyle w:val="Heading1"/>
      </w:pPr>
      <w:bookmarkStart w:name="_Toc260729203" w:id="51"/>
      <w:bookmarkStart w:name="_Toc299121378" w:id="52"/>
      <w:bookmarkStart w:name="_Toc90026012" w:id="53"/>
      <w:r w:rsidRPr="0088319A">
        <w:lastRenderedPageBreak/>
        <w:t>A.16</w:t>
      </w:r>
      <w:r w:rsidRPr="0088319A">
        <w:tab/>
        <w:t>Plans for Tabulation and Publication</w:t>
      </w:r>
      <w:bookmarkEnd w:id="51"/>
      <w:bookmarkEnd w:id="52"/>
      <w:bookmarkEnd w:id="53"/>
    </w:p>
    <w:p w:rsidRPr="0088319A" w:rsidR="0002236C" w:rsidP="00D36763" w:rsidRDefault="008764CB" w14:paraId="32DE0D41" w14:textId="6B8CA3C8">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For the </w:t>
      </w:r>
      <w:r w:rsidRPr="0088319A" w:rsidR="006B3B39">
        <w:rPr>
          <w:rFonts w:ascii="Times New Roman" w:hAnsi="Times New Roman" w:cs="Times New Roman"/>
          <w:sz w:val="24"/>
          <w:szCs w:val="24"/>
        </w:rPr>
        <w:t>TALIS 2024</w:t>
      </w:r>
      <w:r w:rsidRPr="0088319A" w:rsidR="00C01116">
        <w:rPr>
          <w:rFonts w:ascii="Times New Roman" w:hAnsi="Times New Roman" w:cs="Times New Roman"/>
          <w:sz w:val="24"/>
          <w:szCs w:val="24"/>
        </w:rPr>
        <w:t xml:space="preserve"> </w:t>
      </w:r>
      <w:r w:rsidRPr="0088319A" w:rsidR="0043712A">
        <w:rPr>
          <w:rFonts w:ascii="Times New Roman" w:hAnsi="Times New Roman" w:cs="Times New Roman"/>
          <w:sz w:val="24"/>
          <w:szCs w:val="24"/>
        </w:rPr>
        <w:t>field test</w:t>
      </w:r>
      <w:r w:rsidRPr="0088319A">
        <w:rPr>
          <w:rFonts w:ascii="Times New Roman" w:hAnsi="Times New Roman" w:cs="Times New Roman"/>
          <w:sz w:val="24"/>
          <w:szCs w:val="24"/>
        </w:rPr>
        <w:t xml:space="preserve"> there will be no published report of the findings. </w:t>
      </w:r>
      <w:r w:rsidRPr="0088319A" w:rsidR="0002236C">
        <w:rPr>
          <w:rFonts w:ascii="Times New Roman" w:hAnsi="Times New Roman" w:cs="Times New Roman"/>
          <w:sz w:val="24"/>
          <w:szCs w:val="24"/>
        </w:rPr>
        <w:t xml:space="preserve">For the main study, an analysis of the U.S. and international data will be </w:t>
      </w:r>
      <w:r w:rsidRPr="0088319A" w:rsidR="00184F4F">
        <w:rPr>
          <w:rFonts w:ascii="Times New Roman" w:hAnsi="Times New Roman" w:cs="Times New Roman"/>
          <w:sz w:val="24"/>
          <w:szCs w:val="24"/>
        </w:rPr>
        <w:t>conducted to report on</w:t>
      </w:r>
      <w:r w:rsidRPr="0088319A" w:rsidR="0002236C">
        <w:rPr>
          <w:rFonts w:ascii="Times New Roman" w:hAnsi="Times New Roman" w:cs="Times New Roman"/>
          <w:sz w:val="24"/>
          <w:szCs w:val="24"/>
        </w:rPr>
        <w:t xml:space="preserve"> the U.S. national results in relation to the international results. Based on proposed analyses of the international data set by </w:t>
      </w:r>
      <w:r w:rsidR="00CA227F">
        <w:rPr>
          <w:rFonts w:ascii="Times New Roman" w:hAnsi="Times New Roman" w:cs="Times New Roman"/>
          <w:sz w:val="24"/>
          <w:szCs w:val="24"/>
        </w:rPr>
        <w:t>the IC</w:t>
      </w:r>
      <w:r w:rsidRPr="0088319A" w:rsidR="0002236C">
        <w:rPr>
          <w:rFonts w:ascii="Times New Roman" w:hAnsi="Times New Roman" w:cs="Times New Roman"/>
          <w:sz w:val="24"/>
          <w:szCs w:val="24"/>
        </w:rPr>
        <w:t xml:space="preserve">, and the need for NCES to report results from the perspective of a </w:t>
      </w:r>
      <w:r w:rsidRPr="0088319A" w:rsidR="009A38B3">
        <w:rPr>
          <w:rFonts w:ascii="Times New Roman" w:hAnsi="Times New Roman" w:cs="Times New Roman"/>
          <w:sz w:val="24"/>
          <w:szCs w:val="24"/>
        </w:rPr>
        <w:t>U.S.</w:t>
      </w:r>
      <w:r w:rsidRPr="0088319A" w:rsidR="0002236C">
        <w:rPr>
          <w:rFonts w:ascii="Times New Roman" w:hAnsi="Times New Roman" w:cs="Times New Roman"/>
          <w:sz w:val="24"/>
          <w:szCs w:val="24"/>
        </w:rPr>
        <w:t xml:space="preserve"> constituency, </w:t>
      </w:r>
      <w:r w:rsidRPr="0088319A" w:rsidR="0088319A">
        <w:rPr>
          <w:rFonts w:ascii="Times New Roman" w:hAnsi="Times New Roman" w:cs="Times New Roman"/>
          <w:sz w:val="24"/>
          <w:szCs w:val="24"/>
        </w:rPr>
        <w:t xml:space="preserve">a </w:t>
      </w:r>
      <w:r w:rsidRPr="0088319A" w:rsidR="0002236C">
        <w:rPr>
          <w:rFonts w:ascii="Times New Roman" w:hAnsi="Times New Roman" w:cs="Times New Roman"/>
          <w:sz w:val="24"/>
          <w:szCs w:val="24"/>
        </w:rPr>
        <w:t>statistical analysis of the U.S. national data set as compared to the international data set</w:t>
      </w:r>
      <w:r w:rsidRPr="0088319A" w:rsidR="0088319A">
        <w:rPr>
          <w:rFonts w:ascii="Times New Roman" w:hAnsi="Times New Roman" w:cs="Times New Roman"/>
          <w:sz w:val="24"/>
          <w:szCs w:val="24"/>
        </w:rPr>
        <w:t xml:space="preserve"> will be conducted</w:t>
      </w:r>
      <w:r w:rsidRPr="0088319A" w:rsidR="0002236C">
        <w:rPr>
          <w:rFonts w:ascii="Times New Roman" w:hAnsi="Times New Roman" w:cs="Times New Roman"/>
          <w:sz w:val="24"/>
          <w:szCs w:val="24"/>
        </w:rPr>
        <w:t xml:space="preserve">. Analysis of data will include examinations of the survey instruments of U.S. teachers and school principals in relation to their international counterparts. All reports and publications will be coordinated with the release of information from the international organizing body. Planned publications and reports for the </w:t>
      </w:r>
      <w:r w:rsidRPr="0088319A" w:rsidR="006B3B39">
        <w:rPr>
          <w:rFonts w:ascii="Times New Roman" w:hAnsi="Times New Roman" w:cs="Times New Roman"/>
          <w:sz w:val="24"/>
          <w:szCs w:val="24"/>
        </w:rPr>
        <w:t>TALIS 2024</w:t>
      </w:r>
      <w:r w:rsidRPr="0088319A" w:rsidR="0002236C">
        <w:rPr>
          <w:rFonts w:ascii="Times New Roman" w:hAnsi="Times New Roman" w:cs="Times New Roman"/>
          <w:sz w:val="24"/>
          <w:szCs w:val="24"/>
        </w:rPr>
        <w:t xml:space="preserve"> main study include the following:</w:t>
      </w:r>
    </w:p>
    <w:p w:rsidRPr="0088319A" w:rsidR="0002236C" w:rsidP="00D36763" w:rsidRDefault="0002236C" w14:paraId="0BAF39E7"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General Audience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report will present information on the status of the teaching workforce, the conditions of teaching, and the learning environments of schools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comparison to the other international participants, written for a non-specialist, general </w:t>
      </w:r>
      <w:r w:rsidRPr="0088319A" w:rsidR="009A38B3">
        <w:rPr>
          <w:rFonts w:ascii="Times New Roman" w:hAnsi="Times New Roman" w:cs="Times New Roman"/>
          <w:sz w:val="24"/>
          <w:szCs w:val="24"/>
        </w:rPr>
        <w:t>U.S.</w:t>
      </w:r>
      <w:r w:rsidRPr="0088319A">
        <w:rPr>
          <w:rFonts w:ascii="Times New Roman" w:hAnsi="Times New Roman" w:cs="Times New Roman"/>
          <w:sz w:val="24"/>
          <w:szCs w:val="24"/>
        </w:rPr>
        <w:t xml:space="preserve"> audience. This report will present the results of analyses in a clear and non-technical way, conveying how U.S. results compare on the international stage, and what factors, if any, may be associated with the U.S. results.</w:t>
      </w:r>
    </w:p>
    <w:p w:rsidRPr="0088319A" w:rsidR="0002236C" w:rsidP="00D36763" w:rsidRDefault="0002236C" w14:paraId="5C4D0ABD"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Survey Operations/Technical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w:t>
      </w:r>
      <w:r w:rsidRPr="0088319A" w:rsidR="00184F4F">
        <w:rPr>
          <w:rFonts w:ascii="Times New Roman" w:hAnsi="Times New Roman" w:cs="Times New Roman"/>
          <w:sz w:val="24"/>
          <w:szCs w:val="24"/>
        </w:rPr>
        <w:t>report</w:t>
      </w:r>
      <w:r w:rsidRPr="0088319A">
        <w:rPr>
          <w:rFonts w:ascii="Times New Roman" w:hAnsi="Times New Roman" w:cs="Times New Roman"/>
          <w:sz w:val="24"/>
          <w:szCs w:val="24"/>
        </w:rPr>
        <w:t xml:space="preserve"> will document the procedures used in the main study (e.g., sampling, recruitment, data collection, scoring, weighting, and imputation) and </w:t>
      </w:r>
      <w:r w:rsidRPr="0088319A" w:rsidR="00184F4F">
        <w:rPr>
          <w:rFonts w:ascii="Times New Roman" w:hAnsi="Times New Roman" w:cs="Times New Roman"/>
          <w:sz w:val="24"/>
          <w:szCs w:val="24"/>
        </w:rPr>
        <w:t>discuss</w:t>
      </w:r>
      <w:r w:rsidRPr="0088319A">
        <w:rPr>
          <w:rFonts w:ascii="Times New Roman" w:hAnsi="Times New Roman" w:cs="Times New Roman"/>
          <w:sz w:val="24"/>
          <w:szCs w:val="24"/>
        </w:rPr>
        <w:t xml:space="preserve"> any problems encountered. The primary purpose of the main study survey operations/technical report is to document those steps taken by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w:t>
      </w:r>
      <w:r w:rsidRPr="0088319A" w:rsidR="00184F4F">
        <w:rPr>
          <w:rFonts w:ascii="Times New Roman" w:hAnsi="Times New Roman" w:cs="Times New Roman"/>
          <w:sz w:val="24"/>
          <w:szCs w:val="24"/>
        </w:rPr>
        <w:t>conducting</w:t>
      </w:r>
      <w:r w:rsidRPr="0088319A">
        <w:rPr>
          <w:rFonts w:ascii="Times New Roman" w:hAnsi="Times New Roman" w:cs="Times New Roman"/>
          <w:sz w:val="24"/>
          <w:szCs w:val="24"/>
        </w:rPr>
        <w:t xml:space="preserve"> and completing the study. This report will include an analysis of non-response bias, which will assess the presence and extent of bias due to nonresponse. Selected characteristics of respondent teachers and schools will be compared with those of non-respondent schools and teachers to provide information </w:t>
      </w:r>
      <w:r w:rsidRPr="0088319A" w:rsidR="009A38B3">
        <w:rPr>
          <w:rFonts w:ascii="Times New Roman" w:hAnsi="Times New Roman" w:cs="Times New Roman"/>
          <w:sz w:val="24"/>
          <w:szCs w:val="24"/>
        </w:rPr>
        <w:t>on</w:t>
      </w:r>
      <w:r w:rsidRPr="0088319A">
        <w:rPr>
          <w:rFonts w:ascii="Times New Roman" w:hAnsi="Times New Roman" w:cs="Times New Roman"/>
          <w:sz w:val="24"/>
          <w:szCs w:val="24"/>
        </w:rPr>
        <w:t xml:space="preserve"> whether and how they differ from respondents along dimensions for which we have data for the nonresponding units, as required by NCES standards.</w:t>
      </w:r>
    </w:p>
    <w:p w:rsidR="00A90F49" w:rsidP="00D36763" w:rsidRDefault="0002236C" w14:paraId="12A1DADE" w14:textId="36EB5AE0">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Electronic versions of each publication </w:t>
      </w:r>
      <w:r w:rsidRPr="0088319A" w:rsidR="009A38B3">
        <w:rPr>
          <w:rFonts w:ascii="Times New Roman" w:hAnsi="Times New Roman" w:cs="Times New Roman"/>
          <w:sz w:val="24"/>
          <w:szCs w:val="24"/>
        </w:rPr>
        <w:t>will be</w:t>
      </w:r>
      <w:r w:rsidRPr="0088319A">
        <w:rPr>
          <w:rFonts w:ascii="Times New Roman" w:hAnsi="Times New Roman" w:cs="Times New Roman"/>
          <w:sz w:val="24"/>
          <w:szCs w:val="24"/>
        </w:rPr>
        <w:t xml:space="preserve"> made available on the NCES website. Schedules for tabulation and publication of </w:t>
      </w:r>
      <w:r w:rsidRPr="0088319A" w:rsidR="006B3B39">
        <w:rPr>
          <w:rFonts w:ascii="Times New Roman" w:hAnsi="Times New Roman" w:cs="Times New Roman"/>
          <w:sz w:val="24"/>
          <w:szCs w:val="24"/>
        </w:rPr>
        <w:t>TALIS 2024</w:t>
      </w:r>
      <w:r w:rsidRPr="0088319A">
        <w:rPr>
          <w:rFonts w:ascii="Times New Roman" w:hAnsi="Times New Roman" w:cs="Times New Roman"/>
          <w:sz w:val="24"/>
          <w:szCs w:val="24"/>
        </w:rPr>
        <w:t xml:space="preserve"> results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are dependent upon receiving data files from the international sponsoring organization. The expected data collection dates and a tentative reporting schedule are </w:t>
      </w:r>
      <w:r w:rsidR="00D46AC7">
        <w:rPr>
          <w:rFonts w:ascii="Times New Roman" w:hAnsi="Times New Roman" w:cs="Times New Roman"/>
          <w:sz w:val="24"/>
          <w:szCs w:val="24"/>
        </w:rPr>
        <w:t>provided in table 3.</w:t>
      </w:r>
    </w:p>
    <w:p w:rsidRPr="00410EC8" w:rsidR="00D46AC7" w:rsidP="00D46AC7" w:rsidRDefault="00D46AC7" w14:paraId="17FA14EA" w14:textId="3EBB6401">
      <w:pPr>
        <w:spacing w:after="0" w:line="240" w:lineRule="auto"/>
        <w:rPr>
          <w:rFonts w:ascii="Times New Roman" w:hAnsi="Times New Roman" w:cs="Times New Roman"/>
          <w:b/>
          <w:sz w:val="24"/>
          <w:szCs w:val="24"/>
        </w:rPr>
      </w:pPr>
      <w:r w:rsidRPr="00410EC8">
        <w:rPr>
          <w:rFonts w:ascii="Times New Roman" w:hAnsi="Times New Roman" w:cs="Times New Roman"/>
          <w:b/>
          <w:sz w:val="24"/>
          <w:szCs w:val="24"/>
        </w:rPr>
        <w:t xml:space="preserve">Table </w:t>
      </w:r>
      <w:r>
        <w:rPr>
          <w:rFonts w:ascii="Times New Roman" w:hAnsi="Times New Roman" w:cs="Times New Roman"/>
          <w:b/>
          <w:sz w:val="24"/>
          <w:szCs w:val="24"/>
        </w:rPr>
        <w:t>3</w:t>
      </w:r>
      <w:r w:rsidRPr="00410EC8">
        <w:rPr>
          <w:rFonts w:ascii="Times New Roman" w:hAnsi="Times New Roman" w:cs="Times New Roman"/>
          <w:b/>
          <w:sz w:val="24"/>
          <w:szCs w:val="24"/>
        </w:rPr>
        <w:t xml:space="preserve">. </w:t>
      </w:r>
      <w:r>
        <w:rPr>
          <w:rFonts w:ascii="Times New Roman" w:hAnsi="Times New Roman" w:cs="Times New Roman"/>
          <w:b/>
          <w:sz w:val="24"/>
          <w:szCs w:val="24"/>
        </w:rPr>
        <w:t>Timeline of activities for TALIS 2024 field test and main study</w:t>
      </w:r>
    </w:p>
    <w:tbl>
      <w:tblPr>
        <w:tblStyle w:val="TableGrid"/>
        <w:tblW w:w="5000" w:type="pct"/>
        <w:tblLook w:val="04A0" w:firstRow="1" w:lastRow="0" w:firstColumn="1" w:lastColumn="0" w:noHBand="0" w:noVBand="1"/>
      </w:tblPr>
      <w:tblGrid>
        <w:gridCol w:w="7591"/>
        <w:gridCol w:w="2623"/>
      </w:tblGrid>
      <w:tr w:rsidRPr="0071144F" w:rsidR="00CA2BD2" w:rsidTr="002203DD" w14:paraId="7059F58E" w14:textId="77777777">
        <w:trPr>
          <w:trHeight w:val="144"/>
        </w:trPr>
        <w:tc>
          <w:tcPr>
            <w:tcW w:w="3716" w:type="pct"/>
            <w:vAlign w:val="center"/>
          </w:tcPr>
          <w:p w:rsidRPr="0071144F" w:rsidR="002203DD" w:rsidP="00D36763" w:rsidRDefault="002203DD" w14:paraId="665620D5" w14:textId="77777777">
            <w:pPr>
              <w:rPr>
                <w:rFonts w:ascii="Times New Roman" w:hAnsi="Times New Roman" w:cs="Times New Roman"/>
                <w:b/>
                <w:sz w:val="24"/>
                <w:szCs w:val="24"/>
              </w:rPr>
            </w:pPr>
            <w:r w:rsidRPr="0071144F">
              <w:rPr>
                <w:rFonts w:ascii="Times New Roman" w:hAnsi="Times New Roman" w:cs="Times New Roman"/>
                <w:b/>
                <w:sz w:val="24"/>
                <w:szCs w:val="24"/>
              </w:rPr>
              <w:t>Activity</w:t>
            </w:r>
          </w:p>
        </w:tc>
        <w:tc>
          <w:tcPr>
            <w:tcW w:w="1284" w:type="pct"/>
            <w:vAlign w:val="center"/>
          </w:tcPr>
          <w:p w:rsidRPr="0071144F" w:rsidR="002203DD" w:rsidP="00D36763" w:rsidRDefault="002203DD" w14:paraId="11366F56" w14:textId="77777777">
            <w:pPr>
              <w:rPr>
                <w:rFonts w:ascii="Times New Roman" w:hAnsi="Times New Roman" w:cs="Times New Roman"/>
                <w:b/>
                <w:sz w:val="24"/>
                <w:szCs w:val="24"/>
              </w:rPr>
            </w:pPr>
            <w:r w:rsidRPr="0071144F">
              <w:rPr>
                <w:rFonts w:ascii="Times New Roman" w:hAnsi="Times New Roman" w:cs="Times New Roman"/>
                <w:b/>
                <w:sz w:val="24"/>
                <w:szCs w:val="24"/>
              </w:rPr>
              <w:t>Timeframe</w:t>
            </w:r>
          </w:p>
        </w:tc>
      </w:tr>
      <w:tr w:rsidRPr="0071144F" w:rsidR="00CA2BD2" w:rsidTr="002203DD" w14:paraId="12480C3C" w14:textId="77777777">
        <w:trPr>
          <w:trHeight w:val="144"/>
        </w:trPr>
        <w:tc>
          <w:tcPr>
            <w:tcW w:w="3716" w:type="pct"/>
            <w:vAlign w:val="center"/>
          </w:tcPr>
          <w:p w:rsidRPr="0071144F" w:rsidR="002203DD" w:rsidP="00D36763" w:rsidRDefault="002203DD" w14:paraId="462E3515" w14:textId="77777777">
            <w:pPr>
              <w:rPr>
                <w:rFonts w:ascii="Times New Roman" w:hAnsi="Times New Roman" w:cs="Times New Roman"/>
                <w:sz w:val="24"/>
                <w:szCs w:val="24"/>
              </w:rPr>
            </w:pPr>
            <w:r w:rsidRPr="0071144F">
              <w:rPr>
                <w:rFonts w:ascii="Times New Roman" w:hAnsi="Times New Roman" w:cs="Times New Roman"/>
                <w:sz w:val="24"/>
                <w:szCs w:val="24"/>
              </w:rPr>
              <w:t>Pilot study (</w:t>
            </w:r>
            <w:r w:rsidRPr="0088319A">
              <w:rPr>
                <w:rFonts w:ascii="Times New Roman" w:hAnsi="Times New Roman" w:cs="Times New Roman"/>
                <w:sz w:val="24"/>
                <w:szCs w:val="24"/>
              </w:rPr>
              <w:t xml:space="preserve">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will not participate in the pilot study</w:t>
            </w:r>
            <w:r w:rsidRPr="0071144F">
              <w:rPr>
                <w:rFonts w:ascii="Times New Roman" w:hAnsi="Times New Roman" w:cs="Times New Roman"/>
                <w:sz w:val="24"/>
                <w:szCs w:val="24"/>
              </w:rPr>
              <w:t>)</w:t>
            </w:r>
          </w:p>
        </w:tc>
        <w:tc>
          <w:tcPr>
            <w:tcW w:w="1284" w:type="pct"/>
            <w:vAlign w:val="center"/>
          </w:tcPr>
          <w:p w:rsidRPr="0088319A" w:rsidR="002203DD" w:rsidP="00D36763" w:rsidRDefault="007564AC" w14:paraId="75B74110" w14:textId="3CA49CEA">
            <w:pPr>
              <w:rPr>
                <w:rFonts w:ascii="Times New Roman" w:hAnsi="Times New Roman" w:cs="Times New Roman"/>
                <w:sz w:val="24"/>
                <w:szCs w:val="24"/>
              </w:rPr>
            </w:pPr>
            <w:r>
              <w:rPr>
                <w:rFonts w:ascii="Times New Roman" w:hAnsi="Times New Roman" w:cs="Times New Roman"/>
                <w:sz w:val="24"/>
                <w:szCs w:val="24"/>
              </w:rPr>
              <w:t xml:space="preserve">February </w:t>
            </w:r>
            <w:r w:rsidRPr="0088319A" w:rsidR="00CA2BD2">
              <w:rPr>
                <w:rFonts w:ascii="Times New Roman" w:hAnsi="Times New Roman" w:cs="Times New Roman"/>
                <w:sz w:val="24"/>
                <w:szCs w:val="24"/>
              </w:rPr>
              <w:t>2022</w:t>
            </w:r>
          </w:p>
        </w:tc>
      </w:tr>
      <w:tr w:rsidRPr="0071144F" w:rsidR="00D36763" w:rsidTr="00C944E2" w14:paraId="61D17362" w14:textId="77777777">
        <w:trPr>
          <w:trHeight w:val="144"/>
        </w:trPr>
        <w:tc>
          <w:tcPr>
            <w:tcW w:w="3716" w:type="pct"/>
            <w:vAlign w:val="center"/>
          </w:tcPr>
          <w:p w:rsidRPr="0071144F" w:rsidR="00D36763" w:rsidP="00D36763" w:rsidRDefault="00D36763" w14:paraId="22BC64CC" w14:textId="2FB498B0">
            <w:pPr>
              <w:rPr>
                <w:rFonts w:ascii="Times New Roman" w:hAnsi="Times New Roman" w:cs="Times New Roman"/>
                <w:sz w:val="24"/>
                <w:szCs w:val="24"/>
              </w:rPr>
            </w:pPr>
            <w:r w:rsidRPr="0071144F">
              <w:rPr>
                <w:rFonts w:ascii="Times New Roman" w:hAnsi="Times New Roman" w:cs="Times New Roman"/>
                <w:sz w:val="24"/>
                <w:szCs w:val="24"/>
              </w:rPr>
              <w:t xml:space="preserve">Preparation </w:t>
            </w:r>
            <w:r w:rsidR="00CA227F">
              <w:rPr>
                <w:rFonts w:ascii="Times New Roman" w:hAnsi="Times New Roman" w:cs="Times New Roman"/>
                <w:sz w:val="24"/>
                <w:szCs w:val="24"/>
              </w:rPr>
              <w:t>for</w:t>
            </w:r>
            <w:r w:rsidRPr="0071144F">
              <w:rPr>
                <w:rFonts w:ascii="Times New Roman" w:hAnsi="Times New Roman" w:cs="Times New Roman"/>
                <w:sz w:val="24"/>
                <w:szCs w:val="24"/>
              </w:rPr>
              <w:t xml:space="preserve"> field trial data collection</w:t>
            </w:r>
          </w:p>
        </w:tc>
        <w:tc>
          <w:tcPr>
            <w:tcW w:w="1284" w:type="pct"/>
            <w:vAlign w:val="center"/>
          </w:tcPr>
          <w:p w:rsidRPr="0088319A" w:rsidR="00D36763" w:rsidP="00D36763" w:rsidRDefault="00D36763" w14:paraId="3073B41C" w14:textId="758849B9">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2022</w:t>
            </w:r>
          </w:p>
        </w:tc>
      </w:tr>
      <w:tr w:rsidRPr="0071144F" w:rsidR="00CA2BD2" w:rsidTr="002203DD" w14:paraId="1273C78E" w14:textId="77777777">
        <w:trPr>
          <w:trHeight w:val="144"/>
        </w:trPr>
        <w:tc>
          <w:tcPr>
            <w:tcW w:w="3716" w:type="pct"/>
            <w:vAlign w:val="center"/>
          </w:tcPr>
          <w:p w:rsidRPr="0071144F" w:rsidR="000E6B44" w:rsidP="00D36763" w:rsidRDefault="00B87CAD" w14:paraId="710A125D" w14:textId="77777777">
            <w:pPr>
              <w:rPr>
                <w:rFonts w:ascii="Times New Roman" w:hAnsi="Times New Roman" w:cs="Times New Roman"/>
                <w:sz w:val="24"/>
                <w:szCs w:val="24"/>
              </w:rPr>
            </w:pPr>
            <w:r w:rsidRPr="0071144F">
              <w:rPr>
                <w:rFonts w:ascii="Times New Roman" w:hAnsi="Times New Roman" w:cs="Times New Roman"/>
                <w:sz w:val="24"/>
                <w:szCs w:val="24"/>
              </w:rPr>
              <w:t>Begin f</w:t>
            </w:r>
            <w:r w:rsidRPr="0071144F" w:rsidR="00B61DFE">
              <w:rPr>
                <w:rFonts w:ascii="Times New Roman" w:hAnsi="Times New Roman" w:cs="Times New Roman"/>
                <w:sz w:val="24"/>
                <w:szCs w:val="24"/>
              </w:rPr>
              <w:t>ield test</w:t>
            </w:r>
            <w:r w:rsidRPr="0071144F" w:rsidR="000E6B44">
              <w:rPr>
                <w:rFonts w:ascii="Times New Roman" w:hAnsi="Times New Roman" w:cs="Times New Roman"/>
                <w:sz w:val="24"/>
                <w:szCs w:val="24"/>
              </w:rPr>
              <w:t xml:space="preserve"> recruitment</w:t>
            </w:r>
          </w:p>
        </w:tc>
        <w:tc>
          <w:tcPr>
            <w:tcW w:w="1284" w:type="pct"/>
            <w:vAlign w:val="center"/>
          </w:tcPr>
          <w:p w:rsidRPr="0088319A" w:rsidR="000E6B44" w:rsidP="00D36763" w:rsidRDefault="00CA227F" w14:paraId="2A6F7F4F" w14:textId="0F1693E5">
            <w:pPr>
              <w:rPr>
                <w:rFonts w:ascii="Times New Roman" w:hAnsi="Times New Roman" w:cs="Times New Roman"/>
                <w:sz w:val="24"/>
                <w:szCs w:val="24"/>
              </w:rPr>
            </w:pPr>
            <w:r>
              <w:rPr>
                <w:rFonts w:ascii="Times New Roman" w:hAnsi="Times New Roman" w:cs="Times New Roman"/>
                <w:sz w:val="24"/>
                <w:szCs w:val="24"/>
              </w:rPr>
              <w:t>August</w:t>
            </w:r>
            <w:r w:rsidRPr="0088319A" w:rsidR="00CA2BD2">
              <w:rPr>
                <w:rFonts w:ascii="Times New Roman" w:hAnsi="Times New Roman" w:cs="Times New Roman"/>
                <w:sz w:val="24"/>
                <w:szCs w:val="24"/>
              </w:rPr>
              <w:t xml:space="preserve"> 2022</w:t>
            </w:r>
          </w:p>
        </w:tc>
      </w:tr>
      <w:tr w:rsidRPr="0071144F" w:rsidR="00CA2BD2" w:rsidTr="002203DD" w14:paraId="72C00CED" w14:textId="77777777">
        <w:trPr>
          <w:trHeight w:val="144"/>
        </w:trPr>
        <w:tc>
          <w:tcPr>
            <w:tcW w:w="3716" w:type="pct"/>
            <w:vAlign w:val="center"/>
          </w:tcPr>
          <w:p w:rsidRPr="0071144F" w:rsidR="002203DD" w:rsidP="00D36763" w:rsidRDefault="002203DD" w14:paraId="7EBB3B7E" w14:textId="77777777">
            <w:pPr>
              <w:rPr>
                <w:rFonts w:ascii="Times New Roman" w:hAnsi="Times New Roman" w:cs="Times New Roman"/>
                <w:sz w:val="24"/>
                <w:szCs w:val="24"/>
              </w:rPr>
            </w:pPr>
            <w:r w:rsidRPr="0071144F">
              <w:rPr>
                <w:rFonts w:ascii="Times New Roman" w:hAnsi="Times New Roman" w:cs="Times New Roman"/>
                <w:sz w:val="24"/>
                <w:szCs w:val="24"/>
              </w:rPr>
              <w:t>Field test data collection</w:t>
            </w:r>
          </w:p>
        </w:tc>
        <w:tc>
          <w:tcPr>
            <w:tcW w:w="1284" w:type="pct"/>
            <w:vAlign w:val="center"/>
          </w:tcPr>
          <w:p w:rsidRPr="0088319A" w:rsidR="002203DD" w:rsidP="00D36763" w:rsidRDefault="00CC5831" w14:paraId="6FE657B7" w14:textId="593629A9">
            <w:pPr>
              <w:rPr>
                <w:rFonts w:ascii="Times New Roman" w:hAnsi="Times New Roman" w:cs="Times New Roman"/>
                <w:sz w:val="24"/>
                <w:szCs w:val="24"/>
              </w:rPr>
            </w:pPr>
            <w:r>
              <w:rPr>
                <w:rFonts w:ascii="Times New Roman" w:hAnsi="Times New Roman" w:cs="Times New Roman"/>
                <w:sz w:val="24"/>
                <w:szCs w:val="24"/>
              </w:rPr>
              <w:t>February</w:t>
            </w:r>
            <w:r w:rsidRPr="0088319A" w:rsidR="00CA2BD2">
              <w:rPr>
                <w:rFonts w:ascii="Times New Roman" w:hAnsi="Times New Roman" w:cs="Times New Roman"/>
                <w:sz w:val="24"/>
                <w:szCs w:val="24"/>
              </w:rPr>
              <w:t xml:space="preserve"> – Mar</w:t>
            </w:r>
            <w:r w:rsidR="005D2FB3">
              <w:rPr>
                <w:rFonts w:ascii="Times New Roman" w:hAnsi="Times New Roman" w:cs="Times New Roman"/>
                <w:sz w:val="24"/>
                <w:szCs w:val="24"/>
              </w:rPr>
              <w:t>ch</w:t>
            </w:r>
            <w:r w:rsidRPr="0088319A" w:rsidR="00CA2BD2">
              <w:rPr>
                <w:rFonts w:ascii="Times New Roman" w:hAnsi="Times New Roman" w:cs="Times New Roman"/>
                <w:sz w:val="24"/>
                <w:szCs w:val="24"/>
              </w:rPr>
              <w:t xml:space="preserve"> 2023</w:t>
            </w:r>
          </w:p>
        </w:tc>
      </w:tr>
      <w:tr w:rsidRPr="0071144F" w:rsidR="00CA2BD2" w:rsidTr="002203DD" w14:paraId="785251F8" w14:textId="77777777">
        <w:trPr>
          <w:trHeight w:val="144"/>
        </w:trPr>
        <w:tc>
          <w:tcPr>
            <w:tcW w:w="3716" w:type="pct"/>
            <w:vAlign w:val="center"/>
          </w:tcPr>
          <w:p w:rsidRPr="0071144F" w:rsidR="002203DD" w:rsidP="00D36763" w:rsidRDefault="00D36763" w14:paraId="4CBCCD45" w14:textId="35162219">
            <w:pPr>
              <w:rPr>
                <w:rFonts w:ascii="Times New Roman" w:hAnsi="Times New Roman" w:cs="Times New Roman"/>
                <w:sz w:val="24"/>
                <w:szCs w:val="24"/>
              </w:rPr>
            </w:pPr>
            <w:r w:rsidRPr="0071144F">
              <w:rPr>
                <w:rFonts w:ascii="Times New Roman" w:hAnsi="Times New Roman" w:cs="Times New Roman"/>
                <w:sz w:val="24"/>
                <w:szCs w:val="24"/>
              </w:rPr>
              <w:t>Analysis of field trial data / Preparation for main survey data collection</w:t>
            </w:r>
          </w:p>
        </w:tc>
        <w:tc>
          <w:tcPr>
            <w:tcW w:w="1284" w:type="pct"/>
            <w:vAlign w:val="center"/>
          </w:tcPr>
          <w:p w:rsidRPr="0088319A" w:rsidR="002203DD" w:rsidP="00D36763" w:rsidRDefault="00D36763" w14:paraId="021B9C93" w14:textId="67FDA74A">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2023</w:t>
            </w:r>
          </w:p>
        </w:tc>
      </w:tr>
      <w:tr w:rsidRPr="0071144F" w:rsidR="00CA2BD2" w:rsidTr="00F91CB5" w14:paraId="6D9FBF8E" w14:textId="77777777">
        <w:trPr>
          <w:trHeight w:val="144"/>
        </w:trPr>
        <w:tc>
          <w:tcPr>
            <w:tcW w:w="3716" w:type="pct"/>
            <w:vAlign w:val="center"/>
          </w:tcPr>
          <w:p w:rsidRPr="0071144F" w:rsidR="00B61DFE" w:rsidP="00D36763" w:rsidRDefault="00B61DFE" w14:paraId="6CC517DF" w14:textId="33A538FB">
            <w:pPr>
              <w:rPr>
                <w:rFonts w:ascii="Times New Roman" w:hAnsi="Times New Roman" w:cs="Times New Roman"/>
                <w:sz w:val="24"/>
                <w:szCs w:val="24"/>
              </w:rPr>
            </w:pPr>
            <w:r w:rsidRPr="0071144F">
              <w:rPr>
                <w:rFonts w:ascii="Times New Roman" w:hAnsi="Times New Roman" w:cs="Times New Roman"/>
                <w:sz w:val="24"/>
                <w:szCs w:val="24"/>
              </w:rPr>
              <w:t>Begin main s</w:t>
            </w:r>
            <w:r w:rsidRPr="0071144F" w:rsidR="00D36763">
              <w:rPr>
                <w:rFonts w:ascii="Times New Roman" w:hAnsi="Times New Roman" w:cs="Times New Roman"/>
                <w:sz w:val="24"/>
                <w:szCs w:val="24"/>
              </w:rPr>
              <w:t>urvey</w:t>
            </w:r>
            <w:r w:rsidRPr="0071144F">
              <w:rPr>
                <w:rFonts w:ascii="Times New Roman" w:hAnsi="Times New Roman" w:cs="Times New Roman"/>
                <w:sz w:val="24"/>
                <w:szCs w:val="24"/>
              </w:rPr>
              <w:t xml:space="preserve"> recruitment</w:t>
            </w:r>
          </w:p>
        </w:tc>
        <w:tc>
          <w:tcPr>
            <w:tcW w:w="1284" w:type="pct"/>
            <w:vAlign w:val="center"/>
          </w:tcPr>
          <w:p w:rsidRPr="0088319A" w:rsidR="00B61DFE" w:rsidP="00D36763" w:rsidRDefault="00CA2BD2" w14:paraId="6031B2A8" w14:textId="0EA23767">
            <w:pPr>
              <w:rPr>
                <w:rFonts w:ascii="Times New Roman" w:hAnsi="Times New Roman" w:cs="Times New Roman"/>
                <w:sz w:val="24"/>
                <w:szCs w:val="24"/>
              </w:rPr>
            </w:pPr>
            <w:r w:rsidRPr="0088319A">
              <w:rPr>
                <w:rFonts w:ascii="Times New Roman" w:hAnsi="Times New Roman" w:cs="Times New Roman"/>
                <w:sz w:val="24"/>
                <w:szCs w:val="24"/>
              </w:rPr>
              <w:t>Au</w:t>
            </w:r>
            <w:r w:rsidR="005D2FB3">
              <w:rPr>
                <w:rFonts w:ascii="Times New Roman" w:hAnsi="Times New Roman" w:cs="Times New Roman"/>
                <w:sz w:val="24"/>
                <w:szCs w:val="24"/>
              </w:rPr>
              <w:t>gust</w:t>
            </w:r>
            <w:r w:rsidRPr="0088319A">
              <w:rPr>
                <w:rFonts w:ascii="Times New Roman" w:hAnsi="Times New Roman" w:cs="Times New Roman"/>
                <w:sz w:val="24"/>
                <w:szCs w:val="24"/>
              </w:rPr>
              <w:t xml:space="preserve"> 2023</w:t>
            </w:r>
          </w:p>
        </w:tc>
      </w:tr>
      <w:tr w:rsidRPr="0071144F" w:rsidR="00CA2BD2" w:rsidTr="002203DD" w14:paraId="7EBA0F70" w14:textId="77777777">
        <w:trPr>
          <w:trHeight w:val="144"/>
        </w:trPr>
        <w:tc>
          <w:tcPr>
            <w:tcW w:w="3716" w:type="pct"/>
            <w:vAlign w:val="center"/>
          </w:tcPr>
          <w:p w:rsidRPr="0071144F" w:rsidR="002203DD" w:rsidP="00D36763" w:rsidRDefault="002203DD" w14:paraId="24849356" w14:textId="1DAA83B1">
            <w:pPr>
              <w:rPr>
                <w:rFonts w:ascii="Times New Roman" w:hAnsi="Times New Roman" w:cs="Times New Roman"/>
                <w:sz w:val="24"/>
                <w:szCs w:val="24"/>
              </w:rPr>
            </w:pPr>
            <w:r w:rsidRPr="0071144F">
              <w:rPr>
                <w:rFonts w:ascii="Times New Roman" w:hAnsi="Times New Roman" w:cs="Times New Roman"/>
                <w:sz w:val="24"/>
                <w:szCs w:val="24"/>
              </w:rPr>
              <w:t>Main s</w:t>
            </w:r>
            <w:r w:rsidRPr="0071144F" w:rsidR="00D36763">
              <w:rPr>
                <w:rFonts w:ascii="Times New Roman" w:hAnsi="Times New Roman" w:cs="Times New Roman"/>
                <w:sz w:val="24"/>
                <w:szCs w:val="24"/>
              </w:rPr>
              <w:t>urvey</w:t>
            </w:r>
            <w:r w:rsidRPr="0071144F">
              <w:rPr>
                <w:rFonts w:ascii="Times New Roman" w:hAnsi="Times New Roman" w:cs="Times New Roman"/>
                <w:sz w:val="24"/>
                <w:szCs w:val="24"/>
              </w:rPr>
              <w:t xml:space="preserve"> data collection</w:t>
            </w:r>
          </w:p>
        </w:tc>
        <w:tc>
          <w:tcPr>
            <w:tcW w:w="1284" w:type="pct"/>
            <w:vAlign w:val="center"/>
          </w:tcPr>
          <w:p w:rsidRPr="0088319A" w:rsidR="002203DD" w:rsidP="00D36763" w:rsidRDefault="00CA2BD2" w14:paraId="0D1521B0" w14:textId="2F029EF2">
            <w:pPr>
              <w:rPr>
                <w:rFonts w:ascii="Times New Roman" w:hAnsi="Times New Roman" w:cs="Times New Roman"/>
                <w:sz w:val="24"/>
                <w:szCs w:val="24"/>
              </w:rPr>
            </w:pPr>
            <w:r w:rsidRPr="0088319A">
              <w:rPr>
                <w:rFonts w:ascii="Times New Roman" w:hAnsi="Times New Roman" w:cs="Times New Roman"/>
                <w:sz w:val="24"/>
                <w:szCs w:val="24"/>
              </w:rPr>
              <w:t>Feb</w:t>
            </w:r>
            <w:r w:rsidR="005D2FB3">
              <w:rPr>
                <w:rFonts w:ascii="Times New Roman" w:hAnsi="Times New Roman" w:cs="Times New Roman"/>
                <w:sz w:val="24"/>
                <w:szCs w:val="24"/>
              </w:rPr>
              <w:t>ruary</w:t>
            </w:r>
            <w:r w:rsidRPr="0088319A">
              <w:rPr>
                <w:rFonts w:ascii="Times New Roman" w:hAnsi="Times New Roman" w:cs="Times New Roman"/>
                <w:sz w:val="24"/>
                <w:szCs w:val="24"/>
              </w:rPr>
              <w:t xml:space="preserve"> – </w:t>
            </w:r>
            <w:r w:rsidR="00D46AC7">
              <w:rPr>
                <w:rFonts w:ascii="Times New Roman" w:hAnsi="Times New Roman" w:cs="Times New Roman"/>
                <w:sz w:val="24"/>
                <w:szCs w:val="24"/>
              </w:rPr>
              <w:t>March</w:t>
            </w:r>
            <w:r w:rsidRPr="0088319A">
              <w:rPr>
                <w:rFonts w:ascii="Times New Roman" w:hAnsi="Times New Roman" w:cs="Times New Roman"/>
                <w:sz w:val="24"/>
                <w:szCs w:val="24"/>
              </w:rPr>
              <w:t xml:space="preserve"> 2024</w:t>
            </w:r>
          </w:p>
        </w:tc>
      </w:tr>
      <w:tr w:rsidRPr="0071144F" w:rsidR="00D36763" w:rsidTr="00C944E2" w14:paraId="1AEEEC18" w14:textId="77777777">
        <w:trPr>
          <w:trHeight w:val="144"/>
        </w:trPr>
        <w:tc>
          <w:tcPr>
            <w:tcW w:w="3716" w:type="pct"/>
            <w:vAlign w:val="center"/>
          </w:tcPr>
          <w:p w:rsidRPr="0071144F" w:rsidR="00D36763" w:rsidP="00D36763" w:rsidRDefault="00D36763" w14:paraId="00E0EDA6" w14:textId="22DD3A95">
            <w:pPr>
              <w:rPr>
                <w:rFonts w:ascii="Times New Roman" w:hAnsi="Times New Roman" w:cs="Times New Roman"/>
                <w:sz w:val="24"/>
                <w:szCs w:val="24"/>
              </w:rPr>
            </w:pPr>
            <w:r w:rsidRPr="0071144F">
              <w:rPr>
                <w:rFonts w:ascii="Times New Roman" w:hAnsi="Times New Roman" w:cs="Times New Roman"/>
                <w:sz w:val="24"/>
                <w:szCs w:val="24"/>
              </w:rPr>
              <w:t>Analysis of main survey data;</w:t>
            </w:r>
            <w:r w:rsidRPr="0071144F">
              <w:rPr>
                <w:sz w:val="24"/>
                <w:szCs w:val="24"/>
              </w:rPr>
              <w:t xml:space="preserve"> </w:t>
            </w:r>
            <w:r w:rsidRPr="0071144F">
              <w:rPr>
                <w:rFonts w:ascii="Times New Roman" w:hAnsi="Times New Roman" w:cs="Times New Roman"/>
                <w:sz w:val="24"/>
                <w:szCs w:val="24"/>
              </w:rPr>
              <w:t xml:space="preserve">preparation and review of national databases; preparation of reports and dissemination of products  </w:t>
            </w:r>
          </w:p>
        </w:tc>
        <w:tc>
          <w:tcPr>
            <w:tcW w:w="1284" w:type="pct"/>
            <w:vAlign w:val="center"/>
          </w:tcPr>
          <w:p w:rsidRPr="0088319A" w:rsidR="00D36763" w:rsidP="00D36763" w:rsidRDefault="00D36763" w14:paraId="500996E7" w14:textId="07ACBB6D">
            <w:pPr>
              <w:rPr>
                <w:rFonts w:ascii="Times New Roman" w:hAnsi="Times New Roman" w:cs="Times New Roman"/>
                <w:sz w:val="24"/>
                <w:szCs w:val="24"/>
              </w:rPr>
            </w:pPr>
            <w:r w:rsidRPr="0088319A">
              <w:rPr>
                <w:rFonts w:ascii="Times New Roman" w:hAnsi="Times New Roman" w:cs="Times New Roman"/>
                <w:sz w:val="24"/>
                <w:szCs w:val="24"/>
              </w:rPr>
              <w:t>Jul</w:t>
            </w:r>
            <w:r w:rsidR="005D2FB3">
              <w:rPr>
                <w:rFonts w:ascii="Times New Roman" w:hAnsi="Times New Roman" w:cs="Times New Roman"/>
                <w:sz w:val="24"/>
                <w:szCs w:val="24"/>
              </w:rPr>
              <w:t>y</w:t>
            </w:r>
            <w:r w:rsidRPr="0088319A">
              <w:rPr>
                <w:rFonts w:ascii="Times New Roman" w:hAnsi="Times New Roman" w:cs="Times New Roman"/>
                <w:sz w:val="24"/>
                <w:szCs w:val="24"/>
              </w:rPr>
              <w:t xml:space="preserve"> 2024 – Sep</w:t>
            </w:r>
            <w:r w:rsidR="005D2FB3">
              <w:rPr>
                <w:rFonts w:ascii="Times New Roman" w:hAnsi="Times New Roman" w:cs="Times New Roman"/>
                <w:sz w:val="24"/>
                <w:szCs w:val="24"/>
              </w:rPr>
              <w:t>tember</w:t>
            </w:r>
            <w:r w:rsidRPr="0088319A">
              <w:rPr>
                <w:rFonts w:ascii="Times New Roman" w:hAnsi="Times New Roman" w:cs="Times New Roman"/>
                <w:sz w:val="24"/>
                <w:szCs w:val="24"/>
              </w:rPr>
              <w:t xml:space="preserve"> 202</w:t>
            </w:r>
            <w:r w:rsidR="007971DD">
              <w:rPr>
                <w:rFonts w:ascii="Times New Roman" w:hAnsi="Times New Roman" w:cs="Times New Roman"/>
                <w:sz w:val="24"/>
                <w:szCs w:val="24"/>
              </w:rPr>
              <w:t>6</w:t>
            </w:r>
          </w:p>
        </w:tc>
      </w:tr>
    </w:tbl>
    <w:p w:rsidRPr="00D36763" w:rsidR="008764CB" w:rsidP="00D36763" w:rsidRDefault="008764CB" w14:paraId="53968338" w14:textId="77777777">
      <w:pPr>
        <w:pStyle w:val="Style2"/>
        <w:spacing w:before="240" w:after="120" w:line="240" w:lineRule="auto"/>
        <w:rPr>
          <w:rFonts w:ascii="Times New Roman" w:hAnsi="Times New Roman" w:cs="Times New Roman"/>
        </w:rPr>
      </w:pPr>
      <w:bookmarkStart w:name="_Toc260729204" w:id="54"/>
      <w:bookmarkStart w:name="_Toc299121379" w:id="55"/>
      <w:bookmarkStart w:name="_Toc90026013" w:id="56"/>
      <w:r w:rsidRPr="00D36763">
        <w:rPr>
          <w:rFonts w:ascii="Times New Roman" w:hAnsi="Times New Roman" w:cs="Times New Roman"/>
        </w:rPr>
        <w:t>A.17</w:t>
      </w:r>
      <w:r w:rsidRPr="00D36763">
        <w:rPr>
          <w:rFonts w:ascii="Times New Roman" w:hAnsi="Times New Roman" w:cs="Times New Roman"/>
        </w:rPr>
        <w:tab/>
        <w:t>Display OMB Expiration Date</w:t>
      </w:r>
      <w:bookmarkEnd w:id="54"/>
      <w:bookmarkEnd w:id="55"/>
      <w:bookmarkEnd w:id="56"/>
    </w:p>
    <w:p w:rsidRPr="00D36763" w:rsidR="00093BF5" w:rsidP="00D36763" w:rsidRDefault="008764CB" w14:paraId="5034E537" w14:textId="77777777">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The OMB expiration date will be displayed on all data collection </w:t>
      </w:r>
      <w:r w:rsidRPr="00D36763" w:rsidR="001F7058">
        <w:rPr>
          <w:rFonts w:ascii="Times New Roman" w:hAnsi="Times New Roman" w:cs="Times New Roman"/>
          <w:sz w:val="24"/>
          <w:szCs w:val="24"/>
        </w:rPr>
        <w:t xml:space="preserve">and recruitment </w:t>
      </w:r>
      <w:r w:rsidRPr="00D36763">
        <w:rPr>
          <w:rFonts w:ascii="Times New Roman" w:hAnsi="Times New Roman" w:cs="Times New Roman"/>
          <w:sz w:val="24"/>
          <w:szCs w:val="24"/>
        </w:rPr>
        <w:t>materials.</w:t>
      </w:r>
    </w:p>
    <w:p w:rsidRPr="00D36763" w:rsidR="008764CB" w:rsidP="00D36763" w:rsidRDefault="008764CB" w14:paraId="184A6213" w14:textId="77777777">
      <w:pPr>
        <w:pStyle w:val="Style2"/>
        <w:spacing w:before="240" w:after="120" w:line="240" w:lineRule="auto"/>
        <w:rPr>
          <w:rFonts w:ascii="Times New Roman" w:hAnsi="Times New Roman" w:cs="Times New Roman"/>
        </w:rPr>
      </w:pPr>
      <w:bookmarkStart w:name="_Toc260729205" w:id="57"/>
      <w:bookmarkStart w:name="_Toc299121380" w:id="58"/>
      <w:bookmarkStart w:name="_Toc90026014" w:id="59"/>
      <w:r w:rsidRPr="00D36763">
        <w:rPr>
          <w:rFonts w:ascii="Times New Roman" w:hAnsi="Times New Roman" w:cs="Times New Roman"/>
        </w:rPr>
        <w:t>A.18</w:t>
      </w:r>
      <w:r w:rsidRPr="00D36763">
        <w:rPr>
          <w:rFonts w:ascii="Times New Roman" w:hAnsi="Times New Roman" w:cs="Times New Roman"/>
        </w:rPr>
        <w:tab/>
        <w:t>Exceptions to Certification Statement</w:t>
      </w:r>
      <w:bookmarkEnd w:id="57"/>
      <w:bookmarkEnd w:id="58"/>
      <w:bookmarkEnd w:id="59"/>
    </w:p>
    <w:p w:rsidRPr="00D36763" w:rsidR="00720FD6" w:rsidP="00D36763" w:rsidRDefault="008764CB" w14:paraId="78A12660" w14:textId="27B35E58">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No exceptions are requested to the </w:t>
      </w:r>
      <w:r w:rsidR="00D36763">
        <w:rPr>
          <w:rFonts w:ascii="Times New Roman" w:hAnsi="Times New Roman" w:cs="Times New Roman"/>
          <w:sz w:val="24"/>
          <w:szCs w:val="24"/>
        </w:rPr>
        <w:t>“</w:t>
      </w:r>
      <w:r w:rsidRPr="00D36763">
        <w:rPr>
          <w:rFonts w:ascii="Times New Roman" w:hAnsi="Times New Roman" w:cs="Times New Roman"/>
          <w:sz w:val="24"/>
          <w:szCs w:val="24"/>
        </w:rPr>
        <w:t>Certification for Paperwork Reduction Act Submissions</w:t>
      </w:r>
      <w:r w:rsidR="00D36763">
        <w:rPr>
          <w:rFonts w:ascii="Times New Roman" w:hAnsi="Times New Roman" w:cs="Times New Roman"/>
          <w:sz w:val="24"/>
          <w:szCs w:val="24"/>
        </w:rPr>
        <w:t>”</w:t>
      </w:r>
      <w:r w:rsidRPr="00D36763">
        <w:rPr>
          <w:rFonts w:ascii="Times New Roman" w:hAnsi="Times New Roman" w:cs="Times New Roman"/>
          <w:sz w:val="24"/>
          <w:szCs w:val="24"/>
        </w:rPr>
        <w:t xml:space="preserve"> of OMB Form 83-I.</w:t>
      </w:r>
      <w:bookmarkEnd w:id="39"/>
    </w:p>
    <w:sectPr w:rsidRPr="00D36763" w:rsidR="00720FD6" w:rsidSect="00470586">
      <w:footerReference w:type="default" r:id="rId10"/>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0625" w14:textId="77777777" w:rsidR="00AE1A2F" w:rsidRDefault="00AE1A2F" w:rsidP="003A4F0C">
      <w:pPr>
        <w:spacing w:after="0" w:line="240" w:lineRule="auto"/>
      </w:pPr>
      <w:r>
        <w:separator/>
      </w:r>
    </w:p>
    <w:p w14:paraId="57B387E4" w14:textId="77777777" w:rsidR="00AE1A2F" w:rsidRDefault="00AE1A2F"/>
  </w:endnote>
  <w:endnote w:type="continuationSeparator" w:id="0">
    <w:p w14:paraId="16787907" w14:textId="77777777" w:rsidR="00AE1A2F" w:rsidRDefault="00AE1A2F" w:rsidP="003A4F0C">
      <w:pPr>
        <w:spacing w:after="0" w:line="240" w:lineRule="auto"/>
      </w:pPr>
      <w:r>
        <w:continuationSeparator/>
      </w:r>
    </w:p>
    <w:p w14:paraId="26C7BD30" w14:textId="77777777" w:rsidR="00AE1A2F" w:rsidRDefault="00AE1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F9AC" w14:textId="2883BA77" w:rsidR="00C76B91" w:rsidRDefault="00C76B91" w:rsidP="00466431">
    <w:pPr>
      <w:pStyle w:val="Footer"/>
      <w:jc w:val="center"/>
    </w:pPr>
    <w:r>
      <w:fldChar w:fldCharType="begin"/>
    </w:r>
    <w:r>
      <w:instrText xml:space="preserve"> PAGE   \* MERGEFORMAT </w:instrText>
    </w:r>
    <w:r>
      <w:fldChar w:fldCharType="separate"/>
    </w:r>
    <w:r w:rsidR="00AF6D3C">
      <w:rPr>
        <w:noProof/>
      </w:rPr>
      <w:t>13</w:t>
    </w:r>
    <w:r>
      <w:rPr>
        <w:noProof/>
      </w:rPr>
      <w:fldChar w:fldCharType="end"/>
    </w:r>
  </w:p>
  <w:p w14:paraId="3BFFF435" w14:textId="77777777" w:rsidR="00C76B91" w:rsidRDefault="00C76B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CF6E" w14:textId="77777777" w:rsidR="00AE1A2F" w:rsidRDefault="00AE1A2F" w:rsidP="003A4F0C">
      <w:pPr>
        <w:spacing w:after="0" w:line="240" w:lineRule="auto"/>
      </w:pPr>
      <w:r>
        <w:separator/>
      </w:r>
    </w:p>
  </w:footnote>
  <w:footnote w:type="continuationSeparator" w:id="0">
    <w:p w14:paraId="6E474C36" w14:textId="77777777" w:rsidR="00AE1A2F" w:rsidRDefault="00AE1A2F" w:rsidP="003A4F0C">
      <w:pPr>
        <w:spacing w:after="0" w:line="240" w:lineRule="auto"/>
      </w:pPr>
      <w:r>
        <w:continuationSeparator/>
      </w:r>
    </w:p>
    <w:p w14:paraId="40439600" w14:textId="77777777" w:rsidR="00AE1A2F" w:rsidRDefault="00AE1A2F"/>
  </w:footnote>
  <w:footnote w:id="1">
    <w:p w14:paraId="57749DB2" w14:textId="5392509D" w:rsidR="00C76B91" w:rsidRPr="00BE3E6B" w:rsidRDefault="00C76B91">
      <w:pPr>
        <w:pStyle w:val="FootnoteText"/>
        <w:rPr>
          <w:rFonts w:ascii="Times New Roman" w:hAnsi="Times New Roman" w:cs="Times New Roman"/>
        </w:rPr>
      </w:pPr>
      <w:r w:rsidRPr="00BE3E6B">
        <w:rPr>
          <w:rStyle w:val="FootnoteReference"/>
          <w:rFonts w:ascii="Times New Roman" w:hAnsi="Times New Roman" w:cs="Times New Roman"/>
        </w:rPr>
        <w:footnoteRef/>
      </w:r>
      <w:r w:rsidR="0073361F">
        <w:rPr>
          <w:rFonts w:ascii="Times New Roman" w:hAnsi="Times New Roman" w:cs="Times New Roman"/>
          <w:szCs w:val="24"/>
        </w:rPr>
        <w:t xml:space="preserve"> </w:t>
      </w:r>
      <w:r w:rsidRPr="00BE3E6B">
        <w:rPr>
          <w:rFonts w:ascii="Times New Roman" w:hAnsi="Times New Roman" w:cs="Times New Roman"/>
          <w:szCs w:val="24"/>
        </w:rPr>
        <w:t>The materials that will be used in the 20</w:t>
      </w:r>
      <w:r>
        <w:rPr>
          <w:rFonts w:ascii="Times New Roman" w:hAnsi="Times New Roman" w:cs="Times New Roman"/>
          <w:szCs w:val="24"/>
        </w:rPr>
        <w:t>24</w:t>
      </w:r>
      <w:r w:rsidRPr="00BE3E6B">
        <w:rPr>
          <w:rFonts w:ascii="Times New Roman" w:hAnsi="Times New Roman" w:cs="Times New Roman"/>
          <w:szCs w:val="24"/>
        </w:rPr>
        <w:t xml:space="preserve"> main study will be based upon the field test materials included in this submission. Additionally, this submission is designed to adequately justify the need for and overall practical utility of the full study and to present the overarching plan for </w:t>
      </w:r>
      <w:proofErr w:type="gramStart"/>
      <w:r w:rsidRPr="00BE3E6B">
        <w:rPr>
          <w:rFonts w:ascii="Times New Roman" w:hAnsi="Times New Roman" w:cs="Times New Roman"/>
          <w:szCs w:val="24"/>
        </w:rPr>
        <w:t>all of</w:t>
      </w:r>
      <w:proofErr w:type="gramEnd"/>
      <w:r w:rsidRPr="00BE3E6B">
        <w:rPr>
          <w:rFonts w:ascii="Times New Roman" w:hAnsi="Times New Roman" w:cs="Times New Roman"/>
          <w:szCs w:val="24"/>
        </w:rPr>
        <w:t xml:space="preserve"> the phases of the data collection, providing as much detail about the measures to be used as is available at the time of this submission. As part of this submission, NCES is publishing a notice in the Federal Register allowing first a 60- and then a 30-day public comment period. For </w:t>
      </w:r>
      <w:r w:rsidR="00C92E48">
        <w:rPr>
          <w:rFonts w:ascii="Times New Roman" w:hAnsi="Times New Roman" w:cs="Times New Roman"/>
          <w:szCs w:val="24"/>
        </w:rPr>
        <w:t>subsequent</w:t>
      </w:r>
      <w:r w:rsidR="003A5999">
        <w:rPr>
          <w:rFonts w:ascii="Times New Roman" w:hAnsi="Times New Roman" w:cs="Times New Roman"/>
          <w:szCs w:val="24"/>
        </w:rPr>
        <w:t xml:space="preserve"> substantive changes</w:t>
      </w:r>
      <w:r w:rsidR="00C92E48">
        <w:rPr>
          <w:rFonts w:ascii="Times New Roman" w:hAnsi="Times New Roman" w:cs="Times New Roman"/>
          <w:szCs w:val="24"/>
        </w:rPr>
        <w:t>, including</w:t>
      </w:r>
      <w:r w:rsidRPr="00BE3E6B">
        <w:rPr>
          <w:rFonts w:ascii="Times New Roman" w:hAnsi="Times New Roman" w:cs="Times New Roman"/>
          <w:szCs w:val="24"/>
        </w:rPr>
        <w:t xml:space="preserve"> after the field test</w:t>
      </w:r>
      <w:r w:rsidR="006F1118">
        <w:rPr>
          <w:rFonts w:ascii="Times New Roman" w:hAnsi="Times New Roman" w:cs="Times New Roman"/>
          <w:szCs w:val="24"/>
        </w:rPr>
        <w:t xml:space="preserve"> to finalize the details of the main study</w:t>
      </w:r>
      <w:r w:rsidRPr="00BE3E6B">
        <w:rPr>
          <w:rFonts w:ascii="Times New Roman" w:hAnsi="Times New Roman" w:cs="Times New Roman"/>
          <w:szCs w:val="24"/>
        </w:rPr>
        <w:t>, NCES will publish notice</w:t>
      </w:r>
      <w:r w:rsidR="006F1118">
        <w:rPr>
          <w:rFonts w:ascii="Times New Roman" w:hAnsi="Times New Roman" w:cs="Times New Roman"/>
          <w:szCs w:val="24"/>
        </w:rPr>
        <w:t>s</w:t>
      </w:r>
      <w:r w:rsidRPr="00BE3E6B">
        <w:rPr>
          <w:rFonts w:ascii="Times New Roman" w:hAnsi="Times New Roman" w:cs="Times New Roman"/>
          <w:szCs w:val="24"/>
        </w:rPr>
        <w:t xml:space="preserve"> in the Federal Register allowing additional 30-day public comment period</w:t>
      </w:r>
      <w:r w:rsidR="006F1118">
        <w:rPr>
          <w:rFonts w:ascii="Times New Roman" w:hAnsi="Times New Roman" w:cs="Times New Roman"/>
          <w:szCs w:val="24"/>
        </w:rPr>
        <w:t>s</w:t>
      </w:r>
      <w:r w:rsidRPr="00BE3E6B">
        <w:rPr>
          <w:rFonts w:ascii="Times New Roman" w:hAnsi="Times New Roman" w:cs="Times New Roman"/>
          <w:szCs w:val="24"/>
        </w:rPr>
        <w:t>.</w:t>
      </w:r>
    </w:p>
  </w:footnote>
  <w:footnote w:id="2">
    <w:p w14:paraId="2FD2901B" w14:textId="09CE8A0A" w:rsidR="00C76B91" w:rsidRPr="00BB3EF1" w:rsidRDefault="00C76B91">
      <w:pPr>
        <w:pStyle w:val="FootnoteText"/>
        <w:rPr>
          <w:rFonts w:ascii="Times New Roman" w:hAnsi="Times New Roman" w:cs="Times New Roman"/>
        </w:rPr>
      </w:pPr>
      <w:r>
        <w:rPr>
          <w:rStyle w:val="FootnoteReference"/>
        </w:rPr>
        <w:footnoteRef/>
      </w:r>
      <w:r w:rsidR="0073361F">
        <w:rPr>
          <w:rFonts w:ascii="Times New Roman" w:hAnsi="Times New Roman" w:cs="Times New Roman"/>
        </w:rPr>
        <w:t xml:space="preserve"> </w:t>
      </w:r>
      <w:r w:rsidRPr="00BB3EF1">
        <w:rPr>
          <w:rFonts w:ascii="Times New Roman" w:hAnsi="Times New Roman" w:cs="Times New Roman"/>
        </w:rPr>
        <w:t>International Standard Cla</w:t>
      </w:r>
      <w:r w:rsidRPr="730B5A0A">
        <w:t xml:space="preserve">ssification of Education (ISCED) of the </w:t>
      </w:r>
      <w:r w:rsidRPr="730B5A0A">
        <w:rPr>
          <w:sz w:val="21"/>
          <w:szCs w:val="21"/>
        </w:rPr>
        <w:t>United Nations Educational, Scientific and Cultural Organization</w:t>
      </w:r>
      <w:r w:rsidRPr="730B5A0A">
        <w:t xml:space="preserve"> (UNESCO).</w:t>
      </w:r>
    </w:p>
  </w:footnote>
  <w:footnote w:id="3">
    <w:p w14:paraId="65EAFDF6" w14:textId="0171E799" w:rsidR="001F20CF" w:rsidRDefault="001F20CF">
      <w:pPr>
        <w:pStyle w:val="FootnoteText"/>
      </w:pPr>
      <w:r>
        <w:rPr>
          <w:rStyle w:val="FootnoteReference"/>
        </w:rPr>
        <w:footnoteRef/>
      </w:r>
      <w:r w:rsidR="0073361F">
        <w:t xml:space="preserve"> </w:t>
      </w:r>
      <w:r>
        <w:t>Because the TKS instrument is newly developed and proprietary, it is not include</w:t>
      </w:r>
      <w:r w:rsidR="00A528D5">
        <w:t>d</w:t>
      </w:r>
      <w:r>
        <w:t xml:space="preserve"> in the package for public comment and review. </w:t>
      </w:r>
      <w:r w:rsidR="00A528D5">
        <w:t>It will be reviewed and approved directly by OMB</w:t>
      </w:r>
      <w:r w:rsidR="00711860">
        <w:t xml:space="preserve"> </w:t>
      </w:r>
      <w:proofErr w:type="gramStart"/>
      <w:r w:rsidR="00711860">
        <w:t>in order to</w:t>
      </w:r>
      <w:proofErr w:type="gramEnd"/>
      <w:r w:rsidR="00711860">
        <w:t xml:space="preserve"> protect the intellectual property</w:t>
      </w:r>
      <w:r w:rsidR="005132FB">
        <w:t xml:space="preserve"> rights of the holder</w:t>
      </w:r>
      <w:r w:rsidR="00711860">
        <w:t xml:space="preserve">. </w:t>
      </w:r>
    </w:p>
  </w:footnote>
  <w:footnote w:id="4">
    <w:p w14:paraId="4832AEA2" w14:textId="7A4E4B26" w:rsidR="00E01ADF" w:rsidRDefault="00E01ADF" w:rsidP="00E01ADF">
      <w:pPr>
        <w:pStyle w:val="FootnoteText"/>
        <w:rPr>
          <w:rFonts w:ascii="Times New Roman" w:hAnsi="Times New Roman" w:cs="Times New Roman"/>
        </w:rPr>
      </w:pPr>
      <w:r w:rsidRPr="27ACF25C">
        <w:rPr>
          <w:rStyle w:val="FootnoteReference"/>
          <w:rFonts w:ascii="Times New Roman" w:hAnsi="Times New Roman" w:cs="Times New Roman"/>
        </w:rPr>
        <w:footnoteRef/>
      </w:r>
      <w:r w:rsidR="0073361F">
        <w:rPr>
          <w:rFonts w:ascii="Times New Roman" w:hAnsi="Times New Roman" w:cs="Times New Roman"/>
        </w:rPr>
        <w:t xml:space="preserve"> </w:t>
      </w:r>
      <w:r w:rsidRPr="27ACF25C">
        <w:rPr>
          <w:rFonts w:ascii="Times New Roman" w:hAnsi="Times New Roman" w:cs="Times New Roman"/>
        </w:rPr>
        <w:t xml:space="preserve">In the May 2020 National Occupational and Employment Wage Estimates, sponsored by the Bureau of Labor Statistics, the average hourly earnings for staff types in TALIS are as follows: middle school teachers: $31.39; secondary school teachers: $32.33; noninstructional staff: $20.38; and principals/education administrators: $49.52. When mean hourly wage was not provided, it was computed assuming 2,080 hours per year. The occupation codes (“OCC_CODE”) used were as follows: Elementary and Middle School Teachers (25-2020); Secondary School Teachers (25-2030); Office and Administrative Support Occupations (43-0000); and Education Administrators, Elementary and Secondary Schools (11-9032). Information was retrieved on September 10, 2021, from </w:t>
      </w:r>
      <w:hyperlink r:id="rId1">
        <w:r w:rsidRPr="27ACF25C">
          <w:rPr>
            <w:rStyle w:val="Hyperlink"/>
            <w:rFonts w:ascii="Times New Roman" w:hAnsi="Times New Roman" w:cs="Times New Roman"/>
          </w:rPr>
          <w:t>https://www.bls.gov/oes/current/oes_nat.htm</w:t>
        </w:r>
      </w:hyperlink>
      <w:r w:rsidRPr="27ACF25C">
        <w:rPr>
          <w:rFonts w:ascii="Times New Roman" w:hAnsi="Times New Roman" w:cs="Times New Roman"/>
        </w:rPr>
        <w:t>. To calculate the total estimated burden time cost for teachers, we assumed 25 percent of teachers w</w:t>
      </w:r>
      <w:r>
        <w:rPr>
          <w:rFonts w:ascii="Times New Roman" w:hAnsi="Times New Roman" w:cs="Times New Roman"/>
        </w:rPr>
        <w:t>ill</w:t>
      </w:r>
      <w:r w:rsidRPr="27ACF25C">
        <w:rPr>
          <w:rFonts w:ascii="Times New Roman" w:hAnsi="Times New Roman" w:cs="Times New Roman"/>
        </w:rPr>
        <w:t xml:space="preserve"> teach in high schools and 75 percent w</w:t>
      </w:r>
      <w:r>
        <w:rPr>
          <w:rFonts w:ascii="Times New Roman" w:hAnsi="Times New Roman" w:cs="Times New Roman"/>
        </w:rPr>
        <w:t>ill</w:t>
      </w:r>
      <w:r w:rsidRPr="27ACF25C">
        <w:rPr>
          <w:rFonts w:ascii="Times New Roman" w:hAnsi="Times New Roman" w:cs="Times New Roman"/>
        </w:rPr>
        <w:t xml:space="preserve"> teach in middle schools or other types of schools (e.g., K-8, K-12, etc.); this assumption is based on previous TALIS sampling designs.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B318F"/>
    <w:multiLevelType w:val="hybridMultilevel"/>
    <w:tmpl w:val="09D69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71A07"/>
    <w:multiLevelType w:val="hybridMultilevel"/>
    <w:tmpl w:val="5586552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4968"/>
    <w:multiLevelType w:val="hybridMultilevel"/>
    <w:tmpl w:val="739A6460"/>
    <w:lvl w:ilvl="0" w:tplc="B2AE5D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F3425"/>
    <w:multiLevelType w:val="hybridMultilevel"/>
    <w:tmpl w:val="601C8218"/>
    <w:lvl w:ilvl="0" w:tplc="7856E712">
      <w:start w:val="1"/>
      <w:numFmt w:val="decimal"/>
      <w:lvlText w:val="%1."/>
      <w:lvlJc w:val="left"/>
      <w:pPr>
        <w:ind w:left="720" w:hanging="360"/>
      </w:pPr>
    </w:lvl>
    <w:lvl w:ilvl="1" w:tplc="28C688F0">
      <w:start w:val="1"/>
      <w:numFmt w:val="lowerLetter"/>
      <w:lvlText w:val="%2."/>
      <w:lvlJc w:val="left"/>
      <w:pPr>
        <w:ind w:left="1440" w:hanging="360"/>
      </w:pPr>
    </w:lvl>
    <w:lvl w:ilvl="2" w:tplc="F4F03E82">
      <w:start w:val="1"/>
      <w:numFmt w:val="lowerRoman"/>
      <w:lvlText w:val="%3."/>
      <w:lvlJc w:val="right"/>
      <w:pPr>
        <w:ind w:left="2160" w:hanging="180"/>
      </w:pPr>
    </w:lvl>
    <w:lvl w:ilvl="3" w:tplc="5790C344">
      <w:start w:val="1"/>
      <w:numFmt w:val="decimal"/>
      <w:lvlText w:val="%4."/>
      <w:lvlJc w:val="left"/>
      <w:pPr>
        <w:ind w:left="2880" w:hanging="360"/>
      </w:pPr>
    </w:lvl>
    <w:lvl w:ilvl="4" w:tplc="A1245B08">
      <w:start w:val="1"/>
      <w:numFmt w:val="lowerLetter"/>
      <w:lvlText w:val="%5."/>
      <w:lvlJc w:val="left"/>
      <w:pPr>
        <w:ind w:left="3600" w:hanging="360"/>
      </w:pPr>
    </w:lvl>
    <w:lvl w:ilvl="5" w:tplc="CABE6080">
      <w:start w:val="1"/>
      <w:numFmt w:val="lowerRoman"/>
      <w:lvlText w:val="%6."/>
      <w:lvlJc w:val="right"/>
      <w:pPr>
        <w:ind w:left="4320" w:hanging="180"/>
      </w:pPr>
    </w:lvl>
    <w:lvl w:ilvl="6" w:tplc="A7525D1C">
      <w:start w:val="1"/>
      <w:numFmt w:val="decimal"/>
      <w:lvlText w:val="%7."/>
      <w:lvlJc w:val="left"/>
      <w:pPr>
        <w:ind w:left="5040" w:hanging="360"/>
      </w:pPr>
    </w:lvl>
    <w:lvl w:ilvl="7" w:tplc="957C286C">
      <w:start w:val="1"/>
      <w:numFmt w:val="lowerLetter"/>
      <w:lvlText w:val="%8."/>
      <w:lvlJc w:val="left"/>
      <w:pPr>
        <w:ind w:left="5760" w:hanging="360"/>
      </w:pPr>
    </w:lvl>
    <w:lvl w:ilvl="8" w:tplc="F9FE138A">
      <w:start w:val="1"/>
      <w:numFmt w:val="lowerRoman"/>
      <w:lvlText w:val="%9."/>
      <w:lvlJc w:val="right"/>
      <w:pPr>
        <w:ind w:left="6480" w:hanging="180"/>
      </w:pPr>
    </w:lvl>
  </w:abstractNum>
  <w:abstractNum w:abstractNumId="7" w15:restartNumberingAfterBreak="0">
    <w:nsid w:val="3C356DB1"/>
    <w:multiLevelType w:val="hybridMultilevel"/>
    <w:tmpl w:val="D20A77B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9" w15:restartNumberingAfterBreak="0">
    <w:nsid w:val="5DE866B7"/>
    <w:multiLevelType w:val="hybridMultilevel"/>
    <w:tmpl w:val="5586552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7849E9"/>
    <w:multiLevelType w:val="hybridMultilevel"/>
    <w:tmpl w:val="17AECF9A"/>
    <w:lvl w:ilvl="0" w:tplc="BE2AF35C">
      <w:start w:val="1"/>
      <w:numFmt w:val="decimal"/>
      <w:pStyle w:val="ListParagraph"/>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755700">
    <w:abstractNumId w:val="6"/>
  </w:num>
  <w:num w:numId="2" w16cid:durableId="1353920002">
    <w:abstractNumId w:val="8"/>
    <w:lvlOverride w:ilvl="0">
      <w:startOverride w:val="1"/>
    </w:lvlOverride>
  </w:num>
  <w:num w:numId="3" w16cid:durableId="414740384">
    <w:abstractNumId w:val="1"/>
  </w:num>
  <w:num w:numId="4" w16cid:durableId="1332567851">
    <w:abstractNumId w:val="4"/>
  </w:num>
  <w:num w:numId="5" w16cid:durableId="68234848">
    <w:abstractNumId w:val="0"/>
  </w:num>
  <w:num w:numId="6" w16cid:durableId="1497111079">
    <w:abstractNumId w:val="10"/>
  </w:num>
  <w:num w:numId="7" w16cid:durableId="1469400963">
    <w:abstractNumId w:val="9"/>
  </w:num>
  <w:num w:numId="8" w16cid:durableId="2053268660">
    <w:abstractNumId w:val="2"/>
  </w:num>
  <w:num w:numId="9" w16cid:durableId="1322611751">
    <w:abstractNumId w:val="5"/>
  </w:num>
  <w:num w:numId="10" w16cid:durableId="2124490655">
    <w:abstractNumId w:val="7"/>
  </w:num>
  <w:num w:numId="11" w16cid:durableId="2088259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2845"/>
    <w:rsid w:val="00004287"/>
    <w:rsid w:val="00006707"/>
    <w:rsid w:val="00011EF9"/>
    <w:rsid w:val="000142AA"/>
    <w:rsid w:val="00014621"/>
    <w:rsid w:val="00014E48"/>
    <w:rsid w:val="00015090"/>
    <w:rsid w:val="000155B1"/>
    <w:rsid w:val="000171E1"/>
    <w:rsid w:val="0001720F"/>
    <w:rsid w:val="00017939"/>
    <w:rsid w:val="00020C74"/>
    <w:rsid w:val="00021198"/>
    <w:rsid w:val="0002236C"/>
    <w:rsid w:val="00024A66"/>
    <w:rsid w:val="000269D6"/>
    <w:rsid w:val="00030D78"/>
    <w:rsid w:val="00037AE1"/>
    <w:rsid w:val="000400DB"/>
    <w:rsid w:val="00041235"/>
    <w:rsid w:val="00042A4B"/>
    <w:rsid w:val="00043239"/>
    <w:rsid w:val="000441B4"/>
    <w:rsid w:val="00045894"/>
    <w:rsid w:val="00051732"/>
    <w:rsid w:val="000548C0"/>
    <w:rsid w:val="00055635"/>
    <w:rsid w:val="00060BB7"/>
    <w:rsid w:val="0006747B"/>
    <w:rsid w:val="00067FDF"/>
    <w:rsid w:val="000709F3"/>
    <w:rsid w:val="00071187"/>
    <w:rsid w:val="00071EF8"/>
    <w:rsid w:val="00072430"/>
    <w:rsid w:val="000773A8"/>
    <w:rsid w:val="0008398E"/>
    <w:rsid w:val="0008528F"/>
    <w:rsid w:val="00086329"/>
    <w:rsid w:val="00093BF5"/>
    <w:rsid w:val="00094D63"/>
    <w:rsid w:val="00095230"/>
    <w:rsid w:val="00096F91"/>
    <w:rsid w:val="00097DF1"/>
    <w:rsid w:val="000A00DC"/>
    <w:rsid w:val="000A2630"/>
    <w:rsid w:val="000A597C"/>
    <w:rsid w:val="000C343B"/>
    <w:rsid w:val="000C4061"/>
    <w:rsid w:val="000C48DD"/>
    <w:rsid w:val="000D4A86"/>
    <w:rsid w:val="000D609D"/>
    <w:rsid w:val="000D75CF"/>
    <w:rsid w:val="000E03AB"/>
    <w:rsid w:val="000E18A3"/>
    <w:rsid w:val="000E221D"/>
    <w:rsid w:val="000E3529"/>
    <w:rsid w:val="000E54C4"/>
    <w:rsid w:val="000E6B44"/>
    <w:rsid w:val="000F759F"/>
    <w:rsid w:val="00106C20"/>
    <w:rsid w:val="0011136D"/>
    <w:rsid w:val="0012152F"/>
    <w:rsid w:val="00132D37"/>
    <w:rsid w:val="00137AE2"/>
    <w:rsid w:val="001417EE"/>
    <w:rsid w:val="00146611"/>
    <w:rsid w:val="00153294"/>
    <w:rsid w:val="00153937"/>
    <w:rsid w:val="0016313F"/>
    <w:rsid w:val="001647B1"/>
    <w:rsid w:val="00167195"/>
    <w:rsid w:val="00170E4A"/>
    <w:rsid w:val="00184F4F"/>
    <w:rsid w:val="00190530"/>
    <w:rsid w:val="001A13A3"/>
    <w:rsid w:val="001A577E"/>
    <w:rsid w:val="001B0E48"/>
    <w:rsid w:val="001C128E"/>
    <w:rsid w:val="001C7037"/>
    <w:rsid w:val="001D4800"/>
    <w:rsid w:val="001E0B91"/>
    <w:rsid w:val="001E53AE"/>
    <w:rsid w:val="001F14F1"/>
    <w:rsid w:val="001F20CF"/>
    <w:rsid w:val="001F2864"/>
    <w:rsid w:val="001F5F25"/>
    <w:rsid w:val="001F7058"/>
    <w:rsid w:val="00202175"/>
    <w:rsid w:val="00206FBA"/>
    <w:rsid w:val="002077D6"/>
    <w:rsid w:val="002077DE"/>
    <w:rsid w:val="00210C09"/>
    <w:rsid w:val="00210CC9"/>
    <w:rsid w:val="002158AE"/>
    <w:rsid w:val="00215B23"/>
    <w:rsid w:val="00217551"/>
    <w:rsid w:val="002203DD"/>
    <w:rsid w:val="00220670"/>
    <w:rsid w:val="00222A91"/>
    <w:rsid w:val="00223CF6"/>
    <w:rsid w:val="00232AB8"/>
    <w:rsid w:val="00234D2A"/>
    <w:rsid w:val="002354C8"/>
    <w:rsid w:val="00243ED3"/>
    <w:rsid w:val="0024673B"/>
    <w:rsid w:val="00250D24"/>
    <w:rsid w:val="002547C0"/>
    <w:rsid w:val="00261267"/>
    <w:rsid w:val="00262930"/>
    <w:rsid w:val="00280EBE"/>
    <w:rsid w:val="00282E22"/>
    <w:rsid w:val="002835E6"/>
    <w:rsid w:val="00285392"/>
    <w:rsid w:val="002869D3"/>
    <w:rsid w:val="002954DA"/>
    <w:rsid w:val="00296A2E"/>
    <w:rsid w:val="002A19C3"/>
    <w:rsid w:val="002B0922"/>
    <w:rsid w:val="002B0DE0"/>
    <w:rsid w:val="002B26CE"/>
    <w:rsid w:val="002B2D49"/>
    <w:rsid w:val="002B3D7E"/>
    <w:rsid w:val="002B459A"/>
    <w:rsid w:val="002B61E3"/>
    <w:rsid w:val="002B6A75"/>
    <w:rsid w:val="002B6D57"/>
    <w:rsid w:val="002C61C5"/>
    <w:rsid w:val="002D064E"/>
    <w:rsid w:val="002D08CB"/>
    <w:rsid w:val="002D2EF9"/>
    <w:rsid w:val="002D3DCB"/>
    <w:rsid w:val="002D4AA0"/>
    <w:rsid w:val="002E211C"/>
    <w:rsid w:val="002E445C"/>
    <w:rsid w:val="002E7CAE"/>
    <w:rsid w:val="002F32CA"/>
    <w:rsid w:val="002F41A7"/>
    <w:rsid w:val="002F4EF3"/>
    <w:rsid w:val="003017AC"/>
    <w:rsid w:val="00301ACB"/>
    <w:rsid w:val="0030353B"/>
    <w:rsid w:val="00305C97"/>
    <w:rsid w:val="00307226"/>
    <w:rsid w:val="00313833"/>
    <w:rsid w:val="0031469C"/>
    <w:rsid w:val="00316524"/>
    <w:rsid w:val="00324472"/>
    <w:rsid w:val="0032664C"/>
    <w:rsid w:val="00330A34"/>
    <w:rsid w:val="00334AF2"/>
    <w:rsid w:val="00335F94"/>
    <w:rsid w:val="003364D3"/>
    <w:rsid w:val="00337BA3"/>
    <w:rsid w:val="003522CF"/>
    <w:rsid w:val="00352B78"/>
    <w:rsid w:val="00356EFB"/>
    <w:rsid w:val="0036502E"/>
    <w:rsid w:val="00365CFD"/>
    <w:rsid w:val="00373867"/>
    <w:rsid w:val="003800C5"/>
    <w:rsid w:val="003817C7"/>
    <w:rsid w:val="00385F84"/>
    <w:rsid w:val="00390109"/>
    <w:rsid w:val="00390467"/>
    <w:rsid w:val="00397FA1"/>
    <w:rsid w:val="003A1893"/>
    <w:rsid w:val="003A4C09"/>
    <w:rsid w:val="003A4F0C"/>
    <w:rsid w:val="003A5999"/>
    <w:rsid w:val="003B22C9"/>
    <w:rsid w:val="003B3074"/>
    <w:rsid w:val="003B3D06"/>
    <w:rsid w:val="003B5724"/>
    <w:rsid w:val="003B5F35"/>
    <w:rsid w:val="003C249B"/>
    <w:rsid w:val="003C40B4"/>
    <w:rsid w:val="003C40EE"/>
    <w:rsid w:val="003C4E8E"/>
    <w:rsid w:val="003C6275"/>
    <w:rsid w:val="003D33B9"/>
    <w:rsid w:val="003E665B"/>
    <w:rsid w:val="003E6FF5"/>
    <w:rsid w:val="003E79FC"/>
    <w:rsid w:val="003F3095"/>
    <w:rsid w:val="003F3CCD"/>
    <w:rsid w:val="003F72CA"/>
    <w:rsid w:val="004001BE"/>
    <w:rsid w:val="00400973"/>
    <w:rsid w:val="00410DA6"/>
    <w:rsid w:val="00410EC8"/>
    <w:rsid w:val="00411A70"/>
    <w:rsid w:val="004121CD"/>
    <w:rsid w:val="00413511"/>
    <w:rsid w:val="00413F23"/>
    <w:rsid w:val="00414A1E"/>
    <w:rsid w:val="0041628B"/>
    <w:rsid w:val="004176AD"/>
    <w:rsid w:val="0042052E"/>
    <w:rsid w:val="004229C0"/>
    <w:rsid w:val="00431650"/>
    <w:rsid w:val="00435896"/>
    <w:rsid w:val="004360F3"/>
    <w:rsid w:val="0043712A"/>
    <w:rsid w:val="0043779C"/>
    <w:rsid w:val="00441115"/>
    <w:rsid w:val="004436CA"/>
    <w:rsid w:val="00445091"/>
    <w:rsid w:val="004476D6"/>
    <w:rsid w:val="00451CB3"/>
    <w:rsid w:val="004535D4"/>
    <w:rsid w:val="004551E7"/>
    <w:rsid w:val="00461E8E"/>
    <w:rsid w:val="00462B7B"/>
    <w:rsid w:val="004631A3"/>
    <w:rsid w:val="00466431"/>
    <w:rsid w:val="00470586"/>
    <w:rsid w:val="00470C51"/>
    <w:rsid w:val="00474100"/>
    <w:rsid w:val="004746B4"/>
    <w:rsid w:val="004871D9"/>
    <w:rsid w:val="00491D36"/>
    <w:rsid w:val="004923DE"/>
    <w:rsid w:val="004A0A15"/>
    <w:rsid w:val="004A149D"/>
    <w:rsid w:val="004A39F8"/>
    <w:rsid w:val="004B00D2"/>
    <w:rsid w:val="004B1E0E"/>
    <w:rsid w:val="004B3275"/>
    <w:rsid w:val="004B486D"/>
    <w:rsid w:val="004B4E49"/>
    <w:rsid w:val="004C1D35"/>
    <w:rsid w:val="004C4DD5"/>
    <w:rsid w:val="004C4F36"/>
    <w:rsid w:val="004C51C3"/>
    <w:rsid w:val="004D3589"/>
    <w:rsid w:val="004E3AC9"/>
    <w:rsid w:val="0050553E"/>
    <w:rsid w:val="005055ED"/>
    <w:rsid w:val="00505819"/>
    <w:rsid w:val="005101A3"/>
    <w:rsid w:val="005106E7"/>
    <w:rsid w:val="005132FB"/>
    <w:rsid w:val="00520334"/>
    <w:rsid w:val="0052088D"/>
    <w:rsid w:val="0052327E"/>
    <w:rsid w:val="00524055"/>
    <w:rsid w:val="00524B1A"/>
    <w:rsid w:val="00525033"/>
    <w:rsid w:val="00525C5E"/>
    <w:rsid w:val="005318A7"/>
    <w:rsid w:val="00537BE8"/>
    <w:rsid w:val="005401BA"/>
    <w:rsid w:val="00545915"/>
    <w:rsid w:val="00555B0E"/>
    <w:rsid w:val="005659C9"/>
    <w:rsid w:val="00566EE7"/>
    <w:rsid w:val="00573F35"/>
    <w:rsid w:val="00586204"/>
    <w:rsid w:val="005862B8"/>
    <w:rsid w:val="00590C38"/>
    <w:rsid w:val="0059229D"/>
    <w:rsid w:val="00596880"/>
    <w:rsid w:val="005A1498"/>
    <w:rsid w:val="005A1C08"/>
    <w:rsid w:val="005B27CE"/>
    <w:rsid w:val="005B4EA0"/>
    <w:rsid w:val="005C7D8A"/>
    <w:rsid w:val="005D1EB5"/>
    <w:rsid w:val="005D2FB3"/>
    <w:rsid w:val="005D798D"/>
    <w:rsid w:val="005D7DAA"/>
    <w:rsid w:val="005E01EF"/>
    <w:rsid w:val="005E0AC2"/>
    <w:rsid w:val="005E1848"/>
    <w:rsid w:val="005E42E6"/>
    <w:rsid w:val="005E5391"/>
    <w:rsid w:val="00602294"/>
    <w:rsid w:val="00604C5C"/>
    <w:rsid w:val="006114BF"/>
    <w:rsid w:val="0061667C"/>
    <w:rsid w:val="00621C43"/>
    <w:rsid w:val="006221BB"/>
    <w:rsid w:val="00624372"/>
    <w:rsid w:val="00624774"/>
    <w:rsid w:val="00624C2F"/>
    <w:rsid w:val="0062683D"/>
    <w:rsid w:val="00627183"/>
    <w:rsid w:val="00637450"/>
    <w:rsid w:val="00637E4A"/>
    <w:rsid w:val="00641005"/>
    <w:rsid w:val="0064616D"/>
    <w:rsid w:val="006465B9"/>
    <w:rsid w:val="006476BD"/>
    <w:rsid w:val="006535C5"/>
    <w:rsid w:val="00657579"/>
    <w:rsid w:val="00657F1E"/>
    <w:rsid w:val="0066235C"/>
    <w:rsid w:val="0066245A"/>
    <w:rsid w:val="006642B2"/>
    <w:rsid w:val="006643C8"/>
    <w:rsid w:val="0066683A"/>
    <w:rsid w:val="006672CD"/>
    <w:rsid w:val="00670BB7"/>
    <w:rsid w:val="00671888"/>
    <w:rsid w:val="00677554"/>
    <w:rsid w:val="0068237B"/>
    <w:rsid w:val="00682F52"/>
    <w:rsid w:val="0068499F"/>
    <w:rsid w:val="00684A88"/>
    <w:rsid w:val="00690E2E"/>
    <w:rsid w:val="00691D75"/>
    <w:rsid w:val="006937F7"/>
    <w:rsid w:val="00693CD2"/>
    <w:rsid w:val="00697764"/>
    <w:rsid w:val="006979F3"/>
    <w:rsid w:val="006A3A8D"/>
    <w:rsid w:val="006A5BE8"/>
    <w:rsid w:val="006A75FA"/>
    <w:rsid w:val="006B3B39"/>
    <w:rsid w:val="006B5CC1"/>
    <w:rsid w:val="006B6595"/>
    <w:rsid w:val="006B7CC6"/>
    <w:rsid w:val="006C0E03"/>
    <w:rsid w:val="006C5F28"/>
    <w:rsid w:val="006C6292"/>
    <w:rsid w:val="006C7CC9"/>
    <w:rsid w:val="006D0BD7"/>
    <w:rsid w:val="006E1227"/>
    <w:rsid w:val="006E3B06"/>
    <w:rsid w:val="006E766F"/>
    <w:rsid w:val="006F1118"/>
    <w:rsid w:val="006F51DE"/>
    <w:rsid w:val="007032C7"/>
    <w:rsid w:val="00705831"/>
    <w:rsid w:val="0071092D"/>
    <w:rsid w:val="00710B77"/>
    <w:rsid w:val="0071144F"/>
    <w:rsid w:val="00711860"/>
    <w:rsid w:val="007123E1"/>
    <w:rsid w:val="00712B53"/>
    <w:rsid w:val="00716F2C"/>
    <w:rsid w:val="00720FD6"/>
    <w:rsid w:val="0072400B"/>
    <w:rsid w:val="00730019"/>
    <w:rsid w:val="0073361F"/>
    <w:rsid w:val="007369A5"/>
    <w:rsid w:val="0074183B"/>
    <w:rsid w:val="00743733"/>
    <w:rsid w:val="00747BCF"/>
    <w:rsid w:val="00747F3A"/>
    <w:rsid w:val="00754F9E"/>
    <w:rsid w:val="007564AC"/>
    <w:rsid w:val="00776680"/>
    <w:rsid w:val="0078596C"/>
    <w:rsid w:val="0078598A"/>
    <w:rsid w:val="00792328"/>
    <w:rsid w:val="00793E33"/>
    <w:rsid w:val="007971DD"/>
    <w:rsid w:val="007B21B5"/>
    <w:rsid w:val="007B3EC0"/>
    <w:rsid w:val="007B5894"/>
    <w:rsid w:val="007C0446"/>
    <w:rsid w:val="007C0931"/>
    <w:rsid w:val="007C1460"/>
    <w:rsid w:val="007C590F"/>
    <w:rsid w:val="007D04E7"/>
    <w:rsid w:val="007D1F7E"/>
    <w:rsid w:val="007D2A33"/>
    <w:rsid w:val="007D4CCE"/>
    <w:rsid w:val="007E09AE"/>
    <w:rsid w:val="007E3081"/>
    <w:rsid w:val="007E6A54"/>
    <w:rsid w:val="007F092D"/>
    <w:rsid w:val="007F220C"/>
    <w:rsid w:val="007F2827"/>
    <w:rsid w:val="007F45F4"/>
    <w:rsid w:val="007F547D"/>
    <w:rsid w:val="00803329"/>
    <w:rsid w:val="00803A38"/>
    <w:rsid w:val="00806F05"/>
    <w:rsid w:val="008121FF"/>
    <w:rsid w:val="00812241"/>
    <w:rsid w:val="00812E6C"/>
    <w:rsid w:val="00813533"/>
    <w:rsid w:val="00814924"/>
    <w:rsid w:val="00815188"/>
    <w:rsid w:val="0082229D"/>
    <w:rsid w:val="00824242"/>
    <w:rsid w:val="00824CE5"/>
    <w:rsid w:val="00827583"/>
    <w:rsid w:val="00831087"/>
    <w:rsid w:val="008332D4"/>
    <w:rsid w:val="00834178"/>
    <w:rsid w:val="00834CBC"/>
    <w:rsid w:val="00835E9B"/>
    <w:rsid w:val="00837DED"/>
    <w:rsid w:val="008410A7"/>
    <w:rsid w:val="00842DD3"/>
    <w:rsid w:val="008451E4"/>
    <w:rsid w:val="00847651"/>
    <w:rsid w:val="008500DB"/>
    <w:rsid w:val="00853848"/>
    <w:rsid w:val="0085748E"/>
    <w:rsid w:val="0086010B"/>
    <w:rsid w:val="00860FB9"/>
    <w:rsid w:val="00864E70"/>
    <w:rsid w:val="008715A3"/>
    <w:rsid w:val="008736C0"/>
    <w:rsid w:val="0087453D"/>
    <w:rsid w:val="008764CB"/>
    <w:rsid w:val="00880D11"/>
    <w:rsid w:val="00881730"/>
    <w:rsid w:val="00882454"/>
    <w:rsid w:val="00882B2B"/>
    <w:rsid w:val="0088319A"/>
    <w:rsid w:val="00887AE9"/>
    <w:rsid w:val="008A0F3B"/>
    <w:rsid w:val="008A13EE"/>
    <w:rsid w:val="008A3EF5"/>
    <w:rsid w:val="008B1946"/>
    <w:rsid w:val="008B2706"/>
    <w:rsid w:val="008C2A68"/>
    <w:rsid w:val="008C2D92"/>
    <w:rsid w:val="008C415C"/>
    <w:rsid w:val="008C7279"/>
    <w:rsid w:val="008D6591"/>
    <w:rsid w:val="008E576E"/>
    <w:rsid w:val="008E70AF"/>
    <w:rsid w:val="009004DA"/>
    <w:rsid w:val="00907CB5"/>
    <w:rsid w:val="00907D4B"/>
    <w:rsid w:val="00910DD2"/>
    <w:rsid w:val="009122CE"/>
    <w:rsid w:val="00915F94"/>
    <w:rsid w:val="00921592"/>
    <w:rsid w:val="00923AD3"/>
    <w:rsid w:val="009327BA"/>
    <w:rsid w:val="00932B91"/>
    <w:rsid w:val="00936FF0"/>
    <w:rsid w:val="00943B21"/>
    <w:rsid w:val="00944794"/>
    <w:rsid w:val="009514BA"/>
    <w:rsid w:val="009617D5"/>
    <w:rsid w:val="00961C30"/>
    <w:rsid w:val="009645CF"/>
    <w:rsid w:val="0096478E"/>
    <w:rsid w:val="00964E87"/>
    <w:rsid w:val="00966B2F"/>
    <w:rsid w:val="009714C7"/>
    <w:rsid w:val="00972FDF"/>
    <w:rsid w:val="009774EE"/>
    <w:rsid w:val="009777B4"/>
    <w:rsid w:val="00977C92"/>
    <w:rsid w:val="00982426"/>
    <w:rsid w:val="00983F91"/>
    <w:rsid w:val="009909BC"/>
    <w:rsid w:val="009A0934"/>
    <w:rsid w:val="009A1A9A"/>
    <w:rsid w:val="009A1C5A"/>
    <w:rsid w:val="009A38B3"/>
    <w:rsid w:val="009A41A0"/>
    <w:rsid w:val="009A67E4"/>
    <w:rsid w:val="009A7949"/>
    <w:rsid w:val="009B2E64"/>
    <w:rsid w:val="009C0089"/>
    <w:rsid w:val="009C5032"/>
    <w:rsid w:val="009D15C3"/>
    <w:rsid w:val="009D6D5F"/>
    <w:rsid w:val="009E35E2"/>
    <w:rsid w:val="009F0341"/>
    <w:rsid w:val="009F0909"/>
    <w:rsid w:val="00A067AE"/>
    <w:rsid w:val="00A141DB"/>
    <w:rsid w:val="00A1684E"/>
    <w:rsid w:val="00A22578"/>
    <w:rsid w:val="00A22805"/>
    <w:rsid w:val="00A25E37"/>
    <w:rsid w:val="00A30EF6"/>
    <w:rsid w:val="00A311EF"/>
    <w:rsid w:val="00A33BB8"/>
    <w:rsid w:val="00A40434"/>
    <w:rsid w:val="00A4268B"/>
    <w:rsid w:val="00A429FE"/>
    <w:rsid w:val="00A528D5"/>
    <w:rsid w:val="00A53CA6"/>
    <w:rsid w:val="00A54798"/>
    <w:rsid w:val="00A55690"/>
    <w:rsid w:val="00A7015E"/>
    <w:rsid w:val="00A7094B"/>
    <w:rsid w:val="00A738DD"/>
    <w:rsid w:val="00A73949"/>
    <w:rsid w:val="00A73FEE"/>
    <w:rsid w:val="00A770A1"/>
    <w:rsid w:val="00A8293B"/>
    <w:rsid w:val="00A850D1"/>
    <w:rsid w:val="00A87E54"/>
    <w:rsid w:val="00A90F49"/>
    <w:rsid w:val="00A921F7"/>
    <w:rsid w:val="00AA4CEC"/>
    <w:rsid w:val="00AB0092"/>
    <w:rsid w:val="00AB2A81"/>
    <w:rsid w:val="00AB37F7"/>
    <w:rsid w:val="00AB43CD"/>
    <w:rsid w:val="00AC189E"/>
    <w:rsid w:val="00AC6214"/>
    <w:rsid w:val="00AE0460"/>
    <w:rsid w:val="00AE0D49"/>
    <w:rsid w:val="00AE1A2F"/>
    <w:rsid w:val="00AE2217"/>
    <w:rsid w:val="00AE38A8"/>
    <w:rsid w:val="00AE411E"/>
    <w:rsid w:val="00AF556A"/>
    <w:rsid w:val="00AF6D3C"/>
    <w:rsid w:val="00B00643"/>
    <w:rsid w:val="00B23CBD"/>
    <w:rsid w:val="00B253F8"/>
    <w:rsid w:val="00B30061"/>
    <w:rsid w:val="00B33323"/>
    <w:rsid w:val="00B348FC"/>
    <w:rsid w:val="00B3544E"/>
    <w:rsid w:val="00B42575"/>
    <w:rsid w:val="00B4468D"/>
    <w:rsid w:val="00B52156"/>
    <w:rsid w:val="00B5788C"/>
    <w:rsid w:val="00B607DD"/>
    <w:rsid w:val="00B61DFE"/>
    <w:rsid w:val="00B6324B"/>
    <w:rsid w:val="00B768E3"/>
    <w:rsid w:val="00B8252D"/>
    <w:rsid w:val="00B8506E"/>
    <w:rsid w:val="00B87CAD"/>
    <w:rsid w:val="00B901A6"/>
    <w:rsid w:val="00B909C4"/>
    <w:rsid w:val="00B94A51"/>
    <w:rsid w:val="00B959DF"/>
    <w:rsid w:val="00B96CEB"/>
    <w:rsid w:val="00BA0E4E"/>
    <w:rsid w:val="00BB2DE6"/>
    <w:rsid w:val="00BB3EF1"/>
    <w:rsid w:val="00BB4A0C"/>
    <w:rsid w:val="00BB595B"/>
    <w:rsid w:val="00BC26A1"/>
    <w:rsid w:val="00BD09C2"/>
    <w:rsid w:val="00BD30C1"/>
    <w:rsid w:val="00BD3976"/>
    <w:rsid w:val="00BD3C3C"/>
    <w:rsid w:val="00BD506A"/>
    <w:rsid w:val="00BD69A4"/>
    <w:rsid w:val="00BE3E6B"/>
    <w:rsid w:val="00BF1727"/>
    <w:rsid w:val="00BF35C5"/>
    <w:rsid w:val="00BF4A0F"/>
    <w:rsid w:val="00C00135"/>
    <w:rsid w:val="00C01116"/>
    <w:rsid w:val="00C02A4C"/>
    <w:rsid w:val="00C05E04"/>
    <w:rsid w:val="00C075E1"/>
    <w:rsid w:val="00C07749"/>
    <w:rsid w:val="00C12C46"/>
    <w:rsid w:val="00C171D8"/>
    <w:rsid w:val="00C261DD"/>
    <w:rsid w:val="00C34D2D"/>
    <w:rsid w:val="00C3657E"/>
    <w:rsid w:val="00C37CE0"/>
    <w:rsid w:val="00C425E3"/>
    <w:rsid w:val="00C42ED3"/>
    <w:rsid w:val="00C50B61"/>
    <w:rsid w:val="00C5350F"/>
    <w:rsid w:val="00C56440"/>
    <w:rsid w:val="00C62EA9"/>
    <w:rsid w:val="00C636DB"/>
    <w:rsid w:val="00C651FF"/>
    <w:rsid w:val="00C7431F"/>
    <w:rsid w:val="00C74EBC"/>
    <w:rsid w:val="00C76B91"/>
    <w:rsid w:val="00C8077C"/>
    <w:rsid w:val="00C8254D"/>
    <w:rsid w:val="00C85282"/>
    <w:rsid w:val="00C87773"/>
    <w:rsid w:val="00C91185"/>
    <w:rsid w:val="00C92E48"/>
    <w:rsid w:val="00C93FFA"/>
    <w:rsid w:val="00C944E2"/>
    <w:rsid w:val="00C9687A"/>
    <w:rsid w:val="00CA0F42"/>
    <w:rsid w:val="00CA227F"/>
    <w:rsid w:val="00CA2BD2"/>
    <w:rsid w:val="00CA2EF2"/>
    <w:rsid w:val="00CB1BB2"/>
    <w:rsid w:val="00CB245B"/>
    <w:rsid w:val="00CB407A"/>
    <w:rsid w:val="00CC1F57"/>
    <w:rsid w:val="00CC40C2"/>
    <w:rsid w:val="00CC4719"/>
    <w:rsid w:val="00CC5831"/>
    <w:rsid w:val="00CD3181"/>
    <w:rsid w:val="00CD5464"/>
    <w:rsid w:val="00CE06CD"/>
    <w:rsid w:val="00CE3C13"/>
    <w:rsid w:val="00CE6683"/>
    <w:rsid w:val="00CF46AD"/>
    <w:rsid w:val="00CF7E3D"/>
    <w:rsid w:val="00D016FF"/>
    <w:rsid w:val="00D104BB"/>
    <w:rsid w:val="00D11ADA"/>
    <w:rsid w:val="00D13479"/>
    <w:rsid w:val="00D14627"/>
    <w:rsid w:val="00D169BC"/>
    <w:rsid w:val="00D17724"/>
    <w:rsid w:val="00D1793C"/>
    <w:rsid w:val="00D20104"/>
    <w:rsid w:val="00D25639"/>
    <w:rsid w:val="00D25FF8"/>
    <w:rsid w:val="00D27FBC"/>
    <w:rsid w:val="00D30259"/>
    <w:rsid w:val="00D36763"/>
    <w:rsid w:val="00D37D69"/>
    <w:rsid w:val="00D46AC7"/>
    <w:rsid w:val="00D50591"/>
    <w:rsid w:val="00D50A1C"/>
    <w:rsid w:val="00D5526E"/>
    <w:rsid w:val="00D6224D"/>
    <w:rsid w:val="00D63224"/>
    <w:rsid w:val="00D65719"/>
    <w:rsid w:val="00D70DC4"/>
    <w:rsid w:val="00D72362"/>
    <w:rsid w:val="00D73725"/>
    <w:rsid w:val="00D83570"/>
    <w:rsid w:val="00D85EB0"/>
    <w:rsid w:val="00D86F6D"/>
    <w:rsid w:val="00D90BA8"/>
    <w:rsid w:val="00D9241E"/>
    <w:rsid w:val="00D9538B"/>
    <w:rsid w:val="00D96A38"/>
    <w:rsid w:val="00DA2AF4"/>
    <w:rsid w:val="00DA5C56"/>
    <w:rsid w:val="00DA5F2A"/>
    <w:rsid w:val="00DA5FFA"/>
    <w:rsid w:val="00DB0B3C"/>
    <w:rsid w:val="00DB36FB"/>
    <w:rsid w:val="00DB4C65"/>
    <w:rsid w:val="00DB7131"/>
    <w:rsid w:val="00DC0BE4"/>
    <w:rsid w:val="00DC21EE"/>
    <w:rsid w:val="00DC78F1"/>
    <w:rsid w:val="00DD2C63"/>
    <w:rsid w:val="00DD421A"/>
    <w:rsid w:val="00DD6264"/>
    <w:rsid w:val="00DD7A01"/>
    <w:rsid w:val="00DE086B"/>
    <w:rsid w:val="00DE2790"/>
    <w:rsid w:val="00DF2A96"/>
    <w:rsid w:val="00DF4850"/>
    <w:rsid w:val="00DF78AC"/>
    <w:rsid w:val="00E0162C"/>
    <w:rsid w:val="00E01ADF"/>
    <w:rsid w:val="00E0215C"/>
    <w:rsid w:val="00E0725A"/>
    <w:rsid w:val="00E14BA6"/>
    <w:rsid w:val="00E15978"/>
    <w:rsid w:val="00E2734B"/>
    <w:rsid w:val="00E33F2C"/>
    <w:rsid w:val="00E34039"/>
    <w:rsid w:val="00E44700"/>
    <w:rsid w:val="00E46595"/>
    <w:rsid w:val="00E47917"/>
    <w:rsid w:val="00E53287"/>
    <w:rsid w:val="00E60A0B"/>
    <w:rsid w:val="00E61E6F"/>
    <w:rsid w:val="00E62A44"/>
    <w:rsid w:val="00E66087"/>
    <w:rsid w:val="00E66FED"/>
    <w:rsid w:val="00E67A1A"/>
    <w:rsid w:val="00E909F9"/>
    <w:rsid w:val="00E954EB"/>
    <w:rsid w:val="00EA1501"/>
    <w:rsid w:val="00EA587B"/>
    <w:rsid w:val="00EB10FA"/>
    <w:rsid w:val="00EB1D99"/>
    <w:rsid w:val="00EB665A"/>
    <w:rsid w:val="00EC2C01"/>
    <w:rsid w:val="00ED0216"/>
    <w:rsid w:val="00ED6478"/>
    <w:rsid w:val="00EE05ED"/>
    <w:rsid w:val="00EE4CAD"/>
    <w:rsid w:val="00EE5160"/>
    <w:rsid w:val="00EF3658"/>
    <w:rsid w:val="00EF4108"/>
    <w:rsid w:val="00EF4E47"/>
    <w:rsid w:val="00EF53F8"/>
    <w:rsid w:val="00EF6D41"/>
    <w:rsid w:val="00F00D5C"/>
    <w:rsid w:val="00F04EF3"/>
    <w:rsid w:val="00F0698F"/>
    <w:rsid w:val="00F15737"/>
    <w:rsid w:val="00F17397"/>
    <w:rsid w:val="00F201FA"/>
    <w:rsid w:val="00F24F94"/>
    <w:rsid w:val="00F265C2"/>
    <w:rsid w:val="00F32F3B"/>
    <w:rsid w:val="00F40FDE"/>
    <w:rsid w:val="00F443E5"/>
    <w:rsid w:val="00F462F0"/>
    <w:rsid w:val="00F52DBB"/>
    <w:rsid w:val="00F53850"/>
    <w:rsid w:val="00F54380"/>
    <w:rsid w:val="00F554C8"/>
    <w:rsid w:val="00F63C37"/>
    <w:rsid w:val="00F712CD"/>
    <w:rsid w:val="00F736E1"/>
    <w:rsid w:val="00F745F0"/>
    <w:rsid w:val="00F7555A"/>
    <w:rsid w:val="00F91CB5"/>
    <w:rsid w:val="00F92979"/>
    <w:rsid w:val="00FA2A01"/>
    <w:rsid w:val="00FA3CC0"/>
    <w:rsid w:val="00FA4EE6"/>
    <w:rsid w:val="00FA6252"/>
    <w:rsid w:val="00FB317E"/>
    <w:rsid w:val="00FB4A8E"/>
    <w:rsid w:val="00FC3991"/>
    <w:rsid w:val="00FC5025"/>
    <w:rsid w:val="00FC5212"/>
    <w:rsid w:val="00FD67F0"/>
    <w:rsid w:val="00FE0253"/>
    <w:rsid w:val="00FE1859"/>
    <w:rsid w:val="00FE74A7"/>
    <w:rsid w:val="00FE7F78"/>
    <w:rsid w:val="00FF25F2"/>
    <w:rsid w:val="00FF7101"/>
    <w:rsid w:val="00FF7755"/>
    <w:rsid w:val="05FE9296"/>
    <w:rsid w:val="0F22E9BF"/>
    <w:rsid w:val="1128E4B2"/>
    <w:rsid w:val="18447277"/>
    <w:rsid w:val="1B122FAD"/>
    <w:rsid w:val="20F13338"/>
    <w:rsid w:val="25CE0EC7"/>
    <w:rsid w:val="2669B493"/>
    <w:rsid w:val="27ACF25C"/>
    <w:rsid w:val="289E9D6B"/>
    <w:rsid w:val="2EFA9133"/>
    <w:rsid w:val="33F82322"/>
    <w:rsid w:val="44FD35A1"/>
    <w:rsid w:val="4546EA1D"/>
    <w:rsid w:val="496FAD20"/>
    <w:rsid w:val="4C7E9143"/>
    <w:rsid w:val="6664A677"/>
    <w:rsid w:val="68BAFA53"/>
    <w:rsid w:val="6F9D8EF3"/>
    <w:rsid w:val="730B5A0A"/>
    <w:rsid w:val="749663D2"/>
    <w:rsid w:val="76F5E6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DA2AE"/>
  <w15:docId w15:val="{F345CC33-5AF5-4EAA-8D59-47BB1E88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F63C37"/>
    <w:pPr>
      <w:keepNext/>
      <w:tabs>
        <w:tab w:val="left" w:pos="1152"/>
      </w:tabs>
      <w:spacing w:before="360" w:after="120" w:line="240" w:lineRule="atLeast"/>
      <w:ind w:left="1152" w:hanging="1152"/>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F63C37"/>
    <w:rPr>
      <w:rFonts w:ascii="Times New Roman" w:eastAsia="Times New Roman" w:hAnsi="Times New Roman"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0D75CF"/>
    <w:pPr>
      <w:numPr>
        <w:numId w:val="6"/>
      </w:numPr>
      <w:spacing w:line="240" w:lineRule="auto"/>
      <w:contextualSpacing/>
    </w:pPr>
    <w:rPr>
      <w:rFonts w:ascii="Times New Roman" w:hAnsi="Times New Roman" w:cs="Times New Roman"/>
      <w:sz w:val="24"/>
      <w:szCs w:val="24"/>
    </w:r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7B21B5"/>
    <w:pPr>
      <w:tabs>
        <w:tab w:val="left" w:pos="880"/>
        <w:tab w:val="right" w:leader="dot" w:pos="9360"/>
      </w:tabs>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F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statprog/20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ces.ed.gov/pubs2021/202107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1756-EAC3-4EBC-9502-163FF6C8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6977</Words>
  <Characters>39770</Characters>
  <Application>Microsoft Office Word</Application>
  <DocSecurity>0</DocSecurity>
  <Lines>331</Lines>
  <Paragraphs>93</Paragraphs>
  <ScaleCrop>false</ScaleCrop>
  <Company>American Institutes for Research</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Low</dc:creator>
  <cp:lastModifiedBy>Valentine, Stephanie</cp:lastModifiedBy>
  <cp:revision>14</cp:revision>
  <dcterms:created xsi:type="dcterms:W3CDTF">2022-03-07T20:34:00Z</dcterms:created>
  <dcterms:modified xsi:type="dcterms:W3CDTF">2022-06-28T13:58:00Z</dcterms:modified>
</cp:coreProperties>
</file>