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64DA" w:rsidR="009D6B6D" w:rsidP="001D2EC1" w:rsidRDefault="001D2EC1" w14:paraId="47F59ADF" w14:textId="77777777">
      <w:pPr>
        <w:widowControl/>
        <w:tabs>
          <w:tab w:val="center" w:pos="5040"/>
        </w:tabs>
        <w:jc w:val="center"/>
        <w:rPr>
          <w:b/>
          <w:bCs/>
          <w:sz w:val="26"/>
          <w:szCs w:val="26"/>
        </w:rPr>
      </w:pPr>
      <w:r w:rsidRPr="003B64DA">
        <w:rPr>
          <w:b/>
          <w:bCs/>
          <w:sz w:val="26"/>
          <w:szCs w:val="26"/>
        </w:rPr>
        <w:t>Supporting Statement for</w:t>
      </w:r>
    </w:p>
    <w:p w:rsidRPr="003B64DA" w:rsidR="002B2810" w:rsidP="001D2EC1" w:rsidRDefault="00972277" w14:paraId="1AABC5F9" w14:textId="4C14039D">
      <w:pPr>
        <w:widowControl/>
        <w:tabs>
          <w:tab w:val="center" w:pos="5040"/>
        </w:tabs>
        <w:jc w:val="center"/>
        <w:rPr>
          <w:b/>
          <w:bCs/>
          <w:sz w:val="26"/>
          <w:szCs w:val="26"/>
        </w:rPr>
      </w:pPr>
      <w:r w:rsidRPr="003B64DA">
        <w:rPr>
          <w:b/>
          <w:bCs/>
          <w:sz w:val="26"/>
          <w:szCs w:val="26"/>
        </w:rPr>
        <w:t xml:space="preserve">Revisions of </w:t>
      </w:r>
      <w:r w:rsidRPr="003B64DA" w:rsidR="003151DF">
        <w:rPr>
          <w:b/>
          <w:bCs/>
          <w:sz w:val="26"/>
          <w:szCs w:val="26"/>
        </w:rPr>
        <w:t>FERC-516H</w:t>
      </w:r>
      <w:r w:rsidRPr="003B64DA" w:rsidR="002B2810">
        <w:rPr>
          <w:b/>
          <w:bCs/>
          <w:sz w:val="26"/>
          <w:szCs w:val="26"/>
        </w:rPr>
        <w:t xml:space="preserve"> (</w:t>
      </w:r>
      <w:r w:rsidRPr="003B64DA" w:rsidR="00F37BCE">
        <w:rPr>
          <w:b/>
          <w:bCs/>
          <w:sz w:val="26"/>
          <w:szCs w:val="26"/>
        </w:rPr>
        <w:t>Electric Rate Schedules and Tariff Filings</w:t>
      </w:r>
      <w:r w:rsidRPr="003B64DA" w:rsidR="00A75504">
        <w:rPr>
          <w:b/>
          <w:bCs/>
          <w:sz w:val="26"/>
          <w:szCs w:val="26"/>
        </w:rPr>
        <w:t>)</w:t>
      </w:r>
      <w:r w:rsidRPr="003B64DA" w:rsidR="00B15A69">
        <w:rPr>
          <w:b/>
          <w:bCs/>
          <w:sz w:val="26"/>
          <w:szCs w:val="26"/>
        </w:rPr>
        <w:t xml:space="preserve"> and</w:t>
      </w:r>
    </w:p>
    <w:p w:rsidRPr="003B64DA" w:rsidR="00B15A69" w:rsidP="001D2EC1" w:rsidRDefault="00B15A69" w14:paraId="7CA059FD" w14:textId="28C87887">
      <w:pPr>
        <w:widowControl/>
        <w:tabs>
          <w:tab w:val="center" w:pos="5040"/>
        </w:tabs>
        <w:jc w:val="center"/>
        <w:rPr>
          <w:b/>
          <w:bCs/>
          <w:sz w:val="26"/>
          <w:szCs w:val="26"/>
        </w:rPr>
      </w:pPr>
      <w:r w:rsidRPr="003B64DA">
        <w:rPr>
          <w:b/>
          <w:bCs/>
          <w:sz w:val="26"/>
          <w:szCs w:val="26"/>
        </w:rPr>
        <w:t>FERC-725A (Mandator</w:t>
      </w:r>
      <w:r w:rsidRPr="003B64DA" w:rsidR="005E0A68">
        <w:rPr>
          <w:b/>
          <w:bCs/>
          <w:sz w:val="26"/>
          <w:szCs w:val="26"/>
        </w:rPr>
        <w:t>y</w:t>
      </w:r>
      <w:r w:rsidRPr="003B64DA">
        <w:rPr>
          <w:b/>
          <w:bCs/>
          <w:sz w:val="26"/>
          <w:szCs w:val="26"/>
        </w:rPr>
        <w:t xml:space="preserve"> Reliability Standards for the Bulk-Power Sy</w:t>
      </w:r>
      <w:r w:rsidRPr="003B64DA" w:rsidR="00190092">
        <w:rPr>
          <w:b/>
          <w:bCs/>
          <w:sz w:val="26"/>
          <w:szCs w:val="26"/>
        </w:rPr>
        <w:t>stem</w:t>
      </w:r>
      <w:r w:rsidRPr="003B64DA" w:rsidR="00C531E4">
        <w:rPr>
          <w:b/>
          <w:bCs/>
          <w:sz w:val="26"/>
          <w:szCs w:val="26"/>
        </w:rPr>
        <w:t>)</w:t>
      </w:r>
    </w:p>
    <w:p w:rsidRPr="003B64DA" w:rsidR="00F37BCE" w:rsidP="001D2EC1" w:rsidRDefault="00F37BCE" w14:paraId="50481766" w14:textId="10715EB0">
      <w:pPr>
        <w:widowControl/>
        <w:tabs>
          <w:tab w:val="center" w:pos="5040"/>
        </w:tabs>
        <w:jc w:val="center"/>
        <w:rPr>
          <w:b/>
          <w:bCs/>
          <w:sz w:val="26"/>
          <w:szCs w:val="26"/>
        </w:rPr>
      </w:pPr>
      <w:r w:rsidRPr="003B64DA">
        <w:rPr>
          <w:b/>
          <w:bCs/>
          <w:sz w:val="26"/>
          <w:szCs w:val="26"/>
        </w:rPr>
        <w:t xml:space="preserve">in </w:t>
      </w:r>
      <w:r w:rsidRPr="003B64DA" w:rsidR="00D1013F">
        <w:rPr>
          <w:b/>
          <w:bCs/>
          <w:sz w:val="26"/>
          <w:szCs w:val="26"/>
        </w:rPr>
        <w:t xml:space="preserve">Final Rule </w:t>
      </w:r>
      <w:r w:rsidRPr="003B64DA" w:rsidR="00F12119">
        <w:rPr>
          <w:b/>
          <w:bCs/>
          <w:sz w:val="26"/>
          <w:szCs w:val="26"/>
        </w:rPr>
        <w:t xml:space="preserve">in </w:t>
      </w:r>
      <w:r w:rsidRPr="003B64DA">
        <w:rPr>
          <w:b/>
          <w:bCs/>
          <w:sz w:val="26"/>
          <w:szCs w:val="26"/>
        </w:rPr>
        <w:t>Docket No</w:t>
      </w:r>
      <w:r w:rsidRPr="003B64DA" w:rsidR="00236948">
        <w:rPr>
          <w:b/>
          <w:bCs/>
          <w:sz w:val="26"/>
          <w:szCs w:val="26"/>
        </w:rPr>
        <w:t>.</w:t>
      </w:r>
      <w:r w:rsidRPr="003B64DA">
        <w:rPr>
          <w:b/>
          <w:bCs/>
          <w:sz w:val="26"/>
          <w:szCs w:val="26"/>
        </w:rPr>
        <w:t xml:space="preserve"> RM</w:t>
      </w:r>
      <w:r w:rsidRPr="003B64DA" w:rsidR="00A75504">
        <w:rPr>
          <w:b/>
          <w:bCs/>
          <w:sz w:val="26"/>
          <w:szCs w:val="26"/>
        </w:rPr>
        <w:t>20-16</w:t>
      </w:r>
      <w:r w:rsidRPr="003B64DA">
        <w:rPr>
          <w:b/>
          <w:bCs/>
          <w:sz w:val="26"/>
          <w:szCs w:val="26"/>
        </w:rPr>
        <w:t>-000</w:t>
      </w:r>
    </w:p>
    <w:p w:rsidRPr="003B64DA" w:rsidR="009D6B6D" w:rsidP="001D2EC1" w:rsidRDefault="009D6B6D" w14:paraId="13D26165" w14:textId="77777777">
      <w:pPr>
        <w:widowControl/>
        <w:tabs>
          <w:tab w:val="center" w:pos="5040"/>
        </w:tabs>
        <w:jc w:val="center"/>
        <w:rPr>
          <w:sz w:val="26"/>
          <w:szCs w:val="26"/>
        </w:rPr>
      </w:pPr>
    </w:p>
    <w:p w:rsidRPr="003B64DA" w:rsidR="009D6B6D" w:rsidP="00A75504" w:rsidRDefault="009D6B6D" w14:paraId="08EF0C81" w14:textId="07A6B809">
      <w:pPr>
        <w:pStyle w:val="Heading5"/>
        <w:rPr>
          <w:rFonts w:ascii="Times New Roman" w:hAnsi="Times New Roman" w:cs="Times New Roman"/>
          <w:b/>
          <w:color w:val="auto"/>
          <w:sz w:val="26"/>
          <w:szCs w:val="26"/>
        </w:rPr>
      </w:pPr>
      <w:r w:rsidRPr="003B64DA">
        <w:rPr>
          <w:rFonts w:ascii="Times New Roman" w:hAnsi="Times New Roman" w:cs="Times New Roman"/>
          <w:color w:val="auto"/>
          <w:sz w:val="26"/>
          <w:szCs w:val="26"/>
        </w:rPr>
        <w:t>The Federal Energy Regulatory Commission (Commission or FERC) requests that the Office of Management and Budget (OMB) review and approve</w:t>
      </w:r>
      <w:r w:rsidRPr="003B64DA" w:rsidR="009A4408">
        <w:rPr>
          <w:rFonts w:ascii="Times New Roman" w:hAnsi="Times New Roman" w:cs="Times New Roman"/>
          <w:color w:val="auto"/>
          <w:sz w:val="26"/>
          <w:szCs w:val="26"/>
        </w:rPr>
        <w:t xml:space="preserve"> revisions of</w:t>
      </w:r>
      <w:r w:rsidRPr="003B64DA">
        <w:rPr>
          <w:rFonts w:ascii="Times New Roman" w:hAnsi="Times New Roman" w:cs="Times New Roman"/>
          <w:color w:val="auto"/>
          <w:sz w:val="26"/>
          <w:szCs w:val="26"/>
        </w:rPr>
        <w:t xml:space="preserve"> </w:t>
      </w:r>
      <w:r w:rsidRPr="003B64DA" w:rsidR="003151DF">
        <w:rPr>
          <w:rFonts w:ascii="Times New Roman" w:hAnsi="Times New Roman" w:cs="Times New Roman"/>
          <w:color w:val="auto"/>
          <w:sz w:val="26"/>
          <w:szCs w:val="26"/>
        </w:rPr>
        <w:t xml:space="preserve">FERC-516H </w:t>
      </w:r>
      <w:r w:rsidRPr="003B64DA" w:rsidR="00190092">
        <w:rPr>
          <w:rFonts w:ascii="Times New Roman" w:hAnsi="Times New Roman" w:cs="Times New Roman"/>
          <w:color w:val="auto"/>
          <w:sz w:val="26"/>
          <w:szCs w:val="26"/>
        </w:rPr>
        <w:t>and FERC-725A</w:t>
      </w:r>
      <w:r w:rsidRPr="003B64DA" w:rsidR="00343B78">
        <w:rPr>
          <w:rFonts w:ascii="Times New Roman" w:hAnsi="Times New Roman" w:cs="Times New Roman"/>
          <w:color w:val="auto"/>
          <w:sz w:val="26"/>
          <w:szCs w:val="26"/>
        </w:rPr>
        <w:t xml:space="preserve">, </w:t>
      </w:r>
      <w:r w:rsidRPr="003B64DA" w:rsidR="003151DF">
        <w:rPr>
          <w:rFonts w:ascii="Times New Roman" w:hAnsi="Times New Roman" w:cs="Times New Roman"/>
          <w:color w:val="auto"/>
          <w:sz w:val="26"/>
          <w:szCs w:val="26"/>
        </w:rPr>
        <w:t xml:space="preserve">as </w:t>
      </w:r>
      <w:r w:rsidRPr="003B64DA" w:rsidR="00E362BD">
        <w:rPr>
          <w:rFonts w:ascii="Times New Roman" w:hAnsi="Times New Roman" w:cs="Times New Roman"/>
          <w:color w:val="auto"/>
          <w:sz w:val="26"/>
          <w:szCs w:val="26"/>
        </w:rPr>
        <w:t xml:space="preserve">revised </w:t>
      </w:r>
      <w:r w:rsidRPr="003B64DA" w:rsidR="00F37BCE">
        <w:rPr>
          <w:rFonts w:ascii="Times New Roman" w:hAnsi="Times New Roman" w:cs="Times New Roman"/>
          <w:color w:val="auto"/>
          <w:sz w:val="26"/>
          <w:szCs w:val="26"/>
        </w:rPr>
        <w:t xml:space="preserve">in the </w:t>
      </w:r>
      <w:r w:rsidRPr="003B64DA" w:rsidR="00E362BD">
        <w:rPr>
          <w:rFonts w:ascii="Times New Roman" w:hAnsi="Times New Roman" w:cs="Times New Roman"/>
          <w:color w:val="auto"/>
          <w:sz w:val="26"/>
          <w:szCs w:val="26"/>
        </w:rPr>
        <w:t>f</w:t>
      </w:r>
      <w:r w:rsidRPr="003B64DA" w:rsidR="006E6A27">
        <w:rPr>
          <w:rFonts w:ascii="Times New Roman" w:hAnsi="Times New Roman" w:cs="Times New Roman"/>
          <w:color w:val="auto"/>
          <w:sz w:val="26"/>
          <w:szCs w:val="26"/>
        </w:rPr>
        <w:t xml:space="preserve">inal </w:t>
      </w:r>
      <w:r w:rsidRPr="003B64DA" w:rsidR="00E362BD">
        <w:rPr>
          <w:rFonts w:ascii="Times New Roman" w:hAnsi="Times New Roman" w:cs="Times New Roman"/>
          <w:color w:val="auto"/>
          <w:sz w:val="26"/>
          <w:szCs w:val="26"/>
        </w:rPr>
        <w:t>r</w:t>
      </w:r>
      <w:r w:rsidRPr="003B64DA" w:rsidR="006E6A27">
        <w:rPr>
          <w:rFonts w:ascii="Times New Roman" w:hAnsi="Times New Roman" w:cs="Times New Roman"/>
          <w:color w:val="auto"/>
          <w:sz w:val="26"/>
          <w:szCs w:val="26"/>
        </w:rPr>
        <w:t>ule</w:t>
      </w:r>
      <w:r w:rsidRPr="003B64DA" w:rsidR="00E362BD">
        <w:rPr>
          <w:rFonts w:ascii="Times New Roman" w:hAnsi="Times New Roman" w:cs="Times New Roman"/>
          <w:color w:val="auto"/>
          <w:sz w:val="26"/>
          <w:szCs w:val="26"/>
        </w:rPr>
        <w:t xml:space="preserve"> </w:t>
      </w:r>
      <w:r w:rsidRPr="003B64DA" w:rsidR="00F37BCE">
        <w:rPr>
          <w:rFonts w:ascii="Times New Roman" w:hAnsi="Times New Roman" w:cs="Times New Roman"/>
          <w:color w:val="auto"/>
          <w:sz w:val="26"/>
          <w:szCs w:val="26"/>
        </w:rPr>
        <w:t>in Docket No. RM</w:t>
      </w:r>
      <w:r w:rsidRPr="003B64DA" w:rsidR="003E17A0">
        <w:rPr>
          <w:rFonts w:ascii="Times New Roman" w:hAnsi="Times New Roman" w:cs="Times New Roman"/>
          <w:color w:val="auto"/>
          <w:sz w:val="26"/>
          <w:szCs w:val="26"/>
        </w:rPr>
        <w:t>20-16</w:t>
      </w:r>
      <w:r w:rsidRPr="003B64DA" w:rsidR="00F37BCE">
        <w:rPr>
          <w:rFonts w:ascii="Times New Roman" w:hAnsi="Times New Roman" w:cs="Times New Roman"/>
          <w:color w:val="auto"/>
          <w:sz w:val="26"/>
          <w:szCs w:val="26"/>
        </w:rPr>
        <w:t>-000.</w:t>
      </w:r>
      <w:r w:rsidRPr="003B64DA" w:rsidR="00077890">
        <w:rPr>
          <w:rFonts w:ascii="Times New Roman" w:hAnsi="Times New Roman" w:cs="Times New Roman"/>
          <w:color w:val="auto"/>
          <w:sz w:val="26"/>
          <w:szCs w:val="26"/>
        </w:rPr>
        <w:t xml:space="preserve">  </w:t>
      </w:r>
      <w:r w:rsidRPr="003B64DA" w:rsidR="00D732BC">
        <w:rPr>
          <w:rFonts w:ascii="Times New Roman" w:hAnsi="Times New Roman" w:cs="Times New Roman"/>
          <w:color w:val="auto"/>
          <w:sz w:val="26"/>
          <w:szCs w:val="26"/>
        </w:rPr>
        <w:t xml:space="preserve">Please note:  The final rule lists the incorrect OMB control number for </w:t>
      </w:r>
      <w:r w:rsidRPr="003B64DA" w:rsidR="00B823B1">
        <w:rPr>
          <w:rFonts w:ascii="Times New Roman" w:hAnsi="Times New Roman" w:cs="Times New Roman"/>
          <w:color w:val="auto"/>
          <w:sz w:val="26"/>
          <w:szCs w:val="26"/>
        </w:rPr>
        <w:t>FERC-516H.  The correct OMB control number for FERC-516H is 1902-0303.</w:t>
      </w:r>
    </w:p>
    <w:p w:rsidRPr="003B64DA" w:rsidR="009D6B6D" w:rsidP="001D2EC1" w:rsidRDefault="009D6B6D" w14:paraId="55BF55CD" w14:textId="77777777">
      <w:pPr>
        <w:widowControl/>
        <w:rPr>
          <w:sz w:val="26"/>
          <w:szCs w:val="26"/>
        </w:rPr>
      </w:pPr>
    </w:p>
    <w:p w:rsidRPr="003B64DA" w:rsidR="009D6B6D" w:rsidP="00B6237D" w:rsidRDefault="009D6B6D" w14:paraId="284B885E" w14:textId="0296E60E">
      <w:pPr>
        <w:widowControl/>
        <w:ind w:left="720" w:hanging="720"/>
        <w:rPr>
          <w:b/>
          <w:sz w:val="26"/>
          <w:szCs w:val="26"/>
        </w:rPr>
      </w:pPr>
      <w:r w:rsidRPr="003B64DA">
        <w:rPr>
          <w:b/>
          <w:sz w:val="26"/>
          <w:szCs w:val="26"/>
        </w:rPr>
        <w:t>1.</w:t>
      </w:r>
      <w:r w:rsidRPr="003B64DA">
        <w:rPr>
          <w:b/>
          <w:sz w:val="26"/>
          <w:szCs w:val="26"/>
        </w:rPr>
        <w:tab/>
        <w:t>CIRCUMSTANCES THAT MAKE THE COLLECTION OF INFORMATION NECESSARY</w:t>
      </w:r>
    </w:p>
    <w:p w:rsidRPr="003B64DA" w:rsidR="009D6B6D" w:rsidP="00B1436F" w:rsidRDefault="009D6B6D" w14:paraId="74BB5164" w14:textId="289AA960">
      <w:pPr>
        <w:widowControl/>
        <w:rPr>
          <w:b/>
          <w:sz w:val="26"/>
          <w:szCs w:val="26"/>
        </w:rPr>
      </w:pPr>
    </w:p>
    <w:p w:rsidRPr="003B64DA" w:rsidR="00350B38" w:rsidP="00936A93" w:rsidRDefault="00350B38" w14:paraId="23D5A9C0" w14:textId="77777777">
      <w:pPr>
        <w:widowControl/>
        <w:tabs>
          <w:tab w:val="center" w:pos="5040"/>
        </w:tabs>
        <w:rPr>
          <w:bCs/>
          <w:sz w:val="26"/>
          <w:szCs w:val="26"/>
        </w:rPr>
      </w:pPr>
    </w:p>
    <w:p w:rsidRPr="003B64DA" w:rsidR="005E0A8A" w:rsidP="0016722E" w:rsidRDefault="0057524F" w14:paraId="15416C99" w14:textId="66AD3E32">
      <w:pPr>
        <w:widowControl/>
        <w:tabs>
          <w:tab w:val="center" w:pos="5040"/>
        </w:tabs>
        <w:rPr>
          <w:bCs/>
          <w:sz w:val="26"/>
          <w:szCs w:val="26"/>
        </w:rPr>
      </w:pPr>
      <w:r w:rsidRPr="003B64DA">
        <w:rPr>
          <w:bCs/>
          <w:sz w:val="26"/>
          <w:szCs w:val="26"/>
        </w:rPr>
        <w:t>Th</w:t>
      </w:r>
      <w:r w:rsidRPr="003B64DA" w:rsidR="001C7A48">
        <w:rPr>
          <w:bCs/>
          <w:sz w:val="26"/>
          <w:szCs w:val="26"/>
        </w:rPr>
        <w:t xml:space="preserve">is information collection request pertains to </w:t>
      </w:r>
      <w:r w:rsidRPr="003B64DA" w:rsidR="00CB145D">
        <w:rPr>
          <w:bCs/>
          <w:sz w:val="26"/>
          <w:szCs w:val="26"/>
        </w:rPr>
        <w:t xml:space="preserve">a </w:t>
      </w:r>
      <w:r w:rsidRPr="003B64DA">
        <w:rPr>
          <w:bCs/>
          <w:sz w:val="26"/>
          <w:szCs w:val="26"/>
        </w:rPr>
        <w:t>final rule</w:t>
      </w:r>
      <w:r w:rsidRPr="003B64DA" w:rsidR="0007447B">
        <w:rPr>
          <w:rStyle w:val="FootnoteReference"/>
          <w:bCs/>
          <w:sz w:val="26"/>
          <w:szCs w:val="26"/>
        </w:rPr>
        <w:footnoteReference w:id="2"/>
      </w:r>
      <w:r w:rsidRPr="003B64DA">
        <w:rPr>
          <w:bCs/>
          <w:sz w:val="26"/>
          <w:szCs w:val="26"/>
        </w:rPr>
        <w:t xml:space="preserve"> </w:t>
      </w:r>
      <w:r w:rsidRPr="003B64DA" w:rsidR="00193A99">
        <w:rPr>
          <w:bCs/>
          <w:sz w:val="26"/>
          <w:szCs w:val="26"/>
        </w:rPr>
        <w:t>that</w:t>
      </w:r>
      <w:r w:rsidRPr="003B64DA" w:rsidR="00A408ED">
        <w:rPr>
          <w:bCs/>
          <w:sz w:val="26"/>
          <w:szCs w:val="26"/>
        </w:rPr>
        <w:t xml:space="preserve">, </w:t>
      </w:r>
      <w:r w:rsidRPr="003B64DA">
        <w:rPr>
          <w:bCs/>
          <w:sz w:val="26"/>
          <w:szCs w:val="26"/>
        </w:rPr>
        <w:t>pursuant to section 206 of the F</w:t>
      </w:r>
      <w:r w:rsidRPr="003B64DA" w:rsidR="00A408ED">
        <w:rPr>
          <w:bCs/>
          <w:sz w:val="26"/>
          <w:szCs w:val="26"/>
        </w:rPr>
        <w:t>ederal Power Act (F</w:t>
      </w:r>
      <w:r w:rsidRPr="003B64DA">
        <w:rPr>
          <w:bCs/>
          <w:sz w:val="26"/>
          <w:szCs w:val="26"/>
        </w:rPr>
        <w:t>PA</w:t>
      </w:r>
      <w:r w:rsidRPr="003B64DA" w:rsidR="005024D2">
        <w:rPr>
          <w:bCs/>
          <w:sz w:val="26"/>
          <w:szCs w:val="26"/>
        </w:rPr>
        <w:t>)</w:t>
      </w:r>
      <w:r w:rsidRPr="003B64DA">
        <w:rPr>
          <w:bCs/>
          <w:sz w:val="26"/>
          <w:szCs w:val="26"/>
        </w:rPr>
        <w:t>,</w:t>
      </w:r>
      <w:r w:rsidRPr="003B64DA" w:rsidR="005024D2">
        <w:rPr>
          <w:rStyle w:val="FootnoteReference"/>
          <w:bCs/>
          <w:sz w:val="26"/>
          <w:szCs w:val="26"/>
        </w:rPr>
        <w:footnoteReference w:id="3"/>
      </w:r>
      <w:r w:rsidRPr="003B64DA">
        <w:rPr>
          <w:b/>
          <w:bCs/>
          <w:sz w:val="26"/>
          <w:szCs w:val="26"/>
          <w:vertAlign w:val="superscript"/>
        </w:rPr>
        <w:t xml:space="preserve"> </w:t>
      </w:r>
      <w:r w:rsidRPr="003B64DA" w:rsidR="00A408ED">
        <w:rPr>
          <w:b/>
          <w:bCs/>
          <w:sz w:val="26"/>
          <w:szCs w:val="26"/>
          <w:vertAlign w:val="superscript"/>
        </w:rPr>
        <w:t xml:space="preserve"> </w:t>
      </w:r>
      <w:r w:rsidRPr="003B64DA" w:rsidR="00F94A7D">
        <w:rPr>
          <w:bCs/>
          <w:sz w:val="26"/>
          <w:szCs w:val="26"/>
        </w:rPr>
        <w:t xml:space="preserve">requires </w:t>
      </w:r>
      <w:r w:rsidRPr="003B64DA" w:rsidR="005C36CD">
        <w:rPr>
          <w:bCs/>
          <w:sz w:val="26"/>
          <w:szCs w:val="26"/>
        </w:rPr>
        <w:t xml:space="preserve">respondents that are subject to </w:t>
      </w:r>
      <w:r w:rsidRPr="003B64DA" w:rsidR="00CF32BD">
        <w:rPr>
          <w:bCs/>
          <w:sz w:val="26"/>
          <w:szCs w:val="26"/>
        </w:rPr>
        <w:t xml:space="preserve">18 CFR 35.28 </w:t>
      </w:r>
      <w:r w:rsidRPr="003B64DA" w:rsidR="0025759A">
        <w:rPr>
          <w:bCs/>
          <w:sz w:val="26"/>
          <w:szCs w:val="26"/>
        </w:rPr>
        <w:t>to</w:t>
      </w:r>
      <w:r w:rsidRPr="003B64DA" w:rsidR="0016722E">
        <w:rPr>
          <w:bCs/>
          <w:sz w:val="26"/>
          <w:szCs w:val="26"/>
        </w:rPr>
        <w:t xml:space="preserve"> s</w:t>
      </w:r>
      <w:r w:rsidRPr="003B64DA" w:rsidR="00A43FCC">
        <w:rPr>
          <w:bCs/>
          <w:sz w:val="26"/>
          <w:szCs w:val="26"/>
        </w:rPr>
        <w:t>ubmit comp</w:t>
      </w:r>
      <w:r w:rsidRPr="003B64DA" w:rsidR="00497A9F">
        <w:rPr>
          <w:bCs/>
          <w:sz w:val="26"/>
          <w:szCs w:val="26"/>
        </w:rPr>
        <w:t>liance filings within 120 days of the effective date of the final rule</w:t>
      </w:r>
      <w:r w:rsidRPr="003B64DA" w:rsidR="00F37FB0">
        <w:rPr>
          <w:bCs/>
          <w:sz w:val="26"/>
          <w:szCs w:val="26"/>
        </w:rPr>
        <w:t xml:space="preserve"> that add a new Attachment M to their </w:t>
      </w:r>
      <w:r w:rsidRPr="003B64DA" w:rsidR="00FF4587">
        <w:rPr>
          <w:bCs/>
          <w:i/>
          <w:iCs/>
          <w:sz w:val="26"/>
          <w:szCs w:val="26"/>
        </w:rPr>
        <w:t>pro forma</w:t>
      </w:r>
      <w:r w:rsidRPr="003B64DA" w:rsidR="00FF4587">
        <w:rPr>
          <w:bCs/>
          <w:sz w:val="26"/>
          <w:szCs w:val="26"/>
        </w:rPr>
        <w:t xml:space="preserve"> Open Access Transmission Tariffs</w:t>
      </w:r>
      <w:r w:rsidRPr="003B64DA" w:rsidR="006D438C">
        <w:rPr>
          <w:bCs/>
          <w:sz w:val="26"/>
          <w:szCs w:val="26"/>
        </w:rPr>
        <w:t xml:space="preserve"> (OATTs)</w:t>
      </w:r>
      <w:r w:rsidRPr="003B64DA" w:rsidR="0016722E">
        <w:rPr>
          <w:bCs/>
          <w:sz w:val="26"/>
          <w:szCs w:val="26"/>
        </w:rPr>
        <w:t xml:space="preserve">.  </w:t>
      </w:r>
      <w:r w:rsidRPr="003B64DA" w:rsidR="006C3253">
        <w:rPr>
          <w:bCs/>
          <w:sz w:val="26"/>
          <w:szCs w:val="26"/>
        </w:rPr>
        <w:t xml:space="preserve">The effective date of the final rule is March 14, 2022.  The </w:t>
      </w:r>
      <w:r w:rsidRPr="003B64DA" w:rsidR="006D438C">
        <w:rPr>
          <w:bCs/>
          <w:sz w:val="26"/>
          <w:szCs w:val="26"/>
        </w:rPr>
        <w:t>OATT compliance filing is due July 12, 2022.</w:t>
      </w:r>
    </w:p>
    <w:p w:rsidRPr="003B64DA" w:rsidR="005E0A8A" w:rsidP="005E0A8A" w:rsidRDefault="005E0A8A" w14:paraId="599D6B69" w14:textId="77777777">
      <w:pPr>
        <w:pStyle w:val="FERCparanumber"/>
        <w:numPr>
          <w:ilvl w:val="0"/>
          <w:numId w:val="0"/>
        </w:numPr>
        <w:tabs>
          <w:tab w:val="left" w:pos="720"/>
          <w:tab w:val="left" w:pos="4860"/>
        </w:tabs>
        <w:rPr>
          <w:b/>
          <w:szCs w:val="26"/>
        </w:rPr>
      </w:pPr>
    </w:p>
    <w:p w:rsidRPr="003B64DA" w:rsidR="00AF0AE7" w:rsidP="005E0A8A" w:rsidRDefault="005E0A8A" w14:paraId="2067E245" w14:textId="77777777">
      <w:pPr>
        <w:rPr>
          <w:sz w:val="26"/>
          <w:szCs w:val="26"/>
        </w:rPr>
      </w:pPr>
      <w:r w:rsidRPr="003B64DA">
        <w:rPr>
          <w:sz w:val="26"/>
          <w:szCs w:val="26"/>
          <w:u w:val="single"/>
        </w:rPr>
        <w:t>FERC 516H</w:t>
      </w:r>
      <w:r w:rsidRPr="003B64DA">
        <w:rPr>
          <w:sz w:val="26"/>
          <w:szCs w:val="26"/>
        </w:rPr>
        <w:t xml:space="preserve">:  </w:t>
      </w:r>
      <w:r w:rsidRPr="003B64DA" w:rsidR="00FD26C8">
        <w:rPr>
          <w:sz w:val="26"/>
          <w:szCs w:val="26"/>
        </w:rPr>
        <w:t xml:space="preserve">The regulation at 18 CFR 35.28, which </w:t>
      </w:r>
      <w:r w:rsidRPr="003B64DA" w:rsidR="00854FA7">
        <w:rPr>
          <w:sz w:val="26"/>
          <w:szCs w:val="26"/>
        </w:rPr>
        <w:t>pertains to n</w:t>
      </w:r>
      <w:r w:rsidRPr="003B64DA" w:rsidR="00FD26C8">
        <w:rPr>
          <w:sz w:val="26"/>
          <w:szCs w:val="26"/>
        </w:rPr>
        <w:t>on-discriminatory open access transmission tariff</w:t>
      </w:r>
      <w:r w:rsidRPr="003B64DA" w:rsidR="00854FA7">
        <w:rPr>
          <w:sz w:val="26"/>
          <w:szCs w:val="26"/>
        </w:rPr>
        <w:t>s, applies to</w:t>
      </w:r>
      <w:r w:rsidRPr="003B64DA" w:rsidR="00AF0AE7">
        <w:rPr>
          <w:sz w:val="26"/>
          <w:szCs w:val="26"/>
        </w:rPr>
        <w:t>:</w:t>
      </w:r>
    </w:p>
    <w:p w:rsidRPr="003B64DA" w:rsidR="00AF0AE7" w:rsidP="005E0A8A" w:rsidRDefault="00AF0AE7" w14:paraId="20526F91" w14:textId="77777777">
      <w:pPr>
        <w:rPr>
          <w:sz w:val="26"/>
          <w:szCs w:val="26"/>
        </w:rPr>
      </w:pPr>
    </w:p>
    <w:p w:rsidRPr="003B64DA" w:rsidR="00861F73" w:rsidP="00AF0AE7" w:rsidRDefault="00861F73" w14:paraId="5714F49D" w14:textId="56B9980A">
      <w:pPr>
        <w:pStyle w:val="ListParagraph"/>
        <w:numPr>
          <w:ilvl w:val="0"/>
          <w:numId w:val="29"/>
        </w:numPr>
        <w:rPr>
          <w:rFonts w:ascii="Times New Roman" w:hAnsi="Times New Roman"/>
          <w:sz w:val="26"/>
          <w:szCs w:val="26"/>
        </w:rPr>
      </w:pPr>
      <w:r w:rsidRPr="003B64DA">
        <w:rPr>
          <w:rFonts w:ascii="Times New Roman" w:hAnsi="Times New Roman"/>
          <w:sz w:val="26"/>
          <w:szCs w:val="26"/>
        </w:rPr>
        <w:t xml:space="preserve">Commission-jurisdictional </w:t>
      </w:r>
      <w:r w:rsidRPr="003B64DA" w:rsidR="00854FA7">
        <w:rPr>
          <w:rFonts w:ascii="Times New Roman" w:hAnsi="Times New Roman"/>
          <w:sz w:val="26"/>
          <w:szCs w:val="26"/>
        </w:rPr>
        <w:t>public utilities that own, control</w:t>
      </w:r>
      <w:r w:rsidRPr="003B64DA" w:rsidR="00AF0AE7">
        <w:rPr>
          <w:rFonts w:ascii="Times New Roman" w:hAnsi="Times New Roman"/>
          <w:sz w:val="26"/>
          <w:szCs w:val="26"/>
        </w:rPr>
        <w:t>, or operate facilities used for the transmission of electric energ</w:t>
      </w:r>
      <w:r w:rsidRPr="003B64DA" w:rsidR="00DC1CA3">
        <w:rPr>
          <w:rFonts w:ascii="Times New Roman" w:hAnsi="Times New Roman"/>
          <w:sz w:val="26"/>
          <w:szCs w:val="26"/>
        </w:rPr>
        <w:t xml:space="preserve">y </w:t>
      </w:r>
      <w:r w:rsidRPr="003B64DA">
        <w:rPr>
          <w:rFonts w:ascii="Times New Roman" w:hAnsi="Times New Roman"/>
          <w:sz w:val="26"/>
          <w:szCs w:val="26"/>
        </w:rPr>
        <w:t>in interstate commerce; and</w:t>
      </w:r>
    </w:p>
    <w:p w:rsidRPr="003B64DA" w:rsidR="000B1903" w:rsidP="00AF0AE7" w:rsidRDefault="00861F73" w14:paraId="1176C2D4" w14:textId="6DA3C381">
      <w:pPr>
        <w:pStyle w:val="ListParagraph"/>
        <w:numPr>
          <w:ilvl w:val="0"/>
          <w:numId w:val="29"/>
        </w:numPr>
        <w:rPr>
          <w:rFonts w:ascii="Times New Roman" w:hAnsi="Times New Roman"/>
          <w:sz w:val="26"/>
          <w:szCs w:val="26"/>
        </w:rPr>
      </w:pPr>
      <w:r w:rsidRPr="003B64DA">
        <w:rPr>
          <w:rFonts w:ascii="Times New Roman" w:hAnsi="Times New Roman"/>
          <w:sz w:val="26"/>
          <w:szCs w:val="26"/>
        </w:rPr>
        <w:t xml:space="preserve">Non-jurisdictional </w:t>
      </w:r>
      <w:r w:rsidRPr="003B64DA" w:rsidR="000B1903">
        <w:rPr>
          <w:rFonts w:ascii="Times New Roman" w:hAnsi="Times New Roman"/>
          <w:sz w:val="26"/>
          <w:szCs w:val="26"/>
        </w:rPr>
        <w:t xml:space="preserve">utilities that seek voluntary compliance with jurisdictional </w:t>
      </w:r>
      <w:r w:rsidRPr="003B64DA" w:rsidR="005A100A">
        <w:rPr>
          <w:rFonts w:ascii="Times New Roman" w:hAnsi="Times New Roman"/>
          <w:sz w:val="26"/>
          <w:szCs w:val="26"/>
        </w:rPr>
        <w:t>t</w:t>
      </w:r>
      <w:r w:rsidRPr="003B64DA" w:rsidR="000B1903">
        <w:rPr>
          <w:rFonts w:ascii="Times New Roman" w:hAnsi="Times New Roman"/>
          <w:sz w:val="26"/>
          <w:szCs w:val="26"/>
        </w:rPr>
        <w:t>ransmission tariff reciprocity conditions.</w:t>
      </w:r>
    </w:p>
    <w:p w:rsidRPr="003B64DA" w:rsidR="00412E00" w:rsidP="00B31FE1" w:rsidRDefault="00B53A0A" w14:paraId="26EB76DC" w14:textId="4F75FF3A">
      <w:pPr>
        <w:rPr>
          <w:sz w:val="26"/>
          <w:szCs w:val="26"/>
        </w:rPr>
      </w:pPr>
      <w:r w:rsidRPr="003B64DA">
        <w:rPr>
          <w:sz w:val="26"/>
          <w:szCs w:val="26"/>
        </w:rPr>
        <w:t>With some exceptions,</w:t>
      </w:r>
      <w:r w:rsidRPr="003B64DA" w:rsidR="00944F3C">
        <w:rPr>
          <w:rStyle w:val="FootnoteReference"/>
          <w:sz w:val="26"/>
          <w:szCs w:val="26"/>
        </w:rPr>
        <w:footnoteReference w:id="4"/>
      </w:r>
      <w:r w:rsidRPr="003B64DA">
        <w:rPr>
          <w:sz w:val="26"/>
          <w:szCs w:val="26"/>
        </w:rPr>
        <w:t xml:space="preserve"> t</w:t>
      </w:r>
      <w:r w:rsidRPr="003B64DA" w:rsidR="00FB59D1">
        <w:rPr>
          <w:sz w:val="26"/>
          <w:szCs w:val="26"/>
        </w:rPr>
        <w:t xml:space="preserve">he final rule </w:t>
      </w:r>
      <w:r w:rsidRPr="003B64DA" w:rsidR="001221BF">
        <w:rPr>
          <w:sz w:val="26"/>
          <w:szCs w:val="26"/>
        </w:rPr>
        <w:t xml:space="preserve">requires </w:t>
      </w:r>
      <w:r w:rsidRPr="003B64DA" w:rsidR="0035250B">
        <w:rPr>
          <w:sz w:val="26"/>
          <w:szCs w:val="26"/>
        </w:rPr>
        <w:t xml:space="preserve">transmission providers to </w:t>
      </w:r>
      <w:r w:rsidRPr="003B64DA" w:rsidR="007B2CCB">
        <w:rPr>
          <w:sz w:val="26"/>
          <w:szCs w:val="26"/>
        </w:rPr>
        <w:t xml:space="preserve">use </w:t>
      </w:r>
      <w:r w:rsidRPr="003B64DA" w:rsidR="00F6314C">
        <w:rPr>
          <w:sz w:val="26"/>
          <w:szCs w:val="26"/>
        </w:rPr>
        <w:t>“</w:t>
      </w:r>
      <w:r w:rsidRPr="003B64DA" w:rsidR="008A53B4">
        <w:rPr>
          <w:sz w:val="26"/>
          <w:szCs w:val="26"/>
        </w:rPr>
        <w:t>ambient-adjusted rating</w:t>
      </w:r>
      <w:r w:rsidRPr="003B64DA" w:rsidR="00866BA9">
        <w:rPr>
          <w:sz w:val="26"/>
          <w:szCs w:val="26"/>
        </w:rPr>
        <w:t>s</w:t>
      </w:r>
      <w:r w:rsidRPr="003B64DA" w:rsidR="00F6314C">
        <w:rPr>
          <w:sz w:val="26"/>
          <w:szCs w:val="26"/>
        </w:rPr>
        <w:t>” (AAR</w:t>
      </w:r>
      <w:r w:rsidRPr="003B64DA" w:rsidR="00866BA9">
        <w:rPr>
          <w:sz w:val="26"/>
          <w:szCs w:val="26"/>
        </w:rPr>
        <w:t>s</w:t>
      </w:r>
      <w:r w:rsidRPr="003B64DA" w:rsidR="00F6314C">
        <w:rPr>
          <w:sz w:val="26"/>
          <w:szCs w:val="26"/>
        </w:rPr>
        <w:t xml:space="preserve">) </w:t>
      </w:r>
      <w:r w:rsidRPr="003B64DA" w:rsidR="00A05396">
        <w:rPr>
          <w:sz w:val="26"/>
          <w:szCs w:val="26"/>
        </w:rPr>
        <w:t xml:space="preserve">as the relevant </w:t>
      </w:r>
      <w:r w:rsidRPr="003B64DA" w:rsidR="008A53B4">
        <w:rPr>
          <w:sz w:val="26"/>
          <w:szCs w:val="26"/>
        </w:rPr>
        <w:t>transmission line rating</w:t>
      </w:r>
      <w:r w:rsidRPr="003B64DA" w:rsidR="00C536C1">
        <w:rPr>
          <w:sz w:val="26"/>
          <w:szCs w:val="26"/>
        </w:rPr>
        <w:t xml:space="preserve">s when performing </w:t>
      </w:r>
      <w:r w:rsidRPr="003B64DA" w:rsidR="00A74B5F">
        <w:rPr>
          <w:sz w:val="26"/>
          <w:szCs w:val="26"/>
        </w:rPr>
        <w:t>any of several functions enumerated in Attachment M.</w:t>
      </w:r>
    </w:p>
    <w:p w:rsidRPr="003B64DA" w:rsidR="00412E00" w:rsidP="00B31FE1" w:rsidRDefault="00412E00" w14:paraId="39FA07FF" w14:textId="77777777">
      <w:pPr>
        <w:rPr>
          <w:sz w:val="26"/>
          <w:szCs w:val="26"/>
        </w:rPr>
      </w:pPr>
    </w:p>
    <w:p w:rsidRPr="003B64DA" w:rsidR="005E0A8A" w:rsidP="00B31FE1" w:rsidRDefault="008F0FB1" w14:paraId="072E8CD1" w14:textId="2A247C85">
      <w:pPr>
        <w:rPr>
          <w:sz w:val="26"/>
          <w:szCs w:val="26"/>
        </w:rPr>
      </w:pPr>
      <w:r w:rsidRPr="003B64DA">
        <w:rPr>
          <w:sz w:val="26"/>
          <w:szCs w:val="26"/>
        </w:rPr>
        <w:t xml:space="preserve">In addition, the </w:t>
      </w:r>
      <w:r w:rsidRPr="003B64DA" w:rsidR="005E0A8A">
        <w:rPr>
          <w:sz w:val="26"/>
          <w:szCs w:val="26"/>
        </w:rPr>
        <w:t xml:space="preserve">final rule amends 18 CFR 35.28(c)(5) to require any public utility that owns transmission facilities that are not under the public utility’s control to, consistent with the </w:t>
      </w:r>
      <w:r w:rsidRPr="003B64DA" w:rsidR="005E0A8A">
        <w:rPr>
          <w:i/>
          <w:iCs/>
          <w:sz w:val="26"/>
          <w:szCs w:val="26"/>
        </w:rPr>
        <w:t>pro forma</w:t>
      </w:r>
      <w:r w:rsidRPr="003B64DA" w:rsidR="005E0A8A">
        <w:rPr>
          <w:sz w:val="26"/>
          <w:szCs w:val="26"/>
        </w:rPr>
        <w:t xml:space="preserve"> OATT required by 18 CFR 35.28(c)(1), share with the public utility that controls such facilities (and its Market Monitoring Unit(s), if applicable): </w:t>
      </w:r>
    </w:p>
    <w:p w:rsidRPr="003B64DA" w:rsidR="005E0A8A" w:rsidP="005E0A8A" w:rsidRDefault="005E0A8A" w14:paraId="1FDCD018" w14:textId="77777777">
      <w:pPr>
        <w:rPr>
          <w:sz w:val="26"/>
          <w:szCs w:val="26"/>
        </w:rPr>
      </w:pPr>
      <w:r w:rsidRPr="003B64DA">
        <w:rPr>
          <w:sz w:val="26"/>
          <w:szCs w:val="26"/>
        </w:rPr>
        <w:t xml:space="preserve"> </w:t>
      </w:r>
    </w:p>
    <w:p w:rsidRPr="003B64DA" w:rsidR="005E0A8A" w:rsidP="009740AA" w:rsidRDefault="005E0A8A" w14:paraId="7527FBF6" w14:textId="77777777">
      <w:pPr>
        <w:ind w:left="720"/>
        <w:rPr>
          <w:sz w:val="26"/>
          <w:szCs w:val="26"/>
        </w:rPr>
      </w:pPr>
      <w:r w:rsidRPr="003B64DA">
        <w:rPr>
          <w:sz w:val="26"/>
          <w:szCs w:val="26"/>
        </w:rPr>
        <w:t>(</w:t>
      </w:r>
      <w:proofErr w:type="spellStart"/>
      <w:r w:rsidRPr="003B64DA">
        <w:rPr>
          <w:sz w:val="26"/>
          <w:szCs w:val="26"/>
        </w:rPr>
        <w:t>i</w:t>
      </w:r>
      <w:proofErr w:type="spellEnd"/>
      <w:r w:rsidRPr="003B64DA">
        <w:rPr>
          <w:sz w:val="26"/>
          <w:szCs w:val="26"/>
        </w:rPr>
        <w:t xml:space="preserve">) Transmission line ratings for each period for which transmission line ratings are calculated for such facilities (with updated ratings shared each time ratings are calculated); and </w:t>
      </w:r>
    </w:p>
    <w:p w:rsidRPr="003B64DA" w:rsidR="005E0A8A" w:rsidP="005E0A8A" w:rsidRDefault="005E0A8A" w14:paraId="19FA0501" w14:textId="77777777">
      <w:pPr>
        <w:rPr>
          <w:sz w:val="26"/>
          <w:szCs w:val="26"/>
        </w:rPr>
      </w:pPr>
    </w:p>
    <w:p w:rsidRPr="003B64DA" w:rsidR="005E0A8A" w:rsidP="009740AA" w:rsidRDefault="005E0A8A" w14:paraId="279EBBED" w14:textId="77777777">
      <w:pPr>
        <w:ind w:left="720"/>
        <w:rPr>
          <w:sz w:val="26"/>
          <w:szCs w:val="26"/>
        </w:rPr>
      </w:pPr>
      <w:r w:rsidRPr="003B64DA">
        <w:rPr>
          <w:sz w:val="26"/>
          <w:szCs w:val="26"/>
        </w:rPr>
        <w:t>(ii) Written transmission line rating methodologies used to calculate the transmission line ratings for such facilities provided under subparagraph (</w:t>
      </w:r>
      <w:proofErr w:type="spellStart"/>
      <w:r w:rsidRPr="003B64DA">
        <w:rPr>
          <w:sz w:val="26"/>
          <w:szCs w:val="26"/>
        </w:rPr>
        <w:t>i</w:t>
      </w:r>
      <w:proofErr w:type="spellEnd"/>
      <w:r w:rsidRPr="003B64DA">
        <w:rPr>
          <w:sz w:val="26"/>
          <w:szCs w:val="26"/>
        </w:rPr>
        <w:t>), above.</w:t>
      </w:r>
    </w:p>
    <w:p w:rsidRPr="003B64DA" w:rsidR="005E0A8A" w:rsidP="005E0A8A" w:rsidRDefault="005E0A8A" w14:paraId="0F9C2E4B" w14:textId="77777777">
      <w:pPr>
        <w:rPr>
          <w:sz w:val="26"/>
          <w:szCs w:val="26"/>
        </w:rPr>
      </w:pPr>
    </w:p>
    <w:p w:rsidRPr="003B64DA" w:rsidR="005E0A8A" w:rsidP="005E0A8A" w:rsidRDefault="005E0A8A" w14:paraId="75A8B9C0" w14:textId="48A59A92">
      <w:pPr>
        <w:rPr>
          <w:iCs/>
          <w:sz w:val="26"/>
          <w:szCs w:val="26"/>
        </w:rPr>
      </w:pPr>
      <w:r w:rsidRPr="003B64DA">
        <w:rPr>
          <w:sz w:val="26"/>
          <w:szCs w:val="26"/>
        </w:rPr>
        <w:t>Section 35.28(g)(13) of the final rule requires each regional transmission organization  (RTO) and independent system operator (ISO) to establish and maintain systems and procedures necessary to allow any public utility whose transmission facilities are under the independent control of the ISO or RTO to electronically update transmission line ratings for such facilities (for each period for which transmission line ratings are calculated) at least hourly, with such data submitted by those public utility transmission owners directly into the ISO’s or RTO’s Energy Management System through Supervisory Control and Data Acquisition or related systems</w:t>
      </w:r>
      <w:r w:rsidRPr="003B64DA">
        <w:rPr>
          <w:i/>
          <w:sz w:val="26"/>
          <w:szCs w:val="26"/>
        </w:rPr>
        <w:t>.</w:t>
      </w:r>
    </w:p>
    <w:p w:rsidRPr="003B64DA" w:rsidR="003D18B8" w:rsidP="00D16B8B" w:rsidRDefault="005E0A8A" w14:paraId="41D1BE0C" w14:textId="1C95C844">
      <w:pPr>
        <w:pStyle w:val="FERCparanumber"/>
        <w:numPr>
          <w:ilvl w:val="0"/>
          <w:numId w:val="0"/>
        </w:numPr>
        <w:tabs>
          <w:tab w:val="left" w:pos="720"/>
          <w:tab w:val="left" w:pos="4860"/>
        </w:tabs>
        <w:rPr>
          <w:iCs/>
          <w:szCs w:val="26"/>
        </w:rPr>
      </w:pPr>
      <w:r w:rsidRPr="003B64DA">
        <w:rPr>
          <w:iCs/>
          <w:szCs w:val="26"/>
        </w:rPr>
        <w:br/>
      </w:r>
      <w:r w:rsidRPr="003B64DA">
        <w:rPr>
          <w:iCs/>
          <w:szCs w:val="26"/>
          <w:u w:val="single"/>
        </w:rPr>
        <w:t>FERC-725A:</w:t>
      </w:r>
      <w:r w:rsidRPr="003B64DA" w:rsidR="004F2E8D">
        <w:rPr>
          <w:iCs/>
          <w:szCs w:val="26"/>
        </w:rPr>
        <w:t xml:space="preserve">  </w:t>
      </w:r>
      <w:r w:rsidRPr="003B64DA" w:rsidR="00D50129">
        <w:rPr>
          <w:iCs/>
          <w:szCs w:val="26"/>
        </w:rPr>
        <w:t>Th</w:t>
      </w:r>
      <w:r w:rsidRPr="003B64DA" w:rsidR="00B20732">
        <w:rPr>
          <w:iCs/>
          <w:szCs w:val="26"/>
        </w:rPr>
        <w:t>e portion</w:t>
      </w:r>
      <w:r w:rsidRPr="003B64DA" w:rsidR="00F70614">
        <w:rPr>
          <w:iCs/>
          <w:szCs w:val="26"/>
        </w:rPr>
        <w:t>s</w:t>
      </w:r>
      <w:r w:rsidRPr="003B64DA" w:rsidR="00B20732">
        <w:rPr>
          <w:iCs/>
          <w:szCs w:val="26"/>
        </w:rPr>
        <w:t xml:space="preserve"> of the final rule that pertain</w:t>
      </w:r>
      <w:r w:rsidRPr="003B64DA" w:rsidR="00532168">
        <w:rPr>
          <w:iCs/>
          <w:szCs w:val="26"/>
        </w:rPr>
        <w:t xml:space="preserve"> </w:t>
      </w:r>
      <w:r w:rsidRPr="003B64DA" w:rsidR="00B20732">
        <w:rPr>
          <w:iCs/>
          <w:szCs w:val="26"/>
        </w:rPr>
        <w:t xml:space="preserve">to FERC-725A </w:t>
      </w:r>
      <w:r w:rsidRPr="003B64DA" w:rsidR="00F70614">
        <w:rPr>
          <w:iCs/>
          <w:szCs w:val="26"/>
        </w:rPr>
        <w:t>affect</w:t>
      </w:r>
      <w:r w:rsidRPr="003B64DA" w:rsidR="008171B3">
        <w:rPr>
          <w:iCs/>
          <w:szCs w:val="26"/>
        </w:rPr>
        <w:t xml:space="preserve"> </w:t>
      </w:r>
      <w:r w:rsidRPr="003B64DA" w:rsidR="00FC3A98">
        <w:rPr>
          <w:iCs/>
          <w:szCs w:val="26"/>
        </w:rPr>
        <w:t xml:space="preserve">the estimated </w:t>
      </w:r>
      <w:r w:rsidRPr="003B64DA" w:rsidR="000C7EA3">
        <w:rPr>
          <w:iCs/>
          <w:szCs w:val="26"/>
        </w:rPr>
        <w:t>burdens</w:t>
      </w:r>
      <w:r w:rsidRPr="003B64DA" w:rsidR="0095506F">
        <w:rPr>
          <w:iCs/>
          <w:szCs w:val="26"/>
        </w:rPr>
        <w:t xml:space="preserve"> </w:t>
      </w:r>
      <w:r w:rsidRPr="003B64DA" w:rsidR="004A1177">
        <w:rPr>
          <w:iCs/>
          <w:szCs w:val="26"/>
        </w:rPr>
        <w:t>― but not the Requirements themselves ―</w:t>
      </w:r>
      <w:r w:rsidRPr="003B64DA" w:rsidR="000C7EA3">
        <w:rPr>
          <w:iCs/>
          <w:szCs w:val="26"/>
        </w:rPr>
        <w:t xml:space="preserve"> for Requirements 2, 3, and 6</w:t>
      </w:r>
      <w:r w:rsidRPr="003B64DA" w:rsidR="008171B3">
        <w:rPr>
          <w:iCs/>
          <w:szCs w:val="26"/>
        </w:rPr>
        <w:t xml:space="preserve"> of </w:t>
      </w:r>
      <w:r w:rsidRPr="003B64DA" w:rsidR="00B20732">
        <w:rPr>
          <w:iCs/>
          <w:szCs w:val="26"/>
        </w:rPr>
        <w:t xml:space="preserve">Reliability Standard FAC-008-05 (Facility Ratings) developed by the North American Electric Reliability Corporation (NERC), </w:t>
      </w:r>
      <w:r w:rsidRPr="003B64DA" w:rsidR="00D81B45">
        <w:rPr>
          <w:iCs/>
          <w:szCs w:val="26"/>
        </w:rPr>
        <w:t xml:space="preserve">and </w:t>
      </w:r>
      <w:r w:rsidRPr="003B64DA" w:rsidR="00852A1D">
        <w:rPr>
          <w:iCs/>
          <w:szCs w:val="26"/>
        </w:rPr>
        <w:t xml:space="preserve">most recently </w:t>
      </w:r>
      <w:r w:rsidRPr="003B64DA" w:rsidR="00351582">
        <w:rPr>
          <w:iCs/>
          <w:szCs w:val="26"/>
        </w:rPr>
        <w:t xml:space="preserve">revised by Letter Order </w:t>
      </w:r>
      <w:r w:rsidRPr="003B64DA" w:rsidR="00A72EC0">
        <w:rPr>
          <w:iCs/>
          <w:szCs w:val="26"/>
        </w:rPr>
        <w:t xml:space="preserve">issued on </w:t>
      </w:r>
      <w:r w:rsidRPr="003B64DA" w:rsidR="00FB0174">
        <w:rPr>
          <w:iCs/>
          <w:szCs w:val="26"/>
        </w:rPr>
        <w:t>April 7, 2021 in Docket No. RD21-4-000.</w:t>
      </w:r>
    </w:p>
    <w:p w:rsidRPr="003B64DA" w:rsidR="003D18B8" w:rsidP="00D16B8B" w:rsidRDefault="003D18B8" w14:paraId="673258D9" w14:textId="77777777">
      <w:pPr>
        <w:pStyle w:val="FERCparanumber"/>
        <w:numPr>
          <w:ilvl w:val="0"/>
          <w:numId w:val="0"/>
        </w:numPr>
        <w:tabs>
          <w:tab w:val="left" w:pos="720"/>
          <w:tab w:val="left" w:pos="4860"/>
        </w:tabs>
        <w:rPr>
          <w:iCs/>
          <w:szCs w:val="26"/>
        </w:rPr>
      </w:pPr>
    </w:p>
    <w:p w:rsidRPr="003B64DA" w:rsidR="00394EA7" w:rsidP="00D16B8B" w:rsidRDefault="004C0A7F" w14:paraId="13FB7592" w14:textId="034F22C1">
      <w:pPr>
        <w:pStyle w:val="FERCparanumber"/>
        <w:numPr>
          <w:ilvl w:val="0"/>
          <w:numId w:val="0"/>
        </w:numPr>
        <w:tabs>
          <w:tab w:val="left" w:pos="720"/>
          <w:tab w:val="left" w:pos="4860"/>
        </w:tabs>
        <w:rPr>
          <w:iCs/>
          <w:szCs w:val="26"/>
          <w:u w:val="single"/>
        </w:rPr>
      </w:pPr>
      <w:r w:rsidRPr="003B64DA">
        <w:rPr>
          <w:iCs/>
          <w:szCs w:val="26"/>
        </w:rPr>
        <w:t xml:space="preserve">Requirements 2, 3, and 6 of </w:t>
      </w:r>
      <w:r w:rsidRPr="003B64DA" w:rsidR="00394EA7">
        <w:rPr>
          <w:iCs/>
          <w:szCs w:val="26"/>
        </w:rPr>
        <w:t xml:space="preserve">Reliability Standard FAC-008-5, as approved </w:t>
      </w:r>
      <w:r w:rsidRPr="003B64DA" w:rsidR="00D16B8B">
        <w:rPr>
          <w:iCs/>
          <w:szCs w:val="26"/>
        </w:rPr>
        <w:t xml:space="preserve">and revised previously </w:t>
      </w:r>
      <w:r w:rsidRPr="003B64DA" w:rsidR="00394EA7">
        <w:rPr>
          <w:iCs/>
          <w:szCs w:val="26"/>
        </w:rPr>
        <w:t xml:space="preserve">under </w:t>
      </w:r>
      <w:r w:rsidRPr="003B64DA" w:rsidR="00DF3EDA">
        <w:rPr>
          <w:iCs/>
          <w:szCs w:val="26"/>
        </w:rPr>
        <w:t xml:space="preserve">OMB control number 1902-0244, </w:t>
      </w:r>
      <w:r w:rsidRPr="003B64DA">
        <w:rPr>
          <w:iCs/>
          <w:szCs w:val="26"/>
        </w:rPr>
        <w:t xml:space="preserve">include </w:t>
      </w:r>
      <w:r w:rsidRPr="003B64DA" w:rsidR="00E12499">
        <w:rPr>
          <w:iCs/>
          <w:szCs w:val="26"/>
        </w:rPr>
        <w:t>the following information collection activities:</w:t>
      </w:r>
    </w:p>
    <w:p w:rsidRPr="003B64DA" w:rsidR="004C6596" w:rsidP="004C6596" w:rsidRDefault="004C6596" w14:paraId="5D3000EA" w14:textId="77777777">
      <w:pPr>
        <w:rPr>
          <w:iCs/>
          <w:sz w:val="26"/>
          <w:szCs w:val="26"/>
          <w:u w:val="single"/>
        </w:rPr>
      </w:pPr>
    </w:p>
    <w:p w:rsidRPr="003B64DA" w:rsidR="004C6596" w:rsidP="004C6596" w:rsidRDefault="004C6596" w14:paraId="15A00826" w14:textId="76CC2697">
      <w:pPr>
        <w:rPr>
          <w:b/>
          <w:bCs/>
          <w:iCs/>
          <w:sz w:val="26"/>
          <w:szCs w:val="26"/>
        </w:rPr>
      </w:pPr>
      <w:r w:rsidRPr="003B64DA">
        <w:rPr>
          <w:b/>
          <w:bCs/>
          <w:iCs/>
          <w:sz w:val="26"/>
          <w:szCs w:val="26"/>
        </w:rPr>
        <w:t>Requirements</w:t>
      </w:r>
    </w:p>
    <w:p w:rsidRPr="002E1A36" w:rsidR="00FB4E25" w:rsidP="004C6596" w:rsidRDefault="00FB4E25" w14:paraId="129F520A" w14:textId="77777777">
      <w:pPr>
        <w:rPr>
          <w:iCs/>
          <w:sz w:val="26"/>
          <w:szCs w:val="26"/>
        </w:rPr>
      </w:pPr>
    </w:p>
    <w:p w:rsidRPr="002E1A36" w:rsidR="00D8370C" w:rsidP="004C6596" w:rsidRDefault="004C6596" w14:paraId="2DACFC01" w14:textId="604C7F76">
      <w:pPr>
        <w:rPr>
          <w:iCs/>
          <w:sz w:val="26"/>
          <w:szCs w:val="26"/>
        </w:rPr>
      </w:pPr>
      <w:r w:rsidRPr="002E1A36">
        <w:rPr>
          <w:b/>
          <w:bCs/>
          <w:iCs/>
          <w:sz w:val="26"/>
          <w:szCs w:val="26"/>
        </w:rPr>
        <w:t>R2.</w:t>
      </w:r>
      <w:r w:rsidRPr="002E1A36">
        <w:rPr>
          <w:iCs/>
          <w:sz w:val="26"/>
          <w:szCs w:val="26"/>
        </w:rPr>
        <w:t xml:space="preserve"> </w:t>
      </w:r>
      <w:r w:rsidRPr="002E1A36" w:rsidR="00D8370C">
        <w:rPr>
          <w:iCs/>
          <w:sz w:val="26"/>
          <w:szCs w:val="26"/>
        </w:rPr>
        <w:t xml:space="preserve"> </w:t>
      </w:r>
      <w:r w:rsidRPr="002E1A36">
        <w:rPr>
          <w:iCs/>
          <w:sz w:val="26"/>
          <w:szCs w:val="26"/>
        </w:rPr>
        <w:t xml:space="preserve">Each Generator Owner shall have a documented methodology for determining Facility Ratings (Facility Ratings methodology) of its solely and jointly owned equipment connected between the location specified in R1 and the point of interconnection with the Transmission Owner that contains all the following. </w:t>
      </w:r>
    </w:p>
    <w:p w:rsidRPr="002E1A36" w:rsidR="00D8370C" w:rsidP="00D8370C" w:rsidRDefault="00D8370C" w14:paraId="53BFAF45" w14:textId="77777777">
      <w:pPr>
        <w:ind w:left="288"/>
        <w:rPr>
          <w:b/>
          <w:bCs/>
          <w:iCs/>
          <w:sz w:val="26"/>
          <w:szCs w:val="26"/>
        </w:rPr>
      </w:pPr>
    </w:p>
    <w:p w:rsidRPr="002E1A36" w:rsidR="004C6596" w:rsidP="000E5E99" w:rsidRDefault="004C6596" w14:paraId="288558EC" w14:textId="14E5ECF2">
      <w:pPr>
        <w:ind w:left="720"/>
        <w:rPr>
          <w:iCs/>
          <w:sz w:val="26"/>
          <w:szCs w:val="26"/>
        </w:rPr>
      </w:pPr>
      <w:r w:rsidRPr="002E1A36">
        <w:rPr>
          <w:b/>
          <w:bCs/>
          <w:iCs/>
          <w:sz w:val="26"/>
          <w:szCs w:val="26"/>
        </w:rPr>
        <w:lastRenderedPageBreak/>
        <w:t>2.1.</w:t>
      </w:r>
      <w:r w:rsidRPr="002E1A36">
        <w:rPr>
          <w:iCs/>
          <w:sz w:val="26"/>
          <w:szCs w:val="26"/>
        </w:rPr>
        <w:t xml:space="preserve"> The methodology used to establish the Ratings of the equipment that comprises the Facility</w:t>
      </w:r>
      <w:r w:rsidRPr="002E1A36" w:rsidR="001D575D">
        <w:rPr>
          <w:iCs/>
          <w:sz w:val="26"/>
          <w:szCs w:val="26"/>
        </w:rPr>
        <w:t xml:space="preserve"> or Facilities </w:t>
      </w:r>
      <w:r w:rsidRPr="002E1A36">
        <w:rPr>
          <w:iCs/>
          <w:sz w:val="26"/>
          <w:szCs w:val="26"/>
        </w:rPr>
        <w:t>shall be consistent with at least one of the following:</w:t>
      </w:r>
    </w:p>
    <w:p w:rsidRPr="002E1A36" w:rsidR="004C6596" w:rsidP="000E5E99" w:rsidRDefault="004C6596" w14:paraId="1EB12A41" w14:textId="290A8CFA">
      <w:pPr>
        <w:pStyle w:val="ListParagraph"/>
        <w:numPr>
          <w:ilvl w:val="0"/>
          <w:numId w:val="40"/>
        </w:numPr>
        <w:rPr>
          <w:rFonts w:ascii="Times New Roman" w:hAnsi="Times New Roman"/>
          <w:iCs/>
          <w:sz w:val="26"/>
          <w:szCs w:val="26"/>
        </w:rPr>
      </w:pPr>
      <w:r w:rsidRPr="002E1A36">
        <w:rPr>
          <w:rFonts w:ascii="Times New Roman" w:hAnsi="Times New Roman"/>
          <w:iCs/>
          <w:sz w:val="26"/>
          <w:szCs w:val="26"/>
        </w:rPr>
        <w:t>Ratings provided by equipment manufacturers or obtained from equipment manufacturer specifications such as nameplate rating.</w:t>
      </w:r>
    </w:p>
    <w:p w:rsidRPr="002E1A36" w:rsidR="004C6596" w:rsidP="000E5E99" w:rsidRDefault="004C6596" w14:paraId="0DAED542" w14:textId="14CF2864">
      <w:pPr>
        <w:pStyle w:val="ListParagraph"/>
        <w:numPr>
          <w:ilvl w:val="0"/>
          <w:numId w:val="40"/>
        </w:numPr>
        <w:rPr>
          <w:rFonts w:ascii="Times New Roman" w:hAnsi="Times New Roman"/>
          <w:iCs/>
          <w:sz w:val="26"/>
          <w:szCs w:val="26"/>
        </w:rPr>
      </w:pPr>
      <w:r w:rsidRPr="002E1A36">
        <w:rPr>
          <w:rFonts w:ascii="Times New Roman" w:hAnsi="Times New Roman"/>
          <w:iCs/>
          <w:sz w:val="26"/>
          <w:szCs w:val="26"/>
        </w:rPr>
        <w:t>One or more industry standards developed through an open process such as Institute of Electrical and Electronic Engineers (IEEE) or International Council on Large Electric Systems (CIGRE).</w:t>
      </w:r>
    </w:p>
    <w:p w:rsidRPr="002E1A36" w:rsidR="004C6596" w:rsidP="000E5E99" w:rsidRDefault="004C6596" w14:paraId="0738100F" w14:textId="6A4D4870">
      <w:pPr>
        <w:pStyle w:val="ListParagraph"/>
        <w:numPr>
          <w:ilvl w:val="0"/>
          <w:numId w:val="40"/>
        </w:numPr>
        <w:rPr>
          <w:rFonts w:ascii="Times New Roman" w:hAnsi="Times New Roman"/>
          <w:iCs/>
          <w:sz w:val="26"/>
          <w:szCs w:val="26"/>
        </w:rPr>
      </w:pPr>
      <w:r w:rsidRPr="002E1A36">
        <w:rPr>
          <w:rFonts w:ascii="Times New Roman" w:hAnsi="Times New Roman"/>
          <w:iCs/>
          <w:sz w:val="26"/>
          <w:szCs w:val="26"/>
        </w:rPr>
        <w:t>A practice that has been verified by testing, performance history or engineering analysis.</w:t>
      </w:r>
    </w:p>
    <w:p w:rsidRPr="002E1A36" w:rsidR="00D8370C" w:rsidP="000E5E99" w:rsidRDefault="004C6596" w14:paraId="39447A67" w14:textId="31E0CECC">
      <w:pPr>
        <w:ind w:left="720"/>
        <w:rPr>
          <w:iCs/>
          <w:sz w:val="26"/>
          <w:szCs w:val="26"/>
        </w:rPr>
      </w:pPr>
      <w:r w:rsidRPr="003B64DA">
        <w:rPr>
          <w:b/>
          <w:bCs/>
          <w:iCs/>
          <w:sz w:val="26"/>
          <w:szCs w:val="26"/>
        </w:rPr>
        <w:t>2</w:t>
      </w:r>
      <w:r w:rsidRPr="002E1A36">
        <w:rPr>
          <w:b/>
          <w:bCs/>
          <w:iCs/>
          <w:sz w:val="26"/>
          <w:szCs w:val="26"/>
        </w:rPr>
        <w:t>.2.</w:t>
      </w:r>
      <w:r w:rsidRPr="002E1A36">
        <w:rPr>
          <w:iCs/>
          <w:sz w:val="26"/>
          <w:szCs w:val="26"/>
        </w:rPr>
        <w:t xml:space="preserve"> </w:t>
      </w:r>
      <w:r w:rsidRPr="002E1A36" w:rsidR="006C20AD">
        <w:rPr>
          <w:iCs/>
          <w:sz w:val="26"/>
          <w:szCs w:val="26"/>
        </w:rPr>
        <w:t xml:space="preserve"> </w:t>
      </w:r>
      <w:r w:rsidRPr="002E1A36">
        <w:rPr>
          <w:iCs/>
          <w:sz w:val="26"/>
          <w:szCs w:val="26"/>
        </w:rPr>
        <w:t>The underlying assumptions, design criteria, and methods used to determine the Equipment Ratings identified in Requirement R2, Part 2.1 including identification of how each of the following were considered:</w:t>
      </w:r>
    </w:p>
    <w:p w:rsidRPr="002E1A36" w:rsidR="004C6596" w:rsidP="000E5E99" w:rsidRDefault="004C6596" w14:paraId="26648F83" w14:textId="1318A18E">
      <w:pPr>
        <w:pStyle w:val="ListParagraph"/>
        <w:numPr>
          <w:ilvl w:val="0"/>
          <w:numId w:val="41"/>
        </w:numPr>
        <w:rPr>
          <w:rFonts w:ascii="Times New Roman" w:hAnsi="Times New Roman"/>
          <w:iCs/>
          <w:sz w:val="26"/>
          <w:szCs w:val="26"/>
        </w:rPr>
      </w:pPr>
      <w:r w:rsidRPr="002E1A36">
        <w:rPr>
          <w:rFonts w:ascii="Times New Roman" w:hAnsi="Times New Roman"/>
          <w:i/>
          <w:sz w:val="26"/>
          <w:szCs w:val="26"/>
        </w:rPr>
        <w:t>2.2.1.</w:t>
      </w:r>
      <w:r w:rsidRPr="002E1A36">
        <w:rPr>
          <w:rFonts w:ascii="Times New Roman" w:hAnsi="Times New Roman"/>
          <w:iCs/>
          <w:sz w:val="26"/>
          <w:szCs w:val="26"/>
        </w:rPr>
        <w:t xml:space="preserve"> Equipment Rating standard(s) used in development of this methodology.</w:t>
      </w:r>
    </w:p>
    <w:p w:rsidRPr="002E1A36" w:rsidR="004C6596" w:rsidP="000E5E99" w:rsidRDefault="004C6596" w14:paraId="7AE265BC" w14:textId="77777777">
      <w:pPr>
        <w:pStyle w:val="ListParagraph"/>
        <w:numPr>
          <w:ilvl w:val="0"/>
          <w:numId w:val="41"/>
        </w:numPr>
        <w:rPr>
          <w:rFonts w:ascii="Times New Roman" w:hAnsi="Times New Roman"/>
          <w:iCs/>
          <w:sz w:val="26"/>
          <w:szCs w:val="26"/>
        </w:rPr>
      </w:pPr>
      <w:r w:rsidRPr="002E1A36">
        <w:rPr>
          <w:rFonts w:ascii="Times New Roman" w:hAnsi="Times New Roman"/>
          <w:i/>
          <w:sz w:val="26"/>
          <w:szCs w:val="26"/>
        </w:rPr>
        <w:t>2.2.2.</w:t>
      </w:r>
      <w:r w:rsidRPr="002E1A36">
        <w:rPr>
          <w:rFonts w:ascii="Times New Roman" w:hAnsi="Times New Roman"/>
          <w:iCs/>
          <w:sz w:val="26"/>
          <w:szCs w:val="26"/>
        </w:rPr>
        <w:t xml:space="preserve"> Ratings provided by equipment manufacturers or obtained from equipment manufacturer specifications.</w:t>
      </w:r>
    </w:p>
    <w:p w:rsidRPr="002E1A36" w:rsidR="004C6596" w:rsidP="000E5E99" w:rsidRDefault="004C6596" w14:paraId="5A65D2A2" w14:textId="77777777">
      <w:pPr>
        <w:pStyle w:val="ListParagraph"/>
        <w:numPr>
          <w:ilvl w:val="0"/>
          <w:numId w:val="41"/>
        </w:numPr>
        <w:rPr>
          <w:rFonts w:ascii="Times New Roman" w:hAnsi="Times New Roman"/>
          <w:iCs/>
          <w:sz w:val="26"/>
          <w:szCs w:val="26"/>
        </w:rPr>
      </w:pPr>
      <w:r w:rsidRPr="002E1A36">
        <w:rPr>
          <w:rFonts w:ascii="Times New Roman" w:hAnsi="Times New Roman"/>
          <w:i/>
          <w:sz w:val="26"/>
          <w:szCs w:val="26"/>
        </w:rPr>
        <w:t>2.2.3.</w:t>
      </w:r>
      <w:r w:rsidRPr="002E1A36">
        <w:rPr>
          <w:rFonts w:ascii="Times New Roman" w:hAnsi="Times New Roman"/>
          <w:iCs/>
          <w:sz w:val="26"/>
          <w:szCs w:val="26"/>
        </w:rPr>
        <w:t xml:space="preserve"> Ambient conditions (for particular or average conditions or as they vary in real-time).</w:t>
      </w:r>
    </w:p>
    <w:p w:rsidRPr="002E1A36" w:rsidR="004C6596" w:rsidP="000E5E99" w:rsidRDefault="004C6596" w14:paraId="0F4E7C14" w14:textId="77777777">
      <w:pPr>
        <w:pStyle w:val="ListParagraph"/>
        <w:numPr>
          <w:ilvl w:val="0"/>
          <w:numId w:val="41"/>
        </w:numPr>
        <w:rPr>
          <w:rFonts w:ascii="Times New Roman" w:hAnsi="Times New Roman"/>
          <w:iCs/>
          <w:sz w:val="26"/>
          <w:szCs w:val="26"/>
        </w:rPr>
      </w:pPr>
      <w:r w:rsidRPr="002E1A36">
        <w:rPr>
          <w:rFonts w:ascii="Times New Roman" w:hAnsi="Times New Roman"/>
          <w:i/>
          <w:sz w:val="26"/>
          <w:szCs w:val="26"/>
        </w:rPr>
        <w:t>2.2.4.</w:t>
      </w:r>
      <w:r w:rsidRPr="002E1A36">
        <w:rPr>
          <w:rFonts w:ascii="Times New Roman" w:hAnsi="Times New Roman"/>
          <w:iCs/>
          <w:sz w:val="26"/>
          <w:szCs w:val="26"/>
        </w:rPr>
        <w:t xml:space="preserve"> Operating limitations.</w:t>
      </w:r>
    </w:p>
    <w:p w:rsidRPr="002E1A36" w:rsidR="004C6596" w:rsidP="000E5E99" w:rsidRDefault="004C6596" w14:paraId="50FABBF8" w14:textId="1E71A65A">
      <w:pPr>
        <w:ind w:left="720"/>
        <w:rPr>
          <w:iCs/>
          <w:sz w:val="26"/>
          <w:szCs w:val="26"/>
        </w:rPr>
      </w:pPr>
      <w:r w:rsidRPr="003B64DA">
        <w:rPr>
          <w:b/>
          <w:bCs/>
          <w:iCs/>
          <w:sz w:val="26"/>
          <w:szCs w:val="26"/>
        </w:rPr>
        <w:t>2</w:t>
      </w:r>
      <w:r w:rsidRPr="002E1A36">
        <w:rPr>
          <w:b/>
          <w:bCs/>
          <w:iCs/>
          <w:sz w:val="26"/>
          <w:szCs w:val="26"/>
        </w:rPr>
        <w:t>.3.</w:t>
      </w:r>
      <w:r w:rsidRPr="002E1A36">
        <w:rPr>
          <w:iCs/>
          <w:sz w:val="26"/>
          <w:szCs w:val="26"/>
        </w:rPr>
        <w:t xml:space="preserve"> </w:t>
      </w:r>
      <w:r w:rsidRPr="002E1A36" w:rsidR="006C20AD">
        <w:rPr>
          <w:iCs/>
          <w:sz w:val="26"/>
          <w:szCs w:val="26"/>
        </w:rPr>
        <w:t xml:space="preserve"> </w:t>
      </w:r>
      <w:r w:rsidRPr="002E1A36">
        <w:rPr>
          <w:iCs/>
          <w:sz w:val="26"/>
          <w:szCs w:val="26"/>
        </w:rPr>
        <w:t xml:space="preserve">A statement that a Facility Rating shall respect the most limiting applicable Equipment Rating of the individual equipment that comprises that Facility. </w:t>
      </w:r>
    </w:p>
    <w:p w:rsidRPr="002E1A36" w:rsidR="00D8370C" w:rsidP="004C6596" w:rsidRDefault="00D8370C" w14:paraId="225300D6" w14:textId="77777777">
      <w:pPr>
        <w:rPr>
          <w:iCs/>
          <w:sz w:val="26"/>
          <w:szCs w:val="26"/>
        </w:rPr>
      </w:pPr>
    </w:p>
    <w:p w:rsidRPr="002E1A36" w:rsidR="004C6596" w:rsidP="000E5E99" w:rsidRDefault="004C6596" w14:paraId="3E09F57B" w14:textId="09078E0F">
      <w:pPr>
        <w:ind w:left="720"/>
        <w:rPr>
          <w:iCs/>
          <w:sz w:val="26"/>
          <w:szCs w:val="26"/>
        </w:rPr>
      </w:pPr>
      <w:r w:rsidRPr="002E1A36">
        <w:rPr>
          <w:b/>
          <w:bCs/>
          <w:iCs/>
          <w:sz w:val="26"/>
          <w:szCs w:val="26"/>
        </w:rPr>
        <w:t>2.4.</w:t>
      </w:r>
      <w:r w:rsidRPr="002E1A36" w:rsidR="006C20AD">
        <w:rPr>
          <w:b/>
          <w:bCs/>
          <w:iCs/>
          <w:sz w:val="26"/>
          <w:szCs w:val="26"/>
        </w:rPr>
        <w:t xml:space="preserve"> </w:t>
      </w:r>
      <w:r w:rsidRPr="002E1A36">
        <w:rPr>
          <w:iCs/>
          <w:sz w:val="26"/>
          <w:szCs w:val="26"/>
        </w:rPr>
        <w:t xml:space="preserve"> The process by which the Rating of equipment that comprises a Facility is determined.</w:t>
      </w:r>
    </w:p>
    <w:p w:rsidRPr="002E1A36" w:rsidR="004C6596" w:rsidP="000E5E99" w:rsidRDefault="004C6596" w14:paraId="1F1B481A" w14:textId="0A15B3C5">
      <w:pPr>
        <w:pStyle w:val="ListParagraph"/>
        <w:numPr>
          <w:ilvl w:val="0"/>
          <w:numId w:val="42"/>
        </w:numPr>
        <w:rPr>
          <w:rFonts w:ascii="Times New Roman" w:hAnsi="Times New Roman"/>
          <w:iCs/>
          <w:sz w:val="26"/>
          <w:szCs w:val="26"/>
        </w:rPr>
      </w:pPr>
      <w:r w:rsidRPr="002E1A36">
        <w:rPr>
          <w:rFonts w:ascii="Times New Roman" w:hAnsi="Times New Roman"/>
          <w:i/>
          <w:sz w:val="26"/>
          <w:szCs w:val="26"/>
        </w:rPr>
        <w:t>2.4.1.</w:t>
      </w:r>
      <w:r w:rsidRPr="002E1A36">
        <w:rPr>
          <w:rFonts w:ascii="Times New Roman" w:hAnsi="Times New Roman"/>
          <w:iCs/>
          <w:sz w:val="26"/>
          <w:szCs w:val="26"/>
        </w:rPr>
        <w:t xml:space="preserve"> The scope of equipment addressed shall include, but not be limited to conductors, transformers, relay protective devices, terminal equipment, and series and shunt compensation devices.</w:t>
      </w:r>
    </w:p>
    <w:p w:rsidRPr="002E1A36" w:rsidR="000E5E99" w:rsidP="000E5E99" w:rsidRDefault="000E5E99" w14:paraId="7D9E352D" w14:textId="595CD7B3">
      <w:pPr>
        <w:pStyle w:val="ListParagraph"/>
        <w:numPr>
          <w:ilvl w:val="0"/>
          <w:numId w:val="42"/>
        </w:numPr>
        <w:rPr>
          <w:rFonts w:ascii="Times New Roman" w:hAnsi="Times New Roman"/>
          <w:iCs/>
          <w:sz w:val="26"/>
          <w:szCs w:val="26"/>
        </w:rPr>
      </w:pPr>
      <w:r w:rsidRPr="002E1A36">
        <w:rPr>
          <w:rFonts w:ascii="Times New Roman" w:hAnsi="Times New Roman"/>
          <w:i/>
          <w:sz w:val="26"/>
          <w:szCs w:val="26"/>
        </w:rPr>
        <w:t>2.4.2.</w:t>
      </w:r>
      <w:r w:rsidRPr="002E1A36">
        <w:rPr>
          <w:rFonts w:ascii="Times New Roman" w:hAnsi="Times New Roman"/>
          <w:iCs/>
          <w:sz w:val="26"/>
          <w:szCs w:val="26"/>
        </w:rPr>
        <w:t xml:space="preserve"> The scope of Ratings addressed shall include, as a minimum, both Normal and Emergency Ratings. </w:t>
      </w:r>
    </w:p>
    <w:p w:rsidRPr="003B64DA" w:rsidR="000E5E99" w:rsidP="004C6596" w:rsidRDefault="000E5E99" w14:paraId="5EA2CA1E" w14:textId="74E5A86D">
      <w:pPr>
        <w:rPr>
          <w:iCs/>
          <w:sz w:val="26"/>
          <w:szCs w:val="26"/>
        </w:rPr>
      </w:pPr>
    </w:p>
    <w:p w:rsidRPr="002E1A36" w:rsidR="004C6596" w:rsidP="004C6596" w:rsidRDefault="004C6596" w14:paraId="3149592A" w14:textId="35C195F6">
      <w:pPr>
        <w:rPr>
          <w:iCs/>
          <w:sz w:val="26"/>
          <w:szCs w:val="26"/>
        </w:rPr>
      </w:pPr>
      <w:r w:rsidRPr="002E1A36">
        <w:rPr>
          <w:b/>
          <w:bCs/>
          <w:iCs/>
          <w:sz w:val="26"/>
          <w:szCs w:val="26"/>
        </w:rPr>
        <w:t>R3.</w:t>
      </w:r>
      <w:r w:rsidRPr="002E1A36">
        <w:rPr>
          <w:iCs/>
          <w:sz w:val="26"/>
          <w:szCs w:val="26"/>
        </w:rPr>
        <w:t xml:space="preserve"> </w:t>
      </w:r>
      <w:r w:rsidRPr="002E1A36" w:rsidR="006C20AD">
        <w:rPr>
          <w:iCs/>
          <w:sz w:val="26"/>
          <w:szCs w:val="26"/>
        </w:rPr>
        <w:t xml:space="preserve"> </w:t>
      </w:r>
      <w:r w:rsidRPr="002E1A36">
        <w:rPr>
          <w:iCs/>
          <w:sz w:val="26"/>
          <w:szCs w:val="26"/>
        </w:rPr>
        <w:t xml:space="preserve">Each Transmission Owner shall have a documented methodology for determining Facility Ratings (Facility Ratings methodology) of its solely and jointly owned Facilities (except for those generating unit Facilities addressed in R1 and R2) that contains all the following: </w:t>
      </w:r>
    </w:p>
    <w:p w:rsidRPr="002E1A36" w:rsidR="00D8370C" w:rsidP="004C6596" w:rsidRDefault="00D8370C" w14:paraId="408D794F" w14:textId="77777777">
      <w:pPr>
        <w:rPr>
          <w:iCs/>
          <w:sz w:val="26"/>
          <w:szCs w:val="26"/>
        </w:rPr>
      </w:pPr>
    </w:p>
    <w:p w:rsidRPr="002E1A36" w:rsidR="004C6596" w:rsidP="000E5E99" w:rsidRDefault="004C6596" w14:paraId="65EE6783" w14:textId="107DAE1E">
      <w:pPr>
        <w:ind w:left="720"/>
        <w:rPr>
          <w:iCs/>
          <w:sz w:val="26"/>
          <w:szCs w:val="26"/>
        </w:rPr>
      </w:pPr>
      <w:r w:rsidRPr="002E1A36">
        <w:rPr>
          <w:b/>
          <w:bCs/>
          <w:iCs/>
          <w:sz w:val="26"/>
          <w:szCs w:val="26"/>
        </w:rPr>
        <w:t>3.1.</w:t>
      </w:r>
      <w:r w:rsidRPr="002E1A36">
        <w:rPr>
          <w:iCs/>
          <w:sz w:val="26"/>
          <w:szCs w:val="26"/>
        </w:rPr>
        <w:t xml:space="preserve"> The methodology used to establish the Ratings of the equipment that </w:t>
      </w:r>
      <w:r w:rsidRPr="002E1A36">
        <w:rPr>
          <w:iCs/>
          <w:sz w:val="26"/>
          <w:szCs w:val="26"/>
        </w:rPr>
        <w:lastRenderedPageBreak/>
        <w:t>comprises the Facility shall be consistent with at least one of the following:</w:t>
      </w:r>
    </w:p>
    <w:p w:rsidRPr="002E1A36" w:rsidR="004C6596" w:rsidP="000E5E99" w:rsidRDefault="004C6596" w14:paraId="060602D5" w14:textId="403FCFA3">
      <w:pPr>
        <w:pStyle w:val="ListParagraph"/>
        <w:numPr>
          <w:ilvl w:val="0"/>
          <w:numId w:val="42"/>
        </w:numPr>
        <w:rPr>
          <w:rFonts w:ascii="Times New Roman" w:hAnsi="Times New Roman"/>
          <w:iCs/>
          <w:sz w:val="26"/>
          <w:szCs w:val="26"/>
        </w:rPr>
      </w:pPr>
      <w:r w:rsidRPr="002E1A36">
        <w:rPr>
          <w:rFonts w:ascii="Times New Roman" w:hAnsi="Times New Roman"/>
          <w:iCs/>
          <w:sz w:val="26"/>
          <w:szCs w:val="26"/>
        </w:rPr>
        <w:t>Ratings provided by equipment manufacturers or obtained from equipment manufacturer specifications such as nameplate rating.</w:t>
      </w:r>
    </w:p>
    <w:p w:rsidRPr="002E1A36" w:rsidR="004C6596" w:rsidP="000E5E99" w:rsidRDefault="004C6596" w14:paraId="2FA74A9F" w14:textId="6B0D83CB">
      <w:pPr>
        <w:pStyle w:val="ListParagraph"/>
        <w:numPr>
          <w:ilvl w:val="0"/>
          <w:numId w:val="42"/>
        </w:numPr>
        <w:rPr>
          <w:rFonts w:ascii="Times New Roman" w:hAnsi="Times New Roman"/>
          <w:iCs/>
          <w:sz w:val="26"/>
          <w:szCs w:val="26"/>
        </w:rPr>
      </w:pPr>
      <w:r w:rsidRPr="002E1A36">
        <w:rPr>
          <w:rFonts w:ascii="Times New Roman" w:hAnsi="Times New Roman"/>
          <w:iCs/>
          <w:sz w:val="26"/>
          <w:szCs w:val="26"/>
        </w:rPr>
        <w:t xml:space="preserve">One or more industry standards developed through an open process such as Institute of Electrical and Electronics Engineers (IEEE) or International Council on Large Electric Systems (CIGRE). </w:t>
      </w:r>
    </w:p>
    <w:p w:rsidRPr="002E1A36" w:rsidR="00857ADD" w:rsidP="000E5E99" w:rsidRDefault="004C6596" w14:paraId="043D7C2C" w14:textId="0085EBF3">
      <w:pPr>
        <w:pStyle w:val="ListParagraph"/>
        <w:numPr>
          <w:ilvl w:val="0"/>
          <w:numId w:val="42"/>
        </w:numPr>
        <w:rPr>
          <w:rFonts w:ascii="Times New Roman" w:hAnsi="Times New Roman"/>
          <w:iCs/>
          <w:sz w:val="26"/>
          <w:szCs w:val="26"/>
        </w:rPr>
      </w:pPr>
      <w:r w:rsidRPr="002E1A36">
        <w:rPr>
          <w:rFonts w:ascii="Times New Roman" w:hAnsi="Times New Roman"/>
          <w:iCs/>
          <w:sz w:val="26"/>
          <w:szCs w:val="26"/>
        </w:rPr>
        <w:t xml:space="preserve">A practice that has been verified by testing, performance history or engineering analysis. </w:t>
      </w:r>
    </w:p>
    <w:p w:rsidRPr="002E1A36" w:rsidR="004C6596" w:rsidP="000E5E99" w:rsidRDefault="004C6596" w14:paraId="3FE673CD" w14:textId="278DC14D">
      <w:pPr>
        <w:ind w:left="720"/>
        <w:rPr>
          <w:iCs/>
          <w:sz w:val="26"/>
          <w:szCs w:val="26"/>
        </w:rPr>
      </w:pPr>
      <w:r w:rsidRPr="003B64DA">
        <w:rPr>
          <w:b/>
          <w:bCs/>
          <w:iCs/>
          <w:sz w:val="26"/>
          <w:szCs w:val="26"/>
        </w:rPr>
        <w:t>3.2.</w:t>
      </w:r>
      <w:r w:rsidRPr="003B64DA">
        <w:rPr>
          <w:iCs/>
          <w:sz w:val="26"/>
          <w:szCs w:val="26"/>
        </w:rPr>
        <w:t xml:space="preserve"> The underlying assu</w:t>
      </w:r>
      <w:r w:rsidRPr="002E1A36">
        <w:rPr>
          <w:iCs/>
          <w:sz w:val="26"/>
          <w:szCs w:val="26"/>
        </w:rPr>
        <w:t>mptions, design criteria, and methods used to determine the Equipment Ratings identified in Requirement R3, Part 3.1 including identification of how each of the following were considered:</w:t>
      </w:r>
    </w:p>
    <w:p w:rsidRPr="002E1A36" w:rsidR="004C6596" w:rsidP="000E5E99" w:rsidRDefault="004C6596" w14:paraId="06F5689A" w14:textId="10F747C6">
      <w:pPr>
        <w:pStyle w:val="ListParagraph"/>
        <w:numPr>
          <w:ilvl w:val="0"/>
          <w:numId w:val="43"/>
        </w:numPr>
        <w:rPr>
          <w:rFonts w:ascii="Times New Roman" w:hAnsi="Times New Roman"/>
          <w:iCs/>
          <w:sz w:val="26"/>
          <w:szCs w:val="26"/>
        </w:rPr>
      </w:pPr>
      <w:r w:rsidRPr="002E1A36">
        <w:rPr>
          <w:rFonts w:ascii="Times New Roman" w:hAnsi="Times New Roman"/>
          <w:i/>
          <w:sz w:val="26"/>
          <w:szCs w:val="26"/>
        </w:rPr>
        <w:t>3.2.1.</w:t>
      </w:r>
      <w:r w:rsidRPr="002E1A36">
        <w:rPr>
          <w:rFonts w:ascii="Times New Roman" w:hAnsi="Times New Roman"/>
          <w:iCs/>
          <w:sz w:val="26"/>
          <w:szCs w:val="26"/>
        </w:rPr>
        <w:t xml:space="preserve"> Equipment Rating standard(s) used in development of this methodology. </w:t>
      </w:r>
      <w:r w:rsidRPr="002E1A36" w:rsidR="006C20AD">
        <w:rPr>
          <w:rFonts w:ascii="Times New Roman" w:hAnsi="Times New Roman"/>
          <w:iCs/>
          <w:sz w:val="26"/>
          <w:szCs w:val="26"/>
        </w:rPr>
        <w:t xml:space="preserve"> </w:t>
      </w:r>
      <w:r w:rsidRPr="002E1A36">
        <w:rPr>
          <w:rFonts w:ascii="Times New Roman" w:hAnsi="Times New Roman"/>
          <w:iCs/>
          <w:sz w:val="26"/>
          <w:szCs w:val="26"/>
        </w:rPr>
        <w:t xml:space="preserve">Such as temporary de-ratings of impaired equipment in accordance with good utility practice. </w:t>
      </w:r>
    </w:p>
    <w:p w:rsidRPr="002E1A36" w:rsidR="004C6596" w:rsidP="000E5E99" w:rsidRDefault="004C6596" w14:paraId="0FBA895B" w14:textId="77777777">
      <w:pPr>
        <w:pStyle w:val="ListParagraph"/>
        <w:numPr>
          <w:ilvl w:val="0"/>
          <w:numId w:val="43"/>
        </w:numPr>
        <w:rPr>
          <w:rFonts w:ascii="Times New Roman" w:hAnsi="Times New Roman"/>
          <w:iCs/>
          <w:sz w:val="26"/>
          <w:szCs w:val="26"/>
        </w:rPr>
      </w:pPr>
      <w:r w:rsidRPr="002E1A36">
        <w:rPr>
          <w:rFonts w:ascii="Times New Roman" w:hAnsi="Times New Roman"/>
          <w:i/>
          <w:sz w:val="26"/>
          <w:szCs w:val="26"/>
        </w:rPr>
        <w:t>3.2.2.</w:t>
      </w:r>
      <w:r w:rsidRPr="002E1A36">
        <w:rPr>
          <w:rFonts w:ascii="Times New Roman" w:hAnsi="Times New Roman"/>
          <w:iCs/>
          <w:sz w:val="26"/>
          <w:szCs w:val="26"/>
        </w:rPr>
        <w:t xml:space="preserve"> Ratings provided by equipment manufacturers or obtained from equipment manufacturer specifications.</w:t>
      </w:r>
    </w:p>
    <w:p w:rsidRPr="002E1A36" w:rsidR="004C6596" w:rsidP="000E5E99" w:rsidRDefault="004C6596" w14:paraId="02341E63" w14:textId="77777777">
      <w:pPr>
        <w:pStyle w:val="ListParagraph"/>
        <w:numPr>
          <w:ilvl w:val="0"/>
          <w:numId w:val="43"/>
        </w:numPr>
        <w:rPr>
          <w:rFonts w:ascii="Times New Roman" w:hAnsi="Times New Roman"/>
          <w:iCs/>
          <w:sz w:val="26"/>
          <w:szCs w:val="26"/>
        </w:rPr>
      </w:pPr>
      <w:r w:rsidRPr="002E1A36">
        <w:rPr>
          <w:rFonts w:ascii="Times New Roman" w:hAnsi="Times New Roman"/>
          <w:i/>
          <w:sz w:val="26"/>
          <w:szCs w:val="26"/>
        </w:rPr>
        <w:t>3.2.3.</w:t>
      </w:r>
      <w:r w:rsidRPr="002E1A36">
        <w:rPr>
          <w:rFonts w:ascii="Times New Roman" w:hAnsi="Times New Roman"/>
          <w:iCs/>
          <w:sz w:val="26"/>
          <w:szCs w:val="26"/>
        </w:rPr>
        <w:t xml:space="preserve"> Ambient conditions (for particular or average conditions or as they vary in real-time).</w:t>
      </w:r>
    </w:p>
    <w:p w:rsidRPr="002E1A36" w:rsidR="004C6596" w:rsidP="000E5E99" w:rsidRDefault="004C6596" w14:paraId="247E6387" w14:textId="77777777">
      <w:pPr>
        <w:pStyle w:val="ListParagraph"/>
        <w:numPr>
          <w:ilvl w:val="0"/>
          <w:numId w:val="43"/>
        </w:numPr>
        <w:rPr>
          <w:rFonts w:ascii="Times New Roman" w:hAnsi="Times New Roman"/>
          <w:iCs/>
          <w:sz w:val="26"/>
          <w:szCs w:val="26"/>
        </w:rPr>
      </w:pPr>
      <w:r w:rsidRPr="002E1A36">
        <w:rPr>
          <w:rFonts w:ascii="Times New Roman" w:hAnsi="Times New Roman"/>
          <w:i/>
          <w:sz w:val="26"/>
          <w:szCs w:val="26"/>
        </w:rPr>
        <w:t>3.2.4.</w:t>
      </w:r>
      <w:r w:rsidRPr="002E1A36">
        <w:rPr>
          <w:rFonts w:ascii="Times New Roman" w:hAnsi="Times New Roman"/>
          <w:iCs/>
          <w:sz w:val="26"/>
          <w:szCs w:val="26"/>
        </w:rPr>
        <w:t xml:space="preserve"> Operating limitations.</w:t>
      </w:r>
    </w:p>
    <w:p w:rsidRPr="002E1A36" w:rsidR="004C6596" w:rsidP="006C20AD" w:rsidRDefault="004C6596" w14:paraId="1FBD084A" w14:textId="03935BEA">
      <w:pPr>
        <w:ind w:left="720"/>
        <w:rPr>
          <w:iCs/>
          <w:sz w:val="26"/>
          <w:szCs w:val="26"/>
        </w:rPr>
      </w:pPr>
      <w:r w:rsidRPr="003B64DA">
        <w:rPr>
          <w:b/>
          <w:bCs/>
          <w:iCs/>
          <w:sz w:val="26"/>
          <w:szCs w:val="26"/>
        </w:rPr>
        <w:t>3.3.</w:t>
      </w:r>
      <w:r w:rsidRPr="002E1A36">
        <w:rPr>
          <w:iCs/>
          <w:sz w:val="26"/>
          <w:szCs w:val="26"/>
        </w:rPr>
        <w:t xml:space="preserve"> </w:t>
      </w:r>
      <w:r w:rsidRPr="002E1A36" w:rsidR="006C20AD">
        <w:rPr>
          <w:iCs/>
          <w:sz w:val="26"/>
          <w:szCs w:val="26"/>
        </w:rPr>
        <w:t xml:space="preserve"> </w:t>
      </w:r>
      <w:r w:rsidRPr="002E1A36">
        <w:rPr>
          <w:iCs/>
          <w:sz w:val="26"/>
          <w:szCs w:val="26"/>
        </w:rPr>
        <w:t xml:space="preserve">A statement that a Facility Rating shall respect the most limiting applicable Equipment Rating of the individual equipment that comprises that Facility. </w:t>
      </w:r>
    </w:p>
    <w:p w:rsidRPr="002E1A36" w:rsidR="006C20AD" w:rsidP="000E5E99" w:rsidRDefault="006C20AD" w14:paraId="77FB0EF7" w14:textId="77777777">
      <w:pPr>
        <w:ind w:left="720"/>
        <w:rPr>
          <w:iCs/>
          <w:sz w:val="26"/>
          <w:szCs w:val="26"/>
        </w:rPr>
      </w:pPr>
    </w:p>
    <w:p w:rsidRPr="002E1A36" w:rsidR="004C6596" w:rsidP="000E5E99" w:rsidRDefault="004C6596" w14:paraId="31F3CBFC" w14:textId="4739D6EE">
      <w:pPr>
        <w:ind w:left="720"/>
        <w:rPr>
          <w:iCs/>
          <w:sz w:val="26"/>
          <w:szCs w:val="26"/>
        </w:rPr>
      </w:pPr>
      <w:r w:rsidRPr="002E1A36">
        <w:rPr>
          <w:b/>
          <w:bCs/>
          <w:iCs/>
          <w:sz w:val="26"/>
          <w:szCs w:val="26"/>
        </w:rPr>
        <w:t>3.4.</w:t>
      </w:r>
      <w:r w:rsidRPr="002E1A36" w:rsidR="006C20AD">
        <w:rPr>
          <w:b/>
          <w:bCs/>
          <w:iCs/>
          <w:sz w:val="26"/>
          <w:szCs w:val="26"/>
        </w:rPr>
        <w:t xml:space="preserve"> </w:t>
      </w:r>
      <w:r w:rsidRPr="002E1A36">
        <w:rPr>
          <w:iCs/>
          <w:sz w:val="26"/>
          <w:szCs w:val="26"/>
        </w:rPr>
        <w:t xml:space="preserve"> The process by which the Rating of equipment that comprises a Facility is determined.</w:t>
      </w:r>
    </w:p>
    <w:p w:rsidRPr="003B64DA" w:rsidR="004C6596" w:rsidP="000E5E99" w:rsidRDefault="004C6596" w14:paraId="70E558DD" w14:textId="77777777">
      <w:pPr>
        <w:pStyle w:val="ListParagraph"/>
        <w:numPr>
          <w:ilvl w:val="0"/>
          <w:numId w:val="44"/>
        </w:numPr>
        <w:rPr>
          <w:rFonts w:ascii="Times New Roman" w:hAnsi="Times New Roman"/>
          <w:iCs/>
          <w:sz w:val="26"/>
          <w:szCs w:val="26"/>
        </w:rPr>
      </w:pPr>
      <w:r w:rsidRPr="003B64DA">
        <w:rPr>
          <w:rFonts w:ascii="Times New Roman" w:hAnsi="Times New Roman"/>
          <w:i/>
          <w:sz w:val="26"/>
          <w:szCs w:val="26"/>
        </w:rPr>
        <w:t>3.4.1.</w:t>
      </w:r>
      <w:r w:rsidRPr="003B64DA">
        <w:rPr>
          <w:rFonts w:ascii="Times New Roman" w:hAnsi="Times New Roman"/>
          <w:iCs/>
          <w:sz w:val="26"/>
          <w:szCs w:val="26"/>
        </w:rPr>
        <w:t xml:space="preserve"> The scope of equipment addressed shall include, but not be limited to, transmission conductors, transformers, relay protective devices, terminal equipment, and series and shunt compensation devices. </w:t>
      </w:r>
    </w:p>
    <w:p w:rsidRPr="003B64DA" w:rsidR="006C20AD" w:rsidP="000E5E99" w:rsidRDefault="004C6596" w14:paraId="65FFF1A3" w14:textId="37569AC5">
      <w:pPr>
        <w:pStyle w:val="ListParagraph"/>
        <w:numPr>
          <w:ilvl w:val="0"/>
          <w:numId w:val="44"/>
        </w:numPr>
        <w:rPr>
          <w:rFonts w:ascii="Times New Roman" w:hAnsi="Times New Roman"/>
          <w:iCs/>
          <w:sz w:val="26"/>
          <w:szCs w:val="26"/>
        </w:rPr>
      </w:pPr>
      <w:r w:rsidRPr="003B64DA">
        <w:rPr>
          <w:rFonts w:ascii="Times New Roman" w:hAnsi="Times New Roman"/>
          <w:i/>
          <w:sz w:val="26"/>
          <w:szCs w:val="26"/>
        </w:rPr>
        <w:t>3.4.2.</w:t>
      </w:r>
      <w:r w:rsidRPr="003B64DA">
        <w:rPr>
          <w:rFonts w:ascii="Times New Roman" w:hAnsi="Times New Roman"/>
          <w:iCs/>
          <w:sz w:val="26"/>
          <w:szCs w:val="26"/>
        </w:rPr>
        <w:t xml:space="preserve"> The scope of Ratings addressed shall include, as a minimum, both Normal and Emergency Ratings. </w:t>
      </w:r>
    </w:p>
    <w:p w:rsidRPr="003B64DA" w:rsidR="004C6596" w:rsidP="004C6596" w:rsidRDefault="004C6596" w14:paraId="505F7038" w14:textId="7610F4FC">
      <w:pPr>
        <w:rPr>
          <w:iCs/>
          <w:sz w:val="26"/>
          <w:szCs w:val="26"/>
        </w:rPr>
      </w:pPr>
      <w:r w:rsidRPr="003B64DA">
        <w:rPr>
          <w:b/>
          <w:bCs/>
          <w:iCs/>
          <w:sz w:val="26"/>
          <w:szCs w:val="26"/>
        </w:rPr>
        <w:t>R6.</w:t>
      </w:r>
      <w:r w:rsidRPr="003B64DA">
        <w:rPr>
          <w:iCs/>
          <w:sz w:val="26"/>
          <w:szCs w:val="26"/>
        </w:rPr>
        <w:t xml:space="preserve"> </w:t>
      </w:r>
      <w:r w:rsidRPr="003B64DA" w:rsidR="006C20AD">
        <w:rPr>
          <w:iCs/>
          <w:sz w:val="26"/>
          <w:szCs w:val="26"/>
        </w:rPr>
        <w:t xml:space="preserve"> </w:t>
      </w:r>
      <w:r w:rsidRPr="003B64DA">
        <w:rPr>
          <w:iCs/>
          <w:sz w:val="26"/>
          <w:szCs w:val="26"/>
        </w:rPr>
        <w:t xml:space="preserve">Each Transmission Owner and Generator Owner shall have Facility Ratings for its solely and jointly owned Facilities that are consistent with the associated Facility Ratings methodology or documentation for determining its Facility Ratings. </w:t>
      </w:r>
    </w:p>
    <w:p w:rsidRPr="003B64DA" w:rsidR="009C0B40" w:rsidP="004C6596" w:rsidRDefault="009C0B40" w14:paraId="33D9B7ED" w14:textId="77777777">
      <w:pPr>
        <w:rPr>
          <w:iCs/>
          <w:sz w:val="26"/>
          <w:szCs w:val="26"/>
        </w:rPr>
      </w:pPr>
    </w:p>
    <w:p w:rsidRPr="003B64DA" w:rsidR="004C6596" w:rsidP="004C6596" w:rsidRDefault="004C6596" w14:paraId="3A7A636F" w14:textId="04F55EBD">
      <w:pPr>
        <w:rPr>
          <w:b/>
          <w:bCs/>
          <w:iCs/>
          <w:sz w:val="26"/>
          <w:szCs w:val="26"/>
        </w:rPr>
      </w:pPr>
      <w:r w:rsidRPr="003B64DA">
        <w:rPr>
          <w:b/>
          <w:bCs/>
          <w:iCs/>
          <w:sz w:val="26"/>
          <w:szCs w:val="26"/>
        </w:rPr>
        <w:t>Measures</w:t>
      </w:r>
    </w:p>
    <w:p w:rsidRPr="003B64DA" w:rsidR="003D1B15" w:rsidP="004C6596" w:rsidRDefault="003D1B15" w14:paraId="6337E92B" w14:textId="77777777">
      <w:pPr>
        <w:rPr>
          <w:iCs/>
          <w:sz w:val="26"/>
          <w:szCs w:val="26"/>
        </w:rPr>
      </w:pPr>
    </w:p>
    <w:p w:rsidRPr="003B64DA" w:rsidR="004C6596" w:rsidP="004C6596" w:rsidRDefault="004C6596" w14:paraId="784B9952" w14:textId="4B561ACF">
      <w:pPr>
        <w:rPr>
          <w:iCs/>
          <w:sz w:val="26"/>
          <w:szCs w:val="26"/>
        </w:rPr>
      </w:pPr>
      <w:r w:rsidRPr="003B64DA">
        <w:rPr>
          <w:b/>
          <w:bCs/>
          <w:iCs/>
          <w:sz w:val="26"/>
          <w:szCs w:val="26"/>
        </w:rPr>
        <w:lastRenderedPageBreak/>
        <w:t>M2.</w:t>
      </w:r>
      <w:r w:rsidRPr="003B64DA" w:rsidR="006C20AD">
        <w:rPr>
          <w:b/>
          <w:bCs/>
          <w:iCs/>
          <w:sz w:val="26"/>
          <w:szCs w:val="26"/>
        </w:rPr>
        <w:t xml:space="preserve"> </w:t>
      </w:r>
      <w:r w:rsidRPr="003B64DA">
        <w:rPr>
          <w:iCs/>
          <w:sz w:val="26"/>
          <w:szCs w:val="26"/>
        </w:rPr>
        <w:t xml:space="preserve"> Each Generator Owner shall have a documented Facility Ratings methodology that includes all the items identified in Requirement 2, Parts 2.1 through 2.4.</w:t>
      </w:r>
    </w:p>
    <w:p w:rsidRPr="003B64DA" w:rsidR="006C20AD" w:rsidP="004C6596" w:rsidRDefault="006C20AD" w14:paraId="0CC1AF27" w14:textId="77777777">
      <w:pPr>
        <w:rPr>
          <w:iCs/>
          <w:sz w:val="26"/>
          <w:szCs w:val="26"/>
        </w:rPr>
      </w:pPr>
    </w:p>
    <w:p w:rsidRPr="003B64DA" w:rsidR="004C6596" w:rsidP="004C6596" w:rsidRDefault="004C6596" w14:paraId="0745E5E3" w14:textId="414F4952">
      <w:pPr>
        <w:rPr>
          <w:iCs/>
          <w:sz w:val="26"/>
          <w:szCs w:val="26"/>
        </w:rPr>
      </w:pPr>
      <w:r w:rsidRPr="003B64DA">
        <w:rPr>
          <w:b/>
          <w:bCs/>
          <w:iCs/>
          <w:sz w:val="26"/>
          <w:szCs w:val="26"/>
        </w:rPr>
        <w:t>M3.</w:t>
      </w:r>
      <w:r w:rsidRPr="003B64DA" w:rsidR="006C20AD">
        <w:rPr>
          <w:b/>
          <w:bCs/>
          <w:iCs/>
          <w:sz w:val="26"/>
          <w:szCs w:val="26"/>
        </w:rPr>
        <w:t xml:space="preserve"> </w:t>
      </w:r>
      <w:r w:rsidRPr="003B64DA">
        <w:rPr>
          <w:iCs/>
          <w:sz w:val="26"/>
          <w:szCs w:val="26"/>
        </w:rPr>
        <w:t xml:space="preserve"> Each Transmission Owner shall have a documented Facility Ratings methodology that includes all the items identified in Requirement 3, Parts 3.1 through 3.4.</w:t>
      </w:r>
    </w:p>
    <w:p w:rsidRPr="003B64DA" w:rsidR="006C20AD" w:rsidP="004C6596" w:rsidRDefault="006C20AD" w14:paraId="4824EAF2" w14:textId="77777777">
      <w:pPr>
        <w:rPr>
          <w:iCs/>
          <w:sz w:val="26"/>
          <w:szCs w:val="26"/>
        </w:rPr>
      </w:pPr>
    </w:p>
    <w:p w:rsidRPr="003B64DA" w:rsidR="004C6596" w:rsidP="004C6596" w:rsidRDefault="004C6596" w14:paraId="61CE431B" w14:textId="19BCABA1">
      <w:pPr>
        <w:rPr>
          <w:iCs/>
          <w:sz w:val="26"/>
          <w:szCs w:val="26"/>
        </w:rPr>
      </w:pPr>
      <w:r w:rsidRPr="003B64DA">
        <w:rPr>
          <w:b/>
          <w:bCs/>
          <w:iCs/>
          <w:sz w:val="26"/>
          <w:szCs w:val="26"/>
        </w:rPr>
        <w:t>M6.</w:t>
      </w:r>
      <w:r w:rsidRPr="003B64DA" w:rsidR="006C20AD">
        <w:rPr>
          <w:b/>
          <w:bCs/>
          <w:iCs/>
          <w:sz w:val="26"/>
          <w:szCs w:val="26"/>
        </w:rPr>
        <w:t xml:space="preserve"> </w:t>
      </w:r>
      <w:r w:rsidRPr="003B64DA">
        <w:rPr>
          <w:iCs/>
          <w:sz w:val="26"/>
          <w:szCs w:val="26"/>
        </w:rPr>
        <w:t xml:space="preserve"> Each Transmission Owner and Generator Owner shall have evidence to show that its Facility Ratings are consistent with the documentation for determining its Facility Ratings as specified in Requirement R1 or consistent with its Facility Ratings methodology as specified in Requirements R2 and R3 (Requirement R6). </w:t>
      </w:r>
    </w:p>
    <w:p w:rsidRPr="003B64DA" w:rsidR="006A2E81" w:rsidP="004C6596" w:rsidRDefault="006A2E81" w14:paraId="2B0F2245" w14:textId="77777777">
      <w:pPr>
        <w:rPr>
          <w:iCs/>
          <w:sz w:val="26"/>
          <w:szCs w:val="26"/>
        </w:rPr>
      </w:pPr>
    </w:p>
    <w:p w:rsidRPr="003B64DA" w:rsidR="004C6596" w:rsidP="004C6596" w:rsidRDefault="004C6596" w14:paraId="6CA5802A" w14:textId="77777777">
      <w:pPr>
        <w:rPr>
          <w:b/>
          <w:bCs/>
          <w:iCs/>
          <w:sz w:val="26"/>
          <w:szCs w:val="26"/>
        </w:rPr>
      </w:pPr>
      <w:r w:rsidRPr="003B64DA">
        <w:rPr>
          <w:b/>
          <w:bCs/>
          <w:iCs/>
          <w:sz w:val="26"/>
          <w:szCs w:val="26"/>
        </w:rPr>
        <w:t xml:space="preserve">Data Retention </w:t>
      </w:r>
    </w:p>
    <w:p w:rsidRPr="003B64DA" w:rsidR="006A2E81" w:rsidP="005E0A8A" w:rsidRDefault="006A2E81" w14:paraId="55C1C625" w14:textId="77777777">
      <w:pPr>
        <w:rPr>
          <w:iCs/>
          <w:sz w:val="26"/>
          <w:szCs w:val="26"/>
        </w:rPr>
      </w:pPr>
    </w:p>
    <w:p w:rsidRPr="003B64DA" w:rsidR="004C6596" w:rsidP="005E0A8A" w:rsidRDefault="004C6596" w14:paraId="1215929A" w14:textId="68DDFF99">
      <w:pPr>
        <w:rPr>
          <w:iCs/>
          <w:sz w:val="26"/>
          <w:szCs w:val="26"/>
        </w:rPr>
      </w:pPr>
      <w:r w:rsidRPr="003B64DA">
        <w:rPr>
          <w:iCs/>
          <w:sz w:val="26"/>
          <w:szCs w:val="26"/>
        </w:rPr>
        <w:t xml:space="preserve">The Generator Owner shall keep its current documentation (for R1) and any modifications to the documentation that were in force since last compliance audit period for Measure M1 and Measure M6. </w:t>
      </w:r>
      <w:r w:rsidRPr="003B64DA" w:rsidR="00D8370C">
        <w:rPr>
          <w:iCs/>
          <w:sz w:val="26"/>
          <w:szCs w:val="26"/>
        </w:rPr>
        <w:t xml:space="preserve"> </w:t>
      </w:r>
      <w:r w:rsidRPr="003B64DA">
        <w:rPr>
          <w:iCs/>
          <w:sz w:val="26"/>
          <w:szCs w:val="26"/>
        </w:rPr>
        <w:t>The Generator Owner shall keep its current, in force Facility Ratings methodology (for R2) and any modifications to the methodology that were in force since last compliance audit period for Measure M2 and Measure M6.</w:t>
      </w:r>
      <w:r w:rsidRPr="003B64DA" w:rsidR="00FD7FC3">
        <w:rPr>
          <w:iCs/>
          <w:sz w:val="26"/>
          <w:szCs w:val="26"/>
        </w:rPr>
        <w:t xml:space="preserve">  </w:t>
      </w:r>
      <w:r w:rsidRPr="003B64DA">
        <w:rPr>
          <w:iCs/>
          <w:sz w:val="26"/>
          <w:szCs w:val="26"/>
        </w:rPr>
        <w:t>The Transmission Owner shall keep its current, in force Facility Ratings methodology (for R3) and any modifications to the methodology that were in force since the last compliance audit for Measure M3 and Measure M6.</w:t>
      </w:r>
      <w:r w:rsidRPr="003B64DA" w:rsidR="006C20AD">
        <w:rPr>
          <w:iCs/>
          <w:sz w:val="26"/>
          <w:szCs w:val="26"/>
        </w:rPr>
        <w:t xml:space="preserve">  </w:t>
      </w:r>
      <w:r w:rsidRPr="003B64DA">
        <w:rPr>
          <w:iCs/>
          <w:sz w:val="26"/>
          <w:szCs w:val="26"/>
        </w:rPr>
        <w:t>The Transmission Owner and Generator Owner shall keep its current, in force Facility Ratings and any changes to those ratings for three calendar years for Measure M6. The Generator Owner and Transmission Owner shall each keep evidence for Measure M4, and Measure M5, for three calendar years. (Retirement approved by FERC effective January 21, 2014.) The Generator Owner shall keep evidence for Measure M7 for three calendar years.</w:t>
      </w:r>
      <w:r w:rsidRPr="003B64DA" w:rsidR="00D8370C">
        <w:rPr>
          <w:iCs/>
          <w:sz w:val="26"/>
          <w:szCs w:val="26"/>
        </w:rPr>
        <w:t xml:space="preserve">  </w:t>
      </w:r>
      <w:r w:rsidRPr="003B64DA">
        <w:rPr>
          <w:iCs/>
          <w:sz w:val="26"/>
          <w:szCs w:val="26"/>
        </w:rPr>
        <w:t xml:space="preserve">The Transmission Owner (and Generator Owner that is subject to Requirement R2) shall keep evidence for Measure M8 for three calendar years. </w:t>
      </w:r>
      <w:r w:rsidRPr="003B64DA" w:rsidR="006C20AD">
        <w:rPr>
          <w:iCs/>
          <w:sz w:val="26"/>
          <w:szCs w:val="26"/>
        </w:rPr>
        <w:t xml:space="preserve"> </w:t>
      </w:r>
      <w:r w:rsidRPr="003B64DA">
        <w:rPr>
          <w:iCs/>
          <w:sz w:val="26"/>
          <w:szCs w:val="26"/>
        </w:rPr>
        <w:t>If a Generator Owner or Transmission Owner is found non-compliant, it shall keep information related to the non-compliance until found compliant. The Compliance Enforcement Authority shall keep the last audit and all subsequent compliance records.</w:t>
      </w:r>
    </w:p>
    <w:p w:rsidRPr="003B64DA" w:rsidR="001F3ADE" w:rsidP="001F3ADE" w:rsidRDefault="001F3ADE" w14:paraId="095CE0E8" w14:textId="77777777">
      <w:pPr>
        <w:pStyle w:val="FERCparanumber"/>
        <w:numPr>
          <w:ilvl w:val="0"/>
          <w:numId w:val="0"/>
        </w:numPr>
        <w:tabs>
          <w:tab w:val="left" w:pos="720"/>
          <w:tab w:val="left" w:pos="4860"/>
        </w:tabs>
        <w:rPr>
          <w:szCs w:val="26"/>
        </w:rPr>
      </w:pPr>
    </w:p>
    <w:p w:rsidRPr="003B64DA" w:rsidR="009D6B6D" w:rsidP="001D2EC1" w:rsidRDefault="009D6B6D" w14:paraId="31D7969C" w14:textId="1557D739">
      <w:pPr>
        <w:pStyle w:val="FERCparanumber"/>
        <w:numPr>
          <w:ilvl w:val="0"/>
          <w:numId w:val="7"/>
        </w:numPr>
        <w:tabs>
          <w:tab w:val="left" w:pos="720"/>
          <w:tab w:val="left" w:pos="4860"/>
        </w:tabs>
        <w:rPr>
          <w:szCs w:val="26"/>
        </w:rPr>
      </w:pPr>
      <w:r w:rsidRPr="003B64DA">
        <w:rPr>
          <w:b/>
          <w:szCs w:val="26"/>
        </w:rPr>
        <w:t>HOW, BY WHOM AND FOR WHAT P</w:t>
      </w:r>
      <w:r w:rsidRPr="003B64DA" w:rsidR="00980E8E">
        <w:rPr>
          <w:b/>
          <w:szCs w:val="26"/>
        </w:rPr>
        <w:t>URPOSE IS THE INFORMATION USED AND THE CONSEQUENCES OF NOT COLLECTING THE INFORMATION</w:t>
      </w:r>
    </w:p>
    <w:p w:rsidRPr="003B64DA" w:rsidR="006A2E81" w:rsidP="006A2E81" w:rsidRDefault="006A2E81" w14:paraId="65E86D09" w14:textId="791FB740">
      <w:pPr>
        <w:pStyle w:val="FERCparanumber"/>
        <w:numPr>
          <w:ilvl w:val="0"/>
          <w:numId w:val="0"/>
        </w:numPr>
        <w:tabs>
          <w:tab w:val="left" w:pos="720"/>
          <w:tab w:val="left" w:pos="4860"/>
        </w:tabs>
        <w:ind w:left="72"/>
        <w:rPr>
          <w:b/>
          <w:szCs w:val="26"/>
        </w:rPr>
      </w:pPr>
    </w:p>
    <w:p w:rsidRPr="003B64DA" w:rsidR="000C5B37" w:rsidP="00CF342D" w:rsidRDefault="00120133" w14:paraId="1FD93CDD" w14:textId="1F109EA1">
      <w:pPr>
        <w:pStyle w:val="FERCparanumber"/>
        <w:numPr>
          <w:ilvl w:val="0"/>
          <w:numId w:val="0"/>
        </w:numPr>
        <w:tabs>
          <w:tab w:val="left" w:pos="720"/>
          <w:tab w:val="left" w:pos="4860"/>
        </w:tabs>
        <w:ind w:left="72"/>
        <w:rPr>
          <w:szCs w:val="26"/>
        </w:rPr>
      </w:pPr>
      <w:r w:rsidRPr="003B64DA">
        <w:rPr>
          <w:bCs/>
          <w:szCs w:val="26"/>
          <w:u w:val="single"/>
        </w:rPr>
        <w:t>FERC-516H</w:t>
      </w:r>
      <w:r w:rsidRPr="003B64DA">
        <w:rPr>
          <w:bCs/>
          <w:szCs w:val="26"/>
        </w:rPr>
        <w:t>:</w:t>
      </w:r>
      <w:r w:rsidRPr="003B64DA" w:rsidR="00F35223">
        <w:rPr>
          <w:bCs/>
          <w:szCs w:val="26"/>
        </w:rPr>
        <w:t xml:space="preserve">  The content of </w:t>
      </w:r>
      <w:r w:rsidRPr="003B64DA" w:rsidR="00B752F1">
        <w:rPr>
          <w:bCs/>
          <w:szCs w:val="26"/>
        </w:rPr>
        <w:t xml:space="preserve">the new </w:t>
      </w:r>
      <w:r w:rsidRPr="003B64DA" w:rsidR="00B752F1">
        <w:rPr>
          <w:bCs/>
          <w:i/>
          <w:iCs/>
          <w:szCs w:val="26"/>
        </w:rPr>
        <w:t>pro forma</w:t>
      </w:r>
      <w:r w:rsidRPr="003B64DA" w:rsidR="00B752F1">
        <w:rPr>
          <w:bCs/>
          <w:szCs w:val="26"/>
        </w:rPr>
        <w:t xml:space="preserve"> OATT Attachment M (“Transmission Line Ratings”) is shown at Appendix B of the final rule.  </w:t>
      </w:r>
      <w:r w:rsidRPr="003B64DA" w:rsidR="007F5DDF">
        <w:rPr>
          <w:bCs/>
          <w:szCs w:val="26"/>
        </w:rPr>
        <w:t xml:space="preserve">The </w:t>
      </w:r>
      <w:r w:rsidRPr="003B64DA" w:rsidR="00EC6BEB">
        <w:rPr>
          <w:bCs/>
          <w:szCs w:val="26"/>
        </w:rPr>
        <w:t xml:space="preserve">Commission is requiring the addition of Attachment </w:t>
      </w:r>
      <w:r w:rsidRPr="003B64DA" w:rsidR="00AA11A8">
        <w:rPr>
          <w:bCs/>
          <w:szCs w:val="26"/>
        </w:rPr>
        <w:t>M</w:t>
      </w:r>
      <w:r w:rsidRPr="003B64DA" w:rsidR="0095287F">
        <w:rPr>
          <w:bCs/>
          <w:szCs w:val="26"/>
        </w:rPr>
        <w:t xml:space="preserve"> to</w:t>
      </w:r>
      <w:r w:rsidRPr="003B64DA" w:rsidR="00AA11A8">
        <w:rPr>
          <w:bCs/>
          <w:szCs w:val="26"/>
        </w:rPr>
        <w:t xml:space="preserve"> </w:t>
      </w:r>
      <w:r w:rsidRPr="003B64DA" w:rsidR="00267AA9">
        <w:rPr>
          <w:bCs/>
          <w:szCs w:val="26"/>
        </w:rPr>
        <w:t>public utility transmission provider</w:t>
      </w:r>
      <w:r w:rsidRPr="003B64DA" w:rsidR="00AA11A8">
        <w:rPr>
          <w:bCs/>
          <w:szCs w:val="26"/>
        </w:rPr>
        <w:t xml:space="preserve"> </w:t>
      </w:r>
      <w:r w:rsidRPr="003B64DA" w:rsidR="0095287F">
        <w:rPr>
          <w:bCs/>
          <w:szCs w:val="26"/>
        </w:rPr>
        <w:t xml:space="preserve">OATTs </w:t>
      </w:r>
      <w:r w:rsidRPr="003B64DA" w:rsidR="0010182C">
        <w:rPr>
          <w:bCs/>
          <w:szCs w:val="26"/>
        </w:rPr>
        <w:t xml:space="preserve">in order to improve </w:t>
      </w:r>
      <w:r w:rsidRPr="003B64DA" w:rsidR="00011AED">
        <w:rPr>
          <w:bCs/>
          <w:szCs w:val="26"/>
        </w:rPr>
        <w:t xml:space="preserve">the </w:t>
      </w:r>
      <w:r w:rsidRPr="003B64DA" w:rsidR="00FE7C79">
        <w:rPr>
          <w:bCs/>
          <w:szCs w:val="26"/>
        </w:rPr>
        <w:t>accuracy of transmission line ratings</w:t>
      </w:r>
      <w:r w:rsidRPr="003B64DA" w:rsidR="00FE7C79">
        <w:rPr>
          <w:szCs w:val="26"/>
        </w:rPr>
        <w:t xml:space="preserve">.  </w:t>
      </w:r>
      <w:r w:rsidRPr="003B64DA" w:rsidR="00C454A1">
        <w:rPr>
          <w:szCs w:val="26"/>
        </w:rPr>
        <w:t>Tran</w:t>
      </w:r>
      <w:r w:rsidRPr="003B64DA" w:rsidR="00A90FD1">
        <w:rPr>
          <w:szCs w:val="26"/>
        </w:rPr>
        <w:t>s</w:t>
      </w:r>
      <w:r w:rsidRPr="003B64DA" w:rsidR="00C454A1">
        <w:rPr>
          <w:szCs w:val="26"/>
        </w:rPr>
        <w:t xml:space="preserve">mission line ratings </w:t>
      </w:r>
      <w:r w:rsidRPr="003B64DA" w:rsidR="0095287F">
        <w:rPr>
          <w:szCs w:val="26"/>
        </w:rPr>
        <w:t xml:space="preserve">directly </w:t>
      </w:r>
      <w:r w:rsidRPr="003B64DA" w:rsidR="0095287F">
        <w:rPr>
          <w:szCs w:val="26"/>
        </w:rPr>
        <w:lastRenderedPageBreak/>
        <w:t xml:space="preserve">affect </w:t>
      </w:r>
      <w:r w:rsidRPr="003B64DA" w:rsidR="00C454A1">
        <w:rPr>
          <w:szCs w:val="26"/>
        </w:rPr>
        <w:t xml:space="preserve">Commission-jurisdictional wholesale rates </w:t>
      </w:r>
      <w:r w:rsidRPr="003B64DA" w:rsidR="00A90FD1">
        <w:rPr>
          <w:szCs w:val="26"/>
        </w:rPr>
        <w:t>because the</w:t>
      </w:r>
      <w:r w:rsidRPr="003B64DA" w:rsidR="00FC5DF3">
        <w:rPr>
          <w:szCs w:val="26"/>
        </w:rPr>
        <w:t>y</w:t>
      </w:r>
      <w:r w:rsidRPr="003B64DA" w:rsidR="00A90FD1">
        <w:rPr>
          <w:szCs w:val="26"/>
        </w:rPr>
        <w:t xml:space="preserve"> repres</w:t>
      </w:r>
      <w:r w:rsidRPr="003B64DA" w:rsidR="00FC5DF3">
        <w:rPr>
          <w:szCs w:val="26"/>
        </w:rPr>
        <w:t>ent</w:t>
      </w:r>
      <w:r w:rsidRPr="003B64DA" w:rsidR="00A90FD1">
        <w:rPr>
          <w:szCs w:val="26"/>
        </w:rPr>
        <w:t xml:space="preserve"> the maximum transfer </w:t>
      </w:r>
      <w:r w:rsidRPr="003B64DA" w:rsidR="00CF342D">
        <w:rPr>
          <w:szCs w:val="26"/>
        </w:rPr>
        <w:t>capability of transmission lines, and s</w:t>
      </w:r>
      <w:r w:rsidRPr="003B64DA" w:rsidR="0095287F">
        <w:rPr>
          <w:szCs w:val="26"/>
        </w:rPr>
        <w:t>upply and demand fundamentals dictate that less transfer capability (i.e., less supply) will result in higher rates, all else being equal.</w:t>
      </w:r>
      <w:bookmarkStart w:name="_Hlk89964917" w:id="0"/>
    </w:p>
    <w:p w:rsidRPr="003B64DA" w:rsidR="000C5B37" w:rsidP="00CF342D" w:rsidRDefault="000C5B37" w14:paraId="70DEBA6B" w14:textId="77777777">
      <w:pPr>
        <w:pStyle w:val="FERCparanumber"/>
        <w:numPr>
          <w:ilvl w:val="0"/>
          <w:numId w:val="0"/>
        </w:numPr>
        <w:tabs>
          <w:tab w:val="left" w:pos="720"/>
          <w:tab w:val="left" w:pos="4860"/>
        </w:tabs>
        <w:ind w:left="72"/>
        <w:rPr>
          <w:szCs w:val="26"/>
        </w:rPr>
      </w:pPr>
    </w:p>
    <w:p w:rsidRPr="003B64DA" w:rsidR="007F5DDF" w:rsidP="008C4F41" w:rsidRDefault="0095287F" w14:paraId="0E8E792F" w14:textId="7D849D23">
      <w:pPr>
        <w:pStyle w:val="FERCparanumber"/>
        <w:numPr>
          <w:ilvl w:val="0"/>
          <w:numId w:val="0"/>
        </w:numPr>
        <w:tabs>
          <w:tab w:val="left" w:pos="720"/>
          <w:tab w:val="left" w:pos="4860"/>
        </w:tabs>
        <w:ind w:left="72"/>
        <w:rPr>
          <w:bCs/>
          <w:szCs w:val="26"/>
        </w:rPr>
      </w:pPr>
      <w:r w:rsidRPr="003B64DA">
        <w:rPr>
          <w:szCs w:val="26"/>
        </w:rPr>
        <w:t>Inaccurate transmission line ratings can result in underutilization (or overutilization) of existing transmission facilities, thereby sending a signal that there is less (or more) transfer capability than is truly available</w:t>
      </w:r>
      <w:bookmarkEnd w:id="0"/>
      <w:r w:rsidRPr="003B64DA">
        <w:rPr>
          <w:szCs w:val="26"/>
        </w:rPr>
        <w:t xml:space="preserve">.  This signal impacts the wholesale rates charged for providing energy and other ancillary services.  For example, if the system operator believes there is less transfer capability than is truly available, it may dispatch more expensive generators to serve load, when less expensive generators (which would have resulted in lower costs) could have been used to reliably serve the same load.  </w:t>
      </w:r>
      <w:bookmarkStart w:name="_Hlk83886352" w:id="1"/>
      <w:r w:rsidRPr="003B64DA">
        <w:rPr>
          <w:szCs w:val="26"/>
        </w:rPr>
        <w:t>Alternatively, inaccurate transmission line ratings can result in oversubscription of existing transmission facilities, thereby sending the opposite signal—that there is more transfer capability than is truly available—</w:t>
      </w:r>
      <w:bookmarkStart w:name="_Hlk83630115" w:id="2"/>
      <w:r w:rsidRPr="003B64DA">
        <w:rPr>
          <w:szCs w:val="26"/>
        </w:rPr>
        <w:t>which may risk damage to equipment, may fail to accurately price congestion costs, and may fail to signal to the market that more generation and/or transmission investment may be needed in the long term.</w:t>
      </w:r>
      <w:bookmarkEnd w:id="1"/>
      <w:bookmarkEnd w:id="2"/>
      <w:r w:rsidRPr="003B64DA">
        <w:rPr>
          <w:szCs w:val="26"/>
        </w:rPr>
        <w:t xml:space="preserve">  </w:t>
      </w:r>
      <w:r w:rsidRPr="003B64DA" w:rsidR="004B11CF">
        <w:rPr>
          <w:szCs w:val="26"/>
        </w:rPr>
        <w:t xml:space="preserve">The Commission </w:t>
      </w:r>
      <w:r w:rsidRPr="003B64DA">
        <w:rPr>
          <w:szCs w:val="26"/>
        </w:rPr>
        <w:t>therefore find</w:t>
      </w:r>
      <w:r w:rsidRPr="003B64DA" w:rsidR="004B11CF">
        <w:rPr>
          <w:szCs w:val="26"/>
        </w:rPr>
        <w:t>s</w:t>
      </w:r>
      <w:r w:rsidRPr="003B64DA">
        <w:rPr>
          <w:szCs w:val="26"/>
        </w:rPr>
        <w:t xml:space="preserve"> that transmission line ratings directly affect wholesale rates and, concomitantly, that inaccurate transmission line ratings result in unjust and unreasonable wholesale rates.</w:t>
      </w:r>
    </w:p>
    <w:p w:rsidRPr="003B64DA" w:rsidR="00F35223" w:rsidP="00AD76D8" w:rsidRDefault="00F35223" w14:paraId="4F4FB27C" w14:textId="77777777">
      <w:pPr>
        <w:pStyle w:val="FERCparanumber"/>
        <w:numPr>
          <w:ilvl w:val="0"/>
          <w:numId w:val="0"/>
        </w:numPr>
        <w:tabs>
          <w:tab w:val="left" w:pos="720"/>
          <w:tab w:val="left" w:pos="4860"/>
        </w:tabs>
        <w:ind w:left="72"/>
        <w:rPr>
          <w:bCs/>
          <w:szCs w:val="26"/>
        </w:rPr>
      </w:pPr>
    </w:p>
    <w:p w:rsidRPr="003B64DA" w:rsidR="00F169B7" w:rsidP="00AD76D8" w:rsidRDefault="00907014" w14:paraId="0F2138C1" w14:textId="77777777">
      <w:pPr>
        <w:pStyle w:val="FERCparanumber"/>
        <w:numPr>
          <w:ilvl w:val="0"/>
          <w:numId w:val="0"/>
        </w:numPr>
        <w:tabs>
          <w:tab w:val="left" w:pos="720"/>
          <w:tab w:val="left" w:pos="4860"/>
        </w:tabs>
        <w:ind w:left="72"/>
        <w:rPr>
          <w:bCs/>
          <w:szCs w:val="26"/>
        </w:rPr>
      </w:pPr>
      <w:r w:rsidRPr="003B64DA">
        <w:rPr>
          <w:bCs/>
          <w:szCs w:val="26"/>
        </w:rPr>
        <w:t xml:space="preserve">In accordance with </w:t>
      </w:r>
      <w:r w:rsidRPr="003B64DA" w:rsidR="007F5DDF">
        <w:rPr>
          <w:bCs/>
          <w:szCs w:val="26"/>
        </w:rPr>
        <w:t>A</w:t>
      </w:r>
      <w:r w:rsidRPr="003B64DA" w:rsidR="00DB4198">
        <w:rPr>
          <w:bCs/>
          <w:szCs w:val="26"/>
        </w:rPr>
        <w:t>ttachment M</w:t>
      </w:r>
      <w:r w:rsidRPr="003B64DA" w:rsidR="00DF69E7">
        <w:rPr>
          <w:bCs/>
          <w:szCs w:val="26"/>
        </w:rPr>
        <w:t xml:space="preserve">, </w:t>
      </w:r>
      <w:r w:rsidRPr="003B64DA" w:rsidR="00DB4198">
        <w:rPr>
          <w:bCs/>
          <w:szCs w:val="26"/>
        </w:rPr>
        <w:t xml:space="preserve">transmission providers </w:t>
      </w:r>
      <w:r w:rsidRPr="003B64DA" w:rsidR="00EE702D">
        <w:rPr>
          <w:bCs/>
          <w:szCs w:val="26"/>
        </w:rPr>
        <w:t xml:space="preserve">must </w:t>
      </w:r>
      <w:r w:rsidRPr="003B64DA" w:rsidR="00DB4198">
        <w:rPr>
          <w:bCs/>
          <w:szCs w:val="26"/>
        </w:rPr>
        <w:t>implement AARs on the transmission lines over which they provide transmission service.</w:t>
      </w:r>
      <w:r w:rsidRPr="003B64DA" w:rsidR="002B1110">
        <w:rPr>
          <w:bCs/>
          <w:szCs w:val="26"/>
        </w:rPr>
        <w:t xml:space="preserve">  </w:t>
      </w:r>
      <w:r w:rsidRPr="003B64DA" w:rsidR="00682374">
        <w:rPr>
          <w:bCs/>
          <w:szCs w:val="26"/>
        </w:rPr>
        <w:t xml:space="preserve">In addition, </w:t>
      </w:r>
      <w:r w:rsidRPr="003B64DA" w:rsidR="00AD76D8">
        <w:rPr>
          <w:bCs/>
          <w:szCs w:val="26"/>
        </w:rPr>
        <w:t xml:space="preserve">transmission providers must </w:t>
      </w:r>
      <w:r w:rsidRPr="003B64DA" w:rsidR="006060F7">
        <w:rPr>
          <w:bCs/>
          <w:szCs w:val="26"/>
        </w:rPr>
        <w:t xml:space="preserve">use uniquely determined Emergency Ratings for contingency analysis in the operations horizon and in post-contingency simulations of constraints.  Such uniquely determined Emergency Ratings must also include separate AAR calculations for each Emergency Rating duration used.  </w:t>
      </w:r>
    </w:p>
    <w:p w:rsidRPr="003B64DA" w:rsidR="00F169B7" w:rsidP="00AD76D8" w:rsidRDefault="00F169B7" w14:paraId="72593CA0" w14:textId="77777777">
      <w:pPr>
        <w:pStyle w:val="FERCparanumber"/>
        <w:numPr>
          <w:ilvl w:val="0"/>
          <w:numId w:val="0"/>
        </w:numPr>
        <w:tabs>
          <w:tab w:val="left" w:pos="720"/>
          <w:tab w:val="left" w:pos="4860"/>
        </w:tabs>
        <w:ind w:left="72"/>
        <w:rPr>
          <w:bCs/>
          <w:szCs w:val="26"/>
        </w:rPr>
      </w:pPr>
    </w:p>
    <w:p w:rsidRPr="003B64DA" w:rsidR="00AD76D8" w:rsidP="00AD76D8" w:rsidRDefault="006060F7" w14:paraId="15C420E3" w14:textId="638D308A">
      <w:pPr>
        <w:pStyle w:val="FERCparanumber"/>
        <w:numPr>
          <w:ilvl w:val="0"/>
          <w:numId w:val="0"/>
        </w:numPr>
        <w:tabs>
          <w:tab w:val="left" w:pos="720"/>
          <w:tab w:val="left" w:pos="4860"/>
        </w:tabs>
        <w:ind w:left="72"/>
        <w:rPr>
          <w:bCs/>
          <w:iCs/>
          <w:szCs w:val="26"/>
        </w:rPr>
      </w:pPr>
      <w:r w:rsidRPr="003B64DA">
        <w:rPr>
          <w:bCs/>
          <w:szCs w:val="26"/>
        </w:rPr>
        <w:t xml:space="preserve">To enhance transparency, transmission providers must </w:t>
      </w:r>
      <w:r w:rsidRPr="003B64DA" w:rsidR="004E09FA">
        <w:rPr>
          <w:bCs/>
          <w:szCs w:val="26"/>
        </w:rPr>
        <w:t>main</w:t>
      </w:r>
      <w:r w:rsidRPr="003B64DA" w:rsidR="00AD76D8">
        <w:rPr>
          <w:bCs/>
          <w:szCs w:val="26"/>
        </w:rPr>
        <w:t xml:space="preserve">tain on the password-protected section of its </w:t>
      </w:r>
      <w:r w:rsidRPr="003B64DA" w:rsidR="00F46AAB">
        <w:rPr>
          <w:bCs/>
          <w:szCs w:val="26"/>
        </w:rPr>
        <w:t>Open Access Same-Time In</w:t>
      </w:r>
      <w:r w:rsidRPr="003B64DA" w:rsidR="00382371">
        <w:rPr>
          <w:bCs/>
          <w:szCs w:val="26"/>
        </w:rPr>
        <w:t xml:space="preserve">formation System </w:t>
      </w:r>
      <w:r w:rsidRPr="003B64DA" w:rsidR="001B3AEF">
        <w:rPr>
          <w:bCs/>
          <w:szCs w:val="26"/>
        </w:rPr>
        <w:t>(</w:t>
      </w:r>
      <w:r w:rsidRPr="003B64DA" w:rsidR="00AD76D8">
        <w:rPr>
          <w:bCs/>
          <w:szCs w:val="26"/>
        </w:rPr>
        <w:t>OASIS</w:t>
      </w:r>
      <w:r w:rsidRPr="003B64DA" w:rsidR="001B3AEF">
        <w:rPr>
          <w:bCs/>
          <w:szCs w:val="26"/>
        </w:rPr>
        <w:t>)</w:t>
      </w:r>
      <w:r w:rsidRPr="003B64DA" w:rsidR="00AD76D8">
        <w:rPr>
          <w:bCs/>
          <w:szCs w:val="26"/>
        </w:rPr>
        <w:t xml:space="preserve"> page or on another password-protected website a database of Transmission Line Ratings and Transmission Line Rating methodologies.  The database must include a full record of all Transmission Line Ratings, both as used in real-time operations, and as used for all future periods for which Transmission Service is offered.</w:t>
      </w:r>
      <w:r w:rsidRPr="003B64DA" w:rsidR="00EE660F">
        <w:rPr>
          <w:bCs/>
          <w:szCs w:val="26"/>
        </w:rPr>
        <w:t xml:space="preserve">  </w:t>
      </w:r>
      <w:r w:rsidRPr="003B64DA" w:rsidR="00AD76D8">
        <w:rPr>
          <w:bCs/>
          <w:szCs w:val="26"/>
        </w:rPr>
        <w:t>The database must include records of which Transmission Line Ratings and Transmission Line Rating methodologies were in effect at</w:t>
      </w:r>
      <w:r w:rsidRPr="003B64DA" w:rsidR="00FD7FC3">
        <w:rPr>
          <w:bCs/>
          <w:szCs w:val="26"/>
        </w:rPr>
        <w:t xml:space="preserve"> </w:t>
      </w:r>
      <w:r w:rsidRPr="003B64DA" w:rsidR="00AD76D8">
        <w:rPr>
          <w:bCs/>
          <w:szCs w:val="26"/>
        </w:rPr>
        <w:t xml:space="preserve">times over at least the previous </w:t>
      </w:r>
      <w:r w:rsidRPr="003B64DA" w:rsidR="00AD76D8">
        <w:rPr>
          <w:bCs/>
          <w:iCs/>
          <w:szCs w:val="26"/>
        </w:rPr>
        <w:t xml:space="preserve">five years, including records of which temporary alternate Transmission Line Ratings or exceptions were in effect at which times during the previous five years.  </w:t>
      </w:r>
      <w:r w:rsidRPr="003B64DA" w:rsidR="00AD76D8">
        <w:rPr>
          <w:bCs/>
          <w:szCs w:val="26"/>
        </w:rPr>
        <w:t xml:space="preserve">Each record in the database must indicate which transmission line the record applies to, and the date and time the record </w:t>
      </w:r>
      <w:r w:rsidRPr="003B64DA" w:rsidR="00AD76D8">
        <w:rPr>
          <w:bCs/>
          <w:szCs w:val="26"/>
        </w:rPr>
        <w:lastRenderedPageBreak/>
        <w:t>was entered into the database.  The database must be maintained such that users can view, download, and query data in standard formats, using standard protocols.</w:t>
      </w:r>
    </w:p>
    <w:p w:rsidRPr="003B64DA" w:rsidR="00AD76D8" w:rsidP="00105334" w:rsidRDefault="00AD76D8" w14:paraId="202E71CB" w14:textId="53EC2DF7">
      <w:pPr>
        <w:pStyle w:val="FERCparanumber"/>
        <w:numPr>
          <w:ilvl w:val="0"/>
          <w:numId w:val="0"/>
        </w:numPr>
        <w:tabs>
          <w:tab w:val="left" w:pos="720"/>
          <w:tab w:val="left" w:pos="4860"/>
        </w:tabs>
        <w:ind w:left="72"/>
        <w:rPr>
          <w:bCs/>
          <w:szCs w:val="26"/>
        </w:rPr>
      </w:pPr>
    </w:p>
    <w:p w:rsidRPr="003B64DA" w:rsidR="006F0C42" w:rsidP="006F0C42" w:rsidRDefault="006F0C42" w14:paraId="4AAE6FAC" w14:textId="7E08E505">
      <w:pPr>
        <w:pStyle w:val="FERCparanumber"/>
        <w:numPr>
          <w:ilvl w:val="0"/>
          <w:numId w:val="0"/>
        </w:numPr>
        <w:tabs>
          <w:tab w:val="left" w:pos="720"/>
          <w:tab w:val="left" w:pos="4860"/>
        </w:tabs>
        <w:ind w:left="72"/>
        <w:rPr>
          <w:bCs/>
          <w:szCs w:val="26"/>
        </w:rPr>
      </w:pPr>
      <w:r w:rsidRPr="003B64DA">
        <w:rPr>
          <w:bCs/>
          <w:szCs w:val="26"/>
        </w:rPr>
        <w:t xml:space="preserve">The Transmission Provider must share, upon request by any Transmission Provider and in a timely manner, the following information: </w:t>
      </w:r>
    </w:p>
    <w:p w:rsidRPr="003B64DA" w:rsidR="006F0C42" w:rsidP="006F0C42" w:rsidRDefault="006F0C42" w14:paraId="20FEFF77" w14:textId="77777777">
      <w:pPr>
        <w:pStyle w:val="FERCparanumber"/>
        <w:numPr>
          <w:ilvl w:val="0"/>
          <w:numId w:val="0"/>
        </w:numPr>
        <w:tabs>
          <w:tab w:val="left" w:pos="720"/>
          <w:tab w:val="left" w:pos="4860"/>
        </w:tabs>
        <w:ind w:left="72"/>
        <w:rPr>
          <w:bCs/>
          <w:szCs w:val="26"/>
        </w:rPr>
      </w:pPr>
    </w:p>
    <w:p w:rsidRPr="003B64DA" w:rsidR="006F0C42" w:rsidP="000E5E99" w:rsidRDefault="006F0C42" w14:paraId="719B33DF" w14:textId="642E64A9">
      <w:pPr>
        <w:pStyle w:val="FERCparanumber"/>
        <w:numPr>
          <w:ilvl w:val="0"/>
          <w:numId w:val="0"/>
        </w:numPr>
        <w:tabs>
          <w:tab w:val="left" w:pos="720"/>
          <w:tab w:val="left" w:pos="4860"/>
        </w:tabs>
        <w:ind w:left="720"/>
        <w:rPr>
          <w:bCs/>
          <w:szCs w:val="26"/>
        </w:rPr>
      </w:pPr>
      <w:r w:rsidRPr="003B64DA">
        <w:rPr>
          <w:bCs/>
          <w:szCs w:val="26"/>
        </w:rPr>
        <w:t>(1) Transmission Line Ratings for each period for which Transmission Line Ratings are calculated, with updated ratings shared each time Transmission Line Ratings are calculated, and</w:t>
      </w:r>
    </w:p>
    <w:p w:rsidRPr="003B64DA" w:rsidR="006F0C42" w:rsidP="00EC4B5C" w:rsidRDefault="006F0C42" w14:paraId="6A21E254" w14:textId="77777777">
      <w:pPr>
        <w:pStyle w:val="FERCparanumber"/>
        <w:numPr>
          <w:ilvl w:val="0"/>
          <w:numId w:val="0"/>
        </w:numPr>
        <w:tabs>
          <w:tab w:val="left" w:pos="720"/>
          <w:tab w:val="left" w:pos="4860"/>
        </w:tabs>
        <w:ind w:left="72"/>
        <w:rPr>
          <w:bCs/>
          <w:szCs w:val="26"/>
        </w:rPr>
      </w:pPr>
    </w:p>
    <w:p w:rsidRPr="003B64DA" w:rsidR="006F0C42" w:rsidP="000E5E99" w:rsidRDefault="006F0C42" w14:paraId="30F49525" w14:textId="671BD343">
      <w:pPr>
        <w:pStyle w:val="FERCparanumber"/>
        <w:numPr>
          <w:ilvl w:val="0"/>
          <w:numId w:val="0"/>
        </w:numPr>
        <w:tabs>
          <w:tab w:val="left" w:pos="720"/>
          <w:tab w:val="left" w:pos="4860"/>
        </w:tabs>
        <w:ind w:left="720"/>
        <w:rPr>
          <w:bCs/>
          <w:szCs w:val="26"/>
        </w:rPr>
      </w:pPr>
      <w:r w:rsidRPr="003B64DA">
        <w:rPr>
          <w:bCs/>
          <w:szCs w:val="26"/>
        </w:rPr>
        <w:t>(2) Written Transmission Line Rating methodologies used to calculate the Transmission Line Ratings in (1) above.</w:t>
      </w:r>
    </w:p>
    <w:p w:rsidRPr="003B64DA" w:rsidR="006F0C42" w:rsidP="00EC4B5C" w:rsidRDefault="006F0C42" w14:paraId="320A841C" w14:textId="77777777">
      <w:pPr>
        <w:pStyle w:val="FERCparanumber"/>
        <w:numPr>
          <w:ilvl w:val="0"/>
          <w:numId w:val="0"/>
        </w:numPr>
        <w:tabs>
          <w:tab w:val="left" w:pos="720"/>
          <w:tab w:val="left" w:pos="4860"/>
        </w:tabs>
        <w:rPr>
          <w:bCs/>
          <w:szCs w:val="26"/>
        </w:rPr>
      </w:pPr>
    </w:p>
    <w:p w:rsidRPr="003B64DA" w:rsidR="006060F7" w:rsidP="00EC4B5C" w:rsidRDefault="006060F7" w14:paraId="279E8572" w14:textId="2761555F">
      <w:pPr>
        <w:pStyle w:val="FERCparanumber"/>
        <w:numPr>
          <w:ilvl w:val="0"/>
          <w:numId w:val="0"/>
        </w:numPr>
        <w:tabs>
          <w:tab w:val="left" w:pos="720"/>
          <w:tab w:val="left" w:pos="4860"/>
        </w:tabs>
        <w:ind w:left="72"/>
        <w:rPr>
          <w:bCs/>
          <w:szCs w:val="26"/>
        </w:rPr>
      </w:pPr>
      <w:r w:rsidRPr="003B64DA">
        <w:rPr>
          <w:bCs/>
          <w:szCs w:val="26"/>
        </w:rPr>
        <w:t>The Commission provides for the following exceptions to the transmission line rating obligations enumerated in Attachment M</w:t>
      </w:r>
      <w:r w:rsidRPr="003B64DA" w:rsidR="006F0C42">
        <w:rPr>
          <w:bCs/>
          <w:szCs w:val="26"/>
        </w:rPr>
        <w:t xml:space="preserve">:  </w:t>
      </w:r>
    </w:p>
    <w:p w:rsidRPr="003B64DA" w:rsidR="000823D5" w:rsidP="00EC4B5C" w:rsidRDefault="000823D5" w14:paraId="0C410FA8" w14:textId="77777777">
      <w:pPr>
        <w:pStyle w:val="FERCparanumber"/>
        <w:numPr>
          <w:ilvl w:val="0"/>
          <w:numId w:val="0"/>
        </w:numPr>
        <w:tabs>
          <w:tab w:val="left" w:pos="720"/>
          <w:tab w:val="left" w:pos="4860"/>
        </w:tabs>
        <w:ind w:left="72"/>
        <w:rPr>
          <w:bCs/>
          <w:szCs w:val="26"/>
        </w:rPr>
      </w:pPr>
    </w:p>
    <w:p w:rsidRPr="003B64DA" w:rsidR="006060F7" w:rsidP="006060F7" w:rsidRDefault="006060F7" w14:paraId="6AF9A9F8" w14:textId="0A77B6B9">
      <w:pPr>
        <w:pStyle w:val="FERCparanumber"/>
        <w:numPr>
          <w:ilvl w:val="0"/>
          <w:numId w:val="37"/>
        </w:numPr>
        <w:tabs>
          <w:tab w:val="left" w:pos="720"/>
          <w:tab w:val="left" w:pos="4860"/>
        </w:tabs>
        <w:rPr>
          <w:bCs/>
          <w:szCs w:val="26"/>
        </w:rPr>
      </w:pPr>
      <w:r w:rsidRPr="003B64DA">
        <w:rPr>
          <w:bCs/>
          <w:szCs w:val="26"/>
        </w:rPr>
        <w:t xml:space="preserve">If the Transmission Provider reasonably determines, consistent with Good Utility Practice, that the temporary use of a Transmission Line Rating different than would otherwise be required by this Attachment is necessary to ensure the safety and reliability of the Transmission System, then the Transmission Provider may use such an alternate rating.  The Transmission Provider must document in its database of Transmission Line Ratings and Transmission Line Rating methodologies on OASIS or another password-protected website, as required by this Attachment, the use of an alternate Transmission Line Rating under this paragraph, including the nature of and basis for the alternate rating, the date and time that the alternate rating was initiated, and (if applicable) the date and time that the alternate rating was withdrawn and the standard rating became effective again.  </w:t>
      </w:r>
    </w:p>
    <w:p w:rsidRPr="003B64DA" w:rsidR="00F40294" w:rsidP="000E5E99" w:rsidRDefault="00F40294" w14:paraId="2DA99ADE" w14:textId="77777777">
      <w:pPr>
        <w:pStyle w:val="FERCparanumber"/>
        <w:numPr>
          <w:ilvl w:val="0"/>
          <w:numId w:val="0"/>
        </w:numPr>
        <w:tabs>
          <w:tab w:val="left" w:pos="720"/>
          <w:tab w:val="left" w:pos="4860"/>
        </w:tabs>
        <w:ind w:left="792"/>
        <w:rPr>
          <w:bCs/>
          <w:szCs w:val="26"/>
        </w:rPr>
      </w:pPr>
    </w:p>
    <w:p w:rsidRPr="003B64DA" w:rsidR="004C1879" w:rsidP="000E5E99" w:rsidRDefault="006F0C42" w14:paraId="7825798C" w14:textId="5C14E5D1">
      <w:pPr>
        <w:pStyle w:val="FERCparanumber"/>
        <w:numPr>
          <w:ilvl w:val="0"/>
          <w:numId w:val="37"/>
        </w:numPr>
        <w:tabs>
          <w:tab w:val="left" w:pos="720"/>
          <w:tab w:val="left" w:pos="4860"/>
        </w:tabs>
        <w:rPr>
          <w:bCs/>
          <w:szCs w:val="26"/>
        </w:rPr>
      </w:pPr>
      <w:r w:rsidRPr="003B64DA">
        <w:rPr>
          <w:bCs/>
          <w:szCs w:val="26"/>
        </w:rPr>
        <w:t xml:space="preserve">Where the Transmission Provider determines, consistent with Good Utility Practice, that the Transmission Line Rating of a transmission line is not affected by ambient air temperature or solar heating, the Transmission Provider may use a Transmission Line Rating for that transmission line that is not an AAR or Seasonal Line Rating.  Examples of such a transmission line may include (but are not limited to):  (1) a transmission line for which the technical transfer capability of the limiting conductors and/or limiting transmission equipment is not dependent on ambient air temperature or solar heating; or (2) a transmission line whose transfer capability is limited by a Transmission System limit (such as a system voltage or stability limit) which is not dependent on ambient air temperature or solar heating.  The Transmission Provider must document in its </w:t>
      </w:r>
      <w:r w:rsidRPr="003B64DA">
        <w:rPr>
          <w:bCs/>
          <w:szCs w:val="26"/>
        </w:rPr>
        <w:lastRenderedPageBreak/>
        <w:t>database of Transmission Line Ratings and Transmission Line Rating methodologies on OASIS or another password-protected website</w:t>
      </w:r>
      <w:r w:rsidRPr="003B64DA" w:rsidR="006F6A6B">
        <w:rPr>
          <w:bCs/>
          <w:szCs w:val="26"/>
        </w:rPr>
        <w:t xml:space="preserve">. </w:t>
      </w:r>
      <w:r w:rsidRPr="003B64DA">
        <w:rPr>
          <w:bCs/>
          <w:szCs w:val="26"/>
        </w:rPr>
        <w:t xml:space="preserve"> </w:t>
      </w:r>
      <w:r w:rsidRPr="003B64DA" w:rsidR="006F6A6B">
        <w:rPr>
          <w:bCs/>
          <w:szCs w:val="26"/>
        </w:rPr>
        <w:t>A</w:t>
      </w:r>
      <w:r w:rsidRPr="003B64DA">
        <w:rPr>
          <w:bCs/>
          <w:szCs w:val="26"/>
        </w:rPr>
        <w:t>ny exceptions to the requirements contained in this Attachment initiated under this paragraph, including the nature of and basis for each exception, the date(s) and time(s) that the exception was initiated, and (if applicable) the date(s) and time(s) that each exception was withdrawn and the standard rating became effective again.  If the technical basis for an exception under this paragraph changes, then the Transmission Provider must update the relevant Transmission Line Rating(s) in a timely manner.  The Transmission Provider must reevaluate any exceptions taken under this paragraph at least every five years.</w:t>
      </w:r>
    </w:p>
    <w:p w:rsidRPr="003B64DA" w:rsidR="004C1879" w:rsidP="00EC4B5C" w:rsidRDefault="004C1879" w14:paraId="61DB0972" w14:textId="77777777">
      <w:pPr>
        <w:pStyle w:val="FERCparanumber"/>
        <w:numPr>
          <w:ilvl w:val="0"/>
          <w:numId w:val="0"/>
        </w:numPr>
        <w:tabs>
          <w:tab w:val="left" w:pos="720"/>
          <w:tab w:val="left" w:pos="4860"/>
        </w:tabs>
        <w:ind w:left="72"/>
        <w:rPr>
          <w:bCs/>
          <w:szCs w:val="26"/>
        </w:rPr>
      </w:pPr>
    </w:p>
    <w:p w:rsidRPr="003B64DA" w:rsidR="00FB54D6" w:rsidP="00EC4B5C" w:rsidRDefault="0094233D" w14:paraId="1E10A72A" w14:textId="527AEE92">
      <w:pPr>
        <w:pStyle w:val="FERCparanumber"/>
        <w:numPr>
          <w:ilvl w:val="0"/>
          <w:numId w:val="0"/>
        </w:numPr>
        <w:tabs>
          <w:tab w:val="left" w:pos="720"/>
          <w:tab w:val="left" w:pos="4860"/>
        </w:tabs>
        <w:ind w:left="72"/>
        <w:rPr>
          <w:bCs/>
          <w:szCs w:val="26"/>
        </w:rPr>
      </w:pPr>
      <w:r w:rsidRPr="003B64DA">
        <w:rPr>
          <w:bCs/>
          <w:szCs w:val="26"/>
        </w:rPr>
        <w:t xml:space="preserve">The information collection activities </w:t>
      </w:r>
      <w:r w:rsidRPr="003B64DA" w:rsidR="00C811B6">
        <w:rPr>
          <w:bCs/>
          <w:szCs w:val="26"/>
        </w:rPr>
        <w:t>listed below</w:t>
      </w:r>
      <w:r w:rsidRPr="003B64DA" w:rsidR="00A77865">
        <w:rPr>
          <w:bCs/>
          <w:szCs w:val="26"/>
        </w:rPr>
        <w:t>, that</w:t>
      </w:r>
      <w:r w:rsidRPr="003B64DA" w:rsidR="00C811B6">
        <w:rPr>
          <w:bCs/>
          <w:szCs w:val="26"/>
        </w:rPr>
        <w:t xml:space="preserve"> w</w:t>
      </w:r>
      <w:r w:rsidRPr="003B64DA">
        <w:rPr>
          <w:bCs/>
          <w:szCs w:val="26"/>
        </w:rPr>
        <w:t>ill be added to FERC-516H</w:t>
      </w:r>
      <w:r w:rsidRPr="003B64DA" w:rsidR="00A77865">
        <w:rPr>
          <w:bCs/>
          <w:szCs w:val="26"/>
        </w:rPr>
        <w:t>,</w:t>
      </w:r>
      <w:r w:rsidRPr="003B64DA" w:rsidR="001946DC">
        <w:rPr>
          <w:bCs/>
          <w:szCs w:val="26"/>
        </w:rPr>
        <w:t xml:space="preserve"> are all one-time burdens in Year 1</w:t>
      </w:r>
      <w:r w:rsidRPr="003B64DA" w:rsidR="007F51F1">
        <w:rPr>
          <w:bCs/>
          <w:szCs w:val="26"/>
        </w:rPr>
        <w:t xml:space="preserve">.  In addition, </w:t>
      </w:r>
      <w:r w:rsidRPr="003B64DA" w:rsidR="00C811B6">
        <w:rPr>
          <w:bCs/>
          <w:szCs w:val="26"/>
        </w:rPr>
        <w:t>information collection activity # 7, on the list below, will be ongoing.</w:t>
      </w:r>
    </w:p>
    <w:p w:rsidRPr="003B64DA" w:rsidR="00556972" w:rsidP="00EC4B5C" w:rsidRDefault="00556972" w14:paraId="1C35B993" w14:textId="6B7575B3">
      <w:pPr>
        <w:pStyle w:val="FERCparanumber"/>
        <w:numPr>
          <w:ilvl w:val="0"/>
          <w:numId w:val="0"/>
        </w:numPr>
        <w:tabs>
          <w:tab w:val="left" w:pos="720"/>
          <w:tab w:val="left" w:pos="4860"/>
        </w:tabs>
        <w:ind w:left="72"/>
        <w:rPr>
          <w:bCs/>
          <w:szCs w:val="26"/>
        </w:rPr>
      </w:pPr>
    </w:p>
    <w:p w:rsidRPr="003B64DA" w:rsidR="007A11B5" w:rsidP="007A11B5" w:rsidRDefault="00556972" w14:paraId="2798FFDE" w14:textId="77777777">
      <w:pPr>
        <w:pStyle w:val="FERCparanumber"/>
        <w:numPr>
          <w:ilvl w:val="0"/>
          <w:numId w:val="36"/>
        </w:numPr>
        <w:tabs>
          <w:tab w:val="left" w:pos="720"/>
          <w:tab w:val="left" w:pos="4860"/>
        </w:tabs>
        <w:rPr>
          <w:bCs/>
          <w:szCs w:val="26"/>
        </w:rPr>
      </w:pPr>
      <w:bookmarkStart w:name="_Hlk55808367" w:id="3"/>
      <w:r w:rsidRPr="003B64DA">
        <w:rPr>
          <w:bCs/>
          <w:szCs w:val="26"/>
        </w:rPr>
        <w:t>For point-to-point transmission service requests within ten days, use AARs in determining available transfer capability (ATC) and total transfer capability (TTC</w:t>
      </w:r>
      <w:bookmarkEnd w:id="3"/>
      <w:r w:rsidRPr="003B64DA">
        <w:rPr>
          <w:bCs/>
          <w:szCs w:val="26"/>
        </w:rPr>
        <w:t>).</w:t>
      </w:r>
      <w:bookmarkStart w:name="_Hlk55808437" w:id="4"/>
    </w:p>
    <w:p w:rsidRPr="003B64DA" w:rsidR="007A11B5" w:rsidP="007A11B5" w:rsidRDefault="00556972" w14:paraId="34F684C5" w14:textId="77777777">
      <w:pPr>
        <w:pStyle w:val="FERCparanumber"/>
        <w:numPr>
          <w:ilvl w:val="0"/>
          <w:numId w:val="36"/>
        </w:numPr>
        <w:tabs>
          <w:tab w:val="left" w:pos="720"/>
          <w:tab w:val="left" w:pos="4860"/>
        </w:tabs>
        <w:rPr>
          <w:bCs/>
          <w:szCs w:val="26"/>
        </w:rPr>
      </w:pPr>
      <w:r w:rsidRPr="003B64DA">
        <w:rPr>
          <w:bCs/>
          <w:szCs w:val="26"/>
        </w:rPr>
        <w:t>Where network transmission service is provided, use hourly AARs to determine curtailment or redispatch of network transmission service.</w:t>
      </w:r>
      <w:bookmarkEnd w:id="4"/>
    </w:p>
    <w:p w:rsidRPr="003B64DA" w:rsidR="007A11B5" w:rsidP="007A11B5" w:rsidRDefault="005A2C24" w14:paraId="6904C73D" w14:textId="77777777">
      <w:pPr>
        <w:pStyle w:val="FERCparanumber"/>
        <w:numPr>
          <w:ilvl w:val="0"/>
          <w:numId w:val="36"/>
        </w:numPr>
        <w:tabs>
          <w:tab w:val="left" w:pos="720"/>
          <w:tab w:val="left" w:pos="4860"/>
        </w:tabs>
        <w:rPr>
          <w:bCs/>
          <w:szCs w:val="26"/>
        </w:rPr>
      </w:pPr>
      <w:r w:rsidRPr="003B64DA">
        <w:rPr>
          <w:bCs/>
          <w:szCs w:val="26"/>
        </w:rPr>
        <w:t>Transmission Providers to implement uniquely determined emergency ratings.</w:t>
      </w:r>
    </w:p>
    <w:p w:rsidRPr="003B64DA" w:rsidR="005C041F" w:rsidP="007A11B5" w:rsidRDefault="005C041F" w14:paraId="198F91CE" w14:textId="0F7A22D0">
      <w:pPr>
        <w:pStyle w:val="FERCparanumber"/>
        <w:numPr>
          <w:ilvl w:val="0"/>
          <w:numId w:val="36"/>
        </w:numPr>
        <w:tabs>
          <w:tab w:val="left" w:pos="720"/>
          <w:tab w:val="left" w:pos="4860"/>
        </w:tabs>
        <w:rPr>
          <w:bCs/>
          <w:szCs w:val="26"/>
        </w:rPr>
      </w:pPr>
      <w:r w:rsidRPr="003B64DA">
        <w:rPr>
          <w:bCs/>
          <w:szCs w:val="26"/>
        </w:rPr>
        <w:t>Implement software and systems to communicate the required transmission line ratings with relevant parties.</w:t>
      </w:r>
    </w:p>
    <w:p w:rsidRPr="003B64DA" w:rsidR="007A11B5" w:rsidP="007A11B5" w:rsidRDefault="007A11B5" w14:paraId="5B964806" w14:textId="061AE625">
      <w:pPr>
        <w:pStyle w:val="FERCparanumber"/>
        <w:numPr>
          <w:ilvl w:val="0"/>
          <w:numId w:val="36"/>
        </w:numPr>
        <w:tabs>
          <w:tab w:val="left" w:pos="720"/>
          <w:tab w:val="left" w:pos="4860"/>
        </w:tabs>
        <w:rPr>
          <w:bCs/>
          <w:szCs w:val="26"/>
        </w:rPr>
      </w:pPr>
      <w:r w:rsidRPr="003B64DA">
        <w:rPr>
          <w:bCs/>
          <w:szCs w:val="26"/>
        </w:rPr>
        <w:t>RTOs/ISOs implement software with the ability to accommodate AARs in both the day-ahead and real-time markets on an hourly basis.</w:t>
      </w:r>
    </w:p>
    <w:p w:rsidRPr="003B64DA" w:rsidR="00F80134" w:rsidP="007A11B5" w:rsidRDefault="00F80134" w14:paraId="42F1D47C" w14:textId="1EB16A20">
      <w:pPr>
        <w:pStyle w:val="FERCparanumber"/>
        <w:numPr>
          <w:ilvl w:val="0"/>
          <w:numId w:val="36"/>
        </w:numPr>
        <w:tabs>
          <w:tab w:val="left" w:pos="720"/>
          <w:tab w:val="left" w:pos="4860"/>
        </w:tabs>
        <w:rPr>
          <w:bCs/>
          <w:szCs w:val="26"/>
        </w:rPr>
      </w:pPr>
      <w:r w:rsidRPr="003B64DA">
        <w:rPr>
          <w:bCs/>
          <w:szCs w:val="26"/>
        </w:rPr>
        <w:t>RTOs/ISOs establish the systems and procedures necessary to allow transmission owners to update line ratings on an hourly basis directly into an energy management system (EMS).</w:t>
      </w:r>
    </w:p>
    <w:p w:rsidRPr="003B64DA" w:rsidR="007F51F1" w:rsidP="007A11B5" w:rsidRDefault="007F51F1" w14:paraId="1A467ED3" w14:textId="4E1DE338">
      <w:pPr>
        <w:pStyle w:val="FERCparanumber"/>
        <w:numPr>
          <w:ilvl w:val="0"/>
          <w:numId w:val="36"/>
        </w:numPr>
        <w:tabs>
          <w:tab w:val="left" w:pos="720"/>
          <w:tab w:val="left" w:pos="4860"/>
        </w:tabs>
        <w:rPr>
          <w:bCs/>
          <w:szCs w:val="26"/>
        </w:rPr>
      </w:pPr>
      <w:r w:rsidRPr="003B64DA">
        <w:rPr>
          <w:bCs/>
          <w:szCs w:val="26"/>
        </w:rPr>
        <w:t>Transmission owners update forecasts and ratings, and share transmission line ratings and facility ratings methodologies w</w:t>
      </w:r>
      <w:r w:rsidRPr="003B64DA" w:rsidR="001F04D5">
        <w:rPr>
          <w:bCs/>
          <w:szCs w:val="26"/>
        </w:rPr>
        <w:t>ith</w:t>
      </w:r>
      <w:r w:rsidRPr="003B64DA">
        <w:rPr>
          <w:bCs/>
          <w:szCs w:val="26"/>
        </w:rPr>
        <w:t xml:space="preserve"> transmission providers and, if applicable, RTOs/ISOs </w:t>
      </w:r>
      <w:r w:rsidRPr="003B64DA" w:rsidR="001F04D5">
        <w:rPr>
          <w:bCs/>
          <w:szCs w:val="26"/>
        </w:rPr>
        <w:t xml:space="preserve">and </w:t>
      </w:r>
      <w:r w:rsidRPr="003B64DA">
        <w:rPr>
          <w:bCs/>
          <w:szCs w:val="26"/>
        </w:rPr>
        <w:t>market monitors.</w:t>
      </w:r>
    </w:p>
    <w:p w:rsidRPr="003B64DA" w:rsidR="00A77865" w:rsidP="007A11B5" w:rsidRDefault="008A35BD" w14:paraId="338F05D4" w14:textId="52BD87F6">
      <w:pPr>
        <w:pStyle w:val="FERCparanumber"/>
        <w:numPr>
          <w:ilvl w:val="0"/>
          <w:numId w:val="36"/>
        </w:numPr>
        <w:tabs>
          <w:tab w:val="left" w:pos="720"/>
          <w:tab w:val="left" w:pos="4860"/>
        </w:tabs>
        <w:rPr>
          <w:bCs/>
          <w:szCs w:val="26"/>
        </w:rPr>
      </w:pPr>
      <w:r w:rsidRPr="003B64DA">
        <w:rPr>
          <w:bCs/>
          <w:szCs w:val="26"/>
        </w:rPr>
        <w:t>Compliance filings.</w:t>
      </w:r>
    </w:p>
    <w:p w:rsidRPr="003B64DA" w:rsidR="00556972" w:rsidP="00EC4B5C" w:rsidRDefault="00556972" w14:paraId="32B9523F" w14:textId="77777777">
      <w:pPr>
        <w:pStyle w:val="FERCparanumber"/>
        <w:numPr>
          <w:ilvl w:val="0"/>
          <w:numId w:val="0"/>
        </w:numPr>
        <w:tabs>
          <w:tab w:val="left" w:pos="720"/>
          <w:tab w:val="left" w:pos="4860"/>
        </w:tabs>
        <w:ind w:left="72"/>
        <w:rPr>
          <w:bCs/>
          <w:szCs w:val="26"/>
        </w:rPr>
      </w:pPr>
    </w:p>
    <w:p w:rsidRPr="003B64DA" w:rsidR="00B1174A" w:rsidP="00B1174A" w:rsidRDefault="00C21CE4" w14:paraId="5A2B4686" w14:textId="7EB3641D">
      <w:pPr>
        <w:pStyle w:val="FERCparanumber"/>
        <w:numPr>
          <w:ilvl w:val="0"/>
          <w:numId w:val="0"/>
        </w:numPr>
        <w:tabs>
          <w:tab w:val="left" w:pos="720"/>
          <w:tab w:val="left" w:pos="4860"/>
        </w:tabs>
        <w:ind w:left="72"/>
        <w:rPr>
          <w:bCs/>
          <w:szCs w:val="26"/>
        </w:rPr>
      </w:pPr>
      <w:r w:rsidRPr="003B64DA">
        <w:rPr>
          <w:bCs/>
          <w:szCs w:val="26"/>
          <w:u w:val="single"/>
        </w:rPr>
        <w:t>FERC-725A</w:t>
      </w:r>
      <w:r w:rsidRPr="003B64DA">
        <w:rPr>
          <w:bCs/>
          <w:szCs w:val="26"/>
        </w:rPr>
        <w:t>:  Reliability Standard FAC-008-5 sets forth requirements to ensure that transmission line ratings used in operations are determined on a technically sound basis</w:t>
      </w:r>
      <w:r w:rsidRPr="003B64DA" w:rsidR="00DB46DC">
        <w:rPr>
          <w:bCs/>
          <w:szCs w:val="26"/>
        </w:rPr>
        <w:t xml:space="preserve">.  </w:t>
      </w:r>
      <w:bookmarkStart w:name="_Hlk82502277" w:id="5"/>
      <w:bookmarkStart w:name="_Hlk88138670" w:id="6"/>
      <w:r w:rsidRPr="003B64DA" w:rsidR="00B1174A">
        <w:rPr>
          <w:bCs/>
          <w:szCs w:val="26"/>
        </w:rPr>
        <w:t xml:space="preserve">The final rule clarifies that transmission owners, not transmission providers, are responsible for calculating transmission line ratings.  </w:t>
      </w:r>
      <w:bookmarkEnd w:id="5"/>
      <w:r w:rsidRPr="003B64DA" w:rsidR="00B1174A">
        <w:rPr>
          <w:bCs/>
          <w:szCs w:val="26"/>
        </w:rPr>
        <w:t xml:space="preserve">This responsibility is codified in </w:t>
      </w:r>
      <w:r w:rsidRPr="003B64DA" w:rsidR="00B1174A">
        <w:rPr>
          <w:bCs/>
          <w:szCs w:val="26"/>
        </w:rPr>
        <w:lastRenderedPageBreak/>
        <w:t>the NERC Reliability Standards, as well as in foundational documents</w:t>
      </w:r>
      <w:r w:rsidRPr="003B64DA" w:rsidR="00E02FB8">
        <w:rPr>
          <w:bCs/>
          <w:szCs w:val="26"/>
        </w:rPr>
        <w:t xml:space="preserve"> for RTOs and ISOs</w:t>
      </w:r>
      <w:r w:rsidRPr="003B64DA" w:rsidR="00B1174A">
        <w:rPr>
          <w:bCs/>
          <w:szCs w:val="26"/>
        </w:rPr>
        <w:t>.</w:t>
      </w:r>
      <w:r w:rsidRPr="003B64DA" w:rsidR="00B1174A">
        <w:rPr>
          <w:b/>
          <w:bCs/>
          <w:szCs w:val="26"/>
          <w:vertAlign w:val="superscript"/>
        </w:rPr>
        <w:footnoteReference w:id="5"/>
      </w:r>
      <w:r w:rsidRPr="003B64DA" w:rsidR="00B1174A">
        <w:rPr>
          <w:bCs/>
          <w:szCs w:val="26"/>
        </w:rPr>
        <w:t xml:space="preserve">  </w:t>
      </w:r>
      <w:bookmarkStart w:name="_Hlk82502284" w:id="7"/>
      <w:r w:rsidRPr="003B64DA" w:rsidR="00B1174A">
        <w:rPr>
          <w:bCs/>
          <w:szCs w:val="26"/>
        </w:rPr>
        <w:t>Nothing in th</w:t>
      </w:r>
      <w:r w:rsidRPr="003B64DA" w:rsidR="00F77914">
        <w:rPr>
          <w:bCs/>
          <w:szCs w:val="26"/>
        </w:rPr>
        <w:t>e</w:t>
      </w:r>
      <w:r w:rsidRPr="003B64DA" w:rsidR="00B1174A">
        <w:rPr>
          <w:bCs/>
          <w:szCs w:val="26"/>
        </w:rPr>
        <w:t xml:space="preserve"> final rule changes that responsibility.</w:t>
      </w:r>
      <w:bookmarkStart w:name="_Hlk82502267" w:id="8"/>
      <w:bookmarkEnd w:id="6"/>
      <w:bookmarkEnd w:id="7"/>
    </w:p>
    <w:p w:rsidRPr="003B64DA" w:rsidR="00621DDA" w:rsidP="00B1174A" w:rsidRDefault="00621DDA" w14:paraId="7AA2103B" w14:textId="412ED8C9">
      <w:pPr>
        <w:pStyle w:val="FERCparanumber"/>
        <w:numPr>
          <w:ilvl w:val="0"/>
          <w:numId w:val="0"/>
        </w:numPr>
        <w:tabs>
          <w:tab w:val="left" w:pos="720"/>
          <w:tab w:val="left" w:pos="4860"/>
        </w:tabs>
        <w:ind w:left="72"/>
        <w:rPr>
          <w:bCs/>
          <w:szCs w:val="26"/>
        </w:rPr>
      </w:pPr>
    </w:p>
    <w:p w:rsidRPr="003B64DA" w:rsidR="00290C22" w:rsidP="00614508" w:rsidRDefault="00301640" w14:paraId="58268D68" w14:textId="4314A518">
      <w:pPr>
        <w:pStyle w:val="FERCparanumber"/>
        <w:numPr>
          <w:ilvl w:val="0"/>
          <w:numId w:val="0"/>
        </w:numPr>
        <w:tabs>
          <w:tab w:val="left" w:pos="720"/>
          <w:tab w:val="left" w:pos="4860"/>
        </w:tabs>
        <w:ind w:left="72"/>
        <w:rPr>
          <w:bCs/>
          <w:szCs w:val="26"/>
        </w:rPr>
      </w:pPr>
      <w:r w:rsidRPr="003B64DA">
        <w:rPr>
          <w:bCs/>
          <w:szCs w:val="26"/>
        </w:rPr>
        <w:t xml:space="preserve">The final rule </w:t>
      </w:r>
      <w:r w:rsidRPr="003B64DA" w:rsidR="003079DF">
        <w:rPr>
          <w:bCs/>
          <w:szCs w:val="26"/>
        </w:rPr>
        <w:t>will result in increase</w:t>
      </w:r>
      <w:r w:rsidRPr="003B64DA" w:rsidR="00836DE4">
        <w:rPr>
          <w:bCs/>
          <w:szCs w:val="26"/>
        </w:rPr>
        <w:t>d</w:t>
      </w:r>
      <w:r w:rsidRPr="003B64DA" w:rsidR="003079DF">
        <w:rPr>
          <w:bCs/>
          <w:szCs w:val="26"/>
        </w:rPr>
        <w:t>, one</w:t>
      </w:r>
      <w:r w:rsidRPr="003B64DA" w:rsidR="00836DE4">
        <w:rPr>
          <w:bCs/>
          <w:szCs w:val="26"/>
        </w:rPr>
        <w:t>-time information collection burdens</w:t>
      </w:r>
      <w:r w:rsidRPr="003B64DA" w:rsidR="00532C0A">
        <w:rPr>
          <w:bCs/>
          <w:szCs w:val="26"/>
        </w:rPr>
        <w:t xml:space="preserve"> by requiring:</w:t>
      </w:r>
      <w:r w:rsidRPr="003B64DA" w:rsidR="006F6A6B">
        <w:rPr>
          <w:bCs/>
          <w:szCs w:val="26"/>
        </w:rPr>
        <w:t xml:space="preserve">  </w:t>
      </w:r>
      <w:r w:rsidRPr="003B64DA" w:rsidR="003B3370">
        <w:rPr>
          <w:bCs/>
          <w:szCs w:val="26"/>
        </w:rPr>
        <w:t>(1) r</w:t>
      </w:r>
      <w:r w:rsidRPr="003B64DA" w:rsidR="00DC52E0">
        <w:rPr>
          <w:szCs w:val="26"/>
        </w:rPr>
        <w:t xml:space="preserve">eview and update </w:t>
      </w:r>
      <w:r w:rsidRPr="003B64DA" w:rsidR="005D19AD">
        <w:rPr>
          <w:szCs w:val="26"/>
        </w:rPr>
        <w:t>of f</w:t>
      </w:r>
      <w:r w:rsidRPr="003B64DA" w:rsidR="00DC52E0">
        <w:rPr>
          <w:szCs w:val="26"/>
        </w:rPr>
        <w:t>acility ratings methodology</w:t>
      </w:r>
      <w:r w:rsidRPr="003B64DA" w:rsidR="00290C22">
        <w:rPr>
          <w:szCs w:val="26"/>
        </w:rPr>
        <w:t xml:space="preserve"> </w:t>
      </w:r>
      <w:r w:rsidRPr="003B64DA" w:rsidR="00C839CC">
        <w:rPr>
          <w:szCs w:val="26"/>
        </w:rPr>
        <w:t>under Requirement</w:t>
      </w:r>
      <w:r w:rsidRPr="003B64DA" w:rsidR="000E323D">
        <w:rPr>
          <w:szCs w:val="26"/>
        </w:rPr>
        <w:t>s</w:t>
      </w:r>
      <w:r w:rsidRPr="003B64DA" w:rsidR="00C839CC">
        <w:rPr>
          <w:szCs w:val="26"/>
        </w:rPr>
        <w:t xml:space="preserve"> 2 </w:t>
      </w:r>
      <w:r w:rsidRPr="003B64DA" w:rsidR="000E323D">
        <w:rPr>
          <w:szCs w:val="26"/>
        </w:rPr>
        <w:t>and 3</w:t>
      </w:r>
      <w:r w:rsidRPr="003B64DA" w:rsidR="00B70998">
        <w:rPr>
          <w:szCs w:val="26"/>
        </w:rPr>
        <w:t xml:space="preserve"> of Reliability Standard FAC-008-5</w:t>
      </w:r>
      <w:r w:rsidRPr="003B64DA" w:rsidR="00A4204B">
        <w:rPr>
          <w:szCs w:val="26"/>
        </w:rPr>
        <w:t xml:space="preserve">; </w:t>
      </w:r>
      <w:r w:rsidRPr="003B64DA" w:rsidR="00D8386C">
        <w:rPr>
          <w:iCs/>
          <w:szCs w:val="26"/>
        </w:rPr>
        <w:t>and</w:t>
      </w:r>
      <w:r w:rsidRPr="003B64DA" w:rsidR="00290C22">
        <w:rPr>
          <w:iCs/>
          <w:szCs w:val="26"/>
        </w:rPr>
        <w:t xml:space="preserve"> </w:t>
      </w:r>
      <w:r w:rsidRPr="003B64DA" w:rsidR="003B3370">
        <w:rPr>
          <w:iCs/>
          <w:szCs w:val="26"/>
        </w:rPr>
        <w:t xml:space="preserve">(2) </w:t>
      </w:r>
      <w:r w:rsidRPr="003B64DA" w:rsidR="00614508">
        <w:rPr>
          <w:iCs/>
          <w:szCs w:val="26"/>
        </w:rPr>
        <w:t>d</w:t>
      </w:r>
      <w:r w:rsidRPr="003B64DA" w:rsidR="00FC31D2">
        <w:rPr>
          <w:szCs w:val="26"/>
        </w:rPr>
        <w:t>etermin</w:t>
      </w:r>
      <w:r w:rsidRPr="003B64DA" w:rsidR="005D19AD">
        <w:rPr>
          <w:szCs w:val="26"/>
        </w:rPr>
        <w:t xml:space="preserve">ation </w:t>
      </w:r>
      <w:r w:rsidRPr="003B64DA" w:rsidR="0018614A">
        <w:rPr>
          <w:szCs w:val="26"/>
        </w:rPr>
        <w:t>o</w:t>
      </w:r>
      <w:r w:rsidRPr="003B64DA" w:rsidR="00A4204B">
        <w:rPr>
          <w:szCs w:val="26"/>
        </w:rPr>
        <w:t>f</w:t>
      </w:r>
      <w:r w:rsidRPr="003B64DA" w:rsidR="00FC31D2">
        <w:rPr>
          <w:szCs w:val="26"/>
        </w:rPr>
        <w:t xml:space="preserve"> facility ratings consistent with </w:t>
      </w:r>
      <w:r w:rsidRPr="003B64DA" w:rsidR="00614508">
        <w:rPr>
          <w:szCs w:val="26"/>
        </w:rPr>
        <w:t xml:space="preserve">the updated </w:t>
      </w:r>
      <w:r w:rsidRPr="003B64DA" w:rsidR="00FC31D2">
        <w:rPr>
          <w:szCs w:val="26"/>
        </w:rPr>
        <w:t>methodology</w:t>
      </w:r>
      <w:r w:rsidRPr="003B64DA" w:rsidR="0018614A">
        <w:rPr>
          <w:szCs w:val="26"/>
        </w:rPr>
        <w:t xml:space="preserve"> in accordance with Requirement 6</w:t>
      </w:r>
      <w:r w:rsidRPr="003B64DA" w:rsidR="00691C5F">
        <w:rPr>
          <w:szCs w:val="26"/>
        </w:rPr>
        <w:t xml:space="preserve"> of Reliability Standard FAC-008-5.</w:t>
      </w:r>
    </w:p>
    <w:p w:rsidRPr="003B64DA" w:rsidR="001C05BE" w:rsidP="00B1174A" w:rsidRDefault="001C05BE" w14:paraId="4A2615AD" w14:textId="77777777">
      <w:pPr>
        <w:pStyle w:val="FERCparanumber"/>
        <w:numPr>
          <w:ilvl w:val="0"/>
          <w:numId w:val="0"/>
        </w:numPr>
        <w:tabs>
          <w:tab w:val="left" w:pos="720"/>
          <w:tab w:val="left" w:pos="4860"/>
        </w:tabs>
        <w:ind w:left="72"/>
        <w:rPr>
          <w:bCs/>
          <w:szCs w:val="26"/>
        </w:rPr>
      </w:pPr>
    </w:p>
    <w:bookmarkEnd w:id="8"/>
    <w:p w:rsidRPr="003B64DA" w:rsidR="00980E8E" w:rsidP="005240A1" w:rsidRDefault="00980E8E" w14:paraId="1191C360" w14:textId="7B0529DE">
      <w:pPr>
        <w:widowControl/>
        <w:numPr>
          <w:ilvl w:val="0"/>
          <w:numId w:val="7"/>
        </w:numPr>
        <w:rPr>
          <w:sz w:val="26"/>
          <w:szCs w:val="26"/>
        </w:rPr>
      </w:pPr>
      <w:r w:rsidRPr="003B64DA">
        <w:rPr>
          <w:b/>
          <w:sz w:val="26"/>
          <w:szCs w:val="26"/>
        </w:rPr>
        <w:t>DESCRIBE ANY CONSIDERATION OF THE USE OF IMPROVED INFORMATION TECHNOLOGY TO REDUCE BURDEN AND THE TECHNICAL OR LEGAL OBSTACLES TO REDUCING BURDEN</w:t>
      </w:r>
    </w:p>
    <w:p w:rsidRPr="003B64DA" w:rsidR="00980E8E" w:rsidP="00980E8E" w:rsidRDefault="00980E8E" w14:paraId="200107A7" w14:textId="77777777">
      <w:pPr>
        <w:rPr>
          <w:sz w:val="26"/>
          <w:szCs w:val="26"/>
        </w:rPr>
      </w:pPr>
    </w:p>
    <w:p w:rsidRPr="003B64DA" w:rsidR="004D4C7B" w:rsidP="00042ECE" w:rsidRDefault="00F37BCE" w14:paraId="317BE605" w14:textId="7497018B">
      <w:pPr>
        <w:rPr>
          <w:sz w:val="26"/>
          <w:szCs w:val="26"/>
        </w:rPr>
      </w:pPr>
      <w:r w:rsidRPr="003B64DA">
        <w:rPr>
          <w:sz w:val="26"/>
          <w:szCs w:val="26"/>
        </w:rPr>
        <w:t>FERC implement</w:t>
      </w:r>
      <w:r w:rsidRPr="003B64DA" w:rsidR="00AA199C">
        <w:rPr>
          <w:sz w:val="26"/>
          <w:szCs w:val="26"/>
        </w:rPr>
        <w:t>s</w:t>
      </w:r>
      <w:r w:rsidRPr="003B64DA">
        <w:rPr>
          <w:sz w:val="26"/>
          <w:szCs w:val="26"/>
        </w:rPr>
        <w:t xml:space="preserve"> its </w:t>
      </w:r>
      <w:proofErr w:type="spellStart"/>
      <w:r w:rsidRPr="003B64DA">
        <w:rPr>
          <w:sz w:val="26"/>
          <w:szCs w:val="26"/>
        </w:rPr>
        <w:t>eTariff</w:t>
      </w:r>
      <w:proofErr w:type="spellEnd"/>
      <w:r w:rsidRPr="003B64DA">
        <w:rPr>
          <w:sz w:val="26"/>
          <w:szCs w:val="26"/>
        </w:rPr>
        <w:t xml:space="preserve"> system for the electronic filing of tariffs.</w:t>
      </w:r>
      <w:r w:rsidRPr="003B64DA" w:rsidR="000811C6">
        <w:rPr>
          <w:sz w:val="26"/>
          <w:szCs w:val="26"/>
        </w:rPr>
        <w:t xml:space="preserve">  More information on </w:t>
      </w:r>
      <w:proofErr w:type="spellStart"/>
      <w:r w:rsidRPr="003B64DA" w:rsidR="000811C6">
        <w:rPr>
          <w:sz w:val="26"/>
          <w:szCs w:val="26"/>
        </w:rPr>
        <w:t>eTariff</w:t>
      </w:r>
      <w:proofErr w:type="spellEnd"/>
      <w:r w:rsidRPr="003B64DA" w:rsidR="000811C6">
        <w:rPr>
          <w:sz w:val="26"/>
          <w:szCs w:val="26"/>
        </w:rPr>
        <w:t xml:space="preserve"> is posted at</w:t>
      </w:r>
      <w:r w:rsidRPr="003B64DA" w:rsidR="00B90974">
        <w:rPr>
          <w:sz w:val="26"/>
          <w:szCs w:val="26"/>
        </w:rPr>
        <w:t xml:space="preserve"> </w:t>
      </w:r>
      <w:hyperlink w:history="1" r:id="rId13">
        <w:r w:rsidRPr="003B64DA" w:rsidR="00B90974">
          <w:rPr>
            <w:rStyle w:val="Hyperlink"/>
            <w:sz w:val="26"/>
            <w:szCs w:val="26"/>
          </w:rPr>
          <w:t>https://www.ferc.gov/ferc-online/etariff</w:t>
        </w:r>
      </w:hyperlink>
      <w:r w:rsidRPr="003B64DA" w:rsidR="00B90974">
        <w:rPr>
          <w:sz w:val="26"/>
          <w:szCs w:val="26"/>
        </w:rPr>
        <w:t>.</w:t>
      </w:r>
    </w:p>
    <w:p w:rsidRPr="003B64DA" w:rsidR="00FB2BC3" w:rsidP="00042ECE" w:rsidRDefault="00FB2BC3" w14:paraId="1385B7F4" w14:textId="77777777">
      <w:pPr>
        <w:rPr>
          <w:sz w:val="26"/>
          <w:szCs w:val="26"/>
        </w:rPr>
      </w:pPr>
    </w:p>
    <w:p w:rsidRPr="003B64DA" w:rsidR="009D6B6D" w:rsidP="005240A1" w:rsidRDefault="009D6B6D" w14:paraId="0E702588" w14:textId="7BD1EC28">
      <w:pPr>
        <w:pStyle w:val="FERCparanumber"/>
        <w:numPr>
          <w:ilvl w:val="0"/>
          <w:numId w:val="7"/>
        </w:numPr>
        <w:rPr>
          <w:szCs w:val="26"/>
        </w:rPr>
      </w:pPr>
      <w:r w:rsidRPr="003B64DA">
        <w:rPr>
          <w:b/>
          <w:szCs w:val="26"/>
        </w:rPr>
        <w:t>DESCRIBE EFFORTS TO IDENTIFY DUPLICAT</w:t>
      </w:r>
      <w:r w:rsidRPr="003B64DA" w:rsidR="004927EF">
        <w:rPr>
          <w:b/>
          <w:szCs w:val="26"/>
        </w:rPr>
        <w:t>I</w:t>
      </w:r>
      <w:r w:rsidRPr="003B64DA">
        <w:rPr>
          <w:b/>
          <w:szCs w:val="26"/>
        </w:rPr>
        <w:t>ON AND SHOW SPECIFICALLY WHY ANY SIMILAR INFORMATION ALREADY AVAILABLE CANNOT BE USED OR MODIFIED FOR USE FOR THE PURPOSE(S) DESCRIBED IN INSTRUCTION NO. 2</w:t>
      </w:r>
    </w:p>
    <w:p w:rsidRPr="003B64DA" w:rsidR="00BD4039" w:rsidP="00BD4039" w:rsidRDefault="00BD4039" w14:paraId="7F5C95B0" w14:textId="77777777">
      <w:pPr>
        <w:pStyle w:val="FERCparanumber"/>
        <w:numPr>
          <w:ilvl w:val="0"/>
          <w:numId w:val="0"/>
        </w:numPr>
        <w:rPr>
          <w:b/>
          <w:szCs w:val="26"/>
        </w:rPr>
      </w:pPr>
    </w:p>
    <w:p w:rsidRPr="003B64DA" w:rsidR="00BD4039" w:rsidP="000541E0" w:rsidRDefault="00F37BCE" w14:paraId="44C363AB" w14:textId="0410CA4D">
      <w:pPr>
        <w:rPr>
          <w:sz w:val="26"/>
          <w:szCs w:val="26"/>
        </w:rPr>
      </w:pPr>
      <w:r w:rsidRPr="003B64DA">
        <w:rPr>
          <w:sz w:val="26"/>
          <w:szCs w:val="26"/>
        </w:rPr>
        <w:t xml:space="preserve">FERC rules and data requirements are periodically reviewed in conjunction with OMB clearance expiration dates.  This includes a review of </w:t>
      </w:r>
      <w:r w:rsidRPr="003B64DA" w:rsidR="00AC35A0">
        <w:rPr>
          <w:sz w:val="26"/>
          <w:szCs w:val="26"/>
        </w:rPr>
        <w:t>the Commission’s</w:t>
      </w:r>
      <w:r w:rsidRPr="003B64DA" w:rsidR="00D43059">
        <w:rPr>
          <w:sz w:val="26"/>
          <w:szCs w:val="26"/>
        </w:rPr>
        <w:t xml:space="preserve"> </w:t>
      </w:r>
      <w:r w:rsidRPr="003B64DA">
        <w:rPr>
          <w:sz w:val="26"/>
          <w:szCs w:val="26"/>
        </w:rPr>
        <w:t>regulations and data requirements to identify duplication.  The information to be submitted, generated, retained, or posted, pursuant to th</w:t>
      </w:r>
      <w:r w:rsidRPr="003B64DA" w:rsidR="00640E45">
        <w:rPr>
          <w:sz w:val="26"/>
          <w:szCs w:val="26"/>
        </w:rPr>
        <w:t>e final rule</w:t>
      </w:r>
      <w:r w:rsidRPr="003B64DA">
        <w:rPr>
          <w:sz w:val="26"/>
          <w:szCs w:val="26"/>
        </w:rPr>
        <w:t xml:space="preserve"> is not available from other sources</w:t>
      </w:r>
      <w:r w:rsidRPr="003B64DA" w:rsidR="008060D2">
        <w:rPr>
          <w:sz w:val="26"/>
          <w:szCs w:val="26"/>
        </w:rPr>
        <w:t xml:space="preserve">. </w:t>
      </w:r>
    </w:p>
    <w:p w:rsidRPr="003B64DA" w:rsidR="008060D2" w:rsidP="00BD4039" w:rsidRDefault="008060D2" w14:paraId="01E02908" w14:textId="77777777">
      <w:pPr>
        <w:pStyle w:val="FERCparanumber"/>
        <w:numPr>
          <w:ilvl w:val="0"/>
          <w:numId w:val="0"/>
        </w:numPr>
        <w:rPr>
          <w:szCs w:val="26"/>
        </w:rPr>
      </w:pPr>
    </w:p>
    <w:p w:rsidRPr="003B64DA" w:rsidR="009D6B6D" w:rsidP="005240A1" w:rsidRDefault="009D6B6D" w14:paraId="16D376F5" w14:textId="77777777">
      <w:pPr>
        <w:pStyle w:val="FERCparanumber"/>
        <w:numPr>
          <w:ilvl w:val="0"/>
          <w:numId w:val="7"/>
        </w:numPr>
        <w:rPr>
          <w:szCs w:val="26"/>
        </w:rPr>
      </w:pPr>
      <w:r w:rsidRPr="003B64DA">
        <w:rPr>
          <w:b/>
          <w:szCs w:val="26"/>
        </w:rPr>
        <w:t>METHODS USED TO MINIMIZE BURDEN IN COLLECTION OF INFORMATION INVOLVING SMALL ENTITIES</w:t>
      </w:r>
      <w:r w:rsidRPr="003B64DA">
        <w:rPr>
          <w:szCs w:val="26"/>
        </w:rPr>
        <w:t xml:space="preserve"> </w:t>
      </w:r>
    </w:p>
    <w:p w:rsidRPr="003B64DA" w:rsidR="00D43059" w:rsidP="00F37BCE" w:rsidRDefault="00D43059" w14:paraId="1B29DA3E" w14:textId="77777777">
      <w:pPr>
        <w:rPr>
          <w:sz w:val="26"/>
          <w:szCs w:val="26"/>
        </w:rPr>
      </w:pPr>
    </w:p>
    <w:p w:rsidRPr="002E1A36" w:rsidR="008060D2" w:rsidP="00942D0F" w:rsidRDefault="00107F6A" w14:paraId="6A972740" w14:textId="00A5B007">
      <w:pPr>
        <w:rPr>
          <w:sz w:val="26"/>
          <w:szCs w:val="26"/>
        </w:rPr>
      </w:pPr>
      <w:r w:rsidRPr="003B64DA">
        <w:rPr>
          <w:sz w:val="26"/>
          <w:szCs w:val="26"/>
        </w:rPr>
        <w:t>Under the Small Business Administration’s classification</w:t>
      </w:r>
      <w:r w:rsidRPr="003B64DA" w:rsidR="00E547F4">
        <w:rPr>
          <w:sz w:val="26"/>
          <w:szCs w:val="26"/>
        </w:rPr>
        <w:t>,</w:t>
      </w:r>
      <w:r w:rsidRPr="003B64DA">
        <w:rPr>
          <w:rStyle w:val="FootnoteReference"/>
          <w:sz w:val="26"/>
          <w:szCs w:val="26"/>
        </w:rPr>
        <w:footnoteReference w:id="6"/>
      </w:r>
      <w:r w:rsidRPr="003B64DA">
        <w:rPr>
          <w:sz w:val="26"/>
          <w:szCs w:val="26"/>
        </w:rPr>
        <w:t xml:space="preserve"> the six RTOs/ISOs would be considered electric bulk power transmission and control, for which the small business size threshold is 500 or fewer employees.  </w:t>
      </w:r>
      <w:r w:rsidRPr="003B64DA" w:rsidR="00B12FD6">
        <w:rPr>
          <w:sz w:val="26"/>
          <w:szCs w:val="26"/>
        </w:rPr>
        <w:t>Because each RTO/ISO has more than 500 employees, none are considered small entities.</w:t>
      </w:r>
      <w:r w:rsidRPr="003B64DA" w:rsidR="00942D0F">
        <w:rPr>
          <w:sz w:val="26"/>
          <w:szCs w:val="26"/>
        </w:rPr>
        <w:t xml:space="preserve">  The Commission estimated that 337 transmission owners and six planning authorities are also affected by this final rule</w:t>
      </w:r>
      <w:r w:rsidRPr="002E1A36" w:rsidR="00942D0F">
        <w:rPr>
          <w:sz w:val="26"/>
          <w:szCs w:val="26"/>
        </w:rPr>
        <w:t xml:space="preserve"> and that approximately 68% of those entities are small entities affected by the final rule.</w:t>
      </w:r>
    </w:p>
    <w:p w:rsidRPr="002E1A36" w:rsidR="005240A1" w:rsidP="000541E0" w:rsidRDefault="005240A1" w14:paraId="2329B0A1" w14:textId="77777777">
      <w:pPr>
        <w:pStyle w:val="FERCparanumber"/>
        <w:numPr>
          <w:ilvl w:val="0"/>
          <w:numId w:val="0"/>
        </w:numPr>
        <w:tabs>
          <w:tab w:val="num" w:pos="0"/>
        </w:tabs>
        <w:jc w:val="center"/>
        <w:rPr>
          <w:szCs w:val="26"/>
        </w:rPr>
      </w:pPr>
    </w:p>
    <w:p w:rsidRPr="002E1A36" w:rsidR="009D6B6D" w:rsidP="005240A1" w:rsidRDefault="009D6B6D" w14:paraId="1169CF0E" w14:textId="77777777">
      <w:pPr>
        <w:pStyle w:val="FERCparanumber"/>
        <w:numPr>
          <w:ilvl w:val="0"/>
          <w:numId w:val="7"/>
        </w:numPr>
        <w:rPr>
          <w:szCs w:val="26"/>
        </w:rPr>
      </w:pPr>
      <w:r w:rsidRPr="002E1A36">
        <w:rPr>
          <w:b/>
          <w:szCs w:val="26"/>
        </w:rPr>
        <w:lastRenderedPageBreak/>
        <w:t>CONSEQUENCE TO FEDERAL PROGRAM IF COLLECTION WERE CONDUCTED LESS FREQUENTLY</w:t>
      </w:r>
    </w:p>
    <w:p w:rsidRPr="002E1A36" w:rsidR="00BB6095" w:rsidP="00BB6095" w:rsidRDefault="00BB6095" w14:paraId="23391944" w14:textId="77777777">
      <w:pPr>
        <w:pStyle w:val="FERCparanumber"/>
        <w:numPr>
          <w:ilvl w:val="0"/>
          <w:numId w:val="0"/>
        </w:numPr>
        <w:rPr>
          <w:b/>
          <w:szCs w:val="26"/>
        </w:rPr>
      </w:pPr>
    </w:p>
    <w:p w:rsidRPr="002E1A36" w:rsidR="00042ECE" w:rsidP="00042ECE" w:rsidRDefault="00AC35A0" w14:paraId="621621A2" w14:textId="5DB29B21">
      <w:pPr>
        <w:rPr>
          <w:sz w:val="26"/>
          <w:szCs w:val="26"/>
        </w:rPr>
      </w:pPr>
      <w:r w:rsidRPr="002E1A36">
        <w:rPr>
          <w:sz w:val="26"/>
          <w:szCs w:val="26"/>
        </w:rPr>
        <w:t>The Commission</w:t>
      </w:r>
      <w:r w:rsidRPr="002E1A36" w:rsidR="00F37BCE">
        <w:rPr>
          <w:sz w:val="26"/>
          <w:szCs w:val="26"/>
        </w:rPr>
        <w:t xml:space="preserve"> requires this information in order to perform its mandated oversight and review responsibilities with respect to electric market-based rates being just and reasonable.  Without this information, the Commission would be unable to meet its statutory responsibility under Section 20</w:t>
      </w:r>
      <w:r w:rsidRPr="002E1A36">
        <w:rPr>
          <w:sz w:val="26"/>
          <w:szCs w:val="26"/>
        </w:rPr>
        <w:t>6</w:t>
      </w:r>
      <w:r w:rsidRPr="002E1A36" w:rsidR="00F37BCE">
        <w:rPr>
          <w:sz w:val="26"/>
          <w:szCs w:val="26"/>
        </w:rPr>
        <w:t xml:space="preserve"> of the FPA to ensure </w:t>
      </w:r>
      <w:r w:rsidRPr="002E1A36">
        <w:rPr>
          <w:sz w:val="26"/>
          <w:szCs w:val="26"/>
        </w:rPr>
        <w:t xml:space="preserve">that </w:t>
      </w:r>
      <w:r w:rsidRPr="002E1A36" w:rsidR="00F37BCE">
        <w:rPr>
          <w:sz w:val="26"/>
          <w:szCs w:val="26"/>
        </w:rPr>
        <w:t xml:space="preserve">electric utility rates and tariffs are </w:t>
      </w:r>
      <w:r w:rsidRPr="002E1A36">
        <w:rPr>
          <w:sz w:val="26"/>
          <w:szCs w:val="26"/>
        </w:rPr>
        <w:t>not un</w:t>
      </w:r>
      <w:r w:rsidRPr="002E1A36" w:rsidR="00F37BCE">
        <w:rPr>
          <w:sz w:val="26"/>
          <w:szCs w:val="26"/>
        </w:rPr>
        <w:t>just</w:t>
      </w:r>
      <w:r w:rsidRPr="002E1A36">
        <w:rPr>
          <w:sz w:val="26"/>
          <w:szCs w:val="26"/>
        </w:rPr>
        <w:t>,</w:t>
      </w:r>
      <w:r w:rsidRPr="002E1A36" w:rsidR="00F37BCE">
        <w:rPr>
          <w:sz w:val="26"/>
          <w:szCs w:val="26"/>
        </w:rPr>
        <w:t xml:space="preserve"> </w:t>
      </w:r>
      <w:r w:rsidRPr="002E1A36">
        <w:rPr>
          <w:sz w:val="26"/>
          <w:szCs w:val="26"/>
        </w:rPr>
        <w:t>un</w:t>
      </w:r>
      <w:r w:rsidRPr="002E1A36" w:rsidR="00F37BCE">
        <w:rPr>
          <w:sz w:val="26"/>
          <w:szCs w:val="26"/>
        </w:rPr>
        <w:t>reasonable</w:t>
      </w:r>
      <w:r w:rsidRPr="002E1A36">
        <w:rPr>
          <w:sz w:val="26"/>
          <w:szCs w:val="26"/>
        </w:rPr>
        <w:t>, or unduly discriminatory or preferential</w:t>
      </w:r>
      <w:r w:rsidRPr="002E1A36" w:rsidR="00F37BCE">
        <w:rPr>
          <w:sz w:val="26"/>
          <w:szCs w:val="26"/>
        </w:rPr>
        <w:t>.  Failing to meet this responsibility could result in public utilities charging rates that are not just and reasonable</w:t>
      </w:r>
      <w:r w:rsidRPr="002E1A36" w:rsidR="00042ECE">
        <w:rPr>
          <w:sz w:val="26"/>
          <w:szCs w:val="26"/>
        </w:rPr>
        <w:t xml:space="preserve">.  </w:t>
      </w:r>
    </w:p>
    <w:p w:rsidRPr="002E1A36" w:rsidR="00BB6095" w:rsidP="00BB6095" w:rsidRDefault="00BB6095" w14:paraId="4F0A656F" w14:textId="77777777">
      <w:pPr>
        <w:pStyle w:val="FERCparanumber"/>
        <w:numPr>
          <w:ilvl w:val="0"/>
          <w:numId w:val="0"/>
        </w:numPr>
        <w:rPr>
          <w:szCs w:val="26"/>
        </w:rPr>
      </w:pPr>
    </w:p>
    <w:p w:rsidRPr="002E1A36" w:rsidR="00BB6095" w:rsidP="005240A1" w:rsidRDefault="00BB6095" w14:paraId="5CE22EF6" w14:textId="77777777">
      <w:pPr>
        <w:pStyle w:val="FERCparanumber"/>
        <w:numPr>
          <w:ilvl w:val="0"/>
          <w:numId w:val="7"/>
        </w:numPr>
        <w:rPr>
          <w:szCs w:val="26"/>
        </w:rPr>
      </w:pPr>
      <w:r w:rsidRPr="002E1A36">
        <w:rPr>
          <w:b/>
          <w:szCs w:val="26"/>
        </w:rPr>
        <w:t>EXPLAIN ANY SPECIAL CIRCUMSTANCES RELATING TO THE INFORMATION</w:t>
      </w:r>
    </w:p>
    <w:p w:rsidRPr="002E1A36" w:rsidR="00BB6095" w:rsidP="00BB6095" w:rsidRDefault="00BB6095" w14:paraId="6C3072D3" w14:textId="77777777">
      <w:pPr>
        <w:pStyle w:val="FERCparanumber"/>
        <w:numPr>
          <w:ilvl w:val="0"/>
          <w:numId w:val="0"/>
        </w:numPr>
        <w:rPr>
          <w:b/>
          <w:szCs w:val="26"/>
        </w:rPr>
      </w:pPr>
    </w:p>
    <w:p w:rsidRPr="002E1A36" w:rsidR="00BB6095" w:rsidP="004D4C7B" w:rsidRDefault="00FC192E" w14:paraId="19B1F23B" w14:textId="79644114">
      <w:pPr>
        <w:rPr>
          <w:sz w:val="26"/>
          <w:szCs w:val="26"/>
        </w:rPr>
      </w:pPr>
      <w:r w:rsidRPr="002E1A36">
        <w:rPr>
          <w:sz w:val="26"/>
          <w:szCs w:val="26"/>
        </w:rPr>
        <w:t>There are no special circumstances relating to this information collection</w:t>
      </w:r>
      <w:r w:rsidRPr="002E1A36" w:rsidR="000541E0">
        <w:rPr>
          <w:sz w:val="26"/>
          <w:szCs w:val="26"/>
        </w:rPr>
        <w:t>.</w:t>
      </w:r>
      <w:r w:rsidRPr="002E1A36" w:rsidR="00BB6095">
        <w:rPr>
          <w:sz w:val="26"/>
          <w:szCs w:val="26"/>
        </w:rPr>
        <w:t xml:space="preserve"> </w:t>
      </w:r>
    </w:p>
    <w:p w:rsidRPr="002E1A36" w:rsidR="00BB6095" w:rsidP="00BB6095" w:rsidRDefault="00BB6095" w14:paraId="5AA6725C" w14:textId="77777777">
      <w:pPr>
        <w:pStyle w:val="FERCparanumber"/>
        <w:numPr>
          <w:ilvl w:val="0"/>
          <w:numId w:val="0"/>
        </w:numPr>
        <w:rPr>
          <w:szCs w:val="26"/>
        </w:rPr>
      </w:pPr>
    </w:p>
    <w:p w:rsidRPr="002E1A36" w:rsidR="00BB6095" w:rsidP="007D42B3" w:rsidRDefault="00BB6095" w14:paraId="08534C89" w14:textId="6E6D8627">
      <w:pPr>
        <w:pStyle w:val="FERCparanumber"/>
        <w:numPr>
          <w:ilvl w:val="0"/>
          <w:numId w:val="7"/>
        </w:numPr>
        <w:rPr>
          <w:szCs w:val="26"/>
        </w:rPr>
      </w:pPr>
      <w:r w:rsidRPr="002E1A36">
        <w:rPr>
          <w:b/>
          <w:szCs w:val="26"/>
        </w:rPr>
        <w:t>DESCRIBE EFFORTS TO CONSULT OUTSIDE THE AGENCY: SUMMARIZE PUBLIC COMMENTS AND THE AGENCY’S RESPONSE TO THESE COMMENTS</w:t>
      </w:r>
    </w:p>
    <w:p w:rsidRPr="002E1A36" w:rsidR="0014259A" w:rsidP="0014259A" w:rsidRDefault="0014259A" w14:paraId="7AC08984" w14:textId="4478108D">
      <w:pPr>
        <w:pStyle w:val="FERCparanumber"/>
        <w:numPr>
          <w:ilvl w:val="0"/>
          <w:numId w:val="0"/>
        </w:numPr>
        <w:ind w:left="72"/>
        <w:rPr>
          <w:bCs/>
          <w:szCs w:val="26"/>
        </w:rPr>
      </w:pPr>
    </w:p>
    <w:p w:rsidRPr="002E1A36" w:rsidR="00DB4741" w:rsidP="003C0D35" w:rsidRDefault="003C31BD" w14:paraId="13236BE7" w14:textId="420A9BCE">
      <w:pPr>
        <w:pStyle w:val="FERCparanumber"/>
        <w:numPr>
          <w:ilvl w:val="0"/>
          <w:numId w:val="0"/>
        </w:numPr>
        <w:ind w:left="72"/>
        <w:rPr>
          <w:szCs w:val="26"/>
        </w:rPr>
      </w:pPr>
      <w:r w:rsidRPr="002E1A36">
        <w:rPr>
          <w:szCs w:val="26"/>
        </w:rPr>
        <w:t xml:space="preserve">The Commission published </w:t>
      </w:r>
      <w:r w:rsidRPr="002E1A36" w:rsidR="00537C4E">
        <w:rPr>
          <w:szCs w:val="26"/>
        </w:rPr>
        <w:t xml:space="preserve">a proposed rule </w:t>
      </w:r>
      <w:r w:rsidRPr="002E1A36" w:rsidR="00645BE8">
        <w:rPr>
          <w:szCs w:val="26"/>
        </w:rPr>
        <w:t xml:space="preserve">in the Federal Register </w:t>
      </w:r>
      <w:r w:rsidRPr="002E1A36" w:rsidR="00537C4E">
        <w:rPr>
          <w:szCs w:val="26"/>
        </w:rPr>
        <w:t>on January 21, 2021.</w:t>
      </w:r>
      <w:r w:rsidRPr="003B64DA" w:rsidR="00C77F75">
        <w:rPr>
          <w:rStyle w:val="FootnoteReference"/>
          <w:szCs w:val="26"/>
        </w:rPr>
        <w:footnoteReference w:id="7"/>
      </w:r>
      <w:r w:rsidRPr="003B64DA" w:rsidR="00645BE8">
        <w:rPr>
          <w:szCs w:val="26"/>
        </w:rPr>
        <w:t xml:space="preserve">  </w:t>
      </w:r>
      <w:r w:rsidRPr="003B64DA" w:rsidR="00AC0D80">
        <w:rPr>
          <w:szCs w:val="26"/>
        </w:rPr>
        <w:t xml:space="preserve">In the proposed rule, </w:t>
      </w:r>
      <w:r w:rsidRPr="002E1A36" w:rsidR="009433B3">
        <w:rPr>
          <w:szCs w:val="26"/>
        </w:rPr>
        <w:t>the Commission solicited comments on</w:t>
      </w:r>
      <w:r w:rsidRPr="002E1A36" w:rsidR="00DB4741">
        <w:rPr>
          <w:szCs w:val="26"/>
        </w:rPr>
        <w:t xml:space="preserve"> the </w:t>
      </w:r>
      <w:r w:rsidRPr="003B64DA" w:rsidR="00DB4741">
        <w:rPr>
          <w:szCs w:val="26"/>
        </w:rPr>
        <w:t>matters and issues proposed in th</w:t>
      </w:r>
      <w:r w:rsidRPr="002E1A36" w:rsidR="00DB4741">
        <w:rPr>
          <w:szCs w:val="26"/>
        </w:rPr>
        <w:t>e proposal, including any related matters or alternative proposals that commenters may wish to discuss.  Moreover, the Commission specifically sought comments o</w:t>
      </w:r>
      <w:r w:rsidRPr="002E1A36" w:rsidR="00D2515A">
        <w:rPr>
          <w:szCs w:val="26"/>
        </w:rPr>
        <w:t>n</w:t>
      </w:r>
      <w:r w:rsidRPr="002E1A36" w:rsidR="00DB4741">
        <w:rPr>
          <w:szCs w:val="26"/>
        </w:rPr>
        <w:t>:</w:t>
      </w:r>
    </w:p>
    <w:p w:rsidRPr="002E1A36" w:rsidR="00DB4741" w:rsidP="003C0D35" w:rsidRDefault="00DB4741" w14:paraId="14691E4E" w14:textId="77777777">
      <w:pPr>
        <w:pStyle w:val="FERCparanumber"/>
        <w:numPr>
          <w:ilvl w:val="0"/>
          <w:numId w:val="0"/>
        </w:numPr>
        <w:ind w:left="72"/>
        <w:rPr>
          <w:szCs w:val="26"/>
        </w:rPr>
      </w:pPr>
    </w:p>
    <w:p w:rsidRPr="002E1A36" w:rsidR="00252BCF" w:rsidP="00DB4741" w:rsidRDefault="00D2515A" w14:paraId="7C7C1DF0" w14:textId="36158421">
      <w:pPr>
        <w:pStyle w:val="FERCparanumber"/>
        <w:numPr>
          <w:ilvl w:val="0"/>
          <w:numId w:val="38"/>
        </w:numPr>
        <w:rPr>
          <w:szCs w:val="26"/>
        </w:rPr>
      </w:pPr>
      <w:r w:rsidRPr="002E1A36">
        <w:rPr>
          <w:szCs w:val="26"/>
        </w:rPr>
        <w:t>Whether to a</w:t>
      </w:r>
      <w:r w:rsidRPr="002E1A36" w:rsidR="00252BCF">
        <w:rPr>
          <w:szCs w:val="26"/>
        </w:rPr>
        <w:t>pply requirements for RTOs/ISOs to establish and implement the systems and procedures necessary to allow transmission owners to electronically update transmission line ratings at least hourly to transmission providers located outside of RTO/ISO markets;</w:t>
      </w:r>
    </w:p>
    <w:p w:rsidRPr="002E1A36" w:rsidR="00252BCF" w:rsidP="00DB4741" w:rsidRDefault="00D2515A" w14:paraId="3B69F85E" w14:textId="1B3EE88B">
      <w:pPr>
        <w:pStyle w:val="FERCparanumber"/>
        <w:numPr>
          <w:ilvl w:val="0"/>
          <w:numId w:val="38"/>
        </w:numPr>
        <w:rPr>
          <w:szCs w:val="26"/>
        </w:rPr>
      </w:pPr>
      <w:r w:rsidRPr="002E1A36">
        <w:rPr>
          <w:szCs w:val="26"/>
        </w:rPr>
        <w:t>A</w:t>
      </w:r>
      <w:r w:rsidRPr="002E1A36" w:rsidR="00252BCF">
        <w:rPr>
          <w:szCs w:val="26"/>
        </w:rPr>
        <w:t>ny additional costs needed for RTOs/ISOs to establish and implement the systems and procedures necessary to allow transmission owners to electronically update transmission line ratings at least hourly;</w:t>
      </w:r>
    </w:p>
    <w:p w:rsidRPr="002E1A36" w:rsidR="00252BCF" w:rsidP="00DB4741" w:rsidRDefault="00D2515A" w14:paraId="020BEC48" w14:textId="00EF7FD3">
      <w:pPr>
        <w:pStyle w:val="FERCparanumber"/>
        <w:numPr>
          <w:ilvl w:val="0"/>
          <w:numId w:val="38"/>
        </w:numPr>
        <w:rPr>
          <w:szCs w:val="26"/>
        </w:rPr>
      </w:pPr>
      <w:r w:rsidRPr="002E1A36">
        <w:rPr>
          <w:szCs w:val="26"/>
        </w:rPr>
        <w:t>Whether to r</w:t>
      </w:r>
      <w:r w:rsidRPr="002E1A36" w:rsidR="00252BCF">
        <w:rPr>
          <w:szCs w:val="26"/>
        </w:rPr>
        <w:t>equire RTOs/ISOs to conduct a one-time study of the cost effectiveness of DLR implementation, and if so, what details/format any such study should include</w:t>
      </w:r>
      <w:r w:rsidRPr="002E1A36">
        <w:rPr>
          <w:szCs w:val="26"/>
        </w:rPr>
        <w:t>;</w:t>
      </w:r>
    </w:p>
    <w:p w:rsidRPr="002E1A36" w:rsidR="00252BCF" w:rsidP="00DB4741" w:rsidRDefault="00D2515A" w14:paraId="5E662012" w14:textId="26A7D7D8">
      <w:pPr>
        <w:pStyle w:val="FERCparanumber"/>
        <w:numPr>
          <w:ilvl w:val="0"/>
          <w:numId w:val="38"/>
        </w:numPr>
        <w:rPr>
          <w:szCs w:val="26"/>
        </w:rPr>
      </w:pPr>
      <w:r w:rsidRPr="002E1A36">
        <w:rPr>
          <w:szCs w:val="26"/>
        </w:rPr>
        <w:lastRenderedPageBreak/>
        <w:t>Whether to r</w:t>
      </w:r>
      <w:r w:rsidRPr="002E1A36" w:rsidR="00DB4741">
        <w:rPr>
          <w:szCs w:val="26"/>
        </w:rPr>
        <w:t>equire transmission providers to implement unique emergency ratings that would be used during post-contingency operations</w:t>
      </w:r>
      <w:r w:rsidRPr="002E1A36" w:rsidR="00252BCF">
        <w:rPr>
          <w:szCs w:val="26"/>
        </w:rPr>
        <w:t xml:space="preserve"> and on the costs and benefits of such a requirement;</w:t>
      </w:r>
    </w:p>
    <w:p w:rsidRPr="002E1A36" w:rsidR="00252BCF" w:rsidP="00252BCF" w:rsidRDefault="00D2515A" w14:paraId="4EA9DA72" w14:textId="3B4F6AB1">
      <w:pPr>
        <w:pStyle w:val="FERCparanumber"/>
        <w:numPr>
          <w:ilvl w:val="0"/>
          <w:numId w:val="38"/>
        </w:numPr>
        <w:rPr>
          <w:szCs w:val="26"/>
        </w:rPr>
      </w:pPr>
      <w:r w:rsidRPr="002E1A36">
        <w:rPr>
          <w:szCs w:val="26"/>
        </w:rPr>
        <w:t>T</w:t>
      </w:r>
      <w:r w:rsidRPr="002E1A36" w:rsidR="00252BCF">
        <w:rPr>
          <w:szCs w:val="26"/>
        </w:rPr>
        <w:t>he degree to which other transmission providers use or are provided with unique emergency ratings and the emergency rating durations that are commonly used;</w:t>
      </w:r>
    </w:p>
    <w:p w:rsidRPr="002E1A36" w:rsidR="00252BCF" w:rsidP="00DB4741" w:rsidRDefault="00D2515A" w14:paraId="4A7C6D04" w14:textId="2D2BB5F0">
      <w:pPr>
        <w:pStyle w:val="FERCparanumber"/>
        <w:numPr>
          <w:ilvl w:val="0"/>
          <w:numId w:val="38"/>
        </w:numPr>
        <w:rPr>
          <w:szCs w:val="26"/>
        </w:rPr>
      </w:pPr>
      <w:r w:rsidRPr="002E1A36">
        <w:rPr>
          <w:szCs w:val="26"/>
        </w:rPr>
        <w:t>W</w:t>
      </w:r>
      <w:r w:rsidRPr="002E1A36" w:rsidR="00252BCF">
        <w:rPr>
          <w:szCs w:val="26"/>
        </w:rPr>
        <w:t xml:space="preserve">hether transmission line ratings and transmission line rating methodologies should be shared with other transmission providers, upon request; </w:t>
      </w:r>
    </w:p>
    <w:p w:rsidRPr="002E1A36" w:rsidR="00252BCF" w:rsidP="00DB4741" w:rsidRDefault="00D2515A" w14:paraId="431186A8" w14:textId="5B7487EB">
      <w:pPr>
        <w:pStyle w:val="FERCparanumber"/>
        <w:numPr>
          <w:ilvl w:val="0"/>
          <w:numId w:val="38"/>
        </w:numPr>
        <w:rPr>
          <w:szCs w:val="26"/>
        </w:rPr>
      </w:pPr>
      <w:r w:rsidRPr="002E1A36">
        <w:rPr>
          <w:szCs w:val="26"/>
        </w:rPr>
        <w:t>W</w:t>
      </w:r>
      <w:r w:rsidRPr="002E1A36" w:rsidR="00252BCF">
        <w:rPr>
          <w:szCs w:val="26"/>
        </w:rPr>
        <w:t>hether to require transmission owners to make their transmission line ratings and rating methodologies available to other interested stakeholders, including posting information on their OASIS pages or other password protected online forum; and</w:t>
      </w:r>
    </w:p>
    <w:p w:rsidRPr="002E1A36" w:rsidR="00AC0D80" w:rsidP="00D2515A" w:rsidRDefault="00D2515A" w14:paraId="73BFB7B4" w14:textId="58257221">
      <w:pPr>
        <w:pStyle w:val="FERCparanumber"/>
        <w:numPr>
          <w:ilvl w:val="0"/>
          <w:numId w:val="38"/>
        </w:numPr>
        <w:rPr>
          <w:szCs w:val="26"/>
        </w:rPr>
      </w:pPr>
      <w:r w:rsidRPr="002E1A36">
        <w:rPr>
          <w:szCs w:val="26"/>
        </w:rPr>
        <w:t>T</w:t>
      </w:r>
      <w:r w:rsidRPr="002E1A36" w:rsidR="00252BCF">
        <w:rPr>
          <w:szCs w:val="26"/>
        </w:rPr>
        <w:t>he Commission’s estimates of the proposal’s burden</w:t>
      </w:r>
      <w:r w:rsidRPr="002E1A36">
        <w:rPr>
          <w:szCs w:val="26"/>
        </w:rPr>
        <w:t xml:space="preserve"> estimate</w:t>
      </w:r>
      <w:r w:rsidRPr="002E1A36" w:rsidR="00252BCF">
        <w:rPr>
          <w:szCs w:val="26"/>
        </w:rPr>
        <w:t xml:space="preserve"> and </w:t>
      </w:r>
      <w:r w:rsidRPr="002E1A36">
        <w:rPr>
          <w:szCs w:val="26"/>
        </w:rPr>
        <w:t>its</w:t>
      </w:r>
      <w:r w:rsidRPr="002E1A36" w:rsidR="00252BCF">
        <w:rPr>
          <w:szCs w:val="26"/>
        </w:rPr>
        <w:t xml:space="preserve"> assumptions</w:t>
      </w:r>
      <w:r w:rsidRPr="002E1A36">
        <w:rPr>
          <w:szCs w:val="26"/>
        </w:rPr>
        <w:t>.</w:t>
      </w:r>
      <w:r w:rsidRPr="002E1A36" w:rsidR="009433B3">
        <w:rPr>
          <w:szCs w:val="26"/>
        </w:rPr>
        <w:t>.</w:t>
      </w:r>
    </w:p>
    <w:p w:rsidRPr="002E1A36" w:rsidR="00AC0D80" w:rsidP="003C0D35" w:rsidRDefault="00AC0D80" w14:paraId="5D5D503C" w14:textId="77777777">
      <w:pPr>
        <w:pStyle w:val="FERCparanumber"/>
        <w:numPr>
          <w:ilvl w:val="0"/>
          <w:numId w:val="0"/>
        </w:numPr>
        <w:ind w:left="72"/>
        <w:rPr>
          <w:szCs w:val="26"/>
        </w:rPr>
      </w:pPr>
    </w:p>
    <w:p w:rsidRPr="002E1A36" w:rsidR="00CC538E" w:rsidP="003C0D35" w:rsidRDefault="00645BE8" w14:paraId="4D1FC930" w14:textId="1CF77C03">
      <w:pPr>
        <w:pStyle w:val="FERCparanumber"/>
        <w:numPr>
          <w:ilvl w:val="0"/>
          <w:numId w:val="0"/>
        </w:numPr>
        <w:ind w:left="72"/>
        <w:rPr>
          <w:szCs w:val="26"/>
        </w:rPr>
      </w:pPr>
      <w:r w:rsidRPr="002E1A36">
        <w:rPr>
          <w:szCs w:val="26"/>
        </w:rPr>
        <w:t xml:space="preserve">Public comments on the </w:t>
      </w:r>
      <w:r w:rsidRPr="002E1A36" w:rsidR="00E72A4B">
        <w:rPr>
          <w:szCs w:val="26"/>
        </w:rPr>
        <w:t>information collections were focused on burden estimates.</w:t>
      </w:r>
    </w:p>
    <w:p w:rsidRPr="002E1A36" w:rsidR="00E72A4B" w:rsidP="003C0D35" w:rsidRDefault="00E72A4B" w14:paraId="7A76A89A" w14:textId="23337892">
      <w:pPr>
        <w:pStyle w:val="FERCparanumber"/>
        <w:numPr>
          <w:ilvl w:val="0"/>
          <w:numId w:val="0"/>
        </w:numPr>
        <w:ind w:left="72"/>
        <w:rPr>
          <w:szCs w:val="26"/>
        </w:rPr>
      </w:pPr>
    </w:p>
    <w:p w:rsidRPr="002E1A36" w:rsidR="00E02A92" w:rsidP="00781AD9" w:rsidRDefault="000E131F" w14:paraId="70568213" w14:textId="578C0835">
      <w:pPr>
        <w:pStyle w:val="FERCparanumber"/>
        <w:numPr>
          <w:ilvl w:val="0"/>
          <w:numId w:val="0"/>
        </w:numPr>
        <w:ind w:left="72"/>
        <w:rPr>
          <w:szCs w:val="26"/>
        </w:rPr>
      </w:pPr>
      <w:r w:rsidRPr="002E1A36">
        <w:rPr>
          <w:szCs w:val="26"/>
        </w:rPr>
        <w:t xml:space="preserve">The Commission noted in the </w:t>
      </w:r>
      <w:r w:rsidRPr="002E1A36" w:rsidR="00781AD9">
        <w:rPr>
          <w:szCs w:val="26"/>
        </w:rPr>
        <w:t>proposed rule</w:t>
      </w:r>
      <w:r w:rsidRPr="002E1A36">
        <w:rPr>
          <w:szCs w:val="26"/>
        </w:rPr>
        <w:t xml:space="preserve"> that</w:t>
      </w:r>
      <w:r w:rsidRPr="002E1A36" w:rsidR="006C3306">
        <w:rPr>
          <w:szCs w:val="26"/>
        </w:rPr>
        <w:t xml:space="preserve"> the</w:t>
      </w:r>
      <w:r w:rsidRPr="002E1A36">
        <w:rPr>
          <w:szCs w:val="26"/>
        </w:rPr>
        <w:t xml:space="preserve"> Commission</w:t>
      </w:r>
      <w:r w:rsidRPr="002E1A36" w:rsidR="006C3306">
        <w:rPr>
          <w:szCs w:val="26"/>
        </w:rPr>
        <w:t>’s burden esti</w:t>
      </w:r>
      <w:r w:rsidRPr="002E1A36" w:rsidR="00FA6CFF">
        <w:rPr>
          <w:szCs w:val="26"/>
        </w:rPr>
        <w:t xml:space="preserve">mates were conservative, i.e., </w:t>
      </w:r>
      <w:r w:rsidRPr="002E1A36">
        <w:rPr>
          <w:szCs w:val="26"/>
        </w:rPr>
        <w:t xml:space="preserve">based on the maximum number of entities and burden.  The Commission noted that some entities may, for example, already use </w:t>
      </w:r>
      <w:proofErr w:type="spellStart"/>
      <w:r w:rsidRPr="002E1A36">
        <w:rPr>
          <w:szCs w:val="26"/>
        </w:rPr>
        <w:t>AARsin</w:t>
      </w:r>
      <w:proofErr w:type="spellEnd"/>
      <w:r w:rsidRPr="002E1A36">
        <w:rPr>
          <w:szCs w:val="26"/>
        </w:rPr>
        <w:t xml:space="preserve"> their existing operations, in which case the actual burden associated with specific reforms associated with the use of AARs would be lower than the estimate.</w:t>
      </w:r>
    </w:p>
    <w:p w:rsidRPr="002E1A36" w:rsidR="00B4702D" w:rsidP="00B4702D" w:rsidRDefault="00B4702D" w14:paraId="18E3AA58" w14:textId="77777777">
      <w:pPr>
        <w:pStyle w:val="FERCparanumber"/>
        <w:numPr>
          <w:ilvl w:val="0"/>
          <w:numId w:val="0"/>
        </w:numPr>
        <w:ind w:left="72"/>
        <w:rPr>
          <w:szCs w:val="26"/>
        </w:rPr>
      </w:pPr>
      <w:r w:rsidRPr="002E1A36">
        <w:rPr>
          <w:szCs w:val="26"/>
        </w:rPr>
        <w:t xml:space="preserve">  </w:t>
      </w:r>
    </w:p>
    <w:p w:rsidRPr="002E1A36" w:rsidR="00B4702D" w:rsidP="00163FEF" w:rsidRDefault="0027353B" w14:paraId="2C135E1D" w14:textId="61FD48AF">
      <w:pPr>
        <w:pStyle w:val="FERCparanumber"/>
        <w:numPr>
          <w:ilvl w:val="0"/>
          <w:numId w:val="0"/>
        </w:numPr>
        <w:ind w:left="72"/>
        <w:rPr>
          <w:szCs w:val="26"/>
        </w:rPr>
      </w:pPr>
      <w:r w:rsidRPr="002E1A36">
        <w:rPr>
          <w:szCs w:val="26"/>
        </w:rPr>
        <w:t>A c</w:t>
      </w:r>
      <w:r w:rsidRPr="002E1A36" w:rsidR="009A3834">
        <w:rPr>
          <w:szCs w:val="26"/>
        </w:rPr>
        <w:t>omment</w:t>
      </w:r>
      <w:r w:rsidRPr="002E1A36">
        <w:rPr>
          <w:szCs w:val="26"/>
        </w:rPr>
        <w:t>er, regarding provisions</w:t>
      </w:r>
      <w:r w:rsidRPr="002E1A36" w:rsidR="001E379F">
        <w:rPr>
          <w:szCs w:val="26"/>
        </w:rPr>
        <w:t xml:space="preserve"> associated with </w:t>
      </w:r>
      <w:r w:rsidRPr="002E1A36" w:rsidR="000C7005">
        <w:rPr>
          <w:szCs w:val="26"/>
        </w:rPr>
        <w:t>the use of AARs,</w:t>
      </w:r>
      <w:r w:rsidRPr="002E1A36" w:rsidR="00A93670">
        <w:rPr>
          <w:szCs w:val="26"/>
        </w:rPr>
        <w:t xml:space="preserve"> </w:t>
      </w:r>
      <w:r w:rsidRPr="002E1A36" w:rsidR="00685B1A">
        <w:rPr>
          <w:szCs w:val="26"/>
        </w:rPr>
        <w:t>provided estimated costs of approximately $200,000 to implement AARs for current hour transmission service, and costs to implement forecasted AARs in the forward markets and for transmission service, such as in the day-ahead market, between $500,000 and $750,000</w:t>
      </w:r>
      <w:r w:rsidRPr="003B64DA" w:rsidR="00685B1A">
        <w:rPr>
          <w:szCs w:val="26"/>
        </w:rPr>
        <w:t>.</w:t>
      </w:r>
      <w:r w:rsidRPr="003B64DA" w:rsidR="00A84F8F">
        <w:rPr>
          <w:szCs w:val="26"/>
        </w:rPr>
        <w:t xml:space="preserve">  </w:t>
      </w:r>
      <w:r w:rsidRPr="002E1A36" w:rsidR="00355D1E">
        <w:rPr>
          <w:szCs w:val="26"/>
        </w:rPr>
        <w:t>The Commission revised the table in Item # 12, below, in response</w:t>
      </w:r>
      <w:r w:rsidRPr="002E1A36" w:rsidR="00163FEF">
        <w:rPr>
          <w:szCs w:val="26"/>
        </w:rPr>
        <w:t xml:space="preserve">.  </w:t>
      </w:r>
      <w:r w:rsidRPr="002E1A36" w:rsidR="00B4702D">
        <w:rPr>
          <w:szCs w:val="26"/>
        </w:rPr>
        <w:t>The Commission notes, however, that this is a conservative maximum estimate and that some RTOs/ISOs might have pre-existing plans to upgrade software in the coming years, which may implement many of the same functionalities necessitated by this final rule that are captured in these RTO/ISO cost estimates.</w:t>
      </w:r>
    </w:p>
    <w:p w:rsidRPr="002E1A36" w:rsidR="00E02A92" w:rsidP="00781AD9" w:rsidRDefault="00E02A92" w14:paraId="5905EF1B" w14:textId="77777777">
      <w:pPr>
        <w:pStyle w:val="FERCparanumber"/>
        <w:numPr>
          <w:ilvl w:val="0"/>
          <w:numId w:val="0"/>
        </w:numPr>
        <w:ind w:left="72"/>
        <w:rPr>
          <w:szCs w:val="26"/>
        </w:rPr>
      </w:pPr>
    </w:p>
    <w:p w:rsidRPr="002E1A36" w:rsidR="00E72A4B" w:rsidP="009D5CB2" w:rsidRDefault="000E131F" w14:paraId="08A53F67" w14:textId="227AE330">
      <w:pPr>
        <w:pStyle w:val="FERCparanumber"/>
        <w:numPr>
          <w:ilvl w:val="0"/>
          <w:numId w:val="0"/>
        </w:numPr>
        <w:ind w:left="72"/>
        <w:rPr>
          <w:szCs w:val="26"/>
        </w:rPr>
      </w:pPr>
      <w:r w:rsidRPr="002E1A36">
        <w:rPr>
          <w:szCs w:val="26"/>
        </w:rPr>
        <w:t xml:space="preserve">The Commission added that, on the other hand, changing approaches to facility ratings may require extra testing and training for some entities to ensure reliable operations and gain familiarity with the approach.  In the </w:t>
      </w:r>
      <w:r w:rsidRPr="002E1A36" w:rsidR="00440F8D">
        <w:rPr>
          <w:szCs w:val="26"/>
        </w:rPr>
        <w:t>proposed rule</w:t>
      </w:r>
      <w:r w:rsidRPr="002E1A36">
        <w:rPr>
          <w:szCs w:val="26"/>
        </w:rPr>
        <w:t>, the Commission explained that it estimated that the majority of the additional burden would occur in the first year, and that, once established, the ongoing burden would closely approach the existing burden of operating the transmission system.</w:t>
      </w:r>
    </w:p>
    <w:p w:rsidRPr="002E1A36" w:rsidR="004D0562" w:rsidP="00BB6095" w:rsidRDefault="004D0562" w14:paraId="1E957E11" w14:textId="77777777">
      <w:pPr>
        <w:rPr>
          <w:sz w:val="26"/>
          <w:szCs w:val="26"/>
        </w:rPr>
      </w:pPr>
    </w:p>
    <w:p w:rsidRPr="002E1A36" w:rsidR="009D6B6D" w:rsidP="0014259A" w:rsidRDefault="00BB6095" w14:paraId="091A69F9" w14:textId="552F80CD">
      <w:pPr>
        <w:pStyle w:val="ListParagraph"/>
        <w:numPr>
          <w:ilvl w:val="0"/>
          <w:numId w:val="7"/>
        </w:numPr>
        <w:rPr>
          <w:rFonts w:ascii="Times New Roman" w:hAnsi="Times New Roman"/>
          <w:sz w:val="26"/>
          <w:szCs w:val="26"/>
        </w:rPr>
      </w:pPr>
      <w:r w:rsidRPr="002E1A36">
        <w:rPr>
          <w:rFonts w:ascii="Times New Roman" w:hAnsi="Times New Roman"/>
          <w:b/>
          <w:sz w:val="26"/>
          <w:szCs w:val="26"/>
        </w:rPr>
        <w:lastRenderedPageBreak/>
        <w:t>EXPLAIN ANY PAYMENT OR GIFTS TO RESPONDENTS</w:t>
      </w:r>
    </w:p>
    <w:p w:rsidRPr="002E1A36" w:rsidR="00BB6095" w:rsidP="00BB6095" w:rsidRDefault="00BB6095" w14:paraId="200271A7" w14:textId="71510E46">
      <w:pPr>
        <w:pStyle w:val="FERCparanumber"/>
        <w:numPr>
          <w:ilvl w:val="0"/>
          <w:numId w:val="0"/>
        </w:numPr>
        <w:rPr>
          <w:szCs w:val="26"/>
        </w:rPr>
      </w:pPr>
      <w:r w:rsidRPr="002E1A36">
        <w:rPr>
          <w:szCs w:val="26"/>
        </w:rPr>
        <w:t xml:space="preserve">There are no payments or gifts to respondents </w:t>
      </w:r>
      <w:r w:rsidRPr="002E1A36" w:rsidR="007B025D">
        <w:rPr>
          <w:szCs w:val="26"/>
        </w:rPr>
        <w:t>of</w:t>
      </w:r>
      <w:r w:rsidRPr="002E1A36">
        <w:rPr>
          <w:szCs w:val="26"/>
        </w:rPr>
        <w:t xml:space="preserve"> this collection.</w:t>
      </w:r>
    </w:p>
    <w:p w:rsidRPr="002E1A36" w:rsidR="001C0D4B" w:rsidP="00BB6095" w:rsidRDefault="001C0D4B" w14:paraId="4D9D9A9A" w14:textId="77777777">
      <w:pPr>
        <w:pStyle w:val="FERCparanumber"/>
        <w:numPr>
          <w:ilvl w:val="0"/>
          <w:numId w:val="0"/>
        </w:numPr>
        <w:rPr>
          <w:szCs w:val="26"/>
        </w:rPr>
      </w:pPr>
    </w:p>
    <w:p w:rsidRPr="002E1A36" w:rsidR="009D6B6D" w:rsidP="001D2EC1" w:rsidRDefault="00BB6095" w14:paraId="18CEDA1A" w14:textId="77777777">
      <w:pPr>
        <w:pStyle w:val="FERCparanumber"/>
        <w:numPr>
          <w:ilvl w:val="0"/>
          <w:numId w:val="7"/>
        </w:numPr>
        <w:rPr>
          <w:szCs w:val="26"/>
        </w:rPr>
      </w:pPr>
      <w:r w:rsidRPr="002E1A36">
        <w:rPr>
          <w:b/>
          <w:szCs w:val="26"/>
        </w:rPr>
        <w:t>DESCRIBE ANY ASSURANCE OF CONFIDENTIALITY PROVIDED TO RESPONDENTS</w:t>
      </w:r>
    </w:p>
    <w:p w:rsidRPr="002E1A36" w:rsidR="00BB6095" w:rsidP="00BB6095" w:rsidRDefault="00BB6095" w14:paraId="5291E765" w14:textId="77777777">
      <w:pPr>
        <w:pStyle w:val="FERCparanumber"/>
        <w:numPr>
          <w:ilvl w:val="0"/>
          <w:numId w:val="0"/>
        </w:numPr>
        <w:rPr>
          <w:b/>
          <w:szCs w:val="26"/>
        </w:rPr>
      </w:pPr>
    </w:p>
    <w:p w:rsidRPr="002E1A36" w:rsidR="009049AF" w:rsidP="000541E0" w:rsidRDefault="004D4C7B" w14:paraId="48E36C9E" w14:textId="7272247F">
      <w:pPr>
        <w:rPr>
          <w:sz w:val="26"/>
          <w:szCs w:val="26"/>
        </w:rPr>
      </w:pPr>
      <w:r w:rsidRPr="002E1A36">
        <w:rPr>
          <w:sz w:val="26"/>
          <w:szCs w:val="26"/>
        </w:rPr>
        <w:t>The Commission does not consider the information collecte</w:t>
      </w:r>
      <w:r w:rsidRPr="002E1A36" w:rsidR="009049AF">
        <w:rPr>
          <w:sz w:val="26"/>
          <w:szCs w:val="26"/>
        </w:rPr>
        <w:t xml:space="preserve">d in </w:t>
      </w:r>
      <w:r w:rsidRPr="002E1A36" w:rsidR="003151DF">
        <w:rPr>
          <w:sz w:val="26"/>
          <w:szCs w:val="26"/>
        </w:rPr>
        <w:t>FERC-516H</w:t>
      </w:r>
      <w:r w:rsidRPr="002E1A36">
        <w:rPr>
          <w:sz w:val="26"/>
          <w:szCs w:val="26"/>
        </w:rPr>
        <w:t xml:space="preserve"> </w:t>
      </w:r>
      <w:r w:rsidRPr="002E1A36" w:rsidR="00FD4B5C">
        <w:rPr>
          <w:sz w:val="26"/>
          <w:szCs w:val="26"/>
        </w:rPr>
        <w:t xml:space="preserve">or FERC-725A </w:t>
      </w:r>
      <w:r w:rsidRPr="002E1A36">
        <w:rPr>
          <w:sz w:val="26"/>
          <w:szCs w:val="26"/>
        </w:rPr>
        <w:t>filings to be confidential</w:t>
      </w:r>
      <w:r w:rsidRPr="002E1A36" w:rsidR="00371943">
        <w:rPr>
          <w:sz w:val="26"/>
          <w:szCs w:val="26"/>
        </w:rPr>
        <w:t>.</w:t>
      </w:r>
      <w:r w:rsidRPr="002E1A36" w:rsidR="00C51340">
        <w:rPr>
          <w:sz w:val="26"/>
          <w:szCs w:val="26"/>
        </w:rPr>
        <w:t xml:space="preserve">  </w:t>
      </w:r>
      <w:r w:rsidRPr="002E1A36" w:rsidR="004428FB">
        <w:rPr>
          <w:sz w:val="26"/>
          <w:szCs w:val="26"/>
        </w:rPr>
        <w:t xml:space="preserve">However, </w:t>
      </w:r>
      <w:r w:rsidRPr="002E1A36" w:rsidR="009049AF">
        <w:rPr>
          <w:sz w:val="26"/>
          <w:szCs w:val="26"/>
        </w:rPr>
        <w:t xml:space="preserve">an entity </w:t>
      </w:r>
      <w:r w:rsidRPr="002E1A36" w:rsidR="004428FB">
        <w:rPr>
          <w:sz w:val="26"/>
          <w:szCs w:val="26"/>
        </w:rPr>
        <w:t xml:space="preserve">that </w:t>
      </w:r>
      <w:r w:rsidRPr="002E1A36" w:rsidR="009049AF">
        <w:rPr>
          <w:sz w:val="26"/>
          <w:szCs w:val="26"/>
        </w:rPr>
        <w:t>chooses to seek confidential treatment of the information</w:t>
      </w:r>
      <w:r w:rsidRPr="002E1A36" w:rsidR="004428FB">
        <w:rPr>
          <w:sz w:val="26"/>
          <w:szCs w:val="26"/>
        </w:rPr>
        <w:t xml:space="preserve"> m</w:t>
      </w:r>
      <w:r w:rsidRPr="002E1A36" w:rsidR="00C51340">
        <w:rPr>
          <w:sz w:val="26"/>
          <w:szCs w:val="26"/>
        </w:rPr>
        <w:t xml:space="preserve">ay </w:t>
      </w:r>
      <w:r w:rsidRPr="002E1A36" w:rsidR="009049AF">
        <w:rPr>
          <w:sz w:val="26"/>
          <w:szCs w:val="26"/>
        </w:rPr>
        <w:t>submit a request for the Commission to treat this information as confidential and non-public, consistent with 18 CFR 388.112.</w:t>
      </w:r>
    </w:p>
    <w:p w:rsidRPr="002E1A36" w:rsidR="00BB6095" w:rsidP="00BB6095" w:rsidRDefault="00BB6095" w14:paraId="7FB64A9E" w14:textId="77777777">
      <w:pPr>
        <w:pStyle w:val="FERCparanumber"/>
        <w:numPr>
          <w:ilvl w:val="0"/>
          <w:numId w:val="0"/>
        </w:numPr>
        <w:rPr>
          <w:szCs w:val="26"/>
        </w:rPr>
      </w:pPr>
    </w:p>
    <w:p w:rsidRPr="002E1A36" w:rsidR="009D6B6D" w:rsidP="001D2EC1" w:rsidRDefault="00BB6095" w14:paraId="0F599F44" w14:textId="6387DEE9">
      <w:pPr>
        <w:pStyle w:val="FERCparanumber"/>
        <w:numPr>
          <w:ilvl w:val="0"/>
          <w:numId w:val="7"/>
        </w:numPr>
        <w:rPr>
          <w:szCs w:val="26"/>
        </w:rPr>
      </w:pPr>
      <w:r w:rsidRPr="002E1A36">
        <w:rPr>
          <w:b/>
          <w:szCs w:val="26"/>
        </w:rPr>
        <w:t>PROVIDE ADDITIONAL JUSTIFICATION FOR ANY QUESTIONS OF A SENSITIVE NATURE</w:t>
      </w:r>
      <w:r w:rsidRPr="002E1A36" w:rsidR="00860C58">
        <w:rPr>
          <w:b/>
          <w:szCs w:val="26"/>
        </w:rPr>
        <w:t>, SUCH AS SEXUAL BEHAVIOR AND ATTITUDES, RELIGIOUS BELIEFS, AND OTHER MATTERS THAT ARE COMMONLY CONSIDERED PRIVATE</w:t>
      </w:r>
    </w:p>
    <w:p w:rsidRPr="002E1A36" w:rsidR="00BB6095" w:rsidP="00BB6095" w:rsidRDefault="00BB6095" w14:paraId="7C3F9D96" w14:textId="77777777">
      <w:pPr>
        <w:pStyle w:val="FERCparanumber"/>
        <w:numPr>
          <w:ilvl w:val="0"/>
          <w:numId w:val="0"/>
        </w:numPr>
        <w:rPr>
          <w:b/>
          <w:szCs w:val="26"/>
        </w:rPr>
      </w:pPr>
    </w:p>
    <w:p w:rsidRPr="002E1A36" w:rsidR="00BB6095" w:rsidP="00BB6095" w:rsidRDefault="00BB6095" w14:paraId="2F8D71F0" w14:textId="77777777">
      <w:pPr>
        <w:widowControl/>
        <w:rPr>
          <w:b/>
          <w:sz w:val="26"/>
          <w:szCs w:val="26"/>
        </w:rPr>
      </w:pPr>
      <w:r w:rsidRPr="002E1A36">
        <w:rPr>
          <w:sz w:val="26"/>
          <w:szCs w:val="26"/>
        </w:rPr>
        <w:t xml:space="preserve">There are no questions of a sensitive nature associated with the reporting requirements.  </w:t>
      </w:r>
    </w:p>
    <w:p w:rsidRPr="002E1A36" w:rsidR="00BB6095" w:rsidP="00BB6095" w:rsidRDefault="00BB6095" w14:paraId="6058D422" w14:textId="77777777">
      <w:pPr>
        <w:pStyle w:val="FERCparanumber"/>
        <w:numPr>
          <w:ilvl w:val="0"/>
          <w:numId w:val="0"/>
        </w:numPr>
        <w:rPr>
          <w:szCs w:val="26"/>
        </w:rPr>
      </w:pPr>
    </w:p>
    <w:p w:rsidRPr="002E1A36" w:rsidR="00BB6095" w:rsidP="001D2EC1" w:rsidRDefault="00BB6095" w14:paraId="4ACF1549" w14:textId="788C12E9">
      <w:pPr>
        <w:pStyle w:val="FERCparanumber"/>
        <w:numPr>
          <w:ilvl w:val="0"/>
          <w:numId w:val="7"/>
        </w:numPr>
        <w:rPr>
          <w:szCs w:val="26"/>
        </w:rPr>
      </w:pPr>
      <w:r w:rsidRPr="002E1A36">
        <w:rPr>
          <w:b/>
          <w:szCs w:val="26"/>
        </w:rPr>
        <w:t>ESTIMATED BURDEN COLLECTION OF INFORMATION</w:t>
      </w:r>
    </w:p>
    <w:p w:rsidRPr="002E1A36" w:rsidR="00851214" w:rsidP="00851214" w:rsidRDefault="00851214" w14:paraId="30BE609E" w14:textId="128D5D80">
      <w:pPr>
        <w:pStyle w:val="FERCparanumber"/>
        <w:numPr>
          <w:ilvl w:val="0"/>
          <w:numId w:val="0"/>
        </w:numPr>
        <w:ind w:left="72"/>
        <w:rPr>
          <w:b/>
          <w:szCs w:val="26"/>
        </w:rPr>
      </w:pPr>
    </w:p>
    <w:p w:rsidRPr="002E1A36" w:rsidR="00444834" w:rsidP="00444834" w:rsidRDefault="00444834" w14:paraId="34461968" w14:textId="37EFFEA1">
      <w:pPr>
        <w:rPr>
          <w:sz w:val="26"/>
          <w:szCs w:val="26"/>
        </w:rPr>
      </w:pPr>
      <w:r w:rsidRPr="002E1A36">
        <w:rPr>
          <w:sz w:val="26"/>
          <w:szCs w:val="26"/>
        </w:rPr>
        <w:t xml:space="preserve">Our estimates </w:t>
      </w:r>
      <w:r w:rsidRPr="002E1A36" w:rsidR="00D27551">
        <w:rPr>
          <w:sz w:val="26"/>
          <w:szCs w:val="26"/>
        </w:rPr>
        <w:t xml:space="preserve">of the numbers of respondents </w:t>
      </w:r>
      <w:r w:rsidRPr="002E1A36">
        <w:rPr>
          <w:sz w:val="26"/>
          <w:szCs w:val="26"/>
        </w:rPr>
        <w:t>are based on the NERC Compliance Registry as of September 3, 2020, which indicates that 78 transmission service providers,</w:t>
      </w:r>
      <w:r w:rsidRPr="003B64DA">
        <w:rPr>
          <w:b/>
          <w:sz w:val="26"/>
          <w:szCs w:val="26"/>
          <w:vertAlign w:val="superscript"/>
        </w:rPr>
        <w:footnoteReference w:id="8"/>
      </w:r>
      <w:r w:rsidRPr="003B64DA">
        <w:rPr>
          <w:sz w:val="26"/>
          <w:szCs w:val="26"/>
        </w:rPr>
        <w:t xml:space="preserve"> 797 generator owners,</w:t>
      </w:r>
      <w:r w:rsidRPr="003B64DA">
        <w:rPr>
          <w:b/>
          <w:sz w:val="26"/>
          <w:szCs w:val="26"/>
          <w:vertAlign w:val="superscript"/>
        </w:rPr>
        <w:footnoteReference w:id="9"/>
      </w:r>
      <w:r w:rsidRPr="003B64DA">
        <w:rPr>
          <w:sz w:val="26"/>
          <w:szCs w:val="26"/>
        </w:rPr>
        <w:t xml:space="preserve"> and 289 transmission owners are registered within the United States and are subject to this rulemaking.</w:t>
      </w:r>
      <w:r w:rsidRPr="003B64DA">
        <w:rPr>
          <w:b/>
          <w:sz w:val="26"/>
          <w:szCs w:val="26"/>
          <w:vertAlign w:val="superscript"/>
        </w:rPr>
        <w:footnoteReference w:id="10"/>
      </w:r>
      <w:r w:rsidRPr="003B64DA">
        <w:rPr>
          <w:sz w:val="26"/>
          <w:szCs w:val="26"/>
        </w:rPr>
        <w:t xml:space="preserve">  </w:t>
      </w:r>
      <w:r w:rsidRPr="003B64DA" w:rsidR="00AF359B">
        <w:rPr>
          <w:sz w:val="26"/>
          <w:szCs w:val="26"/>
        </w:rPr>
        <w:t xml:space="preserve">In addition, </w:t>
      </w:r>
      <w:r w:rsidRPr="003B64DA">
        <w:rPr>
          <w:sz w:val="26"/>
          <w:szCs w:val="26"/>
        </w:rPr>
        <w:t>six RTOs/ISOs in the United States subject to this rulemaking.</w:t>
      </w:r>
    </w:p>
    <w:p w:rsidRPr="002E1A36" w:rsidR="00E54653" w:rsidP="00444834" w:rsidRDefault="00E54653" w14:paraId="467C703D" w14:textId="77777777">
      <w:pPr>
        <w:rPr>
          <w:sz w:val="26"/>
          <w:szCs w:val="26"/>
        </w:rPr>
      </w:pPr>
    </w:p>
    <w:p w:rsidRPr="003B64DA" w:rsidR="00444834" w:rsidP="00444834" w:rsidRDefault="00444834" w14:paraId="207FCD47" w14:textId="353B0726">
      <w:pPr>
        <w:rPr>
          <w:sz w:val="26"/>
          <w:szCs w:val="26"/>
        </w:rPr>
      </w:pPr>
      <w:r w:rsidRPr="002E1A36">
        <w:rPr>
          <w:sz w:val="26"/>
          <w:szCs w:val="26"/>
        </w:rPr>
        <w:t xml:space="preserve">The burden and cost estimates below are based on the need for applicable entities to revise documentation, already required by the </w:t>
      </w:r>
      <w:r w:rsidRPr="002E1A36">
        <w:rPr>
          <w:i/>
          <w:iCs/>
          <w:sz w:val="26"/>
          <w:szCs w:val="26"/>
        </w:rPr>
        <w:t>pro forma</w:t>
      </w:r>
      <w:r w:rsidRPr="002E1A36">
        <w:rPr>
          <w:sz w:val="26"/>
          <w:szCs w:val="26"/>
        </w:rPr>
        <w:t xml:space="preserve"> OATT and the Commission’s </w:t>
      </w:r>
      <w:r w:rsidRPr="002E1A36">
        <w:rPr>
          <w:sz w:val="26"/>
          <w:szCs w:val="26"/>
        </w:rPr>
        <w:lastRenderedPageBreak/>
        <w:t>regulations as well as Reliability Standard FAC-008-5, Facility Ratings.</w:t>
      </w:r>
      <w:r w:rsidRPr="003B64DA">
        <w:rPr>
          <w:b/>
          <w:sz w:val="26"/>
          <w:szCs w:val="26"/>
          <w:vertAlign w:val="superscript"/>
        </w:rPr>
        <w:footnoteReference w:id="11"/>
      </w:r>
    </w:p>
    <w:p w:rsidRPr="003B64DA" w:rsidR="007C2808" w:rsidP="006B05DE" w:rsidRDefault="00444834" w14:paraId="13EEE2FC" w14:textId="0F08037C">
      <w:pPr>
        <w:rPr>
          <w:sz w:val="26"/>
          <w:szCs w:val="26"/>
        </w:rPr>
      </w:pPr>
      <w:r w:rsidRPr="003B64DA">
        <w:rPr>
          <w:sz w:val="26"/>
          <w:szCs w:val="26"/>
        </w:rPr>
        <w:t>The Commission estimates that the final rule will affect the burden</w:t>
      </w:r>
      <w:r w:rsidRPr="003B64DA">
        <w:rPr>
          <w:b/>
          <w:sz w:val="26"/>
          <w:szCs w:val="26"/>
          <w:vertAlign w:val="superscript"/>
        </w:rPr>
        <w:footnoteReference w:id="12"/>
      </w:r>
      <w:r w:rsidRPr="003B64DA">
        <w:rPr>
          <w:sz w:val="26"/>
          <w:szCs w:val="26"/>
        </w:rPr>
        <w:t xml:space="preserve"> and cost of FERC-516H and FERC-725A as follows:</w:t>
      </w:r>
    </w:p>
    <w:p w:rsidRPr="003B64DA" w:rsidR="003C4E53" w:rsidP="006B05DE" w:rsidRDefault="003C4E53" w14:paraId="417A5662" w14:textId="77777777">
      <w:pPr>
        <w:rPr>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37"/>
        <w:gridCol w:w="1631"/>
        <w:gridCol w:w="28"/>
        <w:gridCol w:w="1440"/>
        <w:gridCol w:w="1438"/>
        <w:gridCol w:w="1365"/>
        <w:gridCol w:w="1511"/>
      </w:tblGrid>
      <w:tr w:rsidRPr="002E1A36" w:rsidR="00EF1246" w:rsidTr="000E5E99" w14:paraId="5061A094" w14:textId="77777777">
        <w:trPr>
          <w:cantSplit/>
          <w:trHeight w:val="197"/>
        </w:trPr>
        <w:tc>
          <w:tcPr>
            <w:tcW w:w="1036" w:type="pct"/>
            <w:shd w:val="clear" w:color="auto" w:fill="D9D9D9"/>
          </w:tcPr>
          <w:p w:rsidRPr="003B64DA" w:rsidR="00444834" w:rsidP="004F4DD8" w:rsidRDefault="00444834" w14:paraId="6C3E7C6A" w14:textId="77777777">
            <w:pPr>
              <w:rPr>
                <w:b/>
                <w:bCs/>
                <w:sz w:val="26"/>
                <w:szCs w:val="26"/>
              </w:rPr>
            </w:pPr>
            <w:r w:rsidRPr="003B64DA">
              <w:rPr>
                <w:b/>
                <w:bCs/>
                <w:sz w:val="26"/>
                <w:szCs w:val="26"/>
              </w:rPr>
              <w:t>A.</w:t>
            </w:r>
          </w:p>
          <w:p w:rsidRPr="002E1A36" w:rsidR="00444834" w:rsidP="004F4DD8" w:rsidRDefault="00444834" w14:paraId="3437E139" w14:textId="77777777">
            <w:pPr>
              <w:rPr>
                <w:b/>
                <w:bCs/>
                <w:sz w:val="26"/>
                <w:szCs w:val="26"/>
              </w:rPr>
            </w:pPr>
            <w:r w:rsidRPr="002E1A36">
              <w:rPr>
                <w:b/>
                <w:bCs/>
                <w:sz w:val="26"/>
                <w:szCs w:val="26"/>
              </w:rPr>
              <w:t>Area of Modification</w:t>
            </w:r>
          </w:p>
        </w:tc>
        <w:tc>
          <w:tcPr>
            <w:tcW w:w="887" w:type="pct"/>
            <w:gridSpan w:val="2"/>
            <w:shd w:val="clear" w:color="auto" w:fill="D9D9D9"/>
          </w:tcPr>
          <w:p w:rsidRPr="002E1A36" w:rsidR="00444834" w:rsidP="004F4DD8" w:rsidRDefault="00444834" w14:paraId="5EC82524" w14:textId="77777777">
            <w:pPr>
              <w:rPr>
                <w:b/>
                <w:bCs/>
                <w:sz w:val="26"/>
                <w:szCs w:val="26"/>
              </w:rPr>
            </w:pPr>
            <w:r w:rsidRPr="002E1A36">
              <w:rPr>
                <w:b/>
                <w:bCs/>
                <w:sz w:val="26"/>
                <w:szCs w:val="26"/>
              </w:rPr>
              <w:t>B.</w:t>
            </w:r>
          </w:p>
          <w:p w:rsidRPr="002E1A36" w:rsidR="00444834" w:rsidP="004F4DD8" w:rsidRDefault="00444834" w14:paraId="3F45C353" w14:textId="77777777">
            <w:pPr>
              <w:rPr>
                <w:b/>
                <w:bCs/>
                <w:sz w:val="26"/>
                <w:szCs w:val="26"/>
              </w:rPr>
            </w:pPr>
            <w:r w:rsidRPr="002E1A36">
              <w:rPr>
                <w:b/>
                <w:bCs/>
                <w:sz w:val="26"/>
                <w:szCs w:val="26"/>
              </w:rPr>
              <w:t>Number of Respondents</w:t>
            </w:r>
          </w:p>
          <w:p w:rsidRPr="002E1A36" w:rsidR="00444834" w:rsidP="004F4DD8" w:rsidRDefault="00444834" w14:paraId="72631A8B" w14:textId="77777777">
            <w:pPr>
              <w:rPr>
                <w:b/>
                <w:bCs/>
                <w:sz w:val="26"/>
                <w:szCs w:val="26"/>
              </w:rPr>
            </w:pPr>
          </w:p>
        </w:tc>
        <w:tc>
          <w:tcPr>
            <w:tcW w:w="770" w:type="pct"/>
            <w:shd w:val="clear" w:color="auto" w:fill="D9D9D9"/>
          </w:tcPr>
          <w:p w:rsidRPr="002E1A36" w:rsidR="00444834" w:rsidP="004F4DD8" w:rsidRDefault="00444834" w14:paraId="5EFE4D11" w14:textId="77777777">
            <w:pPr>
              <w:rPr>
                <w:b/>
                <w:bCs/>
                <w:sz w:val="26"/>
                <w:szCs w:val="26"/>
              </w:rPr>
            </w:pPr>
            <w:r w:rsidRPr="002E1A36">
              <w:rPr>
                <w:b/>
                <w:bCs/>
                <w:sz w:val="26"/>
                <w:szCs w:val="26"/>
              </w:rPr>
              <w:t>C.</w:t>
            </w:r>
          </w:p>
          <w:p w:rsidRPr="002E1A36" w:rsidR="00444834" w:rsidP="004F4DD8" w:rsidRDefault="00444834" w14:paraId="5CDF67B4" w14:textId="77777777">
            <w:pPr>
              <w:rPr>
                <w:b/>
                <w:bCs/>
                <w:sz w:val="26"/>
                <w:szCs w:val="26"/>
              </w:rPr>
            </w:pPr>
            <w:r w:rsidRPr="002E1A36">
              <w:rPr>
                <w:b/>
                <w:bCs/>
                <w:sz w:val="26"/>
                <w:szCs w:val="26"/>
              </w:rPr>
              <w:t>Annual Estimated Number of Responses per Respondent</w:t>
            </w:r>
          </w:p>
          <w:p w:rsidRPr="002E1A36" w:rsidR="00444834" w:rsidP="004F4DD8" w:rsidRDefault="00444834" w14:paraId="019A5F21" w14:textId="77777777">
            <w:pPr>
              <w:rPr>
                <w:b/>
                <w:bCs/>
                <w:sz w:val="26"/>
                <w:szCs w:val="26"/>
              </w:rPr>
            </w:pPr>
          </w:p>
        </w:tc>
        <w:tc>
          <w:tcPr>
            <w:tcW w:w="769" w:type="pct"/>
            <w:shd w:val="clear" w:color="auto" w:fill="D9D9D9"/>
          </w:tcPr>
          <w:p w:rsidRPr="002E1A36" w:rsidR="00444834" w:rsidP="004F4DD8" w:rsidRDefault="00444834" w14:paraId="1A401656" w14:textId="77777777">
            <w:pPr>
              <w:rPr>
                <w:b/>
                <w:bCs/>
                <w:sz w:val="26"/>
                <w:szCs w:val="26"/>
              </w:rPr>
            </w:pPr>
            <w:r w:rsidRPr="002E1A36">
              <w:rPr>
                <w:b/>
                <w:bCs/>
                <w:sz w:val="26"/>
                <w:szCs w:val="26"/>
              </w:rPr>
              <w:t>D.</w:t>
            </w:r>
          </w:p>
          <w:p w:rsidRPr="002E1A36" w:rsidR="00444834" w:rsidP="004F4DD8" w:rsidRDefault="00444834" w14:paraId="27A58E34" w14:textId="77777777">
            <w:pPr>
              <w:rPr>
                <w:b/>
                <w:bCs/>
                <w:sz w:val="26"/>
                <w:szCs w:val="26"/>
              </w:rPr>
            </w:pPr>
            <w:r w:rsidRPr="002E1A36">
              <w:rPr>
                <w:b/>
                <w:bCs/>
                <w:sz w:val="26"/>
                <w:szCs w:val="26"/>
              </w:rPr>
              <w:t>Annual Estimated Number of Responses</w:t>
            </w:r>
          </w:p>
          <w:p w:rsidRPr="002E1A36" w:rsidR="00444834" w:rsidP="004F4DD8" w:rsidRDefault="00444834" w14:paraId="154D1F45" w14:textId="77777777">
            <w:pPr>
              <w:rPr>
                <w:b/>
                <w:bCs/>
                <w:sz w:val="26"/>
                <w:szCs w:val="26"/>
              </w:rPr>
            </w:pPr>
            <w:r w:rsidRPr="002E1A36">
              <w:rPr>
                <w:b/>
                <w:bCs/>
                <w:sz w:val="26"/>
                <w:szCs w:val="26"/>
              </w:rPr>
              <w:t>(Column B X Column C)</w:t>
            </w:r>
          </w:p>
          <w:p w:rsidRPr="002E1A36" w:rsidR="00444834" w:rsidP="004F4DD8" w:rsidRDefault="00444834" w14:paraId="4AB56901" w14:textId="77777777">
            <w:pPr>
              <w:rPr>
                <w:b/>
                <w:bCs/>
                <w:sz w:val="26"/>
                <w:szCs w:val="26"/>
              </w:rPr>
            </w:pPr>
          </w:p>
        </w:tc>
        <w:tc>
          <w:tcPr>
            <w:tcW w:w="730" w:type="pct"/>
            <w:shd w:val="clear" w:color="auto" w:fill="D9D9D9"/>
          </w:tcPr>
          <w:p w:rsidRPr="002E1A36" w:rsidR="00444834" w:rsidP="004F4DD8" w:rsidRDefault="00444834" w14:paraId="2C8A1FC6" w14:textId="77777777">
            <w:pPr>
              <w:rPr>
                <w:b/>
                <w:bCs/>
                <w:sz w:val="26"/>
                <w:szCs w:val="26"/>
              </w:rPr>
            </w:pPr>
            <w:r w:rsidRPr="002E1A36">
              <w:rPr>
                <w:b/>
                <w:bCs/>
                <w:sz w:val="26"/>
                <w:szCs w:val="26"/>
              </w:rPr>
              <w:t>E.</w:t>
            </w:r>
          </w:p>
          <w:p w:rsidRPr="003B64DA" w:rsidR="00444834" w:rsidP="004F4DD8" w:rsidRDefault="00444834" w14:paraId="49F1A6FA" w14:textId="77777777">
            <w:pPr>
              <w:rPr>
                <w:b/>
                <w:bCs/>
                <w:sz w:val="26"/>
                <w:szCs w:val="26"/>
              </w:rPr>
            </w:pPr>
            <w:r w:rsidRPr="002E1A36">
              <w:rPr>
                <w:b/>
                <w:bCs/>
                <w:sz w:val="26"/>
                <w:szCs w:val="26"/>
              </w:rPr>
              <w:t>Average Burden Hours &amp; Cost</w:t>
            </w:r>
            <w:r w:rsidRPr="003B64DA">
              <w:rPr>
                <w:b/>
                <w:bCs/>
                <w:sz w:val="26"/>
                <w:szCs w:val="26"/>
                <w:vertAlign w:val="superscript"/>
              </w:rPr>
              <w:footnoteReference w:id="13"/>
            </w:r>
            <w:r w:rsidRPr="003B64DA">
              <w:rPr>
                <w:b/>
                <w:bCs/>
                <w:sz w:val="26"/>
                <w:szCs w:val="26"/>
              </w:rPr>
              <w:t xml:space="preserve"> per Response</w:t>
            </w:r>
          </w:p>
          <w:p w:rsidRPr="002E1A36" w:rsidR="00444834" w:rsidP="004F4DD8" w:rsidRDefault="00444834" w14:paraId="569F9990" w14:textId="77777777">
            <w:pPr>
              <w:rPr>
                <w:b/>
                <w:bCs/>
                <w:sz w:val="26"/>
                <w:szCs w:val="26"/>
              </w:rPr>
            </w:pPr>
          </w:p>
        </w:tc>
        <w:tc>
          <w:tcPr>
            <w:tcW w:w="808" w:type="pct"/>
            <w:shd w:val="clear" w:color="auto" w:fill="D9D9D9"/>
          </w:tcPr>
          <w:p w:rsidRPr="002E1A36" w:rsidR="00444834" w:rsidP="004F4DD8" w:rsidRDefault="00444834" w14:paraId="43D313DC" w14:textId="77777777">
            <w:pPr>
              <w:rPr>
                <w:b/>
                <w:bCs/>
                <w:sz w:val="26"/>
                <w:szCs w:val="26"/>
              </w:rPr>
            </w:pPr>
            <w:r w:rsidRPr="002E1A36">
              <w:rPr>
                <w:b/>
                <w:bCs/>
                <w:sz w:val="26"/>
                <w:szCs w:val="26"/>
              </w:rPr>
              <w:t>F.</w:t>
            </w:r>
          </w:p>
          <w:p w:rsidRPr="002E1A36" w:rsidR="00444834" w:rsidP="004F4DD8" w:rsidRDefault="00444834" w14:paraId="13ADC401" w14:textId="77777777">
            <w:pPr>
              <w:rPr>
                <w:b/>
                <w:bCs/>
                <w:sz w:val="26"/>
                <w:szCs w:val="26"/>
              </w:rPr>
            </w:pPr>
            <w:r w:rsidRPr="002E1A36">
              <w:rPr>
                <w:b/>
                <w:bCs/>
                <w:sz w:val="26"/>
                <w:szCs w:val="26"/>
              </w:rPr>
              <w:t>Total Estimated Burden Hours &amp; Total Estimated Cost</w:t>
            </w:r>
          </w:p>
          <w:p w:rsidRPr="002E1A36" w:rsidR="00444834" w:rsidP="004F4DD8" w:rsidRDefault="00444834" w14:paraId="0C450F1E" w14:textId="77777777">
            <w:pPr>
              <w:rPr>
                <w:b/>
                <w:bCs/>
                <w:sz w:val="26"/>
                <w:szCs w:val="26"/>
              </w:rPr>
            </w:pPr>
            <w:r w:rsidRPr="002E1A36">
              <w:rPr>
                <w:b/>
                <w:bCs/>
                <w:sz w:val="26"/>
                <w:szCs w:val="26"/>
              </w:rPr>
              <w:t>(Column D x Column E)</w:t>
            </w:r>
          </w:p>
        </w:tc>
      </w:tr>
      <w:tr w:rsidRPr="002E1A36" w:rsidR="00444834" w:rsidTr="000E5E99" w14:paraId="3A9CCC3F" w14:textId="77777777">
        <w:trPr>
          <w:cantSplit/>
          <w:trHeight w:val="197"/>
        </w:trPr>
        <w:tc>
          <w:tcPr>
            <w:tcW w:w="5000" w:type="pct"/>
            <w:gridSpan w:val="7"/>
            <w:shd w:val="clear" w:color="auto" w:fill="D9D9D9"/>
          </w:tcPr>
          <w:p w:rsidRPr="003B64DA" w:rsidR="00444834" w:rsidP="004F4DD8" w:rsidRDefault="00444834" w14:paraId="4C5A2DD3" w14:textId="156D20A3">
            <w:pPr>
              <w:rPr>
                <w:b/>
                <w:bCs/>
                <w:sz w:val="26"/>
                <w:szCs w:val="26"/>
              </w:rPr>
            </w:pPr>
            <w:r w:rsidRPr="003B64DA">
              <w:rPr>
                <w:b/>
                <w:bCs/>
                <w:sz w:val="26"/>
                <w:szCs w:val="26"/>
              </w:rPr>
              <w:t>FERC-516H, Pro Forma Open Access Transmission Tariff (Control No. 1902-0</w:t>
            </w:r>
            <w:r w:rsidRPr="003B64DA" w:rsidR="00CF3884">
              <w:rPr>
                <w:b/>
                <w:bCs/>
                <w:sz w:val="26"/>
                <w:szCs w:val="26"/>
              </w:rPr>
              <w:t>303</w:t>
            </w:r>
            <w:r w:rsidRPr="003B64DA">
              <w:rPr>
                <w:b/>
                <w:bCs/>
                <w:sz w:val="26"/>
                <w:szCs w:val="26"/>
              </w:rPr>
              <w:t>)</w:t>
            </w:r>
          </w:p>
        </w:tc>
      </w:tr>
      <w:tr w:rsidRPr="002E1A36" w:rsidR="00EF1246" w:rsidTr="000E5E99" w14:paraId="742A0196" w14:textId="77777777">
        <w:trPr>
          <w:cantSplit/>
          <w:trHeight w:val="197"/>
        </w:trPr>
        <w:tc>
          <w:tcPr>
            <w:tcW w:w="1036" w:type="pct"/>
            <w:vAlign w:val="bottom"/>
          </w:tcPr>
          <w:p w:rsidRPr="002E1A36" w:rsidR="00444834" w:rsidP="004F4DD8" w:rsidRDefault="00444834" w14:paraId="2C546980" w14:textId="77777777">
            <w:pPr>
              <w:rPr>
                <w:sz w:val="26"/>
                <w:szCs w:val="26"/>
              </w:rPr>
            </w:pPr>
            <w:r w:rsidRPr="003B64DA">
              <w:rPr>
                <w:sz w:val="26"/>
                <w:szCs w:val="26"/>
              </w:rPr>
              <w:lastRenderedPageBreak/>
              <w:t>For point-to-point transmission service requests within ten days, use AARs in determining ATC and TTC.  (One-Time Burden in Year 1)</w:t>
            </w:r>
          </w:p>
        </w:tc>
        <w:tc>
          <w:tcPr>
            <w:tcW w:w="872" w:type="pct"/>
            <w:vAlign w:val="bottom"/>
          </w:tcPr>
          <w:p w:rsidRPr="003B64DA" w:rsidR="00444834" w:rsidP="004F4DD8" w:rsidRDefault="00444834" w14:paraId="3D601A75" w14:textId="77777777">
            <w:pPr>
              <w:rPr>
                <w:sz w:val="26"/>
                <w:szCs w:val="26"/>
              </w:rPr>
            </w:pPr>
            <w:r w:rsidRPr="002E1A36">
              <w:rPr>
                <w:sz w:val="26"/>
                <w:szCs w:val="26"/>
              </w:rPr>
              <w:t>129 (TOs</w:t>
            </w:r>
            <w:r w:rsidRPr="003B64DA">
              <w:rPr>
                <w:b/>
                <w:sz w:val="26"/>
                <w:szCs w:val="26"/>
                <w:vertAlign w:val="superscript"/>
              </w:rPr>
              <w:footnoteReference w:id="14"/>
            </w:r>
            <w:r w:rsidRPr="003B64DA">
              <w:rPr>
                <w:sz w:val="26"/>
                <w:szCs w:val="26"/>
              </w:rPr>
              <w:t xml:space="preserve"> not in RTOs/ ISOs</w:t>
            </w:r>
            <w:r w:rsidRPr="003B64DA">
              <w:rPr>
                <w:b/>
                <w:sz w:val="26"/>
                <w:szCs w:val="26"/>
                <w:vertAlign w:val="superscript"/>
              </w:rPr>
              <w:footnoteReference w:id="15"/>
            </w:r>
            <w:r w:rsidRPr="003B64DA">
              <w:rPr>
                <w:sz w:val="26"/>
                <w:szCs w:val="26"/>
              </w:rPr>
              <w:t>)</w:t>
            </w:r>
          </w:p>
        </w:tc>
        <w:tc>
          <w:tcPr>
            <w:tcW w:w="785" w:type="pct"/>
            <w:gridSpan w:val="2"/>
            <w:vAlign w:val="bottom"/>
          </w:tcPr>
          <w:p w:rsidRPr="002E1A36" w:rsidR="00444834" w:rsidP="004F4DD8" w:rsidRDefault="00444834" w14:paraId="2AE3D4DE" w14:textId="77777777">
            <w:pPr>
              <w:rPr>
                <w:sz w:val="26"/>
                <w:szCs w:val="26"/>
              </w:rPr>
            </w:pPr>
            <w:r w:rsidRPr="002E1A36">
              <w:rPr>
                <w:sz w:val="26"/>
                <w:szCs w:val="26"/>
              </w:rPr>
              <w:t>1</w:t>
            </w:r>
          </w:p>
        </w:tc>
        <w:tc>
          <w:tcPr>
            <w:tcW w:w="769" w:type="pct"/>
            <w:vAlign w:val="bottom"/>
          </w:tcPr>
          <w:p w:rsidRPr="002E1A36" w:rsidR="00444834" w:rsidP="004F4DD8" w:rsidRDefault="00444834" w14:paraId="016A24BD" w14:textId="77777777">
            <w:pPr>
              <w:rPr>
                <w:sz w:val="26"/>
                <w:szCs w:val="26"/>
              </w:rPr>
            </w:pPr>
            <w:r w:rsidRPr="002E1A36">
              <w:rPr>
                <w:sz w:val="26"/>
                <w:szCs w:val="26"/>
              </w:rPr>
              <w:t>129</w:t>
            </w:r>
          </w:p>
        </w:tc>
        <w:tc>
          <w:tcPr>
            <w:tcW w:w="730" w:type="pct"/>
            <w:vAlign w:val="bottom"/>
          </w:tcPr>
          <w:p w:rsidRPr="002E1A36" w:rsidR="00444834" w:rsidP="004F4DD8" w:rsidRDefault="00444834" w14:paraId="60102333" w14:textId="77777777">
            <w:pPr>
              <w:rPr>
                <w:sz w:val="26"/>
                <w:szCs w:val="26"/>
              </w:rPr>
            </w:pPr>
            <w:r w:rsidRPr="002E1A36">
              <w:rPr>
                <w:sz w:val="26"/>
                <w:szCs w:val="26"/>
              </w:rPr>
              <w:t xml:space="preserve">1,440 </w:t>
            </w:r>
            <w:proofErr w:type="spellStart"/>
            <w:r w:rsidRPr="002E1A36">
              <w:rPr>
                <w:sz w:val="26"/>
                <w:szCs w:val="26"/>
              </w:rPr>
              <w:t>hrs</w:t>
            </w:r>
            <w:proofErr w:type="spellEnd"/>
            <w:r w:rsidRPr="002E1A36">
              <w:rPr>
                <w:sz w:val="26"/>
                <w:szCs w:val="26"/>
              </w:rPr>
              <w:t>; $120,485</w:t>
            </w:r>
          </w:p>
        </w:tc>
        <w:tc>
          <w:tcPr>
            <w:tcW w:w="808" w:type="pct"/>
            <w:vAlign w:val="bottom"/>
          </w:tcPr>
          <w:p w:rsidRPr="002E1A36" w:rsidR="00444834" w:rsidP="004F4DD8" w:rsidRDefault="00444834" w14:paraId="662352BD" w14:textId="55FFE711">
            <w:pPr>
              <w:rPr>
                <w:sz w:val="26"/>
                <w:szCs w:val="26"/>
              </w:rPr>
            </w:pPr>
            <w:r w:rsidRPr="002E1A36">
              <w:rPr>
                <w:sz w:val="26"/>
                <w:szCs w:val="26"/>
              </w:rPr>
              <w:t xml:space="preserve">185,760 </w:t>
            </w:r>
            <w:proofErr w:type="spellStart"/>
            <w:r w:rsidRPr="002E1A36">
              <w:rPr>
                <w:sz w:val="26"/>
                <w:szCs w:val="26"/>
              </w:rPr>
              <w:t>hrs</w:t>
            </w:r>
            <w:proofErr w:type="spellEnd"/>
            <w:r w:rsidRPr="002E1A36">
              <w:rPr>
                <w:sz w:val="26"/>
                <w:szCs w:val="26"/>
              </w:rPr>
              <w:t>; $15,542,539</w:t>
            </w:r>
            <w:r w:rsidR="00623B15">
              <w:rPr>
                <w:sz w:val="26"/>
                <w:szCs w:val="26"/>
              </w:rPr>
              <w:t>39</w:t>
            </w:r>
          </w:p>
        </w:tc>
      </w:tr>
      <w:tr w:rsidRPr="002E1A36" w:rsidR="00EF1246" w:rsidTr="000E5E99" w14:paraId="7895CE3A" w14:textId="77777777">
        <w:trPr>
          <w:cantSplit/>
          <w:trHeight w:val="197"/>
        </w:trPr>
        <w:tc>
          <w:tcPr>
            <w:tcW w:w="1036" w:type="pct"/>
          </w:tcPr>
          <w:p w:rsidRPr="002E1A36" w:rsidR="00444834" w:rsidP="004F4DD8" w:rsidRDefault="00444834" w14:paraId="0A8BCB09" w14:textId="77777777">
            <w:pPr>
              <w:rPr>
                <w:sz w:val="26"/>
                <w:szCs w:val="26"/>
              </w:rPr>
            </w:pPr>
            <w:r w:rsidRPr="003B64DA">
              <w:rPr>
                <w:sz w:val="26"/>
                <w:szCs w:val="26"/>
              </w:rPr>
              <w:t>Where network transmission service is provided, use hourly AARs to determine curtailment or redispatch of network transmission service.  (One-Time Burden in Year 1)</w:t>
            </w:r>
          </w:p>
        </w:tc>
        <w:tc>
          <w:tcPr>
            <w:tcW w:w="872" w:type="pct"/>
            <w:vAlign w:val="bottom"/>
          </w:tcPr>
          <w:p w:rsidRPr="002E1A36" w:rsidR="00444834" w:rsidP="004F4DD8" w:rsidRDefault="00444834" w14:paraId="2FF8CF58" w14:textId="77777777">
            <w:pPr>
              <w:rPr>
                <w:sz w:val="26"/>
                <w:szCs w:val="26"/>
              </w:rPr>
            </w:pPr>
            <w:r w:rsidRPr="002E1A36">
              <w:rPr>
                <w:sz w:val="26"/>
                <w:szCs w:val="26"/>
              </w:rPr>
              <w:t>160</w:t>
            </w:r>
            <w:r w:rsidRPr="002E1A36" w:rsidDel="00990A68">
              <w:rPr>
                <w:sz w:val="26"/>
                <w:szCs w:val="26"/>
              </w:rPr>
              <w:t xml:space="preserve"> </w:t>
            </w:r>
            <w:r w:rsidRPr="002E1A36">
              <w:rPr>
                <w:sz w:val="26"/>
                <w:szCs w:val="26"/>
              </w:rPr>
              <w:t>(to account for those TOs in RTOs/ ISOs that are not included in the line above)</w:t>
            </w:r>
          </w:p>
        </w:tc>
        <w:tc>
          <w:tcPr>
            <w:tcW w:w="785" w:type="pct"/>
            <w:gridSpan w:val="2"/>
            <w:vAlign w:val="bottom"/>
          </w:tcPr>
          <w:p w:rsidRPr="002E1A36" w:rsidR="00444834" w:rsidP="004F4DD8" w:rsidRDefault="00444834" w14:paraId="773729D9" w14:textId="77777777">
            <w:pPr>
              <w:rPr>
                <w:sz w:val="26"/>
                <w:szCs w:val="26"/>
              </w:rPr>
            </w:pPr>
            <w:r w:rsidRPr="002E1A36">
              <w:rPr>
                <w:sz w:val="26"/>
                <w:szCs w:val="26"/>
              </w:rPr>
              <w:t>1</w:t>
            </w:r>
          </w:p>
        </w:tc>
        <w:tc>
          <w:tcPr>
            <w:tcW w:w="769" w:type="pct"/>
            <w:vAlign w:val="bottom"/>
          </w:tcPr>
          <w:p w:rsidRPr="002E1A36" w:rsidR="00444834" w:rsidP="004F4DD8" w:rsidRDefault="00444834" w14:paraId="1A4D6398" w14:textId="77777777">
            <w:pPr>
              <w:rPr>
                <w:sz w:val="26"/>
                <w:szCs w:val="26"/>
              </w:rPr>
            </w:pPr>
            <w:r w:rsidRPr="002E1A36">
              <w:rPr>
                <w:sz w:val="26"/>
                <w:szCs w:val="26"/>
              </w:rPr>
              <w:t>160</w:t>
            </w:r>
          </w:p>
        </w:tc>
        <w:tc>
          <w:tcPr>
            <w:tcW w:w="730" w:type="pct"/>
            <w:vAlign w:val="bottom"/>
          </w:tcPr>
          <w:p w:rsidRPr="002E1A36" w:rsidR="00444834" w:rsidP="004F4DD8" w:rsidRDefault="00444834" w14:paraId="25F27824" w14:textId="77777777">
            <w:pPr>
              <w:rPr>
                <w:sz w:val="26"/>
                <w:szCs w:val="26"/>
              </w:rPr>
            </w:pPr>
            <w:r w:rsidRPr="002E1A36">
              <w:rPr>
                <w:sz w:val="26"/>
                <w:szCs w:val="26"/>
              </w:rPr>
              <w:t xml:space="preserve">1,440 </w:t>
            </w:r>
            <w:proofErr w:type="spellStart"/>
            <w:r w:rsidRPr="002E1A36">
              <w:rPr>
                <w:sz w:val="26"/>
                <w:szCs w:val="26"/>
              </w:rPr>
              <w:t>hrs</w:t>
            </w:r>
            <w:proofErr w:type="spellEnd"/>
            <w:r w:rsidRPr="002E1A36">
              <w:rPr>
                <w:sz w:val="26"/>
                <w:szCs w:val="26"/>
              </w:rPr>
              <w:t>; $120,485</w:t>
            </w:r>
          </w:p>
        </w:tc>
        <w:tc>
          <w:tcPr>
            <w:tcW w:w="808" w:type="pct"/>
            <w:vAlign w:val="bottom"/>
          </w:tcPr>
          <w:p w:rsidRPr="002E1A36" w:rsidR="00444834" w:rsidP="004F4DD8" w:rsidRDefault="00444834" w14:paraId="61F7C036" w14:textId="3CE6716A">
            <w:pPr>
              <w:rPr>
                <w:sz w:val="26"/>
                <w:szCs w:val="26"/>
              </w:rPr>
            </w:pPr>
            <w:r w:rsidRPr="002E1A36">
              <w:rPr>
                <w:sz w:val="26"/>
                <w:szCs w:val="26"/>
              </w:rPr>
              <w:t xml:space="preserve">230,400 </w:t>
            </w:r>
            <w:proofErr w:type="spellStart"/>
            <w:r w:rsidRPr="002E1A36">
              <w:rPr>
                <w:sz w:val="26"/>
                <w:szCs w:val="26"/>
              </w:rPr>
              <w:t>hrs</w:t>
            </w:r>
            <w:proofErr w:type="spellEnd"/>
            <w:r w:rsidRPr="002E1A36">
              <w:rPr>
                <w:sz w:val="26"/>
                <w:szCs w:val="26"/>
              </w:rPr>
              <w:t>; $19,277,568</w:t>
            </w:r>
          </w:p>
        </w:tc>
      </w:tr>
      <w:tr w:rsidRPr="002E1A36" w:rsidR="00EF1246" w:rsidTr="000E5E99" w14:paraId="701949AE" w14:textId="77777777">
        <w:trPr>
          <w:cantSplit/>
          <w:trHeight w:val="197"/>
        </w:trPr>
        <w:tc>
          <w:tcPr>
            <w:tcW w:w="1036" w:type="pct"/>
            <w:vAlign w:val="bottom"/>
          </w:tcPr>
          <w:p w:rsidRPr="003B64DA" w:rsidR="00444834" w:rsidP="004F4DD8" w:rsidRDefault="00444834" w14:paraId="26157584" w14:textId="77777777">
            <w:pPr>
              <w:rPr>
                <w:sz w:val="26"/>
                <w:szCs w:val="26"/>
              </w:rPr>
            </w:pPr>
            <w:r w:rsidRPr="003B64DA">
              <w:rPr>
                <w:sz w:val="26"/>
                <w:szCs w:val="26"/>
              </w:rPr>
              <w:t>Transmission Providers to implement uniquely determined emergency ratings (One-Time Burden in Year 1)</w:t>
            </w:r>
          </w:p>
        </w:tc>
        <w:tc>
          <w:tcPr>
            <w:tcW w:w="872" w:type="pct"/>
            <w:vAlign w:val="bottom"/>
          </w:tcPr>
          <w:p w:rsidRPr="002E1A36" w:rsidR="00444834" w:rsidP="004F4DD8" w:rsidRDefault="00444834" w14:paraId="204A18E7" w14:textId="77777777">
            <w:pPr>
              <w:rPr>
                <w:sz w:val="26"/>
                <w:szCs w:val="26"/>
              </w:rPr>
            </w:pPr>
            <w:r w:rsidRPr="002E1A36">
              <w:rPr>
                <w:sz w:val="26"/>
                <w:szCs w:val="26"/>
              </w:rPr>
              <w:t>160</w:t>
            </w:r>
            <w:r w:rsidRPr="002E1A36" w:rsidDel="00990A68">
              <w:rPr>
                <w:sz w:val="26"/>
                <w:szCs w:val="26"/>
              </w:rPr>
              <w:t xml:space="preserve"> </w:t>
            </w:r>
            <w:r w:rsidRPr="002E1A36">
              <w:rPr>
                <w:sz w:val="26"/>
                <w:szCs w:val="26"/>
              </w:rPr>
              <w:t>(to account for those TOs in RTOs/ ISOs that are not included in the line above)</w:t>
            </w:r>
          </w:p>
        </w:tc>
        <w:tc>
          <w:tcPr>
            <w:tcW w:w="785" w:type="pct"/>
            <w:gridSpan w:val="2"/>
            <w:vAlign w:val="bottom"/>
          </w:tcPr>
          <w:p w:rsidRPr="002E1A36" w:rsidR="00444834" w:rsidP="004F4DD8" w:rsidRDefault="00444834" w14:paraId="55AA287D" w14:textId="77777777">
            <w:pPr>
              <w:rPr>
                <w:sz w:val="26"/>
                <w:szCs w:val="26"/>
              </w:rPr>
            </w:pPr>
            <w:r w:rsidRPr="002E1A36">
              <w:rPr>
                <w:sz w:val="26"/>
                <w:szCs w:val="26"/>
              </w:rPr>
              <w:t>1</w:t>
            </w:r>
          </w:p>
        </w:tc>
        <w:tc>
          <w:tcPr>
            <w:tcW w:w="769" w:type="pct"/>
            <w:vAlign w:val="bottom"/>
          </w:tcPr>
          <w:p w:rsidRPr="002E1A36" w:rsidR="00444834" w:rsidP="004F4DD8" w:rsidRDefault="00444834" w14:paraId="7BE023B1" w14:textId="77777777">
            <w:pPr>
              <w:rPr>
                <w:sz w:val="26"/>
                <w:szCs w:val="26"/>
              </w:rPr>
            </w:pPr>
            <w:r w:rsidRPr="002E1A36">
              <w:rPr>
                <w:sz w:val="26"/>
                <w:szCs w:val="26"/>
              </w:rPr>
              <w:t>160</w:t>
            </w:r>
          </w:p>
        </w:tc>
        <w:tc>
          <w:tcPr>
            <w:tcW w:w="730" w:type="pct"/>
            <w:vAlign w:val="bottom"/>
          </w:tcPr>
          <w:p w:rsidRPr="002E1A36" w:rsidR="00444834" w:rsidP="004F4DD8" w:rsidRDefault="00444834" w14:paraId="60C626CC" w14:textId="77777777">
            <w:pPr>
              <w:rPr>
                <w:sz w:val="26"/>
                <w:szCs w:val="26"/>
              </w:rPr>
            </w:pPr>
            <w:r w:rsidRPr="002E1A36">
              <w:rPr>
                <w:sz w:val="26"/>
                <w:szCs w:val="26"/>
              </w:rPr>
              <w:t xml:space="preserve">360 </w:t>
            </w:r>
            <w:proofErr w:type="spellStart"/>
            <w:r w:rsidRPr="002E1A36">
              <w:rPr>
                <w:sz w:val="26"/>
                <w:szCs w:val="26"/>
              </w:rPr>
              <w:t>hrs</w:t>
            </w:r>
            <w:proofErr w:type="spellEnd"/>
            <w:r w:rsidRPr="002E1A36">
              <w:rPr>
                <w:sz w:val="26"/>
                <w:szCs w:val="26"/>
              </w:rPr>
              <w:t xml:space="preserve">; </w:t>
            </w:r>
          </w:p>
          <w:p w:rsidRPr="002E1A36" w:rsidR="00444834" w:rsidP="004F4DD8" w:rsidRDefault="00444834" w14:paraId="2CCB56B9" w14:textId="77777777">
            <w:pPr>
              <w:rPr>
                <w:sz w:val="26"/>
                <w:szCs w:val="26"/>
              </w:rPr>
            </w:pPr>
            <w:r w:rsidRPr="002E1A36">
              <w:rPr>
                <w:sz w:val="26"/>
                <w:szCs w:val="26"/>
              </w:rPr>
              <w:t>$30,121</w:t>
            </w:r>
          </w:p>
        </w:tc>
        <w:tc>
          <w:tcPr>
            <w:tcW w:w="808" w:type="pct"/>
            <w:vAlign w:val="bottom"/>
          </w:tcPr>
          <w:p w:rsidRPr="002E1A36" w:rsidR="00444834" w:rsidP="004F4DD8" w:rsidRDefault="00444834" w14:paraId="0FCABF4B" w14:textId="0E5395D8">
            <w:pPr>
              <w:rPr>
                <w:sz w:val="26"/>
                <w:szCs w:val="26"/>
              </w:rPr>
            </w:pPr>
            <w:r w:rsidRPr="002E1A36">
              <w:rPr>
                <w:sz w:val="26"/>
                <w:szCs w:val="26"/>
              </w:rPr>
              <w:t xml:space="preserve">57,600 </w:t>
            </w:r>
            <w:proofErr w:type="spellStart"/>
            <w:r w:rsidRPr="002E1A36">
              <w:rPr>
                <w:sz w:val="26"/>
                <w:szCs w:val="26"/>
              </w:rPr>
              <w:t>hrs</w:t>
            </w:r>
            <w:proofErr w:type="spellEnd"/>
            <w:r w:rsidRPr="002E1A36">
              <w:rPr>
                <w:sz w:val="26"/>
                <w:szCs w:val="26"/>
              </w:rPr>
              <w:t>; $4,819,392</w:t>
            </w:r>
          </w:p>
        </w:tc>
      </w:tr>
      <w:tr w:rsidRPr="002E1A36" w:rsidR="00EF1246" w:rsidTr="000E5E99" w14:paraId="43D8064E" w14:textId="77777777">
        <w:trPr>
          <w:cantSplit/>
          <w:trHeight w:val="197"/>
        </w:trPr>
        <w:tc>
          <w:tcPr>
            <w:tcW w:w="1036" w:type="pct"/>
            <w:vAlign w:val="bottom"/>
          </w:tcPr>
          <w:p w:rsidRPr="003B64DA" w:rsidR="00444834" w:rsidP="004F4DD8" w:rsidRDefault="00444834" w14:paraId="152C8336" w14:textId="77777777">
            <w:pPr>
              <w:rPr>
                <w:sz w:val="26"/>
                <w:szCs w:val="26"/>
              </w:rPr>
            </w:pPr>
            <w:r w:rsidRPr="003B64DA">
              <w:rPr>
                <w:sz w:val="26"/>
                <w:szCs w:val="26"/>
              </w:rPr>
              <w:lastRenderedPageBreak/>
              <w:t>Implement software and systems to communicate the required transmission line ratings with relevant parties.</w:t>
            </w:r>
          </w:p>
          <w:p w:rsidRPr="002E1A36" w:rsidR="00444834" w:rsidP="004F4DD8" w:rsidRDefault="00444834" w14:paraId="67B270C7" w14:textId="77777777">
            <w:pPr>
              <w:rPr>
                <w:sz w:val="26"/>
                <w:szCs w:val="26"/>
              </w:rPr>
            </w:pPr>
            <w:r w:rsidRPr="002E1A36">
              <w:rPr>
                <w:sz w:val="26"/>
                <w:szCs w:val="26"/>
              </w:rPr>
              <w:t xml:space="preserve"> (One-Time Burden in Year 1)</w:t>
            </w:r>
          </w:p>
        </w:tc>
        <w:tc>
          <w:tcPr>
            <w:tcW w:w="872" w:type="pct"/>
            <w:vAlign w:val="bottom"/>
          </w:tcPr>
          <w:p w:rsidRPr="003B64DA" w:rsidR="00444834" w:rsidP="004F4DD8" w:rsidRDefault="00444834" w14:paraId="439D6B0B" w14:textId="77777777">
            <w:pPr>
              <w:rPr>
                <w:sz w:val="26"/>
                <w:szCs w:val="26"/>
              </w:rPr>
            </w:pPr>
            <w:r w:rsidRPr="002E1A36">
              <w:rPr>
                <w:sz w:val="26"/>
                <w:szCs w:val="26"/>
              </w:rPr>
              <w:t>78 (TSPs</w:t>
            </w:r>
            <w:r w:rsidRPr="003B64DA">
              <w:rPr>
                <w:b/>
                <w:sz w:val="26"/>
                <w:szCs w:val="26"/>
                <w:vertAlign w:val="superscript"/>
              </w:rPr>
              <w:footnoteReference w:id="16"/>
            </w:r>
            <w:r w:rsidRPr="003B64DA">
              <w:rPr>
                <w:sz w:val="26"/>
                <w:szCs w:val="26"/>
              </w:rPr>
              <w:t xml:space="preserve">) </w:t>
            </w:r>
          </w:p>
        </w:tc>
        <w:tc>
          <w:tcPr>
            <w:tcW w:w="785" w:type="pct"/>
            <w:gridSpan w:val="2"/>
            <w:vAlign w:val="bottom"/>
          </w:tcPr>
          <w:p w:rsidRPr="002E1A36" w:rsidR="00444834" w:rsidP="004F4DD8" w:rsidRDefault="00444834" w14:paraId="09205C4B" w14:textId="77777777">
            <w:pPr>
              <w:rPr>
                <w:sz w:val="26"/>
                <w:szCs w:val="26"/>
              </w:rPr>
            </w:pPr>
            <w:r w:rsidRPr="002E1A36">
              <w:rPr>
                <w:sz w:val="26"/>
                <w:szCs w:val="26"/>
              </w:rPr>
              <w:t>1</w:t>
            </w:r>
          </w:p>
        </w:tc>
        <w:tc>
          <w:tcPr>
            <w:tcW w:w="769" w:type="pct"/>
            <w:vAlign w:val="bottom"/>
          </w:tcPr>
          <w:p w:rsidRPr="002E1A36" w:rsidR="00444834" w:rsidP="004F4DD8" w:rsidRDefault="00444834" w14:paraId="39814DD0" w14:textId="77777777">
            <w:pPr>
              <w:rPr>
                <w:sz w:val="26"/>
                <w:szCs w:val="26"/>
              </w:rPr>
            </w:pPr>
            <w:r w:rsidRPr="002E1A36">
              <w:rPr>
                <w:sz w:val="26"/>
                <w:szCs w:val="26"/>
              </w:rPr>
              <w:t>78</w:t>
            </w:r>
          </w:p>
        </w:tc>
        <w:tc>
          <w:tcPr>
            <w:tcW w:w="730" w:type="pct"/>
            <w:vAlign w:val="bottom"/>
          </w:tcPr>
          <w:p w:rsidRPr="002E1A36" w:rsidR="00444834" w:rsidP="004F4DD8" w:rsidRDefault="00444834" w14:paraId="3092F09E" w14:textId="77777777">
            <w:pPr>
              <w:rPr>
                <w:sz w:val="26"/>
                <w:szCs w:val="26"/>
              </w:rPr>
            </w:pPr>
            <w:r w:rsidRPr="002E1A36">
              <w:rPr>
                <w:sz w:val="26"/>
                <w:szCs w:val="26"/>
              </w:rPr>
              <w:t xml:space="preserve">352 </w:t>
            </w:r>
            <w:proofErr w:type="spellStart"/>
            <w:r w:rsidRPr="002E1A36">
              <w:rPr>
                <w:sz w:val="26"/>
                <w:szCs w:val="26"/>
              </w:rPr>
              <w:t>hrs</w:t>
            </w:r>
            <w:proofErr w:type="spellEnd"/>
            <w:r w:rsidRPr="002E1A36">
              <w:rPr>
                <w:sz w:val="26"/>
                <w:szCs w:val="26"/>
              </w:rPr>
              <w:t xml:space="preserve">; </w:t>
            </w:r>
          </w:p>
          <w:p w:rsidRPr="002E1A36" w:rsidR="00444834" w:rsidP="004F4DD8" w:rsidRDefault="00444834" w14:paraId="10259EE4" w14:textId="3421C138">
            <w:pPr>
              <w:rPr>
                <w:sz w:val="26"/>
                <w:szCs w:val="26"/>
              </w:rPr>
            </w:pPr>
            <w:r w:rsidRPr="002E1A36">
              <w:rPr>
                <w:sz w:val="26"/>
                <w:szCs w:val="26"/>
              </w:rPr>
              <w:t>$29,452</w:t>
            </w:r>
          </w:p>
        </w:tc>
        <w:tc>
          <w:tcPr>
            <w:tcW w:w="808" w:type="pct"/>
            <w:vAlign w:val="bottom"/>
          </w:tcPr>
          <w:p w:rsidRPr="002E1A36" w:rsidR="00444834" w:rsidP="004F4DD8" w:rsidRDefault="00444834" w14:paraId="0E4D3ADE" w14:textId="5DEB34E5">
            <w:pPr>
              <w:rPr>
                <w:sz w:val="26"/>
                <w:szCs w:val="26"/>
              </w:rPr>
            </w:pPr>
            <w:r w:rsidRPr="002E1A36">
              <w:rPr>
                <w:sz w:val="26"/>
                <w:szCs w:val="26"/>
              </w:rPr>
              <w:t xml:space="preserve">27,456 </w:t>
            </w:r>
            <w:proofErr w:type="spellStart"/>
            <w:r w:rsidRPr="002E1A36">
              <w:rPr>
                <w:sz w:val="26"/>
                <w:szCs w:val="26"/>
              </w:rPr>
              <w:t>hrs</w:t>
            </w:r>
            <w:proofErr w:type="spellEnd"/>
            <w:r w:rsidRPr="002E1A36">
              <w:rPr>
                <w:sz w:val="26"/>
                <w:szCs w:val="26"/>
              </w:rPr>
              <w:t>; $2,297,243</w:t>
            </w:r>
          </w:p>
        </w:tc>
      </w:tr>
      <w:tr w:rsidRPr="002E1A36" w:rsidR="00EF1246" w:rsidTr="000E5E99" w14:paraId="51AC4ED3" w14:textId="77777777">
        <w:trPr>
          <w:cantSplit/>
          <w:trHeight w:val="197"/>
        </w:trPr>
        <w:tc>
          <w:tcPr>
            <w:tcW w:w="1036" w:type="pct"/>
          </w:tcPr>
          <w:p w:rsidRPr="002E1A36" w:rsidR="00444834" w:rsidP="004F4DD8" w:rsidRDefault="00444834" w14:paraId="5176A5E4" w14:textId="77777777">
            <w:pPr>
              <w:rPr>
                <w:sz w:val="26"/>
                <w:szCs w:val="26"/>
              </w:rPr>
            </w:pPr>
            <w:r w:rsidRPr="003B64DA">
              <w:rPr>
                <w:sz w:val="26"/>
                <w:szCs w:val="26"/>
              </w:rPr>
              <w:t>RTOs/ISOs implement software with the ability to accommodate AARs in both the day-ahead and real-time markets on an hourly basis.  (One-Time Burden in Year 1)</w:t>
            </w:r>
          </w:p>
        </w:tc>
        <w:tc>
          <w:tcPr>
            <w:tcW w:w="872" w:type="pct"/>
            <w:vAlign w:val="bottom"/>
          </w:tcPr>
          <w:p w:rsidRPr="002E1A36" w:rsidR="00444834" w:rsidP="004F4DD8" w:rsidRDefault="00444834" w14:paraId="4FC70793" w14:textId="77777777">
            <w:pPr>
              <w:rPr>
                <w:sz w:val="26"/>
                <w:szCs w:val="26"/>
              </w:rPr>
            </w:pPr>
            <w:r w:rsidRPr="002E1A36">
              <w:rPr>
                <w:sz w:val="26"/>
                <w:szCs w:val="26"/>
              </w:rPr>
              <w:t>6 (RTOs/ ISOs)</w:t>
            </w:r>
          </w:p>
        </w:tc>
        <w:tc>
          <w:tcPr>
            <w:tcW w:w="785" w:type="pct"/>
            <w:gridSpan w:val="2"/>
            <w:vAlign w:val="bottom"/>
          </w:tcPr>
          <w:p w:rsidRPr="002E1A36" w:rsidR="00444834" w:rsidP="004F4DD8" w:rsidRDefault="00444834" w14:paraId="217A73E3" w14:textId="77777777">
            <w:pPr>
              <w:rPr>
                <w:sz w:val="26"/>
                <w:szCs w:val="26"/>
              </w:rPr>
            </w:pPr>
            <w:r w:rsidRPr="002E1A36">
              <w:rPr>
                <w:sz w:val="26"/>
                <w:szCs w:val="26"/>
              </w:rPr>
              <w:t>1</w:t>
            </w:r>
          </w:p>
        </w:tc>
        <w:tc>
          <w:tcPr>
            <w:tcW w:w="769" w:type="pct"/>
            <w:vAlign w:val="bottom"/>
          </w:tcPr>
          <w:p w:rsidRPr="002E1A36" w:rsidR="00444834" w:rsidP="004F4DD8" w:rsidRDefault="00444834" w14:paraId="71BC8B00" w14:textId="77777777">
            <w:pPr>
              <w:rPr>
                <w:sz w:val="26"/>
                <w:szCs w:val="26"/>
              </w:rPr>
            </w:pPr>
            <w:r w:rsidRPr="002E1A36">
              <w:rPr>
                <w:sz w:val="26"/>
                <w:szCs w:val="26"/>
              </w:rPr>
              <w:t>6</w:t>
            </w:r>
          </w:p>
        </w:tc>
        <w:tc>
          <w:tcPr>
            <w:tcW w:w="730" w:type="pct"/>
            <w:vAlign w:val="bottom"/>
          </w:tcPr>
          <w:p w:rsidRPr="002E1A36" w:rsidR="00444834" w:rsidP="004F4DD8" w:rsidRDefault="00444834" w14:paraId="692D8066" w14:textId="0415F0A3">
            <w:pPr>
              <w:rPr>
                <w:sz w:val="26"/>
                <w:szCs w:val="26"/>
              </w:rPr>
            </w:pPr>
            <w:r w:rsidRPr="002E1A36">
              <w:rPr>
                <w:sz w:val="26"/>
                <w:szCs w:val="26"/>
              </w:rPr>
              <w:t xml:space="preserve">9,000 </w:t>
            </w:r>
            <w:proofErr w:type="spellStart"/>
            <w:r w:rsidRPr="002E1A36">
              <w:rPr>
                <w:sz w:val="26"/>
                <w:szCs w:val="26"/>
              </w:rPr>
              <w:t>hrs</w:t>
            </w:r>
            <w:proofErr w:type="spellEnd"/>
            <w:r w:rsidRPr="002E1A36">
              <w:rPr>
                <w:sz w:val="26"/>
                <w:szCs w:val="26"/>
              </w:rPr>
              <w:t>; $753,030</w:t>
            </w:r>
          </w:p>
        </w:tc>
        <w:tc>
          <w:tcPr>
            <w:tcW w:w="808" w:type="pct"/>
            <w:vAlign w:val="bottom"/>
          </w:tcPr>
          <w:p w:rsidRPr="002E1A36" w:rsidR="00444834" w:rsidP="004F4DD8" w:rsidRDefault="00444834" w14:paraId="11A3BD92" w14:textId="19235027">
            <w:pPr>
              <w:rPr>
                <w:sz w:val="26"/>
                <w:szCs w:val="26"/>
              </w:rPr>
            </w:pPr>
            <w:r w:rsidRPr="002E1A36">
              <w:rPr>
                <w:sz w:val="26"/>
                <w:szCs w:val="26"/>
              </w:rPr>
              <w:t xml:space="preserve">54,000 </w:t>
            </w:r>
            <w:proofErr w:type="spellStart"/>
            <w:r w:rsidRPr="002E1A36">
              <w:rPr>
                <w:sz w:val="26"/>
                <w:szCs w:val="26"/>
              </w:rPr>
              <w:t>hrs</w:t>
            </w:r>
            <w:proofErr w:type="spellEnd"/>
            <w:r w:rsidRPr="002E1A36">
              <w:rPr>
                <w:sz w:val="26"/>
                <w:szCs w:val="26"/>
              </w:rPr>
              <w:t>; $4,518,180</w:t>
            </w:r>
          </w:p>
        </w:tc>
      </w:tr>
      <w:tr w:rsidRPr="002E1A36" w:rsidR="00EF1246" w:rsidTr="000E5E99" w14:paraId="79FC2FBC" w14:textId="77777777">
        <w:trPr>
          <w:cantSplit/>
          <w:trHeight w:val="197"/>
        </w:trPr>
        <w:tc>
          <w:tcPr>
            <w:tcW w:w="1036" w:type="pct"/>
          </w:tcPr>
          <w:p w:rsidRPr="002E1A36" w:rsidR="00444834" w:rsidP="004F4DD8" w:rsidRDefault="00444834" w14:paraId="5A58C4C0" w14:textId="77777777">
            <w:pPr>
              <w:rPr>
                <w:sz w:val="26"/>
                <w:szCs w:val="26"/>
              </w:rPr>
            </w:pPr>
            <w:r w:rsidRPr="003B64DA">
              <w:rPr>
                <w:sz w:val="26"/>
                <w:szCs w:val="26"/>
              </w:rPr>
              <w:lastRenderedPageBreak/>
              <w:t>RTOs / ISOs establish the systems and procedures necessary to allow transmission owners to update line ratings on an hourly basis directly into an EMS.  (One-Time Burden in Year 1)</w:t>
            </w:r>
          </w:p>
        </w:tc>
        <w:tc>
          <w:tcPr>
            <w:tcW w:w="872" w:type="pct"/>
            <w:vAlign w:val="bottom"/>
          </w:tcPr>
          <w:p w:rsidRPr="002E1A36" w:rsidR="00444834" w:rsidP="004F4DD8" w:rsidRDefault="00444834" w14:paraId="1A80DA43" w14:textId="77777777">
            <w:pPr>
              <w:rPr>
                <w:sz w:val="26"/>
                <w:szCs w:val="26"/>
              </w:rPr>
            </w:pPr>
            <w:r w:rsidRPr="002E1A36">
              <w:rPr>
                <w:sz w:val="26"/>
                <w:szCs w:val="26"/>
              </w:rPr>
              <w:t>6 (RTOs/ ISOs)</w:t>
            </w:r>
          </w:p>
        </w:tc>
        <w:tc>
          <w:tcPr>
            <w:tcW w:w="785" w:type="pct"/>
            <w:gridSpan w:val="2"/>
            <w:vAlign w:val="bottom"/>
          </w:tcPr>
          <w:p w:rsidRPr="002E1A36" w:rsidR="00444834" w:rsidP="004F4DD8" w:rsidRDefault="00444834" w14:paraId="5C41EE04" w14:textId="77777777">
            <w:pPr>
              <w:rPr>
                <w:sz w:val="26"/>
                <w:szCs w:val="26"/>
              </w:rPr>
            </w:pPr>
            <w:r w:rsidRPr="002E1A36">
              <w:rPr>
                <w:sz w:val="26"/>
                <w:szCs w:val="26"/>
              </w:rPr>
              <w:t>1</w:t>
            </w:r>
          </w:p>
        </w:tc>
        <w:tc>
          <w:tcPr>
            <w:tcW w:w="769" w:type="pct"/>
            <w:vAlign w:val="bottom"/>
          </w:tcPr>
          <w:p w:rsidRPr="002E1A36" w:rsidR="00444834" w:rsidP="004F4DD8" w:rsidRDefault="00444834" w14:paraId="6854F9B3" w14:textId="77777777">
            <w:pPr>
              <w:rPr>
                <w:sz w:val="26"/>
                <w:szCs w:val="26"/>
              </w:rPr>
            </w:pPr>
            <w:r w:rsidRPr="002E1A36">
              <w:rPr>
                <w:sz w:val="26"/>
                <w:szCs w:val="26"/>
              </w:rPr>
              <w:t>6</w:t>
            </w:r>
          </w:p>
        </w:tc>
        <w:tc>
          <w:tcPr>
            <w:tcW w:w="730" w:type="pct"/>
            <w:vAlign w:val="bottom"/>
          </w:tcPr>
          <w:p w:rsidRPr="002E1A36" w:rsidR="00444834" w:rsidP="004F4DD8" w:rsidRDefault="00444834" w14:paraId="1EFC3799" w14:textId="317E5605">
            <w:pPr>
              <w:rPr>
                <w:sz w:val="26"/>
                <w:szCs w:val="26"/>
              </w:rPr>
            </w:pPr>
            <w:r w:rsidRPr="002E1A36">
              <w:rPr>
                <w:sz w:val="26"/>
                <w:szCs w:val="26"/>
              </w:rPr>
              <w:t xml:space="preserve">1,056 </w:t>
            </w:r>
            <w:proofErr w:type="spellStart"/>
            <w:r w:rsidRPr="002E1A36">
              <w:rPr>
                <w:sz w:val="26"/>
                <w:szCs w:val="26"/>
              </w:rPr>
              <w:t>hrs</w:t>
            </w:r>
            <w:proofErr w:type="spellEnd"/>
            <w:r w:rsidRPr="002E1A36">
              <w:rPr>
                <w:sz w:val="26"/>
                <w:szCs w:val="26"/>
              </w:rPr>
              <w:t xml:space="preserve">; </w:t>
            </w:r>
          </w:p>
          <w:p w:rsidRPr="002E1A36" w:rsidR="00444834" w:rsidP="004F4DD8" w:rsidRDefault="00444834" w14:paraId="4CEDADD1" w14:textId="425EFB93">
            <w:pPr>
              <w:rPr>
                <w:sz w:val="26"/>
                <w:szCs w:val="26"/>
              </w:rPr>
            </w:pPr>
            <w:r w:rsidRPr="002E1A36">
              <w:rPr>
                <w:sz w:val="26"/>
                <w:szCs w:val="26"/>
              </w:rPr>
              <w:t>$88,356</w:t>
            </w:r>
          </w:p>
        </w:tc>
        <w:tc>
          <w:tcPr>
            <w:tcW w:w="808" w:type="pct"/>
            <w:vAlign w:val="bottom"/>
          </w:tcPr>
          <w:p w:rsidRPr="002E1A36" w:rsidR="00444834" w:rsidP="004F4DD8" w:rsidRDefault="00444834" w14:paraId="5531FE78" w14:textId="032A91CD">
            <w:pPr>
              <w:rPr>
                <w:sz w:val="26"/>
                <w:szCs w:val="26"/>
              </w:rPr>
            </w:pPr>
            <w:r w:rsidRPr="002E1A36">
              <w:rPr>
                <w:sz w:val="26"/>
                <w:szCs w:val="26"/>
              </w:rPr>
              <w:t xml:space="preserve">6,336 </w:t>
            </w:r>
            <w:proofErr w:type="spellStart"/>
            <w:r w:rsidRPr="002E1A36">
              <w:rPr>
                <w:sz w:val="26"/>
                <w:szCs w:val="26"/>
              </w:rPr>
              <w:t>hrs</w:t>
            </w:r>
            <w:proofErr w:type="spellEnd"/>
            <w:r w:rsidRPr="002E1A36">
              <w:rPr>
                <w:sz w:val="26"/>
                <w:szCs w:val="26"/>
              </w:rPr>
              <w:t>; $530,133</w:t>
            </w:r>
          </w:p>
        </w:tc>
      </w:tr>
      <w:tr w:rsidRPr="002E1A36" w:rsidR="00EF1246" w:rsidTr="000E5E99" w14:paraId="2012C09F" w14:textId="77777777">
        <w:trPr>
          <w:cantSplit/>
          <w:trHeight w:val="197"/>
        </w:trPr>
        <w:tc>
          <w:tcPr>
            <w:tcW w:w="1036" w:type="pct"/>
          </w:tcPr>
          <w:p w:rsidRPr="002E1A36" w:rsidR="00444834" w:rsidP="004F4DD8" w:rsidRDefault="00444834" w14:paraId="5AC03FF3" w14:textId="77777777">
            <w:pPr>
              <w:rPr>
                <w:sz w:val="26"/>
                <w:szCs w:val="26"/>
              </w:rPr>
            </w:pPr>
            <w:r w:rsidRPr="003B64DA">
              <w:rPr>
                <w:sz w:val="26"/>
                <w:szCs w:val="26"/>
              </w:rPr>
              <w:t>Transmission owners update forecasts and ratings, and share transmission line ratings and facility ratings methodologies w/ transmission providers and, if applicable, RTOs/ ISOs &amp; market monitors (Year 1 and Ongoing)</w:t>
            </w:r>
          </w:p>
        </w:tc>
        <w:tc>
          <w:tcPr>
            <w:tcW w:w="872" w:type="pct"/>
            <w:vAlign w:val="bottom"/>
          </w:tcPr>
          <w:p w:rsidRPr="002E1A36" w:rsidR="00444834" w:rsidP="004F4DD8" w:rsidRDefault="00444834" w14:paraId="1C622279" w14:textId="77777777">
            <w:pPr>
              <w:rPr>
                <w:sz w:val="26"/>
                <w:szCs w:val="26"/>
              </w:rPr>
            </w:pPr>
            <w:r w:rsidRPr="002E1A36">
              <w:rPr>
                <w:sz w:val="26"/>
                <w:szCs w:val="26"/>
              </w:rPr>
              <w:t>289 (TOs)</w:t>
            </w:r>
          </w:p>
        </w:tc>
        <w:tc>
          <w:tcPr>
            <w:tcW w:w="785" w:type="pct"/>
            <w:gridSpan w:val="2"/>
            <w:vAlign w:val="bottom"/>
          </w:tcPr>
          <w:p w:rsidRPr="002E1A36" w:rsidR="00444834" w:rsidP="004F4DD8" w:rsidRDefault="00444834" w14:paraId="7BD14396" w14:textId="77777777">
            <w:pPr>
              <w:rPr>
                <w:sz w:val="26"/>
                <w:szCs w:val="26"/>
              </w:rPr>
            </w:pPr>
            <w:r w:rsidRPr="002E1A36">
              <w:rPr>
                <w:sz w:val="26"/>
                <w:szCs w:val="26"/>
              </w:rPr>
              <w:t>1</w:t>
            </w:r>
          </w:p>
        </w:tc>
        <w:tc>
          <w:tcPr>
            <w:tcW w:w="769" w:type="pct"/>
            <w:vAlign w:val="bottom"/>
          </w:tcPr>
          <w:p w:rsidRPr="002E1A36" w:rsidR="00444834" w:rsidP="004F4DD8" w:rsidRDefault="00444834" w14:paraId="261AC436" w14:textId="77777777">
            <w:pPr>
              <w:rPr>
                <w:sz w:val="26"/>
                <w:szCs w:val="26"/>
              </w:rPr>
            </w:pPr>
            <w:r w:rsidRPr="002E1A36">
              <w:rPr>
                <w:sz w:val="26"/>
                <w:szCs w:val="26"/>
              </w:rPr>
              <w:t>289</w:t>
            </w:r>
          </w:p>
        </w:tc>
        <w:tc>
          <w:tcPr>
            <w:tcW w:w="730" w:type="pct"/>
            <w:vAlign w:val="bottom"/>
          </w:tcPr>
          <w:p w:rsidRPr="002E1A36" w:rsidR="00444834" w:rsidP="004F4DD8" w:rsidRDefault="00444834" w14:paraId="6BE602B0" w14:textId="77777777">
            <w:pPr>
              <w:rPr>
                <w:sz w:val="26"/>
                <w:szCs w:val="26"/>
              </w:rPr>
            </w:pPr>
            <w:r w:rsidRPr="002E1A36">
              <w:rPr>
                <w:sz w:val="26"/>
                <w:szCs w:val="26"/>
              </w:rPr>
              <w:t xml:space="preserve">176 </w:t>
            </w:r>
            <w:proofErr w:type="spellStart"/>
            <w:r w:rsidRPr="002E1A36">
              <w:rPr>
                <w:sz w:val="26"/>
                <w:szCs w:val="26"/>
              </w:rPr>
              <w:t>hrs</w:t>
            </w:r>
            <w:proofErr w:type="spellEnd"/>
            <w:r w:rsidRPr="002E1A36">
              <w:rPr>
                <w:sz w:val="26"/>
                <w:szCs w:val="26"/>
              </w:rPr>
              <w:t xml:space="preserve">; </w:t>
            </w:r>
          </w:p>
          <w:p w:rsidRPr="002E1A36" w:rsidR="00444834" w:rsidP="004F4DD8" w:rsidRDefault="00444834" w14:paraId="7202072E" w14:textId="13280C83">
            <w:pPr>
              <w:rPr>
                <w:sz w:val="26"/>
                <w:szCs w:val="26"/>
              </w:rPr>
            </w:pPr>
            <w:r w:rsidRPr="002E1A36">
              <w:rPr>
                <w:sz w:val="26"/>
                <w:szCs w:val="26"/>
              </w:rPr>
              <w:t>$14,726</w:t>
            </w:r>
          </w:p>
        </w:tc>
        <w:tc>
          <w:tcPr>
            <w:tcW w:w="808" w:type="pct"/>
            <w:vAlign w:val="bottom"/>
          </w:tcPr>
          <w:p w:rsidRPr="002E1A36" w:rsidR="00444834" w:rsidP="004F4DD8" w:rsidRDefault="00444834" w14:paraId="52DA699E" w14:textId="5DB306FC">
            <w:pPr>
              <w:rPr>
                <w:sz w:val="26"/>
                <w:szCs w:val="26"/>
              </w:rPr>
            </w:pPr>
            <w:r w:rsidRPr="002E1A36">
              <w:rPr>
                <w:sz w:val="26"/>
                <w:szCs w:val="26"/>
              </w:rPr>
              <w:t xml:space="preserve">50,864 </w:t>
            </w:r>
            <w:proofErr w:type="spellStart"/>
            <w:r w:rsidRPr="002E1A36">
              <w:rPr>
                <w:sz w:val="26"/>
                <w:szCs w:val="26"/>
              </w:rPr>
              <w:t>hrs</w:t>
            </w:r>
            <w:proofErr w:type="spellEnd"/>
            <w:r w:rsidRPr="002E1A36">
              <w:rPr>
                <w:sz w:val="26"/>
                <w:szCs w:val="26"/>
              </w:rPr>
              <w:t>; $4,255,791</w:t>
            </w:r>
          </w:p>
        </w:tc>
      </w:tr>
      <w:tr w:rsidRPr="002E1A36" w:rsidR="00EF1246" w:rsidTr="007A7825" w14:paraId="3068E7C6" w14:textId="77777777">
        <w:trPr>
          <w:cantSplit/>
          <w:trHeight w:val="197"/>
        </w:trPr>
        <w:tc>
          <w:tcPr>
            <w:tcW w:w="1036" w:type="pct"/>
          </w:tcPr>
          <w:p w:rsidRPr="003B64DA" w:rsidR="00444834" w:rsidP="004F4DD8" w:rsidRDefault="00444834" w14:paraId="0A744EA9" w14:textId="77777777">
            <w:pPr>
              <w:rPr>
                <w:sz w:val="26"/>
                <w:szCs w:val="26"/>
              </w:rPr>
            </w:pPr>
            <w:r w:rsidRPr="003B64DA">
              <w:rPr>
                <w:sz w:val="26"/>
                <w:szCs w:val="26"/>
              </w:rPr>
              <w:t>Compliance Filings (One-Time Burden in Year 1)</w:t>
            </w:r>
          </w:p>
        </w:tc>
        <w:tc>
          <w:tcPr>
            <w:tcW w:w="872" w:type="pct"/>
            <w:shd w:val="clear" w:color="auto" w:fill="auto"/>
            <w:vAlign w:val="bottom"/>
          </w:tcPr>
          <w:p w:rsidRPr="002E1A36" w:rsidR="00444834" w:rsidP="004F4DD8" w:rsidRDefault="00444834" w14:paraId="2AFA5408" w14:textId="77777777">
            <w:pPr>
              <w:rPr>
                <w:sz w:val="26"/>
                <w:szCs w:val="26"/>
              </w:rPr>
            </w:pPr>
            <w:r w:rsidRPr="002E1A36">
              <w:rPr>
                <w:sz w:val="26"/>
                <w:szCs w:val="26"/>
              </w:rPr>
              <w:t>295</w:t>
            </w:r>
          </w:p>
          <w:p w:rsidRPr="002E1A36" w:rsidR="00444834" w:rsidP="004F4DD8" w:rsidRDefault="00444834" w14:paraId="607677F1" w14:textId="77777777">
            <w:pPr>
              <w:rPr>
                <w:sz w:val="26"/>
                <w:szCs w:val="26"/>
              </w:rPr>
            </w:pPr>
            <w:r w:rsidRPr="002E1A36">
              <w:rPr>
                <w:sz w:val="26"/>
                <w:szCs w:val="26"/>
              </w:rPr>
              <w:t>(TOs and (RTOs/ISOs)</w:t>
            </w:r>
          </w:p>
        </w:tc>
        <w:tc>
          <w:tcPr>
            <w:tcW w:w="785" w:type="pct"/>
            <w:gridSpan w:val="2"/>
            <w:shd w:val="clear" w:color="auto" w:fill="auto"/>
            <w:vAlign w:val="bottom"/>
          </w:tcPr>
          <w:p w:rsidRPr="002E1A36" w:rsidR="00444834" w:rsidP="004F4DD8" w:rsidRDefault="00444834" w14:paraId="3BE44BDE" w14:textId="77777777">
            <w:pPr>
              <w:rPr>
                <w:sz w:val="26"/>
                <w:szCs w:val="26"/>
              </w:rPr>
            </w:pPr>
            <w:r w:rsidRPr="002E1A36">
              <w:rPr>
                <w:sz w:val="26"/>
                <w:szCs w:val="26"/>
              </w:rPr>
              <w:t>1</w:t>
            </w:r>
          </w:p>
        </w:tc>
        <w:tc>
          <w:tcPr>
            <w:tcW w:w="769" w:type="pct"/>
            <w:vAlign w:val="bottom"/>
          </w:tcPr>
          <w:p w:rsidRPr="002E1A36" w:rsidR="00444834" w:rsidP="004F4DD8" w:rsidRDefault="00444834" w14:paraId="403F4C08" w14:textId="77777777">
            <w:pPr>
              <w:rPr>
                <w:sz w:val="26"/>
                <w:szCs w:val="26"/>
              </w:rPr>
            </w:pPr>
            <w:r w:rsidRPr="002E1A36">
              <w:rPr>
                <w:sz w:val="26"/>
                <w:szCs w:val="26"/>
              </w:rPr>
              <w:t>295</w:t>
            </w:r>
          </w:p>
        </w:tc>
        <w:tc>
          <w:tcPr>
            <w:tcW w:w="730" w:type="pct"/>
            <w:vAlign w:val="bottom"/>
          </w:tcPr>
          <w:p w:rsidRPr="002E1A36" w:rsidR="00444834" w:rsidP="004F4DD8" w:rsidRDefault="00444834" w14:paraId="57549437" w14:textId="77777777">
            <w:pPr>
              <w:rPr>
                <w:sz w:val="26"/>
                <w:szCs w:val="26"/>
              </w:rPr>
            </w:pPr>
            <w:r w:rsidRPr="002E1A36">
              <w:rPr>
                <w:sz w:val="26"/>
                <w:szCs w:val="26"/>
              </w:rPr>
              <w:t xml:space="preserve">160 </w:t>
            </w:r>
            <w:proofErr w:type="spellStart"/>
            <w:r w:rsidRPr="002E1A36">
              <w:rPr>
                <w:sz w:val="26"/>
                <w:szCs w:val="26"/>
              </w:rPr>
              <w:t>hrs</w:t>
            </w:r>
            <w:proofErr w:type="spellEnd"/>
            <w:r w:rsidRPr="002E1A36">
              <w:rPr>
                <w:sz w:val="26"/>
                <w:szCs w:val="26"/>
              </w:rPr>
              <w:t xml:space="preserve">; </w:t>
            </w:r>
          </w:p>
          <w:p w:rsidRPr="002E1A36" w:rsidR="00444834" w:rsidP="004F4DD8" w:rsidRDefault="00444834" w14:paraId="62C6DC7E" w14:textId="1B20910E">
            <w:pPr>
              <w:rPr>
                <w:sz w:val="26"/>
                <w:szCs w:val="26"/>
              </w:rPr>
            </w:pPr>
            <w:r w:rsidRPr="002E1A36">
              <w:rPr>
                <w:sz w:val="26"/>
                <w:szCs w:val="26"/>
              </w:rPr>
              <w:t>$13,387</w:t>
            </w:r>
          </w:p>
        </w:tc>
        <w:tc>
          <w:tcPr>
            <w:tcW w:w="808" w:type="pct"/>
            <w:vAlign w:val="bottom"/>
          </w:tcPr>
          <w:p w:rsidRPr="002E1A36" w:rsidR="00444834" w:rsidP="004F4DD8" w:rsidRDefault="00444834" w14:paraId="0205B7CD" w14:textId="511BD014">
            <w:pPr>
              <w:rPr>
                <w:sz w:val="26"/>
                <w:szCs w:val="26"/>
              </w:rPr>
            </w:pPr>
            <w:r w:rsidRPr="002E1A36">
              <w:rPr>
                <w:sz w:val="26"/>
                <w:szCs w:val="26"/>
              </w:rPr>
              <w:t xml:space="preserve">47,200 </w:t>
            </w:r>
            <w:proofErr w:type="spellStart"/>
            <w:r w:rsidRPr="002E1A36">
              <w:rPr>
                <w:sz w:val="26"/>
                <w:szCs w:val="26"/>
              </w:rPr>
              <w:t>hrs</w:t>
            </w:r>
            <w:proofErr w:type="spellEnd"/>
            <w:r w:rsidRPr="002E1A36">
              <w:rPr>
                <w:sz w:val="26"/>
                <w:szCs w:val="26"/>
              </w:rPr>
              <w:t>; $3,949,224</w:t>
            </w:r>
          </w:p>
        </w:tc>
      </w:tr>
      <w:tr w:rsidRPr="002E1A36" w:rsidR="00EF1246" w:rsidTr="007A7825" w14:paraId="229EDDC7" w14:textId="77777777">
        <w:trPr>
          <w:cantSplit/>
          <w:trHeight w:val="197"/>
        </w:trPr>
        <w:tc>
          <w:tcPr>
            <w:tcW w:w="1036" w:type="pct"/>
          </w:tcPr>
          <w:p w:rsidRPr="003B64DA" w:rsidR="00444834" w:rsidP="004F4DD8" w:rsidRDefault="00444834" w14:paraId="43906887" w14:textId="429E68D7">
            <w:pPr>
              <w:rPr>
                <w:b/>
                <w:sz w:val="26"/>
                <w:szCs w:val="26"/>
              </w:rPr>
            </w:pPr>
            <w:r w:rsidRPr="003B64DA">
              <w:rPr>
                <w:b/>
                <w:bCs/>
                <w:sz w:val="26"/>
                <w:szCs w:val="26"/>
              </w:rPr>
              <w:lastRenderedPageBreak/>
              <w:t>Net Subtotal for FERC-516H (Year 1)</w:t>
            </w:r>
            <w:r w:rsidR="00701C59">
              <w:rPr>
                <w:rStyle w:val="FootnoteReference"/>
                <w:b/>
                <w:bCs/>
                <w:sz w:val="26"/>
                <w:szCs w:val="26"/>
              </w:rPr>
              <w:footnoteReference w:id="17"/>
            </w:r>
          </w:p>
        </w:tc>
        <w:tc>
          <w:tcPr>
            <w:tcW w:w="872" w:type="pct"/>
            <w:shd w:val="clear" w:color="auto" w:fill="auto"/>
            <w:vAlign w:val="bottom"/>
          </w:tcPr>
          <w:p w:rsidRPr="002E1A36" w:rsidR="00444834" w:rsidP="004F4DD8" w:rsidRDefault="00C361DA" w14:paraId="1606EC78" w14:textId="3E3FF683">
            <w:pPr>
              <w:rPr>
                <w:sz w:val="26"/>
                <w:szCs w:val="26"/>
              </w:rPr>
            </w:pPr>
            <w:r>
              <w:rPr>
                <w:sz w:val="26"/>
                <w:szCs w:val="26"/>
              </w:rPr>
              <w:t>373 (unique respondents)</w:t>
            </w:r>
          </w:p>
        </w:tc>
        <w:tc>
          <w:tcPr>
            <w:tcW w:w="785" w:type="pct"/>
            <w:gridSpan w:val="2"/>
            <w:shd w:val="clear" w:color="auto" w:fill="D9D9D9"/>
            <w:vAlign w:val="bottom"/>
          </w:tcPr>
          <w:p w:rsidRPr="002E1A36" w:rsidR="00444834" w:rsidP="004F4DD8" w:rsidRDefault="00444834" w14:paraId="22AA80E0" w14:textId="27D87223">
            <w:pPr>
              <w:rPr>
                <w:sz w:val="26"/>
                <w:szCs w:val="26"/>
              </w:rPr>
            </w:pPr>
          </w:p>
        </w:tc>
        <w:tc>
          <w:tcPr>
            <w:tcW w:w="769" w:type="pct"/>
            <w:vAlign w:val="bottom"/>
          </w:tcPr>
          <w:p w:rsidRPr="003B64DA" w:rsidR="00444834" w:rsidP="004F4DD8" w:rsidRDefault="00993778" w14:paraId="021EDD95" w14:textId="23A42FEC">
            <w:pPr>
              <w:rPr>
                <w:sz w:val="26"/>
                <w:szCs w:val="26"/>
              </w:rPr>
            </w:pPr>
            <w:r>
              <w:rPr>
                <w:sz w:val="26"/>
                <w:szCs w:val="26"/>
              </w:rPr>
              <w:t>1,123</w:t>
            </w:r>
            <w:r w:rsidRPr="003B64DA" w:rsidR="00E74715">
              <w:rPr>
                <w:rStyle w:val="FootnoteReference"/>
                <w:sz w:val="26"/>
                <w:szCs w:val="26"/>
              </w:rPr>
              <w:footnoteReference w:id="18"/>
            </w:r>
          </w:p>
        </w:tc>
        <w:tc>
          <w:tcPr>
            <w:tcW w:w="730" w:type="pct"/>
            <w:vAlign w:val="bottom"/>
          </w:tcPr>
          <w:p w:rsidRPr="002E1A36" w:rsidR="00444834" w:rsidP="004F4DD8" w:rsidRDefault="00444834" w14:paraId="75274630" w14:textId="3B826ABD">
            <w:pPr>
              <w:rPr>
                <w:sz w:val="26"/>
                <w:szCs w:val="26"/>
              </w:rPr>
            </w:pPr>
            <w:r w:rsidRPr="003B64DA">
              <w:rPr>
                <w:sz w:val="26"/>
                <w:szCs w:val="26"/>
              </w:rPr>
              <w:t xml:space="preserve">13,984 </w:t>
            </w:r>
            <w:proofErr w:type="spellStart"/>
            <w:r w:rsidRPr="003B64DA">
              <w:rPr>
                <w:sz w:val="26"/>
                <w:szCs w:val="26"/>
              </w:rPr>
              <w:t>hrs</w:t>
            </w:r>
            <w:proofErr w:type="spellEnd"/>
            <w:r w:rsidRPr="003B64DA">
              <w:rPr>
                <w:sz w:val="26"/>
                <w:szCs w:val="26"/>
              </w:rPr>
              <w:t>;  $1,170,041</w:t>
            </w:r>
            <w:r w:rsidRPr="002E1A36">
              <w:rPr>
                <w:sz w:val="26"/>
                <w:szCs w:val="26"/>
              </w:rPr>
              <w:t xml:space="preserve"> </w:t>
            </w:r>
          </w:p>
        </w:tc>
        <w:tc>
          <w:tcPr>
            <w:tcW w:w="808" w:type="pct"/>
            <w:vAlign w:val="bottom"/>
          </w:tcPr>
          <w:p w:rsidRPr="002E1A36" w:rsidR="00444834" w:rsidP="004F4DD8" w:rsidRDefault="002D40C1" w14:paraId="7EBC8DF5" w14:textId="426DBAEA">
            <w:pPr>
              <w:rPr>
                <w:sz w:val="26"/>
                <w:szCs w:val="26"/>
              </w:rPr>
            </w:pPr>
            <w:r>
              <w:rPr>
                <w:sz w:val="26"/>
                <w:szCs w:val="26"/>
              </w:rPr>
              <w:t>659,616</w:t>
            </w:r>
            <w:r w:rsidRPr="002E1A36" w:rsidR="00444834">
              <w:rPr>
                <w:sz w:val="26"/>
                <w:szCs w:val="26"/>
              </w:rPr>
              <w:t xml:space="preserve"> </w:t>
            </w:r>
            <w:proofErr w:type="spellStart"/>
            <w:r w:rsidRPr="002E1A36" w:rsidR="00444834">
              <w:rPr>
                <w:sz w:val="26"/>
                <w:szCs w:val="26"/>
              </w:rPr>
              <w:t>hrs</w:t>
            </w:r>
            <w:proofErr w:type="spellEnd"/>
            <w:r w:rsidRPr="002E1A36" w:rsidR="00444834">
              <w:rPr>
                <w:sz w:val="26"/>
                <w:szCs w:val="26"/>
              </w:rPr>
              <w:t xml:space="preserve">;  </w:t>
            </w:r>
            <w:r w:rsidR="00440B5E">
              <w:rPr>
                <w:sz w:val="26"/>
                <w:szCs w:val="26"/>
              </w:rPr>
              <w:t>$55,190,071</w:t>
            </w:r>
          </w:p>
        </w:tc>
      </w:tr>
      <w:tr w:rsidRPr="002E1A36" w:rsidR="00EF1246" w:rsidTr="007A7825" w14:paraId="1DE4686A" w14:textId="77777777">
        <w:trPr>
          <w:cantSplit/>
          <w:trHeight w:val="197"/>
        </w:trPr>
        <w:tc>
          <w:tcPr>
            <w:tcW w:w="1036" w:type="pct"/>
          </w:tcPr>
          <w:p w:rsidRPr="003B64DA" w:rsidR="00444834" w:rsidP="004F4DD8" w:rsidRDefault="00444834" w14:paraId="43AED2D1" w14:textId="027B37F7">
            <w:pPr>
              <w:rPr>
                <w:b/>
                <w:sz w:val="26"/>
                <w:szCs w:val="26"/>
              </w:rPr>
            </w:pPr>
            <w:r w:rsidRPr="003B64DA">
              <w:rPr>
                <w:b/>
                <w:bCs/>
                <w:sz w:val="26"/>
                <w:szCs w:val="26"/>
              </w:rPr>
              <w:t>Net Subtotal for FERC-516H (Ongoing)</w:t>
            </w:r>
            <w:r w:rsidR="00701C59">
              <w:rPr>
                <w:rStyle w:val="FootnoteReference"/>
                <w:b/>
                <w:bCs/>
                <w:sz w:val="26"/>
                <w:szCs w:val="26"/>
              </w:rPr>
              <w:footnoteReference w:id="19"/>
            </w:r>
          </w:p>
        </w:tc>
        <w:tc>
          <w:tcPr>
            <w:tcW w:w="872" w:type="pct"/>
            <w:shd w:val="clear" w:color="auto" w:fill="auto"/>
            <w:vAlign w:val="bottom"/>
          </w:tcPr>
          <w:p w:rsidRPr="002E1A36" w:rsidR="00444834" w:rsidP="004F4DD8" w:rsidRDefault="00C361DA" w14:paraId="24DA6642" w14:textId="76D4A318">
            <w:pPr>
              <w:rPr>
                <w:sz w:val="26"/>
                <w:szCs w:val="26"/>
              </w:rPr>
            </w:pPr>
            <w:r>
              <w:rPr>
                <w:sz w:val="26"/>
                <w:szCs w:val="26"/>
              </w:rPr>
              <w:t>289 (unique respondents)</w:t>
            </w:r>
          </w:p>
        </w:tc>
        <w:tc>
          <w:tcPr>
            <w:tcW w:w="785" w:type="pct"/>
            <w:gridSpan w:val="2"/>
            <w:shd w:val="clear" w:color="auto" w:fill="D9D9D9"/>
            <w:vAlign w:val="bottom"/>
          </w:tcPr>
          <w:p w:rsidRPr="002E1A36" w:rsidR="00444834" w:rsidP="004F4DD8" w:rsidRDefault="00444834" w14:paraId="6991ACA5" w14:textId="77777777">
            <w:pPr>
              <w:rPr>
                <w:sz w:val="26"/>
                <w:szCs w:val="26"/>
              </w:rPr>
            </w:pPr>
          </w:p>
        </w:tc>
        <w:tc>
          <w:tcPr>
            <w:tcW w:w="769" w:type="pct"/>
            <w:vAlign w:val="bottom"/>
          </w:tcPr>
          <w:p w:rsidRPr="002E1A36" w:rsidR="00444834" w:rsidP="004F4DD8" w:rsidRDefault="00444834" w14:paraId="14991866" w14:textId="77777777">
            <w:pPr>
              <w:rPr>
                <w:sz w:val="26"/>
                <w:szCs w:val="26"/>
              </w:rPr>
            </w:pPr>
            <w:r w:rsidRPr="002E1A36">
              <w:rPr>
                <w:sz w:val="26"/>
                <w:szCs w:val="26"/>
              </w:rPr>
              <w:t>289</w:t>
            </w:r>
          </w:p>
        </w:tc>
        <w:tc>
          <w:tcPr>
            <w:tcW w:w="730" w:type="pct"/>
            <w:vAlign w:val="bottom"/>
          </w:tcPr>
          <w:p w:rsidRPr="002E1A36" w:rsidR="00444834" w:rsidP="004F4DD8" w:rsidRDefault="00444834" w14:paraId="5049CE74" w14:textId="77777777">
            <w:pPr>
              <w:rPr>
                <w:sz w:val="26"/>
                <w:szCs w:val="26"/>
              </w:rPr>
            </w:pPr>
            <w:r w:rsidRPr="002E1A36">
              <w:rPr>
                <w:sz w:val="26"/>
                <w:szCs w:val="26"/>
              </w:rPr>
              <w:t xml:space="preserve">176 </w:t>
            </w:r>
            <w:proofErr w:type="spellStart"/>
            <w:r w:rsidRPr="002E1A36">
              <w:rPr>
                <w:sz w:val="26"/>
                <w:szCs w:val="26"/>
              </w:rPr>
              <w:t>hrs</w:t>
            </w:r>
            <w:proofErr w:type="spellEnd"/>
            <w:r w:rsidRPr="002E1A36">
              <w:rPr>
                <w:sz w:val="26"/>
                <w:szCs w:val="26"/>
              </w:rPr>
              <w:t>;</w:t>
            </w:r>
          </w:p>
          <w:p w:rsidRPr="002E1A36" w:rsidR="00444834" w:rsidP="004F4DD8" w:rsidRDefault="00444834" w14:paraId="3A822A55" w14:textId="77777777">
            <w:pPr>
              <w:rPr>
                <w:sz w:val="26"/>
                <w:szCs w:val="26"/>
              </w:rPr>
            </w:pPr>
            <w:r w:rsidRPr="002E1A36">
              <w:rPr>
                <w:sz w:val="26"/>
                <w:szCs w:val="26"/>
              </w:rPr>
              <w:t>$14,726</w:t>
            </w:r>
          </w:p>
        </w:tc>
        <w:tc>
          <w:tcPr>
            <w:tcW w:w="808" w:type="pct"/>
            <w:vAlign w:val="bottom"/>
          </w:tcPr>
          <w:p w:rsidRPr="002E1A36" w:rsidR="00444834" w:rsidP="004F4DD8" w:rsidRDefault="00444834" w14:paraId="2E9ED1D3" w14:textId="77777777">
            <w:pPr>
              <w:rPr>
                <w:sz w:val="26"/>
                <w:szCs w:val="26"/>
              </w:rPr>
            </w:pPr>
            <w:r w:rsidRPr="002E1A36">
              <w:rPr>
                <w:sz w:val="26"/>
                <w:szCs w:val="26"/>
              </w:rPr>
              <w:t xml:space="preserve">50,864 </w:t>
            </w:r>
            <w:proofErr w:type="spellStart"/>
            <w:r w:rsidRPr="002E1A36">
              <w:rPr>
                <w:sz w:val="26"/>
                <w:szCs w:val="26"/>
              </w:rPr>
              <w:t>hrs</w:t>
            </w:r>
            <w:proofErr w:type="spellEnd"/>
            <w:r w:rsidRPr="002E1A36">
              <w:rPr>
                <w:sz w:val="26"/>
                <w:szCs w:val="26"/>
              </w:rPr>
              <w:t>; $4,255,791</w:t>
            </w:r>
          </w:p>
        </w:tc>
      </w:tr>
      <w:tr w:rsidRPr="002E1A36" w:rsidR="00444834" w:rsidTr="000E5E99" w14:paraId="68D2648A" w14:textId="77777777">
        <w:trPr>
          <w:cantSplit/>
          <w:trHeight w:val="197"/>
        </w:trPr>
        <w:tc>
          <w:tcPr>
            <w:tcW w:w="5000" w:type="pct"/>
            <w:gridSpan w:val="7"/>
            <w:shd w:val="clear" w:color="auto" w:fill="D9D9D9"/>
            <w:vAlign w:val="bottom"/>
          </w:tcPr>
          <w:p w:rsidRPr="002E1A36" w:rsidR="00444834" w:rsidP="004F4DD8" w:rsidRDefault="00444834" w14:paraId="5E867F66" w14:textId="77777777">
            <w:pPr>
              <w:rPr>
                <w:sz w:val="26"/>
                <w:szCs w:val="26"/>
              </w:rPr>
            </w:pPr>
            <w:r w:rsidRPr="003B64DA">
              <w:rPr>
                <w:b/>
                <w:bCs/>
                <w:sz w:val="26"/>
                <w:szCs w:val="26"/>
              </w:rPr>
              <w:t>FERC-725A, Mandatory Reliability Standards for the Bulk-Power System - Reliability Standard FAC-008-5</w:t>
            </w:r>
          </w:p>
        </w:tc>
      </w:tr>
      <w:tr w:rsidRPr="002E1A36" w:rsidR="00EF1246" w:rsidTr="000E5E99" w14:paraId="6A0B1BEF" w14:textId="77777777">
        <w:trPr>
          <w:cantSplit/>
          <w:trHeight w:val="197"/>
        </w:trPr>
        <w:tc>
          <w:tcPr>
            <w:tcW w:w="1036" w:type="pct"/>
          </w:tcPr>
          <w:p w:rsidRPr="003B64DA" w:rsidR="00444834" w:rsidP="004F4DD8" w:rsidRDefault="00444834" w14:paraId="6A67DEF7" w14:textId="77777777">
            <w:pPr>
              <w:rPr>
                <w:sz w:val="26"/>
                <w:szCs w:val="26"/>
              </w:rPr>
            </w:pPr>
            <w:r w:rsidRPr="003B64DA">
              <w:rPr>
                <w:sz w:val="26"/>
                <w:szCs w:val="26"/>
              </w:rPr>
              <w:t>Review and update facility ratings methodology, Requirements R2 and R3.  (One-Time Burden in Year 1)</w:t>
            </w:r>
          </w:p>
        </w:tc>
        <w:tc>
          <w:tcPr>
            <w:tcW w:w="872" w:type="pct"/>
            <w:vAlign w:val="bottom"/>
          </w:tcPr>
          <w:p w:rsidRPr="003B64DA" w:rsidR="00444834" w:rsidP="004F4DD8" w:rsidRDefault="00444834" w14:paraId="2DE1ABF5" w14:textId="77777777">
            <w:pPr>
              <w:rPr>
                <w:sz w:val="26"/>
                <w:szCs w:val="26"/>
              </w:rPr>
            </w:pPr>
            <w:r w:rsidRPr="002E1A36">
              <w:rPr>
                <w:sz w:val="26"/>
                <w:szCs w:val="26"/>
              </w:rPr>
              <w:t>369 (TOs &amp; GOs)</w:t>
            </w:r>
            <w:r w:rsidRPr="003B64DA">
              <w:rPr>
                <w:b/>
                <w:sz w:val="26"/>
                <w:szCs w:val="26"/>
                <w:vertAlign w:val="superscript"/>
              </w:rPr>
              <w:footnoteReference w:id="20"/>
            </w:r>
          </w:p>
        </w:tc>
        <w:tc>
          <w:tcPr>
            <w:tcW w:w="785" w:type="pct"/>
            <w:gridSpan w:val="2"/>
            <w:vAlign w:val="bottom"/>
          </w:tcPr>
          <w:p w:rsidRPr="003B64DA" w:rsidR="00444834" w:rsidP="004F4DD8" w:rsidRDefault="00444834" w14:paraId="458EA401" w14:textId="77777777">
            <w:pPr>
              <w:rPr>
                <w:sz w:val="26"/>
                <w:szCs w:val="26"/>
              </w:rPr>
            </w:pPr>
            <w:r w:rsidRPr="003B64DA">
              <w:rPr>
                <w:sz w:val="26"/>
                <w:szCs w:val="26"/>
              </w:rPr>
              <w:t>1</w:t>
            </w:r>
          </w:p>
        </w:tc>
        <w:tc>
          <w:tcPr>
            <w:tcW w:w="769" w:type="pct"/>
            <w:vAlign w:val="bottom"/>
          </w:tcPr>
          <w:p w:rsidRPr="002E1A36" w:rsidR="00444834" w:rsidP="004F4DD8" w:rsidRDefault="00444834" w14:paraId="0C369794" w14:textId="77777777">
            <w:pPr>
              <w:rPr>
                <w:sz w:val="26"/>
                <w:szCs w:val="26"/>
              </w:rPr>
            </w:pPr>
            <w:r w:rsidRPr="002E1A36">
              <w:rPr>
                <w:sz w:val="26"/>
                <w:szCs w:val="26"/>
              </w:rPr>
              <w:t>369</w:t>
            </w:r>
          </w:p>
        </w:tc>
        <w:tc>
          <w:tcPr>
            <w:tcW w:w="730" w:type="pct"/>
            <w:vAlign w:val="bottom"/>
          </w:tcPr>
          <w:p w:rsidRPr="002E1A36" w:rsidR="00444834" w:rsidP="004F4DD8" w:rsidRDefault="00444834" w14:paraId="2561BABF" w14:textId="77777777">
            <w:pPr>
              <w:rPr>
                <w:sz w:val="26"/>
                <w:szCs w:val="26"/>
              </w:rPr>
            </w:pPr>
            <w:r w:rsidRPr="002E1A36">
              <w:rPr>
                <w:sz w:val="26"/>
                <w:szCs w:val="26"/>
              </w:rPr>
              <w:t xml:space="preserve">40 </w:t>
            </w:r>
            <w:proofErr w:type="spellStart"/>
            <w:r w:rsidRPr="002E1A36">
              <w:rPr>
                <w:sz w:val="26"/>
                <w:szCs w:val="26"/>
              </w:rPr>
              <w:t>hrs</w:t>
            </w:r>
            <w:proofErr w:type="spellEnd"/>
            <w:r w:rsidRPr="002E1A36">
              <w:rPr>
                <w:sz w:val="26"/>
                <w:szCs w:val="26"/>
              </w:rPr>
              <w:t>;</w:t>
            </w:r>
          </w:p>
          <w:p w:rsidRPr="002E1A36" w:rsidR="00444834" w:rsidP="004F4DD8" w:rsidRDefault="00444834" w14:paraId="3145EAC8" w14:textId="77777777">
            <w:pPr>
              <w:rPr>
                <w:sz w:val="26"/>
                <w:szCs w:val="26"/>
              </w:rPr>
            </w:pPr>
            <w:r w:rsidRPr="002E1A36">
              <w:rPr>
                <w:sz w:val="26"/>
                <w:szCs w:val="26"/>
              </w:rPr>
              <w:t>$3,347</w:t>
            </w:r>
          </w:p>
        </w:tc>
        <w:tc>
          <w:tcPr>
            <w:tcW w:w="808" w:type="pct"/>
            <w:vAlign w:val="bottom"/>
          </w:tcPr>
          <w:p w:rsidRPr="002E1A36" w:rsidR="00444834" w:rsidP="004F4DD8" w:rsidRDefault="00444834" w14:paraId="624CD9BD" w14:textId="77777777">
            <w:pPr>
              <w:rPr>
                <w:sz w:val="26"/>
                <w:szCs w:val="26"/>
              </w:rPr>
            </w:pPr>
            <w:r w:rsidRPr="002E1A36">
              <w:rPr>
                <w:sz w:val="26"/>
                <w:szCs w:val="26"/>
              </w:rPr>
              <w:t xml:space="preserve">14,760 </w:t>
            </w:r>
            <w:proofErr w:type="spellStart"/>
            <w:r w:rsidRPr="002E1A36">
              <w:rPr>
                <w:sz w:val="26"/>
                <w:szCs w:val="26"/>
              </w:rPr>
              <w:t>hrs</w:t>
            </w:r>
            <w:proofErr w:type="spellEnd"/>
            <w:r w:rsidRPr="002E1A36">
              <w:rPr>
                <w:sz w:val="26"/>
                <w:szCs w:val="26"/>
              </w:rPr>
              <w:t>;</w:t>
            </w:r>
          </w:p>
          <w:p w:rsidRPr="002E1A36" w:rsidR="00444834" w:rsidP="004F4DD8" w:rsidRDefault="00444834" w14:paraId="394A14C2" w14:textId="77777777">
            <w:pPr>
              <w:rPr>
                <w:sz w:val="26"/>
                <w:szCs w:val="26"/>
              </w:rPr>
            </w:pPr>
            <w:r w:rsidRPr="002E1A36">
              <w:rPr>
                <w:sz w:val="26"/>
                <w:szCs w:val="26"/>
              </w:rPr>
              <w:t>$1,234,969</w:t>
            </w:r>
          </w:p>
        </w:tc>
      </w:tr>
      <w:tr w:rsidRPr="002E1A36" w:rsidR="00EF1246" w:rsidTr="000E5E99" w14:paraId="6095230F" w14:textId="77777777">
        <w:trPr>
          <w:cantSplit/>
          <w:trHeight w:val="197"/>
        </w:trPr>
        <w:tc>
          <w:tcPr>
            <w:tcW w:w="1036" w:type="pct"/>
          </w:tcPr>
          <w:p w:rsidRPr="003B64DA" w:rsidR="00444834" w:rsidP="004F4DD8" w:rsidRDefault="00444834" w14:paraId="473B8846" w14:textId="77777777">
            <w:pPr>
              <w:rPr>
                <w:sz w:val="26"/>
                <w:szCs w:val="26"/>
              </w:rPr>
            </w:pPr>
            <w:r w:rsidRPr="003B64DA">
              <w:rPr>
                <w:sz w:val="26"/>
                <w:szCs w:val="26"/>
              </w:rPr>
              <w:t>Determine facility ratings consistent with methodology, Requirement R6.   (Burden in Year 1 and Ongoing)</w:t>
            </w:r>
          </w:p>
        </w:tc>
        <w:tc>
          <w:tcPr>
            <w:tcW w:w="872" w:type="pct"/>
            <w:vAlign w:val="bottom"/>
          </w:tcPr>
          <w:p w:rsidRPr="002E1A36" w:rsidR="00444834" w:rsidP="004F4DD8" w:rsidRDefault="00444834" w14:paraId="51E7C736" w14:textId="77777777">
            <w:pPr>
              <w:rPr>
                <w:sz w:val="26"/>
                <w:szCs w:val="26"/>
              </w:rPr>
            </w:pPr>
            <w:r w:rsidRPr="002E1A36">
              <w:rPr>
                <w:sz w:val="26"/>
                <w:szCs w:val="26"/>
              </w:rPr>
              <w:t>369 (TOs &amp; GOs)</w:t>
            </w:r>
          </w:p>
        </w:tc>
        <w:tc>
          <w:tcPr>
            <w:tcW w:w="785" w:type="pct"/>
            <w:gridSpan w:val="2"/>
            <w:vAlign w:val="bottom"/>
          </w:tcPr>
          <w:p w:rsidRPr="002E1A36" w:rsidR="00444834" w:rsidP="004F4DD8" w:rsidRDefault="00444834" w14:paraId="43D23E08" w14:textId="77777777">
            <w:pPr>
              <w:rPr>
                <w:sz w:val="26"/>
                <w:szCs w:val="26"/>
              </w:rPr>
            </w:pPr>
            <w:r w:rsidRPr="002E1A36">
              <w:rPr>
                <w:sz w:val="26"/>
                <w:szCs w:val="26"/>
              </w:rPr>
              <w:t>1</w:t>
            </w:r>
          </w:p>
        </w:tc>
        <w:tc>
          <w:tcPr>
            <w:tcW w:w="769" w:type="pct"/>
            <w:vAlign w:val="bottom"/>
          </w:tcPr>
          <w:p w:rsidRPr="002E1A36" w:rsidR="00444834" w:rsidP="004F4DD8" w:rsidRDefault="00444834" w14:paraId="73A28375" w14:textId="77777777">
            <w:pPr>
              <w:rPr>
                <w:sz w:val="26"/>
                <w:szCs w:val="26"/>
              </w:rPr>
            </w:pPr>
            <w:r w:rsidRPr="002E1A36">
              <w:rPr>
                <w:sz w:val="26"/>
                <w:szCs w:val="26"/>
              </w:rPr>
              <w:t>369</w:t>
            </w:r>
          </w:p>
        </w:tc>
        <w:tc>
          <w:tcPr>
            <w:tcW w:w="730" w:type="pct"/>
            <w:vAlign w:val="bottom"/>
          </w:tcPr>
          <w:p w:rsidRPr="002E1A36" w:rsidR="00444834" w:rsidP="004F4DD8" w:rsidRDefault="00444834" w14:paraId="3C9A1571" w14:textId="77777777">
            <w:pPr>
              <w:rPr>
                <w:sz w:val="26"/>
                <w:szCs w:val="26"/>
              </w:rPr>
            </w:pPr>
            <w:r w:rsidRPr="002E1A36">
              <w:rPr>
                <w:sz w:val="26"/>
                <w:szCs w:val="26"/>
              </w:rPr>
              <w:t xml:space="preserve">8 </w:t>
            </w:r>
            <w:proofErr w:type="spellStart"/>
            <w:r w:rsidRPr="002E1A36">
              <w:rPr>
                <w:sz w:val="26"/>
                <w:szCs w:val="26"/>
              </w:rPr>
              <w:t>hrs</w:t>
            </w:r>
            <w:proofErr w:type="spellEnd"/>
            <w:r w:rsidRPr="002E1A36">
              <w:rPr>
                <w:sz w:val="26"/>
                <w:szCs w:val="26"/>
              </w:rPr>
              <w:t>;</w:t>
            </w:r>
          </w:p>
          <w:p w:rsidRPr="002E1A36" w:rsidR="00444834" w:rsidP="004F4DD8" w:rsidRDefault="00444834" w14:paraId="7E35664A" w14:textId="77777777">
            <w:pPr>
              <w:rPr>
                <w:sz w:val="26"/>
                <w:szCs w:val="26"/>
              </w:rPr>
            </w:pPr>
            <w:r w:rsidRPr="002E1A36">
              <w:rPr>
                <w:sz w:val="26"/>
                <w:szCs w:val="26"/>
              </w:rPr>
              <w:t>$669</w:t>
            </w:r>
          </w:p>
        </w:tc>
        <w:tc>
          <w:tcPr>
            <w:tcW w:w="808" w:type="pct"/>
            <w:vAlign w:val="bottom"/>
          </w:tcPr>
          <w:p w:rsidRPr="002E1A36" w:rsidR="00444834" w:rsidP="004F4DD8" w:rsidRDefault="00444834" w14:paraId="61A227B5" w14:textId="77777777">
            <w:pPr>
              <w:rPr>
                <w:sz w:val="26"/>
                <w:szCs w:val="26"/>
              </w:rPr>
            </w:pPr>
            <w:r w:rsidRPr="002E1A36">
              <w:rPr>
                <w:sz w:val="26"/>
                <w:szCs w:val="26"/>
              </w:rPr>
              <w:t xml:space="preserve">2,952 </w:t>
            </w:r>
            <w:proofErr w:type="spellStart"/>
            <w:r w:rsidRPr="002E1A36">
              <w:rPr>
                <w:sz w:val="26"/>
                <w:szCs w:val="26"/>
              </w:rPr>
              <w:t>hrs</w:t>
            </w:r>
            <w:proofErr w:type="spellEnd"/>
            <w:r w:rsidRPr="002E1A36">
              <w:rPr>
                <w:sz w:val="26"/>
                <w:szCs w:val="26"/>
              </w:rPr>
              <w:t>;</w:t>
            </w:r>
          </w:p>
          <w:p w:rsidRPr="002E1A36" w:rsidR="00444834" w:rsidP="004F4DD8" w:rsidRDefault="00444834" w14:paraId="24DA2A4A" w14:textId="77777777">
            <w:pPr>
              <w:rPr>
                <w:sz w:val="26"/>
                <w:szCs w:val="26"/>
              </w:rPr>
            </w:pPr>
            <w:r w:rsidRPr="002E1A36">
              <w:rPr>
                <w:sz w:val="26"/>
                <w:szCs w:val="26"/>
              </w:rPr>
              <w:t>$246,994</w:t>
            </w:r>
          </w:p>
        </w:tc>
      </w:tr>
      <w:tr w:rsidRPr="002E1A36" w:rsidR="00EF1246" w:rsidTr="000E5E99" w14:paraId="105701A6" w14:textId="77777777">
        <w:trPr>
          <w:cantSplit/>
          <w:trHeight w:val="197"/>
        </w:trPr>
        <w:tc>
          <w:tcPr>
            <w:tcW w:w="1036" w:type="pct"/>
          </w:tcPr>
          <w:p w:rsidRPr="003B64DA" w:rsidR="00444834" w:rsidP="004F4DD8" w:rsidRDefault="00444834" w14:paraId="546EEFE8" w14:textId="77777777">
            <w:pPr>
              <w:rPr>
                <w:b/>
                <w:sz w:val="26"/>
                <w:szCs w:val="26"/>
              </w:rPr>
            </w:pPr>
            <w:r w:rsidRPr="003B64DA">
              <w:rPr>
                <w:b/>
                <w:bCs/>
                <w:sz w:val="26"/>
                <w:szCs w:val="26"/>
              </w:rPr>
              <w:t>Net Subtotal for FERC-725A (Year 1)</w:t>
            </w:r>
          </w:p>
        </w:tc>
        <w:tc>
          <w:tcPr>
            <w:tcW w:w="872" w:type="pct"/>
            <w:shd w:val="clear" w:color="auto" w:fill="D9D9D9"/>
            <w:vAlign w:val="bottom"/>
          </w:tcPr>
          <w:p w:rsidRPr="002E1A36" w:rsidR="00444834" w:rsidP="004F4DD8" w:rsidRDefault="00444834" w14:paraId="3EF681FB" w14:textId="77777777">
            <w:pPr>
              <w:rPr>
                <w:sz w:val="26"/>
                <w:szCs w:val="26"/>
              </w:rPr>
            </w:pPr>
          </w:p>
        </w:tc>
        <w:tc>
          <w:tcPr>
            <w:tcW w:w="785" w:type="pct"/>
            <w:gridSpan w:val="2"/>
            <w:shd w:val="clear" w:color="auto" w:fill="D9D9D9"/>
            <w:vAlign w:val="bottom"/>
          </w:tcPr>
          <w:p w:rsidRPr="002E1A36" w:rsidR="00444834" w:rsidP="004F4DD8" w:rsidRDefault="00444834" w14:paraId="11E546D7" w14:textId="77777777">
            <w:pPr>
              <w:rPr>
                <w:sz w:val="26"/>
                <w:szCs w:val="26"/>
              </w:rPr>
            </w:pPr>
          </w:p>
        </w:tc>
        <w:tc>
          <w:tcPr>
            <w:tcW w:w="769" w:type="pct"/>
            <w:vAlign w:val="bottom"/>
          </w:tcPr>
          <w:p w:rsidRPr="002E1A36" w:rsidR="00444834" w:rsidP="004F4DD8" w:rsidRDefault="00444834" w14:paraId="23DB529D" w14:textId="77777777">
            <w:pPr>
              <w:rPr>
                <w:sz w:val="26"/>
                <w:szCs w:val="26"/>
              </w:rPr>
            </w:pPr>
            <w:r w:rsidRPr="002E1A36">
              <w:rPr>
                <w:sz w:val="26"/>
                <w:szCs w:val="26"/>
              </w:rPr>
              <w:t xml:space="preserve">369 </w:t>
            </w:r>
          </w:p>
        </w:tc>
        <w:tc>
          <w:tcPr>
            <w:tcW w:w="730" w:type="pct"/>
            <w:vAlign w:val="bottom"/>
          </w:tcPr>
          <w:p w:rsidRPr="002E1A36" w:rsidR="00444834" w:rsidP="004F4DD8" w:rsidRDefault="00444834" w14:paraId="2FFD26D4" w14:textId="77777777">
            <w:pPr>
              <w:rPr>
                <w:sz w:val="26"/>
                <w:szCs w:val="26"/>
              </w:rPr>
            </w:pPr>
            <w:r w:rsidRPr="002E1A36">
              <w:rPr>
                <w:sz w:val="26"/>
                <w:szCs w:val="26"/>
              </w:rPr>
              <w:t xml:space="preserve">48 </w:t>
            </w:r>
            <w:proofErr w:type="spellStart"/>
            <w:r w:rsidRPr="002E1A36">
              <w:rPr>
                <w:sz w:val="26"/>
                <w:szCs w:val="26"/>
              </w:rPr>
              <w:t>hrs</w:t>
            </w:r>
            <w:proofErr w:type="spellEnd"/>
            <w:r w:rsidRPr="002E1A36">
              <w:rPr>
                <w:sz w:val="26"/>
                <w:szCs w:val="26"/>
              </w:rPr>
              <w:t>;</w:t>
            </w:r>
          </w:p>
          <w:p w:rsidRPr="002E1A36" w:rsidR="00444834" w:rsidP="004F4DD8" w:rsidRDefault="00444834" w14:paraId="1DC76C08" w14:textId="77777777">
            <w:pPr>
              <w:rPr>
                <w:sz w:val="26"/>
                <w:szCs w:val="26"/>
              </w:rPr>
            </w:pPr>
            <w:r w:rsidRPr="002E1A36">
              <w:rPr>
                <w:sz w:val="26"/>
                <w:szCs w:val="26"/>
              </w:rPr>
              <w:t>$4,016</w:t>
            </w:r>
          </w:p>
        </w:tc>
        <w:tc>
          <w:tcPr>
            <w:tcW w:w="808" w:type="pct"/>
            <w:vAlign w:val="bottom"/>
          </w:tcPr>
          <w:p w:rsidRPr="002E1A36" w:rsidR="00444834" w:rsidP="004F4DD8" w:rsidRDefault="00444834" w14:paraId="068840A8" w14:textId="77777777">
            <w:pPr>
              <w:rPr>
                <w:sz w:val="26"/>
                <w:szCs w:val="26"/>
              </w:rPr>
            </w:pPr>
            <w:r w:rsidRPr="002E1A36">
              <w:rPr>
                <w:sz w:val="26"/>
                <w:szCs w:val="26"/>
              </w:rPr>
              <w:t xml:space="preserve">17,712 </w:t>
            </w:r>
            <w:proofErr w:type="spellStart"/>
            <w:r w:rsidRPr="002E1A36">
              <w:rPr>
                <w:sz w:val="26"/>
                <w:szCs w:val="26"/>
              </w:rPr>
              <w:t>hrs</w:t>
            </w:r>
            <w:proofErr w:type="spellEnd"/>
            <w:r w:rsidRPr="002E1A36">
              <w:rPr>
                <w:sz w:val="26"/>
                <w:szCs w:val="26"/>
              </w:rPr>
              <w:t>;</w:t>
            </w:r>
          </w:p>
          <w:p w:rsidRPr="002E1A36" w:rsidR="00444834" w:rsidP="004F4DD8" w:rsidRDefault="00444834" w14:paraId="34252707" w14:textId="77777777">
            <w:pPr>
              <w:rPr>
                <w:sz w:val="26"/>
                <w:szCs w:val="26"/>
              </w:rPr>
            </w:pPr>
            <w:r w:rsidRPr="002E1A36">
              <w:rPr>
                <w:sz w:val="26"/>
                <w:szCs w:val="26"/>
              </w:rPr>
              <w:t>$1,481,963</w:t>
            </w:r>
          </w:p>
        </w:tc>
      </w:tr>
      <w:tr w:rsidRPr="002E1A36" w:rsidR="00EF1246" w:rsidTr="000E5E99" w14:paraId="067105D9" w14:textId="77777777">
        <w:trPr>
          <w:cantSplit/>
          <w:trHeight w:val="197"/>
        </w:trPr>
        <w:tc>
          <w:tcPr>
            <w:tcW w:w="1036" w:type="pct"/>
          </w:tcPr>
          <w:p w:rsidRPr="002E1A36" w:rsidR="00444834" w:rsidP="004F4DD8" w:rsidRDefault="00444834" w14:paraId="74E7096E" w14:textId="77777777">
            <w:pPr>
              <w:rPr>
                <w:b/>
                <w:sz w:val="26"/>
                <w:szCs w:val="26"/>
              </w:rPr>
            </w:pPr>
            <w:r w:rsidRPr="003B64DA">
              <w:rPr>
                <w:b/>
                <w:bCs/>
                <w:sz w:val="26"/>
                <w:szCs w:val="26"/>
              </w:rPr>
              <w:lastRenderedPageBreak/>
              <w:t>Net Subtotal for FERC-725A (Ongoing)</w:t>
            </w:r>
          </w:p>
        </w:tc>
        <w:tc>
          <w:tcPr>
            <w:tcW w:w="872" w:type="pct"/>
            <w:shd w:val="clear" w:color="auto" w:fill="D9D9D9"/>
            <w:vAlign w:val="bottom"/>
          </w:tcPr>
          <w:p w:rsidRPr="002E1A36" w:rsidR="00444834" w:rsidP="004F4DD8" w:rsidRDefault="00444834" w14:paraId="5E61AFC7" w14:textId="77777777">
            <w:pPr>
              <w:rPr>
                <w:sz w:val="26"/>
                <w:szCs w:val="26"/>
              </w:rPr>
            </w:pPr>
          </w:p>
        </w:tc>
        <w:tc>
          <w:tcPr>
            <w:tcW w:w="785" w:type="pct"/>
            <w:gridSpan w:val="2"/>
            <w:shd w:val="clear" w:color="auto" w:fill="D9D9D9"/>
            <w:vAlign w:val="bottom"/>
          </w:tcPr>
          <w:p w:rsidRPr="002E1A36" w:rsidR="00444834" w:rsidP="004F4DD8" w:rsidRDefault="00444834" w14:paraId="64A15802" w14:textId="77777777">
            <w:pPr>
              <w:rPr>
                <w:sz w:val="26"/>
                <w:szCs w:val="26"/>
              </w:rPr>
            </w:pPr>
          </w:p>
        </w:tc>
        <w:tc>
          <w:tcPr>
            <w:tcW w:w="769" w:type="pct"/>
            <w:vAlign w:val="bottom"/>
          </w:tcPr>
          <w:p w:rsidRPr="002E1A36" w:rsidR="00444834" w:rsidP="004F4DD8" w:rsidRDefault="00444834" w14:paraId="1CBA2217" w14:textId="77777777">
            <w:pPr>
              <w:rPr>
                <w:sz w:val="26"/>
                <w:szCs w:val="26"/>
              </w:rPr>
            </w:pPr>
            <w:r w:rsidRPr="002E1A36">
              <w:rPr>
                <w:sz w:val="26"/>
                <w:szCs w:val="26"/>
              </w:rPr>
              <w:t>369</w:t>
            </w:r>
          </w:p>
        </w:tc>
        <w:tc>
          <w:tcPr>
            <w:tcW w:w="730" w:type="pct"/>
            <w:vAlign w:val="bottom"/>
          </w:tcPr>
          <w:p w:rsidRPr="002E1A36" w:rsidR="00444834" w:rsidP="004F4DD8" w:rsidRDefault="00444834" w14:paraId="2BBA8C45" w14:textId="77777777">
            <w:pPr>
              <w:rPr>
                <w:sz w:val="26"/>
                <w:szCs w:val="26"/>
              </w:rPr>
            </w:pPr>
            <w:r w:rsidRPr="002E1A36">
              <w:rPr>
                <w:sz w:val="26"/>
                <w:szCs w:val="26"/>
              </w:rPr>
              <w:t xml:space="preserve">8 </w:t>
            </w:r>
            <w:proofErr w:type="spellStart"/>
            <w:r w:rsidRPr="002E1A36">
              <w:rPr>
                <w:sz w:val="26"/>
                <w:szCs w:val="26"/>
              </w:rPr>
              <w:t>hrs</w:t>
            </w:r>
            <w:proofErr w:type="spellEnd"/>
            <w:r w:rsidRPr="002E1A36">
              <w:rPr>
                <w:sz w:val="26"/>
                <w:szCs w:val="26"/>
              </w:rPr>
              <w:t>;</w:t>
            </w:r>
          </w:p>
          <w:p w:rsidRPr="002E1A36" w:rsidR="00444834" w:rsidP="004F4DD8" w:rsidRDefault="00444834" w14:paraId="2EA40A96" w14:textId="77777777">
            <w:pPr>
              <w:rPr>
                <w:sz w:val="26"/>
                <w:szCs w:val="26"/>
              </w:rPr>
            </w:pPr>
            <w:r w:rsidRPr="002E1A36">
              <w:rPr>
                <w:sz w:val="26"/>
                <w:szCs w:val="26"/>
              </w:rPr>
              <w:t>$669</w:t>
            </w:r>
          </w:p>
        </w:tc>
        <w:tc>
          <w:tcPr>
            <w:tcW w:w="808" w:type="pct"/>
            <w:vAlign w:val="bottom"/>
          </w:tcPr>
          <w:p w:rsidRPr="002E1A36" w:rsidR="00444834" w:rsidP="004F4DD8" w:rsidRDefault="00444834" w14:paraId="6636D5F6" w14:textId="77777777">
            <w:pPr>
              <w:rPr>
                <w:sz w:val="26"/>
                <w:szCs w:val="26"/>
              </w:rPr>
            </w:pPr>
            <w:r w:rsidRPr="002E1A36">
              <w:rPr>
                <w:sz w:val="26"/>
                <w:szCs w:val="26"/>
              </w:rPr>
              <w:t xml:space="preserve">2,952 </w:t>
            </w:r>
            <w:proofErr w:type="spellStart"/>
            <w:r w:rsidRPr="002E1A36">
              <w:rPr>
                <w:sz w:val="26"/>
                <w:szCs w:val="26"/>
              </w:rPr>
              <w:t>hrs</w:t>
            </w:r>
            <w:proofErr w:type="spellEnd"/>
            <w:r w:rsidRPr="002E1A36">
              <w:rPr>
                <w:sz w:val="26"/>
                <w:szCs w:val="26"/>
              </w:rPr>
              <w:t>;</w:t>
            </w:r>
          </w:p>
          <w:p w:rsidRPr="002E1A36" w:rsidR="00444834" w:rsidP="004F4DD8" w:rsidRDefault="00444834" w14:paraId="60BB246B" w14:textId="77777777">
            <w:pPr>
              <w:rPr>
                <w:sz w:val="26"/>
                <w:szCs w:val="26"/>
              </w:rPr>
            </w:pPr>
            <w:r w:rsidRPr="002E1A36">
              <w:rPr>
                <w:sz w:val="26"/>
                <w:szCs w:val="26"/>
              </w:rPr>
              <w:t>$246,994</w:t>
            </w:r>
          </w:p>
        </w:tc>
      </w:tr>
    </w:tbl>
    <w:p w:rsidRPr="003B64DA" w:rsidR="009D6B6D" w:rsidP="005C5249" w:rsidRDefault="00BB6095" w14:paraId="13BF2A57" w14:textId="1EBF1A23">
      <w:pPr>
        <w:pStyle w:val="FERCparanumber"/>
        <w:numPr>
          <w:ilvl w:val="0"/>
          <w:numId w:val="7"/>
        </w:numPr>
        <w:rPr>
          <w:szCs w:val="26"/>
        </w:rPr>
      </w:pPr>
      <w:r w:rsidRPr="003B64DA">
        <w:rPr>
          <w:b/>
          <w:szCs w:val="26"/>
        </w:rPr>
        <w:t>ESTIMATE OF THE TOTAL ANNUAL COST BURDEN TO RESPONDENTS</w:t>
      </w:r>
    </w:p>
    <w:p w:rsidRPr="002E1A36" w:rsidR="00EF40FF" w:rsidP="00EF40FF" w:rsidRDefault="00EF40FF" w14:paraId="27C816AF" w14:textId="77777777">
      <w:pPr>
        <w:pStyle w:val="FERCparanumber"/>
        <w:numPr>
          <w:ilvl w:val="0"/>
          <w:numId w:val="0"/>
        </w:numPr>
        <w:rPr>
          <w:b/>
          <w:szCs w:val="26"/>
        </w:rPr>
      </w:pPr>
    </w:p>
    <w:p w:rsidRPr="002E1A36" w:rsidR="003712E9" w:rsidP="0009613C" w:rsidRDefault="00432DA3" w14:paraId="23C283D8" w14:textId="5CA03CF4">
      <w:pPr>
        <w:widowControl/>
        <w:rPr>
          <w:sz w:val="26"/>
          <w:szCs w:val="26"/>
        </w:rPr>
      </w:pPr>
      <w:r w:rsidRPr="002E1A36">
        <w:rPr>
          <w:sz w:val="26"/>
          <w:szCs w:val="26"/>
        </w:rPr>
        <w:t>There are no non-labor</w:t>
      </w:r>
      <w:r w:rsidR="00E44C3D">
        <w:rPr>
          <w:sz w:val="26"/>
          <w:szCs w:val="26"/>
        </w:rPr>
        <w:t xml:space="preserve"> or</w:t>
      </w:r>
      <w:r w:rsidRPr="002E1A36">
        <w:rPr>
          <w:sz w:val="26"/>
          <w:szCs w:val="26"/>
        </w:rPr>
        <w:t xml:space="preserve"> </w:t>
      </w:r>
      <w:r w:rsidRPr="002E1A36" w:rsidR="00A83498">
        <w:rPr>
          <w:sz w:val="26"/>
          <w:szCs w:val="26"/>
        </w:rPr>
        <w:t xml:space="preserve">PRA-related </w:t>
      </w:r>
      <w:r w:rsidRPr="002E1A36">
        <w:rPr>
          <w:sz w:val="26"/>
          <w:szCs w:val="26"/>
        </w:rPr>
        <w:t xml:space="preserve">costs. </w:t>
      </w:r>
      <w:r w:rsidR="00E44C3D">
        <w:rPr>
          <w:sz w:val="26"/>
          <w:szCs w:val="26"/>
        </w:rPr>
        <w:t xml:space="preserve"> </w:t>
      </w:r>
      <w:r w:rsidRPr="002E1A36">
        <w:rPr>
          <w:sz w:val="26"/>
          <w:szCs w:val="26"/>
        </w:rPr>
        <w:t>All costs are related to burden hours and are addressed in Questions #12 and #15.</w:t>
      </w:r>
    </w:p>
    <w:p w:rsidRPr="002E1A36" w:rsidR="00EF40FF" w:rsidP="00EF40FF" w:rsidRDefault="00EF40FF" w14:paraId="237DA0EC" w14:textId="77777777">
      <w:pPr>
        <w:pStyle w:val="FERCparanumber"/>
        <w:numPr>
          <w:ilvl w:val="0"/>
          <w:numId w:val="0"/>
        </w:numPr>
        <w:rPr>
          <w:szCs w:val="26"/>
        </w:rPr>
      </w:pPr>
    </w:p>
    <w:p w:rsidRPr="002E1A36" w:rsidR="00EF40FF" w:rsidP="001D2EC1" w:rsidRDefault="00EF40FF" w14:paraId="25934EE2" w14:textId="77777777">
      <w:pPr>
        <w:pStyle w:val="FERCparanumber"/>
        <w:numPr>
          <w:ilvl w:val="0"/>
          <w:numId w:val="7"/>
        </w:numPr>
        <w:rPr>
          <w:b/>
          <w:szCs w:val="26"/>
        </w:rPr>
      </w:pPr>
      <w:r w:rsidRPr="002E1A36">
        <w:rPr>
          <w:b/>
          <w:szCs w:val="26"/>
        </w:rPr>
        <w:t>ESTIMATED ANNUALIZED COST TO FEDERAL GOVERNMENT</w:t>
      </w:r>
    </w:p>
    <w:p w:rsidRPr="002E1A36" w:rsidR="00EF40FF" w:rsidP="00874F1D" w:rsidRDefault="00EF40FF" w14:paraId="5BF0DAF9" w14:textId="14D5E081">
      <w:pPr>
        <w:rPr>
          <w:b/>
          <w:sz w:val="26"/>
          <w:szCs w:val="26"/>
        </w:rPr>
      </w:pPr>
    </w:p>
    <w:p w:rsidRPr="002E1A36" w:rsidR="00A90967" w:rsidP="00A90967" w:rsidRDefault="00A90967" w14:paraId="0F2821CF" w14:textId="4EE12FB6">
      <w:pPr>
        <w:pStyle w:val="FERCparanumber"/>
        <w:numPr>
          <w:ilvl w:val="0"/>
          <w:numId w:val="0"/>
        </w:numPr>
        <w:ind w:left="72"/>
        <w:rPr>
          <w:szCs w:val="26"/>
        </w:rPr>
      </w:pPr>
      <w:r w:rsidRPr="002E1A36">
        <w:rPr>
          <w:szCs w:val="26"/>
        </w:rPr>
        <w:t>The Commission estimates the total annual federal burden and cost</w:t>
      </w:r>
      <w:r w:rsidRPr="002E1A36" w:rsidR="00016EE6">
        <w:rPr>
          <w:szCs w:val="26"/>
        </w:rPr>
        <w:t xml:space="preserve"> is similar to other interconnection orders (e.g. Order 845) and is reflected</w:t>
      </w:r>
      <w:r w:rsidRPr="002E1A36">
        <w:rPr>
          <w:szCs w:val="26"/>
        </w:rPr>
        <w:t xml:space="preserve"> for </w:t>
      </w:r>
      <w:r w:rsidRPr="002E1A36" w:rsidR="00A103A1">
        <w:rPr>
          <w:szCs w:val="26"/>
        </w:rPr>
        <w:t xml:space="preserve">FERC-516H </w:t>
      </w:r>
      <w:r w:rsidRPr="002E1A36" w:rsidR="009D114E">
        <w:rPr>
          <w:szCs w:val="26"/>
        </w:rPr>
        <w:t>i</w:t>
      </w:r>
      <w:r w:rsidRPr="002E1A36">
        <w:rPr>
          <w:szCs w:val="26"/>
        </w:rPr>
        <w:t>n the following table:</w:t>
      </w:r>
    </w:p>
    <w:p w:rsidRPr="002E1A36" w:rsidR="0094665F" w:rsidP="00A90967" w:rsidRDefault="0094665F" w14:paraId="7F5E0F24" w14:textId="3B9BD93C">
      <w:pPr>
        <w:pStyle w:val="FERCparanumber"/>
        <w:numPr>
          <w:ilvl w:val="0"/>
          <w:numId w:val="0"/>
        </w:numPr>
        <w:ind w:left="72"/>
        <w:rPr>
          <w:szCs w:val="26"/>
        </w:rPr>
      </w:pPr>
    </w:p>
    <w:p w:rsidRPr="003B64DA" w:rsidR="0094665F" w:rsidP="00A90967" w:rsidRDefault="0094665F" w14:paraId="64E9988E" w14:textId="29B0240B">
      <w:pPr>
        <w:pStyle w:val="FERCparanumber"/>
        <w:numPr>
          <w:ilvl w:val="0"/>
          <w:numId w:val="0"/>
        </w:numPr>
        <w:ind w:left="72"/>
        <w:rPr>
          <w:szCs w:val="26"/>
        </w:rPr>
      </w:pPr>
      <w:r w:rsidRPr="002E1A36">
        <w:rPr>
          <w:b/>
          <w:bCs/>
          <w:szCs w:val="26"/>
        </w:rPr>
        <w:t xml:space="preserve">Table </w:t>
      </w:r>
      <w:r w:rsidRPr="003B64DA">
        <w:rPr>
          <w:b/>
          <w:bCs/>
          <w:szCs w:val="26"/>
        </w:rPr>
        <w:t>12-1 ― Estimated Annual</w:t>
      </w:r>
      <w:r w:rsidR="00744C8E">
        <w:rPr>
          <w:b/>
          <w:bCs/>
          <w:szCs w:val="26"/>
        </w:rPr>
        <w:t xml:space="preserve"> Federal</w:t>
      </w:r>
      <w:r w:rsidRPr="003B64DA">
        <w:rPr>
          <w:b/>
          <w:bCs/>
          <w:szCs w:val="26"/>
        </w:rPr>
        <w:t xml:space="preserve"> </w:t>
      </w:r>
      <w:r w:rsidR="00744C8E">
        <w:rPr>
          <w:b/>
          <w:bCs/>
          <w:szCs w:val="26"/>
        </w:rPr>
        <w:t>Costs to FERC-516H</w:t>
      </w:r>
      <w:r w:rsidRPr="003B64DA">
        <w:rPr>
          <w:b/>
          <w:bCs/>
          <w:szCs w:val="26"/>
        </w:rPr>
        <w:t xml:space="preserve"> Due to RM20-16-000</w:t>
      </w:r>
      <w:r w:rsidR="00744C8E">
        <w:rPr>
          <w:b/>
          <w:bCs/>
          <w:szCs w:val="26"/>
        </w:rPr>
        <w:t xml:space="preserve"> </w:t>
      </w:r>
    </w:p>
    <w:p w:rsidRPr="003B64DA" w:rsidR="007637CB" w:rsidP="00874F1D" w:rsidRDefault="007637CB" w14:paraId="6C1272FA" w14:textId="1AD1D0EA">
      <w:pPr>
        <w:rPr>
          <w:b/>
          <w:sz w:val="26"/>
          <w:szCs w:val="26"/>
        </w:rPr>
      </w:pPr>
    </w:p>
    <w:p w:rsidRPr="003B64DA" w:rsidR="007637CB" w:rsidP="00874F1D" w:rsidRDefault="007637CB" w14:paraId="7E4870A7" w14:textId="77777777">
      <w:pPr>
        <w:rPr>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2E1A36" w:rsidR="00EF40FF" w:rsidTr="0091218B" w14:paraId="6C55F3AE" w14:textId="77777777">
        <w:tc>
          <w:tcPr>
            <w:tcW w:w="1756" w:type="pct"/>
            <w:shd w:val="clear" w:color="auto" w:fill="D9D9D9"/>
            <w:vAlign w:val="center"/>
          </w:tcPr>
          <w:p w:rsidRPr="002E1A36" w:rsidR="00EF40FF" w:rsidP="0091218B" w:rsidRDefault="00EF40FF" w14:paraId="420D71F3" w14:textId="7ECC1371">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Pr="002E1A36" w:rsidR="00EF40FF" w:rsidP="0091218B" w:rsidRDefault="00EF40FF" w14:paraId="18D95BE9" w14:textId="03FB7D25">
            <w:pPr>
              <w:pStyle w:val="ListParagraph"/>
              <w:spacing w:after="0" w:line="240" w:lineRule="auto"/>
              <w:ind w:left="0"/>
              <w:jc w:val="center"/>
              <w:rPr>
                <w:rFonts w:ascii="Times New Roman" w:hAnsi="Times New Roman"/>
                <w:b/>
                <w:sz w:val="26"/>
                <w:szCs w:val="26"/>
              </w:rPr>
            </w:pPr>
            <w:r w:rsidRPr="002E1A36">
              <w:rPr>
                <w:rFonts w:ascii="Times New Roman" w:hAnsi="Times New Roman"/>
                <w:b/>
                <w:sz w:val="26"/>
                <w:szCs w:val="26"/>
              </w:rPr>
              <w:t>Number of Employees (F</w:t>
            </w:r>
            <w:r w:rsidRPr="002E1A36" w:rsidR="001639D1">
              <w:rPr>
                <w:rFonts w:ascii="Times New Roman" w:hAnsi="Times New Roman"/>
                <w:b/>
                <w:sz w:val="26"/>
                <w:szCs w:val="26"/>
              </w:rPr>
              <w:t>ull-</w:t>
            </w:r>
            <w:r w:rsidRPr="002E1A36">
              <w:rPr>
                <w:rFonts w:ascii="Times New Roman" w:hAnsi="Times New Roman"/>
                <w:b/>
                <w:sz w:val="26"/>
                <w:szCs w:val="26"/>
              </w:rPr>
              <w:t>T</w:t>
            </w:r>
            <w:r w:rsidRPr="002E1A36" w:rsidR="001639D1">
              <w:rPr>
                <w:rFonts w:ascii="Times New Roman" w:hAnsi="Times New Roman"/>
                <w:b/>
                <w:sz w:val="26"/>
                <w:szCs w:val="26"/>
              </w:rPr>
              <w:t xml:space="preserve">ime </w:t>
            </w:r>
            <w:r w:rsidRPr="002E1A36">
              <w:rPr>
                <w:rFonts w:ascii="Times New Roman" w:hAnsi="Times New Roman"/>
                <w:b/>
                <w:sz w:val="26"/>
                <w:szCs w:val="26"/>
              </w:rPr>
              <w:t>E</w:t>
            </w:r>
            <w:r w:rsidRPr="002E1A36" w:rsidR="001639D1">
              <w:rPr>
                <w:rFonts w:ascii="Times New Roman" w:hAnsi="Times New Roman"/>
                <w:b/>
                <w:sz w:val="26"/>
                <w:szCs w:val="26"/>
              </w:rPr>
              <w:t>quivalents</w:t>
            </w:r>
            <w:r w:rsidRPr="002E1A36">
              <w:rPr>
                <w:rFonts w:ascii="Times New Roman" w:hAnsi="Times New Roman"/>
                <w:b/>
                <w:sz w:val="26"/>
                <w:szCs w:val="26"/>
              </w:rPr>
              <w:t>)</w:t>
            </w:r>
          </w:p>
        </w:tc>
        <w:tc>
          <w:tcPr>
            <w:tcW w:w="1617" w:type="pct"/>
            <w:shd w:val="clear" w:color="auto" w:fill="D9D9D9"/>
            <w:vAlign w:val="center"/>
          </w:tcPr>
          <w:p w:rsidRPr="002E1A36" w:rsidR="00EF40FF" w:rsidP="0091218B" w:rsidRDefault="00EF40FF" w14:paraId="65A7AAF2" w14:textId="77777777">
            <w:pPr>
              <w:pStyle w:val="ListParagraph"/>
              <w:spacing w:after="0" w:line="240" w:lineRule="auto"/>
              <w:ind w:left="0"/>
              <w:jc w:val="center"/>
              <w:rPr>
                <w:rFonts w:ascii="Times New Roman" w:hAnsi="Times New Roman"/>
                <w:b/>
                <w:sz w:val="26"/>
                <w:szCs w:val="26"/>
              </w:rPr>
            </w:pPr>
            <w:r w:rsidRPr="002E1A36">
              <w:rPr>
                <w:rFonts w:ascii="Times New Roman" w:hAnsi="Times New Roman"/>
                <w:b/>
                <w:sz w:val="26"/>
                <w:szCs w:val="26"/>
              </w:rPr>
              <w:t>Estimated Annual Federal Cost</w:t>
            </w:r>
          </w:p>
        </w:tc>
      </w:tr>
      <w:tr w:rsidRPr="002E1A36" w:rsidR="00EF40FF" w:rsidTr="0091218B" w14:paraId="73366A6A" w14:textId="77777777">
        <w:tc>
          <w:tcPr>
            <w:tcW w:w="1756" w:type="pct"/>
            <w:shd w:val="clear" w:color="auto" w:fill="auto"/>
            <w:vAlign w:val="center"/>
          </w:tcPr>
          <w:p w:rsidRPr="003B64DA" w:rsidR="00EF40FF" w:rsidP="0091218B" w:rsidRDefault="00EF40FF" w14:paraId="38725E63" w14:textId="77777777">
            <w:pPr>
              <w:pStyle w:val="ListParagraph"/>
              <w:spacing w:after="0" w:line="240" w:lineRule="auto"/>
              <w:ind w:left="0"/>
              <w:rPr>
                <w:rFonts w:ascii="Times New Roman" w:hAnsi="Times New Roman"/>
                <w:sz w:val="26"/>
                <w:szCs w:val="26"/>
              </w:rPr>
            </w:pPr>
            <w:r w:rsidRPr="003B64DA">
              <w:rPr>
                <w:rFonts w:ascii="Times New Roman" w:hAnsi="Times New Roman"/>
                <w:sz w:val="26"/>
                <w:szCs w:val="26"/>
              </w:rPr>
              <w:t>Analysis and Processing of Filings</w:t>
            </w:r>
            <w:r w:rsidRPr="003B64DA">
              <w:rPr>
                <w:rStyle w:val="FootnoteReference"/>
                <w:rFonts w:ascii="Times New Roman" w:hAnsi="Times New Roman"/>
                <w:sz w:val="26"/>
                <w:szCs w:val="26"/>
              </w:rPr>
              <w:footnoteReference w:id="21"/>
            </w:r>
          </w:p>
        </w:tc>
        <w:tc>
          <w:tcPr>
            <w:tcW w:w="1627" w:type="pct"/>
            <w:shd w:val="clear" w:color="auto" w:fill="auto"/>
            <w:vAlign w:val="center"/>
          </w:tcPr>
          <w:p w:rsidRPr="003B64DA" w:rsidR="00EF40FF" w:rsidP="00BD73DD" w:rsidRDefault="00EF40FF" w14:paraId="169BBF54" w14:textId="5D26D608">
            <w:pPr>
              <w:pStyle w:val="ListParagraph"/>
              <w:spacing w:after="0" w:line="240" w:lineRule="auto"/>
              <w:ind w:left="0"/>
              <w:jc w:val="right"/>
              <w:rPr>
                <w:rFonts w:ascii="Times New Roman" w:hAnsi="Times New Roman"/>
                <w:sz w:val="26"/>
                <w:szCs w:val="26"/>
              </w:rPr>
            </w:pPr>
          </w:p>
        </w:tc>
        <w:tc>
          <w:tcPr>
            <w:tcW w:w="1617" w:type="pct"/>
            <w:shd w:val="clear" w:color="auto" w:fill="auto"/>
            <w:vAlign w:val="center"/>
          </w:tcPr>
          <w:p w:rsidRPr="003B64DA" w:rsidR="00EF40FF" w:rsidP="0091218B" w:rsidRDefault="0094665F" w14:paraId="7007B84E" w14:textId="357AD305">
            <w:pPr>
              <w:pStyle w:val="ListParagraph"/>
              <w:spacing w:after="0" w:line="240" w:lineRule="auto"/>
              <w:ind w:left="0"/>
              <w:jc w:val="right"/>
              <w:rPr>
                <w:rFonts w:ascii="Times New Roman" w:hAnsi="Times New Roman"/>
                <w:sz w:val="26"/>
                <w:szCs w:val="26"/>
              </w:rPr>
            </w:pPr>
            <w:r w:rsidRPr="003B64DA">
              <w:rPr>
                <w:rFonts w:ascii="Times New Roman" w:hAnsi="Times New Roman"/>
                <w:sz w:val="26"/>
                <w:szCs w:val="26"/>
              </w:rPr>
              <w:t>$596,319.90</w:t>
            </w:r>
          </w:p>
        </w:tc>
      </w:tr>
      <w:tr w:rsidRPr="002E1A36" w:rsidR="00EF40FF" w:rsidTr="0091218B" w14:paraId="7009D51E" w14:textId="77777777">
        <w:tc>
          <w:tcPr>
            <w:tcW w:w="1756" w:type="pct"/>
            <w:shd w:val="clear" w:color="auto" w:fill="auto"/>
            <w:vAlign w:val="center"/>
          </w:tcPr>
          <w:p w:rsidRPr="003B64DA" w:rsidR="00EF40FF" w:rsidP="00195E58" w:rsidRDefault="00EF40FF" w14:paraId="099D5BDF" w14:textId="6EC46709">
            <w:pPr>
              <w:pStyle w:val="ListParagraph"/>
              <w:spacing w:after="0" w:line="240" w:lineRule="auto"/>
              <w:ind w:left="0"/>
              <w:rPr>
                <w:rFonts w:ascii="Times New Roman" w:hAnsi="Times New Roman"/>
                <w:sz w:val="26"/>
                <w:szCs w:val="26"/>
              </w:rPr>
            </w:pPr>
            <w:r w:rsidRPr="003B64DA">
              <w:rPr>
                <w:rFonts w:ascii="Times New Roman" w:hAnsi="Times New Roman"/>
                <w:sz w:val="26"/>
                <w:szCs w:val="26"/>
              </w:rPr>
              <w:t>PRA</w:t>
            </w:r>
            <w:r w:rsidRPr="003B64DA" w:rsidR="00A86896">
              <w:rPr>
                <w:rStyle w:val="FootnoteReference"/>
                <w:rFonts w:ascii="Times New Roman" w:hAnsi="Times New Roman"/>
                <w:sz w:val="26"/>
                <w:szCs w:val="26"/>
              </w:rPr>
              <w:footnoteReference w:id="22"/>
            </w:r>
            <w:r w:rsidRPr="003B64DA">
              <w:rPr>
                <w:rFonts w:ascii="Times New Roman" w:hAnsi="Times New Roman"/>
                <w:sz w:val="26"/>
                <w:szCs w:val="26"/>
              </w:rPr>
              <w:t xml:space="preserve"> Administrative Cost</w:t>
            </w:r>
          </w:p>
        </w:tc>
        <w:tc>
          <w:tcPr>
            <w:tcW w:w="1627" w:type="pct"/>
            <w:shd w:val="clear" w:color="auto" w:fill="D9D9D9"/>
            <w:vAlign w:val="center"/>
          </w:tcPr>
          <w:p w:rsidRPr="003B64DA" w:rsidR="00EF40FF" w:rsidP="0091218B" w:rsidRDefault="00EF40FF" w14:paraId="74DA3B1F"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2E1A36" w:rsidR="00EF40FF" w:rsidP="0091218B" w:rsidRDefault="001563EF" w14:paraId="731B0E8B" w14:textId="0C30F36E">
            <w:pPr>
              <w:pStyle w:val="ListParagraph"/>
              <w:spacing w:after="0" w:line="240" w:lineRule="auto"/>
              <w:ind w:left="0"/>
              <w:jc w:val="right"/>
              <w:rPr>
                <w:rFonts w:ascii="Times New Roman" w:hAnsi="Times New Roman"/>
                <w:sz w:val="26"/>
                <w:szCs w:val="26"/>
              </w:rPr>
            </w:pPr>
            <w:r w:rsidRPr="003B64DA">
              <w:rPr>
                <w:rFonts w:ascii="Times New Roman" w:hAnsi="Times New Roman"/>
                <w:sz w:val="26"/>
                <w:szCs w:val="26"/>
              </w:rPr>
              <w:t>$</w:t>
            </w:r>
            <w:r w:rsidRPr="003B64DA" w:rsidR="009D5CB2">
              <w:rPr>
                <w:rFonts w:ascii="Times New Roman" w:hAnsi="Times New Roman"/>
                <w:sz w:val="26"/>
                <w:szCs w:val="26"/>
              </w:rPr>
              <w:t>8</w:t>
            </w:r>
            <w:r w:rsidRPr="003B64DA" w:rsidR="00DA16D5">
              <w:rPr>
                <w:rFonts w:ascii="Times New Roman" w:hAnsi="Times New Roman"/>
                <w:sz w:val="26"/>
                <w:szCs w:val="26"/>
              </w:rPr>
              <w:t>,</w:t>
            </w:r>
            <w:r w:rsidRPr="003B64DA" w:rsidR="009D5CB2">
              <w:rPr>
                <w:rFonts w:ascii="Times New Roman" w:hAnsi="Times New Roman"/>
                <w:sz w:val="26"/>
                <w:szCs w:val="26"/>
              </w:rPr>
              <w:t>279</w:t>
            </w:r>
            <w:r w:rsidRPr="002E1A36" w:rsidR="0094665F">
              <w:rPr>
                <w:rFonts w:ascii="Times New Roman" w:hAnsi="Times New Roman"/>
                <w:sz w:val="26"/>
                <w:szCs w:val="26"/>
              </w:rPr>
              <w:t>.00</w:t>
            </w:r>
          </w:p>
        </w:tc>
      </w:tr>
      <w:tr w:rsidRPr="002E1A36" w:rsidR="00EF40FF" w:rsidTr="0091218B" w14:paraId="0A5B5FA9" w14:textId="77777777">
        <w:tc>
          <w:tcPr>
            <w:tcW w:w="1756" w:type="pct"/>
            <w:shd w:val="clear" w:color="auto" w:fill="auto"/>
            <w:vAlign w:val="center"/>
          </w:tcPr>
          <w:p w:rsidRPr="003B64DA" w:rsidR="00EF40FF" w:rsidP="0091218B" w:rsidRDefault="00EF40FF" w14:paraId="4441CC05" w14:textId="6172CF4C">
            <w:pPr>
              <w:pStyle w:val="ListParagraph"/>
              <w:spacing w:after="0" w:line="240" w:lineRule="auto"/>
              <w:ind w:left="0"/>
              <w:rPr>
                <w:rFonts w:ascii="Times New Roman" w:hAnsi="Times New Roman"/>
                <w:sz w:val="26"/>
                <w:szCs w:val="26"/>
              </w:rPr>
            </w:pPr>
            <w:r w:rsidRPr="003B64DA">
              <w:rPr>
                <w:rFonts w:ascii="Times New Roman" w:hAnsi="Times New Roman"/>
                <w:sz w:val="26"/>
                <w:szCs w:val="26"/>
              </w:rPr>
              <w:t>Total</w:t>
            </w:r>
            <w:r w:rsidRPr="003B64DA" w:rsidR="009B2295">
              <w:rPr>
                <w:rFonts w:ascii="Times New Roman" w:hAnsi="Times New Roman"/>
                <w:sz w:val="26"/>
                <w:szCs w:val="26"/>
              </w:rPr>
              <w:t xml:space="preserve"> Federal Cost</w:t>
            </w:r>
          </w:p>
        </w:tc>
        <w:tc>
          <w:tcPr>
            <w:tcW w:w="1627" w:type="pct"/>
            <w:shd w:val="clear" w:color="auto" w:fill="D9D9D9"/>
            <w:vAlign w:val="center"/>
          </w:tcPr>
          <w:p w:rsidRPr="003B64DA" w:rsidR="00EF40FF" w:rsidP="0091218B" w:rsidRDefault="00EF40FF" w14:paraId="2B3CB9DA"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2E1A36" w:rsidR="00EF40FF" w:rsidP="0091218B" w:rsidRDefault="00735219" w14:paraId="53B2B876" w14:textId="1B533F3C">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w:t>
            </w:r>
            <w:r w:rsidRPr="00735219">
              <w:rPr>
                <w:rFonts w:ascii="Times New Roman" w:hAnsi="Times New Roman"/>
                <w:sz w:val="26"/>
                <w:szCs w:val="26"/>
              </w:rPr>
              <w:t>604,598.9</w:t>
            </w:r>
            <w:r>
              <w:rPr>
                <w:rFonts w:ascii="Times New Roman" w:hAnsi="Times New Roman"/>
                <w:sz w:val="26"/>
                <w:szCs w:val="26"/>
              </w:rPr>
              <w:t>0</w:t>
            </w:r>
          </w:p>
        </w:tc>
      </w:tr>
    </w:tbl>
    <w:p w:rsidRPr="003B64DA" w:rsidR="003866AD" w:rsidP="00EF40FF" w:rsidRDefault="003866AD" w14:paraId="49B9BB07" w14:textId="77777777">
      <w:pPr>
        <w:pStyle w:val="ListParagraph"/>
        <w:spacing w:after="0" w:line="240" w:lineRule="auto"/>
        <w:rPr>
          <w:rFonts w:ascii="Times New Roman" w:hAnsi="Times New Roman"/>
          <w:b/>
          <w:sz w:val="26"/>
          <w:szCs w:val="26"/>
        </w:rPr>
      </w:pPr>
    </w:p>
    <w:p w:rsidRPr="002E1A36" w:rsidR="00EF40FF" w:rsidP="00EF40FF" w:rsidRDefault="00C32787" w14:paraId="162A5185" w14:textId="2DB4AC9A">
      <w:pPr>
        <w:rPr>
          <w:sz w:val="26"/>
          <w:szCs w:val="26"/>
        </w:rPr>
      </w:pPr>
      <w:r w:rsidRPr="003B64DA">
        <w:rPr>
          <w:sz w:val="26"/>
          <w:szCs w:val="26"/>
        </w:rPr>
        <w:t>FERC</w:t>
      </w:r>
      <w:r w:rsidRPr="003B64DA" w:rsidR="00EF40FF">
        <w:rPr>
          <w:sz w:val="26"/>
          <w:szCs w:val="26"/>
        </w:rPr>
        <w:t xml:space="preserve">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Pr="002E1A36" w:rsidR="00F515BD" w:rsidP="00EF40FF" w:rsidRDefault="00F515BD" w14:paraId="074E6704" w14:textId="65D2BA79">
      <w:pPr>
        <w:rPr>
          <w:sz w:val="26"/>
          <w:szCs w:val="26"/>
        </w:rPr>
      </w:pPr>
    </w:p>
    <w:p w:rsidRPr="002E1A36" w:rsidR="00F515BD" w:rsidP="00EF40FF" w:rsidRDefault="00F515BD" w14:paraId="6048B2BC" w14:textId="76D4E76A">
      <w:pPr>
        <w:rPr>
          <w:sz w:val="26"/>
          <w:szCs w:val="26"/>
        </w:rPr>
      </w:pPr>
      <w:r w:rsidRPr="002E1A36">
        <w:rPr>
          <w:sz w:val="26"/>
          <w:szCs w:val="26"/>
        </w:rPr>
        <w:t>The “PRA Administrative Cost” is associated with preparing, issuing, and submitting materials necessary to comply with the Paperwork Reduction Act for rulemakings, orders, or any other vehicle used to create, modify, extend, or discontinue an information collection.  This average annual cost includes requests for extensions, all associated rulemakings and orders, other changes to the collection, and publication of related notices in the Federal Register.</w:t>
      </w:r>
    </w:p>
    <w:p w:rsidRPr="002E1A36" w:rsidR="00EF40FF" w:rsidP="00EF40FF" w:rsidRDefault="00EF40FF" w14:paraId="7086245E" w14:textId="7231F296">
      <w:pPr>
        <w:pStyle w:val="FERCparanumber"/>
        <w:numPr>
          <w:ilvl w:val="0"/>
          <w:numId w:val="0"/>
        </w:numPr>
        <w:rPr>
          <w:b/>
          <w:szCs w:val="26"/>
        </w:rPr>
      </w:pPr>
    </w:p>
    <w:p w:rsidRPr="002E1A36" w:rsidR="009D114E" w:rsidP="00EF40FF" w:rsidRDefault="009D114E" w14:paraId="01346B5E" w14:textId="24DED649">
      <w:pPr>
        <w:pStyle w:val="FERCparanumber"/>
        <w:numPr>
          <w:ilvl w:val="0"/>
          <w:numId w:val="0"/>
        </w:numPr>
        <w:rPr>
          <w:bCs/>
          <w:szCs w:val="26"/>
        </w:rPr>
      </w:pPr>
      <w:r w:rsidRPr="002E1A36">
        <w:rPr>
          <w:bCs/>
          <w:szCs w:val="26"/>
        </w:rPr>
        <w:t xml:space="preserve">For FERC-725A, </w:t>
      </w:r>
      <w:r w:rsidRPr="002E1A36" w:rsidR="00D81B46">
        <w:rPr>
          <w:bCs/>
          <w:szCs w:val="26"/>
        </w:rPr>
        <w:t>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w:t>
      </w:r>
      <w:r w:rsidRPr="002E1A36" w:rsidR="007E0CB2">
        <w:rPr>
          <w:bCs/>
          <w:szCs w:val="26"/>
        </w:rPr>
        <w:t xml:space="preserve">  </w:t>
      </w:r>
      <w:r w:rsidRPr="002E1A36" w:rsidR="00D140CF">
        <w:rPr>
          <w:bCs/>
          <w:szCs w:val="26"/>
        </w:rPr>
        <w:t xml:space="preserve">Thus, the only federal </w:t>
      </w:r>
      <w:r w:rsidRPr="002E1A36" w:rsidR="00C32B7E">
        <w:rPr>
          <w:bCs/>
          <w:szCs w:val="26"/>
        </w:rPr>
        <w:t xml:space="preserve">estimated </w:t>
      </w:r>
      <w:r w:rsidRPr="002E1A36" w:rsidR="00D140CF">
        <w:rPr>
          <w:bCs/>
          <w:szCs w:val="26"/>
        </w:rPr>
        <w:t>cost involved in FERC-725A is the</w:t>
      </w:r>
      <w:r w:rsidRPr="002E1A36" w:rsidR="00C32B7E">
        <w:rPr>
          <w:bCs/>
          <w:szCs w:val="26"/>
        </w:rPr>
        <w:t xml:space="preserve"> $8,279 </w:t>
      </w:r>
      <w:r w:rsidRPr="002E1A36" w:rsidR="00460020">
        <w:rPr>
          <w:bCs/>
          <w:szCs w:val="26"/>
        </w:rPr>
        <w:t>for PRA administration.</w:t>
      </w:r>
      <w:r w:rsidRPr="002E1A36" w:rsidR="00D140CF">
        <w:rPr>
          <w:bCs/>
          <w:szCs w:val="26"/>
        </w:rPr>
        <w:t xml:space="preserve"> </w:t>
      </w:r>
    </w:p>
    <w:p w:rsidRPr="002E1A36" w:rsidR="009D114E" w:rsidP="00EF40FF" w:rsidRDefault="009D114E" w14:paraId="1F80CE13" w14:textId="77777777">
      <w:pPr>
        <w:pStyle w:val="FERCparanumber"/>
        <w:numPr>
          <w:ilvl w:val="0"/>
          <w:numId w:val="0"/>
        </w:numPr>
        <w:rPr>
          <w:b/>
          <w:szCs w:val="26"/>
        </w:rPr>
      </w:pPr>
    </w:p>
    <w:p w:rsidRPr="007B55FC" w:rsidR="007B55FC" w:rsidP="007B55FC" w:rsidRDefault="00EF40FF" w14:paraId="58286A51" w14:textId="5F23F628">
      <w:pPr>
        <w:pStyle w:val="FERCparanumber"/>
        <w:numPr>
          <w:ilvl w:val="0"/>
          <w:numId w:val="7"/>
        </w:numPr>
        <w:rPr>
          <w:b/>
          <w:szCs w:val="26"/>
        </w:rPr>
      </w:pPr>
      <w:r w:rsidRPr="002E1A36">
        <w:rPr>
          <w:b/>
          <w:szCs w:val="26"/>
        </w:rPr>
        <w:t>REASONS FOR CHANGES IN BURDEN INCLUDING THE NEED FOR ANY INCREASE</w:t>
      </w:r>
    </w:p>
    <w:p w:rsidR="007B55FC" w:rsidP="00E40E46" w:rsidRDefault="007B55FC" w14:paraId="07D7C0F0" w14:textId="77777777">
      <w:pPr>
        <w:pStyle w:val="FERCparanumber"/>
        <w:numPr>
          <w:ilvl w:val="0"/>
          <w:numId w:val="0"/>
        </w:numPr>
        <w:rPr>
          <w:szCs w:val="26"/>
        </w:rPr>
      </w:pPr>
    </w:p>
    <w:p w:rsidRPr="006754C8" w:rsidR="00E40E46" w:rsidP="006754C8" w:rsidRDefault="00E40E46" w14:paraId="5BD5EB8A" w14:textId="510201F2">
      <w:pPr>
        <w:pStyle w:val="FERCparanumber"/>
        <w:numPr>
          <w:ilvl w:val="0"/>
          <w:numId w:val="0"/>
        </w:numPr>
        <w:rPr>
          <w:szCs w:val="26"/>
        </w:rPr>
      </w:pPr>
      <w:r w:rsidRPr="00CE6549">
        <w:rPr>
          <w:b/>
          <w:bCs/>
          <w:szCs w:val="26"/>
        </w:rPr>
        <w:t xml:space="preserve">Program </w:t>
      </w:r>
      <w:r w:rsidRPr="00CE6549" w:rsidR="00DF7698">
        <w:rPr>
          <w:b/>
          <w:bCs/>
          <w:szCs w:val="26"/>
        </w:rPr>
        <w:t>d</w:t>
      </w:r>
      <w:r w:rsidRPr="00CE6549">
        <w:rPr>
          <w:b/>
          <w:bCs/>
          <w:szCs w:val="26"/>
        </w:rPr>
        <w:t>ecrease in FERC-516H</w:t>
      </w:r>
      <w:r w:rsidRPr="006754C8">
        <w:rPr>
          <w:szCs w:val="26"/>
        </w:rPr>
        <w:t xml:space="preserve">, </w:t>
      </w:r>
      <w:r w:rsidR="00DF7698">
        <w:rPr>
          <w:b/>
          <w:bCs/>
          <w:szCs w:val="26"/>
        </w:rPr>
        <w:t>r</w:t>
      </w:r>
      <w:r w:rsidRPr="00CE6549">
        <w:rPr>
          <w:b/>
          <w:bCs/>
          <w:szCs w:val="26"/>
        </w:rPr>
        <w:t>elated to Final Rule in Docket No. RM18-9.</w:t>
      </w:r>
      <w:r w:rsidR="00DF7698">
        <w:rPr>
          <w:szCs w:val="26"/>
        </w:rPr>
        <w:t xml:space="preserve"> </w:t>
      </w:r>
      <w:r w:rsidRPr="006754C8">
        <w:rPr>
          <w:szCs w:val="26"/>
        </w:rPr>
        <w:t xml:space="preserve"> The Final Rule in Docket No. RM18-9 added burdens to FERC-516H.  The related ICs in reginfo.gov and ROCIS are:</w:t>
      </w:r>
    </w:p>
    <w:p w:rsidRPr="006754C8" w:rsidR="00E40E46" w:rsidP="00E40E46" w:rsidRDefault="00E40E46" w14:paraId="38B9EFAA" w14:textId="77777777">
      <w:pPr>
        <w:pStyle w:val="FERCparanumber"/>
        <w:numPr>
          <w:ilvl w:val="0"/>
          <w:numId w:val="46"/>
        </w:numPr>
        <w:rPr>
          <w:szCs w:val="26"/>
        </w:rPr>
      </w:pPr>
      <w:r w:rsidRPr="006754C8">
        <w:rPr>
          <w:szCs w:val="26"/>
        </w:rPr>
        <w:t>“One-Time Tariff Filing Due to RM18-9-000 Final Rule,” with 6 responses and 9,174 burden hours</w:t>
      </w:r>
    </w:p>
    <w:p w:rsidRPr="006754C8" w:rsidR="00E40E46" w:rsidP="00E40E46" w:rsidRDefault="00E40E46" w14:paraId="502C2120" w14:textId="77777777">
      <w:pPr>
        <w:pStyle w:val="FERCparanumber"/>
        <w:numPr>
          <w:ilvl w:val="0"/>
          <w:numId w:val="46"/>
        </w:numPr>
        <w:rPr>
          <w:szCs w:val="26"/>
        </w:rPr>
      </w:pPr>
      <w:r w:rsidRPr="006754C8">
        <w:rPr>
          <w:szCs w:val="26"/>
        </w:rPr>
        <w:t>“Software Update Due to Final Rule in RM18-9,” with 6 responses and 9,000 burden hours.</w:t>
      </w:r>
    </w:p>
    <w:p w:rsidRPr="006754C8" w:rsidR="00E40E46" w:rsidP="006754C8" w:rsidRDefault="00E40E46" w14:paraId="47FFB6B2" w14:textId="77777777">
      <w:pPr>
        <w:pStyle w:val="FERCparanumber"/>
        <w:numPr>
          <w:ilvl w:val="0"/>
          <w:numId w:val="0"/>
        </w:numPr>
        <w:rPr>
          <w:szCs w:val="26"/>
        </w:rPr>
      </w:pPr>
      <w:r w:rsidRPr="006754C8">
        <w:rPr>
          <w:szCs w:val="26"/>
        </w:rPr>
        <w:t>The corresponding totals are 12 responses and 18,174 burden hours.</w:t>
      </w:r>
    </w:p>
    <w:p w:rsidRPr="006754C8" w:rsidR="00E40E46" w:rsidP="006754C8" w:rsidRDefault="00E40E46" w14:paraId="38109DFC" w14:textId="77777777">
      <w:pPr>
        <w:pStyle w:val="FERCparanumber"/>
        <w:numPr>
          <w:ilvl w:val="0"/>
          <w:numId w:val="0"/>
        </w:numPr>
        <w:rPr>
          <w:szCs w:val="26"/>
        </w:rPr>
      </w:pPr>
    </w:p>
    <w:p w:rsidRPr="006754C8" w:rsidR="00E40E46" w:rsidP="006754C8" w:rsidRDefault="00E40E46" w14:paraId="7089A5C9" w14:textId="4DD083ED">
      <w:pPr>
        <w:pStyle w:val="FERCparanumber"/>
        <w:numPr>
          <w:ilvl w:val="0"/>
          <w:numId w:val="0"/>
        </w:numPr>
        <w:rPr>
          <w:szCs w:val="26"/>
        </w:rPr>
      </w:pPr>
      <w:r w:rsidRPr="006754C8">
        <w:rPr>
          <w:szCs w:val="26"/>
        </w:rPr>
        <w:t>Per the Final Rule in Docket No. RM18-9, “[t]his rule is effective December 21, 2020.</w:t>
      </w:r>
      <w:r w:rsidR="001B7CB4">
        <w:rPr>
          <w:szCs w:val="26"/>
        </w:rPr>
        <w:t xml:space="preserve"> </w:t>
      </w:r>
      <w:r w:rsidRPr="006754C8">
        <w:rPr>
          <w:szCs w:val="26"/>
        </w:rPr>
        <w:t xml:space="preserve"> Each RTO/ISO must file the tariff changes needed to implement the requirements of this final rule by September 17, 2021.”  Because the one-time work has been completed, the associated burden of 18,174 hours and 12 responses are being removed here.</w:t>
      </w:r>
    </w:p>
    <w:p w:rsidRPr="006754C8" w:rsidR="00E40E46" w:rsidP="006754C8" w:rsidRDefault="00E40E46" w14:paraId="6BA9F6AB" w14:textId="77777777">
      <w:pPr>
        <w:pStyle w:val="FERCparanumber"/>
        <w:numPr>
          <w:ilvl w:val="0"/>
          <w:numId w:val="0"/>
        </w:numPr>
        <w:rPr>
          <w:szCs w:val="26"/>
        </w:rPr>
      </w:pPr>
    </w:p>
    <w:p w:rsidRPr="00CE6549" w:rsidR="00E40E46" w:rsidP="006754C8" w:rsidRDefault="00E40E46" w14:paraId="7268F8A0" w14:textId="1B120A9D">
      <w:pPr>
        <w:pStyle w:val="FERCparanumber"/>
        <w:numPr>
          <w:ilvl w:val="0"/>
          <w:numId w:val="0"/>
        </w:numPr>
        <w:rPr>
          <w:b/>
          <w:bCs/>
          <w:szCs w:val="26"/>
        </w:rPr>
      </w:pPr>
      <w:r w:rsidRPr="00CE6549">
        <w:rPr>
          <w:b/>
          <w:bCs/>
          <w:szCs w:val="26"/>
        </w:rPr>
        <w:t xml:space="preserve">Program </w:t>
      </w:r>
      <w:r w:rsidR="00DF7698">
        <w:rPr>
          <w:b/>
          <w:bCs/>
          <w:szCs w:val="26"/>
        </w:rPr>
        <w:t>i</w:t>
      </w:r>
      <w:r w:rsidRPr="00CE6549">
        <w:rPr>
          <w:b/>
          <w:bCs/>
          <w:szCs w:val="26"/>
        </w:rPr>
        <w:t xml:space="preserve">ncreases in FERC-516H and FERC-725A, </w:t>
      </w:r>
      <w:r w:rsidR="00DF7698">
        <w:rPr>
          <w:b/>
          <w:bCs/>
          <w:szCs w:val="26"/>
        </w:rPr>
        <w:t>r</w:t>
      </w:r>
      <w:r w:rsidRPr="00CE6549">
        <w:rPr>
          <w:b/>
          <w:bCs/>
          <w:szCs w:val="26"/>
        </w:rPr>
        <w:t xml:space="preserve">elated to Final Rule in Docket No. RM20-16.  </w:t>
      </w:r>
    </w:p>
    <w:p w:rsidRPr="002E1A36" w:rsidR="00E40E46" w:rsidP="00EF40FF" w:rsidRDefault="00E40E46" w14:paraId="3462F112" w14:textId="77777777">
      <w:pPr>
        <w:pStyle w:val="FERCparanumber"/>
        <w:numPr>
          <w:ilvl w:val="0"/>
          <w:numId w:val="0"/>
        </w:numPr>
        <w:rPr>
          <w:b/>
          <w:szCs w:val="26"/>
        </w:rPr>
      </w:pPr>
    </w:p>
    <w:p w:rsidRPr="002E1A36" w:rsidR="00F6768A" w:rsidP="00EF40FF" w:rsidRDefault="00F6768A" w14:paraId="19B8BD80" w14:textId="5F40D9FB">
      <w:pPr>
        <w:pStyle w:val="FERCparanumber"/>
        <w:numPr>
          <w:ilvl w:val="0"/>
          <w:numId w:val="0"/>
        </w:numPr>
        <w:rPr>
          <w:bCs/>
          <w:szCs w:val="26"/>
        </w:rPr>
      </w:pPr>
      <w:r w:rsidRPr="002E1A36">
        <w:rPr>
          <w:bCs/>
          <w:szCs w:val="26"/>
        </w:rPr>
        <w:t>The final r</w:t>
      </w:r>
      <w:r w:rsidRPr="002E1A36" w:rsidR="008D5E54">
        <w:rPr>
          <w:bCs/>
          <w:szCs w:val="26"/>
        </w:rPr>
        <w:t>ule results in increased burdens</w:t>
      </w:r>
      <w:r w:rsidRPr="002E1A36" w:rsidR="0004521E">
        <w:rPr>
          <w:bCs/>
          <w:szCs w:val="26"/>
        </w:rPr>
        <w:t xml:space="preserve"> (program change)</w:t>
      </w:r>
      <w:r w:rsidRPr="002E1A36" w:rsidR="008D5E54">
        <w:rPr>
          <w:bCs/>
          <w:szCs w:val="26"/>
        </w:rPr>
        <w:t xml:space="preserve"> for FERC-516H due to </w:t>
      </w:r>
      <w:r w:rsidRPr="002E1A36" w:rsidR="004E5215">
        <w:rPr>
          <w:bCs/>
          <w:szCs w:val="26"/>
        </w:rPr>
        <w:t>comments provided by M</w:t>
      </w:r>
      <w:r w:rsidRPr="002E1A36" w:rsidR="00727892">
        <w:rPr>
          <w:bCs/>
          <w:szCs w:val="26"/>
        </w:rPr>
        <w:t xml:space="preserve">idcontinent </w:t>
      </w:r>
      <w:r w:rsidRPr="002E1A36" w:rsidR="004E5215">
        <w:rPr>
          <w:bCs/>
          <w:szCs w:val="26"/>
        </w:rPr>
        <w:t>I</w:t>
      </w:r>
      <w:r w:rsidRPr="002E1A36" w:rsidR="00727892">
        <w:rPr>
          <w:bCs/>
          <w:szCs w:val="26"/>
        </w:rPr>
        <w:t xml:space="preserve">ndependent </w:t>
      </w:r>
      <w:r w:rsidRPr="002E1A36" w:rsidR="004E5215">
        <w:rPr>
          <w:bCs/>
          <w:szCs w:val="26"/>
        </w:rPr>
        <w:t>S</w:t>
      </w:r>
      <w:r w:rsidRPr="002E1A36" w:rsidR="00727892">
        <w:rPr>
          <w:bCs/>
          <w:szCs w:val="26"/>
        </w:rPr>
        <w:t xml:space="preserve">ystem </w:t>
      </w:r>
      <w:r w:rsidRPr="002E1A36" w:rsidR="004E5215">
        <w:rPr>
          <w:bCs/>
          <w:szCs w:val="26"/>
        </w:rPr>
        <w:t>O</w:t>
      </w:r>
      <w:r w:rsidRPr="002E1A36" w:rsidR="00727892">
        <w:rPr>
          <w:bCs/>
          <w:szCs w:val="26"/>
        </w:rPr>
        <w:t>perator (MISO)</w:t>
      </w:r>
      <w:r w:rsidRPr="002E1A36" w:rsidR="004E5215">
        <w:rPr>
          <w:bCs/>
          <w:szCs w:val="26"/>
        </w:rPr>
        <w:t>.</w:t>
      </w:r>
      <w:r w:rsidRPr="003B64DA" w:rsidR="00727892">
        <w:rPr>
          <w:rStyle w:val="FootnoteReference"/>
          <w:bCs/>
          <w:szCs w:val="26"/>
        </w:rPr>
        <w:footnoteReference w:id="23"/>
      </w:r>
      <w:r w:rsidRPr="003B64DA" w:rsidR="004E5215">
        <w:rPr>
          <w:bCs/>
          <w:szCs w:val="26"/>
        </w:rPr>
        <w:t xml:space="preserve"> MISO estimate</w:t>
      </w:r>
      <w:r w:rsidRPr="003B64DA" w:rsidR="00BC4520">
        <w:rPr>
          <w:bCs/>
          <w:szCs w:val="26"/>
        </w:rPr>
        <w:t>d</w:t>
      </w:r>
      <w:r w:rsidRPr="003B64DA" w:rsidR="004E5215">
        <w:rPr>
          <w:bCs/>
          <w:szCs w:val="26"/>
        </w:rPr>
        <w:t xml:space="preserve"> costs of approximately $200,000 to implement AARs for current hour transmission service, and costs to implement forecasted AARs in the forward markets and for transmission service, such as in the day-ahead market, between $500,000 and $750,000.  </w:t>
      </w:r>
      <w:r w:rsidRPr="002E1A36" w:rsidR="00BC4520">
        <w:rPr>
          <w:bCs/>
          <w:szCs w:val="26"/>
        </w:rPr>
        <w:t>MISO’s cost estimates exceeded the Commission’s estimate made in the proposal</w:t>
      </w:r>
      <w:r w:rsidRPr="002E1A36" w:rsidR="00D62824">
        <w:rPr>
          <w:bCs/>
          <w:szCs w:val="26"/>
        </w:rPr>
        <w:t xml:space="preserve">.  In the final rule, the Commission found MISO’s estimates persuasive and </w:t>
      </w:r>
      <w:r w:rsidRPr="002E1A36" w:rsidR="00BC4520">
        <w:rPr>
          <w:bCs/>
          <w:szCs w:val="26"/>
        </w:rPr>
        <w:t>increase</w:t>
      </w:r>
      <w:r w:rsidRPr="002E1A36" w:rsidR="00D62824">
        <w:rPr>
          <w:bCs/>
          <w:szCs w:val="26"/>
        </w:rPr>
        <w:t>d</w:t>
      </w:r>
      <w:r w:rsidRPr="002E1A36" w:rsidR="00BC4520">
        <w:rPr>
          <w:bCs/>
          <w:szCs w:val="26"/>
        </w:rPr>
        <w:t xml:space="preserve"> </w:t>
      </w:r>
      <w:r w:rsidRPr="002E1A36" w:rsidR="00D62824">
        <w:rPr>
          <w:bCs/>
          <w:szCs w:val="26"/>
        </w:rPr>
        <w:t xml:space="preserve">the </w:t>
      </w:r>
      <w:r w:rsidRPr="002E1A36" w:rsidR="00BC4520">
        <w:rPr>
          <w:bCs/>
          <w:szCs w:val="26"/>
        </w:rPr>
        <w:t>FERC-725A</w:t>
      </w:r>
      <w:r w:rsidRPr="002E1A36" w:rsidR="0004521E">
        <w:rPr>
          <w:bCs/>
          <w:szCs w:val="26"/>
        </w:rPr>
        <w:t xml:space="preserve"> </w:t>
      </w:r>
      <w:r w:rsidRPr="002E1A36" w:rsidR="00D62824">
        <w:rPr>
          <w:bCs/>
          <w:szCs w:val="26"/>
        </w:rPr>
        <w:t>burden estimate</w:t>
      </w:r>
      <w:r w:rsidRPr="002E1A36" w:rsidR="0004521E">
        <w:rPr>
          <w:bCs/>
          <w:szCs w:val="26"/>
        </w:rPr>
        <w:t xml:space="preserve"> (program change)</w:t>
      </w:r>
      <w:r w:rsidRPr="002E1A36" w:rsidR="00D62824">
        <w:rPr>
          <w:bCs/>
          <w:szCs w:val="26"/>
        </w:rPr>
        <w:t xml:space="preserve">.  </w:t>
      </w:r>
      <w:r w:rsidRPr="002E1A36" w:rsidR="004E5215">
        <w:rPr>
          <w:bCs/>
          <w:szCs w:val="26"/>
        </w:rPr>
        <w:t xml:space="preserve">The Commission conservatively applied </w:t>
      </w:r>
      <w:r w:rsidRPr="002E1A36" w:rsidR="00BC4520">
        <w:rPr>
          <w:bCs/>
          <w:szCs w:val="26"/>
        </w:rPr>
        <w:t xml:space="preserve">MISO’s higher </w:t>
      </w:r>
      <w:r w:rsidRPr="002E1A36" w:rsidR="004E5215">
        <w:rPr>
          <w:bCs/>
          <w:szCs w:val="26"/>
        </w:rPr>
        <w:t>estimate to all of the RTOs/ISOs.  The Commission note</w:t>
      </w:r>
      <w:r w:rsidRPr="002E1A36" w:rsidR="00BC4520">
        <w:rPr>
          <w:bCs/>
          <w:szCs w:val="26"/>
        </w:rPr>
        <w:t>d</w:t>
      </w:r>
      <w:r w:rsidRPr="002E1A36" w:rsidR="004E5215">
        <w:rPr>
          <w:bCs/>
          <w:szCs w:val="26"/>
        </w:rPr>
        <w:t xml:space="preserve">, however, that this is a conservative maximum estimate and that some </w:t>
      </w:r>
      <w:r w:rsidRPr="002E1A36" w:rsidR="004E5215">
        <w:rPr>
          <w:bCs/>
          <w:szCs w:val="26"/>
        </w:rPr>
        <w:lastRenderedPageBreak/>
        <w:t>RTOs/ISOs might have pre-existing plans to upgrade software in the coming years, which may implement many of the same functionalities necessitated by this final rule that are captured in these RTO/ISO cost estimates</w:t>
      </w:r>
      <w:r w:rsidRPr="002E1A36" w:rsidR="00BC4520">
        <w:rPr>
          <w:bCs/>
          <w:szCs w:val="26"/>
        </w:rPr>
        <w:t>.</w:t>
      </w:r>
      <w:r w:rsidRPr="002E1A36" w:rsidR="008D5E54">
        <w:rPr>
          <w:bCs/>
          <w:szCs w:val="26"/>
        </w:rPr>
        <w:t xml:space="preserve">  Th</w:t>
      </w:r>
      <w:r w:rsidRPr="002E1A36" w:rsidR="00BC4520">
        <w:rPr>
          <w:bCs/>
          <w:szCs w:val="26"/>
        </w:rPr>
        <w:t>e</w:t>
      </w:r>
      <w:r w:rsidRPr="002E1A36" w:rsidR="008D5E54">
        <w:rPr>
          <w:bCs/>
          <w:szCs w:val="26"/>
        </w:rPr>
        <w:t xml:space="preserve"> changes</w:t>
      </w:r>
      <w:r w:rsidRPr="002E1A36" w:rsidR="002F1FAB">
        <w:rPr>
          <w:bCs/>
          <w:szCs w:val="26"/>
        </w:rPr>
        <w:t xml:space="preserve"> in burden are summarized in the following table:</w:t>
      </w:r>
    </w:p>
    <w:p w:rsidRPr="002E1A36" w:rsidR="00001589" w:rsidP="00EF40FF" w:rsidRDefault="00001589" w14:paraId="723C9D62" w14:textId="77777777">
      <w:pPr>
        <w:pStyle w:val="FERCparanumber"/>
        <w:numPr>
          <w:ilvl w:val="0"/>
          <w:numId w:val="0"/>
        </w:numPr>
        <w:rPr>
          <w:bCs/>
          <w:szCs w:val="26"/>
        </w:rPr>
      </w:pPr>
    </w:p>
    <w:p w:rsidRPr="002E1A36" w:rsidR="002F1FAB" w:rsidP="003E0F27" w:rsidRDefault="002F1FAB" w14:paraId="3C304A76" w14:textId="58F758BB">
      <w:pPr>
        <w:pStyle w:val="FERCparanumber"/>
        <w:numPr>
          <w:ilvl w:val="0"/>
          <w:numId w:val="0"/>
        </w:numPr>
        <w:jc w:val="center"/>
        <w:rPr>
          <w:b/>
          <w:szCs w:val="26"/>
        </w:rPr>
      </w:pPr>
      <w:r w:rsidRPr="002E1A36">
        <w:rPr>
          <w:b/>
          <w:szCs w:val="26"/>
        </w:rPr>
        <w:t>Table 15</w:t>
      </w:r>
    </w:p>
    <w:p w:rsidRPr="002E1A36" w:rsidR="002F1FAB" w:rsidP="003E0F27" w:rsidRDefault="003E0F27" w14:paraId="2413D4ED" w14:textId="028A362C">
      <w:pPr>
        <w:pStyle w:val="FERCparanumber"/>
        <w:numPr>
          <w:ilvl w:val="0"/>
          <w:numId w:val="0"/>
        </w:numPr>
        <w:jc w:val="center"/>
        <w:rPr>
          <w:b/>
          <w:szCs w:val="26"/>
        </w:rPr>
      </w:pPr>
      <w:r w:rsidRPr="002E1A36">
        <w:rPr>
          <w:b/>
          <w:szCs w:val="26"/>
        </w:rPr>
        <w:t xml:space="preserve">Changes </w:t>
      </w:r>
      <w:r w:rsidRPr="002E1A36" w:rsidR="00001589">
        <w:rPr>
          <w:b/>
          <w:szCs w:val="26"/>
        </w:rPr>
        <w:t xml:space="preserve">in Burden </w:t>
      </w:r>
      <w:r w:rsidRPr="002E1A36">
        <w:rPr>
          <w:b/>
          <w:szCs w:val="26"/>
        </w:rPr>
        <w:t>Due to RM20-16-000</w:t>
      </w:r>
    </w:p>
    <w:tbl>
      <w:tblPr>
        <w:tblStyle w:val="TableGrid"/>
        <w:tblpPr w:leftFromText="180" w:rightFromText="180" w:vertAnchor="text" w:horzAnchor="margin" w:tblpX="-275" w:tblpY="51"/>
        <w:tblW w:w="9265" w:type="dxa"/>
        <w:tblLook w:val="04A0" w:firstRow="1" w:lastRow="0" w:firstColumn="1" w:lastColumn="0" w:noHBand="0" w:noVBand="1"/>
      </w:tblPr>
      <w:tblGrid>
        <w:gridCol w:w="1795"/>
        <w:gridCol w:w="2250"/>
        <w:gridCol w:w="2700"/>
        <w:gridCol w:w="2520"/>
      </w:tblGrid>
      <w:tr w:rsidRPr="002E1A36" w:rsidR="004F646E" w:rsidTr="004F646E" w14:paraId="3D329D60" w14:textId="584C49DC">
        <w:tc>
          <w:tcPr>
            <w:tcW w:w="1795" w:type="dxa"/>
            <w:vAlign w:val="bottom"/>
          </w:tcPr>
          <w:p w:rsidRPr="002E1A36" w:rsidR="004F646E" w:rsidP="00732EC0" w:rsidRDefault="004F646E" w14:paraId="423A8F25" w14:textId="77777777">
            <w:pPr>
              <w:pStyle w:val="FERCparanumber"/>
              <w:numPr>
                <w:ilvl w:val="0"/>
                <w:numId w:val="0"/>
              </w:numPr>
              <w:jc w:val="center"/>
              <w:rPr>
                <w:b/>
                <w:szCs w:val="26"/>
              </w:rPr>
            </w:pPr>
            <w:r w:rsidRPr="002E1A36">
              <w:rPr>
                <w:b/>
                <w:szCs w:val="26"/>
              </w:rPr>
              <w:t>A.</w:t>
            </w:r>
          </w:p>
          <w:p w:rsidRPr="002E1A36" w:rsidR="004F646E" w:rsidP="00732EC0" w:rsidRDefault="004F646E" w14:paraId="5B9256A1" w14:textId="30EC581C">
            <w:pPr>
              <w:pStyle w:val="FERCparanumber"/>
              <w:numPr>
                <w:ilvl w:val="0"/>
                <w:numId w:val="0"/>
              </w:numPr>
              <w:jc w:val="center"/>
              <w:rPr>
                <w:b/>
                <w:szCs w:val="26"/>
              </w:rPr>
            </w:pPr>
            <w:r>
              <w:rPr>
                <w:b/>
                <w:szCs w:val="26"/>
              </w:rPr>
              <w:t>Type of Response</w:t>
            </w:r>
            <w:r w:rsidRPr="002E1A36">
              <w:rPr>
                <w:b/>
                <w:szCs w:val="26"/>
              </w:rPr>
              <w:t xml:space="preserve"> RM20-16-000</w:t>
            </w:r>
          </w:p>
        </w:tc>
        <w:tc>
          <w:tcPr>
            <w:tcW w:w="2250" w:type="dxa"/>
            <w:vAlign w:val="bottom"/>
          </w:tcPr>
          <w:p w:rsidRPr="002E1A36" w:rsidR="004F646E" w:rsidP="00732EC0" w:rsidRDefault="004F646E" w14:paraId="181256AD" w14:textId="77777777">
            <w:pPr>
              <w:pStyle w:val="FERCparanumber"/>
              <w:numPr>
                <w:ilvl w:val="0"/>
                <w:numId w:val="0"/>
              </w:numPr>
              <w:jc w:val="center"/>
              <w:rPr>
                <w:b/>
                <w:szCs w:val="26"/>
              </w:rPr>
            </w:pPr>
            <w:r w:rsidRPr="002E1A36">
              <w:rPr>
                <w:b/>
                <w:szCs w:val="26"/>
              </w:rPr>
              <w:t>B.</w:t>
            </w:r>
          </w:p>
          <w:p w:rsidRPr="002E1A36" w:rsidR="004F646E" w:rsidP="00732EC0" w:rsidRDefault="004F646E" w14:paraId="1293EBD0" w14:textId="1178C4CE">
            <w:pPr>
              <w:pStyle w:val="FERCparanumber"/>
              <w:numPr>
                <w:ilvl w:val="0"/>
                <w:numId w:val="0"/>
              </w:numPr>
              <w:jc w:val="center"/>
              <w:rPr>
                <w:b/>
                <w:szCs w:val="26"/>
              </w:rPr>
            </w:pPr>
            <w:r w:rsidRPr="002E1A36">
              <w:rPr>
                <w:b/>
                <w:szCs w:val="26"/>
              </w:rPr>
              <w:t>Previously Approved</w:t>
            </w:r>
          </w:p>
        </w:tc>
        <w:tc>
          <w:tcPr>
            <w:tcW w:w="2700" w:type="dxa"/>
            <w:vAlign w:val="bottom"/>
          </w:tcPr>
          <w:p w:rsidRPr="002E1A36" w:rsidR="004F646E" w:rsidP="00732EC0" w:rsidRDefault="004F646E" w14:paraId="4FCA508B" w14:textId="77777777">
            <w:pPr>
              <w:pStyle w:val="FERCparanumber"/>
              <w:numPr>
                <w:ilvl w:val="0"/>
                <w:numId w:val="0"/>
              </w:numPr>
              <w:jc w:val="center"/>
              <w:rPr>
                <w:b/>
                <w:szCs w:val="26"/>
              </w:rPr>
            </w:pPr>
            <w:r w:rsidRPr="002E1A36">
              <w:rPr>
                <w:b/>
                <w:szCs w:val="26"/>
              </w:rPr>
              <w:t>C.</w:t>
            </w:r>
          </w:p>
          <w:p w:rsidRPr="002E1A36" w:rsidR="004F646E" w:rsidP="00732EC0" w:rsidRDefault="004F646E" w14:paraId="1F80D75D" w14:textId="75BED405">
            <w:pPr>
              <w:pStyle w:val="FERCparanumber"/>
              <w:numPr>
                <w:ilvl w:val="0"/>
                <w:numId w:val="0"/>
              </w:numPr>
              <w:jc w:val="center"/>
              <w:rPr>
                <w:b/>
                <w:szCs w:val="26"/>
              </w:rPr>
            </w:pPr>
            <w:r w:rsidRPr="002E1A36">
              <w:rPr>
                <w:b/>
                <w:szCs w:val="26"/>
              </w:rPr>
              <w:t xml:space="preserve"> </w:t>
            </w:r>
            <w:r>
              <w:rPr>
                <w:b/>
                <w:szCs w:val="26"/>
              </w:rPr>
              <w:t>Change</w:t>
            </w:r>
            <w:r>
              <w:rPr>
                <w:b/>
                <w:szCs w:val="26"/>
              </w:rPr>
              <w:t xml:space="preserve"> due to Agency Discretion</w:t>
            </w:r>
            <w:r>
              <w:rPr>
                <w:rStyle w:val="FootnoteReference"/>
                <w:b/>
                <w:szCs w:val="26"/>
              </w:rPr>
              <w:footnoteReference w:id="24"/>
            </w:r>
            <w:r>
              <w:rPr>
                <w:b/>
                <w:szCs w:val="26"/>
              </w:rPr>
              <w:t xml:space="preserve"> </w:t>
            </w:r>
          </w:p>
        </w:tc>
        <w:tc>
          <w:tcPr>
            <w:tcW w:w="2520" w:type="dxa"/>
            <w:vAlign w:val="bottom"/>
          </w:tcPr>
          <w:p w:rsidRPr="002E1A36" w:rsidR="004F646E" w:rsidP="00732EC0" w:rsidRDefault="004F646E" w14:paraId="2E77A3E1" w14:textId="49286FDD">
            <w:pPr>
              <w:pStyle w:val="FERCparanumber"/>
              <w:numPr>
                <w:ilvl w:val="0"/>
                <w:numId w:val="0"/>
              </w:numPr>
              <w:jc w:val="center"/>
              <w:rPr>
                <w:b/>
                <w:szCs w:val="26"/>
              </w:rPr>
            </w:pPr>
            <w:r>
              <w:rPr>
                <w:b/>
                <w:szCs w:val="26"/>
              </w:rPr>
              <w:t>D</w:t>
            </w:r>
            <w:r w:rsidRPr="002E1A36">
              <w:rPr>
                <w:b/>
                <w:szCs w:val="26"/>
              </w:rPr>
              <w:t>.</w:t>
            </w:r>
          </w:p>
          <w:p w:rsidRPr="00781C45" w:rsidR="004F646E" w:rsidP="006754C8" w:rsidRDefault="004F646E" w14:paraId="3ED6C701" w14:textId="75076894">
            <w:pPr>
              <w:pStyle w:val="FERCparanumber"/>
              <w:numPr>
                <w:ilvl w:val="0"/>
                <w:numId w:val="0"/>
              </w:numPr>
              <w:jc w:val="center"/>
              <w:rPr>
                <w:b/>
                <w:szCs w:val="26"/>
              </w:rPr>
            </w:pPr>
            <w:r>
              <w:rPr>
                <w:b/>
                <w:szCs w:val="26"/>
              </w:rPr>
              <w:t>Total Request</w:t>
            </w:r>
            <w:r>
              <w:rPr>
                <w:b/>
                <w:szCs w:val="26"/>
              </w:rPr>
              <w:t xml:space="preserve"> </w:t>
            </w:r>
          </w:p>
          <w:p w:rsidRPr="002E1A36" w:rsidR="004F646E" w:rsidP="006754C8" w:rsidRDefault="004F646E" w14:paraId="509D4A27" w14:textId="72F2A363">
            <w:pPr>
              <w:pStyle w:val="FERCparanumber"/>
              <w:numPr>
                <w:ilvl w:val="0"/>
                <w:numId w:val="0"/>
              </w:numPr>
              <w:jc w:val="center"/>
              <w:rPr>
                <w:b/>
                <w:szCs w:val="26"/>
              </w:rPr>
            </w:pPr>
          </w:p>
        </w:tc>
      </w:tr>
      <w:tr w:rsidRPr="002E1A36" w:rsidR="004F646E" w:rsidTr="004F646E" w14:paraId="2D4B3332" w14:textId="77777777">
        <w:tc>
          <w:tcPr>
            <w:tcW w:w="9265" w:type="dxa"/>
            <w:gridSpan w:val="4"/>
            <w:shd w:val="clear" w:color="auto" w:fill="D9D9D9" w:themeFill="background1" w:themeFillShade="D9"/>
            <w:vAlign w:val="bottom"/>
          </w:tcPr>
          <w:p w:rsidR="004F646E" w:rsidP="004F646E" w:rsidRDefault="004F646E" w14:paraId="0AEC7B84" w14:textId="68C47C15">
            <w:pPr>
              <w:pStyle w:val="FERCparanumber"/>
              <w:numPr>
                <w:ilvl w:val="0"/>
                <w:numId w:val="0"/>
              </w:numPr>
              <w:jc w:val="center"/>
              <w:rPr>
                <w:bCs/>
                <w:szCs w:val="26"/>
              </w:rPr>
            </w:pPr>
            <w:r>
              <w:rPr>
                <w:bCs/>
                <w:szCs w:val="26"/>
              </w:rPr>
              <w:t xml:space="preserve">FERC-516H: Addition of Attachment M to </w:t>
            </w:r>
            <w:r>
              <w:rPr>
                <w:bCs/>
                <w:i/>
                <w:iCs/>
                <w:szCs w:val="26"/>
              </w:rPr>
              <w:t xml:space="preserve">pro forma </w:t>
            </w:r>
            <w:r>
              <w:rPr>
                <w:bCs/>
                <w:szCs w:val="26"/>
              </w:rPr>
              <w:t>OATT</w:t>
            </w:r>
            <w:r w:rsidR="00D96ECE">
              <w:rPr>
                <w:rStyle w:val="FootnoteReference"/>
                <w:bCs/>
                <w:szCs w:val="26"/>
              </w:rPr>
              <w:footnoteReference w:id="25"/>
            </w:r>
          </w:p>
        </w:tc>
      </w:tr>
      <w:tr w:rsidRPr="002E1A36" w:rsidR="004F646E" w:rsidTr="004F646E" w14:paraId="2FC9BE69" w14:textId="615C7438">
        <w:tc>
          <w:tcPr>
            <w:tcW w:w="1795" w:type="dxa"/>
            <w:vAlign w:val="bottom"/>
          </w:tcPr>
          <w:p w:rsidRPr="002E1A36" w:rsidR="004F646E" w:rsidP="00732EC0" w:rsidRDefault="004F646E" w14:paraId="3DB4D8FC" w14:textId="34522F96">
            <w:pPr>
              <w:pStyle w:val="FERCparanumber"/>
              <w:numPr>
                <w:ilvl w:val="0"/>
                <w:numId w:val="0"/>
              </w:numPr>
              <w:jc w:val="right"/>
              <w:rPr>
                <w:bCs/>
                <w:szCs w:val="26"/>
              </w:rPr>
            </w:pPr>
            <w:r>
              <w:rPr>
                <w:bCs/>
                <w:szCs w:val="26"/>
              </w:rPr>
              <w:t>Annual Number of Responses</w:t>
            </w:r>
          </w:p>
        </w:tc>
        <w:tc>
          <w:tcPr>
            <w:tcW w:w="2250" w:type="dxa"/>
            <w:vAlign w:val="bottom"/>
          </w:tcPr>
          <w:p w:rsidRPr="002E1A36" w:rsidR="004F646E" w:rsidP="00732EC0" w:rsidRDefault="004F646E" w14:paraId="5DF51B74" w14:textId="4242E0D6">
            <w:pPr>
              <w:pStyle w:val="FERCparanumber"/>
              <w:numPr>
                <w:ilvl w:val="0"/>
                <w:numId w:val="0"/>
              </w:numPr>
              <w:jc w:val="right"/>
              <w:rPr>
                <w:bCs/>
                <w:szCs w:val="26"/>
              </w:rPr>
            </w:pPr>
            <w:r>
              <w:rPr>
                <w:bCs/>
                <w:szCs w:val="26"/>
              </w:rPr>
              <w:t>12</w:t>
            </w:r>
          </w:p>
        </w:tc>
        <w:tc>
          <w:tcPr>
            <w:tcW w:w="2700" w:type="dxa"/>
            <w:vAlign w:val="bottom"/>
          </w:tcPr>
          <w:p w:rsidRPr="002E1A36" w:rsidR="004F646E" w:rsidP="00732EC0" w:rsidRDefault="004F646E" w14:paraId="1F2B1E2A" w14:textId="3843DA3F">
            <w:pPr>
              <w:pStyle w:val="FERCparanumber"/>
              <w:numPr>
                <w:ilvl w:val="0"/>
                <w:numId w:val="0"/>
              </w:numPr>
              <w:jc w:val="right"/>
              <w:rPr>
                <w:bCs/>
                <w:szCs w:val="26"/>
              </w:rPr>
            </w:pPr>
            <w:r>
              <w:rPr>
                <w:bCs/>
                <w:szCs w:val="26"/>
              </w:rPr>
              <w:t>+</w:t>
            </w:r>
            <w:r>
              <w:rPr>
                <w:bCs/>
                <w:szCs w:val="26"/>
              </w:rPr>
              <w:t>1,111</w:t>
            </w:r>
            <w:r>
              <w:rPr>
                <w:rStyle w:val="FootnoteReference"/>
                <w:bCs/>
                <w:szCs w:val="26"/>
              </w:rPr>
              <w:footnoteReference w:id="26"/>
            </w:r>
          </w:p>
        </w:tc>
        <w:tc>
          <w:tcPr>
            <w:tcW w:w="2520" w:type="dxa"/>
            <w:vAlign w:val="bottom"/>
          </w:tcPr>
          <w:p w:rsidRPr="006754C8" w:rsidR="004F646E" w:rsidP="00732EC0" w:rsidRDefault="004F646E" w14:paraId="746A5EF4" w14:textId="06A87F79">
            <w:pPr>
              <w:pStyle w:val="FERCparanumber"/>
              <w:numPr>
                <w:ilvl w:val="0"/>
                <w:numId w:val="0"/>
              </w:numPr>
              <w:jc w:val="right"/>
              <w:rPr>
                <w:bCs/>
                <w:szCs w:val="26"/>
              </w:rPr>
            </w:pPr>
            <w:r>
              <w:rPr>
                <w:bCs/>
                <w:szCs w:val="26"/>
              </w:rPr>
              <w:t>1,</w:t>
            </w:r>
            <w:r w:rsidR="0071391E">
              <w:rPr>
                <w:bCs/>
                <w:szCs w:val="26"/>
              </w:rPr>
              <w:t>1</w:t>
            </w:r>
            <w:r w:rsidR="0071391E">
              <w:rPr>
                <w:bCs/>
                <w:szCs w:val="26"/>
              </w:rPr>
              <w:t>23</w:t>
            </w:r>
          </w:p>
        </w:tc>
      </w:tr>
      <w:tr w:rsidRPr="002E1A36" w:rsidR="004F646E" w:rsidTr="004F646E" w14:paraId="56C67CC6" w14:textId="32DB7F00">
        <w:tc>
          <w:tcPr>
            <w:tcW w:w="1795" w:type="dxa"/>
            <w:vAlign w:val="bottom"/>
          </w:tcPr>
          <w:p w:rsidRPr="002E1A36" w:rsidR="004F646E" w:rsidP="00732EC0" w:rsidRDefault="004F646E" w14:paraId="699AA114" w14:textId="08E39019">
            <w:pPr>
              <w:pStyle w:val="FERCparanumber"/>
              <w:numPr>
                <w:ilvl w:val="0"/>
                <w:numId w:val="0"/>
              </w:numPr>
              <w:jc w:val="right"/>
              <w:rPr>
                <w:bCs/>
                <w:szCs w:val="26"/>
              </w:rPr>
            </w:pPr>
            <w:r>
              <w:rPr>
                <w:szCs w:val="26"/>
              </w:rPr>
              <w:t>Annual Burden Hours (hrs.)</w:t>
            </w:r>
          </w:p>
        </w:tc>
        <w:tc>
          <w:tcPr>
            <w:tcW w:w="2250" w:type="dxa"/>
            <w:vAlign w:val="bottom"/>
          </w:tcPr>
          <w:p w:rsidRPr="002E1A36" w:rsidR="004F646E" w:rsidP="00732EC0" w:rsidRDefault="004F646E" w14:paraId="6C225B6C" w14:textId="2A0E98EB">
            <w:pPr>
              <w:pStyle w:val="FERCparanumber"/>
              <w:numPr>
                <w:ilvl w:val="0"/>
                <w:numId w:val="0"/>
              </w:numPr>
              <w:jc w:val="right"/>
              <w:rPr>
                <w:bCs/>
                <w:szCs w:val="26"/>
              </w:rPr>
            </w:pPr>
            <w:r>
              <w:rPr>
                <w:bCs/>
                <w:szCs w:val="26"/>
              </w:rPr>
              <w:t>18,174</w:t>
            </w:r>
            <w:r w:rsidRPr="002E1A36">
              <w:rPr>
                <w:bCs/>
                <w:szCs w:val="26"/>
              </w:rPr>
              <w:t xml:space="preserve"> hrs.</w:t>
            </w:r>
          </w:p>
        </w:tc>
        <w:tc>
          <w:tcPr>
            <w:tcW w:w="2700" w:type="dxa"/>
            <w:vAlign w:val="bottom"/>
          </w:tcPr>
          <w:p w:rsidRPr="002E1A36" w:rsidR="004F646E" w:rsidP="00732EC0" w:rsidRDefault="004F646E" w14:paraId="7D1A324B" w14:textId="092EFDFB">
            <w:pPr>
              <w:pStyle w:val="FERCparanumber"/>
              <w:numPr>
                <w:ilvl w:val="0"/>
                <w:numId w:val="0"/>
              </w:numPr>
              <w:jc w:val="right"/>
              <w:rPr>
                <w:bCs/>
                <w:szCs w:val="26"/>
              </w:rPr>
            </w:pPr>
            <w:r w:rsidRPr="007A7825">
              <w:rPr>
                <w:bCs/>
                <w:szCs w:val="26"/>
              </w:rPr>
              <w:t xml:space="preserve">+ </w:t>
            </w:r>
            <w:r w:rsidRPr="007A7825" w:rsidR="00931387">
              <w:rPr>
                <w:bCs/>
                <w:szCs w:val="26"/>
              </w:rPr>
              <w:t>641,442</w:t>
            </w:r>
            <w:r w:rsidRPr="002E1A36">
              <w:rPr>
                <w:bCs/>
                <w:szCs w:val="26"/>
              </w:rPr>
              <w:t xml:space="preserve"> hrs.</w:t>
            </w:r>
          </w:p>
        </w:tc>
        <w:tc>
          <w:tcPr>
            <w:tcW w:w="2520" w:type="dxa"/>
            <w:vAlign w:val="bottom"/>
          </w:tcPr>
          <w:p w:rsidRPr="002E1A36" w:rsidR="004F646E" w:rsidP="00732EC0" w:rsidRDefault="0071391E" w14:paraId="6C8C2078" w14:textId="4F691FED">
            <w:pPr>
              <w:pStyle w:val="FERCparanumber"/>
              <w:numPr>
                <w:ilvl w:val="0"/>
                <w:numId w:val="0"/>
              </w:numPr>
              <w:jc w:val="right"/>
              <w:rPr>
                <w:bCs/>
                <w:szCs w:val="26"/>
              </w:rPr>
            </w:pPr>
            <w:r w:rsidRPr="007A7825">
              <w:rPr>
                <w:bCs/>
                <w:szCs w:val="26"/>
              </w:rPr>
              <w:t>659,616</w:t>
            </w:r>
            <w:r w:rsidR="00B67E6C">
              <w:rPr>
                <w:bCs/>
                <w:szCs w:val="26"/>
              </w:rPr>
              <w:t xml:space="preserve"> </w:t>
            </w:r>
            <w:r w:rsidRPr="007A7825" w:rsidR="004F646E">
              <w:rPr>
                <w:bCs/>
                <w:szCs w:val="26"/>
              </w:rPr>
              <w:t>hrs</w:t>
            </w:r>
            <w:r w:rsidRPr="002E1A36" w:rsidR="004F646E">
              <w:rPr>
                <w:bCs/>
                <w:szCs w:val="26"/>
              </w:rPr>
              <w:t>.</w:t>
            </w:r>
          </w:p>
        </w:tc>
      </w:tr>
      <w:tr w:rsidRPr="002E1A36" w:rsidR="004F646E" w:rsidTr="004F646E" w14:paraId="7F3B359D" w14:textId="0DDC89D0">
        <w:tc>
          <w:tcPr>
            <w:tcW w:w="1795" w:type="dxa"/>
            <w:vAlign w:val="bottom"/>
          </w:tcPr>
          <w:p w:rsidR="004F646E" w:rsidP="00732EC0" w:rsidRDefault="004F646E" w14:paraId="608FCAC0" w14:textId="4E05BBA6">
            <w:pPr>
              <w:pStyle w:val="FERCparanumber"/>
              <w:numPr>
                <w:ilvl w:val="0"/>
                <w:numId w:val="0"/>
              </w:numPr>
              <w:jc w:val="right"/>
              <w:rPr>
                <w:szCs w:val="26"/>
              </w:rPr>
            </w:pPr>
            <w:r>
              <w:rPr>
                <w:szCs w:val="26"/>
              </w:rPr>
              <w:t>Annual Cost Burden ($)</w:t>
            </w:r>
          </w:p>
        </w:tc>
        <w:tc>
          <w:tcPr>
            <w:tcW w:w="2250" w:type="dxa"/>
            <w:vAlign w:val="bottom"/>
          </w:tcPr>
          <w:p w:rsidR="004F646E" w:rsidP="00732EC0" w:rsidRDefault="004F646E" w14:paraId="07620C9C" w14:textId="28A97E36">
            <w:pPr>
              <w:pStyle w:val="FERCparanumber"/>
              <w:numPr>
                <w:ilvl w:val="0"/>
                <w:numId w:val="0"/>
              </w:numPr>
              <w:jc w:val="right"/>
              <w:rPr>
                <w:bCs/>
                <w:szCs w:val="26"/>
              </w:rPr>
            </w:pPr>
            <w:r>
              <w:rPr>
                <w:bCs/>
                <w:szCs w:val="26"/>
              </w:rPr>
              <w:t>$0</w:t>
            </w:r>
          </w:p>
        </w:tc>
        <w:tc>
          <w:tcPr>
            <w:tcW w:w="2700" w:type="dxa"/>
            <w:vAlign w:val="bottom"/>
          </w:tcPr>
          <w:p w:rsidR="004F646E" w:rsidP="00732EC0" w:rsidRDefault="004F646E" w14:paraId="578A7385" w14:textId="348596F1">
            <w:pPr>
              <w:pStyle w:val="FERCparanumber"/>
              <w:numPr>
                <w:ilvl w:val="0"/>
                <w:numId w:val="0"/>
              </w:numPr>
              <w:jc w:val="right"/>
              <w:rPr>
                <w:bCs/>
                <w:szCs w:val="26"/>
              </w:rPr>
            </w:pPr>
            <w:r>
              <w:rPr>
                <w:bCs/>
                <w:szCs w:val="26"/>
              </w:rPr>
              <w:t>$0</w:t>
            </w:r>
          </w:p>
        </w:tc>
        <w:tc>
          <w:tcPr>
            <w:tcW w:w="2520" w:type="dxa"/>
            <w:vAlign w:val="bottom"/>
          </w:tcPr>
          <w:p w:rsidR="004F646E" w:rsidP="00732EC0" w:rsidRDefault="004F646E" w14:paraId="130D45CB" w14:textId="03FC5D31">
            <w:pPr>
              <w:pStyle w:val="FERCparanumber"/>
              <w:numPr>
                <w:ilvl w:val="0"/>
                <w:numId w:val="0"/>
              </w:numPr>
              <w:jc w:val="right"/>
              <w:rPr>
                <w:szCs w:val="26"/>
              </w:rPr>
            </w:pPr>
            <w:r>
              <w:rPr>
                <w:szCs w:val="26"/>
              </w:rPr>
              <w:t>$0</w:t>
            </w:r>
          </w:p>
        </w:tc>
      </w:tr>
      <w:tr w:rsidRPr="002E1A36" w:rsidR="004F646E" w:rsidTr="004F646E" w14:paraId="2047F8CC" w14:textId="77777777">
        <w:tc>
          <w:tcPr>
            <w:tcW w:w="9265" w:type="dxa"/>
            <w:gridSpan w:val="4"/>
            <w:shd w:val="clear" w:color="auto" w:fill="D9D9D9" w:themeFill="background1" w:themeFillShade="D9"/>
            <w:vAlign w:val="bottom"/>
          </w:tcPr>
          <w:p w:rsidRPr="004F646E" w:rsidR="004F646E" w:rsidP="004F646E" w:rsidRDefault="004F646E" w14:paraId="73871545" w14:textId="6755F854">
            <w:pPr>
              <w:pStyle w:val="FERCparanumber"/>
              <w:numPr>
                <w:ilvl w:val="0"/>
                <w:numId w:val="0"/>
              </w:numPr>
              <w:jc w:val="center"/>
              <w:rPr>
                <w:b/>
                <w:szCs w:val="26"/>
              </w:rPr>
            </w:pPr>
            <w:r>
              <w:rPr>
                <w:szCs w:val="26"/>
              </w:rPr>
              <w:t>FERC-725A: Revision of Reliability Standard FAC-008-5</w:t>
            </w:r>
          </w:p>
        </w:tc>
      </w:tr>
      <w:tr w:rsidRPr="002E1A36" w:rsidR="004F646E" w:rsidTr="004F646E" w14:paraId="2FE7EC05" w14:textId="281A8AB0">
        <w:tc>
          <w:tcPr>
            <w:tcW w:w="1795" w:type="dxa"/>
            <w:vAlign w:val="bottom"/>
          </w:tcPr>
          <w:p w:rsidRPr="003B64DA" w:rsidR="004F646E" w:rsidP="00732EC0" w:rsidRDefault="004F646E" w14:paraId="17ADA866" w14:textId="53B37E2D">
            <w:pPr>
              <w:pStyle w:val="FERCparanumber"/>
              <w:numPr>
                <w:ilvl w:val="0"/>
                <w:numId w:val="0"/>
              </w:numPr>
              <w:jc w:val="right"/>
              <w:rPr>
                <w:szCs w:val="26"/>
              </w:rPr>
            </w:pPr>
            <w:r>
              <w:rPr>
                <w:szCs w:val="26"/>
              </w:rPr>
              <w:t>Annual Number of Responses</w:t>
            </w:r>
          </w:p>
        </w:tc>
        <w:tc>
          <w:tcPr>
            <w:tcW w:w="2250" w:type="dxa"/>
            <w:vAlign w:val="bottom"/>
          </w:tcPr>
          <w:p w:rsidRPr="002E1A36" w:rsidR="004F646E" w:rsidP="00732EC0" w:rsidRDefault="004F646E" w14:paraId="7C221D2E" w14:textId="48C0E7E3">
            <w:pPr>
              <w:pStyle w:val="FERCparanumber"/>
              <w:numPr>
                <w:ilvl w:val="0"/>
                <w:numId w:val="0"/>
              </w:numPr>
              <w:jc w:val="right"/>
              <w:rPr>
                <w:bCs/>
                <w:szCs w:val="26"/>
              </w:rPr>
            </w:pPr>
            <w:r>
              <w:rPr>
                <w:bCs/>
                <w:szCs w:val="26"/>
              </w:rPr>
              <w:t>3,420</w:t>
            </w:r>
          </w:p>
        </w:tc>
        <w:tc>
          <w:tcPr>
            <w:tcW w:w="2700" w:type="dxa"/>
            <w:vAlign w:val="bottom"/>
          </w:tcPr>
          <w:p w:rsidRPr="002E1A36" w:rsidR="004F646E" w:rsidP="00732EC0" w:rsidRDefault="004F646E" w14:paraId="43C65C88" w14:textId="301F3BBF">
            <w:pPr>
              <w:pStyle w:val="FERCparanumber"/>
              <w:numPr>
                <w:ilvl w:val="0"/>
                <w:numId w:val="0"/>
              </w:numPr>
              <w:jc w:val="right"/>
              <w:rPr>
                <w:bCs/>
                <w:szCs w:val="26"/>
              </w:rPr>
            </w:pPr>
            <w:r>
              <w:rPr>
                <w:bCs/>
                <w:szCs w:val="26"/>
              </w:rPr>
              <w:t xml:space="preserve">+369 </w:t>
            </w:r>
          </w:p>
        </w:tc>
        <w:tc>
          <w:tcPr>
            <w:tcW w:w="2520" w:type="dxa"/>
            <w:vAlign w:val="bottom"/>
          </w:tcPr>
          <w:p w:rsidRPr="002E1A36" w:rsidR="004F646E" w:rsidP="00732EC0" w:rsidRDefault="004F646E" w14:paraId="2F8F84D7" w14:textId="49B807A1">
            <w:pPr>
              <w:pStyle w:val="FERCparanumber"/>
              <w:numPr>
                <w:ilvl w:val="0"/>
                <w:numId w:val="0"/>
              </w:numPr>
              <w:jc w:val="right"/>
              <w:rPr>
                <w:bCs/>
                <w:szCs w:val="26"/>
              </w:rPr>
            </w:pPr>
            <w:r w:rsidRPr="00BB31DC">
              <w:rPr>
                <w:bCs/>
                <w:szCs w:val="26"/>
              </w:rPr>
              <w:t>3,789</w:t>
            </w:r>
          </w:p>
        </w:tc>
      </w:tr>
      <w:tr w:rsidRPr="002E1A36" w:rsidR="004F646E" w:rsidTr="004F646E" w14:paraId="79BF8D3D" w14:textId="563ABA65">
        <w:tc>
          <w:tcPr>
            <w:tcW w:w="1795" w:type="dxa"/>
            <w:vAlign w:val="bottom"/>
          </w:tcPr>
          <w:p w:rsidRPr="003B64DA" w:rsidR="004F646E" w:rsidP="00732EC0" w:rsidRDefault="004F646E" w14:paraId="3A9E7E76" w14:textId="5A0D65A6">
            <w:pPr>
              <w:pStyle w:val="FERCparanumber"/>
              <w:numPr>
                <w:ilvl w:val="0"/>
                <w:numId w:val="0"/>
              </w:numPr>
              <w:jc w:val="right"/>
              <w:rPr>
                <w:szCs w:val="26"/>
              </w:rPr>
            </w:pPr>
            <w:r>
              <w:rPr>
                <w:szCs w:val="26"/>
              </w:rPr>
              <w:t xml:space="preserve">Annual Burden Hours (hrs.) </w:t>
            </w:r>
          </w:p>
        </w:tc>
        <w:tc>
          <w:tcPr>
            <w:tcW w:w="2250" w:type="dxa"/>
            <w:vAlign w:val="bottom"/>
          </w:tcPr>
          <w:p w:rsidR="004F646E" w:rsidP="00732EC0" w:rsidRDefault="004F646E" w14:paraId="6D665B4B" w14:textId="0FCC356E">
            <w:pPr>
              <w:pStyle w:val="FERCparanumber"/>
              <w:numPr>
                <w:ilvl w:val="0"/>
                <w:numId w:val="0"/>
              </w:numPr>
              <w:jc w:val="right"/>
              <w:rPr>
                <w:bCs/>
                <w:szCs w:val="26"/>
              </w:rPr>
            </w:pPr>
            <w:r w:rsidRPr="008D54E8">
              <w:rPr>
                <w:bCs/>
                <w:szCs w:val="26"/>
              </w:rPr>
              <w:t> 1,456,686</w:t>
            </w:r>
            <w:r w:rsidR="00A16D9D">
              <w:rPr>
                <w:bCs/>
                <w:szCs w:val="26"/>
              </w:rPr>
              <w:t xml:space="preserve"> </w:t>
            </w:r>
            <w:r w:rsidRPr="002E1A36">
              <w:rPr>
                <w:bCs/>
                <w:szCs w:val="26"/>
              </w:rPr>
              <w:t>hrs.</w:t>
            </w:r>
          </w:p>
        </w:tc>
        <w:tc>
          <w:tcPr>
            <w:tcW w:w="2700" w:type="dxa"/>
            <w:vAlign w:val="bottom"/>
          </w:tcPr>
          <w:p w:rsidR="004F646E" w:rsidP="00732EC0" w:rsidRDefault="004F646E" w14:paraId="0AC931B4" w14:textId="60D6140E">
            <w:pPr>
              <w:pStyle w:val="FERCparanumber"/>
              <w:numPr>
                <w:ilvl w:val="0"/>
                <w:numId w:val="0"/>
              </w:numPr>
              <w:jc w:val="right"/>
              <w:rPr>
                <w:bCs/>
                <w:szCs w:val="26"/>
              </w:rPr>
            </w:pPr>
            <w:r w:rsidRPr="002E1A36">
              <w:rPr>
                <w:bCs/>
                <w:szCs w:val="26"/>
              </w:rPr>
              <w:t xml:space="preserve">+ </w:t>
            </w:r>
            <w:r w:rsidRPr="002E1A36" w:rsidR="00A16D9D">
              <w:rPr>
                <w:szCs w:val="26"/>
              </w:rPr>
              <w:t xml:space="preserve">17,712 </w:t>
            </w:r>
            <w:r w:rsidRPr="002E1A36">
              <w:rPr>
                <w:bCs/>
                <w:szCs w:val="26"/>
              </w:rPr>
              <w:t>hrs.</w:t>
            </w:r>
          </w:p>
        </w:tc>
        <w:tc>
          <w:tcPr>
            <w:tcW w:w="2520" w:type="dxa"/>
            <w:vAlign w:val="bottom"/>
          </w:tcPr>
          <w:p w:rsidR="004F646E" w:rsidP="00732EC0" w:rsidRDefault="00A16D9D" w14:paraId="6BF38EF0" w14:textId="4C868AC4">
            <w:pPr>
              <w:pStyle w:val="FERCparanumber"/>
              <w:numPr>
                <w:ilvl w:val="0"/>
                <w:numId w:val="0"/>
              </w:numPr>
              <w:jc w:val="right"/>
              <w:rPr>
                <w:szCs w:val="26"/>
              </w:rPr>
            </w:pPr>
            <w:r w:rsidRPr="00A16D9D">
              <w:rPr>
                <w:bCs/>
                <w:szCs w:val="26"/>
              </w:rPr>
              <w:tab/>
              <w:t>1</w:t>
            </w:r>
            <w:r>
              <w:rPr>
                <w:bCs/>
                <w:szCs w:val="26"/>
              </w:rPr>
              <w:t>,</w:t>
            </w:r>
            <w:r w:rsidRPr="00A16D9D">
              <w:rPr>
                <w:bCs/>
                <w:szCs w:val="26"/>
              </w:rPr>
              <w:t>474</w:t>
            </w:r>
            <w:r>
              <w:rPr>
                <w:bCs/>
                <w:szCs w:val="26"/>
              </w:rPr>
              <w:t>,</w:t>
            </w:r>
            <w:r w:rsidRPr="00A16D9D">
              <w:rPr>
                <w:bCs/>
                <w:szCs w:val="26"/>
              </w:rPr>
              <w:t>398</w:t>
            </w:r>
            <w:r>
              <w:rPr>
                <w:bCs/>
                <w:szCs w:val="26"/>
              </w:rPr>
              <w:t xml:space="preserve"> </w:t>
            </w:r>
            <w:r w:rsidRPr="002E1A36" w:rsidR="004F646E">
              <w:rPr>
                <w:bCs/>
                <w:szCs w:val="26"/>
              </w:rPr>
              <w:t>hrs</w:t>
            </w:r>
            <w:r w:rsidR="004F646E">
              <w:rPr>
                <w:bCs/>
                <w:szCs w:val="26"/>
              </w:rPr>
              <w:t>.</w:t>
            </w:r>
          </w:p>
        </w:tc>
      </w:tr>
      <w:tr w:rsidRPr="002E1A36" w:rsidR="004F646E" w:rsidTr="004F646E" w14:paraId="764AD7A3" w14:textId="57B6E17E">
        <w:tc>
          <w:tcPr>
            <w:tcW w:w="1795" w:type="dxa"/>
            <w:vAlign w:val="bottom"/>
          </w:tcPr>
          <w:p w:rsidRPr="003B64DA" w:rsidR="004F646E" w:rsidP="00732EC0" w:rsidRDefault="004F646E" w14:paraId="6F565355" w14:textId="4CFC9F8D">
            <w:pPr>
              <w:pStyle w:val="FERCparanumber"/>
              <w:numPr>
                <w:ilvl w:val="0"/>
                <w:numId w:val="0"/>
              </w:numPr>
              <w:jc w:val="right"/>
              <w:rPr>
                <w:szCs w:val="26"/>
              </w:rPr>
            </w:pPr>
            <w:r>
              <w:rPr>
                <w:szCs w:val="26"/>
              </w:rPr>
              <w:t xml:space="preserve">Annual Cost Burden ($) </w:t>
            </w:r>
          </w:p>
        </w:tc>
        <w:tc>
          <w:tcPr>
            <w:tcW w:w="2250" w:type="dxa"/>
            <w:vAlign w:val="bottom"/>
          </w:tcPr>
          <w:p w:rsidRPr="002E1A36" w:rsidR="004F646E" w:rsidP="00732EC0" w:rsidRDefault="004F646E" w14:paraId="5DC7C3B6" w14:textId="30901739">
            <w:pPr>
              <w:pStyle w:val="FERCparanumber"/>
              <w:numPr>
                <w:ilvl w:val="0"/>
                <w:numId w:val="0"/>
              </w:numPr>
              <w:jc w:val="right"/>
              <w:rPr>
                <w:bCs/>
                <w:szCs w:val="26"/>
              </w:rPr>
            </w:pPr>
            <w:r>
              <w:rPr>
                <w:bCs/>
                <w:szCs w:val="26"/>
              </w:rPr>
              <w:t>$</w:t>
            </w:r>
            <w:r w:rsidRPr="008D54E8">
              <w:rPr>
                <w:bCs/>
                <w:szCs w:val="26"/>
              </w:rPr>
              <w:t>156,953</w:t>
            </w:r>
          </w:p>
        </w:tc>
        <w:tc>
          <w:tcPr>
            <w:tcW w:w="2700" w:type="dxa"/>
            <w:vAlign w:val="bottom"/>
          </w:tcPr>
          <w:p w:rsidRPr="002E1A36" w:rsidR="004F646E" w:rsidP="00732EC0" w:rsidRDefault="004F646E" w14:paraId="53AC033E" w14:textId="325A9871">
            <w:pPr>
              <w:pStyle w:val="FERCparanumber"/>
              <w:numPr>
                <w:ilvl w:val="0"/>
                <w:numId w:val="0"/>
              </w:numPr>
              <w:jc w:val="right"/>
              <w:rPr>
                <w:bCs/>
                <w:szCs w:val="26"/>
              </w:rPr>
            </w:pPr>
            <w:r>
              <w:rPr>
                <w:bCs/>
                <w:szCs w:val="26"/>
              </w:rPr>
              <w:t>$0</w:t>
            </w:r>
          </w:p>
        </w:tc>
        <w:tc>
          <w:tcPr>
            <w:tcW w:w="2520" w:type="dxa"/>
            <w:vAlign w:val="bottom"/>
          </w:tcPr>
          <w:p w:rsidRPr="002E1A36" w:rsidR="004F646E" w:rsidP="00732EC0" w:rsidRDefault="004F646E" w14:paraId="2C132A4F" w14:textId="5F9EED58">
            <w:pPr>
              <w:pStyle w:val="FERCparanumber"/>
              <w:numPr>
                <w:ilvl w:val="0"/>
                <w:numId w:val="0"/>
              </w:numPr>
              <w:jc w:val="right"/>
              <w:rPr>
                <w:bCs/>
                <w:szCs w:val="26"/>
              </w:rPr>
            </w:pPr>
            <w:r>
              <w:rPr>
                <w:bCs/>
                <w:szCs w:val="26"/>
              </w:rPr>
              <w:t>$156,953</w:t>
            </w:r>
          </w:p>
        </w:tc>
      </w:tr>
    </w:tbl>
    <w:p w:rsidR="00781C45" w:rsidP="003E0F27" w:rsidRDefault="00781C45" w14:paraId="0F5CC7BF" w14:textId="75679505">
      <w:pPr>
        <w:pStyle w:val="FERCparanumber"/>
        <w:numPr>
          <w:ilvl w:val="0"/>
          <w:numId w:val="0"/>
        </w:numPr>
        <w:jc w:val="center"/>
        <w:rPr>
          <w:bCs/>
          <w:szCs w:val="26"/>
        </w:rPr>
      </w:pPr>
    </w:p>
    <w:p w:rsidRPr="003B64DA" w:rsidR="009D6B6D" w:rsidP="00D43511" w:rsidRDefault="00EF40FF" w14:paraId="7CD93336" w14:textId="71C5C4C4">
      <w:pPr>
        <w:pStyle w:val="FERCparanumber"/>
        <w:numPr>
          <w:ilvl w:val="0"/>
          <w:numId w:val="7"/>
        </w:numPr>
        <w:rPr>
          <w:b/>
          <w:szCs w:val="26"/>
        </w:rPr>
      </w:pPr>
      <w:r w:rsidRPr="003B64DA">
        <w:rPr>
          <w:b/>
          <w:szCs w:val="26"/>
        </w:rPr>
        <w:t>TIME SCHEDULE FOR PUBLICATION OF DATA</w:t>
      </w:r>
    </w:p>
    <w:p w:rsidRPr="003B64DA" w:rsidR="00EF40FF" w:rsidP="00EF40FF" w:rsidRDefault="00EF40FF" w14:paraId="338E8E30" w14:textId="77777777">
      <w:pPr>
        <w:pStyle w:val="FERCparanumber"/>
        <w:numPr>
          <w:ilvl w:val="0"/>
          <w:numId w:val="0"/>
        </w:numPr>
        <w:rPr>
          <w:b/>
          <w:szCs w:val="26"/>
        </w:rPr>
      </w:pPr>
    </w:p>
    <w:p w:rsidRPr="002E1A36" w:rsidR="00EB21C5" w:rsidP="0009613C" w:rsidRDefault="00545B62" w14:paraId="78BC14DE" w14:textId="05232E09">
      <w:pPr>
        <w:widowControl/>
        <w:rPr>
          <w:sz w:val="26"/>
          <w:szCs w:val="26"/>
        </w:rPr>
      </w:pPr>
      <w:r w:rsidRPr="003B64DA">
        <w:rPr>
          <w:sz w:val="26"/>
          <w:szCs w:val="26"/>
        </w:rPr>
        <w:t xml:space="preserve">There </w:t>
      </w:r>
      <w:r w:rsidR="003B64DA">
        <w:rPr>
          <w:sz w:val="26"/>
          <w:szCs w:val="26"/>
        </w:rPr>
        <w:t>are</w:t>
      </w:r>
      <w:r w:rsidRPr="002E1A36">
        <w:rPr>
          <w:sz w:val="26"/>
          <w:szCs w:val="26"/>
        </w:rPr>
        <w:t xml:space="preserve"> no tabulating</w:t>
      </w:r>
      <w:r w:rsidRPr="002E1A36" w:rsidR="00E5030A">
        <w:rPr>
          <w:sz w:val="26"/>
          <w:szCs w:val="26"/>
        </w:rPr>
        <w:t xml:space="preserve"> or</w:t>
      </w:r>
      <w:r w:rsidRPr="002E1A36">
        <w:rPr>
          <w:sz w:val="26"/>
          <w:szCs w:val="26"/>
        </w:rPr>
        <w:t xml:space="preserve"> statistical analysis or publication plans for the collection of information.  The data are used for regulatory purposes only</w:t>
      </w:r>
      <w:r w:rsidRPr="002E1A36" w:rsidR="00E5030A">
        <w:rPr>
          <w:sz w:val="26"/>
          <w:szCs w:val="26"/>
        </w:rPr>
        <w:t>.</w:t>
      </w:r>
    </w:p>
    <w:p w:rsidRPr="002E1A36" w:rsidR="0009613C" w:rsidP="0009613C" w:rsidRDefault="0009613C" w14:paraId="49B7EF0F" w14:textId="77777777">
      <w:pPr>
        <w:widowControl/>
        <w:rPr>
          <w:sz w:val="26"/>
          <w:szCs w:val="26"/>
        </w:rPr>
      </w:pPr>
    </w:p>
    <w:p w:rsidRPr="002E1A36" w:rsidR="009D6B6D" w:rsidP="001D2EC1" w:rsidRDefault="00EF40FF" w14:paraId="15394295" w14:textId="77777777">
      <w:pPr>
        <w:pStyle w:val="FERCparanumber"/>
        <w:numPr>
          <w:ilvl w:val="0"/>
          <w:numId w:val="7"/>
        </w:numPr>
        <w:rPr>
          <w:b/>
          <w:szCs w:val="26"/>
        </w:rPr>
      </w:pPr>
      <w:r w:rsidRPr="002E1A36">
        <w:rPr>
          <w:b/>
          <w:szCs w:val="26"/>
        </w:rPr>
        <w:t>DISPLAY OF EXPIRATION DATE</w:t>
      </w:r>
    </w:p>
    <w:p w:rsidRPr="002E1A36" w:rsidR="00EF40FF" w:rsidP="00EF40FF" w:rsidRDefault="00EF40FF" w14:paraId="50BC026E" w14:textId="77777777">
      <w:pPr>
        <w:pStyle w:val="FERCparanumber"/>
        <w:numPr>
          <w:ilvl w:val="0"/>
          <w:numId w:val="0"/>
        </w:numPr>
        <w:rPr>
          <w:b/>
          <w:szCs w:val="26"/>
        </w:rPr>
      </w:pPr>
    </w:p>
    <w:p w:rsidRPr="003B64DA" w:rsidR="006441AD" w:rsidP="006441AD" w:rsidRDefault="00AC66FD" w14:paraId="587C08CA" w14:textId="78E5D498">
      <w:pPr>
        <w:rPr>
          <w:sz w:val="26"/>
          <w:szCs w:val="26"/>
        </w:rPr>
      </w:pPr>
      <w:r w:rsidRPr="002E1A36">
        <w:rPr>
          <w:sz w:val="26"/>
          <w:szCs w:val="26"/>
        </w:rPr>
        <w:t xml:space="preserve">The expiration date is displayed at </w:t>
      </w:r>
      <w:hyperlink w:history="1" r:id="rId14">
        <w:r w:rsidRPr="002E1A36">
          <w:rPr>
            <w:rStyle w:val="Hyperlink"/>
            <w:sz w:val="26"/>
            <w:szCs w:val="26"/>
          </w:rPr>
          <w:t>https://www.reginfo.gov/public/do/PRAMain</w:t>
        </w:r>
      </w:hyperlink>
      <w:r w:rsidRPr="003B64DA">
        <w:rPr>
          <w:sz w:val="26"/>
          <w:szCs w:val="26"/>
        </w:rPr>
        <w:t>.</w:t>
      </w:r>
    </w:p>
    <w:p w:rsidRPr="003B64DA" w:rsidR="00EF40FF" w:rsidP="00EF40FF" w:rsidRDefault="00EF40FF" w14:paraId="00403C61" w14:textId="77777777">
      <w:pPr>
        <w:pStyle w:val="FERCparanumber"/>
        <w:numPr>
          <w:ilvl w:val="0"/>
          <w:numId w:val="0"/>
        </w:numPr>
        <w:rPr>
          <w:b/>
          <w:szCs w:val="26"/>
        </w:rPr>
      </w:pPr>
    </w:p>
    <w:p w:rsidRPr="003B64DA" w:rsidR="00EF40FF" w:rsidP="00E138E1" w:rsidRDefault="00EF40FF" w14:paraId="3B590558" w14:textId="77777777">
      <w:pPr>
        <w:widowControl/>
        <w:numPr>
          <w:ilvl w:val="0"/>
          <w:numId w:val="7"/>
        </w:numPr>
        <w:ind w:hanging="720"/>
        <w:rPr>
          <w:b/>
          <w:sz w:val="26"/>
          <w:szCs w:val="26"/>
        </w:rPr>
      </w:pPr>
      <w:r w:rsidRPr="003B64DA">
        <w:rPr>
          <w:b/>
          <w:sz w:val="26"/>
          <w:szCs w:val="26"/>
        </w:rPr>
        <w:t>EXCEPTIONS TO THE CERTIFICATION STATEMENT</w:t>
      </w:r>
    </w:p>
    <w:p w:rsidRPr="002E1A36" w:rsidR="009D6B6D" w:rsidP="001D2EC1" w:rsidRDefault="009D6B6D" w14:paraId="612ECBF9" w14:textId="77777777">
      <w:pPr>
        <w:widowControl/>
        <w:ind w:left="720"/>
        <w:rPr>
          <w:b/>
          <w:sz w:val="26"/>
          <w:szCs w:val="26"/>
        </w:rPr>
      </w:pPr>
    </w:p>
    <w:p w:rsidRPr="002E1A36" w:rsidR="0091218B" w:rsidP="001D2EC1" w:rsidRDefault="00545B62" w14:paraId="5B53F0DD" w14:textId="37EA97A2">
      <w:pPr>
        <w:widowControl/>
        <w:rPr>
          <w:sz w:val="26"/>
          <w:szCs w:val="26"/>
        </w:rPr>
      </w:pPr>
      <w:r w:rsidRPr="002E1A36">
        <w:rPr>
          <w:sz w:val="26"/>
          <w:szCs w:val="26"/>
        </w:rPr>
        <w:t>There are no exceptions.</w:t>
      </w:r>
    </w:p>
    <w:sectPr w:rsidRPr="002E1A36" w:rsidR="0091218B"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CF06" w14:textId="77777777" w:rsidR="007F4BC5" w:rsidRDefault="007F4BC5" w:rsidP="009D6B6D">
      <w:r>
        <w:separator/>
      </w:r>
    </w:p>
  </w:endnote>
  <w:endnote w:type="continuationSeparator" w:id="0">
    <w:p w14:paraId="628E7A2B" w14:textId="77777777" w:rsidR="007F4BC5" w:rsidRDefault="007F4BC5" w:rsidP="009D6B6D">
      <w:r>
        <w:continuationSeparator/>
      </w:r>
    </w:p>
  </w:endnote>
  <w:endnote w:type="continuationNotice" w:id="1">
    <w:p w14:paraId="6868D00F" w14:textId="77777777" w:rsidR="007F4BC5" w:rsidRDefault="007F4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0493" w14:textId="77777777" w:rsidR="0051519A" w:rsidRDefault="0051519A">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7CE16875" w14:textId="77777777" w:rsidR="0051519A" w:rsidRDefault="0051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0DC0" w14:textId="77777777" w:rsidR="007F4BC5" w:rsidRDefault="007F4BC5" w:rsidP="009D6B6D">
      <w:r>
        <w:separator/>
      </w:r>
    </w:p>
  </w:footnote>
  <w:footnote w:type="continuationSeparator" w:id="0">
    <w:p w14:paraId="2170F02A" w14:textId="77777777" w:rsidR="007F4BC5" w:rsidRDefault="007F4BC5" w:rsidP="009D6B6D">
      <w:r>
        <w:continuationSeparator/>
      </w:r>
    </w:p>
  </w:footnote>
  <w:footnote w:type="continuationNotice" w:id="1">
    <w:p w14:paraId="770CC38B" w14:textId="77777777" w:rsidR="007F4BC5" w:rsidRDefault="007F4BC5"/>
  </w:footnote>
  <w:footnote w:id="2">
    <w:p w14:paraId="23871020" w14:textId="447D5801" w:rsidR="0007447B" w:rsidRPr="00192839" w:rsidRDefault="0007447B">
      <w:pPr>
        <w:pStyle w:val="FootnoteText"/>
        <w:rPr>
          <w:sz w:val="26"/>
        </w:rPr>
      </w:pPr>
      <w:r w:rsidRPr="00192839">
        <w:rPr>
          <w:rStyle w:val="FootnoteReference"/>
          <w:sz w:val="26"/>
        </w:rPr>
        <w:footnoteRef/>
      </w:r>
      <w:r w:rsidRPr="00192839">
        <w:rPr>
          <w:sz w:val="26"/>
        </w:rPr>
        <w:t xml:space="preserve"> 87 FR </w:t>
      </w:r>
      <w:r w:rsidR="00E86704" w:rsidRPr="00192839">
        <w:rPr>
          <w:sz w:val="26"/>
        </w:rPr>
        <w:t>2244 (January 13, 2022).</w:t>
      </w:r>
    </w:p>
  </w:footnote>
  <w:footnote w:id="3">
    <w:p w14:paraId="17A115DB" w14:textId="32EC9FC2" w:rsidR="005024D2" w:rsidRDefault="005024D2">
      <w:pPr>
        <w:pStyle w:val="FootnoteText"/>
      </w:pPr>
      <w:r w:rsidRPr="00192839">
        <w:rPr>
          <w:rStyle w:val="FootnoteReference"/>
          <w:sz w:val="26"/>
        </w:rPr>
        <w:footnoteRef/>
      </w:r>
      <w:r w:rsidRPr="00192839">
        <w:rPr>
          <w:sz w:val="26"/>
        </w:rPr>
        <w:t xml:space="preserve"> 16 U.S.C. </w:t>
      </w:r>
      <w:r w:rsidR="00192839" w:rsidRPr="00192839">
        <w:rPr>
          <w:sz w:val="26"/>
        </w:rPr>
        <w:t>824e.</w:t>
      </w:r>
    </w:p>
  </w:footnote>
  <w:footnote w:id="4">
    <w:p w14:paraId="12ECBFA8" w14:textId="7792E3E0" w:rsidR="008F2D9F" w:rsidRPr="002E3158" w:rsidRDefault="00944F3C" w:rsidP="008F2D9F">
      <w:pPr>
        <w:pStyle w:val="FootnoteText"/>
        <w:rPr>
          <w:sz w:val="26"/>
        </w:rPr>
      </w:pPr>
      <w:r w:rsidRPr="002E3158">
        <w:rPr>
          <w:rStyle w:val="FootnoteReference"/>
          <w:sz w:val="26"/>
        </w:rPr>
        <w:footnoteRef/>
      </w:r>
      <w:r w:rsidRPr="002E3158">
        <w:rPr>
          <w:sz w:val="26"/>
        </w:rPr>
        <w:t xml:space="preserve"> </w:t>
      </w:r>
      <w:r w:rsidR="008F2D9F" w:rsidRPr="002E3158">
        <w:rPr>
          <w:sz w:val="26"/>
        </w:rPr>
        <w:t xml:space="preserve">For example, </w:t>
      </w:r>
      <w:r w:rsidR="008E29A6" w:rsidRPr="002E3158">
        <w:rPr>
          <w:sz w:val="26"/>
        </w:rPr>
        <w:t xml:space="preserve">a transmission provider may </w:t>
      </w:r>
      <w:r w:rsidR="008F2D9F" w:rsidRPr="002E3158">
        <w:rPr>
          <w:sz w:val="26"/>
        </w:rPr>
        <w:t>reasonably determine, consistent with good utility practice, that the use of a temporary alternate rating is necessary to ensure the safety and reliability of the transmission system.</w:t>
      </w:r>
    </w:p>
    <w:p w14:paraId="14647C16" w14:textId="1F813A71" w:rsidR="00944F3C" w:rsidRDefault="00944F3C">
      <w:pPr>
        <w:pStyle w:val="FootnoteText"/>
      </w:pPr>
    </w:p>
  </w:footnote>
  <w:footnote w:id="5">
    <w:p w14:paraId="52CB23B6" w14:textId="77777777" w:rsidR="00B1174A" w:rsidRPr="00436236" w:rsidRDefault="00B1174A" w:rsidP="00B1174A">
      <w:pPr>
        <w:pStyle w:val="FootnoteText"/>
        <w:rPr>
          <w:sz w:val="26"/>
        </w:rPr>
      </w:pPr>
      <w:r w:rsidRPr="00436236">
        <w:rPr>
          <w:rStyle w:val="FootnoteReference"/>
          <w:sz w:val="26"/>
        </w:rPr>
        <w:footnoteRef/>
      </w:r>
      <w:r w:rsidRPr="00436236">
        <w:rPr>
          <w:sz w:val="26"/>
        </w:rPr>
        <w:t xml:space="preserve"> </w:t>
      </w:r>
      <w:r w:rsidRPr="00436236">
        <w:rPr>
          <w:i/>
          <w:iCs/>
          <w:sz w:val="26"/>
        </w:rPr>
        <w:t>See, e.g.</w:t>
      </w:r>
      <w:r w:rsidRPr="00436236">
        <w:rPr>
          <w:sz w:val="26"/>
        </w:rPr>
        <w:t xml:space="preserve">, Reliability Standards FAC-008-5, Requirement R3 and FAC-008-5, Requirement R6.   </w:t>
      </w:r>
    </w:p>
  </w:footnote>
  <w:footnote w:id="6">
    <w:p w14:paraId="560EC395" w14:textId="357C5BD5" w:rsidR="0051519A" w:rsidRPr="005D2056" w:rsidRDefault="0051519A">
      <w:pPr>
        <w:pStyle w:val="FootnoteText"/>
        <w:rPr>
          <w:sz w:val="26"/>
          <w:szCs w:val="26"/>
        </w:rPr>
      </w:pPr>
      <w:r w:rsidRPr="005D2056">
        <w:rPr>
          <w:rStyle w:val="FootnoteReference"/>
          <w:sz w:val="26"/>
          <w:szCs w:val="26"/>
        </w:rPr>
        <w:footnoteRef/>
      </w:r>
      <w:r w:rsidRPr="005D2056">
        <w:rPr>
          <w:sz w:val="26"/>
          <w:szCs w:val="26"/>
        </w:rPr>
        <w:t xml:space="preserve"> </w:t>
      </w:r>
      <w:r w:rsidRPr="00D41C2B">
        <w:rPr>
          <w:sz w:val="24"/>
          <w:szCs w:val="26"/>
        </w:rPr>
        <w:t>13 CFR 121.201 (</w:t>
      </w:r>
      <w:r w:rsidR="006A0CA7" w:rsidRPr="00D41C2B">
        <w:rPr>
          <w:sz w:val="24"/>
          <w:szCs w:val="26"/>
        </w:rPr>
        <w:t>2020) (</w:t>
      </w:r>
      <w:r w:rsidRPr="00D41C2B">
        <w:rPr>
          <w:sz w:val="24"/>
          <w:szCs w:val="26"/>
        </w:rPr>
        <w:t>Sector 22, Utilities).</w:t>
      </w:r>
    </w:p>
  </w:footnote>
  <w:footnote w:id="7">
    <w:p w14:paraId="75FD2E66" w14:textId="15A22B22" w:rsidR="00C77F75" w:rsidRDefault="00C77F75">
      <w:pPr>
        <w:pStyle w:val="FootnoteText"/>
      </w:pPr>
      <w:r w:rsidRPr="00FA21B5">
        <w:rPr>
          <w:rStyle w:val="FootnoteReference"/>
          <w:sz w:val="26"/>
        </w:rPr>
        <w:footnoteRef/>
      </w:r>
      <w:bookmarkStart w:id="9" w:name="_Hlk80185880"/>
      <w:r w:rsidR="00FA21B5">
        <w:rPr>
          <w:i/>
          <w:iCs/>
        </w:rPr>
        <w:t xml:space="preserve"> </w:t>
      </w:r>
      <w:r w:rsidRPr="00397279">
        <w:rPr>
          <w:sz w:val="26"/>
        </w:rPr>
        <w:t>86 FR 6420</w:t>
      </w:r>
      <w:bookmarkEnd w:id="9"/>
      <w:r w:rsidR="00645BE8">
        <w:t>.</w:t>
      </w:r>
    </w:p>
  </w:footnote>
  <w:footnote w:id="8">
    <w:p w14:paraId="6E042DAF"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The transmission service provider (TSP) function is a NERC registration function which is similar to the transmission provider that is referenced in the </w:t>
      </w:r>
      <w:r w:rsidRPr="00065637">
        <w:rPr>
          <w:i/>
          <w:sz w:val="26"/>
        </w:rPr>
        <w:t>pro forma</w:t>
      </w:r>
      <w:r w:rsidRPr="00065637">
        <w:rPr>
          <w:sz w:val="26"/>
        </w:rPr>
        <w:t xml:space="preserve"> OATT.  The TSP function is being used as a proxy to estimate the number of transmission providers that are impacted by this rulemaking.</w:t>
      </w:r>
    </w:p>
  </w:footnote>
  <w:footnote w:id="9">
    <w:p w14:paraId="3159861D"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Of the 797 generator owners listed in the September 3, 2020 NERC Compliance Registry, the Commission estimates that only 10% of all NERC registered generator owners own facilities between the step-up transformer and the point of interconnection.  For this reason, the Commission estimates that only 80 generator owners are affected. </w:t>
      </w:r>
    </w:p>
  </w:footnote>
  <w:footnote w:id="10">
    <w:p w14:paraId="527AE3F8"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The number of entities listed from the NERC Compliance Registry reflects the omission of the Texas RE registered entities.</w:t>
      </w:r>
    </w:p>
  </w:footnote>
  <w:footnote w:id="11">
    <w:p w14:paraId="4F888E57"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The burden associated with Reliability Standard FAC-008-5, approved by the Commission under section 215 of the FPA, is included in the OMB-approved inventory for FERC-725A.  Reliability Standard FAC-008-5 is not being revised in this proceeding; however, the requirements of this final rule under section 206 of the FPA affect the burden for three requirements in Reliability Standard FAC-008-5. </w:t>
      </w:r>
    </w:p>
  </w:footnote>
  <w:footnote w:id="12">
    <w:p w14:paraId="44C97300"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3">
    <w:p w14:paraId="7F4DA734" w14:textId="4391B43C" w:rsidR="00444834" w:rsidRPr="00065637" w:rsidRDefault="00444834" w:rsidP="00444834">
      <w:pPr>
        <w:pStyle w:val="FootnoteText"/>
        <w:rPr>
          <w:sz w:val="26"/>
        </w:rPr>
      </w:pPr>
      <w:r w:rsidRPr="007C2808">
        <w:rPr>
          <w:rStyle w:val="FootnoteReference"/>
          <w:sz w:val="26"/>
        </w:rPr>
        <w:footnoteRef/>
      </w:r>
      <w:r w:rsidRPr="00065637">
        <w:rPr>
          <w:sz w:val="26"/>
        </w:rPr>
        <w:t xml:space="preserve"> </w:t>
      </w:r>
      <w:r w:rsidR="001E26F0" w:rsidRPr="001E26F0">
        <w:rPr>
          <w:sz w:val="26"/>
        </w:rPr>
        <w:t>The hourly cost (for salary plus benefits) uses the figures from the Bureau of Labor Statistics (BLS) for three positions involved in the reporting and recordkeeping requirements.  These figures include salary (based on BLS data for May 2019, http://bls.gov/oes/current/naics2_22.htm) and benefits (based on BLS data for December 2019; issued March 19, 2020, http://www.bls.gov/news.release/ecec.nr0.htm) and are Manager (Code 11-0000 $97.15/hour), Electrical Engineer (Code 17-2071 $70.19/hour), and File Clerk (Code 43-4071 $34.79/hour).  The hourly cost for the reporting requirements ($83.67) is an average of the cost of a manager and engineer.  The hourly cost for recordkeeping requirements uses the cost of a file clerk.</w:t>
      </w:r>
    </w:p>
  </w:footnote>
  <w:footnote w:id="14">
    <w:p w14:paraId="61147EC8"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Transmission Owners.  While the AAR reforms in the final rule apply to transmission providers, the Commission computes an implementation burden based on the number of transmission owners because transmission owners typically calculate transmission line ratings and are therefore likely to be the entities that update computations to determine the effect of changing ambient air temperatures on transmission line ratings. </w:t>
      </w:r>
    </w:p>
  </w:footnote>
  <w:footnote w:id="15">
    <w:p w14:paraId="6A50B976" w14:textId="77777777" w:rsidR="00444834" w:rsidRPr="00065637" w:rsidRDefault="00444834" w:rsidP="00444834">
      <w:pPr>
        <w:pStyle w:val="FootnoteText"/>
        <w:rPr>
          <w:sz w:val="26"/>
        </w:rPr>
      </w:pPr>
      <w:r w:rsidRPr="007C2808">
        <w:rPr>
          <w:rStyle w:val="FootnoteReference"/>
          <w:sz w:val="26"/>
        </w:rPr>
        <w:footnoteRef/>
      </w:r>
      <w:r w:rsidRPr="00065637">
        <w:rPr>
          <w:sz w:val="26"/>
        </w:rPr>
        <w:t xml:space="preserve"> Regional Transmission Organizations/Independent System Operators.</w:t>
      </w:r>
    </w:p>
  </w:footnote>
  <w:footnote w:id="16">
    <w:p w14:paraId="35E7D8E8" w14:textId="10A6D42A" w:rsidR="00444834" w:rsidRDefault="00444834" w:rsidP="00444834">
      <w:pPr>
        <w:pStyle w:val="FootnoteText"/>
      </w:pPr>
      <w:r w:rsidRPr="007C2808">
        <w:rPr>
          <w:rStyle w:val="FootnoteReference"/>
          <w:sz w:val="26"/>
        </w:rPr>
        <w:footnoteRef/>
      </w:r>
      <w:r>
        <w:t xml:space="preserve"> </w:t>
      </w:r>
      <w:r w:rsidRPr="007C2808">
        <w:rPr>
          <w:sz w:val="26"/>
        </w:rPr>
        <w:t>Transmission Service Providers</w:t>
      </w:r>
    </w:p>
  </w:footnote>
  <w:footnote w:id="17">
    <w:p w14:paraId="5228D7FF" w14:textId="38C13B1F" w:rsidR="00701C59" w:rsidRPr="007A7825" w:rsidRDefault="00701C59">
      <w:pPr>
        <w:pStyle w:val="FootnoteText"/>
        <w:rPr>
          <w:sz w:val="26"/>
          <w:szCs w:val="26"/>
        </w:rPr>
      </w:pPr>
      <w:r>
        <w:rPr>
          <w:rStyle w:val="FootnoteReference"/>
        </w:rPr>
        <w:footnoteRef/>
      </w:r>
      <w:r>
        <w:t xml:space="preserve"> </w:t>
      </w:r>
      <w:r w:rsidRPr="007A7825">
        <w:rPr>
          <w:sz w:val="26"/>
          <w:szCs w:val="26"/>
        </w:rPr>
        <w:t>The figures in this row include corrections to the table in the Final Rule in Docket No. RM20-16-000.</w:t>
      </w:r>
    </w:p>
  </w:footnote>
  <w:footnote w:id="18">
    <w:p w14:paraId="0488C268" w14:textId="329699D0" w:rsidR="00E74715" w:rsidRDefault="00E74715">
      <w:pPr>
        <w:pStyle w:val="FootnoteText"/>
      </w:pPr>
      <w:r>
        <w:rPr>
          <w:rStyle w:val="FootnoteReference"/>
        </w:rPr>
        <w:footnoteRef/>
      </w:r>
      <w:r>
        <w:t xml:space="preserve"> </w:t>
      </w:r>
      <w:r w:rsidRPr="00964D99">
        <w:rPr>
          <w:sz w:val="26"/>
          <w:szCs w:val="26"/>
        </w:rPr>
        <w:t xml:space="preserve">In year 1 there are </w:t>
      </w:r>
      <w:r w:rsidR="00993778">
        <w:rPr>
          <w:sz w:val="26"/>
          <w:szCs w:val="26"/>
        </w:rPr>
        <w:t>1,123</w:t>
      </w:r>
      <w:r w:rsidRPr="00964D99">
        <w:rPr>
          <w:sz w:val="26"/>
          <w:szCs w:val="26"/>
        </w:rPr>
        <w:t xml:space="preserve"> additional responses. </w:t>
      </w:r>
      <w:r w:rsidR="00047B30" w:rsidRPr="00964D99">
        <w:rPr>
          <w:sz w:val="26"/>
          <w:szCs w:val="26"/>
        </w:rPr>
        <w:t xml:space="preserve"> In the years subsequent, the </w:t>
      </w:r>
      <w:r w:rsidRPr="00964D99">
        <w:rPr>
          <w:sz w:val="26"/>
          <w:szCs w:val="26"/>
        </w:rPr>
        <w:t>ongoing responses are +289 rather than +</w:t>
      </w:r>
      <w:r w:rsidR="00993778">
        <w:rPr>
          <w:sz w:val="26"/>
          <w:szCs w:val="26"/>
        </w:rPr>
        <w:t>1,123</w:t>
      </w:r>
      <w:r w:rsidRPr="00964D99">
        <w:rPr>
          <w:sz w:val="26"/>
          <w:szCs w:val="26"/>
        </w:rPr>
        <w:t>.</w:t>
      </w:r>
      <w:r>
        <w:t xml:space="preserve"> </w:t>
      </w:r>
    </w:p>
  </w:footnote>
  <w:footnote w:id="19">
    <w:p w14:paraId="4C1EABC3" w14:textId="20D7AD0F" w:rsidR="00701C59" w:rsidRDefault="00701C59">
      <w:pPr>
        <w:pStyle w:val="FootnoteText"/>
      </w:pPr>
      <w:r>
        <w:rPr>
          <w:rStyle w:val="FootnoteReference"/>
        </w:rPr>
        <w:footnoteRef/>
      </w:r>
      <w:r>
        <w:t xml:space="preserve"> </w:t>
      </w:r>
      <w:r w:rsidRPr="007A7825">
        <w:rPr>
          <w:sz w:val="26"/>
          <w:szCs w:val="26"/>
        </w:rPr>
        <w:t xml:space="preserve">The figures in this row include </w:t>
      </w:r>
      <w:r w:rsidR="008A6AC9" w:rsidRPr="00D96ECE">
        <w:rPr>
          <w:sz w:val="26"/>
          <w:szCs w:val="26"/>
        </w:rPr>
        <w:t>c</w:t>
      </w:r>
      <w:r w:rsidR="008A6AC9">
        <w:rPr>
          <w:sz w:val="26"/>
          <w:szCs w:val="26"/>
        </w:rPr>
        <w:t>larifications</w:t>
      </w:r>
      <w:r w:rsidRPr="007A7825">
        <w:rPr>
          <w:sz w:val="26"/>
          <w:szCs w:val="26"/>
        </w:rPr>
        <w:t xml:space="preserve"> to the table in the Final Rule in Docket No. RM20-16-000.</w:t>
      </w:r>
    </w:p>
  </w:footnote>
  <w:footnote w:id="20">
    <w:p w14:paraId="1A790B7C" w14:textId="77777777" w:rsidR="00444834" w:rsidRPr="003C302B" w:rsidRDefault="00444834" w:rsidP="00444834">
      <w:pPr>
        <w:pStyle w:val="FootnoteText"/>
        <w:rPr>
          <w:sz w:val="26"/>
        </w:rPr>
      </w:pPr>
      <w:r w:rsidRPr="003C302B">
        <w:rPr>
          <w:rStyle w:val="FootnoteReference"/>
          <w:sz w:val="26"/>
        </w:rPr>
        <w:footnoteRef/>
      </w:r>
      <w:r w:rsidRPr="003C302B">
        <w:rPr>
          <w:sz w:val="26"/>
        </w:rPr>
        <w:t xml:space="preserve"> This number reflects 289 transmission owners and 10% of the 797 generator owners (GOs) estimated to own facilities between the step-up transformer and the point of interconnection.</w:t>
      </w:r>
    </w:p>
  </w:footnote>
  <w:footnote w:id="21">
    <w:p w14:paraId="5C7AA698" w14:textId="1FDB3B07" w:rsidR="0051519A" w:rsidRPr="00016EE6" w:rsidRDefault="0051519A" w:rsidP="00FB2BC3">
      <w:pPr>
        <w:rPr>
          <w:sz w:val="26"/>
          <w:szCs w:val="26"/>
        </w:rPr>
      </w:pPr>
      <w:r w:rsidRPr="00CB19EB">
        <w:rPr>
          <w:rStyle w:val="FootnoteReference"/>
          <w:bCs/>
          <w:sz w:val="26"/>
          <w:szCs w:val="26"/>
        </w:rPr>
        <w:footnoteRef/>
      </w:r>
      <w:r w:rsidRPr="00B96B45">
        <w:rPr>
          <w:b/>
          <w:sz w:val="26"/>
          <w:szCs w:val="26"/>
        </w:rPr>
        <w:t xml:space="preserve"> </w:t>
      </w:r>
      <w:r w:rsidRPr="000E5E99">
        <w:rPr>
          <w:sz w:val="26"/>
          <w:szCs w:val="26"/>
        </w:rPr>
        <w:t xml:space="preserve">Based upon </w:t>
      </w:r>
      <w:r w:rsidR="00D864BB" w:rsidRPr="000E5E99">
        <w:rPr>
          <w:sz w:val="26"/>
          <w:szCs w:val="26"/>
        </w:rPr>
        <w:t xml:space="preserve">FERC’s </w:t>
      </w:r>
      <w:r w:rsidRPr="000E5E99">
        <w:rPr>
          <w:sz w:val="26"/>
          <w:szCs w:val="26"/>
        </w:rPr>
        <w:t>202</w:t>
      </w:r>
      <w:r w:rsidR="00D14CF9" w:rsidRPr="000E5E99">
        <w:rPr>
          <w:sz w:val="26"/>
          <w:szCs w:val="26"/>
        </w:rPr>
        <w:t>1</w:t>
      </w:r>
      <w:r w:rsidRPr="000E5E99">
        <w:rPr>
          <w:sz w:val="26"/>
          <w:szCs w:val="26"/>
        </w:rPr>
        <w:t xml:space="preserve"> </w:t>
      </w:r>
      <w:r w:rsidR="00DC3684" w:rsidRPr="000E5E99">
        <w:rPr>
          <w:sz w:val="26"/>
          <w:szCs w:val="26"/>
        </w:rPr>
        <w:t xml:space="preserve">average annual salary plus benefits, i.e., </w:t>
      </w:r>
      <w:r w:rsidR="00D864BB" w:rsidRPr="000E5E99">
        <w:rPr>
          <w:sz w:val="26"/>
          <w:szCs w:val="26"/>
        </w:rPr>
        <w:t>$180,703.</w:t>
      </w:r>
    </w:p>
  </w:footnote>
  <w:footnote w:id="22">
    <w:p w14:paraId="7FB1BF39" w14:textId="66D8C533" w:rsidR="00A86896" w:rsidRPr="003712E9" w:rsidRDefault="00A86896" w:rsidP="00A86896">
      <w:pPr>
        <w:pStyle w:val="FootnoteText"/>
        <w:rPr>
          <w:sz w:val="24"/>
        </w:rPr>
      </w:pPr>
      <w:r w:rsidRPr="000E5E99">
        <w:rPr>
          <w:rStyle w:val="FootnoteReference"/>
          <w:sz w:val="26"/>
          <w:szCs w:val="26"/>
        </w:rPr>
        <w:footnoteRef/>
      </w:r>
      <w:r w:rsidRPr="000E5E99">
        <w:rPr>
          <w:sz w:val="26"/>
          <w:szCs w:val="26"/>
          <w:vertAlign w:val="superscript"/>
        </w:rPr>
        <w:t xml:space="preserve">  </w:t>
      </w:r>
      <w:r w:rsidRPr="000E5E99">
        <w:rPr>
          <w:sz w:val="26"/>
          <w:szCs w:val="26"/>
        </w:rPr>
        <w:t>“PRA” refers to the Paperwork Reduction Act of 1.</w:t>
      </w:r>
      <w:r>
        <w:rPr>
          <w:sz w:val="26"/>
          <w:szCs w:val="26"/>
        </w:rPr>
        <w:t xml:space="preserve">  </w:t>
      </w:r>
    </w:p>
  </w:footnote>
  <w:footnote w:id="23">
    <w:p w14:paraId="271624C8" w14:textId="02B628AA" w:rsidR="00727892" w:rsidRDefault="00727892">
      <w:pPr>
        <w:pStyle w:val="FootnoteText"/>
      </w:pPr>
      <w:r>
        <w:rPr>
          <w:rStyle w:val="FootnoteReference"/>
        </w:rPr>
        <w:footnoteRef/>
      </w:r>
      <w:r>
        <w:t xml:space="preserve"> </w:t>
      </w:r>
      <w:r w:rsidRPr="003B64DA">
        <w:rPr>
          <w:sz w:val="26"/>
          <w:szCs w:val="26"/>
        </w:rPr>
        <w:t xml:space="preserve">The </w:t>
      </w:r>
      <w:r w:rsidRPr="002E1A36">
        <w:rPr>
          <w:sz w:val="26"/>
          <w:szCs w:val="26"/>
        </w:rPr>
        <w:t>MISO comment was submitted in response to the NOPR RM20-16-000</w:t>
      </w:r>
      <w:r w:rsidR="000E5E99" w:rsidRPr="002E1A36">
        <w:rPr>
          <w:sz w:val="26"/>
          <w:szCs w:val="26"/>
        </w:rPr>
        <w:t xml:space="preserve"> on 4/15/21</w:t>
      </w:r>
      <w:r w:rsidR="003B64DA" w:rsidRPr="002E1A36">
        <w:rPr>
          <w:sz w:val="26"/>
          <w:szCs w:val="26"/>
        </w:rPr>
        <w:t xml:space="preserve"> and was included in P360 of the final rule.</w:t>
      </w:r>
    </w:p>
  </w:footnote>
  <w:footnote w:id="24">
    <w:p w14:paraId="2FF35EAE" w14:textId="48E9FC4A" w:rsidR="004F646E" w:rsidRPr="00CE6549" w:rsidRDefault="004F646E">
      <w:pPr>
        <w:pStyle w:val="FootnoteText"/>
        <w:rPr>
          <w:bCs/>
          <w:sz w:val="26"/>
          <w:szCs w:val="26"/>
        </w:rPr>
      </w:pPr>
      <w:r>
        <w:rPr>
          <w:rStyle w:val="FootnoteReference"/>
        </w:rPr>
        <w:footnoteRef/>
      </w:r>
      <w:r>
        <w:t xml:space="preserve"> </w:t>
      </w:r>
      <w:r w:rsidRPr="00CE6549">
        <w:rPr>
          <w:sz w:val="26"/>
          <w:szCs w:val="26"/>
        </w:rPr>
        <w:t>N</w:t>
      </w:r>
      <w:r w:rsidRPr="00CE6549">
        <w:rPr>
          <w:bCs/>
          <w:sz w:val="26"/>
          <w:szCs w:val="26"/>
        </w:rPr>
        <w:t>et from increase RM20-16-000 and decrease from completion of RM18-9-00</w:t>
      </w:r>
      <w:r>
        <w:rPr>
          <w:bCs/>
          <w:sz w:val="26"/>
          <w:szCs w:val="26"/>
        </w:rPr>
        <w:t>0</w:t>
      </w:r>
    </w:p>
  </w:footnote>
  <w:footnote w:id="25">
    <w:p w14:paraId="54D91249" w14:textId="3327D87C" w:rsidR="00D96ECE" w:rsidRDefault="00D96ECE">
      <w:pPr>
        <w:pStyle w:val="FootnoteText"/>
      </w:pPr>
      <w:r>
        <w:rPr>
          <w:rStyle w:val="FootnoteReference"/>
        </w:rPr>
        <w:footnoteRef/>
      </w:r>
      <w:r>
        <w:t xml:space="preserve"> </w:t>
      </w:r>
      <w:r w:rsidRPr="007A7825">
        <w:rPr>
          <w:sz w:val="26"/>
          <w:szCs w:val="26"/>
        </w:rPr>
        <w:t xml:space="preserve">The figures in this table reflect year 1 and estimates for ongoing years are reduced as detailed in </w:t>
      </w:r>
      <w:r w:rsidR="00DE717E" w:rsidRPr="007A7825">
        <w:rPr>
          <w:sz w:val="26"/>
          <w:szCs w:val="26"/>
        </w:rPr>
        <w:t>question 12.</w:t>
      </w:r>
    </w:p>
  </w:footnote>
  <w:footnote w:id="26">
    <w:p w14:paraId="3E9B9F89" w14:textId="28922F17" w:rsidR="004F646E" w:rsidRDefault="004F646E">
      <w:pPr>
        <w:pStyle w:val="FootnoteText"/>
      </w:pPr>
      <w:r>
        <w:rPr>
          <w:rStyle w:val="FootnoteReference"/>
        </w:rPr>
        <w:footnoteRef/>
      </w:r>
      <w:r>
        <w:t xml:space="preserve"> </w:t>
      </w:r>
      <w:r w:rsidRPr="00964D99">
        <w:rPr>
          <w:sz w:val="26"/>
          <w:szCs w:val="26"/>
        </w:rPr>
        <w:t>In year 1</w:t>
      </w:r>
      <w:r>
        <w:rPr>
          <w:sz w:val="26"/>
          <w:szCs w:val="26"/>
        </w:rPr>
        <w:t xml:space="preserve"> (RM20-6-000)</w:t>
      </w:r>
      <w:r w:rsidRPr="00964D99">
        <w:rPr>
          <w:sz w:val="26"/>
          <w:szCs w:val="26"/>
        </w:rPr>
        <w:t xml:space="preserve"> there are </w:t>
      </w:r>
      <w:r>
        <w:rPr>
          <w:sz w:val="26"/>
          <w:szCs w:val="26"/>
        </w:rPr>
        <w:t>1,123</w:t>
      </w:r>
      <w:r w:rsidRPr="00964D99">
        <w:rPr>
          <w:sz w:val="26"/>
          <w:szCs w:val="26"/>
        </w:rPr>
        <w:t xml:space="preserve"> additional responses.  In the years subsequent, the ongoing responses are +289 rather than +</w:t>
      </w:r>
      <w:r>
        <w:rPr>
          <w:sz w:val="26"/>
          <w:szCs w:val="26"/>
        </w:rPr>
        <w:t>1,123</w:t>
      </w:r>
      <w:r w:rsidRPr="00964D9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AF4C" w14:textId="35D184EB" w:rsidR="003B203A" w:rsidRDefault="0051519A">
    <w:pPr>
      <w:pStyle w:val="Header"/>
      <w:rPr>
        <w:sz w:val="26"/>
        <w:szCs w:val="26"/>
      </w:rPr>
    </w:pPr>
    <w:r w:rsidRPr="00757BB4">
      <w:rPr>
        <w:sz w:val="26"/>
        <w:szCs w:val="26"/>
      </w:rPr>
      <w:t xml:space="preserve">FERC-516H (OMB Control No. </w:t>
    </w:r>
    <w:r>
      <w:rPr>
        <w:sz w:val="26"/>
        <w:szCs w:val="26"/>
      </w:rPr>
      <w:t>1902-0</w:t>
    </w:r>
    <w:r w:rsidR="009F6552">
      <w:rPr>
        <w:sz w:val="26"/>
        <w:szCs w:val="26"/>
      </w:rPr>
      <w:t>303</w:t>
    </w:r>
    <w:r w:rsidRPr="00757BB4">
      <w:rPr>
        <w:sz w:val="26"/>
        <w:szCs w:val="26"/>
      </w:rPr>
      <w:t>)</w:t>
    </w:r>
    <w:r w:rsidR="004361AF">
      <w:rPr>
        <w:sz w:val="26"/>
        <w:szCs w:val="26"/>
      </w:rPr>
      <w:t xml:space="preserve"> and</w:t>
    </w:r>
  </w:p>
  <w:p w14:paraId="010828C5" w14:textId="60615BCB" w:rsidR="0051519A" w:rsidRPr="00757BB4" w:rsidRDefault="004361AF">
    <w:pPr>
      <w:pStyle w:val="Header"/>
      <w:rPr>
        <w:sz w:val="26"/>
        <w:szCs w:val="26"/>
      </w:rPr>
    </w:pPr>
    <w:r>
      <w:rPr>
        <w:sz w:val="26"/>
        <w:szCs w:val="26"/>
      </w:rPr>
      <w:t>FERC-</w:t>
    </w:r>
    <w:r w:rsidR="003F0DCA">
      <w:rPr>
        <w:sz w:val="26"/>
        <w:szCs w:val="26"/>
      </w:rPr>
      <w:t xml:space="preserve">725A (OMB Control No. </w:t>
    </w:r>
    <w:r w:rsidR="00F32EFA">
      <w:rPr>
        <w:sz w:val="26"/>
        <w:szCs w:val="26"/>
      </w:rPr>
      <w:t>1902-</w:t>
    </w:r>
    <w:r w:rsidR="003B203A">
      <w:rPr>
        <w:sz w:val="26"/>
        <w:szCs w:val="26"/>
      </w:rPr>
      <w:t>0244)</w:t>
    </w:r>
  </w:p>
  <w:p w14:paraId="016CA2F1" w14:textId="77777777" w:rsidR="00AE3651" w:rsidRDefault="0051519A">
    <w:pPr>
      <w:pStyle w:val="Header"/>
      <w:rPr>
        <w:sz w:val="26"/>
        <w:szCs w:val="26"/>
      </w:rPr>
    </w:pPr>
    <w:r w:rsidRPr="00757BB4">
      <w:rPr>
        <w:sz w:val="26"/>
        <w:szCs w:val="26"/>
      </w:rPr>
      <w:t>Final Rule</w:t>
    </w:r>
    <w:r w:rsidR="00CE363B">
      <w:rPr>
        <w:sz w:val="26"/>
        <w:szCs w:val="26"/>
      </w:rPr>
      <w:t xml:space="preserve">, </w:t>
    </w:r>
    <w:r w:rsidRPr="003A4C85">
      <w:rPr>
        <w:sz w:val="26"/>
        <w:szCs w:val="26"/>
      </w:rPr>
      <w:t>Docket No. RM</w:t>
    </w:r>
    <w:r w:rsidR="00A75504">
      <w:rPr>
        <w:sz w:val="26"/>
        <w:szCs w:val="26"/>
      </w:rPr>
      <w:t>20-16-000</w:t>
    </w:r>
    <w:r w:rsidRPr="003A4C85">
      <w:rPr>
        <w:sz w:val="26"/>
        <w:szCs w:val="26"/>
      </w:rPr>
      <w:t xml:space="preserve"> </w:t>
    </w:r>
  </w:p>
  <w:p w14:paraId="40B7B619" w14:textId="6D64AEB6" w:rsidR="001D3650" w:rsidRPr="003A4C85" w:rsidRDefault="00AE3651">
    <w:pPr>
      <w:pStyle w:val="Header"/>
      <w:rPr>
        <w:sz w:val="26"/>
        <w:szCs w:val="26"/>
      </w:rPr>
    </w:pPr>
    <w:r>
      <w:rPr>
        <w:sz w:val="26"/>
        <w:szCs w:val="26"/>
      </w:rPr>
      <w:t>RIN 1902-AF84</w:t>
    </w:r>
  </w:p>
  <w:p w14:paraId="7C8C1321" w14:textId="77777777" w:rsidR="0051519A" w:rsidRPr="003A4C85" w:rsidRDefault="0051519A">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E994" w14:textId="77777777" w:rsidR="0051519A" w:rsidRDefault="0051519A">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1A4"/>
    <w:multiLevelType w:val="hybridMultilevel"/>
    <w:tmpl w:val="1E2E5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0EBE"/>
    <w:multiLevelType w:val="hybridMultilevel"/>
    <w:tmpl w:val="9856B5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3F629A5"/>
    <w:multiLevelType w:val="hybridMultilevel"/>
    <w:tmpl w:val="896A27C6"/>
    <w:lvl w:ilvl="0" w:tplc="F482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16E0"/>
    <w:multiLevelType w:val="hybridMultilevel"/>
    <w:tmpl w:val="9508B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2683"/>
    <w:multiLevelType w:val="hybridMultilevel"/>
    <w:tmpl w:val="3B2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04E74"/>
    <w:multiLevelType w:val="hybridMultilevel"/>
    <w:tmpl w:val="0B5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F61C5"/>
    <w:multiLevelType w:val="hybridMultilevel"/>
    <w:tmpl w:val="27543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494A42"/>
    <w:multiLevelType w:val="hybridMultilevel"/>
    <w:tmpl w:val="3604B5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7891E31"/>
    <w:multiLevelType w:val="hybridMultilevel"/>
    <w:tmpl w:val="D4485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43DEE"/>
    <w:multiLevelType w:val="hybridMultilevel"/>
    <w:tmpl w:val="285A5EE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5262F0"/>
    <w:multiLevelType w:val="hybridMultilevel"/>
    <w:tmpl w:val="B142A88A"/>
    <w:lvl w:ilvl="0" w:tplc="3D2071F2">
      <w:start w:val="1"/>
      <w:numFmt w:val="bullet"/>
      <w:lvlText w:val="*"/>
      <w:lvlJc w:val="left"/>
      <w:pPr>
        <w:ind w:left="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60AE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4D31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4EF65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84265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CC9F6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BA184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D6DF8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BADF0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58630EC"/>
    <w:multiLevelType w:val="hybridMultilevel"/>
    <w:tmpl w:val="CE5C2F76"/>
    <w:lvl w:ilvl="0" w:tplc="D2908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55F73"/>
    <w:multiLevelType w:val="hybridMultilevel"/>
    <w:tmpl w:val="0ED0A44C"/>
    <w:lvl w:ilvl="0" w:tplc="424A7B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A7F6E"/>
    <w:multiLevelType w:val="hybridMultilevel"/>
    <w:tmpl w:val="D786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64F88"/>
    <w:multiLevelType w:val="hybridMultilevel"/>
    <w:tmpl w:val="D9621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232496"/>
    <w:multiLevelType w:val="hybridMultilevel"/>
    <w:tmpl w:val="AD949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2907AF5"/>
    <w:multiLevelType w:val="hybridMultilevel"/>
    <w:tmpl w:val="C02CD9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56940"/>
    <w:multiLevelType w:val="hybridMultilevel"/>
    <w:tmpl w:val="62BE67C2"/>
    <w:lvl w:ilvl="0" w:tplc="C98A2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430F52"/>
    <w:multiLevelType w:val="hybridMultilevel"/>
    <w:tmpl w:val="D004E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46B08"/>
    <w:multiLevelType w:val="hybridMultilevel"/>
    <w:tmpl w:val="484E4116"/>
    <w:lvl w:ilvl="0" w:tplc="424A7B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916F4F"/>
    <w:multiLevelType w:val="hybridMultilevel"/>
    <w:tmpl w:val="E760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A549D9"/>
    <w:multiLevelType w:val="hybridMultilevel"/>
    <w:tmpl w:val="765C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25098"/>
    <w:multiLevelType w:val="hybridMultilevel"/>
    <w:tmpl w:val="43F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34472"/>
    <w:multiLevelType w:val="hybridMultilevel"/>
    <w:tmpl w:val="003C5440"/>
    <w:lvl w:ilvl="0" w:tplc="424A7B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314EBC"/>
    <w:multiLevelType w:val="hybridMultilevel"/>
    <w:tmpl w:val="707809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240DE"/>
    <w:multiLevelType w:val="hybridMultilevel"/>
    <w:tmpl w:val="A38EE6FC"/>
    <w:lvl w:ilvl="0" w:tplc="424A7B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CA3DF0"/>
    <w:multiLevelType w:val="hybridMultilevel"/>
    <w:tmpl w:val="A1AE1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35E0B"/>
    <w:multiLevelType w:val="hybridMultilevel"/>
    <w:tmpl w:val="1CE60966"/>
    <w:lvl w:ilvl="0" w:tplc="424A7B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576DF"/>
    <w:multiLevelType w:val="hybridMultilevel"/>
    <w:tmpl w:val="431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A0B5E"/>
    <w:multiLevelType w:val="hybridMultilevel"/>
    <w:tmpl w:val="8F88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61CDB"/>
    <w:multiLevelType w:val="hybridMultilevel"/>
    <w:tmpl w:val="B6CA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57DE7"/>
    <w:multiLevelType w:val="hybridMultilevel"/>
    <w:tmpl w:val="C3E25AA4"/>
    <w:lvl w:ilvl="0" w:tplc="EBB2A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B09D3"/>
    <w:multiLevelType w:val="hybridMultilevel"/>
    <w:tmpl w:val="B1F0D992"/>
    <w:lvl w:ilvl="0" w:tplc="797601AE">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1"/>
  </w:num>
  <w:num w:numId="3">
    <w:abstractNumId w:val="32"/>
  </w:num>
  <w:num w:numId="4">
    <w:abstractNumId w:val="12"/>
  </w:num>
  <w:num w:numId="5">
    <w:abstractNumId w:val="30"/>
  </w:num>
  <w:num w:numId="6">
    <w:abstractNumId w:val="33"/>
  </w:num>
  <w:num w:numId="7">
    <w:abstractNumId w:val="22"/>
  </w:num>
  <w:num w:numId="8">
    <w:abstractNumId w:val="5"/>
  </w:num>
  <w:num w:numId="9">
    <w:abstractNumId w:val="43"/>
  </w:num>
  <w:num w:numId="10">
    <w:abstractNumId w:val="4"/>
  </w:num>
  <w:num w:numId="11">
    <w:abstractNumId w:val="37"/>
  </w:num>
  <w:num w:numId="12">
    <w:abstractNumId w:val="18"/>
  </w:num>
  <w:num w:numId="13">
    <w:abstractNumId w:val="14"/>
  </w:num>
  <w:num w:numId="14">
    <w:abstractNumId w:val="41"/>
  </w:num>
  <w:num w:numId="15">
    <w:abstractNumId w:val="2"/>
  </w:num>
  <w:num w:numId="16">
    <w:abstractNumId w:val="13"/>
  </w:num>
  <w:num w:numId="17">
    <w:abstractNumId w:val="17"/>
  </w:num>
  <w:num w:numId="18">
    <w:abstractNumId w:val="42"/>
  </w:num>
  <w:num w:numId="19">
    <w:abstractNumId w:val="10"/>
  </w:num>
  <w:num w:numId="20">
    <w:abstractNumId w:val="23"/>
  </w:num>
  <w:num w:numId="21">
    <w:abstractNumId w:val="3"/>
  </w:num>
  <w:num w:numId="22">
    <w:abstractNumId w:val="28"/>
  </w:num>
  <w:num w:numId="23">
    <w:abstractNumId w:val="6"/>
  </w:num>
  <w:num w:numId="24">
    <w:abstractNumId w:val="0"/>
  </w:num>
  <w:num w:numId="25">
    <w:abstractNumId w:val="40"/>
  </w:num>
  <w:num w:numId="26">
    <w:abstractNumId w:val="39"/>
  </w:num>
  <w:num w:numId="27">
    <w:abstractNumId w:val="24"/>
  </w:num>
  <w:num w:numId="28">
    <w:abstractNumId w:val="7"/>
  </w:num>
  <w:num w:numId="29">
    <w:abstractNumId w:val="16"/>
  </w:num>
  <w:num w:numId="30">
    <w:abstractNumId w:val="31"/>
  </w:num>
  <w:num w:numId="31">
    <w:abstractNumId w:val="27"/>
  </w:num>
  <w:num w:numId="32">
    <w:abstractNumId w:val="9"/>
  </w:num>
  <w:num w:numId="33">
    <w:abstractNumId w:val="44"/>
  </w:num>
  <w:num w:numId="34">
    <w:abstractNumId w:val="36"/>
  </w:num>
  <w:num w:numId="35">
    <w:abstractNumId w:val="1"/>
  </w:num>
  <w:num w:numId="36">
    <w:abstractNumId w:val="20"/>
  </w:num>
  <w:num w:numId="37">
    <w:abstractNumId w:val="19"/>
  </w:num>
  <w:num w:numId="38">
    <w:abstractNumId w:val="11"/>
  </w:num>
  <w:num w:numId="39">
    <w:abstractNumId w:val="26"/>
  </w:num>
  <w:num w:numId="40">
    <w:abstractNumId w:val="25"/>
  </w:num>
  <w:num w:numId="41">
    <w:abstractNumId w:val="29"/>
  </w:num>
  <w:num w:numId="42">
    <w:abstractNumId w:val="38"/>
  </w:num>
  <w:num w:numId="43">
    <w:abstractNumId w:val="34"/>
  </w:num>
  <w:num w:numId="44">
    <w:abstractNumId w:val="15"/>
  </w:num>
  <w:num w:numId="45">
    <w:abstractNumId w:val="35"/>
  </w:num>
  <w:num w:numId="4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1589"/>
    <w:rsid w:val="00001610"/>
    <w:rsid w:val="00005058"/>
    <w:rsid w:val="0000699C"/>
    <w:rsid w:val="00011AED"/>
    <w:rsid w:val="00016EE6"/>
    <w:rsid w:val="00017A8F"/>
    <w:rsid w:val="000203D0"/>
    <w:rsid w:val="00021084"/>
    <w:rsid w:val="000218B7"/>
    <w:rsid w:val="00021A7C"/>
    <w:rsid w:val="000251AF"/>
    <w:rsid w:val="000335E8"/>
    <w:rsid w:val="00033BEA"/>
    <w:rsid w:val="00034128"/>
    <w:rsid w:val="0003687C"/>
    <w:rsid w:val="0003747E"/>
    <w:rsid w:val="000414A5"/>
    <w:rsid w:val="00042ECE"/>
    <w:rsid w:val="0004521E"/>
    <w:rsid w:val="00046193"/>
    <w:rsid w:val="00047B30"/>
    <w:rsid w:val="000541E0"/>
    <w:rsid w:val="00062E37"/>
    <w:rsid w:val="00064CC9"/>
    <w:rsid w:val="00065637"/>
    <w:rsid w:val="00071BAF"/>
    <w:rsid w:val="0007447B"/>
    <w:rsid w:val="000766C0"/>
    <w:rsid w:val="00077890"/>
    <w:rsid w:val="000806CF"/>
    <w:rsid w:val="000811C6"/>
    <w:rsid w:val="00081301"/>
    <w:rsid w:val="000814E2"/>
    <w:rsid w:val="00081EF8"/>
    <w:rsid w:val="000823D5"/>
    <w:rsid w:val="00086A60"/>
    <w:rsid w:val="00090716"/>
    <w:rsid w:val="0009152C"/>
    <w:rsid w:val="0009613C"/>
    <w:rsid w:val="000969B5"/>
    <w:rsid w:val="000A3526"/>
    <w:rsid w:val="000B1903"/>
    <w:rsid w:val="000B4BE9"/>
    <w:rsid w:val="000B7440"/>
    <w:rsid w:val="000C09AE"/>
    <w:rsid w:val="000C21B6"/>
    <w:rsid w:val="000C4E50"/>
    <w:rsid w:val="000C571A"/>
    <w:rsid w:val="000C5B37"/>
    <w:rsid w:val="000C5C56"/>
    <w:rsid w:val="000C7005"/>
    <w:rsid w:val="000C7EA3"/>
    <w:rsid w:val="000D0EEE"/>
    <w:rsid w:val="000D1890"/>
    <w:rsid w:val="000D1CC3"/>
    <w:rsid w:val="000D2AF5"/>
    <w:rsid w:val="000D5E2E"/>
    <w:rsid w:val="000E131F"/>
    <w:rsid w:val="000E2463"/>
    <w:rsid w:val="000E2A1D"/>
    <w:rsid w:val="000E323D"/>
    <w:rsid w:val="000E3883"/>
    <w:rsid w:val="000E5E99"/>
    <w:rsid w:val="000F53A6"/>
    <w:rsid w:val="0010182C"/>
    <w:rsid w:val="001042C8"/>
    <w:rsid w:val="00105334"/>
    <w:rsid w:val="00105847"/>
    <w:rsid w:val="00107F6A"/>
    <w:rsid w:val="00116A2E"/>
    <w:rsid w:val="00116D13"/>
    <w:rsid w:val="0011793D"/>
    <w:rsid w:val="00117B20"/>
    <w:rsid w:val="00120133"/>
    <w:rsid w:val="00120B87"/>
    <w:rsid w:val="001221BF"/>
    <w:rsid w:val="00123062"/>
    <w:rsid w:val="0012652D"/>
    <w:rsid w:val="001352B5"/>
    <w:rsid w:val="00135AA9"/>
    <w:rsid w:val="0014259A"/>
    <w:rsid w:val="00145BE9"/>
    <w:rsid w:val="0014602C"/>
    <w:rsid w:val="00147917"/>
    <w:rsid w:val="0015214C"/>
    <w:rsid w:val="00152635"/>
    <w:rsid w:val="001563EF"/>
    <w:rsid w:val="0015658F"/>
    <w:rsid w:val="0015728E"/>
    <w:rsid w:val="001578E1"/>
    <w:rsid w:val="00162D91"/>
    <w:rsid w:val="00163006"/>
    <w:rsid w:val="001639D1"/>
    <w:rsid w:val="00163FEF"/>
    <w:rsid w:val="00164F39"/>
    <w:rsid w:val="00166DA1"/>
    <w:rsid w:val="0016722E"/>
    <w:rsid w:val="001746E9"/>
    <w:rsid w:val="0017633F"/>
    <w:rsid w:val="00176DFC"/>
    <w:rsid w:val="00181B4A"/>
    <w:rsid w:val="00183D26"/>
    <w:rsid w:val="00184AC4"/>
    <w:rsid w:val="001852E8"/>
    <w:rsid w:val="0018614A"/>
    <w:rsid w:val="00190092"/>
    <w:rsid w:val="00190500"/>
    <w:rsid w:val="001922FC"/>
    <w:rsid w:val="00192839"/>
    <w:rsid w:val="00192A85"/>
    <w:rsid w:val="00193A99"/>
    <w:rsid w:val="001946DC"/>
    <w:rsid w:val="00195E58"/>
    <w:rsid w:val="001A07E0"/>
    <w:rsid w:val="001A2C3A"/>
    <w:rsid w:val="001A3D17"/>
    <w:rsid w:val="001A7E8D"/>
    <w:rsid w:val="001B000D"/>
    <w:rsid w:val="001B1350"/>
    <w:rsid w:val="001B3AEF"/>
    <w:rsid w:val="001B6647"/>
    <w:rsid w:val="001B691D"/>
    <w:rsid w:val="001B74E3"/>
    <w:rsid w:val="001B7CB4"/>
    <w:rsid w:val="001C042A"/>
    <w:rsid w:val="001C05BE"/>
    <w:rsid w:val="001C0D4B"/>
    <w:rsid w:val="001C61B5"/>
    <w:rsid w:val="001C7A48"/>
    <w:rsid w:val="001D1355"/>
    <w:rsid w:val="001D28C9"/>
    <w:rsid w:val="001D2EC1"/>
    <w:rsid w:val="001D3650"/>
    <w:rsid w:val="001D3CE0"/>
    <w:rsid w:val="001D50B2"/>
    <w:rsid w:val="001D575D"/>
    <w:rsid w:val="001D57F0"/>
    <w:rsid w:val="001E26F0"/>
    <w:rsid w:val="001E349E"/>
    <w:rsid w:val="001E379F"/>
    <w:rsid w:val="001E4583"/>
    <w:rsid w:val="001E6D2B"/>
    <w:rsid w:val="001F04D5"/>
    <w:rsid w:val="001F28EE"/>
    <w:rsid w:val="001F377F"/>
    <w:rsid w:val="001F3ADE"/>
    <w:rsid w:val="001F42E7"/>
    <w:rsid w:val="001F5398"/>
    <w:rsid w:val="001F60CC"/>
    <w:rsid w:val="001F6751"/>
    <w:rsid w:val="001F703D"/>
    <w:rsid w:val="002000AA"/>
    <w:rsid w:val="00203D37"/>
    <w:rsid w:val="0021208A"/>
    <w:rsid w:val="002142A2"/>
    <w:rsid w:val="00223476"/>
    <w:rsid w:val="00223CFA"/>
    <w:rsid w:val="00227E39"/>
    <w:rsid w:val="00231F18"/>
    <w:rsid w:val="002324B6"/>
    <w:rsid w:val="00233A9E"/>
    <w:rsid w:val="00236948"/>
    <w:rsid w:val="00237C0C"/>
    <w:rsid w:val="0024075A"/>
    <w:rsid w:val="0024137A"/>
    <w:rsid w:val="00242B70"/>
    <w:rsid w:val="00242F2B"/>
    <w:rsid w:val="00245280"/>
    <w:rsid w:val="00245ECA"/>
    <w:rsid w:val="00250B5D"/>
    <w:rsid w:val="00251F40"/>
    <w:rsid w:val="00252BCF"/>
    <w:rsid w:val="00254B50"/>
    <w:rsid w:val="00255ACF"/>
    <w:rsid w:val="002565F8"/>
    <w:rsid w:val="0025759A"/>
    <w:rsid w:val="002643FB"/>
    <w:rsid w:val="0026710A"/>
    <w:rsid w:val="00267AA9"/>
    <w:rsid w:val="00267F92"/>
    <w:rsid w:val="002727F4"/>
    <w:rsid w:val="0027353B"/>
    <w:rsid w:val="00275313"/>
    <w:rsid w:val="002766DB"/>
    <w:rsid w:val="002766FC"/>
    <w:rsid w:val="00280E51"/>
    <w:rsid w:val="00290C22"/>
    <w:rsid w:val="00292FCB"/>
    <w:rsid w:val="00293863"/>
    <w:rsid w:val="00295C38"/>
    <w:rsid w:val="002A27B8"/>
    <w:rsid w:val="002A2B8E"/>
    <w:rsid w:val="002A2E77"/>
    <w:rsid w:val="002B0890"/>
    <w:rsid w:val="002B09D2"/>
    <w:rsid w:val="002B1110"/>
    <w:rsid w:val="002B1921"/>
    <w:rsid w:val="002B2810"/>
    <w:rsid w:val="002B3226"/>
    <w:rsid w:val="002B355F"/>
    <w:rsid w:val="002B4900"/>
    <w:rsid w:val="002B7F73"/>
    <w:rsid w:val="002C7726"/>
    <w:rsid w:val="002D0BCD"/>
    <w:rsid w:val="002D1C7E"/>
    <w:rsid w:val="002D40C1"/>
    <w:rsid w:val="002D5138"/>
    <w:rsid w:val="002D7F19"/>
    <w:rsid w:val="002E1A36"/>
    <w:rsid w:val="002E3158"/>
    <w:rsid w:val="002E47AD"/>
    <w:rsid w:val="002E51B0"/>
    <w:rsid w:val="002F167E"/>
    <w:rsid w:val="002F1FAB"/>
    <w:rsid w:val="002F353A"/>
    <w:rsid w:val="002F4CE6"/>
    <w:rsid w:val="0030141E"/>
    <w:rsid w:val="00301640"/>
    <w:rsid w:val="00303DA5"/>
    <w:rsid w:val="0030578D"/>
    <w:rsid w:val="003079DF"/>
    <w:rsid w:val="00307F28"/>
    <w:rsid w:val="00310D71"/>
    <w:rsid w:val="003151DF"/>
    <w:rsid w:val="0032225E"/>
    <w:rsid w:val="00322F48"/>
    <w:rsid w:val="00323E26"/>
    <w:rsid w:val="00334777"/>
    <w:rsid w:val="00334C55"/>
    <w:rsid w:val="00335C0D"/>
    <w:rsid w:val="00342459"/>
    <w:rsid w:val="003431A7"/>
    <w:rsid w:val="003432B3"/>
    <w:rsid w:val="00343B78"/>
    <w:rsid w:val="0034569D"/>
    <w:rsid w:val="00350B38"/>
    <w:rsid w:val="00351582"/>
    <w:rsid w:val="0035250B"/>
    <w:rsid w:val="00353B18"/>
    <w:rsid w:val="00353DC5"/>
    <w:rsid w:val="0035481D"/>
    <w:rsid w:val="00355B94"/>
    <w:rsid w:val="00355D1E"/>
    <w:rsid w:val="0036069A"/>
    <w:rsid w:val="00360FCE"/>
    <w:rsid w:val="003712E9"/>
    <w:rsid w:val="00371943"/>
    <w:rsid w:val="003760DD"/>
    <w:rsid w:val="00381D75"/>
    <w:rsid w:val="00382371"/>
    <w:rsid w:val="003866AD"/>
    <w:rsid w:val="00393665"/>
    <w:rsid w:val="00394EA7"/>
    <w:rsid w:val="00397279"/>
    <w:rsid w:val="003A4AD2"/>
    <w:rsid w:val="003A4C85"/>
    <w:rsid w:val="003A6A4F"/>
    <w:rsid w:val="003B203A"/>
    <w:rsid w:val="003B3370"/>
    <w:rsid w:val="003B3A3C"/>
    <w:rsid w:val="003B64DA"/>
    <w:rsid w:val="003B7DB9"/>
    <w:rsid w:val="003C20FA"/>
    <w:rsid w:val="003C302B"/>
    <w:rsid w:val="003C31BD"/>
    <w:rsid w:val="003C360D"/>
    <w:rsid w:val="003C429A"/>
    <w:rsid w:val="003C4E53"/>
    <w:rsid w:val="003C63C0"/>
    <w:rsid w:val="003D18B8"/>
    <w:rsid w:val="003D1B15"/>
    <w:rsid w:val="003D297D"/>
    <w:rsid w:val="003D2A7E"/>
    <w:rsid w:val="003D3487"/>
    <w:rsid w:val="003D7DE6"/>
    <w:rsid w:val="003E0385"/>
    <w:rsid w:val="003E0F27"/>
    <w:rsid w:val="003E17A0"/>
    <w:rsid w:val="003E3A5F"/>
    <w:rsid w:val="003E57B2"/>
    <w:rsid w:val="003E5B70"/>
    <w:rsid w:val="003E600D"/>
    <w:rsid w:val="003E701D"/>
    <w:rsid w:val="003E7DE2"/>
    <w:rsid w:val="003F0DCA"/>
    <w:rsid w:val="003F4B4E"/>
    <w:rsid w:val="003F62BB"/>
    <w:rsid w:val="003F6D0C"/>
    <w:rsid w:val="00403F61"/>
    <w:rsid w:val="00404DA0"/>
    <w:rsid w:val="004076C0"/>
    <w:rsid w:val="00407CE4"/>
    <w:rsid w:val="00410497"/>
    <w:rsid w:val="004109C3"/>
    <w:rsid w:val="004127B5"/>
    <w:rsid w:val="00412E00"/>
    <w:rsid w:val="0042007D"/>
    <w:rsid w:val="004208AC"/>
    <w:rsid w:val="004243CF"/>
    <w:rsid w:val="00425003"/>
    <w:rsid w:val="004258C2"/>
    <w:rsid w:val="00426B6E"/>
    <w:rsid w:val="004327CC"/>
    <w:rsid w:val="00432DA3"/>
    <w:rsid w:val="004361AF"/>
    <w:rsid w:val="00436236"/>
    <w:rsid w:val="00437320"/>
    <w:rsid w:val="00440B5E"/>
    <w:rsid w:val="00440F8D"/>
    <w:rsid w:val="004427DE"/>
    <w:rsid w:val="004428FB"/>
    <w:rsid w:val="004445CE"/>
    <w:rsid w:val="00444834"/>
    <w:rsid w:val="004472EB"/>
    <w:rsid w:val="0045205A"/>
    <w:rsid w:val="00452E07"/>
    <w:rsid w:val="00452E75"/>
    <w:rsid w:val="00454D32"/>
    <w:rsid w:val="00456B18"/>
    <w:rsid w:val="00460020"/>
    <w:rsid w:val="0046088D"/>
    <w:rsid w:val="0047330F"/>
    <w:rsid w:val="0047669F"/>
    <w:rsid w:val="0048072D"/>
    <w:rsid w:val="00480964"/>
    <w:rsid w:val="00480ED8"/>
    <w:rsid w:val="00482090"/>
    <w:rsid w:val="0048257F"/>
    <w:rsid w:val="004839EB"/>
    <w:rsid w:val="00490223"/>
    <w:rsid w:val="004927EF"/>
    <w:rsid w:val="00493BAE"/>
    <w:rsid w:val="00493EFD"/>
    <w:rsid w:val="004970F6"/>
    <w:rsid w:val="00497A9F"/>
    <w:rsid w:val="004A1177"/>
    <w:rsid w:val="004A1C74"/>
    <w:rsid w:val="004A454B"/>
    <w:rsid w:val="004A657C"/>
    <w:rsid w:val="004B0930"/>
    <w:rsid w:val="004B11CF"/>
    <w:rsid w:val="004B21C3"/>
    <w:rsid w:val="004B26AA"/>
    <w:rsid w:val="004B409D"/>
    <w:rsid w:val="004B5D16"/>
    <w:rsid w:val="004C0A7F"/>
    <w:rsid w:val="004C13D3"/>
    <w:rsid w:val="004C1879"/>
    <w:rsid w:val="004C5085"/>
    <w:rsid w:val="004C5269"/>
    <w:rsid w:val="004C530D"/>
    <w:rsid w:val="004C592C"/>
    <w:rsid w:val="004C59D8"/>
    <w:rsid w:val="004C5DB1"/>
    <w:rsid w:val="004C6566"/>
    <w:rsid w:val="004C6596"/>
    <w:rsid w:val="004C6A91"/>
    <w:rsid w:val="004D0562"/>
    <w:rsid w:val="004D4C7B"/>
    <w:rsid w:val="004D6DEB"/>
    <w:rsid w:val="004D79BB"/>
    <w:rsid w:val="004E09FA"/>
    <w:rsid w:val="004E5215"/>
    <w:rsid w:val="004F024E"/>
    <w:rsid w:val="004F156A"/>
    <w:rsid w:val="004F2E8D"/>
    <w:rsid w:val="004F2F74"/>
    <w:rsid w:val="004F394E"/>
    <w:rsid w:val="004F646E"/>
    <w:rsid w:val="004F7BFA"/>
    <w:rsid w:val="00501FCA"/>
    <w:rsid w:val="005024D2"/>
    <w:rsid w:val="00506697"/>
    <w:rsid w:val="00507F03"/>
    <w:rsid w:val="0051003D"/>
    <w:rsid w:val="00510F77"/>
    <w:rsid w:val="00512C48"/>
    <w:rsid w:val="0051519A"/>
    <w:rsid w:val="005240A1"/>
    <w:rsid w:val="005262E1"/>
    <w:rsid w:val="00527663"/>
    <w:rsid w:val="00532168"/>
    <w:rsid w:val="00532C0A"/>
    <w:rsid w:val="00536479"/>
    <w:rsid w:val="00537C4E"/>
    <w:rsid w:val="00540437"/>
    <w:rsid w:val="00540BF8"/>
    <w:rsid w:val="00541938"/>
    <w:rsid w:val="00542519"/>
    <w:rsid w:val="005433BE"/>
    <w:rsid w:val="00544DCE"/>
    <w:rsid w:val="00545035"/>
    <w:rsid w:val="00545B62"/>
    <w:rsid w:val="00556972"/>
    <w:rsid w:val="00557CB8"/>
    <w:rsid w:val="00560503"/>
    <w:rsid w:val="00567B20"/>
    <w:rsid w:val="00574928"/>
    <w:rsid w:val="0057524F"/>
    <w:rsid w:val="00577846"/>
    <w:rsid w:val="00577F48"/>
    <w:rsid w:val="00582571"/>
    <w:rsid w:val="00583677"/>
    <w:rsid w:val="00585B78"/>
    <w:rsid w:val="00592E82"/>
    <w:rsid w:val="00593CC7"/>
    <w:rsid w:val="00593DF0"/>
    <w:rsid w:val="005A0105"/>
    <w:rsid w:val="005A0C39"/>
    <w:rsid w:val="005A0EC8"/>
    <w:rsid w:val="005A100A"/>
    <w:rsid w:val="005A2C24"/>
    <w:rsid w:val="005A5E01"/>
    <w:rsid w:val="005A6CCF"/>
    <w:rsid w:val="005A79EF"/>
    <w:rsid w:val="005A7F01"/>
    <w:rsid w:val="005B166E"/>
    <w:rsid w:val="005B2148"/>
    <w:rsid w:val="005B337B"/>
    <w:rsid w:val="005C041F"/>
    <w:rsid w:val="005C36CD"/>
    <w:rsid w:val="005C5249"/>
    <w:rsid w:val="005C5DE2"/>
    <w:rsid w:val="005C6866"/>
    <w:rsid w:val="005C6964"/>
    <w:rsid w:val="005D04CA"/>
    <w:rsid w:val="005D0D6C"/>
    <w:rsid w:val="005D0FAD"/>
    <w:rsid w:val="005D19AD"/>
    <w:rsid w:val="005D2056"/>
    <w:rsid w:val="005D6791"/>
    <w:rsid w:val="005D729A"/>
    <w:rsid w:val="005E0A68"/>
    <w:rsid w:val="005E0A8A"/>
    <w:rsid w:val="005E2C23"/>
    <w:rsid w:val="005E56CE"/>
    <w:rsid w:val="005F0C42"/>
    <w:rsid w:val="005F2731"/>
    <w:rsid w:val="005F2E11"/>
    <w:rsid w:val="005F4032"/>
    <w:rsid w:val="005F62ED"/>
    <w:rsid w:val="005F6E12"/>
    <w:rsid w:val="005F7D7C"/>
    <w:rsid w:val="00601596"/>
    <w:rsid w:val="00601D2F"/>
    <w:rsid w:val="00602D91"/>
    <w:rsid w:val="00606049"/>
    <w:rsid w:val="006060F7"/>
    <w:rsid w:val="00606879"/>
    <w:rsid w:val="00607DF1"/>
    <w:rsid w:val="00614508"/>
    <w:rsid w:val="0061484F"/>
    <w:rsid w:val="00614D21"/>
    <w:rsid w:val="006151C6"/>
    <w:rsid w:val="006201D2"/>
    <w:rsid w:val="00621DDA"/>
    <w:rsid w:val="00623B15"/>
    <w:rsid w:val="0062624C"/>
    <w:rsid w:val="00627780"/>
    <w:rsid w:val="006348F6"/>
    <w:rsid w:val="006356CF"/>
    <w:rsid w:val="00640E45"/>
    <w:rsid w:val="00642250"/>
    <w:rsid w:val="006441AD"/>
    <w:rsid w:val="00645BE8"/>
    <w:rsid w:val="00646012"/>
    <w:rsid w:val="0064706B"/>
    <w:rsid w:val="00647D2D"/>
    <w:rsid w:val="00650053"/>
    <w:rsid w:val="00650145"/>
    <w:rsid w:val="00650720"/>
    <w:rsid w:val="006512C1"/>
    <w:rsid w:val="006523EC"/>
    <w:rsid w:val="00652BDA"/>
    <w:rsid w:val="006541FC"/>
    <w:rsid w:val="0066130F"/>
    <w:rsid w:val="00672B10"/>
    <w:rsid w:val="006751E8"/>
    <w:rsid w:val="006754C8"/>
    <w:rsid w:val="00676F42"/>
    <w:rsid w:val="00677DE0"/>
    <w:rsid w:val="00677E3A"/>
    <w:rsid w:val="00681805"/>
    <w:rsid w:val="00682374"/>
    <w:rsid w:val="00682982"/>
    <w:rsid w:val="00685B1A"/>
    <w:rsid w:val="00691C5F"/>
    <w:rsid w:val="006935BB"/>
    <w:rsid w:val="0069524A"/>
    <w:rsid w:val="006A027B"/>
    <w:rsid w:val="006A05AF"/>
    <w:rsid w:val="006A0AE5"/>
    <w:rsid w:val="006A0CA7"/>
    <w:rsid w:val="006A1A2E"/>
    <w:rsid w:val="006A2E81"/>
    <w:rsid w:val="006A3434"/>
    <w:rsid w:val="006A38A8"/>
    <w:rsid w:val="006A3C9E"/>
    <w:rsid w:val="006A6928"/>
    <w:rsid w:val="006B0369"/>
    <w:rsid w:val="006B05DE"/>
    <w:rsid w:val="006B4E77"/>
    <w:rsid w:val="006B6007"/>
    <w:rsid w:val="006B667D"/>
    <w:rsid w:val="006C0F70"/>
    <w:rsid w:val="006C1E96"/>
    <w:rsid w:val="006C20AD"/>
    <w:rsid w:val="006C307D"/>
    <w:rsid w:val="006C3253"/>
    <w:rsid w:val="006C3306"/>
    <w:rsid w:val="006D438C"/>
    <w:rsid w:val="006D4A37"/>
    <w:rsid w:val="006D7E44"/>
    <w:rsid w:val="006E2AB8"/>
    <w:rsid w:val="006E557D"/>
    <w:rsid w:val="006E61A4"/>
    <w:rsid w:val="006E6A27"/>
    <w:rsid w:val="006F0C42"/>
    <w:rsid w:val="006F224F"/>
    <w:rsid w:val="006F30ED"/>
    <w:rsid w:val="006F312E"/>
    <w:rsid w:val="006F6A6B"/>
    <w:rsid w:val="006F7CDB"/>
    <w:rsid w:val="00701C59"/>
    <w:rsid w:val="00701E03"/>
    <w:rsid w:val="00703122"/>
    <w:rsid w:val="007046C2"/>
    <w:rsid w:val="007049F0"/>
    <w:rsid w:val="0070705E"/>
    <w:rsid w:val="007107C2"/>
    <w:rsid w:val="0071391E"/>
    <w:rsid w:val="00714117"/>
    <w:rsid w:val="0071709A"/>
    <w:rsid w:val="00717199"/>
    <w:rsid w:val="0072243D"/>
    <w:rsid w:val="0072415E"/>
    <w:rsid w:val="00727892"/>
    <w:rsid w:val="00730509"/>
    <w:rsid w:val="00732CD0"/>
    <w:rsid w:val="00732EC0"/>
    <w:rsid w:val="00735219"/>
    <w:rsid w:val="00737717"/>
    <w:rsid w:val="007379E3"/>
    <w:rsid w:val="00740CD0"/>
    <w:rsid w:val="00741134"/>
    <w:rsid w:val="007446EB"/>
    <w:rsid w:val="00744C8E"/>
    <w:rsid w:val="00746748"/>
    <w:rsid w:val="007511CD"/>
    <w:rsid w:val="0075271C"/>
    <w:rsid w:val="0075420C"/>
    <w:rsid w:val="007544A8"/>
    <w:rsid w:val="00754E97"/>
    <w:rsid w:val="00757BB4"/>
    <w:rsid w:val="00760776"/>
    <w:rsid w:val="0076235F"/>
    <w:rsid w:val="007625CD"/>
    <w:rsid w:val="007637CB"/>
    <w:rsid w:val="0076752A"/>
    <w:rsid w:val="007722E7"/>
    <w:rsid w:val="00773729"/>
    <w:rsid w:val="00774069"/>
    <w:rsid w:val="00780B06"/>
    <w:rsid w:val="00781074"/>
    <w:rsid w:val="00781AD9"/>
    <w:rsid w:val="00781C45"/>
    <w:rsid w:val="0078543D"/>
    <w:rsid w:val="00785BAA"/>
    <w:rsid w:val="00790DB8"/>
    <w:rsid w:val="00792005"/>
    <w:rsid w:val="00797423"/>
    <w:rsid w:val="00797F6C"/>
    <w:rsid w:val="007A11B5"/>
    <w:rsid w:val="007A57F9"/>
    <w:rsid w:val="007A699F"/>
    <w:rsid w:val="007A7825"/>
    <w:rsid w:val="007B025D"/>
    <w:rsid w:val="007B1AB1"/>
    <w:rsid w:val="007B1B14"/>
    <w:rsid w:val="007B1E3E"/>
    <w:rsid w:val="007B1F1E"/>
    <w:rsid w:val="007B2CCB"/>
    <w:rsid w:val="007B50EA"/>
    <w:rsid w:val="007B55FC"/>
    <w:rsid w:val="007B5B0D"/>
    <w:rsid w:val="007C205F"/>
    <w:rsid w:val="007C2808"/>
    <w:rsid w:val="007C3A14"/>
    <w:rsid w:val="007C5E50"/>
    <w:rsid w:val="007C6654"/>
    <w:rsid w:val="007C76C3"/>
    <w:rsid w:val="007D3967"/>
    <w:rsid w:val="007D3EF2"/>
    <w:rsid w:val="007D42B3"/>
    <w:rsid w:val="007E0CB2"/>
    <w:rsid w:val="007E19EB"/>
    <w:rsid w:val="007E5154"/>
    <w:rsid w:val="007E7717"/>
    <w:rsid w:val="007F0316"/>
    <w:rsid w:val="007F4BC5"/>
    <w:rsid w:val="007F51F1"/>
    <w:rsid w:val="007F5407"/>
    <w:rsid w:val="007F5DDF"/>
    <w:rsid w:val="007F788C"/>
    <w:rsid w:val="00802F0F"/>
    <w:rsid w:val="00803D8D"/>
    <w:rsid w:val="008060D2"/>
    <w:rsid w:val="00806E18"/>
    <w:rsid w:val="0081220C"/>
    <w:rsid w:val="008171B3"/>
    <w:rsid w:val="00817390"/>
    <w:rsid w:val="00820C76"/>
    <w:rsid w:val="00821459"/>
    <w:rsid w:val="008249DC"/>
    <w:rsid w:val="00825A05"/>
    <w:rsid w:val="00827661"/>
    <w:rsid w:val="008277E3"/>
    <w:rsid w:val="00833307"/>
    <w:rsid w:val="00833F2B"/>
    <w:rsid w:val="00834050"/>
    <w:rsid w:val="00834E0A"/>
    <w:rsid w:val="0083523C"/>
    <w:rsid w:val="00836DE4"/>
    <w:rsid w:val="00837836"/>
    <w:rsid w:val="00837C78"/>
    <w:rsid w:val="00844F88"/>
    <w:rsid w:val="00851214"/>
    <w:rsid w:val="00851D29"/>
    <w:rsid w:val="008520FA"/>
    <w:rsid w:val="00852A1D"/>
    <w:rsid w:val="00854ED1"/>
    <w:rsid w:val="00854FA7"/>
    <w:rsid w:val="00855702"/>
    <w:rsid w:val="008577E1"/>
    <w:rsid w:val="00857ADD"/>
    <w:rsid w:val="00860C58"/>
    <w:rsid w:val="00861F73"/>
    <w:rsid w:val="008634EA"/>
    <w:rsid w:val="008640E5"/>
    <w:rsid w:val="00865702"/>
    <w:rsid w:val="00866BA9"/>
    <w:rsid w:val="00867774"/>
    <w:rsid w:val="00870A54"/>
    <w:rsid w:val="00874297"/>
    <w:rsid w:val="00874DC1"/>
    <w:rsid w:val="00874F1D"/>
    <w:rsid w:val="00875888"/>
    <w:rsid w:val="008857F7"/>
    <w:rsid w:val="0088747A"/>
    <w:rsid w:val="0088784F"/>
    <w:rsid w:val="00891C89"/>
    <w:rsid w:val="00893289"/>
    <w:rsid w:val="0089369D"/>
    <w:rsid w:val="008937D7"/>
    <w:rsid w:val="00893DC9"/>
    <w:rsid w:val="0089425C"/>
    <w:rsid w:val="008A020C"/>
    <w:rsid w:val="008A122A"/>
    <w:rsid w:val="008A35BD"/>
    <w:rsid w:val="008A38B5"/>
    <w:rsid w:val="008A53B4"/>
    <w:rsid w:val="008A5A17"/>
    <w:rsid w:val="008A6456"/>
    <w:rsid w:val="008A6AC9"/>
    <w:rsid w:val="008A72B8"/>
    <w:rsid w:val="008A7971"/>
    <w:rsid w:val="008B0503"/>
    <w:rsid w:val="008B128B"/>
    <w:rsid w:val="008B1A17"/>
    <w:rsid w:val="008B418B"/>
    <w:rsid w:val="008B7019"/>
    <w:rsid w:val="008C0961"/>
    <w:rsid w:val="008C4D1A"/>
    <w:rsid w:val="008C4F41"/>
    <w:rsid w:val="008C61FB"/>
    <w:rsid w:val="008D11A0"/>
    <w:rsid w:val="008D1467"/>
    <w:rsid w:val="008D36BC"/>
    <w:rsid w:val="008D54E8"/>
    <w:rsid w:val="008D5E54"/>
    <w:rsid w:val="008D6438"/>
    <w:rsid w:val="008D7532"/>
    <w:rsid w:val="008D7A2E"/>
    <w:rsid w:val="008D7F85"/>
    <w:rsid w:val="008E07FD"/>
    <w:rsid w:val="008E29A6"/>
    <w:rsid w:val="008E2C0D"/>
    <w:rsid w:val="008F0FB1"/>
    <w:rsid w:val="008F2D9F"/>
    <w:rsid w:val="008F7EBB"/>
    <w:rsid w:val="009032C6"/>
    <w:rsid w:val="00904038"/>
    <w:rsid w:val="009049AF"/>
    <w:rsid w:val="00905D2C"/>
    <w:rsid w:val="00907014"/>
    <w:rsid w:val="00907A71"/>
    <w:rsid w:val="0091154B"/>
    <w:rsid w:val="00912035"/>
    <w:rsid w:val="0091218B"/>
    <w:rsid w:val="00912878"/>
    <w:rsid w:val="00912EC7"/>
    <w:rsid w:val="009160BB"/>
    <w:rsid w:val="00916F41"/>
    <w:rsid w:val="009200A9"/>
    <w:rsid w:val="00931387"/>
    <w:rsid w:val="00932AF5"/>
    <w:rsid w:val="00933179"/>
    <w:rsid w:val="00933292"/>
    <w:rsid w:val="00936A93"/>
    <w:rsid w:val="00940AB3"/>
    <w:rsid w:val="0094233D"/>
    <w:rsid w:val="00942D0F"/>
    <w:rsid w:val="009433B3"/>
    <w:rsid w:val="00944F3C"/>
    <w:rsid w:val="0094539D"/>
    <w:rsid w:val="00946648"/>
    <w:rsid w:val="0094665F"/>
    <w:rsid w:val="0095131E"/>
    <w:rsid w:val="0095287F"/>
    <w:rsid w:val="0095506F"/>
    <w:rsid w:val="00957DA2"/>
    <w:rsid w:val="009606E5"/>
    <w:rsid w:val="009608FA"/>
    <w:rsid w:val="009616C9"/>
    <w:rsid w:val="009633FE"/>
    <w:rsid w:val="00964D99"/>
    <w:rsid w:val="00970557"/>
    <w:rsid w:val="00972277"/>
    <w:rsid w:val="009740AA"/>
    <w:rsid w:val="0097638B"/>
    <w:rsid w:val="00980E8E"/>
    <w:rsid w:val="009909D9"/>
    <w:rsid w:val="00991730"/>
    <w:rsid w:val="00992DEE"/>
    <w:rsid w:val="00993778"/>
    <w:rsid w:val="00995FCB"/>
    <w:rsid w:val="00996E05"/>
    <w:rsid w:val="009A0461"/>
    <w:rsid w:val="009A14BE"/>
    <w:rsid w:val="009A3834"/>
    <w:rsid w:val="009A4408"/>
    <w:rsid w:val="009A4753"/>
    <w:rsid w:val="009B172E"/>
    <w:rsid w:val="009B2295"/>
    <w:rsid w:val="009B263A"/>
    <w:rsid w:val="009B2C5E"/>
    <w:rsid w:val="009B6560"/>
    <w:rsid w:val="009C0A0C"/>
    <w:rsid w:val="009C0B40"/>
    <w:rsid w:val="009C7669"/>
    <w:rsid w:val="009D114E"/>
    <w:rsid w:val="009D5ACE"/>
    <w:rsid w:val="009D5CB2"/>
    <w:rsid w:val="009D6B6D"/>
    <w:rsid w:val="009D6E5D"/>
    <w:rsid w:val="009E0684"/>
    <w:rsid w:val="009E5E6C"/>
    <w:rsid w:val="009E7E5C"/>
    <w:rsid w:val="009F1C7A"/>
    <w:rsid w:val="009F1D3E"/>
    <w:rsid w:val="009F5BD9"/>
    <w:rsid w:val="009F5EBC"/>
    <w:rsid w:val="009F6521"/>
    <w:rsid w:val="009F6552"/>
    <w:rsid w:val="00A01010"/>
    <w:rsid w:val="00A03295"/>
    <w:rsid w:val="00A05396"/>
    <w:rsid w:val="00A05BAA"/>
    <w:rsid w:val="00A103A1"/>
    <w:rsid w:val="00A11BC3"/>
    <w:rsid w:val="00A16D9D"/>
    <w:rsid w:val="00A24BCD"/>
    <w:rsid w:val="00A26160"/>
    <w:rsid w:val="00A268D2"/>
    <w:rsid w:val="00A2709B"/>
    <w:rsid w:val="00A27491"/>
    <w:rsid w:val="00A312CC"/>
    <w:rsid w:val="00A3517F"/>
    <w:rsid w:val="00A37A1E"/>
    <w:rsid w:val="00A4077E"/>
    <w:rsid w:val="00A408ED"/>
    <w:rsid w:val="00A40C46"/>
    <w:rsid w:val="00A4204B"/>
    <w:rsid w:val="00A43FCC"/>
    <w:rsid w:val="00A57E47"/>
    <w:rsid w:val="00A6064A"/>
    <w:rsid w:val="00A619B6"/>
    <w:rsid w:val="00A61BDB"/>
    <w:rsid w:val="00A6300F"/>
    <w:rsid w:val="00A66622"/>
    <w:rsid w:val="00A66828"/>
    <w:rsid w:val="00A70307"/>
    <w:rsid w:val="00A707F3"/>
    <w:rsid w:val="00A72EC0"/>
    <w:rsid w:val="00A74B5F"/>
    <w:rsid w:val="00A75504"/>
    <w:rsid w:val="00A75D13"/>
    <w:rsid w:val="00A75DCB"/>
    <w:rsid w:val="00A77865"/>
    <w:rsid w:val="00A83498"/>
    <w:rsid w:val="00A84F8F"/>
    <w:rsid w:val="00A86896"/>
    <w:rsid w:val="00A879E8"/>
    <w:rsid w:val="00A90967"/>
    <w:rsid w:val="00A90FD1"/>
    <w:rsid w:val="00A91F22"/>
    <w:rsid w:val="00A93670"/>
    <w:rsid w:val="00A94615"/>
    <w:rsid w:val="00AA0C54"/>
    <w:rsid w:val="00AA11A8"/>
    <w:rsid w:val="00AA199C"/>
    <w:rsid w:val="00AA3D96"/>
    <w:rsid w:val="00AA3F59"/>
    <w:rsid w:val="00AA57E6"/>
    <w:rsid w:val="00AA5C83"/>
    <w:rsid w:val="00AB1EFC"/>
    <w:rsid w:val="00AC0958"/>
    <w:rsid w:val="00AC0D80"/>
    <w:rsid w:val="00AC24A9"/>
    <w:rsid w:val="00AC2F46"/>
    <w:rsid w:val="00AC35A0"/>
    <w:rsid w:val="00AC55C4"/>
    <w:rsid w:val="00AC66FD"/>
    <w:rsid w:val="00AC727E"/>
    <w:rsid w:val="00AD1B98"/>
    <w:rsid w:val="00AD2157"/>
    <w:rsid w:val="00AD2BB6"/>
    <w:rsid w:val="00AD32D5"/>
    <w:rsid w:val="00AD5137"/>
    <w:rsid w:val="00AD76D8"/>
    <w:rsid w:val="00AE14A3"/>
    <w:rsid w:val="00AE2D75"/>
    <w:rsid w:val="00AE3651"/>
    <w:rsid w:val="00AE5BF0"/>
    <w:rsid w:val="00AE7E4B"/>
    <w:rsid w:val="00AF0AE7"/>
    <w:rsid w:val="00AF3118"/>
    <w:rsid w:val="00AF359B"/>
    <w:rsid w:val="00AF414C"/>
    <w:rsid w:val="00AF66E0"/>
    <w:rsid w:val="00B04CA6"/>
    <w:rsid w:val="00B066E4"/>
    <w:rsid w:val="00B078C0"/>
    <w:rsid w:val="00B11515"/>
    <w:rsid w:val="00B1174A"/>
    <w:rsid w:val="00B1260E"/>
    <w:rsid w:val="00B126DC"/>
    <w:rsid w:val="00B12FD6"/>
    <w:rsid w:val="00B13159"/>
    <w:rsid w:val="00B1436F"/>
    <w:rsid w:val="00B15A69"/>
    <w:rsid w:val="00B20732"/>
    <w:rsid w:val="00B23C3C"/>
    <w:rsid w:val="00B27808"/>
    <w:rsid w:val="00B31FE1"/>
    <w:rsid w:val="00B34BCD"/>
    <w:rsid w:val="00B4017A"/>
    <w:rsid w:val="00B40E83"/>
    <w:rsid w:val="00B41191"/>
    <w:rsid w:val="00B432FC"/>
    <w:rsid w:val="00B445C5"/>
    <w:rsid w:val="00B45F1B"/>
    <w:rsid w:val="00B46CDD"/>
    <w:rsid w:val="00B4702D"/>
    <w:rsid w:val="00B47FC5"/>
    <w:rsid w:val="00B52724"/>
    <w:rsid w:val="00B53A0A"/>
    <w:rsid w:val="00B56BAA"/>
    <w:rsid w:val="00B57B5B"/>
    <w:rsid w:val="00B61F02"/>
    <w:rsid w:val="00B6237D"/>
    <w:rsid w:val="00B62558"/>
    <w:rsid w:val="00B648FA"/>
    <w:rsid w:val="00B6530E"/>
    <w:rsid w:val="00B67E6C"/>
    <w:rsid w:val="00B70998"/>
    <w:rsid w:val="00B723B3"/>
    <w:rsid w:val="00B7305F"/>
    <w:rsid w:val="00B752F1"/>
    <w:rsid w:val="00B764B7"/>
    <w:rsid w:val="00B823B1"/>
    <w:rsid w:val="00B83908"/>
    <w:rsid w:val="00B8730D"/>
    <w:rsid w:val="00B87759"/>
    <w:rsid w:val="00B90974"/>
    <w:rsid w:val="00B96B45"/>
    <w:rsid w:val="00BA1DB8"/>
    <w:rsid w:val="00BA2EE0"/>
    <w:rsid w:val="00BA37B8"/>
    <w:rsid w:val="00BA6428"/>
    <w:rsid w:val="00BB31DC"/>
    <w:rsid w:val="00BB391F"/>
    <w:rsid w:val="00BB4137"/>
    <w:rsid w:val="00BB4B08"/>
    <w:rsid w:val="00BB6095"/>
    <w:rsid w:val="00BC4520"/>
    <w:rsid w:val="00BC5BC5"/>
    <w:rsid w:val="00BD2A12"/>
    <w:rsid w:val="00BD4039"/>
    <w:rsid w:val="00BD4223"/>
    <w:rsid w:val="00BD47D2"/>
    <w:rsid w:val="00BD59F7"/>
    <w:rsid w:val="00BD5BFC"/>
    <w:rsid w:val="00BD73DD"/>
    <w:rsid w:val="00BE6A28"/>
    <w:rsid w:val="00BF164F"/>
    <w:rsid w:val="00BF23AB"/>
    <w:rsid w:val="00BF493B"/>
    <w:rsid w:val="00BF72C6"/>
    <w:rsid w:val="00C04335"/>
    <w:rsid w:val="00C07703"/>
    <w:rsid w:val="00C07FC8"/>
    <w:rsid w:val="00C10377"/>
    <w:rsid w:val="00C118D0"/>
    <w:rsid w:val="00C12DC0"/>
    <w:rsid w:val="00C13C94"/>
    <w:rsid w:val="00C20532"/>
    <w:rsid w:val="00C21CE4"/>
    <w:rsid w:val="00C230FF"/>
    <w:rsid w:val="00C23C88"/>
    <w:rsid w:val="00C24F2D"/>
    <w:rsid w:val="00C24FDF"/>
    <w:rsid w:val="00C2698F"/>
    <w:rsid w:val="00C27A70"/>
    <w:rsid w:val="00C3086A"/>
    <w:rsid w:val="00C314A7"/>
    <w:rsid w:val="00C31871"/>
    <w:rsid w:val="00C32787"/>
    <w:rsid w:val="00C32B7E"/>
    <w:rsid w:val="00C334AD"/>
    <w:rsid w:val="00C33FDE"/>
    <w:rsid w:val="00C361DA"/>
    <w:rsid w:val="00C36FE8"/>
    <w:rsid w:val="00C42832"/>
    <w:rsid w:val="00C454A1"/>
    <w:rsid w:val="00C46639"/>
    <w:rsid w:val="00C4665C"/>
    <w:rsid w:val="00C51340"/>
    <w:rsid w:val="00C531E4"/>
    <w:rsid w:val="00C536C1"/>
    <w:rsid w:val="00C604C0"/>
    <w:rsid w:val="00C62EE8"/>
    <w:rsid w:val="00C64B4C"/>
    <w:rsid w:val="00C651D2"/>
    <w:rsid w:val="00C66F8B"/>
    <w:rsid w:val="00C72448"/>
    <w:rsid w:val="00C74F2F"/>
    <w:rsid w:val="00C7666C"/>
    <w:rsid w:val="00C77F75"/>
    <w:rsid w:val="00C80C0C"/>
    <w:rsid w:val="00C811B6"/>
    <w:rsid w:val="00C82760"/>
    <w:rsid w:val="00C839CC"/>
    <w:rsid w:val="00C84DE5"/>
    <w:rsid w:val="00C908B3"/>
    <w:rsid w:val="00C909A2"/>
    <w:rsid w:val="00C93D7D"/>
    <w:rsid w:val="00C9611F"/>
    <w:rsid w:val="00C96343"/>
    <w:rsid w:val="00C97FEE"/>
    <w:rsid w:val="00CA1750"/>
    <w:rsid w:val="00CA19D9"/>
    <w:rsid w:val="00CA3F9B"/>
    <w:rsid w:val="00CA4F38"/>
    <w:rsid w:val="00CA5AF7"/>
    <w:rsid w:val="00CA635D"/>
    <w:rsid w:val="00CA7E9A"/>
    <w:rsid w:val="00CB145D"/>
    <w:rsid w:val="00CB19EB"/>
    <w:rsid w:val="00CB1B2C"/>
    <w:rsid w:val="00CB3EA0"/>
    <w:rsid w:val="00CC144F"/>
    <w:rsid w:val="00CC2C67"/>
    <w:rsid w:val="00CC3916"/>
    <w:rsid w:val="00CC41E2"/>
    <w:rsid w:val="00CC538E"/>
    <w:rsid w:val="00CC615D"/>
    <w:rsid w:val="00CC7D5C"/>
    <w:rsid w:val="00CD3C99"/>
    <w:rsid w:val="00CE1EC0"/>
    <w:rsid w:val="00CE217C"/>
    <w:rsid w:val="00CE363B"/>
    <w:rsid w:val="00CE4533"/>
    <w:rsid w:val="00CE4B2E"/>
    <w:rsid w:val="00CE6549"/>
    <w:rsid w:val="00CE7977"/>
    <w:rsid w:val="00CF32BD"/>
    <w:rsid w:val="00CF342D"/>
    <w:rsid w:val="00CF3884"/>
    <w:rsid w:val="00CF499A"/>
    <w:rsid w:val="00CF62B9"/>
    <w:rsid w:val="00CF6603"/>
    <w:rsid w:val="00CF7943"/>
    <w:rsid w:val="00D00D07"/>
    <w:rsid w:val="00D05C1E"/>
    <w:rsid w:val="00D068EB"/>
    <w:rsid w:val="00D1013F"/>
    <w:rsid w:val="00D140CF"/>
    <w:rsid w:val="00D14A94"/>
    <w:rsid w:val="00D14CF9"/>
    <w:rsid w:val="00D14D54"/>
    <w:rsid w:val="00D166CC"/>
    <w:rsid w:val="00D16B8B"/>
    <w:rsid w:val="00D204DE"/>
    <w:rsid w:val="00D218E0"/>
    <w:rsid w:val="00D2484B"/>
    <w:rsid w:val="00D2515A"/>
    <w:rsid w:val="00D25999"/>
    <w:rsid w:val="00D25F02"/>
    <w:rsid w:val="00D26BE1"/>
    <w:rsid w:val="00D27544"/>
    <w:rsid w:val="00D27551"/>
    <w:rsid w:val="00D358EA"/>
    <w:rsid w:val="00D41C2B"/>
    <w:rsid w:val="00D43059"/>
    <w:rsid w:val="00D431DB"/>
    <w:rsid w:val="00D43511"/>
    <w:rsid w:val="00D44AD7"/>
    <w:rsid w:val="00D4715C"/>
    <w:rsid w:val="00D50129"/>
    <w:rsid w:val="00D50849"/>
    <w:rsid w:val="00D50E12"/>
    <w:rsid w:val="00D50E98"/>
    <w:rsid w:val="00D57B2B"/>
    <w:rsid w:val="00D62824"/>
    <w:rsid w:val="00D62CE8"/>
    <w:rsid w:val="00D7083D"/>
    <w:rsid w:val="00D70ABD"/>
    <w:rsid w:val="00D721CB"/>
    <w:rsid w:val="00D732BC"/>
    <w:rsid w:val="00D755A1"/>
    <w:rsid w:val="00D76146"/>
    <w:rsid w:val="00D774EA"/>
    <w:rsid w:val="00D81B45"/>
    <w:rsid w:val="00D81B46"/>
    <w:rsid w:val="00D8370C"/>
    <w:rsid w:val="00D8386C"/>
    <w:rsid w:val="00D854FA"/>
    <w:rsid w:val="00D85B47"/>
    <w:rsid w:val="00D864BB"/>
    <w:rsid w:val="00D9097D"/>
    <w:rsid w:val="00D93558"/>
    <w:rsid w:val="00D93813"/>
    <w:rsid w:val="00D9496A"/>
    <w:rsid w:val="00D96ECE"/>
    <w:rsid w:val="00DA16D5"/>
    <w:rsid w:val="00DA4553"/>
    <w:rsid w:val="00DB4198"/>
    <w:rsid w:val="00DB46DC"/>
    <w:rsid w:val="00DB4741"/>
    <w:rsid w:val="00DC1CA3"/>
    <w:rsid w:val="00DC2C99"/>
    <w:rsid w:val="00DC3684"/>
    <w:rsid w:val="00DC48BA"/>
    <w:rsid w:val="00DC4EFF"/>
    <w:rsid w:val="00DC52E0"/>
    <w:rsid w:val="00DC7288"/>
    <w:rsid w:val="00DD25FB"/>
    <w:rsid w:val="00DD2F91"/>
    <w:rsid w:val="00DD3FFB"/>
    <w:rsid w:val="00DD62BF"/>
    <w:rsid w:val="00DD787E"/>
    <w:rsid w:val="00DD7BF0"/>
    <w:rsid w:val="00DE0C3A"/>
    <w:rsid w:val="00DE3734"/>
    <w:rsid w:val="00DE5423"/>
    <w:rsid w:val="00DE602D"/>
    <w:rsid w:val="00DE6B6F"/>
    <w:rsid w:val="00DE717E"/>
    <w:rsid w:val="00DF2C68"/>
    <w:rsid w:val="00DF3EDA"/>
    <w:rsid w:val="00DF5525"/>
    <w:rsid w:val="00DF69E7"/>
    <w:rsid w:val="00DF6A49"/>
    <w:rsid w:val="00DF7698"/>
    <w:rsid w:val="00DF7D32"/>
    <w:rsid w:val="00E02A92"/>
    <w:rsid w:val="00E02FB8"/>
    <w:rsid w:val="00E037EA"/>
    <w:rsid w:val="00E061F4"/>
    <w:rsid w:val="00E06E4F"/>
    <w:rsid w:val="00E10631"/>
    <w:rsid w:val="00E12499"/>
    <w:rsid w:val="00E138E1"/>
    <w:rsid w:val="00E15571"/>
    <w:rsid w:val="00E16543"/>
    <w:rsid w:val="00E237C2"/>
    <w:rsid w:val="00E32773"/>
    <w:rsid w:val="00E32D46"/>
    <w:rsid w:val="00E355FA"/>
    <w:rsid w:val="00E362BD"/>
    <w:rsid w:val="00E36A05"/>
    <w:rsid w:val="00E40D6E"/>
    <w:rsid w:val="00E40E46"/>
    <w:rsid w:val="00E42145"/>
    <w:rsid w:val="00E44C3D"/>
    <w:rsid w:val="00E46B67"/>
    <w:rsid w:val="00E5030A"/>
    <w:rsid w:val="00E515A0"/>
    <w:rsid w:val="00E521EE"/>
    <w:rsid w:val="00E54301"/>
    <w:rsid w:val="00E54653"/>
    <w:rsid w:val="00E547F4"/>
    <w:rsid w:val="00E55060"/>
    <w:rsid w:val="00E56439"/>
    <w:rsid w:val="00E60946"/>
    <w:rsid w:val="00E635CA"/>
    <w:rsid w:val="00E6445B"/>
    <w:rsid w:val="00E66570"/>
    <w:rsid w:val="00E665C1"/>
    <w:rsid w:val="00E66A98"/>
    <w:rsid w:val="00E70D50"/>
    <w:rsid w:val="00E716C2"/>
    <w:rsid w:val="00E72A4B"/>
    <w:rsid w:val="00E74715"/>
    <w:rsid w:val="00E76211"/>
    <w:rsid w:val="00E76AEC"/>
    <w:rsid w:val="00E8144A"/>
    <w:rsid w:val="00E82BDC"/>
    <w:rsid w:val="00E841E3"/>
    <w:rsid w:val="00E86553"/>
    <w:rsid w:val="00E86704"/>
    <w:rsid w:val="00E87935"/>
    <w:rsid w:val="00E95DF7"/>
    <w:rsid w:val="00E95EF8"/>
    <w:rsid w:val="00E96F50"/>
    <w:rsid w:val="00EA026E"/>
    <w:rsid w:val="00EB052D"/>
    <w:rsid w:val="00EB21C5"/>
    <w:rsid w:val="00EB3139"/>
    <w:rsid w:val="00EC1637"/>
    <w:rsid w:val="00EC4B5C"/>
    <w:rsid w:val="00EC4DE9"/>
    <w:rsid w:val="00EC6BEB"/>
    <w:rsid w:val="00ED01C0"/>
    <w:rsid w:val="00ED16CF"/>
    <w:rsid w:val="00ED185A"/>
    <w:rsid w:val="00ED26F9"/>
    <w:rsid w:val="00ED3A92"/>
    <w:rsid w:val="00ED3ED1"/>
    <w:rsid w:val="00ED50EB"/>
    <w:rsid w:val="00EE660B"/>
    <w:rsid w:val="00EE660F"/>
    <w:rsid w:val="00EE702D"/>
    <w:rsid w:val="00EF1246"/>
    <w:rsid w:val="00EF40FF"/>
    <w:rsid w:val="00EF4BE9"/>
    <w:rsid w:val="00EF4CE0"/>
    <w:rsid w:val="00EF5587"/>
    <w:rsid w:val="00F07FDF"/>
    <w:rsid w:val="00F1091E"/>
    <w:rsid w:val="00F12119"/>
    <w:rsid w:val="00F14D3D"/>
    <w:rsid w:val="00F1670E"/>
    <w:rsid w:val="00F169B7"/>
    <w:rsid w:val="00F205D2"/>
    <w:rsid w:val="00F21A0A"/>
    <w:rsid w:val="00F225F9"/>
    <w:rsid w:val="00F32EFA"/>
    <w:rsid w:val="00F3471C"/>
    <w:rsid w:val="00F34FDB"/>
    <w:rsid w:val="00F35223"/>
    <w:rsid w:val="00F3663C"/>
    <w:rsid w:val="00F37BCE"/>
    <w:rsid w:val="00F37FB0"/>
    <w:rsid w:val="00F40294"/>
    <w:rsid w:val="00F46AAB"/>
    <w:rsid w:val="00F47A18"/>
    <w:rsid w:val="00F51488"/>
    <w:rsid w:val="00F515BD"/>
    <w:rsid w:val="00F51E58"/>
    <w:rsid w:val="00F520F9"/>
    <w:rsid w:val="00F528CE"/>
    <w:rsid w:val="00F533A0"/>
    <w:rsid w:val="00F554C6"/>
    <w:rsid w:val="00F620F6"/>
    <w:rsid w:val="00F6314C"/>
    <w:rsid w:val="00F631EF"/>
    <w:rsid w:val="00F64F7B"/>
    <w:rsid w:val="00F65832"/>
    <w:rsid w:val="00F6768A"/>
    <w:rsid w:val="00F70614"/>
    <w:rsid w:val="00F71DEA"/>
    <w:rsid w:val="00F726E4"/>
    <w:rsid w:val="00F77061"/>
    <w:rsid w:val="00F77914"/>
    <w:rsid w:val="00F80134"/>
    <w:rsid w:val="00F80DE0"/>
    <w:rsid w:val="00F91B95"/>
    <w:rsid w:val="00F934AA"/>
    <w:rsid w:val="00F93737"/>
    <w:rsid w:val="00F9384F"/>
    <w:rsid w:val="00F94A7D"/>
    <w:rsid w:val="00F97007"/>
    <w:rsid w:val="00FA1FE0"/>
    <w:rsid w:val="00FA21B5"/>
    <w:rsid w:val="00FA33AC"/>
    <w:rsid w:val="00FA5F94"/>
    <w:rsid w:val="00FA6CFF"/>
    <w:rsid w:val="00FB0174"/>
    <w:rsid w:val="00FB20D6"/>
    <w:rsid w:val="00FB2BC3"/>
    <w:rsid w:val="00FB4E25"/>
    <w:rsid w:val="00FB54D6"/>
    <w:rsid w:val="00FB5824"/>
    <w:rsid w:val="00FB59D1"/>
    <w:rsid w:val="00FC0F45"/>
    <w:rsid w:val="00FC1838"/>
    <w:rsid w:val="00FC192E"/>
    <w:rsid w:val="00FC1E5B"/>
    <w:rsid w:val="00FC31D2"/>
    <w:rsid w:val="00FC3A98"/>
    <w:rsid w:val="00FC45CB"/>
    <w:rsid w:val="00FC5232"/>
    <w:rsid w:val="00FC5DAC"/>
    <w:rsid w:val="00FC5DF3"/>
    <w:rsid w:val="00FC7C5C"/>
    <w:rsid w:val="00FD049B"/>
    <w:rsid w:val="00FD196A"/>
    <w:rsid w:val="00FD23EC"/>
    <w:rsid w:val="00FD26C8"/>
    <w:rsid w:val="00FD4638"/>
    <w:rsid w:val="00FD4B5C"/>
    <w:rsid w:val="00FD5B45"/>
    <w:rsid w:val="00FD7FC3"/>
    <w:rsid w:val="00FE22D2"/>
    <w:rsid w:val="00FE40BA"/>
    <w:rsid w:val="00FE55F2"/>
    <w:rsid w:val="00FE70B5"/>
    <w:rsid w:val="00FE7C79"/>
    <w:rsid w:val="00FF4587"/>
    <w:rsid w:val="00FF5B35"/>
    <w:rsid w:val="00FF654F"/>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0AE0"/>
  <w15:docId w15:val="{CA4C1513-EE65-45C1-9026-29FC2AD9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3">
    <w:name w:val="heading 3"/>
    <w:basedOn w:val="Normal"/>
    <w:next w:val="Normal"/>
    <w:link w:val="Heading3Char"/>
    <w:uiPriority w:val="9"/>
    <w:semiHidden/>
    <w:unhideWhenUsed/>
    <w:qFormat/>
    <w:rsid w:val="00512C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A755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FC1E5B"/>
    <w:rPr>
      <w:caps w:val="0"/>
      <w:smallCaps w:val="0"/>
      <w:strike w:val="0"/>
      <w:dstrike w:val="0"/>
      <w:vanish w:val="0"/>
      <w:vertAlign w:val="superscript"/>
    </w:rPr>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t Char Char,f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F47A18"/>
    <w:rPr>
      <w:color w:val="605E5C"/>
      <w:shd w:val="clear" w:color="auto" w:fill="E1DFDD"/>
    </w:rPr>
  </w:style>
  <w:style w:type="character" w:customStyle="1" w:styleId="Heading3Char">
    <w:name w:val="Heading 3 Char"/>
    <w:basedOn w:val="DefaultParagraphFont"/>
    <w:link w:val="Heading3"/>
    <w:uiPriority w:val="9"/>
    <w:semiHidden/>
    <w:rsid w:val="00512C4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CA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4">
    <w:name w:val="myTOC 4"/>
    <w:basedOn w:val="Normal"/>
    <w:next w:val="Normal"/>
    <w:rsid w:val="002C7726"/>
    <w:pPr>
      <w:tabs>
        <w:tab w:val="right" w:leader="dot" w:pos="9360"/>
      </w:tabs>
      <w:ind w:left="864"/>
    </w:pPr>
    <w:rPr>
      <w:sz w:val="26"/>
      <w:szCs w:val="26"/>
    </w:rPr>
  </w:style>
  <w:style w:type="character" w:customStyle="1" w:styleId="Heading5Char">
    <w:name w:val="Heading 5 Char"/>
    <w:basedOn w:val="DefaultParagraphFont"/>
    <w:link w:val="Heading5"/>
    <w:uiPriority w:val="9"/>
    <w:rsid w:val="00A75504"/>
    <w:rPr>
      <w:rFonts w:asciiTheme="majorHAnsi" w:eastAsiaTheme="majorEastAsia" w:hAnsiTheme="majorHAnsi" w:cstheme="majorBidi"/>
      <w:color w:val="365F91" w:themeColor="accent1" w:themeShade="BF"/>
      <w:sz w:val="24"/>
      <w:szCs w:val="24"/>
    </w:rPr>
  </w:style>
  <w:style w:type="character" w:styleId="SubtleReference">
    <w:name w:val="Subtle Reference"/>
    <w:basedOn w:val="DefaultParagraphFont"/>
    <w:uiPriority w:val="31"/>
    <w:qFormat/>
    <w:rsid w:val="00FC1E5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349">
      <w:bodyDiv w:val="1"/>
      <w:marLeft w:val="0"/>
      <w:marRight w:val="0"/>
      <w:marTop w:val="0"/>
      <w:marBottom w:val="0"/>
      <w:divBdr>
        <w:top w:val="none" w:sz="0" w:space="0" w:color="auto"/>
        <w:left w:val="none" w:sz="0" w:space="0" w:color="auto"/>
        <w:bottom w:val="none" w:sz="0" w:space="0" w:color="auto"/>
        <w:right w:val="none" w:sz="0" w:space="0" w:color="auto"/>
      </w:divBdr>
    </w:div>
    <w:div w:id="99688156">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716707258">
      <w:bodyDiv w:val="1"/>
      <w:marLeft w:val="0"/>
      <w:marRight w:val="0"/>
      <w:marTop w:val="0"/>
      <w:marBottom w:val="0"/>
      <w:divBdr>
        <w:top w:val="none" w:sz="0" w:space="0" w:color="auto"/>
        <w:left w:val="none" w:sz="0" w:space="0" w:color="auto"/>
        <w:bottom w:val="none" w:sz="0" w:space="0" w:color="auto"/>
        <w:right w:val="none" w:sz="0" w:space="0" w:color="auto"/>
      </w:divBdr>
    </w:div>
    <w:div w:id="981157692">
      <w:bodyDiv w:val="1"/>
      <w:marLeft w:val="0"/>
      <w:marRight w:val="0"/>
      <w:marTop w:val="0"/>
      <w:marBottom w:val="0"/>
      <w:divBdr>
        <w:top w:val="none" w:sz="0" w:space="0" w:color="auto"/>
        <w:left w:val="none" w:sz="0" w:space="0" w:color="auto"/>
        <w:bottom w:val="none" w:sz="0" w:space="0" w:color="auto"/>
        <w:right w:val="none" w:sz="0" w:space="0" w:color="auto"/>
      </w:divBdr>
    </w:div>
    <w:div w:id="1252547283">
      <w:bodyDiv w:val="1"/>
      <w:marLeft w:val="0"/>
      <w:marRight w:val="0"/>
      <w:marTop w:val="0"/>
      <w:marBottom w:val="0"/>
      <w:divBdr>
        <w:top w:val="none" w:sz="0" w:space="0" w:color="auto"/>
        <w:left w:val="none" w:sz="0" w:space="0" w:color="auto"/>
        <w:bottom w:val="none" w:sz="0" w:space="0" w:color="auto"/>
        <w:right w:val="none" w:sz="0" w:space="0" w:color="auto"/>
      </w:divBdr>
    </w:div>
    <w:div w:id="1339649266">
      <w:bodyDiv w:val="1"/>
      <w:marLeft w:val="0"/>
      <w:marRight w:val="0"/>
      <w:marTop w:val="0"/>
      <w:marBottom w:val="0"/>
      <w:divBdr>
        <w:top w:val="none" w:sz="0" w:space="0" w:color="auto"/>
        <w:left w:val="none" w:sz="0" w:space="0" w:color="auto"/>
        <w:bottom w:val="none" w:sz="0" w:space="0" w:color="auto"/>
        <w:right w:val="none" w:sz="0" w:space="0" w:color="auto"/>
      </w:divBdr>
    </w:div>
    <w:div w:id="1464038834">
      <w:bodyDiv w:val="1"/>
      <w:marLeft w:val="0"/>
      <w:marRight w:val="0"/>
      <w:marTop w:val="0"/>
      <w:marBottom w:val="0"/>
      <w:divBdr>
        <w:top w:val="none" w:sz="0" w:space="0" w:color="auto"/>
        <w:left w:val="none" w:sz="0" w:space="0" w:color="auto"/>
        <w:bottom w:val="none" w:sz="0" w:space="0" w:color="auto"/>
        <w:right w:val="none" w:sz="0" w:space="0" w:color="auto"/>
      </w:divBdr>
    </w:div>
    <w:div w:id="1888561531">
      <w:bodyDiv w:val="1"/>
      <w:marLeft w:val="0"/>
      <w:marRight w:val="0"/>
      <w:marTop w:val="0"/>
      <w:marBottom w:val="0"/>
      <w:divBdr>
        <w:top w:val="none" w:sz="0" w:space="0" w:color="auto"/>
        <w:left w:val="none" w:sz="0" w:space="0" w:color="auto"/>
        <w:bottom w:val="none" w:sz="0" w:space="0" w:color="auto"/>
        <w:right w:val="none" w:sz="0" w:space="0" w:color="auto"/>
      </w:divBdr>
    </w:div>
    <w:div w:id="200516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ferc-online/etari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Final Rule</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2022-03-02T05:00:00+00:00</Date>
    <Status xmlns="d6eefc7d-9817-4fa6-84d5-3bc009be21b8">None</Status>
    <_x0032__x002e__x0020_Docket_x0020_Number xmlns="d6eefc7d-9817-4fa6-84d5-3bc009be21b8" xsi:nil="true"/>
    <_x0032__x002e__x0020_Collection_x0020_Number xmlns="d6eefc7d-9817-4fa6-84d5-3bc009be21b8">516H</_x0032__x002e__x0020_Collection_x0020_Number>
    <_x0031__x002e__x0020_Docket_x0020_Number xmlns="d6eefc7d-9817-4fa6-84d5-3bc009be21b8">RM20-16</_x0031__x002e__x0020_Docket_x0020_Number>
    <_x0033__x002e__x0020_Collection_x0020_Number xmlns="d6eefc7d-9817-4fa6-84d5-3bc009be21b8" xsi:nil="true"/>
  </documentManagement>
</p:properties>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2150B675-8F3D-4526-8552-03B87C3FA937}">
  <ds:schemaRefs>
    <ds:schemaRef ds:uri="http://schemas.openxmlformats.org/officeDocument/2006/bibliography"/>
  </ds:schemaRefs>
</ds:datastoreItem>
</file>

<file path=customXml/itemProps3.xml><?xml version="1.0" encoding="utf-8"?>
<ds:datastoreItem xmlns:ds="http://schemas.openxmlformats.org/officeDocument/2006/customXml" ds:itemID="{6C1F7DFA-CE8A-46DA-BBDE-C91BD140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977AC-22C5-4A0A-820D-9BE6E0EA6E3A}">
  <ds:schemaRefs>
    <ds:schemaRef ds:uri="http://schemas.microsoft.com/office/2006/metadata/customXsn"/>
  </ds:schemaRefs>
</ds:datastoreItem>
</file>

<file path=customXml/itemProps5.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58885D4D-3DD5-436D-8CD1-AFC546A2F3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5130</Words>
  <Characters>28884</Characters>
  <Application>Microsoft Office Word</Application>
  <DocSecurity>0</DocSecurity>
  <Lines>656</Lines>
  <Paragraphs>197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 Parekh</dc:creator>
  <cp:keywords/>
  <dc:description/>
  <cp:lastModifiedBy>Christopher Kozler</cp:lastModifiedBy>
  <cp:revision>6</cp:revision>
  <cp:lastPrinted>2018-01-30T20:32:00Z</cp:lastPrinted>
  <dcterms:created xsi:type="dcterms:W3CDTF">2022-03-03T20:01:00Z</dcterms:created>
  <dcterms:modified xsi:type="dcterms:W3CDTF">2022-03-03T20:11:00Z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etDate">
    <vt:lpwstr>2022-01-04T16:05:54Z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57b33751-fbc5-4583-a64b-29d6fc863fe6</vt:lpwstr>
  </property>
  <property fmtid="{D5CDD505-2E9C-101B-9397-08002B2CF9AE}" pid="10" name="MSIP_Label_6155a89b-0f08-4a93-8ea2-8a916d6643b5_ContentBits">
    <vt:lpwstr>0</vt:lpwstr>
  </property>
</Properties>
</file>