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41A" w:rsidP="007E141A" w:rsidRDefault="007E141A" w14:paraId="114C0080" w14:textId="77777777">
      <w:pPr>
        <w:pStyle w:val="CM24"/>
        <w:spacing w:after="0" w:line="360" w:lineRule="atLeast"/>
        <w:jc w:val="center"/>
        <w:rPr>
          <w:b/>
          <w:bCs/>
          <w:color w:val="000000"/>
          <w:sz w:val="28"/>
          <w:szCs w:val="28"/>
        </w:rPr>
      </w:pPr>
      <w:r w:rsidRPr="007E141A">
        <w:rPr>
          <w:b/>
          <w:bCs/>
          <w:color w:val="000000"/>
          <w:sz w:val="28"/>
          <w:szCs w:val="28"/>
        </w:rPr>
        <w:t xml:space="preserve"> </w:t>
      </w:r>
    </w:p>
    <w:p w:rsidR="007E141A" w:rsidP="007E141A" w:rsidRDefault="007E141A" w14:paraId="2BBBF5FC" w14:textId="77777777">
      <w:pPr>
        <w:pStyle w:val="CM24"/>
        <w:spacing w:after="0" w:line="360" w:lineRule="atLeast"/>
        <w:jc w:val="center"/>
        <w:rPr>
          <w:b/>
          <w:bCs/>
          <w:color w:val="000000"/>
          <w:sz w:val="28"/>
          <w:szCs w:val="28"/>
        </w:rPr>
      </w:pPr>
    </w:p>
    <w:p w:rsidR="007E141A" w:rsidP="007E141A" w:rsidRDefault="007E141A" w14:paraId="64D882F6" w14:textId="77777777">
      <w:pPr>
        <w:pStyle w:val="CM24"/>
        <w:spacing w:after="0" w:line="360" w:lineRule="atLeast"/>
        <w:jc w:val="center"/>
        <w:rPr>
          <w:b/>
          <w:bCs/>
          <w:color w:val="000000"/>
          <w:sz w:val="28"/>
          <w:szCs w:val="28"/>
        </w:rPr>
      </w:pPr>
    </w:p>
    <w:p w:rsidR="007E141A" w:rsidP="007E141A" w:rsidRDefault="007E141A" w14:paraId="6124FCF8" w14:textId="77777777">
      <w:pPr>
        <w:pStyle w:val="CM24"/>
        <w:spacing w:after="0" w:line="360" w:lineRule="atLeast"/>
        <w:jc w:val="center"/>
        <w:rPr>
          <w:b/>
          <w:bCs/>
          <w:color w:val="000000"/>
          <w:sz w:val="28"/>
          <w:szCs w:val="28"/>
        </w:rPr>
      </w:pPr>
    </w:p>
    <w:p w:rsidR="007E141A" w:rsidP="007E141A" w:rsidRDefault="007E141A" w14:paraId="63099B9F" w14:textId="77777777">
      <w:pPr>
        <w:pStyle w:val="CM24"/>
        <w:spacing w:after="0" w:line="360" w:lineRule="atLeast"/>
        <w:jc w:val="center"/>
        <w:rPr>
          <w:b/>
          <w:bCs/>
          <w:color w:val="000000"/>
          <w:sz w:val="28"/>
          <w:szCs w:val="28"/>
        </w:rPr>
      </w:pPr>
    </w:p>
    <w:p w:rsidR="007E141A" w:rsidP="007E141A" w:rsidRDefault="007E141A" w14:paraId="02A40153" w14:textId="77777777">
      <w:pPr>
        <w:pStyle w:val="CM24"/>
        <w:spacing w:after="0" w:line="360" w:lineRule="atLeast"/>
        <w:jc w:val="center"/>
        <w:rPr>
          <w:b/>
          <w:bCs/>
          <w:color w:val="000000"/>
          <w:sz w:val="28"/>
          <w:szCs w:val="28"/>
        </w:rPr>
      </w:pPr>
    </w:p>
    <w:p w:rsidR="007E141A" w:rsidP="007E141A" w:rsidRDefault="007E141A" w14:paraId="68D38978" w14:textId="77777777">
      <w:pPr>
        <w:pStyle w:val="CM24"/>
        <w:spacing w:after="0" w:line="360" w:lineRule="atLeast"/>
        <w:jc w:val="center"/>
        <w:rPr>
          <w:b/>
          <w:bCs/>
          <w:color w:val="000000"/>
          <w:sz w:val="28"/>
          <w:szCs w:val="28"/>
        </w:rPr>
      </w:pPr>
    </w:p>
    <w:p w:rsidR="007E141A" w:rsidP="007E141A" w:rsidRDefault="007E141A" w14:paraId="164DA2E8" w14:textId="77777777">
      <w:pPr>
        <w:pStyle w:val="CM24"/>
        <w:spacing w:after="0" w:line="360" w:lineRule="atLeast"/>
        <w:jc w:val="center"/>
        <w:rPr>
          <w:b/>
          <w:bCs/>
          <w:color w:val="000000"/>
          <w:sz w:val="28"/>
          <w:szCs w:val="28"/>
        </w:rPr>
      </w:pPr>
    </w:p>
    <w:p w:rsidR="007E141A" w:rsidP="007E141A" w:rsidRDefault="007E141A" w14:paraId="3B6F4E63" w14:textId="77777777">
      <w:pPr>
        <w:pStyle w:val="CM24"/>
        <w:spacing w:after="0" w:line="360" w:lineRule="atLeast"/>
        <w:jc w:val="center"/>
        <w:rPr>
          <w:b/>
          <w:bCs/>
          <w:color w:val="000000"/>
          <w:sz w:val="28"/>
          <w:szCs w:val="28"/>
        </w:rPr>
      </w:pPr>
    </w:p>
    <w:p w:rsidR="007E141A" w:rsidP="007E141A" w:rsidRDefault="007E141A" w14:paraId="381EF6F8" w14:textId="77777777">
      <w:pPr>
        <w:pStyle w:val="CM24"/>
        <w:spacing w:after="0" w:line="360" w:lineRule="atLeast"/>
        <w:jc w:val="center"/>
        <w:rPr>
          <w:b/>
          <w:bCs/>
          <w:color w:val="000000"/>
          <w:sz w:val="28"/>
          <w:szCs w:val="28"/>
        </w:rPr>
      </w:pPr>
    </w:p>
    <w:p w:rsidR="007E141A" w:rsidP="007E141A" w:rsidRDefault="007E141A" w14:paraId="16F55B1E" w14:textId="77777777">
      <w:pPr>
        <w:pStyle w:val="CM24"/>
        <w:spacing w:after="0" w:line="360" w:lineRule="atLeast"/>
        <w:jc w:val="center"/>
        <w:rPr>
          <w:b/>
          <w:bCs/>
          <w:color w:val="000000"/>
          <w:sz w:val="28"/>
          <w:szCs w:val="28"/>
        </w:rPr>
      </w:pPr>
    </w:p>
    <w:p w:rsidR="007E141A" w:rsidP="007E141A" w:rsidRDefault="007E141A" w14:paraId="5DB54B43" w14:textId="77777777">
      <w:pPr>
        <w:pStyle w:val="CM24"/>
        <w:spacing w:after="0" w:line="360" w:lineRule="atLeast"/>
        <w:jc w:val="center"/>
        <w:rPr>
          <w:b/>
          <w:bCs/>
          <w:color w:val="000000"/>
          <w:sz w:val="28"/>
          <w:szCs w:val="28"/>
        </w:rPr>
      </w:pPr>
    </w:p>
    <w:p w:rsidR="007E141A" w:rsidP="007E141A" w:rsidRDefault="007E141A" w14:paraId="0F15407B" w14:textId="77777777">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SUPPORTING STATEMENT FOR </w:t>
      </w:r>
    </w:p>
    <w:p w:rsidR="002C1CB7" w:rsidP="007E141A" w:rsidRDefault="007E141A" w14:paraId="3D575AD1" w14:textId="6AE4D9E1">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EPA INFORMATION COLLECTION REQUEST NUMBER </w:t>
      </w:r>
      <w:r w:rsidRPr="00FB1260" w:rsidR="00A92C8A">
        <w:rPr>
          <w:rFonts w:ascii="Times New Roman" w:hAnsi="Times New Roman" w:cs="Times New Roman"/>
          <w:b/>
          <w:bCs/>
          <w:color w:val="000000"/>
          <w:sz w:val="28"/>
          <w:szCs w:val="28"/>
        </w:rPr>
        <w:t>2486.0</w:t>
      </w:r>
      <w:r w:rsidR="00FE108D">
        <w:rPr>
          <w:rFonts w:ascii="Times New Roman" w:hAnsi="Times New Roman" w:cs="Times New Roman"/>
          <w:b/>
          <w:bCs/>
          <w:color w:val="000000"/>
          <w:sz w:val="28"/>
          <w:szCs w:val="28"/>
        </w:rPr>
        <w:t>3</w:t>
      </w:r>
    </w:p>
    <w:p w:rsidR="007B08FF" w:rsidP="007E141A" w:rsidRDefault="007E141A" w14:paraId="5B43DD3D" w14:textId="77777777">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 REPORTING AND RECORDKEEPING REQUIREMENTS FOR THE </w:t>
      </w:r>
      <w:r w:rsidR="00313D16">
        <w:rPr>
          <w:rFonts w:ascii="Times New Roman" w:hAnsi="Times New Roman" w:cs="Times New Roman"/>
          <w:b/>
          <w:bCs/>
          <w:color w:val="000000"/>
          <w:sz w:val="28"/>
          <w:szCs w:val="28"/>
        </w:rPr>
        <w:t>FINAL</w:t>
      </w:r>
      <w:r w:rsidRPr="00846704" w:rsidR="00313D16">
        <w:rPr>
          <w:rFonts w:ascii="Times New Roman" w:hAnsi="Times New Roman" w:cs="Times New Roman"/>
          <w:b/>
          <w:bCs/>
          <w:color w:val="000000"/>
          <w:sz w:val="28"/>
          <w:szCs w:val="28"/>
        </w:rPr>
        <w:t xml:space="preserve"> </w:t>
      </w:r>
      <w:r w:rsidRPr="00846704">
        <w:rPr>
          <w:rFonts w:ascii="Times New Roman" w:hAnsi="Times New Roman" w:cs="Times New Roman"/>
          <w:b/>
          <w:bCs/>
          <w:color w:val="000000"/>
          <w:sz w:val="28"/>
          <w:szCs w:val="28"/>
        </w:rPr>
        <w:t xml:space="preserve">RULE ON </w:t>
      </w:r>
      <w:r w:rsidR="007B08FF">
        <w:rPr>
          <w:rFonts w:ascii="Times New Roman" w:hAnsi="Times New Roman" w:cs="Times New Roman"/>
          <w:b/>
          <w:bCs/>
          <w:color w:val="000000"/>
          <w:sz w:val="28"/>
          <w:szCs w:val="28"/>
        </w:rPr>
        <w:t xml:space="preserve">MANAGEMENT STANDARDS FOR </w:t>
      </w:r>
    </w:p>
    <w:p w:rsidRPr="00846704" w:rsidR="007E141A" w:rsidP="007E141A" w:rsidRDefault="002C1CB7" w14:paraId="558B5AC7" w14:textId="77777777">
      <w:pPr>
        <w:pStyle w:val="CM24"/>
        <w:spacing w:after="0" w:line="360"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HAZARDOUS WASTE</w:t>
      </w:r>
      <w:r w:rsidRPr="00846704" w:rsidR="007E141A">
        <w:rPr>
          <w:rFonts w:ascii="Times New Roman" w:hAnsi="Times New Roman" w:cs="Times New Roman"/>
          <w:b/>
          <w:bCs/>
          <w:color w:val="000000"/>
          <w:sz w:val="28"/>
          <w:szCs w:val="28"/>
        </w:rPr>
        <w:t xml:space="preserve"> PHARMACEUTICALS </w:t>
      </w:r>
    </w:p>
    <w:p w:rsidRPr="00846704" w:rsidR="007E141A" w:rsidP="007E141A" w:rsidRDefault="007E141A" w14:paraId="5E267A87" w14:textId="77777777">
      <w:pPr>
        <w:pStyle w:val="CM1"/>
        <w:jc w:val="center"/>
        <w:rPr>
          <w:rFonts w:ascii="Times New Roman" w:hAnsi="Times New Roman" w:cs="Times New Roman"/>
          <w:b/>
          <w:bCs/>
          <w:color w:val="000000"/>
          <w:sz w:val="28"/>
          <w:szCs w:val="28"/>
        </w:rPr>
      </w:pPr>
    </w:p>
    <w:p w:rsidRPr="00846704" w:rsidR="007E141A" w:rsidP="007E141A" w:rsidRDefault="007E141A" w14:paraId="05377F03" w14:textId="77777777">
      <w:pPr>
        <w:pStyle w:val="Default"/>
        <w:jc w:val="center"/>
        <w:rPr>
          <w:rFonts w:ascii="Times New Roman" w:hAnsi="Times New Roman" w:cs="Times New Roman"/>
          <w:sz w:val="28"/>
          <w:szCs w:val="28"/>
        </w:rPr>
      </w:pPr>
    </w:p>
    <w:p w:rsidRPr="00846704" w:rsidR="007E141A" w:rsidP="007E141A" w:rsidRDefault="007E141A" w14:paraId="3D105422" w14:textId="77777777">
      <w:pPr>
        <w:pStyle w:val="Default"/>
        <w:jc w:val="center"/>
        <w:rPr>
          <w:rFonts w:ascii="Times New Roman" w:hAnsi="Times New Roman" w:cs="Times New Roman"/>
          <w:b/>
          <w:sz w:val="28"/>
          <w:szCs w:val="28"/>
        </w:rPr>
      </w:pPr>
    </w:p>
    <w:p w:rsidR="007E141A" w:rsidP="007E141A" w:rsidRDefault="007E141A" w14:paraId="42E5AF4E" w14:textId="77777777"/>
    <w:p w:rsidR="007E141A" w:rsidP="007E141A" w:rsidRDefault="007E141A" w14:paraId="00832007" w14:textId="77777777"/>
    <w:p w:rsidR="007E141A" w:rsidP="007E141A" w:rsidRDefault="007E141A" w14:paraId="4170541B" w14:textId="77777777"/>
    <w:p w:rsidR="007E141A" w:rsidP="007E141A" w:rsidRDefault="007E141A" w14:paraId="0D57660E" w14:textId="77777777"/>
    <w:p w:rsidR="007E141A" w:rsidP="007E141A" w:rsidRDefault="007E141A" w14:paraId="6CF2E8A5" w14:textId="77777777"/>
    <w:p w:rsidR="007E141A" w:rsidP="007E141A" w:rsidRDefault="007E141A" w14:paraId="3DD3FFAC" w14:textId="77777777"/>
    <w:p w:rsidR="007E141A" w:rsidP="007E141A" w:rsidRDefault="007E141A" w14:paraId="09043B89" w14:textId="77777777"/>
    <w:p w:rsidR="007E141A" w:rsidP="007E141A" w:rsidRDefault="007E141A" w14:paraId="026CA647" w14:textId="77777777"/>
    <w:p w:rsidR="007E141A" w:rsidP="007E141A" w:rsidRDefault="007E141A" w14:paraId="1D33AB6A" w14:textId="77777777"/>
    <w:p w:rsidR="007E141A" w:rsidP="007E141A" w:rsidRDefault="007E141A" w14:paraId="6243CF22" w14:textId="77777777"/>
    <w:p w:rsidR="007E141A" w:rsidP="007E141A" w:rsidRDefault="007E141A" w14:paraId="5E6E4316" w14:textId="77777777"/>
    <w:p w:rsidR="007E141A" w:rsidP="007E141A" w:rsidRDefault="007E141A" w14:paraId="471086DF" w14:textId="77777777"/>
    <w:p w:rsidR="007E141A" w:rsidP="007E141A" w:rsidRDefault="007E141A" w14:paraId="6012F7B8" w14:textId="77777777"/>
    <w:p w:rsidR="00B54B44" w:rsidP="007E141A" w:rsidRDefault="00B54B44" w14:paraId="52B63E76" w14:textId="77777777"/>
    <w:p w:rsidR="00E84308" w:rsidP="007E141A" w:rsidRDefault="00E84308" w14:paraId="34870EEF" w14:textId="77777777"/>
    <w:p w:rsidR="00E84308" w:rsidP="007E141A" w:rsidRDefault="00E84308" w14:paraId="3C54A70A" w14:textId="77777777"/>
    <w:p w:rsidR="007E141A" w:rsidP="007E141A" w:rsidRDefault="007E141A" w14:paraId="1698F7A9" w14:textId="77777777"/>
    <w:p w:rsidR="00E84308" w:rsidP="007E141A" w:rsidRDefault="00E84308" w14:paraId="0561DDBF" w14:textId="77777777"/>
    <w:p w:rsidR="007E141A" w:rsidP="007E141A" w:rsidRDefault="007E141A" w14:paraId="1684A994" w14:textId="77777777"/>
    <w:p w:rsidR="007E141A" w:rsidP="007E141A" w:rsidRDefault="007E141A" w14:paraId="7A6A474A" w14:textId="77777777"/>
    <w:p w:rsidR="007E141A" w:rsidP="007E141A" w:rsidRDefault="007E141A" w14:paraId="5A3DC862" w14:textId="77777777">
      <w:pPr>
        <w:jc w:val="center"/>
        <w:rPr>
          <w:b/>
          <w:bCs/>
          <w:szCs w:val="28"/>
        </w:rPr>
      </w:pPr>
    </w:p>
    <w:p w:rsidRPr="00100D7E" w:rsidR="007E141A" w:rsidP="007E141A" w:rsidRDefault="007E141A" w14:paraId="0F3D4407" w14:textId="77777777">
      <w:pPr>
        <w:jc w:val="center"/>
        <w:rPr>
          <w:sz w:val="28"/>
          <w:szCs w:val="28"/>
        </w:rPr>
      </w:pPr>
      <w:r w:rsidRPr="00100D7E">
        <w:rPr>
          <w:b/>
          <w:bCs/>
          <w:sz w:val="28"/>
          <w:szCs w:val="28"/>
        </w:rPr>
        <w:t>Table of Contents</w:t>
      </w:r>
    </w:p>
    <w:p w:rsidRPr="00E17A70" w:rsidR="007E141A" w:rsidP="007E141A" w:rsidRDefault="007E141A" w14:paraId="3C676DA6" w14:textId="77777777">
      <w:r w:rsidRPr="00E17A70">
        <w:fldChar w:fldCharType="begin"/>
      </w:r>
      <w:r w:rsidRPr="00E17A70">
        <w:instrText>TOC \f</w:instrText>
      </w:r>
      <w:r w:rsidRPr="00E17A70">
        <w:fldChar w:fldCharType="separate"/>
      </w:r>
    </w:p>
    <w:p w:rsidRPr="00E17A70" w:rsidR="007E141A" w:rsidP="007E141A" w:rsidRDefault="007E141A" w14:paraId="66E6607B" w14:textId="77777777">
      <w:pPr>
        <w:pStyle w:val="TOC1"/>
        <w:ind w:left="0" w:firstLine="0"/>
      </w:pPr>
    </w:p>
    <w:p w:rsidRPr="00E17A70" w:rsidR="007E141A" w:rsidP="007E141A" w:rsidRDefault="007E141A" w14:paraId="2F102D18" w14:textId="77777777">
      <w:pPr>
        <w:pStyle w:val="TOC1"/>
        <w:tabs>
          <w:tab w:val="left" w:pos="-1440"/>
          <w:tab w:val="left" w:pos="-720"/>
          <w:tab w:val="left" w:pos="0"/>
          <w:tab w:val="left" w:pos="720"/>
          <w:tab w:val="right" w:leader="dot" w:pos="9360"/>
        </w:tabs>
      </w:pPr>
      <w:r w:rsidRPr="00E17A70">
        <w:t>1.</w:t>
      </w:r>
      <w:r w:rsidRPr="00E17A70">
        <w:tab/>
        <w:t>IDENTIFICATION OF THE INFORMATION COLLECTION</w:t>
      </w:r>
      <w:r w:rsidRPr="00E17A70">
        <w:tab/>
      </w:r>
      <w:r w:rsidR="001D4B0A">
        <w:t>1</w:t>
      </w:r>
    </w:p>
    <w:p w:rsidRPr="00E17A70" w:rsidR="007E141A" w:rsidP="007E141A" w:rsidRDefault="007E141A" w14:paraId="1A9EC677" w14:textId="77777777">
      <w:pPr>
        <w:pStyle w:val="TOC2"/>
        <w:tabs>
          <w:tab w:val="left" w:pos="-1440"/>
          <w:tab w:val="left" w:pos="-720"/>
          <w:tab w:val="left" w:pos="0"/>
          <w:tab w:val="left" w:pos="720"/>
          <w:tab w:val="left" w:pos="1440"/>
          <w:tab w:val="right" w:leader="dot" w:pos="9360"/>
        </w:tabs>
      </w:pPr>
      <w:r w:rsidRPr="00E17A70">
        <w:t>1(a)</w:t>
      </w:r>
      <w:r w:rsidRPr="00E17A70">
        <w:tab/>
        <w:t>Title and Number of the Information Collection</w:t>
      </w:r>
      <w:r w:rsidRPr="00E17A70">
        <w:tab/>
      </w:r>
      <w:r w:rsidR="001D4B0A">
        <w:t>1</w:t>
      </w:r>
    </w:p>
    <w:p w:rsidRPr="00E17A70" w:rsidR="007E141A" w:rsidP="007E141A" w:rsidRDefault="007E141A" w14:paraId="5830876A" w14:textId="77777777">
      <w:pPr>
        <w:pStyle w:val="TOC2"/>
        <w:tabs>
          <w:tab w:val="left" w:pos="-1440"/>
          <w:tab w:val="left" w:pos="-720"/>
          <w:tab w:val="left" w:pos="0"/>
          <w:tab w:val="left" w:pos="720"/>
          <w:tab w:val="left" w:pos="1440"/>
          <w:tab w:val="right" w:leader="dot" w:pos="9360"/>
        </w:tabs>
      </w:pPr>
      <w:r w:rsidRPr="00E17A70">
        <w:t>1(b)</w:t>
      </w:r>
      <w:r w:rsidRPr="00E17A70">
        <w:tab/>
        <w:t>Short Characterization</w:t>
      </w:r>
      <w:r w:rsidR="002F18B7">
        <w:t xml:space="preserve"> </w:t>
      </w:r>
      <w:r w:rsidRPr="00E17A70">
        <w:tab/>
      </w:r>
      <w:r w:rsidR="001D4B0A">
        <w:t>1</w:t>
      </w:r>
    </w:p>
    <w:p w:rsidRPr="00E17A70" w:rsidR="007E141A" w:rsidP="007E141A" w:rsidRDefault="007E141A" w14:paraId="58C7D296" w14:textId="77777777">
      <w:pPr>
        <w:pStyle w:val="TOC1"/>
        <w:ind w:left="0" w:firstLine="0"/>
      </w:pPr>
    </w:p>
    <w:p w:rsidRPr="00E17A70" w:rsidR="007E141A" w:rsidP="007E141A" w:rsidRDefault="007E141A" w14:paraId="04E69F9C" w14:textId="77777777">
      <w:pPr>
        <w:pStyle w:val="TOC1"/>
        <w:tabs>
          <w:tab w:val="left" w:pos="-1440"/>
          <w:tab w:val="left" w:pos="-720"/>
          <w:tab w:val="left" w:pos="0"/>
          <w:tab w:val="left" w:pos="720"/>
          <w:tab w:val="right" w:leader="dot" w:pos="9360"/>
        </w:tabs>
      </w:pPr>
      <w:r w:rsidRPr="00E17A70">
        <w:t>2.</w:t>
      </w:r>
      <w:r w:rsidRPr="00E17A70">
        <w:tab/>
        <w:t>NEED FOR AND USE OF THE COLLECTION</w:t>
      </w:r>
      <w:r w:rsidRPr="00E17A70">
        <w:tab/>
      </w:r>
      <w:r w:rsidR="00115AF9">
        <w:t>3</w:t>
      </w:r>
    </w:p>
    <w:p w:rsidRPr="00E17A70" w:rsidR="007E141A" w:rsidP="007E141A" w:rsidRDefault="007E141A" w14:paraId="1E85D25B" w14:textId="77777777">
      <w:pPr>
        <w:pStyle w:val="TOC2"/>
        <w:tabs>
          <w:tab w:val="left" w:pos="-1440"/>
          <w:tab w:val="left" w:pos="-720"/>
          <w:tab w:val="left" w:pos="0"/>
          <w:tab w:val="left" w:pos="720"/>
          <w:tab w:val="left" w:pos="1440"/>
          <w:tab w:val="right" w:leader="dot" w:pos="9360"/>
        </w:tabs>
      </w:pPr>
      <w:r w:rsidRPr="00E17A70">
        <w:t>2(a)</w:t>
      </w:r>
      <w:r w:rsidRPr="00E17A70">
        <w:tab/>
        <w:t>Need and Authority for the Collection</w:t>
      </w:r>
      <w:r w:rsidR="002F18B7">
        <w:t xml:space="preserve"> </w:t>
      </w:r>
      <w:r w:rsidRPr="00E17A70">
        <w:tab/>
      </w:r>
      <w:r w:rsidR="00115AF9">
        <w:t>3</w:t>
      </w:r>
    </w:p>
    <w:p w:rsidRPr="00E17A70" w:rsidR="007E141A" w:rsidP="007E141A" w:rsidRDefault="007E141A" w14:paraId="0EE3A6C2" w14:textId="77777777">
      <w:pPr>
        <w:pStyle w:val="TOC2"/>
        <w:tabs>
          <w:tab w:val="left" w:pos="-1440"/>
          <w:tab w:val="left" w:pos="-720"/>
          <w:tab w:val="left" w:pos="0"/>
          <w:tab w:val="left" w:pos="720"/>
          <w:tab w:val="left" w:pos="1440"/>
          <w:tab w:val="right" w:leader="dot" w:pos="9360"/>
        </w:tabs>
      </w:pPr>
      <w:r w:rsidRPr="00E17A70">
        <w:t>2(b)</w:t>
      </w:r>
      <w:r w:rsidRPr="00E17A70">
        <w:tab/>
        <w:t>Practical Utility and Users of the Data</w:t>
      </w:r>
      <w:r w:rsidR="002F18B7">
        <w:t xml:space="preserve"> </w:t>
      </w:r>
      <w:r w:rsidRPr="00E17A70">
        <w:tab/>
      </w:r>
      <w:r w:rsidR="00115AF9">
        <w:t>3</w:t>
      </w:r>
    </w:p>
    <w:p w:rsidRPr="00E17A70" w:rsidR="007E141A" w:rsidP="007E141A" w:rsidRDefault="007E141A" w14:paraId="4E810EB5" w14:textId="77777777">
      <w:pPr>
        <w:pStyle w:val="TOC1"/>
        <w:ind w:left="0" w:firstLine="0"/>
      </w:pPr>
    </w:p>
    <w:p w:rsidRPr="00E17A70" w:rsidR="007E141A" w:rsidP="007E141A" w:rsidRDefault="007E141A" w14:paraId="481E125D" w14:textId="77777777">
      <w:pPr>
        <w:pStyle w:val="TOC1"/>
        <w:tabs>
          <w:tab w:val="left" w:pos="-1440"/>
          <w:tab w:val="left" w:pos="-720"/>
          <w:tab w:val="left" w:pos="0"/>
          <w:tab w:val="left" w:pos="720"/>
          <w:tab w:val="right" w:leader="dot" w:pos="9360"/>
        </w:tabs>
      </w:pPr>
      <w:r w:rsidRPr="00E17A70">
        <w:t>3.</w:t>
      </w:r>
      <w:r w:rsidRPr="00E17A70">
        <w:tab/>
        <w:t xml:space="preserve">NONDUPLICATION, CONSULTATIONS, AND OTHER </w:t>
      </w:r>
    </w:p>
    <w:p w:rsidRPr="00E17A70" w:rsidR="007E141A" w:rsidP="007E141A" w:rsidRDefault="007E141A" w14:paraId="44B3671B" w14:textId="77777777">
      <w:pPr>
        <w:pStyle w:val="TOC1"/>
        <w:tabs>
          <w:tab w:val="left" w:pos="-1440"/>
          <w:tab w:val="left" w:pos="-720"/>
          <w:tab w:val="left" w:pos="0"/>
          <w:tab w:val="left" w:pos="720"/>
          <w:tab w:val="right" w:leader="dot" w:pos="9360"/>
        </w:tabs>
      </w:pPr>
      <w:r w:rsidRPr="00E17A70">
        <w:tab/>
        <w:t xml:space="preserve">COLLECTION CRITERIA </w:t>
      </w:r>
      <w:r w:rsidRPr="00E17A70">
        <w:tab/>
      </w:r>
      <w:r w:rsidR="001D4B0A">
        <w:t>3</w:t>
      </w:r>
      <w:r w:rsidRPr="00E17A70">
        <w:rPr>
          <w:rStyle w:val="Hypertext"/>
        </w:rPr>
        <w:t xml:space="preserve"> </w:t>
      </w:r>
    </w:p>
    <w:p w:rsidRPr="00E17A70" w:rsidR="007E141A" w:rsidP="007E141A" w:rsidRDefault="007E141A" w14:paraId="3187512C" w14:textId="77777777">
      <w:pPr>
        <w:pStyle w:val="TOC2"/>
        <w:tabs>
          <w:tab w:val="left" w:pos="-1440"/>
          <w:tab w:val="left" w:pos="-720"/>
          <w:tab w:val="left" w:pos="0"/>
          <w:tab w:val="left" w:pos="720"/>
          <w:tab w:val="left" w:pos="1440"/>
          <w:tab w:val="right" w:leader="dot" w:pos="9360"/>
        </w:tabs>
      </w:pPr>
      <w:r w:rsidRPr="00E17A70">
        <w:t>3(a)</w:t>
      </w:r>
      <w:r w:rsidRPr="00E17A70">
        <w:tab/>
        <w:t>Nonduplication</w:t>
      </w:r>
      <w:r w:rsidR="002F18B7">
        <w:t xml:space="preserve"> </w:t>
      </w:r>
      <w:r w:rsidRPr="00E17A70">
        <w:tab/>
      </w:r>
      <w:r w:rsidR="001D4B0A">
        <w:t>3</w:t>
      </w:r>
    </w:p>
    <w:p w:rsidRPr="00E17A70" w:rsidR="007E141A" w:rsidP="007E141A" w:rsidRDefault="007E141A" w14:paraId="2F41E113" w14:textId="77777777">
      <w:pPr>
        <w:pStyle w:val="TOC2"/>
        <w:tabs>
          <w:tab w:val="left" w:pos="-1440"/>
          <w:tab w:val="left" w:pos="-720"/>
          <w:tab w:val="left" w:pos="0"/>
          <w:tab w:val="left" w:pos="720"/>
          <w:tab w:val="left" w:pos="1440"/>
          <w:tab w:val="right" w:leader="dot" w:pos="9360"/>
        </w:tabs>
      </w:pPr>
      <w:r w:rsidRPr="00E17A70">
        <w:t>3(b)</w:t>
      </w:r>
      <w:r w:rsidRPr="00E17A70">
        <w:tab/>
        <w:t>Public Notice</w:t>
      </w:r>
      <w:r w:rsidRPr="00E17A70">
        <w:tab/>
      </w:r>
      <w:r w:rsidR="001D4B0A">
        <w:t>3</w:t>
      </w:r>
    </w:p>
    <w:p w:rsidRPr="00E17A70" w:rsidR="007E141A" w:rsidP="007E141A" w:rsidRDefault="007E141A" w14:paraId="0D645273" w14:textId="77777777">
      <w:pPr>
        <w:pStyle w:val="TOC2"/>
        <w:tabs>
          <w:tab w:val="left" w:pos="-1440"/>
          <w:tab w:val="left" w:pos="-720"/>
          <w:tab w:val="left" w:pos="0"/>
          <w:tab w:val="left" w:pos="720"/>
          <w:tab w:val="left" w:pos="1440"/>
          <w:tab w:val="right" w:leader="dot" w:pos="9360"/>
        </w:tabs>
      </w:pPr>
      <w:r w:rsidRPr="00E17A70">
        <w:t>3(c)</w:t>
      </w:r>
      <w:r w:rsidRPr="00E17A70">
        <w:tab/>
        <w:t>Consultations</w:t>
      </w:r>
      <w:r w:rsidR="002F18B7">
        <w:t xml:space="preserve"> </w:t>
      </w:r>
      <w:r w:rsidRPr="00E17A70">
        <w:tab/>
      </w:r>
      <w:r w:rsidR="00115AF9">
        <w:t>4</w:t>
      </w:r>
    </w:p>
    <w:p w:rsidRPr="00E17A70" w:rsidR="007E141A" w:rsidP="007E141A" w:rsidRDefault="007E141A" w14:paraId="5CBBB043" w14:textId="77777777">
      <w:pPr>
        <w:pStyle w:val="TOC2"/>
        <w:tabs>
          <w:tab w:val="left" w:pos="-1440"/>
          <w:tab w:val="left" w:pos="-720"/>
          <w:tab w:val="left" w:pos="0"/>
          <w:tab w:val="left" w:pos="720"/>
          <w:tab w:val="left" w:pos="1440"/>
          <w:tab w:val="right" w:leader="dot" w:pos="9360"/>
        </w:tabs>
      </w:pPr>
      <w:r w:rsidRPr="00E17A70">
        <w:t>3(d)</w:t>
      </w:r>
      <w:r w:rsidRPr="00E17A70">
        <w:tab/>
        <w:t>Effects of Less Frequent Collection</w:t>
      </w:r>
      <w:r w:rsidR="002F18B7">
        <w:t xml:space="preserve"> </w:t>
      </w:r>
      <w:r w:rsidRPr="00E17A70">
        <w:tab/>
      </w:r>
      <w:r w:rsidR="00115AF9">
        <w:t>4</w:t>
      </w:r>
    </w:p>
    <w:p w:rsidRPr="00E17A70" w:rsidR="007E141A" w:rsidP="007E141A" w:rsidRDefault="007E141A" w14:paraId="2765D3CE" w14:textId="77777777">
      <w:pPr>
        <w:pStyle w:val="TOC2"/>
        <w:tabs>
          <w:tab w:val="left" w:pos="-1440"/>
          <w:tab w:val="left" w:pos="-720"/>
          <w:tab w:val="left" w:pos="0"/>
          <w:tab w:val="left" w:pos="720"/>
          <w:tab w:val="left" w:pos="1440"/>
          <w:tab w:val="right" w:leader="dot" w:pos="9360"/>
        </w:tabs>
      </w:pPr>
      <w:r w:rsidRPr="00E17A70">
        <w:t>3(e)</w:t>
      </w:r>
      <w:r w:rsidRPr="00E17A70">
        <w:tab/>
        <w:t>General Guidelines</w:t>
      </w:r>
      <w:r w:rsidR="002F18B7">
        <w:t xml:space="preserve"> </w:t>
      </w:r>
      <w:r w:rsidRPr="00E17A70">
        <w:tab/>
      </w:r>
      <w:r w:rsidR="00115AF9">
        <w:t>4</w:t>
      </w:r>
    </w:p>
    <w:p w:rsidRPr="00E17A70" w:rsidR="007E141A" w:rsidP="007E141A" w:rsidRDefault="007E141A" w14:paraId="087B5B08" w14:textId="77777777">
      <w:pPr>
        <w:pStyle w:val="TOC2"/>
        <w:tabs>
          <w:tab w:val="left" w:pos="-1440"/>
          <w:tab w:val="left" w:pos="-720"/>
          <w:tab w:val="left" w:pos="0"/>
          <w:tab w:val="left" w:pos="720"/>
          <w:tab w:val="left" w:pos="1440"/>
          <w:tab w:val="right" w:leader="dot" w:pos="9360"/>
        </w:tabs>
      </w:pPr>
      <w:r w:rsidRPr="00E17A70">
        <w:t>3(f)</w:t>
      </w:r>
      <w:r w:rsidRPr="00E17A70">
        <w:tab/>
        <w:t>Confidentiality</w:t>
      </w:r>
      <w:r w:rsidRPr="00E17A70">
        <w:tab/>
      </w:r>
      <w:r w:rsidR="00100D7E">
        <w:t>4</w:t>
      </w:r>
    </w:p>
    <w:p w:rsidRPr="00E17A70" w:rsidR="007E141A" w:rsidP="007E141A" w:rsidRDefault="007E141A" w14:paraId="7F600989" w14:textId="77777777">
      <w:pPr>
        <w:pStyle w:val="TOC2"/>
        <w:tabs>
          <w:tab w:val="left" w:pos="-1440"/>
          <w:tab w:val="left" w:pos="-720"/>
          <w:tab w:val="left" w:pos="0"/>
          <w:tab w:val="left" w:pos="720"/>
          <w:tab w:val="left" w:pos="1440"/>
          <w:tab w:val="right" w:leader="dot" w:pos="9360"/>
        </w:tabs>
      </w:pPr>
      <w:r w:rsidRPr="00E17A70">
        <w:t>3(g)</w:t>
      </w:r>
      <w:r w:rsidRPr="00E17A70">
        <w:tab/>
        <w:t>Sensitive Questions</w:t>
      </w:r>
      <w:r w:rsidRPr="00E17A70">
        <w:tab/>
      </w:r>
      <w:r w:rsidR="00483FC6">
        <w:t>4</w:t>
      </w:r>
    </w:p>
    <w:p w:rsidRPr="00E17A70" w:rsidR="007E141A" w:rsidP="007E141A" w:rsidRDefault="007E141A" w14:paraId="225ABF7D" w14:textId="77777777">
      <w:pPr>
        <w:pStyle w:val="TOC1"/>
        <w:ind w:left="0" w:firstLine="0"/>
      </w:pPr>
    </w:p>
    <w:p w:rsidRPr="00E17A70" w:rsidR="007E141A" w:rsidP="007E141A" w:rsidRDefault="007E141A" w14:paraId="0E70D57C" w14:textId="77777777">
      <w:pPr>
        <w:pStyle w:val="TOC1"/>
        <w:tabs>
          <w:tab w:val="left" w:pos="-1440"/>
          <w:tab w:val="left" w:pos="-720"/>
          <w:tab w:val="left" w:pos="0"/>
          <w:tab w:val="left" w:pos="720"/>
          <w:tab w:val="right" w:leader="dot" w:pos="9360"/>
        </w:tabs>
      </w:pPr>
      <w:r w:rsidRPr="00E17A70">
        <w:t>4.</w:t>
      </w:r>
      <w:r w:rsidRPr="00E17A70">
        <w:tab/>
        <w:t>THE RESPONDENTS AND THE INFORMATION REQUESTED</w:t>
      </w:r>
      <w:r w:rsidRPr="00E17A70">
        <w:tab/>
      </w:r>
      <w:r w:rsidR="00115AF9">
        <w:t>5</w:t>
      </w:r>
    </w:p>
    <w:p w:rsidRPr="00E17A70" w:rsidR="007E141A" w:rsidP="007E141A" w:rsidRDefault="007E141A" w14:paraId="19BABCEF" w14:textId="77777777">
      <w:pPr>
        <w:pStyle w:val="TOC2"/>
        <w:tabs>
          <w:tab w:val="left" w:pos="-1440"/>
          <w:tab w:val="left" w:pos="-720"/>
          <w:tab w:val="left" w:pos="0"/>
          <w:tab w:val="left" w:pos="720"/>
          <w:tab w:val="left" w:pos="1440"/>
          <w:tab w:val="right" w:leader="dot" w:pos="9360"/>
        </w:tabs>
      </w:pPr>
      <w:r w:rsidRPr="00E17A70">
        <w:t>4(a)</w:t>
      </w:r>
      <w:r w:rsidRPr="00E17A70">
        <w:tab/>
        <w:t>Respondents and SIC/NAICS Codes</w:t>
      </w:r>
      <w:r w:rsidRPr="00E17A70">
        <w:tab/>
      </w:r>
      <w:r w:rsidR="00115AF9">
        <w:t>5</w:t>
      </w:r>
    </w:p>
    <w:p w:rsidRPr="00E17A70" w:rsidR="007E141A" w:rsidP="007E141A" w:rsidRDefault="007E141A" w14:paraId="2BEEC9DC" w14:textId="77777777">
      <w:pPr>
        <w:pStyle w:val="TOC2"/>
        <w:tabs>
          <w:tab w:val="left" w:pos="-1440"/>
          <w:tab w:val="left" w:pos="-720"/>
          <w:tab w:val="left" w:pos="0"/>
          <w:tab w:val="left" w:pos="720"/>
          <w:tab w:val="left" w:pos="1440"/>
          <w:tab w:val="right" w:leader="dot" w:pos="9360"/>
        </w:tabs>
      </w:pPr>
      <w:r w:rsidRPr="00E17A70">
        <w:t>4(b)</w:t>
      </w:r>
      <w:r w:rsidRPr="00E17A70">
        <w:tab/>
        <w:t>Information Requested</w:t>
      </w:r>
      <w:r w:rsidR="002F18B7">
        <w:t xml:space="preserve"> </w:t>
      </w:r>
      <w:r w:rsidRPr="00E17A70">
        <w:tab/>
      </w:r>
      <w:r w:rsidR="00115AF9">
        <w:t>5</w:t>
      </w:r>
    </w:p>
    <w:p w:rsidRPr="00E17A70" w:rsidR="007E141A" w:rsidP="007E141A" w:rsidRDefault="007E141A" w14:paraId="02C2B6C5" w14:textId="77777777">
      <w:pPr>
        <w:pStyle w:val="TOC1"/>
        <w:ind w:left="0" w:firstLine="0"/>
      </w:pPr>
    </w:p>
    <w:p w:rsidRPr="00E17A70" w:rsidR="007E141A" w:rsidP="007E141A" w:rsidRDefault="007E141A" w14:paraId="02EA5FBD" w14:textId="2BD17678">
      <w:pPr>
        <w:pStyle w:val="TOC1"/>
        <w:tabs>
          <w:tab w:val="left" w:pos="-1440"/>
          <w:tab w:val="left" w:pos="-720"/>
          <w:tab w:val="left" w:pos="0"/>
          <w:tab w:val="left" w:pos="720"/>
          <w:tab w:val="right" w:leader="dot" w:pos="9360"/>
        </w:tabs>
      </w:pPr>
      <w:r w:rsidRPr="00E17A70">
        <w:t>5.</w:t>
      </w:r>
      <w:r w:rsidRPr="00E17A70">
        <w:tab/>
        <w:t>THE INFORMATION COLLECTED</w:t>
      </w:r>
      <w:r w:rsidR="00820154">
        <w:t xml:space="preserve"> -</w:t>
      </w:r>
      <w:r w:rsidR="00DE40A9">
        <w:t xml:space="preserve">- </w:t>
      </w:r>
      <w:r w:rsidRPr="00E17A70">
        <w:t>AGENCY ACTIVITIES, COLLECTION METHODOLOGY, AND INFORMATION MANAGEMENT</w:t>
      </w:r>
      <w:r w:rsidRPr="00E17A70">
        <w:tab/>
      </w:r>
      <w:r w:rsidR="00115AF9">
        <w:t>1</w:t>
      </w:r>
      <w:r w:rsidR="000A74EF">
        <w:t>4</w:t>
      </w:r>
    </w:p>
    <w:p w:rsidRPr="00E17A70" w:rsidR="007E141A" w:rsidP="007E141A" w:rsidRDefault="007E141A" w14:paraId="746783AA" w14:textId="581553D6">
      <w:pPr>
        <w:pStyle w:val="TOC2"/>
        <w:tabs>
          <w:tab w:val="left" w:pos="-1440"/>
          <w:tab w:val="left" w:pos="-720"/>
          <w:tab w:val="left" w:pos="0"/>
          <w:tab w:val="left" w:pos="720"/>
          <w:tab w:val="left" w:pos="1440"/>
          <w:tab w:val="right" w:leader="dot" w:pos="9360"/>
        </w:tabs>
      </w:pPr>
      <w:r w:rsidRPr="00E17A70">
        <w:t>5(a)</w:t>
      </w:r>
      <w:r w:rsidRPr="00E17A70">
        <w:tab/>
        <w:t>Agency Activities</w:t>
      </w:r>
      <w:r w:rsidR="002F18B7">
        <w:t xml:space="preserve"> </w:t>
      </w:r>
      <w:r w:rsidRPr="00E17A70">
        <w:tab/>
      </w:r>
      <w:r w:rsidR="00115AF9">
        <w:t>1</w:t>
      </w:r>
      <w:r w:rsidR="000A74EF">
        <w:t>4</w:t>
      </w:r>
    </w:p>
    <w:p w:rsidRPr="00E17A70" w:rsidR="007E141A" w:rsidP="007E141A" w:rsidRDefault="007E141A" w14:paraId="423315D3" w14:textId="5169ED91">
      <w:pPr>
        <w:pStyle w:val="TOC2"/>
        <w:tabs>
          <w:tab w:val="left" w:pos="-1440"/>
          <w:tab w:val="left" w:pos="-720"/>
          <w:tab w:val="left" w:pos="0"/>
          <w:tab w:val="left" w:pos="720"/>
          <w:tab w:val="left" w:pos="1440"/>
          <w:tab w:val="right" w:leader="dot" w:pos="9360"/>
        </w:tabs>
      </w:pPr>
      <w:r w:rsidRPr="00E17A70">
        <w:t>5(b)</w:t>
      </w:r>
      <w:r w:rsidRPr="00E17A70">
        <w:tab/>
      </w:r>
      <w:r w:rsidR="002F18B7">
        <w:t xml:space="preserve">Collection Methodology and Management </w:t>
      </w:r>
      <w:r w:rsidRPr="00E17A70">
        <w:tab/>
      </w:r>
      <w:r w:rsidR="000A74EF">
        <w:t>15</w:t>
      </w:r>
    </w:p>
    <w:p w:rsidR="007E141A" w:rsidP="007E141A" w:rsidRDefault="002F18B7" w14:paraId="3CD928C7" w14:textId="0F64794C">
      <w:pPr>
        <w:pStyle w:val="TOC2"/>
      </w:pPr>
      <w:r>
        <w:t>5(c)</w:t>
      </w:r>
      <w:r>
        <w:tab/>
        <w:t>Small Entity Flexibility ………………………………………………………….1</w:t>
      </w:r>
      <w:r w:rsidR="000A74EF">
        <w:t>5</w:t>
      </w:r>
    </w:p>
    <w:p w:rsidRPr="002F18B7" w:rsidR="002F18B7" w:rsidP="002F18B7" w:rsidRDefault="002F18B7" w14:paraId="71FE2E0F" w14:textId="18921191">
      <w:r>
        <w:tab/>
        <w:t xml:space="preserve">5(d) </w:t>
      </w:r>
      <w:r>
        <w:tab/>
        <w:t>Collection Schedule</w:t>
      </w:r>
      <w:r w:rsidR="006B5165">
        <w:t xml:space="preserve"> ……………………………………………………………..1</w:t>
      </w:r>
      <w:r w:rsidR="000A74EF">
        <w:t>5</w:t>
      </w:r>
    </w:p>
    <w:p w:rsidRPr="00E17A70" w:rsidR="007E141A" w:rsidP="007E141A" w:rsidRDefault="007E141A" w14:paraId="3F39F880" w14:textId="77777777">
      <w:pPr>
        <w:pStyle w:val="TOC1"/>
        <w:ind w:left="0" w:firstLine="0"/>
      </w:pPr>
    </w:p>
    <w:p w:rsidRPr="00E17A70" w:rsidR="007E141A" w:rsidP="007E141A" w:rsidRDefault="007E141A" w14:paraId="2DFF1480" w14:textId="349FE484">
      <w:pPr>
        <w:pStyle w:val="TOC1"/>
        <w:tabs>
          <w:tab w:val="left" w:pos="-1440"/>
          <w:tab w:val="left" w:pos="-720"/>
          <w:tab w:val="left" w:pos="0"/>
          <w:tab w:val="left" w:pos="720"/>
          <w:tab w:val="right" w:leader="dot" w:pos="9360"/>
        </w:tabs>
      </w:pPr>
      <w:r w:rsidRPr="00E17A70">
        <w:t>6.</w:t>
      </w:r>
      <w:r w:rsidRPr="00E17A70">
        <w:tab/>
        <w:t>ESTIMATING THE HOUR AND COST BURDEN OF THE COLLECTION</w:t>
      </w:r>
      <w:r w:rsidRPr="00E17A70">
        <w:tab/>
      </w:r>
      <w:r w:rsidR="00115AF9">
        <w:t>1</w:t>
      </w:r>
      <w:r w:rsidR="000A74EF">
        <w:t>5</w:t>
      </w:r>
    </w:p>
    <w:p w:rsidRPr="00E17A70" w:rsidR="007E141A" w:rsidP="007E141A" w:rsidRDefault="007E141A" w14:paraId="2DC24FB6" w14:textId="53E725F7">
      <w:pPr>
        <w:pStyle w:val="TOC2"/>
        <w:tabs>
          <w:tab w:val="left" w:pos="-1440"/>
          <w:tab w:val="left" w:pos="-720"/>
          <w:tab w:val="left" w:pos="0"/>
          <w:tab w:val="left" w:pos="720"/>
          <w:tab w:val="left" w:pos="1440"/>
          <w:tab w:val="right" w:leader="dot" w:pos="9360"/>
        </w:tabs>
      </w:pPr>
      <w:r w:rsidRPr="00E17A70">
        <w:t>6(a)</w:t>
      </w:r>
      <w:r w:rsidRPr="00E17A70">
        <w:tab/>
        <w:t>Estimating Respondent Burden</w:t>
      </w:r>
      <w:r w:rsidR="006B5165">
        <w:t xml:space="preserve"> </w:t>
      </w:r>
      <w:r w:rsidRPr="00E17A70">
        <w:tab/>
      </w:r>
      <w:r w:rsidR="00115AF9">
        <w:t>1</w:t>
      </w:r>
      <w:r w:rsidR="000A74EF">
        <w:t>5</w:t>
      </w:r>
    </w:p>
    <w:p w:rsidRPr="00E17A70" w:rsidR="007E141A" w:rsidP="007E141A" w:rsidRDefault="007E141A" w14:paraId="1278D176" w14:textId="21906D2E">
      <w:pPr>
        <w:pStyle w:val="TOC2"/>
        <w:tabs>
          <w:tab w:val="left" w:pos="-1440"/>
          <w:tab w:val="left" w:pos="-720"/>
          <w:tab w:val="left" w:pos="0"/>
          <w:tab w:val="left" w:pos="720"/>
          <w:tab w:val="left" w:pos="1440"/>
          <w:tab w:val="right" w:leader="dot" w:pos="9360"/>
        </w:tabs>
      </w:pPr>
      <w:r w:rsidRPr="00E17A70">
        <w:t>6(b)</w:t>
      </w:r>
      <w:r w:rsidRPr="00E17A70">
        <w:tab/>
        <w:t>Estimating Respondent Costs</w:t>
      </w:r>
      <w:r w:rsidR="006B5165">
        <w:t xml:space="preserve"> </w:t>
      </w:r>
      <w:r w:rsidRPr="00E17A70">
        <w:tab/>
      </w:r>
      <w:r w:rsidR="00115AF9">
        <w:t>1</w:t>
      </w:r>
      <w:r w:rsidR="000A74EF">
        <w:t>5</w:t>
      </w:r>
    </w:p>
    <w:p w:rsidRPr="00E17A70" w:rsidR="007E141A" w:rsidP="007E141A" w:rsidRDefault="007E141A" w14:paraId="40085543" w14:textId="4B9A23E7">
      <w:pPr>
        <w:pStyle w:val="TOC2"/>
        <w:tabs>
          <w:tab w:val="left" w:pos="-1440"/>
          <w:tab w:val="left" w:pos="-720"/>
          <w:tab w:val="left" w:pos="0"/>
          <w:tab w:val="left" w:pos="720"/>
          <w:tab w:val="left" w:pos="1440"/>
          <w:tab w:val="right" w:leader="dot" w:pos="9360"/>
        </w:tabs>
      </w:pPr>
      <w:r w:rsidRPr="00E17A70">
        <w:t>6(c)</w:t>
      </w:r>
      <w:r w:rsidRPr="00E17A70">
        <w:tab/>
        <w:t>Estimating Agency Burden and Costs</w:t>
      </w:r>
      <w:r w:rsidRPr="00E17A70">
        <w:tab/>
      </w:r>
      <w:r w:rsidR="00115AF9">
        <w:t>1</w:t>
      </w:r>
      <w:r w:rsidR="000A74EF">
        <w:t>6</w:t>
      </w:r>
    </w:p>
    <w:p w:rsidRPr="00E17A70" w:rsidR="007E141A" w:rsidP="007E141A" w:rsidRDefault="007E141A" w14:paraId="1ABBCA6D" w14:textId="6FBC2838">
      <w:pPr>
        <w:pStyle w:val="TOC2"/>
        <w:tabs>
          <w:tab w:val="left" w:pos="-1440"/>
          <w:tab w:val="left" w:pos="-720"/>
          <w:tab w:val="left" w:pos="0"/>
          <w:tab w:val="left" w:pos="720"/>
          <w:tab w:val="left" w:pos="1440"/>
          <w:tab w:val="right" w:leader="dot" w:pos="9360"/>
        </w:tabs>
      </w:pPr>
      <w:r w:rsidRPr="00E17A70">
        <w:t>6(d)</w:t>
      </w:r>
      <w:r w:rsidRPr="00E17A70">
        <w:tab/>
        <w:t>Estimating the Respondent Universe and Total Burden and Costs</w:t>
      </w:r>
      <w:r w:rsidRPr="00E17A70">
        <w:tab/>
      </w:r>
      <w:r w:rsidR="00115AF9">
        <w:t>1</w:t>
      </w:r>
      <w:r w:rsidR="000A74EF">
        <w:t>6</w:t>
      </w:r>
    </w:p>
    <w:p w:rsidRPr="00E17A70" w:rsidR="007E141A" w:rsidP="007E141A" w:rsidRDefault="007E141A" w14:paraId="31517E55" w14:textId="356B24BF">
      <w:pPr>
        <w:pStyle w:val="TOC2"/>
        <w:tabs>
          <w:tab w:val="left" w:pos="-1440"/>
          <w:tab w:val="left" w:pos="-720"/>
          <w:tab w:val="left" w:pos="0"/>
          <w:tab w:val="left" w:pos="720"/>
          <w:tab w:val="left" w:pos="1440"/>
          <w:tab w:val="right" w:leader="dot" w:pos="9360"/>
        </w:tabs>
      </w:pPr>
      <w:r w:rsidRPr="00E17A70">
        <w:t>6(e)</w:t>
      </w:r>
      <w:r w:rsidRPr="00E17A70">
        <w:tab/>
        <w:t>Bottom Line Burden Hours and Costs</w:t>
      </w:r>
      <w:r w:rsidRPr="00E17A70">
        <w:tab/>
      </w:r>
      <w:r w:rsidR="00115AF9">
        <w:t>2</w:t>
      </w:r>
      <w:r w:rsidR="000A74EF">
        <w:t>3</w:t>
      </w:r>
    </w:p>
    <w:p w:rsidRPr="00E17A70" w:rsidR="007E141A" w:rsidP="007E141A" w:rsidRDefault="007E141A" w14:paraId="1E684857" w14:textId="4BA58273">
      <w:pPr>
        <w:pStyle w:val="TOC2"/>
        <w:tabs>
          <w:tab w:val="left" w:pos="-1440"/>
          <w:tab w:val="left" w:pos="-720"/>
          <w:tab w:val="left" w:pos="0"/>
          <w:tab w:val="left" w:pos="720"/>
          <w:tab w:val="left" w:pos="1440"/>
          <w:tab w:val="right" w:leader="dot" w:pos="9360"/>
        </w:tabs>
      </w:pPr>
      <w:r w:rsidRPr="00E17A70">
        <w:t>6(f)</w:t>
      </w:r>
      <w:r w:rsidRPr="00E17A70">
        <w:tab/>
        <w:t>Reasons for Change in Burden</w:t>
      </w:r>
      <w:r w:rsidR="006B5165">
        <w:t xml:space="preserve"> </w:t>
      </w:r>
      <w:r w:rsidRPr="00E17A70">
        <w:tab/>
      </w:r>
      <w:r w:rsidR="00115AF9">
        <w:t>2</w:t>
      </w:r>
      <w:r w:rsidR="000A74EF">
        <w:t>3</w:t>
      </w:r>
    </w:p>
    <w:p w:rsidRPr="00E17A70" w:rsidR="007E141A" w:rsidP="007E141A" w:rsidRDefault="007E141A" w14:paraId="21ABF3B2" w14:textId="72F9113C">
      <w:pPr>
        <w:pStyle w:val="TOC2"/>
        <w:tabs>
          <w:tab w:val="left" w:pos="-1440"/>
          <w:tab w:val="left" w:pos="-720"/>
          <w:tab w:val="left" w:pos="0"/>
          <w:tab w:val="left" w:pos="720"/>
          <w:tab w:val="left" w:pos="1440"/>
          <w:tab w:val="right" w:leader="dot" w:pos="9360"/>
        </w:tabs>
      </w:pPr>
      <w:r w:rsidRPr="00E17A70">
        <w:t>6(g)</w:t>
      </w:r>
      <w:r w:rsidRPr="00E17A70">
        <w:tab/>
        <w:t>Burden Statement</w:t>
      </w:r>
      <w:r w:rsidR="006B5165">
        <w:t xml:space="preserve"> </w:t>
      </w:r>
      <w:r w:rsidRPr="00E17A70">
        <w:tab/>
      </w:r>
      <w:r w:rsidR="00115AF9">
        <w:t>2</w:t>
      </w:r>
      <w:r w:rsidR="003C43A2">
        <w:t>4</w:t>
      </w:r>
    </w:p>
    <w:p w:rsidRPr="00E17A70" w:rsidR="007E141A" w:rsidP="007E141A" w:rsidRDefault="007E141A" w14:paraId="5CB0AF15" w14:textId="77777777">
      <w:pPr>
        <w:rPr>
          <w:vanish/>
        </w:rPr>
      </w:pPr>
    </w:p>
    <w:p w:rsidRPr="00E17A70" w:rsidR="007E141A" w:rsidP="007E141A" w:rsidRDefault="007E141A" w14:paraId="0139940C" w14:textId="77777777">
      <w:pPr>
        <w:pStyle w:val="CM1"/>
        <w:spacing w:after="93"/>
        <w:rPr>
          <w:rFonts w:ascii="Times New Roman" w:hAnsi="Times New Roman"/>
          <w:b/>
          <w:bCs/>
          <w:color w:val="000000"/>
          <w:szCs w:val="22"/>
        </w:rPr>
      </w:pPr>
      <w:r w:rsidRPr="00E17A70">
        <w:rPr>
          <w:rFonts w:ascii="Times New Roman" w:hAnsi="Times New Roman"/>
        </w:rPr>
        <w:fldChar w:fldCharType="end"/>
      </w:r>
    </w:p>
    <w:p w:rsidRPr="00E17A70" w:rsidR="007E141A" w:rsidP="007E141A" w:rsidRDefault="007E141A" w14:paraId="18F1348D" w14:textId="77777777">
      <w:pPr>
        <w:pStyle w:val="CM1"/>
        <w:spacing w:after="93"/>
        <w:rPr>
          <w:rFonts w:ascii="Times New Roman" w:hAnsi="Times New Roman"/>
          <w:b/>
          <w:bCs/>
          <w:color w:val="000000"/>
          <w:szCs w:val="22"/>
        </w:rPr>
      </w:pPr>
    </w:p>
    <w:p w:rsidRPr="00E17A70" w:rsidR="007E141A" w:rsidP="007E141A" w:rsidRDefault="007E141A" w14:paraId="7879D4CB" w14:textId="77777777">
      <w:pPr>
        <w:pStyle w:val="CM1"/>
        <w:spacing w:after="93"/>
        <w:rPr>
          <w:rFonts w:ascii="Times New Roman" w:hAnsi="Times New Roman"/>
          <w:b/>
          <w:bCs/>
          <w:color w:val="000000"/>
          <w:szCs w:val="22"/>
        </w:rPr>
      </w:pPr>
      <w:r w:rsidRPr="00E17A70">
        <w:rPr>
          <w:rFonts w:ascii="Times New Roman" w:hAnsi="Times New Roman"/>
          <w:b/>
          <w:bCs/>
          <w:color w:val="000000"/>
          <w:szCs w:val="22"/>
        </w:rPr>
        <w:br w:type="page"/>
      </w:r>
    </w:p>
    <w:p w:rsidRPr="00E17A70" w:rsidR="007B61E5" w:rsidP="00A93097" w:rsidRDefault="007B61E5" w14:paraId="66F67A36" w14:textId="37752923">
      <w:pPr>
        <w:tabs>
          <w:tab w:val="center" w:pos="4680"/>
        </w:tabs>
        <w:rPr>
          <w:b/>
          <w:szCs w:val="28"/>
        </w:rPr>
      </w:pPr>
      <w:r w:rsidRPr="00E17A70">
        <w:rPr>
          <w:b/>
          <w:szCs w:val="28"/>
        </w:rPr>
        <w:lastRenderedPageBreak/>
        <w:t>1.</w:t>
      </w:r>
      <w:r w:rsidRPr="00E17A70">
        <w:rPr>
          <w:b/>
          <w:szCs w:val="28"/>
        </w:rPr>
        <w:tab/>
        <w:t>IDENTIFICATION OF THE INFORMATION COLLECTION</w:t>
      </w:r>
    </w:p>
    <w:p w:rsidRPr="00E17A70" w:rsidR="007B61E5" w:rsidP="007B61E5" w:rsidRDefault="007B61E5" w14:paraId="18BB44E2" w14:textId="77777777">
      <w:pPr>
        <w:rPr>
          <w:b/>
          <w:szCs w:val="28"/>
        </w:rPr>
      </w:pPr>
    </w:p>
    <w:p w:rsidRPr="00E17A70" w:rsidR="007B61E5" w:rsidP="007B61E5" w:rsidRDefault="007B61E5" w14:paraId="634E4EB7" w14:textId="77777777">
      <w:pPr>
        <w:ind w:firstLine="720"/>
        <w:rPr>
          <w:b/>
        </w:rPr>
      </w:pPr>
      <w:r w:rsidRPr="00E17A70">
        <w:rPr>
          <w:b/>
        </w:rPr>
        <w:t>1(a)</w:t>
      </w:r>
      <w:r w:rsidRPr="00E17A70">
        <w:rPr>
          <w:b/>
        </w:rPr>
        <w:tab/>
        <w:t>Title and Number of the Information Collection</w:t>
      </w:r>
    </w:p>
    <w:p w:rsidRPr="00E17A70" w:rsidR="007B61E5" w:rsidP="007B61E5" w:rsidRDefault="007B61E5" w14:paraId="4E2EC0A9" w14:textId="77777777">
      <w:pPr>
        <w:ind w:firstLine="720"/>
        <w:rPr>
          <w:b/>
        </w:rPr>
      </w:pPr>
    </w:p>
    <w:p w:rsidRPr="00E17A70" w:rsidR="007B61E5" w:rsidP="007B61E5" w:rsidRDefault="007B61E5" w14:paraId="72A1E8BC" w14:textId="5D4BCEF1">
      <w:pPr>
        <w:ind w:firstLine="720"/>
        <w:rPr>
          <w:bCs/>
        </w:rPr>
      </w:pPr>
      <w:r w:rsidRPr="00E17A70">
        <w:t>This information Collection Request (ICR) is entitled “</w:t>
      </w:r>
      <w:r w:rsidR="007B08FF">
        <w:rPr>
          <w:bCs/>
        </w:rPr>
        <w:t xml:space="preserve">Management Standards for </w:t>
      </w:r>
      <w:r w:rsidR="00E84308">
        <w:rPr>
          <w:bCs/>
        </w:rPr>
        <w:t>Hazardous</w:t>
      </w:r>
      <w:r w:rsidRPr="00E17A70">
        <w:rPr>
          <w:bCs/>
        </w:rPr>
        <w:t xml:space="preserve"> Waste </w:t>
      </w:r>
      <w:r w:rsidR="00E84308">
        <w:rPr>
          <w:bCs/>
        </w:rPr>
        <w:t>Pharmaceuticals</w:t>
      </w:r>
      <w:r w:rsidRPr="00E17A70">
        <w:rPr>
          <w:bCs/>
        </w:rPr>
        <w:t xml:space="preserve">,” </w:t>
      </w:r>
      <w:r w:rsidR="00B44622">
        <w:rPr>
          <w:bCs/>
        </w:rPr>
        <w:t xml:space="preserve">OMB Control No. 2050-0212, </w:t>
      </w:r>
      <w:r w:rsidRPr="00E17A70">
        <w:rPr>
          <w:bCs/>
        </w:rPr>
        <w:t xml:space="preserve">EPA ICR </w:t>
      </w:r>
      <w:r w:rsidRPr="00FB1260">
        <w:rPr>
          <w:bCs/>
        </w:rPr>
        <w:t>Number</w:t>
      </w:r>
      <w:r w:rsidRPr="00FB1260" w:rsidR="00A92C8A">
        <w:rPr>
          <w:bCs/>
        </w:rPr>
        <w:t xml:space="preserve"> 2486.0</w:t>
      </w:r>
      <w:r w:rsidR="0020121F">
        <w:rPr>
          <w:bCs/>
        </w:rPr>
        <w:t>3</w:t>
      </w:r>
      <w:r w:rsidRPr="00FB1260">
        <w:rPr>
          <w:bCs/>
        </w:rPr>
        <w:t>.</w:t>
      </w:r>
    </w:p>
    <w:p w:rsidRPr="00E17A70" w:rsidR="007B61E5" w:rsidP="007B61E5" w:rsidRDefault="007B61E5" w14:paraId="486A703A" w14:textId="77777777">
      <w:pPr>
        <w:ind w:firstLine="720"/>
        <w:rPr>
          <w:bCs/>
        </w:rPr>
      </w:pPr>
    </w:p>
    <w:p w:rsidRPr="00E17A70" w:rsidR="007B61E5" w:rsidP="007B61E5" w:rsidRDefault="007B61E5" w14:paraId="36604BB2" w14:textId="77777777">
      <w:pPr>
        <w:ind w:firstLine="720"/>
        <w:rPr>
          <w:b/>
          <w:bCs/>
        </w:rPr>
      </w:pPr>
      <w:r w:rsidRPr="00E17A70">
        <w:rPr>
          <w:b/>
          <w:bCs/>
        </w:rPr>
        <w:t>1(b)</w:t>
      </w:r>
      <w:r w:rsidRPr="00E17A70">
        <w:rPr>
          <w:b/>
          <w:bCs/>
        </w:rPr>
        <w:tab/>
        <w:t>Short Characterization</w:t>
      </w:r>
    </w:p>
    <w:p w:rsidRPr="00E17A70" w:rsidR="007B61E5" w:rsidP="007B61E5" w:rsidRDefault="007B61E5" w14:paraId="2744B159" w14:textId="77777777">
      <w:pPr>
        <w:ind w:firstLine="720"/>
        <w:rPr>
          <w:bCs/>
        </w:rPr>
      </w:pPr>
    </w:p>
    <w:p w:rsidR="007B61E5" w:rsidP="007B61E5" w:rsidRDefault="007B61E5" w14:paraId="11547A54" w14:textId="7CDB266B">
      <w:pPr>
        <w:ind w:firstLine="720"/>
      </w:pPr>
      <w:r w:rsidRPr="00E17A70">
        <w:t>Section 3001 of the Resource Conservation and Recovery Act (RCRA) of 1976, as amended, requires the Environmental Protection Agency (EPA) to identify which solid wastes are hazardous wastes and therefore must be managed as hazardous waste during treatment, storage, or disposal.</w:t>
      </w:r>
      <w:r w:rsidR="009E136A">
        <w:t xml:space="preserve"> </w:t>
      </w:r>
      <w:r w:rsidRPr="00E17A70">
        <w:t>Under this authority, EPA established four hazardous waste characteristics (toxicity, reactivity, ignitability, and corrosivity), and listed specific wastes that must be managed as hazardous wastes.</w:t>
      </w:r>
      <w:r>
        <w:t xml:space="preserve"> </w:t>
      </w:r>
      <w:r w:rsidR="00487C6E">
        <w:t xml:space="preserve">A small portion of pharmaceuticals are regulated as hazardous waste under </w:t>
      </w:r>
      <w:r w:rsidR="004D0F84">
        <w:t xml:space="preserve">Subtitle C of </w:t>
      </w:r>
      <w:r w:rsidR="009E136A">
        <w:t xml:space="preserve">RCRA when discarded. </w:t>
      </w:r>
      <w:r w:rsidRPr="00E17A70">
        <w:t xml:space="preserve">However, healthcare </w:t>
      </w:r>
      <w:r w:rsidR="00487C6E">
        <w:t xml:space="preserve">(and associated) </w:t>
      </w:r>
      <w:r w:rsidRPr="00E17A70">
        <w:t xml:space="preserve">facilities </w:t>
      </w:r>
      <w:r w:rsidR="00487C6E">
        <w:t xml:space="preserve">that generate hazardous waste pharmaceuticals have </w:t>
      </w:r>
      <w:r w:rsidRPr="00E17A70">
        <w:t>report</w:t>
      </w:r>
      <w:r w:rsidR="00487C6E">
        <w:t>ed having difficulties complying with the manufacturing-oriented framework of the Subtitle C hazardous waste regulations</w:t>
      </w:r>
      <w:r w:rsidR="004D0F84">
        <w:t xml:space="preserve"> for several reasons, including the following:</w:t>
      </w:r>
      <w:r w:rsidRPr="00E17A70">
        <w:t xml:space="preserve"> </w:t>
      </w:r>
    </w:p>
    <w:p w:rsidR="004D0F84" w:rsidP="007B61E5" w:rsidRDefault="004D0F84" w14:paraId="70E59791" w14:textId="77777777">
      <w:pPr>
        <w:ind w:firstLine="720"/>
      </w:pPr>
    </w:p>
    <w:p w:rsidR="004D0F84" w:rsidP="00220DC7" w:rsidRDefault="004D0F84" w14:paraId="6C8E25D4" w14:textId="37912E01">
      <w:pPr>
        <w:numPr>
          <w:ilvl w:val="0"/>
          <w:numId w:val="13"/>
        </w:numPr>
      </w:pPr>
      <w:r>
        <w:t>Healthcare workers are typically unfamiliar with the hazardous waste regulations, as their primary focus is to provide healthcare to their patients.</w:t>
      </w:r>
    </w:p>
    <w:p w:rsidR="004D0F84" w:rsidP="000932A0" w:rsidRDefault="004D0F84" w14:paraId="6380A255" w14:textId="4BEDE582">
      <w:pPr>
        <w:numPr>
          <w:ilvl w:val="0"/>
          <w:numId w:val="13"/>
        </w:numPr>
      </w:pPr>
      <w:r>
        <w:t xml:space="preserve">Healthcare facilities </w:t>
      </w:r>
      <w:r w:rsidR="005D44A1">
        <w:t>stock</w:t>
      </w:r>
      <w:r>
        <w:t xml:space="preserve"> thousands of items in their </w:t>
      </w:r>
      <w:r w:rsidR="005D44A1">
        <w:t xml:space="preserve">drug </w:t>
      </w:r>
      <w:r>
        <w:t>formular</w:t>
      </w:r>
      <w:r w:rsidR="005D44A1">
        <w:t>ies</w:t>
      </w:r>
      <w:r>
        <w:t xml:space="preserve"> and may find it difficult to ascertain which </w:t>
      </w:r>
      <w:r w:rsidR="00CA0E7D">
        <w:t xml:space="preserve">items </w:t>
      </w:r>
      <w:r>
        <w:t>are hazardous wastes when disposed.</w:t>
      </w:r>
    </w:p>
    <w:p w:rsidR="00CA0E7D" w:rsidP="00CA0E7D" w:rsidRDefault="00CA0E7D" w14:paraId="58E08B9E" w14:textId="77777777">
      <w:pPr>
        <w:numPr>
          <w:ilvl w:val="0"/>
          <w:numId w:val="13"/>
        </w:numPr>
      </w:pPr>
      <w:r>
        <w:t xml:space="preserve">Some pharmaceuticals are listed as acute hazardous wastes under RCRA, which are stringently regulated even in small amounts.  </w:t>
      </w:r>
    </w:p>
    <w:p w:rsidRPr="00E17A70" w:rsidR="00CA0E7D" w:rsidP="00CA0E7D" w:rsidRDefault="00CA0E7D" w14:paraId="39590617" w14:textId="77777777"/>
    <w:p w:rsidR="009F1650" w:rsidP="009F1650" w:rsidRDefault="009F1650" w14:paraId="7B786262" w14:textId="70EBDB1D">
      <w:pPr>
        <w:ind w:firstLine="720"/>
      </w:pPr>
      <w:r w:rsidRPr="009F1650">
        <w:t xml:space="preserve">EPA </w:t>
      </w:r>
      <w:r w:rsidR="00756440">
        <w:t>added</w:t>
      </w:r>
      <w:r w:rsidRPr="009F1650">
        <w:t xml:space="preserve"> a new subpart P under part 266. This new subpart is a tailored, sector-specific regulatory framework for managing hazardous waste pharmaceuticals at healthcare facilities and reverse distributors.</w:t>
      </w:r>
      <w:r w:rsidR="006C1E7C">
        <w:t xml:space="preserve"> </w:t>
      </w:r>
      <w:r w:rsidR="00131F5C">
        <w:t>H</w:t>
      </w:r>
      <w:r w:rsidRPr="009F1650">
        <w:t xml:space="preserve">ealthcare facilities that are currently small quantity generators (SQGs) or large quantity generators (LQGs) and all reverse distributors, regardless of RCRA generator category, will be required to manage hazardous waste pharmaceuticals under this new subpart P of part 266, in lieu of part 262. That is, the </w:t>
      </w:r>
      <w:r w:rsidR="00131F5C">
        <w:t>final</w:t>
      </w:r>
      <w:r w:rsidRPr="009F1650">
        <w:t xml:space="preserve"> standards are not an optional alternative to managing hazardous waste pharmaceuticals under part 262, they are mandatory standards. </w:t>
      </w:r>
    </w:p>
    <w:p w:rsidR="006C1E7C" w:rsidP="009F1650" w:rsidRDefault="006C1E7C" w14:paraId="546342C2" w14:textId="77777777">
      <w:pPr>
        <w:ind w:firstLine="720"/>
      </w:pPr>
    </w:p>
    <w:p w:rsidR="00B70297" w:rsidP="00756440" w:rsidRDefault="005F74DD" w14:paraId="16CEBC97" w14:textId="04AA78BA">
      <w:pPr>
        <w:ind w:firstLine="720"/>
        <w:rPr>
          <w:szCs w:val="28"/>
        </w:rPr>
      </w:pPr>
      <w:r w:rsidRPr="00E17A70">
        <w:t xml:space="preserve">The requirements covered in this ICR are </w:t>
      </w:r>
      <w:r>
        <w:t xml:space="preserve">for the requirements that healthcare facilities (including retail facilities) and reverse distributors managing hazardous waste pharmaceuticals have under 40 CFR part 266 subpart P. </w:t>
      </w:r>
      <w:bookmarkStart w:name="_Hlk94087221" w:id="0"/>
    </w:p>
    <w:bookmarkEnd w:id="0"/>
    <w:p w:rsidR="00B70297" w:rsidP="00B70297" w:rsidRDefault="00B70297" w14:paraId="2C2F2B55" w14:textId="77777777">
      <w:pPr>
        <w:ind w:firstLine="360"/>
        <w:rPr>
          <w:szCs w:val="28"/>
        </w:rPr>
      </w:pPr>
    </w:p>
    <w:p w:rsidRPr="00E17A70" w:rsidR="007B61E5" w:rsidP="00B70297" w:rsidRDefault="007B61E5" w14:paraId="371F3B5E" w14:textId="1DB08EEE">
      <w:pPr>
        <w:ind w:firstLine="360"/>
        <w:rPr>
          <w:b/>
          <w:szCs w:val="28"/>
        </w:rPr>
      </w:pPr>
      <w:r w:rsidRPr="00E17A70">
        <w:rPr>
          <w:b/>
          <w:szCs w:val="28"/>
        </w:rPr>
        <w:t>2.</w:t>
      </w:r>
      <w:r w:rsidRPr="00E17A70">
        <w:rPr>
          <w:b/>
          <w:szCs w:val="28"/>
        </w:rPr>
        <w:tab/>
        <w:t>NEED FOR AND USE OF THE COLLECTION</w:t>
      </w:r>
    </w:p>
    <w:p w:rsidRPr="00E17A70" w:rsidR="007B61E5" w:rsidP="007B61E5" w:rsidRDefault="007B61E5" w14:paraId="44354D87" w14:textId="77777777">
      <w:pPr>
        <w:jc w:val="both"/>
        <w:rPr>
          <w:szCs w:val="28"/>
        </w:rPr>
      </w:pPr>
    </w:p>
    <w:p w:rsidRPr="00E17A70" w:rsidR="007B61E5" w:rsidP="007B61E5" w:rsidRDefault="007B61E5" w14:paraId="4BEC1FB7" w14:textId="77777777">
      <w:pPr>
        <w:ind w:firstLine="720"/>
        <w:jc w:val="both"/>
        <w:rPr>
          <w:b/>
          <w:bCs/>
          <w:u w:val="single"/>
        </w:rPr>
      </w:pPr>
      <w:r w:rsidRPr="00E17A70">
        <w:rPr>
          <w:b/>
          <w:bCs/>
        </w:rPr>
        <w:t xml:space="preserve">2(a) </w:t>
      </w:r>
      <w:r w:rsidRPr="00E17A70">
        <w:rPr>
          <w:b/>
          <w:bCs/>
        </w:rPr>
        <w:tab/>
        <w:t>Need and Authority for the Collection</w:t>
      </w:r>
      <w:r w:rsidRPr="00E17A70">
        <w:rPr>
          <w:b/>
          <w:bCs/>
          <w:u w:val="single"/>
        </w:rPr>
        <w:t xml:space="preserve"> </w:t>
      </w:r>
    </w:p>
    <w:p w:rsidRPr="00E17A70" w:rsidR="007B61E5" w:rsidP="007B61E5" w:rsidRDefault="007B61E5" w14:paraId="3C8989FF" w14:textId="77777777">
      <w:pPr>
        <w:ind w:firstLine="720"/>
        <w:jc w:val="both"/>
      </w:pPr>
    </w:p>
    <w:p w:rsidRPr="00E17A70" w:rsidR="007B61E5" w:rsidP="007B61E5" w:rsidRDefault="007B61E5" w14:paraId="037FBF4D" w14:textId="4ED412CA">
      <w:pPr>
        <w:ind w:firstLine="720"/>
      </w:pPr>
      <w:r w:rsidRPr="00E17A70">
        <w:t xml:space="preserve">The requirements covered in this ICR are necessary for EPA to </w:t>
      </w:r>
      <w:r w:rsidR="00343B2A">
        <w:t>identify the universe of healthcare facilities</w:t>
      </w:r>
      <w:r w:rsidR="00951615">
        <w:t xml:space="preserve"> (including retail facilities)</w:t>
      </w:r>
      <w:r w:rsidR="00343B2A">
        <w:t xml:space="preserve"> </w:t>
      </w:r>
      <w:r w:rsidR="005D44A1">
        <w:t xml:space="preserve">and reverse distributors </w:t>
      </w:r>
      <w:r w:rsidR="00343B2A">
        <w:t xml:space="preserve">managing hazardous </w:t>
      </w:r>
      <w:r w:rsidR="00343B2A">
        <w:lastRenderedPageBreak/>
        <w:t>waste pharmaceuticals under 40 CFR part 266 su</w:t>
      </w:r>
      <w:r w:rsidR="00B30986">
        <w:t>b</w:t>
      </w:r>
      <w:r w:rsidR="00343B2A">
        <w:t>part P.</w:t>
      </w:r>
      <w:r w:rsidR="00B30986">
        <w:t xml:space="preserve"> </w:t>
      </w:r>
      <w:r>
        <w:t xml:space="preserve"> </w:t>
      </w:r>
      <w:r w:rsidRPr="00E17A70">
        <w:t xml:space="preserve">The notification requirements are needed </w:t>
      </w:r>
      <w:r w:rsidR="00FF4739">
        <w:t xml:space="preserve">to </w:t>
      </w:r>
      <w:r w:rsidR="00863282">
        <w:t>assist the Agency</w:t>
      </w:r>
      <w:r w:rsidR="00FF4739">
        <w:t xml:space="preserve"> </w:t>
      </w:r>
      <w:r w:rsidR="00863282">
        <w:t xml:space="preserve">and regulated facilities </w:t>
      </w:r>
      <w:r w:rsidR="00FF4739">
        <w:t>in</w:t>
      </w:r>
      <w:r w:rsidR="000C1AA3">
        <w:t xml:space="preserve"> tracking hazardous waste pharmaceuticals</w:t>
      </w:r>
      <w:r w:rsidR="00863282">
        <w:t>.</w:t>
      </w:r>
      <w:r w:rsidR="004E49AB">
        <w:t xml:space="preserve"> </w:t>
      </w:r>
      <w:r w:rsidR="000C1AA3">
        <w:t xml:space="preserve"> </w:t>
      </w:r>
      <w:r w:rsidRPr="00951615" w:rsidR="00951615">
        <w:t xml:space="preserve">In addition, the </w:t>
      </w:r>
      <w:r w:rsidR="00951615">
        <w:t>tracking</w:t>
      </w:r>
      <w:r w:rsidRPr="00951615" w:rsidR="00951615">
        <w:t xml:space="preserve"> </w:t>
      </w:r>
      <w:r w:rsidR="00951615">
        <w:t>requirements will help EPA and facilities ensure that hazardous waste pharmaceuticals arrive at their intended destination rather than at facilities not equipped to manage these wastes.</w:t>
      </w:r>
    </w:p>
    <w:p w:rsidRPr="00E17A70" w:rsidR="007B61E5" w:rsidP="007B61E5" w:rsidRDefault="007B61E5" w14:paraId="56DAA146" w14:textId="77777777">
      <w:pPr>
        <w:ind w:firstLine="720"/>
        <w:jc w:val="both"/>
      </w:pPr>
    </w:p>
    <w:p w:rsidRPr="00E17A70" w:rsidR="007B61E5" w:rsidP="007B61E5" w:rsidRDefault="007B61E5" w14:paraId="1C69CC07" w14:textId="77777777">
      <w:pPr>
        <w:ind w:firstLine="720"/>
        <w:jc w:val="both"/>
        <w:rPr>
          <w:b/>
          <w:bCs/>
          <w:u w:val="single"/>
        </w:rPr>
      </w:pPr>
      <w:r w:rsidRPr="00E17A70">
        <w:rPr>
          <w:b/>
          <w:bCs/>
        </w:rPr>
        <w:t xml:space="preserve">2(b) </w:t>
      </w:r>
      <w:r w:rsidRPr="00E17A70">
        <w:rPr>
          <w:b/>
          <w:bCs/>
        </w:rPr>
        <w:tab/>
        <w:t>Practical Utility and Users of the Data</w:t>
      </w:r>
      <w:r w:rsidRPr="00E17A70">
        <w:rPr>
          <w:b/>
          <w:bCs/>
          <w:u w:val="single"/>
        </w:rPr>
        <w:t xml:space="preserve"> </w:t>
      </w:r>
    </w:p>
    <w:p w:rsidRPr="00E17A70" w:rsidR="007B61E5" w:rsidP="007B61E5" w:rsidRDefault="007B61E5" w14:paraId="21C4FAF7" w14:textId="77777777">
      <w:pPr>
        <w:ind w:firstLine="720"/>
        <w:jc w:val="both"/>
      </w:pPr>
    </w:p>
    <w:p w:rsidRPr="00E17A70" w:rsidR="007B61E5" w:rsidP="007B61E5" w:rsidRDefault="007B61E5" w14:paraId="1CDCA814" w14:textId="792A45E6">
      <w:pPr>
        <w:ind w:firstLine="720"/>
        <w:rPr>
          <w:szCs w:val="28"/>
        </w:rPr>
      </w:pPr>
      <w:r w:rsidRPr="00E17A70">
        <w:t xml:space="preserve">EPA will use the collected information to ensure that </w:t>
      </w:r>
      <w:r w:rsidR="00863282">
        <w:t>hazardous waste</w:t>
      </w:r>
      <w:r w:rsidRPr="00E17A70">
        <w:t xml:space="preserve"> </w:t>
      </w:r>
      <w:r w:rsidR="00863282">
        <w:t>pharmaceuticals</w:t>
      </w:r>
      <w:r w:rsidRPr="00E17A70">
        <w:t xml:space="preserve"> are being managed in a protective manner.</w:t>
      </w:r>
      <w:r>
        <w:t xml:space="preserve"> </w:t>
      </w:r>
      <w:r w:rsidR="00863282">
        <w:t xml:space="preserve">The tracking requirements ensure that these </w:t>
      </w:r>
      <w:r w:rsidR="005D44A1">
        <w:t xml:space="preserve">hazardous </w:t>
      </w:r>
      <w:r w:rsidR="00863282">
        <w:t xml:space="preserve">wastes arrive at their intended destinations rather than facilities not equipped to manage these </w:t>
      </w:r>
      <w:r w:rsidR="005D44A1">
        <w:t xml:space="preserve">hazardous </w:t>
      </w:r>
      <w:r w:rsidR="005F6A5F">
        <w:t xml:space="preserve">wastes. </w:t>
      </w:r>
      <w:r w:rsidR="00863282">
        <w:t>These tracking requirements will also help facilities identify shipments that do not arrive at their destination as planned, allowing generators to take corrective action that will ensure that future shipments are transported to the appropriate location.</w:t>
      </w:r>
      <w:r w:rsidR="001B6392">
        <w:t xml:space="preserve"> In a</w:t>
      </w:r>
      <w:r w:rsidRPr="00E17A70">
        <w:t>ddition,</w:t>
      </w:r>
      <w:r w:rsidR="00021518">
        <w:t xml:space="preserve"> during a facility inspection,</w:t>
      </w:r>
      <w:r w:rsidRPr="00E17A70">
        <w:t xml:space="preserve"> information kept in facility records will help </w:t>
      </w:r>
      <w:r w:rsidR="001B6392">
        <w:t xml:space="preserve">EPA and state environmental regulatory agencies determine </w:t>
      </w:r>
      <w:r w:rsidR="00021518">
        <w:t>whether or not</w:t>
      </w:r>
      <w:r w:rsidR="001B6392">
        <w:t xml:space="preserve"> regulatory requirements are </w:t>
      </w:r>
      <w:r w:rsidR="00021518">
        <w:t>being followed</w:t>
      </w:r>
      <w:r w:rsidRPr="00E17A70">
        <w:t>.</w:t>
      </w:r>
      <w:r>
        <w:t xml:space="preserve"> </w:t>
      </w:r>
      <w:r w:rsidRPr="00E17A70">
        <w:t>In</w:t>
      </w:r>
      <w:r w:rsidR="005F6A5F">
        <w:t xml:space="preserve">formation marked on </w:t>
      </w:r>
      <w:r>
        <w:t>containers will assist handlers</w:t>
      </w:r>
      <w:r w:rsidRPr="00E17A70">
        <w:t xml:space="preserve"> and transporters in ensuring proper management during storage and shipment.</w:t>
      </w:r>
      <w:r w:rsidRPr="00E17A70">
        <w:rPr>
          <w:szCs w:val="28"/>
        </w:rPr>
        <w:t xml:space="preserve"> </w:t>
      </w:r>
    </w:p>
    <w:p w:rsidRPr="00E17A70" w:rsidR="007B61E5" w:rsidP="007B61E5" w:rsidRDefault="007B61E5" w14:paraId="5828D2A4" w14:textId="77777777">
      <w:pPr>
        <w:ind w:firstLine="720"/>
        <w:jc w:val="both"/>
        <w:rPr>
          <w:szCs w:val="28"/>
        </w:rPr>
      </w:pPr>
    </w:p>
    <w:p w:rsidRPr="00E17A70" w:rsidR="007B61E5" w:rsidP="007B61E5" w:rsidRDefault="007B61E5" w14:paraId="3125D371" w14:textId="77777777">
      <w:pPr>
        <w:ind w:left="720" w:hanging="720"/>
        <w:rPr>
          <w:b/>
          <w:szCs w:val="28"/>
        </w:rPr>
      </w:pPr>
      <w:r w:rsidRPr="00E17A70">
        <w:rPr>
          <w:b/>
          <w:szCs w:val="28"/>
        </w:rPr>
        <w:t>3.</w:t>
      </w:r>
      <w:r w:rsidRPr="00E17A70">
        <w:rPr>
          <w:b/>
          <w:szCs w:val="28"/>
        </w:rPr>
        <w:tab/>
        <w:t xml:space="preserve">NONDUPLICATION, CONSULTATIONS, AND OTHER COLLECTION CRITERIA </w:t>
      </w:r>
    </w:p>
    <w:p w:rsidRPr="00E17A70" w:rsidR="007B61E5" w:rsidP="007B61E5" w:rsidRDefault="007B61E5" w14:paraId="132D652E" w14:textId="77777777">
      <w:pPr>
        <w:jc w:val="both"/>
        <w:rPr>
          <w:b/>
          <w:szCs w:val="28"/>
        </w:rPr>
      </w:pPr>
    </w:p>
    <w:p w:rsidRPr="00E17A70" w:rsidR="007B61E5" w:rsidP="007B61E5" w:rsidRDefault="007B61E5" w14:paraId="4F8F41FE" w14:textId="77777777">
      <w:pPr>
        <w:ind w:firstLine="720"/>
        <w:jc w:val="both"/>
        <w:rPr>
          <w:b/>
        </w:rPr>
      </w:pPr>
      <w:r w:rsidRPr="00E17A70">
        <w:rPr>
          <w:b/>
        </w:rPr>
        <w:t>3(a)</w:t>
      </w:r>
      <w:r w:rsidRPr="00E17A70">
        <w:rPr>
          <w:b/>
        </w:rPr>
        <w:tab/>
        <w:t>Nonduplication</w:t>
      </w:r>
    </w:p>
    <w:p w:rsidRPr="00E17A70" w:rsidR="007B61E5" w:rsidP="007B61E5" w:rsidRDefault="007B61E5" w14:paraId="45E39486" w14:textId="77777777">
      <w:pPr>
        <w:ind w:firstLine="720"/>
        <w:jc w:val="both"/>
        <w:rPr>
          <w:b/>
          <w:szCs w:val="28"/>
        </w:rPr>
      </w:pPr>
    </w:p>
    <w:p w:rsidR="00B0696F" w:rsidP="00B0696F" w:rsidRDefault="00B0696F" w14:paraId="23D99707" w14:textId="77777777">
      <w:pPr>
        <w:ind w:firstLine="720"/>
      </w:pPr>
      <w:r>
        <w:t>None of the informa</w:t>
      </w:r>
      <w:r>
        <w:rPr>
          <w:rStyle w:val="BodyTextDSWChar"/>
        </w:rPr>
        <w:t>t</w:t>
      </w:r>
      <w:r>
        <w:t>ion covered in this information collection is duplicative with information required by other existing Federal regulations.</w:t>
      </w:r>
    </w:p>
    <w:p w:rsidRPr="00E17A70" w:rsidR="00B0696F" w:rsidP="007B61E5" w:rsidRDefault="00B0696F" w14:paraId="3926B8F2" w14:textId="77777777">
      <w:pPr>
        <w:ind w:firstLine="720"/>
      </w:pPr>
    </w:p>
    <w:p w:rsidRPr="00E17A70" w:rsidR="007B61E5" w:rsidP="007B61E5" w:rsidRDefault="007B61E5" w14:paraId="7C709B75" w14:textId="77777777">
      <w:pPr>
        <w:ind w:firstLine="720"/>
        <w:rPr>
          <w:b/>
        </w:rPr>
      </w:pPr>
      <w:r w:rsidRPr="00E17A70">
        <w:rPr>
          <w:b/>
        </w:rPr>
        <w:t>3(b)</w:t>
      </w:r>
      <w:r w:rsidRPr="00E17A70">
        <w:rPr>
          <w:b/>
        </w:rPr>
        <w:tab/>
        <w:t>Public Notice</w:t>
      </w:r>
    </w:p>
    <w:p w:rsidRPr="00E17A70" w:rsidR="007B61E5" w:rsidP="007B61E5" w:rsidRDefault="007B61E5" w14:paraId="0708DF6D" w14:textId="77777777">
      <w:pPr>
        <w:ind w:firstLine="720"/>
        <w:rPr>
          <w:b/>
        </w:rPr>
      </w:pPr>
    </w:p>
    <w:p w:rsidR="00115AF9" w:rsidP="007B61E5" w:rsidRDefault="007B61E5" w14:paraId="7A701F40" w14:textId="446DE5D4">
      <w:pPr>
        <w:ind w:firstLine="720"/>
      </w:pPr>
      <w:r w:rsidRPr="00E17A70">
        <w:t xml:space="preserve">In compliance with the Paperwork Reduction Act of 1995, EPA </w:t>
      </w:r>
      <w:r w:rsidR="00F53DE6">
        <w:t>issued</w:t>
      </w:r>
      <w:r w:rsidR="00290200">
        <w:t xml:space="preserve"> </w:t>
      </w:r>
      <w:r w:rsidR="00F53DE6">
        <w:t>a</w:t>
      </w:r>
      <w:r w:rsidR="00290200">
        <w:t xml:space="preserve"> </w:t>
      </w:r>
      <w:r w:rsidRPr="00E17A70">
        <w:t xml:space="preserve">public </w:t>
      </w:r>
      <w:r w:rsidR="00F53DE6">
        <w:t xml:space="preserve">notice in </w:t>
      </w:r>
      <w:r w:rsidRPr="00E17A70">
        <w:t xml:space="preserve">the </w:t>
      </w:r>
      <w:r w:rsidRPr="00E17A70">
        <w:rPr>
          <w:i/>
          <w:iCs/>
        </w:rPr>
        <w:t>Federal Register</w:t>
      </w:r>
      <w:r w:rsidR="00F53DE6">
        <w:rPr>
          <w:i/>
          <w:iCs/>
        </w:rPr>
        <w:t xml:space="preserve"> </w:t>
      </w:r>
      <w:r w:rsidR="00F53DE6">
        <w:t>on October 12, 2021 (</w:t>
      </w:r>
      <w:r w:rsidR="0035083A">
        <w:t>86 FR 56704)</w:t>
      </w:r>
      <w:r w:rsidRPr="00E17A70">
        <w:t xml:space="preserve">.  </w:t>
      </w:r>
      <w:r w:rsidR="0035083A">
        <w:t>No comments were received.</w:t>
      </w:r>
    </w:p>
    <w:p w:rsidR="005D3779" w:rsidP="005D3779" w:rsidRDefault="005D3779" w14:paraId="55AC4A0F" w14:textId="77777777"/>
    <w:p w:rsidRPr="00E17A70" w:rsidR="007B61E5" w:rsidP="005D3779" w:rsidRDefault="00115AF9" w14:paraId="3A6BE578" w14:textId="54E0F88E">
      <w:pPr>
        <w:ind w:firstLine="720"/>
      </w:pPr>
      <w:r>
        <w:t xml:space="preserve"> </w:t>
      </w:r>
      <w:r w:rsidRPr="00E17A70" w:rsidR="007B61E5">
        <w:rPr>
          <w:b/>
          <w:bCs/>
        </w:rPr>
        <w:t>3(c)</w:t>
      </w:r>
      <w:r w:rsidRPr="00E17A70" w:rsidR="007B61E5">
        <w:rPr>
          <w:b/>
          <w:bCs/>
        </w:rPr>
        <w:tab/>
        <w:t>Consultations</w:t>
      </w:r>
      <w:r w:rsidRPr="00E17A70" w:rsidR="007B61E5">
        <w:rPr>
          <w:b/>
          <w:bCs/>
        </w:rPr>
        <w:fldChar w:fldCharType="begin"/>
      </w:r>
      <w:r w:rsidRPr="00E17A70" w:rsidR="007B61E5">
        <w:rPr>
          <w:b/>
          <w:bCs/>
        </w:rPr>
        <w:instrText>tc \l2 "3(c)</w:instrText>
      </w:r>
      <w:r w:rsidRPr="00E17A70" w:rsidR="007B61E5">
        <w:rPr>
          <w:b/>
          <w:bCs/>
        </w:rPr>
        <w:tab/>
        <w:instrText>Consultations</w:instrText>
      </w:r>
      <w:r w:rsidRPr="00E17A70" w:rsidR="007B61E5">
        <w:rPr>
          <w:b/>
          <w:bCs/>
        </w:rPr>
        <w:fldChar w:fldCharType="end"/>
      </w:r>
    </w:p>
    <w:p w:rsidRPr="00E17A70" w:rsidR="007B61E5" w:rsidP="007B61E5" w:rsidRDefault="007B61E5" w14:paraId="584EF2F3" w14:textId="77777777">
      <w:pPr>
        <w:ind w:firstLine="720"/>
      </w:pPr>
    </w:p>
    <w:p w:rsidR="007B61E5" w:rsidP="007B61E5" w:rsidRDefault="0035083A" w14:paraId="67CB439E" w14:textId="74F8D67B">
      <w:pPr>
        <w:ind w:firstLine="720"/>
      </w:pPr>
      <w:r>
        <w:t xml:space="preserve">In compliance with the Paperwork Reduction Act of 1995, EPA consulted with </w:t>
      </w:r>
      <w:r w:rsidR="00591EA4">
        <w:t>the following healthcare facilities:</w:t>
      </w:r>
    </w:p>
    <w:p w:rsidR="00591EA4" w:rsidP="007B61E5" w:rsidRDefault="00591EA4" w14:paraId="094924F2" w14:textId="561B1FEB">
      <w:pPr>
        <w:ind w:firstLine="720"/>
      </w:pPr>
    </w:p>
    <w:p w:rsidRPr="00260059" w:rsidR="00591EA4" w:rsidP="00591EA4" w:rsidRDefault="00591EA4" w14:paraId="131BF0F4" w14:textId="77777777">
      <w:pPr>
        <w:ind w:left="720"/>
      </w:pPr>
      <w:r w:rsidRPr="00260059">
        <w:t>Thomas Hospital</w:t>
      </w:r>
      <w:r>
        <w:t>, Fairhope Alabama</w:t>
      </w:r>
    </w:p>
    <w:p w:rsidRPr="00260059" w:rsidR="00591EA4" w:rsidP="00591EA4" w:rsidRDefault="00591EA4" w14:paraId="31F781C1" w14:textId="77777777">
      <w:pPr>
        <w:ind w:left="720"/>
      </w:pPr>
      <w:r w:rsidRPr="00260059">
        <w:t>Omnicare Of Huntsville</w:t>
      </w:r>
    </w:p>
    <w:p w:rsidRPr="00260059" w:rsidR="00591EA4" w:rsidP="00591EA4" w:rsidRDefault="00591EA4" w14:paraId="7F399D08" w14:textId="77777777">
      <w:pPr>
        <w:ind w:left="720"/>
      </w:pPr>
      <w:r w:rsidRPr="00260059">
        <w:t xml:space="preserve">Walmart Supercenter </w:t>
      </w:r>
      <w:r>
        <w:t>in Raleigh North Carolina</w:t>
      </w:r>
    </w:p>
    <w:p w:rsidRPr="00260059" w:rsidR="00591EA4" w:rsidP="00591EA4" w:rsidRDefault="00591EA4" w14:paraId="604A2687" w14:textId="77777777">
      <w:pPr>
        <w:ind w:left="720"/>
      </w:pPr>
      <w:r w:rsidRPr="00260059">
        <w:t>Sentara General Hospital</w:t>
      </w:r>
      <w:r>
        <w:t xml:space="preserve"> in Virginia Beach</w:t>
      </w:r>
    </w:p>
    <w:p w:rsidR="00591EA4" w:rsidP="00591EA4" w:rsidRDefault="00591EA4" w14:paraId="17B4F52B" w14:textId="77777777">
      <w:pPr>
        <w:ind w:left="720"/>
      </w:pPr>
      <w:r w:rsidRPr="00260059">
        <w:t>Pillpack L</w:t>
      </w:r>
      <w:r>
        <w:t>LC</w:t>
      </w:r>
    </w:p>
    <w:p w:rsidR="00591EA4" w:rsidP="00591EA4" w:rsidRDefault="00591EA4" w14:paraId="142E2A39" w14:textId="500F16C1">
      <w:pPr>
        <w:ind w:left="720"/>
      </w:pPr>
      <w:r w:rsidRPr="00260059">
        <w:t xml:space="preserve">Doctors Hospital </w:t>
      </w:r>
      <w:r>
        <w:t>o</w:t>
      </w:r>
      <w:r w:rsidRPr="00260059">
        <w:t>f Augusta</w:t>
      </w:r>
      <w:r>
        <w:t xml:space="preserve"> Georgia</w:t>
      </w:r>
    </w:p>
    <w:p w:rsidR="00CA6CC4" w:rsidP="00591EA4" w:rsidRDefault="00CA6CC4" w14:paraId="6DE8CE24" w14:textId="77777777">
      <w:pPr>
        <w:ind w:left="720"/>
      </w:pPr>
    </w:p>
    <w:p w:rsidRPr="00591EA4" w:rsidR="00591EA4" w:rsidP="00591EA4" w:rsidRDefault="00591EA4" w14:paraId="69A46990" w14:textId="2E43E256">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591EA4">
        <w:t>There are no changes to the burden calculations based on these consultations.</w:t>
      </w:r>
    </w:p>
    <w:p w:rsidRPr="00E17A70" w:rsidR="007B61E5" w:rsidP="007B61E5" w:rsidRDefault="007B61E5" w14:paraId="7BEE0173" w14:textId="77777777">
      <w:pPr>
        <w:ind w:firstLine="720"/>
      </w:pPr>
    </w:p>
    <w:p w:rsidRPr="00E17A70" w:rsidR="007B61E5" w:rsidP="007B61E5" w:rsidRDefault="007B61E5" w14:paraId="74BA9F0C" w14:textId="77777777">
      <w:pPr>
        <w:ind w:firstLine="720"/>
      </w:pPr>
      <w:r w:rsidRPr="00E17A70">
        <w:rPr>
          <w:b/>
          <w:bCs/>
        </w:rPr>
        <w:t xml:space="preserve"> 3(d)</w:t>
      </w:r>
      <w:r w:rsidRPr="00E17A70">
        <w:rPr>
          <w:b/>
          <w:bCs/>
        </w:rPr>
        <w:tab/>
        <w:t>Effects of Less Frequent Collection</w:t>
      </w:r>
      <w:r w:rsidRPr="00E17A70">
        <w:rPr>
          <w:b/>
          <w:bCs/>
        </w:rPr>
        <w:fldChar w:fldCharType="begin"/>
      </w:r>
      <w:r w:rsidRPr="00E17A70">
        <w:rPr>
          <w:b/>
          <w:bCs/>
        </w:rPr>
        <w:instrText>tc \l2 "3(d)</w:instrText>
      </w:r>
      <w:r w:rsidRPr="00E17A70">
        <w:rPr>
          <w:b/>
          <w:bCs/>
        </w:rPr>
        <w:tab/>
        <w:instrText>Effects of Less Frequent Collection</w:instrText>
      </w:r>
      <w:r w:rsidRPr="00E17A70">
        <w:rPr>
          <w:b/>
          <w:bCs/>
        </w:rPr>
        <w:fldChar w:fldCharType="end"/>
      </w:r>
    </w:p>
    <w:p w:rsidRPr="00E17A70" w:rsidR="007B61E5" w:rsidP="007B61E5" w:rsidRDefault="007B61E5" w14:paraId="36747C62" w14:textId="77777777">
      <w:pPr>
        <w:ind w:firstLine="720"/>
      </w:pPr>
    </w:p>
    <w:p w:rsidRPr="00E17A70" w:rsidR="007B61E5" w:rsidP="007B61E5" w:rsidRDefault="007B61E5" w14:paraId="2DD47A2B" w14:textId="0E85B6D5">
      <w:pPr>
        <w:ind w:firstLine="720"/>
      </w:pPr>
      <w:r w:rsidRPr="00E17A70">
        <w:t>EPA has carefully considered the burden imposed upon the regulated community</w:t>
      </w:r>
      <w:r w:rsidR="00951615">
        <w:t xml:space="preserve">. </w:t>
      </w:r>
      <w:r w:rsidRPr="00E17A70">
        <w:t>EPA is confident that those activities required of respondents are necessary, and to the extent possible, the Agency has attempted t</w:t>
      </w:r>
      <w:r w:rsidR="00951615">
        <w:t xml:space="preserve">o minimize the burden imposed. </w:t>
      </w:r>
      <w:r w:rsidRPr="00E17A70">
        <w:t>EPA believes strongly that, if the minimum information collection requirements are not met, neither the industry nor EPA will be able to ensure that pharmaceutical wastes are being managed in a manner protective of human health and the environment.</w:t>
      </w:r>
    </w:p>
    <w:p w:rsidRPr="00E17A70" w:rsidR="007B61E5" w:rsidP="007B61E5" w:rsidRDefault="007B61E5" w14:paraId="4B5F90CC" w14:textId="77777777">
      <w:pPr>
        <w:ind w:firstLine="720"/>
      </w:pPr>
    </w:p>
    <w:p w:rsidRPr="00E17A70" w:rsidR="007B61E5" w:rsidP="007B61E5" w:rsidRDefault="007B61E5" w14:paraId="2C42BF66" w14:textId="77777777">
      <w:pPr>
        <w:ind w:firstLine="720"/>
      </w:pPr>
      <w:r w:rsidRPr="00E17A70">
        <w:rPr>
          <w:b/>
          <w:bCs/>
        </w:rPr>
        <w:t>3(e)</w:t>
      </w:r>
      <w:r w:rsidRPr="00E17A70">
        <w:rPr>
          <w:b/>
          <w:bCs/>
        </w:rPr>
        <w:tab/>
        <w:t>General Guidelines</w:t>
      </w:r>
      <w:r w:rsidRPr="00E17A70">
        <w:rPr>
          <w:b/>
          <w:bCs/>
        </w:rPr>
        <w:fldChar w:fldCharType="begin"/>
      </w:r>
      <w:r w:rsidRPr="00E17A70">
        <w:rPr>
          <w:b/>
          <w:bCs/>
        </w:rPr>
        <w:instrText>tc \l2 "3(e)</w:instrText>
      </w:r>
      <w:r w:rsidRPr="00E17A70">
        <w:rPr>
          <w:b/>
          <w:bCs/>
        </w:rPr>
        <w:tab/>
        <w:instrText>General Guidelines</w:instrText>
      </w:r>
      <w:r w:rsidRPr="00E17A70">
        <w:rPr>
          <w:b/>
          <w:bCs/>
        </w:rPr>
        <w:fldChar w:fldCharType="end"/>
      </w:r>
    </w:p>
    <w:p w:rsidRPr="00E17A70" w:rsidR="007B61E5" w:rsidP="007B61E5" w:rsidRDefault="007B61E5" w14:paraId="17B56501" w14:textId="77777777">
      <w:pPr>
        <w:ind w:firstLine="720"/>
      </w:pPr>
    </w:p>
    <w:p w:rsidRPr="00E17A70" w:rsidR="007B61E5" w:rsidP="007B61E5" w:rsidRDefault="007B61E5" w14:paraId="24F08CA4" w14:textId="77777777">
      <w:pPr>
        <w:ind w:firstLine="720"/>
      </w:pPr>
      <w:r w:rsidRPr="00E17A70">
        <w:t>This ICR adheres to the guidelines stated in the Paperwork Reduction Act of 1995,</w:t>
      </w:r>
      <w:r w:rsidR="003043E8">
        <w:t xml:space="preserve"> </w:t>
      </w:r>
      <w:r w:rsidRPr="00E17A70">
        <w:t>OMB’s implementing regulations, EPA’s ICR Handbook, and other applicable OMB guidance.</w:t>
      </w:r>
    </w:p>
    <w:p w:rsidR="007B61E5" w:rsidP="007B61E5" w:rsidRDefault="007B61E5" w14:paraId="3B5028AD" w14:textId="77777777"/>
    <w:p w:rsidRPr="00E17A70" w:rsidR="007B61E5" w:rsidP="007B61E5" w:rsidRDefault="007B61E5" w14:paraId="0D353810" w14:textId="77777777">
      <w:pPr>
        <w:ind w:firstLine="720"/>
      </w:pPr>
      <w:r w:rsidRPr="00E17A70">
        <w:rPr>
          <w:b/>
          <w:bCs/>
        </w:rPr>
        <w:t>3(f)</w:t>
      </w:r>
      <w:r w:rsidRPr="00E17A70">
        <w:rPr>
          <w:b/>
          <w:bCs/>
        </w:rPr>
        <w:tab/>
        <w:t>Confidentiality</w:t>
      </w:r>
      <w:r w:rsidRPr="00E17A70">
        <w:rPr>
          <w:b/>
          <w:bCs/>
        </w:rPr>
        <w:fldChar w:fldCharType="begin"/>
      </w:r>
      <w:r w:rsidRPr="00E17A70">
        <w:rPr>
          <w:b/>
          <w:bCs/>
        </w:rPr>
        <w:instrText>tc \l2 "3(f)</w:instrText>
      </w:r>
      <w:r w:rsidRPr="00E17A70">
        <w:rPr>
          <w:b/>
          <w:bCs/>
        </w:rPr>
        <w:tab/>
        <w:instrText>Confidentiality</w:instrText>
      </w:r>
      <w:r w:rsidRPr="00E17A70">
        <w:rPr>
          <w:b/>
          <w:bCs/>
        </w:rPr>
        <w:fldChar w:fldCharType="end"/>
      </w:r>
    </w:p>
    <w:p w:rsidRPr="00E17A70" w:rsidR="007B61E5" w:rsidP="007B61E5" w:rsidRDefault="007B61E5" w14:paraId="4DB46EAA" w14:textId="77777777">
      <w:pPr>
        <w:ind w:firstLine="720"/>
      </w:pPr>
    </w:p>
    <w:p w:rsidRPr="00E17A70" w:rsidR="007B61E5" w:rsidP="007B61E5" w:rsidRDefault="007B61E5" w14:paraId="1E065A15" w14:textId="517F7CC4">
      <w:pPr>
        <w:ind w:firstLine="720"/>
      </w:pPr>
      <w:r w:rsidRPr="00E17A70">
        <w:t xml:space="preserve">Section 3007(b) of RCRA and 40 </w:t>
      </w:r>
      <w:r w:rsidRPr="00E17A70">
        <w:rPr>
          <w:i/>
          <w:iCs/>
        </w:rPr>
        <w:t>CFR</w:t>
      </w:r>
      <w:r w:rsidRPr="00E17A70">
        <w:t xml:space="preserve"> Part 2, Subpart B, which defines EPA’s general policy on public disclosure of information, contain provisions for confidentiality.  However, the Agency does not anticipate that businesses will assert a claim of</w:t>
      </w:r>
      <w:r w:rsidR="00B0696F">
        <w:t xml:space="preserve"> confidentiality</w:t>
      </w:r>
      <w:r w:rsidR="00951615">
        <w:t xml:space="preserve">. </w:t>
      </w:r>
      <w:r w:rsidRPr="00E17A70">
        <w:t>If such a claim were asserted, EPA must and will treat the information in accordance wit</w:t>
      </w:r>
      <w:r w:rsidR="00951615">
        <w:t xml:space="preserve">h the regulations cited above. </w:t>
      </w:r>
      <w:r w:rsidRPr="00E17A70">
        <w:t>EPA also will assure that this information collection complies with the Privacy Act of 1974 and OMB Circular 108.</w:t>
      </w:r>
    </w:p>
    <w:p w:rsidRPr="00E17A70" w:rsidR="007B61E5" w:rsidP="007B61E5" w:rsidRDefault="007B61E5" w14:paraId="74BAA7CD" w14:textId="77777777">
      <w:pPr>
        <w:ind w:firstLine="720"/>
      </w:pPr>
    </w:p>
    <w:p w:rsidRPr="00E17A70" w:rsidR="007B61E5" w:rsidP="007B61E5" w:rsidRDefault="007B61E5" w14:paraId="37C44AF3" w14:textId="77777777">
      <w:pPr>
        <w:ind w:firstLine="720"/>
      </w:pPr>
      <w:r w:rsidRPr="00E17A70">
        <w:rPr>
          <w:b/>
          <w:bCs/>
        </w:rPr>
        <w:t>3(g)</w:t>
      </w:r>
      <w:r w:rsidRPr="00E17A70">
        <w:rPr>
          <w:b/>
          <w:bCs/>
        </w:rPr>
        <w:tab/>
        <w:t>Sensitive Questions</w:t>
      </w:r>
      <w:r w:rsidRPr="00E17A70">
        <w:rPr>
          <w:b/>
          <w:bCs/>
        </w:rPr>
        <w:fldChar w:fldCharType="begin"/>
      </w:r>
      <w:r w:rsidRPr="00E17A70">
        <w:rPr>
          <w:b/>
          <w:bCs/>
        </w:rPr>
        <w:instrText>tc \l2 "3(g)</w:instrText>
      </w:r>
      <w:r w:rsidRPr="00E17A70">
        <w:rPr>
          <w:b/>
          <w:bCs/>
        </w:rPr>
        <w:tab/>
        <w:instrText>Sensitive Questions</w:instrText>
      </w:r>
      <w:r w:rsidRPr="00E17A70">
        <w:rPr>
          <w:b/>
          <w:bCs/>
        </w:rPr>
        <w:fldChar w:fldCharType="end"/>
      </w:r>
    </w:p>
    <w:p w:rsidRPr="00E17A70" w:rsidR="007B61E5" w:rsidP="007B61E5" w:rsidRDefault="007B61E5" w14:paraId="007C2047" w14:textId="77777777">
      <w:pPr>
        <w:ind w:firstLine="720"/>
      </w:pPr>
    </w:p>
    <w:p w:rsidR="00B0696F" w:rsidP="00B0696F" w:rsidRDefault="00B0696F" w14:paraId="4FCD0DC8" w14:textId="77777777">
      <w:pPr>
        <w:pStyle w:val="BodyTextDSW"/>
      </w:pPr>
      <w:r>
        <w:t>No questions of a sensitive nature are included in the information collection requirements associated with this ICR.</w:t>
      </w:r>
    </w:p>
    <w:p w:rsidRPr="00E17A70" w:rsidR="007B61E5" w:rsidP="007B61E5" w:rsidRDefault="007B61E5" w14:paraId="4C605CF5" w14:textId="77777777">
      <w:pPr>
        <w:ind w:firstLine="720"/>
      </w:pPr>
    </w:p>
    <w:p w:rsidRPr="00E17A70" w:rsidR="007B61E5" w:rsidP="007B61E5" w:rsidRDefault="007B61E5" w14:paraId="27DB05E0" w14:textId="77777777">
      <w:pPr>
        <w:keepNext/>
        <w:keepLines/>
        <w:tabs>
          <w:tab w:val="left" w:pos="-1440"/>
        </w:tabs>
        <w:ind w:left="720" w:hanging="720"/>
        <w:rPr>
          <w:b/>
          <w:bCs/>
        </w:rPr>
      </w:pPr>
      <w:r w:rsidRPr="00E17A70">
        <w:rPr>
          <w:b/>
          <w:bCs/>
        </w:rPr>
        <w:lastRenderedPageBreak/>
        <w:t>4.</w:t>
      </w:r>
      <w:r w:rsidRPr="00E17A70">
        <w:rPr>
          <w:b/>
          <w:bCs/>
        </w:rPr>
        <w:tab/>
        <w:t>THE RESPONDENTS AND THE INFORMATION REQUESTED</w:t>
      </w:r>
      <w:r w:rsidRPr="00E17A70">
        <w:rPr>
          <w:b/>
          <w:bCs/>
        </w:rPr>
        <w:fldChar w:fldCharType="begin"/>
      </w:r>
      <w:r w:rsidRPr="00E17A70">
        <w:rPr>
          <w:b/>
          <w:bCs/>
        </w:rPr>
        <w:instrText>tc \l1 "4.</w:instrText>
      </w:r>
      <w:r w:rsidRPr="00E17A70">
        <w:rPr>
          <w:b/>
          <w:bCs/>
        </w:rPr>
        <w:tab/>
        <w:instrText>THE RESPONDENTS AND THE INFORMATION REQUESTED</w:instrText>
      </w:r>
      <w:r w:rsidRPr="00E17A70">
        <w:rPr>
          <w:b/>
          <w:bCs/>
        </w:rPr>
        <w:fldChar w:fldCharType="end"/>
      </w:r>
    </w:p>
    <w:p w:rsidRPr="00E17A70" w:rsidR="007B61E5" w:rsidP="007B61E5" w:rsidRDefault="007B61E5" w14:paraId="187D1C86" w14:textId="77777777">
      <w:pPr>
        <w:keepNext/>
        <w:keepLines/>
        <w:rPr>
          <w:b/>
          <w:bCs/>
        </w:rPr>
      </w:pPr>
    </w:p>
    <w:p w:rsidRPr="00E17A70" w:rsidR="007B61E5" w:rsidP="007B61E5" w:rsidRDefault="007B61E5" w14:paraId="12BBF25C" w14:textId="77777777">
      <w:pPr>
        <w:keepNext/>
        <w:keepLines/>
        <w:tabs>
          <w:tab w:val="left" w:pos="-1440"/>
        </w:tabs>
        <w:ind w:left="1440" w:hanging="720"/>
      </w:pPr>
      <w:r w:rsidRPr="00E17A70">
        <w:rPr>
          <w:b/>
          <w:bCs/>
        </w:rPr>
        <w:t>4(a)</w:t>
      </w:r>
      <w:r w:rsidRPr="00E17A70">
        <w:rPr>
          <w:b/>
          <w:bCs/>
        </w:rPr>
        <w:tab/>
        <w:t>Respondents and NAICS Codes</w:t>
      </w:r>
      <w:r w:rsidRPr="00E17A70">
        <w:rPr>
          <w:b/>
          <w:bCs/>
        </w:rPr>
        <w:fldChar w:fldCharType="begin"/>
      </w:r>
      <w:r w:rsidRPr="00E17A70">
        <w:rPr>
          <w:b/>
          <w:bCs/>
        </w:rPr>
        <w:instrText>tc \l2 "4(a)</w:instrText>
      </w:r>
      <w:r w:rsidRPr="00E17A70">
        <w:rPr>
          <w:b/>
          <w:bCs/>
        </w:rPr>
        <w:tab/>
        <w:instrText>Respondents and SIC/NAICS Codes</w:instrText>
      </w:r>
      <w:r w:rsidRPr="00E17A70">
        <w:rPr>
          <w:b/>
          <w:bCs/>
        </w:rPr>
        <w:fldChar w:fldCharType="end"/>
      </w:r>
    </w:p>
    <w:p w:rsidRPr="00E17A70" w:rsidR="007B61E5" w:rsidP="007B61E5" w:rsidRDefault="007B61E5" w14:paraId="4F4D774E" w14:textId="77777777">
      <w:pPr>
        <w:keepNext/>
        <w:keepLines/>
      </w:pPr>
    </w:p>
    <w:p w:rsidR="007B61E5" w:rsidP="007B61E5" w:rsidRDefault="007B61E5" w14:paraId="69E6DAE7" w14:textId="77777777">
      <w:pPr>
        <w:keepNext/>
        <w:keepLines/>
        <w:ind w:firstLine="720"/>
      </w:pPr>
      <w:r w:rsidRPr="00E17A70">
        <w:t>The following is a list of North American Industrial Classification System (NAICS) codes associated with the facilities most likely to be affected by the information collection requirements covered in this ICR.</w:t>
      </w:r>
    </w:p>
    <w:p w:rsidR="00EF0901" w:rsidP="007B61E5" w:rsidRDefault="00EF0901" w14:paraId="5868BB84" w14:textId="77777777">
      <w:pPr>
        <w:keepNext/>
        <w:keepLines/>
        <w:ind w:firstLine="720"/>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6"/>
        <w:gridCol w:w="6224"/>
      </w:tblGrid>
      <w:tr w:rsidR="00EF0901" w:rsidTr="00372333" w14:paraId="65645C71" w14:textId="77777777">
        <w:trPr>
          <w:trHeight w:val="287"/>
        </w:trPr>
        <w:tc>
          <w:tcPr>
            <w:tcW w:w="1876" w:type="dxa"/>
          </w:tcPr>
          <w:p w:rsidRPr="00CB64CB" w:rsidR="00EF0901" w:rsidP="00372333" w:rsidRDefault="00EF0901" w14:paraId="44EE8A80" w14:textId="77777777">
            <w:pPr>
              <w:keepNext/>
              <w:keepLines/>
              <w:rPr>
                <w:b/>
              </w:rPr>
            </w:pPr>
            <w:r w:rsidRPr="00CB64CB">
              <w:rPr>
                <w:b/>
              </w:rPr>
              <w:t>NAICS</w:t>
            </w:r>
          </w:p>
        </w:tc>
        <w:tc>
          <w:tcPr>
            <w:tcW w:w="6224" w:type="dxa"/>
          </w:tcPr>
          <w:p w:rsidRPr="00CB64CB" w:rsidR="00EF0901" w:rsidP="00372333" w:rsidRDefault="005F63EC" w14:paraId="0E441849" w14:textId="77777777">
            <w:pPr>
              <w:keepNext/>
              <w:keepLines/>
              <w:rPr>
                <w:b/>
              </w:rPr>
            </w:pPr>
            <w:r w:rsidRPr="00CB64CB">
              <w:rPr>
                <w:b/>
              </w:rPr>
              <w:t>Facility Type</w:t>
            </w:r>
          </w:p>
        </w:tc>
      </w:tr>
      <w:tr w:rsidR="00CB183F" w:rsidTr="00372333" w14:paraId="5A3C1D40" w14:textId="77777777">
        <w:tc>
          <w:tcPr>
            <w:tcW w:w="1876" w:type="dxa"/>
            <w:vAlign w:val="bottom"/>
          </w:tcPr>
          <w:p w:rsidRPr="001A7292" w:rsidR="00CB183F" w:rsidP="00CB183F" w:rsidRDefault="00CB183F" w14:paraId="1E3C3F0E" w14:textId="5EF5FF9B">
            <w:pPr>
              <w:keepNext/>
              <w:keepLines/>
            </w:pPr>
            <w:r w:rsidRPr="001A7292">
              <w:t>4242</w:t>
            </w:r>
          </w:p>
        </w:tc>
        <w:tc>
          <w:tcPr>
            <w:tcW w:w="6224" w:type="dxa"/>
          </w:tcPr>
          <w:p w:rsidRPr="004D729A" w:rsidR="00CB183F" w:rsidP="00CB183F" w:rsidRDefault="00CB183F" w14:paraId="084BAD18" w14:textId="1E5BBBF2">
            <w:pPr>
              <w:keepNext/>
              <w:keepLines/>
            </w:pPr>
            <w:r w:rsidRPr="00D01A28">
              <w:t>Drug Wholesalers</w:t>
            </w:r>
          </w:p>
        </w:tc>
      </w:tr>
      <w:tr w:rsidR="00CB183F" w:rsidTr="00372333" w14:paraId="0ECF79BF" w14:textId="77777777">
        <w:tc>
          <w:tcPr>
            <w:tcW w:w="1876" w:type="dxa"/>
            <w:vAlign w:val="bottom"/>
          </w:tcPr>
          <w:p w:rsidRPr="001A7292" w:rsidR="00CB183F" w:rsidP="00CB183F" w:rsidRDefault="00CB183F" w14:paraId="3F570BDF" w14:textId="5C44CB30">
            <w:pPr>
              <w:keepNext/>
              <w:keepLines/>
            </w:pPr>
            <w:r w:rsidRPr="001A7292">
              <w:t>44511</w:t>
            </w:r>
          </w:p>
        </w:tc>
        <w:tc>
          <w:tcPr>
            <w:tcW w:w="6224" w:type="dxa"/>
          </w:tcPr>
          <w:p w:rsidR="00CB183F" w:rsidP="00CB183F" w:rsidRDefault="00CB183F" w14:paraId="5633D3A4" w14:textId="77777777">
            <w:pPr>
              <w:keepNext/>
              <w:keepLines/>
            </w:pPr>
            <w:r>
              <w:t xml:space="preserve">Supermarkets and Other Grocery </w:t>
            </w:r>
          </w:p>
          <w:p w:rsidRPr="004D729A" w:rsidR="00CB183F" w:rsidP="00CB183F" w:rsidRDefault="00CB183F" w14:paraId="096F52FD" w14:textId="1D4B274D">
            <w:pPr>
              <w:keepNext/>
              <w:keepLines/>
            </w:pPr>
            <w:r>
              <w:t>(except convenience) Stores</w:t>
            </w:r>
          </w:p>
        </w:tc>
      </w:tr>
      <w:tr w:rsidR="00CB183F" w:rsidTr="00372333" w14:paraId="13F920CD" w14:textId="77777777">
        <w:tc>
          <w:tcPr>
            <w:tcW w:w="1876" w:type="dxa"/>
            <w:vAlign w:val="bottom"/>
          </w:tcPr>
          <w:p w:rsidR="00CB183F" w:rsidP="00CB183F" w:rsidRDefault="00CB183F" w14:paraId="563B5688" w14:textId="77777777">
            <w:pPr>
              <w:keepNext/>
              <w:keepLines/>
            </w:pPr>
            <w:r w:rsidRPr="001A7292">
              <w:t>44611</w:t>
            </w:r>
          </w:p>
        </w:tc>
        <w:tc>
          <w:tcPr>
            <w:tcW w:w="6224" w:type="dxa"/>
          </w:tcPr>
          <w:p w:rsidR="00CB183F" w:rsidP="00CB183F" w:rsidRDefault="00CB183F" w14:paraId="3D73866F" w14:textId="77777777">
            <w:pPr>
              <w:keepNext/>
              <w:keepLines/>
            </w:pPr>
            <w:r w:rsidRPr="004D729A">
              <w:t>Pharmacies and Drug Stores</w:t>
            </w:r>
          </w:p>
        </w:tc>
      </w:tr>
      <w:tr w:rsidR="00CB183F" w:rsidTr="00372333" w14:paraId="6648FD3E" w14:textId="77777777">
        <w:trPr>
          <w:trHeight w:val="58"/>
        </w:trPr>
        <w:tc>
          <w:tcPr>
            <w:tcW w:w="1876" w:type="dxa"/>
            <w:vAlign w:val="bottom"/>
          </w:tcPr>
          <w:p w:rsidR="00CB183F" w:rsidP="00CB183F" w:rsidRDefault="00CB183F" w14:paraId="4E9C2ABB" w14:textId="063FFF85">
            <w:pPr>
              <w:keepNext/>
              <w:keepLines/>
            </w:pPr>
            <w:r>
              <w:t>452311</w:t>
            </w:r>
          </w:p>
        </w:tc>
        <w:tc>
          <w:tcPr>
            <w:tcW w:w="6224" w:type="dxa"/>
          </w:tcPr>
          <w:p w:rsidR="00CB183F" w:rsidP="00CB183F" w:rsidRDefault="00CB183F" w14:paraId="582032C8" w14:textId="77777777">
            <w:pPr>
              <w:keepNext/>
              <w:keepLines/>
            </w:pPr>
            <w:r w:rsidRPr="00D01A28">
              <w:t>Warehouse Clubs and Supercenters</w:t>
            </w:r>
          </w:p>
        </w:tc>
      </w:tr>
      <w:tr w:rsidR="00CB183F" w:rsidTr="00372333" w14:paraId="0C85841D" w14:textId="77777777">
        <w:tc>
          <w:tcPr>
            <w:tcW w:w="1876" w:type="dxa"/>
            <w:vAlign w:val="bottom"/>
          </w:tcPr>
          <w:p w:rsidR="00CB183F" w:rsidP="00CB183F" w:rsidRDefault="00CB183F" w14:paraId="19282485" w14:textId="77777777">
            <w:pPr>
              <w:keepNext/>
              <w:keepLines/>
            </w:pPr>
            <w:r w:rsidRPr="001A7292">
              <w:t>54194</w:t>
            </w:r>
          </w:p>
        </w:tc>
        <w:tc>
          <w:tcPr>
            <w:tcW w:w="6224" w:type="dxa"/>
          </w:tcPr>
          <w:p w:rsidR="00CB183F" w:rsidP="00CB183F" w:rsidRDefault="00CB183F" w14:paraId="340DB27F" w14:textId="77777777">
            <w:pPr>
              <w:keepNext/>
              <w:keepLines/>
            </w:pPr>
            <w:r w:rsidRPr="00D01A28">
              <w:t>Veterinary Clinics</w:t>
            </w:r>
          </w:p>
        </w:tc>
      </w:tr>
      <w:tr w:rsidR="00CB183F" w:rsidTr="00372333" w14:paraId="26E56232" w14:textId="77777777">
        <w:trPr>
          <w:trHeight w:val="296"/>
        </w:trPr>
        <w:tc>
          <w:tcPr>
            <w:tcW w:w="1876" w:type="dxa"/>
            <w:vAlign w:val="bottom"/>
          </w:tcPr>
          <w:p w:rsidR="00CB183F" w:rsidP="00CB183F" w:rsidRDefault="00CB183F" w14:paraId="7929F511" w14:textId="77777777">
            <w:pPr>
              <w:keepNext/>
              <w:keepLines/>
            </w:pPr>
            <w:r w:rsidRPr="001A7292">
              <w:t>6211</w:t>
            </w:r>
          </w:p>
        </w:tc>
        <w:tc>
          <w:tcPr>
            <w:tcW w:w="6224" w:type="dxa"/>
          </w:tcPr>
          <w:p w:rsidR="00CB183F" w:rsidP="00CB183F" w:rsidRDefault="00CB183F" w14:paraId="59AB97A4" w14:textId="77777777">
            <w:pPr>
              <w:keepNext/>
              <w:keepLines/>
            </w:pPr>
            <w:r w:rsidRPr="00D01A28">
              <w:t>Physicians’ Offices</w:t>
            </w:r>
          </w:p>
        </w:tc>
      </w:tr>
      <w:tr w:rsidR="00CB183F" w:rsidTr="00372333" w14:paraId="5BF80371" w14:textId="77777777">
        <w:tc>
          <w:tcPr>
            <w:tcW w:w="1876" w:type="dxa"/>
            <w:vAlign w:val="bottom"/>
          </w:tcPr>
          <w:p w:rsidR="00CB183F" w:rsidP="00CB183F" w:rsidRDefault="00CB183F" w14:paraId="48F4D60E" w14:textId="77777777">
            <w:pPr>
              <w:keepNext/>
              <w:keepLines/>
            </w:pPr>
            <w:r w:rsidRPr="001A7292">
              <w:t>6212</w:t>
            </w:r>
          </w:p>
        </w:tc>
        <w:tc>
          <w:tcPr>
            <w:tcW w:w="6224" w:type="dxa"/>
          </w:tcPr>
          <w:p w:rsidR="00CB183F" w:rsidP="00CB183F" w:rsidRDefault="00CB183F" w14:paraId="73C4B245" w14:textId="77777777">
            <w:pPr>
              <w:keepNext/>
              <w:keepLines/>
            </w:pPr>
            <w:r w:rsidRPr="00D01A28">
              <w:t>Dentists’ Offices</w:t>
            </w:r>
          </w:p>
        </w:tc>
      </w:tr>
      <w:tr w:rsidR="00CB183F" w:rsidTr="00372333" w14:paraId="0A873FD5" w14:textId="77777777">
        <w:tc>
          <w:tcPr>
            <w:tcW w:w="1876" w:type="dxa"/>
            <w:vAlign w:val="bottom"/>
          </w:tcPr>
          <w:p w:rsidR="00CB183F" w:rsidP="00CB183F" w:rsidRDefault="00CB183F" w14:paraId="54A8E1FD" w14:textId="77777777">
            <w:pPr>
              <w:keepNext/>
              <w:keepLines/>
            </w:pPr>
            <w:r w:rsidRPr="001A7292">
              <w:t>6213</w:t>
            </w:r>
          </w:p>
        </w:tc>
        <w:tc>
          <w:tcPr>
            <w:tcW w:w="6224" w:type="dxa"/>
          </w:tcPr>
          <w:p w:rsidR="00CB183F" w:rsidP="00CB183F" w:rsidRDefault="00CB183F" w14:paraId="6DF27BE0" w14:textId="77777777">
            <w:pPr>
              <w:keepNext/>
              <w:keepLines/>
            </w:pPr>
            <w:r>
              <w:t>Other Health Practitioners</w:t>
            </w:r>
          </w:p>
        </w:tc>
      </w:tr>
      <w:tr w:rsidR="00CB183F" w:rsidTr="00372333" w14:paraId="2C8C665B" w14:textId="77777777">
        <w:tc>
          <w:tcPr>
            <w:tcW w:w="1876" w:type="dxa"/>
            <w:vAlign w:val="bottom"/>
          </w:tcPr>
          <w:p w:rsidR="00CB183F" w:rsidP="00CB183F" w:rsidRDefault="00CB183F" w14:paraId="01A880CF" w14:textId="77777777">
            <w:pPr>
              <w:keepNext/>
              <w:keepLines/>
            </w:pPr>
            <w:r w:rsidRPr="001A7292">
              <w:t>6214</w:t>
            </w:r>
          </w:p>
        </w:tc>
        <w:tc>
          <w:tcPr>
            <w:tcW w:w="6224" w:type="dxa"/>
          </w:tcPr>
          <w:p w:rsidR="00CB183F" w:rsidP="00CB183F" w:rsidRDefault="00CB183F" w14:paraId="3862420B" w14:textId="77777777">
            <w:pPr>
              <w:keepNext/>
              <w:keepLines/>
            </w:pPr>
            <w:r w:rsidRPr="00D01A28">
              <w:t>Outpatient Care Centers</w:t>
            </w:r>
          </w:p>
        </w:tc>
      </w:tr>
      <w:tr w:rsidR="00CB183F" w:rsidTr="00372333" w14:paraId="7610A154" w14:textId="77777777">
        <w:tc>
          <w:tcPr>
            <w:tcW w:w="1876" w:type="dxa"/>
            <w:vAlign w:val="bottom"/>
          </w:tcPr>
          <w:p w:rsidR="00CB183F" w:rsidP="00CB183F" w:rsidRDefault="00CB183F" w14:paraId="213F8581" w14:textId="77777777">
            <w:pPr>
              <w:keepNext/>
              <w:keepLines/>
            </w:pPr>
            <w:r w:rsidRPr="001A7292">
              <w:t>6219</w:t>
            </w:r>
          </w:p>
        </w:tc>
        <w:tc>
          <w:tcPr>
            <w:tcW w:w="6224" w:type="dxa"/>
          </w:tcPr>
          <w:p w:rsidR="00CB183F" w:rsidP="00CB183F" w:rsidRDefault="00CB183F" w14:paraId="1CF1748A" w14:textId="77777777">
            <w:pPr>
              <w:keepNext/>
              <w:keepLines/>
            </w:pPr>
            <w:r w:rsidRPr="00D01A28">
              <w:t>Other Ambulatory Health Care Services</w:t>
            </w:r>
          </w:p>
        </w:tc>
      </w:tr>
      <w:tr w:rsidR="00CB183F" w:rsidTr="00372333" w14:paraId="40C1A2BF" w14:textId="77777777">
        <w:tc>
          <w:tcPr>
            <w:tcW w:w="1876" w:type="dxa"/>
            <w:vAlign w:val="bottom"/>
          </w:tcPr>
          <w:p w:rsidR="00CB183F" w:rsidP="00CB183F" w:rsidRDefault="00CB183F" w14:paraId="770A137D" w14:textId="77777777">
            <w:pPr>
              <w:keepNext/>
              <w:keepLines/>
            </w:pPr>
            <w:r w:rsidRPr="001A7292">
              <w:t>622</w:t>
            </w:r>
          </w:p>
        </w:tc>
        <w:tc>
          <w:tcPr>
            <w:tcW w:w="6224" w:type="dxa"/>
          </w:tcPr>
          <w:p w:rsidR="00CB183F" w:rsidP="00CB183F" w:rsidRDefault="00CB183F" w14:paraId="589AABE7" w14:textId="77777777">
            <w:pPr>
              <w:keepNext/>
              <w:keepLines/>
            </w:pPr>
            <w:r w:rsidRPr="00D01A28">
              <w:t>Hospitals</w:t>
            </w:r>
          </w:p>
        </w:tc>
      </w:tr>
      <w:tr w:rsidR="00CB183F" w:rsidTr="00372333" w14:paraId="4154DDD5" w14:textId="77777777">
        <w:tc>
          <w:tcPr>
            <w:tcW w:w="1876" w:type="dxa"/>
            <w:vAlign w:val="bottom"/>
          </w:tcPr>
          <w:p w:rsidR="00CB183F" w:rsidP="00CB183F" w:rsidRDefault="00CB183F" w14:paraId="5F8D4D74" w14:textId="77777777">
            <w:pPr>
              <w:keepNext/>
              <w:keepLines/>
            </w:pPr>
            <w:r w:rsidRPr="001A7292">
              <w:t>6231</w:t>
            </w:r>
          </w:p>
        </w:tc>
        <w:tc>
          <w:tcPr>
            <w:tcW w:w="6224" w:type="dxa"/>
          </w:tcPr>
          <w:p w:rsidR="00CB183F" w:rsidP="00CB183F" w:rsidRDefault="00CB183F" w14:paraId="4AE153B3" w14:textId="77777777">
            <w:pPr>
              <w:keepNext/>
              <w:keepLines/>
            </w:pPr>
            <w:r w:rsidRPr="00D01A28">
              <w:t>Nursing Care Facilities (e.g., assisted living facilities, nursing homes, veterans domiciliary centers)</w:t>
            </w:r>
          </w:p>
        </w:tc>
      </w:tr>
      <w:tr w:rsidR="00CB183F" w:rsidTr="00372333" w14:paraId="20FA7A0E" w14:textId="77777777">
        <w:trPr>
          <w:trHeight w:val="58"/>
        </w:trPr>
        <w:tc>
          <w:tcPr>
            <w:tcW w:w="1876" w:type="dxa"/>
            <w:vAlign w:val="bottom"/>
          </w:tcPr>
          <w:p w:rsidR="00CB183F" w:rsidP="00CB183F" w:rsidRDefault="00CB183F" w14:paraId="6FCF0C1E" w14:textId="77777777">
            <w:pPr>
              <w:keepNext/>
              <w:keepLines/>
            </w:pPr>
            <w:r w:rsidRPr="001A7292">
              <w:t>623311</w:t>
            </w:r>
          </w:p>
        </w:tc>
        <w:tc>
          <w:tcPr>
            <w:tcW w:w="6224" w:type="dxa"/>
          </w:tcPr>
          <w:p w:rsidR="00CB183F" w:rsidP="00CB183F" w:rsidRDefault="00CB183F" w14:paraId="7510CFA2" w14:textId="77777777">
            <w:pPr>
              <w:keepNext/>
              <w:keepLines/>
            </w:pPr>
            <w:r w:rsidRPr="00D01A28">
              <w:t>Continuing Care Retirement Communities (e.g., assisted living facilities with on-site nursing facilities)</w:t>
            </w:r>
          </w:p>
        </w:tc>
      </w:tr>
      <w:tr w:rsidR="00CB183F" w:rsidTr="00372333" w14:paraId="2F670069" w14:textId="77777777">
        <w:trPr>
          <w:trHeight w:val="58"/>
        </w:trPr>
        <w:tc>
          <w:tcPr>
            <w:tcW w:w="1876" w:type="dxa"/>
            <w:vAlign w:val="bottom"/>
          </w:tcPr>
          <w:p w:rsidR="00CB183F" w:rsidP="00CB183F" w:rsidRDefault="00CB183F" w14:paraId="6FF9E667" w14:textId="77777777">
            <w:pPr>
              <w:keepNext/>
              <w:keepLines/>
            </w:pPr>
            <w:r w:rsidRPr="001A7292">
              <w:t>Various NAICS</w:t>
            </w:r>
          </w:p>
        </w:tc>
        <w:tc>
          <w:tcPr>
            <w:tcW w:w="6224" w:type="dxa"/>
          </w:tcPr>
          <w:p w:rsidR="00CB183F" w:rsidP="00CB183F" w:rsidRDefault="00CB183F" w14:paraId="6108F334" w14:textId="77777777">
            <w:pPr>
              <w:keepNext/>
              <w:keepLines/>
            </w:pPr>
            <w:r w:rsidRPr="00D01A28">
              <w:t>Reverse Distributors</w:t>
            </w:r>
          </w:p>
        </w:tc>
      </w:tr>
    </w:tbl>
    <w:p w:rsidRPr="00E17A70" w:rsidR="007B61E5" w:rsidP="007B61E5" w:rsidRDefault="007B61E5" w14:paraId="1D8792EA" w14:textId="77777777">
      <w:pPr>
        <w:keepNext/>
        <w:keepLines/>
        <w:ind w:firstLine="720"/>
      </w:pPr>
    </w:p>
    <w:p w:rsidRPr="00E17A70" w:rsidR="007B61E5" w:rsidP="007B61E5" w:rsidRDefault="007B61E5" w14:paraId="751BDB85" w14:textId="77777777">
      <w:pPr>
        <w:ind w:firstLine="720"/>
        <w:rPr>
          <w:b/>
        </w:rPr>
      </w:pPr>
      <w:r w:rsidRPr="00E17A70">
        <w:rPr>
          <w:b/>
        </w:rPr>
        <w:t>4(b)</w:t>
      </w:r>
      <w:r w:rsidRPr="00E17A70">
        <w:rPr>
          <w:b/>
        </w:rPr>
        <w:tab/>
        <w:t>Information Requested</w:t>
      </w:r>
    </w:p>
    <w:p w:rsidRPr="00E17A70" w:rsidR="007B61E5" w:rsidP="007B61E5" w:rsidRDefault="007B61E5" w14:paraId="48C16637" w14:textId="77777777">
      <w:pPr>
        <w:jc w:val="both"/>
        <w:rPr>
          <w:szCs w:val="28"/>
        </w:rPr>
      </w:pPr>
    </w:p>
    <w:p w:rsidR="00832804" w:rsidP="00832804" w:rsidRDefault="007B61E5" w14:paraId="3E7B3136" w14:textId="6723DB65">
      <w:pPr>
        <w:pStyle w:val="CM25"/>
        <w:tabs>
          <w:tab w:val="left" w:pos="8640"/>
          <w:tab w:val="left" w:pos="8730"/>
        </w:tabs>
        <w:spacing w:line="283" w:lineRule="atLeast"/>
        <w:ind w:firstLine="720"/>
        <w:rPr>
          <w:rFonts w:ascii="Times New Roman" w:hAnsi="Times New Roman"/>
        </w:rPr>
      </w:pPr>
      <w:r w:rsidRPr="00E17A70">
        <w:rPr>
          <w:rFonts w:ascii="Times New Roman" w:hAnsi="Times New Roman"/>
        </w:rPr>
        <w:t xml:space="preserve">This section describes </w:t>
      </w:r>
      <w:r w:rsidR="00880FAF">
        <w:rPr>
          <w:rFonts w:ascii="Times New Roman" w:hAnsi="Times New Roman"/>
        </w:rPr>
        <w:t>reporting and recordkeeping</w:t>
      </w:r>
      <w:r w:rsidR="005B1D0B">
        <w:rPr>
          <w:rFonts w:ascii="Times New Roman" w:hAnsi="Times New Roman"/>
        </w:rPr>
        <w:t xml:space="preserve"> </w:t>
      </w:r>
      <w:r w:rsidRPr="00E17A70">
        <w:rPr>
          <w:rFonts w:ascii="Times New Roman" w:hAnsi="Times New Roman"/>
        </w:rPr>
        <w:t xml:space="preserve">requirements </w:t>
      </w:r>
      <w:r w:rsidR="00032860">
        <w:rPr>
          <w:rFonts w:ascii="Times New Roman" w:hAnsi="Times New Roman"/>
        </w:rPr>
        <w:t>for facilities managing hazardous waste</w:t>
      </w:r>
      <w:r w:rsidRPr="00E17A70">
        <w:rPr>
          <w:rFonts w:ascii="Times New Roman" w:hAnsi="Times New Roman"/>
        </w:rPr>
        <w:t xml:space="preserve"> pharmaceutical</w:t>
      </w:r>
      <w:r w:rsidR="00032860">
        <w:rPr>
          <w:rFonts w:ascii="Times New Roman" w:hAnsi="Times New Roman"/>
        </w:rPr>
        <w:t>s</w:t>
      </w:r>
      <w:r w:rsidRPr="00E17A70">
        <w:rPr>
          <w:rFonts w:ascii="Times New Roman" w:hAnsi="Times New Roman"/>
        </w:rPr>
        <w:t xml:space="preserve">. </w:t>
      </w:r>
    </w:p>
    <w:p w:rsidRPr="00832804" w:rsidR="008B37A2" w:rsidP="002C286C" w:rsidRDefault="00832804" w14:paraId="171BA74E" w14:textId="77777777">
      <w:pPr>
        <w:pStyle w:val="Default"/>
        <w:ind w:left="720" w:hanging="720"/>
        <w:rPr>
          <w:b/>
        </w:rPr>
      </w:pPr>
      <w:r w:rsidRPr="00832804">
        <w:rPr>
          <w:b/>
        </w:rPr>
        <w:t>(1</w:t>
      </w:r>
      <w:r>
        <w:rPr>
          <w:b/>
        </w:rPr>
        <w:t>)</w:t>
      </w:r>
      <w:r w:rsidR="003A4262">
        <w:rPr>
          <w:b/>
        </w:rPr>
        <w:tab/>
      </w:r>
      <w:r w:rsidR="008B37A2">
        <w:rPr>
          <w:b/>
        </w:rPr>
        <w:t xml:space="preserve">Healthcare Facilities Managing Non-Creditable Hazardous Waste </w:t>
      </w:r>
      <w:r>
        <w:rPr>
          <w:b/>
        </w:rPr>
        <w:t>Pharmaceuticals</w:t>
      </w:r>
      <w:r w:rsidR="00EF1CE1">
        <w:rPr>
          <w:b/>
        </w:rPr>
        <w:t xml:space="preserve"> Under 40 CFR</w:t>
      </w:r>
      <w:r w:rsidR="002C286C">
        <w:rPr>
          <w:b/>
        </w:rPr>
        <w:t xml:space="preserve"> </w:t>
      </w:r>
      <w:r w:rsidRPr="002C286C" w:rsidR="002C286C">
        <w:rPr>
          <w:b/>
        </w:rPr>
        <w:t>§</w:t>
      </w:r>
      <w:r w:rsidR="00A0043E">
        <w:rPr>
          <w:b/>
        </w:rPr>
        <w:t xml:space="preserve"> </w:t>
      </w:r>
      <w:r w:rsidRPr="002C286C" w:rsidR="002C286C">
        <w:rPr>
          <w:b/>
        </w:rPr>
        <w:t>266.502</w:t>
      </w:r>
      <w:r w:rsidR="007D6B8B">
        <w:rPr>
          <w:b/>
        </w:rPr>
        <w:t>.</w:t>
      </w:r>
    </w:p>
    <w:p w:rsidR="008B37A2" w:rsidP="008B37A2" w:rsidRDefault="008B37A2" w14:paraId="1AEE2824" w14:textId="77777777">
      <w:pPr>
        <w:pStyle w:val="NoSpacing"/>
        <w:ind w:firstLine="360"/>
        <w:rPr>
          <w:i/>
          <w:szCs w:val="24"/>
        </w:rPr>
      </w:pPr>
    </w:p>
    <w:p w:rsidR="008B37A2" w:rsidP="003A4262" w:rsidRDefault="008B37A2" w14:paraId="3D86A786" w14:textId="0BB4C49F">
      <w:pPr>
        <w:pStyle w:val="NoSpacing"/>
        <w:ind w:firstLine="720"/>
        <w:rPr>
          <w:szCs w:val="24"/>
        </w:rPr>
      </w:pPr>
      <w:r w:rsidRPr="00E96990">
        <w:rPr>
          <w:szCs w:val="24"/>
        </w:rPr>
        <w:t>(</w:t>
      </w:r>
      <w:r w:rsidR="00832804">
        <w:rPr>
          <w:szCs w:val="24"/>
        </w:rPr>
        <w:t>A</w:t>
      </w:r>
      <w:r w:rsidRPr="00E96990">
        <w:rPr>
          <w:szCs w:val="24"/>
        </w:rPr>
        <w:t xml:space="preserve">) </w:t>
      </w:r>
      <w:r w:rsidR="002A69DE">
        <w:rPr>
          <w:b/>
          <w:i/>
          <w:szCs w:val="24"/>
        </w:rPr>
        <w:t>Notification</w:t>
      </w:r>
      <w:r w:rsidRPr="003A4262">
        <w:rPr>
          <w:b/>
          <w:i/>
          <w:szCs w:val="24"/>
        </w:rPr>
        <w:t>.</w:t>
      </w:r>
      <w:r>
        <w:rPr>
          <w:szCs w:val="24"/>
        </w:rPr>
        <w:t xml:space="preserve">  A healthcare facility must notify the EPA Regional Administrator, using the Site Identification Form (EPA form 8700-12), that it is a healthcare facility operating under </w:t>
      </w:r>
      <w:r w:rsidR="002C286C">
        <w:rPr>
          <w:szCs w:val="24"/>
        </w:rPr>
        <w:t>this subpart</w:t>
      </w:r>
      <w:r w:rsidR="00175DC7">
        <w:rPr>
          <w:szCs w:val="24"/>
        </w:rPr>
        <w:t xml:space="preserve">. </w:t>
      </w:r>
      <w:r>
        <w:rPr>
          <w:szCs w:val="24"/>
        </w:rPr>
        <w:t>A healthcare facility is not required to fill out Box 11 (Description of Hazardous Waste) of the Site Identification Form with respect to its ha</w:t>
      </w:r>
      <w:r w:rsidR="00175DC7">
        <w:rPr>
          <w:szCs w:val="24"/>
        </w:rPr>
        <w:t xml:space="preserve">zardous waste pharmaceuticals. </w:t>
      </w:r>
      <w:r>
        <w:rPr>
          <w:szCs w:val="24"/>
        </w:rPr>
        <w:t>A healthcare facility must submit a separate notification (Site Identification Form) for each site or EPA Identification Number.</w:t>
      </w:r>
    </w:p>
    <w:p w:rsidR="008B37A2" w:rsidP="008B37A2" w:rsidRDefault="008B37A2" w14:paraId="71D58D3A" w14:textId="77777777">
      <w:pPr>
        <w:pStyle w:val="NoSpacing"/>
        <w:ind w:firstLine="360"/>
        <w:rPr>
          <w:szCs w:val="24"/>
        </w:rPr>
      </w:pPr>
    </w:p>
    <w:p w:rsidR="008B37A2" w:rsidP="003A4262" w:rsidRDefault="008B37A2" w14:paraId="2897EA33" w14:textId="318CC2E8">
      <w:pPr>
        <w:pStyle w:val="NoSpacing"/>
        <w:ind w:firstLine="720"/>
        <w:rPr>
          <w:szCs w:val="24"/>
        </w:rPr>
      </w:pPr>
      <w:r>
        <w:rPr>
          <w:szCs w:val="24"/>
        </w:rPr>
        <w:t>(i)  A healthcare facility that already has an EPA identification number</w:t>
      </w:r>
      <w:r w:rsidR="00E44405">
        <w:rPr>
          <w:szCs w:val="24"/>
        </w:rPr>
        <w:t xml:space="preserve"> must </w:t>
      </w:r>
      <w:r>
        <w:rPr>
          <w:szCs w:val="24"/>
        </w:rPr>
        <w:t>notify the EPA Regional Administrator, using the Site Identification Form (EPA form 8700-12), that it is a healthcare facility</w:t>
      </w:r>
      <w:r w:rsidR="00E44405">
        <w:rPr>
          <w:szCs w:val="24"/>
        </w:rPr>
        <w:t xml:space="preserve"> as part of its next Biennial Report</w:t>
      </w:r>
      <w:r>
        <w:rPr>
          <w:szCs w:val="24"/>
        </w:rPr>
        <w:t xml:space="preserve">, </w:t>
      </w:r>
      <w:r w:rsidR="00315ED1">
        <w:rPr>
          <w:szCs w:val="24"/>
        </w:rPr>
        <w:t xml:space="preserve">if it is required to submit one; or if it is not </w:t>
      </w:r>
      <w:r w:rsidR="00315ED1">
        <w:rPr>
          <w:szCs w:val="24"/>
        </w:rPr>
        <w:lastRenderedPageBreak/>
        <w:t xml:space="preserve">required to submit a Biennial Report, </w:t>
      </w:r>
      <w:r>
        <w:rPr>
          <w:szCs w:val="24"/>
        </w:rPr>
        <w:t>within 60 days of the</w:t>
      </w:r>
      <w:r w:rsidR="00E44405">
        <w:rPr>
          <w:szCs w:val="24"/>
        </w:rPr>
        <w:t xml:space="preserve"> effective date of this subpart, or within 60 days of becoming subject to his subpart.</w:t>
      </w:r>
    </w:p>
    <w:p w:rsidR="008B37A2" w:rsidP="008B37A2" w:rsidRDefault="008B37A2" w14:paraId="67007161" w14:textId="77777777">
      <w:pPr>
        <w:pStyle w:val="NoSpacing"/>
        <w:ind w:firstLine="360"/>
        <w:rPr>
          <w:szCs w:val="24"/>
        </w:rPr>
      </w:pPr>
    </w:p>
    <w:p w:rsidR="008B37A2" w:rsidP="003A4262" w:rsidRDefault="008B37A2" w14:paraId="170A81B0" w14:textId="4FF1E65E">
      <w:pPr>
        <w:pStyle w:val="NoSpacing"/>
        <w:ind w:firstLine="720"/>
        <w:rPr>
          <w:szCs w:val="24"/>
        </w:rPr>
      </w:pPr>
      <w:r>
        <w:rPr>
          <w:szCs w:val="24"/>
        </w:rPr>
        <w:t xml:space="preserve">(ii) A healthcare facility that does not have an EPA identification number must obtain one by notifying the EPA Regional Administrator, using the Site Identification form (EPA form 8700-12), that it is a healthcare facility, </w:t>
      </w:r>
      <w:r w:rsidRPr="00802967" w:rsidR="00315ED1">
        <w:rPr>
          <w:szCs w:val="24"/>
        </w:rPr>
        <w:t xml:space="preserve">as part of its next Biennial Report, if it is required to submit one; or if not required to submit a Biennial Report, </w:t>
      </w:r>
      <w:r>
        <w:rPr>
          <w:szCs w:val="24"/>
        </w:rPr>
        <w:t>within 60 days of the effective date of this subpart</w:t>
      </w:r>
      <w:r w:rsidR="00E44405">
        <w:rPr>
          <w:szCs w:val="24"/>
        </w:rPr>
        <w:t>, or within 60 days of becoming subject to this subpart</w:t>
      </w:r>
      <w:r>
        <w:rPr>
          <w:szCs w:val="24"/>
        </w:rPr>
        <w:t>.</w:t>
      </w:r>
    </w:p>
    <w:p w:rsidR="008B37A2" w:rsidP="008B37A2" w:rsidRDefault="008B37A2" w14:paraId="091E028D" w14:textId="77777777">
      <w:pPr>
        <w:pStyle w:val="NoSpacing"/>
        <w:ind w:firstLine="360"/>
        <w:rPr>
          <w:szCs w:val="24"/>
        </w:rPr>
      </w:pPr>
    </w:p>
    <w:p w:rsidR="008B37A2" w:rsidP="002C286C" w:rsidRDefault="008B37A2" w14:paraId="5F5484E2" w14:textId="77777777">
      <w:pPr>
        <w:pStyle w:val="NoSpacing"/>
        <w:ind w:firstLine="720"/>
        <w:rPr>
          <w:szCs w:val="24"/>
        </w:rPr>
      </w:pPr>
      <w:r>
        <w:rPr>
          <w:szCs w:val="24"/>
        </w:rPr>
        <w:t>(iii) A healthcare facility must keep a copy of its notification on file for as long as the facility is subject to this subpart.</w:t>
      </w:r>
    </w:p>
    <w:p w:rsidR="008B37A2" w:rsidP="008B37A2" w:rsidRDefault="008B37A2" w14:paraId="487AABA4" w14:textId="77777777">
      <w:pPr>
        <w:pStyle w:val="NoSpacing"/>
        <w:ind w:firstLine="360"/>
        <w:rPr>
          <w:szCs w:val="24"/>
        </w:rPr>
      </w:pPr>
    </w:p>
    <w:p w:rsidR="008B37A2" w:rsidP="002C286C" w:rsidRDefault="002C286C" w14:paraId="25178EBE" w14:textId="31A18EAA">
      <w:pPr>
        <w:pStyle w:val="ListParagraph"/>
        <w:spacing w:after="200"/>
        <w:ind w:left="0" w:firstLine="720"/>
        <w:contextualSpacing/>
      </w:pPr>
      <w:r>
        <w:t xml:space="preserve">(B) </w:t>
      </w:r>
      <w:r w:rsidRPr="002C286C">
        <w:rPr>
          <w:b/>
          <w:i/>
        </w:rPr>
        <w:t xml:space="preserve">Notification of </w:t>
      </w:r>
      <w:r w:rsidRPr="002C286C" w:rsidR="008B37A2">
        <w:rPr>
          <w:b/>
          <w:i/>
        </w:rPr>
        <w:t>Withdrawal.</w:t>
      </w:r>
      <w:r w:rsidRPr="007E28E2" w:rsidR="008B37A2">
        <w:rPr>
          <w:i/>
        </w:rPr>
        <w:t xml:space="preserve">  </w:t>
      </w:r>
      <w:r w:rsidRPr="007E28E2" w:rsidR="008B37A2">
        <w:t xml:space="preserve">A healthcare facility that operated under this subpart but is no longer subject to this subpart, because it is a </w:t>
      </w:r>
      <w:r w:rsidR="004B4B43">
        <w:t>very</w:t>
      </w:r>
      <w:r w:rsidRPr="007E28E2" w:rsidR="008B37A2">
        <w:t xml:space="preserve"> small quantity generator </w:t>
      </w:r>
      <w:r w:rsidRPr="009066C2" w:rsidR="008B37A2">
        <w:t xml:space="preserve">under </w:t>
      </w:r>
      <w:r w:rsidR="003A4262">
        <w:t xml:space="preserve">40 CFR </w:t>
      </w:r>
      <w:r w:rsidR="008B37A2">
        <w:t xml:space="preserve">§ </w:t>
      </w:r>
      <w:r w:rsidR="00315ED1">
        <w:t>262.14</w:t>
      </w:r>
      <w:r w:rsidR="008B37A2">
        <w:t>,</w:t>
      </w:r>
      <w:r w:rsidRPr="007E28E2" w:rsidR="008B37A2">
        <w:t xml:space="preserve"> and</w:t>
      </w:r>
      <w:r w:rsidR="008B37A2">
        <w:t xml:space="preserve"> </w:t>
      </w:r>
      <w:r w:rsidRPr="007E28E2" w:rsidR="008B37A2">
        <w:t xml:space="preserve">elects to withdraw from this subpart, must </w:t>
      </w:r>
      <w:r w:rsidR="008B37A2">
        <w:t xml:space="preserve">notify </w:t>
      </w:r>
      <w:r w:rsidRPr="007E28E2" w:rsidR="008B37A2">
        <w:t xml:space="preserve">the appropriate EPA Regional Administrator </w:t>
      </w:r>
      <w:r w:rsidR="008B37A2">
        <w:t xml:space="preserve">using </w:t>
      </w:r>
      <w:r w:rsidRPr="007E28E2" w:rsidR="008B37A2">
        <w:t>the Site Identification Form (EPA</w:t>
      </w:r>
      <w:r w:rsidR="008B37A2">
        <w:t xml:space="preserve"> f</w:t>
      </w:r>
      <w:r w:rsidRPr="007E28E2" w:rsidR="008B37A2">
        <w:t xml:space="preserve">orm 8700-12) that it is no longer operating under this </w:t>
      </w:r>
      <w:r w:rsidRPr="009E2423" w:rsidR="008B37A2">
        <w:t>subpart.</w:t>
      </w:r>
      <w:r w:rsidR="001A6C71">
        <w:t xml:space="preserve"> </w:t>
      </w:r>
      <w:r w:rsidRPr="009E2423" w:rsidR="008B37A2">
        <w:t>A healthcare facility is not required to fill out Box 11 (Description of Hazardous Waste) of the Site Identification Form</w:t>
      </w:r>
      <w:r w:rsidR="008B37A2">
        <w:t xml:space="preserve"> with respect to its hazardous waste pharmaceuticals</w:t>
      </w:r>
      <w:r w:rsidR="00332F1F">
        <w:t xml:space="preserve">. </w:t>
      </w:r>
      <w:r w:rsidRPr="009E2423" w:rsidR="008B37A2">
        <w:t>A</w:t>
      </w:r>
      <w:r w:rsidRPr="007E28E2" w:rsidR="008B37A2">
        <w:t xml:space="preserve"> healthcare facility must submit a separate notification (Site Identification Form) for each EPA Identification Number</w:t>
      </w:r>
      <w:r w:rsidR="008B37A2">
        <w:t>.</w:t>
      </w:r>
    </w:p>
    <w:p w:rsidR="008B37A2" w:rsidP="008B37A2" w:rsidRDefault="008B37A2" w14:paraId="13CBD289" w14:textId="77777777">
      <w:pPr>
        <w:pStyle w:val="ListParagraph"/>
        <w:ind w:left="360"/>
      </w:pPr>
    </w:p>
    <w:p w:rsidR="008B37A2" w:rsidP="001A6C71" w:rsidRDefault="002C286C" w14:paraId="0D589E80" w14:textId="6FCFEBD6">
      <w:pPr>
        <w:pStyle w:val="ListParagraph"/>
        <w:spacing w:after="200"/>
        <w:ind w:left="0" w:firstLine="720"/>
        <w:contextualSpacing/>
      </w:pPr>
      <w:r>
        <w:t>(i)</w:t>
      </w:r>
      <w:r w:rsidR="001A6C71">
        <w:t xml:space="preserve"> </w:t>
      </w:r>
      <w:r w:rsidR="008B37A2">
        <w:t>A healthcare facility</w:t>
      </w:r>
      <w:r w:rsidRPr="007E28E2" w:rsidR="008B37A2">
        <w:t xml:space="preserve"> must submit the Site Identification Form </w:t>
      </w:r>
      <w:r w:rsidR="008B37A2">
        <w:t xml:space="preserve">notifying that it is withdrawing from this subpart </w:t>
      </w:r>
      <w:r w:rsidRPr="007E28E2" w:rsidR="008B37A2">
        <w:t xml:space="preserve">before it begins operating under the conditional exemption of </w:t>
      </w:r>
      <w:r w:rsidR="008B37A2">
        <w:t xml:space="preserve">§ </w:t>
      </w:r>
      <w:r w:rsidR="00315ED1">
        <w:t>262.14</w:t>
      </w:r>
      <w:r w:rsidRPr="007E28E2" w:rsidR="008B37A2">
        <w:t xml:space="preserve">.  </w:t>
      </w:r>
    </w:p>
    <w:p w:rsidR="008B37A2" w:rsidP="008B37A2" w:rsidRDefault="008B37A2" w14:paraId="1BC547FA" w14:textId="77777777">
      <w:pPr>
        <w:pStyle w:val="ListParagraph"/>
        <w:ind w:left="360"/>
      </w:pPr>
    </w:p>
    <w:p w:rsidR="008B37A2" w:rsidP="001A6C71" w:rsidRDefault="001A6C71" w14:paraId="7A67137D" w14:textId="77777777">
      <w:pPr>
        <w:pStyle w:val="ListParagraph"/>
        <w:spacing w:after="200"/>
        <w:ind w:left="0" w:firstLine="720"/>
        <w:contextualSpacing/>
      </w:pPr>
      <w:r>
        <w:t xml:space="preserve">(ii) </w:t>
      </w:r>
      <w:r w:rsidRPr="007E28E2" w:rsidR="008B37A2">
        <w:t xml:space="preserve">A healthcare facility must keep a copy of its withdrawal on file for three years from the date of </w:t>
      </w:r>
      <w:r w:rsidR="008B37A2">
        <w:t xml:space="preserve">signature on the </w:t>
      </w:r>
      <w:r w:rsidRPr="007E28E2" w:rsidR="008B37A2">
        <w:t>notification of its withdrawal.</w:t>
      </w:r>
    </w:p>
    <w:p w:rsidR="00BF1FD6" w:rsidP="00BF1FD6" w:rsidRDefault="002A69DE" w14:paraId="5F63A229" w14:textId="297B8EFD">
      <w:pPr>
        <w:ind w:firstLine="720"/>
      </w:pPr>
      <w:r>
        <w:t>(C)</w:t>
      </w:r>
      <w:r w:rsidR="001A6C71">
        <w:rPr>
          <w:b/>
        </w:rPr>
        <w:t xml:space="preserve"> </w:t>
      </w:r>
      <w:r w:rsidRPr="002A69DE" w:rsidR="001A6C71">
        <w:rPr>
          <w:b/>
          <w:i/>
        </w:rPr>
        <w:t>Labeling</w:t>
      </w:r>
      <w:r>
        <w:rPr>
          <w:b/>
          <w:i/>
        </w:rPr>
        <w:t>.</w:t>
      </w:r>
      <w:r w:rsidR="001A6C71">
        <w:rPr>
          <w:i/>
        </w:rPr>
        <w:t xml:space="preserve"> </w:t>
      </w:r>
      <w:r w:rsidR="001A6C71">
        <w:t>A healthcare facility must label or clearly mark each container</w:t>
      </w:r>
      <w:r w:rsidRPr="00A97EA6" w:rsidR="001A6C71">
        <w:t xml:space="preserve"> of </w:t>
      </w:r>
      <w:r w:rsidR="00315ED1">
        <w:t xml:space="preserve">non-creditable </w:t>
      </w:r>
      <w:r w:rsidRPr="00A97EA6" w:rsidR="001A6C71">
        <w:t>hazardous waste pharmaceuticals with the phrase “</w:t>
      </w:r>
      <w:r w:rsidR="001A6C71">
        <w:t>H</w:t>
      </w:r>
      <w:r w:rsidRPr="00A97EA6" w:rsidR="001A6C71">
        <w:t xml:space="preserve">azardous </w:t>
      </w:r>
      <w:r w:rsidR="001A6C71">
        <w:t>W</w:t>
      </w:r>
      <w:r w:rsidRPr="00A97EA6" w:rsidR="001A6C71">
        <w:t xml:space="preserve">aste </w:t>
      </w:r>
      <w:r w:rsidR="001A6C71">
        <w:t>P</w:t>
      </w:r>
      <w:r w:rsidRPr="00A97EA6" w:rsidR="001A6C71">
        <w:t>harmaceuticals.”</w:t>
      </w:r>
      <w:r w:rsidR="001A6C71">
        <w:t xml:space="preserve">  </w:t>
      </w:r>
    </w:p>
    <w:p w:rsidR="00BF1FD6" w:rsidP="00BF1FD6" w:rsidRDefault="00BF1FD6" w14:paraId="0C50F390" w14:textId="77777777">
      <w:pPr>
        <w:ind w:firstLine="720"/>
      </w:pPr>
    </w:p>
    <w:p w:rsidR="001A6C71" w:rsidP="00BF1FD6" w:rsidRDefault="00BF1FD6" w14:paraId="189C87AC" w14:textId="5BCC4D09">
      <w:pPr>
        <w:ind w:firstLine="720"/>
      </w:pPr>
      <w:r>
        <w:t xml:space="preserve">(D) </w:t>
      </w:r>
      <w:r w:rsidRPr="00BB0397" w:rsidR="00315ED1">
        <w:rPr>
          <w:b/>
          <w:i/>
        </w:rPr>
        <w:t>Maximum</w:t>
      </w:r>
      <w:r w:rsidR="00315ED1">
        <w:rPr>
          <w:i/>
        </w:rPr>
        <w:t xml:space="preserve"> </w:t>
      </w:r>
      <w:r>
        <w:rPr>
          <w:b/>
          <w:i/>
        </w:rPr>
        <w:t>Accumulation Time.</w:t>
      </w:r>
      <w:r>
        <w:t xml:space="preserve"> A</w:t>
      </w:r>
      <w:r w:rsidRPr="00E4067A" w:rsidR="001A6C71">
        <w:t xml:space="preserve"> healthcare facility that accumulates </w:t>
      </w:r>
      <w:r w:rsidR="001A6C71">
        <w:t xml:space="preserve">non-creditable </w:t>
      </w:r>
      <w:r w:rsidRPr="00E4067A" w:rsidR="001A6C71">
        <w:t>hazardous waste pharmaceuticals on-site must demonstrate the length of time that the hazardous waste pharmaceuticals have been accumulating, starting from the date it first becomes a waste. A healthcare facility may make this demonstration by any of the following methods:</w:t>
      </w:r>
    </w:p>
    <w:p w:rsidR="00BF1FD6" w:rsidP="00BF1FD6" w:rsidRDefault="00BF1FD6" w14:paraId="480D9957" w14:textId="77777777">
      <w:pPr>
        <w:ind w:firstLine="720"/>
      </w:pPr>
    </w:p>
    <w:p w:rsidR="001A6C71" w:rsidP="00BF1FD6" w:rsidRDefault="00BF1FD6" w14:paraId="4CC07FDD" w14:textId="77777777">
      <w:pPr>
        <w:pStyle w:val="ListParagraph"/>
        <w:spacing w:after="200"/>
        <w:ind w:left="0" w:firstLine="720"/>
        <w:contextualSpacing/>
      </w:pPr>
      <w:r>
        <w:t xml:space="preserve">(i) </w:t>
      </w:r>
      <w:r w:rsidRPr="0056556C" w:rsidR="001A6C71">
        <w:t xml:space="preserve">Marking or labeling the container of </w:t>
      </w:r>
      <w:r w:rsidR="001A6C71">
        <w:t xml:space="preserve">non-creditable </w:t>
      </w:r>
      <w:r w:rsidRPr="0056556C" w:rsidR="001A6C71">
        <w:t>hazardous waste pharmaceuticals with the date that hazardous waste pharmaceuticals became a waste;</w:t>
      </w:r>
    </w:p>
    <w:p w:rsidRPr="0056556C" w:rsidR="001A6C71" w:rsidP="001A6C71" w:rsidRDefault="001A6C71" w14:paraId="0FF61249" w14:textId="77777777">
      <w:pPr>
        <w:pStyle w:val="ListParagraph"/>
        <w:ind w:left="360"/>
      </w:pPr>
    </w:p>
    <w:p w:rsidRPr="00EE2727" w:rsidR="001A6C71" w:rsidP="00BF1FD6" w:rsidRDefault="00BF1FD6" w14:paraId="6E283B8E" w14:textId="77777777">
      <w:pPr>
        <w:pStyle w:val="ListParagraph"/>
        <w:spacing w:after="200"/>
        <w:ind w:left="0" w:firstLine="720"/>
        <w:contextualSpacing/>
      </w:pPr>
      <w:r>
        <w:t xml:space="preserve">(ii) </w:t>
      </w:r>
      <w:r w:rsidR="001A6C71">
        <w:t>Maintaining an inventory system that identifies the date the non-creditable hazardous waste pharmaceutical being accumulated first became a waste;</w:t>
      </w:r>
    </w:p>
    <w:p w:rsidR="001A6C71" w:rsidP="001A6C71" w:rsidRDefault="001A6C71" w14:paraId="1881A9E7" w14:textId="77777777">
      <w:pPr>
        <w:pStyle w:val="ListParagraph"/>
        <w:ind w:left="360"/>
      </w:pPr>
    </w:p>
    <w:p w:rsidRPr="00EE2727" w:rsidR="001A6C71" w:rsidP="00BF1FD6" w:rsidRDefault="00BF1FD6" w14:paraId="415FCB60" w14:textId="17D88F27">
      <w:pPr>
        <w:pStyle w:val="ListParagraph"/>
        <w:spacing w:after="200"/>
        <w:ind w:left="0" w:firstLine="720"/>
        <w:contextualSpacing/>
      </w:pPr>
      <w:r>
        <w:t xml:space="preserve">(iii) </w:t>
      </w:r>
      <w:r w:rsidRPr="00EE2727" w:rsidR="001A6C71">
        <w:t xml:space="preserve">Placing the </w:t>
      </w:r>
      <w:r w:rsidR="001A6C71">
        <w:t xml:space="preserve">non-creditable </w:t>
      </w:r>
      <w:r w:rsidRPr="00EE2727" w:rsidR="001A6C71">
        <w:t xml:space="preserve">hazardous waste </w:t>
      </w:r>
      <w:r w:rsidR="001A6C71">
        <w:t xml:space="preserve">pharmaceuticals </w:t>
      </w:r>
      <w:r w:rsidRPr="00EE2727" w:rsidR="001A6C71">
        <w:t xml:space="preserve">in a specific area and identifying the earliest date that any of the </w:t>
      </w:r>
      <w:r w:rsidR="001A6C71">
        <w:t xml:space="preserve">non-creditable </w:t>
      </w:r>
      <w:r w:rsidRPr="00EE2727" w:rsidR="001A6C71">
        <w:t>hazardous waste pharmaceuticals in the area became a waste</w:t>
      </w:r>
      <w:r w:rsidR="00315ED1">
        <w:t>.</w:t>
      </w:r>
    </w:p>
    <w:p w:rsidR="001A6C71" w:rsidP="001A6C71" w:rsidRDefault="001A6C71" w14:paraId="1309EE28" w14:textId="77777777">
      <w:pPr>
        <w:pStyle w:val="ListParagraph"/>
        <w:ind w:left="360"/>
      </w:pPr>
    </w:p>
    <w:p w:rsidR="00010BE3" w:rsidP="00010BE3" w:rsidRDefault="00315ED1" w14:paraId="10416C5A" w14:textId="2AF85C91">
      <w:pPr>
        <w:pStyle w:val="NoSpacing"/>
        <w:ind w:firstLine="720"/>
        <w:rPr>
          <w:szCs w:val="24"/>
        </w:rPr>
      </w:pPr>
      <w:r w:rsidDel="00315ED1">
        <w:t xml:space="preserve"> </w:t>
      </w:r>
      <w:r w:rsidR="00010BE3">
        <w:rPr>
          <w:szCs w:val="24"/>
        </w:rPr>
        <w:t xml:space="preserve">(E) </w:t>
      </w:r>
      <w:r w:rsidR="00010BE3">
        <w:rPr>
          <w:b/>
          <w:i/>
          <w:szCs w:val="24"/>
        </w:rPr>
        <w:t xml:space="preserve">Tracking </w:t>
      </w:r>
      <w:r w:rsidR="00A87C5E">
        <w:rPr>
          <w:b/>
          <w:i/>
          <w:szCs w:val="24"/>
        </w:rPr>
        <w:t>Rejected</w:t>
      </w:r>
      <w:r w:rsidR="00010BE3">
        <w:rPr>
          <w:b/>
          <w:i/>
          <w:szCs w:val="24"/>
        </w:rPr>
        <w:t xml:space="preserve"> Shipment</w:t>
      </w:r>
      <w:r>
        <w:rPr>
          <w:b/>
          <w:i/>
          <w:szCs w:val="24"/>
        </w:rPr>
        <w:t>s</w:t>
      </w:r>
      <w:r w:rsidR="00010BE3">
        <w:rPr>
          <w:b/>
          <w:i/>
          <w:szCs w:val="24"/>
        </w:rPr>
        <w:t>.</w:t>
      </w:r>
      <w:r w:rsidR="00010BE3">
        <w:rPr>
          <w:szCs w:val="24"/>
        </w:rPr>
        <w:t xml:space="preserve"> </w:t>
      </w:r>
      <w:r w:rsidRPr="00CE1D60" w:rsidR="00010BE3">
        <w:rPr>
          <w:szCs w:val="24"/>
        </w:rPr>
        <w:t xml:space="preserve">Upon receipt of the returned shipment, the </w:t>
      </w:r>
      <w:r w:rsidR="00010BE3">
        <w:rPr>
          <w:szCs w:val="24"/>
        </w:rPr>
        <w:t xml:space="preserve">healthcare facility </w:t>
      </w:r>
      <w:r w:rsidRPr="00CE1D60" w:rsidR="00010BE3">
        <w:rPr>
          <w:szCs w:val="24"/>
        </w:rPr>
        <w:t>must:</w:t>
      </w:r>
    </w:p>
    <w:p w:rsidR="00010BE3" w:rsidP="00010BE3" w:rsidRDefault="00010BE3" w14:paraId="38E66979" w14:textId="77777777">
      <w:pPr>
        <w:pStyle w:val="NoSpacing"/>
        <w:ind w:firstLine="360"/>
        <w:rPr>
          <w:szCs w:val="24"/>
        </w:rPr>
      </w:pPr>
    </w:p>
    <w:p w:rsidR="008A3AD2" w:rsidP="00010BE3" w:rsidRDefault="00010BE3" w14:paraId="7A692A4F" w14:textId="77777777">
      <w:pPr>
        <w:pStyle w:val="NoSpacing"/>
        <w:ind w:firstLine="720"/>
        <w:rPr>
          <w:szCs w:val="24"/>
        </w:rPr>
      </w:pPr>
      <w:r>
        <w:rPr>
          <w:szCs w:val="24"/>
        </w:rPr>
        <w:t xml:space="preserve">(i) </w:t>
      </w:r>
      <w:r w:rsidR="008A3AD2">
        <w:rPr>
          <w:szCs w:val="24"/>
        </w:rPr>
        <w:t>sign either</w:t>
      </w:r>
    </w:p>
    <w:p w:rsidR="008A3AD2" w:rsidP="00010BE3" w:rsidRDefault="008A3AD2" w14:paraId="2F89135C" w14:textId="77777777">
      <w:pPr>
        <w:pStyle w:val="NoSpacing"/>
        <w:ind w:firstLine="720"/>
        <w:rPr>
          <w:szCs w:val="24"/>
        </w:rPr>
      </w:pPr>
    </w:p>
    <w:p w:rsidR="00010BE3" w:rsidP="006622D9" w:rsidRDefault="008A3AD2" w14:paraId="16DCE936" w14:textId="029A40B3">
      <w:pPr>
        <w:pStyle w:val="NoSpacing"/>
        <w:ind w:left="1440"/>
        <w:rPr>
          <w:szCs w:val="24"/>
        </w:rPr>
      </w:pPr>
      <w:r>
        <w:rPr>
          <w:szCs w:val="24"/>
        </w:rPr>
        <w:t xml:space="preserve">(a) </w:t>
      </w:r>
      <w:r w:rsidR="00010BE3">
        <w:rPr>
          <w:szCs w:val="24"/>
        </w:rPr>
        <w:t>Item 18c of the original manifest, if the original manifest was used for the returned shipment; or</w:t>
      </w:r>
    </w:p>
    <w:p w:rsidRPr="00953FDE" w:rsidR="00010BE3" w:rsidP="008A3AD2" w:rsidRDefault="00010BE3" w14:paraId="33EB6B00" w14:textId="77777777">
      <w:pPr>
        <w:pStyle w:val="NoSpacing"/>
        <w:ind w:left="1440"/>
        <w:rPr>
          <w:szCs w:val="24"/>
        </w:rPr>
      </w:pPr>
      <w:r>
        <w:rPr>
          <w:szCs w:val="24"/>
        </w:rPr>
        <w:t>(</w:t>
      </w:r>
      <w:r w:rsidR="008A3AD2">
        <w:rPr>
          <w:szCs w:val="24"/>
        </w:rPr>
        <w:t>b</w:t>
      </w:r>
      <w:r>
        <w:rPr>
          <w:szCs w:val="24"/>
        </w:rPr>
        <w:t xml:space="preserve">) </w:t>
      </w:r>
      <w:r w:rsidRPr="00953FDE">
        <w:rPr>
          <w:szCs w:val="24"/>
        </w:rPr>
        <w:t xml:space="preserve">Item 20 of the new manifest, if a new manifest was used for the returned shipment; </w:t>
      </w:r>
    </w:p>
    <w:p w:rsidR="00010BE3" w:rsidP="00010BE3" w:rsidRDefault="00010BE3" w14:paraId="6974A32F" w14:textId="77777777">
      <w:pPr>
        <w:pStyle w:val="NoSpacing"/>
        <w:rPr>
          <w:rFonts w:ascii="Calibri" w:hAnsi="Calibri" w:eastAsia="Calibri"/>
          <w:sz w:val="22"/>
          <w:szCs w:val="24"/>
        </w:rPr>
      </w:pPr>
    </w:p>
    <w:p w:rsidR="00010BE3" w:rsidP="00A87C5E" w:rsidRDefault="00A87C5E" w14:paraId="3AA52727" w14:textId="77777777">
      <w:pPr>
        <w:pStyle w:val="NoSpacing"/>
        <w:ind w:firstLine="720"/>
        <w:rPr>
          <w:szCs w:val="24"/>
        </w:rPr>
      </w:pPr>
      <w:r>
        <w:rPr>
          <w:szCs w:val="24"/>
        </w:rPr>
        <w:t xml:space="preserve">(ii) </w:t>
      </w:r>
      <w:r w:rsidR="00010BE3">
        <w:rPr>
          <w:szCs w:val="24"/>
        </w:rPr>
        <w:t xml:space="preserve">Provide the transporter a copy of the manifest; </w:t>
      </w:r>
    </w:p>
    <w:p w:rsidR="00010BE3" w:rsidP="00010BE3" w:rsidRDefault="00010BE3" w14:paraId="6CDBDE47" w14:textId="77777777">
      <w:pPr>
        <w:pStyle w:val="NoSpacing"/>
        <w:rPr>
          <w:szCs w:val="24"/>
        </w:rPr>
      </w:pPr>
    </w:p>
    <w:p w:rsidR="00010BE3" w:rsidP="00A87C5E" w:rsidRDefault="00A87C5E" w14:paraId="49EB4533" w14:textId="0F3EF943">
      <w:pPr>
        <w:pStyle w:val="NoSpacing"/>
        <w:ind w:firstLine="720"/>
        <w:rPr>
          <w:szCs w:val="24"/>
        </w:rPr>
      </w:pPr>
      <w:r>
        <w:rPr>
          <w:szCs w:val="24"/>
        </w:rPr>
        <w:t>(i</w:t>
      </w:r>
      <w:r w:rsidR="008A3AD2">
        <w:rPr>
          <w:szCs w:val="24"/>
        </w:rPr>
        <w:t>ii</w:t>
      </w:r>
      <w:r>
        <w:rPr>
          <w:szCs w:val="24"/>
        </w:rPr>
        <w:t xml:space="preserve">) </w:t>
      </w:r>
      <w:r w:rsidR="00010BE3">
        <w:rPr>
          <w:szCs w:val="24"/>
        </w:rPr>
        <w:t xml:space="preserve">Within 30 days of </w:t>
      </w:r>
      <w:r w:rsidR="004A61F5">
        <w:rPr>
          <w:szCs w:val="24"/>
        </w:rPr>
        <w:t>receipt</w:t>
      </w:r>
      <w:r w:rsidR="00010BE3">
        <w:rPr>
          <w:szCs w:val="24"/>
        </w:rPr>
        <w:t xml:space="preserve"> of the rejected shipment, send a copy of the manifest to the designated facility that returned the shipment to the healthcare facility; and</w:t>
      </w:r>
    </w:p>
    <w:p w:rsidRPr="00CE1D60" w:rsidR="00010BE3" w:rsidP="00010BE3" w:rsidRDefault="00010BE3" w14:paraId="61CA95A9" w14:textId="77777777">
      <w:pPr>
        <w:pStyle w:val="NoSpacing"/>
        <w:rPr>
          <w:szCs w:val="24"/>
        </w:rPr>
      </w:pPr>
    </w:p>
    <w:p w:rsidR="00010BE3" w:rsidP="00A87C5E" w:rsidRDefault="00A87C5E" w14:paraId="33DC4FF5" w14:textId="501DB265">
      <w:pPr>
        <w:pStyle w:val="NoSpacing"/>
        <w:ind w:left="720"/>
        <w:rPr>
          <w:szCs w:val="24"/>
        </w:rPr>
      </w:pPr>
      <w:r>
        <w:rPr>
          <w:szCs w:val="24"/>
        </w:rPr>
        <w:t>(</w:t>
      </w:r>
      <w:r w:rsidR="008A3AD2">
        <w:rPr>
          <w:szCs w:val="24"/>
        </w:rPr>
        <w:t>i</w:t>
      </w:r>
      <w:r>
        <w:rPr>
          <w:szCs w:val="24"/>
        </w:rPr>
        <w:t xml:space="preserve">v) </w:t>
      </w:r>
      <w:r w:rsidR="00315ED1">
        <w:rPr>
          <w:szCs w:val="24"/>
        </w:rPr>
        <w:t>Within 90 days of receipt of the rejected shipment, t</w:t>
      </w:r>
      <w:r w:rsidR="00010BE3">
        <w:rPr>
          <w:szCs w:val="24"/>
        </w:rPr>
        <w:t>ransport or offer for</w:t>
      </w:r>
      <w:r w:rsidRPr="00CE1D60" w:rsidR="00010BE3">
        <w:rPr>
          <w:szCs w:val="24"/>
        </w:rPr>
        <w:t xml:space="preserve"> transport the returned shipment in accordance with th</w:t>
      </w:r>
      <w:r w:rsidR="00010BE3">
        <w:rPr>
          <w:szCs w:val="24"/>
        </w:rPr>
        <w:t xml:space="preserve">e shipping standards of § </w:t>
      </w:r>
      <w:r w:rsidRPr="00F46871" w:rsidR="00010BE3">
        <w:rPr>
          <w:szCs w:val="24"/>
        </w:rPr>
        <w:t>266.508(</w:t>
      </w:r>
      <w:r w:rsidR="00010BE3">
        <w:rPr>
          <w:szCs w:val="24"/>
        </w:rPr>
        <w:t>a</w:t>
      </w:r>
      <w:r w:rsidRPr="00F46871" w:rsidR="00010BE3">
        <w:rPr>
          <w:szCs w:val="24"/>
        </w:rPr>
        <w:t>).</w:t>
      </w:r>
    </w:p>
    <w:p w:rsidRPr="00092D44" w:rsidR="004A61F5" w:rsidP="004A61F5" w:rsidRDefault="004A61F5" w14:paraId="2AD561D1" w14:textId="0A5DACE0">
      <w:pPr>
        <w:pStyle w:val="NoSpacing"/>
        <w:rPr>
          <w:szCs w:val="24"/>
        </w:rPr>
      </w:pPr>
    </w:p>
    <w:p w:rsidR="008B37A2" w:rsidP="008B37A2" w:rsidRDefault="008B37A2" w14:paraId="25F4427F" w14:textId="77777777">
      <w:pPr>
        <w:pStyle w:val="Default"/>
      </w:pPr>
    </w:p>
    <w:p w:rsidRPr="00085393" w:rsidR="00A87C5E" w:rsidP="00086C4E" w:rsidRDefault="00A87C5E" w14:paraId="26A7C978" w14:textId="08B06431">
      <w:pPr>
        <w:pStyle w:val="NormalWeb"/>
        <w:shd w:val="clear" w:color="auto" w:fill="FFFFFF"/>
        <w:ind w:firstLine="720"/>
        <w:rPr>
          <w:color w:val="000000"/>
        </w:rPr>
      </w:pPr>
      <w:r>
        <w:rPr>
          <w:color w:val="000000"/>
        </w:rPr>
        <w:t xml:space="preserve">(F) </w:t>
      </w:r>
      <w:r w:rsidRPr="00A87C5E">
        <w:rPr>
          <w:b/>
          <w:i/>
          <w:color w:val="000000"/>
        </w:rPr>
        <w:t>Exception report for a missing copy of the manifest</w:t>
      </w:r>
      <w:r w:rsidRPr="00A87C5E">
        <w:rPr>
          <w:b/>
          <w:color w:val="000000"/>
        </w:rPr>
        <w:t xml:space="preserve">. </w:t>
      </w:r>
      <w:r>
        <w:rPr>
          <w:color w:val="000000"/>
        </w:rPr>
        <w:t xml:space="preserve"> </w:t>
      </w:r>
      <w:r w:rsidRPr="00085393">
        <w:rPr>
          <w:color w:val="000000"/>
        </w:rPr>
        <w:t>For shipments from a healthcare facility to a designated facility</w:t>
      </w:r>
      <w:r>
        <w:rPr>
          <w:color w:val="000000"/>
        </w:rPr>
        <w:t>: I</w:t>
      </w:r>
      <w:r w:rsidRPr="00085393">
        <w:rPr>
          <w:color w:val="000000"/>
        </w:rPr>
        <w:t xml:space="preserve">f a healthcare facility does not receive a copy of the manifest with the signature of the owner or operator of the designated facility within 60 days of the date the </w:t>
      </w:r>
      <w:r>
        <w:rPr>
          <w:color w:val="000000"/>
        </w:rPr>
        <w:t xml:space="preserve">non-creditable </w:t>
      </w:r>
      <w:r w:rsidRPr="00085393">
        <w:rPr>
          <w:color w:val="000000"/>
        </w:rPr>
        <w:t xml:space="preserve">hazardous waste </w:t>
      </w:r>
      <w:r>
        <w:rPr>
          <w:color w:val="000000"/>
        </w:rPr>
        <w:t xml:space="preserve">pharmaceuticals were </w:t>
      </w:r>
      <w:r w:rsidRPr="00085393">
        <w:rPr>
          <w:color w:val="000000"/>
        </w:rPr>
        <w:t>accepted by the initial transporter, the healthcare facility must submit:</w:t>
      </w:r>
    </w:p>
    <w:p w:rsidRPr="0003190C" w:rsidR="00A87C5E" w:rsidP="00A87C5E" w:rsidRDefault="00A87C5E" w14:paraId="0DE8D770" w14:textId="77777777">
      <w:pPr>
        <w:pStyle w:val="NoSpacing"/>
        <w:ind w:left="1080"/>
        <w:rPr>
          <w:color w:val="000000"/>
        </w:rPr>
      </w:pPr>
    </w:p>
    <w:p w:rsidR="00086C4E" w:rsidP="00086C4E" w:rsidRDefault="00086C4E" w14:paraId="389DAB2B" w14:textId="77777777">
      <w:pPr>
        <w:pStyle w:val="NormalWeb"/>
        <w:spacing w:after="200" w:line="280" w:lineRule="atLeast"/>
        <w:ind w:firstLine="720"/>
        <w:rPr>
          <w:color w:val="000000"/>
        </w:rPr>
      </w:pPr>
      <w:r>
        <w:rPr>
          <w:color w:val="000000"/>
        </w:rPr>
        <w:t>(i) A</w:t>
      </w:r>
      <w:r w:rsidRPr="0003190C" w:rsidR="00A87C5E">
        <w:rPr>
          <w:color w:val="000000"/>
        </w:rPr>
        <w:t xml:space="preserve"> legible copy of the original manifest, </w:t>
      </w:r>
      <w:r w:rsidR="00A87C5E">
        <w:rPr>
          <w:color w:val="000000"/>
        </w:rPr>
        <w:t>indicating</w:t>
      </w:r>
      <w:r w:rsidRPr="0003190C" w:rsidR="00A87C5E">
        <w:rPr>
          <w:color w:val="000000"/>
        </w:rPr>
        <w:t xml:space="preserve"> that the </w:t>
      </w:r>
      <w:r w:rsidR="00A87C5E">
        <w:rPr>
          <w:color w:val="000000"/>
        </w:rPr>
        <w:t xml:space="preserve">healthcare facility </w:t>
      </w:r>
      <w:r w:rsidRPr="0003190C" w:rsidR="00A87C5E">
        <w:rPr>
          <w:color w:val="000000"/>
        </w:rPr>
        <w:t>has not received confirmation of delivery, to the EPA Regional Administrator for the Region in</w:t>
      </w:r>
      <w:r w:rsidR="00A87C5E">
        <w:rPr>
          <w:color w:val="000000"/>
        </w:rPr>
        <w:t xml:space="preserve"> which the healthcare facility is located, and</w:t>
      </w:r>
    </w:p>
    <w:p w:rsidRPr="00DC648C" w:rsidR="00A87C5E" w:rsidP="00086C4E" w:rsidRDefault="00086C4E" w14:paraId="13BC7567" w14:textId="77777777">
      <w:pPr>
        <w:pStyle w:val="NormalWeb"/>
        <w:spacing w:after="200" w:line="280" w:lineRule="atLeast"/>
        <w:ind w:firstLine="720"/>
        <w:rPr>
          <w:color w:val="000000"/>
        </w:rPr>
      </w:pPr>
      <w:r>
        <w:rPr>
          <w:color w:val="000000"/>
        </w:rPr>
        <w:t>(ii) A</w:t>
      </w:r>
      <w:r w:rsidRPr="0003190C" w:rsidR="00A87C5E">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rsidRPr="00085393" w:rsidR="00A87C5E" w:rsidP="00086C4E" w:rsidRDefault="00A87C5E" w14:paraId="3FF0AFA8" w14:textId="5B6CCACC">
      <w:pPr>
        <w:pStyle w:val="NoSpacing"/>
        <w:ind w:firstLine="360"/>
        <w:rPr>
          <w:color w:val="000000"/>
        </w:rPr>
      </w:pPr>
      <w:r w:rsidRPr="00085393">
        <w:rPr>
          <w:color w:val="000000"/>
          <w:szCs w:val="24"/>
        </w:rPr>
        <w:t>For shipments rejected by the designated facility and shipped to an alternate facility</w:t>
      </w:r>
      <w:r>
        <w:rPr>
          <w:color w:val="000000"/>
          <w:szCs w:val="24"/>
        </w:rPr>
        <w:t>: I</w:t>
      </w:r>
      <w:r w:rsidRPr="00085393">
        <w:rPr>
          <w:color w:val="000000"/>
        </w:rPr>
        <w:t xml:space="preserve">f a </w:t>
      </w:r>
      <w:r>
        <w:rPr>
          <w:color w:val="000000"/>
        </w:rPr>
        <w:t>h</w:t>
      </w:r>
      <w:r w:rsidRPr="00085393">
        <w:rPr>
          <w:color w:val="000000"/>
        </w:rPr>
        <w:t>ealthcare facility does not receive a copy of the manifest for a rejected shipment</w:t>
      </w:r>
      <w:r>
        <w:rPr>
          <w:color w:val="000000"/>
        </w:rPr>
        <w:t xml:space="preserve"> of the non-creditable hazardous waste pharmaceuticals</w:t>
      </w:r>
      <w:r w:rsidRPr="00085393">
        <w:rPr>
          <w:color w:val="000000"/>
        </w:rPr>
        <w:t xml:space="preserve"> that is forwarded by the designated facility to an alternate facility (using appropriate manifest procedures), with the signature of the owner or operator of the alternate facility within 60 days of the date the waste was accepted by the initial transporter forwarding the </w:t>
      </w:r>
      <w:r>
        <w:rPr>
          <w:color w:val="000000"/>
        </w:rPr>
        <w:t xml:space="preserve">shipment of non-creditable </w:t>
      </w:r>
      <w:r w:rsidRPr="00085393">
        <w:rPr>
          <w:color w:val="000000"/>
        </w:rPr>
        <w:t xml:space="preserve">hazardous waste </w:t>
      </w:r>
      <w:r>
        <w:rPr>
          <w:color w:val="000000"/>
        </w:rPr>
        <w:t xml:space="preserve">pharmaceuticals </w:t>
      </w:r>
      <w:r w:rsidRPr="00085393">
        <w:rPr>
          <w:color w:val="000000"/>
        </w:rPr>
        <w:t>from the designated facility to the alternate facility, the healthcare facility must submit:</w:t>
      </w:r>
    </w:p>
    <w:p w:rsidRPr="0003190C" w:rsidR="00A87C5E" w:rsidP="00A87C5E" w:rsidRDefault="00A87C5E" w14:paraId="0F8FA590" w14:textId="77777777">
      <w:pPr>
        <w:pStyle w:val="NoSpacing"/>
        <w:ind w:left="1080"/>
        <w:rPr>
          <w:color w:val="000000"/>
        </w:rPr>
      </w:pPr>
    </w:p>
    <w:p w:rsidR="00086C4E" w:rsidP="00086C4E" w:rsidRDefault="00086C4E" w14:paraId="14CF3D83" w14:textId="77777777">
      <w:pPr>
        <w:pStyle w:val="NormalWeb"/>
        <w:spacing w:after="200" w:line="280" w:lineRule="atLeast"/>
        <w:ind w:firstLine="720"/>
        <w:rPr>
          <w:color w:val="000000"/>
        </w:rPr>
      </w:pPr>
      <w:r>
        <w:rPr>
          <w:color w:val="000000"/>
        </w:rPr>
        <w:t>(iii) A</w:t>
      </w:r>
      <w:r w:rsidRPr="0003190C" w:rsidR="00A87C5E">
        <w:rPr>
          <w:color w:val="000000"/>
        </w:rPr>
        <w:t xml:space="preserve"> legible copy of the original manifest, </w:t>
      </w:r>
      <w:r w:rsidR="00A87C5E">
        <w:rPr>
          <w:color w:val="000000"/>
        </w:rPr>
        <w:t>indicating</w:t>
      </w:r>
      <w:r w:rsidRPr="0003190C" w:rsidR="00A87C5E">
        <w:rPr>
          <w:color w:val="000000"/>
        </w:rPr>
        <w:t xml:space="preserve"> that the </w:t>
      </w:r>
      <w:r w:rsidR="00A87C5E">
        <w:rPr>
          <w:color w:val="000000"/>
        </w:rPr>
        <w:t xml:space="preserve">healthcare facility </w:t>
      </w:r>
      <w:r w:rsidRPr="0003190C" w:rsidR="00A87C5E">
        <w:rPr>
          <w:color w:val="000000"/>
        </w:rPr>
        <w:t>has not received confirmation of delivery, to the EPA Regional Administrator for the Region in</w:t>
      </w:r>
      <w:r w:rsidR="00A87C5E">
        <w:rPr>
          <w:color w:val="000000"/>
        </w:rPr>
        <w:t xml:space="preserve"> which the healthcare facility is located, and</w:t>
      </w:r>
    </w:p>
    <w:p w:rsidRPr="00DC648C" w:rsidR="00A87C5E" w:rsidP="00086C4E" w:rsidRDefault="00086C4E" w14:paraId="6D7786E8" w14:textId="77777777">
      <w:pPr>
        <w:pStyle w:val="NormalWeb"/>
        <w:spacing w:after="200" w:line="280" w:lineRule="atLeast"/>
        <w:ind w:firstLine="720"/>
        <w:rPr>
          <w:color w:val="000000"/>
        </w:rPr>
      </w:pPr>
      <w:r>
        <w:rPr>
          <w:color w:val="000000"/>
        </w:rPr>
        <w:lastRenderedPageBreak/>
        <w:t>(iv) A</w:t>
      </w:r>
      <w:r w:rsidRPr="0003190C" w:rsidR="00A87C5E">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rsidR="00A87C5E" w:rsidP="00086C4E" w:rsidRDefault="00086C4E" w14:paraId="1D7F5497" w14:textId="77777777">
      <w:pPr>
        <w:ind w:firstLine="720"/>
        <w:rPr>
          <w:color w:val="000000"/>
          <w:shd w:val="clear" w:color="auto" w:fill="FFFFFF"/>
        </w:rPr>
      </w:pPr>
      <w:r>
        <w:rPr>
          <w:color w:val="000000"/>
          <w:shd w:val="clear" w:color="auto" w:fill="FFFFFF"/>
        </w:rPr>
        <w:t>(G</w:t>
      </w:r>
      <w:r w:rsidRPr="00086C4E">
        <w:rPr>
          <w:b/>
          <w:color w:val="000000"/>
          <w:shd w:val="clear" w:color="auto" w:fill="FFFFFF"/>
        </w:rPr>
        <w:t xml:space="preserve">) </w:t>
      </w:r>
      <w:r w:rsidRPr="00086C4E" w:rsidR="00A87C5E">
        <w:rPr>
          <w:b/>
          <w:i/>
          <w:color w:val="000000"/>
          <w:shd w:val="clear" w:color="auto" w:fill="FFFFFF"/>
        </w:rPr>
        <w:t>Additional reports.</w:t>
      </w:r>
      <w:r w:rsidR="00A87C5E">
        <w:rPr>
          <w:i/>
          <w:color w:val="000000"/>
          <w:shd w:val="clear" w:color="auto" w:fill="FFFFFF"/>
        </w:rPr>
        <w:t xml:space="preserve"> </w:t>
      </w:r>
      <w:r w:rsidRPr="00907E89" w:rsidR="00A87C5E">
        <w:rPr>
          <w:color w:val="000000"/>
          <w:shd w:val="clear" w:color="auto" w:fill="FFFFFF"/>
        </w:rPr>
        <w:t xml:space="preserve">The </w:t>
      </w:r>
      <w:r w:rsidR="00A87C5E">
        <w:rPr>
          <w:color w:val="000000"/>
          <w:shd w:val="clear" w:color="auto" w:fill="FFFFFF"/>
        </w:rPr>
        <w:t xml:space="preserve">EPA Regional Administrator </w:t>
      </w:r>
      <w:r>
        <w:rPr>
          <w:color w:val="000000"/>
          <w:shd w:val="clear" w:color="auto" w:fill="FFFFFF"/>
        </w:rPr>
        <w:t xml:space="preserve">may require healthcare </w:t>
      </w:r>
      <w:r w:rsidRPr="00907E89" w:rsidR="00A87C5E">
        <w:rPr>
          <w:color w:val="000000"/>
          <w:shd w:val="clear" w:color="auto" w:fill="FFFFFF"/>
        </w:rPr>
        <w:t xml:space="preserve">facilities to furnish additional reports concerning the quantities and disposition of </w:t>
      </w:r>
      <w:r w:rsidR="00A87C5E">
        <w:rPr>
          <w:color w:val="000000"/>
          <w:shd w:val="clear" w:color="auto" w:fill="FFFFFF"/>
        </w:rPr>
        <w:t>non-creditable hazardous waste pharmaceuticals</w:t>
      </w:r>
      <w:r w:rsidRPr="00907E89" w:rsidR="00A87C5E">
        <w:rPr>
          <w:color w:val="000000"/>
          <w:shd w:val="clear" w:color="auto" w:fill="FFFFFF"/>
        </w:rPr>
        <w:t>.</w:t>
      </w:r>
    </w:p>
    <w:p w:rsidR="00086C4E" w:rsidP="00086C4E" w:rsidRDefault="00086C4E" w14:paraId="38DCE452" w14:textId="77777777">
      <w:pPr>
        <w:ind w:firstLine="720"/>
      </w:pPr>
    </w:p>
    <w:p w:rsidR="005B1D0B" w:rsidP="005B1D0B" w:rsidRDefault="004B4B43" w14:paraId="0D2FF1DD" w14:textId="77777777">
      <w:pPr>
        <w:ind w:firstLine="720"/>
        <w:rPr>
          <w:b/>
        </w:rPr>
      </w:pPr>
      <w:r w:rsidDel="004B4B43">
        <w:t xml:space="preserve"> </w:t>
      </w:r>
      <w:r w:rsidR="005B1D0B">
        <w:t xml:space="preserve">(H) </w:t>
      </w:r>
      <w:r w:rsidRPr="005B1D0B" w:rsidR="005B1D0B">
        <w:rPr>
          <w:b/>
          <w:i/>
        </w:rPr>
        <w:t>Recordkeeping.</w:t>
      </w:r>
      <w:r w:rsidR="005B1D0B">
        <w:rPr>
          <w:b/>
        </w:rPr>
        <w:t xml:space="preserve"> </w:t>
      </w:r>
    </w:p>
    <w:p w:rsidRPr="004B4543" w:rsidR="005B1D0B" w:rsidP="00EF1CE1" w:rsidRDefault="00EF1CE1" w14:paraId="035E571F" w14:textId="77777777">
      <w:pPr>
        <w:spacing w:before="100" w:beforeAutospacing="1" w:after="100" w:afterAutospacing="1"/>
        <w:ind w:firstLine="720"/>
      </w:pPr>
      <w:r>
        <w:t xml:space="preserve">(i) </w:t>
      </w:r>
      <w:r w:rsidRPr="004B4543" w:rsidR="005B1D0B">
        <w:t xml:space="preserve">A </w:t>
      </w:r>
      <w:r w:rsidR="005B1D0B">
        <w:t xml:space="preserve">healthcare facility </w:t>
      </w:r>
      <w:r w:rsidRPr="004B4543" w:rsidR="005B1D0B">
        <w:t xml:space="preserve">must keep a copy of each manifest </w:t>
      </w:r>
      <w:r w:rsidR="005B1D0B">
        <w:t xml:space="preserve">signed in accordance with § 262.23(a) </w:t>
      </w:r>
      <w:r w:rsidRPr="004B4543" w:rsidR="005B1D0B">
        <w:t xml:space="preserve">for three years or until </w:t>
      </w:r>
      <w:r w:rsidR="005B1D0B">
        <w:t>it</w:t>
      </w:r>
      <w:r w:rsidRPr="004B4543" w:rsidR="005B1D0B">
        <w:t xml:space="preserve"> receives a signed copy from the designated facility which received the </w:t>
      </w:r>
      <w:r w:rsidR="005B1D0B">
        <w:t xml:space="preserve">non-creditable hazardous </w:t>
      </w:r>
      <w:r w:rsidRPr="004B4543" w:rsidR="005B1D0B">
        <w:t>waste</w:t>
      </w:r>
      <w:r w:rsidR="005B1D0B">
        <w:t xml:space="preserve"> pharmaceuticals</w:t>
      </w:r>
      <w:r w:rsidRPr="004B4543" w:rsidR="005B1D0B">
        <w:t>. This signed copy must be retained as a record for at least three years from the date the waste was accepted by the initial transporter.</w:t>
      </w:r>
    </w:p>
    <w:p w:rsidRPr="004B4543" w:rsidR="005B1D0B" w:rsidP="00EF1CE1" w:rsidRDefault="00EF1CE1" w14:paraId="5540FDB4" w14:textId="77777777">
      <w:pPr>
        <w:spacing w:before="100" w:beforeAutospacing="1" w:after="100" w:afterAutospacing="1"/>
        <w:ind w:firstLine="720"/>
      </w:pPr>
      <w:r>
        <w:t xml:space="preserve">(ii) </w:t>
      </w:r>
      <w:r w:rsidR="005B1D0B">
        <w:t>A healthcare facility must keep a copy of each exception r</w:t>
      </w:r>
      <w:r w:rsidRPr="004B4543" w:rsidR="005B1D0B">
        <w:t>eport for a period of at least three years from the date of the report.</w:t>
      </w:r>
    </w:p>
    <w:p w:rsidRPr="004B4543" w:rsidR="005B1D0B" w:rsidP="00EF1CE1" w:rsidRDefault="00EF1CE1" w14:paraId="3951BA22" w14:textId="28152D7D">
      <w:pPr>
        <w:spacing w:before="100" w:beforeAutospacing="1" w:after="100" w:afterAutospacing="1"/>
        <w:ind w:firstLine="720"/>
      </w:pPr>
      <w:r>
        <w:t xml:space="preserve">(iii) </w:t>
      </w:r>
      <w:r w:rsidRPr="004B4543" w:rsidR="005B1D0B">
        <w:t xml:space="preserve">A </w:t>
      </w:r>
      <w:r w:rsidR="005B1D0B">
        <w:t>healthcare facility</w:t>
      </w:r>
      <w:r w:rsidRPr="004B4543" w:rsidR="005B1D0B">
        <w:t xml:space="preserve"> must keep records of any test results, waste analyses, or other determinations made </w:t>
      </w:r>
      <w:r w:rsidR="005B1D0B">
        <w:t>to support its hazardous waste determination(s)</w:t>
      </w:r>
      <w:r w:rsidRPr="004B4543" w:rsidR="005B1D0B">
        <w:t xml:space="preserve"> for at least three years from the </w:t>
      </w:r>
      <w:r w:rsidR="00330371">
        <w:t>date the waste was last sent to on-site or off-site treatment, storage, or disposal.</w:t>
      </w:r>
      <w:r w:rsidR="008F03B5">
        <w:t xml:space="preserve"> </w:t>
      </w:r>
      <w:r w:rsidRPr="00802967" w:rsidR="008F03B5">
        <w:t>A healthcare facility that manages all of its non-creditable non-hazardous waste pharmaceuticals as non-creditable hazardous waste pharmaceuticals is not required to keep documentation of hazardous waste determinations.</w:t>
      </w:r>
    </w:p>
    <w:p w:rsidR="005B1D0B" w:rsidP="00EF1CE1" w:rsidRDefault="00EF1CE1" w14:paraId="0F5E78BB" w14:textId="7C451C9B">
      <w:pPr>
        <w:spacing w:before="100" w:beforeAutospacing="1" w:after="100" w:afterAutospacing="1"/>
        <w:ind w:firstLine="720"/>
      </w:pPr>
      <w:r>
        <w:t xml:space="preserve">(iv) </w:t>
      </w:r>
      <w:r w:rsidR="005B1D0B">
        <w:t>The periods of</w:t>
      </w:r>
      <w:r w:rsidRPr="004B4543" w:rsidR="005B1D0B">
        <w:t xml:space="preserve"> retention referred to in this </w:t>
      </w:r>
      <w:r w:rsidR="005B1D0B">
        <w:t xml:space="preserve">section </w:t>
      </w:r>
      <w:r w:rsidRPr="004B4543" w:rsidR="005B1D0B">
        <w:t>are extended automatically during the course of any unresolved enforcement action regarding the regulated activity</w:t>
      </w:r>
      <w:r w:rsidR="005B1D0B">
        <w:t>,</w:t>
      </w:r>
      <w:r w:rsidRPr="004B4543" w:rsidR="005B1D0B">
        <w:t xml:space="preserve"> or as requested by the </w:t>
      </w:r>
      <w:r w:rsidR="005B1D0B">
        <w:t xml:space="preserve">EPA Regional </w:t>
      </w:r>
      <w:r w:rsidRPr="004B4543" w:rsidR="005B1D0B">
        <w:t>Administrator.</w:t>
      </w:r>
    </w:p>
    <w:p w:rsidR="007D4855" w:rsidP="00EF1CE1" w:rsidRDefault="007D4855" w14:paraId="02676073" w14:textId="0660811A">
      <w:pPr>
        <w:spacing w:before="100" w:beforeAutospacing="1" w:after="100" w:afterAutospacing="1"/>
        <w:ind w:firstLine="720"/>
      </w:pPr>
      <w:r>
        <w:t xml:space="preserve">(v) A healthcare facility that accepts hazardous waste pharmaceuticals from off site VSQG healthcare facilities must keep records of the shipments it receives from off site for three years from the date the shipment is received. </w:t>
      </w:r>
    </w:p>
    <w:p w:rsidR="00311557" w:rsidP="00311557" w:rsidRDefault="00311557" w14:paraId="364A5143" w14:textId="77777777">
      <w:pPr>
        <w:spacing w:before="100" w:beforeAutospacing="1" w:after="100" w:afterAutospacing="1"/>
        <w:ind w:left="720" w:hanging="720"/>
        <w:rPr>
          <w:b/>
        </w:rPr>
      </w:pPr>
      <w:r>
        <w:rPr>
          <w:b/>
        </w:rPr>
        <w:t>(2)</w:t>
      </w:r>
      <w:r>
        <w:rPr>
          <w:b/>
        </w:rPr>
        <w:tab/>
        <w:t xml:space="preserve">Healthcare </w:t>
      </w:r>
      <w:r w:rsidRPr="000F28AA">
        <w:rPr>
          <w:b/>
        </w:rPr>
        <w:t>Facilities Managing</w:t>
      </w:r>
      <w:r>
        <w:rPr>
          <w:b/>
        </w:rPr>
        <w:t xml:space="preserve"> Potentially Creditable Hazardous Waste Pharmaceuticals Under 40 CFR </w:t>
      </w:r>
      <w:r w:rsidRPr="002C286C">
        <w:rPr>
          <w:b/>
        </w:rPr>
        <w:t>§</w:t>
      </w:r>
      <w:r w:rsidR="00A0043E">
        <w:rPr>
          <w:b/>
        </w:rPr>
        <w:t xml:space="preserve"> </w:t>
      </w:r>
      <w:r w:rsidRPr="002C286C">
        <w:rPr>
          <w:b/>
        </w:rPr>
        <w:t>266.50</w:t>
      </w:r>
      <w:r>
        <w:rPr>
          <w:b/>
        </w:rPr>
        <w:t>3.</w:t>
      </w:r>
    </w:p>
    <w:p w:rsidRPr="001F0E97" w:rsidR="00311557" w:rsidP="001F0E97" w:rsidRDefault="00311557" w14:paraId="742D3A3E" w14:textId="163C2ABD">
      <w:pPr>
        <w:ind w:firstLine="360"/>
        <w:rPr>
          <w:b/>
          <w:i/>
        </w:rPr>
      </w:pPr>
      <w:r>
        <w:t xml:space="preserve">(A) </w:t>
      </w:r>
      <w:r w:rsidRPr="005B1D0B">
        <w:rPr>
          <w:b/>
          <w:i/>
        </w:rPr>
        <w:t>Recordkeeping.</w:t>
      </w:r>
      <w:r w:rsidRPr="007D6B8B">
        <w:t xml:space="preserve"> </w:t>
      </w:r>
      <w:r>
        <w:t>A healthcare facility that initiates a shipment of potentially creditable hazardous waste pharmaceuticals to a reverse distributor must keep the following records (paper o</w:t>
      </w:r>
      <w:r w:rsidR="000F28AA">
        <w:t>r</w:t>
      </w:r>
      <w:r>
        <w:t xml:space="preserve"> electronic) for each shipment of potentially creditable hazardous waste pharmaceuticals to a reverse distributor, for 3 years from the date of shipment:</w:t>
      </w:r>
    </w:p>
    <w:p w:rsidR="00311557" w:rsidP="00330371" w:rsidRDefault="00311557" w14:paraId="5CA0AB0F" w14:textId="0C375EA4"/>
    <w:p w:rsidR="00311557" w:rsidP="00311557" w:rsidRDefault="00311557" w14:paraId="1ACF5211" w14:textId="4E01C702">
      <w:pPr>
        <w:ind w:firstLine="720"/>
      </w:pPr>
      <w:r w:rsidRPr="00795072">
        <w:t>(i)</w:t>
      </w:r>
      <w:r>
        <w:t xml:space="preserve"> the</w:t>
      </w:r>
      <w:r w:rsidR="003B17CD">
        <w:t xml:space="preserve"> confirmation </w:t>
      </w:r>
      <w:r w:rsidR="00447AE0">
        <w:t xml:space="preserve">of delivery </w:t>
      </w:r>
      <w:r>
        <w:t>and</w:t>
      </w:r>
    </w:p>
    <w:p w:rsidR="00311557" w:rsidP="00311557" w:rsidRDefault="00311557" w14:paraId="1E8C1412" w14:textId="77777777">
      <w:pPr>
        <w:ind w:firstLine="720"/>
      </w:pPr>
    </w:p>
    <w:p w:rsidR="00311557" w:rsidP="00311557" w:rsidRDefault="00311557" w14:paraId="7EEAAB5C" w14:textId="173927BA">
      <w:pPr>
        <w:ind w:firstLine="720"/>
      </w:pPr>
      <w:r w:rsidRPr="00795072">
        <w:t>(ii)</w:t>
      </w:r>
      <w:r>
        <w:t xml:space="preserve"> the shipping papers</w:t>
      </w:r>
      <w:r w:rsidR="00CA6CC4">
        <w:t xml:space="preserve"> </w:t>
      </w:r>
      <w:r w:rsidR="00447AE0">
        <w:t>prepared in accordance with 49 CFR part 172 subpart C, if applicable.</w:t>
      </w:r>
      <w:r>
        <w:t>.</w:t>
      </w:r>
    </w:p>
    <w:p w:rsidR="00311557" w:rsidP="00311557" w:rsidRDefault="00311557" w14:paraId="0BBCEACD" w14:textId="5F125CBB">
      <w:pPr>
        <w:spacing w:before="100" w:beforeAutospacing="1" w:after="100" w:afterAutospacing="1"/>
        <w:ind w:firstLine="720"/>
      </w:pPr>
      <w:r>
        <w:lastRenderedPageBreak/>
        <w:t>The periods of</w:t>
      </w:r>
      <w:r w:rsidRPr="004B4543">
        <w:t xml:space="preserve"> retention referred to in this section are extended automatically during the course of any unresolved enforcement action regarding the regulated activity</w:t>
      </w:r>
      <w:r>
        <w:t>,</w:t>
      </w:r>
      <w:r w:rsidRPr="004B4543">
        <w:t xml:space="preserve"> or as requested by the </w:t>
      </w:r>
      <w:r>
        <w:t xml:space="preserve">EPA Regional </w:t>
      </w:r>
      <w:r w:rsidRPr="004B4543">
        <w:t>Administrator.</w:t>
      </w:r>
    </w:p>
    <w:p w:rsidR="00F863FA" w:rsidP="00F863FA" w:rsidRDefault="0030433B" w14:paraId="6988700B" w14:textId="436395AA">
      <w:pPr>
        <w:pStyle w:val="NoSpacing"/>
        <w:ind w:left="720" w:hanging="720"/>
        <w:rPr>
          <w:b/>
          <w:szCs w:val="24"/>
        </w:rPr>
      </w:pPr>
      <w:r w:rsidDel="0030433B">
        <w:t xml:space="preserve"> </w:t>
      </w:r>
      <w:r w:rsidR="00F863FA">
        <w:rPr>
          <w:b/>
          <w:szCs w:val="24"/>
        </w:rPr>
        <w:t>(</w:t>
      </w:r>
      <w:r w:rsidR="00311557">
        <w:rPr>
          <w:b/>
          <w:szCs w:val="24"/>
        </w:rPr>
        <w:t>3</w:t>
      </w:r>
      <w:r w:rsidR="00F863FA">
        <w:rPr>
          <w:b/>
          <w:szCs w:val="24"/>
        </w:rPr>
        <w:t>)</w:t>
      </w:r>
      <w:r w:rsidR="00F863FA">
        <w:rPr>
          <w:b/>
          <w:szCs w:val="24"/>
        </w:rPr>
        <w:tab/>
      </w:r>
      <w:r w:rsidRPr="00CE1D60" w:rsidR="00F863FA">
        <w:rPr>
          <w:b/>
          <w:szCs w:val="24"/>
        </w:rPr>
        <w:t>Ship</w:t>
      </w:r>
      <w:r w:rsidR="00F863FA">
        <w:rPr>
          <w:b/>
          <w:szCs w:val="24"/>
        </w:rPr>
        <w:t>ping</w:t>
      </w:r>
      <w:r w:rsidRPr="00CE1D60" w:rsidR="00F863FA">
        <w:rPr>
          <w:b/>
          <w:szCs w:val="24"/>
        </w:rPr>
        <w:t xml:space="preserve"> </w:t>
      </w:r>
      <w:r w:rsidR="006C061A">
        <w:rPr>
          <w:b/>
          <w:szCs w:val="24"/>
        </w:rPr>
        <w:t>N</w:t>
      </w:r>
      <w:r w:rsidR="00F863FA">
        <w:rPr>
          <w:b/>
          <w:szCs w:val="24"/>
        </w:rPr>
        <w:t>on-</w:t>
      </w:r>
      <w:r w:rsidR="006C061A">
        <w:rPr>
          <w:b/>
          <w:szCs w:val="24"/>
        </w:rPr>
        <w:t>C</w:t>
      </w:r>
      <w:r w:rsidR="00F863FA">
        <w:rPr>
          <w:b/>
          <w:szCs w:val="24"/>
        </w:rPr>
        <w:t xml:space="preserve">reditable </w:t>
      </w:r>
      <w:r w:rsidR="006C061A">
        <w:rPr>
          <w:b/>
          <w:szCs w:val="24"/>
        </w:rPr>
        <w:t>H</w:t>
      </w:r>
      <w:r w:rsidRPr="00CE1D60" w:rsidR="00F863FA">
        <w:rPr>
          <w:b/>
          <w:szCs w:val="24"/>
        </w:rPr>
        <w:t xml:space="preserve">azardous </w:t>
      </w:r>
      <w:r w:rsidR="006C061A">
        <w:rPr>
          <w:b/>
          <w:szCs w:val="24"/>
        </w:rPr>
        <w:t>W</w:t>
      </w:r>
      <w:r w:rsidRPr="00CE1D60" w:rsidR="00F863FA">
        <w:rPr>
          <w:b/>
          <w:szCs w:val="24"/>
        </w:rPr>
        <w:t xml:space="preserve">aste </w:t>
      </w:r>
      <w:r w:rsidR="006C061A">
        <w:rPr>
          <w:b/>
          <w:szCs w:val="24"/>
        </w:rPr>
        <w:t>P</w:t>
      </w:r>
      <w:r w:rsidRPr="00CE1D60" w:rsidR="00F863FA">
        <w:rPr>
          <w:b/>
          <w:szCs w:val="24"/>
        </w:rPr>
        <w:t>harmaceuticals</w:t>
      </w:r>
      <w:r w:rsidR="00F863FA">
        <w:rPr>
          <w:b/>
          <w:szCs w:val="24"/>
        </w:rPr>
        <w:t xml:space="preserve"> </w:t>
      </w:r>
      <w:r w:rsidRPr="00CE1D60" w:rsidR="00F863FA">
        <w:rPr>
          <w:b/>
          <w:szCs w:val="24"/>
        </w:rPr>
        <w:t xml:space="preserve">from </w:t>
      </w:r>
      <w:r w:rsidR="00F863FA">
        <w:rPr>
          <w:b/>
          <w:szCs w:val="24"/>
        </w:rPr>
        <w:t xml:space="preserve">a </w:t>
      </w:r>
      <w:r w:rsidR="006C061A">
        <w:rPr>
          <w:b/>
          <w:szCs w:val="24"/>
        </w:rPr>
        <w:t>H</w:t>
      </w:r>
      <w:r w:rsidRPr="00CE1D60" w:rsidR="00F863FA">
        <w:rPr>
          <w:b/>
          <w:szCs w:val="24"/>
        </w:rPr>
        <w:t xml:space="preserve">ealthcare </w:t>
      </w:r>
      <w:r w:rsidR="006C061A">
        <w:rPr>
          <w:b/>
          <w:szCs w:val="24"/>
        </w:rPr>
        <w:t>F</w:t>
      </w:r>
      <w:r w:rsidRPr="00CE1D60" w:rsidR="00F863FA">
        <w:rPr>
          <w:b/>
          <w:szCs w:val="24"/>
        </w:rPr>
        <w:t>acilit</w:t>
      </w:r>
      <w:r w:rsidR="00F863FA">
        <w:rPr>
          <w:b/>
          <w:szCs w:val="24"/>
        </w:rPr>
        <w:t>y</w:t>
      </w:r>
      <w:r w:rsidRPr="00CE1D60" w:rsidR="00F863FA">
        <w:rPr>
          <w:b/>
          <w:szCs w:val="24"/>
        </w:rPr>
        <w:t xml:space="preserve"> </w:t>
      </w:r>
      <w:r w:rsidR="00F863FA">
        <w:rPr>
          <w:b/>
          <w:szCs w:val="24"/>
        </w:rPr>
        <w:t xml:space="preserve">or </w:t>
      </w:r>
      <w:r w:rsidR="006C061A">
        <w:rPr>
          <w:b/>
          <w:szCs w:val="24"/>
        </w:rPr>
        <w:t>E</w:t>
      </w:r>
      <w:r w:rsidR="00F863FA">
        <w:rPr>
          <w:b/>
          <w:szCs w:val="24"/>
        </w:rPr>
        <w:t xml:space="preserve">valuated </w:t>
      </w:r>
      <w:r w:rsidR="006C061A">
        <w:rPr>
          <w:b/>
          <w:szCs w:val="24"/>
        </w:rPr>
        <w:t>H</w:t>
      </w:r>
      <w:r w:rsidR="00F863FA">
        <w:rPr>
          <w:b/>
          <w:szCs w:val="24"/>
        </w:rPr>
        <w:t xml:space="preserve">azardous </w:t>
      </w:r>
      <w:r w:rsidR="006C061A">
        <w:rPr>
          <w:b/>
          <w:szCs w:val="24"/>
        </w:rPr>
        <w:t>W</w:t>
      </w:r>
      <w:r w:rsidR="00F863FA">
        <w:rPr>
          <w:b/>
          <w:szCs w:val="24"/>
        </w:rPr>
        <w:t xml:space="preserve">aste </w:t>
      </w:r>
      <w:r w:rsidR="006C061A">
        <w:rPr>
          <w:b/>
          <w:szCs w:val="24"/>
        </w:rPr>
        <w:t>P</w:t>
      </w:r>
      <w:r w:rsidR="00F863FA">
        <w:rPr>
          <w:b/>
          <w:szCs w:val="24"/>
        </w:rPr>
        <w:t>harmaceuticals</w:t>
      </w:r>
      <w:r w:rsidR="006C061A">
        <w:rPr>
          <w:b/>
          <w:szCs w:val="24"/>
        </w:rPr>
        <w:t xml:space="preserve"> </w:t>
      </w:r>
      <w:r w:rsidR="00F863FA">
        <w:rPr>
          <w:b/>
          <w:szCs w:val="24"/>
        </w:rPr>
        <w:t xml:space="preserve">from a </w:t>
      </w:r>
      <w:r w:rsidR="006C061A">
        <w:rPr>
          <w:b/>
          <w:szCs w:val="24"/>
        </w:rPr>
        <w:t>R</w:t>
      </w:r>
      <w:r w:rsidR="00F863FA">
        <w:rPr>
          <w:b/>
          <w:szCs w:val="24"/>
        </w:rPr>
        <w:t xml:space="preserve">everse </w:t>
      </w:r>
      <w:r w:rsidR="006C061A">
        <w:rPr>
          <w:b/>
          <w:szCs w:val="24"/>
        </w:rPr>
        <w:t>D</w:t>
      </w:r>
      <w:r w:rsidR="00F863FA">
        <w:rPr>
          <w:b/>
          <w:szCs w:val="24"/>
        </w:rPr>
        <w:t>istributor</w:t>
      </w:r>
      <w:r w:rsidRPr="00CE1D60" w:rsidR="00F863FA">
        <w:rPr>
          <w:b/>
          <w:szCs w:val="24"/>
        </w:rPr>
        <w:t xml:space="preserve"> </w:t>
      </w:r>
      <w:r w:rsidR="006C061A">
        <w:rPr>
          <w:b/>
          <w:szCs w:val="24"/>
        </w:rPr>
        <w:t xml:space="preserve">Under </w:t>
      </w:r>
      <w:r w:rsidR="001B1D34">
        <w:rPr>
          <w:b/>
          <w:szCs w:val="24"/>
        </w:rPr>
        <w:t xml:space="preserve">40 CFR </w:t>
      </w:r>
      <w:r w:rsidR="006C061A">
        <w:rPr>
          <w:b/>
          <w:szCs w:val="24"/>
        </w:rPr>
        <w:t>§</w:t>
      </w:r>
      <w:r w:rsidR="00A0043E">
        <w:rPr>
          <w:b/>
          <w:szCs w:val="24"/>
        </w:rPr>
        <w:t xml:space="preserve"> </w:t>
      </w:r>
      <w:r w:rsidR="006C061A">
        <w:rPr>
          <w:b/>
          <w:szCs w:val="24"/>
        </w:rPr>
        <w:t>266.508</w:t>
      </w:r>
      <w:r w:rsidR="000020AE">
        <w:rPr>
          <w:b/>
          <w:szCs w:val="24"/>
        </w:rPr>
        <w:t>.</w:t>
      </w:r>
    </w:p>
    <w:p w:rsidR="00F863FA" w:rsidP="00F863FA" w:rsidRDefault="00F863FA" w14:paraId="323F5154" w14:textId="77777777">
      <w:pPr>
        <w:pStyle w:val="NoSpacing"/>
        <w:ind w:left="720" w:hanging="720"/>
        <w:rPr>
          <w:b/>
          <w:szCs w:val="24"/>
        </w:rPr>
      </w:pPr>
    </w:p>
    <w:p w:rsidR="00F863FA" w:rsidP="001F0E97" w:rsidRDefault="00F863FA" w14:paraId="5B5EFF06" w14:textId="6745A1C8">
      <w:pPr>
        <w:pStyle w:val="NoSpacing"/>
        <w:ind w:firstLine="720"/>
      </w:pPr>
      <w:r>
        <w:rPr>
          <w:szCs w:val="24"/>
        </w:rPr>
        <w:t xml:space="preserve">(A) </w:t>
      </w:r>
      <w:r w:rsidRPr="000020AE">
        <w:rPr>
          <w:b/>
          <w:i/>
        </w:rPr>
        <w:t>Labeling.</w:t>
      </w:r>
      <w:r w:rsidR="006C061A">
        <w:rPr>
          <w:b/>
        </w:rPr>
        <w:t xml:space="preserve"> </w:t>
      </w:r>
      <w:r w:rsidR="001F0E97">
        <w:t>A healthcare facility or reverse distributor must label</w:t>
      </w:r>
      <w:r w:rsidRPr="007E43B5">
        <w:t xml:space="preserve"> each package in accordance with the applicable Department of Transportation regulations on hazardous materials under 49 CFR part 172</w:t>
      </w:r>
      <w:r w:rsidR="00A14CCA">
        <w:t xml:space="preserve"> subpart E</w:t>
      </w:r>
      <w:r w:rsidRPr="007E43B5">
        <w:t>.</w:t>
      </w:r>
    </w:p>
    <w:p w:rsidRPr="001F0E97" w:rsidR="001F0E97" w:rsidP="001F0E97" w:rsidRDefault="001F0E97" w14:paraId="4D1CC504" w14:textId="77777777">
      <w:pPr>
        <w:pStyle w:val="NoSpacing"/>
        <w:ind w:firstLine="720"/>
        <w:rPr>
          <w:b/>
          <w:i/>
        </w:rPr>
      </w:pPr>
    </w:p>
    <w:p w:rsidRPr="006C061A" w:rsidR="00F863FA" w:rsidP="00950624" w:rsidRDefault="00F863FA" w14:paraId="666A656A" w14:textId="75A35C0F">
      <w:pPr>
        <w:ind w:firstLine="720"/>
        <w:rPr>
          <w:bCs/>
          <w:i/>
        </w:rPr>
      </w:pPr>
      <w:r>
        <w:rPr>
          <w:bCs/>
        </w:rPr>
        <w:t>(</w:t>
      </w:r>
      <w:r w:rsidR="001F0E97">
        <w:rPr>
          <w:bCs/>
        </w:rPr>
        <w:t>B</w:t>
      </w:r>
      <w:r w:rsidRPr="007E43B5">
        <w:rPr>
          <w:bCs/>
        </w:rPr>
        <w:t>)</w:t>
      </w:r>
      <w:r w:rsidRPr="007E43B5">
        <w:rPr>
          <w:bCs/>
          <w:i/>
        </w:rPr>
        <w:t xml:space="preserve"> </w:t>
      </w:r>
      <w:r w:rsidRPr="000020AE">
        <w:rPr>
          <w:b/>
          <w:bCs/>
          <w:i/>
        </w:rPr>
        <w:t>Marking.</w:t>
      </w:r>
      <w:r w:rsidR="006C061A">
        <w:rPr>
          <w:b/>
          <w:bCs/>
        </w:rPr>
        <w:t xml:space="preserve"> </w:t>
      </w:r>
      <w:r>
        <w:t>Mark</w:t>
      </w:r>
      <w:r w:rsidRPr="007E43B5">
        <w:t xml:space="preserve"> each package of hazardous waste </w:t>
      </w:r>
      <w:r>
        <w:t xml:space="preserve">pharmaceuticals </w:t>
      </w:r>
      <w:r w:rsidRPr="007E43B5">
        <w:t>in accordance with the applicable Department of Transportation regulations on hazardous materials under 49 CFR part 172</w:t>
      </w:r>
      <w:r w:rsidR="00A94549">
        <w:t xml:space="preserve"> Subpart D</w:t>
      </w:r>
      <w:r w:rsidRPr="007E43B5">
        <w:t xml:space="preserve">; </w:t>
      </w:r>
      <w:r>
        <w:t xml:space="preserve">Mark </w:t>
      </w:r>
      <w:r w:rsidRPr="007E43B5">
        <w:t>each container of 119 gallons or less used in such transportation with the following words and information in accordance with the requirements of 49 CFR 172.304:</w:t>
      </w:r>
    </w:p>
    <w:p w:rsidRPr="002B6121" w:rsidR="00F863FA" w:rsidP="00F863FA" w:rsidRDefault="00F863FA" w14:paraId="1AC1845A" w14:textId="77777777">
      <w:pPr>
        <w:ind w:firstLine="360"/>
        <w:rPr>
          <w:sz w:val="20"/>
          <w:szCs w:val="20"/>
        </w:rPr>
      </w:pPr>
      <w:r w:rsidRPr="002B6121">
        <w:rPr>
          <w:sz w:val="20"/>
          <w:szCs w:val="20"/>
        </w:rPr>
        <w:t>HAZARDOUS WASTE—Federal Law Prohibits Improper Disposal. If found, contact the nearest police or public safety authority or the U.S. Environmental Protection Agency.</w:t>
      </w:r>
    </w:p>
    <w:p w:rsidRPr="002B6121" w:rsidR="00F863FA" w:rsidP="00F863FA" w:rsidRDefault="00F863FA" w14:paraId="0CFF394E" w14:textId="561D668A">
      <w:pPr>
        <w:rPr>
          <w:sz w:val="20"/>
          <w:szCs w:val="20"/>
        </w:rPr>
      </w:pPr>
      <w:r>
        <w:rPr>
          <w:sz w:val="20"/>
          <w:szCs w:val="20"/>
        </w:rPr>
        <w:t xml:space="preserve">Healthcare Facility’s or Reverse Distributor’s </w:t>
      </w:r>
      <w:r w:rsidRPr="002B6121">
        <w:rPr>
          <w:sz w:val="20"/>
          <w:szCs w:val="20"/>
        </w:rPr>
        <w:t>Name and Address _____.</w:t>
      </w:r>
    </w:p>
    <w:p w:rsidRPr="002B6121" w:rsidR="00F863FA" w:rsidP="00F863FA" w:rsidRDefault="00F863FA" w14:paraId="36461930" w14:textId="1024B36E">
      <w:pPr>
        <w:ind w:left="480" w:hanging="480"/>
        <w:rPr>
          <w:sz w:val="20"/>
          <w:szCs w:val="20"/>
        </w:rPr>
      </w:pPr>
      <w:r>
        <w:rPr>
          <w:sz w:val="20"/>
          <w:szCs w:val="20"/>
        </w:rPr>
        <w:t xml:space="preserve">Healthcare Facility’s or Reverse Distributor’s </w:t>
      </w:r>
      <w:r w:rsidRPr="002B6121">
        <w:rPr>
          <w:sz w:val="20"/>
          <w:szCs w:val="20"/>
        </w:rPr>
        <w:t>EPA Identification Number_____.</w:t>
      </w:r>
    </w:p>
    <w:p w:rsidRPr="002B6121" w:rsidR="00F863FA" w:rsidP="00F863FA" w:rsidRDefault="00F863FA" w14:paraId="3A411497" w14:textId="77777777">
      <w:pPr>
        <w:ind w:left="480" w:hanging="480"/>
        <w:rPr>
          <w:sz w:val="20"/>
          <w:szCs w:val="20"/>
        </w:rPr>
      </w:pPr>
      <w:r w:rsidRPr="002B6121">
        <w:rPr>
          <w:sz w:val="20"/>
          <w:szCs w:val="20"/>
        </w:rPr>
        <w:t>Manifest Tracking Number _____.</w:t>
      </w:r>
    </w:p>
    <w:p w:rsidRPr="00FB6FE8" w:rsidR="00F863FA" w:rsidP="00F863FA" w:rsidRDefault="00F863FA" w14:paraId="6DBFA9A3" w14:textId="77777777">
      <w:pPr>
        <w:ind w:left="480" w:hanging="480"/>
        <w:rPr>
          <w:sz w:val="22"/>
        </w:rPr>
      </w:pPr>
    </w:p>
    <w:p w:rsidR="008A3AD2" w:rsidP="00BB0397" w:rsidRDefault="00F863FA" w14:paraId="46AE756E" w14:textId="18ACB913">
      <w:pPr>
        <w:ind w:firstLine="720"/>
      </w:pPr>
      <w:r>
        <w:t>(</w:t>
      </w:r>
      <w:r w:rsidR="001F0E97">
        <w:t>C</w:t>
      </w:r>
      <w:r>
        <w:t xml:space="preserve">) </w:t>
      </w:r>
      <w:r w:rsidRPr="000020AE">
        <w:rPr>
          <w:b/>
          <w:i/>
        </w:rPr>
        <w:t>Placarding.</w:t>
      </w:r>
      <w:r>
        <w:rPr>
          <w:i/>
        </w:rPr>
        <w:t xml:space="preserve">  </w:t>
      </w:r>
      <w:r>
        <w:t>P</w:t>
      </w:r>
      <w:r w:rsidRPr="007E43B5">
        <w:t>lacard or offer the initial transporter the appropriate placards according to Department of Transportation regulations for hazardous materials under 49 CFR part</w:t>
      </w:r>
      <w:r w:rsidR="003043E8">
        <w:t xml:space="preserve"> 1</w:t>
      </w:r>
      <w:r w:rsidRPr="007E43B5">
        <w:t>72, subpart F.</w:t>
      </w:r>
    </w:p>
    <w:p w:rsidRPr="00CE1D60" w:rsidR="00F863FA" w:rsidP="00F863FA" w:rsidRDefault="00F863FA" w14:paraId="66957F17" w14:textId="77777777">
      <w:pPr>
        <w:pStyle w:val="NoSpacing"/>
        <w:ind w:left="180"/>
        <w:rPr>
          <w:szCs w:val="24"/>
        </w:rPr>
      </w:pPr>
    </w:p>
    <w:p w:rsidR="00F863FA" w:rsidP="006C061A" w:rsidRDefault="00F863FA" w14:paraId="1039812E" w14:textId="2F46150C">
      <w:pPr>
        <w:pStyle w:val="NoSpacing"/>
        <w:ind w:firstLine="720"/>
        <w:rPr>
          <w:szCs w:val="24"/>
        </w:rPr>
      </w:pPr>
      <w:r w:rsidRPr="00321A64">
        <w:rPr>
          <w:szCs w:val="24"/>
        </w:rPr>
        <w:t>(</w:t>
      </w:r>
      <w:r w:rsidR="00BB0397">
        <w:rPr>
          <w:szCs w:val="24"/>
        </w:rPr>
        <w:t>D</w:t>
      </w:r>
      <w:r w:rsidR="009775D5">
        <w:rPr>
          <w:szCs w:val="24"/>
        </w:rPr>
        <w:t>)</w:t>
      </w:r>
      <w:r>
        <w:rPr>
          <w:szCs w:val="24"/>
        </w:rPr>
        <w:t xml:space="preserve"> </w:t>
      </w:r>
      <w:r w:rsidRPr="000020AE" w:rsidR="006C061A">
        <w:rPr>
          <w:b/>
          <w:i/>
          <w:szCs w:val="24"/>
        </w:rPr>
        <w:t>M</w:t>
      </w:r>
      <w:r w:rsidRPr="000020AE">
        <w:rPr>
          <w:b/>
          <w:i/>
          <w:szCs w:val="24"/>
        </w:rPr>
        <w:t>anifest</w:t>
      </w:r>
      <w:r w:rsidRPr="000020AE" w:rsidR="006C061A">
        <w:rPr>
          <w:b/>
          <w:i/>
          <w:szCs w:val="24"/>
        </w:rPr>
        <w:t>ing.</w:t>
      </w:r>
      <w:r w:rsidR="006C061A">
        <w:rPr>
          <w:szCs w:val="24"/>
        </w:rPr>
        <w:t xml:space="preserve"> The </w:t>
      </w:r>
      <w:r>
        <w:rPr>
          <w:szCs w:val="24"/>
        </w:rPr>
        <w:t>requirements of part 262 s</w:t>
      </w:r>
      <w:r w:rsidRPr="00CE1D60">
        <w:rPr>
          <w:szCs w:val="24"/>
        </w:rPr>
        <w:t>ubpart B</w:t>
      </w:r>
      <w:r>
        <w:rPr>
          <w:szCs w:val="24"/>
        </w:rPr>
        <w:t>, except that:</w:t>
      </w:r>
    </w:p>
    <w:p w:rsidR="00F863FA" w:rsidP="00F863FA" w:rsidRDefault="00F863FA" w14:paraId="091D83CD" w14:textId="77777777">
      <w:pPr>
        <w:pStyle w:val="NoSpacing"/>
        <w:ind w:firstLine="360"/>
        <w:rPr>
          <w:szCs w:val="24"/>
        </w:rPr>
      </w:pPr>
    </w:p>
    <w:p w:rsidR="00F863FA" w:rsidP="006C061A" w:rsidRDefault="00F863FA" w14:paraId="4C560AE4" w14:textId="43FD8C64">
      <w:pPr>
        <w:pStyle w:val="NoSpacing"/>
        <w:ind w:firstLine="720"/>
        <w:rPr>
          <w:szCs w:val="24"/>
        </w:rPr>
      </w:pPr>
      <w:r w:rsidRPr="004712AE">
        <w:rPr>
          <w:szCs w:val="24"/>
        </w:rPr>
        <w:t>(i)</w:t>
      </w:r>
      <w:r>
        <w:rPr>
          <w:szCs w:val="24"/>
        </w:rPr>
        <w:t xml:space="preserve"> A healthcare facility shipping non-creditable hazardous waste pharmaceuticals is not required to</w:t>
      </w:r>
      <w:r w:rsidRPr="00CE1D60">
        <w:rPr>
          <w:szCs w:val="24"/>
        </w:rPr>
        <w:t xml:space="preserve"> list </w:t>
      </w:r>
      <w:r w:rsidR="00A94549">
        <w:rPr>
          <w:szCs w:val="24"/>
        </w:rPr>
        <w:t xml:space="preserve">all applicable </w:t>
      </w:r>
      <w:r>
        <w:rPr>
          <w:szCs w:val="24"/>
        </w:rPr>
        <w:t xml:space="preserve">hazardous </w:t>
      </w:r>
      <w:r w:rsidRPr="00CE1D60">
        <w:rPr>
          <w:szCs w:val="24"/>
        </w:rPr>
        <w:t xml:space="preserve">waste </w:t>
      </w:r>
      <w:r w:rsidR="00A94549">
        <w:rPr>
          <w:szCs w:val="24"/>
        </w:rPr>
        <w:t xml:space="preserve">numbers (i.e., hazardous waste </w:t>
      </w:r>
      <w:r w:rsidRPr="00CE1D60">
        <w:rPr>
          <w:szCs w:val="24"/>
        </w:rPr>
        <w:t>codes</w:t>
      </w:r>
      <w:r w:rsidR="00A94549">
        <w:rPr>
          <w:szCs w:val="24"/>
        </w:rPr>
        <w:t>)</w:t>
      </w:r>
      <w:r w:rsidRPr="00CE1D60">
        <w:rPr>
          <w:szCs w:val="24"/>
        </w:rPr>
        <w:t xml:space="preserve"> in </w:t>
      </w:r>
      <w:r w:rsidR="00A94549">
        <w:rPr>
          <w:szCs w:val="24"/>
        </w:rPr>
        <w:t xml:space="preserve">Item </w:t>
      </w:r>
      <w:r>
        <w:rPr>
          <w:szCs w:val="24"/>
        </w:rPr>
        <w:t>13 of EPA F</w:t>
      </w:r>
      <w:r w:rsidRPr="00CE1D60">
        <w:rPr>
          <w:szCs w:val="24"/>
        </w:rPr>
        <w:t>orm 8700-22</w:t>
      </w:r>
      <w:r>
        <w:rPr>
          <w:szCs w:val="24"/>
        </w:rPr>
        <w:t xml:space="preserve">.  </w:t>
      </w:r>
    </w:p>
    <w:p w:rsidR="00F863FA" w:rsidP="00F863FA" w:rsidRDefault="00F863FA" w14:paraId="1BECA83E" w14:textId="77777777">
      <w:pPr>
        <w:pStyle w:val="NoSpacing"/>
        <w:ind w:firstLine="360"/>
        <w:rPr>
          <w:szCs w:val="24"/>
        </w:rPr>
      </w:pPr>
    </w:p>
    <w:p w:rsidR="00F863FA" w:rsidP="006C061A" w:rsidRDefault="00F863FA" w14:paraId="60FF1D13" w14:textId="15FC8C9E">
      <w:pPr>
        <w:pStyle w:val="NoSpacing"/>
        <w:ind w:firstLine="720"/>
        <w:rPr>
          <w:szCs w:val="24"/>
        </w:rPr>
      </w:pPr>
      <w:r>
        <w:rPr>
          <w:szCs w:val="24"/>
        </w:rPr>
        <w:t>(ii) A healthcare facility shipping non-creditable hazardous waste pharmaceuticals must write the words</w:t>
      </w:r>
      <w:r w:rsidRPr="00CE1D60">
        <w:rPr>
          <w:szCs w:val="24"/>
        </w:rPr>
        <w:t xml:space="preserve"> “</w:t>
      </w:r>
      <w:r w:rsidR="00766052">
        <w:rPr>
          <w:szCs w:val="24"/>
        </w:rPr>
        <w:t>PHARMS</w:t>
      </w:r>
      <w:r w:rsidRPr="00CE1D60">
        <w:rPr>
          <w:szCs w:val="24"/>
        </w:rPr>
        <w:t xml:space="preserve">” in </w:t>
      </w:r>
      <w:r w:rsidR="00766052">
        <w:rPr>
          <w:szCs w:val="24"/>
        </w:rPr>
        <w:t>Item 13</w:t>
      </w:r>
      <w:r>
        <w:rPr>
          <w:szCs w:val="24"/>
        </w:rPr>
        <w:t xml:space="preserve"> of EPA F</w:t>
      </w:r>
      <w:r w:rsidRPr="00CE1D60">
        <w:rPr>
          <w:szCs w:val="24"/>
        </w:rPr>
        <w:t>orm 8700-22.</w:t>
      </w:r>
    </w:p>
    <w:p w:rsidR="000020AE" w:rsidP="000020AE" w:rsidRDefault="000020AE" w14:paraId="360B57D7" w14:textId="77777777">
      <w:pPr>
        <w:pStyle w:val="NoSpacing"/>
        <w:rPr>
          <w:szCs w:val="24"/>
        </w:rPr>
      </w:pPr>
    </w:p>
    <w:p w:rsidR="000020AE" w:rsidP="000020AE" w:rsidRDefault="000020AE" w14:paraId="6C35A932" w14:textId="61772C77">
      <w:pPr>
        <w:pStyle w:val="NoSpacing"/>
        <w:ind w:firstLine="720"/>
        <w:rPr>
          <w:szCs w:val="24"/>
        </w:rPr>
      </w:pPr>
      <w:r w:rsidRPr="00321A64">
        <w:rPr>
          <w:szCs w:val="24"/>
        </w:rPr>
        <w:t>(</w:t>
      </w:r>
      <w:r w:rsidR="00BB0397">
        <w:rPr>
          <w:szCs w:val="24"/>
        </w:rPr>
        <w:t>E</w:t>
      </w:r>
      <w:r w:rsidRPr="0066516F">
        <w:rPr>
          <w:i/>
          <w:szCs w:val="24"/>
        </w:rPr>
        <w:t xml:space="preserve">) </w:t>
      </w:r>
      <w:r w:rsidRPr="0066516F">
        <w:rPr>
          <w:b/>
          <w:i/>
          <w:szCs w:val="24"/>
        </w:rPr>
        <w:t xml:space="preserve">Exporting </w:t>
      </w:r>
      <w:r w:rsidRPr="0066516F" w:rsidR="0066516F">
        <w:rPr>
          <w:b/>
          <w:i/>
          <w:szCs w:val="24"/>
        </w:rPr>
        <w:t>Requirements</w:t>
      </w:r>
      <w:r w:rsidRPr="0066516F">
        <w:rPr>
          <w:b/>
          <w:i/>
          <w:szCs w:val="24"/>
        </w:rPr>
        <w:t>.</w:t>
      </w:r>
      <w:r>
        <w:rPr>
          <w:i/>
          <w:szCs w:val="24"/>
        </w:rPr>
        <w:t xml:space="preserve"> </w:t>
      </w:r>
      <w:r w:rsidRPr="00CE1D60">
        <w:rPr>
          <w:szCs w:val="24"/>
        </w:rPr>
        <w:t xml:space="preserve">A healthcare facility or </w:t>
      </w:r>
      <w:r>
        <w:rPr>
          <w:szCs w:val="24"/>
        </w:rPr>
        <w:t>reverse distributor</w:t>
      </w:r>
      <w:r w:rsidRPr="00CE1D60">
        <w:rPr>
          <w:szCs w:val="24"/>
        </w:rPr>
        <w:t xml:space="preserve"> that exports </w:t>
      </w:r>
      <w:r>
        <w:rPr>
          <w:szCs w:val="24"/>
        </w:rPr>
        <w:t xml:space="preserve">non-creditable </w:t>
      </w:r>
      <w:r w:rsidR="009775D5">
        <w:rPr>
          <w:szCs w:val="24"/>
        </w:rPr>
        <w:t xml:space="preserve">hazardous waste pharmaceuticals </w:t>
      </w:r>
      <w:r>
        <w:rPr>
          <w:szCs w:val="24"/>
        </w:rPr>
        <w:t xml:space="preserve">or evaluated </w:t>
      </w:r>
      <w:r w:rsidRPr="00CE1D60">
        <w:rPr>
          <w:szCs w:val="24"/>
        </w:rPr>
        <w:t xml:space="preserve">hazardous waste pharmaceuticals </w:t>
      </w:r>
      <w:r>
        <w:rPr>
          <w:szCs w:val="24"/>
        </w:rPr>
        <w:t>is subject to</w:t>
      </w:r>
      <w:r w:rsidRPr="00CE1D60">
        <w:rPr>
          <w:szCs w:val="24"/>
        </w:rPr>
        <w:t xml:space="preserve"> </w:t>
      </w:r>
      <w:r>
        <w:rPr>
          <w:szCs w:val="24"/>
        </w:rPr>
        <w:t>part 262 s</w:t>
      </w:r>
      <w:r w:rsidR="00856BB9">
        <w:rPr>
          <w:szCs w:val="24"/>
        </w:rPr>
        <w:t>ubpart H</w:t>
      </w:r>
      <w:r>
        <w:rPr>
          <w:szCs w:val="24"/>
        </w:rPr>
        <w:t>.</w:t>
      </w:r>
    </w:p>
    <w:p w:rsidR="000020AE" w:rsidP="000020AE" w:rsidRDefault="000020AE" w14:paraId="61A8D80D" w14:textId="77777777">
      <w:pPr>
        <w:pStyle w:val="NoSpacing"/>
        <w:ind w:left="180"/>
        <w:rPr>
          <w:szCs w:val="24"/>
        </w:rPr>
      </w:pPr>
    </w:p>
    <w:p w:rsidR="000020AE" w:rsidP="000020AE" w:rsidRDefault="000020AE" w14:paraId="2575525A" w14:textId="5B2B1CA3">
      <w:pPr>
        <w:pStyle w:val="NoSpacing"/>
        <w:ind w:firstLine="720"/>
        <w:rPr>
          <w:szCs w:val="24"/>
        </w:rPr>
      </w:pPr>
      <w:r w:rsidRPr="00321A64">
        <w:rPr>
          <w:szCs w:val="24"/>
        </w:rPr>
        <w:t>(</w:t>
      </w:r>
      <w:r w:rsidR="00BB0397">
        <w:rPr>
          <w:szCs w:val="24"/>
        </w:rPr>
        <w:t>F</w:t>
      </w:r>
      <w:r w:rsidRPr="00321A64">
        <w:rPr>
          <w:szCs w:val="24"/>
        </w:rPr>
        <w:t>)</w:t>
      </w:r>
      <w:r>
        <w:rPr>
          <w:szCs w:val="24"/>
        </w:rPr>
        <w:t xml:space="preserve"> </w:t>
      </w:r>
      <w:r w:rsidRPr="0066516F">
        <w:rPr>
          <w:b/>
          <w:i/>
          <w:szCs w:val="24"/>
        </w:rPr>
        <w:t xml:space="preserve">Importing </w:t>
      </w:r>
      <w:r w:rsidRPr="0066516F" w:rsidR="0066516F">
        <w:rPr>
          <w:b/>
          <w:i/>
          <w:szCs w:val="24"/>
        </w:rPr>
        <w:t>Requirement</w:t>
      </w:r>
      <w:r w:rsidRPr="0066516F">
        <w:rPr>
          <w:b/>
          <w:i/>
          <w:szCs w:val="24"/>
        </w:rPr>
        <w:t>s.</w:t>
      </w:r>
      <w:r>
        <w:rPr>
          <w:i/>
          <w:szCs w:val="24"/>
        </w:rPr>
        <w:t xml:space="preserve">  </w:t>
      </w:r>
      <w:r>
        <w:rPr>
          <w:szCs w:val="24"/>
        </w:rPr>
        <w:t xml:space="preserve">Any person that imports non-creditable </w:t>
      </w:r>
      <w:r w:rsidR="009775D5">
        <w:rPr>
          <w:szCs w:val="24"/>
        </w:rPr>
        <w:t xml:space="preserve">hazardous waste pharmaceuticals </w:t>
      </w:r>
      <w:r>
        <w:rPr>
          <w:szCs w:val="24"/>
        </w:rPr>
        <w:t xml:space="preserve">or evaluated hazardous waste pharmaceuticals </w:t>
      </w:r>
      <w:r w:rsidR="00856BB9">
        <w:rPr>
          <w:szCs w:val="24"/>
        </w:rPr>
        <w:t>is subject to part 262 subpart H</w:t>
      </w:r>
      <w:r>
        <w:rPr>
          <w:szCs w:val="24"/>
        </w:rPr>
        <w:t xml:space="preserve">.  </w:t>
      </w:r>
      <w:r w:rsidRPr="001911C9">
        <w:rPr>
          <w:szCs w:val="24"/>
        </w:rPr>
        <w:t xml:space="preserve">A </w:t>
      </w:r>
      <w:r>
        <w:rPr>
          <w:szCs w:val="24"/>
        </w:rPr>
        <w:t xml:space="preserve">healthcare facility or reverse distributor may not accept imported non-creditable </w:t>
      </w:r>
      <w:r w:rsidR="009775D5">
        <w:rPr>
          <w:szCs w:val="24"/>
        </w:rPr>
        <w:t xml:space="preserve">hazardous waste pharmaceuticals </w:t>
      </w:r>
      <w:r>
        <w:rPr>
          <w:szCs w:val="24"/>
        </w:rPr>
        <w:t xml:space="preserve">or evaluated hazardous waste pharmaceuticals, unless they have a permit or interim status that allows them to accept hazardous waste from off-site.  </w:t>
      </w:r>
    </w:p>
    <w:p w:rsidR="0066516F" w:rsidP="000020AE" w:rsidRDefault="0066516F" w14:paraId="20E50231" w14:textId="77777777">
      <w:pPr>
        <w:pStyle w:val="NoSpacing"/>
        <w:ind w:firstLine="720"/>
        <w:rPr>
          <w:szCs w:val="24"/>
        </w:rPr>
      </w:pPr>
    </w:p>
    <w:p w:rsidR="0066516F" w:rsidP="0016041B" w:rsidRDefault="0066516F" w14:paraId="0C91CDD2" w14:textId="43EEDEE1">
      <w:pPr>
        <w:pStyle w:val="NoSpacing"/>
        <w:ind w:left="720" w:hanging="720"/>
        <w:rPr>
          <w:b/>
          <w:szCs w:val="24"/>
        </w:rPr>
      </w:pPr>
      <w:r>
        <w:rPr>
          <w:b/>
          <w:szCs w:val="24"/>
        </w:rPr>
        <w:lastRenderedPageBreak/>
        <w:t>(</w:t>
      </w:r>
      <w:r w:rsidR="00311557">
        <w:rPr>
          <w:b/>
          <w:szCs w:val="24"/>
        </w:rPr>
        <w:t>4</w:t>
      </w:r>
      <w:r>
        <w:rPr>
          <w:b/>
          <w:szCs w:val="24"/>
        </w:rPr>
        <w:t xml:space="preserve">) </w:t>
      </w:r>
      <w:r>
        <w:rPr>
          <w:b/>
          <w:szCs w:val="24"/>
        </w:rPr>
        <w:tab/>
      </w:r>
      <w:r w:rsidRPr="004C665F">
        <w:rPr>
          <w:b/>
          <w:szCs w:val="24"/>
        </w:rPr>
        <w:t>Shipping P</w:t>
      </w:r>
      <w:r w:rsidRPr="00CE1D60">
        <w:rPr>
          <w:b/>
          <w:szCs w:val="24"/>
        </w:rPr>
        <w:t xml:space="preserve">otentially </w:t>
      </w:r>
      <w:r>
        <w:rPr>
          <w:b/>
          <w:szCs w:val="24"/>
        </w:rPr>
        <w:t>C</w:t>
      </w:r>
      <w:r w:rsidRPr="00CE1D60">
        <w:rPr>
          <w:b/>
          <w:szCs w:val="24"/>
        </w:rPr>
        <w:t xml:space="preserve">reditable </w:t>
      </w:r>
      <w:r>
        <w:rPr>
          <w:b/>
          <w:szCs w:val="24"/>
        </w:rPr>
        <w:t>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Pr>
          <w:b/>
          <w:szCs w:val="24"/>
        </w:rPr>
        <w:t xml:space="preserve"> from a Healthcare Facility or a Reverse Distributor</w:t>
      </w:r>
      <w:r w:rsidR="001B1D34">
        <w:rPr>
          <w:b/>
          <w:szCs w:val="24"/>
        </w:rPr>
        <w:t xml:space="preserve"> </w:t>
      </w:r>
      <w:r>
        <w:rPr>
          <w:b/>
          <w:szCs w:val="24"/>
        </w:rPr>
        <w:t>to a Reverse Distributor</w:t>
      </w:r>
      <w:r w:rsidR="00957BCA">
        <w:rPr>
          <w:b/>
          <w:szCs w:val="24"/>
        </w:rPr>
        <w:t xml:space="preserve"> </w:t>
      </w:r>
      <w:r w:rsidR="006948D3">
        <w:rPr>
          <w:b/>
          <w:szCs w:val="24"/>
        </w:rPr>
        <w:t>Under</w:t>
      </w:r>
      <w:r w:rsidR="00957BCA">
        <w:rPr>
          <w:b/>
          <w:szCs w:val="24"/>
        </w:rPr>
        <w:t xml:space="preserve"> </w:t>
      </w:r>
      <w:r w:rsidR="001B1D34">
        <w:rPr>
          <w:b/>
          <w:szCs w:val="24"/>
        </w:rPr>
        <w:t xml:space="preserve">40 CFR </w:t>
      </w:r>
      <w:r w:rsidR="006948D3">
        <w:rPr>
          <w:b/>
          <w:szCs w:val="24"/>
        </w:rPr>
        <w:t>§</w:t>
      </w:r>
      <w:r w:rsidR="001B1D34">
        <w:rPr>
          <w:b/>
          <w:szCs w:val="24"/>
        </w:rPr>
        <w:t xml:space="preserve"> </w:t>
      </w:r>
      <w:r>
        <w:rPr>
          <w:b/>
          <w:szCs w:val="24"/>
        </w:rPr>
        <w:t>266.509.</w:t>
      </w:r>
    </w:p>
    <w:p w:rsidRPr="00CE1D60" w:rsidR="0066516F" w:rsidP="0066516F" w:rsidRDefault="0066516F" w14:paraId="5091B7B9" w14:textId="77777777">
      <w:pPr>
        <w:pStyle w:val="NoSpacing"/>
        <w:rPr>
          <w:b/>
          <w:szCs w:val="24"/>
        </w:rPr>
      </w:pPr>
    </w:p>
    <w:p w:rsidR="0066516F" w:rsidP="003B17CD" w:rsidRDefault="0066516F" w14:paraId="71B5D6BA" w14:textId="3760022D">
      <w:pPr>
        <w:pStyle w:val="NoSpacing"/>
        <w:ind w:firstLine="720"/>
        <w:rPr>
          <w:szCs w:val="24"/>
        </w:rPr>
      </w:pPr>
      <w:r w:rsidRPr="00321A64">
        <w:rPr>
          <w:szCs w:val="24"/>
        </w:rPr>
        <w:t>(</w:t>
      </w:r>
      <w:r>
        <w:rPr>
          <w:szCs w:val="24"/>
        </w:rPr>
        <w:t>A</w:t>
      </w:r>
      <w:r w:rsidRPr="00321A64">
        <w:rPr>
          <w:szCs w:val="24"/>
        </w:rPr>
        <w:t>)</w:t>
      </w:r>
      <w:r>
        <w:rPr>
          <w:szCs w:val="24"/>
        </w:rPr>
        <w:t xml:space="preserve">  </w:t>
      </w:r>
      <w:r w:rsidR="00CE1F49">
        <w:rPr>
          <w:b/>
          <w:i/>
          <w:szCs w:val="24"/>
        </w:rPr>
        <w:t>Delivery Confirmation.</w:t>
      </w:r>
      <w:r w:rsidR="00CE1F49">
        <w:rPr>
          <w:szCs w:val="24"/>
        </w:rPr>
        <w:t xml:space="preserve"> </w:t>
      </w:r>
      <w:r>
        <w:rPr>
          <w:szCs w:val="24"/>
        </w:rPr>
        <w:t>Upon receipt of each shipment of potentially creditable hazardous waste pharmaceuticals, t</w:t>
      </w:r>
      <w:r w:rsidRPr="00CE1D60">
        <w:rPr>
          <w:szCs w:val="24"/>
        </w:rPr>
        <w:t xml:space="preserve">he </w:t>
      </w:r>
      <w:r>
        <w:rPr>
          <w:szCs w:val="24"/>
        </w:rPr>
        <w:t>receiving</w:t>
      </w:r>
      <w:r w:rsidRPr="00CE1D60">
        <w:rPr>
          <w:szCs w:val="24"/>
        </w:rPr>
        <w:t xml:space="preserve"> </w:t>
      </w:r>
      <w:r>
        <w:rPr>
          <w:szCs w:val="24"/>
        </w:rPr>
        <w:t>reverse distributor</w:t>
      </w:r>
      <w:r w:rsidRPr="00CE1D60">
        <w:rPr>
          <w:szCs w:val="24"/>
        </w:rPr>
        <w:t xml:space="preserve"> must </w:t>
      </w:r>
      <w:r>
        <w:rPr>
          <w:szCs w:val="24"/>
        </w:rPr>
        <w:t>provide</w:t>
      </w:r>
      <w:r w:rsidRPr="00CE1D60">
        <w:rPr>
          <w:szCs w:val="24"/>
        </w:rPr>
        <w:t xml:space="preserve"> confirmation</w:t>
      </w:r>
      <w:r>
        <w:rPr>
          <w:szCs w:val="24"/>
        </w:rPr>
        <w:t xml:space="preserve"> (paper</w:t>
      </w:r>
      <w:r w:rsidRPr="00CE1D60">
        <w:rPr>
          <w:szCs w:val="24"/>
        </w:rPr>
        <w:t xml:space="preserve"> or electronic</w:t>
      </w:r>
      <w:r>
        <w:rPr>
          <w:szCs w:val="24"/>
        </w:rPr>
        <w:t>)</w:t>
      </w:r>
      <w:r w:rsidRPr="00CE1D60">
        <w:rPr>
          <w:szCs w:val="24"/>
        </w:rPr>
        <w:t xml:space="preserve"> </w:t>
      </w:r>
      <w:r>
        <w:rPr>
          <w:szCs w:val="24"/>
        </w:rPr>
        <w:t>to the healthcare facility or reverse distributor</w:t>
      </w:r>
      <w:r w:rsidRPr="00CE1D60">
        <w:rPr>
          <w:szCs w:val="24"/>
        </w:rPr>
        <w:t xml:space="preserve"> that</w:t>
      </w:r>
      <w:r>
        <w:rPr>
          <w:szCs w:val="24"/>
        </w:rPr>
        <w:t xml:space="preserve"> initiate</w:t>
      </w:r>
      <w:r w:rsidR="00974995">
        <w:rPr>
          <w:szCs w:val="24"/>
        </w:rPr>
        <w:t>d</w:t>
      </w:r>
      <w:r w:rsidRPr="00CE1D60">
        <w:rPr>
          <w:szCs w:val="24"/>
        </w:rPr>
        <w:t xml:space="preserve"> the shipment </w:t>
      </w:r>
      <w:r>
        <w:rPr>
          <w:szCs w:val="24"/>
        </w:rPr>
        <w:t xml:space="preserve">that the shipment of potentially creditable hazardous waste pharmaceuticals has </w:t>
      </w:r>
      <w:r w:rsidRPr="00CE1D60">
        <w:rPr>
          <w:szCs w:val="24"/>
        </w:rPr>
        <w:t>arri</w:t>
      </w:r>
      <w:r>
        <w:rPr>
          <w:szCs w:val="24"/>
        </w:rPr>
        <w:t>ved</w:t>
      </w:r>
      <w:r w:rsidR="00C60441">
        <w:rPr>
          <w:szCs w:val="24"/>
        </w:rPr>
        <w:t xml:space="preserve"> at its destination and is under the custody and control of the reverse distributor</w:t>
      </w:r>
      <w:r>
        <w:rPr>
          <w:szCs w:val="24"/>
        </w:rPr>
        <w:t>.</w:t>
      </w:r>
      <w:r w:rsidR="00CE1F49">
        <w:rPr>
          <w:szCs w:val="24"/>
        </w:rPr>
        <w:t xml:space="preserve"> </w:t>
      </w:r>
      <w:r>
        <w:rPr>
          <w:szCs w:val="24"/>
        </w:rPr>
        <w:t xml:space="preserve">If a healthcare facility or reverse distributor initiates a shipment of potentially creditable hazardous waste pharmaceuticals to a reverse distributor and does not receive delivery confirmation within </w:t>
      </w:r>
      <w:r w:rsidR="00C62A1B">
        <w:rPr>
          <w:szCs w:val="24"/>
        </w:rPr>
        <w:t>35</w:t>
      </w:r>
      <w:r>
        <w:rPr>
          <w:szCs w:val="24"/>
        </w:rPr>
        <w:t xml:space="preserve"> calendar days from the date that the shipment of potentially creditable hazardous waste pharmaceuticals was sent, the </w:t>
      </w:r>
      <w:r w:rsidR="007A35B2">
        <w:rPr>
          <w:szCs w:val="24"/>
        </w:rPr>
        <w:t xml:space="preserve">healthcare </w:t>
      </w:r>
      <w:r>
        <w:rPr>
          <w:szCs w:val="24"/>
        </w:rPr>
        <w:t xml:space="preserve">facility </w:t>
      </w:r>
      <w:r w:rsidR="007A35B2">
        <w:rPr>
          <w:szCs w:val="24"/>
        </w:rPr>
        <w:t xml:space="preserve">or reverse distributor </w:t>
      </w:r>
      <w:r>
        <w:rPr>
          <w:szCs w:val="24"/>
        </w:rPr>
        <w:t xml:space="preserve">that initiated the shipment must contact the </w:t>
      </w:r>
      <w:r w:rsidR="00C60441">
        <w:rPr>
          <w:szCs w:val="24"/>
        </w:rPr>
        <w:t xml:space="preserve">carrier </w:t>
      </w:r>
      <w:r>
        <w:rPr>
          <w:szCs w:val="24"/>
        </w:rPr>
        <w:t>and the intended recipient</w:t>
      </w:r>
      <w:r w:rsidR="007A35B2">
        <w:rPr>
          <w:szCs w:val="24"/>
        </w:rPr>
        <w:t xml:space="preserve"> (i.e., the reverse distributor</w:t>
      </w:r>
      <w:r w:rsidR="00C60441">
        <w:rPr>
          <w:szCs w:val="24"/>
        </w:rPr>
        <w:t>)</w:t>
      </w:r>
      <w:r>
        <w:rPr>
          <w:szCs w:val="24"/>
        </w:rPr>
        <w:t xml:space="preserve"> promptly to report that the </w:t>
      </w:r>
      <w:r w:rsidR="00C60441">
        <w:rPr>
          <w:szCs w:val="24"/>
        </w:rPr>
        <w:t xml:space="preserve">delivery </w:t>
      </w:r>
      <w:r>
        <w:rPr>
          <w:szCs w:val="24"/>
        </w:rPr>
        <w:t>confirmation was not received and to determine the status of the potentially creditable hazardous waste pharmaceuticals.</w:t>
      </w:r>
    </w:p>
    <w:p w:rsidR="0066516F" w:rsidP="0066516F" w:rsidRDefault="0066516F" w14:paraId="67FB9288" w14:textId="77777777">
      <w:pPr>
        <w:pStyle w:val="NoSpacing"/>
        <w:rPr>
          <w:szCs w:val="24"/>
        </w:rPr>
      </w:pPr>
    </w:p>
    <w:p w:rsidR="0066516F" w:rsidP="0016041B" w:rsidRDefault="0066516F" w14:paraId="39315A13" w14:textId="741C7A54">
      <w:pPr>
        <w:pStyle w:val="NoSpacing"/>
        <w:ind w:firstLine="720"/>
        <w:rPr>
          <w:szCs w:val="24"/>
        </w:rPr>
      </w:pPr>
      <w:r w:rsidRPr="00321A64">
        <w:rPr>
          <w:szCs w:val="24"/>
        </w:rPr>
        <w:t>(</w:t>
      </w:r>
      <w:r w:rsidR="003B17CD">
        <w:rPr>
          <w:szCs w:val="24"/>
        </w:rPr>
        <w:t>B</w:t>
      </w:r>
      <w:r w:rsidRPr="00321A64">
        <w:rPr>
          <w:szCs w:val="24"/>
        </w:rPr>
        <w:t>)</w:t>
      </w:r>
      <w:r>
        <w:rPr>
          <w:szCs w:val="24"/>
        </w:rPr>
        <w:t xml:space="preserve"> </w:t>
      </w:r>
      <w:r w:rsidRPr="00CE1F49">
        <w:rPr>
          <w:b/>
          <w:i/>
          <w:szCs w:val="24"/>
        </w:rPr>
        <w:t xml:space="preserve">Exporting </w:t>
      </w:r>
      <w:r w:rsidRPr="00CE1F49" w:rsidR="00CE1F49">
        <w:rPr>
          <w:b/>
          <w:i/>
          <w:szCs w:val="24"/>
        </w:rPr>
        <w:t>Requirements</w:t>
      </w:r>
      <w:r w:rsidRPr="00CE1F49">
        <w:rPr>
          <w:b/>
          <w:i/>
          <w:szCs w:val="24"/>
        </w:rPr>
        <w:t>.</w:t>
      </w:r>
      <w:r>
        <w:rPr>
          <w:i/>
          <w:szCs w:val="24"/>
        </w:rPr>
        <w:t xml:space="preserve"> </w:t>
      </w:r>
      <w:r>
        <w:rPr>
          <w:szCs w:val="24"/>
        </w:rPr>
        <w:t xml:space="preserve"> </w:t>
      </w:r>
      <w:r w:rsidRPr="00CE1D60">
        <w:rPr>
          <w:szCs w:val="24"/>
        </w:rPr>
        <w:t xml:space="preserve">A </w:t>
      </w:r>
      <w:r>
        <w:rPr>
          <w:szCs w:val="24"/>
        </w:rPr>
        <w:t>health</w:t>
      </w:r>
      <w:r w:rsidRPr="00CE1D60">
        <w:rPr>
          <w:szCs w:val="24"/>
        </w:rPr>
        <w:t xml:space="preserve">care facility or </w:t>
      </w:r>
      <w:r>
        <w:rPr>
          <w:szCs w:val="24"/>
        </w:rPr>
        <w:t>reverse distributor</w:t>
      </w:r>
      <w:r w:rsidRPr="00CE1D60">
        <w:rPr>
          <w:szCs w:val="24"/>
        </w:rPr>
        <w:t xml:space="preserve"> </w:t>
      </w:r>
      <w:r w:rsidR="007A35B2">
        <w:rPr>
          <w:szCs w:val="24"/>
        </w:rPr>
        <w:t>that</w:t>
      </w:r>
      <w:r>
        <w:rPr>
          <w:szCs w:val="24"/>
        </w:rPr>
        <w:t xml:space="preserve"> sends</w:t>
      </w:r>
      <w:r w:rsidRPr="00CE1D60">
        <w:rPr>
          <w:szCs w:val="24"/>
        </w:rPr>
        <w:t xml:space="preserve"> potentially creditable hazardous waste pharmaceuticals </w:t>
      </w:r>
      <w:r>
        <w:rPr>
          <w:szCs w:val="24"/>
        </w:rPr>
        <w:t xml:space="preserve">to a foreign destination </w:t>
      </w:r>
      <w:r w:rsidRPr="00CE1D60">
        <w:rPr>
          <w:szCs w:val="24"/>
        </w:rPr>
        <w:t>must</w:t>
      </w:r>
      <w:r>
        <w:rPr>
          <w:szCs w:val="24"/>
        </w:rPr>
        <w:t xml:space="preserve"> comply with</w:t>
      </w:r>
      <w:r w:rsidR="0005080C">
        <w:rPr>
          <w:szCs w:val="24"/>
        </w:rPr>
        <w:t xml:space="preserve"> the applicable sections of 40 CFR part 262 subpart H, except the manifesting requirements of </w:t>
      </w:r>
      <w:r w:rsidRPr="000520A9" w:rsidR="0005080C">
        <w:t>§ 262.83(</w:t>
      </w:r>
      <w:r w:rsidRPr="00DD5136" w:rsidR="0005080C">
        <w:t>c),</w:t>
      </w:r>
      <w:r w:rsidRPr="006B5BCA" w:rsidR="0005080C">
        <w:t xml:space="preserve"> </w:t>
      </w:r>
      <w:r w:rsidR="004C3BA4">
        <w:rPr>
          <w:szCs w:val="24"/>
        </w:rPr>
        <w:t>in addition to paragraph (A) of</w:t>
      </w:r>
      <w:r>
        <w:rPr>
          <w:szCs w:val="24"/>
        </w:rPr>
        <w:t xml:space="preserve"> </w:t>
      </w:r>
      <w:r w:rsidR="004C3BA4">
        <w:rPr>
          <w:szCs w:val="24"/>
        </w:rPr>
        <w:t xml:space="preserve">this section. </w:t>
      </w:r>
    </w:p>
    <w:p w:rsidR="0016041B" w:rsidP="0016041B" w:rsidRDefault="0016041B" w14:paraId="1F175985" w14:textId="06401EAE">
      <w:pPr>
        <w:pStyle w:val="NoSpacing"/>
        <w:rPr>
          <w:szCs w:val="24"/>
        </w:rPr>
      </w:pPr>
    </w:p>
    <w:p w:rsidR="0066516F" w:rsidP="0016041B" w:rsidRDefault="0066516F" w14:paraId="5DD204A7" w14:textId="3395B134">
      <w:pPr>
        <w:pStyle w:val="NoSpacing"/>
        <w:ind w:firstLine="720"/>
        <w:rPr>
          <w:szCs w:val="24"/>
        </w:rPr>
      </w:pPr>
      <w:r w:rsidRPr="00321A64">
        <w:rPr>
          <w:szCs w:val="24"/>
        </w:rPr>
        <w:t>(</w:t>
      </w:r>
      <w:r w:rsidR="007804F6">
        <w:rPr>
          <w:szCs w:val="24"/>
        </w:rPr>
        <w:t>C</w:t>
      </w:r>
      <w:r w:rsidRPr="00321A64">
        <w:rPr>
          <w:szCs w:val="24"/>
        </w:rPr>
        <w:t>)</w:t>
      </w:r>
      <w:r>
        <w:rPr>
          <w:szCs w:val="24"/>
        </w:rPr>
        <w:t xml:space="preserve"> </w:t>
      </w:r>
      <w:r w:rsidRPr="0016041B">
        <w:rPr>
          <w:b/>
          <w:i/>
          <w:szCs w:val="24"/>
        </w:rPr>
        <w:t xml:space="preserve">Importing </w:t>
      </w:r>
      <w:r w:rsidRPr="0016041B" w:rsidR="0016041B">
        <w:rPr>
          <w:b/>
          <w:i/>
          <w:szCs w:val="24"/>
        </w:rPr>
        <w:t>Requirement</w:t>
      </w:r>
      <w:r w:rsidRPr="0016041B">
        <w:rPr>
          <w:b/>
          <w:i/>
          <w:szCs w:val="24"/>
        </w:rPr>
        <w:t>s.</w:t>
      </w:r>
      <w:r>
        <w:rPr>
          <w:i/>
          <w:szCs w:val="24"/>
        </w:rPr>
        <w:t xml:space="preserve"> </w:t>
      </w:r>
      <w:r>
        <w:rPr>
          <w:szCs w:val="24"/>
        </w:rPr>
        <w:t xml:space="preserve">Any person that imports potentially creditable hazardous waste pharmaceuticals into the United States is subject </w:t>
      </w:r>
      <w:r w:rsidR="007A35B2">
        <w:rPr>
          <w:szCs w:val="24"/>
        </w:rPr>
        <w:t xml:space="preserve">to paragraphs </w:t>
      </w:r>
      <w:r w:rsidR="00C60441">
        <w:rPr>
          <w:szCs w:val="24"/>
        </w:rPr>
        <w:t>(A)</w:t>
      </w:r>
      <w:r w:rsidR="007A35B2">
        <w:rPr>
          <w:szCs w:val="24"/>
        </w:rPr>
        <w:t xml:space="preserve"> of </w:t>
      </w:r>
      <w:r>
        <w:rPr>
          <w:szCs w:val="24"/>
        </w:rPr>
        <w:t xml:space="preserve">this section in lieu of </w:t>
      </w:r>
      <w:r w:rsidR="007A35B2">
        <w:rPr>
          <w:szCs w:val="24"/>
        </w:rPr>
        <w:t xml:space="preserve">40 CFR </w:t>
      </w:r>
      <w:r>
        <w:rPr>
          <w:szCs w:val="24"/>
        </w:rPr>
        <w:t xml:space="preserve">part 262 subpart </w:t>
      </w:r>
      <w:r w:rsidR="008F1810">
        <w:rPr>
          <w:szCs w:val="24"/>
        </w:rPr>
        <w:t>H</w:t>
      </w:r>
      <w:r>
        <w:rPr>
          <w:szCs w:val="24"/>
        </w:rPr>
        <w:t>.</w:t>
      </w:r>
    </w:p>
    <w:p w:rsidR="0016041B" w:rsidP="0016041B" w:rsidRDefault="0016041B" w14:paraId="5D09637E" w14:textId="77777777">
      <w:pPr>
        <w:pStyle w:val="NoSpacing"/>
        <w:ind w:firstLine="720"/>
        <w:rPr>
          <w:szCs w:val="24"/>
        </w:rPr>
      </w:pPr>
    </w:p>
    <w:p w:rsidR="007A6CBB" w:rsidP="007A6CBB" w:rsidRDefault="007A6CBB" w14:paraId="4C3AB708" w14:textId="2E8ED8E4">
      <w:pPr>
        <w:pStyle w:val="NoSpacing"/>
        <w:ind w:left="720" w:hanging="720"/>
        <w:rPr>
          <w:b/>
          <w:szCs w:val="24"/>
        </w:rPr>
      </w:pPr>
      <w:r>
        <w:rPr>
          <w:b/>
          <w:szCs w:val="24"/>
        </w:rPr>
        <w:t>(5)</w:t>
      </w:r>
      <w:r>
        <w:rPr>
          <w:b/>
          <w:szCs w:val="24"/>
        </w:rPr>
        <w:tab/>
        <w:t>Reverse Distributors M</w:t>
      </w:r>
      <w:r w:rsidRPr="00CE1D60">
        <w:rPr>
          <w:b/>
          <w:szCs w:val="24"/>
        </w:rPr>
        <w:t>anag</w:t>
      </w:r>
      <w:r>
        <w:rPr>
          <w:b/>
          <w:szCs w:val="24"/>
        </w:rPr>
        <w:t>ing</w:t>
      </w:r>
      <w:r w:rsidRPr="00CE1D60">
        <w:rPr>
          <w:b/>
          <w:szCs w:val="24"/>
        </w:rPr>
        <w:t xml:space="preserve"> </w:t>
      </w:r>
      <w:r>
        <w:rPr>
          <w:b/>
          <w:szCs w:val="24"/>
        </w:rPr>
        <w:t>P</w:t>
      </w:r>
      <w:r w:rsidRPr="00CE1D60">
        <w:rPr>
          <w:b/>
          <w:szCs w:val="24"/>
        </w:rPr>
        <w:t xml:space="preserve">otentially </w:t>
      </w:r>
      <w:r>
        <w:rPr>
          <w:b/>
          <w:szCs w:val="24"/>
        </w:rPr>
        <w:t>C</w:t>
      </w:r>
      <w:r w:rsidRPr="00CE1D60">
        <w:rPr>
          <w:b/>
          <w:szCs w:val="24"/>
        </w:rPr>
        <w:t xml:space="preserve">reditable </w:t>
      </w:r>
      <w:r>
        <w:rPr>
          <w:b/>
          <w:szCs w:val="24"/>
        </w:rPr>
        <w:t>and Evaluated 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sidR="006948D3">
        <w:rPr>
          <w:b/>
          <w:szCs w:val="24"/>
        </w:rPr>
        <w:t xml:space="preserve"> Under </w:t>
      </w:r>
      <w:r w:rsidR="001B1D34">
        <w:rPr>
          <w:b/>
          <w:szCs w:val="24"/>
        </w:rPr>
        <w:t xml:space="preserve">40 CFR </w:t>
      </w:r>
      <w:r w:rsidR="006948D3">
        <w:rPr>
          <w:b/>
          <w:szCs w:val="24"/>
        </w:rPr>
        <w:t>§</w:t>
      </w:r>
      <w:r w:rsidR="001B1D34">
        <w:rPr>
          <w:b/>
          <w:szCs w:val="24"/>
        </w:rPr>
        <w:t xml:space="preserve"> </w:t>
      </w:r>
      <w:r w:rsidR="006948D3">
        <w:rPr>
          <w:b/>
          <w:szCs w:val="24"/>
        </w:rPr>
        <w:t>266</w:t>
      </w:r>
      <w:r>
        <w:rPr>
          <w:b/>
          <w:szCs w:val="24"/>
        </w:rPr>
        <w:t>.</w:t>
      </w:r>
      <w:r w:rsidR="006948D3">
        <w:rPr>
          <w:b/>
          <w:szCs w:val="24"/>
        </w:rPr>
        <w:t>510.</w:t>
      </w:r>
    </w:p>
    <w:p w:rsidR="007A6CBB" w:rsidP="007A6CBB" w:rsidRDefault="007A6CBB" w14:paraId="038C9B15" w14:textId="77777777">
      <w:pPr>
        <w:pStyle w:val="NoSpacing"/>
        <w:rPr>
          <w:b/>
          <w:szCs w:val="24"/>
        </w:rPr>
      </w:pPr>
    </w:p>
    <w:p w:rsidR="007A6CBB" w:rsidP="006948D3" w:rsidRDefault="007A6CBB" w14:paraId="44261AB1" w14:textId="7FB4FEDD">
      <w:pPr>
        <w:pStyle w:val="NoSpacing"/>
        <w:ind w:firstLine="720"/>
        <w:rPr>
          <w:szCs w:val="24"/>
        </w:rPr>
      </w:pPr>
      <w:r w:rsidRPr="00321A64">
        <w:rPr>
          <w:szCs w:val="24"/>
        </w:rPr>
        <w:t>(</w:t>
      </w:r>
      <w:r w:rsidR="006948D3">
        <w:rPr>
          <w:szCs w:val="24"/>
        </w:rPr>
        <w:t>A</w:t>
      </w:r>
      <w:r w:rsidRPr="00321A64">
        <w:rPr>
          <w:szCs w:val="24"/>
        </w:rPr>
        <w:t>)</w:t>
      </w:r>
      <w:r w:rsidRPr="00321A64">
        <w:rPr>
          <w:i/>
          <w:szCs w:val="24"/>
        </w:rPr>
        <w:t xml:space="preserve"> </w:t>
      </w:r>
      <w:r w:rsidRPr="006948D3">
        <w:rPr>
          <w:b/>
          <w:i/>
          <w:szCs w:val="24"/>
        </w:rPr>
        <w:t>Notification.</w:t>
      </w:r>
      <w:r w:rsidRPr="00CE1D60">
        <w:rPr>
          <w:szCs w:val="24"/>
        </w:rPr>
        <w:t xml:space="preserve"> A </w:t>
      </w:r>
      <w:r>
        <w:rPr>
          <w:szCs w:val="24"/>
        </w:rPr>
        <w:t>reverse distributor</w:t>
      </w:r>
      <w:r w:rsidRPr="00CE1D60">
        <w:rPr>
          <w:szCs w:val="24"/>
        </w:rPr>
        <w:t xml:space="preserve"> must notify the EPA Regional Administrator</w:t>
      </w:r>
      <w:r>
        <w:rPr>
          <w:szCs w:val="24"/>
        </w:rPr>
        <w:t>,</w:t>
      </w:r>
      <w:r w:rsidRPr="00CE1D60">
        <w:rPr>
          <w:szCs w:val="24"/>
        </w:rPr>
        <w:t xml:space="preserve"> using the</w:t>
      </w:r>
      <w:r>
        <w:rPr>
          <w:szCs w:val="24"/>
        </w:rPr>
        <w:t xml:space="preserve"> Site Identification Form (EPA f</w:t>
      </w:r>
      <w:r w:rsidRPr="00CE1D60">
        <w:rPr>
          <w:szCs w:val="24"/>
        </w:rPr>
        <w:t>orm 8700-12)</w:t>
      </w:r>
      <w:r>
        <w:rPr>
          <w:szCs w:val="24"/>
        </w:rPr>
        <w:t xml:space="preserve">, </w:t>
      </w:r>
      <w:r w:rsidRPr="00CE1D60">
        <w:rPr>
          <w:szCs w:val="24"/>
        </w:rPr>
        <w:t xml:space="preserve">that it is a </w:t>
      </w:r>
      <w:r>
        <w:rPr>
          <w:szCs w:val="24"/>
        </w:rPr>
        <w:t>reverse distributor operating under this subpart.</w:t>
      </w:r>
    </w:p>
    <w:p w:rsidRPr="00CE1D60" w:rsidR="007A6CBB" w:rsidP="007A6CBB" w:rsidRDefault="007A6CBB" w14:paraId="04DADCA2" w14:textId="77777777">
      <w:pPr>
        <w:pStyle w:val="NoSpacing"/>
        <w:ind w:left="360"/>
        <w:rPr>
          <w:szCs w:val="24"/>
        </w:rPr>
      </w:pPr>
    </w:p>
    <w:p w:rsidR="007A6CBB" w:rsidP="006948D3" w:rsidRDefault="007A6CBB" w14:paraId="5B4EEEA5" w14:textId="5446A39C">
      <w:pPr>
        <w:pStyle w:val="NoSpacing"/>
        <w:ind w:firstLine="720"/>
        <w:rPr>
          <w:szCs w:val="24"/>
        </w:rPr>
      </w:pPr>
      <w:r>
        <w:rPr>
          <w:szCs w:val="24"/>
        </w:rPr>
        <w:t xml:space="preserve">(i) </w:t>
      </w:r>
      <w:r w:rsidRPr="00CE1D60">
        <w:rPr>
          <w:szCs w:val="24"/>
        </w:rPr>
        <w:t xml:space="preserve">A </w:t>
      </w:r>
      <w:r>
        <w:rPr>
          <w:szCs w:val="24"/>
        </w:rPr>
        <w:t>reverse distributor</w:t>
      </w:r>
      <w:r w:rsidRPr="00CE1D60">
        <w:rPr>
          <w:szCs w:val="24"/>
        </w:rPr>
        <w:t xml:space="preserve"> </w:t>
      </w:r>
      <w:r>
        <w:rPr>
          <w:szCs w:val="24"/>
        </w:rPr>
        <w:t>that already has an EP</w:t>
      </w:r>
      <w:r w:rsidR="00E44405">
        <w:rPr>
          <w:szCs w:val="24"/>
        </w:rPr>
        <w:t xml:space="preserve">A identification number must </w:t>
      </w:r>
      <w:r>
        <w:rPr>
          <w:szCs w:val="24"/>
        </w:rPr>
        <w:t>notify the EPA Regional Administrator, using the Site Identification Form (EPA form 8700-12), that it is a reverse distributor, as defined in §</w:t>
      </w:r>
      <w:r w:rsidR="001B1D34">
        <w:rPr>
          <w:szCs w:val="24"/>
        </w:rPr>
        <w:t xml:space="preserve"> </w:t>
      </w:r>
      <w:r w:rsidRPr="009A08D8">
        <w:rPr>
          <w:szCs w:val="24"/>
        </w:rPr>
        <w:t>266.</w:t>
      </w:r>
      <w:r>
        <w:rPr>
          <w:szCs w:val="24"/>
        </w:rPr>
        <w:t>500, within 60 days of the</w:t>
      </w:r>
      <w:r w:rsidR="00AF1613">
        <w:rPr>
          <w:szCs w:val="24"/>
        </w:rPr>
        <w:t xml:space="preserve"> effective date of this subpart, or within 60 days of becoming subject to this subpart.</w:t>
      </w:r>
    </w:p>
    <w:p w:rsidRPr="009A08D8" w:rsidR="007A6CBB" w:rsidP="007A6CBB" w:rsidRDefault="007A6CBB" w14:paraId="7E2607D4" w14:textId="77777777">
      <w:pPr>
        <w:pStyle w:val="NoSpacing"/>
        <w:ind w:firstLine="360"/>
        <w:rPr>
          <w:color w:val="FF0000"/>
          <w:szCs w:val="24"/>
        </w:rPr>
      </w:pPr>
    </w:p>
    <w:p w:rsidR="00AF1613" w:rsidP="00AF1613" w:rsidRDefault="007A6CBB" w14:paraId="140752B2" w14:textId="4ED4942A">
      <w:pPr>
        <w:pStyle w:val="NoSpacing"/>
        <w:ind w:firstLine="720"/>
        <w:rPr>
          <w:szCs w:val="24"/>
        </w:rPr>
      </w:pPr>
      <w:r>
        <w:rPr>
          <w:szCs w:val="24"/>
        </w:rPr>
        <w:t xml:space="preserve">(ii) </w:t>
      </w:r>
      <w:r w:rsidRPr="00CE1D60">
        <w:rPr>
          <w:szCs w:val="24"/>
        </w:rPr>
        <w:t xml:space="preserve">A </w:t>
      </w:r>
      <w:r>
        <w:rPr>
          <w:szCs w:val="24"/>
        </w:rPr>
        <w:t>reverse distributor</w:t>
      </w:r>
      <w:r w:rsidRPr="00CE1D60">
        <w:rPr>
          <w:szCs w:val="24"/>
        </w:rPr>
        <w:t xml:space="preserve"> </w:t>
      </w:r>
      <w:r>
        <w:rPr>
          <w:szCs w:val="24"/>
        </w:rPr>
        <w:t>that</w:t>
      </w:r>
      <w:r w:rsidRPr="009A08D8">
        <w:rPr>
          <w:szCs w:val="24"/>
        </w:rPr>
        <w:t xml:space="preserve"> does not have an EPA identification number must obtain one by </w:t>
      </w:r>
      <w:r>
        <w:rPr>
          <w:szCs w:val="24"/>
        </w:rPr>
        <w:t>notifying</w:t>
      </w:r>
      <w:r w:rsidRPr="009A08D8">
        <w:rPr>
          <w:szCs w:val="24"/>
        </w:rPr>
        <w:t xml:space="preserve"> the EPA Regional Administrator</w:t>
      </w:r>
      <w:r>
        <w:rPr>
          <w:szCs w:val="24"/>
        </w:rPr>
        <w:t>,</w:t>
      </w:r>
      <w:r w:rsidRPr="009A08D8">
        <w:rPr>
          <w:szCs w:val="24"/>
        </w:rPr>
        <w:t xml:space="preserve"> using</w:t>
      </w:r>
      <w:r>
        <w:rPr>
          <w:szCs w:val="24"/>
        </w:rPr>
        <w:t xml:space="preserve"> the Site Identification Form (</w:t>
      </w:r>
      <w:r w:rsidRPr="009A08D8">
        <w:rPr>
          <w:szCs w:val="24"/>
        </w:rPr>
        <w:t xml:space="preserve">EPA </w:t>
      </w:r>
      <w:r>
        <w:rPr>
          <w:szCs w:val="24"/>
        </w:rPr>
        <w:t>f</w:t>
      </w:r>
      <w:r w:rsidRPr="009A08D8">
        <w:rPr>
          <w:szCs w:val="24"/>
        </w:rPr>
        <w:t>orm 8700-12</w:t>
      </w:r>
      <w:r>
        <w:rPr>
          <w:szCs w:val="24"/>
        </w:rPr>
        <w:t>),</w:t>
      </w:r>
      <w:r w:rsidRPr="009A08D8">
        <w:rPr>
          <w:szCs w:val="24"/>
        </w:rPr>
        <w:t xml:space="preserve"> that it is a </w:t>
      </w:r>
      <w:r>
        <w:rPr>
          <w:szCs w:val="24"/>
        </w:rPr>
        <w:t>pharmaceutical reverse distributor,</w:t>
      </w:r>
      <w:r w:rsidRPr="009A08D8">
        <w:rPr>
          <w:szCs w:val="24"/>
        </w:rPr>
        <w:t xml:space="preserve"> as defin</w:t>
      </w:r>
      <w:r>
        <w:rPr>
          <w:szCs w:val="24"/>
        </w:rPr>
        <w:t>ed in § 266.50</w:t>
      </w:r>
      <w:r w:rsidRPr="009A08D8">
        <w:rPr>
          <w:szCs w:val="24"/>
        </w:rPr>
        <w:t>0</w:t>
      </w:r>
      <w:r>
        <w:rPr>
          <w:szCs w:val="24"/>
        </w:rPr>
        <w:t>, within 60 days of the effective</w:t>
      </w:r>
      <w:r w:rsidR="00AF1613">
        <w:rPr>
          <w:szCs w:val="24"/>
        </w:rPr>
        <w:t xml:space="preserve"> date of this subpart, or within 60 days of becoming subject to this subpart.</w:t>
      </w:r>
    </w:p>
    <w:p w:rsidRPr="009A08D8" w:rsidR="00AF1613" w:rsidP="00AF1613" w:rsidRDefault="00AF1613" w14:paraId="77FC21BF" w14:textId="77777777">
      <w:pPr>
        <w:pStyle w:val="NoSpacing"/>
        <w:ind w:firstLine="360"/>
        <w:rPr>
          <w:color w:val="FF0000"/>
          <w:szCs w:val="24"/>
        </w:rPr>
      </w:pPr>
    </w:p>
    <w:p w:rsidR="007A6CBB" w:rsidP="00A0043E" w:rsidRDefault="007A6CBB" w14:paraId="1EA7873D" w14:textId="082D25BE">
      <w:pPr>
        <w:pStyle w:val="NoSpacing"/>
        <w:ind w:firstLine="720"/>
        <w:rPr>
          <w:szCs w:val="24"/>
        </w:rPr>
      </w:pPr>
      <w:r w:rsidRPr="00321A64">
        <w:rPr>
          <w:szCs w:val="24"/>
        </w:rPr>
        <w:t>(</w:t>
      </w:r>
      <w:r w:rsidR="00A0043E">
        <w:rPr>
          <w:szCs w:val="24"/>
        </w:rPr>
        <w:t>B</w:t>
      </w:r>
      <w:r w:rsidRPr="00321A64">
        <w:rPr>
          <w:szCs w:val="24"/>
        </w:rPr>
        <w:t xml:space="preserve">) </w:t>
      </w:r>
      <w:r w:rsidRPr="00A0043E">
        <w:rPr>
          <w:b/>
          <w:i/>
          <w:szCs w:val="24"/>
        </w:rPr>
        <w:t>Inventory.</w:t>
      </w:r>
      <w:r w:rsidRPr="00CE1D60">
        <w:rPr>
          <w:szCs w:val="24"/>
        </w:rPr>
        <w:t xml:space="preserve"> A </w:t>
      </w:r>
      <w:r>
        <w:rPr>
          <w:szCs w:val="24"/>
        </w:rPr>
        <w:t>reverse distributor</w:t>
      </w:r>
      <w:r w:rsidRPr="00CE1D60">
        <w:rPr>
          <w:szCs w:val="24"/>
        </w:rPr>
        <w:t xml:space="preserve"> must maintain an inventory of all the potentially creditable</w:t>
      </w:r>
      <w:r>
        <w:rPr>
          <w:szCs w:val="24"/>
        </w:rPr>
        <w:t xml:space="preserve"> and evaluated</w:t>
      </w:r>
      <w:r w:rsidRPr="00CE1D60">
        <w:rPr>
          <w:szCs w:val="24"/>
        </w:rPr>
        <w:t xml:space="preserve"> hazardous waste pharmaceuticals</w:t>
      </w:r>
      <w:r>
        <w:rPr>
          <w:szCs w:val="24"/>
        </w:rPr>
        <w:t xml:space="preserve"> </w:t>
      </w:r>
      <w:r w:rsidRPr="00CE1D60">
        <w:rPr>
          <w:szCs w:val="24"/>
        </w:rPr>
        <w:t xml:space="preserve">that are </w:t>
      </w:r>
      <w:r>
        <w:rPr>
          <w:szCs w:val="24"/>
        </w:rPr>
        <w:t xml:space="preserve">accumulated </w:t>
      </w:r>
      <w:r w:rsidRPr="00CE1D60">
        <w:rPr>
          <w:szCs w:val="24"/>
        </w:rPr>
        <w:t>on-site</w:t>
      </w:r>
      <w:r>
        <w:rPr>
          <w:szCs w:val="24"/>
        </w:rPr>
        <w:t>.</w:t>
      </w:r>
    </w:p>
    <w:p w:rsidRPr="00CE1D60" w:rsidR="007A6CBB" w:rsidP="007A6CBB" w:rsidRDefault="007A6CBB" w14:paraId="1BFBE38A" w14:textId="77777777">
      <w:pPr>
        <w:pStyle w:val="NoSpacing"/>
        <w:ind w:firstLine="360"/>
        <w:rPr>
          <w:szCs w:val="24"/>
        </w:rPr>
      </w:pPr>
    </w:p>
    <w:p w:rsidR="007A6CBB" w:rsidP="00A0043E" w:rsidRDefault="007A6CBB" w14:paraId="2954D756" w14:textId="68E2AB52">
      <w:pPr>
        <w:pStyle w:val="NoSpacing"/>
        <w:ind w:firstLine="720"/>
        <w:rPr>
          <w:szCs w:val="24"/>
        </w:rPr>
      </w:pPr>
      <w:r>
        <w:rPr>
          <w:szCs w:val="24"/>
        </w:rPr>
        <w:t xml:space="preserve">(i) </w:t>
      </w:r>
      <w:r w:rsidRPr="00CE1D60">
        <w:rPr>
          <w:szCs w:val="24"/>
        </w:rPr>
        <w:t xml:space="preserve">A </w:t>
      </w:r>
      <w:r>
        <w:rPr>
          <w:szCs w:val="24"/>
        </w:rPr>
        <w:t>reverse distributor</w:t>
      </w:r>
      <w:r w:rsidRPr="00CE1D60">
        <w:rPr>
          <w:szCs w:val="24"/>
        </w:rPr>
        <w:t xml:space="preserve"> must </w:t>
      </w:r>
      <w:r w:rsidR="00C60441">
        <w:rPr>
          <w:szCs w:val="24"/>
        </w:rPr>
        <w:t xml:space="preserve">maintain a current </w:t>
      </w:r>
      <w:r w:rsidRPr="00CE1D60">
        <w:rPr>
          <w:szCs w:val="24"/>
        </w:rPr>
        <w:t>inventory</w:t>
      </w:r>
      <w:r>
        <w:rPr>
          <w:szCs w:val="24"/>
        </w:rPr>
        <w:t xml:space="preserve"> each</w:t>
      </w:r>
      <w:r w:rsidRPr="00CE1D60">
        <w:rPr>
          <w:szCs w:val="24"/>
        </w:rPr>
        <w:t xml:space="preserve"> potentially creditable</w:t>
      </w:r>
      <w:r>
        <w:rPr>
          <w:szCs w:val="24"/>
        </w:rPr>
        <w:t xml:space="preserve"> hazardous waste pharmaceutical </w:t>
      </w:r>
      <w:r w:rsidR="00066072">
        <w:rPr>
          <w:szCs w:val="24"/>
        </w:rPr>
        <w:t>within 30 calendar days of arriving</w:t>
      </w:r>
      <w:r w:rsidRPr="00CE1D60">
        <w:rPr>
          <w:szCs w:val="24"/>
        </w:rPr>
        <w:t xml:space="preserve"> at the </w:t>
      </w:r>
      <w:r>
        <w:rPr>
          <w:szCs w:val="24"/>
        </w:rPr>
        <w:t>reverse distributor</w:t>
      </w:r>
      <w:r w:rsidRPr="00CE1D60">
        <w:rPr>
          <w:szCs w:val="24"/>
        </w:rPr>
        <w:t>.</w:t>
      </w:r>
    </w:p>
    <w:p w:rsidR="007A6CBB" w:rsidP="007A6CBB" w:rsidRDefault="007A6CBB" w14:paraId="36D5CC8B" w14:textId="77777777">
      <w:pPr>
        <w:pStyle w:val="NoSpacing"/>
        <w:ind w:firstLine="360"/>
        <w:rPr>
          <w:szCs w:val="24"/>
        </w:rPr>
      </w:pPr>
    </w:p>
    <w:p w:rsidR="007A6CBB" w:rsidP="00A0043E" w:rsidRDefault="007A6CBB" w14:paraId="4314C338" w14:textId="77777777">
      <w:pPr>
        <w:pStyle w:val="NoSpacing"/>
        <w:ind w:firstLine="720"/>
        <w:rPr>
          <w:szCs w:val="24"/>
        </w:rPr>
      </w:pPr>
      <w:r>
        <w:rPr>
          <w:szCs w:val="24"/>
        </w:rPr>
        <w:t xml:space="preserve">(ii) The inventory must include the identity (e.g., name or national drug code (NDC)) and quantity of each potentially creditable </w:t>
      </w:r>
      <w:r w:rsidR="00AF1613">
        <w:rPr>
          <w:szCs w:val="24"/>
        </w:rPr>
        <w:t xml:space="preserve">hazardous waste pharmaceutical </w:t>
      </w:r>
      <w:r>
        <w:rPr>
          <w:szCs w:val="24"/>
        </w:rPr>
        <w:t>and evaluated hazardous waste pharmaceutical.</w:t>
      </w:r>
    </w:p>
    <w:p w:rsidR="007A6CBB" w:rsidP="007A6CBB" w:rsidRDefault="007A6CBB" w14:paraId="0E920334" w14:textId="77777777">
      <w:pPr>
        <w:pStyle w:val="NoSpacing"/>
        <w:rPr>
          <w:szCs w:val="24"/>
        </w:rPr>
      </w:pPr>
    </w:p>
    <w:p w:rsidR="00597302" w:rsidP="000A3E6C" w:rsidRDefault="007A6CBB" w14:paraId="65EABC0F" w14:textId="1E7C1522">
      <w:pPr>
        <w:pStyle w:val="NoSpacing"/>
        <w:ind w:firstLine="720"/>
      </w:pPr>
      <w:r w:rsidRPr="00321A64">
        <w:rPr>
          <w:szCs w:val="24"/>
        </w:rPr>
        <w:t>(</w:t>
      </w:r>
      <w:r w:rsidR="00A0043E">
        <w:rPr>
          <w:szCs w:val="24"/>
        </w:rPr>
        <w:t>C</w:t>
      </w:r>
      <w:r w:rsidRPr="00321A64">
        <w:rPr>
          <w:szCs w:val="24"/>
        </w:rPr>
        <w:t xml:space="preserve">) </w:t>
      </w:r>
      <w:r w:rsidR="00C60441">
        <w:rPr>
          <w:b/>
          <w:i/>
          <w:szCs w:val="24"/>
        </w:rPr>
        <w:t xml:space="preserve">Maximum </w:t>
      </w:r>
      <w:r w:rsidRPr="00A0043E" w:rsidR="00A0043E">
        <w:rPr>
          <w:b/>
          <w:szCs w:val="24"/>
        </w:rPr>
        <w:t>A</w:t>
      </w:r>
      <w:r w:rsidRPr="00A0043E">
        <w:rPr>
          <w:b/>
          <w:i/>
          <w:szCs w:val="24"/>
        </w:rPr>
        <w:t xml:space="preserve">ccumulation </w:t>
      </w:r>
      <w:r w:rsidRPr="00A0043E" w:rsidR="00A0043E">
        <w:rPr>
          <w:b/>
          <w:i/>
          <w:szCs w:val="24"/>
        </w:rPr>
        <w:t>T</w:t>
      </w:r>
      <w:r w:rsidRPr="00A0043E">
        <w:rPr>
          <w:b/>
          <w:i/>
          <w:szCs w:val="24"/>
        </w:rPr>
        <w:t>ime</w:t>
      </w:r>
      <w:r w:rsidRPr="00A0043E">
        <w:rPr>
          <w:b/>
          <w:szCs w:val="24"/>
        </w:rPr>
        <w:t>.</w:t>
      </w:r>
      <w:r w:rsidRPr="00CE1D60">
        <w:rPr>
          <w:szCs w:val="24"/>
        </w:rPr>
        <w:t xml:space="preserve"> </w:t>
      </w:r>
      <w:r w:rsidR="00066072">
        <w:t>A</w:t>
      </w:r>
      <w:r w:rsidRPr="00E4067A" w:rsidR="00066072">
        <w:t xml:space="preserve"> </w:t>
      </w:r>
      <w:r w:rsidR="00066072">
        <w:t>reverse distributor</w:t>
      </w:r>
      <w:r w:rsidRPr="00E4067A" w:rsidR="00066072">
        <w:t xml:space="preserve"> that accumulates </w:t>
      </w:r>
      <w:r w:rsidR="00066072">
        <w:rPr>
          <w:szCs w:val="24"/>
        </w:rPr>
        <w:t xml:space="preserve">potentially creditable </w:t>
      </w:r>
      <w:r w:rsidR="00066072">
        <w:t xml:space="preserve">hazardous waste </w:t>
      </w:r>
      <w:r w:rsidR="00066072">
        <w:rPr>
          <w:szCs w:val="24"/>
        </w:rPr>
        <w:t>pharmaceutical</w:t>
      </w:r>
      <w:r w:rsidR="00066072">
        <w:t>s</w:t>
      </w:r>
      <w:r w:rsidR="00066072">
        <w:rPr>
          <w:szCs w:val="24"/>
        </w:rPr>
        <w:t xml:space="preserve"> and evaluated hazardous waste pharmaceuticals</w:t>
      </w:r>
      <w:r w:rsidR="00066072">
        <w:t xml:space="preserve"> </w:t>
      </w:r>
      <w:r w:rsidRPr="00E4067A" w:rsidR="00066072">
        <w:t xml:space="preserve">on-site </w:t>
      </w:r>
      <w:r w:rsidR="000A3E6C">
        <w:t>may choose to</w:t>
      </w:r>
      <w:r w:rsidRPr="00E4067A" w:rsidR="00066072">
        <w:t xml:space="preserve"> demonstrate the length of time that the hazardous waste pharmac</w:t>
      </w:r>
      <w:r w:rsidR="000A3E6C">
        <w:t>euticals have been accumulating</w:t>
      </w:r>
      <w:r w:rsidRPr="00E4067A" w:rsidR="00066072">
        <w:t xml:space="preserve">. </w:t>
      </w:r>
      <w:r w:rsidR="000A3E6C">
        <w:t>EPA assumes they will use their inventory to keep track of how long</w:t>
      </w:r>
      <w:r w:rsidR="00066072">
        <w:t xml:space="preserve"> have been accumulating</w:t>
      </w:r>
      <w:r w:rsidR="00597302">
        <w:t>.</w:t>
      </w:r>
    </w:p>
    <w:p w:rsidR="00597302" w:rsidP="00597302" w:rsidRDefault="00597302" w14:paraId="6F56877E" w14:textId="77777777">
      <w:pPr>
        <w:pStyle w:val="ListParagraph"/>
        <w:spacing w:after="200"/>
        <w:ind w:left="0" w:firstLine="720"/>
        <w:contextualSpacing/>
      </w:pPr>
    </w:p>
    <w:p w:rsidRPr="00597302" w:rsidR="00597302" w:rsidP="00597302" w:rsidRDefault="00597302" w14:paraId="0F3C0D9E" w14:textId="23484293">
      <w:pPr>
        <w:pStyle w:val="ListParagraph"/>
        <w:spacing w:after="200"/>
        <w:ind w:left="0" w:firstLine="720"/>
        <w:contextualSpacing/>
        <w:rPr>
          <w:color w:val="000000"/>
        </w:rPr>
      </w:pPr>
      <w:r>
        <w:t>(D</w:t>
      </w:r>
      <w:r w:rsidRPr="00321A64">
        <w:t xml:space="preserve">) </w:t>
      </w:r>
      <w:r>
        <w:rPr>
          <w:b/>
          <w:i/>
        </w:rPr>
        <w:t>Contingency Planning</w:t>
      </w:r>
      <w:r w:rsidRPr="002327F3">
        <w:rPr>
          <w:b/>
          <w:i/>
        </w:rPr>
        <w:t>.</w:t>
      </w:r>
      <w:r w:rsidRPr="00321A64">
        <w:rPr>
          <w:i/>
        </w:rPr>
        <w:t xml:space="preserve"> </w:t>
      </w:r>
      <w:r>
        <w:rPr>
          <w:color w:val="000000"/>
        </w:rPr>
        <w:t>A reverse distributor must prepare a contingency plan and comply with the other requirements of 40 CFR 262 subpart M.</w:t>
      </w:r>
    </w:p>
    <w:p w:rsidRPr="00535D66" w:rsidR="007A6CBB" w:rsidP="00535D66" w:rsidRDefault="007A6CBB" w14:paraId="51C62CDA" w14:textId="19D70463">
      <w:pPr>
        <w:pStyle w:val="NoSpacing"/>
        <w:ind w:firstLine="720"/>
        <w:rPr>
          <w:szCs w:val="24"/>
        </w:rPr>
      </w:pPr>
      <w:r w:rsidRPr="00321A64">
        <w:rPr>
          <w:szCs w:val="24"/>
        </w:rPr>
        <w:t>(</w:t>
      </w:r>
      <w:r w:rsidR="00597302">
        <w:rPr>
          <w:szCs w:val="24"/>
        </w:rPr>
        <w:t>E</w:t>
      </w:r>
      <w:r w:rsidRPr="00321A64">
        <w:rPr>
          <w:szCs w:val="24"/>
        </w:rPr>
        <w:t xml:space="preserve">) </w:t>
      </w:r>
      <w:r w:rsidRPr="002327F3">
        <w:rPr>
          <w:b/>
          <w:i/>
          <w:szCs w:val="24"/>
        </w:rPr>
        <w:t>Reporting</w:t>
      </w:r>
      <w:r w:rsidRPr="002327F3" w:rsidR="002327F3">
        <w:rPr>
          <w:b/>
          <w:i/>
          <w:szCs w:val="24"/>
        </w:rPr>
        <w:t>.</w:t>
      </w:r>
      <w:r w:rsidRPr="00321A64">
        <w:rPr>
          <w:i/>
          <w:szCs w:val="24"/>
        </w:rPr>
        <w:t xml:space="preserve"> </w:t>
      </w:r>
      <w:r>
        <w:rPr>
          <w:color w:val="000000"/>
          <w:szCs w:val="24"/>
        </w:rPr>
        <w:t>A reverse distributor must submit an unauthorized haz</w:t>
      </w:r>
      <w:r w:rsidR="00597302">
        <w:rPr>
          <w:color w:val="000000"/>
          <w:szCs w:val="24"/>
        </w:rPr>
        <w:t>ardous waste report if the rever</w:t>
      </w:r>
      <w:r>
        <w:rPr>
          <w:color w:val="000000"/>
          <w:szCs w:val="24"/>
        </w:rPr>
        <w:t>se distributor receives waste from off-site that it is not authorized to receive (e.g., non-pharmaceutical hazardous waste</w:t>
      </w:r>
      <w:r w:rsidR="009B6A52">
        <w:rPr>
          <w:color w:val="000000"/>
          <w:szCs w:val="24"/>
        </w:rPr>
        <w:t>, regulated medical waste</w:t>
      </w:r>
      <w:r>
        <w:rPr>
          <w:color w:val="000000"/>
          <w:szCs w:val="24"/>
        </w:rPr>
        <w:t>).</w:t>
      </w:r>
      <w:r w:rsidR="00535D66">
        <w:rPr>
          <w:color w:val="000000"/>
          <w:szCs w:val="24"/>
        </w:rPr>
        <w:t xml:space="preserve"> </w:t>
      </w:r>
      <w:r>
        <w:rPr>
          <w:color w:val="000000"/>
          <w:szCs w:val="24"/>
        </w:rPr>
        <w:t xml:space="preserve"> The reverse distributor must prepare and submit a</w:t>
      </w:r>
      <w:r w:rsidR="002327F3">
        <w:rPr>
          <w:color w:val="000000"/>
          <w:szCs w:val="24"/>
        </w:rPr>
        <w:t>n</w:t>
      </w:r>
      <w:r>
        <w:rPr>
          <w:color w:val="000000"/>
          <w:szCs w:val="24"/>
        </w:rPr>
        <w:t xml:space="preserve"> unauthorized waste report to the EPA Regional Administrator within </w:t>
      </w:r>
      <w:r w:rsidR="00066072">
        <w:rPr>
          <w:color w:val="000000"/>
          <w:szCs w:val="24"/>
        </w:rPr>
        <w:t>45 calendar</w:t>
      </w:r>
      <w:r>
        <w:rPr>
          <w:color w:val="000000"/>
          <w:szCs w:val="24"/>
        </w:rPr>
        <w:t xml:space="preserve"> days after the unauthorized waste</w:t>
      </w:r>
      <w:r w:rsidR="00066072">
        <w:rPr>
          <w:color w:val="000000"/>
          <w:szCs w:val="24"/>
        </w:rPr>
        <w:t xml:space="preserve"> arrives at the reverse distributor</w:t>
      </w:r>
      <w:r>
        <w:rPr>
          <w:color w:val="000000"/>
          <w:szCs w:val="24"/>
        </w:rPr>
        <w:t xml:space="preserve"> and the reverse distributor must send a copy of the unauthorized waste report to the healthcare facility (or other entity) that sent the</w:t>
      </w:r>
      <w:r w:rsidR="00066072">
        <w:rPr>
          <w:color w:val="000000"/>
          <w:szCs w:val="24"/>
        </w:rPr>
        <w:t xml:space="preserve"> unauthorized waste. </w:t>
      </w:r>
      <w:r>
        <w:rPr>
          <w:color w:val="000000"/>
          <w:szCs w:val="24"/>
        </w:rPr>
        <w:t>The pharmaceutical reverse distributor must manage the unauthorized waste in accordance with all applicable regulations</w:t>
      </w:r>
      <w:r w:rsidR="009B6A52">
        <w:rPr>
          <w:color w:val="000000"/>
          <w:szCs w:val="24"/>
        </w:rPr>
        <w:t>.</w:t>
      </w:r>
      <w:r>
        <w:rPr>
          <w:color w:val="000000"/>
          <w:szCs w:val="24"/>
        </w:rPr>
        <w:t xml:space="preserve"> </w:t>
      </w:r>
      <w:r w:rsidR="00535D66">
        <w:rPr>
          <w:color w:val="000000"/>
          <w:szCs w:val="24"/>
        </w:rPr>
        <w:t xml:space="preserve"> </w:t>
      </w:r>
      <w:r>
        <w:rPr>
          <w:color w:val="000000"/>
          <w:szCs w:val="24"/>
        </w:rPr>
        <w:t xml:space="preserve">The unauthorized waste report must be signed by the owner or operator of the reverse distributor, or </w:t>
      </w:r>
      <w:r w:rsidR="00066072">
        <w:rPr>
          <w:color w:val="000000"/>
          <w:szCs w:val="24"/>
        </w:rPr>
        <w:t>its</w:t>
      </w:r>
      <w:r>
        <w:rPr>
          <w:color w:val="000000"/>
          <w:szCs w:val="24"/>
        </w:rPr>
        <w:t xml:space="preserve"> authorized representative, and contain the following information:</w:t>
      </w:r>
    </w:p>
    <w:p w:rsidR="007A6CBB" w:rsidP="007A6CBB" w:rsidRDefault="007A6CBB" w14:paraId="3AB39A83" w14:textId="77777777">
      <w:pPr>
        <w:pStyle w:val="NoSpacing"/>
        <w:ind w:firstLine="360"/>
        <w:rPr>
          <w:color w:val="000000"/>
          <w:szCs w:val="24"/>
        </w:rPr>
      </w:pPr>
    </w:p>
    <w:p w:rsidR="007A6CBB" w:rsidP="006622D9" w:rsidRDefault="007A6CBB" w14:paraId="5B4424C4" w14:textId="64891DEE">
      <w:pPr>
        <w:pStyle w:val="NoSpacing"/>
        <w:ind w:firstLine="720"/>
        <w:rPr>
          <w:color w:val="000000"/>
          <w:szCs w:val="24"/>
        </w:rPr>
      </w:pPr>
      <w:r>
        <w:rPr>
          <w:color w:val="000000"/>
          <w:szCs w:val="24"/>
        </w:rPr>
        <w:t>(</w:t>
      </w:r>
      <w:r w:rsidR="00535D66">
        <w:rPr>
          <w:color w:val="000000"/>
          <w:szCs w:val="24"/>
        </w:rPr>
        <w:t>i</w:t>
      </w:r>
      <w:r>
        <w:rPr>
          <w:color w:val="000000"/>
          <w:szCs w:val="24"/>
        </w:rPr>
        <w:t>) The EPA identification number, name and address of the reverse distributor;</w:t>
      </w:r>
    </w:p>
    <w:p w:rsidR="007A6CBB" w:rsidP="006622D9" w:rsidRDefault="007A6CBB" w14:paraId="11094F82" w14:textId="32C645DF">
      <w:pPr>
        <w:pStyle w:val="NoSpacing"/>
        <w:ind w:left="360" w:firstLine="360"/>
        <w:rPr>
          <w:color w:val="000000"/>
          <w:szCs w:val="24"/>
        </w:rPr>
      </w:pPr>
      <w:r>
        <w:rPr>
          <w:color w:val="000000"/>
          <w:szCs w:val="24"/>
        </w:rPr>
        <w:t>(</w:t>
      </w:r>
      <w:r w:rsidR="00535D66">
        <w:rPr>
          <w:color w:val="000000"/>
          <w:szCs w:val="24"/>
        </w:rPr>
        <w:t>ii</w:t>
      </w:r>
      <w:r>
        <w:rPr>
          <w:color w:val="000000"/>
          <w:szCs w:val="24"/>
        </w:rPr>
        <w:t xml:space="preserve">) The date the reverse distributor received the </w:t>
      </w:r>
      <w:r w:rsidR="009B6A52">
        <w:rPr>
          <w:color w:val="000000"/>
          <w:szCs w:val="24"/>
        </w:rPr>
        <w:t xml:space="preserve">unauthorized </w:t>
      </w:r>
      <w:r>
        <w:rPr>
          <w:color w:val="000000"/>
          <w:szCs w:val="24"/>
        </w:rPr>
        <w:t>waste;</w:t>
      </w:r>
    </w:p>
    <w:p w:rsidR="007A6CBB" w:rsidP="006622D9" w:rsidRDefault="007A6CBB" w14:paraId="6D6E26A3" w14:textId="5CE33A9F">
      <w:pPr>
        <w:pStyle w:val="NoSpacing"/>
        <w:ind w:firstLine="720"/>
        <w:rPr>
          <w:color w:val="000000"/>
          <w:szCs w:val="24"/>
        </w:rPr>
      </w:pPr>
      <w:r>
        <w:rPr>
          <w:color w:val="000000"/>
          <w:szCs w:val="24"/>
        </w:rPr>
        <w:t>(</w:t>
      </w:r>
      <w:r w:rsidR="00535D66">
        <w:rPr>
          <w:color w:val="000000"/>
          <w:szCs w:val="24"/>
        </w:rPr>
        <w:t>iii</w:t>
      </w:r>
      <w:r>
        <w:rPr>
          <w:color w:val="000000"/>
          <w:szCs w:val="24"/>
        </w:rPr>
        <w:t>)</w:t>
      </w:r>
      <w:r w:rsidR="00535D66">
        <w:rPr>
          <w:color w:val="000000"/>
          <w:szCs w:val="24"/>
        </w:rPr>
        <w:t xml:space="preserve"> </w:t>
      </w:r>
      <w:r>
        <w:rPr>
          <w:color w:val="000000"/>
          <w:szCs w:val="24"/>
        </w:rPr>
        <w:t xml:space="preserve">The EPA identification number, name and address of the healthcare facility that shipped the </w:t>
      </w:r>
      <w:r w:rsidR="009B6A52">
        <w:rPr>
          <w:color w:val="000000"/>
          <w:szCs w:val="24"/>
        </w:rPr>
        <w:t xml:space="preserve">unauthorized </w:t>
      </w:r>
      <w:r>
        <w:rPr>
          <w:color w:val="000000"/>
          <w:szCs w:val="24"/>
        </w:rPr>
        <w:t>waste, if available;</w:t>
      </w:r>
    </w:p>
    <w:p w:rsidR="007A6CBB" w:rsidP="006622D9" w:rsidRDefault="007A6CBB" w14:paraId="1C50B659" w14:textId="6AC903A8">
      <w:pPr>
        <w:pStyle w:val="NoSpacing"/>
        <w:ind w:firstLine="720"/>
        <w:rPr>
          <w:color w:val="000000"/>
          <w:szCs w:val="24"/>
        </w:rPr>
      </w:pPr>
      <w:r>
        <w:rPr>
          <w:color w:val="000000"/>
          <w:szCs w:val="24"/>
        </w:rPr>
        <w:t>(</w:t>
      </w:r>
      <w:r w:rsidR="00535D66">
        <w:rPr>
          <w:color w:val="000000"/>
          <w:szCs w:val="24"/>
        </w:rPr>
        <w:t>iv</w:t>
      </w:r>
      <w:r>
        <w:rPr>
          <w:color w:val="000000"/>
          <w:szCs w:val="24"/>
        </w:rPr>
        <w:t>)</w:t>
      </w:r>
      <w:r w:rsidR="00535D66">
        <w:rPr>
          <w:color w:val="000000"/>
          <w:szCs w:val="24"/>
        </w:rPr>
        <w:t xml:space="preserve"> </w:t>
      </w:r>
      <w:r>
        <w:rPr>
          <w:color w:val="000000"/>
          <w:szCs w:val="24"/>
        </w:rPr>
        <w:t>A description and the quantity of each unauthorized waste the reverse distributor received;</w:t>
      </w:r>
    </w:p>
    <w:p w:rsidR="007A6CBB" w:rsidP="006622D9" w:rsidRDefault="007A6CBB" w14:paraId="7048F89D" w14:textId="0AD67F1A">
      <w:pPr>
        <w:pStyle w:val="NoSpacing"/>
        <w:ind w:left="360" w:firstLine="360"/>
        <w:rPr>
          <w:color w:val="000000"/>
          <w:szCs w:val="24"/>
        </w:rPr>
      </w:pPr>
      <w:r>
        <w:rPr>
          <w:color w:val="000000"/>
          <w:szCs w:val="24"/>
        </w:rPr>
        <w:t>(</w:t>
      </w:r>
      <w:r w:rsidR="00535D66">
        <w:rPr>
          <w:color w:val="000000"/>
          <w:szCs w:val="24"/>
        </w:rPr>
        <w:t>v</w:t>
      </w:r>
      <w:r>
        <w:rPr>
          <w:color w:val="000000"/>
          <w:szCs w:val="24"/>
        </w:rPr>
        <w:t>)</w:t>
      </w:r>
      <w:r w:rsidR="00535D66">
        <w:rPr>
          <w:color w:val="000000"/>
          <w:szCs w:val="24"/>
        </w:rPr>
        <w:t xml:space="preserve"> </w:t>
      </w:r>
      <w:r>
        <w:rPr>
          <w:color w:val="000000"/>
          <w:szCs w:val="24"/>
        </w:rPr>
        <w:t>The method of treatment, storage, or disposal for each unauthorized waste; and</w:t>
      </w:r>
    </w:p>
    <w:p w:rsidR="007A6CBB" w:rsidP="00535D66" w:rsidRDefault="007A6CBB" w14:paraId="3A769486" w14:textId="77777777">
      <w:pPr>
        <w:pStyle w:val="NoSpacing"/>
        <w:ind w:left="360" w:firstLine="360"/>
        <w:rPr>
          <w:color w:val="000000"/>
          <w:szCs w:val="24"/>
        </w:rPr>
      </w:pPr>
      <w:r>
        <w:rPr>
          <w:color w:val="000000"/>
          <w:szCs w:val="24"/>
        </w:rPr>
        <w:t>(</w:t>
      </w:r>
      <w:r w:rsidR="00535D66">
        <w:rPr>
          <w:color w:val="000000"/>
          <w:szCs w:val="24"/>
        </w:rPr>
        <w:t>vi</w:t>
      </w:r>
      <w:r>
        <w:rPr>
          <w:color w:val="000000"/>
          <w:szCs w:val="24"/>
        </w:rPr>
        <w:t>)</w:t>
      </w:r>
      <w:r w:rsidR="00535D66">
        <w:rPr>
          <w:color w:val="000000"/>
          <w:szCs w:val="24"/>
        </w:rPr>
        <w:t xml:space="preserve"> </w:t>
      </w:r>
      <w:r>
        <w:rPr>
          <w:color w:val="000000"/>
          <w:szCs w:val="24"/>
        </w:rPr>
        <w:t>A brief explanation of why the waste was unauthorized, if known.</w:t>
      </w:r>
    </w:p>
    <w:p w:rsidR="007A6CBB" w:rsidP="007A6CBB" w:rsidRDefault="007A6CBB" w14:paraId="722CAB53" w14:textId="77777777">
      <w:pPr>
        <w:pStyle w:val="NoSpacing"/>
        <w:ind w:left="360"/>
        <w:rPr>
          <w:color w:val="000000"/>
          <w:szCs w:val="24"/>
        </w:rPr>
      </w:pPr>
    </w:p>
    <w:p w:rsidRPr="005E47DF" w:rsidR="007A6CBB" w:rsidP="00535D66" w:rsidRDefault="007A6CBB" w14:paraId="36B57668" w14:textId="5ED06A80">
      <w:pPr>
        <w:pStyle w:val="NoSpacing"/>
        <w:ind w:firstLine="720"/>
        <w:rPr>
          <w:color w:val="000000"/>
          <w:szCs w:val="24"/>
        </w:rPr>
      </w:pPr>
      <w:r>
        <w:rPr>
          <w:color w:val="000000"/>
          <w:szCs w:val="24"/>
        </w:rPr>
        <w:t>(</w:t>
      </w:r>
      <w:r w:rsidR="00E8705D">
        <w:rPr>
          <w:color w:val="000000"/>
          <w:szCs w:val="24"/>
        </w:rPr>
        <w:t>F</w:t>
      </w:r>
      <w:r>
        <w:rPr>
          <w:color w:val="000000"/>
          <w:szCs w:val="24"/>
        </w:rPr>
        <w:t xml:space="preserve">) </w:t>
      </w:r>
      <w:r w:rsidRPr="00535D66">
        <w:rPr>
          <w:b/>
          <w:i/>
          <w:color w:val="000000"/>
          <w:szCs w:val="24"/>
        </w:rPr>
        <w:t xml:space="preserve">Additional </w:t>
      </w:r>
      <w:r w:rsidRPr="00535D66" w:rsidR="00535D66">
        <w:rPr>
          <w:b/>
          <w:i/>
          <w:color w:val="000000"/>
          <w:szCs w:val="24"/>
        </w:rPr>
        <w:t>R</w:t>
      </w:r>
      <w:r w:rsidRPr="00535D66">
        <w:rPr>
          <w:b/>
          <w:i/>
          <w:color w:val="000000"/>
          <w:szCs w:val="24"/>
        </w:rPr>
        <w:t>eports.</w:t>
      </w:r>
      <w:r>
        <w:rPr>
          <w:i/>
          <w:color w:val="000000"/>
          <w:szCs w:val="24"/>
        </w:rPr>
        <w:t xml:space="preserve"> </w:t>
      </w:r>
      <w:r>
        <w:rPr>
          <w:color w:val="000000"/>
          <w:szCs w:val="24"/>
        </w:rPr>
        <w:t>The EPA Regional Administrator may require reverse distributors to furnish additional reports concerning the quantities and disposition of potentially creditable hazardous waste pharmaceuticals and evaluated hazardous waste pharmaceuticals.</w:t>
      </w:r>
    </w:p>
    <w:p w:rsidR="007A6CBB" w:rsidP="00535D66" w:rsidRDefault="007A6CBB" w14:paraId="6A8C32F2" w14:textId="271F01D2">
      <w:pPr>
        <w:spacing w:before="100" w:beforeAutospacing="1" w:after="100" w:afterAutospacing="1"/>
        <w:ind w:firstLine="720"/>
      </w:pPr>
      <w:r w:rsidRPr="00321A64">
        <w:t>(</w:t>
      </w:r>
      <w:r w:rsidR="00E8705D">
        <w:t>G</w:t>
      </w:r>
      <w:r w:rsidRPr="00321A64">
        <w:t xml:space="preserve">) </w:t>
      </w:r>
      <w:r w:rsidRPr="00535D66">
        <w:rPr>
          <w:b/>
          <w:i/>
        </w:rPr>
        <w:t>Recordkeeping.</w:t>
      </w:r>
      <w:r>
        <w:t xml:space="preserve">  A reverse distributor must keep the following records (paper or electronic):</w:t>
      </w:r>
    </w:p>
    <w:p w:rsidRPr="004B4543" w:rsidR="007A6CBB" w:rsidP="00535D66" w:rsidRDefault="007A6CBB" w14:paraId="1F8B4C7A" w14:textId="77777777">
      <w:pPr>
        <w:spacing w:before="100" w:beforeAutospacing="1" w:after="100" w:afterAutospacing="1"/>
        <w:ind w:firstLine="720"/>
      </w:pPr>
      <w:r>
        <w:t>(i) A copy of its notification on file for as long as the facility is subject to this subpart</w:t>
      </w:r>
    </w:p>
    <w:p w:rsidR="006622D9" w:rsidP="006622D9" w:rsidRDefault="007A6CBB" w14:paraId="44482804" w14:textId="77777777">
      <w:pPr>
        <w:spacing w:before="100" w:beforeAutospacing="1" w:after="100" w:afterAutospacing="1"/>
        <w:ind w:firstLine="720"/>
      </w:pPr>
      <w:r>
        <w:lastRenderedPageBreak/>
        <w:t>(ii) A copy of the delivery confirmation and the shipping papers for each shipment of potentially creditable hazardous waste pharmaceuticals that it receives for at least three years from the date the shipment</w:t>
      </w:r>
      <w:r w:rsidR="002737AC">
        <w:t xml:space="preserve"> arrives at the reverse distributor</w:t>
      </w:r>
      <w:r>
        <w:t>.</w:t>
      </w:r>
    </w:p>
    <w:p w:rsidR="007A6CBB" w:rsidP="006622D9" w:rsidRDefault="00535D66" w14:paraId="7D1D8A82" w14:textId="1C0699D4">
      <w:pPr>
        <w:spacing w:before="100" w:beforeAutospacing="1" w:after="100" w:afterAutospacing="1"/>
        <w:ind w:firstLine="720"/>
      </w:pPr>
      <w:r>
        <w:t>(iii)</w:t>
      </w:r>
      <w:r w:rsidR="007A6CBB">
        <w:t xml:space="preserve"> A copy of its</w:t>
      </w:r>
      <w:r w:rsidR="006F52F9">
        <w:t xml:space="preserve"> current</w:t>
      </w:r>
      <w:r w:rsidR="007A6CBB">
        <w:t xml:space="preserve"> </w:t>
      </w:r>
      <w:r w:rsidRPr="00CE1D60" w:rsidR="007A6CBB">
        <w:t>inventory</w:t>
      </w:r>
      <w:r w:rsidR="006F52F9">
        <w:t xml:space="preserve"> for as long as the facility is subject to this subpart</w:t>
      </w:r>
      <w:r w:rsidR="002737AC">
        <w:t>.</w:t>
      </w:r>
    </w:p>
    <w:p w:rsidR="007A6CBB" w:rsidP="007A6CBB" w:rsidRDefault="007A6CBB" w14:paraId="715795C9" w14:textId="77777777">
      <w:pPr>
        <w:pStyle w:val="NoSpacing"/>
        <w:ind w:firstLine="360"/>
        <w:rPr>
          <w:szCs w:val="24"/>
        </w:rPr>
      </w:pPr>
    </w:p>
    <w:p w:rsidR="007A6CBB" w:rsidP="00D37E0C" w:rsidRDefault="007A6CBB" w14:paraId="481A23E6" w14:textId="633EB208">
      <w:pPr>
        <w:pStyle w:val="NoSpacing"/>
        <w:ind w:firstLine="720"/>
        <w:rPr>
          <w:szCs w:val="24"/>
        </w:rPr>
      </w:pPr>
      <w:r w:rsidRPr="00321A64">
        <w:rPr>
          <w:szCs w:val="24"/>
        </w:rPr>
        <w:t>(</w:t>
      </w:r>
      <w:r w:rsidR="00E8705D">
        <w:rPr>
          <w:szCs w:val="24"/>
        </w:rPr>
        <w:t>H</w:t>
      </w:r>
      <w:r w:rsidRPr="00321A64">
        <w:rPr>
          <w:szCs w:val="24"/>
        </w:rPr>
        <w:t>)</w:t>
      </w:r>
      <w:r>
        <w:rPr>
          <w:szCs w:val="24"/>
        </w:rPr>
        <w:t xml:space="preserve"> </w:t>
      </w:r>
      <w:r w:rsidRPr="00D37E0C">
        <w:rPr>
          <w:b/>
          <w:i/>
          <w:szCs w:val="24"/>
        </w:rPr>
        <w:t xml:space="preserve">Additional </w:t>
      </w:r>
      <w:r w:rsidRPr="00D37E0C" w:rsidR="00D37E0C">
        <w:rPr>
          <w:b/>
          <w:i/>
          <w:szCs w:val="24"/>
        </w:rPr>
        <w:t>Record</w:t>
      </w:r>
      <w:r w:rsidR="00D37E0C">
        <w:rPr>
          <w:b/>
          <w:i/>
          <w:szCs w:val="24"/>
        </w:rPr>
        <w:t>s</w:t>
      </w:r>
      <w:r w:rsidRPr="00D37E0C">
        <w:rPr>
          <w:b/>
          <w:i/>
          <w:szCs w:val="24"/>
        </w:rPr>
        <w:t>.</w:t>
      </w:r>
      <w:r>
        <w:rPr>
          <w:i/>
          <w:szCs w:val="24"/>
        </w:rPr>
        <w:t xml:space="preserve"> </w:t>
      </w:r>
      <w:r>
        <w:rPr>
          <w:szCs w:val="24"/>
        </w:rPr>
        <w:t>A reverse distributor must keep the following records (paper or electronic) for each shipment of potentially creditable hazardous waste pharmaceuticals that it initiates to another reverse distributor, for at least three years from the date of shipment:</w:t>
      </w:r>
    </w:p>
    <w:p w:rsidR="007A6CBB" w:rsidP="007A6CBB" w:rsidRDefault="007A6CBB" w14:paraId="2DE00D57" w14:textId="77777777">
      <w:pPr>
        <w:pStyle w:val="NoSpacing"/>
        <w:ind w:left="720"/>
        <w:rPr>
          <w:szCs w:val="24"/>
        </w:rPr>
      </w:pPr>
    </w:p>
    <w:p w:rsidR="007A6CBB" w:rsidP="006622D9" w:rsidRDefault="00D37E0C" w14:paraId="243352A9" w14:textId="0C80D6D8">
      <w:pPr>
        <w:pStyle w:val="NoSpacing"/>
        <w:ind w:firstLine="720"/>
        <w:rPr>
          <w:szCs w:val="24"/>
        </w:rPr>
      </w:pPr>
      <w:r>
        <w:rPr>
          <w:szCs w:val="24"/>
        </w:rPr>
        <w:t xml:space="preserve">(i) </w:t>
      </w:r>
      <w:r w:rsidR="007A6CBB">
        <w:rPr>
          <w:szCs w:val="24"/>
        </w:rPr>
        <w:t>t</w:t>
      </w:r>
      <w:r w:rsidRPr="00CE1D60" w:rsidR="007A6CBB">
        <w:rPr>
          <w:szCs w:val="24"/>
        </w:rPr>
        <w:t xml:space="preserve">he </w:t>
      </w:r>
      <w:r w:rsidR="007A6CBB">
        <w:rPr>
          <w:szCs w:val="24"/>
        </w:rPr>
        <w:t>confirmation of delivery,</w:t>
      </w:r>
      <w:r w:rsidRPr="00CE1D60" w:rsidR="007A6CBB">
        <w:rPr>
          <w:szCs w:val="24"/>
        </w:rPr>
        <w:t xml:space="preserve"> and</w:t>
      </w:r>
    </w:p>
    <w:p w:rsidR="007A6CBB" w:rsidP="006622D9" w:rsidRDefault="007A6CBB" w14:paraId="1DE54816" w14:textId="68B04985">
      <w:pPr>
        <w:pStyle w:val="NoSpacing"/>
        <w:ind w:firstLine="720"/>
        <w:rPr>
          <w:color w:val="FF0000"/>
          <w:szCs w:val="24"/>
        </w:rPr>
      </w:pPr>
      <w:r>
        <w:rPr>
          <w:szCs w:val="24"/>
        </w:rPr>
        <w:t xml:space="preserve">(iii) </w:t>
      </w:r>
      <w:r w:rsidRPr="00CE1D60">
        <w:rPr>
          <w:szCs w:val="24"/>
        </w:rPr>
        <w:t>the shipping papers</w:t>
      </w:r>
      <w:r w:rsidR="002737AC">
        <w:rPr>
          <w:szCs w:val="24"/>
        </w:rPr>
        <w:t xml:space="preserve"> prepared in accordance with 49 CFR part 172 subpart C, if applicable</w:t>
      </w:r>
      <w:r>
        <w:rPr>
          <w:color w:val="FF0000"/>
          <w:szCs w:val="24"/>
        </w:rPr>
        <w:t>.</w:t>
      </w:r>
    </w:p>
    <w:p w:rsidR="006622D9" w:rsidP="006622D9" w:rsidRDefault="006622D9" w14:paraId="4E01553F" w14:textId="77777777">
      <w:pPr>
        <w:pStyle w:val="NoSpacing"/>
        <w:ind w:firstLine="720"/>
        <w:rPr>
          <w:szCs w:val="24"/>
        </w:rPr>
      </w:pPr>
    </w:p>
    <w:p w:rsidR="007A6CBB" w:rsidP="00D37E0C" w:rsidRDefault="007A6CBB" w14:paraId="000B3E07" w14:textId="0A170EF1">
      <w:pPr>
        <w:pStyle w:val="NoSpacing"/>
        <w:ind w:firstLine="720"/>
        <w:rPr>
          <w:szCs w:val="24"/>
        </w:rPr>
      </w:pPr>
      <w:r w:rsidRPr="00321A64">
        <w:rPr>
          <w:szCs w:val="24"/>
        </w:rPr>
        <w:t>(</w:t>
      </w:r>
      <w:r w:rsidR="00BA0935">
        <w:rPr>
          <w:szCs w:val="24"/>
        </w:rPr>
        <w:t>H</w:t>
      </w:r>
      <w:r w:rsidRPr="00321A64">
        <w:rPr>
          <w:szCs w:val="24"/>
        </w:rPr>
        <w:t xml:space="preserve">) </w:t>
      </w:r>
      <w:r w:rsidRPr="00D37E0C">
        <w:rPr>
          <w:b/>
          <w:i/>
          <w:szCs w:val="24"/>
        </w:rPr>
        <w:t>Labeling.</w:t>
      </w:r>
      <w:r w:rsidRPr="00CE1D60">
        <w:rPr>
          <w:szCs w:val="24"/>
        </w:rPr>
        <w:t xml:space="preserve"> A </w:t>
      </w:r>
      <w:r>
        <w:rPr>
          <w:szCs w:val="24"/>
        </w:rPr>
        <w:t>reverse distributor accumulating evaluated</w:t>
      </w:r>
      <w:r w:rsidRPr="00CE1D60">
        <w:rPr>
          <w:szCs w:val="24"/>
        </w:rPr>
        <w:t xml:space="preserve"> hazardous waste pharmaceuticals in </w:t>
      </w:r>
      <w:r>
        <w:rPr>
          <w:szCs w:val="24"/>
        </w:rPr>
        <w:t>containers in an</w:t>
      </w:r>
      <w:r w:rsidRPr="00CE1D60">
        <w:rPr>
          <w:szCs w:val="24"/>
        </w:rPr>
        <w:t xml:space="preserve"> </w:t>
      </w:r>
      <w:r>
        <w:rPr>
          <w:szCs w:val="24"/>
        </w:rPr>
        <w:t>on-site accumul</w:t>
      </w:r>
      <w:r w:rsidRPr="00CE1D60">
        <w:rPr>
          <w:szCs w:val="24"/>
        </w:rPr>
        <w:t>ation</w:t>
      </w:r>
      <w:r>
        <w:rPr>
          <w:szCs w:val="24"/>
        </w:rPr>
        <w:t xml:space="preserve"> area must</w:t>
      </w:r>
      <w:r w:rsidR="00D37E0C">
        <w:rPr>
          <w:szCs w:val="24"/>
        </w:rPr>
        <w:t xml:space="preserve"> l</w:t>
      </w:r>
      <w:r w:rsidRPr="00CE1D60">
        <w:rPr>
          <w:szCs w:val="24"/>
        </w:rPr>
        <w:t>abel</w:t>
      </w:r>
      <w:r>
        <w:rPr>
          <w:szCs w:val="24"/>
        </w:rPr>
        <w:t xml:space="preserve"> the containers with the words, "h</w:t>
      </w:r>
      <w:r w:rsidRPr="00CE1D60">
        <w:rPr>
          <w:szCs w:val="24"/>
        </w:rPr>
        <w:t>azard</w:t>
      </w:r>
      <w:r>
        <w:rPr>
          <w:szCs w:val="24"/>
        </w:rPr>
        <w:t>ous waste p</w:t>
      </w:r>
      <w:r w:rsidRPr="00CE1D60">
        <w:rPr>
          <w:szCs w:val="24"/>
        </w:rPr>
        <w:t>harmaceuticals";</w:t>
      </w:r>
    </w:p>
    <w:p w:rsidRPr="00CE1D60" w:rsidR="007A6CBB" w:rsidP="007A6CBB" w:rsidRDefault="007A6CBB" w14:paraId="4A573157" w14:textId="77777777">
      <w:pPr>
        <w:pStyle w:val="NoSpacing"/>
        <w:ind w:firstLine="360"/>
        <w:rPr>
          <w:szCs w:val="24"/>
        </w:rPr>
      </w:pPr>
    </w:p>
    <w:p w:rsidR="007A6CBB" w:rsidP="00B021E0" w:rsidRDefault="007A6CBB" w14:paraId="0E0CA330" w14:textId="3DE11E9E">
      <w:pPr>
        <w:pStyle w:val="NoSpacing"/>
        <w:ind w:firstLine="720"/>
        <w:rPr>
          <w:szCs w:val="24"/>
        </w:rPr>
      </w:pPr>
      <w:r w:rsidRPr="00321A64">
        <w:rPr>
          <w:szCs w:val="24"/>
        </w:rPr>
        <w:t>(</w:t>
      </w:r>
      <w:r w:rsidR="00BA0935">
        <w:rPr>
          <w:szCs w:val="24"/>
        </w:rPr>
        <w:t>I</w:t>
      </w:r>
      <w:r w:rsidRPr="00321A64">
        <w:rPr>
          <w:szCs w:val="24"/>
        </w:rPr>
        <w:t xml:space="preserve">) </w:t>
      </w:r>
      <w:r w:rsidRPr="007C5A85" w:rsidR="007C5A85">
        <w:rPr>
          <w:b/>
          <w:i/>
          <w:szCs w:val="24"/>
        </w:rPr>
        <w:t>Marking</w:t>
      </w:r>
      <w:r w:rsidRPr="007C5A85">
        <w:rPr>
          <w:b/>
          <w:i/>
          <w:szCs w:val="24"/>
        </w:rPr>
        <w:t>.</w:t>
      </w:r>
      <w:r>
        <w:rPr>
          <w:szCs w:val="24"/>
        </w:rPr>
        <w:t xml:space="preserve"> </w:t>
      </w:r>
      <w:r w:rsidR="002737AC">
        <w:rPr>
          <w:szCs w:val="24"/>
        </w:rPr>
        <w:t>Prior to shipping evaluated hazardous waste pharmaceuticals off site, all c</w:t>
      </w:r>
      <w:r>
        <w:rPr>
          <w:szCs w:val="24"/>
        </w:rPr>
        <w:t>ontainers</w:t>
      </w:r>
      <w:r w:rsidRPr="00CE1D60">
        <w:rPr>
          <w:szCs w:val="24"/>
        </w:rPr>
        <w:t xml:space="preserve"> </w:t>
      </w:r>
      <w:r>
        <w:rPr>
          <w:szCs w:val="24"/>
        </w:rPr>
        <w:t xml:space="preserve">must be marked </w:t>
      </w:r>
      <w:r w:rsidRPr="00CE1D60">
        <w:rPr>
          <w:szCs w:val="24"/>
        </w:rPr>
        <w:t>with the app</w:t>
      </w:r>
      <w:r>
        <w:rPr>
          <w:szCs w:val="24"/>
        </w:rPr>
        <w:t>licable</w:t>
      </w:r>
      <w:r w:rsidRPr="00CE1D60">
        <w:rPr>
          <w:szCs w:val="24"/>
        </w:rPr>
        <w:t xml:space="preserve"> hazardous waste </w:t>
      </w:r>
      <w:r>
        <w:rPr>
          <w:szCs w:val="24"/>
        </w:rPr>
        <w:t xml:space="preserve">numbers (i.e., hazardous waste </w:t>
      </w:r>
      <w:r w:rsidRPr="00CE1D60">
        <w:rPr>
          <w:szCs w:val="24"/>
        </w:rPr>
        <w:t>codes</w:t>
      </w:r>
      <w:r>
        <w:rPr>
          <w:szCs w:val="24"/>
        </w:rPr>
        <w:t>).</w:t>
      </w:r>
    </w:p>
    <w:p w:rsidR="007A6CBB" w:rsidP="007A6CBB" w:rsidRDefault="007A6CBB" w14:paraId="15DD1B9E" w14:textId="77777777">
      <w:pPr>
        <w:pStyle w:val="NoSpacing"/>
        <w:ind w:firstLine="360"/>
        <w:rPr>
          <w:szCs w:val="24"/>
        </w:rPr>
      </w:pPr>
    </w:p>
    <w:p w:rsidR="007A6CBB" w:rsidP="00B021E0" w:rsidRDefault="007A6CBB" w14:paraId="5E793232" w14:textId="7847CE6C">
      <w:pPr>
        <w:pStyle w:val="NoSpacing"/>
        <w:ind w:firstLine="720"/>
        <w:rPr>
          <w:szCs w:val="24"/>
        </w:rPr>
      </w:pPr>
      <w:r w:rsidRPr="00321A64">
        <w:rPr>
          <w:szCs w:val="24"/>
        </w:rPr>
        <w:t>(</w:t>
      </w:r>
      <w:r w:rsidR="00BA0935">
        <w:rPr>
          <w:szCs w:val="24"/>
        </w:rPr>
        <w:t>J</w:t>
      </w:r>
      <w:r w:rsidRPr="00321A64">
        <w:rPr>
          <w:szCs w:val="24"/>
        </w:rPr>
        <w:t xml:space="preserve">) </w:t>
      </w:r>
      <w:r w:rsidRPr="002D1F9F" w:rsidR="00352003">
        <w:rPr>
          <w:b/>
          <w:szCs w:val="24"/>
        </w:rPr>
        <w:t>M</w:t>
      </w:r>
      <w:r w:rsidRPr="002D1F9F">
        <w:rPr>
          <w:b/>
          <w:i/>
          <w:szCs w:val="24"/>
        </w:rPr>
        <w:t xml:space="preserve">anaging </w:t>
      </w:r>
      <w:r w:rsidRPr="002D1F9F" w:rsidR="00352003">
        <w:rPr>
          <w:b/>
          <w:i/>
          <w:szCs w:val="24"/>
        </w:rPr>
        <w:t>R</w:t>
      </w:r>
      <w:r w:rsidRPr="002D1F9F">
        <w:rPr>
          <w:b/>
          <w:i/>
          <w:szCs w:val="24"/>
        </w:rPr>
        <w:t xml:space="preserve">ejected </w:t>
      </w:r>
      <w:r w:rsidRPr="002D1F9F" w:rsidR="00352003">
        <w:rPr>
          <w:b/>
          <w:i/>
          <w:szCs w:val="24"/>
        </w:rPr>
        <w:t>S</w:t>
      </w:r>
      <w:r w:rsidRPr="002D1F9F">
        <w:rPr>
          <w:b/>
          <w:i/>
          <w:szCs w:val="24"/>
        </w:rPr>
        <w:t>hipments.</w:t>
      </w:r>
      <w:r w:rsidRPr="00CE1D60">
        <w:rPr>
          <w:szCs w:val="24"/>
        </w:rPr>
        <w:t xml:space="preserve"> Upon receipt of the returned shipment, the </w:t>
      </w:r>
      <w:r>
        <w:rPr>
          <w:szCs w:val="24"/>
        </w:rPr>
        <w:t>reverse distributor</w:t>
      </w:r>
      <w:r w:rsidRPr="00CE1D60">
        <w:rPr>
          <w:szCs w:val="24"/>
        </w:rPr>
        <w:t xml:space="preserve"> must:</w:t>
      </w:r>
    </w:p>
    <w:p w:rsidR="007A6CBB" w:rsidP="007A6CBB" w:rsidRDefault="007A6CBB" w14:paraId="6A879209" w14:textId="77777777">
      <w:pPr>
        <w:pStyle w:val="NoSpacing"/>
        <w:ind w:firstLine="360"/>
        <w:rPr>
          <w:szCs w:val="24"/>
        </w:rPr>
      </w:pPr>
    </w:p>
    <w:p w:rsidR="007A6CBB" w:rsidP="006622D9" w:rsidRDefault="007A6CBB" w14:paraId="37CFE143" w14:textId="3CA4D348">
      <w:pPr>
        <w:pStyle w:val="NoSpacing"/>
        <w:ind w:left="360" w:firstLine="720"/>
        <w:rPr>
          <w:rFonts w:ascii="Calibri" w:hAnsi="Calibri" w:eastAsia="Calibri"/>
          <w:sz w:val="22"/>
          <w:szCs w:val="24"/>
        </w:rPr>
      </w:pPr>
      <w:r w:rsidRPr="00321A64">
        <w:rPr>
          <w:szCs w:val="24"/>
        </w:rPr>
        <w:t>(i)</w:t>
      </w:r>
      <w:r>
        <w:rPr>
          <w:szCs w:val="24"/>
        </w:rPr>
        <w:t xml:space="preserve"> </w:t>
      </w:r>
      <w:r w:rsidRPr="00CE1D60">
        <w:rPr>
          <w:szCs w:val="24"/>
        </w:rPr>
        <w:t xml:space="preserve">Sign </w:t>
      </w:r>
      <w:r w:rsidR="002D1F9F">
        <w:rPr>
          <w:szCs w:val="24"/>
        </w:rPr>
        <w:t>either i</w:t>
      </w:r>
      <w:r>
        <w:rPr>
          <w:szCs w:val="24"/>
        </w:rPr>
        <w:t>tem 18c of the original manifest if the original manifest was used for the returned shipment</w:t>
      </w:r>
      <w:r w:rsidR="006953FD">
        <w:rPr>
          <w:szCs w:val="24"/>
        </w:rPr>
        <w:t>;</w:t>
      </w:r>
      <w:r>
        <w:rPr>
          <w:szCs w:val="24"/>
        </w:rPr>
        <w:t xml:space="preserve"> or </w:t>
      </w:r>
      <w:r w:rsidR="00D31534">
        <w:rPr>
          <w:szCs w:val="24"/>
        </w:rPr>
        <w:t>item</w:t>
      </w:r>
      <w:r>
        <w:rPr>
          <w:szCs w:val="24"/>
        </w:rPr>
        <w:t xml:space="preserve"> 20 of the new manifest if a new manifest was used for the returned shipment;</w:t>
      </w:r>
    </w:p>
    <w:p w:rsidR="007A6CBB" w:rsidP="006622D9" w:rsidRDefault="007A6CBB" w14:paraId="015AC15B" w14:textId="6DD2098A">
      <w:pPr>
        <w:pStyle w:val="NoSpacing"/>
        <w:ind w:left="720" w:firstLine="360"/>
        <w:rPr>
          <w:szCs w:val="24"/>
        </w:rPr>
      </w:pPr>
      <w:r w:rsidRPr="00321A64">
        <w:rPr>
          <w:szCs w:val="24"/>
        </w:rPr>
        <w:t>(ii)</w:t>
      </w:r>
      <w:r>
        <w:rPr>
          <w:szCs w:val="24"/>
        </w:rPr>
        <w:t xml:space="preserve"> Provide the transporter a copy of the manifest;</w:t>
      </w:r>
    </w:p>
    <w:p w:rsidR="00E8705D" w:rsidP="002D1F9F" w:rsidRDefault="007A6CBB" w14:paraId="583D88C0" w14:textId="7A3FE9B8">
      <w:pPr>
        <w:pStyle w:val="NoSpacing"/>
        <w:ind w:left="360" w:firstLine="720"/>
        <w:rPr>
          <w:szCs w:val="24"/>
        </w:rPr>
      </w:pPr>
      <w:r w:rsidRPr="00321A64">
        <w:rPr>
          <w:szCs w:val="24"/>
        </w:rPr>
        <w:t>(iii)</w:t>
      </w:r>
      <w:r>
        <w:rPr>
          <w:szCs w:val="24"/>
        </w:rPr>
        <w:t xml:space="preserve"> Within 30 days of delivery of the rejected shipment of the evaluated hazardous waste pharmaceuticals, send a copy of the manifest to the designated facility that returned the shipment to the reverse distributor; and</w:t>
      </w:r>
    </w:p>
    <w:p w:rsidR="00D31534" w:rsidP="002D1F9F" w:rsidRDefault="00D31534" w14:paraId="53762545" w14:textId="4EC3D9CE">
      <w:pPr>
        <w:pStyle w:val="NoSpacing"/>
        <w:ind w:left="360" w:firstLine="720"/>
        <w:rPr>
          <w:szCs w:val="24"/>
        </w:rPr>
      </w:pPr>
      <w:r>
        <w:rPr>
          <w:szCs w:val="24"/>
        </w:rPr>
        <w:t xml:space="preserve">(iv) Within 90 days of </w:t>
      </w:r>
      <w:r w:rsidR="006953FD">
        <w:rPr>
          <w:szCs w:val="24"/>
        </w:rPr>
        <w:t xml:space="preserve">receipt </w:t>
      </w:r>
      <w:r>
        <w:rPr>
          <w:szCs w:val="24"/>
        </w:rPr>
        <w:t>of the rejected shipment, transport or offer for transport the returned shipment of evaluated hazardous waste pharmaceuticals in accordance with the shipping standards of § 266.508</w:t>
      </w:r>
      <w:r w:rsidR="006953FD">
        <w:rPr>
          <w:szCs w:val="24"/>
        </w:rPr>
        <w:t xml:space="preserve">(a) or </w:t>
      </w:r>
      <w:r>
        <w:rPr>
          <w:szCs w:val="24"/>
        </w:rPr>
        <w:t xml:space="preserve">(b). </w:t>
      </w:r>
    </w:p>
    <w:p w:rsidRPr="00CE1D60" w:rsidR="007A6CBB" w:rsidP="007A6CBB" w:rsidRDefault="007A6CBB" w14:paraId="69D97B99" w14:textId="77777777">
      <w:pPr>
        <w:pStyle w:val="NoSpacing"/>
        <w:rPr>
          <w:szCs w:val="24"/>
        </w:rPr>
      </w:pPr>
    </w:p>
    <w:p w:rsidR="007A6CBB" w:rsidP="00B021E0" w:rsidRDefault="007A6CBB" w14:paraId="576796E7" w14:textId="4B2E624A">
      <w:pPr>
        <w:pStyle w:val="NoSpacing"/>
        <w:ind w:firstLine="720"/>
        <w:rPr>
          <w:szCs w:val="24"/>
        </w:rPr>
      </w:pPr>
      <w:r w:rsidRPr="00321A64">
        <w:rPr>
          <w:szCs w:val="24"/>
        </w:rPr>
        <w:t>(</w:t>
      </w:r>
      <w:r w:rsidR="00BA0935">
        <w:rPr>
          <w:szCs w:val="24"/>
        </w:rPr>
        <w:t>K</w:t>
      </w:r>
      <w:r w:rsidRPr="00321A64">
        <w:rPr>
          <w:szCs w:val="24"/>
        </w:rPr>
        <w:t>)</w:t>
      </w:r>
      <w:r w:rsidRPr="00321A64">
        <w:rPr>
          <w:i/>
          <w:szCs w:val="24"/>
        </w:rPr>
        <w:t xml:space="preserve"> </w:t>
      </w:r>
      <w:r w:rsidRPr="001F0E97" w:rsidR="001F0E97">
        <w:rPr>
          <w:b/>
          <w:i/>
          <w:szCs w:val="24"/>
        </w:rPr>
        <w:t>Biennial</w:t>
      </w:r>
      <w:r w:rsidR="001F0E97">
        <w:rPr>
          <w:i/>
          <w:szCs w:val="24"/>
        </w:rPr>
        <w:t xml:space="preserve"> </w:t>
      </w:r>
      <w:r w:rsidRPr="002D1F9F">
        <w:rPr>
          <w:b/>
          <w:i/>
          <w:szCs w:val="24"/>
        </w:rPr>
        <w:t xml:space="preserve">Reporting for </w:t>
      </w:r>
      <w:r w:rsidRPr="002D1F9F" w:rsidR="002D1F9F">
        <w:rPr>
          <w:b/>
          <w:i/>
          <w:szCs w:val="24"/>
        </w:rPr>
        <w:t>E</w:t>
      </w:r>
      <w:r w:rsidRPr="002D1F9F">
        <w:rPr>
          <w:b/>
          <w:i/>
          <w:szCs w:val="24"/>
        </w:rPr>
        <w:t xml:space="preserve">valuated </w:t>
      </w:r>
      <w:r w:rsidRPr="002D1F9F" w:rsidR="002D1F9F">
        <w:rPr>
          <w:b/>
          <w:i/>
          <w:szCs w:val="24"/>
        </w:rPr>
        <w:t>H</w:t>
      </w:r>
      <w:r w:rsidRPr="002D1F9F">
        <w:rPr>
          <w:b/>
          <w:i/>
          <w:szCs w:val="24"/>
        </w:rPr>
        <w:t xml:space="preserve">azardous </w:t>
      </w:r>
      <w:r w:rsidRPr="002D1F9F" w:rsidR="002D1F9F">
        <w:rPr>
          <w:b/>
          <w:i/>
          <w:szCs w:val="24"/>
        </w:rPr>
        <w:t>W</w:t>
      </w:r>
      <w:r w:rsidRPr="002D1F9F">
        <w:rPr>
          <w:b/>
          <w:i/>
          <w:szCs w:val="24"/>
        </w:rPr>
        <w:t xml:space="preserve">aste </w:t>
      </w:r>
      <w:r w:rsidRPr="002D1F9F" w:rsidR="002D1F9F">
        <w:rPr>
          <w:b/>
          <w:i/>
          <w:szCs w:val="24"/>
        </w:rPr>
        <w:t>P</w:t>
      </w:r>
      <w:r w:rsidRPr="002D1F9F">
        <w:rPr>
          <w:b/>
          <w:i/>
          <w:szCs w:val="24"/>
        </w:rPr>
        <w:t>harmaceuticals.</w:t>
      </w:r>
      <w:r w:rsidRPr="00321A64">
        <w:rPr>
          <w:szCs w:val="24"/>
        </w:rPr>
        <w:t xml:space="preserve"> </w:t>
      </w:r>
      <w:r w:rsidRPr="003C5794">
        <w:rPr>
          <w:szCs w:val="24"/>
        </w:rPr>
        <w:t xml:space="preserve">A </w:t>
      </w:r>
      <w:r>
        <w:rPr>
          <w:szCs w:val="24"/>
        </w:rPr>
        <w:t>reverse distributor</w:t>
      </w:r>
      <w:r w:rsidRPr="003C5794">
        <w:rPr>
          <w:szCs w:val="24"/>
        </w:rPr>
        <w:t xml:space="preserve"> </w:t>
      </w:r>
      <w:r>
        <w:rPr>
          <w:szCs w:val="24"/>
        </w:rPr>
        <w:t>that</w:t>
      </w:r>
      <w:r w:rsidRPr="003C5794">
        <w:rPr>
          <w:szCs w:val="24"/>
        </w:rPr>
        <w:t xml:space="preserve"> ships </w:t>
      </w:r>
      <w:r>
        <w:rPr>
          <w:szCs w:val="24"/>
        </w:rPr>
        <w:t xml:space="preserve">evaluated </w:t>
      </w:r>
      <w:r w:rsidRPr="003C5794">
        <w:rPr>
          <w:szCs w:val="24"/>
        </w:rPr>
        <w:t xml:space="preserve">hazardous waste pharmaceuticals off-site must prepare </w:t>
      </w:r>
      <w:r>
        <w:rPr>
          <w:szCs w:val="24"/>
        </w:rPr>
        <w:t>and submit a single copy of a biennial r</w:t>
      </w:r>
      <w:r w:rsidRPr="003C5794">
        <w:rPr>
          <w:szCs w:val="24"/>
        </w:rPr>
        <w:t xml:space="preserve">eport to the </w:t>
      </w:r>
      <w:r>
        <w:rPr>
          <w:szCs w:val="24"/>
        </w:rPr>
        <w:t xml:space="preserve">EPA </w:t>
      </w:r>
      <w:r w:rsidRPr="003C5794">
        <w:rPr>
          <w:szCs w:val="24"/>
        </w:rPr>
        <w:t xml:space="preserve">Regional Administrator by March 1 of each even numbered year in accordance with </w:t>
      </w:r>
      <w:r>
        <w:rPr>
          <w:szCs w:val="24"/>
        </w:rPr>
        <w:t xml:space="preserve">§ </w:t>
      </w:r>
      <w:r w:rsidR="00E8705D">
        <w:rPr>
          <w:szCs w:val="24"/>
        </w:rPr>
        <w:t>262.41</w:t>
      </w:r>
      <w:r>
        <w:rPr>
          <w:szCs w:val="24"/>
        </w:rPr>
        <w:t>.</w:t>
      </w:r>
    </w:p>
    <w:p w:rsidRPr="003C5794" w:rsidR="007A6CBB" w:rsidP="007A6CBB" w:rsidRDefault="007A6CBB" w14:paraId="3C14F6E2" w14:textId="77777777">
      <w:pPr>
        <w:pStyle w:val="NoSpacing"/>
        <w:ind w:left="360"/>
        <w:rPr>
          <w:szCs w:val="24"/>
        </w:rPr>
      </w:pPr>
    </w:p>
    <w:p w:rsidR="007A6CBB" w:rsidP="00B021E0" w:rsidRDefault="007A6CBB" w14:paraId="0B500336" w14:textId="1128237B">
      <w:pPr>
        <w:pStyle w:val="NoSpacing"/>
        <w:ind w:firstLine="720"/>
        <w:rPr>
          <w:color w:val="000000"/>
          <w:szCs w:val="24"/>
        </w:rPr>
      </w:pPr>
      <w:r w:rsidRPr="00321A64">
        <w:rPr>
          <w:color w:val="000000"/>
          <w:szCs w:val="24"/>
        </w:rPr>
        <w:t>(</w:t>
      </w:r>
      <w:r w:rsidR="00BA0935">
        <w:rPr>
          <w:color w:val="000000"/>
          <w:szCs w:val="24"/>
        </w:rPr>
        <w:t>L</w:t>
      </w:r>
      <w:r w:rsidRPr="00321A64">
        <w:rPr>
          <w:color w:val="000000"/>
          <w:szCs w:val="24"/>
        </w:rPr>
        <w:t>)</w:t>
      </w:r>
      <w:r w:rsidR="002F7926">
        <w:rPr>
          <w:color w:val="000000"/>
          <w:szCs w:val="24"/>
        </w:rPr>
        <w:t xml:space="preserve"> </w:t>
      </w:r>
      <w:r w:rsidRPr="002F7926">
        <w:rPr>
          <w:b/>
          <w:i/>
          <w:color w:val="000000"/>
          <w:szCs w:val="24"/>
        </w:rPr>
        <w:t>Exception reporting for a missing copy of the manifest.</w:t>
      </w:r>
      <w:r>
        <w:rPr>
          <w:i/>
          <w:color w:val="000000"/>
          <w:szCs w:val="24"/>
        </w:rPr>
        <w:t xml:space="preserve"> </w:t>
      </w:r>
      <w:r>
        <w:rPr>
          <w:color w:val="000000"/>
          <w:szCs w:val="24"/>
        </w:rPr>
        <w:t xml:space="preserve"> </w:t>
      </w:r>
      <w:r w:rsidRPr="00CE1D60">
        <w:rPr>
          <w:color w:val="000000"/>
          <w:szCs w:val="24"/>
        </w:rPr>
        <w:t xml:space="preserve">For shipments </w:t>
      </w:r>
      <w:r>
        <w:rPr>
          <w:color w:val="000000"/>
          <w:szCs w:val="24"/>
        </w:rPr>
        <w:t xml:space="preserve">from a reverse distributor </w:t>
      </w:r>
      <w:r w:rsidRPr="00CE1D60">
        <w:rPr>
          <w:color w:val="000000"/>
          <w:szCs w:val="24"/>
        </w:rPr>
        <w:t xml:space="preserve">to </w:t>
      </w:r>
      <w:r>
        <w:rPr>
          <w:color w:val="000000"/>
          <w:szCs w:val="24"/>
        </w:rPr>
        <w:t xml:space="preserve">a </w:t>
      </w:r>
      <w:r w:rsidRPr="00CE1D60">
        <w:rPr>
          <w:color w:val="000000"/>
          <w:szCs w:val="24"/>
        </w:rPr>
        <w:t>designated facility</w:t>
      </w:r>
      <w:r>
        <w:rPr>
          <w:color w:val="000000"/>
          <w:szCs w:val="24"/>
        </w:rPr>
        <w:t>:</w:t>
      </w:r>
    </w:p>
    <w:p w:rsidR="007A6CBB" w:rsidP="007A6CBB" w:rsidRDefault="007A6CBB" w14:paraId="1797F08F" w14:textId="77777777">
      <w:pPr>
        <w:pStyle w:val="NoSpacing"/>
        <w:ind w:firstLine="360"/>
        <w:rPr>
          <w:color w:val="000000"/>
          <w:szCs w:val="24"/>
        </w:rPr>
      </w:pPr>
    </w:p>
    <w:p w:rsidR="007A6CBB" w:rsidP="002F7926" w:rsidRDefault="007A6CBB" w14:paraId="3AF44B6E" w14:textId="176C35B3">
      <w:pPr>
        <w:pStyle w:val="NoSpacing"/>
        <w:ind w:left="360" w:firstLine="720"/>
        <w:rPr>
          <w:color w:val="000000"/>
          <w:szCs w:val="24"/>
        </w:rPr>
      </w:pPr>
      <w:r w:rsidRPr="002F7926">
        <w:rPr>
          <w:color w:val="000000"/>
          <w:szCs w:val="24"/>
        </w:rPr>
        <w:lastRenderedPageBreak/>
        <w:t>(</w:t>
      </w:r>
      <w:r w:rsidRPr="002F7926" w:rsidR="002F7926">
        <w:rPr>
          <w:color w:val="000000"/>
          <w:szCs w:val="24"/>
        </w:rPr>
        <w:t>i</w:t>
      </w:r>
      <w:r w:rsidRPr="002F7926">
        <w:rPr>
          <w:color w:val="000000"/>
          <w:szCs w:val="24"/>
        </w:rPr>
        <w:t>)</w:t>
      </w:r>
      <w:r>
        <w:rPr>
          <w:color w:val="000000"/>
          <w:szCs w:val="24"/>
        </w:rPr>
        <w:t xml:space="preserve"> If a reverse distributor</w:t>
      </w:r>
      <w:r w:rsidRPr="00A3232F">
        <w:rPr>
          <w:color w:val="000000"/>
          <w:szCs w:val="24"/>
        </w:rPr>
        <w:t xml:space="preserve"> does not receive a copy of the manifest with the signature of the owner or operator of the designated facility within 35 days of the date the </w:t>
      </w:r>
      <w:r>
        <w:rPr>
          <w:color w:val="000000"/>
          <w:szCs w:val="24"/>
        </w:rPr>
        <w:t xml:space="preserve">evaluated hazardous </w:t>
      </w:r>
      <w:r w:rsidRPr="00A3232F">
        <w:rPr>
          <w:color w:val="000000"/>
          <w:szCs w:val="24"/>
        </w:rPr>
        <w:t xml:space="preserve">waste </w:t>
      </w:r>
      <w:r>
        <w:rPr>
          <w:color w:val="000000"/>
          <w:szCs w:val="24"/>
        </w:rPr>
        <w:t>pharmaceuticals were</w:t>
      </w:r>
      <w:r w:rsidRPr="00A3232F">
        <w:rPr>
          <w:color w:val="000000"/>
          <w:szCs w:val="24"/>
        </w:rPr>
        <w:t xml:space="preserve"> accepted by the initial transporter</w:t>
      </w:r>
      <w:r>
        <w:rPr>
          <w:color w:val="000000"/>
          <w:szCs w:val="24"/>
        </w:rPr>
        <w:t>, the reverse distributor</w:t>
      </w:r>
      <w:r w:rsidRPr="00A3232F">
        <w:rPr>
          <w:color w:val="000000"/>
          <w:szCs w:val="24"/>
        </w:rPr>
        <w:t xml:space="preserve"> must</w:t>
      </w:r>
      <w:r>
        <w:rPr>
          <w:color w:val="000000"/>
          <w:szCs w:val="24"/>
        </w:rPr>
        <w:t xml:space="preserve"> contact the transporter or the owner or operator of the designated facility to determine the status of the evaluated hazardous waste pharmaceuticals.</w:t>
      </w:r>
    </w:p>
    <w:p w:rsidRPr="00A3232F" w:rsidR="007A6CBB" w:rsidP="007A6CBB" w:rsidRDefault="007A6CBB" w14:paraId="48FE9E9E" w14:textId="77777777">
      <w:pPr>
        <w:pStyle w:val="NoSpacing"/>
        <w:ind w:firstLine="360"/>
        <w:rPr>
          <w:color w:val="000000"/>
          <w:szCs w:val="24"/>
        </w:rPr>
      </w:pPr>
    </w:p>
    <w:p w:rsidRPr="00727EB7" w:rsidR="007A6CBB" w:rsidP="002F7926" w:rsidRDefault="007A6CBB" w14:paraId="6B17DD33" w14:textId="2811B13E">
      <w:pPr>
        <w:pStyle w:val="NoSpacing"/>
        <w:ind w:left="360" w:firstLine="720"/>
        <w:rPr>
          <w:color w:val="000000"/>
          <w:szCs w:val="24"/>
        </w:rPr>
      </w:pPr>
      <w:r w:rsidRPr="002F7926">
        <w:rPr>
          <w:color w:val="000000"/>
          <w:szCs w:val="24"/>
        </w:rPr>
        <w:t>(</w:t>
      </w:r>
      <w:r w:rsidRPr="002F7926" w:rsidR="002F7926">
        <w:rPr>
          <w:color w:val="000000"/>
          <w:szCs w:val="24"/>
        </w:rPr>
        <w:t>ii</w:t>
      </w:r>
      <w:r w:rsidRPr="002F7926">
        <w:rPr>
          <w:color w:val="000000"/>
          <w:szCs w:val="24"/>
        </w:rPr>
        <w:t xml:space="preserve">) </w:t>
      </w:r>
      <w:r w:rsidRPr="00CE1D60">
        <w:rPr>
          <w:color w:val="000000"/>
          <w:szCs w:val="24"/>
        </w:rPr>
        <w:t xml:space="preserve">A </w:t>
      </w:r>
      <w:r>
        <w:rPr>
          <w:color w:val="000000"/>
          <w:szCs w:val="24"/>
        </w:rPr>
        <w:t>reverse distributor</w:t>
      </w:r>
      <w:r w:rsidRPr="00CE1D60">
        <w:rPr>
          <w:color w:val="000000"/>
          <w:szCs w:val="24"/>
        </w:rPr>
        <w:t xml:space="preserve"> must submit an </w:t>
      </w:r>
      <w:r>
        <w:rPr>
          <w:color w:val="000000"/>
          <w:szCs w:val="24"/>
        </w:rPr>
        <w:t>exception r</w:t>
      </w:r>
      <w:r w:rsidRPr="00CE1D60">
        <w:rPr>
          <w:color w:val="000000"/>
          <w:szCs w:val="24"/>
        </w:rPr>
        <w:t xml:space="preserve">eport to the EPA Regional Administrator for the Region in which the </w:t>
      </w:r>
      <w:r>
        <w:rPr>
          <w:color w:val="000000"/>
          <w:szCs w:val="24"/>
        </w:rPr>
        <w:t xml:space="preserve">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signature of the owner or operator of the designated facility within 45 days of the date the </w:t>
      </w:r>
      <w:r>
        <w:rPr>
          <w:color w:val="000000"/>
          <w:szCs w:val="24"/>
        </w:rPr>
        <w:t xml:space="preserve">evaluated hazardous </w:t>
      </w:r>
      <w:r w:rsidRPr="00CE1D60">
        <w:rPr>
          <w:color w:val="000000"/>
          <w:szCs w:val="24"/>
        </w:rPr>
        <w:t xml:space="preserve">waste </w:t>
      </w:r>
      <w:r>
        <w:rPr>
          <w:color w:val="000000"/>
          <w:szCs w:val="24"/>
        </w:rPr>
        <w:t xml:space="preserve">pharmaceutical </w:t>
      </w:r>
      <w:r w:rsidRPr="00CE1D60">
        <w:rPr>
          <w:color w:val="000000"/>
          <w:szCs w:val="24"/>
        </w:rPr>
        <w:t>was accepted b</w:t>
      </w:r>
      <w:r>
        <w:rPr>
          <w:color w:val="000000"/>
          <w:szCs w:val="24"/>
        </w:rPr>
        <w:t>y the initial transporter. The exception r</w:t>
      </w:r>
      <w:r w:rsidRPr="00CE1D60">
        <w:rPr>
          <w:color w:val="000000"/>
          <w:szCs w:val="24"/>
        </w:rPr>
        <w:t>eport must include:</w:t>
      </w:r>
      <w:r w:rsidR="002F7926">
        <w:rPr>
          <w:color w:val="000000"/>
          <w:szCs w:val="24"/>
        </w:rPr>
        <w:t xml:space="preserve"> </w:t>
      </w:r>
      <w:r w:rsidRPr="002F7926">
        <w:rPr>
          <w:color w:val="000000"/>
          <w:szCs w:val="24"/>
        </w:rPr>
        <w:t>(</w:t>
      </w:r>
      <w:r w:rsidRPr="002F7926" w:rsidR="002F7926">
        <w:rPr>
          <w:color w:val="000000"/>
          <w:szCs w:val="24"/>
        </w:rPr>
        <w:t>a</w:t>
      </w:r>
      <w:r w:rsidRPr="002F7926">
        <w:rPr>
          <w:color w:val="000000"/>
          <w:szCs w:val="24"/>
        </w:rPr>
        <w:t>)</w:t>
      </w:r>
      <w:r>
        <w:rPr>
          <w:color w:val="000000"/>
          <w:szCs w:val="24"/>
        </w:rPr>
        <w:t xml:space="preserve"> A legible copy of the manifest for which the reverse distributor does not have confirmation of delivery; and</w:t>
      </w:r>
      <w:r w:rsidR="002F7926">
        <w:rPr>
          <w:color w:val="000000"/>
          <w:szCs w:val="24"/>
        </w:rPr>
        <w:t xml:space="preserve"> </w:t>
      </w:r>
      <w:r w:rsidRPr="002F7926">
        <w:rPr>
          <w:color w:val="000000"/>
          <w:szCs w:val="24"/>
        </w:rPr>
        <w:t>(</w:t>
      </w:r>
      <w:r w:rsidRPr="002F7926" w:rsidR="002F7926">
        <w:rPr>
          <w:color w:val="000000"/>
          <w:szCs w:val="24"/>
        </w:rPr>
        <w:t>b</w:t>
      </w:r>
      <w:r w:rsidRPr="002F7926">
        <w:rPr>
          <w:color w:val="000000"/>
          <w:szCs w:val="24"/>
        </w:rPr>
        <w:t>)</w:t>
      </w:r>
      <w:r w:rsidRPr="00727EB7">
        <w:rPr>
          <w:i/>
          <w:color w:val="000000"/>
          <w:szCs w:val="24"/>
        </w:rPr>
        <w:t xml:space="preserve"> </w:t>
      </w:r>
      <w:r>
        <w:rPr>
          <w:color w:val="000000"/>
          <w:szCs w:val="24"/>
        </w:rPr>
        <w:t>A cover letter signed by the reverse distributor, or its authorized representative, explaining the efforts taken to locate the evaluated hazardous waste pharmaceuticals and the results of those efforts.</w:t>
      </w:r>
    </w:p>
    <w:p w:rsidRPr="00CE1D60" w:rsidR="007A6CBB" w:rsidP="007A6CBB" w:rsidRDefault="007A6CBB" w14:paraId="0D8DEA83" w14:textId="77777777">
      <w:pPr>
        <w:pStyle w:val="NoSpacing"/>
        <w:ind w:firstLine="360"/>
        <w:rPr>
          <w:color w:val="000000"/>
          <w:szCs w:val="24"/>
        </w:rPr>
      </w:pPr>
    </w:p>
    <w:p w:rsidR="007A6CBB" w:rsidP="00A05581" w:rsidRDefault="007A6CBB" w14:paraId="186A562B" w14:textId="77777777">
      <w:pPr>
        <w:pStyle w:val="NoSpacing"/>
        <w:ind w:left="360" w:firstLine="720"/>
        <w:rPr>
          <w:color w:val="000000"/>
          <w:szCs w:val="24"/>
        </w:rPr>
      </w:pPr>
      <w:r w:rsidRPr="00321A64">
        <w:rPr>
          <w:color w:val="000000"/>
          <w:szCs w:val="24"/>
        </w:rPr>
        <w:t>(</w:t>
      </w:r>
      <w:r w:rsidR="00BA0935">
        <w:rPr>
          <w:color w:val="000000"/>
          <w:szCs w:val="24"/>
        </w:rPr>
        <w:t>M</w:t>
      </w:r>
      <w:r w:rsidRPr="00321A64">
        <w:rPr>
          <w:color w:val="000000"/>
          <w:szCs w:val="24"/>
        </w:rPr>
        <w:t>)</w:t>
      </w:r>
      <w:r>
        <w:rPr>
          <w:i/>
          <w:color w:val="000000"/>
          <w:szCs w:val="24"/>
        </w:rPr>
        <w:t xml:space="preserve"> </w:t>
      </w:r>
      <w:r w:rsidRPr="002F7926" w:rsidR="002F7926">
        <w:rPr>
          <w:b/>
          <w:i/>
          <w:color w:val="000000"/>
          <w:szCs w:val="24"/>
        </w:rPr>
        <w:t>Rejected Shipments.</w:t>
      </w:r>
      <w:r>
        <w:rPr>
          <w:color w:val="000000"/>
          <w:szCs w:val="24"/>
        </w:rPr>
        <w:t xml:space="preserve"> </w:t>
      </w:r>
      <w:r w:rsidR="002F7926">
        <w:rPr>
          <w:color w:val="000000"/>
          <w:szCs w:val="24"/>
        </w:rPr>
        <w:t xml:space="preserve"> </w:t>
      </w:r>
      <w:r w:rsidR="00A05581">
        <w:rPr>
          <w:color w:val="000000"/>
          <w:szCs w:val="24"/>
        </w:rPr>
        <w:t xml:space="preserve">For shipments rejected </w:t>
      </w:r>
      <w:r>
        <w:rPr>
          <w:color w:val="000000"/>
          <w:szCs w:val="24"/>
        </w:rPr>
        <w:t xml:space="preserve">by the </w:t>
      </w:r>
      <w:r w:rsidRPr="00CE1D60">
        <w:rPr>
          <w:color w:val="000000"/>
          <w:szCs w:val="24"/>
        </w:rPr>
        <w:t>designated facility</w:t>
      </w:r>
      <w:r>
        <w:rPr>
          <w:color w:val="000000"/>
          <w:szCs w:val="24"/>
        </w:rPr>
        <w:t xml:space="preserve"> and shipped to an alternate facility:</w:t>
      </w:r>
    </w:p>
    <w:p w:rsidR="007A6CBB" w:rsidP="007A6CBB" w:rsidRDefault="007A6CBB" w14:paraId="42787A66" w14:textId="77777777">
      <w:pPr>
        <w:pStyle w:val="NoSpacing"/>
        <w:ind w:firstLine="360"/>
        <w:rPr>
          <w:color w:val="000000"/>
          <w:szCs w:val="24"/>
        </w:rPr>
      </w:pPr>
    </w:p>
    <w:p w:rsidR="007A6CBB" w:rsidP="00A05581" w:rsidRDefault="007A6CBB" w14:paraId="22FC7F89" w14:textId="5B33C266">
      <w:pPr>
        <w:pStyle w:val="NoSpacing"/>
        <w:ind w:left="360" w:firstLine="720"/>
        <w:rPr>
          <w:color w:val="000000"/>
          <w:szCs w:val="24"/>
        </w:rPr>
      </w:pPr>
      <w:r w:rsidRPr="00A05581">
        <w:rPr>
          <w:color w:val="000000"/>
          <w:szCs w:val="24"/>
        </w:rPr>
        <w:t>(</w:t>
      </w:r>
      <w:r w:rsidRPr="00A05581" w:rsidR="00A05581">
        <w:rPr>
          <w:color w:val="000000"/>
          <w:szCs w:val="24"/>
        </w:rPr>
        <w:t>i</w:t>
      </w:r>
      <w:r w:rsidRPr="00A05581">
        <w:rPr>
          <w:color w:val="000000"/>
          <w:szCs w:val="24"/>
        </w:rPr>
        <w:t>)</w:t>
      </w:r>
      <w:r>
        <w:rPr>
          <w:color w:val="000000"/>
          <w:szCs w:val="24"/>
        </w:rPr>
        <w:t xml:space="preserve"> </w:t>
      </w:r>
      <w:r w:rsidRPr="00A3232F">
        <w:rPr>
          <w:color w:val="000000"/>
          <w:szCs w:val="24"/>
        </w:rPr>
        <w:t xml:space="preserve">A </w:t>
      </w:r>
      <w:r>
        <w:rPr>
          <w:color w:val="000000"/>
          <w:szCs w:val="24"/>
        </w:rPr>
        <w:t>reverse distributor</w:t>
      </w:r>
      <w:r w:rsidRPr="00A3232F">
        <w:rPr>
          <w:color w:val="000000"/>
          <w:szCs w:val="24"/>
        </w:rPr>
        <w:t xml:space="preserve"> </w:t>
      </w:r>
      <w:r>
        <w:rPr>
          <w:color w:val="000000"/>
          <w:szCs w:val="24"/>
        </w:rPr>
        <w:t>that</w:t>
      </w:r>
      <w:r w:rsidRPr="00A3232F">
        <w:rPr>
          <w:color w:val="000000"/>
          <w:szCs w:val="24"/>
        </w:rPr>
        <w:t xml:space="preserve"> does not receive a copy of the manifest with the signature of the owner or operator of the </w:t>
      </w:r>
      <w:r>
        <w:rPr>
          <w:color w:val="000000"/>
          <w:szCs w:val="24"/>
        </w:rPr>
        <w:t>alternate</w:t>
      </w:r>
      <w:r w:rsidRPr="00A3232F">
        <w:rPr>
          <w:color w:val="000000"/>
          <w:szCs w:val="24"/>
        </w:rPr>
        <w:t xml:space="preserve"> facility within 35 days of the date the </w:t>
      </w:r>
      <w:r>
        <w:rPr>
          <w:color w:val="000000"/>
          <w:szCs w:val="24"/>
        </w:rPr>
        <w:t xml:space="preserve">evaluated hazardous </w:t>
      </w:r>
      <w:r w:rsidRPr="00A3232F">
        <w:rPr>
          <w:color w:val="000000"/>
          <w:szCs w:val="24"/>
        </w:rPr>
        <w:t xml:space="preserve">waste </w:t>
      </w:r>
      <w:r>
        <w:rPr>
          <w:color w:val="000000"/>
          <w:szCs w:val="24"/>
        </w:rPr>
        <w:t>pharmaceutical</w:t>
      </w:r>
      <w:r w:rsidR="006953FD">
        <w:rPr>
          <w:color w:val="000000"/>
          <w:szCs w:val="24"/>
        </w:rPr>
        <w:t>s were</w:t>
      </w:r>
      <w:r w:rsidRPr="00A3232F">
        <w:rPr>
          <w:color w:val="000000"/>
          <w:szCs w:val="24"/>
        </w:rPr>
        <w:t xml:space="preserve"> accepted by the initial transporter must contact the transporter </w:t>
      </w:r>
      <w:r>
        <w:rPr>
          <w:color w:val="000000"/>
          <w:szCs w:val="24"/>
        </w:rPr>
        <w:t>or</w:t>
      </w:r>
      <w:r w:rsidRPr="00A3232F">
        <w:rPr>
          <w:color w:val="000000"/>
          <w:szCs w:val="24"/>
        </w:rPr>
        <w:t xml:space="preserve"> the owner or operator of the </w:t>
      </w:r>
      <w:r>
        <w:rPr>
          <w:color w:val="000000"/>
          <w:szCs w:val="24"/>
        </w:rPr>
        <w:t>alternate</w:t>
      </w:r>
      <w:r w:rsidRPr="00A3232F">
        <w:rPr>
          <w:color w:val="000000"/>
          <w:szCs w:val="24"/>
        </w:rPr>
        <w:t xml:space="preserve"> facility to determine the status of the </w:t>
      </w:r>
      <w:r>
        <w:rPr>
          <w:color w:val="000000"/>
          <w:szCs w:val="24"/>
        </w:rPr>
        <w:t xml:space="preserve">hazardous </w:t>
      </w:r>
      <w:r w:rsidRPr="00A3232F">
        <w:rPr>
          <w:color w:val="000000"/>
          <w:szCs w:val="24"/>
        </w:rPr>
        <w:t>waste.</w:t>
      </w:r>
      <w:r w:rsidR="00A534BA">
        <w:rPr>
          <w:color w:val="000000"/>
          <w:szCs w:val="24"/>
        </w:rPr>
        <w:t xml:space="preserve"> </w:t>
      </w:r>
      <w:r w:rsidRPr="00DB2835">
        <w:rPr>
          <w:color w:val="000000"/>
          <w:szCs w:val="24"/>
        </w:rPr>
        <w:t xml:space="preserve">The </w:t>
      </w:r>
      <w:r w:rsidRPr="00DB2835" w:rsidR="00A534BA">
        <w:rPr>
          <w:color w:val="000000"/>
          <w:szCs w:val="24"/>
        </w:rPr>
        <w:t>35-day</w:t>
      </w:r>
      <w:r w:rsidRPr="00DB2835">
        <w:rPr>
          <w:color w:val="000000"/>
          <w:szCs w:val="24"/>
        </w:rPr>
        <w:t xml:space="preserve"> timefr</w:t>
      </w:r>
      <w:r>
        <w:rPr>
          <w:color w:val="000000"/>
          <w:szCs w:val="24"/>
        </w:rPr>
        <w:t>ame</w:t>
      </w:r>
      <w:r w:rsidRPr="00DB2835">
        <w:rPr>
          <w:color w:val="000000"/>
          <w:szCs w:val="24"/>
        </w:rPr>
        <w:t xml:space="preserve"> begin</w:t>
      </w:r>
      <w:r>
        <w:rPr>
          <w:color w:val="000000"/>
          <w:szCs w:val="24"/>
        </w:rPr>
        <w:t>s</w:t>
      </w:r>
      <w:r w:rsidRPr="00DB2835">
        <w:rPr>
          <w:color w:val="000000"/>
          <w:szCs w:val="24"/>
        </w:rPr>
        <w:t xml:space="preserve"> the date the </w:t>
      </w:r>
      <w:r w:rsidR="006953FD">
        <w:rPr>
          <w:color w:val="000000"/>
          <w:szCs w:val="24"/>
        </w:rPr>
        <w:t xml:space="preserve">evaluated hazardous </w:t>
      </w:r>
      <w:r w:rsidRPr="00DB2835">
        <w:rPr>
          <w:color w:val="000000"/>
          <w:szCs w:val="24"/>
        </w:rPr>
        <w:t>waste</w:t>
      </w:r>
      <w:r w:rsidR="006953FD">
        <w:rPr>
          <w:color w:val="000000"/>
          <w:szCs w:val="24"/>
        </w:rPr>
        <w:t xml:space="preserve"> pharmaceuticals are</w:t>
      </w:r>
      <w:r w:rsidRPr="00DB2835">
        <w:rPr>
          <w:color w:val="000000"/>
          <w:szCs w:val="24"/>
        </w:rPr>
        <w:t xml:space="preserve"> accepted by the </w:t>
      </w:r>
      <w:r>
        <w:rPr>
          <w:color w:val="000000"/>
          <w:szCs w:val="24"/>
        </w:rPr>
        <w:t>t</w:t>
      </w:r>
      <w:r w:rsidRPr="00DB2835">
        <w:rPr>
          <w:color w:val="000000"/>
          <w:szCs w:val="24"/>
        </w:rPr>
        <w:t>ransporter forwarding the hazardous waste shipment from the designated facility to the alternate facility.</w:t>
      </w:r>
    </w:p>
    <w:p w:rsidRPr="00A3232F" w:rsidR="007A6CBB" w:rsidP="007A6CBB" w:rsidRDefault="007A6CBB" w14:paraId="4BB57480" w14:textId="77777777">
      <w:pPr>
        <w:pStyle w:val="NoSpacing"/>
        <w:ind w:firstLine="360"/>
        <w:rPr>
          <w:color w:val="000000"/>
          <w:szCs w:val="24"/>
        </w:rPr>
      </w:pPr>
    </w:p>
    <w:p w:rsidR="002E2573" w:rsidP="00A05581" w:rsidRDefault="007A6CBB" w14:paraId="0B432227" w14:textId="09B14AF5">
      <w:pPr>
        <w:pStyle w:val="NoSpacing"/>
        <w:ind w:left="360" w:firstLine="720"/>
        <w:rPr>
          <w:color w:val="000000"/>
          <w:szCs w:val="24"/>
        </w:rPr>
      </w:pPr>
      <w:r w:rsidRPr="00A05581">
        <w:rPr>
          <w:color w:val="000000"/>
          <w:szCs w:val="24"/>
        </w:rPr>
        <w:t>(</w:t>
      </w:r>
      <w:r w:rsidRPr="00A05581" w:rsidR="00A05581">
        <w:rPr>
          <w:color w:val="000000"/>
          <w:szCs w:val="24"/>
        </w:rPr>
        <w:t>ii</w:t>
      </w:r>
      <w:r w:rsidRPr="00A05581">
        <w:rPr>
          <w:color w:val="000000"/>
          <w:szCs w:val="24"/>
        </w:rPr>
        <w:t>)</w:t>
      </w:r>
      <w:r>
        <w:rPr>
          <w:color w:val="000000"/>
          <w:szCs w:val="24"/>
        </w:rPr>
        <w:t xml:space="preserve"> </w:t>
      </w:r>
      <w:r w:rsidRPr="00CE1D60">
        <w:rPr>
          <w:color w:val="000000"/>
          <w:szCs w:val="24"/>
        </w:rPr>
        <w:t xml:space="preserve">A </w:t>
      </w:r>
      <w:r>
        <w:rPr>
          <w:color w:val="000000"/>
          <w:szCs w:val="24"/>
        </w:rPr>
        <w:t>reverse distributor</w:t>
      </w:r>
      <w:r w:rsidRPr="00CE1D60">
        <w:rPr>
          <w:color w:val="000000"/>
          <w:szCs w:val="24"/>
        </w:rPr>
        <w:t xml:space="preserve"> must submit an Exception Report to the EPA Regional Administrator for the Region in which the </w:t>
      </w:r>
      <w:r>
        <w:rPr>
          <w:color w:val="000000"/>
          <w:szCs w:val="24"/>
        </w:rPr>
        <w:t xml:space="preserve">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signature of the owner or operator of the </w:t>
      </w:r>
      <w:r>
        <w:rPr>
          <w:color w:val="000000"/>
          <w:szCs w:val="24"/>
        </w:rPr>
        <w:t>alternate</w:t>
      </w:r>
      <w:r w:rsidRPr="00CE1D60">
        <w:rPr>
          <w:color w:val="000000"/>
          <w:szCs w:val="24"/>
        </w:rPr>
        <w:t xml:space="preserve"> facility within 45 days of the date the </w:t>
      </w:r>
      <w:r>
        <w:rPr>
          <w:color w:val="000000"/>
          <w:szCs w:val="24"/>
        </w:rPr>
        <w:t xml:space="preserve">hazardous </w:t>
      </w:r>
      <w:r w:rsidRPr="00CE1D60">
        <w:rPr>
          <w:color w:val="000000"/>
          <w:szCs w:val="24"/>
        </w:rPr>
        <w:t xml:space="preserve">waste was accepted by the initial transporter. </w:t>
      </w:r>
      <w:r>
        <w:rPr>
          <w:color w:val="000000"/>
          <w:szCs w:val="24"/>
        </w:rPr>
        <w:t>The</w:t>
      </w:r>
      <w:r w:rsidRPr="00DB2835">
        <w:rPr>
          <w:color w:val="000000"/>
          <w:szCs w:val="24"/>
        </w:rPr>
        <w:t xml:space="preserve"> 45</w:t>
      </w:r>
      <w:r w:rsidR="00B021E0">
        <w:rPr>
          <w:color w:val="000000"/>
          <w:szCs w:val="24"/>
        </w:rPr>
        <w:t>-</w:t>
      </w:r>
      <w:r w:rsidRPr="00DB2835">
        <w:rPr>
          <w:color w:val="000000"/>
          <w:szCs w:val="24"/>
        </w:rPr>
        <w:t>d</w:t>
      </w:r>
      <w:r>
        <w:rPr>
          <w:color w:val="000000"/>
          <w:szCs w:val="24"/>
        </w:rPr>
        <w:t>ay timeframe</w:t>
      </w:r>
      <w:r w:rsidRPr="00DB2835">
        <w:rPr>
          <w:color w:val="000000"/>
          <w:szCs w:val="24"/>
        </w:rPr>
        <w:t xml:space="preserve"> begin</w:t>
      </w:r>
      <w:r>
        <w:rPr>
          <w:color w:val="000000"/>
          <w:szCs w:val="24"/>
        </w:rPr>
        <w:t xml:space="preserve">s the date the </w:t>
      </w:r>
      <w:r w:rsidR="006953FD">
        <w:rPr>
          <w:color w:val="000000"/>
          <w:szCs w:val="24"/>
        </w:rPr>
        <w:t xml:space="preserve">evaluated </w:t>
      </w:r>
      <w:r>
        <w:rPr>
          <w:color w:val="000000"/>
          <w:szCs w:val="24"/>
        </w:rPr>
        <w:t xml:space="preserve">hazardous </w:t>
      </w:r>
      <w:r w:rsidRPr="00DB2835">
        <w:rPr>
          <w:color w:val="000000"/>
          <w:szCs w:val="24"/>
        </w:rPr>
        <w:t>waste</w:t>
      </w:r>
      <w:r w:rsidR="006953FD">
        <w:rPr>
          <w:color w:val="000000"/>
          <w:szCs w:val="24"/>
        </w:rPr>
        <w:t xml:space="preserve"> pharmaceuticals are</w:t>
      </w:r>
      <w:r w:rsidRPr="00DB2835">
        <w:rPr>
          <w:color w:val="000000"/>
          <w:szCs w:val="24"/>
        </w:rPr>
        <w:t xml:space="preserve"> accepted by the transporter forwarding the hazardous waste shipment from the designated facility to the alternate facility.</w:t>
      </w:r>
      <w:r w:rsidR="008564C8">
        <w:rPr>
          <w:color w:val="000000"/>
          <w:szCs w:val="24"/>
        </w:rPr>
        <w:t xml:space="preserve"> </w:t>
      </w:r>
      <w:r w:rsidRPr="00CE1D60">
        <w:rPr>
          <w:color w:val="000000"/>
          <w:szCs w:val="24"/>
        </w:rPr>
        <w:t>The Exception Report must include:</w:t>
      </w:r>
      <w:r w:rsidR="00A05581">
        <w:rPr>
          <w:color w:val="000000"/>
          <w:szCs w:val="24"/>
        </w:rPr>
        <w:t xml:space="preserve"> </w:t>
      </w:r>
      <w:r w:rsidRPr="00A05581">
        <w:rPr>
          <w:color w:val="000000"/>
          <w:szCs w:val="24"/>
        </w:rPr>
        <w:t>(</w:t>
      </w:r>
      <w:r w:rsidRPr="00A05581" w:rsidR="00A05581">
        <w:rPr>
          <w:color w:val="000000"/>
          <w:szCs w:val="24"/>
        </w:rPr>
        <w:t>a</w:t>
      </w:r>
      <w:r w:rsidRPr="00A05581">
        <w:rPr>
          <w:color w:val="000000"/>
          <w:szCs w:val="24"/>
        </w:rPr>
        <w:t>)</w:t>
      </w:r>
      <w:r>
        <w:rPr>
          <w:color w:val="000000"/>
          <w:szCs w:val="24"/>
        </w:rPr>
        <w:t xml:space="preserve"> </w:t>
      </w:r>
      <w:r w:rsidRPr="00CE1D60">
        <w:rPr>
          <w:color w:val="000000"/>
          <w:szCs w:val="24"/>
        </w:rPr>
        <w:t>A legible copy of the manifest for which the generator does not have confirmation of delivery;</w:t>
      </w:r>
      <w:r w:rsidR="00A05581">
        <w:rPr>
          <w:color w:val="000000"/>
          <w:szCs w:val="24"/>
        </w:rPr>
        <w:t xml:space="preserve"> </w:t>
      </w:r>
      <w:r w:rsidRPr="00A05581">
        <w:rPr>
          <w:color w:val="000000"/>
          <w:szCs w:val="24"/>
        </w:rPr>
        <w:t>(</w:t>
      </w:r>
      <w:r w:rsidRPr="00A05581" w:rsidR="00A05581">
        <w:rPr>
          <w:color w:val="000000"/>
          <w:szCs w:val="24"/>
        </w:rPr>
        <w:t>b</w:t>
      </w:r>
      <w:r w:rsidRPr="00A05581">
        <w:rPr>
          <w:color w:val="000000"/>
          <w:szCs w:val="24"/>
        </w:rPr>
        <w:t>)</w:t>
      </w:r>
      <w:r>
        <w:rPr>
          <w:color w:val="000000"/>
          <w:szCs w:val="24"/>
        </w:rPr>
        <w:t xml:space="preserve"> </w:t>
      </w:r>
      <w:r w:rsidRPr="00CE1D60">
        <w:rPr>
          <w:color w:val="000000"/>
          <w:szCs w:val="24"/>
        </w:rPr>
        <w:t xml:space="preserve">A cover letter signed by the </w:t>
      </w:r>
      <w:r>
        <w:rPr>
          <w:color w:val="000000"/>
          <w:szCs w:val="24"/>
        </w:rPr>
        <w:t xml:space="preserve">reverse distributor, </w:t>
      </w:r>
      <w:r w:rsidRPr="00CE1D60">
        <w:rPr>
          <w:color w:val="000000"/>
          <w:szCs w:val="24"/>
        </w:rPr>
        <w:t>o</w:t>
      </w:r>
      <w:r>
        <w:rPr>
          <w:color w:val="000000"/>
          <w:szCs w:val="24"/>
        </w:rPr>
        <w:t xml:space="preserve">r its authorized representative, </w:t>
      </w:r>
      <w:r w:rsidRPr="00CE1D60">
        <w:rPr>
          <w:color w:val="000000"/>
          <w:szCs w:val="24"/>
        </w:rPr>
        <w:t xml:space="preserve">explaining the efforts taken to locate the </w:t>
      </w:r>
      <w:r>
        <w:rPr>
          <w:color w:val="000000"/>
          <w:szCs w:val="24"/>
        </w:rPr>
        <w:t xml:space="preserve">evaluated </w:t>
      </w:r>
      <w:r w:rsidRPr="00CE1D60">
        <w:rPr>
          <w:color w:val="000000"/>
          <w:szCs w:val="24"/>
        </w:rPr>
        <w:t xml:space="preserve">hazardous waste </w:t>
      </w:r>
      <w:r>
        <w:rPr>
          <w:color w:val="000000"/>
          <w:szCs w:val="24"/>
        </w:rPr>
        <w:t xml:space="preserve">pharmaceuticals </w:t>
      </w:r>
      <w:r w:rsidRPr="00CE1D60">
        <w:rPr>
          <w:color w:val="000000"/>
          <w:szCs w:val="24"/>
        </w:rPr>
        <w:t>and the results of those efforts.</w:t>
      </w:r>
    </w:p>
    <w:p w:rsidR="00BA0935" w:rsidP="00A05581" w:rsidRDefault="00BA0935" w14:paraId="2981E8DE" w14:textId="77777777">
      <w:pPr>
        <w:pStyle w:val="NoSpacing"/>
        <w:ind w:left="360" w:firstLine="720"/>
        <w:rPr>
          <w:color w:val="000000"/>
          <w:szCs w:val="24"/>
        </w:rPr>
      </w:pPr>
    </w:p>
    <w:p w:rsidR="007A6CBB" w:rsidP="00A05581" w:rsidRDefault="007A6CBB" w14:paraId="77CF570D" w14:textId="77777777">
      <w:pPr>
        <w:pStyle w:val="NoSpacing"/>
        <w:ind w:left="360" w:firstLine="720"/>
        <w:rPr>
          <w:szCs w:val="24"/>
        </w:rPr>
      </w:pPr>
      <w:r w:rsidRPr="00321A64">
        <w:rPr>
          <w:szCs w:val="24"/>
        </w:rPr>
        <w:t>(</w:t>
      </w:r>
      <w:r w:rsidR="00BA0935">
        <w:rPr>
          <w:szCs w:val="24"/>
        </w:rPr>
        <w:t>N</w:t>
      </w:r>
      <w:r w:rsidRPr="00321A64">
        <w:rPr>
          <w:szCs w:val="24"/>
        </w:rPr>
        <w:t xml:space="preserve">) </w:t>
      </w:r>
      <w:r w:rsidRPr="00A05581">
        <w:rPr>
          <w:b/>
          <w:i/>
          <w:szCs w:val="24"/>
        </w:rPr>
        <w:t>Recordkeeping for evaluated hazardous waste pharmaceuticals.</w:t>
      </w:r>
    </w:p>
    <w:p w:rsidR="007A6CBB" w:rsidP="007A6CBB" w:rsidRDefault="007A6CBB" w14:paraId="684B75B9" w14:textId="77777777">
      <w:pPr>
        <w:pStyle w:val="NoSpacing"/>
        <w:ind w:firstLine="360"/>
        <w:rPr>
          <w:szCs w:val="24"/>
        </w:rPr>
      </w:pPr>
    </w:p>
    <w:p w:rsidR="007A6CBB" w:rsidP="00A05581" w:rsidRDefault="007A6CBB" w14:paraId="31F0188B" w14:textId="16ABE7C2">
      <w:pPr>
        <w:pStyle w:val="NoSpacing"/>
        <w:ind w:left="360" w:firstLine="720"/>
        <w:rPr>
          <w:szCs w:val="24"/>
        </w:rPr>
      </w:pPr>
      <w:r>
        <w:rPr>
          <w:szCs w:val="24"/>
        </w:rPr>
        <w:t>(i) A reverse distributor must keep a log (written or electronic) of the inspections of the on-site accumulation area, required by paragraph (c)(2) of this section.  This log must be retained as a record for at least three years from the date of the inspection.</w:t>
      </w:r>
    </w:p>
    <w:p w:rsidR="007A6CBB" w:rsidP="00A05581" w:rsidRDefault="007A6CBB" w14:paraId="62EA5A45" w14:textId="7A997E19">
      <w:pPr>
        <w:spacing w:before="100" w:beforeAutospacing="1" w:after="100" w:afterAutospacing="1"/>
        <w:ind w:left="360" w:firstLine="720"/>
      </w:pPr>
      <w:r>
        <w:t>(ii</w:t>
      </w:r>
      <w:r w:rsidRPr="004B4543">
        <w:t xml:space="preserve">) A </w:t>
      </w:r>
      <w:r>
        <w:t xml:space="preserve">reverse distributor </w:t>
      </w:r>
      <w:r w:rsidRPr="004B4543">
        <w:t xml:space="preserve">must keep a copy of each manifest </w:t>
      </w:r>
      <w:r>
        <w:t xml:space="preserve">signed in accordance with § 262.23(a) </w:t>
      </w:r>
      <w:r w:rsidRPr="004B4543">
        <w:t xml:space="preserve">for three years or until </w:t>
      </w:r>
      <w:r>
        <w:t>it</w:t>
      </w:r>
      <w:r w:rsidRPr="004B4543">
        <w:t xml:space="preserve"> receives a signed copy from the designated facility </w:t>
      </w:r>
      <w:r w:rsidRPr="004B4543">
        <w:lastRenderedPageBreak/>
        <w:t xml:space="preserve">which received the </w:t>
      </w:r>
      <w:r>
        <w:t xml:space="preserve">evaluated hazardous </w:t>
      </w:r>
      <w:r w:rsidRPr="004B4543">
        <w:t>waste</w:t>
      </w:r>
      <w:r>
        <w:t xml:space="preserve"> pharmaceutical</w:t>
      </w:r>
      <w:r w:rsidRPr="004B4543">
        <w:t xml:space="preserve">. This signed copy must be retained as a record for at least three years from the date the </w:t>
      </w:r>
      <w:r>
        <w:t xml:space="preserve">evaluated hazardous </w:t>
      </w:r>
      <w:r w:rsidRPr="004B4543">
        <w:t xml:space="preserve">waste </w:t>
      </w:r>
      <w:r>
        <w:t xml:space="preserve">pharmaceutical </w:t>
      </w:r>
      <w:r w:rsidRPr="004B4543">
        <w:t>was accepted by the initial transporter.</w:t>
      </w:r>
    </w:p>
    <w:p w:rsidR="007A6CBB" w:rsidP="00A05581" w:rsidRDefault="007A6CBB" w14:paraId="5395F7BC" w14:textId="6DD6C1A0">
      <w:pPr>
        <w:spacing w:before="100" w:beforeAutospacing="1" w:after="100" w:afterAutospacing="1"/>
        <w:ind w:left="360" w:firstLine="720"/>
      </w:pPr>
      <w:r>
        <w:t>(iii) A reverse distributor must keep a copy of each biennial r</w:t>
      </w:r>
      <w:r w:rsidRPr="004B4543">
        <w:t xml:space="preserve">eport </w:t>
      </w:r>
      <w:r>
        <w:t>f</w:t>
      </w:r>
      <w:r w:rsidRPr="004B4543">
        <w:t>or at least three years from the due date of the report.</w:t>
      </w:r>
    </w:p>
    <w:p w:rsidRPr="004B4543" w:rsidR="007A6CBB" w:rsidP="00A05581" w:rsidRDefault="007A6CBB" w14:paraId="3B4DCC00" w14:textId="235EF2C4">
      <w:pPr>
        <w:spacing w:before="100" w:beforeAutospacing="1" w:after="100" w:afterAutospacing="1"/>
        <w:ind w:left="360" w:firstLine="720"/>
      </w:pPr>
      <w:r>
        <w:t xml:space="preserve">(iv) A reverse distributor </w:t>
      </w:r>
      <w:r w:rsidRPr="004B4543">
        <w:t xml:space="preserve">must keep a copy of </w:t>
      </w:r>
      <w:r>
        <w:t>each exception r</w:t>
      </w:r>
      <w:r w:rsidRPr="004B4543">
        <w:t xml:space="preserve">eport for at least three years from the </w:t>
      </w:r>
      <w:r>
        <w:t>submission</w:t>
      </w:r>
      <w:r w:rsidRPr="004B4543">
        <w:t xml:space="preserve"> of the report.</w:t>
      </w:r>
    </w:p>
    <w:p w:rsidRPr="004B4543" w:rsidR="007A6CBB" w:rsidP="00A05581" w:rsidRDefault="007A6CBB" w14:paraId="3297FAA3" w14:textId="292B426B">
      <w:pPr>
        <w:spacing w:before="100" w:beforeAutospacing="1" w:after="100" w:afterAutospacing="1"/>
        <w:ind w:left="360" w:firstLine="720"/>
      </w:pPr>
      <w:r>
        <w:t>(v) A reverse distributor must keep records to document personnel train</w:t>
      </w:r>
      <w:r w:rsidR="00684F33">
        <w:t>ing, in accordance with § 262.17(a)(7)(iv)</w:t>
      </w:r>
      <w:r>
        <w:t>.</w:t>
      </w:r>
    </w:p>
    <w:p w:rsidRPr="00E17A70" w:rsidR="007B61E5" w:rsidP="007B61E5" w:rsidRDefault="007B61E5" w14:paraId="0B770281" w14:textId="77777777">
      <w:pPr>
        <w:pStyle w:val="CM25"/>
        <w:tabs>
          <w:tab w:val="left" w:pos="8640"/>
        </w:tabs>
        <w:spacing w:line="283" w:lineRule="atLeast"/>
        <w:ind w:left="720" w:hanging="720"/>
        <w:rPr>
          <w:rFonts w:ascii="Times New Roman" w:hAnsi="Times New Roman"/>
        </w:rPr>
      </w:pPr>
      <w:r w:rsidRPr="00E17A70">
        <w:rPr>
          <w:rFonts w:ascii="Times New Roman" w:hAnsi="Times New Roman"/>
          <w:b/>
          <w:bCs/>
        </w:rPr>
        <w:t>5.</w:t>
      </w:r>
      <w:r w:rsidRPr="00E17A70">
        <w:rPr>
          <w:rFonts w:ascii="Times New Roman" w:hAnsi="Times New Roman"/>
          <w:b/>
          <w:bCs/>
        </w:rPr>
        <w:tab/>
        <w:t xml:space="preserve">THE INFORMATION COLLECTED --AGENCY ACTIVITIES, COLLECTION METHODOLOGY, AND INFORMATION MANAGEMENT </w:t>
      </w:r>
    </w:p>
    <w:p w:rsidRPr="00E17A70" w:rsidR="007B61E5" w:rsidP="007B61E5" w:rsidRDefault="007B61E5" w14:paraId="6FA7C6AF" w14:textId="77777777">
      <w:pPr>
        <w:pStyle w:val="CM25"/>
        <w:spacing w:line="278" w:lineRule="atLeast"/>
        <w:ind w:left="720"/>
        <w:rPr>
          <w:rFonts w:ascii="Times New Roman" w:hAnsi="Times New Roman" w:cs="Times New Roman"/>
        </w:rPr>
      </w:pPr>
      <w:r w:rsidRPr="00E17A70">
        <w:rPr>
          <w:rFonts w:ascii="Times New Roman" w:hAnsi="Times New Roman" w:cs="Times New Roman"/>
          <w:b/>
          <w:bCs/>
        </w:rPr>
        <w:t>5(a)</w:t>
      </w:r>
      <w:r w:rsidRPr="00E17A70">
        <w:rPr>
          <w:rFonts w:ascii="Times New Roman" w:hAnsi="Times New Roman" w:cs="Times New Roman"/>
          <w:b/>
          <w:bCs/>
        </w:rPr>
        <w:tab/>
        <w:t xml:space="preserve">Agency Activities </w:t>
      </w:r>
    </w:p>
    <w:p w:rsidR="007B61E5" w:rsidP="007B61E5" w:rsidRDefault="007B61E5" w14:paraId="127E0DC8" w14:textId="65A49977">
      <w:pPr>
        <w:pStyle w:val="CM25"/>
        <w:spacing w:line="286" w:lineRule="atLeast"/>
        <w:ind w:firstLine="720"/>
        <w:rPr>
          <w:rFonts w:ascii="Times New Roman" w:hAnsi="Times New Roman"/>
        </w:rPr>
      </w:pPr>
      <w:r w:rsidRPr="00E17A70">
        <w:rPr>
          <w:rFonts w:ascii="Times New Roman" w:hAnsi="Times New Roman"/>
        </w:rPr>
        <w:t xml:space="preserve">Most of the information that is required of </w:t>
      </w:r>
      <w:r w:rsidR="00E17244">
        <w:rPr>
          <w:rFonts w:ascii="Times New Roman" w:hAnsi="Times New Roman"/>
        </w:rPr>
        <w:t xml:space="preserve">facilities managing </w:t>
      </w:r>
      <w:r w:rsidR="00BC2D94">
        <w:rPr>
          <w:rFonts w:ascii="Times New Roman" w:hAnsi="Times New Roman"/>
        </w:rPr>
        <w:t>hazardous waste</w:t>
      </w:r>
      <w:r w:rsidRPr="00E17A70">
        <w:rPr>
          <w:rFonts w:ascii="Times New Roman" w:hAnsi="Times New Roman"/>
        </w:rPr>
        <w:t xml:space="preserve"> pharmaceutical</w:t>
      </w:r>
      <w:r w:rsidR="00E17244">
        <w:rPr>
          <w:rFonts w:ascii="Times New Roman" w:hAnsi="Times New Roman"/>
        </w:rPr>
        <w:t>s</w:t>
      </w:r>
      <w:r w:rsidRPr="00E17A70">
        <w:rPr>
          <w:rFonts w:ascii="Times New Roman" w:hAnsi="Times New Roman"/>
        </w:rPr>
        <w:t xml:space="preserve"> would be kept on site and not be submitted to EPA for</w:t>
      </w:r>
      <w:r>
        <w:rPr>
          <w:rFonts w:ascii="Times New Roman" w:hAnsi="Times New Roman"/>
        </w:rPr>
        <w:t xml:space="preserve"> review</w:t>
      </w:r>
      <w:r w:rsidRPr="00E17A70">
        <w:rPr>
          <w:rFonts w:ascii="Times New Roman" w:hAnsi="Times New Roman"/>
        </w:rPr>
        <w:t xml:space="preserve">. </w:t>
      </w:r>
      <w:r w:rsidR="00980C69">
        <w:rPr>
          <w:rFonts w:ascii="Times New Roman" w:hAnsi="Times New Roman"/>
        </w:rPr>
        <w:t>T</w:t>
      </w:r>
      <w:r>
        <w:rPr>
          <w:rFonts w:ascii="Times New Roman" w:hAnsi="Times New Roman"/>
        </w:rPr>
        <w:t xml:space="preserve">he </w:t>
      </w:r>
      <w:r w:rsidR="00980C69">
        <w:rPr>
          <w:rFonts w:ascii="Times New Roman" w:hAnsi="Times New Roman"/>
        </w:rPr>
        <w:t>Agency will collect a limited amount of information from healthcare facilities and reverse distributors in states that are not authorized to operate their RCRA Subtitle C hazardous waste program</w:t>
      </w:r>
      <w:r w:rsidR="00E17244">
        <w:rPr>
          <w:rFonts w:ascii="Times New Roman" w:hAnsi="Times New Roman"/>
        </w:rPr>
        <w:t>.</w:t>
      </w:r>
      <w:r w:rsidR="00980C69">
        <w:rPr>
          <w:rFonts w:ascii="Times New Roman" w:hAnsi="Times New Roman"/>
        </w:rPr>
        <w:t xml:space="preserve"> In general, however, most authorized state programs will collect information in lieu of EPA.</w:t>
      </w:r>
      <w:r>
        <w:rPr>
          <w:rFonts w:ascii="Times New Roman" w:hAnsi="Times New Roman"/>
        </w:rPr>
        <w:t xml:space="preserve"> </w:t>
      </w:r>
      <w:r w:rsidR="00980C69">
        <w:rPr>
          <w:rFonts w:ascii="Times New Roman" w:hAnsi="Times New Roman"/>
        </w:rPr>
        <w:t xml:space="preserve">In states that are not authorized to operate their RCRA Subtitle C hazardous waste program, EPA will collect information related to notification, Biennial Reporting, and exception reporting. EPA will receive notifications from healthcare facilities and reverse distributors when they begin operating under subpart P. </w:t>
      </w:r>
      <w:r>
        <w:rPr>
          <w:rFonts w:ascii="Times New Roman" w:hAnsi="Times New Roman"/>
        </w:rPr>
        <w:t xml:space="preserve">However, as stated earlier, it is assumed that </w:t>
      </w:r>
      <w:r w:rsidR="000B6590">
        <w:rPr>
          <w:rFonts w:ascii="Times New Roman" w:hAnsi="Times New Roman"/>
        </w:rPr>
        <w:t>LQGs and SQGs</w:t>
      </w:r>
      <w:r w:rsidRPr="00E17A70">
        <w:rPr>
          <w:rFonts w:ascii="Times New Roman" w:hAnsi="Times New Roman"/>
        </w:rPr>
        <w:t xml:space="preserve"> have </w:t>
      </w:r>
      <w:r>
        <w:rPr>
          <w:rFonts w:ascii="Times New Roman" w:hAnsi="Times New Roman"/>
        </w:rPr>
        <w:t>previously</w:t>
      </w:r>
      <w:r w:rsidRPr="00E17A70">
        <w:rPr>
          <w:rFonts w:ascii="Times New Roman" w:hAnsi="Times New Roman"/>
        </w:rPr>
        <w:t xml:space="preserve"> notified EPA of their hazardous waste management activities under RCRA and have received an EPA Identification number</w:t>
      </w:r>
      <w:r w:rsidR="00980C69">
        <w:rPr>
          <w:rFonts w:ascii="Times New Roman" w:hAnsi="Times New Roman"/>
        </w:rPr>
        <w:t xml:space="preserve">. </w:t>
      </w:r>
      <w:r w:rsidR="002B15AC">
        <w:rPr>
          <w:rFonts w:ascii="Times New Roman" w:hAnsi="Times New Roman"/>
        </w:rPr>
        <w:t>Nevertheless</w:t>
      </w:r>
      <w:r>
        <w:rPr>
          <w:rFonts w:ascii="Times New Roman" w:hAnsi="Times New Roman"/>
        </w:rPr>
        <w:t xml:space="preserve">, they </w:t>
      </w:r>
      <w:r w:rsidR="00980C69">
        <w:rPr>
          <w:rFonts w:ascii="Times New Roman" w:hAnsi="Times New Roman"/>
        </w:rPr>
        <w:t>will</w:t>
      </w:r>
      <w:r>
        <w:rPr>
          <w:rFonts w:ascii="Times New Roman" w:hAnsi="Times New Roman"/>
        </w:rPr>
        <w:t xml:space="preserve"> be </w:t>
      </w:r>
      <w:r w:rsidR="00980C69">
        <w:rPr>
          <w:rFonts w:ascii="Times New Roman" w:hAnsi="Times New Roman"/>
        </w:rPr>
        <w:t>required to notify</w:t>
      </w:r>
      <w:r>
        <w:rPr>
          <w:rFonts w:ascii="Times New Roman" w:hAnsi="Times New Roman"/>
        </w:rPr>
        <w:t xml:space="preserve"> the Agency </w:t>
      </w:r>
      <w:r w:rsidR="002B15AC">
        <w:rPr>
          <w:rFonts w:ascii="Times New Roman" w:hAnsi="Times New Roman"/>
        </w:rPr>
        <w:t xml:space="preserve">to indicate that they are operating under this new part 266 subpart </w:t>
      </w:r>
      <w:r w:rsidR="00980C69">
        <w:rPr>
          <w:rFonts w:ascii="Times New Roman" w:hAnsi="Times New Roman"/>
        </w:rPr>
        <w:t>P.</w:t>
      </w:r>
      <w:r w:rsidR="00632A0D">
        <w:rPr>
          <w:rFonts w:ascii="Times New Roman" w:hAnsi="Times New Roman"/>
        </w:rPr>
        <w:t xml:space="preserve"> This should not </w:t>
      </w:r>
      <w:r w:rsidR="00A11284">
        <w:rPr>
          <w:rFonts w:ascii="Times New Roman" w:hAnsi="Times New Roman"/>
        </w:rPr>
        <w:t xml:space="preserve">cause a significant increase in burden to </w:t>
      </w:r>
      <w:r>
        <w:rPr>
          <w:rFonts w:ascii="Times New Roman" w:hAnsi="Times New Roman"/>
        </w:rPr>
        <w:t>the Agency</w:t>
      </w:r>
      <w:r w:rsidR="00A11284">
        <w:rPr>
          <w:rFonts w:ascii="Times New Roman" w:hAnsi="Times New Roman"/>
        </w:rPr>
        <w:t xml:space="preserve"> compared to existing burden</w:t>
      </w:r>
      <w:r w:rsidR="00980C69">
        <w:rPr>
          <w:rFonts w:ascii="Times New Roman" w:hAnsi="Times New Roman"/>
        </w:rPr>
        <w:t>. EPA will also receive exception reports from healthcare facilities and reverse distributors when they do not receive a copy of the manifest with the signature of the owner or operating of the designated facility. EPA will also receive biennial reports from healthcare facilities and reverse distributors. However, these facilities are already estimated to be preparing biennial reports in the baseline, and thus it should not cause an increase in burden to the Agency.</w:t>
      </w:r>
    </w:p>
    <w:p w:rsidR="00A047FC" w:rsidP="00A047FC" w:rsidRDefault="00A047FC" w14:paraId="08E35BD8" w14:textId="77777777">
      <w:pPr>
        <w:pStyle w:val="Default"/>
      </w:pPr>
    </w:p>
    <w:p w:rsidR="00A047FC" w:rsidP="00A047FC" w:rsidRDefault="00A047FC" w14:paraId="15472B10" w14:textId="77777777">
      <w:pPr>
        <w:pStyle w:val="Default"/>
        <w:rPr>
          <w:b/>
        </w:rPr>
      </w:pPr>
      <w:r>
        <w:tab/>
      </w:r>
      <w:r>
        <w:rPr>
          <w:b/>
        </w:rPr>
        <w:t>5(b)</w:t>
      </w:r>
      <w:r>
        <w:rPr>
          <w:b/>
        </w:rPr>
        <w:tab/>
        <w:t>Collection Methodology and Management</w:t>
      </w:r>
    </w:p>
    <w:p w:rsidR="000F545A" w:rsidP="00A047FC" w:rsidRDefault="000F545A" w14:paraId="664BC420" w14:textId="77777777">
      <w:pPr>
        <w:pStyle w:val="Default"/>
        <w:rPr>
          <w:b/>
        </w:rPr>
      </w:pPr>
    </w:p>
    <w:p w:rsidR="002E2573" w:rsidP="00A047FC" w:rsidRDefault="000F545A" w14:paraId="03AFEC20" w14:textId="1DC4D339">
      <w:pPr>
        <w:pStyle w:val="Default"/>
      </w:pPr>
      <w:r>
        <w:rPr>
          <w:b/>
        </w:rPr>
        <w:tab/>
      </w:r>
      <w:r w:rsidR="00A1011A">
        <w:t xml:space="preserve">The information collected will be managed in a similar manner to previous </w:t>
      </w:r>
      <w:r w:rsidR="00980C69">
        <w:t xml:space="preserve">notifications and exception reporting received by EPA. </w:t>
      </w:r>
      <w:r w:rsidR="00A1011A">
        <w:t>EPA will use equipment such as personal computers and applicable database software.</w:t>
      </w:r>
      <w:r w:rsidR="00A047FC">
        <w:tab/>
      </w:r>
    </w:p>
    <w:p w:rsidR="00B96EBD" w:rsidP="002E2573" w:rsidRDefault="00B96EBD" w14:paraId="0F023BB4" w14:textId="77777777">
      <w:pPr>
        <w:pStyle w:val="Default"/>
        <w:ind w:firstLine="720"/>
      </w:pPr>
    </w:p>
    <w:p w:rsidR="007B61E5" w:rsidP="002E2573" w:rsidRDefault="007B61E5" w14:paraId="63B92515" w14:textId="77777777">
      <w:pPr>
        <w:pStyle w:val="Default"/>
        <w:ind w:firstLine="720"/>
        <w:rPr>
          <w:rFonts w:ascii="Times New Roman" w:hAnsi="Times New Roman" w:cs="Times New Roman"/>
          <w:b/>
          <w:bCs/>
        </w:rPr>
      </w:pPr>
      <w:r w:rsidRPr="00E17A70">
        <w:rPr>
          <w:rFonts w:ascii="Times New Roman" w:hAnsi="Times New Roman" w:cs="Times New Roman"/>
          <w:b/>
          <w:bCs/>
        </w:rPr>
        <w:t>5(</w:t>
      </w:r>
      <w:r w:rsidR="00A047FC">
        <w:rPr>
          <w:rFonts w:ascii="Times New Roman" w:hAnsi="Times New Roman" w:cs="Times New Roman"/>
          <w:b/>
          <w:bCs/>
        </w:rPr>
        <w:t>c</w:t>
      </w:r>
      <w:r w:rsidR="002E2573">
        <w:rPr>
          <w:rFonts w:ascii="Times New Roman" w:hAnsi="Times New Roman" w:cs="Times New Roman"/>
          <w:b/>
          <w:bCs/>
        </w:rPr>
        <w:t>)</w:t>
      </w:r>
      <w:r w:rsidR="002E2573">
        <w:rPr>
          <w:rFonts w:ascii="Times New Roman" w:hAnsi="Times New Roman" w:cs="Times New Roman"/>
          <w:b/>
          <w:bCs/>
        </w:rPr>
        <w:tab/>
      </w:r>
      <w:r w:rsidRPr="00E17A70">
        <w:rPr>
          <w:rFonts w:ascii="Times New Roman" w:hAnsi="Times New Roman" w:cs="Times New Roman"/>
          <w:b/>
          <w:bCs/>
        </w:rPr>
        <w:t xml:space="preserve">Small Entity Flexibility </w:t>
      </w:r>
    </w:p>
    <w:p w:rsidRPr="00E17A70" w:rsidR="002E2573" w:rsidP="002E2573" w:rsidRDefault="002E2573" w14:paraId="50D0756A" w14:textId="77777777">
      <w:pPr>
        <w:pStyle w:val="Default"/>
        <w:ind w:firstLine="720"/>
        <w:rPr>
          <w:rFonts w:ascii="Times New Roman" w:hAnsi="Times New Roman" w:cs="Times New Roman"/>
        </w:rPr>
      </w:pPr>
    </w:p>
    <w:p w:rsidR="007B61E5" w:rsidP="00A1011A" w:rsidRDefault="00F015AD" w14:paraId="683534BA" w14:textId="4CF7A2A0">
      <w:pPr>
        <w:pStyle w:val="CM25"/>
        <w:spacing w:after="240" w:line="280" w:lineRule="atLeast"/>
        <w:ind w:firstLine="720"/>
        <w:rPr>
          <w:rFonts w:ascii="Times New Roman" w:hAnsi="Times New Roman"/>
        </w:rPr>
      </w:pPr>
      <w:r>
        <w:rPr>
          <w:rFonts w:ascii="Times New Roman" w:hAnsi="Times New Roman"/>
        </w:rPr>
        <w:t>H</w:t>
      </w:r>
      <w:r w:rsidR="00481D79">
        <w:rPr>
          <w:rFonts w:ascii="Times New Roman" w:hAnsi="Times New Roman"/>
        </w:rPr>
        <w:t>ealthcare facilities, including healthcare facilities currently operating as small quantity generators (SQGs)</w:t>
      </w:r>
      <w:r w:rsidR="00166689">
        <w:rPr>
          <w:rFonts w:ascii="Times New Roman" w:hAnsi="Times New Roman"/>
        </w:rPr>
        <w:t xml:space="preserve"> benefit due to greater flexibility in how they </w:t>
      </w:r>
      <w:r w:rsidR="00CF6151">
        <w:rPr>
          <w:rFonts w:ascii="Times New Roman" w:hAnsi="Times New Roman"/>
        </w:rPr>
        <w:t>manage</w:t>
      </w:r>
      <w:r w:rsidR="00166689">
        <w:rPr>
          <w:rFonts w:ascii="Times New Roman" w:hAnsi="Times New Roman"/>
        </w:rPr>
        <w:t xml:space="preserve"> </w:t>
      </w:r>
      <w:r w:rsidR="00CF6151">
        <w:rPr>
          <w:rFonts w:ascii="Times New Roman" w:hAnsi="Times New Roman"/>
        </w:rPr>
        <w:t xml:space="preserve">their </w:t>
      </w:r>
      <w:r w:rsidR="00166689">
        <w:rPr>
          <w:rFonts w:ascii="Times New Roman" w:hAnsi="Times New Roman"/>
        </w:rPr>
        <w:t>hazardous waste</w:t>
      </w:r>
      <w:r w:rsidR="00CF6151">
        <w:rPr>
          <w:rFonts w:ascii="Times New Roman" w:hAnsi="Times New Roman"/>
        </w:rPr>
        <w:t>.</w:t>
      </w:r>
      <w:r w:rsidR="00166689">
        <w:rPr>
          <w:rFonts w:ascii="Times New Roman" w:hAnsi="Times New Roman"/>
        </w:rPr>
        <w:t xml:space="preserve"> </w:t>
      </w:r>
      <w:r w:rsidR="00CF6151">
        <w:rPr>
          <w:rFonts w:ascii="Times New Roman" w:hAnsi="Times New Roman"/>
        </w:rPr>
        <w:t>H</w:t>
      </w:r>
      <w:r w:rsidR="00166689">
        <w:rPr>
          <w:rFonts w:ascii="Times New Roman" w:hAnsi="Times New Roman"/>
        </w:rPr>
        <w:t>azardous waste pharmaceuticals will no longer be counted</w:t>
      </w:r>
      <w:r w:rsidR="003433F9">
        <w:rPr>
          <w:rFonts w:ascii="Times New Roman" w:hAnsi="Times New Roman"/>
        </w:rPr>
        <w:t xml:space="preserve"> against a facility’s </w:t>
      </w:r>
      <w:r w:rsidR="00A11284">
        <w:rPr>
          <w:rFonts w:ascii="Times New Roman" w:hAnsi="Times New Roman"/>
        </w:rPr>
        <w:t xml:space="preserve">hazardous waste </w:t>
      </w:r>
      <w:r w:rsidR="003433F9">
        <w:rPr>
          <w:rFonts w:ascii="Times New Roman" w:hAnsi="Times New Roman"/>
        </w:rPr>
        <w:t xml:space="preserve">generator </w:t>
      </w:r>
      <w:r w:rsidR="00B96EBD">
        <w:rPr>
          <w:rFonts w:ascii="Times New Roman" w:hAnsi="Times New Roman"/>
        </w:rPr>
        <w:t>status</w:t>
      </w:r>
      <w:r w:rsidR="00A11284">
        <w:rPr>
          <w:rFonts w:ascii="Times New Roman" w:hAnsi="Times New Roman"/>
        </w:rPr>
        <w:t>.</w:t>
      </w:r>
      <w:r w:rsidR="00166689">
        <w:rPr>
          <w:rFonts w:ascii="Times New Roman" w:hAnsi="Times New Roman"/>
        </w:rPr>
        <w:t xml:space="preserve"> </w:t>
      </w:r>
      <w:r w:rsidRPr="00E17A70" w:rsidR="007B61E5">
        <w:rPr>
          <w:rFonts w:ascii="Times New Roman" w:hAnsi="Times New Roman"/>
        </w:rPr>
        <w:t xml:space="preserve">In addition, EPA allows </w:t>
      </w:r>
      <w:r>
        <w:rPr>
          <w:rFonts w:ascii="Times New Roman" w:hAnsi="Times New Roman"/>
        </w:rPr>
        <w:t xml:space="preserve">flexibility for </w:t>
      </w:r>
      <w:r w:rsidR="004B4B43">
        <w:rPr>
          <w:rFonts w:ascii="Times New Roman" w:hAnsi="Times New Roman"/>
        </w:rPr>
        <w:t>very</w:t>
      </w:r>
      <w:r w:rsidRPr="00E17A70" w:rsidR="007B61E5">
        <w:rPr>
          <w:rFonts w:ascii="Times New Roman" w:hAnsi="Times New Roman"/>
        </w:rPr>
        <w:t xml:space="preserve"> small quantity generators (</w:t>
      </w:r>
      <w:r w:rsidR="001812E1">
        <w:rPr>
          <w:rFonts w:ascii="Times New Roman" w:hAnsi="Times New Roman"/>
        </w:rPr>
        <w:t>VSQG</w:t>
      </w:r>
      <w:r w:rsidRPr="00E17A70" w:rsidR="007B61E5">
        <w:rPr>
          <w:rFonts w:ascii="Times New Roman" w:hAnsi="Times New Roman"/>
        </w:rPr>
        <w:t xml:space="preserve">s) </w:t>
      </w:r>
      <w:r>
        <w:rPr>
          <w:rFonts w:ascii="Times New Roman" w:hAnsi="Times New Roman"/>
        </w:rPr>
        <w:t>in managing</w:t>
      </w:r>
      <w:r w:rsidRPr="00E17A70" w:rsidR="007B61E5">
        <w:rPr>
          <w:rFonts w:ascii="Times New Roman" w:hAnsi="Times New Roman"/>
        </w:rPr>
        <w:t xml:space="preserve"> their hazardous </w:t>
      </w:r>
      <w:r w:rsidR="008357AF">
        <w:rPr>
          <w:rFonts w:ascii="Times New Roman" w:hAnsi="Times New Roman"/>
        </w:rPr>
        <w:t xml:space="preserve">waste </w:t>
      </w:r>
      <w:r w:rsidRPr="00E17A70" w:rsidR="007B61E5">
        <w:rPr>
          <w:rFonts w:ascii="Times New Roman" w:hAnsi="Times New Roman"/>
        </w:rPr>
        <w:t>pharmaceutical</w:t>
      </w:r>
      <w:r>
        <w:rPr>
          <w:rFonts w:ascii="Times New Roman" w:hAnsi="Times New Roman"/>
        </w:rPr>
        <w:t>s</w:t>
      </w:r>
      <w:r w:rsidRPr="00E17A70" w:rsidR="007B61E5">
        <w:rPr>
          <w:rFonts w:ascii="Times New Roman" w:hAnsi="Times New Roman"/>
        </w:rPr>
        <w:t xml:space="preserve">. </w:t>
      </w:r>
    </w:p>
    <w:p w:rsidR="00A047FC" w:rsidP="00A047FC" w:rsidRDefault="00A047FC" w14:paraId="5C34BFE0" w14:textId="77777777">
      <w:pPr>
        <w:pStyle w:val="Default"/>
        <w:rPr>
          <w:b/>
        </w:rPr>
      </w:pPr>
      <w:r>
        <w:tab/>
      </w:r>
      <w:r>
        <w:rPr>
          <w:b/>
        </w:rPr>
        <w:t>5(d)</w:t>
      </w:r>
      <w:r>
        <w:rPr>
          <w:b/>
        </w:rPr>
        <w:tab/>
        <w:t>Collection Schedule</w:t>
      </w:r>
    </w:p>
    <w:p w:rsidR="00A047FC" w:rsidP="00A047FC" w:rsidRDefault="00A047FC" w14:paraId="6EB1DB53" w14:textId="77777777">
      <w:pPr>
        <w:pStyle w:val="Default"/>
        <w:rPr>
          <w:b/>
        </w:rPr>
      </w:pPr>
    </w:p>
    <w:p w:rsidRPr="0083526F" w:rsidR="00A047FC" w:rsidP="00A047FC" w:rsidRDefault="00A047FC" w14:paraId="3837EF05" w14:textId="447FD049">
      <w:pPr>
        <w:pStyle w:val="Default"/>
      </w:pPr>
      <w:r>
        <w:rPr>
          <w:b/>
        </w:rPr>
        <w:tab/>
      </w:r>
      <w:r w:rsidR="0083526F">
        <w:t>As stated in 5(a) above, most of the information that is required of facilities managing hazardous waste pharmaceuticals would be kept on site and not be submitted to EPA for review.  Facilitie</w:t>
      </w:r>
      <w:r w:rsidR="00980C69">
        <w:t>s will be required to submit</w:t>
      </w:r>
      <w:r w:rsidR="0083526F">
        <w:t xml:space="preserve"> </w:t>
      </w:r>
      <w:r w:rsidR="00F36A38">
        <w:t xml:space="preserve">a </w:t>
      </w:r>
      <w:r w:rsidR="0083526F">
        <w:t>notification to EPA in order to indicate</w:t>
      </w:r>
      <w:r w:rsidR="00F36A38">
        <w:t xml:space="preserve"> that they are operating und</w:t>
      </w:r>
      <w:r w:rsidR="00980C69">
        <w:t xml:space="preserve">er the new part 266 subpart P. </w:t>
      </w:r>
      <w:r w:rsidR="00F36A38">
        <w:t>A notification must be submitted within 60 days of when a facil</w:t>
      </w:r>
      <w:r w:rsidR="00980C69">
        <w:t>ity becomes subject to the rule.</w:t>
      </w:r>
    </w:p>
    <w:p w:rsidRPr="003433F9" w:rsidR="003433F9" w:rsidP="003433F9" w:rsidRDefault="003433F9" w14:paraId="54D973FF" w14:textId="77777777">
      <w:pPr>
        <w:pStyle w:val="Default"/>
      </w:pPr>
    </w:p>
    <w:p w:rsidRPr="00E17A70" w:rsidR="007B61E5" w:rsidP="007B61E5" w:rsidRDefault="007B61E5" w14:paraId="3543EE08" w14:textId="77777777">
      <w:pPr>
        <w:pStyle w:val="CM25"/>
        <w:tabs>
          <w:tab w:val="left" w:pos="8640"/>
        </w:tabs>
        <w:spacing w:line="283" w:lineRule="atLeast"/>
        <w:ind w:left="720" w:hanging="720"/>
        <w:rPr>
          <w:rFonts w:ascii="Times New Roman" w:hAnsi="Times New Roman" w:cs="Times New Roman"/>
          <w:szCs w:val="28"/>
        </w:rPr>
      </w:pPr>
      <w:r w:rsidRPr="00E17A70">
        <w:rPr>
          <w:rFonts w:ascii="Times New Roman" w:hAnsi="Times New Roman"/>
          <w:b/>
          <w:bCs/>
        </w:rPr>
        <w:t>6.</w:t>
      </w:r>
      <w:r w:rsidRPr="00E17A70">
        <w:rPr>
          <w:rFonts w:ascii="Times New Roman" w:hAnsi="Times New Roman"/>
          <w:b/>
          <w:bCs/>
        </w:rPr>
        <w:tab/>
      </w:r>
      <w:r w:rsidRPr="00E17A70">
        <w:rPr>
          <w:rFonts w:ascii="Times New Roman" w:hAnsi="Times New Roman" w:cs="Times New Roman"/>
          <w:b/>
          <w:bCs/>
          <w:szCs w:val="28"/>
        </w:rPr>
        <w:t xml:space="preserve">ESTIMATING THE HOUR AND COST BURDEN OF THE COLLECTION  </w:t>
      </w:r>
    </w:p>
    <w:p w:rsidRPr="00E17A70" w:rsidR="007B61E5" w:rsidP="007B61E5" w:rsidRDefault="007B61E5" w14:paraId="0A0F6E12" w14:textId="77777777">
      <w:pPr>
        <w:ind w:firstLine="720"/>
        <w:jc w:val="both"/>
      </w:pPr>
      <w:r w:rsidRPr="00E17A70">
        <w:rPr>
          <w:b/>
        </w:rPr>
        <w:t>6(a)</w:t>
      </w:r>
      <w:r w:rsidRPr="00E17A70">
        <w:rPr>
          <w:b/>
        </w:rPr>
        <w:tab/>
        <w:t>Estimating Respondent Burden</w:t>
      </w:r>
      <w:r w:rsidR="008C4F7B">
        <w:rPr>
          <w:b/>
        </w:rPr>
        <w:t xml:space="preserve"> </w:t>
      </w:r>
    </w:p>
    <w:p w:rsidRPr="00E17A70" w:rsidR="007B61E5" w:rsidP="007B61E5" w:rsidRDefault="007B61E5" w14:paraId="0CFE4EC2" w14:textId="77777777">
      <w:pPr>
        <w:jc w:val="both"/>
        <w:rPr>
          <w:szCs w:val="28"/>
        </w:rPr>
      </w:pPr>
    </w:p>
    <w:p w:rsidR="001E5A12" w:rsidP="007B61E5" w:rsidRDefault="007B61E5" w14:paraId="13200E05" w14:textId="135DD0FC">
      <w:r w:rsidRPr="00E17A70">
        <w:rPr>
          <w:szCs w:val="28"/>
        </w:rPr>
        <w:tab/>
      </w:r>
      <w:r w:rsidRPr="00693370">
        <w:t xml:space="preserve">In </w:t>
      </w:r>
      <w:r w:rsidRPr="00693370" w:rsidR="008357AF">
        <w:t>E</w:t>
      </w:r>
      <w:r w:rsidRPr="00693370">
        <w:t>xhibit</w:t>
      </w:r>
      <w:r w:rsidRPr="00693370" w:rsidR="007E5011">
        <w:t xml:space="preserve"> 1, </w:t>
      </w:r>
      <w:r w:rsidRPr="00693370">
        <w:t xml:space="preserve">EPA </w:t>
      </w:r>
      <w:r w:rsidRPr="00693370" w:rsidR="00FD2F05">
        <w:t xml:space="preserve">presents </w:t>
      </w:r>
      <w:r w:rsidRPr="00693370" w:rsidR="007E5011">
        <w:t xml:space="preserve">the estimates of </w:t>
      </w:r>
      <w:r w:rsidRPr="00693370" w:rsidR="00FD2F05">
        <w:t xml:space="preserve">the </w:t>
      </w:r>
      <w:r w:rsidRPr="00693370" w:rsidR="007E5011">
        <w:t>annual respondent</w:t>
      </w:r>
      <w:r w:rsidRPr="00693370" w:rsidR="008C4F7B">
        <w:t xml:space="preserve"> </w:t>
      </w:r>
      <w:r w:rsidRPr="00693370">
        <w:t xml:space="preserve">burden associated with the </w:t>
      </w:r>
      <w:r w:rsidRPr="00693370" w:rsidR="008C4F7B">
        <w:t>information collection</w:t>
      </w:r>
      <w:r w:rsidRPr="00693370">
        <w:t xml:space="preserve"> requirements</w:t>
      </w:r>
      <w:r w:rsidR="001316B3">
        <w:t xml:space="preserve"> in this ICR</w:t>
      </w:r>
      <w:r w:rsidRPr="00693370" w:rsidR="0006075E">
        <w:t xml:space="preserve">. </w:t>
      </w:r>
      <w:r w:rsidRPr="00693370" w:rsidR="007E5011">
        <w:t>As shown in the e</w:t>
      </w:r>
      <w:r w:rsidRPr="00693370">
        <w:t>xhibit</w:t>
      </w:r>
      <w:r w:rsidRPr="00693370" w:rsidR="007E5011">
        <w:t xml:space="preserve">, EPA estimates that the total </w:t>
      </w:r>
      <w:r w:rsidRPr="00693370" w:rsidR="001C15EB">
        <w:t xml:space="preserve">annual respondent burden for the paperwork requirements in the rule </w:t>
      </w:r>
      <w:r w:rsidRPr="00693370" w:rsidR="001E5A12">
        <w:t>is</w:t>
      </w:r>
      <w:r w:rsidRPr="00693370" w:rsidR="001C15EB">
        <w:t xml:space="preserve"> </w:t>
      </w:r>
      <w:r w:rsidR="00F612B8">
        <w:t>39,469</w:t>
      </w:r>
      <w:r w:rsidR="000E041B">
        <w:t xml:space="preserve"> </w:t>
      </w:r>
      <w:r w:rsidRPr="00693370" w:rsidR="001C15EB">
        <w:t>hours</w:t>
      </w:r>
      <w:r w:rsidR="000E041B">
        <w:t>.</w:t>
      </w:r>
      <w:r w:rsidRPr="00693370" w:rsidR="00EA0B55">
        <w:t xml:space="preserve"> </w:t>
      </w:r>
    </w:p>
    <w:p w:rsidRPr="00E17A70" w:rsidR="007B61E5" w:rsidP="007B61E5" w:rsidRDefault="001C15EB" w14:paraId="4FC6895E" w14:textId="77777777">
      <w:r>
        <w:t xml:space="preserve"> </w:t>
      </w:r>
      <w:r w:rsidR="007E5011">
        <w:t xml:space="preserve"> </w:t>
      </w:r>
      <w:r w:rsidR="00FD2F05">
        <w:t xml:space="preserve">  </w:t>
      </w:r>
    </w:p>
    <w:p w:rsidR="007B61E5" w:rsidP="007B61E5" w:rsidRDefault="007B61E5" w14:paraId="0E90B3CB" w14:textId="77777777">
      <w:pPr>
        <w:rPr>
          <w:b/>
        </w:rPr>
      </w:pPr>
      <w:r w:rsidRPr="00E17A70">
        <w:t xml:space="preserve"> </w:t>
      </w:r>
      <w:r w:rsidRPr="00E17A70">
        <w:tab/>
      </w:r>
      <w:r w:rsidRPr="00E17A70">
        <w:rPr>
          <w:b/>
        </w:rPr>
        <w:t>6(b)</w:t>
      </w:r>
      <w:r w:rsidRPr="00E17A70">
        <w:rPr>
          <w:b/>
        </w:rPr>
        <w:tab/>
        <w:t>Estimating Respondent Costs</w:t>
      </w:r>
    </w:p>
    <w:p w:rsidR="007B61E5" w:rsidP="007B61E5" w:rsidRDefault="007B61E5" w14:paraId="604E21A6" w14:textId="77777777"/>
    <w:p w:rsidR="007B61E5" w:rsidP="007B61E5" w:rsidRDefault="00693370" w14:paraId="306DD245" w14:textId="2B7C2D22">
      <w:pPr>
        <w:ind w:firstLine="720"/>
      </w:pPr>
      <w:r w:rsidRPr="00693370">
        <w:t>In Exhibit 1</w:t>
      </w:r>
      <w:r w:rsidRPr="00693370" w:rsidR="00FD207E">
        <w:t xml:space="preserve">, </w:t>
      </w:r>
      <w:r w:rsidRPr="00693370" w:rsidR="007B61E5">
        <w:t xml:space="preserve">EPA also </w:t>
      </w:r>
      <w:r w:rsidRPr="00693370" w:rsidR="001E5A12">
        <w:t>presents estimates of</w:t>
      </w:r>
      <w:r w:rsidRPr="00693370" w:rsidR="007B61E5">
        <w:t xml:space="preserve"> the total annual respondent </w:t>
      </w:r>
      <w:r w:rsidR="000E041B">
        <w:t xml:space="preserve">costs. </w:t>
      </w:r>
      <w:r w:rsidRPr="00693370" w:rsidR="00092790">
        <w:t xml:space="preserve">EPA expects </w:t>
      </w:r>
      <w:r w:rsidRPr="00693370">
        <w:t>a</w:t>
      </w:r>
      <w:r w:rsidRPr="00693370" w:rsidR="00092790">
        <w:t xml:space="preserve"> total annual respondent </w:t>
      </w:r>
      <w:r w:rsidRPr="00693370">
        <w:t>cost of</w:t>
      </w:r>
      <w:r w:rsidRPr="00693370" w:rsidR="00092790">
        <w:t xml:space="preserve"> </w:t>
      </w:r>
      <w:r w:rsidRPr="00693370">
        <w:t>$</w:t>
      </w:r>
      <w:r w:rsidR="000E041B">
        <w:t>3,</w:t>
      </w:r>
      <w:r w:rsidR="00F612B8">
        <w:t>528,423</w:t>
      </w:r>
      <w:r w:rsidRPr="00693370" w:rsidR="00092790">
        <w:t>.</w:t>
      </w:r>
      <w:r w:rsidRPr="00693370" w:rsidR="007B61E5">
        <w:t xml:space="preserve"> This includes annual labor, capital, and operation and maintenance (O&amp;M) costs</w:t>
      </w:r>
      <w:r w:rsidR="000E041B">
        <w:t>.</w:t>
      </w:r>
      <w:r w:rsidRPr="00693370" w:rsidR="0006075E">
        <w:t xml:space="preserve"> </w:t>
      </w:r>
      <w:r w:rsidRPr="00693370" w:rsidR="007B61E5">
        <w:t>Specific data and/or assumptions used in developing these costs are described below.</w:t>
      </w:r>
    </w:p>
    <w:p w:rsidRPr="00E17A70" w:rsidR="007B61E5" w:rsidP="007B61E5" w:rsidRDefault="007B61E5" w14:paraId="0028694D" w14:textId="77777777">
      <w:pPr>
        <w:rPr>
          <w:b/>
          <w:bCs/>
          <w:szCs w:val="28"/>
        </w:rPr>
      </w:pPr>
    </w:p>
    <w:p w:rsidRPr="00E17A70" w:rsidR="007B61E5" w:rsidP="007B61E5" w:rsidRDefault="007B61E5" w14:paraId="295C6659" w14:textId="77777777">
      <w:pPr>
        <w:ind w:firstLine="720"/>
      </w:pPr>
      <w:r w:rsidRPr="00E17A70">
        <w:rPr>
          <w:b/>
          <w:bCs/>
        </w:rPr>
        <w:t xml:space="preserve">Labor Costs </w:t>
      </w:r>
    </w:p>
    <w:p w:rsidRPr="00E17A70" w:rsidR="007B61E5" w:rsidP="007B61E5" w:rsidRDefault="007B61E5" w14:paraId="58CF20B9" w14:textId="77777777">
      <w:pPr>
        <w:rPr>
          <w:szCs w:val="28"/>
        </w:rPr>
      </w:pPr>
    </w:p>
    <w:p w:rsidRPr="00AF6593" w:rsidR="00F015AD" w:rsidP="00F015AD" w:rsidRDefault="00F015AD" w14:paraId="38F58456" w14:textId="77777777">
      <w:pPr>
        <w:pStyle w:val="BodyTextDSW"/>
        <w:keepNext/>
        <w:ind w:firstLine="0"/>
        <w:jc w:val="center"/>
        <w:rPr>
          <w:b/>
          <w:bCs/>
        </w:rPr>
      </w:pPr>
      <w:r>
        <w:rPr>
          <w:b/>
          <w:bCs/>
        </w:rPr>
        <w:t xml:space="preserve">Derivation of </w:t>
      </w:r>
      <w:r w:rsidRPr="00AF6593">
        <w:rPr>
          <w:b/>
          <w:bCs/>
        </w:rPr>
        <w:t xml:space="preserve">Respondent </w:t>
      </w:r>
      <w:r>
        <w:rPr>
          <w:b/>
          <w:bCs/>
        </w:rPr>
        <w:t xml:space="preserve">Hourly </w:t>
      </w:r>
      <w:r w:rsidRPr="00AF6593">
        <w:rPr>
          <w:b/>
          <w:bCs/>
        </w:rPr>
        <w:t>Labor</w:t>
      </w:r>
      <w:r>
        <w:rPr>
          <w:b/>
          <w:bCs/>
        </w:rPr>
        <w:t xml:space="preserve"> Wage Rates Used in this ICR</w:t>
      </w:r>
    </w:p>
    <w:tbl>
      <w:tblPr>
        <w:tblW w:w="5971" w:type="pct"/>
        <w:jc w:val="center"/>
        <w:tblCellMar>
          <w:left w:w="0" w:type="dxa"/>
          <w:right w:w="0" w:type="dxa"/>
        </w:tblCellMar>
        <w:tblLook w:val="0000" w:firstRow="0" w:lastRow="0" w:firstColumn="0" w:lastColumn="0" w:noHBand="0" w:noVBand="0"/>
      </w:tblPr>
      <w:tblGrid>
        <w:gridCol w:w="1315"/>
        <w:gridCol w:w="1672"/>
        <w:gridCol w:w="1860"/>
        <w:gridCol w:w="1464"/>
        <w:gridCol w:w="1739"/>
        <w:gridCol w:w="1291"/>
        <w:gridCol w:w="1849"/>
      </w:tblGrid>
      <w:tr w:rsidRPr="004E37EB" w:rsidR="00F015AD" w:rsidTr="004774FC" w14:paraId="558D9B15" w14:textId="77777777">
        <w:trPr>
          <w:jc w:val="center"/>
        </w:trPr>
        <w:tc>
          <w:tcPr>
            <w:tcW w:w="588" w:type="pct"/>
            <w:tcBorders>
              <w:top w:val="single" w:color="000000" w:sz="4" w:space="0"/>
              <w:left w:val="single" w:color="000000" w:sz="4" w:space="0"/>
            </w:tcBorders>
            <w:shd w:val="clear" w:color="auto" w:fill="EFEFEF"/>
            <w:vAlign w:val="center"/>
          </w:tcPr>
          <w:p w:rsidRPr="00F015AD" w:rsidR="00F015AD" w:rsidP="004774FC" w:rsidRDefault="00F015AD" w14:paraId="3DE2AB03" w14:textId="77777777">
            <w:pPr>
              <w:keepNext/>
              <w:keepLines/>
              <w:snapToGrid w:val="0"/>
              <w:jc w:val="center"/>
              <w:rPr>
                <w:b/>
                <w:bCs/>
                <w:color w:val="000000"/>
                <w:sz w:val="18"/>
                <w:szCs w:val="18"/>
              </w:rPr>
            </w:pPr>
            <w:r w:rsidRPr="00F015AD">
              <w:rPr>
                <w:b/>
                <w:bCs/>
                <w:color w:val="000000"/>
                <w:sz w:val="18"/>
                <w:szCs w:val="18"/>
              </w:rPr>
              <w:t>Labor</w:t>
            </w:r>
            <w:r w:rsidRPr="00F015AD">
              <w:rPr>
                <w:b/>
                <w:bCs/>
                <w:color w:val="000000"/>
                <w:sz w:val="18"/>
                <w:szCs w:val="18"/>
              </w:rPr>
              <w:br/>
              <w:t>Category</w:t>
            </w:r>
          </w:p>
        </w:tc>
        <w:tc>
          <w:tcPr>
            <w:tcW w:w="747" w:type="pct"/>
            <w:tcBorders>
              <w:top w:val="single" w:color="000000" w:sz="4" w:space="0"/>
              <w:left w:val="single" w:color="000000" w:sz="4" w:space="0"/>
            </w:tcBorders>
            <w:shd w:val="clear" w:color="auto" w:fill="EFEFEF"/>
            <w:vAlign w:val="center"/>
          </w:tcPr>
          <w:p w:rsidRPr="00F015AD" w:rsidR="00F015AD" w:rsidP="004774FC" w:rsidRDefault="00F015AD" w14:paraId="3BC76EC7" w14:textId="77777777">
            <w:pPr>
              <w:keepNext/>
              <w:keepLines/>
              <w:snapToGrid w:val="0"/>
              <w:ind w:left="15"/>
              <w:jc w:val="center"/>
              <w:rPr>
                <w:b/>
                <w:bCs/>
                <w:color w:val="000000"/>
                <w:sz w:val="18"/>
                <w:szCs w:val="18"/>
              </w:rPr>
            </w:pPr>
            <w:r w:rsidRPr="00F015AD">
              <w:rPr>
                <w:b/>
                <w:bCs/>
                <w:color w:val="000000"/>
                <w:sz w:val="18"/>
                <w:szCs w:val="18"/>
              </w:rPr>
              <w:t>Standard</w:t>
            </w:r>
            <w:r w:rsidRPr="00F015AD">
              <w:rPr>
                <w:b/>
                <w:bCs/>
                <w:color w:val="000000"/>
                <w:sz w:val="18"/>
                <w:szCs w:val="18"/>
              </w:rPr>
              <w:br/>
              <w:t>Occupational</w:t>
            </w:r>
            <w:r w:rsidRPr="00F015AD">
              <w:rPr>
                <w:b/>
                <w:bCs/>
                <w:color w:val="000000"/>
                <w:sz w:val="18"/>
                <w:szCs w:val="18"/>
              </w:rPr>
              <w:br/>
              <w:t>Code</w:t>
            </w:r>
          </w:p>
        </w:tc>
        <w:tc>
          <w:tcPr>
            <w:tcW w:w="831" w:type="pct"/>
            <w:tcBorders>
              <w:top w:val="single" w:color="000000" w:sz="4" w:space="0"/>
              <w:left w:val="single" w:color="000000" w:sz="4" w:space="0"/>
            </w:tcBorders>
            <w:shd w:val="clear" w:color="auto" w:fill="EFEFEF"/>
            <w:vAlign w:val="center"/>
          </w:tcPr>
          <w:p w:rsidRPr="00F015AD" w:rsidR="00F015AD" w:rsidP="004774FC" w:rsidRDefault="00F015AD" w14:paraId="6CF19637" w14:textId="77777777">
            <w:pPr>
              <w:keepNext/>
              <w:keepLines/>
              <w:snapToGrid w:val="0"/>
              <w:ind w:left="15"/>
              <w:jc w:val="center"/>
              <w:rPr>
                <w:b/>
                <w:bCs/>
                <w:color w:val="000000"/>
                <w:sz w:val="18"/>
                <w:szCs w:val="18"/>
              </w:rPr>
            </w:pPr>
            <w:r w:rsidRPr="00F015AD">
              <w:rPr>
                <w:b/>
                <w:bCs/>
                <w:color w:val="000000"/>
                <w:sz w:val="18"/>
                <w:szCs w:val="18"/>
              </w:rPr>
              <w:t>2020 Unloaded</w:t>
            </w:r>
          </w:p>
          <w:p w:rsidRPr="00F015AD" w:rsidR="00F015AD" w:rsidP="004774FC" w:rsidRDefault="00F015AD" w14:paraId="0B1CB897" w14:textId="77777777">
            <w:pPr>
              <w:keepNext/>
              <w:keepLines/>
              <w:ind w:left="15"/>
              <w:jc w:val="center"/>
              <w:rPr>
                <w:b/>
                <w:bCs/>
                <w:color w:val="000000"/>
                <w:sz w:val="18"/>
                <w:szCs w:val="18"/>
              </w:rPr>
            </w:pPr>
            <w:r w:rsidRPr="00F015AD">
              <w:rPr>
                <w:b/>
                <w:bCs/>
                <w:color w:val="000000"/>
                <w:sz w:val="18"/>
                <w:szCs w:val="18"/>
              </w:rPr>
              <w:t>Average (Mean)</w:t>
            </w:r>
          </w:p>
          <w:p w:rsidRPr="00F015AD" w:rsidR="00F015AD" w:rsidP="004774FC" w:rsidRDefault="00F015AD" w14:paraId="67E22F07" w14:textId="77777777">
            <w:pPr>
              <w:keepNext/>
              <w:keepLines/>
              <w:ind w:left="15"/>
              <w:jc w:val="center"/>
              <w:rPr>
                <w:b/>
                <w:bCs/>
                <w:color w:val="000000"/>
                <w:sz w:val="18"/>
                <w:szCs w:val="18"/>
              </w:rPr>
            </w:pPr>
            <w:r w:rsidRPr="00F015AD">
              <w:rPr>
                <w:b/>
                <w:bCs/>
                <w:color w:val="000000"/>
                <w:sz w:val="18"/>
                <w:szCs w:val="18"/>
              </w:rPr>
              <w:t xml:space="preserve">Hourly Wage Rate </w:t>
            </w:r>
          </w:p>
        </w:tc>
        <w:tc>
          <w:tcPr>
            <w:tcW w:w="654" w:type="pct"/>
            <w:tcBorders>
              <w:top w:val="single" w:color="000000" w:sz="4" w:space="0"/>
              <w:left w:val="single" w:color="000000" w:sz="4" w:space="0"/>
            </w:tcBorders>
            <w:shd w:val="clear" w:color="auto" w:fill="EFEFEF"/>
            <w:vAlign w:val="center"/>
          </w:tcPr>
          <w:p w:rsidRPr="00F015AD" w:rsidR="00F015AD" w:rsidP="004774FC" w:rsidRDefault="00F015AD" w14:paraId="6B3305E5" w14:textId="77777777">
            <w:pPr>
              <w:keepNext/>
              <w:keepLines/>
              <w:snapToGrid w:val="0"/>
              <w:ind w:left="15"/>
              <w:jc w:val="center"/>
              <w:rPr>
                <w:b/>
                <w:bCs/>
                <w:color w:val="000000"/>
                <w:sz w:val="18"/>
                <w:szCs w:val="18"/>
              </w:rPr>
            </w:pPr>
            <w:r w:rsidRPr="00F015AD">
              <w:rPr>
                <w:b/>
                <w:bCs/>
                <w:color w:val="000000"/>
                <w:sz w:val="18"/>
                <w:szCs w:val="18"/>
              </w:rPr>
              <w:t>2021</w:t>
            </w:r>
          </w:p>
          <w:p w:rsidRPr="00F015AD" w:rsidR="00F015AD" w:rsidP="004774FC" w:rsidRDefault="00F015AD" w14:paraId="1F7600AE" w14:textId="77777777">
            <w:pPr>
              <w:keepNext/>
              <w:keepLines/>
              <w:snapToGrid w:val="0"/>
              <w:ind w:left="15"/>
              <w:jc w:val="center"/>
              <w:rPr>
                <w:b/>
                <w:bCs/>
                <w:color w:val="000000"/>
                <w:sz w:val="18"/>
                <w:szCs w:val="18"/>
              </w:rPr>
            </w:pPr>
            <w:r w:rsidRPr="00F015AD">
              <w:rPr>
                <w:b/>
                <w:bCs/>
                <w:color w:val="000000"/>
                <w:sz w:val="18"/>
                <w:szCs w:val="18"/>
              </w:rPr>
              <w:t>Adjustment</w:t>
            </w:r>
          </w:p>
          <w:p w:rsidRPr="00F015AD" w:rsidR="00F015AD" w:rsidP="004774FC" w:rsidRDefault="00F015AD" w14:paraId="0D04C8A3" w14:textId="77777777">
            <w:pPr>
              <w:keepNext/>
              <w:keepLines/>
              <w:snapToGrid w:val="0"/>
              <w:ind w:left="15"/>
              <w:jc w:val="center"/>
              <w:rPr>
                <w:b/>
                <w:bCs/>
                <w:color w:val="000000"/>
                <w:sz w:val="18"/>
                <w:szCs w:val="18"/>
              </w:rPr>
            </w:pPr>
            <w:r w:rsidRPr="00F015AD">
              <w:rPr>
                <w:b/>
                <w:bCs/>
                <w:color w:val="000000"/>
                <w:sz w:val="18"/>
                <w:szCs w:val="18"/>
              </w:rPr>
              <w:t>Factor</w:t>
            </w:r>
          </w:p>
        </w:tc>
        <w:tc>
          <w:tcPr>
            <w:tcW w:w="777" w:type="pct"/>
            <w:tcBorders>
              <w:top w:val="single" w:color="000000" w:sz="4" w:space="0"/>
              <w:left w:val="single" w:color="000000" w:sz="4" w:space="0"/>
            </w:tcBorders>
            <w:shd w:val="clear" w:color="auto" w:fill="EFEFEF"/>
            <w:vAlign w:val="center"/>
          </w:tcPr>
          <w:p w:rsidRPr="00F015AD" w:rsidR="00F015AD" w:rsidP="004774FC" w:rsidRDefault="00F015AD" w14:paraId="0B91DC40" w14:textId="77777777">
            <w:pPr>
              <w:keepNext/>
              <w:keepLines/>
              <w:snapToGrid w:val="0"/>
              <w:ind w:left="15"/>
              <w:jc w:val="center"/>
              <w:rPr>
                <w:b/>
                <w:bCs/>
                <w:color w:val="000000"/>
                <w:sz w:val="18"/>
                <w:szCs w:val="18"/>
              </w:rPr>
            </w:pPr>
            <w:r w:rsidRPr="00F015AD">
              <w:rPr>
                <w:b/>
                <w:bCs/>
                <w:color w:val="000000"/>
                <w:sz w:val="18"/>
                <w:szCs w:val="18"/>
              </w:rPr>
              <w:t>Fringe</w:t>
            </w:r>
          </w:p>
          <w:p w:rsidRPr="00F015AD" w:rsidR="00F015AD" w:rsidP="004774FC" w:rsidRDefault="00F015AD" w14:paraId="75BB3E37" w14:textId="77777777">
            <w:pPr>
              <w:keepNext/>
              <w:keepLines/>
              <w:snapToGrid w:val="0"/>
              <w:ind w:left="15"/>
              <w:jc w:val="center"/>
              <w:rPr>
                <w:b/>
                <w:bCs/>
                <w:color w:val="000000"/>
                <w:sz w:val="18"/>
                <w:szCs w:val="18"/>
              </w:rPr>
            </w:pPr>
            <w:r w:rsidRPr="00F015AD">
              <w:rPr>
                <w:b/>
                <w:bCs/>
                <w:color w:val="000000"/>
                <w:sz w:val="18"/>
                <w:szCs w:val="18"/>
              </w:rPr>
              <w:t>Benefits</w:t>
            </w:r>
          </w:p>
          <w:p w:rsidRPr="00F015AD" w:rsidR="00F015AD" w:rsidP="004774FC" w:rsidRDefault="00F015AD" w14:paraId="2B4EC250" w14:textId="77777777">
            <w:pPr>
              <w:keepNext/>
              <w:keepLines/>
              <w:snapToGrid w:val="0"/>
              <w:ind w:left="15"/>
              <w:jc w:val="center"/>
              <w:rPr>
                <w:b/>
                <w:bCs/>
                <w:color w:val="000000"/>
                <w:sz w:val="18"/>
                <w:szCs w:val="18"/>
              </w:rPr>
            </w:pPr>
            <w:r w:rsidRPr="00F015AD">
              <w:rPr>
                <w:b/>
                <w:bCs/>
                <w:color w:val="000000"/>
                <w:sz w:val="18"/>
                <w:szCs w:val="18"/>
              </w:rPr>
              <w:t>Cost Factor</w:t>
            </w:r>
          </w:p>
        </w:tc>
        <w:tc>
          <w:tcPr>
            <w:tcW w:w="577" w:type="pct"/>
            <w:tcBorders>
              <w:top w:val="single" w:color="000000" w:sz="4" w:space="0"/>
              <w:left w:val="single" w:color="000000" w:sz="4" w:space="0"/>
            </w:tcBorders>
            <w:shd w:val="clear" w:color="auto" w:fill="EFEFEF"/>
            <w:vAlign w:val="center"/>
          </w:tcPr>
          <w:p w:rsidRPr="00F015AD" w:rsidR="00F015AD" w:rsidP="004774FC" w:rsidRDefault="00F015AD" w14:paraId="07813422" w14:textId="77777777">
            <w:pPr>
              <w:keepNext/>
              <w:keepLines/>
              <w:snapToGrid w:val="0"/>
              <w:ind w:left="15"/>
              <w:jc w:val="center"/>
              <w:rPr>
                <w:b/>
                <w:bCs/>
                <w:color w:val="000000"/>
                <w:sz w:val="18"/>
                <w:szCs w:val="18"/>
              </w:rPr>
            </w:pPr>
            <w:r w:rsidRPr="00F015AD">
              <w:rPr>
                <w:b/>
                <w:bCs/>
                <w:color w:val="000000"/>
                <w:sz w:val="18"/>
                <w:szCs w:val="18"/>
              </w:rPr>
              <w:t>Overhead</w:t>
            </w:r>
          </w:p>
          <w:p w:rsidRPr="00F015AD" w:rsidR="00F015AD" w:rsidP="004774FC" w:rsidRDefault="00F015AD" w14:paraId="02B9B141" w14:textId="77777777">
            <w:pPr>
              <w:keepNext/>
              <w:keepLines/>
              <w:snapToGrid w:val="0"/>
              <w:ind w:left="15"/>
              <w:jc w:val="center"/>
              <w:rPr>
                <w:b/>
                <w:bCs/>
                <w:color w:val="000000"/>
                <w:sz w:val="18"/>
                <w:szCs w:val="18"/>
              </w:rPr>
            </w:pPr>
            <w:r w:rsidRPr="00F015AD">
              <w:rPr>
                <w:b/>
                <w:bCs/>
                <w:color w:val="000000"/>
                <w:sz w:val="18"/>
                <w:szCs w:val="18"/>
              </w:rPr>
              <w:t>Cost Factor</w:t>
            </w:r>
          </w:p>
        </w:tc>
        <w:tc>
          <w:tcPr>
            <w:tcW w:w="826" w:type="pct"/>
            <w:tcBorders>
              <w:top w:val="single" w:color="000000" w:sz="4" w:space="0"/>
              <w:left w:val="single" w:color="000000" w:sz="4" w:space="0"/>
              <w:right w:val="single" w:color="000000" w:sz="4" w:space="0"/>
            </w:tcBorders>
            <w:shd w:val="clear" w:color="auto" w:fill="EFEFEF"/>
            <w:vAlign w:val="center"/>
          </w:tcPr>
          <w:p w:rsidRPr="00F015AD" w:rsidR="00F015AD" w:rsidP="004774FC" w:rsidRDefault="00F015AD" w14:paraId="28D1C73B" w14:textId="77777777">
            <w:pPr>
              <w:keepNext/>
              <w:keepLines/>
              <w:snapToGrid w:val="0"/>
              <w:ind w:left="15"/>
              <w:jc w:val="center"/>
              <w:rPr>
                <w:b/>
                <w:bCs/>
                <w:color w:val="000000"/>
                <w:sz w:val="18"/>
                <w:szCs w:val="18"/>
              </w:rPr>
            </w:pPr>
            <w:r w:rsidRPr="00F015AD">
              <w:rPr>
                <w:b/>
                <w:bCs/>
                <w:color w:val="000000"/>
                <w:sz w:val="18"/>
                <w:szCs w:val="18"/>
              </w:rPr>
              <w:t>Loaded</w:t>
            </w:r>
          </w:p>
          <w:p w:rsidRPr="00F015AD" w:rsidR="00F015AD" w:rsidP="004774FC" w:rsidRDefault="00F015AD" w14:paraId="12D4FA41" w14:textId="77777777">
            <w:pPr>
              <w:keepNext/>
              <w:keepLines/>
              <w:ind w:left="15"/>
              <w:jc w:val="center"/>
              <w:rPr>
                <w:b/>
                <w:bCs/>
                <w:color w:val="000000"/>
                <w:sz w:val="18"/>
                <w:szCs w:val="18"/>
              </w:rPr>
            </w:pPr>
            <w:r w:rsidRPr="00F015AD">
              <w:rPr>
                <w:b/>
                <w:bCs/>
                <w:color w:val="000000"/>
                <w:sz w:val="18"/>
                <w:szCs w:val="18"/>
              </w:rPr>
              <w:t>Average (Mean)</w:t>
            </w:r>
          </w:p>
          <w:p w:rsidRPr="00F015AD" w:rsidR="00F015AD" w:rsidP="004774FC" w:rsidRDefault="00F015AD" w14:paraId="0F915599" w14:textId="77777777">
            <w:pPr>
              <w:keepNext/>
              <w:keepLines/>
              <w:jc w:val="center"/>
              <w:rPr>
                <w:b/>
                <w:bCs/>
                <w:color w:val="000000"/>
                <w:sz w:val="18"/>
                <w:szCs w:val="18"/>
              </w:rPr>
            </w:pPr>
            <w:r w:rsidRPr="00F015AD">
              <w:rPr>
                <w:b/>
                <w:bCs/>
                <w:color w:val="000000"/>
                <w:sz w:val="18"/>
                <w:szCs w:val="18"/>
              </w:rPr>
              <w:t xml:space="preserve">Hourly Wage Rate </w:t>
            </w:r>
          </w:p>
        </w:tc>
      </w:tr>
      <w:tr w:rsidRPr="004E37EB" w:rsidR="00F015AD" w:rsidTr="004774FC" w14:paraId="73310854" w14:textId="77777777">
        <w:trPr>
          <w:jc w:val="center"/>
        </w:trPr>
        <w:tc>
          <w:tcPr>
            <w:tcW w:w="588" w:type="pct"/>
            <w:tcBorders>
              <w:left w:val="single" w:color="000000" w:sz="4" w:space="0"/>
              <w:bottom w:val="single" w:color="000000" w:sz="4" w:space="0"/>
            </w:tcBorders>
            <w:shd w:val="clear" w:color="auto" w:fill="EFEFEF"/>
            <w:vAlign w:val="center"/>
          </w:tcPr>
          <w:p w:rsidRPr="00F015AD" w:rsidR="00F015AD" w:rsidP="004774FC" w:rsidRDefault="00F015AD" w14:paraId="34835FED" w14:textId="77777777">
            <w:pPr>
              <w:keepNext/>
              <w:keepLines/>
              <w:snapToGrid w:val="0"/>
              <w:jc w:val="center"/>
              <w:rPr>
                <w:b/>
                <w:bCs/>
                <w:color w:val="000000"/>
                <w:sz w:val="18"/>
                <w:szCs w:val="18"/>
              </w:rPr>
            </w:pPr>
            <w:r w:rsidRPr="00F015AD">
              <w:rPr>
                <w:b/>
                <w:bCs/>
                <w:color w:val="000000"/>
                <w:sz w:val="18"/>
                <w:szCs w:val="18"/>
              </w:rPr>
              <w:t>A</w:t>
            </w:r>
          </w:p>
        </w:tc>
        <w:tc>
          <w:tcPr>
            <w:tcW w:w="747" w:type="pct"/>
            <w:tcBorders>
              <w:left w:val="single" w:color="000000" w:sz="4" w:space="0"/>
              <w:bottom w:val="single" w:color="000000" w:sz="4" w:space="0"/>
            </w:tcBorders>
            <w:shd w:val="clear" w:color="auto" w:fill="EFEFEF"/>
            <w:vAlign w:val="center"/>
          </w:tcPr>
          <w:p w:rsidRPr="00F015AD" w:rsidR="00F015AD" w:rsidP="004774FC" w:rsidRDefault="00F015AD" w14:paraId="2F03E522" w14:textId="77777777">
            <w:pPr>
              <w:keepNext/>
              <w:keepLines/>
              <w:snapToGrid w:val="0"/>
              <w:ind w:left="15"/>
              <w:jc w:val="center"/>
              <w:rPr>
                <w:b/>
                <w:bCs/>
                <w:color w:val="000000"/>
                <w:sz w:val="18"/>
                <w:szCs w:val="18"/>
              </w:rPr>
            </w:pPr>
            <w:r w:rsidRPr="00F015AD">
              <w:rPr>
                <w:b/>
                <w:bCs/>
                <w:color w:val="000000"/>
                <w:sz w:val="18"/>
                <w:szCs w:val="18"/>
              </w:rPr>
              <w:t>B</w:t>
            </w:r>
          </w:p>
        </w:tc>
        <w:tc>
          <w:tcPr>
            <w:tcW w:w="831" w:type="pct"/>
            <w:tcBorders>
              <w:left w:val="single" w:color="000000" w:sz="4" w:space="0"/>
              <w:bottom w:val="single" w:color="000000" w:sz="4" w:space="0"/>
            </w:tcBorders>
            <w:shd w:val="clear" w:color="auto" w:fill="EFEFEF"/>
            <w:vAlign w:val="center"/>
          </w:tcPr>
          <w:p w:rsidRPr="00F015AD" w:rsidR="00F015AD" w:rsidP="004774FC" w:rsidRDefault="00F015AD" w14:paraId="437A219E" w14:textId="77777777">
            <w:pPr>
              <w:keepNext/>
              <w:keepLines/>
              <w:snapToGrid w:val="0"/>
              <w:ind w:left="15"/>
              <w:jc w:val="center"/>
              <w:rPr>
                <w:b/>
                <w:bCs/>
                <w:color w:val="000000"/>
                <w:sz w:val="18"/>
                <w:szCs w:val="18"/>
              </w:rPr>
            </w:pPr>
            <w:r w:rsidRPr="00F015AD">
              <w:rPr>
                <w:b/>
                <w:bCs/>
                <w:color w:val="000000"/>
                <w:sz w:val="18"/>
                <w:szCs w:val="18"/>
              </w:rPr>
              <w:t>C</w:t>
            </w:r>
          </w:p>
        </w:tc>
        <w:tc>
          <w:tcPr>
            <w:tcW w:w="654" w:type="pct"/>
            <w:tcBorders>
              <w:left w:val="single" w:color="000000" w:sz="4" w:space="0"/>
              <w:bottom w:val="single" w:color="000000" w:sz="4" w:space="0"/>
            </w:tcBorders>
            <w:shd w:val="clear" w:color="auto" w:fill="EFEFEF"/>
            <w:vAlign w:val="center"/>
          </w:tcPr>
          <w:p w:rsidRPr="00F015AD" w:rsidR="00F015AD" w:rsidP="004774FC" w:rsidRDefault="00F015AD" w14:paraId="3F688330" w14:textId="77777777">
            <w:pPr>
              <w:keepNext/>
              <w:keepLines/>
              <w:snapToGrid w:val="0"/>
              <w:ind w:left="15"/>
              <w:jc w:val="center"/>
              <w:rPr>
                <w:b/>
                <w:bCs/>
                <w:color w:val="000000"/>
                <w:sz w:val="18"/>
                <w:szCs w:val="18"/>
              </w:rPr>
            </w:pPr>
            <w:r w:rsidRPr="00F015AD">
              <w:rPr>
                <w:b/>
                <w:bCs/>
                <w:color w:val="000000"/>
                <w:sz w:val="18"/>
                <w:szCs w:val="18"/>
              </w:rPr>
              <w:t>D</w:t>
            </w:r>
          </w:p>
        </w:tc>
        <w:tc>
          <w:tcPr>
            <w:tcW w:w="777" w:type="pct"/>
            <w:tcBorders>
              <w:left w:val="single" w:color="000000" w:sz="4" w:space="0"/>
              <w:bottom w:val="single" w:color="000000" w:sz="4" w:space="0"/>
            </w:tcBorders>
            <w:shd w:val="clear" w:color="auto" w:fill="EFEFEF"/>
            <w:vAlign w:val="center"/>
          </w:tcPr>
          <w:p w:rsidRPr="00F015AD" w:rsidR="00F015AD" w:rsidP="004774FC" w:rsidRDefault="00F015AD" w14:paraId="277DABA5" w14:textId="77777777">
            <w:pPr>
              <w:keepNext/>
              <w:keepLines/>
              <w:snapToGrid w:val="0"/>
              <w:ind w:left="15"/>
              <w:jc w:val="center"/>
              <w:rPr>
                <w:b/>
                <w:bCs/>
                <w:color w:val="000000"/>
                <w:sz w:val="18"/>
                <w:szCs w:val="18"/>
              </w:rPr>
            </w:pPr>
            <w:r w:rsidRPr="00F015AD">
              <w:rPr>
                <w:b/>
                <w:bCs/>
                <w:color w:val="000000"/>
                <w:sz w:val="18"/>
                <w:szCs w:val="18"/>
              </w:rPr>
              <w:t>E</w:t>
            </w:r>
          </w:p>
        </w:tc>
        <w:tc>
          <w:tcPr>
            <w:tcW w:w="577" w:type="pct"/>
            <w:tcBorders>
              <w:left w:val="single" w:color="000000" w:sz="4" w:space="0"/>
              <w:bottom w:val="single" w:color="000000" w:sz="4" w:space="0"/>
            </w:tcBorders>
            <w:shd w:val="clear" w:color="auto" w:fill="EFEFEF"/>
          </w:tcPr>
          <w:p w:rsidRPr="00F015AD" w:rsidR="00F015AD" w:rsidP="004774FC" w:rsidRDefault="00F015AD" w14:paraId="1B2E9F4D" w14:textId="77777777">
            <w:pPr>
              <w:keepNext/>
              <w:keepLines/>
              <w:snapToGrid w:val="0"/>
              <w:ind w:left="15"/>
              <w:jc w:val="center"/>
              <w:rPr>
                <w:b/>
                <w:bCs/>
                <w:color w:val="000000"/>
                <w:sz w:val="18"/>
                <w:szCs w:val="18"/>
              </w:rPr>
            </w:pPr>
            <w:r w:rsidRPr="00F015AD">
              <w:rPr>
                <w:b/>
                <w:bCs/>
                <w:color w:val="000000"/>
                <w:sz w:val="18"/>
                <w:szCs w:val="18"/>
              </w:rPr>
              <w:t>F</w:t>
            </w:r>
          </w:p>
        </w:tc>
        <w:tc>
          <w:tcPr>
            <w:tcW w:w="826" w:type="pct"/>
            <w:tcBorders>
              <w:left w:val="single" w:color="000000" w:sz="4" w:space="0"/>
              <w:bottom w:val="single" w:color="000000" w:sz="4" w:space="0"/>
              <w:right w:val="single" w:color="000000" w:sz="4" w:space="0"/>
            </w:tcBorders>
            <w:shd w:val="clear" w:color="auto" w:fill="EFEFEF"/>
            <w:vAlign w:val="center"/>
          </w:tcPr>
          <w:p w:rsidRPr="00F015AD" w:rsidR="00F015AD" w:rsidP="004774FC" w:rsidRDefault="00F015AD" w14:paraId="66A215F3" w14:textId="77777777">
            <w:pPr>
              <w:keepNext/>
              <w:keepLines/>
              <w:snapToGrid w:val="0"/>
              <w:ind w:left="15"/>
              <w:jc w:val="center"/>
              <w:rPr>
                <w:b/>
                <w:bCs/>
                <w:color w:val="000000"/>
                <w:sz w:val="18"/>
                <w:szCs w:val="18"/>
              </w:rPr>
            </w:pPr>
            <w:r w:rsidRPr="00F015AD">
              <w:rPr>
                <w:b/>
                <w:bCs/>
                <w:color w:val="000000"/>
                <w:sz w:val="18"/>
                <w:szCs w:val="18"/>
              </w:rPr>
              <w:t>G = [C x D x E x F]</w:t>
            </w:r>
          </w:p>
        </w:tc>
      </w:tr>
      <w:tr w:rsidRPr="004E37EB" w:rsidR="00F015AD" w:rsidTr="004774FC" w14:paraId="25181146" w14:textId="77777777">
        <w:trPr>
          <w:trHeight w:val="314"/>
          <w:jc w:val="center"/>
        </w:trPr>
        <w:tc>
          <w:tcPr>
            <w:tcW w:w="588" w:type="pct"/>
            <w:tcBorders>
              <w:top w:val="single" w:color="000000" w:sz="4" w:space="0"/>
              <w:left w:val="single" w:color="000000" w:sz="4" w:space="0"/>
              <w:bottom w:val="single" w:color="000000" w:sz="4" w:space="0"/>
            </w:tcBorders>
            <w:shd w:val="clear" w:color="auto" w:fill="auto"/>
          </w:tcPr>
          <w:p w:rsidRPr="00F015AD" w:rsidR="00F015AD" w:rsidP="004774FC" w:rsidRDefault="00F015AD" w14:paraId="3B1984CA" w14:textId="77777777">
            <w:pPr>
              <w:keepNext/>
              <w:keepLines/>
              <w:snapToGrid w:val="0"/>
              <w:ind w:left="15"/>
              <w:rPr>
                <w:color w:val="000000"/>
                <w:sz w:val="18"/>
                <w:szCs w:val="18"/>
              </w:rPr>
            </w:pPr>
            <w:r w:rsidRPr="00F015AD">
              <w:rPr>
                <w:color w:val="000000"/>
                <w:sz w:val="18"/>
                <w:szCs w:val="18"/>
              </w:rPr>
              <w:t>1. Legal</w:t>
            </w:r>
          </w:p>
        </w:tc>
        <w:tc>
          <w:tcPr>
            <w:tcW w:w="74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5D08000A" w14:textId="77777777">
            <w:pPr>
              <w:keepNext/>
              <w:keepLines/>
              <w:snapToGrid w:val="0"/>
              <w:rPr>
                <w:color w:val="000000"/>
                <w:sz w:val="18"/>
                <w:szCs w:val="18"/>
              </w:rPr>
            </w:pPr>
            <w:r w:rsidRPr="00F015AD">
              <w:rPr>
                <w:color w:val="000000"/>
                <w:sz w:val="18"/>
                <w:szCs w:val="18"/>
              </w:rPr>
              <w:t>23-1011 Lawyers</w:t>
            </w:r>
          </w:p>
        </w:tc>
        <w:tc>
          <w:tcPr>
            <w:tcW w:w="831"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16F6647D"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18"/>
                <w:szCs w:val="18"/>
                <w:highlight w:val="green"/>
              </w:rPr>
            </w:pPr>
            <w:r w:rsidRPr="00F015AD">
              <w:rPr>
                <w:color w:val="000000"/>
                <w:sz w:val="18"/>
                <w:szCs w:val="18"/>
              </w:rPr>
              <w:t>$71.59</w:t>
            </w:r>
          </w:p>
        </w:tc>
        <w:tc>
          <w:tcPr>
            <w:tcW w:w="654"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0579D59F" w14:textId="77777777">
            <w:pPr>
              <w:keepNext/>
              <w:keepLines/>
              <w:ind w:left="15"/>
              <w:jc w:val="center"/>
              <w:rPr>
                <w:color w:val="000000"/>
                <w:sz w:val="18"/>
                <w:szCs w:val="18"/>
              </w:rPr>
            </w:pPr>
            <w:r w:rsidRPr="00F015AD">
              <w:rPr>
                <w:color w:val="000000"/>
                <w:sz w:val="18"/>
                <w:szCs w:val="18"/>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2E04EFCE" w14:textId="77777777">
            <w:pPr>
              <w:keepNext/>
              <w:keepLines/>
              <w:snapToGrid w:val="0"/>
              <w:ind w:left="15"/>
              <w:jc w:val="center"/>
              <w:rPr>
                <w:color w:val="000000"/>
                <w:sz w:val="18"/>
                <w:szCs w:val="18"/>
              </w:rPr>
            </w:pPr>
            <w:r w:rsidRPr="00F015AD">
              <w:rPr>
                <w:color w:val="000000"/>
                <w:sz w:val="18"/>
                <w:szCs w:val="18"/>
              </w:rPr>
              <w:t>1.294</w:t>
            </w:r>
          </w:p>
        </w:tc>
        <w:tc>
          <w:tcPr>
            <w:tcW w:w="577" w:type="pct"/>
            <w:tcBorders>
              <w:top w:val="single" w:color="000000" w:sz="4" w:space="0"/>
              <w:left w:val="single" w:color="000000" w:sz="4" w:space="0"/>
              <w:bottom w:val="single" w:color="000000" w:sz="4" w:space="0"/>
            </w:tcBorders>
            <w:vAlign w:val="center"/>
          </w:tcPr>
          <w:p w:rsidRPr="00F015AD" w:rsidR="00F015AD" w:rsidP="004774FC" w:rsidRDefault="00F015AD" w14:paraId="0E7090C6" w14:textId="77777777">
            <w:pPr>
              <w:keepNext/>
              <w:keepLines/>
              <w:snapToGrid w:val="0"/>
              <w:ind w:left="15"/>
              <w:jc w:val="center"/>
              <w:rPr>
                <w:bCs/>
                <w:color w:val="000000"/>
                <w:sz w:val="18"/>
                <w:szCs w:val="18"/>
              </w:rPr>
            </w:pPr>
            <w:r w:rsidRPr="00F015AD">
              <w:rPr>
                <w:color w:val="000000"/>
                <w:sz w:val="18"/>
                <w:szCs w:val="18"/>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F015AD" w:rsidR="00F015AD" w:rsidP="004774FC" w:rsidRDefault="00F015AD" w14:paraId="0F6EB4BB" w14:textId="77777777">
            <w:pPr>
              <w:keepNext/>
              <w:keepLines/>
              <w:snapToGrid w:val="0"/>
              <w:ind w:left="15"/>
              <w:jc w:val="center"/>
              <w:rPr>
                <w:bCs/>
                <w:color w:val="000000"/>
                <w:sz w:val="18"/>
                <w:szCs w:val="18"/>
                <w:highlight w:val="green"/>
              </w:rPr>
            </w:pPr>
            <w:r w:rsidRPr="00F015AD">
              <w:rPr>
                <w:color w:val="000000"/>
                <w:sz w:val="18"/>
                <w:szCs w:val="18"/>
              </w:rPr>
              <w:t xml:space="preserve">$129.33 </w:t>
            </w:r>
          </w:p>
        </w:tc>
      </w:tr>
      <w:tr w:rsidRPr="004E37EB" w:rsidR="00F015AD" w:rsidTr="004774FC" w14:paraId="314B6F27"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F015AD" w:rsidR="00F015AD" w:rsidP="004774FC" w:rsidRDefault="00F015AD" w14:paraId="275B6BC5" w14:textId="77777777">
            <w:pPr>
              <w:keepNext/>
              <w:keepLines/>
              <w:snapToGrid w:val="0"/>
              <w:ind w:left="15"/>
              <w:rPr>
                <w:color w:val="000000"/>
                <w:sz w:val="18"/>
                <w:szCs w:val="18"/>
              </w:rPr>
            </w:pPr>
            <w:r w:rsidRPr="00F015AD">
              <w:rPr>
                <w:color w:val="000000"/>
                <w:sz w:val="18"/>
                <w:szCs w:val="18"/>
              </w:rPr>
              <w:t>2. Managerial</w:t>
            </w:r>
          </w:p>
        </w:tc>
        <w:tc>
          <w:tcPr>
            <w:tcW w:w="74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79422706" w14:textId="77777777">
            <w:pPr>
              <w:keepNext/>
              <w:keepLines/>
              <w:snapToGrid w:val="0"/>
              <w:ind w:left="15"/>
              <w:rPr>
                <w:color w:val="000000"/>
                <w:sz w:val="18"/>
                <w:szCs w:val="18"/>
              </w:rPr>
            </w:pPr>
            <w:r w:rsidRPr="00F015AD">
              <w:rPr>
                <w:color w:val="000000"/>
                <w:sz w:val="18"/>
                <w:szCs w:val="18"/>
              </w:rPr>
              <w:t>11-1021 General &amp; Operations Managers</w:t>
            </w:r>
          </w:p>
        </w:tc>
        <w:tc>
          <w:tcPr>
            <w:tcW w:w="831"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79E015CD"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18"/>
                <w:szCs w:val="18"/>
                <w:highlight w:val="green"/>
              </w:rPr>
            </w:pPr>
            <w:r w:rsidRPr="00F015AD">
              <w:rPr>
                <w:color w:val="000000"/>
                <w:sz w:val="18"/>
                <w:szCs w:val="18"/>
              </w:rPr>
              <w:t>$60.45</w:t>
            </w:r>
          </w:p>
        </w:tc>
        <w:tc>
          <w:tcPr>
            <w:tcW w:w="654"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24B146CC" w14:textId="77777777">
            <w:pPr>
              <w:keepNext/>
              <w:keepLines/>
              <w:ind w:left="15"/>
              <w:jc w:val="center"/>
              <w:rPr>
                <w:color w:val="000000"/>
                <w:sz w:val="18"/>
                <w:szCs w:val="18"/>
              </w:rPr>
            </w:pPr>
            <w:r w:rsidRPr="00F015AD">
              <w:rPr>
                <w:color w:val="000000"/>
                <w:sz w:val="18"/>
                <w:szCs w:val="18"/>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3FF5B42F" w14:textId="77777777">
            <w:pPr>
              <w:keepNext/>
              <w:keepLines/>
              <w:snapToGrid w:val="0"/>
              <w:ind w:left="15"/>
              <w:jc w:val="center"/>
              <w:rPr>
                <w:color w:val="000000"/>
                <w:sz w:val="18"/>
                <w:szCs w:val="18"/>
              </w:rPr>
            </w:pPr>
            <w:r w:rsidRPr="00F015AD">
              <w:rPr>
                <w:color w:val="000000"/>
                <w:sz w:val="18"/>
                <w:szCs w:val="18"/>
              </w:rPr>
              <w:t>1.294</w:t>
            </w:r>
          </w:p>
        </w:tc>
        <w:tc>
          <w:tcPr>
            <w:tcW w:w="577" w:type="pct"/>
            <w:tcBorders>
              <w:top w:val="single" w:color="000000" w:sz="4" w:space="0"/>
              <w:left w:val="single" w:color="000000" w:sz="4" w:space="0"/>
              <w:bottom w:val="single" w:color="000000" w:sz="4" w:space="0"/>
            </w:tcBorders>
            <w:vAlign w:val="center"/>
          </w:tcPr>
          <w:p w:rsidRPr="00F015AD" w:rsidR="00F015AD" w:rsidP="004774FC" w:rsidRDefault="00F015AD" w14:paraId="500E5221" w14:textId="77777777">
            <w:pPr>
              <w:keepNext/>
              <w:keepLines/>
              <w:snapToGrid w:val="0"/>
              <w:ind w:left="15"/>
              <w:jc w:val="center"/>
              <w:rPr>
                <w:bCs/>
                <w:color w:val="000000"/>
                <w:sz w:val="18"/>
                <w:szCs w:val="18"/>
              </w:rPr>
            </w:pPr>
            <w:r w:rsidRPr="00F015AD">
              <w:rPr>
                <w:color w:val="000000"/>
                <w:sz w:val="18"/>
                <w:szCs w:val="18"/>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F015AD" w:rsidR="00F015AD" w:rsidP="004774FC" w:rsidRDefault="00F015AD" w14:paraId="50719AC6" w14:textId="77777777">
            <w:pPr>
              <w:keepNext/>
              <w:keepLines/>
              <w:snapToGrid w:val="0"/>
              <w:ind w:left="15"/>
              <w:jc w:val="center"/>
              <w:rPr>
                <w:bCs/>
                <w:color w:val="000000"/>
                <w:sz w:val="18"/>
                <w:szCs w:val="18"/>
                <w:highlight w:val="green"/>
              </w:rPr>
            </w:pPr>
            <w:r w:rsidRPr="00F015AD">
              <w:rPr>
                <w:color w:val="000000"/>
                <w:sz w:val="18"/>
                <w:szCs w:val="18"/>
              </w:rPr>
              <w:t xml:space="preserve">$109.21 </w:t>
            </w:r>
          </w:p>
        </w:tc>
      </w:tr>
      <w:tr w:rsidRPr="004E37EB" w:rsidR="00F015AD" w:rsidTr="004774FC" w14:paraId="2EF1EBF0"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F015AD" w:rsidR="00F015AD" w:rsidP="004774FC" w:rsidRDefault="00F015AD" w14:paraId="35F4011D" w14:textId="77777777">
            <w:pPr>
              <w:keepNext/>
              <w:keepLines/>
              <w:snapToGrid w:val="0"/>
              <w:ind w:left="15"/>
              <w:rPr>
                <w:color w:val="000000"/>
                <w:sz w:val="18"/>
                <w:szCs w:val="18"/>
              </w:rPr>
            </w:pPr>
            <w:r w:rsidRPr="00F015AD">
              <w:rPr>
                <w:color w:val="000000"/>
                <w:sz w:val="18"/>
                <w:szCs w:val="18"/>
              </w:rPr>
              <w:t>3. Technical</w:t>
            </w:r>
          </w:p>
        </w:tc>
        <w:tc>
          <w:tcPr>
            <w:tcW w:w="74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6CDB761F" w14:textId="77777777">
            <w:pPr>
              <w:keepNext/>
              <w:keepLines/>
              <w:snapToGrid w:val="0"/>
              <w:ind w:left="15"/>
              <w:rPr>
                <w:color w:val="000000"/>
                <w:sz w:val="18"/>
                <w:szCs w:val="18"/>
              </w:rPr>
            </w:pPr>
            <w:r w:rsidRPr="00F015AD">
              <w:rPr>
                <w:color w:val="000000"/>
                <w:sz w:val="18"/>
                <w:szCs w:val="18"/>
              </w:rPr>
              <w:t>17-2081 Environmental Engineers</w:t>
            </w:r>
          </w:p>
        </w:tc>
        <w:tc>
          <w:tcPr>
            <w:tcW w:w="831"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3A4F7321"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18"/>
                <w:szCs w:val="18"/>
                <w:highlight w:val="green"/>
              </w:rPr>
            </w:pPr>
            <w:r w:rsidRPr="00F015AD">
              <w:rPr>
                <w:color w:val="000000"/>
                <w:sz w:val="18"/>
                <w:szCs w:val="18"/>
              </w:rPr>
              <w:t>$46.58</w:t>
            </w:r>
          </w:p>
        </w:tc>
        <w:tc>
          <w:tcPr>
            <w:tcW w:w="654"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15009A2C" w14:textId="77777777">
            <w:pPr>
              <w:keepNext/>
              <w:keepLines/>
              <w:ind w:left="15"/>
              <w:jc w:val="center"/>
              <w:rPr>
                <w:color w:val="000000"/>
                <w:sz w:val="18"/>
                <w:szCs w:val="18"/>
              </w:rPr>
            </w:pPr>
            <w:r w:rsidRPr="00F015AD">
              <w:rPr>
                <w:color w:val="000000"/>
                <w:sz w:val="18"/>
                <w:szCs w:val="18"/>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53275403" w14:textId="77777777">
            <w:pPr>
              <w:keepNext/>
              <w:keepLines/>
              <w:snapToGrid w:val="0"/>
              <w:ind w:left="15"/>
              <w:jc w:val="center"/>
              <w:rPr>
                <w:color w:val="000000"/>
                <w:sz w:val="18"/>
                <w:szCs w:val="18"/>
              </w:rPr>
            </w:pPr>
            <w:r w:rsidRPr="00F015AD">
              <w:rPr>
                <w:color w:val="000000"/>
                <w:sz w:val="18"/>
                <w:szCs w:val="18"/>
              </w:rPr>
              <w:t>1.294</w:t>
            </w:r>
          </w:p>
        </w:tc>
        <w:tc>
          <w:tcPr>
            <w:tcW w:w="577" w:type="pct"/>
            <w:tcBorders>
              <w:top w:val="single" w:color="000000" w:sz="4" w:space="0"/>
              <w:left w:val="single" w:color="000000" w:sz="4" w:space="0"/>
              <w:bottom w:val="single" w:color="000000" w:sz="4" w:space="0"/>
            </w:tcBorders>
            <w:vAlign w:val="center"/>
          </w:tcPr>
          <w:p w:rsidRPr="00F015AD" w:rsidR="00F015AD" w:rsidP="004774FC" w:rsidRDefault="00F015AD" w14:paraId="26CEE29D" w14:textId="77777777">
            <w:pPr>
              <w:keepNext/>
              <w:keepLines/>
              <w:snapToGrid w:val="0"/>
              <w:ind w:left="15"/>
              <w:jc w:val="center"/>
              <w:rPr>
                <w:bCs/>
                <w:color w:val="000000"/>
                <w:sz w:val="18"/>
                <w:szCs w:val="18"/>
              </w:rPr>
            </w:pPr>
            <w:r w:rsidRPr="00F015AD">
              <w:rPr>
                <w:color w:val="000000"/>
                <w:sz w:val="18"/>
                <w:szCs w:val="18"/>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F015AD" w:rsidR="00F015AD" w:rsidP="004774FC" w:rsidRDefault="00F015AD" w14:paraId="69D86D9C" w14:textId="77777777">
            <w:pPr>
              <w:keepNext/>
              <w:keepLines/>
              <w:snapToGrid w:val="0"/>
              <w:ind w:left="15"/>
              <w:jc w:val="center"/>
              <w:rPr>
                <w:bCs/>
                <w:color w:val="000000"/>
                <w:sz w:val="18"/>
                <w:szCs w:val="18"/>
                <w:highlight w:val="green"/>
              </w:rPr>
            </w:pPr>
            <w:r w:rsidRPr="00F015AD">
              <w:rPr>
                <w:color w:val="000000"/>
                <w:sz w:val="18"/>
                <w:szCs w:val="18"/>
              </w:rPr>
              <w:t xml:space="preserve">$84.15 </w:t>
            </w:r>
          </w:p>
        </w:tc>
      </w:tr>
      <w:tr w:rsidRPr="004E37EB" w:rsidR="00F015AD" w:rsidTr="004774FC" w14:paraId="6A6EF3E7"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F015AD" w:rsidR="00F015AD" w:rsidP="004774FC" w:rsidRDefault="00F015AD" w14:paraId="11F5301B" w14:textId="77777777">
            <w:pPr>
              <w:keepNext/>
              <w:keepLines/>
              <w:snapToGrid w:val="0"/>
              <w:ind w:left="15"/>
              <w:rPr>
                <w:color w:val="000000"/>
                <w:sz w:val="18"/>
                <w:szCs w:val="18"/>
              </w:rPr>
            </w:pPr>
            <w:r w:rsidRPr="00F015AD">
              <w:rPr>
                <w:color w:val="000000"/>
                <w:sz w:val="18"/>
                <w:szCs w:val="18"/>
              </w:rPr>
              <w:t>4. Clerical</w:t>
            </w:r>
          </w:p>
        </w:tc>
        <w:tc>
          <w:tcPr>
            <w:tcW w:w="74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06432E17" w14:textId="77777777">
            <w:pPr>
              <w:keepNext/>
              <w:keepLines/>
              <w:snapToGrid w:val="0"/>
              <w:ind w:left="15"/>
              <w:rPr>
                <w:color w:val="000000"/>
                <w:sz w:val="18"/>
                <w:szCs w:val="18"/>
              </w:rPr>
            </w:pPr>
            <w:r w:rsidRPr="00F015AD">
              <w:rPr>
                <w:color w:val="000000"/>
                <w:sz w:val="18"/>
                <w:szCs w:val="18"/>
              </w:rPr>
              <w:t>43-9061 Office Clerks, General</w:t>
            </w:r>
          </w:p>
        </w:tc>
        <w:tc>
          <w:tcPr>
            <w:tcW w:w="831"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5A4BD742"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18"/>
                <w:szCs w:val="18"/>
                <w:highlight w:val="green"/>
              </w:rPr>
            </w:pPr>
            <w:r w:rsidRPr="00F015AD">
              <w:rPr>
                <w:color w:val="000000"/>
                <w:sz w:val="18"/>
                <w:szCs w:val="18"/>
              </w:rPr>
              <w:t>$18.16</w:t>
            </w:r>
          </w:p>
        </w:tc>
        <w:tc>
          <w:tcPr>
            <w:tcW w:w="654"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2A8DF3F1" w14:textId="77777777">
            <w:pPr>
              <w:keepNext/>
              <w:keepLines/>
              <w:ind w:left="15"/>
              <w:jc w:val="center"/>
              <w:rPr>
                <w:color w:val="000000"/>
                <w:sz w:val="18"/>
                <w:szCs w:val="18"/>
              </w:rPr>
            </w:pPr>
            <w:r w:rsidRPr="00F015AD">
              <w:rPr>
                <w:color w:val="000000"/>
                <w:sz w:val="18"/>
                <w:szCs w:val="18"/>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F015AD" w:rsidR="00F015AD" w:rsidP="004774FC" w:rsidRDefault="00F015AD" w14:paraId="22D42CC9" w14:textId="77777777">
            <w:pPr>
              <w:keepNext/>
              <w:keepLines/>
              <w:snapToGrid w:val="0"/>
              <w:ind w:left="15"/>
              <w:jc w:val="center"/>
              <w:rPr>
                <w:color w:val="000000"/>
                <w:sz w:val="18"/>
                <w:szCs w:val="18"/>
              </w:rPr>
            </w:pPr>
            <w:r w:rsidRPr="00F015AD">
              <w:rPr>
                <w:color w:val="000000"/>
                <w:sz w:val="18"/>
                <w:szCs w:val="18"/>
              </w:rPr>
              <w:t>1.294</w:t>
            </w:r>
          </w:p>
        </w:tc>
        <w:tc>
          <w:tcPr>
            <w:tcW w:w="577" w:type="pct"/>
            <w:tcBorders>
              <w:top w:val="single" w:color="000000" w:sz="4" w:space="0"/>
              <w:left w:val="single" w:color="000000" w:sz="4" w:space="0"/>
              <w:bottom w:val="single" w:color="000000" w:sz="4" w:space="0"/>
            </w:tcBorders>
            <w:vAlign w:val="center"/>
          </w:tcPr>
          <w:p w:rsidRPr="00F015AD" w:rsidR="00F015AD" w:rsidP="004774FC" w:rsidRDefault="00F015AD" w14:paraId="40C6D264" w14:textId="77777777">
            <w:pPr>
              <w:keepNext/>
              <w:keepLines/>
              <w:snapToGrid w:val="0"/>
              <w:ind w:left="15"/>
              <w:jc w:val="center"/>
              <w:rPr>
                <w:bCs/>
                <w:color w:val="000000"/>
                <w:sz w:val="18"/>
                <w:szCs w:val="18"/>
              </w:rPr>
            </w:pPr>
            <w:r w:rsidRPr="00F015AD">
              <w:rPr>
                <w:color w:val="000000"/>
                <w:sz w:val="18"/>
                <w:szCs w:val="18"/>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F015AD" w:rsidR="00F015AD" w:rsidP="004774FC" w:rsidRDefault="00F015AD" w14:paraId="26822916" w14:textId="77777777">
            <w:pPr>
              <w:keepNext/>
              <w:keepLines/>
              <w:snapToGrid w:val="0"/>
              <w:ind w:left="15"/>
              <w:jc w:val="center"/>
              <w:rPr>
                <w:bCs/>
                <w:color w:val="000000"/>
                <w:sz w:val="18"/>
                <w:szCs w:val="18"/>
                <w:highlight w:val="green"/>
              </w:rPr>
            </w:pPr>
            <w:r w:rsidRPr="00F015AD">
              <w:rPr>
                <w:color w:val="000000"/>
                <w:sz w:val="18"/>
                <w:szCs w:val="18"/>
              </w:rPr>
              <w:t xml:space="preserve">$32.81 </w:t>
            </w:r>
          </w:p>
        </w:tc>
      </w:tr>
    </w:tbl>
    <w:p w:rsidRPr="00E17A70" w:rsidR="007B61E5" w:rsidP="007B61E5" w:rsidRDefault="007B61E5" w14:paraId="08563190" w14:textId="0B4A879F">
      <w:pPr>
        <w:rPr>
          <w:szCs w:val="28"/>
        </w:rPr>
      </w:pPr>
    </w:p>
    <w:p w:rsidRPr="00E17A70" w:rsidR="007B61E5" w:rsidP="007B61E5" w:rsidRDefault="007B61E5" w14:paraId="6DB81DC7" w14:textId="77777777">
      <w:pPr>
        <w:ind w:firstLine="720"/>
      </w:pPr>
      <w:r w:rsidRPr="00E17A70">
        <w:rPr>
          <w:b/>
          <w:bCs/>
        </w:rPr>
        <w:t>Annual Capital and Operation &amp; Maintenance Costs</w:t>
      </w:r>
    </w:p>
    <w:p w:rsidRPr="00E17A70" w:rsidR="007B61E5" w:rsidP="007B61E5" w:rsidRDefault="007B61E5" w14:paraId="4B5B4B89" w14:textId="77777777">
      <w:pPr>
        <w:rPr>
          <w:szCs w:val="28"/>
        </w:rPr>
      </w:pPr>
    </w:p>
    <w:p w:rsidRPr="00E17A70" w:rsidR="007B61E5" w:rsidP="007B61E5" w:rsidRDefault="007B61E5" w14:paraId="086DA482" w14:textId="4351724E">
      <w:pPr>
        <w:ind w:firstLine="720"/>
      </w:pPr>
      <w:r w:rsidRPr="00E17A70">
        <w:t>Capital costs usually include any produced physical good needed to provide the needed information, such as machinery, c</w:t>
      </w:r>
      <w:r w:rsidR="00F26171">
        <w:t xml:space="preserve">omputers, and other equipment. </w:t>
      </w:r>
      <w:r w:rsidRPr="00E17A70">
        <w:t>EPA does not anticipate that respondents will incur capital costs in carrying out the information collection requirements of th</w:t>
      </w:r>
      <w:r w:rsidR="00F015AD">
        <w:t>is ICR</w:t>
      </w:r>
      <w:r w:rsidRPr="00E17A70">
        <w:t>.</w:t>
      </w:r>
    </w:p>
    <w:p w:rsidRPr="00E17A70" w:rsidR="007B61E5" w:rsidP="007B61E5" w:rsidRDefault="007B61E5" w14:paraId="714CCB9E" w14:textId="77777777"/>
    <w:p w:rsidRPr="00E17A70" w:rsidR="007B61E5" w:rsidP="00693370" w:rsidRDefault="007B61E5" w14:paraId="2A2C55AD" w14:textId="5FF38263">
      <w:pPr>
        <w:ind w:firstLine="720"/>
        <w:rPr>
          <w:szCs w:val="28"/>
        </w:rPr>
      </w:pPr>
      <w:r w:rsidRPr="00E17A70">
        <w:t>O&amp;M costs are those costs associated with paperwork requirements incurred contin</w:t>
      </w:r>
      <w:r w:rsidR="00F26171">
        <w:t>ually over the life of the ICR.</w:t>
      </w:r>
      <w:r w:rsidRPr="00E17A70">
        <w:t xml:space="preserve"> They are defined by the EPA as “the recurring dollar amount of costs associated with O&amp;M or purchasing services.” </w:t>
      </w:r>
      <w:r>
        <w:t>For this ICR,</w:t>
      </w:r>
      <w:r w:rsidRPr="00E17A70">
        <w:t xml:space="preserve"> O&amp;M costs </w:t>
      </w:r>
      <w:r w:rsidR="004C1673">
        <w:t>would be for mailing and</w:t>
      </w:r>
      <w:r>
        <w:t xml:space="preserve"> photocopying</w:t>
      </w:r>
      <w:r w:rsidRPr="00E17A70">
        <w:rPr>
          <w:szCs w:val="28"/>
        </w:rPr>
        <w:t>.</w:t>
      </w:r>
    </w:p>
    <w:p w:rsidRPr="00E17A70" w:rsidR="007B61E5" w:rsidP="007B61E5" w:rsidRDefault="007B61E5" w14:paraId="01DF8945" w14:textId="77777777">
      <w:pPr>
        <w:rPr>
          <w:szCs w:val="28"/>
        </w:rPr>
      </w:pPr>
    </w:p>
    <w:p w:rsidRPr="00E17A70" w:rsidR="007B61E5" w:rsidP="007B61E5" w:rsidRDefault="007B61E5" w14:paraId="77A1D11D" w14:textId="77777777">
      <w:pPr>
        <w:ind w:firstLine="720"/>
      </w:pPr>
      <w:r w:rsidRPr="00E17A70">
        <w:rPr>
          <w:b/>
          <w:bCs/>
        </w:rPr>
        <w:t>6(c)</w:t>
      </w:r>
      <w:r w:rsidRPr="00E17A70">
        <w:rPr>
          <w:b/>
          <w:bCs/>
        </w:rPr>
        <w:tab/>
        <w:t>Estimating Agency Burden and Costs</w:t>
      </w:r>
    </w:p>
    <w:p w:rsidRPr="00E17A70" w:rsidR="007B61E5" w:rsidP="007B61E5" w:rsidRDefault="007B61E5" w14:paraId="15E03675" w14:textId="77777777">
      <w:pPr>
        <w:rPr>
          <w:szCs w:val="28"/>
        </w:rPr>
      </w:pPr>
    </w:p>
    <w:p w:rsidRPr="00190856" w:rsidR="00B96F43" w:rsidP="00B96F43" w:rsidRDefault="00B96F43" w14:paraId="1E3B4449" w14:textId="21D83FF7">
      <w:pPr>
        <w:ind w:firstLine="720"/>
        <w:rPr>
          <w:bCs/>
        </w:rPr>
      </w:pPr>
      <w:r>
        <w:rPr>
          <w:bCs/>
        </w:rPr>
        <w:t>Although the Agency will review biennial reports from reverse distributors for their hazardous waste pharmaceuticals in these states, EPA expects that the Agency will already review biennial reports from reverse distributors due to their non-pharmaceutical hazardous waste, and thus will not face an</w:t>
      </w:r>
      <w:r w:rsidR="00195FC7">
        <w:rPr>
          <w:bCs/>
        </w:rPr>
        <w:t>y</w:t>
      </w:r>
      <w:r>
        <w:rPr>
          <w:bCs/>
        </w:rPr>
        <w:t xml:space="preserve"> burden under this </w:t>
      </w:r>
      <w:r w:rsidR="00195FC7">
        <w:rPr>
          <w:bCs/>
        </w:rPr>
        <w:t>ICR</w:t>
      </w:r>
      <w:r>
        <w:rPr>
          <w:bCs/>
        </w:rPr>
        <w:t xml:space="preserve">. </w:t>
      </w:r>
    </w:p>
    <w:p w:rsidRPr="00E17A70" w:rsidR="007B61E5" w:rsidP="007B61E5" w:rsidRDefault="007B61E5" w14:paraId="72C0EDDE" w14:textId="77777777">
      <w:pPr>
        <w:rPr>
          <w:szCs w:val="28"/>
        </w:rPr>
      </w:pPr>
    </w:p>
    <w:p w:rsidRPr="00E17A70" w:rsidR="007B61E5" w:rsidP="007B61E5" w:rsidRDefault="007B61E5" w14:paraId="6E72535C" w14:textId="77777777">
      <w:pPr>
        <w:ind w:firstLine="720"/>
        <w:rPr>
          <w:b/>
          <w:bCs/>
        </w:rPr>
      </w:pPr>
      <w:r w:rsidRPr="00E17A70">
        <w:rPr>
          <w:b/>
          <w:bCs/>
        </w:rPr>
        <w:t>6(d)</w:t>
      </w:r>
      <w:r w:rsidRPr="00E17A70">
        <w:rPr>
          <w:b/>
          <w:bCs/>
        </w:rPr>
        <w:tab/>
        <w:t>Estimating the Respondent Universe and Total Burden and Costs</w:t>
      </w:r>
    </w:p>
    <w:p w:rsidRPr="00E17A70" w:rsidR="007B61E5" w:rsidP="007B61E5" w:rsidRDefault="007B61E5" w14:paraId="32F4D80D" w14:textId="77777777">
      <w:pPr>
        <w:rPr>
          <w:szCs w:val="28"/>
        </w:rPr>
      </w:pPr>
    </w:p>
    <w:p w:rsidR="007B61E5" w:rsidP="001F0E45" w:rsidRDefault="007B61E5" w14:paraId="7611264A" w14:textId="77777777">
      <w:pPr>
        <w:ind w:firstLine="720"/>
        <w:rPr>
          <w:b/>
        </w:rPr>
      </w:pPr>
      <w:r w:rsidRPr="00E17A70">
        <w:rPr>
          <w:b/>
        </w:rPr>
        <w:t xml:space="preserve">Respondent Universe </w:t>
      </w:r>
    </w:p>
    <w:p w:rsidR="007B61E5" w:rsidP="007B61E5" w:rsidRDefault="007B61E5" w14:paraId="0AF6CE3C" w14:textId="77777777">
      <w:pPr>
        <w:rPr>
          <w:b/>
        </w:rPr>
      </w:pPr>
    </w:p>
    <w:tbl>
      <w:tblPr>
        <w:tblStyle w:val="TableGrid1"/>
        <w:tblW w:w="9648" w:type="dxa"/>
        <w:tblLook w:val="04A0" w:firstRow="1" w:lastRow="0" w:firstColumn="1" w:lastColumn="0" w:noHBand="0" w:noVBand="1"/>
      </w:tblPr>
      <w:tblGrid>
        <w:gridCol w:w="4121"/>
        <w:gridCol w:w="2737"/>
        <w:gridCol w:w="2790"/>
      </w:tblGrid>
      <w:tr w:rsidRPr="00B44622" w:rsidR="00195FC7" w:rsidTr="00195FC7" w14:paraId="033492E3" w14:textId="77777777">
        <w:trPr>
          <w:gridAfter w:val="2"/>
          <w:wAfter w:w="5527" w:type="dxa"/>
          <w:trHeight w:val="408"/>
        </w:trPr>
        <w:tc>
          <w:tcPr>
            <w:tcW w:w="4121" w:type="dxa"/>
            <w:vMerge w:val="restart"/>
            <w:noWrap/>
            <w:hideMark/>
          </w:tcPr>
          <w:p w:rsidR="00195FC7" w:rsidP="00B44622" w:rsidRDefault="00195FC7" w14:paraId="010D2654" w14:textId="69901FCB">
            <w:pPr>
              <w:rPr>
                <w:rFonts w:ascii="Times New Roman" w:hAnsi="Times New Roman"/>
                <w:b/>
                <w:bCs/>
                <w:sz w:val="20"/>
                <w:szCs w:val="20"/>
              </w:rPr>
            </w:pPr>
            <w:r>
              <w:rPr>
                <w:rFonts w:ascii="Times New Roman" w:hAnsi="Times New Roman"/>
                <w:b/>
                <w:bCs/>
                <w:sz w:val="20"/>
                <w:szCs w:val="20"/>
              </w:rPr>
              <w:t>TABLE 1</w:t>
            </w:r>
          </w:p>
          <w:p w:rsidR="00195FC7" w:rsidP="00B44622" w:rsidRDefault="00195FC7" w14:paraId="18CF8379" w14:textId="77777777">
            <w:pPr>
              <w:rPr>
                <w:rFonts w:ascii="Times New Roman" w:hAnsi="Times New Roman"/>
                <w:b/>
                <w:bCs/>
                <w:sz w:val="20"/>
                <w:szCs w:val="20"/>
              </w:rPr>
            </w:pPr>
          </w:p>
          <w:p w:rsidR="00195FC7" w:rsidP="00B44622" w:rsidRDefault="00195FC7" w14:paraId="75516775" w14:textId="77777777">
            <w:pPr>
              <w:rPr>
                <w:rFonts w:ascii="Times New Roman" w:hAnsi="Times New Roman"/>
                <w:b/>
                <w:bCs/>
                <w:sz w:val="20"/>
                <w:szCs w:val="20"/>
              </w:rPr>
            </w:pPr>
          </w:p>
          <w:p w:rsidRPr="00B44622" w:rsidR="00195FC7" w:rsidP="00B44622" w:rsidRDefault="00195FC7" w14:paraId="2F524BD9" w14:textId="6BF37160">
            <w:pPr>
              <w:rPr>
                <w:rFonts w:ascii="Times New Roman" w:hAnsi="Times New Roman"/>
                <w:b/>
                <w:bCs/>
                <w:sz w:val="20"/>
                <w:szCs w:val="20"/>
              </w:rPr>
            </w:pPr>
            <w:r w:rsidRPr="00B44622">
              <w:rPr>
                <w:rFonts w:ascii="Times New Roman" w:hAnsi="Times New Roman"/>
                <w:b/>
                <w:bCs/>
                <w:sz w:val="20"/>
                <w:szCs w:val="20"/>
              </w:rPr>
              <w:t>Respondent Type</w:t>
            </w:r>
          </w:p>
        </w:tc>
      </w:tr>
      <w:tr w:rsidRPr="00B44622" w:rsidR="00195FC7" w:rsidTr="00195FC7" w14:paraId="54AF9725" w14:textId="77777777">
        <w:trPr>
          <w:trHeight w:val="1309"/>
        </w:trPr>
        <w:tc>
          <w:tcPr>
            <w:tcW w:w="4121" w:type="dxa"/>
            <w:vMerge/>
            <w:hideMark/>
          </w:tcPr>
          <w:p w:rsidRPr="00B44622" w:rsidR="00195FC7" w:rsidP="00B44622" w:rsidRDefault="00195FC7" w14:paraId="12F3B3C8" w14:textId="77777777">
            <w:pPr>
              <w:rPr>
                <w:rFonts w:ascii="Times New Roman" w:hAnsi="Times New Roman"/>
                <w:b/>
                <w:bCs/>
                <w:sz w:val="20"/>
                <w:szCs w:val="20"/>
              </w:rPr>
            </w:pPr>
          </w:p>
        </w:tc>
        <w:tc>
          <w:tcPr>
            <w:tcW w:w="2737" w:type="dxa"/>
            <w:vAlign w:val="center"/>
            <w:hideMark/>
          </w:tcPr>
          <w:p w:rsidRPr="00B44622" w:rsidR="00195FC7" w:rsidP="00B44622" w:rsidRDefault="00195FC7" w14:paraId="2A44C4AB" w14:textId="77777777">
            <w:pPr>
              <w:rPr>
                <w:rFonts w:ascii="Times New Roman" w:hAnsi="Times New Roman"/>
                <w:b/>
                <w:bCs/>
                <w:sz w:val="20"/>
                <w:szCs w:val="20"/>
              </w:rPr>
            </w:pPr>
            <w:r w:rsidRPr="00B44622">
              <w:rPr>
                <w:rFonts w:ascii="Times New Roman" w:hAnsi="Times New Roman"/>
                <w:b/>
                <w:bCs/>
                <w:sz w:val="20"/>
                <w:szCs w:val="20"/>
              </w:rPr>
              <w:t>Large Quantity Generators (LQGs)</w:t>
            </w:r>
          </w:p>
        </w:tc>
        <w:tc>
          <w:tcPr>
            <w:tcW w:w="2790" w:type="dxa"/>
            <w:vAlign w:val="center"/>
            <w:hideMark/>
          </w:tcPr>
          <w:p w:rsidRPr="00B44622" w:rsidR="00195FC7" w:rsidP="00B44622" w:rsidRDefault="00195FC7" w14:paraId="2B39A9C4" w14:textId="77777777">
            <w:pPr>
              <w:rPr>
                <w:rFonts w:ascii="Times New Roman" w:hAnsi="Times New Roman"/>
                <w:b/>
                <w:bCs/>
                <w:sz w:val="20"/>
                <w:szCs w:val="20"/>
              </w:rPr>
            </w:pPr>
            <w:r w:rsidRPr="00B44622">
              <w:rPr>
                <w:rFonts w:ascii="Times New Roman" w:hAnsi="Times New Roman"/>
                <w:b/>
                <w:bCs/>
                <w:sz w:val="20"/>
                <w:szCs w:val="20"/>
              </w:rPr>
              <w:t>Small Quantity Generators (SQGs)</w:t>
            </w:r>
          </w:p>
        </w:tc>
      </w:tr>
      <w:tr w:rsidRPr="00B44622" w:rsidR="00195FC7" w:rsidTr="00195FC7" w14:paraId="1635D2A8" w14:textId="77777777">
        <w:trPr>
          <w:trHeight w:val="300"/>
        </w:trPr>
        <w:tc>
          <w:tcPr>
            <w:tcW w:w="4121" w:type="dxa"/>
            <w:noWrap/>
            <w:hideMark/>
          </w:tcPr>
          <w:p w:rsidRPr="00B44622" w:rsidR="00195FC7" w:rsidP="00B44622" w:rsidRDefault="00195FC7" w14:paraId="6F46460C" w14:textId="77777777">
            <w:pPr>
              <w:rPr>
                <w:rFonts w:ascii="Times New Roman" w:hAnsi="Times New Roman"/>
                <w:sz w:val="20"/>
                <w:szCs w:val="20"/>
              </w:rPr>
            </w:pPr>
            <w:r w:rsidRPr="00B44622">
              <w:rPr>
                <w:rFonts w:ascii="Times New Roman" w:hAnsi="Times New Roman"/>
                <w:sz w:val="20"/>
                <w:szCs w:val="20"/>
              </w:rPr>
              <w:t>SUBPART_P_HEALTHCARE</w:t>
            </w:r>
          </w:p>
        </w:tc>
        <w:tc>
          <w:tcPr>
            <w:tcW w:w="2737" w:type="dxa"/>
            <w:noWrap/>
            <w:hideMark/>
          </w:tcPr>
          <w:p w:rsidRPr="00B44622" w:rsidR="00195FC7" w:rsidP="00B44622" w:rsidRDefault="00195FC7" w14:paraId="75FA31DE" w14:textId="77777777">
            <w:pPr>
              <w:rPr>
                <w:rFonts w:ascii="Times New Roman" w:hAnsi="Times New Roman"/>
                <w:sz w:val="20"/>
                <w:szCs w:val="20"/>
              </w:rPr>
            </w:pPr>
            <w:r w:rsidRPr="00B44622">
              <w:rPr>
                <w:rFonts w:ascii="Times New Roman" w:hAnsi="Times New Roman"/>
                <w:sz w:val="20"/>
                <w:szCs w:val="20"/>
              </w:rPr>
              <w:t>223</w:t>
            </w:r>
          </w:p>
        </w:tc>
        <w:tc>
          <w:tcPr>
            <w:tcW w:w="2790" w:type="dxa"/>
            <w:noWrap/>
            <w:hideMark/>
          </w:tcPr>
          <w:p w:rsidRPr="00B44622" w:rsidR="00195FC7" w:rsidP="00B44622" w:rsidRDefault="00195FC7" w14:paraId="1A580710" w14:textId="77777777">
            <w:pPr>
              <w:rPr>
                <w:rFonts w:ascii="Times New Roman" w:hAnsi="Times New Roman"/>
                <w:sz w:val="20"/>
                <w:szCs w:val="20"/>
              </w:rPr>
            </w:pPr>
            <w:r w:rsidRPr="00B44622">
              <w:rPr>
                <w:rFonts w:ascii="Times New Roman" w:hAnsi="Times New Roman"/>
                <w:sz w:val="20"/>
                <w:szCs w:val="20"/>
              </w:rPr>
              <w:t>1,624</w:t>
            </w:r>
          </w:p>
        </w:tc>
      </w:tr>
      <w:tr w:rsidRPr="00B44622" w:rsidR="00195FC7" w:rsidTr="00195FC7" w14:paraId="49F24563" w14:textId="77777777">
        <w:trPr>
          <w:trHeight w:val="300"/>
        </w:trPr>
        <w:tc>
          <w:tcPr>
            <w:tcW w:w="4121" w:type="dxa"/>
            <w:noWrap/>
            <w:hideMark/>
          </w:tcPr>
          <w:p w:rsidRPr="00B44622" w:rsidR="00195FC7" w:rsidP="00B44622" w:rsidRDefault="00195FC7" w14:paraId="29DF318D" w14:textId="77777777">
            <w:pPr>
              <w:rPr>
                <w:rFonts w:ascii="Times New Roman" w:hAnsi="Times New Roman"/>
                <w:sz w:val="20"/>
                <w:szCs w:val="20"/>
              </w:rPr>
            </w:pPr>
            <w:r w:rsidRPr="00B44622">
              <w:rPr>
                <w:rFonts w:ascii="Times New Roman" w:hAnsi="Times New Roman"/>
                <w:sz w:val="20"/>
                <w:szCs w:val="20"/>
              </w:rPr>
              <w:t>SUBPART_P_REVERSE_DISTRIBUTOR</w:t>
            </w:r>
          </w:p>
        </w:tc>
        <w:tc>
          <w:tcPr>
            <w:tcW w:w="2737" w:type="dxa"/>
            <w:noWrap/>
            <w:hideMark/>
          </w:tcPr>
          <w:p w:rsidRPr="00B44622" w:rsidR="00195FC7" w:rsidP="00B44622" w:rsidRDefault="00195FC7" w14:paraId="727CC2BD" w14:textId="77777777">
            <w:pPr>
              <w:rPr>
                <w:rFonts w:ascii="Times New Roman" w:hAnsi="Times New Roman"/>
                <w:sz w:val="20"/>
                <w:szCs w:val="20"/>
              </w:rPr>
            </w:pPr>
            <w:r w:rsidRPr="00B44622">
              <w:rPr>
                <w:rFonts w:ascii="Times New Roman" w:hAnsi="Times New Roman"/>
                <w:sz w:val="20"/>
                <w:szCs w:val="20"/>
              </w:rPr>
              <w:t>9</w:t>
            </w:r>
          </w:p>
        </w:tc>
        <w:tc>
          <w:tcPr>
            <w:tcW w:w="2790" w:type="dxa"/>
            <w:noWrap/>
            <w:hideMark/>
          </w:tcPr>
          <w:p w:rsidRPr="00B44622" w:rsidR="00195FC7" w:rsidP="00B44622" w:rsidRDefault="00195FC7" w14:paraId="3747C8AB" w14:textId="77777777">
            <w:pPr>
              <w:rPr>
                <w:rFonts w:ascii="Times New Roman" w:hAnsi="Times New Roman"/>
                <w:sz w:val="20"/>
                <w:szCs w:val="20"/>
              </w:rPr>
            </w:pPr>
            <w:r w:rsidRPr="00B44622">
              <w:rPr>
                <w:rFonts w:ascii="Times New Roman" w:hAnsi="Times New Roman"/>
                <w:sz w:val="20"/>
                <w:szCs w:val="20"/>
              </w:rPr>
              <w:t> </w:t>
            </w:r>
          </w:p>
        </w:tc>
      </w:tr>
      <w:tr w:rsidRPr="00B44622" w:rsidR="00195FC7" w:rsidTr="00195FC7" w14:paraId="6E35FADD" w14:textId="77777777">
        <w:trPr>
          <w:trHeight w:val="300"/>
        </w:trPr>
        <w:tc>
          <w:tcPr>
            <w:tcW w:w="4121" w:type="dxa"/>
            <w:noWrap/>
            <w:hideMark/>
          </w:tcPr>
          <w:p w:rsidRPr="00B44622" w:rsidR="00195FC7" w:rsidP="00B44622" w:rsidRDefault="00195FC7" w14:paraId="6E5CC273" w14:textId="77777777">
            <w:pPr>
              <w:rPr>
                <w:rFonts w:ascii="Times New Roman" w:hAnsi="Times New Roman"/>
                <w:sz w:val="20"/>
                <w:szCs w:val="20"/>
              </w:rPr>
            </w:pPr>
            <w:r w:rsidRPr="00B44622">
              <w:rPr>
                <w:rFonts w:ascii="Times New Roman" w:hAnsi="Times New Roman"/>
                <w:sz w:val="20"/>
                <w:szCs w:val="20"/>
              </w:rPr>
              <w:t>SUBPART_P_WITHDRAWAL</w:t>
            </w:r>
          </w:p>
        </w:tc>
        <w:tc>
          <w:tcPr>
            <w:tcW w:w="2737" w:type="dxa"/>
            <w:noWrap/>
            <w:hideMark/>
          </w:tcPr>
          <w:p w:rsidRPr="00B44622" w:rsidR="00195FC7" w:rsidP="00B44622" w:rsidRDefault="00195FC7" w14:paraId="779CADA9" w14:textId="77777777">
            <w:pPr>
              <w:rPr>
                <w:rFonts w:ascii="Times New Roman" w:hAnsi="Times New Roman"/>
                <w:sz w:val="20"/>
                <w:szCs w:val="20"/>
              </w:rPr>
            </w:pPr>
            <w:r w:rsidRPr="00B44622">
              <w:rPr>
                <w:rFonts w:ascii="Times New Roman" w:hAnsi="Times New Roman"/>
                <w:sz w:val="20"/>
                <w:szCs w:val="20"/>
              </w:rPr>
              <w:t>2</w:t>
            </w:r>
          </w:p>
        </w:tc>
        <w:tc>
          <w:tcPr>
            <w:tcW w:w="2790" w:type="dxa"/>
            <w:noWrap/>
            <w:hideMark/>
          </w:tcPr>
          <w:p w:rsidRPr="00B44622" w:rsidR="00195FC7" w:rsidP="00B44622" w:rsidRDefault="00195FC7" w14:paraId="50BF1E36" w14:textId="77777777">
            <w:pPr>
              <w:rPr>
                <w:rFonts w:ascii="Times New Roman" w:hAnsi="Times New Roman"/>
                <w:sz w:val="20"/>
                <w:szCs w:val="20"/>
              </w:rPr>
            </w:pPr>
            <w:r w:rsidRPr="00B44622">
              <w:rPr>
                <w:rFonts w:ascii="Times New Roman" w:hAnsi="Times New Roman"/>
                <w:sz w:val="20"/>
                <w:szCs w:val="20"/>
              </w:rPr>
              <w:t>2</w:t>
            </w:r>
          </w:p>
        </w:tc>
      </w:tr>
      <w:tr w:rsidRPr="00B44622" w:rsidR="00195FC7" w:rsidTr="00195FC7" w14:paraId="78816C13" w14:textId="77777777">
        <w:trPr>
          <w:trHeight w:val="300"/>
        </w:trPr>
        <w:tc>
          <w:tcPr>
            <w:tcW w:w="4121" w:type="dxa"/>
            <w:noWrap/>
            <w:hideMark/>
          </w:tcPr>
          <w:p w:rsidRPr="00B44622" w:rsidR="00195FC7" w:rsidP="00B44622" w:rsidRDefault="00195FC7" w14:paraId="27E5E58D" w14:textId="77777777">
            <w:pPr>
              <w:rPr>
                <w:rFonts w:ascii="Times New Roman" w:hAnsi="Times New Roman"/>
                <w:b/>
                <w:bCs/>
                <w:sz w:val="20"/>
                <w:szCs w:val="20"/>
              </w:rPr>
            </w:pPr>
            <w:r w:rsidRPr="00B44622">
              <w:rPr>
                <w:rFonts w:ascii="Times New Roman" w:hAnsi="Times New Roman"/>
                <w:b/>
                <w:bCs/>
                <w:sz w:val="20"/>
                <w:szCs w:val="20"/>
              </w:rPr>
              <w:t>Total</w:t>
            </w:r>
          </w:p>
        </w:tc>
        <w:tc>
          <w:tcPr>
            <w:tcW w:w="2737" w:type="dxa"/>
            <w:noWrap/>
            <w:hideMark/>
          </w:tcPr>
          <w:p w:rsidRPr="00B44622" w:rsidR="00195FC7" w:rsidP="00B44622" w:rsidRDefault="00195FC7" w14:paraId="39A4100A" w14:textId="77777777">
            <w:pPr>
              <w:rPr>
                <w:rFonts w:ascii="Times New Roman" w:hAnsi="Times New Roman"/>
                <w:b/>
                <w:bCs/>
                <w:sz w:val="20"/>
                <w:szCs w:val="20"/>
              </w:rPr>
            </w:pPr>
            <w:r w:rsidRPr="00B44622">
              <w:rPr>
                <w:rFonts w:ascii="Times New Roman" w:hAnsi="Times New Roman"/>
                <w:b/>
                <w:bCs/>
                <w:sz w:val="20"/>
                <w:szCs w:val="20"/>
              </w:rPr>
              <w:t>6,537</w:t>
            </w:r>
          </w:p>
        </w:tc>
        <w:tc>
          <w:tcPr>
            <w:tcW w:w="2790" w:type="dxa"/>
            <w:noWrap/>
            <w:hideMark/>
          </w:tcPr>
          <w:p w:rsidRPr="00B44622" w:rsidR="00195FC7" w:rsidP="00B44622" w:rsidRDefault="00195FC7" w14:paraId="660823DA" w14:textId="77777777">
            <w:pPr>
              <w:rPr>
                <w:rFonts w:ascii="Times New Roman" w:hAnsi="Times New Roman"/>
                <w:b/>
                <w:bCs/>
                <w:sz w:val="20"/>
                <w:szCs w:val="20"/>
              </w:rPr>
            </w:pPr>
            <w:r w:rsidRPr="00B44622">
              <w:rPr>
                <w:rFonts w:ascii="Times New Roman" w:hAnsi="Times New Roman"/>
                <w:b/>
                <w:bCs/>
                <w:sz w:val="20"/>
                <w:szCs w:val="20"/>
              </w:rPr>
              <w:t>1,626</w:t>
            </w:r>
          </w:p>
        </w:tc>
      </w:tr>
    </w:tbl>
    <w:p w:rsidR="00B96EBD" w:rsidP="002E2573" w:rsidRDefault="00B96EBD" w14:paraId="305B403D" w14:textId="77777777">
      <w:pPr>
        <w:jc w:val="center"/>
      </w:pPr>
    </w:p>
    <w:p w:rsidR="002E2573" w:rsidP="00A36A0C" w:rsidRDefault="002E2573" w14:paraId="30E699CA" w14:textId="77777777">
      <w:pPr>
        <w:ind w:firstLine="720"/>
        <w:rPr>
          <w:b/>
          <w:bCs/>
        </w:rPr>
      </w:pPr>
    </w:p>
    <w:p w:rsidRPr="00E17A70" w:rsidR="007B61E5" w:rsidP="00A36A0C" w:rsidRDefault="007B61E5" w14:paraId="19A6B845" w14:textId="77777777">
      <w:pPr>
        <w:ind w:firstLine="720"/>
      </w:pPr>
      <w:r w:rsidRPr="00E17A70">
        <w:rPr>
          <w:b/>
          <w:bCs/>
        </w:rPr>
        <w:t>Respondent Burden and Cost</w:t>
      </w:r>
    </w:p>
    <w:p w:rsidR="007B61E5" w:rsidP="007B61E5" w:rsidRDefault="007B61E5" w14:paraId="2BF7F966" w14:textId="77777777">
      <w:pPr>
        <w:ind w:firstLine="720"/>
      </w:pPr>
    </w:p>
    <w:p w:rsidRPr="00E17A70" w:rsidR="007B61E5" w:rsidP="007B61E5" w:rsidRDefault="007B61E5" w14:paraId="632778B9" w14:textId="5920A668">
      <w:pPr>
        <w:ind w:firstLine="720"/>
      </w:pPr>
      <w:r w:rsidRPr="00E17A70">
        <w:t xml:space="preserve">A discussion of the assumptions used in developing these burden </w:t>
      </w:r>
      <w:r w:rsidR="00B6701B">
        <w:t xml:space="preserve">and cost </w:t>
      </w:r>
      <w:r w:rsidRPr="00E17A70">
        <w:t xml:space="preserve">estimates follows.  </w:t>
      </w:r>
    </w:p>
    <w:p w:rsidRPr="00E17A70" w:rsidR="007B61E5" w:rsidP="007B61E5" w:rsidRDefault="007B61E5" w14:paraId="7C4F33A9" w14:textId="77777777">
      <w:pPr>
        <w:rPr>
          <w:szCs w:val="28"/>
        </w:rPr>
      </w:pPr>
    </w:p>
    <w:p w:rsidRPr="00E17A70" w:rsidR="007B61E5" w:rsidP="007B61E5" w:rsidRDefault="007B61E5" w14:paraId="057DCE2A" w14:textId="77777777">
      <w:pPr>
        <w:ind w:firstLine="720"/>
      </w:pPr>
      <w:r w:rsidRPr="00E17A70">
        <w:rPr>
          <w:b/>
          <w:bCs/>
        </w:rPr>
        <w:t>Reading the Regulations</w:t>
      </w:r>
    </w:p>
    <w:p w:rsidRPr="00E17A70" w:rsidR="007B61E5" w:rsidP="007B61E5" w:rsidRDefault="007B61E5" w14:paraId="465AC6CC" w14:textId="77777777">
      <w:pPr>
        <w:rPr>
          <w:szCs w:val="28"/>
        </w:rPr>
      </w:pPr>
    </w:p>
    <w:p w:rsidR="002E2573" w:rsidP="007B61E5" w:rsidRDefault="007B61E5" w14:paraId="23895A06" w14:textId="2E3C3F92">
      <w:pPr>
        <w:ind w:firstLine="720"/>
      </w:pPr>
      <w:r w:rsidRPr="00E17A70">
        <w:t xml:space="preserve">As shown in </w:t>
      </w:r>
      <w:r w:rsidR="00B44622">
        <w:t>Table</w:t>
      </w:r>
      <w:r w:rsidRPr="00E17A70">
        <w:t xml:space="preserve"> 1, EPA estimates </w:t>
      </w:r>
      <w:r w:rsidRPr="0067057B">
        <w:t xml:space="preserve">that </w:t>
      </w:r>
      <w:r w:rsidR="00195FC7">
        <w:t>8,163</w:t>
      </w:r>
      <w:r w:rsidRPr="009F56C1" w:rsidR="006A5A5B">
        <w:rPr>
          <w:szCs w:val="28"/>
        </w:rPr>
        <w:t xml:space="preserve"> </w:t>
      </w:r>
      <w:r w:rsidRPr="0067057B">
        <w:t>facilities</w:t>
      </w:r>
      <w:r w:rsidRPr="00E17A70">
        <w:t xml:space="preserve"> will </w:t>
      </w:r>
      <w:r w:rsidR="00A77F9E">
        <w:t xml:space="preserve">need to </w:t>
      </w:r>
      <w:r w:rsidRPr="00E17A70">
        <w:t xml:space="preserve">read the rule </w:t>
      </w:r>
      <w:r w:rsidR="00A77F9E">
        <w:t>in order to understand and comply with the new information collection requirements</w:t>
      </w:r>
      <w:r w:rsidR="002078B4">
        <w:t>.</w:t>
      </w:r>
      <w:r w:rsidR="00A77F9E">
        <w:t xml:space="preserve"> </w:t>
      </w:r>
      <w:r w:rsidR="00F877A5">
        <w:t>EPA estimate</w:t>
      </w:r>
      <w:r w:rsidR="00FD7656">
        <w:t>d</w:t>
      </w:r>
      <w:r w:rsidR="00F877A5">
        <w:t xml:space="preserve"> 3.5 hours per respondent</w:t>
      </w:r>
      <w:r w:rsidR="000F7445">
        <w:t>, resulting</w:t>
      </w:r>
      <w:r w:rsidRPr="00FA545C" w:rsidR="00F877A5">
        <w:t xml:space="preserve"> in </w:t>
      </w:r>
      <w:r w:rsidR="000F7445">
        <w:t xml:space="preserve">a </w:t>
      </w:r>
      <w:r w:rsidRPr="00FA545C" w:rsidR="00F877A5">
        <w:t xml:space="preserve">total </w:t>
      </w:r>
      <w:r w:rsidRPr="00FA545C" w:rsidR="00FA6B7F">
        <w:t xml:space="preserve">burden </w:t>
      </w:r>
      <w:r w:rsidRPr="00FA545C" w:rsidR="00F877A5">
        <w:t xml:space="preserve">of </w:t>
      </w:r>
      <w:r w:rsidR="00195FC7">
        <w:t>28,571</w:t>
      </w:r>
      <w:r w:rsidRPr="00FA545C" w:rsidR="00F877A5">
        <w:t xml:space="preserve"> hours</w:t>
      </w:r>
      <w:r w:rsidRPr="00FA545C" w:rsidR="00FA6B7F">
        <w:t>, at</w:t>
      </w:r>
      <w:r w:rsidRPr="00FA545C" w:rsidR="00B6701B">
        <w:t xml:space="preserve"> </w:t>
      </w:r>
      <w:r w:rsidR="000F7445">
        <w:t xml:space="preserve">a </w:t>
      </w:r>
      <w:r w:rsidRPr="00FA545C" w:rsidR="00B6701B">
        <w:t>total cost of $</w:t>
      </w:r>
      <w:r w:rsidR="0027756A">
        <w:t>2,</w:t>
      </w:r>
      <w:r w:rsidR="00F612B8">
        <w:t>612,160</w:t>
      </w:r>
      <w:r w:rsidRPr="00FA545C" w:rsidR="00FA6B7F">
        <w:t>,</w:t>
      </w:r>
      <w:r w:rsidRPr="00FA545C" w:rsidR="00B6701B">
        <w:t xml:space="preserve"> for all of the respondents reading the rule.</w:t>
      </w:r>
      <w:r w:rsidR="00B6701B">
        <w:t xml:space="preserve">  </w:t>
      </w:r>
    </w:p>
    <w:p w:rsidR="001C4982" w:rsidP="00475B81" w:rsidRDefault="001C4982" w14:paraId="6DA7FD8E" w14:textId="573A66E2">
      <w:pPr>
        <w:rPr>
          <w:b/>
          <w:bCs/>
          <w:szCs w:val="28"/>
        </w:rPr>
      </w:pPr>
    </w:p>
    <w:p w:rsidR="006A6045" w:rsidP="001F0E45" w:rsidRDefault="006A6045" w14:paraId="60B7258C" w14:textId="49AD2844">
      <w:pPr>
        <w:ind w:firstLine="720"/>
        <w:rPr>
          <w:b/>
          <w:bCs/>
          <w:szCs w:val="28"/>
        </w:rPr>
      </w:pPr>
      <w:r w:rsidRPr="00976E1E">
        <w:rPr>
          <w:b/>
          <w:bCs/>
          <w:szCs w:val="28"/>
        </w:rPr>
        <w:t>Notification</w:t>
      </w:r>
      <w:r w:rsidRPr="00976E1E" w:rsidR="00273D08">
        <w:rPr>
          <w:b/>
          <w:bCs/>
          <w:szCs w:val="28"/>
        </w:rPr>
        <w:t xml:space="preserve">s </w:t>
      </w:r>
      <w:r w:rsidR="00273D08">
        <w:rPr>
          <w:b/>
          <w:bCs/>
          <w:szCs w:val="28"/>
        </w:rPr>
        <w:t>to EPA</w:t>
      </w:r>
    </w:p>
    <w:p w:rsidR="0019371F" w:rsidP="001F0E45" w:rsidRDefault="0019371F" w14:paraId="6D285A87" w14:textId="77777777">
      <w:pPr>
        <w:ind w:firstLine="720"/>
        <w:rPr>
          <w:b/>
          <w:bCs/>
          <w:szCs w:val="28"/>
        </w:rPr>
      </w:pPr>
    </w:p>
    <w:p w:rsidR="00356549" w:rsidP="00356549" w:rsidRDefault="0019371F" w14:paraId="3D8AD9A3" w14:textId="77777777">
      <w:pPr>
        <w:ind w:firstLine="720"/>
      </w:pPr>
      <w:r>
        <w:rPr>
          <w:bCs/>
          <w:szCs w:val="28"/>
        </w:rPr>
        <w:t xml:space="preserve">Under </w:t>
      </w:r>
      <w:r w:rsidR="00BC6DD6">
        <w:rPr>
          <w:bCs/>
          <w:szCs w:val="28"/>
        </w:rPr>
        <w:t xml:space="preserve">current </w:t>
      </w:r>
      <w:r>
        <w:rPr>
          <w:bCs/>
          <w:szCs w:val="28"/>
        </w:rPr>
        <w:t>RCRA Subtitle C</w:t>
      </w:r>
      <w:r w:rsidR="001610B4">
        <w:rPr>
          <w:bCs/>
          <w:szCs w:val="28"/>
        </w:rPr>
        <w:t xml:space="preserve"> regulations</w:t>
      </w:r>
      <w:r>
        <w:rPr>
          <w:bCs/>
          <w:szCs w:val="28"/>
        </w:rPr>
        <w:t>, LQGs and SQGs are required to notify EPA and obtain an EPA ID number prior</w:t>
      </w:r>
      <w:r w:rsidR="002078B4">
        <w:rPr>
          <w:bCs/>
          <w:szCs w:val="28"/>
        </w:rPr>
        <w:t xml:space="preserve"> to managing hazardous wastes. </w:t>
      </w:r>
      <w:r w:rsidR="009C5D91">
        <w:rPr>
          <w:bCs/>
          <w:szCs w:val="28"/>
        </w:rPr>
        <w:t>LQGs and some SQGs are also</w:t>
      </w:r>
      <w:r w:rsidR="002078B4">
        <w:rPr>
          <w:bCs/>
          <w:szCs w:val="28"/>
        </w:rPr>
        <w:t xml:space="preserve"> subject to biennial reporting.</w:t>
      </w:r>
      <w:r w:rsidR="009C5D91">
        <w:rPr>
          <w:bCs/>
          <w:szCs w:val="28"/>
        </w:rPr>
        <w:t xml:space="preserve"> </w:t>
      </w:r>
      <w:r w:rsidR="00D734E3">
        <w:rPr>
          <w:bCs/>
          <w:szCs w:val="28"/>
        </w:rPr>
        <w:t xml:space="preserve">Therefore, </w:t>
      </w:r>
      <w:r w:rsidR="008F5A3A">
        <w:rPr>
          <w:bCs/>
          <w:szCs w:val="28"/>
        </w:rPr>
        <w:t xml:space="preserve">there are no additional notification costs to generators that are already submitting a biennial report, since they can notify when they submit their biennial report. The </w:t>
      </w:r>
      <w:r w:rsidRPr="009F56C1" w:rsidR="00135256">
        <w:rPr>
          <w:bCs/>
          <w:szCs w:val="28"/>
        </w:rPr>
        <w:t xml:space="preserve">initial notification costs are estimated only for </w:t>
      </w:r>
      <w:r w:rsidRPr="009F56C1" w:rsidR="00976E1E">
        <w:rPr>
          <w:bCs/>
          <w:szCs w:val="28"/>
        </w:rPr>
        <w:t>SQGs</w:t>
      </w:r>
      <w:r w:rsidR="006A115C">
        <w:rPr>
          <w:bCs/>
          <w:szCs w:val="28"/>
        </w:rPr>
        <w:t xml:space="preserve"> that will also be healthcare facilities operating under subpart P</w:t>
      </w:r>
      <w:r w:rsidRPr="009F56C1" w:rsidR="00976E1E">
        <w:rPr>
          <w:bCs/>
          <w:szCs w:val="28"/>
        </w:rPr>
        <w:t xml:space="preserve"> located in states that do not require SQGs to submit biennial rep</w:t>
      </w:r>
      <w:r w:rsidR="00273643">
        <w:rPr>
          <w:bCs/>
          <w:szCs w:val="28"/>
        </w:rPr>
        <w:t xml:space="preserve">orts. </w:t>
      </w:r>
      <w:r w:rsidR="00356549">
        <w:rPr>
          <w:bCs/>
          <w:szCs w:val="28"/>
        </w:rPr>
        <w:t>The burden associated with this activity is covered by OMB Control No. 2050-0024 “</w:t>
      </w:r>
      <w:r w:rsidR="00356549">
        <w:t>RCRA Subtitle C Reporting Instructions and Forms”.</w:t>
      </w:r>
    </w:p>
    <w:p w:rsidR="000F7445" w:rsidP="001F0E45" w:rsidRDefault="000F7445" w14:paraId="7BF96ED6" w14:textId="77777777">
      <w:pPr>
        <w:ind w:firstLine="720"/>
        <w:rPr>
          <w:b/>
          <w:bCs/>
          <w:szCs w:val="28"/>
        </w:rPr>
      </w:pPr>
    </w:p>
    <w:p w:rsidR="00273D08" w:rsidP="001F0E45" w:rsidRDefault="00273D08" w14:paraId="59D28877" w14:textId="4B5E4E94">
      <w:pPr>
        <w:ind w:firstLine="720"/>
        <w:rPr>
          <w:b/>
          <w:bCs/>
          <w:szCs w:val="28"/>
        </w:rPr>
      </w:pPr>
      <w:r>
        <w:rPr>
          <w:b/>
          <w:bCs/>
          <w:szCs w:val="28"/>
        </w:rPr>
        <w:t>Labeling</w:t>
      </w:r>
    </w:p>
    <w:p w:rsidR="00A57233" w:rsidP="001F0E45" w:rsidRDefault="00A57233" w14:paraId="7CCA1B69" w14:textId="77777777">
      <w:pPr>
        <w:ind w:firstLine="720"/>
        <w:rPr>
          <w:b/>
          <w:bCs/>
          <w:szCs w:val="28"/>
        </w:rPr>
      </w:pPr>
    </w:p>
    <w:p w:rsidR="00273D08" w:rsidP="0015623F" w:rsidRDefault="00B44622" w14:paraId="708A97B5" w14:textId="33B8E2AF">
      <w:pPr>
        <w:ind w:firstLine="720"/>
        <w:rPr>
          <w:bCs/>
          <w:szCs w:val="28"/>
        </w:rPr>
      </w:pPr>
      <w:r>
        <w:rPr>
          <w:bCs/>
          <w:szCs w:val="28"/>
        </w:rPr>
        <w:t>H</w:t>
      </w:r>
      <w:r w:rsidRPr="003636C7" w:rsidR="00F5290B">
        <w:rPr>
          <w:bCs/>
          <w:szCs w:val="28"/>
        </w:rPr>
        <w:t xml:space="preserve">ealthcare facilities </w:t>
      </w:r>
      <w:r w:rsidR="00F5290B">
        <w:rPr>
          <w:bCs/>
          <w:szCs w:val="28"/>
        </w:rPr>
        <w:t xml:space="preserve">and reverse distributors </w:t>
      </w:r>
      <w:r w:rsidRPr="003636C7" w:rsidR="00F5290B">
        <w:rPr>
          <w:bCs/>
          <w:szCs w:val="28"/>
        </w:rPr>
        <w:t>are required to label containers holding non-creditable hazardous waste pharmaceuticals</w:t>
      </w:r>
      <w:r w:rsidR="00F5290B">
        <w:rPr>
          <w:bCs/>
          <w:szCs w:val="28"/>
        </w:rPr>
        <w:t xml:space="preserve"> and evaluated hazardous waste pharmaceuticals</w:t>
      </w:r>
      <w:r w:rsidRPr="003636C7" w:rsidR="00F5290B">
        <w:rPr>
          <w:bCs/>
          <w:szCs w:val="28"/>
        </w:rPr>
        <w:t xml:space="preserve"> with the words “Hazardous Waste Pharmaceuticals,” but are not required to mark an indication of the hazards of the contents of the container or the accumulation start date on the container</w:t>
      </w:r>
      <w:r w:rsidR="00F5290B">
        <w:rPr>
          <w:bCs/>
          <w:szCs w:val="28"/>
        </w:rPr>
        <w:t xml:space="preserve"> (which is required under RCRA Subtitle C regulations for LQGs and SQGs)</w:t>
      </w:r>
      <w:r w:rsidR="00AA3DE0">
        <w:rPr>
          <w:bCs/>
          <w:szCs w:val="28"/>
        </w:rPr>
        <w:t>.</w:t>
      </w:r>
      <w:r w:rsidR="00F8698C">
        <w:rPr>
          <w:bCs/>
          <w:szCs w:val="28"/>
        </w:rPr>
        <w:t xml:space="preserve"> </w:t>
      </w:r>
      <w:r w:rsidRPr="00D92625" w:rsidR="00F8698C">
        <w:t xml:space="preserve">To ensure compliance with accumulation time limits, however, it is likely </w:t>
      </w:r>
      <w:r w:rsidR="00F8698C">
        <w:t>most facilities will label the accumulation start date on the container.</w:t>
      </w:r>
      <w:r w:rsidR="00AA3DE0">
        <w:rPr>
          <w:bCs/>
          <w:szCs w:val="28"/>
        </w:rPr>
        <w:t xml:space="preserve"> </w:t>
      </w:r>
      <w:r w:rsidR="000F7445">
        <w:rPr>
          <w:bCs/>
          <w:szCs w:val="28"/>
        </w:rPr>
        <w:t>According to RCRAInfo</w:t>
      </w:r>
      <w:r w:rsidRPr="00AA3DE0" w:rsidR="00AA3DE0">
        <w:rPr>
          <w:bCs/>
          <w:szCs w:val="28"/>
        </w:rPr>
        <w:t xml:space="preserve"> 6,</w:t>
      </w:r>
      <w:r w:rsidR="000F7445">
        <w:rPr>
          <w:bCs/>
          <w:szCs w:val="28"/>
        </w:rPr>
        <w:t>5</w:t>
      </w:r>
      <w:r w:rsidRPr="00AA3DE0" w:rsidR="00AA3DE0">
        <w:rPr>
          <w:bCs/>
          <w:szCs w:val="28"/>
        </w:rPr>
        <w:t xml:space="preserve">37 </w:t>
      </w:r>
      <w:r w:rsidR="00F612B8">
        <w:rPr>
          <w:bCs/>
          <w:szCs w:val="28"/>
        </w:rPr>
        <w:t>L</w:t>
      </w:r>
      <w:r w:rsidRPr="00AA3DE0" w:rsidR="00AA3DE0">
        <w:rPr>
          <w:bCs/>
          <w:szCs w:val="28"/>
        </w:rPr>
        <w:t xml:space="preserve">QGs </w:t>
      </w:r>
      <w:r w:rsidR="00F612B8">
        <w:rPr>
          <w:bCs/>
          <w:szCs w:val="28"/>
        </w:rPr>
        <w:t xml:space="preserve">and 1,626 SQGs complied with </w:t>
      </w:r>
      <w:r w:rsidRPr="00AA3DE0" w:rsidR="00AA3DE0">
        <w:rPr>
          <w:bCs/>
          <w:szCs w:val="28"/>
        </w:rPr>
        <w:t xml:space="preserve">subpart P </w:t>
      </w:r>
      <w:r w:rsidR="00F612B8">
        <w:rPr>
          <w:bCs/>
          <w:szCs w:val="28"/>
        </w:rPr>
        <w:t>in 2021.</w:t>
      </w:r>
      <w:r w:rsidR="003461F7">
        <w:rPr>
          <w:bCs/>
          <w:szCs w:val="28"/>
        </w:rPr>
        <w:t xml:space="preserve"> EPA estimate</w:t>
      </w:r>
      <w:r w:rsidR="00F612B8">
        <w:rPr>
          <w:bCs/>
          <w:szCs w:val="28"/>
        </w:rPr>
        <w:t>s</w:t>
      </w:r>
      <w:r w:rsidR="003461F7">
        <w:rPr>
          <w:bCs/>
          <w:szCs w:val="28"/>
        </w:rPr>
        <w:t xml:space="preserve"> that </w:t>
      </w:r>
      <w:r w:rsidRPr="00AA3DE0" w:rsidR="003461F7">
        <w:rPr>
          <w:bCs/>
          <w:szCs w:val="28"/>
        </w:rPr>
        <w:t>healthcare facilities under subpart P</w:t>
      </w:r>
      <w:r w:rsidR="003461F7">
        <w:rPr>
          <w:bCs/>
          <w:szCs w:val="28"/>
        </w:rPr>
        <w:t xml:space="preserve"> will spend .25 hours labeling containers in their primary storage area and .25 hours labeling containers in their satellite storage area.</w:t>
      </w:r>
      <w:r w:rsidR="0015623F">
        <w:rPr>
          <w:bCs/>
          <w:szCs w:val="28"/>
        </w:rPr>
        <w:t xml:space="preserve"> Based on this information, the total respondent burden </w:t>
      </w:r>
      <w:r w:rsidR="00B14764">
        <w:rPr>
          <w:bCs/>
          <w:szCs w:val="28"/>
        </w:rPr>
        <w:t xml:space="preserve">is estimated to be </w:t>
      </w:r>
      <w:r w:rsidR="00F612B8">
        <w:rPr>
          <w:bCs/>
          <w:szCs w:val="28"/>
        </w:rPr>
        <w:t xml:space="preserve">10,620 </w:t>
      </w:r>
      <w:r w:rsidR="0015623F">
        <w:rPr>
          <w:bCs/>
          <w:szCs w:val="28"/>
        </w:rPr>
        <w:t>hours</w:t>
      </w:r>
      <w:r w:rsidR="00570B7F">
        <w:rPr>
          <w:bCs/>
          <w:szCs w:val="28"/>
        </w:rPr>
        <w:t xml:space="preserve">  </w:t>
      </w:r>
      <w:r w:rsidR="0015623F">
        <w:rPr>
          <w:bCs/>
          <w:szCs w:val="28"/>
        </w:rPr>
        <w:t xml:space="preserve"> at a cost of </w:t>
      </w:r>
      <w:r w:rsidR="008357AF">
        <w:rPr>
          <w:bCs/>
          <w:szCs w:val="28"/>
        </w:rPr>
        <w:t>$</w:t>
      </w:r>
      <w:r w:rsidR="00F612B8">
        <w:rPr>
          <w:bCs/>
          <w:szCs w:val="28"/>
        </w:rPr>
        <w:t>891,954.</w:t>
      </w:r>
    </w:p>
    <w:p w:rsidR="00B14764" w:rsidP="00F8698C" w:rsidRDefault="00B14764" w14:paraId="0FEAF1AB" w14:textId="197A1AEE">
      <w:pPr>
        <w:rPr>
          <w:b/>
          <w:bCs/>
          <w:szCs w:val="28"/>
        </w:rPr>
      </w:pPr>
    </w:p>
    <w:p w:rsidRPr="0076607B" w:rsidR="00F8698C" w:rsidP="00F8698C" w:rsidRDefault="000A3E6C" w14:paraId="549174D5" w14:textId="3DC7A457">
      <w:pPr>
        <w:ind w:firstLine="720"/>
        <w:rPr>
          <w:b/>
          <w:bCs/>
          <w:szCs w:val="28"/>
        </w:rPr>
      </w:pPr>
      <w:r>
        <w:rPr>
          <w:b/>
          <w:bCs/>
          <w:szCs w:val="28"/>
        </w:rPr>
        <w:t>Rejected</w:t>
      </w:r>
      <w:r w:rsidR="0076607B">
        <w:rPr>
          <w:b/>
          <w:bCs/>
          <w:szCs w:val="28"/>
        </w:rPr>
        <w:t xml:space="preserve"> Shipment</w:t>
      </w:r>
      <w:r w:rsidR="00662725">
        <w:rPr>
          <w:b/>
          <w:bCs/>
          <w:szCs w:val="28"/>
        </w:rPr>
        <w:t>s</w:t>
      </w:r>
      <w:r w:rsidRPr="00C011CA" w:rsidR="00C011CA">
        <w:rPr>
          <w:b/>
          <w:bCs/>
          <w:szCs w:val="28"/>
        </w:rPr>
        <w:t xml:space="preserve"> </w:t>
      </w:r>
      <w:r w:rsidR="00C011CA">
        <w:rPr>
          <w:b/>
          <w:bCs/>
          <w:szCs w:val="28"/>
        </w:rPr>
        <w:t>and Exception Reporting</w:t>
      </w:r>
    </w:p>
    <w:p w:rsidRPr="0076607B" w:rsidR="00F8698C" w:rsidP="00F8698C" w:rsidRDefault="00F8698C" w14:paraId="6B3BF92D" w14:textId="77777777">
      <w:pPr>
        <w:ind w:firstLine="720"/>
        <w:rPr>
          <w:b/>
          <w:bCs/>
          <w:szCs w:val="28"/>
        </w:rPr>
      </w:pPr>
    </w:p>
    <w:p w:rsidR="00C011CA" w:rsidP="00867113" w:rsidRDefault="00B44622" w14:paraId="6B9630F3" w14:textId="2F90FC7E">
      <w:pPr>
        <w:ind w:firstLine="720"/>
        <w:rPr>
          <w:bCs/>
          <w:szCs w:val="28"/>
        </w:rPr>
      </w:pPr>
      <w:r>
        <w:rPr>
          <w:bCs/>
          <w:szCs w:val="28"/>
        </w:rPr>
        <w:t>H</w:t>
      </w:r>
      <w:r w:rsidR="00662725">
        <w:rPr>
          <w:bCs/>
          <w:szCs w:val="28"/>
        </w:rPr>
        <w:t>ealthcare facilities and reverse distributors must t</w:t>
      </w:r>
      <w:r w:rsidR="000A3E6C">
        <w:rPr>
          <w:bCs/>
          <w:szCs w:val="28"/>
        </w:rPr>
        <w:t>rack or manage rejected</w:t>
      </w:r>
      <w:r w:rsidR="00662725">
        <w:rPr>
          <w:bCs/>
          <w:szCs w:val="28"/>
        </w:rPr>
        <w:t xml:space="preserve"> shipments by signing an item on the manifest, providing the transporter with a copy of the manifest, and send</w:t>
      </w:r>
      <w:r w:rsidR="00604702">
        <w:rPr>
          <w:bCs/>
          <w:szCs w:val="28"/>
        </w:rPr>
        <w:t>ing</w:t>
      </w:r>
      <w:r w:rsidR="00662725">
        <w:rPr>
          <w:bCs/>
          <w:szCs w:val="28"/>
        </w:rPr>
        <w:t xml:space="preserve"> a copy of the manifest to the </w:t>
      </w:r>
      <w:r w:rsidR="00166580">
        <w:rPr>
          <w:bCs/>
          <w:szCs w:val="28"/>
        </w:rPr>
        <w:t xml:space="preserve">designated facility that </w:t>
      </w:r>
      <w:r w:rsidR="00604702">
        <w:rPr>
          <w:bCs/>
          <w:szCs w:val="28"/>
        </w:rPr>
        <w:t>returned or rejected the shipment.</w:t>
      </w:r>
      <w:r w:rsidR="00014242">
        <w:rPr>
          <w:bCs/>
          <w:szCs w:val="28"/>
        </w:rPr>
        <w:t xml:space="preserve"> </w:t>
      </w:r>
      <w:r w:rsidR="00604702">
        <w:rPr>
          <w:bCs/>
          <w:szCs w:val="28"/>
        </w:rPr>
        <w:t xml:space="preserve">Additionally, healthcare facilities and reverse distributors must </w:t>
      </w:r>
      <w:r w:rsidR="00C011CA">
        <w:rPr>
          <w:bCs/>
          <w:szCs w:val="28"/>
        </w:rPr>
        <w:t>submit exception reports for a missing copy of a manifest. EPA estimates it will take a healthcare facility and reverse distributor 1.10 hours to prepare and submit an exception report and 0.1 hours to keep a copy of the exception report. EPA assumes it will take a similar amount of time for a healthcare facility or reverse distributor to t</w:t>
      </w:r>
      <w:r w:rsidR="000A3E6C">
        <w:rPr>
          <w:bCs/>
          <w:szCs w:val="28"/>
        </w:rPr>
        <w:t>rack or manage rejected</w:t>
      </w:r>
      <w:r w:rsidR="00C011CA">
        <w:rPr>
          <w:bCs/>
          <w:szCs w:val="28"/>
        </w:rPr>
        <w:t xml:space="preserve"> shipments by signing an item on the manifest, providing the transporter with a copy of the manifest, and sending a copy of the manifest to the designated facility that returned or rejected the shipment.</w:t>
      </w:r>
      <w:r w:rsidR="00FD4887">
        <w:rPr>
          <w:bCs/>
          <w:szCs w:val="28"/>
        </w:rPr>
        <w:t xml:space="preserve"> In line with the Final Fee Rule ICR, </w:t>
      </w:r>
      <w:r w:rsidR="00C011CA">
        <w:rPr>
          <w:bCs/>
          <w:szCs w:val="28"/>
        </w:rPr>
        <w:t xml:space="preserve">EPA </w:t>
      </w:r>
      <w:r w:rsidR="0013712A">
        <w:rPr>
          <w:bCs/>
          <w:szCs w:val="28"/>
        </w:rPr>
        <w:t>estimates that 1% of the manifests sent offsite will require an exception report. EPA assumes a simi</w:t>
      </w:r>
      <w:r w:rsidR="000A3E6C">
        <w:rPr>
          <w:bCs/>
          <w:szCs w:val="28"/>
        </w:rPr>
        <w:t xml:space="preserve">lar number of rejected </w:t>
      </w:r>
      <w:r w:rsidR="0013712A">
        <w:rPr>
          <w:bCs/>
          <w:szCs w:val="28"/>
        </w:rPr>
        <w:t xml:space="preserve">shipments will need to be tracked or managed by healthcare facilities and reverse distributors. </w:t>
      </w:r>
      <w:r w:rsidR="00ED1B0E">
        <w:rPr>
          <w:bCs/>
          <w:szCs w:val="28"/>
        </w:rPr>
        <w:t>EPA as</w:t>
      </w:r>
      <w:r w:rsidR="00867113">
        <w:rPr>
          <w:bCs/>
          <w:szCs w:val="28"/>
        </w:rPr>
        <w:t>sumes that healthcare facilities will sen</w:t>
      </w:r>
      <w:r w:rsidR="0042666A">
        <w:rPr>
          <w:bCs/>
          <w:szCs w:val="28"/>
        </w:rPr>
        <w:t>d</w:t>
      </w:r>
      <w:r w:rsidR="00867113">
        <w:rPr>
          <w:bCs/>
          <w:szCs w:val="28"/>
        </w:rPr>
        <w:t xml:space="preserve"> one shipment of non-creditable hazardous waste pharmaceuticals to a designated facility annually that requires a manifest and a revere distributor will send 4 shipments of evaluated hazardous waste pharmaceuticals to a designated facility annually that require a manifest (assuming that facilities will accumulate hazardous waste pharmaceuticals on site for the maximum allowed </w:t>
      </w:r>
      <w:r w:rsidR="00867113">
        <w:rPr>
          <w:bCs/>
          <w:szCs w:val="28"/>
        </w:rPr>
        <w:lastRenderedPageBreak/>
        <w:t>time under subpart P). EPA estimates the total respondent burden is estimated to be 276 hours at a cost of $2</w:t>
      </w:r>
      <w:r w:rsidR="00570B7F">
        <w:rPr>
          <w:bCs/>
          <w:szCs w:val="28"/>
        </w:rPr>
        <w:t>4,120</w:t>
      </w:r>
      <w:r w:rsidR="00867113">
        <w:rPr>
          <w:bCs/>
          <w:szCs w:val="28"/>
        </w:rPr>
        <w:t>.</w:t>
      </w:r>
    </w:p>
    <w:p w:rsidR="00F8698C" w:rsidP="00F8698C" w:rsidRDefault="00F8698C" w14:paraId="6E709861" w14:textId="77777777">
      <w:pPr>
        <w:rPr>
          <w:b/>
          <w:bCs/>
          <w:szCs w:val="28"/>
        </w:rPr>
      </w:pPr>
    </w:p>
    <w:p w:rsidR="00273D08" w:rsidP="001F0E45" w:rsidRDefault="00273D08" w14:paraId="4345EACA" w14:textId="77777777">
      <w:pPr>
        <w:ind w:firstLine="720"/>
        <w:rPr>
          <w:b/>
          <w:bCs/>
          <w:szCs w:val="28"/>
        </w:rPr>
      </w:pPr>
      <w:r>
        <w:rPr>
          <w:b/>
          <w:bCs/>
          <w:szCs w:val="28"/>
        </w:rPr>
        <w:t>Recordkeeping</w:t>
      </w:r>
    </w:p>
    <w:p w:rsidR="00B14764" w:rsidP="001F0E45" w:rsidRDefault="00B14764" w14:paraId="6C4D0DAA" w14:textId="77777777">
      <w:pPr>
        <w:ind w:firstLine="720"/>
        <w:rPr>
          <w:b/>
          <w:bCs/>
          <w:szCs w:val="28"/>
        </w:rPr>
      </w:pPr>
    </w:p>
    <w:p w:rsidRPr="00356549" w:rsidR="00570B7F" w:rsidP="00570B7F" w:rsidRDefault="00B44622" w14:paraId="7214A723" w14:textId="4EE25665">
      <w:pPr>
        <w:ind w:firstLine="720"/>
        <w:rPr>
          <w:bCs/>
        </w:rPr>
      </w:pPr>
      <w:r>
        <w:rPr>
          <w:bCs/>
          <w:szCs w:val="28"/>
        </w:rPr>
        <w:t>R</w:t>
      </w:r>
      <w:r w:rsidR="00A369C0">
        <w:rPr>
          <w:bCs/>
          <w:szCs w:val="28"/>
        </w:rPr>
        <w:t>everse distributors and healthcare facilities must keep a signed copy of each manifest for t</w:t>
      </w:r>
      <w:r w:rsidR="001008C4">
        <w:rPr>
          <w:bCs/>
          <w:szCs w:val="28"/>
        </w:rPr>
        <w:t>hree years and a copy of their notification on file as long as they are subject to this subpart.</w:t>
      </w:r>
      <w:r w:rsidR="00A369C0">
        <w:rPr>
          <w:bCs/>
          <w:szCs w:val="28"/>
        </w:rPr>
        <w:t xml:space="preserve"> </w:t>
      </w:r>
      <w:r w:rsidRPr="00356549" w:rsidR="00570B7F">
        <w:t>The burden associated with this activity is covered under OMB Control No. 2050-0039 “</w:t>
      </w:r>
      <w:r w:rsidRPr="00356549" w:rsidR="00570B7F">
        <w:rPr>
          <w:color w:val="2E2E2E"/>
          <w:shd w:val="clear" w:color="auto" w:fill="F8F8F8"/>
        </w:rPr>
        <w:t>Requirements for Generators, Transporters, and Waste Management Facilities under the RCRA Hazardous Waste Manifest System</w:t>
      </w:r>
      <w:r w:rsidR="00570B7F">
        <w:rPr>
          <w:color w:val="2E2E2E"/>
          <w:shd w:val="clear" w:color="auto" w:fill="F8F8F8"/>
        </w:rPr>
        <w:t xml:space="preserve">”, and OMB Control No. 2050-0024 </w:t>
      </w:r>
      <w:r w:rsidR="00570B7F">
        <w:t>“RCRA Subtitle C Reporting Instructions and Forms”.</w:t>
      </w:r>
    </w:p>
    <w:p w:rsidR="00A369C0" w:rsidP="00570B7F" w:rsidRDefault="00A369C0" w14:paraId="5EDDB213" w14:textId="1D5CD5D7">
      <w:pPr>
        <w:ind w:firstLine="720"/>
        <w:rPr>
          <w:bCs/>
          <w:szCs w:val="28"/>
        </w:rPr>
      </w:pPr>
    </w:p>
    <w:p w:rsidR="00273D08" w:rsidP="001F0E45" w:rsidRDefault="00273D08" w14:paraId="5B9533D0" w14:textId="0FE22168">
      <w:pPr>
        <w:ind w:firstLine="720"/>
        <w:rPr>
          <w:b/>
          <w:bCs/>
          <w:szCs w:val="28"/>
        </w:rPr>
      </w:pPr>
      <w:r>
        <w:rPr>
          <w:b/>
          <w:bCs/>
          <w:szCs w:val="28"/>
        </w:rPr>
        <w:t>Manifests</w:t>
      </w:r>
      <w:r w:rsidR="00250C8B">
        <w:rPr>
          <w:b/>
          <w:bCs/>
          <w:szCs w:val="28"/>
        </w:rPr>
        <w:t xml:space="preserve"> and Shipping</w:t>
      </w:r>
    </w:p>
    <w:p w:rsidR="009A509C" w:rsidP="00250C8B" w:rsidRDefault="009A509C" w14:paraId="2411210B" w14:textId="242A94D1">
      <w:pPr>
        <w:rPr>
          <w:bCs/>
          <w:szCs w:val="28"/>
        </w:rPr>
      </w:pPr>
    </w:p>
    <w:p w:rsidRPr="00356549" w:rsidR="006A6045" w:rsidP="00356549" w:rsidRDefault="00B44622" w14:paraId="36C43832" w14:textId="4757D6AC">
      <w:pPr>
        <w:ind w:firstLine="720"/>
        <w:rPr>
          <w:bCs/>
        </w:rPr>
      </w:pPr>
      <w:r>
        <w:rPr>
          <w:bCs/>
        </w:rPr>
        <w:t>H</w:t>
      </w:r>
      <w:r w:rsidRPr="00356549" w:rsidR="00223BF5">
        <w:rPr>
          <w:bCs/>
        </w:rPr>
        <w:t xml:space="preserve">ealthcare facilities must complete manifests for </w:t>
      </w:r>
      <w:r w:rsidRPr="00356549" w:rsidR="00635127">
        <w:rPr>
          <w:bCs/>
        </w:rPr>
        <w:t>non-creditable</w:t>
      </w:r>
      <w:r w:rsidRPr="00356549" w:rsidR="00223BF5">
        <w:rPr>
          <w:bCs/>
        </w:rPr>
        <w:t xml:space="preserve"> pharmaceuticals shipped to a TSDF, but need not include RCRA waste codes on these manifests.</w:t>
      </w:r>
      <w:r w:rsidRPr="00356549" w:rsidR="00BF6794">
        <w:t xml:space="preserve"> </w:t>
      </w:r>
      <w:r w:rsidRPr="00356549" w:rsidR="00356549">
        <w:t>The burden associated with this activity is covered under OMB Control No. 2050-0039 “</w:t>
      </w:r>
      <w:r w:rsidRPr="00356549" w:rsidR="00356549">
        <w:rPr>
          <w:color w:val="2E2E2E"/>
          <w:shd w:val="clear" w:color="auto" w:fill="F8F8F8"/>
        </w:rPr>
        <w:t>Requirements for Generators, Transporters, and Waste Management Facilities under the RCRA Hazardous Waste Manifest System</w:t>
      </w:r>
      <w:r w:rsidR="00356549">
        <w:rPr>
          <w:color w:val="2E2E2E"/>
          <w:shd w:val="clear" w:color="auto" w:fill="F8F8F8"/>
        </w:rPr>
        <w:t>”.</w:t>
      </w:r>
    </w:p>
    <w:p w:rsidR="000F41BF" w:rsidP="00BF6794" w:rsidRDefault="000F41BF" w14:paraId="20AC9A5A" w14:textId="77777777">
      <w:pPr>
        <w:rPr>
          <w:bCs/>
          <w:szCs w:val="28"/>
        </w:rPr>
      </w:pPr>
    </w:p>
    <w:p w:rsidR="007D328C" w:rsidP="007D328C" w:rsidRDefault="007D328C" w14:paraId="0A11AF26" w14:textId="28457838">
      <w:pPr>
        <w:ind w:firstLine="720"/>
        <w:rPr>
          <w:b/>
          <w:bCs/>
          <w:szCs w:val="28"/>
        </w:rPr>
      </w:pPr>
      <w:r>
        <w:rPr>
          <w:b/>
          <w:bCs/>
          <w:szCs w:val="28"/>
        </w:rPr>
        <w:t>Contingency Planning</w:t>
      </w:r>
    </w:p>
    <w:p w:rsidR="007D328C" w:rsidP="007D328C" w:rsidRDefault="007D328C" w14:paraId="6378E7F2" w14:textId="77777777"/>
    <w:p w:rsidR="00847628" w:rsidP="007D328C" w:rsidRDefault="00B44622" w14:paraId="14B819F9" w14:textId="548E5887">
      <w:pPr>
        <w:ind w:firstLine="720"/>
      </w:pPr>
      <w:r>
        <w:t xml:space="preserve">A </w:t>
      </w:r>
      <w:r w:rsidR="007D328C">
        <w:t xml:space="preserve">reverse distributor must comply will the contingency plan requirements of 40 CFR 262 subpart M. This ICR assumes that reverse distributors have already prepared contingency plans. Therefore, </w:t>
      </w:r>
      <w:r w:rsidR="00E900CA">
        <w:t>only reverse distributors that need to amend their contingency plans annually will have a paperwork burden under this provision of t</w:t>
      </w:r>
      <w:r>
        <w:t>his ICR</w:t>
      </w:r>
      <w:r w:rsidR="00AC683B">
        <w:t xml:space="preserve"> for a total burden of 9 hours at a cost of $525</w:t>
      </w:r>
      <w:r w:rsidR="00E900CA">
        <w:t xml:space="preserve">. </w:t>
      </w:r>
    </w:p>
    <w:p w:rsidR="007D328C" w:rsidP="0042666A" w:rsidRDefault="007D328C" w14:paraId="5DB2D277" w14:textId="4704974F">
      <w:pPr>
        <w:rPr>
          <w:b/>
          <w:bCs/>
          <w:szCs w:val="28"/>
        </w:rPr>
      </w:pPr>
    </w:p>
    <w:p w:rsidR="0042666A" w:rsidP="0042666A" w:rsidRDefault="0042666A" w14:paraId="7D51FBB7" w14:textId="62E7FC58">
      <w:pPr>
        <w:ind w:firstLine="720"/>
        <w:rPr>
          <w:b/>
          <w:bCs/>
          <w:szCs w:val="28"/>
        </w:rPr>
      </w:pPr>
      <w:r>
        <w:rPr>
          <w:b/>
          <w:bCs/>
          <w:szCs w:val="28"/>
        </w:rPr>
        <w:t>Unauthorized Waste Reporting</w:t>
      </w:r>
    </w:p>
    <w:p w:rsidR="0042666A" w:rsidP="0042666A" w:rsidRDefault="0042666A" w14:paraId="4D329636" w14:textId="77777777"/>
    <w:p w:rsidR="0042666A" w:rsidP="0042666A" w:rsidRDefault="00B44622" w14:paraId="162D9715" w14:textId="037A7DB7">
      <w:pPr>
        <w:ind w:firstLine="720"/>
      </w:pPr>
      <w:r>
        <w:t>A</w:t>
      </w:r>
      <w:r w:rsidR="0042666A">
        <w:t xml:space="preserve"> reverse distributor must submit an unauthorized hazardous waste report if it receives waste it is not authorized to receive. </w:t>
      </w:r>
      <w:r w:rsidR="00C1548B">
        <w:t xml:space="preserve">EPA estimates that 1% of the shipments that go from a healthcare facility to a reverse distributor will be waste that the reverse distributor is not authorized to receive. EPA estimates healthcare facilities </w:t>
      </w:r>
      <w:r w:rsidR="00EF311A">
        <w:t>send 4</w:t>
      </w:r>
      <w:r w:rsidR="00C1548B">
        <w:t xml:space="preserve"> shipments of hazardous waste pharmaceuticals to reverse distributors annually.</w:t>
      </w:r>
      <w:r w:rsidRPr="00C1548B" w:rsidR="00C1548B">
        <w:rPr>
          <w:rStyle w:val="FootnoteReference"/>
          <w:vertAlign w:val="superscript"/>
        </w:rPr>
        <w:footnoteReference w:id="1"/>
      </w:r>
      <w:r w:rsidR="00C1548B">
        <w:t xml:space="preserve"> Thus, EPA estimates in total that healthcare facilities will send </w:t>
      </w:r>
      <w:r w:rsidR="00EF311A">
        <w:t>between 47,556-52,384</w:t>
      </w:r>
      <w:r w:rsidR="00C1548B">
        <w:t xml:space="preserve"> shipments to the 27 reverse distributors annually, resulting in an estimated </w:t>
      </w:r>
      <w:r w:rsidR="00EF311A">
        <w:t>476</w:t>
      </w:r>
      <w:r w:rsidR="00C1548B">
        <w:t>-</w:t>
      </w:r>
      <w:r w:rsidR="00EF311A">
        <w:t>534</w:t>
      </w:r>
      <w:r w:rsidR="00C1548B">
        <w:t xml:space="preserve"> shipments that healthcare facilities send to the 27 reverse distributors annually that they are not authorized to receive. </w:t>
      </w:r>
      <w:r w:rsidR="00901902">
        <w:t xml:space="preserve">EPA estimates that each reverse distributor will therefore submit </w:t>
      </w:r>
      <w:r w:rsidR="00CF5C0F">
        <w:t>18</w:t>
      </w:r>
      <w:r w:rsidR="00C1548B">
        <w:t>-</w:t>
      </w:r>
      <w:r w:rsidR="00EF311A">
        <w:t>20</w:t>
      </w:r>
      <w:r w:rsidR="00C1548B">
        <w:t xml:space="preserve"> unauthorized waste reports per </w:t>
      </w:r>
      <w:r w:rsidR="00901902">
        <w:t>year.</w:t>
      </w:r>
      <w:r w:rsidR="00EF311A">
        <w:t xml:space="preserve"> EPA assumes it will a similar amount of time to submit an unauthorized waste report as it does to submit an exception report. Thus, EPA estimates it will take 0.5 hours of management time, 0.5 hours of technician time, and 0.1 hours of administrative time to submit an unauthorized waste report.</w:t>
      </w:r>
      <w:r w:rsidR="00CF5C0F">
        <w:t xml:space="preserve"> On average, </w:t>
      </w:r>
      <w:r w:rsidR="00CF5C0F">
        <w:lastRenderedPageBreak/>
        <w:t>each reverse distributor will therefore spend 9.5 hours of management time, 9.5 hours of technician time, and 1.9 hours of administrative time submitting unauthorized waste reports.</w:t>
      </w:r>
      <w:r w:rsidR="00EA6D50">
        <w:t xml:space="preserve"> EPA estimates the burden associated with submitting unauthorized waste reports will </w:t>
      </w:r>
      <w:r w:rsidR="00FB6DB3">
        <w:t>result in</w:t>
      </w:r>
      <w:r w:rsidR="00EA6D50">
        <w:t xml:space="preserve"> a total </w:t>
      </w:r>
      <w:r w:rsidR="00FB6DB3">
        <w:t xml:space="preserve">burden </w:t>
      </w:r>
      <w:r w:rsidR="00EA6D50">
        <w:t>of 5</w:t>
      </w:r>
      <w:r w:rsidR="00AC683B">
        <w:t>76</w:t>
      </w:r>
      <w:r w:rsidR="00EA6D50">
        <w:t xml:space="preserve"> hours annually at a cost of $</w:t>
      </w:r>
      <w:r w:rsidR="00AC683B">
        <w:t>51,192</w:t>
      </w:r>
      <w:r w:rsidR="00EA6D50">
        <w:t xml:space="preserve">. </w:t>
      </w:r>
    </w:p>
    <w:p w:rsidR="0042666A" w:rsidP="0042666A" w:rsidRDefault="0042666A" w14:paraId="546A8F15" w14:textId="77777777">
      <w:pPr>
        <w:rPr>
          <w:b/>
          <w:bCs/>
          <w:szCs w:val="28"/>
        </w:rPr>
      </w:pPr>
    </w:p>
    <w:p w:rsidR="00847628" w:rsidP="00847628" w:rsidRDefault="00847628" w14:paraId="75C91BB4" w14:textId="4BDFA467">
      <w:pPr>
        <w:ind w:firstLine="720"/>
        <w:rPr>
          <w:b/>
          <w:bCs/>
          <w:szCs w:val="28"/>
        </w:rPr>
      </w:pPr>
      <w:r w:rsidRPr="00913EA6">
        <w:rPr>
          <w:b/>
          <w:bCs/>
          <w:szCs w:val="28"/>
        </w:rPr>
        <w:t>Biennial Reports</w:t>
      </w:r>
    </w:p>
    <w:p w:rsidR="00847628" w:rsidP="000F41BF" w:rsidRDefault="00847628" w14:paraId="3F38B5B6" w14:textId="77777777"/>
    <w:p w:rsidR="004832C6" w:rsidP="004832C6" w:rsidRDefault="00B44622" w14:paraId="3CD737B1" w14:textId="06C8574D">
      <w:pPr>
        <w:ind w:firstLine="720"/>
      </w:pPr>
      <w:r>
        <w:t>H</w:t>
      </w:r>
      <w:r w:rsidR="00847628">
        <w:t xml:space="preserve">azardous waste pharmaceuticals </w:t>
      </w:r>
      <w:r>
        <w:t>are</w:t>
      </w:r>
      <w:r w:rsidR="00847628">
        <w:t xml:space="preserve"> no longer count</w:t>
      </w:r>
      <w:r>
        <w:t>ed</w:t>
      </w:r>
      <w:r w:rsidR="00847628">
        <w:t xml:space="preserve"> toward a </w:t>
      </w:r>
      <w:r w:rsidR="004832C6">
        <w:t>healthcare facility’s</w:t>
      </w:r>
      <w:r w:rsidR="00847628">
        <w:t xml:space="preserve"> generator status and need not be included in facilities’ Biennial Report </w:t>
      </w:r>
      <w:r w:rsidR="004832C6">
        <w:t xml:space="preserve">submissions. Reverse distributors will still be required to submit a biennial report if they ship evaluated hazardous waste pharmaceuticals off site. </w:t>
      </w:r>
      <w:r w:rsidR="00356549">
        <w:t>The burden associated with this activity is covered under OMB Control No. 2050-0024 “RCRA Subtitle C Reporting Instructions and Forms”.</w:t>
      </w:r>
    </w:p>
    <w:p w:rsidR="001F1D99" w:rsidP="004832C6" w:rsidRDefault="001F1D99" w14:paraId="2C8C7D7A" w14:textId="77777777">
      <w:pPr>
        <w:ind w:firstLine="720"/>
        <w:rPr>
          <w:b/>
          <w:bCs/>
          <w:szCs w:val="28"/>
        </w:rPr>
      </w:pPr>
    </w:p>
    <w:p w:rsidR="004832C6" w:rsidP="004832C6" w:rsidRDefault="004832C6" w14:paraId="598F51A2" w14:textId="2A52261A">
      <w:pPr>
        <w:ind w:firstLine="720"/>
        <w:rPr>
          <w:b/>
          <w:bCs/>
          <w:szCs w:val="28"/>
        </w:rPr>
      </w:pPr>
      <w:r>
        <w:rPr>
          <w:b/>
          <w:bCs/>
          <w:szCs w:val="28"/>
        </w:rPr>
        <w:t>Containers</w:t>
      </w:r>
    </w:p>
    <w:p w:rsidR="004832C6" w:rsidP="004832C6" w:rsidRDefault="004832C6" w14:paraId="6A3B92A2" w14:textId="77777777"/>
    <w:p w:rsidR="004832C6" w:rsidP="000D0AE2" w:rsidRDefault="00B44622" w14:paraId="1D73DC84" w14:textId="113CE0D3">
      <w:pPr>
        <w:ind w:firstLine="720"/>
      </w:pPr>
      <w:r>
        <w:t>R</w:t>
      </w:r>
      <w:r w:rsidR="000D0AE2">
        <w:t>everse distributors must mark containers of evaluated hazardous waste pharmaceuticals with the applicable hazardous waste codes prior to being shipped off site. EPA estimates it takes a similar amount of time to mark the containers with the hazardous waste code as it does to mark the containers with an indication of the hazards of the contents</w:t>
      </w:r>
      <w:r w:rsidR="00AC683B">
        <w:t>. The total burden is 2 hours at a cost of $189</w:t>
      </w:r>
      <w:r w:rsidR="000D0AE2">
        <w:t xml:space="preserve">. </w:t>
      </w:r>
    </w:p>
    <w:p w:rsidR="006A6045" w:rsidP="001F0E45" w:rsidRDefault="006A6045" w14:paraId="799CE7A3" w14:textId="77777777">
      <w:pPr>
        <w:ind w:firstLine="720"/>
        <w:rPr>
          <w:b/>
          <w:bCs/>
          <w:szCs w:val="28"/>
        </w:rPr>
      </w:pPr>
    </w:p>
    <w:p w:rsidRPr="00E17A70" w:rsidR="007B61E5" w:rsidP="00A36A0C" w:rsidRDefault="007B61E5" w14:paraId="136F5D84" w14:textId="77777777">
      <w:pPr>
        <w:ind w:firstLine="720"/>
        <w:rPr>
          <w:szCs w:val="28"/>
        </w:rPr>
      </w:pPr>
      <w:r w:rsidRPr="00E17A70">
        <w:rPr>
          <w:b/>
          <w:bCs/>
          <w:szCs w:val="28"/>
        </w:rPr>
        <w:t>6(e)</w:t>
      </w:r>
      <w:r w:rsidRPr="00E17A70">
        <w:rPr>
          <w:b/>
          <w:bCs/>
          <w:szCs w:val="28"/>
        </w:rPr>
        <w:tab/>
        <w:t>Bottom Line Burden Hours and Costs</w:t>
      </w:r>
    </w:p>
    <w:p w:rsidRPr="00E17A70" w:rsidR="007B61E5" w:rsidP="007B61E5" w:rsidRDefault="007B61E5" w14:paraId="326349D3" w14:textId="77777777">
      <w:pPr>
        <w:rPr>
          <w:szCs w:val="28"/>
        </w:rPr>
      </w:pPr>
    </w:p>
    <w:p w:rsidRPr="00E17A70" w:rsidR="007B61E5" w:rsidP="00A36A0C" w:rsidRDefault="007B61E5" w14:paraId="2613F853" w14:textId="77777777">
      <w:pPr>
        <w:ind w:firstLine="720"/>
        <w:rPr>
          <w:szCs w:val="28"/>
        </w:rPr>
      </w:pPr>
      <w:r w:rsidRPr="00E17A70">
        <w:rPr>
          <w:b/>
          <w:bCs/>
          <w:szCs w:val="28"/>
        </w:rPr>
        <w:t>Respondent Tally</w:t>
      </w:r>
    </w:p>
    <w:p w:rsidRPr="00E17A70" w:rsidR="007B61E5" w:rsidP="007B61E5" w:rsidRDefault="007B61E5" w14:paraId="672A455E" w14:textId="77777777">
      <w:pPr>
        <w:rPr>
          <w:szCs w:val="28"/>
        </w:rPr>
      </w:pPr>
    </w:p>
    <w:p w:rsidRPr="00E17A70" w:rsidR="007B61E5" w:rsidP="00A36A0C" w:rsidRDefault="007B61E5" w14:paraId="5BB41059" w14:textId="7572C81E">
      <w:pPr>
        <w:ind w:firstLine="720"/>
        <w:rPr>
          <w:szCs w:val="28"/>
        </w:rPr>
      </w:pPr>
      <w:r w:rsidRPr="00E17A70">
        <w:rPr>
          <w:szCs w:val="28"/>
        </w:rPr>
        <w:t xml:space="preserve">In Exhibit </w:t>
      </w:r>
      <w:r w:rsidR="00C477A8">
        <w:rPr>
          <w:szCs w:val="28"/>
        </w:rPr>
        <w:t>1</w:t>
      </w:r>
      <w:r w:rsidRPr="00E17A70">
        <w:rPr>
          <w:szCs w:val="28"/>
        </w:rPr>
        <w:t xml:space="preserve">, EPA presents the annual respondent burden </w:t>
      </w:r>
      <w:r w:rsidR="00C768AB">
        <w:rPr>
          <w:szCs w:val="28"/>
        </w:rPr>
        <w:t xml:space="preserve">hours </w:t>
      </w:r>
      <w:r w:rsidRPr="00E17A70">
        <w:rPr>
          <w:szCs w:val="28"/>
        </w:rPr>
        <w:t>and cost</w:t>
      </w:r>
      <w:r w:rsidR="00C768AB">
        <w:rPr>
          <w:szCs w:val="28"/>
        </w:rPr>
        <w:t xml:space="preserve">s associated </w:t>
      </w:r>
      <w:r w:rsidRPr="00E17A70">
        <w:rPr>
          <w:szCs w:val="28"/>
        </w:rPr>
        <w:t xml:space="preserve">  </w:t>
      </w:r>
      <w:r w:rsidRPr="00F2734F">
        <w:rPr>
          <w:szCs w:val="28"/>
        </w:rPr>
        <w:t xml:space="preserve">with the </w:t>
      </w:r>
      <w:r w:rsidRPr="00F2734F" w:rsidR="00C768AB">
        <w:rPr>
          <w:szCs w:val="28"/>
        </w:rPr>
        <w:t xml:space="preserve">new information collection requirements in </w:t>
      </w:r>
      <w:r w:rsidR="00B44622">
        <w:rPr>
          <w:szCs w:val="28"/>
        </w:rPr>
        <w:t>this ICR</w:t>
      </w:r>
      <w:r w:rsidRPr="00F2734F">
        <w:rPr>
          <w:szCs w:val="28"/>
        </w:rPr>
        <w:t xml:space="preserve">.  As described specifically in Section 6(d) above, the </w:t>
      </w:r>
      <w:r w:rsidRPr="00F2734F" w:rsidR="00E52F06">
        <w:rPr>
          <w:szCs w:val="28"/>
        </w:rPr>
        <w:t>information collection requirements</w:t>
      </w:r>
      <w:r w:rsidRPr="00F2734F">
        <w:rPr>
          <w:szCs w:val="28"/>
        </w:rPr>
        <w:t xml:space="preserve"> </w:t>
      </w:r>
      <w:r w:rsidRPr="00F2734F" w:rsidR="00F2734F">
        <w:rPr>
          <w:szCs w:val="28"/>
        </w:rPr>
        <w:t>apply to</w:t>
      </w:r>
      <w:r w:rsidRPr="00F2734F" w:rsidR="00E52F06">
        <w:rPr>
          <w:szCs w:val="28"/>
        </w:rPr>
        <w:t xml:space="preserve"> affected facilities (respondents)</w:t>
      </w:r>
      <w:r w:rsidR="00F2734F">
        <w:rPr>
          <w:szCs w:val="28"/>
        </w:rPr>
        <w:t xml:space="preserve">. </w:t>
      </w:r>
      <w:r w:rsidRPr="00F2734F">
        <w:rPr>
          <w:szCs w:val="28"/>
        </w:rPr>
        <w:t xml:space="preserve">As shown in Exhibit </w:t>
      </w:r>
      <w:r w:rsidRPr="00F2734F" w:rsidR="00C477A8">
        <w:rPr>
          <w:szCs w:val="28"/>
        </w:rPr>
        <w:t>1</w:t>
      </w:r>
      <w:r w:rsidRPr="00F2734F">
        <w:rPr>
          <w:szCs w:val="28"/>
        </w:rPr>
        <w:t xml:space="preserve">, the </w:t>
      </w:r>
      <w:r w:rsidRPr="00F2734F" w:rsidR="00851966">
        <w:rPr>
          <w:szCs w:val="28"/>
        </w:rPr>
        <w:t>total</w:t>
      </w:r>
      <w:r w:rsidRPr="00F2734F">
        <w:rPr>
          <w:szCs w:val="28"/>
        </w:rPr>
        <w:t xml:space="preserve"> annual respondent burden for these paperwork requirements is </w:t>
      </w:r>
      <w:r w:rsidRPr="00701C61">
        <w:rPr>
          <w:szCs w:val="28"/>
        </w:rPr>
        <w:t xml:space="preserve">approximately </w:t>
      </w:r>
      <w:r w:rsidR="00C41E84">
        <w:rPr>
          <w:szCs w:val="28"/>
        </w:rPr>
        <w:t xml:space="preserve">40,045 </w:t>
      </w:r>
      <w:r w:rsidRPr="00701C61">
        <w:rPr>
          <w:szCs w:val="28"/>
        </w:rPr>
        <w:t>hours</w:t>
      </w:r>
      <w:r w:rsidRPr="00701C61" w:rsidR="00C477A8">
        <w:rPr>
          <w:szCs w:val="28"/>
        </w:rPr>
        <w:t xml:space="preserve"> </w:t>
      </w:r>
      <w:r w:rsidRPr="00701C61">
        <w:rPr>
          <w:szCs w:val="28"/>
        </w:rPr>
        <w:t xml:space="preserve">at an annual cost of approximately </w:t>
      </w:r>
      <w:r w:rsidRPr="00701C61" w:rsidR="00701C61">
        <w:rPr>
          <w:szCs w:val="28"/>
        </w:rPr>
        <w:t>$</w:t>
      </w:r>
      <w:r w:rsidR="00C41E84">
        <w:rPr>
          <w:szCs w:val="28"/>
        </w:rPr>
        <w:t>3,580,140, which includes $0 in capital startup and operation and maintenance cost.</w:t>
      </w:r>
    </w:p>
    <w:p w:rsidRPr="00E17A70" w:rsidR="007B61E5" w:rsidP="007B61E5" w:rsidRDefault="007B61E5" w14:paraId="25E40112" w14:textId="77777777">
      <w:pPr>
        <w:rPr>
          <w:szCs w:val="28"/>
        </w:rPr>
      </w:pPr>
    </w:p>
    <w:p w:rsidR="007B61E5" w:rsidP="00A36A0C" w:rsidRDefault="007B61E5" w14:paraId="3709E81B" w14:textId="77777777">
      <w:pPr>
        <w:ind w:firstLine="720"/>
        <w:rPr>
          <w:b/>
          <w:bCs/>
          <w:szCs w:val="28"/>
        </w:rPr>
      </w:pPr>
      <w:r w:rsidRPr="00E17A70">
        <w:rPr>
          <w:b/>
          <w:bCs/>
          <w:szCs w:val="28"/>
        </w:rPr>
        <w:t>6(f)</w:t>
      </w:r>
      <w:r w:rsidRPr="00E17A70">
        <w:rPr>
          <w:b/>
          <w:bCs/>
          <w:szCs w:val="28"/>
        </w:rPr>
        <w:tab/>
        <w:t xml:space="preserve">Reasons for Change in Burden </w:t>
      </w:r>
    </w:p>
    <w:p w:rsidR="007B61E5" w:rsidP="007B61E5" w:rsidRDefault="007B61E5" w14:paraId="121A221D" w14:textId="77777777">
      <w:pPr>
        <w:rPr>
          <w:b/>
          <w:bCs/>
          <w:szCs w:val="28"/>
        </w:rPr>
      </w:pPr>
    </w:p>
    <w:p w:rsidRPr="00F0335D" w:rsidR="00C41E84" w:rsidP="00C41E84" w:rsidRDefault="00C41E84" w14:paraId="00CB298B" w14:textId="3615D867">
      <w:pPr>
        <w:ind w:firstLine="720"/>
      </w:pPr>
      <w:bookmarkStart w:name="_Hlk89074979" w:id="1"/>
      <w:r>
        <w:t xml:space="preserve">There is a decrease of 3,532 hours compared to the currently approved ICR due to a decrease in the universe. The universe estimates </w:t>
      </w:r>
      <w:r w:rsidR="00F050D4">
        <w:t>are</w:t>
      </w:r>
      <w:r>
        <w:t xml:space="preserve"> based on real data for this renewal.</w:t>
      </w:r>
    </w:p>
    <w:bookmarkEnd w:id="1"/>
    <w:p w:rsidR="00C41E84" w:rsidP="007B61E5" w:rsidRDefault="00C41E84" w14:paraId="6787AF5F" w14:textId="77777777">
      <w:pPr>
        <w:rPr>
          <w:szCs w:val="28"/>
        </w:rPr>
      </w:pPr>
    </w:p>
    <w:p w:rsidR="007B61E5" w:rsidP="00A36A0C" w:rsidRDefault="007B61E5" w14:paraId="1043909F" w14:textId="77777777">
      <w:pPr>
        <w:ind w:firstLine="720"/>
        <w:rPr>
          <w:b/>
          <w:bCs/>
          <w:szCs w:val="28"/>
        </w:rPr>
      </w:pPr>
      <w:r w:rsidRPr="00E17A70">
        <w:rPr>
          <w:b/>
          <w:bCs/>
          <w:szCs w:val="28"/>
        </w:rPr>
        <w:t>6(g)</w:t>
      </w:r>
      <w:r w:rsidRPr="00E17A70">
        <w:rPr>
          <w:b/>
          <w:bCs/>
          <w:szCs w:val="28"/>
        </w:rPr>
        <w:tab/>
        <w:t>Burden Statement</w:t>
      </w:r>
    </w:p>
    <w:p w:rsidR="007B61E5" w:rsidP="007B61E5" w:rsidRDefault="007B61E5" w14:paraId="0B0FCE66" w14:textId="77777777">
      <w:pPr>
        <w:rPr>
          <w:b/>
          <w:bCs/>
          <w:szCs w:val="28"/>
        </w:rPr>
      </w:pPr>
    </w:p>
    <w:p w:rsidR="00F050D4" w:rsidP="00F050D4" w:rsidRDefault="00F050D4" w14:paraId="22F1699F" w14:textId="755D34CD">
      <w:pPr>
        <w:pStyle w:val="BodyTextDSW"/>
      </w:pPr>
      <w:r>
        <w:t xml:space="preserve">The annual public reporting and recordkeeping burden for this collection of information is </w:t>
      </w:r>
      <w:r w:rsidRPr="0068756E">
        <w:t xml:space="preserve">estimated to average </w:t>
      </w:r>
      <w:r w:rsidR="00661C0C">
        <w:t xml:space="preserve">5 </w:t>
      </w:r>
      <w:r>
        <w:t>hour</w:t>
      </w:r>
      <w:r w:rsidR="0000685D">
        <w:t>s</w:t>
      </w:r>
      <w:r w:rsidRPr="0068756E">
        <w:t xml:space="preserve"> per response.</w:t>
      </w:r>
      <w:r>
        <w:t xml:space="preserve"> </w:t>
      </w:r>
    </w:p>
    <w:p w:rsidR="00F050D4" w:rsidP="00F050D4" w:rsidRDefault="00F050D4" w14:paraId="226DB95A" w14:textId="74914401">
      <w:pPr>
        <w:pStyle w:val="BodyTextDSW"/>
      </w:pPr>
      <w:r>
        <w:t xml:space="preserve">Burden means the total time, effort, or financial resources expended by persons to generate, maintain, retain, or disclose or provide information to or for a </w:t>
      </w:r>
      <w:r w:rsidR="00243146">
        <w:t>federal</w:t>
      </w:r>
      <w:r>
        <w:t xml:space="preserve"> agency. This includes the time needed to review instructions; develop, acquire, install, and utilize technology and systems for the purposes of collecting, validating, and verifying information, processing and </w:t>
      </w:r>
      <w:r>
        <w:lastRenderedPageBreak/>
        <w:t>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3D4934" w:rsidP="003D4934" w:rsidRDefault="00F050D4" w14:paraId="2A40283E" w14:textId="27AD9BEB">
      <w:pPr>
        <w:pStyle w:val="BodyTextDSW"/>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Pr>
          <w:color w:val="000000"/>
          <w:szCs w:val="20"/>
        </w:rPr>
        <w:t xml:space="preserve"> </w:t>
      </w:r>
      <w:r w:rsidRPr="007F472F">
        <w:rPr>
          <w:color w:val="000000"/>
          <w:szCs w:val="20"/>
        </w:rPr>
        <w:t>EPA-HQ-</w:t>
      </w:r>
      <w:r>
        <w:rPr>
          <w:color w:val="000000"/>
          <w:szCs w:val="20"/>
        </w:rPr>
        <w:t>RCRA-2007-0932</w:t>
      </w:r>
      <w:r>
        <w:t xml:space="preserve">, which is available for online viewing at </w:t>
      </w:r>
      <w:hyperlink w:history="1" r:id="rId12">
        <w:r w:rsidRPr="007B29EE">
          <w:rPr>
            <w:rStyle w:val="Hyperlink"/>
          </w:rPr>
          <w:t>www.regulations.gov</w:t>
        </w:r>
      </w:hyperlink>
      <w:r>
        <w:t xml:space="preserve">, </w:t>
      </w:r>
      <w:r w:rsidR="003D4934">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7F472F" w:rsidR="003D4934">
        <w:t>EPA-HQ-</w:t>
      </w:r>
      <w:r w:rsidR="003D4934">
        <w:t xml:space="preserve">RCRA-2007-0932 and OMB Control Number </w:t>
      </w:r>
      <w:r w:rsidRPr="00B41136" w:rsidR="003D4934">
        <w:t>2050</w:t>
      </w:r>
      <w:r w:rsidRPr="008920A7" w:rsidR="003D4934">
        <w:rPr>
          <w:shd w:val="clear" w:color="auto" w:fill="FFFFFF"/>
        </w:rPr>
        <w:t>-02</w:t>
      </w:r>
      <w:r w:rsidR="003D4934">
        <w:rPr>
          <w:shd w:val="clear" w:color="auto" w:fill="FFFFFF"/>
        </w:rPr>
        <w:t>1</w:t>
      </w:r>
      <w:r w:rsidRPr="008920A7" w:rsidR="003D4934">
        <w:rPr>
          <w:shd w:val="clear" w:color="auto" w:fill="FFFFFF"/>
        </w:rPr>
        <w:t>2</w:t>
      </w:r>
      <w:r w:rsidRPr="00B41136" w:rsidR="003D4934">
        <w:t xml:space="preserve"> in</w:t>
      </w:r>
      <w:r w:rsidR="003D4934">
        <w:t xml:space="preserve"> any correspondence.</w:t>
      </w:r>
    </w:p>
    <w:p w:rsidRPr="00D96BF7" w:rsidR="00BD5EEA" w:rsidP="003D4934" w:rsidRDefault="00BD5EEA" w14:paraId="2BBE1FF1" w14:textId="7A548FAA">
      <w:pPr>
        <w:numPr>
          <w:ilvl w:val="12"/>
          <w:numId w:val="0"/>
        </w:numPr>
        <w:ind w:firstLine="720"/>
        <w:rPr>
          <w:color w:val="000000"/>
        </w:rPr>
        <w:sectPr w:rsidRPr="00D96BF7" w:rsidR="00BD5EEA" w:rsidSect="007F5803">
          <w:headerReference w:type="even" r:id="rId13"/>
          <w:headerReference w:type="default" r:id="rId14"/>
          <w:pgSz w:w="12240" w:h="15840"/>
          <w:pgMar w:top="1440" w:right="1440" w:bottom="1440" w:left="1440" w:header="1440" w:footer="1440" w:gutter="0"/>
          <w:pgNumType w:start="1"/>
          <w:cols w:space="720"/>
          <w:noEndnote/>
        </w:sectPr>
      </w:pPr>
    </w:p>
    <w:tbl>
      <w:tblPr>
        <w:tblW w:w="49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99"/>
        <w:gridCol w:w="920"/>
        <w:gridCol w:w="899"/>
        <w:gridCol w:w="789"/>
        <w:gridCol w:w="823"/>
        <w:gridCol w:w="915"/>
        <w:gridCol w:w="894"/>
        <w:gridCol w:w="991"/>
        <w:gridCol w:w="719"/>
        <w:gridCol w:w="1079"/>
        <w:gridCol w:w="991"/>
        <w:gridCol w:w="1349"/>
      </w:tblGrid>
      <w:tr w:rsidRPr="00D96BF7" w:rsidR="00C41E84" w:rsidTr="004774FC" w14:paraId="29895D40" w14:textId="77777777">
        <w:trPr>
          <w:gridAfter w:val="11"/>
          <w:wAfter w:w="3967" w:type="pct"/>
          <w:trHeight w:val="383"/>
        </w:trPr>
        <w:tc>
          <w:tcPr>
            <w:tcW w:w="1033" w:type="pct"/>
            <w:shd w:val="clear" w:color="auto" w:fill="auto"/>
            <w:noWrap/>
            <w:vAlign w:val="bottom"/>
          </w:tcPr>
          <w:p w:rsidRPr="00D96BF7" w:rsidR="00C41E84" w:rsidP="004774FC" w:rsidRDefault="00C41E84" w14:paraId="41BA778E" w14:textId="77777777">
            <w:pPr>
              <w:jc w:val="center"/>
              <w:rPr>
                <w:b/>
                <w:bCs/>
                <w:color w:val="000000"/>
                <w:sz w:val="18"/>
                <w:szCs w:val="18"/>
              </w:rPr>
            </w:pPr>
            <w:r>
              <w:rPr>
                <w:b/>
                <w:bCs/>
                <w:color w:val="000000"/>
                <w:sz w:val="18"/>
                <w:szCs w:val="18"/>
              </w:rPr>
              <w:lastRenderedPageBreak/>
              <w:t>EXHIBIT 1</w:t>
            </w:r>
          </w:p>
        </w:tc>
      </w:tr>
      <w:tr w:rsidRPr="00D96BF7" w:rsidR="00C41E84" w:rsidTr="004774FC" w14:paraId="2F442441" w14:textId="77777777">
        <w:trPr>
          <w:gridAfter w:val="11"/>
          <w:wAfter w:w="3967" w:type="pct"/>
          <w:trHeight w:val="383"/>
        </w:trPr>
        <w:tc>
          <w:tcPr>
            <w:tcW w:w="1033" w:type="pct"/>
            <w:vMerge w:val="restart"/>
            <w:shd w:val="clear" w:color="auto" w:fill="auto"/>
            <w:noWrap/>
            <w:vAlign w:val="bottom"/>
            <w:hideMark/>
          </w:tcPr>
          <w:p w:rsidRPr="00D96BF7" w:rsidR="00C41E84" w:rsidP="004774FC" w:rsidRDefault="00C41E84" w14:paraId="15CB31DA" w14:textId="77777777">
            <w:pPr>
              <w:jc w:val="center"/>
              <w:rPr>
                <w:b/>
                <w:bCs/>
                <w:color w:val="000000"/>
                <w:sz w:val="18"/>
                <w:szCs w:val="18"/>
              </w:rPr>
            </w:pPr>
            <w:r w:rsidRPr="00D96BF7">
              <w:rPr>
                <w:b/>
                <w:bCs/>
                <w:color w:val="000000"/>
                <w:sz w:val="18"/>
                <w:szCs w:val="18"/>
              </w:rPr>
              <w:t>Information Activity</w:t>
            </w:r>
          </w:p>
        </w:tc>
      </w:tr>
      <w:tr w:rsidRPr="002E2EC5" w:rsidR="00C41E84" w:rsidTr="004774FC" w14:paraId="4FDBFEB3" w14:textId="77777777">
        <w:trPr>
          <w:trHeight w:val="782"/>
        </w:trPr>
        <w:tc>
          <w:tcPr>
            <w:tcW w:w="1033" w:type="pct"/>
            <w:vMerge/>
            <w:vAlign w:val="center"/>
            <w:hideMark/>
          </w:tcPr>
          <w:p w:rsidRPr="00D96BF7" w:rsidR="00C41E84" w:rsidP="004774FC" w:rsidRDefault="00C41E84" w14:paraId="642FA3F5" w14:textId="77777777">
            <w:pPr>
              <w:rPr>
                <w:b/>
                <w:bCs/>
                <w:color w:val="000000"/>
                <w:sz w:val="18"/>
                <w:szCs w:val="18"/>
              </w:rPr>
            </w:pPr>
          </w:p>
        </w:tc>
        <w:tc>
          <w:tcPr>
            <w:tcW w:w="352" w:type="pct"/>
            <w:shd w:val="clear" w:color="auto" w:fill="auto"/>
            <w:vAlign w:val="bottom"/>
            <w:hideMark/>
          </w:tcPr>
          <w:p w:rsidRPr="002E2EC5" w:rsidR="00C41E84" w:rsidP="004774FC" w:rsidRDefault="00C41E84" w14:paraId="12B1DFC0" w14:textId="77777777">
            <w:pPr>
              <w:rPr>
                <w:bCs/>
                <w:color w:val="000000"/>
                <w:sz w:val="18"/>
                <w:szCs w:val="18"/>
              </w:rPr>
            </w:pPr>
            <w:r w:rsidRPr="002E2EC5">
              <w:rPr>
                <w:bCs/>
                <w:color w:val="000000"/>
                <w:sz w:val="18"/>
                <w:szCs w:val="18"/>
              </w:rPr>
              <w:t>Leg. $129.33/Hr</w:t>
            </w:r>
          </w:p>
        </w:tc>
        <w:tc>
          <w:tcPr>
            <w:tcW w:w="344" w:type="pct"/>
            <w:shd w:val="clear" w:color="auto" w:fill="auto"/>
            <w:vAlign w:val="bottom"/>
            <w:hideMark/>
          </w:tcPr>
          <w:p w:rsidRPr="002E2EC5" w:rsidR="00C41E84" w:rsidP="004774FC" w:rsidRDefault="00C41E84" w14:paraId="4CE171E3" w14:textId="77777777">
            <w:pPr>
              <w:rPr>
                <w:bCs/>
                <w:color w:val="000000"/>
                <w:sz w:val="18"/>
                <w:szCs w:val="18"/>
              </w:rPr>
            </w:pPr>
            <w:r w:rsidRPr="002E2EC5">
              <w:rPr>
                <w:bCs/>
                <w:color w:val="000000"/>
                <w:sz w:val="18"/>
                <w:szCs w:val="18"/>
              </w:rPr>
              <w:t>Mgr. $109.21/Hr</w:t>
            </w:r>
          </w:p>
        </w:tc>
        <w:tc>
          <w:tcPr>
            <w:tcW w:w="302" w:type="pct"/>
            <w:shd w:val="clear" w:color="auto" w:fill="auto"/>
            <w:vAlign w:val="bottom"/>
            <w:hideMark/>
          </w:tcPr>
          <w:p w:rsidRPr="002E2EC5" w:rsidR="00C41E84" w:rsidP="004774FC" w:rsidRDefault="00C41E84" w14:paraId="7FDAE096" w14:textId="77777777">
            <w:pPr>
              <w:rPr>
                <w:bCs/>
                <w:color w:val="000000"/>
                <w:sz w:val="18"/>
                <w:szCs w:val="18"/>
              </w:rPr>
            </w:pPr>
            <w:r w:rsidRPr="002E2EC5">
              <w:rPr>
                <w:bCs/>
                <w:color w:val="000000"/>
                <w:sz w:val="18"/>
                <w:szCs w:val="18"/>
              </w:rPr>
              <w:t>Tech. $84.15/Hr</w:t>
            </w:r>
          </w:p>
        </w:tc>
        <w:tc>
          <w:tcPr>
            <w:tcW w:w="315" w:type="pct"/>
            <w:shd w:val="clear" w:color="auto" w:fill="auto"/>
            <w:vAlign w:val="bottom"/>
            <w:hideMark/>
          </w:tcPr>
          <w:p w:rsidRPr="002E2EC5" w:rsidR="00C41E84" w:rsidP="004774FC" w:rsidRDefault="00C41E84" w14:paraId="0AE6D381" w14:textId="77777777">
            <w:pPr>
              <w:rPr>
                <w:bCs/>
                <w:color w:val="000000"/>
                <w:sz w:val="18"/>
                <w:szCs w:val="18"/>
              </w:rPr>
            </w:pPr>
            <w:r w:rsidRPr="002E2EC5">
              <w:rPr>
                <w:bCs/>
                <w:color w:val="000000"/>
                <w:sz w:val="18"/>
                <w:szCs w:val="18"/>
              </w:rPr>
              <w:t>Cler. $32.81/Hr</w:t>
            </w:r>
          </w:p>
        </w:tc>
        <w:tc>
          <w:tcPr>
            <w:tcW w:w="350" w:type="pct"/>
            <w:shd w:val="clear" w:color="auto" w:fill="auto"/>
            <w:vAlign w:val="bottom"/>
            <w:hideMark/>
          </w:tcPr>
          <w:p w:rsidRPr="002E2EC5" w:rsidR="00C41E84" w:rsidP="004774FC" w:rsidRDefault="00C41E84" w14:paraId="544CBCD3" w14:textId="77777777">
            <w:pPr>
              <w:rPr>
                <w:bCs/>
                <w:color w:val="000000"/>
                <w:sz w:val="18"/>
                <w:szCs w:val="18"/>
              </w:rPr>
            </w:pPr>
            <w:r w:rsidRPr="002E2EC5">
              <w:rPr>
                <w:bCs/>
                <w:color w:val="000000"/>
                <w:sz w:val="18"/>
                <w:szCs w:val="18"/>
              </w:rPr>
              <w:t>Resp. Hours/Yr</w:t>
            </w:r>
          </w:p>
        </w:tc>
        <w:tc>
          <w:tcPr>
            <w:tcW w:w="342" w:type="pct"/>
            <w:shd w:val="clear" w:color="auto" w:fill="auto"/>
            <w:vAlign w:val="bottom"/>
            <w:hideMark/>
          </w:tcPr>
          <w:p w:rsidRPr="002E2EC5" w:rsidR="00C41E84" w:rsidP="004774FC" w:rsidRDefault="00C41E84" w14:paraId="1EF4D700" w14:textId="77777777">
            <w:pPr>
              <w:rPr>
                <w:bCs/>
                <w:color w:val="000000"/>
                <w:sz w:val="18"/>
                <w:szCs w:val="18"/>
              </w:rPr>
            </w:pPr>
            <w:r w:rsidRPr="002E2EC5">
              <w:rPr>
                <w:bCs/>
                <w:color w:val="000000"/>
                <w:sz w:val="18"/>
                <w:szCs w:val="18"/>
              </w:rPr>
              <w:t>Labor Cost/Yr</w:t>
            </w:r>
          </w:p>
        </w:tc>
        <w:tc>
          <w:tcPr>
            <w:tcW w:w="379" w:type="pct"/>
            <w:shd w:val="clear" w:color="auto" w:fill="auto"/>
            <w:vAlign w:val="bottom"/>
            <w:hideMark/>
          </w:tcPr>
          <w:p w:rsidRPr="002E2EC5" w:rsidR="00C41E84" w:rsidP="004774FC" w:rsidRDefault="00C41E84" w14:paraId="31E8E781" w14:textId="77777777">
            <w:pPr>
              <w:rPr>
                <w:bCs/>
                <w:color w:val="000000"/>
                <w:sz w:val="18"/>
                <w:szCs w:val="18"/>
              </w:rPr>
            </w:pPr>
            <w:r w:rsidRPr="002E2EC5">
              <w:rPr>
                <w:bCs/>
                <w:color w:val="000000"/>
                <w:sz w:val="18"/>
                <w:szCs w:val="18"/>
              </w:rPr>
              <w:t>Capital/ Startup Cost</w:t>
            </w:r>
          </w:p>
        </w:tc>
        <w:tc>
          <w:tcPr>
            <w:tcW w:w="275" w:type="pct"/>
            <w:shd w:val="clear" w:color="auto" w:fill="auto"/>
            <w:vAlign w:val="bottom"/>
            <w:hideMark/>
          </w:tcPr>
          <w:p w:rsidRPr="002E2EC5" w:rsidR="00C41E84" w:rsidP="004774FC" w:rsidRDefault="00C41E84" w14:paraId="4F0604CC" w14:textId="77777777">
            <w:pPr>
              <w:rPr>
                <w:bCs/>
                <w:color w:val="000000"/>
                <w:sz w:val="18"/>
                <w:szCs w:val="18"/>
              </w:rPr>
            </w:pPr>
            <w:r w:rsidRPr="002E2EC5">
              <w:rPr>
                <w:bCs/>
                <w:color w:val="000000"/>
                <w:sz w:val="18"/>
                <w:szCs w:val="18"/>
              </w:rPr>
              <w:t>O&amp;M Cost</w:t>
            </w:r>
          </w:p>
        </w:tc>
        <w:tc>
          <w:tcPr>
            <w:tcW w:w="413" w:type="pct"/>
            <w:shd w:val="clear" w:color="auto" w:fill="auto"/>
            <w:vAlign w:val="bottom"/>
            <w:hideMark/>
          </w:tcPr>
          <w:p w:rsidRPr="002E2EC5" w:rsidR="00C41E84" w:rsidP="004774FC" w:rsidRDefault="00C41E84" w14:paraId="34F2E425" w14:textId="77777777">
            <w:pPr>
              <w:rPr>
                <w:b/>
                <w:bCs/>
                <w:color w:val="000000"/>
                <w:sz w:val="18"/>
                <w:szCs w:val="18"/>
              </w:rPr>
            </w:pPr>
            <w:r w:rsidRPr="002E2EC5">
              <w:rPr>
                <w:b/>
                <w:bCs/>
                <w:color w:val="000000"/>
                <w:sz w:val="18"/>
                <w:szCs w:val="18"/>
              </w:rPr>
              <w:t xml:space="preserve">Number of Resp. </w:t>
            </w:r>
          </w:p>
        </w:tc>
        <w:tc>
          <w:tcPr>
            <w:tcW w:w="379" w:type="pct"/>
            <w:shd w:val="clear" w:color="auto" w:fill="auto"/>
            <w:vAlign w:val="bottom"/>
            <w:hideMark/>
          </w:tcPr>
          <w:p w:rsidRPr="002E2EC5" w:rsidR="00C41E84" w:rsidP="004774FC" w:rsidRDefault="00C41E84" w14:paraId="652737B4" w14:textId="77777777">
            <w:pPr>
              <w:rPr>
                <w:b/>
                <w:bCs/>
                <w:color w:val="000000"/>
                <w:sz w:val="18"/>
                <w:szCs w:val="18"/>
              </w:rPr>
            </w:pPr>
            <w:r w:rsidRPr="002E2EC5">
              <w:rPr>
                <w:b/>
                <w:bCs/>
                <w:color w:val="000000"/>
                <w:sz w:val="18"/>
                <w:szCs w:val="18"/>
              </w:rPr>
              <w:t>Total Hours/Yr</w:t>
            </w:r>
          </w:p>
        </w:tc>
        <w:tc>
          <w:tcPr>
            <w:tcW w:w="516" w:type="pct"/>
            <w:shd w:val="clear" w:color="auto" w:fill="auto"/>
            <w:vAlign w:val="bottom"/>
            <w:hideMark/>
          </w:tcPr>
          <w:p w:rsidRPr="002E2EC5" w:rsidR="00C41E84" w:rsidP="004774FC" w:rsidRDefault="00C41E84" w14:paraId="2C90F38C" w14:textId="77777777">
            <w:pPr>
              <w:rPr>
                <w:b/>
                <w:bCs/>
                <w:color w:val="000000"/>
                <w:sz w:val="18"/>
                <w:szCs w:val="18"/>
              </w:rPr>
            </w:pPr>
            <w:r w:rsidRPr="002E2EC5">
              <w:rPr>
                <w:b/>
                <w:bCs/>
                <w:color w:val="000000"/>
                <w:sz w:val="18"/>
                <w:szCs w:val="18"/>
              </w:rPr>
              <w:t xml:space="preserve">Total Cost/Yr </w:t>
            </w:r>
          </w:p>
        </w:tc>
      </w:tr>
      <w:tr w:rsidRPr="00D96BF7" w:rsidR="00C41E84" w:rsidTr="004774FC" w14:paraId="777DF243" w14:textId="77777777">
        <w:trPr>
          <w:trHeight w:val="255"/>
        </w:trPr>
        <w:tc>
          <w:tcPr>
            <w:tcW w:w="1033" w:type="pct"/>
            <w:shd w:val="clear" w:color="000000" w:fill="D9D9D9"/>
            <w:noWrap/>
            <w:vAlign w:val="center"/>
            <w:hideMark/>
          </w:tcPr>
          <w:p w:rsidRPr="00D96BF7" w:rsidR="00C41E84" w:rsidP="004774FC" w:rsidRDefault="00C41E84" w14:paraId="45C705C0" w14:textId="77777777">
            <w:pPr>
              <w:rPr>
                <w:color w:val="000000"/>
                <w:sz w:val="18"/>
                <w:szCs w:val="18"/>
              </w:rPr>
            </w:pPr>
            <w:r w:rsidRPr="00D96BF7">
              <w:rPr>
                <w:color w:val="000000"/>
                <w:sz w:val="18"/>
                <w:szCs w:val="18"/>
              </w:rPr>
              <w:t>Reading the Rule</w:t>
            </w:r>
          </w:p>
        </w:tc>
        <w:tc>
          <w:tcPr>
            <w:tcW w:w="352" w:type="pct"/>
            <w:shd w:val="clear" w:color="000000" w:fill="D9D9D9"/>
            <w:noWrap/>
            <w:vAlign w:val="center"/>
            <w:hideMark/>
          </w:tcPr>
          <w:p w:rsidRPr="00D96BF7" w:rsidR="00C41E84" w:rsidP="004774FC" w:rsidRDefault="00C41E84" w14:paraId="7F345FBA" w14:textId="77777777">
            <w:pPr>
              <w:rPr>
                <w:color w:val="000000"/>
                <w:sz w:val="18"/>
                <w:szCs w:val="18"/>
              </w:rPr>
            </w:pPr>
            <w:r w:rsidRPr="00D96BF7">
              <w:rPr>
                <w:color w:val="000000"/>
                <w:sz w:val="18"/>
                <w:szCs w:val="18"/>
              </w:rPr>
              <w:t> </w:t>
            </w:r>
          </w:p>
        </w:tc>
        <w:tc>
          <w:tcPr>
            <w:tcW w:w="344" w:type="pct"/>
            <w:shd w:val="clear" w:color="000000" w:fill="D9D9D9"/>
            <w:noWrap/>
            <w:vAlign w:val="center"/>
            <w:hideMark/>
          </w:tcPr>
          <w:p w:rsidRPr="00D96BF7" w:rsidR="00C41E84" w:rsidP="004774FC" w:rsidRDefault="00C41E84" w14:paraId="17495FA1" w14:textId="77777777">
            <w:pPr>
              <w:rPr>
                <w:color w:val="000000"/>
                <w:sz w:val="18"/>
                <w:szCs w:val="18"/>
              </w:rPr>
            </w:pPr>
            <w:r w:rsidRPr="00D96BF7">
              <w:rPr>
                <w:color w:val="000000"/>
                <w:sz w:val="18"/>
                <w:szCs w:val="18"/>
              </w:rPr>
              <w:t> </w:t>
            </w:r>
          </w:p>
        </w:tc>
        <w:tc>
          <w:tcPr>
            <w:tcW w:w="302" w:type="pct"/>
            <w:shd w:val="clear" w:color="000000" w:fill="D9D9D9"/>
            <w:noWrap/>
            <w:vAlign w:val="center"/>
            <w:hideMark/>
          </w:tcPr>
          <w:p w:rsidRPr="00D96BF7" w:rsidR="00C41E84" w:rsidP="004774FC" w:rsidRDefault="00C41E84" w14:paraId="74E65D1B" w14:textId="77777777">
            <w:pPr>
              <w:rPr>
                <w:color w:val="000000"/>
                <w:sz w:val="18"/>
                <w:szCs w:val="18"/>
              </w:rPr>
            </w:pPr>
            <w:r w:rsidRPr="00D96BF7">
              <w:rPr>
                <w:color w:val="000000"/>
                <w:sz w:val="18"/>
                <w:szCs w:val="18"/>
              </w:rPr>
              <w:t> </w:t>
            </w:r>
          </w:p>
        </w:tc>
        <w:tc>
          <w:tcPr>
            <w:tcW w:w="315" w:type="pct"/>
            <w:shd w:val="clear" w:color="000000" w:fill="D9D9D9"/>
            <w:noWrap/>
            <w:vAlign w:val="center"/>
            <w:hideMark/>
          </w:tcPr>
          <w:p w:rsidRPr="00D96BF7" w:rsidR="00C41E84" w:rsidP="004774FC" w:rsidRDefault="00C41E84" w14:paraId="448EC8CC" w14:textId="77777777">
            <w:pPr>
              <w:rPr>
                <w:color w:val="000000"/>
                <w:sz w:val="18"/>
                <w:szCs w:val="18"/>
              </w:rPr>
            </w:pPr>
            <w:r w:rsidRPr="00D96BF7">
              <w:rPr>
                <w:color w:val="000000"/>
                <w:sz w:val="18"/>
                <w:szCs w:val="18"/>
              </w:rPr>
              <w:t> </w:t>
            </w:r>
          </w:p>
        </w:tc>
        <w:tc>
          <w:tcPr>
            <w:tcW w:w="350" w:type="pct"/>
            <w:shd w:val="clear" w:color="000000" w:fill="D9D9D9"/>
            <w:noWrap/>
            <w:vAlign w:val="center"/>
            <w:hideMark/>
          </w:tcPr>
          <w:p w:rsidRPr="00D96BF7" w:rsidR="00C41E84" w:rsidP="004774FC" w:rsidRDefault="00C41E84" w14:paraId="34BA1AD8" w14:textId="77777777">
            <w:pPr>
              <w:rPr>
                <w:color w:val="000000"/>
                <w:sz w:val="18"/>
                <w:szCs w:val="18"/>
              </w:rPr>
            </w:pPr>
            <w:r w:rsidRPr="00D96BF7">
              <w:rPr>
                <w:color w:val="000000"/>
                <w:sz w:val="18"/>
                <w:szCs w:val="18"/>
              </w:rPr>
              <w:t> </w:t>
            </w:r>
          </w:p>
        </w:tc>
        <w:tc>
          <w:tcPr>
            <w:tcW w:w="342" w:type="pct"/>
            <w:shd w:val="clear" w:color="000000" w:fill="D9D9D9"/>
            <w:noWrap/>
            <w:vAlign w:val="center"/>
            <w:hideMark/>
          </w:tcPr>
          <w:p w:rsidRPr="00D96BF7" w:rsidR="00C41E84" w:rsidP="004774FC" w:rsidRDefault="00C41E84" w14:paraId="62A4970D" w14:textId="77777777">
            <w:pPr>
              <w:rPr>
                <w:color w:val="000000"/>
                <w:sz w:val="18"/>
                <w:szCs w:val="18"/>
              </w:rPr>
            </w:pPr>
            <w:r w:rsidRPr="00D96BF7">
              <w:rPr>
                <w:color w:val="000000"/>
                <w:sz w:val="18"/>
                <w:szCs w:val="18"/>
              </w:rPr>
              <w:t> </w:t>
            </w:r>
          </w:p>
        </w:tc>
        <w:tc>
          <w:tcPr>
            <w:tcW w:w="379" w:type="pct"/>
            <w:shd w:val="clear" w:color="000000" w:fill="D9D9D9"/>
            <w:vAlign w:val="center"/>
            <w:hideMark/>
          </w:tcPr>
          <w:p w:rsidRPr="00D96BF7" w:rsidR="00C41E84" w:rsidP="004774FC" w:rsidRDefault="00C41E84" w14:paraId="5F43AB9B" w14:textId="77777777">
            <w:pPr>
              <w:jc w:val="right"/>
              <w:rPr>
                <w:color w:val="000000"/>
                <w:sz w:val="18"/>
                <w:szCs w:val="18"/>
              </w:rPr>
            </w:pPr>
            <w:r w:rsidRPr="00D96BF7">
              <w:rPr>
                <w:color w:val="000000"/>
                <w:sz w:val="18"/>
                <w:szCs w:val="18"/>
              </w:rPr>
              <w:t> </w:t>
            </w:r>
          </w:p>
        </w:tc>
        <w:tc>
          <w:tcPr>
            <w:tcW w:w="275" w:type="pct"/>
            <w:shd w:val="clear" w:color="000000" w:fill="D9D9D9"/>
            <w:noWrap/>
            <w:vAlign w:val="center"/>
            <w:hideMark/>
          </w:tcPr>
          <w:p w:rsidRPr="00D96BF7" w:rsidR="00C41E84" w:rsidP="004774FC" w:rsidRDefault="00C41E84" w14:paraId="421B4A00" w14:textId="77777777">
            <w:pPr>
              <w:rPr>
                <w:color w:val="000000"/>
                <w:sz w:val="18"/>
                <w:szCs w:val="18"/>
              </w:rPr>
            </w:pPr>
            <w:r w:rsidRPr="00D96BF7">
              <w:rPr>
                <w:color w:val="000000"/>
                <w:sz w:val="18"/>
                <w:szCs w:val="18"/>
              </w:rPr>
              <w:t> </w:t>
            </w:r>
          </w:p>
        </w:tc>
        <w:tc>
          <w:tcPr>
            <w:tcW w:w="413" w:type="pct"/>
            <w:shd w:val="clear" w:color="000000" w:fill="D9D9D9"/>
            <w:noWrap/>
            <w:vAlign w:val="center"/>
            <w:hideMark/>
          </w:tcPr>
          <w:p w:rsidRPr="00D96BF7" w:rsidR="00C41E84" w:rsidP="004774FC" w:rsidRDefault="00C41E84" w14:paraId="2BF2C309" w14:textId="77777777">
            <w:pPr>
              <w:rPr>
                <w:color w:val="000000"/>
                <w:sz w:val="18"/>
                <w:szCs w:val="18"/>
              </w:rPr>
            </w:pPr>
            <w:r w:rsidRPr="00D96BF7">
              <w:rPr>
                <w:color w:val="000000"/>
                <w:sz w:val="18"/>
                <w:szCs w:val="18"/>
              </w:rPr>
              <w:t> </w:t>
            </w:r>
          </w:p>
        </w:tc>
        <w:tc>
          <w:tcPr>
            <w:tcW w:w="379" w:type="pct"/>
            <w:shd w:val="clear" w:color="000000" w:fill="D9D9D9"/>
            <w:noWrap/>
            <w:vAlign w:val="center"/>
            <w:hideMark/>
          </w:tcPr>
          <w:p w:rsidRPr="00D96BF7" w:rsidR="00C41E84" w:rsidP="004774FC" w:rsidRDefault="00C41E84" w14:paraId="1B30EC5D" w14:textId="77777777">
            <w:pPr>
              <w:rPr>
                <w:color w:val="000000"/>
                <w:sz w:val="18"/>
                <w:szCs w:val="18"/>
              </w:rPr>
            </w:pPr>
            <w:r w:rsidRPr="00D96BF7">
              <w:rPr>
                <w:color w:val="000000"/>
                <w:sz w:val="18"/>
                <w:szCs w:val="18"/>
              </w:rPr>
              <w:t> </w:t>
            </w:r>
          </w:p>
        </w:tc>
        <w:tc>
          <w:tcPr>
            <w:tcW w:w="516" w:type="pct"/>
            <w:shd w:val="clear" w:color="000000" w:fill="D9D9D9"/>
            <w:noWrap/>
            <w:vAlign w:val="center"/>
            <w:hideMark/>
          </w:tcPr>
          <w:p w:rsidRPr="00D96BF7" w:rsidR="00C41E84" w:rsidP="004774FC" w:rsidRDefault="00C41E84" w14:paraId="3EE87930" w14:textId="77777777">
            <w:pPr>
              <w:rPr>
                <w:color w:val="000000"/>
                <w:sz w:val="18"/>
                <w:szCs w:val="18"/>
              </w:rPr>
            </w:pPr>
            <w:r w:rsidRPr="00D96BF7">
              <w:rPr>
                <w:color w:val="000000"/>
                <w:sz w:val="18"/>
                <w:szCs w:val="18"/>
              </w:rPr>
              <w:t> </w:t>
            </w:r>
          </w:p>
        </w:tc>
      </w:tr>
      <w:tr w:rsidRPr="00D96BF7" w:rsidR="00C41E84" w:rsidTr="004774FC" w14:paraId="438C52E8" w14:textId="77777777">
        <w:trPr>
          <w:trHeight w:val="301"/>
        </w:trPr>
        <w:tc>
          <w:tcPr>
            <w:tcW w:w="1033" w:type="pct"/>
            <w:shd w:val="clear" w:color="auto" w:fill="auto"/>
            <w:vAlign w:val="center"/>
            <w:hideMark/>
          </w:tcPr>
          <w:p w:rsidRPr="00D96BF7" w:rsidR="00C41E84" w:rsidP="004774FC" w:rsidRDefault="00C41E84" w14:paraId="35C3EDA6" w14:textId="77777777">
            <w:pPr>
              <w:rPr>
                <w:color w:val="000000"/>
                <w:sz w:val="18"/>
                <w:szCs w:val="18"/>
              </w:rPr>
            </w:pPr>
            <w:r w:rsidRPr="00D96BF7">
              <w:rPr>
                <w:color w:val="000000"/>
                <w:sz w:val="18"/>
                <w:szCs w:val="18"/>
              </w:rPr>
              <w:t>Reading the Rule</w:t>
            </w:r>
          </w:p>
        </w:tc>
        <w:tc>
          <w:tcPr>
            <w:tcW w:w="352" w:type="pct"/>
            <w:shd w:val="clear" w:color="auto" w:fill="auto"/>
            <w:vAlign w:val="center"/>
            <w:hideMark/>
          </w:tcPr>
          <w:p w:rsidRPr="00D96BF7" w:rsidR="00C41E84" w:rsidP="004774FC" w:rsidRDefault="00C41E84" w14:paraId="3880D624"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41A3FEF1" w14:textId="77777777">
            <w:pPr>
              <w:jc w:val="right"/>
              <w:rPr>
                <w:color w:val="000000"/>
                <w:sz w:val="18"/>
                <w:szCs w:val="18"/>
              </w:rPr>
            </w:pPr>
            <w:r w:rsidRPr="00D96BF7">
              <w:rPr>
                <w:color w:val="000000"/>
                <w:sz w:val="18"/>
                <w:szCs w:val="18"/>
              </w:rPr>
              <w:t>1.00</w:t>
            </w:r>
          </w:p>
        </w:tc>
        <w:tc>
          <w:tcPr>
            <w:tcW w:w="302" w:type="pct"/>
            <w:shd w:val="clear" w:color="auto" w:fill="auto"/>
            <w:vAlign w:val="center"/>
            <w:hideMark/>
          </w:tcPr>
          <w:p w:rsidRPr="00D96BF7" w:rsidR="00C41E84" w:rsidP="004774FC" w:rsidRDefault="00C41E84" w14:paraId="4B78318D" w14:textId="77777777">
            <w:pPr>
              <w:jc w:val="right"/>
              <w:rPr>
                <w:color w:val="000000"/>
                <w:sz w:val="18"/>
                <w:szCs w:val="18"/>
              </w:rPr>
            </w:pPr>
            <w:r w:rsidRPr="00D96BF7">
              <w:rPr>
                <w:color w:val="000000"/>
                <w:sz w:val="18"/>
                <w:szCs w:val="18"/>
              </w:rPr>
              <w:t>2.50</w:t>
            </w:r>
          </w:p>
        </w:tc>
        <w:tc>
          <w:tcPr>
            <w:tcW w:w="315" w:type="pct"/>
            <w:shd w:val="clear" w:color="auto" w:fill="auto"/>
            <w:vAlign w:val="center"/>
            <w:hideMark/>
          </w:tcPr>
          <w:p w:rsidRPr="00D96BF7" w:rsidR="00C41E84" w:rsidP="004774FC" w:rsidRDefault="00C41E84" w14:paraId="5D11CB6F"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0EB639AB" w14:textId="77777777">
            <w:pPr>
              <w:jc w:val="right"/>
              <w:rPr>
                <w:color w:val="000000"/>
                <w:sz w:val="18"/>
                <w:szCs w:val="18"/>
              </w:rPr>
            </w:pPr>
            <w:r w:rsidRPr="00D96BF7">
              <w:rPr>
                <w:color w:val="000000"/>
                <w:sz w:val="18"/>
                <w:szCs w:val="18"/>
              </w:rPr>
              <w:t>3.50</w:t>
            </w:r>
          </w:p>
        </w:tc>
        <w:tc>
          <w:tcPr>
            <w:tcW w:w="342" w:type="pct"/>
            <w:shd w:val="clear" w:color="auto" w:fill="auto"/>
            <w:vAlign w:val="center"/>
            <w:hideMark/>
          </w:tcPr>
          <w:p w:rsidRPr="00D96BF7" w:rsidR="00C41E84" w:rsidP="004774FC" w:rsidRDefault="00C41E84" w14:paraId="7FCF0E83" w14:textId="77777777">
            <w:pPr>
              <w:jc w:val="right"/>
              <w:rPr>
                <w:color w:val="000000"/>
                <w:sz w:val="18"/>
                <w:szCs w:val="18"/>
              </w:rPr>
            </w:pPr>
            <w:r w:rsidRPr="00D96BF7">
              <w:rPr>
                <w:color w:val="000000"/>
                <w:sz w:val="18"/>
                <w:szCs w:val="18"/>
              </w:rPr>
              <w:t>$</w:t>
            </w:r>
            <w:r>
              <w:rPr>
                <w:color w:val="000000"/>
                <w:sz w:val="18"/>
                <w:szCs w:val="18"/>
              </w:rPr>
              <w:t>320</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456CBD0A"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779CEF70" w14:textId="77777777">
            <w:pPr>
              <w:jc w:val="right"/>
              <w:rPr>
                <w:color w:val="000000"/>
                <w:sz w:val="18"/>
                <w:szCs w:val="18"/>
              </w:rPr>
            </w:pPr>
            <w:r w:rsidRPr="00D96BF7">
              <w:rPr>
                <w:color w:val="000000"/>
                <w:sz w:val="18"/>
                <w:szCs w:val="18"/>
              </w:rPr>
              <w:t>0</w:t>
            </w:r>
          </w:p>
        </w:tc>
        <w:tc>
          <w:tcPr>
            <w:tcW w:w="413" w:type="pct"/>
            <w:shd w:val="clear" w:color="auto" w:fill="auto"/>
            <w:vAlign w:val="center"/>
            <w:hideMark/>
          </w:tcPr>
          <w:p w:rsidRPr="00D96BF7" w:rsidR="00C41E84" w:rsidP="004774FC" w:rsidRDefault="00C41E84" w14:paraId="5A9A8E7A" w14:textId="77777777">
            <w:pPr>
              <w:jc w:val="right"/>
              <w:rPr>
                <w:color w:val="000000"/>
                <w:sz w:val="18"/>
                <w:szCs w:val="18"/>
              </w:rPr>
            </w:pPr>
            <w:r>
              <w:rPr>
                <w:color w:val="000000"/>
                <w:sz w:val="18"/>
                <w:szCs w:val="18"/>
              </w:rPr>
              <w:t>8,163</w:t>
            </w:r>
          </w:p>
        </w:tc>
        <w:tc>
          <w:tcPr>
            <w:tcW w:w="379" w:type="pct"/>
            <w:shd w:val="clear" w:color="auto" w:fill="auto"/>
            <w:vAlign w:val="center"/>
            <w:hideMark/>
          </w:tcPr>
          <w:p w:rsidRPr="00D96BF7" w:rsidR="00C41E84" w:rsidP="004774FC" w:rsidRDefault="00C41E84" w14:paraId="7658C2A5" w14:textId="77777777">
            <w:pPr>
              <w:jc w:val="right"/>
              <w:rPr>
                <w:color w:val="000000"/>
                <w:sz w:val="18"/>
                <w:szCs w:val="18"/>
              </w:rPr>
            </w:pPr>
            <w:r>
              <w:rPr>
                <w:color w:val="000000"/>
                <w:sz w:val="18"/>
                <w:szCs w:val="18"/>
              </w:rPr>
              <w:t>28,571</w:t>
            </w:r>
          </w:p>
        </w:tc>
        <w:tc>
          <w:tcPr>
            <w:tcW w:w="516" w:type="pct"/>
            <w:shd w:val="clear" w:color="auto" w:fill="auto"/>
            <w:vAlign w:val="center"/>
            <w:hideMark/>
          </w:tcPr>
          <w:p w:rsidRPr="00D96BF7" w:rsidR="00C41E84" w:rsidP="004774FC" w:rsidRDefault="00C41E84" w14:paraId="46303C76" w14:textId="77777777">
            <w:pPr>
              <w:jc w:val="right"/>
              <w:rPr>
                <w:sz w:val="18"/>
                <w:szCs w:val="18"/>
              </w:rPr>
            </w:pPr>
            <w:r w:rsidRPr="00D96BF7">
              <w:rPr>
                <w:sz w:val="18"/>
                <w:szCs w:val="18"/>
              </w:rPr>
              <w:t>$</w:t>
            </w:r>
            <w:r>
              <w:rPr>
                <w:sz w:val="18"/>
                <w:szCs w:val="18"/>
              </w:rPr>
              <w:t>2,612,160</w:t>
            </w:r>
            <w:r w:rsidRPr="00D96BF7">
              <w:rPr>
                <w:sz w:val="18"/>
                <w:szCs w:val="18"/>
              </w:rPr>
              <w:t xml:space="preserve"> </w:t>
            </w:r>
          </w:p>
        </w:tc>
      </w:tr>
      <w:tr w:rsidRPr="00D96BF7" w:rsidR="00C41E84" w:rsidTr="004774FC" w14:paraId="47F29035" w14:textId="77777777">
        <w:trPr>
          <w:trHeight w:val="255"/>
        </w:trPr>
        <w:tc>
          <w:tcPr>
            <w:tcW w:w="1033" w:type="pct"/>
            <w:shd w:val="clear" w:color="000000" w:fill="D9D9D9"/>
            <w:noWrap/>
            <w:vAlign w:val="center"/>
            <w:hideMark/>
          </w:tcPr>
          <w:p w:rsidRPr="00D96BF7" w:rsidR="00C41E84" w:rsidP="004774FC" w:rsidRDefault="00C41E84" w14:paraId="79557887" w14:textId="77777777">
            <w:pPr>
              <w:rPr>
                <w:color w:val="000000"/>
                <w:sz w:val="18"/>
                <w:szCs w:val="18"/>
              </w:rPr>
            </w:pPr>
            <w:r w:rsidRPr="00D96BF7">
              <w:rPr>
                <w:color w:val="000000"/>
                <w:sz w:val="18"/>
                <w:szCs w:val="18"/>
              </w:rPr>
              <w:t xml:space="preserve">Labeling </w:t>
            </w:r>
          </w:p>
        </w:tc>
        <w:tc>
          <w:tcPr>
            <w:tcW w:w="352" w:type="pct"/>
            <w:shd w:val="clear" w:color="000000" w:fill="D9D9D9"/>
            <w:noWrap/>
            <w:vAlign w:val="center"/>
            <w:hideMark/>
          </w:tcPr>
          <w:p w:rsidRPr="00D96BF7" w:rsidR="00C41E84" w:rsidP="004774FC" w:rsidRDefault="00C41E84" w14:paraId="5EFDC29C" w14:textId="77777777">
            <w:pPr>
              <w:rPr>
                <w:color w:val="000000"/>
                <w:sz w:val="18"/>
                <w:szCs w:val="18"/>
              </w:rPr>
            </w:pPr>
            <w:r w:rsidRPr="00D96BF7">
              <w:rPr>
                <w:color w:val="000000"/>
                <w:sz w:val="18"/>
                <w:szCs w:val="18"/>
              </w:rPr>
              <w:t> </w:t>
            </w:r>
          </w:p>
        </w:tc>
        <w:tc>
          <w:tcPr>
            <w:tcW w:w="344" w:type="pct"/>
            <w:shd w:val="clear" w:color="000000" w:fill="D9D9D9"/>
            <w:noWrap/>
            <w:vAlign w:val="center"/>
            <w:hideMark/>
          </w:tcPr>
          <w:p w:rsidRPr="00D96BF7" w:rsidR="00C41E84" w:rsidP="004774FC" w:rsidRDefault="00C41E84" w14:paraId="481FC658" w14:textId="77777777">
            <w:pPr>
              <w:rPr>
                <w:color w:val="000000"/>
                <w:sz w:val="18"/>
                <w:szCs w:val="18"/>
              </w:rPr>
            </w:pPr>
            <w:r w:rsidRPr="00D96BF7">
              <w:rPr>
                <w:color w:val="000000"/>
                <w:sz w:val="18"/>
                <w:szCs w:val="18"/>
              </w:rPr>
              <w:t> </w:t>
            </w:r>
          </w:p>
        </w:tc>
        <w:tc>
          <w:tcPr>
            <w:tcW w:w="302" w:type="pct"/>
            <w:shd w:val="clear" w:color="000000" w:fill="D9D9D9"/>
            <w:noWrap/>
            <w:vAlign w:val="center"/>
            <w:hideMark/>
          </w:tcPr>
          <w:p w:rsidRPr="00D96BF7" w:rsidR="00C41E84" w:rsidP="004774FC" w:rsidRDefault="00C41E84" w14:paraId="0608F87C" w14:textId="77777777">
            <w:pPr>
              <w:rPr>
                <w:color w:val="000000"/>
                <w:sz w:val="18"/>
                <w:szCs w:val="18"/>
              </w:rPr>
            </w:pPr>
            <w:r w:rsidRPr="00D96BF7">
              <w:rPr>
                <w:color w:val="000000"/>
                <w:sz w:val="18"/>
                <w:szCs w:val="18"/>
              </w:rPr>
              <w:t> </w:t>
            </w:r>
          </w:p>
        </w:tc>
        <w:tc>
          <w:tcPr>
            <w:tcW w:w="315" w:type="pct"/>
            <w:shd w:val="clear" w:color="000000" w:fill="D9D9D9"/>
            <w:noWrap/>
            <w:vAlign w:val="center"/>
            <w:hideMark/>
          </w:tcPr>
          <w:p w:rsidRPr="00D96BF7" w:rsidR="00C41E84" w:rsidP="004774FC" w:rsidRDefault="00C41E84" w14:paraId="213170B6" w14:textId="77777777">
            <w:pPr>
              <w:rPr>
                <w:color w:val="000000"/>
                <w:sz w:val="18"/>
                <w:szCs w:val="18"/>
              </w:rPr>
            </w:pPr>
            <w:r w:rsidRPr="00D96BF7">
              <w:rPr>
                <w:color w:val="000000"/>
                <w:sz w:val="18"/>
                <w:szCs w:val="18"/>
              </w:rPr>
              <w:t> </w:t>
            </w:r>
          </w:p>
        </w:tc>
        <w:tc>
          <w:tcPr>
            <w:tcW w:w="350" w:type="pct"/>
            <w:shd w:val="clear" w:color="000000" w:fill="D9D9D9"/>
            <w:noWrap/>
            <w:vAlign w:val="center"/>
            <w:hideMark/>
          </w:tcPr>
          <w:p w:rsidRPr="00D96BF7" w:rsidR="00C41E84" w:rsidP="004774FC" w:rsidRDefault="00C41E84" w14:paraId="00BDAA6C" w14:textId="77777777">
            <w:pPr>
              <w:rPr>
                <w:color w:val="000000"/>
                <w:sz w:val="18"/>
                <w:szCs w:val="18"/>
              </w:rPr>
            </w:pPr>
            <w:r w:rsidRPr="00D96BF7">
              <w:rPr>
                <w:color w:val="000000"/>
                <w:sz w:val="18"/>
                <w:szCs w:val="18"/>
              </w:rPr>
              <w:t> </w:t>
            </w:r>
          </w:p>
        </w:tc>
        <w:tc>
          <w:tcPr>
            <w:tcW w:w="342" w:type="pct"/>
            <w:shd w:val="clear" w:color="000000" w:fill="D9D9D9"/>
            <w:noWrap/>
            <w:vAlign w:val="center"/>
            <w:hideMark/>
          </w:tcPr>
          <w:p w:rsidRPr="00D96BF7" w:rsidR="00C41E84" w:rsidP="004774FC" w:rsidRDefault="00C41E84" w14:paraId="073F9C79" w14:textId="77777777">
            <w:pPr>
              <w:rPr>
                <w:color w:val="000000"/>
                <w:sz w:val="18"/>
                <w:szCs w:val="18"/>
              </w:rPr>
            </w:pPr>
            <w:r w:rsidRPr="00D96BF7">
              <w:rPr>
                <w:color w:val="000000"/>
                <w:sz w:val="18"/>
                <w:szCs w:val="18"/>
              </w:rPr>
              <w:t> </w:t>
            </w:r>
          </w:p>
        </w:tc>
        <w:tc>
          <w:tcPr>
            <w:tcW w:w="379" w:type="pct"/>
            <w:shd w:val="clear" w:color="000000" w:fill="D9D9D9"/>
            <w:vAlign w:val="center"/>
            <w:hideMark/>
          </w:tcPr>
          <w:p w:rsidRPr="00D96BF7" w:rsidR="00C41E84" w:rsidP="004774FC" w:rsidRDefault="00C41E84" w14:paraId="2E627A04" w14:textId="77777777">
            <w:pPr>
              <w:jc w:val="right"/>
              <w:rPr>
                <w:color w:val="000000"/>
                <w:sz w:val="18"/>
                <w:szCs w:val="18"/>
              </w:rPr>
            </w:pPr>
            <w:r w:rsidRPr="00D96BF7">
              <w:rPr>
                <w:color w:val="000000"/>
                <w:sz w:val="18"/>
                <w:szCs w:val="18"/>
              </w:rPr>
              <w:t> </w:t>
            </w:r>
          </w:p>
        </w:tc>
        <w:tc>
          <w:tcPr>
            <w:tcW w:w="275" w:type="pct"/>
            <w:shd w:val="clear" w:color="000000" w:fill="D9D9D9"/>
            <w:noWrap/>
            <w:vAlign w:val="center"/>
            <w:hideMark/>
          </w:tcPr>
          <w:p w:rsidRPr="00D96BF7" w:rsidR="00C41E84" w:rsidP="004774FC" w:rsidRDefault="00C41E84" w14:paraId="12EFC94E" w14:textId="77777777">
            <w:pPr>
              <w:rPr>
                <w:color w:val="000000"/>
                <w:sz w:val="18"/>
                <w:szCs w:val="18"/>
              </w:rPr>
            </w:pPr>
            <w:r w:rsidRPr="00D96BF7">
              <w:rPr>
                <w:color w:val="000000"/>
                <w:sz w:val="18"/>
                <w:szCs w:val="18"/>
              </w:rPr>
              <w:t> </w:t>
            </w:r>
          </w:p>
        </w:tc>
        <w:tc>
          <w:tcPr>
            <w:tcW w:w="413" w:type="pct"/>
            <w:shd w:val="clear" w:color="000000" w:fill="D9D9D9"/>
            <w:noWrap/>
            <w:vAlign w:val="center"/>
            <w:hideMark/>
          </w:tcPr>
          <w:p w:rsidRPr="00D96BF7" w:rsidR="00C41E84" w:rsidP="004774FC" w:rsidRDefault="00C41E84" w14:paraId="140A6901" w14:textId="77777777">
            <w:pPr>
              <w:rPr>
                <w:color w:val="000000"/>
                <w:sz w:val="18"/>
                <w:szCs w:val="18"/>
              </w:rPr>
            </w:pPr>
            <w:r w:rsidRPr="00D96BF7">
              <w:rPr>
                <w:color w:val="000000"/>
                <w:sz w:val="18"/>
                <w:szCs w:val="18"/>
              </w:rPr>
              <w:t> </w:t>
            </w:r>
          </w:p>
        </w:tc>
        <w:tc>
          <w:tcPr>
            <w:tcW w:w="379" w:type="pct"/>
            <w:shd w:val="clear" w:color="000000" w:fill="D9D9D9"/>
            <w:noWrap/>
            <w:vAlign w:val="center"/>
            <w:hideMark/>
          </w:tcPr>
          <w:p w:rsidRPr="00D96BF7" w:rsidR="00C41E84" w:rsidP="004774FC" w:rsidRDefault="00C41E84" w14:paraId="6E6AF4E9" w14:textId="77777777">
            <w:pPr>
              <w:rPr>
                <w:color w:val="000000"/>
                <w:sz w:val="18"/>
                <w:szCs w:val="18"/>
              </w:rPr>
            </w:pPr>
            <w:r w:rsidRPr="00D96BF7">
              <w:rPr>
                <w:color w:val="000000"/>
                <w:sz w:val="18"/>
                <w:szCs w:val="18"/>
              </w:rPr>
              <w:t> </w:t>
            </w:r>
          </w:p>
        </w:tc>
        <w:tc>
          <w:tcPr>
            <w:tcW w:w="516" w:type="pct"/>
            <w:shd w:val="clear" w:color="000000" w:fill="D9D9D9"/>
            <w:noWrap/>
            <w:vAlign w:val="center"/>
            <w:hideMark/>
          </w:tcPr>
          <w:p w:rsidRPr="00D96BF7" w:rsidR="00C41E84" w:rsidP="004774FC" w:rsidRDefault="00C41E84" w14:paraId="184270EA" w14:textId="77777777">
            <w:pPr>
              <w:rPr>
                <w:color w:val="000000"/>
                <w:sz w:val="18"/>
                <w:szCs w:val="18"/>
              </w:rPr>
            </w:pPr>
            <w:r w:rsidRPr="00D96BF7">
              <w:rPr>
                <w:color w:val="000000"/>
                <w:sz w:val="18"/>
                <w:szCs w:val="18"/>
              </w:rPr>
              <w:t> </w:t>
            </w:r>
          </w:p>
        </w:tc>
      </w:tr>
      <w:tr w:rsidRPr="00D96BF7" w:rsidR="00C41E84" w:rsidTr="004774FC" w14:paraId="0E254F81" w14:textId="77777777">
        <w:trPr>
          <w:trHeight w:val="526"/>
        </w:trPr>
        <w:tc>
          <w:tcPr>
            <w:tcW w:w="1033" w:type="pct"/>
            <w:shd w:val="clear" w:color="auto" w:fill="auto"/>
            <w:vAlign w:val="center"/>
            <w:hideMark/>
          </w:tcPr>
          <w:p w:rsidRPr="00D96BF7" w:rsidR="00C41E84" w:rsidP="004774FC" w:rsidRDefault="00C41E84" w14:paraId="3F931ADE" w14:textId="77777777">
            <w:pPr>
              <w:rPr>
                <w:color w:val="000000"/>
                <w:sz w:val="18"/>
                <w:szCs w:val="18"/>
              </w:rPr>
            </w:pPr>
            <w:r w:rsidRPr="00D96BF7">
              <w:rPr>
                <w:color w:val="000000"/>
                <w:sz w:val="18"/>
                <w:szCs w:val="18"/>
              </w:rPr>
              <w:t>Label containers in primary storage area (LQG)</w:t>
            </w:r>
          </w:p>
        </w:tc>
        <w:tc>
          <w:tcPr>
            <w:tcW w:w="352" w:type="pct"/>
            <w:shd w:val="clear" w:color="auto" w:fill="auto"/>
            <w:vAlign w:val="center"/>
            <w:hideMark/>
          </w:tcPr>
          <w:p w:rsidRPr="00D96BF7" w:rsidR="00C41E84" w:rsidP="004774FC" w:rsidRDefault="00C41E84" w14:paraId="097A99C8"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3F6A4D0C"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6C1A9275" w14:textId="77777777">
            <w:pPr>
              <w:jc w:val="right"/>
              <w:rPr>
                <w:color w:val="000000"/>
                <w:sz w:val="18"/>
                <w:szCs w:val="18"/>
              </w:rPr>
            </w:pPr>
            <w:r w:rsidRPr="00D96BF7">
              <w:rPr>
                <w:color w:val="000000"/>
                <w:sz w:val="18"/>
                <w:szCs w:val="18"/>
              </w:rPr>
              <w:t>1</w:t>
            </w:r>
          </w:p>
        </w:tc>
        <w:tc>
          <w:tcPr>
            <w:tcW w:w="315" w:type="pct"/>
            <w:shd w:val="clear" w:color="auto" w:fill="auto"/>
            <w:vAlign w:val="center"/>
            <w:hideMark/>
          </w:tcPr>
          <w:p w:rsidRPr="00D96BF7" w:rsidR="00C41E84" w:rsidP="004774FC" w:rsidRDefault="00C41E84" w14:paraId="52718F2F"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698EE180" w14:textId="77777777">
            <w:pPr>
              <w:jc w:val="right"/>
              <w:rPr>
                <w:color w:val="000000"/>
                <w:sz w:val="18"/>
                <w:szCs w:val="18"/>
              </w:rPr>
            </w:pPr>
            <w:r w:rsidRPr="00D96BF7">
              <w:rPr>
                <w:color w:val="000000"/>
                <w:sz w:val="18"/>
                <w:szCs w:val="18"/>
              </w:rPr>
              <w:t>1.00</w:t>
            </w:r>
          </w:p>
        </w:tc>
        <w:tc>
          <w:tcPr>
            <w:tcW w:w="342" w:type="pct"/>
            <w:shd w:val="clear" w:color="auto" w:fill="auto"/>
            <w:vAlign w:val="center"/>
            <w:hideMark/>
          </w:tcPr>
          <w:p w:rsidRPr="00D96BF7" w:rsidR="00C41E84" w:rsidP="004774FC" w:rsidRDefault="00C41E84" w14:paraId="296DED21" w14:textId="77777777">
            <w:pPr>
              <w:jc w:val="right"/>
              <w:rPr>
                <w:color w:val="000000"/>
                <w:sz w:val="18"/>
                <w:szCs w:val="18"/>
              </w:rPr>
            </w:pPr>
            <w:r w:rsidRPr="00D96BF7">
              <w:rPr>
                <w:color w:val="000000"/>
                <w:sz w:val="18"/>
                <w:szCs w:val="18"/>
              </w:rPr>
              <w:t>$</w:t>
            </w:r>
            <w:r>
              <w:rPr>
                <w:color w:val="000000"/>
                <w:sz w:val="18"/>
                <w:szCs w:val="18"/>
              </w:rPr>
              <w:t>84</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792EC79A"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12AC5D21"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797D69F7" w14:textId="77777777">
            <w:pPr>
              <w:jc w:val="right"/>
              <w:rPr>
                <w:color w:val="000000"/>
                <w:sz w:val="18"/>
                <w:szCs w:val="18"/>
              </w:rPr>
            </w:pPr>
            <w:r>
              <w:rPr>
                <w:color w:val="000000"/>
                <w:sz w:val="18"/>
                <w:szCs w:val="18"/>
              </w:rPr>
              <w:t>6,537</w:t>
            </w:r>
          </w:p>
        </w:tc>
        <w:tc>
          <w:tcPr>
            <w:tcW w:w="379" w:type="pct"/>
            <w:shd w:val="clear" w:color="auto" w:fill="auto"/>
            <w:vAlign w:val="center"/>
            <w:hideMark/>
          </w:tcPr>
          <w:p w:rsidRPr="00D96BF7" w:rsidR="00C41E84" w:rsidP="004774FC" w:rsidRDefault="00C41E84" w14:paraId="5B5724A9" w14:textId="77777777">
            <w:pPr>
              <w:jc w:val="right"/>
              <w:rPr>
                <w:color w:val="000000"/>
                <w:sz w:val="18"/>
                <w:szCs w:val="18"/>
              </w:rPr>
            </w:pPr>
            <w:r w:rsidRPr="00D96BF7">
              <w:rPr>
                <w:color w:val="000000"/>
                <w:sz w:val="18"/>
                <w:szCs w:val="18"/>
              </w:rPr>
              <w:t>6,</w:t>
            </w:r>
            <w:r>
              <w:rPr>
                <w:color w:val="000000"/>
                <w:sz w:val="18"/>
                <w:szCs w:val="18"/>
              </w:rPr>
              <w:t>537</w:t>
            </w:r>
          </w:p>
        </w:tc>
        <w:tc>
          <w:tcPr>
            <w:tcW w:w="516" w:type="pct"/>
            <w:shd w:val="clear" w:color="auto" w:fill="auto"/>
            <w:vAlign w:val="center"/>
            <w:hideMark/>
          </w:tcPr>
          <w:p w:rsidRPr="00D96BF7" w:rsidR="00C41E84" w:rsidP="004774FC" w:rsidRDefault="00C41E84" w14:paraId="39265205" w14:textId="77777777">
            <w:pPr>
              <w:jc w:val="right"/>
              <w:rPr>
                <w:sz w:val="18"/>
                <w:szCs w:val="18"/>
              </w:rPr>
            </w:pPr>
            <w:r w:rsidRPr="00D96BF7">
              <w:rPr>
                <w:sz w:val="18"/>
                <w:szCs w:val="18"/>
              </w:rPr>
              <w:t>$</w:t>
            </w:r>
            <w:r>
              <w:rPr>
                <w:sz w:val="18"/>
                <w:szCs w:val="18"/>
              </w:rPr>
              <w:t>549,108</w:t>
            </w:r>
            <w:r w:rsidRPr="00D96BF7">
              <w:rPr>
                <w:sz w:val="18"/>
                <w:szCs w:val="18"/>
              </w:rPr>
              <w:t xml:space="preserve"> </w:t>
            </w:r>
          </w:p>
        </w:tc>
      </w:tr>
      <w:tr w:rsidRPr="00D96BF7" w:rsidR="00C41E84" w:rsidTr="004774FC" w14:paraId="6C958252" w14:textId="77777777">
        <w:trPr>
          <w:trHeight w:val="526"/>
        </w:trPr>
        <w:tc>
          <w:tcPr>
            <w:tcW w:w="1033" w:type="pct"/>
            <w:shd w:val="clear" w:color="auto" w:fill="auto"/>
            <w:vAlign w:val="center"/>
            <w:hideMark/>
          </w:tcPr>
          <w:p w:rsidRPr="00D96BF7" w:rsidR="00C41E84" w:rsidP="004774FC" w:rsidRDefault="00C41E84" w14:paraId="4867B87E" w14:textId="77777777">
            <w:pPr>
              <w:rPr>
                <w:color w:val="000000"/>
                <w:sz w:val="18"/>
                <w:szCs w:val="18"/>
              </w:rPr>
            </w:pPr>
            <w:r w:rsidRPr="00D96BF7">
              <w:rPr>
                <w:color w:val="000000"/>
                <w:sz w:val="18"/>
                <w:szCs w:val="18"/>
              </w:rPr>
              <w:t>Label containers in primary storage area (SQG)</w:t>
            </w:r>
          </w:p>
        </w:tc>
        <w:tc>
          <w:tcPr>
            <w:tcW w:w="352" w:type="pct"/>
            <w:shd w:val="clear" w:color="auto" w:fill="auto"/>
            <w:vAlign w:val="center"/>
            <w:hideMark/>
          </w:tcPr>
          <w:p w:rsidRPr="00D96BF7" w:rsidR="00C41E84" w:rsidP="004774FC" w:rsidRDefault="00C41E84" w14:paraId="4E1D8F31"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5F0B2756"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49F0F498" w14:textId="77777777">
            <w:pPr>
              <w:jc w:val="right"/>
              <w:rPr>
                <w:color w:val="000000"/>
                <w:sz w:val="18"/>
                <w:szCs w:val="18"/>
              </w:rPr>
            </w:pPr>
            <w:r w:rsidRPr="00D96BF7">
              <w:rPr>
                <w:color w:val="000000"/>
                <w:sz w:val="18"/>
                <w:szCs w:val="18"/>
              </w:rPr>
              <w:t>0.25</w:t>
            </w:r>
          </w:p>
        </w:tc>
        <w:tc>
          <w:tcPr>
            <w:tcW w:w="315" w:type="pct"/>
            <w:shd w:val="clear" w:color="auto" w:fill="auto"/>
            <w:vAlign w:val="center"/>
            <w:hideMark/>
          </w:tcPr>
          <w:p w:rsidRPr="00D96BF7" w:rsidR="00C41E84" w:rsidP="004774FC" w:rsidRDefault="00C41E84" w14:paraId="3BE449B4"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3FEC5A1A" w14:textId="77777777">
            <w:pPr>
              <w:jc w:val="right"/>
              <w:rPr>
                <w:color w:val="000000"/>
                <w:sz w:val="18"/>
                <w:szCs w:val="18"/>
              </w:rPr>
            </w:pPr>
            <w:r w:rsidRPr="00D96BF7">
              <w:rPr>
                <w:color w:val="000000"/>
                <w:sz w:val="18"/>
                <w:szCs w:val="18"/>
              </w:rPr>
              <w:t>0.25</w:t>
            </w:r>
          </w:p>
        </w:tc>
        <w:tc>
          <w:tcPr>
            <w:tcW w:w="342" w:type="pct"/>
            <w:shd w:val="clear" w:color="auto" w:fill="auto"/>
            <w:vAlign w:val="center"/>
            <w:hideMark/>
          </w:tcPr>
          <w:p w:rsidRPr="00D96BF7" w:rsidR="00C41E84" w:rsidP="004774FC" w:rsidRDefault="00C41E84" w14:paraId="69497DDF" w14:textId="77777777">
            <w:pPr>
              <w:jc w:val="right"/>
              <w:rPr>
                <w:color w:val="000000"/>
                <w:sz w:val="18"/>
                <w:szCs w:val="18"/>
              </w:rPr>
            </w:pPr>
            <w:r w:rsidRPr="00D96BF7">
              <w:rPr>
                <w:color w:val="000000"/>
                <w:sz w:val="18"/>
                <w:szCs w:val="18"/>
              </w:rPr>
              <w:t>$</w:t>
            </w:r>
            <w:r>
              <w:rPr>
                <w:color w:val="000000"/>
                <w:sz w:val="18"/>
                <w:szCs w:val="18"/>
              </w:rPr>
              <w:t>21</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436EB977"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09CDE1D3"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3A5D1C17" w14:textId="77777777">
            <w:pPr>
              <w:jc w:val="right"/>
              <w:rPr>
                <w:color w:val="000000"/>
                <w:sz w:val="18"/>
                <w:szCs w:val="18"/>
              </w:rPr>
            </w:pPr>
            <w:r>
              <w:rPr>
                <w:color w:val="000000"/>
                <w:sz w:val="18"/>
                <w:szCs w:val="18"/>
              </w:rPr>
              <w:t>1,626</w:t>
            </w:r>
          </w:p>
        </w:tc>
        <w:tc>
          <w:tcPr>
            <w:tcW w:w="379" w:type="pct"/>
            <w:shd w:val="clear" w:color="auto" w:fill="auto"/>
            <w:vAlign w:val="center"/>
            <w:hideMark/>
          </w:tcPr>
          <w:p w:rsidRPr="00D96BF7" w:rsidR="00C41E84" w:rsidP="004774FC" w:rsidRDefault="00C41E84" w14:paraId="210B804A" w14:textId="77777777">
            <w:pPr>
              <w:jc w:val="right"/>
              <w:rPr>
                <w:color w:val="000000"/>
                <w:sz w:val="18"/>
                <w:szCs w:val="18"/>
              </w:rPr>
            </w:pPr>
            <w:r>
              <w:rPr>
                <w:color w:val="000000"/>
                <w:sz w:val="18"/>
                <w:szCs w:val="18"/>
              </w:rPr>
              <w:t>407</w:t>
            </w:r>
          </w:p>
        </w:tc>
        <w:tc>
          <w:tcPr>
            <w:tcW w:w="516" w:type="pct"/>
            <w:shd w:val="clear" w:color="auto" w:fill="auto"/>
            <w:vAlign w:val="center"/>
            <w:hideMark/>
          </w:tcPr>
          <w:p w:rsidRPr="00D96BF7" w:rsidR="00C41E84" w:rsidP="004774FC" w:rsidRDefault="00C41E84" w14:paraId="514559DE" w14:textId="77777777">
            <w:pPr>
              <w:jc w:val="right"/>
              <w:rPr>
                <w:sz w:val="18"/>
                <w:szCs w:val="18"/>
              </w:rPr>
            </w:pPr>
            <w:r w:rsidRPr="00D96BF7">
              <w:rPr>
                <w:sz w:val="18"/>
                <w:szCs w:val="18"/>
              </w:rPr>
              <w:t>$</w:t>
            </w:r>
            <w:r>
              <w:rPr>
                <w:sz w:val="18"/>
                <w:szCs w:val="18"/>
              </w:rPr>
              <w:t>34,146</w:t>
            </w:r>
            <w:r w:rsidRPr="00D96BF7">
              <w:rPr>
                <w:sz w:val="18"/>
                <w:szCs w:val="18"/>
              </w:rPr>
              <w:t xml:space="preserve"> </w:t>
            </w:r>
          </w:p>
        </w:tc>
      </w:tr>
      <w:tr w:rsidRPr="00D96BF7" w:rsidR="00C41E84" w:rsidTr="004774FC" w14:paraId="51BEF113" w14:textId="77777777">
        <w:trPr>
          <w:trHeight w:val="526"/>
        </w:trPr>
        <w:tc>
          <w:tcPr>
            <w:tcW w:w="1033" w:type="pct"/>
            <w:shd w:val="clear" w:color="auto" w:fill="auto"/>
            <w:vAlign w:val="center"/>
            <w:hideMark/>
          </w:tcPr>
          <w:p w:rsidRPr="00D96BF7" w:rsidR="00C41E84" w:rsidP="004774FC" w:rsidRDefault="00C41E84" w14:paraId="3EB57A7A" w14:textId="77777777">
            <w:pPr>
              <w:rPr>
                <w:color w:val="000000"/>
                <w:sz w:val="18"/>
                <w:szCs w:val="18"/>
              </w:rPr>
            </w:pPr>
            <w:r w:rsidRPr="00D96BF7">
              <w:rPr>
                <w:color w:val="000000"/>
                <w:sz w:val="18"/>
                <w:szCs w:val="18"/>
              </w:rPr>
              <w:t>Label containers in satellite storage area (LQG)</w:t>
            </w:r>
          </w:p>
        </w:tc>
        <w:tc>
          <w:tcPr>
            <w:tcW w:w="352" w:type="pct"/>
            <w:shd w:val="clear" w:color="auto" w:fill="auto"/>
            <w:vAlign w:val="center"/>
            <w:hideMark/>
          </w:tcPr>
          <w:p w:rsidRPr="00D96BF7" w:rsidR="00C41E84" w:rsidP="004774FC" w:rsidRDefault="00C41E84" w14:paraId="5328695E"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505F2D30"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6E5575CF" w14:textId="77777777">
            <w:pPr>
              <w:jc w:val="right"/>
              <w:rPr>
                <w:color w:val="000000"/>
                <w:sz w:val="18"/>
                <w:szCs w:val="18"/>
              </w:rPr>
            </w:pPr>
            <w:r w:rsidRPr="00D96BF7">
              <w:rPr>
                <w:color w:val="000000"/>
                <w:sz w:val="18"/>
                <w:szCs w:val="18"/>
              </w:rPr>
              <w:t>0.5</w:t>
            </w:r>
          </w:p>
        </w:tc>
        <w:tc>
          <w:tcPr>
            <w:tcW w:w="315" w:type="pct"/>
            <w:shd w:val="clear" w:color="auto" w:fill="auto"/>
            <w:vAlign w:val="center"/>
            <w:hideMark/>
          </w:tcPr>
          <w:p w:rsidRPr="00D96BF7" w:rsidR="00C41E84" w:rsidP="004774FC" w:rsidRDefault="00C41E84" w14:paraId="5F956B33"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023E7E0A" w14:textId="77777777">
            <w:pPr>
              <w:jc w:val="right"/>
              <w:rPr>
                <w:color w:val="000000"/>
                <w:sz w:val="18"/>
                <w:szCs w:val="18"/>
              </w:rPr>
            </w:pPr>
            <w:r w:rsidRPr="00D96BF7">
              <w:rPr>
                <w:color w:val="000000"/>
                <w:sz w:val="18"/>
                <w:szCs w:val="18"/>
              </w:rPr>
              <w:t>0.50</w:t>
            </w:r>
          </w:p>
        </w:tc>
        <w:tc>
          <w:tcPr>
            <w:tcW w:w="342" w:type="pct"/>
            <w:shd w:val="clear" w:color="auto" w:fill="auto"/>
            <w:vAlign w:val="center"/>
            <w:hideMark/>
          </w:tcPr>
          <w:p w:rsidRPr="00D96BF7" w:rsidR="00C41E84" w:rsidP="004774FC" w:rsidRDefault="00C41E84" w14:paraId="3275F86F" w14:textId="77777777">
            <w:pPr>
              <w:jc w:val="right"/>
              <w:rPr>
                <w:color w:val="000000"/>
                <w:sz w:val="18"/>
                <w:szCs w:val="18"/>
              </w:rPr>
            </w:pPr>
            <w:r w:rsidRPr="00D96BF7">
              <w:rPr>
                <w:color w:val="000000"/>
                <w:sz w:val="18"/>
                <w:szCs w:val="18"/>
              </w:rPr>
              <w:t>$</w:t>
            </w:r>
            <w:r>
              <w:rPr>
                <w:color w:val="000000"/>
                <w:sz w:val="18"/>
                <w:szCs w:val="18"/>
              </w:rPr>
              <w:t>42</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72C89A02"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14C92DD9"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04F09FB3" w14:textId="77777777">
            <w:pPr>
              <w:jc w:val="right"/>
              <w:rPr>
                <w:color w:val="000000"/>
                <w:sz w:val="18"/>
                <w:szCs w:val="18"/>
              </w:rPr>
            </w:pPr>
            <w:r w:rsidRPr="00D96BF7">
              <w:rPr>
                <w:color w:val="000000"/>
                <w:sz w:val="18"/>
                <w:szCs w:val="18"/>
              </w:rPr>
              <w:t>6,</w:t>
            </w:r>
            <w:r>
              <w:rPr>
                <w:color w:val="000000"/>
                <w:sz w:val="18"/>
                <w:szCs w:val="18"/>
              </w:rPr>
              <w:t>5</w:t>
            </w:r>
            <w:r w:rsidRPr="00D96BF7">
              <w:rPr>
                <w:color w:val="000000"/>
                <w:sz w:val="18"/>
                <w:szCs w:val="18"/>
              </w:rPr>
              <w:t>37</w:t>
            </w:r>
          </w:p>
        </w:tc>
        <w:tc>
          <w:tcPr>
            <w:tcW w:w="379" w:type="pct"/>
            <w:shd w:val="clear" w:color="auto" w:fill="auto"/>
            <w:vAlign w:val="center"/>
            <w:hideMark/>
          </w:tcPr>
          <w:p w:rsidRPr="00D96BF7" w:rsidR="00C41E84" w:rsidP="004774FC" w:rsidRDefault="00C41E84" w14:paraId="1E2B3C8B" w14:textId="77777777">
            <w:pPr>
              <w:jc w:val="right"/>
              <w:rPr>
                <w:color w:val="000000"/>
                <w:sz w:val="18"/>
                <w:szCs w:val="18"/>
              </w:rPr>
            </w:pPr>
            <w:r>
              <w:rPr>
                <w:color w:val="000000"/>
                <w:sz w:val="18"/>
                <w:szCs w:val="18"/>
              </w:rPr>
              <w:t>3,269</w:t>
            </w:r>
          </w:p>
        </w:tc>
        <w:tc>
          <w:tcPr>
            <w:tcW w:w="516" w:type="pct"/>
            <w:shd w:val="clear" w:color="auto" w:fill="auto"/>
            <w:vAlign w:val="center"/>
            <w:hideMark/>
          </w:tcPr>
          <w:p w:rsidRPr="00D96BF7" w:rsidR="00C41E84" w:rsidP="004774FC" w:rsidRDefault="00C41E84" w14:paraId="7BBE61E8" w14:textId="77777777">
            <w:pPr>
              <w:jc w:val="right"/>
              <w:rPr>
                <w:sz w:val="18"/>
                <w:szCs w:val="18"/>
              </w:rPr>
            </w:pPr>
            <w:r w:rsidRPr="00D96BF7">
              <w:rPr>
                <w:sz w:val="18"/>
                <w:szCs w:val="18"/>
              </w:rPr>
              <w:t>$</w:t>
            </w:r>
            <w:r>
              <w:rPr>
                <w:sz w:val="18"/>
                <w:szCs w:val="18"/>
              </w:rPr>
              <w:t>274,554</w:t>
            </w:r>
            <w:r w:rsidRPr="00D96BF7">
              <w:rPr>
                <w:sz w:val="18"/>
                <w:szCs w:val="18"/>
              </w:rPr>
              <w:t xml:space="preserve"> </w:t>
            </w:r>
          </w:p>
        </w:tc>
      </w:tr>
      <w:tr w:rsidRPr="00D96BF7" w:rsidR="00C41E84" w:rsidTr="004774FC" w14:paraId="417BB748" w14:textId="77777777">
        <w:trPr>
          <w:trHeight w:val="526"/>
        </w:trPr>
        <w:tc>
          <w:tcPr>
            <w:tcW w:w="1033" w:type="pct"/>
            <w:shd w:val="clear" w:color="auto" w:fill="auto"/>
            <w:vAlign w:val="center"/>
            <w:hideMark/>
          </w:tcPr>
          <w:p w:rsidRPr="00D96BF7" w:rsidR="00C41E84" w:rsidP="004774FC" w:rsidRDefault="00C41E84" w14:paraId="2533400B" w14:textId="77777777">
            <w:pPr>
              <w:rPr>
                <w:color w:val="000000"/>
                <w:sz w:val="18"/>
                <w:szCs w:val="18"/>
              </w:rPr>
            </w:pPr>
            <w:r w:rsidRPr="00D96BF7">
              <w:rPr>
                <w:color w:val="000000"/>
                <w:sz w:val="18"/>
                <w:szCs w:val="18"/>
              </w:rPr>
              <w:t>Label containers in satellite storage area (SQG)</w:t>
            </w:r>
          </w:p>
        </w:tc>
        <w:tc>
          <w:tcPr>
            <w:tcW w:w="352" w:type="pct"/>
            <w:shd w:val="clear" w:color="auto" w:fill="auto"/>
            <w:vAlign w:val="center"/>
            <w:hideMark/>
          </w:tcPr>
          <w:p w:rsidRPr="00D96BF7" w:rsidR="00C41E84" w:rsidP="004774FC" w:rsidRDefault="00C41E84" w14:paraId="3A2CAD2E"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5EFC869D"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18C52B20" w14:textId="77777777">
            <w:pPr>
              <w:jc w:val="right"/>
              <w:rPr>
                <w:color w:val="000000"/>
                <w:sz w:val="18"/>
                <w:szCs w:val="18"/>
              </w:rPr>
            </w:pPr>
            <w:r w:rsidRPr="00D96BF7">
              <w:rPr>
                <w:color w:val="000000"/>
                <w:sz w:val="18"/>
                <w:szCs w:val="18"/>
              </w:rPr>
              <w:t>0.25</w:t>
            </w:r>
          </w:p>
        </w:tc>
        <w:tc>
          <w:tcPr>
            <w:tcW w:w="315" w:type="pct"/>
            <w:shd w:val="clear" w:color="auto" w:fill="auto"/>
            <w:vAlign w:val="center"/>
            <w:hideMark/>
          </w:tcPr>
          <w:p w:rsidRPr="00D96BF7" w:rsidR="00C41E84" w:rsidP="004774FC" w:rsidRDefault="00C41E84" w14:paraId="5F14284A"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235A8B88" w14:textId="77777777">
            <w:pPr>
              <w:jc w:val="right"/>
              <w:rPr>
                <w:color w:val="000000"/>
                <w:sz w:val="18"/>
                <w:szCs w:val="18"/>
              </w:rPr>
            </w:pPr>
            <w:r w:rsidRPr="00D96BF7">
              <w:rPr>
                <w:color w:val="000000"/>
                <w:sz w:val="18"/>
                <w:szCs w:val="18"/>
              </w:rPr>
              <w:t>0.25</w:t>
            </w:r>
          </w:p>
        </w:tc>
        <w:tc>
          <w:tcPr>
            <w:tcW w:w="342" w:type="pct"/>
            <w:shd w:val="clear" w:color="auto" w:fill="auto"/>
            <w:vAlign w:val="center"/>
            <w:hideMark/>
          </w:tcPr>
          <w:p w:rsidRPr="00D96BF7" w:rsidR="00C41E84" w:rsidP="004774FC" w:rsidRDefault="00C41E84" w14:paraId="63A7A26B" w14:textId="77777777">
            <w:pPr>
              <w:jc w:val="right"/>
              <w:rPr>
                <w:color w:val="000000"/>
                <w:sz w:val="18"/>
                <w:szCs w:val="18"/>
              </w:rPr>
            </w:pPr>
            <w:r w:rsidRPr="00D96BF7">
              <w:rPr>
                <w:color w:val="000000"/>
                <w:sz w:val="18"/>
                <w:szCs w:val="18"/>
              </w:rPr>
              <w:t>$</w:t>
            </w:r>
            <w:r>
              <w:rPr>
                <w:color w:val="000000"/>
                <w:sz w:val="18"/>
                <w:szCs w:val="18"/>
              </w:rPr>
              <w:t>21</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310EBDAF"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1D8FC21C"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2F16765A" w14:textId="77777777">
            <w:pPr>
              <w:jc w:val="right"/>
              <w:rPr>
                <w:color w:val="000000"/>
                <w:sz w:val="18"/>
                <w:szCs w:val="18"/>
              </w:rPr>
            </w:pPr>
            <w:r>
              <w:rPr>
                <w:color w:val="000000"/>
                <w:sz w:val="18"/>
                <w:szCs w:val="18"/>
              </w:rPr>
              <w:t>1,626</w:t>
            </w:r>
          </w:p>
        </w:tc>
        <w:tc>
          <w:tcPr>
            <w:tcW w:w="379" w:type="pct"/>
            <w:shd w:val="clear" w:color="auto" w:fill="auto"/>
            <w:vAlign w:val="center"/>
            <w:hideMark/>
          </w:tcPr>
          <w:p w:rsidRPr="00D96BF7" w:rsidR="00C41E84" w:rsidP="004774FC" w:rsidRDefault="00C41E84" w14:paraId="0BC72DCB" w14:textId="77777777">
            <w:pPr>
              <w:jc w:val="right"/>
              <w:rPr>
                <w:color w:val="000000"/>
                <w:sz w:val="18"/>
                <w:szCs w:val="18"/>
              </w:rPr>
            </w:pPr>
            <w:r>
              <w:rPr>
                <w:color w:val="000000"/>
                <w:sz w:val="18"/>
                <w:szCs w:val="18"/>
              </w:rPr>
              <w:t>407</w:t>
            </w:r>
          </w:p>
        </w:tc>
        <w:tc>
          <w:tcPr>
            <w:tcW w:w="516" w:type="pct"/>
            <w:shd w:val="clear" w:color="auto" w:fill="auto"/>
            <w:vAlign w:val="center"/>
            <w:hideMark/>
          </w:tcPr>
          <w:p w:rsidRPr="00D96BF7" w:rsidR="00C41E84" w:rsidP="004774FC" w:rsidRDefault="00C41E84" w14:paraId="73348914" w14:textId="77777777">
            <w:pPr>
              <w:jc w:val="right"/>
              <w:rPr>
                <w:sz w:val="18"/>
                <w:szCs w:val="18"/>
              </w:rPr>
            </w:pPr>
            <w:r w:rsidRPr="00D96BF7">
              <w:rPr>
                <w:sz w:val="18"/>
                <w:szCs w:val="18"/>
              </w:rPr>
              <w:t>$</w:t>
            </w:r>
            <w:r>
              <w:rPr>
                <w:sz w:val="18"/>
                <w:szCs w:val="18"/>
              </w:rPr>
              <w:t>34,146</w:t>
            </w:r>
            <w:r w:rsidRPr="00D96BF7">
              <w:rPr>
                <w:sz w:val="18"/>
                <w:szCs w:val="18"/>
              </w:rPr>
              <w:t xml:space="preserve"> </w:t>
            </w:r>
          </w:p>
        </w:tc>
      </w:tr>
      <w:tr w:rsidRPr="00D96BF7" w:rsidR="00C41E84" w:rsidTr="004774FC" w14:paraId="62243BED" w14:textId="77777777">
        <w:trPr>
          <w:trHeight w:val="255"/>
        </w:trPr>
        <w:tc>
          <w:tcPr>
            <w:tcW w:w="4105" w:type="pct"/>
            <w:gridSpan w:val="10"/>
            <w:shd w:val="clear" w:color="auto" w:fill="auto"/>
            <w:noWrap/>
            <w:vAlign w:val="center"/>
          </w:tcPr>
          <w:p w:rsidRPr="00D96BF7" w:rsidR="00C41E84" w:rsidP="004774FC" w:rsidRDefault="00C41E84" w14:paraId="4233181A" w14:textId="77777777">
            <w:pPr>
              <w:rPr>
                <w:color w:val="000000"/>
                <w:sz w:val="18"/>
                <w:szCs w:val="18"/>
              </w:rPr>
            </w:pPr>
            <w:r>
              <w:rPr>
                <w:color w:val="000000"/>
                <w:sz w:val="18"/>
                <w:szCs w:val="18"/>
              </w:rPr>
              <w:t>Subtotal</w:t>
            </w:r>
          </w:p>
        </w:tc>
        <w:tc>
          <w:tcPr>
            <w:tcW w:w="379" w:type="pct"/>
            <w:shd w:val="clear" w:color="auto" w:fill="auto"/>
            <w:noWrap/>
            <w:vAlign w:val="center"/>
          </w:tcPr>
          <w:p w:rsidRPr="00D96BF7" w:rsidR="00C41E84" w:rsidP="004774FC" w:rsidRDefault="00C41E84" w14:paraId="3D307A35" w14:textId="77777777">
            <w:pPr>
              <w:jc w:val="right"/>
              <w:rPr>
                <w:color w:val="000000"/>
                <w:sz w:val="18"/>
                <w:szCs w:val="18"/>
              </w:rPr>
            </w:pPr>
            <w:r>
              <w:rPr>
                <w:color w:val="000000"/>
                <w:sz w:val="18"/>
                <w:szCs w:val="18"/>
              </w:rPr>
              <w:t>10,620</w:t>
            </w:r>
          </w:p>
        </w:tc>
        <w:tc>
          <w:tcPr>
            <w:tcW w:w="516" w:type="pct"/>
            <w:shd w:val="clear" w:color="auto" w:fill="auto"/>
            <w:noWrap/>
            <w:vAlign w:val="center"/>
          </w:tcPr>
          <w:p w:rsidRPr="00D96BF7" w:rsidR="00C41E84" w:rsidP="004774FC" w:rsidRDefault="00C41E84" w14:paraId="07CD1827" w14:textId="77777777">
            <w:pPr>
              <w:jc w:val="right"/>
              <w:rPr>
                <w:color w:val="000000"/>
                <w:sz w:val="18"/>
                <w:szCs w:val="18"/>
              </w:rPr>
            </w:pPr>
            <w:r>
              <w:rPr>
                <w:color w:val="000000"/>
                <w:sz w:val="18"/>
                <w:szCs w:val="18"/>
              </w:rPr>
              <w:t>$891,954</w:t>
            </w:r>
          </w:p>
        </w:tc>
      </w:tr>
      <w:tr w:rsidRPr="00D96BF7" w:rsidR="00C41E84" w:rsidTr="004774FC" w14:paraId="1FC1DC87" w14:textId="77777777">
        <w:trPr>
          <w:trHeight w:val="255"/>
        </w:trPr>
        <w:tc>
          <w:tcPr>
            <w:tcW w:w="1384" w:type="pct"/>
            <w:gridSpan w:val="2"/>
            <w:shd w:val="clear" w:color="000000" w:fill="D9D9D9"/>
            <w:noWrap/>
            <w:vAlign w:val="center"/>
            <w:hideMark/>
          </w:tcPr>
          <w:p w:rsidRPr="00D96BF7" w:rsidR="00C41E84" w:rsidP="004774FC" w:rsidRDefault="00C41E84" w14:paraId="231BCFF0" w14:textId="77777777">
            <w:pPr>
              <w:rPr>
                <w:color w:val="000000"/>
                <w:sz w:val="18"/>
                <w:szCs w:val="18"/>
              </w:rPr>
            </w:pPr>
            <w:r w:rsidRPr="00D96BF7">
              <w:rPr>
                <w:color w:val="000000"/>
                <w:sz w:val="18"/>
                <w:szCs w:val="18"/>
              </w:rPr>
              <w:t>Exception</w:t>
            </w:r>
            <w:r>
              <w:rPr>
                <w:color w:val="000000"/>
                <w:sz w:val="18"/>
                <w:szCs w:val="18"/>
              </w:rPr>
              <w:t xml:space="preserve"> Reporting and Rejected</w:t>
            </w:r>
            <w:r w:rsidRPr="00D96BF7">
              <w:rPr>
                <w:color w:val="000000"/>
                <w:sz w:val="18"/>
                <w:szCs w:val="18"/>
              </w:rPr>
              <w:t xml:space="preserve"> Shipment</w:t>
            </w:r>
          </w:p>
        </w:tc>
        <w:tc>
          <w:tcPr>
            <w:tcW w:w="344" w:type="pct"/>
            <w:shd w:val="clear" w:color="000000" w:fill="D9D9D9"/>
            <w:noWrap/>
            <w:vAlign w:val="center"/>
            <w:hideMark/>
          </w:tcPr>
          <w:p w:rsidRPr="00D96BF7" w:rsidR="00C41E84" w:rsidP="004774FC" w:rsidRDefault="00C41E84" w14:paraId="7D04DFAF" w14:textId="77777777">
            <w:pPr>
              <w:rPr>
                <w:color w:val="000000"/>
                <w:sz w:val="18"/>
                <w:szCs w:val="18"/>
              </w:rPr>
            </w:pPr>
            <w:r w:rsidRPr="00D96BF7">
              <w:rPr>
                <w:color w:val="000000"/>
                <w:sz w:val="18"/>
                <w:szCs w:val="18"/>
              </w:rPr>
              <w:t> </w:t>
            </w:r>
          </w:p>
        </w:tc>
        <w:tc>
          <w:tcPr>
            <w:tcW w:w="302" w:type="pct"/>
            <w:shd w:val="clear" w:color="000000" w:fill="D9D9D9"/>
            <w:noWrap/>
            <w:vAlign w:val="center"/>
            <w:hideMark/>
          </w:tcPr>
          <w:p w:rsidRPr="00D96BF7" w:rsidR="00C41E84" w:rsidP="004774FC" w:rsidRDefault="00C41E84" w14:paraId="3F0630F0" w14:textId="77777777">
            <w:pPr>
              <w:rPr>
                <w:color w:val="000000"/>
                <w:sz w:val="18"/>
                <w:szCs w:val="18"/>
              </w:rPr>
            </w:pPr>
            <w:r w:rsidRPr="00D96BF7">
              <w:rPr>
                <w:color w:val="000000"/>
                <w:sz w:val="18"/>
                <w:szCs w:val="18"/>
              </w:rPr>
              <w:t> </w:t>
            </w:r>
          </w:p>
        </w:tc>
        <w:tc>
          <w:tcPr>
            <w:tcW w:w="315" w:type="pct"/>
            <w:shd w:val="clear" w:color="000000" w:fill="D9D9D9"/>
            <w:noWrap/>
            <w:vAlign w:val="center"/>
            <w:hideMark/>
          </w:tcPr>
          <w:p w:rsidRPr="00D96BF7" w:rsidR="00C41E84" w:rsidP="004774FC" w:rsidRDefault="00C41E84" w14:paraId="6B904479" w14:textId="77777777">
            <w:pPr>
              <w:rPr>
                <w:color w:val="000000"/>
                <w:sz w:val="18"/>
                <w:szCs w:val="18"/>
              </w:rPr>
            </w:pPr>
            <w:r w:rsidRPr="00D96BF7">
              <w:rPr>
                <w:color w:val="000000"/>
                <w:sz w:val="18"/>
                <w:szCs w:val="18"/>
              </w:rPr>
              <w:t> </w:t>
            </w:r>
          </w:p>
        </w:tc>
        <w:tc>
          <w:tcPr>
            <w:tcW w:w="350" w:type="pct"/>
            <w:shd w:val="clear" w:color="000000" w:fill="D9D9D9"/>
            <w:noWrap/>
            <w:vAlign w:val="center"/>
            <w:hideMark/>
          </w:tcPr>
          <w:p w:rsidRPr="00D96BF7" w:rsidR="00C41E84" w:rsidP="004774FC" w:rsidRDefault="00C41E84" w14:paraId="189FB545" w14:textId="77777777">
            <w:pPr>
              <w:rPr>
                <w:color w:val="000000"/>
                <w:sz w:val="18"/>
                <w:szCs w:val="18"/>
              </w:rPr>
            </w:pPr>
            <w:r w:rsidRPr="00D96BF7">
              <w:rPr>
                <w:color w:val="000000"/>
                <w:sz w:val="18"/>
                <w:szCs w:val="18"/>
              </w:rPr>
              <w:t> </w:t>
            </w:r>
          </w:p>
        </w:tc>
        <w:tc>
          <w:tcPr>
            <w:tcW w:w="342" w:type="pct"/>
            <w:shd w:val="clear" w:color="000000" w:fill="D9D9D9"/>
            <w:noWrap/>
            <w:vAlign w:val="center"/>
            <w:hideMark/>
          </w:tcPr>
          <w:p w:rsidRPr="00D96BF7" w:rsidR="00C41E84" w:rsidP="004774FC" w:rsidRDefault="00C41E84" w14:paraId="41F9CD57" w14:textId="77777777">
            <w:pPr>
              <w:rPr>
                <w:color w:val="000000"/>
                <w:sz w:val="18"/>
                <w:szCs w:val="18"/>
              </w:rPr>
            </w:pPr>
            <w:r w:rsidRPr="00D96BF7">
              <w:rPr>
                <w:color w:val="000000"/>
                <w:sz w:val="18"/>
                <w:szCs w:val="18"/>
              </w:rPr>
              <w:t> </w:t>
            </w:r>
          </w:p>
        </w:tc>
        <w:tc>
          <w:tcPr>
            <w:tcW w:w="379" w:type="pct"/>
            <w:shd w:val="clear" w:color="000000" w:fill="D9D9D9"/>
            <w:vAlign w:val="center"/>
            <w:hideMark/>
          </w:tcPr>
          <w:p w:rsidRPr="00D96BF7" w:rsidR="00C41E84" w:rsidP="004774FC" w:rsidRDefault="00C41E84" w14:paraId="27476211" w14:textId="77777777">
            <w:pPr>
              <w:jc w:val="right"/>
              <w:rPr>
                <w:color w:val="000000"/>
                <w:sz w:val="18"/>
                <w:szCs w:val="18"/>
              </w:rPr>
            </w:pPr>
            <w:r w:rsidRPr="00D96BF7">
              <w:rPr>
                <w:color w:val="000000"/>
                <w:sz w:val="18"/>
                <w:szCs w:val="18"/>
              </w:rPr>
              <w:t> </w:t>
            </w:r>
          </w:p>
        </w:tc>
        <w:tc>
          <w:tcPr>
            <w:tcW w:w="275" w:type="pct"/>
            <w:shd w:val="clear" w:color="000000" w:fill="D9D9D9"/>
            <w:noWrap/>
            <w:vAlign w:val="center"/>
            <w:hideMark/>
          </w:tcPr>
          <w:p w:rsidRPr="00D96BF7" w:rsidR="00C41E84" w:rsidP="004774FC" w:rsidRDefault="00C41E84" w14:paraId="7889E962" w14:textId="77777777">
            <w:pPr>
              <w:rPr>
                <w:color w:val="000000"/>
                <w:sz w:val="18"/>
                <w:szCs w:val="18"/>
              </w:rPr>
            </w:pPr>
            <w:r w:rsidRPr="00D96BF7">
              <w:rPr>
                <w:color w:val="000000"/>
                <w:sz w:val="18"/>
                <w:szCs w:val="18"/>
              </w:rPr>
              <w:t> </w:t>
            </w:r>
          </w:p>
        </w:tc>
        <w:tc>
          <w:tcPr>
            <w:tcW w:w="413" w:type="pct"/>
            <w:shd w:val="clear" w:color="000000" w:fill="D9D9D9"/>
            <w:noWrap/>
            <w:vAlign w:val="center"/>
            <w:hideMark/>
          </w:tcPr>
          <w:p w:rsidRPr="00D96BF7" w:rsidR="00C41E84" w:rsidP="004774FC" w:rsidRDefault="00C41E84" w14:paraId="5DCB522E" w14:textId="77777777">
            <w:pPr>
              <w:rPr>
                <w:color w:val="000000"/>
                <w:sz w:val="18"/>
                <w:szCs w:val="18"/>
              </w:rPr>
            </w:pPr>
            <w:r w:rsidRPr="00D96BF7">
              <w:rPr>
                <w:color w:val="000000"/>
                <w:sz w:val="18"/>
                <w:szCs w:val="18"/>
              </w:rPr>
              <w:t> </w:t>
            </w:r>
          </w:p>
        </w:tc>
        <w:tc>
          <w:tcPr>
            <w:tcW w:w="379" w:type="pct"/>
            <w:shd w:val="clear" w:color="000000" w:fill="D9D9D9"/>
            <w:noWrap/>
            <w:vAlign w:val="center"/>
            <w:hideMark/>
          </w:tcPr>
          <w:p w:rsidRPr="00D96BF7" w:rsidR="00C41E84" w:rsidP="004774FC" w:rsidRDefault="00C41E84" w14:paraId="5C1C9908" w14:textId="77777777">
            <w:pPr>
              <w:rPr>
                <w:color w:val="000000"/>
                <w:sz w:val="18"/>
                <w:szCs w:val="18"/>
              </w:rPr>
            </w:pPr>
            <w:r w:rsidRPr="00D96BF7">
              <w:rPr>
                <w:color w:val="000000"/>
                <w:sz w:val="18"/>
                <w:szCs w:val="18"/>
              </w:rPr>
              <w:t> </w:t>
            </w:r>
          </w:p>
        </w:tc>
        <w:tc>
          <w:tcPr>
            <w:tcW w:w="516" w:type="pct"/>
            <w:shd w:val="clear" w:color="000000" w:fill="D9D9D9"/>
            <w:noWrap/>
            <w:vAlign w:val="center"/>
            <w:hideMark/>
          </w:tcPr>
          <w:p w:rsidRPr="00D96BF7" w:rsidR="00C41E84" w:rsidP="004774FC" w:rsidRDefault="00C41E84" w14:paraId="5027BE71" w14:textId="77777777">
            <w:pPr>
              <w:rPr>
                <w:color w:val="000000"/>
                <w:sz w:val="18"/>
                <w:szCs w:val="18"/>
              </w:rPr>
            </w:pPr>
            <w:r w:rsidRPr="00D96BF7">
              <w:rPr>
                <w:color w:val="000000"/>
                <w:sz w:val="18"/>
                <w:szCs w:val="18"/>
              </w:rPr>
              <w:t> </w:t>
            </w:r>
          </w:p>
        </w:tc>
      </w:tr>
      <w:tr w:rsidRPr="00D96BF7" w:rsidR="00C41E84" w:rsidTr="004774FC" w14:paraId="2BB25691" w14:textId="77777777">
        <w:trPr>
          <w:trHeight w:val="255"/>
        </w:trPr>
        <w:tc>
          <w:tcPr>
            <w:tcW w:w="1033" w:type="pct"/>
            <w:shd w:val="clear" w:color="auto" w:fill="auto"/>
            <w:noWrap/>
            <w:vAlign w:val="center"/>
            <w:hideMark/>
          </w:tcPr>
          <w:p w:rsidRPr="00D96BF7" w:rsidR="00C41E84" w:rsidP="004774FC" w:rsidRDefault="00C41E84" w14:paraId="6B35FAF6" w14:textId="77777777">
            <w:pPr>
              <w:rPr>
                <w:color w:val="000000"/>
                <w:sz w:val="18"/>
                <w:szCs w:val="18"/>
              </w:rPr>
            </w:pPr>
            <w:r w:rsidRPr="00D96BF7">
              <w:rPr>
                <w:color w:val="000000"/>
                <w:sz w:val="18"/>
                <w:szCs w:val="18"/>
              </w:rPr>
              <w:t>Submit exception report</w:t>
            </w:r>
          </w:p>
        </w:tc>
        <w:tc>
          <w:tcPr>
            <w:tcW w:w="352" w:type="pct"/>
            <w:shd w:val="clear" w:color="auto" w:fill="auto"/>
            <w:noWrap/>
            <w:vAlign w:val="center"/>
            <w:hideMark/>
          </w:tcPr>
          <w:p w:rsidRPr="00D96BF7" w:rsidR="00C41E84" w:rsidP="004774FC" w:rsidRDefault="00C41E84" w14:paraId="10E999FE" w14:textId="77777777">
            <w:pPr>
              <w:jc w:val="right"/>
              <w:rPr>
                <w:color w:val="000000"/>
                <w:sz w:val="18"/>
                <w:szCs w:val="18"/>
              </w:rPr>
            </w:pPr>
            <w:r w:rsidRPr="00D96BF7">
              <w:rPr>
                <w:color w:val="000000"/>
                <w:sz w:val="18"/>
                <w:szCs w:val="18"/>
              </w:rPr>
              <w:t>0</w:t>
            </w:r>
          </w:p>
        </w:tc>
        <w:tc>
          <w:tcPr>
            <w:tcW w:w="344" w:type="pct"/>
            <w:shd w:val="clear" w:color="auto" w:fill="auto"/>
            <w:noWrap/>
            <w:vAlign w:val="center"/>
            <w:hideMark/>
          </w:tcPr>
          <w:p w:rsidRPr="00D96BF7" w:rsidR="00C41E84" w:rsidP="004774FC" w:rsidRDefault="00C41E84" w14:paraId="6CC56B07" w14:textId="77777777">
            <w:pPr>
              <w:jc w:val="right"/>
              <w:rPr>
                <w:color w:val="000000"/>
                <w:sz w:val="18"/>
                <w:szCs w:val="18"/>
              </w:rPr>
            </w:pPr>
            <w:r w:rsidRPr="00D96BF7">
              <w:rPr>
                <w:color w:val="000000"/>
                <w:sz w:val="18"/>
                <w:szCs w:val="18"/>
              </w:rPr>
              <w:t>0.5</w:t>
            </w:r>
          </w:p>
        </w:tc>
        <w:tc>
          <w:tcPr>
            <w:tcW w:w="302" w:type="pct"/>
            <w:shd w:val="clear" w:color="auto" w:fill="auto"/>
            <w:noWrap/>
            <w:vAlign w:val="center"/>
            <w:hideMark/>
          </w:tcPr>
          <w:p w:rsidRPr="00D96BF7" w:rsidR="00C41E84" w:rsidP="004774FC" w:rsidRDefault="00C41E84" w14:paraId="6CA7EFDD" w14:textId="77777777">
            <w:pPr>
              <w:jc w:val="right"/>
              <w:rPr>
                <w:color w:val="000000"/>
                <w:sz w:val="18"/>
                <w:szCs w:val="18"/>
              </w:rPr>
            </w:pPr>
            <w:r w:rsidRPr="00D96BF7">
              <w:rPr>
                <w:color w:val="000000"/>
                <w:sz w:val="18"/>
                <w:szCs w:val="18"/>
              </w:rPr>
              <w:t>0.5</w:t>
            </w:r>
          </w:p>
        </w:tc>
        <w:tc>
          <w:tcPr>
            <w:tcW w:w="315" w:type="pct"/>
            <w:shd w:val="clear" w:color="auto" w:fill="auto"/>
            <w:noWrap/>
            <w:vAlign w:val="center"/>
            <w:hideMark/>
          </w:tcPr>
          <w:p w:rsidRPr="00D96BF7" w:rsidR="00C41E84" w:rsidP="004774FC" w:rsidRDefault="00C41E84" w14:paraId="01A9E91A" w14:textId="77777777">
            <w:pPr>
              <w:jc w:val="right"/>
              <w:rPr>
                <w:color w:val="000000"/>
                <w:sz w:val="18"/>
                <w:szCs w:val="18"/>
              </w:rPr>
            </w:pPr>
            <w:r w:rsidRPr="00D96BF7">
              <w:rPr>
                <w:color w:val="000000"/>
                <w:sz w:val="18"/>
                <w:szCs w:val="18"/>
              </w:rPr>
              <w:t>0.1</w:t>
            </w:r>
          </w:p>
        </w:tc>
        <w:tc>
          <w:tcPr>
            <w:tcW w:w="350" w:type="pct"/>
            <w:shd w:val="clear" w:color="auto" w:fill="auto"/>
            <w:vAlign w:val="center"/>
            <w:hideMark/>
          </w:tcPr>
          <w:p w:rsidRPr="00D96BF7" w:rsidR="00C41E84" w:rsidP="004774FC" w:rsidRDefault="00C41E84" w14:paraId="6E6028A4" w14:textId="77777777">
            <w:pPr>
              <w:jc w:val="right"/>
              <w:rPr>
                <w:color w:val="000000"/>
                <w:sz w:val="18"/>
                <w:szCs w:val="18"/>
              </w:rPr>
            </w:pPr>
            <w:r w:rsidRPr="00D96BF7">
              <w:rPr>
                <w:color w:val="000000"/>
                <w:sz w:val="18"/>
                <w:szCs w:val="18"/>
              </w:rPr>
              <w:t>1.10</w:t>
            </w:r>
          </w:p>
        </w:tc>
        <w:tc>
          <w:tcPr>
            <w:tcW w:w="342" w:type="pct"/>
            <w:shd w:val="clear" w:color="auto" w:fill="auto"/>
            <w:vAlign w:val="center"/>
            <w:hideMark/>
          </w:tcPr>
          <w:p w:rsidRPr="00D96BF7" w:rsidR="00C41E84" w:rsidP="004774FC" w:rsidRDefault="00C41E84" w14:paraId="7A03FD22" w14:textId="77777777">
            <w:pPr>
              <w:jc w:val="right"/>
              <w:rPr>
                <w:color w:val="000000"/>
                <w:sz w:val="18"/>
                <w:szCs w:val="18"/>
              </w:rPr>
            </w:pPr>
            <w:r w:rsidRPr="00D96BF7">
              <w:rPr>
                <w:color w:val="000000"/>
                <w:sz w:val="18"/>
                <w:szCs w:val="18"/>
              </w:rPr>
              <w:t>$</w:t>
            </w:r>
            <w:r>
              <w:rPr>
                <w:color w:val="000000"/>
                <w:sz w:val="18"/>
                <w:szCs w:val="18"/>
              </w:rPr>
              <w:t>99</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0612F9C4"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210483C9"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4540769C" w14:textId="77777777">
            <w:pPr>
              <w:jc w:val="right"/>
              <w:rPr>
                <w:color w:val="000000"/>
                <w:sz w:val="18"/>
                <w:szCs w:val="18"/>
              </w:rPr>
            </w:pPr>
            <w:r w:rsidRPr="00D96BF7">
              <w:rPr>
                <w:color w:val="000000"/>
                <w:sz w:val="18"/>
                <w:szCs w:val="18"/>
              </w:rPr>
              <w:t>120</w:t>
            </w:r>
          </w:p>
        </w:tc>
        <w:tc>
          <w:tcPr>
            <w:tcW w:w="379" w:type="pct"/>
            <w:shd w:val="clear" w:color="auto" w:fill="auto"/>
            <w:vAlign w:val="center"/>
            <w:hideMark/>
          </w:tcPr>
          <w:p w:rsidRPr="00D96BF7" w:rsidR="00C41E84" w:rsidP="004774FC" w:rsidRDefault="00C41E84" w14:paraId="5513082D" w14:textId="77777777">
            <w:pPr>
              <w:jc w:val="right"/>
              <w:rPr>
                <w:color w:val="000000"/>
                <w:sz w:val="18"/>
                <w:szCs w:val="18"/>
              </w:rPr>
            </w:pPr>
            <w:r>
              <w:rPr>
                <w:color w:val="000000"/>
                <w:sz w:val="18"/>
                <w:szCs w:val="18"/>
              </w:rPr>
              <w:t>132</w:t>
            </w:r>
          </w:p>
        </w:tc>
        <w:tc>
          <w:tcPr>
            <w:tcW w:w="516" w:type="pct"/>
            <w:shd w:val="clear" w:color="auto" w:fill="auto"/>
            <w:vAlign w:val="center"/>
            <w:hideMark/>
          </w:tcPr>
          <w:p w:rsidRPr="00D96BF7" w:rsidR="00C41E84" w:rsidP="004774FC" w:rsidRDefault="00C41E84" w14:paraId="562D8774" w14:textId="77777777">
            <w:pPr>
              <w:jc w:val="right"/>
              <w:rPr>
                <w:sz w:val="18"/>
                <w:szCs w:val="18"/>
              </w:rPr>
            </w:pPr>
            <w:r w:rsidRPr="00D96BF7">
              <w:rPr>
                <w:sz w:val="18"/>
                <w:szCs w:val="18"/>
              </w:rPr>
              <w:t>$</w:t>
            </w:r>
            <w:r>
              <w:rPr>
                <w:sz w:val="18"/>
                <w:szCs w:val="18"/>
              </w:rPr>
              <w:t>11,880</w:t>
            </w:r>
            <w:r w:rsidRPr="00D96BF7">
              <w:rPr>
                <w:sz w:val="18"/>
                <w:szCs w:val="18"/>
              </w:rPr>
              <w:t xml:space="preserve"> </w:t>
            </w:r>
          </w:p>
        </w:tc>
      </w:tr>
      <w:tr w:rsidRPr="00D96BF7" w:rsidR="00C41E84" w:rsidTr="004774FC" w14:paraId="4E615558" w14:textId="77777777">
        <w:trPr>
          <w:trHeight w:val="301"/>
        </w:trPr>
        <w:tc>
          <w:tcPr>
            <w:tcW w:w="1033" w:type="pct"/>
            <w:shd w:val="clear" w:color="auto" w:fill="auto"/>
            <w:vAlign w:val="center"/>
            <w:hideMark/>
          </w:tcPr>
          <w:p w:rsidRPr="00D96BF7" w:rsidR="00C41E84" w:rsidP="004774FC" w:rsidRDefault="00C41E84" w14:paraId="73AFC1F4" w14:textId="77777777">
            <w:pPr>
              <w:rPr>
                <w:color w:val="000000"/>
                <w:sz w:val="18"/>
                <w:szCs w:val="18"/>
              </w:rPr>
            </w:pPr>
            <w:r w:rsidRPr="00D96BF7">
              <w:rPr>
                <w:color w:val="000000"/>
                <w:sz w:val="18"/>
                <w:szCs w:val="18"/>
              </w:rPr>
              <w:t>Keep copy of exception report</w:t>
            </w:r>
          </w:p>
        </w:tc>
        <w:tc>
          <w:tcPr>
            <w:tcW w:w="352" w:type="pct"/>
            <w:shd w:val="clear" w:color="auto" w:fill="auto"/>
            <w:vAlign w:val="center"/>
            <w:hideMark/>
          </w:tcPr>
          <w:p w:rsidRPr="00D96BF7" w:rsidR="00C41E84" w:rsidP="004774FC" w:rsidRDefault="00C41E84" w14:paraId="38B0A035"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6AFEE0C0"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4F011B3D" w14:textId="77777777">
            <w:pPr>
              <w:jc w:val="right"/>
              <w:rPr>
                <w:color w:val="000000"/>
                <w:sz w:val="18"/>
                <w:szCs w:val="18"/>
              </w:rPr>
            </w:pPr>
            <w:r w:rsidRPr="00D96BF7">
              <w:rPr>
                <w:color w:val="000000"/>
                <w:sz w:val="18"/>
                <w:szCs w:val="18"/>
              </w:rPr>
              <w:t>0</w:t>
            </w:r>
          </w:p>
        </w:tc>
        <w:tc>
          <w:tcPr>
            <w:tcW w:w="315" w:type="pct"/>
            <w:shd w:val="clear" w:color="auto" w:fill="auto"/>
            <w:vAlign w:val="center"/>
            <w:hideMark/>
          </w:tcPr>
          <w:p w:rsidRPr="00D96BF7" w:rsidR="00C41E84" w:rsidP="004774FC" w:rsidRDefault="00C41E84" w14:paraId="787EC5CE" w14:textId="77777777">
            <w:pPr>
              <w:jc w:val="right"/>
              <w:rPr>
                <w:color w:val="000000"/>
                <w:sz w:val="18"/>
                <w:szCs w:val="18"/>
              </w:rPr>
            </w:pPr>
            <w:r w:rsidRPr="00D96BF7">
              <w:rPr>
                <w:color w:val="000000"/>
                <w:sz w:val="18"/>
                <w:szCs w:val="18"/>
              </w:rPr>
              <w:t>0.1</w:t>
            </w:r>
          </w:p>
        </w:tc>
        <w:tc>
          <w:tcPr>
            <w:tcW w:w="350" w:type="pct"/>
            <w:shd w:val="clear" w:color="auto" w:fill="auto"/>
            <w:vAlign w:val="center"/>
            <w:hideMark/>
          </w:tcPr>
          <w:p w:rsidRPr="00D96BF7" w:rsidR="00C41E84" w:rsidP="004774FC" w:rsidRDefault="00C41E84" w14:paraId="32775717" w14:textId="77777777">
            <w:pPr>
              <w:jc w:val="right"/>
              <w:rPr>
                <w:color w:val="000000"/>
                <w:sz w:val="18"/>
                <w:szCs w:val="18"/>
              </w:rPr>
            </w:pPr>
            <w:r w:rsidRPr="00D96BF7">
              <w:rPr>
                <w:color w:val="000000"/>
                <w:sz w:val="18"/>
                <w:szCs w:val="18"/>
              </w:rPr>
              <w:t>0.10</w:t>
            </w:r>
          </w:p>
        </w:tc>
        <w:tc>
          <w:tcPr>
            <w:tcW w:w="342" w:type="pct"/>
            <w:shd w:val="clear" w:color="auto" w:fill="auto"/>
            <w:vAlign w:val="center"/>
            <w:hideMark/>
          </w:tcPr>
          <w:p w:rsidRPr="00D96BF7" w:rsidR="00C41E84" w:rsidP="004774FC" w:rsidRDefault="00C41E84" w14:paraId="2754CC86" w14:textId="77777777">
            <w:pPr>
              <w:jc w:val="right"/>
              <w:rPr>
                <w:color w:val="000000"/>
                <w:sz w:val="18"/>
                <w:szCs w:val="18"/>
              </w:rPr>
            </w:pPr>
            <w:r w:rsidRPr="00D96BF7">
              <w:rPr>
                <w:color w:val="000000"/>
                <w:sz w:val="18"/>
                <w:szCs w:val="18"/>
              </w:rPr>
              <w:t>$</w:t>
            </w:r>
            <w:r>
              <w:rPr>
                <w:color w:val="000000"/>
                <w:sz w:val="18"/>
                <w:szCs w:val="18"/>
              </w:rPr>
              <w:t>3</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7B36E8DF"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0490BC0F"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3F8B4778" w14:textId="77777777">
            <w:pPr>
              <w:jc w:val="right"/>
              <w:rPr>
                <w:color w:val="000000"/>
                <w:sz w:val="18"/>
                <w:szCs w:val="18"/>
              </w:rPr>
            </w:pPr>
            <w:r w:rsidRPr="00D96BF7">
              <w:rPr>
                <w:color w:val="000000"/>
                <w:sz w:val="18"/>
                <w:szCs w:val="18"/>
              </w:rPr>
              <w:t>120</w:t>
            </w:r>
          </w:p>
        </w:tc>
        <w:tc>
          <w:tcPr>
            <w:tcW w:w="379" w:type="pct"/>
            <w:shd w:val="clear" w:color="auto" w:fill="auto"/>
            <w:vAlign w:val="center"/>
            <w:hideMark/>
          </w:tcPr>
          <w:p w:rsidRPr="00D96BF7" w:rsidR="00C41E84" w:rsidP="004774FC" w:rsidRDefault="00C41E84" w14:paraId="5D418D06" w14:textId="77777777">
            <w:pPr>
              <w:jc w:val="right"/>
              <w:rPr>
                <w:color w:val="000000"/>
                <w:sz w:val="18"/>
                <w:szCs w:val="18"/>
              </w:rPr>
            </w:pPr>
            <w:r w:rsidRPr="00D96BF7">
              <w:rPr>
                <w:color w:val="000000"/>
                <w:sz w:val="18"/>
                <w:szCs w:val="18"/>
              </w:rPr>
              <w:t>12</w:t>
            </w:r>
          </w:p>
        </w:tc>
        <w:tc>
          <w:tcPr>
            <w:tcW w:w="516" w:type="pct"/>
            <w:shd w:val="clear" w:color="auto" w:fill="auto"/>
            <w:vAlign w:val="center"/>
            <w:hideMark/>
          </w:tcPr>
          <w:p w:rsidRPr="00D96BF7" w:rsidR="00C41E84" w:rsidP="004774FC" w:rsidRDefault="00C41E84" w14:paraId="36CC157E" w14:textId="77777777">
            <w:pPr>
              <w:jc w:val="right"/>
              <w:rPr>
                <w:sz w:val="18"/>
                <w:szCs w:val="18"/>
              </w:rPr>
            </w:pPr>
            <w:r w:rsidRPr="00D96BF7">
              <w:rPr>
                <w:sz w:val="18"/>
                <w:szCs w:val="18"/>
              </w:rPr>
              <w:t>$</w:t>
            </w:r>
            <w:r>
              <w:rPr>
                <w:sz w:val="18"/>
                <w:szCs w:val="18"/>
              </w:rPr>
              <w:t>360</w:t>
            </w:r>
            <w:r w:rsidRPr="00D96BF7">
              <w:rPr>
                <w:sz w:val="18"/>
                <w:szCs w:val="18"/>
              </w:rPr>
              <w:t xml:space="preserve"> </w:t>
            </w:r>
          </w:p>
        </w:tc>
      </w:tr>
      <w:tr w:rsidRPr="00D96BF7" w:rsidR="00C41E84" w:rsidTr="004774FC" w14:paraId="0A3D74FD" w14:textId="77777777">
        <w:trPr>
          <w:trHeight w:val="255"/>
        </w:trPr>
        <w:tc>
          <w:tcPr>
            <w:tcW w:w="1033" w:type="pct"/>
            <w:shd w:val="clear" w:color="auto" w:fill="auto"/>
            <w:noWrap/>
            <w:vAlign w:val="center"/>
            <w:hideMark/>
          </w:tcPr>
          <w:p w:rsidRPr="00D96BF7" w:rsidR="00C41E84" w:rsidP="004774FC" w:rsidRDefault="00C41E84" w14:paraId="0713F141" w14:textId="77777777">
            <w:pPr>
              <w:rPr>
                <w:color w:val="000000"/>
                <w:sz w:val="18"/>
                <w:szCs w:val="18"/>
              </w:rPr>
            </w:pPr>
            <w:r w:rsidRPr="00D96BF7">
              <w:rPr>
                <w:color w:val="000000"/>
                <w:sz w:val="18"/>
                <w:szCs w:val="18"/>
              </w:rPr>
              <w:t>T</w:t>
            </w:r>
            <w:r>
              <w:rPr>
                <w:color w:val="000000"/>
                <w:sz w:val="18"/>
                <w:szCs w:val="18"/>
              </w:rPr>
              <w:t>rack or manage rejected</w:t>
            </w:r>
            <w:r w:rsidRPr="00D96BF7">
              <w:rPr>
                <w:color w:val="000000"/>
                <w:sz w:val="18"/>
                <w:szCs w:val="18"/>
              </w:rPr>
              <w:t xml:space="preserve"> shipment</w:t>
            </w:r>
          </w:p>
        </w:tc>
        <w:tc>
          <w:tcPr>
            <w:tcW w:w="352" w:type="pct"/>
            <w:shd w:val="clear" w:color="auto" w:fill="auto"/>
            <w:noWrap/>
            <w:vAlign w:val="center"/>
            <w:hideMark/>
          </w:tcPr>
          <w:p w:rsidRPr="00D96BF7" w:rsidR="00C41E84" w:rsidP="004774FC" w:rsidRDefault="00C41E84" w14:paraId="231B0DC0" w14:textId="77777777">
            <w:pPr>
              <w:jc w:val="right"/>
              <w:rPr>
                <w:color w:val="000000"/>
                <w:sz w:val="18"/>
                <w:szCs w:val="18"/>
              </w:rPr>
            </w:pPr>
            <w:r w:rsidRPr="00D96BF7">
              <w:rPr>
                <w:color w:val="000000"/>
                <w:sz w:val="18"/>
                <w:szCs w:val="18"/>
              </w:rPr>
              <w:t>0</w:t>
            </w:r>
          </w:p>
        </w:tc>
        <w:tc>
          <w:tcPr>
            <w:tcW w:w="344" w:type="pct"/>
            <w:shd w:val="clear" w:color="auto" w:fill="auto"/>
            <w:noWrap/>
            <w:vAlign w:val="center"/>
            <w:hideMark/>
          </w:tcPr>
          <w:p w:rsidRPr="00D96BF7" w:rsidR="00C41E84" w:rsidP="004774FC" w:rsidRDefault="00C41E84" w14:paraId="5FEB4EFF" w14:textId="77777777">
            <w:pPr>
              <w:jc w:val="right"/>
              <w:rPr>
                <w:color w:val="000000"/>
                <w:sz w:val="18"/>
                <w:szCs w:val="18"/>
              </w:rPr>
            </w:pPr>
            <w:r w:rsidRPr="00D96BF7">
              <w:rPr>
                <w:color w:val="000000"/>
                <w:sz w:val="18"/>
                <w:szCs w:val="18"/>
              </w:rPr>
              <w:t>0.5</w:t>
            </w:r>
          </w:p>
        </w:tc>
        <w:tc>
          <w:tcPr>
            <w:tcW w:w="302" w:type="pct"/>
            <w:shd w:val="clear" w:color="auto" w:fill="auto"/>
            <w:noWrap/>
            <w:vAlign w:val="center"/>
            <w:hideMark/>
          </w:tcPr>
          <w:p w:rsidRPr="00D96BF7" w:rsidR="00C41E84" w:rsidP="004774FC" w:rsidRDefault="00C41E84" w14:paraId="61427B14" w14:textId="77777777">
            <w:pPr>
              <w:jc w:val="right"/>
              <w:rPr>
                <w:color w:val="000000"/>
                <w:sz w:val="18"/>
                <w:szCs w:val="18"/>
              </w:rPr>
            </w:pPr>
            <w:r w:rsidRPr="00D96BF7">
              <w:rPr>
                <w:color w:val="000000"/>
                <w:sz w:val="18"/>
                <w:szCs w:val="18"/>
              </w:rPr>
              <w:t>0.5</w:t>
            </w:r>
          </w:p>
        </w:tc>
        <w:tc>
          <w:tcPr>
            <w:tcW w:w="315" w:type="pct"/>
            <w:shd w:val="clear" w:color="auto" w:fill="auto"/>
            <w:noWrap/>
            <w:vAlign w:val="center"/>
            <w:hideMark/>
          </w:tcPr>
          <w:p w:rsidRPr="00D96BF7" w:rsidR="00C41E84" w:rsidP="004774FC" w:rsidRDefault="00C41E84" w14:paraId="4E78A46D" w14:textId="77777777">
            <w:pPr>
              <w:jc w:val="right"/>
              <w:rPr>
                <w:color w:val="000000"/>
                <w:sz w:val="18"/>
                <w:szCs w:val="18"/>
              </w:rPr>
            </w:pPr>
            <w:r w:rsidRPr="00D96BF7">
              <w:rPr>
                <w:color w:val="000000"/>
                <w:sz w:val="18"/>
                <w:szCs w:val="18"/>
              </w:rPr>
              <w:t>0.1</w:t>
            </w:r>
          </w:p>
        </w:tc>
        <w:tc>
          <w:tcPr>
            <w:tcW w:w="350" w:type="pct"/>
            <w:shd w:val="clear" w:color="auto" w:fill="auto"/>
            <w:vAlign w:val="center"/>
            <w:hideMark/>
          </w:tcPr>
          <w:p w:rsidRPr="00D96BF7" w:rsidR="00C41E84" w:rsidP="004774FC" w:rsidRDefault="00C41E84" w14:paraId="0548D499" w14:textId="77777777">
            <w:pPr>
              <w:jc w:val="right"/>
              <w:rPr>
                <w:color w:val="000000"/>
                <w:sz w:val="18"/>
                <w:szCs w:val="18"/>
              </w:rPr>
            </w:pPr>
            <w:r w:rsidRPr="00D96BF7">
              <w:rPr>
                <w:color w:val="000000"/>
                <w:sz w:val="18"/>
                <w:szCs w:val="18"/>
              </w:rPr>
              <w:t>1.10</w:t>
            </w:r>
          </w:p>
        </w:tc>
        <w:tc>
          <w:tcPr>
            <w:tcW w:w="342" w:type="pct"/>
            <w:shd w:val="clear" w:color="auto" w:fill="auto"/>
            <w:vAlign w:val="center"/>
            <w:hideMark/>
          </w:tcPr>
          <w:p w:rsidRPr="00D96BF7" w:rsidR="00C41E84" w:rsidP="004774FC" w:rsidRDefault="00C41E84" w14:paraId="5610B3BE" w14:textId="77777777">
            <w:pPr>
              <w:jc w:val="right"/>
              <w:rPr>
                <w:color w:val="000000"/>
                <w:sz w:val="18"/>
                <w:szCs w:val="18"/>
              </w:rPr>
            </w:pPr>
            <w:r w:rsidRPr="00D96BF7">
              <w:rPr>
                <w:color w:val="000000"/>
                <w:sz w:val="18"/>
                <w:szCs w:val="18"/>
              </w:rPr>
              <w:t>$</w:t>
            </w:r>
            <w:r>
              <w:rPr>
                <w:color w:val="000000"/>
                <w:sz w:val="18"/>
                <w:szCs w:val="18"/>
              </w:rPr>
              <w:t>99</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59CC68C6"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11DC4B39"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4B3E94A3" w14:textId="77777777">
            <w:pPr>
              <w:jc w:val="right"/>
              <w:rPr>
                <w:color w:val="000000"/>
                <w:sz w:val="18"/>
                <w:szCs w:val="18"/>
              </w:rPr>
            </w:pPr>
            <w:r w:rsidRPr="00D96BF7">
              <w:rPr>
                <w:color w:val="000000"/>
                <w:sz w:val="18"/>
                <w:szCs w:val="18"/>
              </w:rPr>
              <w:t>120</w:t>
            </w:r>
          </w:p>
        </w:tc>
        <w:tc>
          <w:tcPr>
            <w:tcW w:w="379" w:type="pct"/>
            <w:shd w:val="clear" w:color="auto" w:fill="auto"/>
            <w:vAlign w:val="center"/>
            <w:hideMark/>
          </w:tcPr>
          <w:p w:rsidRPr="00D96BF7" w:rsidR="00C41E84" w:rsidP="004774FC" w:rsidRDefault="00C41E84" w14:paraId="3AD8FD45" w14:textId="77777777">
            <w:pPr>
              <w:jc w:val="right"/>
              <w:rPr>
                <w:color w:val="000000"/>
                <w:sz w:val="18"/>
                <w:szCs w:val="18"/>
              </w:rPr>
            </w:pPr>
            <w:r w:rsidRPr="00D96BF7">
              <w:rPr>
                <w:color w:val="000000"/>
                <w:sz w:val="18"/>
                <w:szCs w:val="18"/>
              </w:rPr>
              <w:t>132</w:t>
            </w:r>
          </w:p>
        </w:tc>
        <w:tc>
          <w:tcPr>
            <w:tcW w:w="516" w:type="pct"/>
            <w:shd w:val="clear" w:color="auto" w:fill="auto"/>
            <w:vAlign w:val="center"/>
            <w:hideMark/>
          </w:tcPr>
          <w:p w:rsidRPr="00D96BF7" w:rsidR="00C41E84" w:rsidP="004774FC" w:rsidRDefault="00C41E84" w14:paraId="3179018E" w14:textId="77777777">
            <w:pPr>
              <w:jc w:val="right"/>
              <w:rPr>
                <w:sz w:val="18"/>
                <w:szCs w:val="18"/>
              </w:rPr>
            </w:pPr>
            <w:r w:rsidRPr="00D96BF7">
              <w:rPr>
                <w:sz w:val="18"/>
                <w:szCs w:val="18"/>
              </w:rPr>
              <w:t>$</w:t>
            </w:r>
            <w:r>
              <w:rPr>
                <w:sz w:val="18"/>
                <w:szCs w:val="18"/>
              </w:rPr>
              <w:t>11,880</w:t>
            </w:r>
            <w:r w:rsidRPr="00D96BF7">
              <w:rPr>
                <w:sz w:val="18"/>
                <w:szCs w:val="18"/>
              </w:rPr>
              <w:t xml:space="preserve"> </w:t>
            </w:r>
          </w:p>
        </w:tc>
      </w:tr>
      <w:tr w:rsidRPr="00D96BF7" w:rsidR="00C41E84" w:rsidTr="004774FC" w14:paraId="335F4024" w14:textId="77777777">
        <w:trPr>
          <w:trHeight w:val="278"/>
        </w:trPr>
        <w:tc>
          <w:tcPr>
            <w:tcW w:w="4105" w:type="pct"/>
            <w:gridSpan w:val="10"/>
            <w:shd w:val="clear" w:color="auto" w:fill="auto"/>
            <w:noWrap/>
            <w:vAlign w:val="center"/>
          </w:tcPr>
          <w:p w:rsidRPr="00D96BF7" w:rsidR="00C41E84" w:rsidP="004774FC" w:rsidRDefault="00C41E84" w14:paraId="72BDBD90" w14:textId="77777777">
            <w:pPr>
              <w:rPr>
                <w:color w:val="000000"/>
                <w:sz w:val="18"/>
                <w:szCs w:val="18"/>
              </w:rPr>
            </w:pPr>
            <w:r>
              <w:rPr>
                <w:color w:val="000000"/>
                <w:sz w:val="18"/>
                <w:szCs w:val="18"/>
              </w:rPr>
              <w:t>Subtotal</w:t>
            </w:r>
          </w:p>
        </w:tc>
        <w:tc>
          <w:tcPr>
            <w:tcW w:w="379" w:type="pct"/>
            <w:shd w:val="clear" w:color="auto" w:fill="auto"/>
            <w:noWrap/>
            <w:vAlign w:val="center"/>
          </w:tcPr>
          <w:p w:rsidRPr="00D96BF7" w:rsidR="00C41E84" w:rsidP="004774FC" w:rsidRDefault="00C41E84" w14:paraId="741E2B3B" w14:textId="77777777">
            <w:pPr>
              <w:jc w:val="right"/>
              <w:rPr>
                <w:color w:val="000000"/>
                <w:sz w:val="18"/>
                <w:szCs w:val="18"/>
              </w:rPr>
            </w:pPr>
            <w:r>
              <w:rPr>
                <w:color w:val="000000"/>
                <w:sz w:val="18"/>
                <w:szCs w:val="18"/>
              </w:rPr>
              <w:t>276</w:t>
            </w:r>
          </w:p>
        </w:tc>
        <w:tc>
          <w:tcPr>
            <w:tcW w:w="516" w:type="pct"/>
            <w:shd w:val="clear" w:color="auto" w:fill="auto"/>
            <w:noWrap/>
            <w:vAlign w:val="center"/>
          </w:tcPr>
          <w:p w:rsidRPr="00D96BF7" w:rsidR="00C41E84" w:rsidP="004774FC" w:rsidRDefault="00C41E84" w14:paraId="446D6241" w14:textId="77777777">
            <w:pPr>
              <w:jc w:val="right"/>
              <w:rPr>
                <w:color w:val="000000"/>
                <w:sz w:val="18"/>
                <w:szCs w:val="18"/>
              </w:rPr>
            </w:pPr>
            <w:r>
              <w:rPr>
                <w:color w:val="000000"/>
                <w:sz w:val="18"/>
                <w:szCs w:val="18"/>
              </w:rPr>
              <w:t>$24,120</w:t>
            </w:r>
          </w:p>
        </w:tc>
      </w:tr>
      <w:tr w:rsidRPr="00D96BF7" w:rsidR="00C41E84" w:rsidTr="004774FC" w14:paraId="367EB72B" w14:textId="77777777">
        <w:trPr>
          <w:trHeight w:val="278"/>
        </w:trPr>
        <w:tc>
          <w:tcPr>
            <w:tcW w:w="1033" w:type="pct"/>
            <w:shd w:val="clear" w:color="000000" w:fill="D9D9D9"/>
            <w:noWrap/>
            <w:vAlign w:val="center"/>
          </w:tcPr>
          <w:p w:rsidRPr="00D96BF7" w:rsidR="00C41E84" w:rsidP="004774FC" w:rsidRDefault="00C41E84" w14:paraId="682C6776" w14:textId="77777777">
            <w:pPr>
              <w:rPr>
                <w:color w:val="000000"/>
                <w:sz w:val="18"/>
                <w:szCs w:val="18"/>
              </w:rPr>
            </w:pPr>
            <w:r w:rsidRPr="00D96BF7">
              <w:rPr>
                <w:color w:val="000000"/>
                <w:sz w:val="18"/>
                <w:szCs w:val="18"/>
              </w:rPr>
              <w:t>Contingency Planning</w:t>
            </w:r>
          </w:p>
        </w:tc>
        <w:tc>
          <w:tcPr>
            <w:tcW w:w="352" w:type="pct"/>
            <w:shd w:val="clear" w:color="000000" w:fill="D9D9D9"/>
            <w:noWrap/>
            <w:vAlign w:val="center"/>
          </w:tcPr>
          <w:p w:rsidRPr="00D96BF7" w:rsidR="00C41E84" w:rsidP="004774FC" w:rsidRDefault="00C41E84" w14:paraId="0A8A1787" w14:textId="77777777">
            <w:pPr>
              <w:rPr>
                <w:color w:val="000000"/>
                <w:sz w:val="18"/>
                <w:szCs w:val="18"/>
              </w:rPr>
            </w:pPr>
          </w:p>
        </w:tc>
        <w:tc>
          <w:tcPr>
            <w:tcW w:w="344" w:type="pct"/>
            <w:shd w:val="clear" w:color="000000" w:fill="D9D9D9"/>
            <w:noWrap/>
            <w:vAlign w:val="center"/>
          </w:tcPr>
          <w:p w:rsidRPr="00D96BF7" w:rsidR="00C41E84" w:rsidP="004774FC" w:rsidRDefault="00C41E84" w14:paraId="6EB53A9B" w14:textId="77777777">
            <w:pPr>
              <w:rPr>
                <w:color w:val="000000"/>
                <w:sz w:val="18"/>
                <w:szCs w:val="18"/>
              </w:rPr>
            </w:pPr>
          </w:p>
        </w:tc>
        <w:tc>
          <w:tcPr>
            <w:tcW w:w="302" w:type="pct"/>
            <w:shd w:val="clear" w:color="000000" w:fill="D9D9D9"/>
            <w:noWrap/>
            <w:vAlign w:val="center"/>
          </w:tcPr>
          <w:p w:rsidRPr="00D96BF7" w:rsidR="00C41E84" w:rsidP="004774FC" w:rsidRDefault="00C41E84" w14:paraId="39963EBA" w14:textId="77777777">
            <w:pPr>
              <w:rPr>
                <w:color w:val="000000"/>
                <w:sz w:val="18"/>
                <w:szCs w:val="18"/>
              </w:rPr>
            </w:pPr>
          </w:p>
        </w:tc>
        <w:tc>
          <w:tcPr>
            <w:tcW w:w="315" w:type="pct"/>
            <w:shd w:val="clear" w:color="000000" w:fill="D9D9D9"/>
            <w:noWrap/>
            <w:vAlign w:val="center"/>
          </w:tcPr>
          <w:p w:rsidRPr="00D96BF7" w:rsidR="00C41E84" w:rsidP="004774FC" w:rsidRDefault="00C41E84" w14:paraId="53F12722" w14:textId="77777777">
            <w:pPr>
              <w:rPr>
                <w:color w:val="000000"/>
                <w:sz w:val="18"/>
                <w:szCs w:val="18"/>
              </w:rPr>
            </w:pPr>
          </w:p>
        </w:tc>
        <w:tc>
          <w:tcPr>
            <w:tcW w:w="350" w:type="pct"/>
            <w:shd w:val="clear" w:color="000000" w:fill="D9D9D9"/>
            <w:noWrap/>
            <w:vAlign w:val="center"/>
          </w:tcPr>
          <w:p w:rsidRPr="00D96BF7" w:rsidR="00C41E84" w:rsidP="004774FC" w:rsidRDefault="00C41E84" w14:paraId="65771AB7" w14:textId="77777777">
            <w:pPr>
              <w:rPr>
                <w:color w:val="000000"/>
                <w:sz w:val="18"/>
                <w:szCs w:val="18"/>
              </w:rPr>
            </w:pPr>
          </w:p>
        </w:tc>
        <w:tc>
          <w:tcPr>
            <w:tcW w:w="342" w:type="pct"/>
            <w:shd w:val="clear" w:color="000000" w:fill="D9D9D9"/>
            <w:noWrap/>
            <w:vAlign w:val="center"/>
          </w:tcPr>
          <w:p w:rsidRPr="00D96BF7" w:rsidR="00C41E84" w:rsidP="004774FC" w:rsidRDefault="00C41E84" w14:paraId="2548D6BE" w14:textId="77777777">
            <w:pPr>
              <w:rPr>
                <w:color w:val="000000"/>
                <w:sz w:val="18"/>
                <w:szCs w:val="18"/>
              </w:rPr>
            </w:pPr>
          </w:p>
        </w:tc>
        <w:tc>
          <w:tcPr>
            <w:tcW w:w="379" w:type="pct"/>
            <w:shd w:val="clear" w:color="000000" w:fill="D9D9D9"/>
            <w:vAlign w:val="center"/>
          </w:tcPr>
          <w:p w:rsidRPr="00D96BF7" w:rsidR="00C41E84" w:rsidP="004774FC" w:rsidRDefault="00C41E84" w14:paraId="7662FEF4" w14:textId="77777777">
            <w:pPr>
              <w:jc w:val="right"/>
              <w:rPr>
                <w:color w:val="000000"/>
                <w:sz w:val="18"/>
                <w:szCs w:val="18"/>
              </w:rPr>
            </w:pPr>
          </w:p>
        </w:tc>
        <w:tc>
          <w:tcPr>
            <w:tcW w:w="275" w:type="pct"/>
            <w:shd w:val="clear" w:color="000000" w:fill="D9D9D9"/>
            <w:noWrap/>
            <w:vAlign w:val="center"/>
          </w:tcPr>
          <w:p w:rsidRPr="00D96BF7" w:rsidR="00C41E84" w:rsidP="004774FC" w:rsidRDefault="00C41E84" w14:paraId="4EDBBEDE" w14:textId="77777777">
            <w:pPr>
              <w:rPr>
                <w:color w:val="000000"/>
                <w:sz w:val="18"/>
                <w:szCs w:val="18"/>
              </w:rPr>
            </w:pPr>
          </w:p>
        </w:tc>
        <w:tc>
          <w:tcPr>
            <w:tcW w:w="413" w:type="pct"/>
            <w:shd w:val="clear" w:color="000000" w:fill="D9D9D9"/>
            <w:noWrap/>
            <w:vAlign w:val="center"/>
          </w:tcPr>
          <w:p w:rsidRPr="00D96BF7" w:rsidR="00C41E84" w:rsidP="004774FC" w:rsidRDefault="00C41E84" w14:paraId="5F361799" w14:textId="77777777">
            <w:pPr>
              <w:rPr>
                <w:color w:val="000000"/>
                <w:sz w:val="18"/>
                <w:szCs w:val="18"/>
              </w:rPr>
            </w:pPr>
          </w:p>
        </w:tc>
        <w:tc>
          <w:tcPr>
            <w:tcW w:w="379" w:type="pct"/>
            <w:shd w:val="clear" w:color="000000" w:fill="D9D9D9"/>
            <w:noWrap/>
            <w:vAlign w:val="center"/>
          </w:tcPr>
          <w:p w:rsidRPr="00D96BF7" w:rsidR="00C41E84" w:rsidP="004774FC" w:rsidRDefault="00C41E84" w14:paraId="39343754" w14:textId="77777777">
            <w:pPr>
              <w:rPr>
                <w:color w:val="000000"/>
                <w:sz w:val="18"/>
                <w:szCs w:val="18"/>
              </w:rPr>
            </w:pPr>
          </w:p>
        </w:tc>
        <w:tc>
          <w:tcPr>
            <w:tcW w:w="516" w:type="pct"/>
            <w:shd w:val="clear" w:color="000000" w:fill="D9D9D9"/>
            <w:noWrap/>
            <w:vAlign w:val="center"/>
          </w:tcPr>
          <w:p w:rsidRPr="00D96BF7" w:rsidR="00C41E84" w:rsidP="004774FC" w:rsidRDefault="00C41E84" w14:paraId="233B56D4" w14:textId="77777777">
            <w:pPr>
              <w:rPr>
                <w:color w:val="000000"/>
                <w:sz w:val="18"/>
                <w:szCs w:val="18"/>
              </w:rPr>
            </w:pPr>
          </w:p>
        </w:tc>
      </w:tr>
      <w:tr w:rsidRPr="00D96BF7" w:rsidR="00C41E84" w:rsidTr="004774FC" w14:paraId="02F80D49" w14:textId="77777777">
        <w:trPr>
          <w:trHeight w:val="255"/>
        </w:trPr>
        <w:tc>
          <w:tcPr>
            <w:tcW w:w="1033" w:type="pct"/>
            <w:shd w:val="clear" w:color="auto" w:fill="auto"/>
            <w:noWrap/>
            <w:vAlign w:val="center"/>
          </w:tcPr>
          <w:p w:rsidRPr="00D96BF7" w:rsidR="00C41E84" w:rsidP="004774FC" w:rsidRDefault="00C41E84" w14:paraId="3645B048" w14:textId="77777777">
            <w:pPr>
              <w:rPr>
                <w:color w:val="000000"/>
                <w:sz w:val="18"/>
                <w:szCs w:val="18"/>
              </w:rPr>
            </w:pPr>
            <w:r w:rsidRPr="00D96BF7">
              <w:rPr>
                <w:color w:val="000000"/>
                <w:sz w:val="18"/>
                <w:szCs w:val="18"/>
              </w:rPr>
              <w:t>Amend contingency plan</w:t>
            </w:r>
          </w:p>
        </w:tc>
        <w:tc>
          <w:tcPr>
            <w:tcW w:w="352" w:type="pct"/>
            <w:shd w:val="clear" w:color="auto" w:fill="auto"/>
            <w:noWrap/>
            <w:vAlign w:val="center"/>
          </w:tcPr>
          <w:p w:rsidRPr="00D96BF7" w:rsidR="00C41E84" w:rsidP="004774FC" w:rsidRDefault="00C41E84" w14:paraId="2A8894D2" w14:textId="77777777">
            <w:pPr>
              <w:jc w:val="right"/>
              <w:rPr>
                <w:color w:val="000000"/>
                <w:sz w:val="18"/>
                <w:szCs w:val="18"/>
              </w:rPr>
            </w:pPr>
            <w:r w:rsidRPr="00D96BF7">
              <w:rPr>
                <w:color w:val="000000"/>
                <w:sz w:val="18"/>
                <w:szCs w:val="18"/>
              </w:rPr>
              <w:t>0</w:t>
            </w:r>
          </w:p>
        </w:tc>
        <w:tc>
          <w:tcPr>
            <w:tcW w:w="344" w:type="pct"/>
            <w:shd w:val="clear" w:color="auto" w:fill="auto"/>
            <w:noWrap/>
            <w:vAlign w:val="center"/>
          </w:tcPr>
          <w:p w:rsidRPr="00D96BF7" w:rsidR="00C41E84" w:rsidP="004774FC" w:rsidRDefault="00C41E84" w14:paraId="54C20DE3" w14:textId="77777777">
            <w:pPr>
              <w:jc w:val="right"/>
              <w:rPr>
                <w:color w:val="000000"/>
                <w:sz w:val="18"/>
                <w:szCs w:val="18"/>
              </w:rPr>
            </w:pPr>
            <w:r w:rsidRPr="00D96BF7">
              <w:rPr>
                <w:color w:val="000000"/>
                <w:sz w:val="18"/>
                <w:szCs w:val="18"/>
              </w:rPr>
              <w:t>0</w:t>
            </w:r>
          </w:p>
        </w:tc>
        <w:tc>
          <w:tcPr>
            <w:tcW w:w="302" w:type="pct"/>
            <w:shd w:val="clear" w:color="auto" w:fill="auto"/>
            <w:noWrap/>
            <w:vAlign w:val="center"/>
          </w:tcPr>
          <w:p w:rsidRPr="00D96BF7" w:rsidR="00C41E84" w:rsidP="004774FC" w:rsidRDefault="00C41E84" w14:paraId="339B8FE3" w14:textId="77777777">
            <w:pPr>
              <w:jc w:val="right"/>
              <w:rPr>
                <w:color w:val="000000"/>
                <w:sz w:val="18"/>
                <w:szCs w:val="18"/>
              </w:rPr>
            </w:pPr>
            <w:r w:rsidRPr="00D96BF7">
              <w:rPr>
                <w:color w:val="000000"/>
                <w:sz w:val="18"/>
                <w:szCs w:val="18"/>
              </w:rPr>
              <w:t>1.5</w:t>
            </w:r>
          </w:p>
        </w:tc>
        <w:tc>
          <w:tcPr>
            <w:tcW w:w="315" w:type="pct"/>
            <w:shd w:val="clear" w:color="auto" w:fill="auto"/>
            <w:noWrap/>
            <w:vAlign w:val="center"/>
          </w:tcPr>
          <w:p w:rsidRPr="00D96BF7" w:rsidR="00C41E84" w:rsidP="004774FC" w:rsidRDefault="00C41E84" w14:paraId="71EBC9CF" w14:textId="77777777">
            <w:pPr>
              <w:jc w:val="right"/>
              <w:rPr>
                <w:color w:val="000000"/>
                <w:sz w:val="18"/>
                <w:szCs w:val="18"/>
              </w:rPr>
            </w:pPr>
            <w:r w:rsidRPr="00D96BF7">
              <w:rPr>
                <w:color w:val="000000"/>
                <w:sz w:val="18"/>
                <w:szCs w:val="18"/>
              </w:rPr>
              <w:t>1.5</w:t>
            </w:r>
          </w:p>
        </w:tc>
        <w:tc>
          <w:tcPr>
            <w:tcW w:w="350" w:type="pct"/>
            <w:shd w:val="clear" w:color="auto" w:fill="auto"/>
            <w:noWrap/>
            <w:vAlign w:val="center"/>
          </w:tcPr>
          <w:p w:rsidRPr="00D96BF7" w:rsidR="00C41E84" w:rsidP="004774FC" w:rsidRDefault="00C41E84" w14:paraId="7DA9FBF0" w14:textId="77777777">
            <w:pPr>
              <w:jc w:val="right"/>
              <w:rPr>
                <w:color w:val="000000"/>
                <w:sz w:val="18"/>
                <w:szCs w:val="18"/>
              </w:rPr>
            </w:pPr>
            <w:r w:rsidRPr="00D96BF7">
              <w:rPr>
                <w:color w:val="000000"/>
                <w:sz w:val="18"/>
                <w:szCs w:val="18"/>
              </w:rPr>
              <w:t>3.00</w:t>
            </w:r>
          </w:p>
        </w:tc>
        <w:tc>
          <w:tcPr>
            <w:tcW w:w="342" w:type="pct"/>
            <w:shd w:val="clear" w:color="auto" w:fill="auto"/>
            <w:noWrap/>
            <w:vAlign w:val="center"/>
          </w:tcPr>
          <w:p w:rsidRPr="00D96BF7" w:rsidR="00C41E84" w:rsidP="004774FC" w:rsidRDefault="00C41E84" w14:paraId="7D331C32" w14:textId="77777777">
            <w:pPr>
              <w:jc w:val="right"/>
              <w:rPr>
                <w:color w:val="000000"/>
                <w:sz w:val="18"/>
                <w:szCs w:val="18"/>
              </w:rPr>
            </w:pPr>
            <w:r w:rsidRPr="00D96BF7">
              <w:rPr>
                <w:color w:val="000000"/>
                <w:sz w:val="18"/>
                <w:szCs w:val="18"/>
              </w:rPr>
              <w:t>$</w:t>
            </w:r>
            <w:r>
              <w:rPr>
                <w:color w:val="000000"/>
                <w:sz w:val="18"/>
                <w:szCs w:val="18"/>
              </w:rPr>
              <w:t>175</w:t>
            </w:r>
            <w:r w:rsidRPr="00D96BF7">
              <w:rPr>
                <w:color w:val="000000"/>
                <w:sz w:val="18"/>
                <w:szCs w:val="18"/>
              </w:rPr>
              <w:t xml:space="preserve"> </w:t>
            </w:r>
          </w:p>
        </w:tc>
        <w:tc>
          <w:tcPr>
            <w:tcW w:w="379" w:type="pct"/>
            <w:shd w:val="clear" w:color="auto" w:fill="auto"/>
            <w:vAlign w:val="center"/>
          </w:tcPr>
          <w:p w:rsidRPr="00D96BF7" w:rsidR="00C41E84" w:rsidP="004774FC" w:rsidRDefault="00C41E84" w14:paraId="2CCDADAA" w14:textId="77777777">
            <w:pPr>
              <w:jc w:val="right"/>
              <w:rPr>
                <w:color w:val="000000"/>
                <w:sz w:val="18"/>
                <w:szCs w:val="18"/>
              </w:rPr>
            </w:pPr>
            <w:r>
              <w:rPr>
                <w:color w:val="000000"/>
                <w:sz w:val="18"/>
                <w:szCs w:val="18"/>
              </w:rPr>
              <w:t>$0</w:t>
            </w:r>
          </w:p>
        </w:tc>
        <w:tc>
          <w:tcPr>
            <w:tcW w:w="275" w:type="pct"/>
            <w:shd w:val="clear" w:color="auto" w:fill="auto"/>
            <w:noWrap/>
            <w:vAlign w:val="center"/>
          </w:tcPr>
          <w:p w:rsidRPr="00D96BF7" w:rsidR="00C41E84" w:rsidP="004774FC" w:rsidRDefault="00C41E84" w14:paraId="698C2434" w14:textId="77777777">
            <w:pPr>
              <w:jc w:val="right"/>
              <w:rPr>
                <w:color w:val="000000"/>
                <w:sz w:val="18"/>
                <w:szCs w:val="18"/>
              </w:rPr>
            </w:pPr>
            <w:r>
              <w:rPr>
                <w:color w:val="000000"/>
                <w:sz w:val="18"/>
                <w:szCs w:val="18"/>
              </w:rPr>
              <w:t>$0</w:t>
            </w:r>
          </w:p>
        </w:tc>
        <w:tc>
          <w:tcPr>
            <w:tcW w:w="413" w:type="pct"/>
            <w:shd w:val="clear" w:color="auto" w:fill="auto"/>
            <w:noWrap/>
            <w:vAlign w:val="center"/>
          </w:tcPr>
          <w:p w:rsidRPr="00D96BF7" w:rsidR="00C41E84" w:rsidP="004774FC" w:rsidRDefault="00C41E84" w14:paraId="4055C9BD" w14:textId="77777777">
            <w:pPr>
              <w:jc w:val="right"/>
              <w:rPr>
                <w:color w:val="000000"/>
                <w:sz w:val="18"/>
                <w:szCs w:val="18"/>
              </w:rPr>
            </w:pPr>
            <w:r>
              <w:rPr>
                <w:color w:val="000000"/>
                <w:sz w:val="18"/>
                <w:szCs w:val="18"/>
              </w:rPr>
              <w:t>3</w:t>
            </w:r>
          </w:p>
        </w:tc>
        <w:tc>
          <w:tcPr>
            <w:tcW w:w="379" w:type="pct"/>
            <w:shd w:val="clear" w:color="auto" w:fill="auto"/>
            <w:noWrap/>
            <w:vAlign w:val="center"/>
          </w:tcPr>
          <w:p w:rsidRPr="00D96BF7" w:rsidR="00C41E84" w:rsidP="004774FC" w:rsidRDefault="00C41E84" w14:paraId="36293240" w14:textId="77777777">
            <w:pPr>
              <w:jc w:val="right"/>
              <w:rPr>
                <w:color w:val="000000"/>
                <w:sz w:val="18"/>
                <w:szCs w:val="18"/>
              </w:rPr>
            </w:pPr>
            <w:r>
              <w:rPr>
                <w:color w:val="000000"/>
                <w:sz w:val="18"/>
                <w:szCs w:val="18"/>
              </w:rPr>
              <w:t>9</w:t>
            </w:r>
          </w:p>
        </w:tc>
        <w:tc>
          <w:tcPr>
            <w:tcW w:w="516" w:type="pct"/>
            <w:shd w:val="clear" w:color="auto" w:fill="auto"/>
            <w:noWrap/>
            <w:vAlign w:val="center"/>
          </w:tcPr>
          <w:p w:rsidRPr="00D96BF7" w:rsidR="00C41E84" w:rsidP="004774FC" w:rsidRDefault="00C41E84" w14:paraId="65798BE0" w14:textId="77777777">
            <w:pPr>
              <w:jc w:val="right"/>
              <w:rPr>
                <w:color w:val="000000"/>
                <w:sz w:val="18"/>
                <w:szCs w:val="18"/>
              </w:rPr>
            </w:pPr>
            <w:r>
              <w:rPr>
                <w:color w:val="000000"/>
                <w:sz w:val="18"/>
                <w:szCs w:val="18"/>
              </w:rPr>
              <w:t>$525</w:t>
            </w:r>
          </w:p>
        </w:tc>
      </w:tr>
      <w:tr w:rsidRPr="00D96BF7" w:rsidR="00C41E84" w:rsidTr="004774FC" w14:paraId="2AB81294" w14:textId="77777777">
        <w:trPr>
          <w:trHeight w:val="255"/>
        </w:trPr>
        <w:tc>
          <w:tcPr>
            <w:tcW w:w="1033" w:type="pct"/>
            <w:shd w:val="clear" w:color="000000" w:fill="D9D9D9"/>
            <w:noWrap/>
            <w:vAlign w:val="center"/>
          </w:tcPr>
          <w:p w:rsidRPr="00D96BF7" w:rsidR="00C41E84" w:rsidP="004774FC" w:rsidRDefault="00C41E84" w14:paraId="01225522" w14:textId="77777777">
            <w:pPr>
              <w:rPr>
                <w:color w:val="000000"/>
                <w:sz w:val="18"/>
                <w:szCs w:val="18"/>
              </w:rPr>
            </w:pPr>
            <w:r w:rsidRPr="00D96BF7">
              <w:rPr>
                <w:color w:val="000000"/>
                <w:sz w:val="18"/>
                <w:szCs w:val="18"/>
              </w:rPr>
              <w:t>Unauthorized Waste</w:t>
            </w:r>
          </w:p>
        </w:tc>
        <w:tc>
          <w:tcPr>
            <w:tcW w:w="352" w:type="pct"/>
            <w:shd w:val="clear" w:color="000000" w:fill="D9D9D9"/>
            <w:noWrap/>
            <w:vAlign w:val="center"/>
          </w:tcPr>
          <w:p w:rsidRPr="00D96BF7" w:rsidR="00C41E84" w:rsidP="004774FC" w:rsidRDefault="00C41E84" w14:paraId="1D28A1E4" w14:textId="77777777">
            <w:pPr>
              <w:rPr>
                <w:color w:val="000000"/>
                <w:sz w:val="18"/>
                <w:szCs w:val="18"/>
              </w:rPr>
            </w:pPr>
          </w:p>
        </w:tc>
        <w:tc>
          <w:tcPr>
            <w:tcW w:w="344" w:type="pct"/>
            <w:shd w:val="clear" w:color="000000" w:fill="D9D9D9"/>
            <w:noWrap/>
            <w:vAlign w:val="center"/>
          </w:tcPr>
          <w:p w:rsidRPr="00D96BF7" w:rsidR="00C41E84" w:rsidP="004774FC" w:rsidRDefault="00C41E84" w14:paraId="3AD77C91" w14:textId="77777777">
            <w:pPr>
              <w:rPr>
                <w:color w:val="000000"/>
                <w:sz w:val="18"/>
                <w:szCs w:val="18"/>
              </w:rPr>
            </w:pPr>
          </w:p>
        </w:tc>
        <w:tc>
          <w:tcPr>
            <w:tcW w:w="302" w:type="pct"/>
            <w:shd w:val="clear" w:color="000000" w:fill="D9D9D9"/>
            <w:noWrap/>
            <w:vAlign w:val="center"/>
          </w:tcPr>
          <w:p w:rsidRPr="00D96BF7" w:rsidR="00C41E84" w:rsidP="004774FC" w:rsidRDefault="00C41E84" w14:paraId="77D29E14" w14:textId="77777777">
            <w:pPr>
              <w:rPr>
                <w:color w:val="000000"/>
                <w:sz w:val="18"/>
                <w:szCs w:val="18"/>
              </w:rPr>
            </w:pPr>
          </w:p>
        </w:tc>
        <w:tc>
          <w:tcPr>
            <w:tcW w:w="315" w:type="pct"/>
            <w:shd w:val="clear" w:color="000000" w:fill="D9D9D9"/>
            <w:noWrap/>
            <w:vAlign w:val="center"/>
          </w:tcPr>
          <w:p w:rsidRPr="00D96BF7" w:rsidR="00C41E84" w:rsidP="004774FC" w:rsidRDefault="00C41E84" w14:paraId="66074DDD" w14:textId="77777777">
            <w:pPr>
              <w:rPr>
                <w:color w:val="000000"/>
                <w:sz w:val="18"/>
                <w:szCs w:val="18"/>
              </w:rPr>
            </w:pPr>
          </w:p>
        </w:tc>
        <w:tc>
          <w:tcPr>
            <w:tcW w:w="350" w:type="pct"/>
            <w:shd w:val="clear" w:color="000000" w:fill="D9D9D9"/>
            <w:noWrap/>
            <w:vAlign w:val="center"/>
          </w:tcPr>
          <w:p w:rsidRPr="00D96BF7" w:rsidR="00C41E84" w:rsidP="004774FC" w:rsidRDefault="00C41E84" w14:paraId="41430701" w14:textId="77777777">
            <w:pPr>
              <w:rPr>
                <w:color w:val="000000"/>
                <w:sz w:val="18"/>
                <w:szCs w:val="18"/>
              </w:rPr>
            </w:pPr>
          </w:p>
        </w:tc>
        <w:tc>
          <w:tcPr>
            <w:tcW w:w="342" w:type="pct"/>
            <w:shd w:val="clear" w:color="000000" w:fill="D9D9D9"/>
            <w:noWrap/>
            <w:vAlign w:val="center"/>
          </w:tcPr>
          <w:p w:rsidRPr="00D96BF7" w:rsidR="00C41E84" w:rsidP="004774FC" w:rsidRDefault="00C41E84" w14:paraId="43708489" w14:textId="77777777">
            <w:pPr>
              <w:rPr>
                <w:color w:val="000000"/>
                <w:sz w:val="18"/>
                <w:szCs w:val="18"/>
              </w:rPr>
            </w:pPr>
          </w:p>
        </w:tc>
        <w:tc>
          <w:tcPr>
            <w:tcW w:w="379" w:type="pct"/>
            <w:shd w:val="clear" w:color="000000" w:fill="D9D9D9"/>
            <w:vAlign w:val="center"/>
          </w:tcPr>
          <w:p w:rsidRPr="00D96BF7" w:rsidR="00C41E84" w:rsidP="004774FC" w:rsidRDefault="00C41E84" w14:paraId="4E994712" w14:textId="77777777">
            <w:pPr>
              <w:jc w:val="right"/>
              <w:rPr>
                <w:color w:val="000000"/>
                <w:sz w:val="18"/>
                <w:szCs w:val="18"/>
              </w:rPr>
            </w:pPr>
          </w:p>
        </w:tc>
        <w:tc>
          <w:tcPr>
            <w:tcW w:w="275" w:type="pct"/>
            <w:shd w:val="clear" w:color="000000" w:fill="D9D9D9"/>
            <w:noWrap/>
            <w:vAlign w:val="center"/>
          </w:tcPr>
          <w:p w:rsidRPr="00D96BF7" w:rsidR="00C41E84" w:rsidP="004774FC" w:rsidRDefault="00C41E84" w14:paraId="69486C6E" w14:textId="77777777">
            <w:pPr>
              <w:rPr>
                <w:color w:val="000000"/>
                <w:sz w:val="18"/>
                <w:szCs w:val="18"/>
              </w:rPr>
            </w:pPr>
          </w:p>
        </w:tc>
        <w:tc>
          <w:tcPr>
            <w:tcW w:w="413" w:type="pct"/>
            <w:shd w:val="clear" w:color="000000" w:fill="D9D9D9"/>
            <w:noWrap/>
            <w:vAlign w:val="center"/>
          </w:tcPr>
          <w:p w:rsidRPr="00D96BF7" w:rsidR="00C41E84" w:rsidP="004774FC" w:rsidRDefault="00C41E84" w14:paraId="1A74B192" w14:textId="77777777">
            <w:pPr>
              <w:rPr>
                <w:color w:val="000000"/>
                <w:sz w:val="18"/>
                <w:szCs w:val="18"/>
              </w:rPr>
            </w:pPr>
          </w:p>
        </w:tc>
        <w:tc>
          <w:tcPr>
            <w:tcW w:w="379" w:type="pct"/>
            <w:shd w:val="clear" w:color="000000" w:fill="D9D9D9"/>
            <w:noWrap/>
            <w:vAlign w:val="center"/>
          </w:tcPr>
          <w:p w:rsidRPr="00D96BF7" w:rsidR="00C41E84" w:rsidP="004774FC" w:rsidRDefault="00C41E84" w14:paraId="09CD0050" w14:textId="77777777">
            <w:pPr>
              <w:rPr>
                <w:color w:val="000000"/>
                <w:sz w:val="18"/>
                <w:szCs w:val="18"/>
              </w:rPr>
            </w:pPr>
          </w:p>
        </w:tc>
        <w:tc>
          <w:tcPr>
            <w:tcW w:w="516" w:type="pct"/>
            <w:shd w:val="clear" w:color="000000" w:fill="D9D9D9"/>
            <w:noWrap/>
            <w:vAlign w:val="center"/>
          </w:tcPr>
          <w:p w:rsidRPr="00D96BF7" w:rsidR="00C41E84" w:rsidP="004774FC" w:rsidRDefault="00C41E84" w14:paraId="1891C17A" w14:textId="77777777">
            <w:pPr>
              <w:rPr>
                <w:color w:val="000000"/>
                <w:sz w:val="18"/>
                <w:szCs w:val="18"/>
              </w:rPr>
            </w:pPr>
          </w:p>
        </w:tc>
      </w:tr>
      <w:tr w:rsidRPr="00D96BF7" w:rsidR="00C41E84" w:rsidTr="004774FC" w14:paraId="68BFACA8" w14:textId="77777777">
        <w:trPr>
          <w:trHeight w:val="255"/>
        </w:trPr>
        <w:tc>
          <w:tcPr>
            <w:tcW w:w="1033" w:type="pct"/>
            <w:shd w:val="clear" w:color="auto" w:fill="auto"/>
            <w:noWrap/>
            <w:vAlign w:val="center"/>
          </w:tcPr>
          <w:p w:rsidRPr="00D96BF7" w:rsidR="00C41E84" w:rsidP="004774FC" w:rsidRDefault="00C41E84" w14:paraId="72AD8683" w14:textId="77777777">
            <w:pPr>
              <w:rPr>
                <w:color w:val="000000"/>
                <w:sz w:val="18"/>
                <w:szCs w:val="18"/>
              </w:rPr>
            </w:pPr>
            <w:r w:rsidRPr="00D96BF7">
              <w:rPr>
                <w:color w:val="000000"/>
                <w:sz w:val="18"/>
                <w:szCs w:val="18"/>
              </w:rPr>
              <w:t>Submit unauthorized waste report</w:t>
            </w:r>
          </w:p>
        </w:tc>
        <w:tc>
          <w:tcPr>
            <w:tcW w:w="352" w:type="pct"/>
            <w:shd w:val="clear" w:color="auto" w:fill="auto"/>
            <w:noWrap/>
            <w:vAlign w:val="center"/>
          </w:tcPr>
          <w:p w:rsidRPr="00D96BF7" w:rsidR="00C41E84" w:rsidP="004774FC" w:rsidRDefault="00C41E84" w14:paraId="060E4C20" w14:textId="77777777">
            <w:pPr>
              <w:jc w:val="right"/>
              <w:rPr>
                <w:color w:val="000000"/>
                <w:sz w:val="18"/>
                <w:szCs w:val="18"/>
              </w:rPr>
            </w:pPr>
            <w:r w:rsidRPr="00D96BF7">
              <w:rPr>
                <w:color w:val="000000"/>
                <w:sz w:val="18"/>
                <w:szCs w:val="18"/>
              </w:rPr>
              <w:t>0</w:t>
            </w:r>
          </w:p>
        </w:tc>
        <w:tc>
          <w:tcPr>
            <w:tcW w:w="344" w:type="pct"/>
            <w:shd w:val="clear" w:color="auto" w:fill="auto"/>
            <w:noWrap/>
            <w:vAlign w:val="center"/>
          </w:tcPr>
          <w:p w:rsidRPr="00D96BF7" w:rsidR="00C41E84" w:rsidP="004774FC" w:rsidRDefault="00C41E84" w14:paraId="6D8B16E7" w14:textId="77777777">
            <w:pPr>
              <w:jc w:val="right"/>
              <w:rPr>
                <w:color w:val="000000"/>
                <w:sz w:val="18"/>
                <w:szCs w:val="18"/>
              </w:rPr>
            </w:pPr>
            <w:r w:rsidRPr="00D96BF7">
              <w:rPr>
                <w:color w:val="000000"/>
                <w:sz w:val="18"/>
                <w:szCs w:val="18"/>
              </w:rPr>
              <w:t>9.5</w:t>
            </w:r>
          </w:p>
        </w:tc>
        <w:tc>
          <w:tcPr>
            <w:tcW w:w="302" w:type="pct"/>
            <w:shd w:val="clear" w:color="auto" w:fill="auto"/>
            <w:noWrap/>
            <w:vAlign w:val="center"/>
          </w:tcPr>
          <w:p w:rsidRPr="00D96BF7" w:rsidR="00C41E84" w:rsidP="004774FC" w:rsidRDefault="00C41E84" w14:paraId="0BFA8D5D" w14:textId="77777777">
            <w:pPr>
              <w:jc w:val="right"/>
              <w:rPr>
                <w:color w:val="000000"/>
                <w:sz w:val="18"/>
                <w:szCs w:val="18"/>
              </w:rPr>
            </w:pPr>
            <w:r w:rsidRPr="00D96BF7">
              <w:rPr>
                <w:color w:val="000000"/>
                <w:sz w:val="18"/>
                <w:szCs w:val="18"/>
              </w:rPr>
              <w:t>9.5</w:t>
            </w:r>
          </w:p>
        </w:tc>
        <w:tc>
          <w:tcPr>
            <w:tcW w:w="315" w:type="pct"/>
            <w:shd w:val="clear" w:color="auto" w:fill="auto"/>
            <w:noWrap/>
            <w:vAlign w:val="center"/>
          </w:tcPr>
          <w:p w:rsidRPr="00D96BF7" w:rsidR="00C41E84" w:rsidP="004774FC" w:rsidRDefault="00C41E84" w14:paraId="260DDC90" w14:textId="77777777">
            <w:pPr>
              <w:jc w:val="right"/>
              <w:rPr>
                <w:color w:val="000000"/>
                <w:sz w:val="18"/>
                <w:szCs w:val="18"/>
              </w:rPr>
            </w:pPr>
            <w:r w:rsidRPr="00D96BF7">
              <w:rPr>
                <w:color w:val="000000"/>
                <w:sz w:val="18"/>
                <w:szCs w:val="18"/>
              </w:rPr>
              <w:t>1.9</w:t>
            </w:r>
          </w:p>
        </w:tc>
        <w:tc>
          <w:tcPr>
            <w:tcW w:w="350" w:type="pct"/>
            <w:shd w:val="clear" w:color="auto" w:fill="auto"/>
            <w:noWrap/>
            <w:vAlign w:val="center"/>
          </w:tcPr>
          <w:p w:rsidRPr="00D96BF7" w:rsidR="00C41E84" w:rsidP="004774FC" w:rsidRDefault="00C41E84" w14:paraId="7CD3477E" w14:textId="77777777">
            <w:pPr>
              <w:jc w:val="right"/>
              <w:rPr>
                <w:color w:val="000000"/>
                <w:sz w:val="18"/>
                <w:szCs w:val="18"/>
              </w:rPr>
            </w:pPr>
            <w:r w:rsidRPr="00D96BF7">
              <w:rPr>
                <w:color w:val="000000"/>
                <w:sz w:val="18"/>
                <w:szCs w:val="18"/>
              </w:rPr>
              <w:t>2</w:t>
            </w:r>
            <w:r>
              <w:rPr>
                <w:color w:val="000000"/>
                <w:sz w:val="18"/>
                <w:szCs w:val="18"/>
              </w:rPr>
              <w:t>1.0</w:t>
            </w:r>
            <w:r w:rsidRPr="00D96BF7">
              <w:rPr>
                <w:color w:val="000000"/>
                <w:sz w:val="18"/>
                <w:szCs w:val="18"/>
              </w:rPr>
              <w:t>0</w:t>
            </w:r>
          </w:p>
        </w:tc>
        <w:tc>
          <w:tcPr>
            <w:tcW w:w="342" w:type="pct"/>
            <w:shd w:val="clear" w:color="auto" w:fill="auto"/>
            <w:noWrap/>
            <w:vAlign w:val="center"/>
          </w:tcPr>
          <w:p w:rsidRPr="00D96BF7" w:rsidR="00C41E84" w:rsidP="004774FC" w:rsidRDefault="00C41E84" w14:paraId="506A9C0B" w14:textId="77777777">
            <w:pPr>
              <w:jc w:val="right"/>
              <w:rPr>
                <w:color w:val="000000"/>
                <w:sz w:val="18"/>
                <w:szCs w:val="18"/>
              </w:rPr>
            </w:pPr>
            <w:r>
              <w:rPr>
                <w:color w:val="000000"/>
                <w:sz w:val="18"/>
                <w:szCs w:val="18"/>
              </w:rPr>
              <w:t>$1,896</w:t>
            </w:r>
          </w:p>
        </w:tc>
        <w:tc>
          <w:tcPr>
            <w:tcW w:w="379" w:type="pct"/>
            <w:shd w:val="clear" w:color="auto" w:fill="auto"/>
            <w:vAlign w:val="center"/>
          </w:tcPr>
          <w:p w:rsidRPr="00D96BF7" w:rsidR="00C41E84" w:rsidP="004774FC" w:rsidRDefault="00C41E84" w14:paraId="24F121CC" w14:textId="77777777">
            <w:pPr>
              <w:jc w:val="right"/>
              <w:rPr>
                <w:color w:val="000000"/>
                <w:sz w:val="18"/>
                <w:szCs w:val="18"/>
              </w:rPr>
            </w:pPr>
            <w:r>
              <w:rPr>
                <w:color w:val="000000"/>
                <w:sz w:val="18"/>
                <w:szCs w:val="18"/>
              </w:rPr>
              <w:t>$0</w:t>
            </w:r>
          </w:p>
        </w:tc>
        <w:tc>
          <w:tcPr>
            <w:tcW w:w="275" w:type="pct"/>
            <w:shd w:val="clear" w:color="auto" w:fill="auto"/>
            <w:noWrap/>
            <w:vAlign w:val="center"/>
          </w:tcPr>
          <w:p w:rsidRPr="00D96BF7" w:rsidR="00C41E84" w:rsidP="004774FC" w:rsidRDefault="00C41E84" w14:paraId="51AA53BE" w14:textId="77777777">
            <w:pPr>
              <w:jc w:val="right"/>
              <w:rPr>
                <w:color w:val="000000"/>
                <w:sz w:val="18"/>
                <w:szCs w:val="18"/>
              </w:rPr>
            </w:pPr>
            <w:r>
              <w:rPr>
                <w:color w:val="000000"/>
                <w:sz w:val="18"/>
                <w:szCs w:val="18"/>
              </w:rPr>
              <w:t>$0</w:t>
            </w:r>
          </w:p>
        </w:tc>
        <w:tc>
          <w:tcPr>
            <w:tcW w:w="413" w:type="pct"/>
            <w:shd w:val="clear" w:color="auto" w:fill="auto"/>
            <w:noWrap/>
            <w:vAlign w:val="center"/>
          </w:tcPr>
          <w:p w:rsidRPr="00D96BF7" w:rsidR="00C41E84" w:rsidP="004774FC" w:rsidRDefault="00C41E84" w14:paraId="0E5B888D" w14:textId="77777777">
            <w:pPr>
              <w:jc w:val="right"/>
              <w:rPr>
                <w:color w:val="000000"/>
                <w:sz w:val="18"/>
                <w:szCs w:val="18"/>
              </w:rPr>
            </w:pPr>
            <w:r>
              <w:rPr>
                <w:color w:val="000000"/>
                <w:sz w:val="18"/>
                <w:szCs w:val="18"/>
              </w:rPr>
              <w:t>27</w:t>
            </w:r>
          </w:p>
        </w:tc>
        <w:tc>
          <w:tcPr>
            <w:tcW w:w="379" w:type="pct"/>
            <w:shd w:val="clear" w:color="auto" w:fill="auto"/>
            <w:noWrap/>
            <w:vAlign w:val="center"/>
          </w:tcPr>
          <w:p w:rsidRPr="00D96BF7" w:rsidR="00C41E84" w:rsidP="004774FC" w:rsidRDefault="00C41E84" w14:paraId="68924B9B" w14:textId="77777777">
            <w:pPr>
              <w:jc w:val="right"/>
              <w:rPr>
                <w:color w:val="000000"/>
                <w:sz w:val="18"/>
                <w:szCs w:val="18"/>
              </w:rPr>
            </w:pPr>
            <w:r>
              <w:rPr>
                <w:color w:val="000000"/>
                <w:sz w:val="18"/>
                <w:szCs w:val="18"/>
              </w:rPr>
              <w:t>567</w:t>
            </w:r>
          </w:p>
        </w:tc>
        <w:tc>
          <w:tcPr>
            <w:tcW w:w="516" w:type="pct"/>
            <w:shd w:val="clear" w:color="auto" w:fill="auto"/>
            <w:noWrap/>
            <w:vAlign w:val="center"/>
          </w:tcPr>
          <w:p w:rsidRPr="00D96BF7" w:rsidR="00C41E84" w:rsidP="004774FC" w:rsidRDefault="00C41E84" w14:paraId="4F6B76F6" w14:textId="77777777">
            <w:pPr>
              <w:jc w:val="right"/>
              <w:rPr>
                <w:color w:val="000000"/>
                <w:sz w:val="18"/>
                <w:szCs w:val="18"/>
              </w:rPr>
            </w:pPr>
            <w:r>
              <w:rPr>
                <w:color w:val="000000"/>
                <w:sz w:val="18"/>
                <w:szCs w:val="18"/>
              </w:rPr>
              <w:t>$51,192</w:t>
            </w:r>
          </w:p>
        </w:tc>
      </w:tr>
      <w:tr w:rsidRPr="00D96BF7" w:rsidR="00C41E84" w:rsidTr="004774FC" w14:paraId="544BEB1F" w14:textId="77777777">
        <w:trPr>
          <w:trHeight w:val="255"/>
        </w:trPr>
        <w:tc>
          <w:tcPr>
            <w:tcW w:w="1033" w:type="pct"/>
            <w:shd w:val="clear" w:color="000000" w:fill="D9D9D9"/>
            <w:noWrap/>
            <w:vAlign w:val="center"/>
            <w:hideMark/>
          </w:tcPr>
          <w:p w:rsidRPr="00D96BF7" w:rsidR="00C41E84" w:rsidP="004774FC" w:rsidRDefault="00C41E84" w14:paraId="1C4F9B73" w14:textId="77777777">
            <w:pPr>
              <w:rPr>
                <w:color w:val="000000"/>
                <w:sz w:val="18"/>
                <w:szCs w:val="18"/>
              </w:rPr>
            </w:pPr>
            <w:r w:rsidRPr="00D96BF7">
              <w:rPr>
                <w:color w:val="000000"/>
                <w:sz w:val="18"/>
                <w:szCs w:val="18"/>
              </w:rPr>
              <w:t>Containers</w:t>
            </w:r>
          </w:p>
        </w:tc>
        <w:tc>
          <w:tcPr>
            <w:tcW w:w="352" w:type="pct"/>
            <w:shd w:val="clear" w:color="000000" w:fill="D9D9D9"/>
            <w:noWrap/>
            <w:vAlign w:val="center"/>
            <w:hideMark/>
          </w:tcPr>
          <w:p w:rsidRPr="00D96BF7" w:rsidR="00C41E84" w:rsidP="004774FC" w:rsidRDefault="00C41E84" w14:paraId="350B4C44" w14:textId="77777777">
            <w:pPr>
              <w:rPr>
                <w:color w:val="000000"/>
                <w:sz w:val="18"/>
                <w:szCs w:val="18"/>
              </w:rPr>
            </w:pPr>
            <w:r w:rsidRPr="00D96BF7">
              <w:rPr>
                <w:color w:val="000000"/>
                <w:sz w:val="18"/>
                <w:szCs w:val="18"/>
              </w:rPr>
              <w:t> </w:t>
            </w:r>
          </w:p>
        </w:tc>
        <w:tc>
          <w:tcPr>
            <w:tcW w:w="344" w:type="pct"/>
            <w:shd w:val="clear" w:color="000000" w:fill="D9D9D9"/>
            <w:noWrap/>
            <w:vAlign w:val="center"/>
            <w:hideMark/>
          </w:tcPr>
          <w:p w:rsidRPr="00D96BF7" w:rsidR="00C41E84" w:rsidP="004774FC" w:rsidRDefault="00C41E84" w14:paraId="0D799D1B" w14:textId="77777777">
            <w:pPr>
              <w:rPr>
                <w:color w:val="000000"/>
                <w:sz w:val="18"/>
                <w:szCs w:val="18"/>
              </w:rPr>
            </w:pPr>
            <w:r w:rsidRPr="00D96BF7">
              <w:rPr>
                <w:color w:val="000000"/>
                <w:sz w:val="18"/>
                <w:szCs w:val="18"/>
              </w:rPr>
              <w:t> </w:t>
            </w:r>
          </w:p>
        </w:tc>
        <w:tc>
          <w:tcPr>
            <w:tcW w:w="302" w:type="pct"/>
            <w:shd w:val="clear" w:color="000000" w:fill="D9D9D9"/>
            <w:noWrap/>
            <w:vAlign w:val="center"/>
            <w:hideMark/>
          </w:tcPr>
          <w:p w:rsidRPr="00D96BF7" w:rsidR="00C41E84" w:rsidP="004774FC" w:rsidRDefault="00C41E84" w14:paraId="0D8CC477" w14:textId="77777777">
            <w:pPr>
              <w:rPr>
                <w:color w:val="000000"/>
                <w:sz w:val="18"/>
                <w:szCs w:val="18"/>
              </w:rPr>
            </w:pPr>
            <w:r w:rsidRPr="00D96BF7">
              <w:rPr>
                <w:color w:val="000000"/>
                <w:sz w:val="18"/>
                <w:szCs w:val="18"/>
              </w:rPr>
              <w:t> </w:t>
            </w:r>
          </w:p>
        </w:tc>
        <w:tc>
          <w:tcPr>
            <w:tcW w:w="315" w:type="pct"/>
            <w:shd w:val="clear" w:color="000000" w:fill="D9D9D9"/>
            <w:noWrap/>
            <w:vAlign w:val="center"/>
            <w:hideMark/>
          </w:tcPr>
          <w:p w:rsidRPr="00D96BF7" w:rsidR="00C41E84" w:rsidP="004774FC" w:rsidRDefault="00C41E84" w14:paraId="6C59D0C9" w14:textId="77777777">
            <w:pPr>
              <w:rPr>
                <w:color w:val="000000"/>
                <w:sz w:val="18"/>
                <w:szCs w:val="18"/>
              </w:rPr>
            </w:pPr>
            <w:r w:rsidRPr="00D96BF7">
              <w:rPr>
                <w:color w:val="000000"/>
                <w:sz w:val="18"/>
                <w:szCs w:val="18"/>
              </w:rPr>
              <w:t> </w:t>
            </w:r>
          </w:p>
        </w:tc>
        <w:tc>
          <w:tcPr>
            <w:tcW w:w="350" w:type="pct"/>
            <w:shd w:val="clear" w:color="000000" w:fill="D9D9D9"/>
            <w:noWrap/>
            <w:vAlign w:val="center"/>
            <w:hideMark/>
          </w:tcPr>
          <w:p w:rsidRPr="00D96BF7" w:rsidR="00C41E84" w:rsidP="004774FC" w:rsidRDefault="00C41E84" w14:paraId="4CAB9AC4" w14:textId="77777777">
            <w:pPr>
              <w:rPr>
                <w:color w:val="000000"/>
                <w:sz w:val="18"/>
                <w:szCs w:val="18"/>
              </w:rPr>
            </w:pPr>
            <w:r w:rsidRPr="00D96BF7">
              <w:rPr>
                <w:color w:val="000000"/>
                <w:sz w:val="18"/>
                <w:szCs w:val="18"/>
              </w:rPr>
              <w:t> </w:t>
            </w:r>
          </w:p>
        </w:tc>
        <w:tc>
          <w:tcPr>
            <w:tcW w:w="342" w:type="pct"/>
            <w:shd w:val="clear" w:color="000000" w:fill="D9D9D9"/>
            <w:noWrap/>
            <w:vAlign w:val="center"/>
            <w:hideMark/>
          </w:tcPr>
          <w:p w:rsidRPr="00D96BF7" w:rsidR="00C41E84" w:rsidP="004774FC" w:rsidRDefault="00C41E84" w14:paraId="6E5D32D5" w14:textId="77777777">
            <w:pPr>
              <w:rPr>
                <w:color w:val="000000"/>
                <w:sz w:val="18"/>
                <w:szCs w:val="18"/>
              </w:rPr>
            </w:pPr>
            <w:r w:rsidRPr="00D96BF7">
              <w:rPr>
                <w:color w:val="000000"/>
                <w:sz w:val="18"/>
                <w:szCs w:val="18"/>
              </w:rPr>
              <w:t> </w:t>
            </w:r>
          </w:p>
        </w:tc>
        <w:tc>
          <w:tcPr>
            <w:tcW w:w="379" w:type="pct"/>
            <w:shd w:val="clear" w:color="000000" w:fill="D9D9D9"/>
            <w:vAlign w:val="center"/>
            <w:hideMark/>
          </w:tcPr>
          <w:p w:rsidRPr="00D96BF7" w:rsidR="00C41E84" w:rsidP="004774FC" w:rsidRDefault="00C41E84" w14:paraId="08740939" w14:textId="77777777">
            <w:pPr>
              <w:jc w:val="right"/>
              <w:rPr>
                <w:color w:val="000000"/>
                <w:sz w:val="18"/>
                <w:szCs w:val="18"/>
              </w:rPr>
            </w:pPr>
            <w:r w:rsidRPr="00D96BF7">
              <w:rPr>
                <w:color w:val="000000"/>
                <w:sz w:val="18"/>
                <w:szCs w:val="18"/>
              </w:rPr>
              <w:t> </w:t>
            </w:r>
          </w:p>
        </w:tc>
        <w:tc>
          <w:tcPr>
            <w:tcW w:w="275" w:type="pct"/>
            <w:shd w:val="clear" w:color="000000" w:fill="D9D9D9"/>
            <w:noWrap/>
            <w:vAlign w:val="center"/>
            <w:hideMark/>
          </w:tcPr>
          <w:p w:rsidRPr="00D96BF7" w:rsidR="00C41E84" w:rsidP="004774FC" w:rsidRDefault="00C41E84" w14:paraId="66927C4A" w14:textId="77777777">
            <w:pPr>
              <w:rPr>
                <w:color w:val="000000"/>
                <w:sz w:val="18"/>
                <w:szCs w:val="18"/>
              </w:rPr>
            </w:pPr>
            <w:r w:rsidRPr="00D96BF7">
              <w:rPr>
                <w:color w:val="000000"/>
                <w:sz w:val="18"/>
                <w:szCs w:val="18"/>
              </w:rPr>
              <w:t> </w:t>
            </w:r>
          </w:p>
        </w:tc>
        <w:tc>
          <w:tcPr>
            <w:tcW w:w="413" w:type="pct"/>
            <w:shd w:val="clear" w:color="000000" w:fill="D9D9D9"/>
            <w:noWrap/>
            <w:vAlign w:val="center"/>
            <w:hideMark/>
          </w:tcPr>
          <w:p w:rsidRPr="00D96BF7" w:rsidR="00C41E84" w:rsidP="004774FC" w:rsidRDefault="00C41E84" w14:paraId="1CB6FFA6" w14:textId="77777777">
            <w:pPr>
              <w:rPr>
                <w:color w:val="000000"/>
                <w:sz w:val="18"/>
                <w:szCs w:val="18"/>
              </w:rPr>
            </w:pPr>
            <w:r w:rsidRPr="00D96BF7">
              <w:rPr>
                <w:color w:val="000000"/>
                <w:sz w:val="18"/>
                <w:szCs w:val="18"/>
              </w:rPr>
              <w:t> </w:t>
            </w:r>
          </w:p>
        </w:tc>
        <w:tc>
          <w:tcPr>
            <w:tcW w:w="379" w:type="pct"/>
            <w:shd w:val="clear" w:color="000000" w:fill="D9D9D9"/>
            <w:noWrap/>
            <w:vAlign w:val="center"/>
            <w:hideMark/>
          </w:tcPr>
          <w:p w:rsidRPr="00D96BF7" w:rsidR="00C41E84" w:rsidP="004774FC" w:rsidRDefault="00C41E84" w14:paraId="337A31D6" w14:textId="77777777">
            <w:pPr>
              <w:rPr>
                <w:color w:val="000000"/>
                <w:sz w:val="18"/>
                <w:szCs w:val="18"/>
              </w:rPr>
            </w:pPr>
            <w:r w:rsidRPr="00D96BF7">
              <w:rPr>
                <w:color w:val="000000"/>
                <w:sz w:val="18"/>
                <w:szCs w:val="18"/>
              </w:rPr>
              <w:t> </w:t>
            </w:r>
          </w:p>
        </w:tc>
        <w:tc>
          <w:tcPr>
            <w:tcW w:w="516" w:type="pct"/>
            <w:shd w:val="clear" w:color="000000" w:fill="D9D9D9"/>
            <w:noWrap/>
            <w:vAlign w:val="center"/>
            <w:hideMark/>
          </w:tcPr>
          <w:p w:rsidRPr="00D96BF7" w:rsidR="00C41E84" w:rsidP="004774FC" w:rsidRDefault="00C41E84" w14:paraId="71D6B0DC" w14:textId="77777777">
            <w:pPr>
              <w:rPr>
                <w:color w:val="000000"/>
                <w:sz w:val="18"/>
                <w:szCs w:val="18"/>
              </w:rPr>
            </w:pPr>
            <w:r w:rsidRPr="00D96BF7">
              <w:rPr>
                <w:color w:val="000000"/>
                <w:sz w:val="18"/>
                <w:szCs w:val="18"/>
              </w:rPr>
              <w:t> </w:t>
            </w:r>
          </w:p>
        </w:tc>
      </w:tr>
      <w:tr w:rsidRPr="00D96BF7" w:rsidR="00C41E84" w:rsidTr="004774FC" w14:paraId="3926DD54" w14:textId="77777777">
        <w:trPr>
          <w:trHeight w:val="301"/>
        </w:trPr>
        <w:tc>
          <w:tcPr>
            <w:tcW w:w="1033" w:type="pct"/>
            <w:shd w:val="clear" w:color="auto" w:fill="auto"/>
            <w:vAlign w:val="center"/>
            <w:hideMark/>
          </w:tcPr>
          <w:p w:rsidRPr="00D96BF7" w:rsidR="00C41E84" w:rsidP="004774FC" w:rsidRDefault="00C41E84" w14:paraId="7F87E032" w14:textId="77777777">
            <w:pPr>
              <w:rPr>
                <w:color w:val="000000"/>
                <w:sz w:val="18"/>
                <w:szCs w:val="18"/>
              </w:rPr>
            </w:pPr>
            <w:r w:rsidRPr="00D96BF7">
              <w:rPr>
                <w:color w:val="000000"/>
                <w:sz w:val="18"/>
                <w:szCs w:val="18"/>
              </w:rPr>
              <w:t>Mark containers with waste codes</w:t>
            </w:r>
          </w:p>
        </w:tc>
        <w:tc>
          <w:tcPr>
            <w:tcW w:w="352" w:type="pct"/>
            <w:shd w:val="clear" w:color="auto" w:fill="auto"/>
            <w:vAlign w:val="center"/>
            <w:hideMark/>
          </w:tcPr>
          <w:p w:rsidRPr="00D96BF7" w:rsidR="00C41E84" w:rsidP="004774FC" w:rsidRDefault="00C41E84" w14:paraId="1AB0D980" w14:textId="77777777">
            <w:pPr>
              <w:jc w:val="right"/>
              <w:rPr>
                <w:color w:val="000000"/>
                <w:sz w:val="18"/>
                <w:szCs w:val="18"/>
              </w:rPr>
            </w:pPr>
            <w:r w:rsidRPr="00D96BF7">
              <w:rPr>
                <w:color w:val="000000"/>
                <w:sz w:val="18"/>
                <w:szCs w:val="18"/>
              </w:rPr>
              <w:t>0</w:t>
            </w:r>
          </w:p>
        </w:tc>
        <w:tc>
          <w:tcPr>
            <w:tcW w:w="344" w:type="pct"/>
            <w:shd w:val="clear" w:color="auto" w:fill="auto"/>
            <w:vAlign w:val="center"/>
            <w:hideMark/>
          </w:tcPr>
          <w:p w:rsidRPr="00D96BF7" w:rsidR="00C41E84" w:rsidP="004774FC" w:rsidRDefault="00C41E84" w14:paraId="0D94B661" w14:textId="77777777">
            <w:pPr>
              <w:jc w:val="right"/>
              <w:rPr>
                <w:color w:val="000000"/>
                <w:sz w:val="18"/>
                <w:szCs w:val="18"/>
              </w:rPr>
            </w:pPr>
            <w:r w:rsidRPr="00D96BF7">
              <w:rPr>
                <w:color w:val="000000"/>
                <w:sz w:val="18"/>
                <w:szCs w:val="18"/>
              </w:rPr>
              <w:t>0</w:t>
            </w:r>
          </w:p>
        </w:tc>
        <w:tc>
          <w:tcPr>
            <w:tcW w:w="302" w:type="pct"/>
            <w:shd w:val="clear" w:color="auto" w:fill="auto"/>
            <w:vAlign w:val="center"/>
            <w:hideMark/>
          </w:tcPr>
          <w:p w:rsidRPr="00D96BF7" w:rsidR="00C41E84" w:rsidP="004774FC" w:rsidRDefault="00C41E84" w14:paraId="1D256787" w14:textId="77777777">
            <w:pPr>
              <w:jc w:val="right"/>
              <w:rPr>
                <w:color w:val="000000"/>
                <w:sz w:val="18"/>
                <w:szCs w:val="18"/>
              </w:rPr>
            </w:pPr>
            <w:r w:rsidRPr="00D96BF7">
              <w:rPr>
                <w:color w:val="000000"/>
                <w:sz w:val="18"/>
                <w:szCs w:val="18"/>
              </w:rPr>
              <w:t>0.08</w:t>
            </w:r>
          </w:p>
        </w:tc>
        <w:tc>
          <w:tcPr>
            <w:tcW w:w="315" w:type="pct"/>
            <w:shd w:val="clear" w:color="auto" w:fill="auto"/>
            <w:vAlign w:val="center"/>
            <w:hideMark/>
          </w:tcPr>
          <w:p w:rsidRPr="00D96BF7" w:rsidR="00C41E84" w:rsidP="004774FC" w:rsidRDefault="00C41E84" w14:paraId="3F017A0A" w14:textId="77777777">
            <w:pPr>
              <w:jc w:val="right"/>
              <w:rPr>
                <w:color w:val="000000"/>
                <w:sz w:val="18"/>
                <w:szCs w:val="18"/>
              </w:rPr>
            </w:pPr>
            <w:r w:rsidRPr="00D96BF7">
              <w:rPr>
                <w:color w:val="000000"/>
                <w:sz w:val="18"/>
                <w:szCs w:val="18"/>
              </w:rPr>
              <w:t>0</w:t>
            </w:r>
          </w:p>
        </w:tc>
        <w:tc>
          <w:tcPr>
            <w:tcW w:w="350" w:type="pct"/>
            <w:shd w:val="clear" w:color="auto" w:fill="auto"/>
            <w:vAlign w:val="center"/>
            <w:hideMark/>
          </w:tcPr>
          <w:p w:rsidRPr="00D96BF7" w:rsidR="00C41E84" w:rsidP="004774FC" w:rsidRDefault="00C41E84" w14:paraId="36B39CDD" w14:textId="77777777">
            <w:pPr>
              <w:jc w:val="right"/>
              <w:rPr>
                <w:color w:val="000000"/>
                <w:sz w:val="18"/>
                <w:szCs w:val="18"/>
              </w:rPr>
            </w:pPr>
            <w:r w:rsidRPr="00D96BF7">
              <w:rPr>
                <w:color w:val="000000"/>
                <w:sz w:val="18"/>
                <w:szCs w:val="18"/>
              </w:rPr>
              <w:t>0.08</w:t>
            </w:r>
          </w:p>
        </w:tc>
        <w:tc>
          <w:tcPr>
            <w:tcW w:w="342" w:type="pct"/>
            <w:shd w:val="clear" w:color="auto" w:fill="auto"/>
            <w:vAlign w:val="center"/>
            <w:hideMark/>
          </w:tcPr>
          <w:p w:rsidRPr="00D96BF7" w:rsidR="00C41E84" w:rsidP="004774FC" w:rsidRDefault="00C41E84" w14:paraId="23958BD9" w14:textId="77777777">
            <w:pPr>
              <w:jc w:val="right"/>
              <w:rPr>
                <w:color w:val="000000"/>
                <w:sz w:val="18"/>
                <w:szCs w:val="18"/>
              </w:rPr>
            </w:pPr>
            <w:r w:rsidRPr="00D96BF7">
              <w:rPr>
                <w:color w:val="000000"/>
                <w:sz w:val="18"/>
                <w:szCs w:val="18"/>
              </w:rPr>
              <w:t>$</w:t>
            </w:r>
            <w:r>
              <w:rPr>
                <w:color w:val="000000"/>
                <w:sz w:val="18"/>
                <w:szCs w:val="18"/>
              </w:rPr>
              <w:t>7</w:t>
            </w:r>
            <w:r w:rsidRPr="00D96BF7">
              <w:rPr>
                <w:color w:val="000000"/>
                <w:sz w:val="18"/>
                <w:szCs w:val="18"/>
              </w:rPr>
              <w:t xml:space="preserve"> </w:t>
            </w:r>
          </w:p>
        </w:tc>
        <w:tc>
          <w:tcPr>
            <w:tcW w:w="379" w:type="pct"/>
            <w:shd w:val="clear" w:color="auto" w:fill="auto"/>
            <w:vAlign w:val="center"/>
            <w:hideMark/>
          </w:tcPr>
          <w:p w:rsidRPr="00D96BF7" w:rsidR="00C41E84" w:rsidP="004774FC" w:rsidRDefault="00C41E84" w14:paraId="3B22DB33" w14:textId="77777777">
            <w:pPr>
              <w:jc w:val="right"/>
              <w:rPr>
                <w:color w:val="000000"/>
                <w:sz w:val="18"/>
                <w:szCs w:val="18"/>
              </w:rPr>
            </w:pPr>
            <w:r w:rsidRPr="00D96BF7">
              <w:rPr>
                <w:color w:val="000000"/>
                <w:sz w:val="18"/>
                <w:szCs w:val="18"/>
              </w:rPr>
              <w:t xml:space="preserve">$0 </w:t>
            </w:r>
          </w:p>
        </w:tc>
        <w:tc>
          <w:tcPr>
            <w:tcW w:w="275" w:type="pct"/>
            <w:shd w:val="clear" w:color="auto" w:fill="auto"/>
            <w:vAlign w:val="center"/>
            <w:hideMark/>
          </w:tcPr>
          <w:p w:rsidRPr="00D96BF7" w:rsidR="00C41E84" w:rsidP="004774FC" w:rsidRDefault="00C41E84" w14:paraId="4340056D" w14:textId="77777777">
            <w:pPr>
              <w:jc w:val="right"/>
              <w:rPr>
                <w:color w:val="000000"/>
                <w:sz w:val="18"/>
                <w:szCs w:val="18"/>
              </w:rPr>
            </w:pPr>
            <w:r w:rsidRPr="00D96BF7">
              <w:rPr>
                <w:color w:val="000000"/>
                <w:sz w:val="18"/>
                <w:szCs w:val="18"/>
              </w:rPr>
              <w:t xml:space="preserve">$0 </w:t>
            </w:r>
          </w:p>
        </w:tc>
        <w:tc>
          <w:tcPr>
            <w:tcW w:w="413" w:type="pct"/>
            <w:shd w:val="clear" w:color="auto" w:fill="auto"/>
            <w:vAlign w:val="center"/>
            <w:hideMark/>
          </w:tcPr>
          <w:p w:rsidRPr="00D96BF7" w:rsidR="00C41E84" w:rsidP="004774FC" w:rsidRDefault="00C41E84" w14:paraId="0A1CEE88" w14:textId="77777777">
            <w:pPr>
              <w:jc w:val="right"/>
              <w:rPr>
                <w:color w:val="000000"/>
                <w:sz w:val="18"/>
                <w:szCs w:val="18"/>
              </w:rPr>
            </w:pPr>
            <w:r w:rsidRPr="00D96BF7">
              <w:rPr>
                <w:color w:val="000000"/>
                <w:sz w:val="18"/>
                <w:szCs w:val="18"/>
              </w:rPr>
              <w:t>27</w:t>
            </w:r>
          </w:p>
        </w:tc>
        <w:tc>
          <w:tcPr>
            <w:tcW w:w="379" w:type="pct"/>
            <w:shd w:val="clear" w:color="auto" w:fill="auto"/>
            <w:vAlign w:val="center"/>
            <w:hideMark/>
          </w:tcPr>
          <w:p w:rsidRPr="00D96BF7" w:rsidR="00C41E84" w:rsidP="004774FC" w:rsidRDefault="00C41E84" w14:paraId="12F79945" w14:textId="77777777">
            <w:pPr>
              <w:jc w:val="right"/>
              <w:rPr>
                <w:color w:val="000000"/>
                <w:sz w:val="18"/>
                <w:szCs w:val="18"/>
              </w:rPr>
            </w:pPr>
            <w:r w:rsidRPr="00D96BF7">
              <w:rPr>
                <w:color w:val="000000"/>
                <w:sz w:val="18"/>
                <w:szCs w:val="18"/>
              </w:rPr>
              <w:t>2</w:t>
            </w:r>
          </w:p>
        </w:tc>
        <w:tc>
          <w:tcPr>
            <w:tcW w:w="516" w:type="pct"/>
            <w:shd w:val="clear" w:color="auto" w:fill="auto"/>
            <w:vAlign w:val="center"/>
            <w:hideMark/>
          </w:tcPr>
          <w:p w:rsidRPr="00D96BF7" w:rsidR="00C41E84" w:rsidP="004774FC" w:rsidRDefault="00C41E84" w14:paraId="3FBFB8F1" w14:textId="77777777">
            <w:pPr>
              <w:jc w:val="right"/>
              <w:rPr>
                <w:color w:val="000000"/>
                <w:sz w:val="18"/>
                <w:szCs w:val="18"/>
              </w:rPr>
            </w:pPr>
            <w:r w:rsidRPr="00D96BF7">
              <w:rPr>
                <w:color w:val="000000"/>
                <w:sz w:val="18"/>
                <w:szCs w:val="18"/>
              </w:rPr>
              <w:t>$</w:t>
            </w:r>
            <w:r>
              <w:rPr>
                <w:color w:val="000000"/>
                <w:sz w:val="18"/>
                <w:szCs w:val="18"/>
              </w:rPr>
              <w:t>189</w:t>
            </w:r>
          </w:p>
        </w:tc>
      </w:tr>
      <w:tr w:rsidRPr="00D52A70" w:rsidR="00C41E84" w:rsidTr="004774FC" w14:paraId="3ADC012E" w14:textId="77777777">
        <w:trPr>
          <w:trHeight w:val="301"/>
        </w:trPr>
        <w:tc>
          <w:tcPr>
            <w:tcW w:w="4105" w:type="pct"/>
            <w:gridSpan w:val="10"/>
            <w:shd w:val="clear" w:color="auto" w:fill="D9D9D9" w:themeFill="background1" w:themeFillShade="D9"/>
            <w:vAlign w:val="center"/>
          </w:tcPr>
          <w:p w:rsidRPr="00D52A70" w:rsidR="00C41E84" w:rsidP="004774FC" w:rsidRDefault="00C41E84" w14:paraId="2305A8F3" w14:textId="77777777">
            <w:pPr>
              <w:rPr>
                <w:b/>
                <w:bCs/>
                <w:color w:val="000000"/>
                <w:sz w:val="18"/>
                <w:szCs w:val="18"/>
              </w:rPr>
            </w:pPr>
            <w:r w:rsidRPr="00D52A70">
              <w:rPr>
                <w:b/>
                <w:bCs/>
                <w:color w:val="000000"/>
                <w:sz w:val="18"/>
                <w:szCs w:val="18"/>
              </w:rPr>
              <w:t>TOTAL</w:t>
            </w:r>
          </w:p>
          <w:p w:rsidRPr="00D52A70" w:rsidR="00C41E84" w:rsidP="004774FC" w:rsidRDefault="00C41E84" w14:paraId="2B2F260E" w14:textId="77777777">
            <w:pPr>
              <w:jc w:val="right"/>
              <w:rPr>
                <w:b/>
                <w:bCs/>
                <w:color w:val="000000"/>
                <w:sz w:val="18"/>
                <w:szCs w:val="18"/>
              </w:rPr>
            </w:pPr>
            <w:r>
              <w:rPr>
                <w:b/>
                <w:bCs/>
                <w:color w:val="000000"/>
                <w:sz w:val="18"/>
                <w:szCs w:val="18"/>
              </w:rPr>
              <w:t xml:space="preserve"> </w:t>
            </w:r>
          </w:p>
        </w:tc>
        <w:tc>
          <w:tcPr>
            <w:tcW w:w="379" w:type="pct"/>
            <w:shd w:val="clear" w:color="auto" w:fill="D9D9D9" w:themeFill="background1" w:themeFillShade="D9"/>
            <w:vAlign w:val="center"/>
          </w:tcPr>
          <w:p w:rsidRPr="00D52A70" w:rsidR="00C41E84" w:rsidP="004774FC" w:rsidRDefault="00C41E84" w14:paraId="4AD3AE44" w14:textId="77777777">
            <w:pPr>
              <w:jc w:val="right"/>
              <w:rPr>
                <w:b/>
                <w:bCs/>
                <w:color w:val="000000"/>
                <w:sz w:val="18"/>
                <w:szCs w:val="18"/>
              </w:rPr>
            </w:pPr>
            <w:r>
              <w:rPr>
                <w:b/>
                <w:bCs/>
                <w:color w:val="000000"/>
                <w:sz w:val="18"/>
                <w:szCs w:val="18"/>
              </w:rPr>
              <w:t xml:space="preserve">40,045 </w:t>
            </w:r>
          </w:p>
        </w:tc>
        <w:tc>
          <w:tcPr>
            <w:tcW w:w="516" w:type="pct"/>
            <w:shd w:val="clear" w:color="auto" w:fill="D9D9D9" w:themeFill="background1" w:themeFillShade="D9"/>
            <w:vAlign w:val="center"/>
          </w:tcPr>
          <w:p w:rsidRPr="00D52A70" w:rsidR="00C41E84" w:rsidP="004774FC" w:rsidRDefault="00C41E84" w14:paraId="35D155F9" w14:textId="77777777">
            <w:pPr>
              <w:jc w:val="right"/>
              <w:rPr>
                <w:b/>
                <w:bCs/>
                <w:color w:val="000000"/>
                <w:sz w:val="18"/>
                <w:szCs w:val="18"/>
              </w:rPr>
            </w:pPr>
            <w:r>
              <w:rPr>
                <w:b/>
                <w:bCs/>
                <w:color w:val="000000"/>
                <w:sz w:val="18"/>
                <w:szCs w:val="18"/>
              </w:rPr>
              <w:t xml:space="preserve">$3,580,140 </w:t>
            </w:r>
          </w:p>
        </w:tc>
      </w:tr>
    </w:tbl>
    <w:p w:rsidR="00C41E84" w:rsidP="00C41E84" w:rsidRDefault="00C41E84" w14:paraId="252625BE" w14:textId="77777777"/>
    <w:p w:rsidR="00D96BF7" w:rsidP="00014D13" w:rsidRDefault="00D96BF7" w14:paraId="0BBAA36B" w14:textId="3E3F4012">
      <w:pPr>
        <w:rPr>
          <w:vanish/>
          <w:sz w:val="20"/>
          <w:szCs w:val="20"/>
        </w:rPr>
      </w:pPr>
    </w:p>
    <w:p w:rsidR="00F13457" w:rsidP="00014D13" w:rsidRDefault="00F13457" w14:paraId="5120C131" w14:textId="4DE956FA">
      <w:pPr>
        <w:rPr>
          <w:vanish/>
          <w:sz w:val="20"/>
          <w:szCs w:val="20"/>
        </w:rPr>
      </w:pPr>
    </w:p>
    <w:p w:rsidR="00D57CF2" w:rsidP="00014D13" w:rsidRDefault="00D57CF2" w14:paraId="43FC807F" w14:textId="39D590CC">
      <w:pPr>
        <w:rPr>
          <w:vanish/>
          <w:sz w:val="20"/>
          <w:szCs w:val="20"/>
        </w:rPr>
      </w:pPr>
    </w:p>
    <w:p w:rsidR="00D57CF2" w:rsidP="00D57CF2" w:rsidRDefault="00D57CF2" w14:paraId="48DA4FEB" w14:textId="77777777">
      <w:pPr>
        <w:rPr>
          <w:vanish/>
          <w:sz w:val="20"/>
          <w:szCs w:val="20"/>
        </w:rPr>
      </w:pPr>
    </w:p>
    <w:p w:rsidR="00D57CF2" w:rsidP="00D57CF2" w:rsidRDefault="00D57CF2" w14:paraId="7A38C4A8" w14:textId="77777777">
      <w:pPr>
        <w:rPr>
          <w:vanish/>
          <w:sz w:val="20"/>
          <w:szCs w:val="20"/>
        </w:rPr>
      </w:pPr>
    </w:p>
    <w:p w:rsidR="00D57CF2" w:rsidP="00D57CF2" w:rsidRDefault="00D57CF2" w14:paraId="6EDD5C83" w14:textId="77777777">
      <w:pPr>
        <w:rPr>
          <w:vanish/>
          <w:sz w:val="20"/>
          <w:szCs w:val="20"/>
        </w:rPr>
      </w:pPr>
    </w:p>
    <w:p w:rsidR="00D57CF2" w:rsidP="00D57CF2" w:rsidRDefault="00D57CF2" w14:paraId="3D32F49E" w14:textId="77777777">
      <w:pPr>
        <w:rPr>
          <w:vanish/>
          <w:sz w:val="20"/>
          <w:szCs w:val="20"/>
        </w:rPr>
      </w:pPr>
    </w:p>
    <w:p w:rsidR="00D57CF2" w:rsidP="00D57CF2" w:rsidRDefault="00D57CF2" w14:paraId="051C453E" w14:textId="77777777">
      <w:pPr>
        <w:rPr>
          <w:vanish/>
          <w:sz w:val="20"/>
          <w:szCs w:val="20"/>
        </w:rPr>
      </w:pPr>
    </w:p>
    <w:p w:rsidR="00702916" w:rsidRDefault="00702916" w14:paraId="28991871" w14:textId="77777777"/>
    <w:sectPr w:rsidR="00702916" w:rsidSect="00EC523C">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764E" w14:textId="77777777" w:rsidR="00446ECB" w:rsidRDefault="00446ECB">
      <w:r>
        <w:separator/>
      </w:r>
    </w:p>
  </w:endnote>
  <w:endnote w:type="continuationSeparator" w:id="0">
    <w:p w14:paraId="36C70B59" w14:textId="77777777" w:rsidR="00446ECB" w:rsidRDefault="0044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F50C" w14:textId="77777777" w:rsidR="00446ECB" w:rsidRDefault="00446ECB">
      <w:r>
        <w:separator/>
      </w:r>
    </w:p>
  </w:footnote>
  <w:footnote w:type="continuationSeparator" w:id="0">
    <w:p w14:paraId="63EA8AD7" w14:textId="77777777" w:rsidR="00446ECB" w:rsidRDefault="00446ECB">
      <w:r>
        <w:continuationSeparator/>
      </w:r>
    </w:p>
  </w:footnote>
  <w:footnote w:id="1">
    <w:p w14:paraId="34C2C788" w14:textId="31B65137" w:rsidR="00B3388A" w:rsidRDefault="00B3388A">
      <w:pPr>
        <w:pStyle w:val="FootnoteText"/>
      </w:pPr>
      <w:r w:rsidRPr="00C1548B">
        <w:rPr>
          <w:rStyle w:val="FootnoteReference"/>
          <w:rFonts w:ascii="Times New Roman" w:hAnsi="Times New Roman"/>
        </w:rPr>
        <w:footnoteRef/>
      </w:r>
      <w:r w:rsidRPr="00C1548B">
        <w:rPr>
          <w:rFonts w:ascii="Times New Roman" w:hAnsi="Times New Roman"/>
        </w:rPr>
        <w:t xml:space="preserve"> The</w:t>
      </w:r>
      <w:r w:rsidRPr="00F8698C">
        <w:rPr>
          <w:rFonts w:ascii="Times New Roman" w:hAnsi="Times New Roman"/>
        </w:rPr>
        <w:t xml:space="preserve"> assumptions </w:t>
      </w:r>
      <w:r>
        <w:rPr>
          <w:rFonts w:ascii="Times New Roman" w:hAnsi="Times New Roman"/>
        </w:rPr>
        <w:t xml:space="preserve">for the manifest estimates </w:t>
      </w:r>
      <w:r w:rsidRPr="00F8698C">
        <w:rPr>
          <w:rFonts w:ascii="Times New Roman" w:hAnsi="Times New Roman"/>
        </w:rPr>
        <w:t>are based on the economics background document developed for the final rule: “Regulatory Impact Analysis for EPA’s Final Regulations for the Management of Hazardous Waste Pharmaceuticals.”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58F" w14:textId="77777777" w:rsidR="00B3388A" w:rsidRDefault="00B3388A" w:rsidP="006C0E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EEB4C" w14:textId="77777777" w:rsidR="00B3388A" w:rsidRDefault="00B3388A" w:rsidP="00D57C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914F" w14:textId="3BD78008" w:rsidR="00B3388A" w:rsidRDefault="00B3388A" w:rsidP="00D57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68C">
      <w:rPr>
        <w:rStyle w:val="PageNumber"/>
        <w:noProof/>
      </w:rPr>
      <w:t>16</w:t>
    </w:r>
    <w:r>
      <w:rPr>
        <w:rStyle w:val="PageNumber"/>
      </w:rPr>
      <w:fldChar w:fldCharType="end"/>
    </w:r>
  </w:p>
  <w:p w14:paraId="359142CB" w14:textId="77777777" w:rsidR="00B3388A" w:rsidRDefault="00B3388A" w:rsidP="007B61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BE1"/>
    <w:multiLevelType w:val="hybridMultilevel"/>
    <w:tmpl w:val="BA10AE28"/>
    <w:lvl w:ilvl="0" w:tplc="21A4EA80">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73881"/>
    <w:multiLevelType w:val="hybridMultilevel"/>
    <w:tmpl w:val="6200F81C"/>
    <w:lvl w:ilvl="0" w:tplc="7D0CCA78">
      <w:start w:val="1"/>
      <w:numFmt w:val="decimal"/>
      <w:lvlText w:val="(%1)"/>
      <w:lvlJc w:val="left"/>
      <w:pPr>
        <w:ind w:left="630" w:hanging="360"/>
      </w:pPr>
      <w:rPr>
        <w:rFonts w:hint="default"/>
      </w:rPr>
    </w:lvl>
    <w:lvl w:ilvl="1" w:tplc="290C13E6">
      <w:start w:val="1"/>
      <w:numFmt w:val="lowerRoman"/>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5546181"/>
    <w:multiLevelType w:val="hybridMultilevel"/>
    <w:tmpl w:val="69DCB6C6"/>
    <w:lvl w:ilvl="0" w:tplc="261C4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2392B"/>
    <w:multiLevelType w:val="hybridMultilevel"/>
    <w:tmpl w:val="14A68E2C"/>
    <w:lvl w:ilvl="0" w:tplc="8214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85377"/>
    <w:multiLevelType w:val="hybridMultilevel"/>
    <w:tmpl w:val="7BA6FFFC"/>
    <w:lvl w:ilvl="0" w:tplc="BB82E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82031"/>
    <w:multiLevelType w:val="hybridMultilevel"/>
    <w:tmpl w:val="7A10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F398A"/>
    <w:multiLevelType w:val="hybridMultilevel"/>
    <w:tmpl w:val="69DC7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870F39"/>
    <w:multiLevelType w:val="hybridMultilevel"/>
    <w:tmpl w:val="3BE298B0"/>
    <w:lvl w:ilvl="0" w:tplc="21287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B565B0"/>
    <w:multiLevelType w:val="hybridMultilevel"/>
    <w:tmpl w:val="4CDADDF0"/>
    <w:lvl w:ilvl="0" w:tplc="66CAC7D8">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20E6D"/>
    <w:multiLevelType w:val="hybridMultilevel"/>
    <w:tmpl w:val="41C8E0B0"/>
    <w:lvl w:ilvl="0" w:tplc="0C1A88A2">
      <w:start w:val="1"/>
      <w:numFmt w:val="decimal"/>
      <w:lvlText w:val="(%1)"/>
      <w:lvlJc w:val="left"/>
      <w:pPr>
        <w:ind w:left="360" w:hanging="360"/>
      </w:pPr>
      <w:rPr>
        <w:rFonts w:hint="default"/>
      </w:rPr>
    </w:lvl>
    <w:lvl w:ilvl="1" w:tplc="F5EE2FB2">
      <w:start w:val="2"/>
      <w:numFmt w:val="decimal"/>
      <w:lvlText w:val="(%2)"/>
      <w:lvlJc w:val="left"/>
      <w:pPr>
        <w:ind w:left="1080" w:hanging="360"/>
      </w:pPr>
      <w:rPr>
        <w:rFonts w:hint="default"/>
      </w:rPr>
    </w:lvl>
    <w:lvl w:ilvl="2" w:tplc="DF58D64C">
      <w:start w:val="1"/>
      <w:numFmt w:val="lowerRoman"/>
      <w:lvlText w:val="(%3)"/>
      <w:lvlJc w:val="left"/>
      <w:pPr>
        <w:ind w:left="2340" w:hanging="7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E16F0"/>
    <w:multiLevelType w:val="hybridMultilevel"/>
    <w:tmpl w:val="30C66BD0"/>
    <w:lvl w:ilvl="0" w:tplc="D160E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54111"/>
    <w:multiLevelType w:val="hybridMultilevel"/>
    <w:tmpl w:val="45CCF0EA"/>
    <w:lvl w:ilvl="0" w:tplc="DE0E5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77591"/>
    <w:multiLevelType w:val="hybridMultilevel"/>
    <w:tmpl w:val="561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560FD"/>
    <w:multiLevelType w:val="hybridMultilevel"/>
    <w:tmpl w:val="D0F61EC6"/>
    <w:lvl w:ilvl="0" w:tplc="88D8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F5F23"/>
    <w:multiLevelType w:val="hybridMultilevel"/>
    <w:tmpl w:val="3ABA7806"/>
    <w:lvl w:ilvl="0" w:tplc="70AE39F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167E7"/>
    <w:multiLevelType w:val="hybridMultilevel"/>
    <w:tmpl w:val="C784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A7B64"/>
    <w:multiLevelType w:val="hybridMultilevel"/>
    <w:tmpl w:val="8188D8C4"/>
    <w:lvl w:ilvl="0" w:tplc="85C8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16915"/>
    <w:multiLevelType w:val="hybridMultilevel"/>
    <w:tmpl w:val="DDEE9B08"/>
    <w:lvl w:ilvl="0" w:tplc="EBB8B5AA">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25"/>
  </w:num>
  <w:num w:numId="3">
    <w:abstractNumId w:val="29"/>
  </w:num>
  <w:num w:numId="4">
    <w:abstractNumId w:val="16"/>
  </w:num>
  <w:num w:numId="5">
    <w:abstractNumId w:val="18"/>
  </w:num>
  <w:num w:numId="6">
    <w:abstractNumId w:val="1"/>
  </w:num>
  <w:num w:numId="7">
    <w:abstractNumId w:val="28"/>
  </w:num>
  <w:num w:numId="8">
    <w:abstractNumId w:val="10"/>
  </w:num>
  <w:num w:numId="9">
    <w:abstractNumId w:val="7"/>
  </w:num>
  <w:num w:numId="10">
    <w:abstractNumId w:val="8"/>
  </w:num>
  <w:num w:numId="11">
    <w:abstractNumId w:val="2"/>
  </w:num>
  <w:num w:numId="12">
    <w:abstractNumId w:val="24"/>
  </w:num>
  <w:num w:numId="13">
    <w:abstractNumId w:val="9"/>
  </w:num>
  <w:num w:numId="14">
    <w:abstractNumId w:val="11"/>
  </w:num>
  <w:num w:numId="15">
    <w:abstractNumId w:val="21"/>
  </w:num>
  <w:num w:numId="16">
    <w:abstractNumId w:val="15"/>
  </w:num>
  <w:num w:numId="17">
    <w:abstractNumId w:val="13"/>
  </w:num>
  <w:num w:numId="18">
    <w:abstractNumId w:val="6"/>
  </w:num>
  <w:num w:numId="19">
    <w:abstractNumId w:val="26"/>
  </w:num>
  <w:num w:numId="20">
    <w:abstractNumId w:val="19"/>
  </w:num>
  <w:num w:numId="21">
    <w:abstractNumId w:val="14"/>
  </w:num>
  <w:num w:numId="22">
    <w:abstractNumId w:val="0"/>
  </w:num>
  <w:num w:numId="23">
    <w:abstractNumId w:val="27"/>
  </w:num>
  <w:num w:numId="24">
    <w:abstractNumId w:val="3"/>
  </w:num>
  <w:num w:numId="25">
    <w:abstractNumId w:val="23"/>
  </w:num>
  <w:num w:numId="26">
    <w:abstractNumId w:val="5"/>
  </w:num>
  <w:num w:numId="27">
    <w:abstractNumId w:val="4"/>
  </w:num>
  <w:num w:numId="28">
    <w:abstractNumId w:val="22"/>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41A"/>
    <w:rsid w:val="000020AE"/>
    <w:rsid w:val="0000685D"/>
    <w:rsid w:val="00010BE3"/>
    <w:rsid w:val="00012407"/>
    <w:rsid w:val="00014242"/>
    <w:rsid w:val="00014D13"/>
    <w:rsid w:val="00016DAB"/>
    <w:rsid w:val="00020265"/>
    <w:rsid w:val="00020B69"/>
    <w:rsid w:val="00021518"/>
    <w:rsid w:val="00027510"/>
    <w:rsid w:val="00032094"/>
    <w:rsid w:val="00032860"/>
    <w:rsid w:val="0005080C"/>
    <w:rsid w:val="0005413A"/>
    <w:rsid w:val="0006075E"/>
    <w:rsid w:val="00060F44"/>
    <w:rsid w:val="0006326C"/>
    <w:rsid w:val="000651B0"/>
    <w:rsid w:val="00066072"/>
    <w:rsid w:val="00076822"/>
    <w:rsid w:val="00086C4E"/>
    <w:rsid w:val="00090EA2"/>
    <w:rsid w:val="00092790"/>
    <w:rsid w:val="00093A2D"/>
    <w:rsid w:val="000A194C"/>
    <w:rsid w:val="000A3E6C"/>
    <w:rsid w:val="000A6FDF"/>
    <w:rsid w:val="000A74EF"/>
    <w:rsid w:val="000B1E77"/>
    <w:rsid w:val="000B6590"/>
    <w:rsid w:val="000C0E3B"/>
    <w:rsid w:val="000C0F34"/>
    <w:rsid w:val="000C1AA3"/>
    <w:rsid w:val="000C2F06"/>
    <w:rsid w:val="000D0AE2"/>
    <w:rsid w:val="000D3D0F"/>
    <w:rsid w:val="000E041B"/>
    <w:rsid w:val="000E0585"/>
    <w:rsid w:val="000E30F6"/>
    <w:rsid w:val="000E5800"/>
    <w:rsid w:val="000E76B2"/>
    <w:rsid w:val="000F07DD"/>
    <w:rsid w:val="000F28AA"/>
    <w:rsid w:val="000F41BF"/>
    <w:rsid w:val="000F4CBA"/>
    <w:rsid w:val="000F545A"/>
    <w:rsid w:val="000F7445"/>
    <w:rsid w:val="001008C4"/>
    <w:rsid w:val="00100D7E"/>
    <w:rsid w:val="00106B0B"/>
    <w:rsid w:val="00107DE9"/>
    <w:rsid w:val="001102DA"/>
    <w:rsid w:val="0011089B"/>
    <w:rsid w:val="001148EC"/>
    <w:rsid w:val="00115AF9"/>
    <w:rsid w:val="00126EE2"/>
    <w:rsid w:val="00127C79"/>
    <w:rsid w:val="001316B3"/>
    <w:rsid w:val="00131F5C"/>
    <w:rsid w:val="00132081"/>
    <w:rsid w:val="00135256"/>
    <w:rsid w:val="0013712A"/>
    <w:rsid w:val="00137DD1"/>
    <w:rsid w:val="0015422E"/>
    <w:rsid w:val="0015623F"/>
    <w:rsid w:val="00156C04"/>
    <w:rsid w:val="0016041B"/>
    <w:rsid w:val="001610B4"/>
    <w:rsid w:val="00166580"/>
    <w:rsid w:val="00166689"/>
    <w:rsid w:val="001669F2"/>
    <w:rsid w:val="001739C6"/>
    <w:rsid w:val="00175DC7"/>
    <w:rsid w:val="00180BC8"/>
    <w:rsid w:val="001812E1"/>
    <w:rsid w:val="00182780"/>
    <w:rsid w:val="0019371F"/>
    <w:rsid w:val="00195B42"/>
    <w:rsid w:val="00195FC7"/>
    <w:rsid w:val="00196840"/>
    <w:rsid w:val="001A4A83"/>
    <w:rsid w:val="001A6C71"/>
    <w:rsid w:val="001B1D34"/>
    <w:rsid w:val="001B6392"/>
    <w:rsid w:val="001B714B"/>
    <w:rsid w:val="001C15EB"/>
    <w:rsid w:val="001C4982"/>
    <w:rsid w:val="001C7D5C"/>
    <w:rsid w:val="001D27FC"/>
    <w:rsid w:val="001D4B0A"/>
    <w:rsid w:val="001D4C75"/>
    <w:rsid w:val="001D5DAB"/>
    <w:rsid w:val="001D742B"/>
    <w:rsid w:val="001E1E5E"/>
    <w:rsid w:val="001E5A12"/>
    <w:rsid w:val="001E6700"/>
    <w:rsid w:val="001F0E45"/>
    <w:rsid w:val="001F0E97"/>
    <w:rsid w:val="001F1D99"/>
    <w:rsid w:val="001F5772"/>
    <w:rsid w:val="0020121F"/>
    <w:rsid w:val="00203224"/>
    <w:rsid w:val="00205289"/>
    <w:rsid w:val="002078B4"/>
    <w:rsid w:val="00215C40"/>
    <w:rsid w:val="00220B2B"/>
    <w:rsid w:val="00223BF5"/>
    <w:rsid w:val="002327F3"/>
    <w:rsid w:val="002345A4"/>
    <w:rsid w:val="00234D63"/>
    <w:rsid w:val="002417AE"/>
    <w:rsid w:val="00243146"/>
    <w:rsid w:val="00250C8B"/>
    <w:rsid w:val="00264505"/>
    <w:rsid w:val="00270340"/>
    <w:rsid w:val="00271355"/>
    <w:rsid w:val="00273643"/>
    <w:rsid w:val="002737AC"/>
    <w:rsid w:val="00273D08"/>
    <w:rsid w:val="00274C11"/>
    <w:rsid w:val="0027756A"/>
    <w:rsid w:val="00290200"/>
    <w:rsid w:val="00290BA3"/>
    <w:rsid w:val="00294DAF"/>
    <w:rsid w:val="002A4EF2"/>
    <w:rsid w:val="002A588F"/>
    <w:rsid w:val="002A597E"/>
    <w:rsid w:val="002A69DE"/>
    <w:rsid w:val="002B0B9F"/>
    <w:rsid w:val="002B15AC"/>
    <w:rsid w:val="002C1CB7"/>
    <w:rsid w:val="002C286C"/>
    <w:rsid w:val="002D1F9F"/>
    <w:rsid w:val="002D47B7"/>
    <w:rsid w:val="002E2573"/>
    <w:rsid w:val="002E2EC5"/>
    <w:rsid w:val="002E42D3"/>
    <w:rsid w:val="002F18B7"/>
    <w:rsid w:val="002F3083"/>
    <w:rsid w:val="002F412F"/>
    <w:rsid w:val="002F7926"/>
    <w:rsid w:val="0030199B"/>
    <w:rsid w:val="0030433B"/>
    <w:rsid w:val="003043E8"/>
    <w:rsid w:val="00311557"/>
    <w:rsid w:val="00313D16"/>
    <w:rsid w:val="00315082"/>
    <w:rsid w:val="00315ED1"/>
    <w:rsid w:val="003241E6"/>
    <w:rsid w:val="00324387"/>
    <w:rsid w:val="00330371"/>
    <w:rsid w:val="00332BF4"/>
    <w:rsid w:val="00332F1F"/>
    <w:rsid w:val="003433F9"/>
    <w:rsid w:val="00343B2A"/>
    <w:rsid w:val="003461F7"/>
    <w:rsid w:val="0035083A"/>
    <w:rsid w:val="00352003"/>
    <w:rsid w:val="003543AA"/>
    <w:rsid w:val="00356549"/>
    <w:rsid w:val="0036148E"/>
    <w:rsid w:val="003620EC"/>
    <w:rsid w:val="003621D0"/>
    <w:rsid w:val="003636C7"/>
    <w:rsid w:val="00363A50"/>
    <w:rsid w:val="00364231"/>
    <w:rsid w:val="0036663C"/>
    <w:rsid w:val="00372333"/>
    <w:rsid w:val="0037296A"/>
    <w:rsid w:val="00374A79"/>
    <w:rsid w:val="003809C0"/>
    <w:rsid w:val="00380C7D"/>
    <w:rsid w:val="00383E2F"/>
    <w:rsid w:val="003853A3"/>
    <w:rsid w:val="00387D26"/>
    <w:rsid w:val="00390F56"/>
    <w:rsid w:val="003A05CC"/>
    <w:rsid w:val="003A4262"/>
    <w:rsid w:val="003A6641"/>
    <w:rsid w:val="003B17CD"/>
    <w:rsid w:val="003B39DE"/>
    <w:rsid w:val="003B6760"/>
    <w:rsid w:val="003C43A2"/>
    <w:rsid w:val="003D01FB"/>
    <w:rsid w:val="003D4934"/>
    <w:rsid w:val="003D62C0"/>
    <w:rsid w:val="003E58C1"/>
    <w:rsid w:val="003F482D"/>
    <w:rsid w:val="004066CD"/>
    <w:rsid w:val="004066EC"/>
    <w:rsid w:val="00406927"/>
    <w:rsid w:val="00424D13"/>
    <w:rsid w:val="0042666A"/>
    <w:rsid w:val="00426827"/>
    <w:rsid w:val="0044616A"/>
    <w:rsid w:val="00446ECB"/>
    <w:rsid w:val="00447AE0"/>
    <w:rsid w:val="00457AB4"/>
    <w:rsid w:val="00462D9E"/>
    <w:rsid w:val="00463669"/>
    <w:rsid w:val="00475B81"/>
    <w:rsid w:val="00481D79"/>
    <w:rsid w:val="004832C6"/>
    <w:rsid w:val="00483394"/>
    <w:rsid w:val="00483FC6"/>
    <w:rsid w:val="00485DFE"/>
    <w:rsid w:val="00487C6E"/>
    <w:rsid w:val="0049120A"/>
    <w:rsid w:val="004A48F0"/>
    <w:rsid w:val="004A61F5"/>
    <w:rsid w:val="004B42CA"/>
    <w:rsid w:val="004B4B43"/>
    <w:rsid w:val="004B6C09"/>
    <w:rsid w:val="004C014C"/>
    <w:rsid w:val="004C10E5"/>
    <w:rsid w:val="004C1673"/>
    <w:rsid w:val="004C1C9F"/>
    <w:rsid w:val="004C3BA4"/>
    <w:rsid w:val="004C3E0F"/>
    <w:rsid w:val="004C423E"/>
    <w:rsid w:val="004C665F"/>
    <w:rsid w:val="004C6FE0"/>
    <w:rsid w:val="004D0F84"/>
    <w:rsid w:val="004E0FD3"/>
    <w:rsid w:val="004E49AB"/>
    <w:rsid w:val="004F20EA"/>
    <w:rsid w:val="00501889"/>
    <w:rsid w:val="00502304"/>
    <w:rsid w:val="0051502C"/>
    <w:rsid w:val="00525D0B"/>
    <w:rsid w:val="005268DD"/>
    <w:rsid w:val="00530DB3"/>
    <w:rsid w:val="00530FCA"/>
    <w:rsid w:val="00531969"/>
    <w:rsid w:val="00532978"/>
    <w:rsid w:val="00535D66"/>
    <w:rsid w:val="00537ACA"/>
    <w:rsid w:val="00537BF3"/>
    <w:rsid w:val="0054009A"/>
    <w:rsid w:val="00544C5C"/>
    <w:rsid w:val="00570B7F"/>
    <w:rsid w:val="005737DF"/>
    <w:rsid w:val="00580984"/>
    <w:rsid w:val="0058099D"/>
    <w:rsid w:val="00581A68"/>
    <w:rsid w:val="00591717"/>
    <w:rsid w:val="00591EA4"/>
    <w:rsid w:val="00597302"/>
    <w:rsid w:val="005A469A"/>
    <w:rsid w:val="005B1D0B"/>
    <w:rsid w:val="005B3DC8"/>
    <w:rsid w:val="005C286F"/>
    <w:rsid w:val="005D1D7F"/>
    <w:rsid w:val="005D3779"/>
    <w:rsid w:val="005D44A1"/>
    <w:rsid w:val="005D57B5"/>
    <w:rsid w:val="005D6A1E"/>
    <w:rsid w:val="005D6FF2"/>
    <w:rsid w:val="005E7883"/>
    <w:rsid w:val="005F63EC"/>
    <w:rsid w:val="005F6A5F"/>
    <w:rsid w:val="005F74DD"/>
    <w:rsid w:val="00600832"/>
    <w:rsid w:val="006013F6"/>
    <w:rsid w:val="00604702"/>
    <w:rsid w:val="0061106D"/>
    <w:rsid w:val="0061185E"/>
    <w:rsid w:val="0061509B"/>
    <w:rsid w:val="00620923"/>
    <w:rsid w:val="0062561F"/>
    <w:rsid w:val="00627182"/>
    <w:rsid w:val="00632A0D"/>
    <w:rsid w:val="006337A3"/>
    <w:rsid w:val="00635127"/>
    <w:rsid w:val="00655E7B"/>
    <w:rsid w:val="00656E0B"/>
    <w:rsid w:val="006576F9"/>
    <w:rsid w:val="00657767"/>
    <w:rsid w:val="00661C0C"/>
    <w:rsid w:val="006622D9"/>
    <w:rsid w:val="00662725"/>
    <w:rsid w:val="0066516F"/>
    <w:rsid w:val="0067057B"/>
    <w:rsid w:val="00674E8E"/>
    <w:rsid w:val="0068117B"/>
    <w:rsid w:val="00683B0A"/>
    <w:rsid w:val="00684F33"/>
    <w:rsid w:val="006923E9"/>
    <w:rsid w:val="00693370"/>
    <w:rsid w:val="006948D3"/>
    <w:rsid w:val="006953FD"/>
    <w:rsid w:val="00696281"/>
    <w:rsid w:val="00696753"/>
    <w:rsid w:val="00696E4F"/>
    <w:rsid w:val="006A115C"/>
    <w:rsid w:val="006A334A"/>
    <w:rsid w:val="006A5A5B"/>
    <w:rsid w:val="006A6045"/>
    <w:rsid w:val="006A6E24"/>
    <w:rsid w:val="006A716F"/>
    <w:rsid w:val="006B4A87"/>
    <w:rsid w:val="006B5165"/>
    <w:rsid w:val="006B5274"/>
    <w:rsid w:val="006C061A"/>
    <w:rsid w:val="006C0E92"/>
    <w:rsid w:val="006C1AF5"/>
    <w:rsid w:val="006C1E7C"/>
    <w:rsid w:val="006C5745"/>
    <w:rsid w:val="006D2127"/>
    <w:rsid w:val="006D2A46"/>
    <w:rsid w:val="006E3CCE"/>
    <w:rsid w:val="006F45FD"/>
    <w:rsid w:val="006F52F9"/>
    <w:rsid w:val="006F53F8"/>
    <w:rsid w:val="006F695E"/>
    <w:rsid w:val="00701C61"/>
    <w:rsid w:val="0070240F"/>
    <w:rsid w:val="00702916"/>
    <w:rsid w:val="0071442E"/>
    <w:rsid w:val="007216A8"/>
    <w:rsid w:val="007267B9"/>
    <w:rsid w:val="00727302"/>
    <w:rsid w:val="00747A62"/>
    <w:rsid w:val="0075081E"/>
    <w:rsid w:val="00756440"/>
    <w:rsid w:val="00761D60"/>
    <w:rsid w:val="00762348"/>
    <w:rsid w:val="00766052"/>
    <w:rsid w:val="0076607B"/>
    <w:rsid w:val="00767FE4"/>
    <w:rsid w:val="0077350B"/>
    <w:rsid w:val="00773F6C"/>
    <w:rsid w:val="007804F6"/>
    <w:rsid w:val="0078348E"/>
    <w:rsid w:val="007959CD"/>
    <w:rsid w:val="00796A45"/>
    <w:rsid w:val="007A05A7"/>
    <w:rsid w:val="007A3531"/>
    <w:rsid w:val="007A35B2"/>
    <w:rsid w:val="007A47B7"/>
    <w:rsid w:val="007A6CBB"/>
    <w:rsid w:val="007B08FF"/>
    <w:rsid w:val="007B0A27"/>
    <w:rsid w:val="007B3075"/>
    <w:rsid w:val="007B38DA"/>
    <w:rsid w:val="007B61E5"/>
    <w:rsid w:val="007C40B1"/>
    <w:rsid w:val="007C55E0"/>
    <w:rsid w:val="007C5A85"/>
    <w:rsid w:val="007D328C"/>
    <w:rsid w:val="007D4855"/>
    <w:rsid w:val="007D60E7"/>
    <w:rsid w:val="007D6B8B"/>
    <w:rsid w:val="007E141A"/>
    <w:rsid w:val="007E4EFA"/>
    <w:rsid w:val="007E5011"/>
    <w:rsid w:val="007E6220"/>
    <w:rsid w:val="007E6AF5"/>
    <w:rsid w:val="007F30D9"/>
    <w:rsid w:val="007F4FC3"/>
    <w:rsid w:val="007F5361"/>
    <w:rsid w:val="007F5803"/>
    <w:rsid w:val="007F6D84"/>
    <w:rsid w:val="008000CC"/>
    <w:rsid w:val="00806372"/>
    <w:rsid w:val="00812805"/>
    <w:rsid w:val="00812BD3"/>
    <w:rsid w:val="00820154"/>
    <w:rsid w:val="00820CB5"/>
    <w:rsid w:val="0082318E"/>
    <w:rsid w:val="008261CD"/>
    <w:rsid w:val="00832804"/>
    <w:rsid w:val="0083526F"/>
    <w:rsid w:val="008357AF"/>
    <w:rsid w:val="00841A43"/>
    <w:rsid w:val="00846784"/>
    <w:rsid w:val="00847628"/>
    <w:rsid w:val="008477F6"/>
    <w:rsid w:val="0085004B"/>
    <w:rsid w:val="00851966"/>
    <w:rsid w:val="0085597A"/>
    <w:rsid w:val="008564C8"/>
    <w:rsid w:val="008565E1"/>
    <w:rsid w:val="00856BB9"/>
    <w:rsid w:val="00863282"/>
    <w:rsid w:val="0086703F"/>
    <w:rsid w:val="00867113"/>
    <w:rsid w:val="00880FAF"/>
    <w:rsid w:val="008842B9"/>
    <w:rsid w:val="00891B84"/>
    <w:rsid w:val="008A3AD2"/>
    <w:rsid w:val="008B2AD2"/>
    <w:rsid w:val="008B37A2"/>
    <w:rsid w:val="008B4E1C"/>
    <w:rsid w:val="008C1028"/>
    <w:rsid w:val="008C1E2F"/>
    <w:rsid w:val="008C310D"/>
    <w:rsid w:val="008C4F7B"/>
    <w:rsid w:val="008D1887"/>
    <w:rsid w:val="008D2243"/>
    <w:rsid w:val="008D25A3"/>
    <w:rsid w:val="008E31A6"/>
    <w:rsid w:val="008F03B5"/>
    <w:rsid w:val="008F0BF0"/>
    <w:rsid w:val="008F1810"/>
    <w:rsid w:val="008F5273"/>
    <w:rsid w:val="008F5A3A"/>
    <w:rsid w:val="008F68E0"/>
    <w:rsid w:val="00901902"/>
    <w:rsid w:val="009032DE"/>
    <w:rsid w:val="00904537"/>
    <w:rsid w:val="00913962"/>
    <w:rsid w:val="00913981"/>
    <w:rsid w:val="00913EA6"/>
    <w:rsid w:val="00925BA7"/>
    <w:rsid w:val="009326C1"/>
    <w:rsid w:val="00933E0D"/>
    <w:rsid w:val="009446B0"/>
    <w:rsid w:val="00950624"/>
    <w:rsid w:val="009507EE"/>
    <w:rsid w:val="00951615"/>
    <w:rsid w:val="00955B09"/>
    <w:rsid w:val="00955D47"/>
    <w:rsid w:val="00957BCA"/>
    <w:rsid w:val="00962101"/>
    <w:rsid w:val="00973002"/>
    <w:rsid w:val="00974995"/>
    <w:rsid w:val="00975E59"/>
    <w:rsid w:val="00976E1E"/>
    <w:rsid w:val="009775D5"/>
    <w:rsid w:val="00980C69"/>
    <w:rsid w:val="009A120C"/>
    <w:rsid w:val="009A509C"/>
    <w:rsid w:val="009A5717"/>
    <w:rsid w:val="009A618B"/>
    <w:rsid w:val="009B6A52"/>
    <w:rsid w:val="009C0C57"/>
    <w:rsid w:val="009C5D91"/>
    <w:rsid w:val="009C7327"/>
    <w:rsid w:val="009E136A"/>
    <w:rsid w:val="009E494D"/>
    <w:rsid w:val="009E6A85"/>
    <w:rsid w:val="009F1650"/>
    <w:rsid w:val="009F3C17"/>
    <w:rsid w:val="009F56C1"/>
    <w:rsid w:val="00A0043E"/>
    <w:rsid w:val="00A047FC"/>
    <w:rsid w:val="00A05581"/>
    <w:rsid w:val="00A07BB1"/>
    <w:rsid w:val="00A1011A"/>
    <w:rsid w:val="00A11284"/>
    <w:rsid w:val="00A14703"/>
    <w:rsid w:val="00A14CCA"/>
    <w:rsid w:val="00A25A2A"/>
    <w:rsid w:val="00A32BC3"/>
    <w:rsid w:val="00A369C0"/>
    <w:rsid w:val="00A36A0C"/>
    <w:rsid w:val="00A47CAE"/>
    <w:rsid w:val="00A534BA"/>
    <w:rsid w:val="00A56B9E"/>
    <w:rsid w:val="00A57233"/>
    <w:rsid w:val="00A7427B"/>
    <w:rsid w:val="00A752FE"/>
    <w:rsid w:val="00A76577"/>
    <w:rsid w:val="00A77F9E"/>
    <w:rsid w:val="00A80300"/>
    <w:rsid w:val="00A83139"/>
    <w:rsid w:val="00A87C5E"/>
    <w:rsid w:val="00A92446"/>
    <w:rsid w:val="00A92C8A"/>
    <w:rsid w:val="00A93097"/>
    <w:rsid w:val="00A94549"/>
    <w:rsid w:val="00AA3DE0"/>
    <w:rsid w:val="00AA4820"/>
    <w:rsid w:val="00AB0764"/>
    <w:rsid w:val="00AB3264"/>
    <w:rsid w:val="00AC5382"/>
    <w:rsid w:val="00AC683B"/>
    <w:rsid w:val="00AD567F"/>
    <w:rsid w:val="00AD621B"/>
    <w:rsid w:val="00AD7909"/>
    <w:rsid w:val="00AE0E6B"/>
    <w:rsid w:val="00AE7507"/>
    <w:rsid w:val="00AF1613"/>
    <w:rsid w:val="00AF168C"/>
    <w:rsid w:val="00AF2136"/>
    <w:rsid w:val="00AF509C"/>
    <w:rsid w:val="00B021E0"/>
    <w:rsid w:val="00B038B7"/>
    <w:rsid w:val="00B0696F"/>
    <w:rsid w:val="00B105D2"/>
    <w:rsid w:val="00B13216"/>
    <w:rsid w:val="00B14764"/>
    <w:rsid w:val="00B20E9A"/>
    <w:rsid w:val="00B246B7"/>
    <w:rsid w:val="00B248F9"/>
    <w:rsid w:val="00B24D95"/>
    <w:rsid w:val="00B2636C"/>
    <w:rsid w:val="00B30986"/>
    <w:rsid w:val="00B3388A"/>
    <w:rsid w:val="00B34007"/>
    <w:rsid w:val="00B44622"/>
    <w:rsid w:val="00B54B44"/>
    <w:rsid w:val="00B63EEA"/>
    <w:rsid w:val="00B65754"/>
    <w:rsid w:val="00B6701B"/>
    <w:rsid w:val="00B70297"/>
    <w:rsid w:val="00B82C36"/>
    <w:rsid w:val="00B835F9"/>
    <w:rsid w:val="00B861EC"/>
    <w:rsid w:val="00B958C1"/>
    <w:rsid w:val="00B96EBD"/>
    <w:rsid w:val="00B96F43"/>
    <w:rsid w:val="00BA0935"/>
    <w:rsid w:val="00BB0397"/>
    <w:rsid w:val="00BB5956"/>
    <w:rsid w:val="00BB6CA6"/>
    <w:rsid w:val="00BC0EAB"/>
    <w:rsid w:val="00BC28A1"/>
    <w:rsid w:val="00BC2D94"/>
    <w:rsid w:val="00BC2F68"/>
    <w:rsid w:val="00BC3E98"/>
    <w:rsid w:val="00BC5A08"/>
    <w:rsid w:val="00BC6DD6"/>
    <w:rsid w:val="00BD5B12"/>
    <w:rsid w:val="00BD5EEA"/>
    <w:rsid w:val="00BF1FD6"/>
    <w:rsid w:val="00BF33D3"/>
    <w:rsid w:val="00BF46B6"/>
    <w:rsid w:val="00BF6794"/>
    <w:rsid w:val="00BF690B"/>
    <w:rsid w:val="00C011CA"/>
    <w:rsid w:val="00C05D4F"/>
    <w:rsid w:val="00C1496A"/>
    <w:rsid w:val="00C1548B"/>
    <w:rsid w:val="00C15E39"/>
    <w:rsid w:val="00C36035"/>
    <w:rsid w:val="00C4124A"/>
    <w:rsid w:val="00C41E84"/>
    <w:rsid w:val="00C457FA"/>
    <w:rsid w:val="00C477A8"/>
    <w:rsid w:val="00C50DFA"/>
    <w:rsid w:val="00C60441"/>
    <w:rsid w:val="00C62A1B"/>
    <w:rsid w:val="00C66487"/>
    <w:rsid w:val="00C7091C"/>
    <w:rsid w:val="00C743C8"/>
    <w:rsid w:val="00C768AB"/>
    <w:rsid w:val="00C77598"/>
    <w:rsid w:val="00C82EC7"/>
    <w:rsid w:val="00C93E72"/>
    <w:rsid w:val="00C94BCA"/>
    <w:rsid w:val="00CA022B"/>
    <w:rsid w:val="00CA0E7D"/>
    <w:rsid w:val="00CA1514"/>
    <w:rsid w:val="00CA511E"/>
    <w:rsid w:val="00CA67CD"/>
    <w:rsid w:val="00CA6CC4"/>
    <w:rsid w:val="00CB183F"/>
    <w:rsid w:val="00CB64CB"/>
    <w:rsid w:val="00CC0834"/>
    <w:rsid w:val="00CC1F3E"/>
    <w:rsid w:val="00CC3EAF"/>
    <w:rsid w:val="00CD078D"/>
    <w:rsid w:val="00CD2F31"/>
    <w:rsid w:val="00CD4FB2"/>
    <w:rsid w:val="00CD6F3E"/>
    <w:rsid w:val="00CE1F49"/>
    <w:rsid w:val="00CE32C4"/>
    <w:rsid w:val="00CF1EE5"/>
    <w:rsid w:val="00CF5439"/>
    <w:rsid w:val="00CF5C0F"/>
    <w:rsid w:val="00CF6151"/>
    <w:rsid w:val="00D011A8"/>
    <w:rsid w:val="00D176AC"/>
    <w:rsid w:val="00D20C7D"/>
    <w:rsid w:val="00D229A7"/>
    <w:rsid w:val="00D23B78"/>
    <w:rsid w:val="00D2400F"/>
    <w:rsid w:val="00D31534"/>
    <w:rsid w:val="00D323ED"/>
    <w:rsid w:val="00D37E0C"/>
    <w:rsid w:val="00D41380"/>
    <w:rsid w:val="00D52A70"/>
    <w:rsid w:val="00D549B9"/>
    <w:rsid w:val="00D57CF2"/>
    <w:rsid w:val="00D64077"/>
    <w:rsid w:val="00D6760F"/>
    <w:rsid w:val="00D70B32"/>
    <w:rsid w:val="00D710FF"/>
    <w:rsid w:val="00D734E3"/>
    <w:rsid w:val="00D8552B"/>
    <w:rsid w:val="00D85935"/>
    <w:rsid w:val="00D92526"/>
    <w:rsid w:val="00D92D40"/>
    <w:rsid w:val="00D96BF7"/>
    <w:rsid w:val="00DA086E"/>
    <w:rsid w:val="00DB4911"/>
    <w:rsid w:val="00DC1163"/>
    <w:rsid w:val="00DC1D0C"/>
    <w:rsid w:val="00DC5FC5"/>
    <w:rsid w:val="00DC64D8"/>
    <w:rsid w:val="00DD1ADE"/>
    <w:rsid w:val="00DE40A9"/>
    <w:rsid w:val="00DF22FC"/>
    <w:rsid w:val="00DF2953"/>
    <w:rsid w:val="00E01FF0"/>
    <w:rsid w:val="00E02E29"/>
    <w:rsid w:val="00E06060"/>
    <w:rsid w:val="00E07B6D"/>
    <w:rsid w:val="00E10545"/>
    <w:rsid w:val="00E14A43"/>
    <w:rsid w:val="00E163B1"/>
    <w:rsid w:val="00E167E3"/>
    <w:rsid w:val="00E17244"/>
    <w:rsid w:val="00E17A95"/>
    <w:rsid w:val="00E36EA2"/>
    <w:rsid w:val="00E42740"/>
    <w:rsid w:val="00E430BD"/>
    <w:rsid w:val="00E43C90"/>
    <w:rsid w:val="00E44405"/>
    <w:rsid w:val="00E44676"/>
    <w:rsid w:val="00E52F06"/>
    <w:rsid w:val="00E57650"/>
    <w:rsid w:val="00E64633"/>
    <w:rsid w:val="00E67928"/>
    <w:rsid w:val="00E830CC"/>
    <w:rsid w:val="00E84308"/>
    <w:rsid w:val="00E8705D"/>
    <w:rsid w:val="00E900CA"/>
    <w:rsid w:val="00E91F0A"/>
    <w:rsid w:val="00EA0B55"/>
    <w:rsid w:val="00EA6D50"/>
    <w:rsid w:val="00EA7A22"/>
    <w:rsid w:val="00EB6E07"/>
    <w:rsid w:val="00EC523C"/>
    <w:rsid w:val="00EC5DA5"/>
    <w:rsid w:val="00ED1B0E"/>
    <w:rsid w:val="00EF0901"/>
    <w:rsid w:val="00EF1CE1"/>
    <w:rsid w:val="00EF311A"/>
    <w:rsid w:val="00EF6387"/>
    <w:rsid w:val="00EF6F45"/>
    <w:rsid w:val="00F015AD"/>
    <w:rsid w:val="00F050D4"/>
    <w:rsid w:val="00F11146"/>
    <w:rsid w:val="00F11B84"/>
    <w:rsid w:val="00F12770"/>
    <w:rsid w:val="00F13457"/>
    <w:rsid w:val="00F15D02"/>
    <w:rsid w:val="00F26171"/>
    <w:rsid w:val="00F2734F"/>
    <w:rsid w:val="00F36A38"/>
    <w:rsid w:val="00F41648"/>
    <w:rsid w:val="00F46CFA"/>
    <w:rsid w:val="00F47A82"/>
    <w:rsid w:val="00F50F0D"/>
    <w:rsid w:val="00F51203"/>
    <w:rsid w:val="00F5290B"/>
    <w:rsid w:val="00F53DE6"/>
    <w:rsid w:val="00F612B8"/>
    <w:rsid w:val="00F7362C"/>
    <w:rsid w:val="00F7556F"/>
    <w:rsid w:val="00F829ED"/>
    <w:rsid w:val="00F863FA"/>
    <w:rsid w:val="00F8698C"/>
    <w:rsid w:val="00F877A5"/>
    <w:rsid w:val="00F9710F"/>
    <w:rsid w:val="00FA3DA1"/>
    <w:rsid w:val="00FA545C"/>
    <w:rsid w:val="00FA6B7F"/>
    <w:rsid w:val="00FB1260"/>
    <w:rsid w:val="00FB400B"/>
    <w:rsid w:val="00FB6DB3"/>
    <w:rsid w:val="00FC079F"/>
    <w:rsid w:val="00FC7EF8"/>
    <w:rsid w:val="00FD207E"/>
    <w:rsid w:val="00FD2F05"/>
    <w:rsid w:val="00FD4887"/>
    <w:rsid w:val="00FD663C"/>
    <w:rsid w:val="00FD7656"/>
    <w:rsid w:val="00FE108D"/>
    <w:rsid w:val="00FF0F50"/>
    <w:rsid w:val="00FF3AD3"/>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826E2"/>
  <w15:docId w15:val="{153796EE-6A60-40D0-B363-0987108E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41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7E141A"/>
    <w:pPr>
      <w:spacing w:after="1708"/>
    </w:pPr>
    <w:rPr>
      <w:color w:val="auto"/>
    </w:rPr>
  </w:style>
  <w:style w:type="paragraph" w:customStyle="1" w:styleId="CM1">
    <w:name w:val="CM1"/>
    <w:basedOn w:val="Default"/>
    <w:next w:val="Default"/>
    <w:rsid w:val="007E141A"/>
    <w:rPr>
      <w:color w:val="auto"/>
    </w:rPr>
  </w:style>
  <w:style w:type="paragraph" w:styleId="TOC1">
    <w:name w:val="toc 1"/>
    <w:basedOn w:val="Normal"/>
    <w:next w:val="Normal"/>
    <w:autoRedefine/>
    <w:uiPriority w:val="39"/>
    <w:rsid w:val="007E141A"/>
    <w:pPr>
      <w:widowControl w:val="0"/>
      <w:autoSpaceDE w:val="0"/>
      <w:autoSpaceDN w:val="0"/>
      <w:adjustRightInd w:val="0"/>
      <w:ind w:left="720" w:hanging="720"/>
    </w:pPr>
  </w:style>
  <w:style w:type="character" w:customStyle="1" w:styleId="Hypertext">
    <w:name w:val="Hypertext"/>
    <w:rsid w:val="007E141A"/>
    <w:rPr>
      <w:color w:val="0000FF"/>
      <w:u w:val="single"/>
    </w:rPr>
  </w:style>
  <w:style w:type="paragraph" w:styleId="TOC2">
    <w:name w:val="toc 2"/>
    <w:basedOn w:val="Normal"/>
    <w:next w:val="Normal"/>
    <w:autoRedefine/>
    <w:uiPriority w:val="39"/>
    <w:rsid w:val="007E141A"/>
    <w:pPr>
      <w:widowControl w:val="0"/>
      <w:autoSpaceDE w:val="0"/>
      <w:autoSpaceDN w:val="0"/>
      <w:adjustRightInd w:val="0"/>
      <w:ind w:left="1440" w:hanging="720"/>
    </w:pPr>
  </w:style>
  <w:style w:type="paragraph" w:customStyle="1" w:styleId="CM25">
    <w:name w:val="CM25"/>
    <w:basedOn w:val="Default"/>
    <w:next w:val="Default"/>
    <w:rsid w:val="007B61E5"/>
    <w:pPr>
      <w:spacing w:after="283"/>
    </w:pPr>
    <w:rPr>
      <w:color w:val="auto"/>
    </w:rPr>
  </w:style>
  <w:style w:type="paragraph" w:customStyle="1" w:styleId="CM30">
    <w:name w:val="CM30"/>
    <w:basedOn w:val="Default"/>
    <w:next w:val="Default"/>
    <w:rsid w:val="007B61E5"/>
    <w:pPr>
      <w:spacing w:after="488"/>
    </w:pPr>
    <w:rPr>
      <w:color w:val="auto"/>
    </w:rPr>
  </w:style>
  <w:style w:type="paragraph" w:customStyle="1" w:styleId="CM27">
    <w:name w:val="CM27"/>
    <w:basedOn w:val="Default"/>
    <w:next w:val="Default"/>
    <w:rsid w:val="007B61E5"/>
    <w:pPr>
      <w:spacing w:after="282"/>
    </w:pPr>
    <w:rPr>
      <w:color w:val="auto"/>
    </w:rPr>
  </w:style>
  <w:style w:type="paragraph" w:customStyle="1" w:styleId="CM29">
    <w:name w:val="CM29"/>
    <w:basedOn w:val="Default"/>
    <w:next w:val="Default"/>
    <w:rsid w:val="007B61E5"/>
    <w:pPr>
      <w:spacing w:after="585"/>
    </w:pPr>
    <w:rPr>
      <w:color w:val="auto"/>
    </w:rPr>
  </w:style>
  <w:style w:type="character" w:styleId="FootnoteReference">
    <w:name w:val="footnote reference"/>
    <w:uiPriority w:val="99"/>
    <w:rsid w:val="007B61E5"/>
  </w:style>
  <w:style w:type="character" w:styleId="Hyperlink">
    <w:name w:val="Hyperlink"/>
    <w:uiPriority w:val="99"/>
    <w:rsid w:val="007B61E5"/>
    <w:rPr>
      <w:color w:val="0000FF"/>
      <w:u w:val="single"/>
    </w:rPr>
  </w:style>
  <w:style w:type="paragraph" w:styleId="Header">
    <w:name w:val="header"/>
    <w:basedOn w:val="Normal"/>
    <w:rsid w:val="007B61E5"/>
    <w:pPr>
      <w:tabs>
        <w:tab w:val="center" w:pos="4320"/>
        <w:tab w:val="right" w:pos="8640"/>
      </w:tabs>
    </w:pPr>
  </w:style>
  <w:style w:type="character" w:styleId="PageNumber">
    <w:name w:val="page number"/>
    <w:basedOn w:val="DefaultParagraphFont"/>
    <w:rsid w:val="007B61E5"/>
  </w:style>
  <w:style w:type="paragraph" w:styleId="Footer">
    <w:name w:val="footer"/>
    <w:basedOn w:val="Normal"/>
    <w:rsid w:val="007B61E5"/>
    <w:pPr>
      <w:tabs>
        <w:tab w:val="center" w:pos="4320"/>
        <w:tab w:val="right" w:pos="8640"/>
      </w:tabs>
    </w:pPr>
  </w:style>
  <w:style w:type="paragraph" w:styleId="ListParagraph">
    <w:name w:val="List Paragraph"/>
    <w:basedOn w:val="Normal"/>
    <w:uiPriority w:val="34"/>
    <w:qFormat/>
    <w:rsid w:val="004D0F84"/>
    <w:pPr>
      <w:ind w:left="720"/>
    </w:pPr>
  </w:style>
  <w:style w:type="table" w:styleId="TableGrid">
    <w:name w:val="Table Grid"/>
    <w:basedOn w:val="TableNormal"/>
    <w:rsid w:val="00EF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37A2"/>
    <w:rPr>
      <w:sz w:val="24"/>
      <w:szCs w:val="22"/>
    </w:rPr>
  </w:style>
  <w:style w:type="character" w:customStyle="1" w:styleId="NoSpacingChar">
    <w:name w:val="No Spacing Char"/>
    <w:link w:val="NoSpacing"/>
    <w:uiPriority w:val="1"/>
    <w:locked/>
    <w:rsid w:val="008B37A2"/>
    <w:rPr>
      <w:sz w:val="24"/>
      <w:szCs w:val="22"/>
      <w:lang w:val="en-US" w:eastAsia="en-US" w:bidi="ar-SA"/>
    </w:rPr>
  </w:style>
  <w:style w:type="paragraph" w:styleId="NormalWeb">
    <w:name w:val="Normal (Web)"/>
    <w:basedOn w:val="Normal"/>
    <w:uiPriority w:val="99"/>
    <w:unhideWhenUsed/>
    <w:rsid w:val="00A87C5E"/>
  </w:style>
  <w:style w:type="paragraph" w:styleId="BalloonText">
    <w:name w:val="Balloon Text"/>
    <w:basedOn w:val="Normal"/>
    <w:link w:val="BalloonTextChar"/>
    <w:rsid w:val="00D92D40"/>
    <w:rPr>
      <w:rFonts w:ascii="Segoe UI" w:hAnsi="Segoe UI" w:cs="Segoe UI"/>
      <w:sz w:val="18"/>
      <w:szCs w:val="18"/>
    </w:rPr>
  </w:style>
  <w:style w:type="character" w:customStyle="1" w:styleId="BalloonTextChar">
    <w:name w:val="Balloon Text Char"/>
    <w:link w:val="BalloonText"/>
    <w:rsid w:val="00D92D40"/>
    <w:rPr>
      <w:rFonts w:ascii="Segoe UI" w:hAnsi="Segoe UI" w:cs="Segoe UI"/>
      <w:sz w:val="18"/>
      <w:szCs w:val="18"/>
    </w:rPr>
  </w:style>
  <w:style w:type="character" w:styleId="CommentReference">
    <w:name w:val="annotation reference"/>
    <w:basedOn w:val="DefaultParagraphFont"/>
    <w:uiPriority w:val="99"/>
    <w:rsid w:val="00950624"/>
    <w:rPr>
      <w:sz w:val="16"/>
      <w:szCs w:val="16"/>
    </w:rPr>
  </w:style>
  <w:style w:type="paragraph" w:styleId="CommentText">
    <w:name w:val="annotation text"/>
    <w:basedOn w:val="Normal"/>
    <w:link w:val="CommentTextChar"/>
    <w:uiPriority w:val="99"/>
    <w:rsid w:val="00950624"/>
    <w:rPr>
      <w:sz w:val="20"/>
      <w:szCs w:val="20"/>
    </w:rPr>
  </w:style>
  <w:style w:type="character" w:customStyle="1" w:styleId="CommentTextChar">
    <w:name w:val="Comment Text Char"/>
    <w:basedOn w:val="DefaultParagraphFont"/>
    <w:link w:val="CommentText"/>
    <w:uiPriority w:val="99"/>
    <w:rsid w:val="00950624"/>
  </w:style>
  <w:style w:type="paragraph" w:styleId="CommentSubject">
    <w:name w:val="annotation subject"/>
    <w:basedOn w:val="CommentText"/>
    <w:next w:val="CommentText"/>
    <w:link w:val="CommentSubjectChar"/>
    <w:rsid w:val="00950624"/>
    <w:rPr>
      <w:b/>
      <w:bCs/>
    </w:rPr>
  </w:style>
  <w:style w:type="character" w:customStyle="1" w:styleId="CommentSubjectChar">
    <w:name w:val="Comment Subject Char"/>
    <w:basedOn w:val="CommentTextChar"/>
    <w:link w:val="CommentSubject"/>
    <w:rsid w:val="00950624"/>
    <w:rPr>
      <w:b/>
      <w:bCs/>
    </w:r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BF6794"/>
    <w:rPr>
      <w:rFonts w:ascii="Calibri" w:eastAsia="Calibri" w:hAnsi="Calibr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BF6794"/>
    <w:rPr>
      <w:rFonts w:ascii="Calibri" w:eastAsia="Calibri" w:hAnsi="Calibri"/>
    </w:rPr>
  </w:style>
  <w:style w:type="paragraph" w:styleId="Revision">
    <w:name w:val="Revision"/>
    <w:hidden/>
    <w:uiPriority w:val="99"/>
    <w:semiHidden/>
    <w:rsid w:val="00976E1E"/>
    <w:rPr>
      <w:sz w:val="24"/>
      <w:szCs w:val="24"/>
    </w:rPr>
  </w:style>
  <w:style w:type="paragraph" w:customStyle="1" w:styleId="IEcFootnoteText">
    <w:name w:val="IEc Footnote Text"/>
    <w:basedOn w:val="Normal"/>
    <w:link w:val="IEcFootnoteTextChar"/>
    <w:rsid w:val="004832C6"/>
    <w:pPr>
      <w:spacing w:after="120" w:line="240" w:lineRule="exact"/>
    </w:pPr>
    <w:rPr>
      <w:rFonts w:ascii="Trebuchet MS" w:eastAsiaTheme="minorHAnsi" w:hAnsi="Trebuchet MS" w:cstheme="minorBidi"/>
      <w:sz w:val="14"/>
      <w:szCs w:val="14"/>
    </w:rPr>
  </w:style>
  <w:style w:type="character" w:customStyle="1" w:styleId="IEcFootnoteTextChar">
    <w:name w:val="IEc Footnote Text Char"/>
    <w:link w:val="IEcFootnoteText"/>
    <w:rsid w:val="004832C6"/>
    <w:rPr>
      <w:rFonts w:ascii="Trebuchet MS" w:eastAsiaTheme="minorHAnsi" w:hAnsi="Trebuchet MS" w:cstheme="minorBidi"/>
      <w:sz w:val="14"/>
      <w:szCs w:val="14"/>
    </w:rPr>
  </w:style>
  <w:style w:type="character" w:customStyle="1" w:styleId="BodyTextDSWChar">
    <w:name w:val="Body Text DSW Char"/>
    <w:rsid w:val="00B0696F"/>
    <w:rPr>
      <w:sz w:val="24"/>
      <w:szCs w:val="24"/>
      <w:lang w:val="en-US" w:eastAsia="ar-SA" w:bidi="ar-SA"/>
    </w:rPr>
  </w:style>
  <w:style w:type="paragraph" w:customStyle="1" w:styleId="BodyTextDSW">
    <w:name w:val="Body Text DSW"/>
    <w:basedOn w:val="Normal"/>
    <w:rsid w:val="00B0696F"/>
    <w:pPr>
      <w:suppressAutoHyphens/>
      <w:autoSpaceDE w:val="0"/>
      <w:spacing w:after="120"/>
      <w:ind w:firstLine="720"/>
    </w:pPr>
    <w:rPr>
      <w:lang w:eastAsia="ar-SA"/>
    </w:rPr>
  </w:style>
  <w:style w:type="table" w:customStyle="1" w:styleId="TableGrid1">
    <w:name w:val="Table Grid1"/>
    <w:basedOn w:val="TableNormal"/>
    <w:next w:val="TableGrid"/>
    <w:uiPriority w:val="39"/>
    <w:rsid w:val="00B446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886">
      <w:bodyDiv w:val="1"/>
      <w:marLeft w:val="0"/>
      <w:marRight w:val="0"/>
      <w:marTop w:val="0"/>
      <w:marBottom w:val="0"/>
      <w:divBdr>
        <w:top w:val="none" w:sz="0" w:space="0" w:color="auto"/>
        <w:left w:val="none" w:sz="0" w:space="0" w:color="auto"/>
        <w:bottom w:val="none" w:sz="0" w:space="0" w:color="auto"/>
        <w:right w:val="none" w:sz="0" w:space="0" w:color="auto"/>
      </w:divBdr>
    </w:div>
    <w:div w:id="84881485">
      <w:bodyDiv w:val="1"/>
      <w:marLeft w:val="0"/>
      <w:marRight w:val="0"/>
      <w:marTop w:val="0"/>
      <w:marBottom w:val="0"/>
      <w:divBdr>
        <w:top w:val="none" w:sz="0" w:space="0" w:color="auto"/>
        <w:left w:val="none" w:sz="0" w:space="0" w:color="auto"/>
        <w:bottom w:val="none" w:sz="0" w:space="0" w:color="auto"/>
        <w:right w:val="none" w:sz="0" w:space="0" w:color="auto"/>
      </w:divBdr>
    </w:div>
    <w:div w:id="177696785">
      <w:bodyDiv w:val="1"/>
      <w:marLeft w:val="0"/>
      <w:marRight w:val="0"/>
      <w:marTop w:val="0"/>
      <w:marBottom w:val="0"/>
      <w:divBdr>
        <w:top w:val="none" w:sz="0" w:space="0" w:color="auto"/>
        <w:left w:val="none" w:sz="0" w:space="0" w:color="auto"/>
        <w:bottom w:val="none" w:sz="0" w:space="0" w:color="auto"/>
        <w:right w:val="none" w:sz="0" w:space="0" w:color="auto"/>
      </w:divBdr>
    </w:div>
    <w:div w:id="271129758">
      <w:bodyDiv w:val="1"/>
      <w:marLeft w:val="0"/>
      <w:marRight w:val="0"/>
      <w:marTop w:val="0"/>
      <w:marBottom w:val="0"/>
      <w:divBdr>
        <w:top w:val="none" w:sz="0" w:space="0" w:color="auto"/>
        <w:left w:val="none" w:sz="0" w:space="0" w:color="auto"/>
        <w:bottom w:val="none" w:sz="0" w:space="0" w:color="auto"/>
        <w:right w:val="none" w:sz="0" w:space="0" w:color="auto"/>
      </w:divBdr>
    </w:div>
    <w:div w:id="282617509">
      <w:bodyDiv w:val="1"/>
      <w:marLeft w:val="0"/>
      <w:marRight w:val="0"/>
      <w:marTop w:val="0"/>
      <w:marBottom w:val="0"/>
      <w:divBdr>
        <w:top w:val="none" w:sz="0" w:space="0" w:color="auto"/>
        <w:left w:val="none" w:sz="0" w:space="0" w:color="auto"/>
        <w:bottom w:val="none" w:sz="0" w:space="0" w:color="auto"/>
        <w:right w:val="none" w:sz="0" w:space="0" w:color="auto"/>
      </w:divBdr>
    </w:div>
    <w:div w:id="317729337">
      <w:bodyDiv w:val="1"/>
      <w:marLeft w:val="0"/>
      <w:marRight w:val="0"/>
      <w:marTop w:val="0"/>
      <w:marBottom w:val="0"/>
      <w:divBdr>
        <w:top w:val="none" w:sz="0" w:space="0" w:color="auto"/>
        <w:left w:val="none" w:sz="0" w:space="0" w:color="auto"/>
        <w:bottom w:val="none" w:sz="0" w:space="0" w:color="auto"/>
        <w:right w:val="none" w:sz="0" w:space="0" w:color="auto"/>
      </w:divBdr>
    </w:div>
    <w:div w:id="328095360">
      <w:bodyDiv w:val="1"/>
      <w:marLeft w:val="0"/>
      <w:marRight w:val="0"/>
      <w:marTop w:val="0"/>
      <w:marBottom w:val="0"/>
      <w:divBdr>
        <w:top w:val="none" w:sz="0" w:space="0" w:color="auto"/>
        <w:left w:val="none" w:sz="0" w:space="0" w:color="auto"/>
        <w:bottom w:val="none" w:sz="0" w:space="0" w:color="auto"/>
        <w:right w:val="none" w:sz="0" w:space="0" w:color="auto"/>
      </w:divBdr>
    </w:div>
    <w:div w:id="661007091">
      <w:bodyDiv w:val="1"/>
      <w:marLeft w:val="0"/>
      <w:marRight w:val="0"/>
      <w:marTop w:val="0"/>
      <w:marBottom w:val="0"/>
      <w:divBdr>
        <w:top w:val="none" w:sz="0" w:space="0" w:color="auto"/>
        <w:left w:val="none" w:sz="0" w:space="0" w:color="auto"/>
        <w:bottom w:val="none" w:sz="0" w:space="0" w:color="auto"/>
        <w:right w:val="none" w:sz="0" w:space="0" w:color="auto"/>
      </w:divBdr>
    </w:div>
    <w:div w:id="668754570">
      <w:bodyDiv w:val="1"/>
      <w:marLeft w:val="0"/>
      <w:marRight w:val="0"/>
      <w:marTop w:val="0"/>
      <w:marBottom w:val="0"/>
      <w:divBdr>
        <w:top w:val="none" w:sz="0" w:space="0" w:color="auto"/>
        <w:left w:val="none" w:sz="0" w:space="0" w:color="auto"/>
        <w:bottom w:val="none" w:sz="0" w:space="0" w:color="auto"/>
        <w:right w:val="none" w:sz="0" w:space="0" w:color="auto"/>
      </w:divBdr>
    </w:div>
    <w:div w:id="685209988">
      <w:bodyDiv w:val="1"/>
      <w:marLeft w:val="0"/>
      <w:marRight w:val="0"/>
      <w:marTop w:val="0"/>
      <w:marBottom w:val="0"/>
      <w:divBdr>
        <w:top w:val="none" w:sz="0" w:space="0" w:color="auto"/>
        <w:left w:val="none" w:sz="0" w:space="0" w:color="auto"/>
        <w:bottom w:val="none" w:sz="0" w:space="0" w:color="auto"/>
        <w:right w:val="none" w:sz="0" w:space="0" w:color="auto"/>
      </w:divBdr>
    </w:div>
    <w:div w:id="689915792">
      <w:bodyDiv w:val="1"/>
      <w:marLeft w:val="0"/>
      <w:marRight w:val="0"/>
      <w:marTop w:val="0"/>
      <w:marBottom w:val="0"/>
      <w:divBdr>
        <w:top w:val="none" w:sz="0" w:space="0" w:color="auto"/>
        <w:left w:val="none" w:sz="0" w:space="0" w:color="auto"/>
        <w:bottom w:val="none" w:sz="0" w:space="0" w:color="auto"/>
        <w:right w:val="none" w:sz="0" w:space="0" w:color="auto"/>
      </w:divBdr>
    </w:div>
    <w:div w:id="755974711">
      <w:bodyDiv w:val="1"/>
      <w:marLeft w:val="0"/>
      <w:marRight w:val="0"/>
      <w:marTop w:val="0"/>
      <w:marBottom w:val="0"/>
      <w:divBdr>
        <w:top w:val="none" w:sz="0" w:space="0" w:color="auto"/>
        <w:left w:val="none" w:sz="0" w:space="0" w:color="auto"/>
        <w:bottom w:val="none" w:sz="0" w:space="0" w:color="auto"/>
        <w:right w:val="none" w:sz="0" w:space="0" w:color="auto"/>
      </w:divBdr>
    </w:div>
    <w:div w:id="776104014">
      <w:bodyDiv w:val="1"/>
      <w:marLeft w:val="0"/>
      <w:marRight w:val="0"/>
      <w:marTop w:val="0"/>
      <w:marBottom w:val="0"/>
      <w:divBdr>
        <w:top w:val="none" w:sz="0" w:space="0" w:color="auto"/>
        <w:left w:val="none" w:sz="0" w:space="0" w:color="auto"/>
        <w:bottom w:val="none" w:sz="0" w:space="0" w:color="auto"/>
        <w:right w:val="none" w:sz="0" w:space="0" w:color="auto"/>
      </w:divBdr>
    </w:div>
    <w:div w:id="808942211">
      <w:bodyDiv w:val="1"/>
      <w:marLeft w:val="0"/>
      <w:marRight w:val="0"/>
      <w:marTop w:val="0"/>
      <w:marBottom w:val="0"/>
      <w:divBdr>
        <w:top w:val="none" w:sz="0" w:space="0" w:color="auto"/>
        <w:left w:val="none" w:sz="0" w:space="0" w:color="auto"/>
        <w:bottom w:val="none" w:sz="0" w:space="0" w:color="auto"/>
        <w:right w:val="none" w:sz="0" w:space="0" w:color="auto"/>
      </w:divBdr>
    </w:div>
    <w:div w:id="898515802">
      <w:bodyDiv w:val="1"/>
      <w:marLeft w:val="0"/>
      <w:marRight w:val="0"/>
      <w:marTop w:val="0"/>
      <w:marBottom w:val="0"/>
      <w:divBdr>
        <w:top w:val="none" w:sz="0" w:space="0" w:color="auto"/>
        <w:left w:val="none" w:sz="0" w:space="0" w:color="auto"/>
        <w:bottom w:val="none" w:sz="0" w:space="0" w:color="auto"/>
        <w:right w:val="none" w:sz="0" w:space="0" w:color="auto"/>
      </w:divBdr>
    </w:div>
    <w:div w:id="933784655">
      <w:bodyDiv w:val="1"/>
      <w:marLeft w:val="0"/>
      <w:marRight w:val="0"/>
      <w:marTop w:val="0"/>
      <w:marBottom w:val="0"/>
      <w:divBdr>
        <w:top w:val="none" w:sz="0" w:space="0" w:color="auto"/>
        <w:left w:val="none" w:sz="0" w:space="0" w:color="auto"/>
        <w:bottom w:val="none" w:sz="0" w:space="0" w:color="auto"/>
        <w:right w:val="none" w:sz="0" w:space="0" w:color="auto"/>
      </w:divBdr>
    </w:div>
    <w:div w:id="965702066">
      <w:bodyDiv w:val="1"/>
      <w:marLeft w:val="0"/>
      <w:marRight w:val="0"/>
      <w:marTop w:val="0"/>
      <w:marBottom w:val="0"/>
      <w:divBdr>
        <w:top w:val="none" w:sz="0" w:space="0" w:color="auto"/>
        <w:left w:val="none" w:sz="0" w:space="0" w:color="auto"/>
        <w:bottom w:val="none" w:sz="0" w:space="0" w:color="auto"/>
        <w:right w:val="none" w:sz="0" w:space="0" w:color="auto"/>
      </w:divBdr>
    </w:div>
    <w:div w:id="967199661">
      <w:bodyDiv w:val="1"/>
      <w:marLeft w:val="0"/>
      <w:marRight w:val="0"/>
      <w:marTop w:val="0"/>
      <w:marBottom w:val="0"/>
      <w:divBdr>
        <w:top w:val="none" w:sz="0" w:space="0" w:color="auto"/>
        <w:left w:val="none" w:sz="0" w:space="0" w:color="auto"/>
        <w:bottom w:val="none" w:sz="0" w:space="0" w:color="auto"/>
        <w:right w:val="none" w:sz="0" w:space="0" w:color="auto"/>
      </w:divBdr>
    </w:div>
    <w:div w:id="1052848373">
      <w:bodyDiv w:val="1"/>
      <w:marLeft w:val="0"/>
      <w:marRight w:val="0"/>
      <w:marTop w:val="0"/>
      <w:marBottom w:val="0"/>
      <w:divBdr>
        <w:top w:val="none" w:sz="0" w:space="0" w:color="auto"/>
        <w:left w:val="none" w:sz="0" w:space="0" w:color="auto"/>
        <w:bottom w:val="none" w:sz="0" w:space="0" w:color="auto"/>
        <w:right w:val="none" w:sz="0" w:space="0" w:color="auto"/>
      </w:divBdr>
    </w:div>
    <w:div w:id="1200778293">
      <w:bodyDiv w:val="1"/>
      <w:marLeft w:val="0"/>
      <w:marRight w:val="0"/>
      <w:marTop w:val="0"/>
      <w:marBottom w:val="0"/>
      <w:divBdr>
        <w:top w:val="none" w:sz="0" w:space="0" w:color="auto"/>
        <w:left w:val="none" w:sz="0" w:space="0" w:color="auto"/>
        <w:bottom w:val="none" w:sz="0" w:space="0" w:color="auto"/>
        <w:right w:val="none" w:sz="0" w:space="0" w:color="auto"/>
      </w:divBdr>
    </w:div>
    <w:div w:id="1261992772">
      <w:bodyDiv w:val="1"/>
      <w:marLeft w:val="0"/>
      <w:marRight w:val="0"/>
      <w:marTop w:val="0"/>
      <w:marBottom w:val="0"/>
      <w:divBdr>
        <w:top w:val="none" w:sz="0" w:space="0" w:color="auto"/>
        <w:left w:val="none" w:sz="0" w:space="0" w:color="auto"/>
        <w:bottom w:val="none" w:sz="0" w:space="0" w:color="auto"/>
        <w:right w:val="none" w:sz="0" w:space="0" w:color="auto"/>
      </w:divBdr>
    </w:div>
    <w:div w:id="1297176243">
      <w:bodyDiv w:val="1"/>
      <w:marLeft w:val="0"/>
      <w:marRight w:val="0"/>
      <w:marTop w:val="0"/>
      <w:marBottom w:val="0"/>
      <w:divBdr>
        <w:top w:val="none" w:sz="0" w:space="0" w:color="auto"/>
        <w:left w:val="none" w:sz="0" w:space="0" w:color="auto"/>
        <w:bottom w:val="none" w:sz="0" w:space="0" w:color="auto"/>
        <w:right w:val="none" w:sz="0" w:space="0" w:color="auto"/>
      </w:divBdr>
    </w:div>
    <w:div w:id="1330062896">
      <w:bodyDiv w:val="1"/>
      <w:marLeft w:val="0"/>
      <w:marRight w:val="0"/>
      <w:marTop w:val="0"/>
      <w:marBottom w:val="0"/>
      <w:divBdr>
        <w:top w:val="none" w:sz="0" w:space="0" w:color="auto"/>
        <w:left w:val="none" w:sz="0" w:space="0" w:color="auto"/>
        <w:bottom w:val="none" w:sz="0" w:space="0" w:color="auto"/>
        <w:right w:val="none" w:sz="0" w:space="0" w:color="auto"/>
      </w:divBdr>
    </w:div>
    <w:div w:id="1371538077">
      <w:bodyDiv w:val="1"/>
      <w:marLeft w:val="0"/>
      <w:marRight w:val="0"/>
      <w:marTop w:val="0"/>
      <w:marBottom w:val="0"/>
      <w:divBdr>
        <w:top w:val="none" w:sz="0" w:space="0" w:color="auto"/>
        <w:left w:val="none" w:sz="0" w:space="0" w:color="auto"/>
        <w:bottom w:val="none" w:sz="0" w:space="0" w:color="auto"/>
        <w:right w:val="none" w:sz="0" w:space="0" w:color="auto"/>
      </w:divBdr>
    </w:div>
    <w:div w:id="1423260913">
      <w:bodyDiv w:val="1"/>
      <w:marLeft w:val="0"/>
      <w:marRight w:val="0"/>
      <w:marTop w:val="0"/>
      <w:marBottom w:val="0"/>
      <w:divBdr>
        <w:top w:val="none" w:sz="0" w:space="0" w:color="auto"/>
        <w:left w:val="none" w:sz="0" w:space="0" w:color="auto"/>
        <w:bottom w:val="none" w:sz="0" w:space="0" w:color="auto"/>
        <w:right w:val="none" w:sz="0" w:space="0" w:color="auto"/>
      </w:divBdr>
    </w:div>
    <w:div w:id="1440375460">
      <w:bodyDiv w:val="1"/>
      <w:marLeft w:val="0"/>
      <w:marRight w:val="0"/>
      <w:marTop w:val="0"/>
      <w:marBottom w:val="0"/>
      <w:divBdr>
        <w:top w:val="none" w:sz="0" w:space="0" w:color="auto"/>
        <w:left w:val="none" w:sz="0" w:space="0" w:color="auto"/>
        <w:bottom w:val="none" w:sz="0" w:space="0" w:color="auto"/>
        <w:right w:val="none" w:sz="0" w:space="0" w:color="auto"/>
      </w:divBdr>
    </w:div>
    <w:div w:id="1456870405">
      <w:bodyDiv w:val="1"/>
      <w:marLeft w:val="0"/>
      <w:marRight w:val="0"/>
      <w:marTop w:val="0"/>
      <w:marBottom w:val="0"/>
      <w:divBdr>
        <w:top w:val="none" w:sz="0" w:space="0" w:color="auto"/>
        <w:left w:val="none" w:sz="0" w:space="0" w:color="auto"/>
        <w:bottom w:val="none" w:sz="0" w:space="0" w:color="auto"/>
        <w:right w:val="none" w:sz="0" w:space="0" w:color="auto"/>
      </w:divBdr>
    </w:div>
    <w:div w:id="1526018397">
      <w:bodyDiv w:val="1"/>
      <w:marLeft w:val="0"/>
      <w:marRight w:val="0"/>
      <w:marTop w:val="0"/>
      <w:marBottom w:val="0"/>
      <w:divBdr>
        <w:top w:val="none" w:sz="0" w:space="0" w:color="auto"/>
        <w:left w:val="none" w:sz="0" w:space="0" w:color="auto"/>
        <w:bottom w:val="none" w:sz="0" w:space="0" w:color="auto"/>
        <w:right w:val="none" w:sz="0" w:space="0" w:color="auto"/>
      </w:divBdr>
    </w:div>
    <w:div w:id="1603955038">
      <w:bodyDiv w:val="1"/>
      <w:marLeft w:val="0"/>
      <w:marRight w:val="0"/>
      <w:marTop w:val="0"/>
      <w:marBottom w:val="0"/>
      <w:divBdr>
        <w:top w:val="none" w:sz="0" w:space="0" w:color="auto"/>
        <w:left w:val="none" w:sz="0" w:space="0" w:color="auto"/>
        <w:bottom w:val="none" w:sz="0" w:space="0" w:color="auto"/>
        <w:right w:val="none" w:sz="0" w:space="0" w:color="auto"/>
      </w:divBdr>
    </w:div>
    <w:div w:id="1634604884">
      <w:bodyDiv w:val="1"/>
      <w:marLeft w:val="0"/>
      <w:marRight w:val="0"/>
      <w:marTop w:val="0"/>
      <w:marBottom w:val="0"/>
      <w:divBdr>
        <w:top w:val="none" w:sz="0" w:space="0" w:color="auto"/>
        <w:left w:val="none" w:sz="0" w:space="0" w:color="auto"/>
        <w:bottom w:val="none" w:sz="0" w:space="0" w:color="auto"/>
        <w:right w:val="none" w:sz="0" w:space="0" w:color="auto"/>
      </w:divBdr>
    </w:div>
    <w:div w:id="1710716075">
      <w:bodyDiv w:val="1"/>
      <w:marLeft w:val="0"/>
      <w:marRight w:val="0"/>
      <w:marTop w:val="0"/>
      <w:marBottom w:val="0"/>
      <w:divBdr>
        <w:top w:val="none" w:sz="0" w:space="0" w:color="auto"/>
        <w:left w:val="none" w:sz="0" w:space="0" w:color="auto"/>
        <w:bottom w:val="none" w:sz="0" w:space="0" w:color="auto"/>
        <w:right w:val="none" w:sz="0" w:space="0" w:color="auto"/>
      </w:divBdr>
    </w:div>
    <w:div w:id="1857891104">
      <w:bodyDiv w:val="1"/>
      <w:marLeft w:val="0"/>
      <w:marRight w:val="0"/>
      <w:marTop w:val="0"/>
      <w:marBottom w:val="0"/>
      <w:divBdr>
        <w:top w:val="none" w:sz="0" w:space="0" w:color="auto"/>
        <w:left w:val="none" w:sz="0" w:space="0" w:color="auto"/>
        <w:bottom w:val="none" w:sz="0" w:space="0" w:color="auto"/>
        <w:right w:val="none" w:sz="0" w:space="0" w:color="auto"/>
      </w:divBdr>
    </w:div>
    <w:div w:id="1897810223">
      <w:bodyDiv w:val="1"/>
      <w:marLeft w:val="0"/>
      <w:marRight w:val="0"/>
      <w:marTop w:val="0"/>
      <w:marBottom w:val="0"/>
      <w:divBdr>
        <w:top w:val="none" w:sz="0" w:space="0" w:color="auto"/>
        <w:left w:val="none" w:sz="0" w:space="0" w:color="auto"/>
        <w:bottom w:val="none" w:sz="0" w:space="0" w:color="auto"/>
        <w:right w:val="none" w:sz="0" w:space="0" w:color="auto"/>
      </w:divBdr>
    </w:div>
    <w:div w:id="1960332657">
      <w:bodyDiv w:val="1"/>
      <w:marLeft w:val="0"/>
      <w:marRight w:val="0"/>
      <w:marTop w:val="0"/>
      <w:marBottom w:val="0"/>
      <w:divBdr>
        <w:top w:val="none" w:sz="0" w:space="0" w:color="auto"/>
        <w:left w:val="none" w:sz="0" w:space="0" w:color="auto"/>
        <w:bottom w:val="none" w:sz="0" w:space="0" w:color="auto"/>
        <w:right w:val="none" w:sz="0" w:space="0" w:color="auto"/>
      </w:divBdr>
    </w:div>
    <w:div w:id="20045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2018-06-19T17:39:23+00:00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_x0020_and_x0020_Time xmlns="df84a579-9331-434f-b40b-7832568d4177" xsi:nil="true"/>
    <LastSharedByUser xmlns="785a2470-556b-4f35-afb1-b4943ef81b34" xsi:nil="true"/>
    <SharedWithUsers xmlns="785a2470-556b-4f35-afb1-b4943ef81b34">
      <UserInfo>
        <DisplayName/>
        <AccountId xsi:nil="true"/>
        <AccountType/>
      </UserInfo>
    </SharedWithUsers>
    <LastSharedByTime xmlns="785a2470-556b-4f35-afb1-b4943ef81b3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72CF9A2208BC64D8772BAA6432FD1E5" ma:contentTypeVersion="27" ma:contentTypeDescription="Create a new document." ma:contentTypeScope="" ma:versionID="e327e7366e9c21774e53220df982a9a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85a2470-556b-4f35-afb1-b4943ef81b34" xmlns:ns6="df84a579-9331-434f-b40b-7832568d4177" targetNamespace="http://schemas.microsoft.com/office/2006/metadata/properties" ma:root="true" ma:fieldsID="6b830567ce88d3666d9d8a340e52a9bb" ns1:_="" ns2:_="" ns3:_="" ns4:_="" ns5:_="" ns6:_="">
    <xsd:import namespace="http://schemas.microsoft.com/sharepoint/v3"/>
    <xsd:import namespace="4ffa91fb-a0ff-4ac5-b2db-65c790d184a4"/>
    <xsd:import namespace="http://schemas.microsoft.com/sharepoint.v3"/>
    <xsd:import namespace="http://schemas.microsoft.com/sharepoint/v3/fields"/>
    <xsd:import namespace="785a2470-556b-4f35-afb1-b4943ef81b34"/>
    <xsd:import namespace="df84a579-9331-434f-b40b-7832568d417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a2470-556b-4f35-afb1-b4943ef81b34"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4a579-9331-434f-b40b-7832568d4177"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Date_x0020_and_x0020_Time" ma:index="35" nillable="true" ma:displayName="Date and Time" ma:format="DateOnly"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C86ED-FF6B-4C4C-A2E9-9677B25EB5D2}">
  <ds:schemaRefs>
    <ds:schemaRef ds:uri="Microsoft.SharePoint.Taxonomy.ContentTypeSync"/>
  </ds:schemaRefs>
</ds:datastoreItem>
</file>

<file path=customXml/itemProps2.xml><?xml version="1.0" encoding="utf-8"?>
<ds:datastoreItem xmlns:ds="http://schemas.openxmlformats.org/officeDocument/2006/customXml" ds:itemID="{C506B4D5-139F-4E01-BB36-870EB401E4B2}">
  <ds:schemaRefs>
    <ds:schemaRef ds:uri="http://schemas.microsoft.com/sharepoint/v3/contenttype/forms"/>
  </ds:schemaRefs>
</ds:datastoreItem>
</file>

<file path=customXml/itemProps3.xml><?xml version="1.0" encoding="utf-8"?>
<ds:datastoreItem xmlns:ds="http://schemas.openxmlformats.org/officeDocument/2006/customXml" ds:itemID="{C3CD7252-A30A-4DCC-BFA5-7995098D8DC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f84a579-9331-434f-b40b-7832568d4177"/>
    <ds:schemaRef ds:uri="785a2470-556b-4f35-afb1-b4943ef81b34"/>
  </ds:schemaRefs>
</ds:datastoreItem>
</file>

<file path=customXml/itemProps4.xml><?xml version="1.0" encoding="utf-8"?>
<ds:datastoreItem xmlns:ds="http://schemas.openxmlformats.org/officeDocument/2006/customXml" ds:itemID="{410823D8-C1E2-40CE-A931-51BE0DF91C18}">
  <ds:schemaRefs>
    <ds:schemaRef ds:uri="http://schemas.openxmlformats.org/officeDocument/2006/bibliography"/>
  </ds:schemaRefs>
</ds:datastoreItem>
</file>

<file path=customXml/itemProps5.xml><?xml version="1.0" encoding="utf-8"?>
<ds:datastoreItem xmlns:ds="http://schemas.openxmlformats.org/officeDocument/2006/customXml" ds:itemID="{89078D71-A25E-4DAD-90C2-653AF86E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85a2470-556b-4f35-afb1-b4943ef81b34"/>
    <ds:schemaRef ds:uri="df84a579-9331-434f-b40b-7832568d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23</Pages>
  <Words>7529</Words>
  <Characters>42917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50346</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narendra chaudhari</dc:creator>
  <cp:lastModifiedBy>Vyas, Peggy</cp:lastModifiedBy>
  <cp:revision>16</cp:revision>
  <cp:lastPrinted>2018-06-13T18:57:00Z</cp:lastPrinted>
  <dcterms:created xsi:type="dcterms:W3CDTF">2022-01-26T15:49:00Z</dcterms:created>
  <dcterms:modified xsi:type="dcterms:W3CDTF">2022-01-27T23:21:00Z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0x010100272CF9A2208BC64D8772BAA6432FD1E5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