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205D4D" w:rsidR="00205D4D" w:rsidP="00205D4D" w:rsidRDefault="00205D4D" w14:paraId="65BE3719" w14:textId="77777777">
      <w:pPr>
        <w:rPr>
          <w:color w:val="000000"/>
        </w:rPr>
      </w:pPr>
      <w:r w:rsidRPr="00205D4D">
        <w:rPr>
          <w:b/>
          <w:color w:val="000000"/>
        </w:rPr>
        <w:t>NESHAP for Metal Furniture Surface Coating (40 CFR Part 63, Subpart RRRR) (Renewal)</w:t>
      </w:r>
      <w:r w:rsidRPr="00205D4D">
        <w:rPr>
          <w:color w:val="000000"/>
        </w:rPr>
        <w:t xml:space="preserve"> </w:t>
      </w:r>
    </w:p>
    <w:p w:rsidRPr="00B60194" w:rsidR="00CA4CD6" w:rsidRDefault="00CA4CD6" w14:paraId="49855593" w14:textId="77777777"/>
    <w:p w:rsidRPr="00B60194" w:rsidR="00CA4CD6" w:rsidP="00504745" w:rsidRDefault="00CA4CD6" w14:paraId="1B30C59E" w14:textId="3823C072">
      <w:pPr>
        <w:outlineLvl w:val="0"/>
        <w:rPr>
          <w:b/>
          <w:bCs/>
        </w:rPr>
      </w:pPr>
      <w:r w:rsidRPr="00B60194">
        <w:rPr>
          <w:b/>
          <w:bCs/>
        </w:rPr>
        <w:t>1.</w:t>
      </w:r>
      <w:r w:rsidRPr="00B60194" w:rsidR="009C7E97">
        <w:rPr>
          <w:b/>
          <w:bCs/>
        </w:rPr>
        <w:t xml:space="preserve"> </w:t>
      </w:r>
      <w:r w:rsidRPr="00B60194">
        <w:rPr>
          <w:b/>
          <w:bCs/>
        </w:rPr>
        <w:t>Identification of the Information Collection</w:t>
      </w:r>
    </w:p>
    <w:p w:rsidRPr="00B60194" w:rsidR="00CA4CD6" w:rsidRDefault="00CA4CD6" w14:paraId="3919F060" w14:textId="77777777">
      <w:pPr>
        <w:rPr>
          <w:b/>
          <w:bCs/>
        </w:rPr>
      </w:pPr>
    </w:p>
    <w:p w:rsidRPr="00B60194" w:rsidR="00CA4CD6" w:rsidRDefault="00CA4CD6" w14:paraId="332772A2" w14:textId="1B654EC7">
      <w:pPr>
        <w:ind w:firstLine="720"/>
        <w:rPr>
          <w:b/>
          <w:bCs/>
        </w:rPr>
      </w:pPr>
      <w:r w:rsidRPr="00B60194">
        <w:rPr>
          <w:b/>
          <w:bCs/>
        </w:rPr>
        <w:t>1(a)</w:t>
      </w:r>
      <w:r w:rsidRPr="00B60194" w:rsidR="009C7E97">
        <w:rPr>
          <w:b/>
          <w:bCs/>
        </w:rPr>
        <w:t xml:space="preserve"> </w:t>
      </w:r>
      <w:r w:rsidRPr="00B60194">
        <w:rPr>
          <w:b/>
          <w:bCs/>
        </w:rPr>
        <w:t>Title of the Information Collection</w:t>
      </w:r>
    </w:p>
    <w:p w:rsidRPr="00B60194" w:rsidR="00CA4CD6" w:rsidRDefault="00CA4CD6" w14:paraId="0B658FF0" w14:textId="77777777">
      <w:pPr>
        <w:rPr>
          <w:b/>
          <w:bCs/>
        </w:rPr>
      </w:pPr>
    </w:p>
    <w:p w:rsidRPr="00205D4D" w:rsidR="00205D4D" w:rsidP="00205D4D" w:rsidRDefault="00205D4D" w14:paraId="3CA1F743" w14:textId="5E6A2C3E">
      <w:pPr>
        <w:rPr>
          <w:bCs/>
        </w:rPr>
      </w:pPr>
      <w:r w:rsidRPr="00205D4D">
        <w:rPr>
          <w:bCs/>
        </w:rPr>
        <w:t xml:space="preserve">NESHAP for Metal Furniture Surface Coating (40 CFR Part 63, Subpart </w:t>
      </w:r>
      <w:proofErr w:type="gramStart"/>
      <w:r w:rsidRPr="00205D4D">
        <w:rPr>
          <w:bCs/>
        </w:rPr>
        <w:t xml:space="preserve">RRRR) </w:t>
      </w:r>
      <w:r w:rsidR="002759D0">
        <w:rPr>
          <w:bCs/>
        </w:rPr>
        <w:t xml:space="preserve">  </w:t>
      </w:r>
      <w:proofErr w:type="gramEnd"/>
      <w:r w:rsidR="002759D0">
        <w:rPr>
          <w:bCs/>
        </w:rPr>
        <w:t xml:space="preserve">       </w:t>
      </w:r>
      <w:r w:rsidRPr="00205D4D">
        <w:rPr>
          <w:bCs/>
        </w:rPr>
        <w:t>(Renewal), EPA ICR Number 1952.</w:t>
      </w:r>
      <w:r w:rsidRPr="00B60194">
        <w:rPr>
          <w:bCs/>
        </w:rPr>
        <w:t>10</w:t>
      </w:r>
      <w:r w:rsidRPr="00205D4D">
        <w:rPr>
          <w:bCs/>
        </w:rPr>
        <w:t xml:space="preserve">, OMB Control Number 2060-0518. </w:t>
      </w:r>
    </w:p>
    <w:p w:rsidRPr="00B60194" w:rsidR="00CA4CD6" w:rsidRDefault="00CA4CD6" w14:paraId="56431331" w14:textId="77777777">
      <w:pPr>
        <w:rPr>
          <w:b/>
          <w:bCs/>
        </w:rPr>
      </w:pPr>
    </w:p>
    <w:p w:rsidRPr="00B60194" w:rsidR="00CA4CD6" w:rsidRDefault="00CA4CD6" w14:paraId="66442740" w14:textId="54D522DF">
      <w:pPr>
        <w:ind w:firstLine="720"/>
      </w:pPr>
      <w:r w:rsidRPr="00B60194">
        <w:rPr>
          <w:b/>
          <w:bCs/>
        </w:rPr>
        <w:t>1(b)</w:t>
      </w:r>
      <w:r w:rsidRPr="00B60194" w:rsidR="009C7E97">
        <w:rPr>
          <w:b/>
          <w:bCs/>
        </w:rPr>
        <w:t xml:space="preserve"> </w:t>
      </w:r>
      <w:r w:rsidRPr="00B60194">
        <w:rPr>
          <w:b/>
          <w:bCs/>
        </w:rPr>
        <w:t>Short Characterization/Abstract</w:t>
      </w:r>
    </w:p>
    <w:p w:rsidRPr="00B60194" w:rsidR="00CA4CD6" w:rsidRDefault="00CA4CD6" w14:paraId="5FA2A408" w14:textId="77777777"/>
    <w:p w:rsidRPr="00B60194" w:rsidR="00205D4D" w:rsidRDefault="00CA4CD6" w14:paraId="390922CB" w14:textId="22110338">
      <w:pPr>
        <w:ind w:firstLine="720"/>
      </w:pPr>
      <w:r w:rsidRPr="00B60194">
        <w:t>The National Emission Standards for Hazardous Air Pollutants (NESHAP)</w:t>
      </w:r>
      <w:r w:rsidRPr="00B60194" w:rsidR="00205D4D">
        <w:t xml:space="preserve"> </w:t>
      </w:r>
      <w:r w:rsidRPr="00B60194">
        <w:t xml:space="preserve">for </w:t>
      </w:r>
      <w:r w:rsidRPr="002759D0" w:rsidR="002759D0">
        <w:t xml:space="preserve">Metal Furniture Surface Coating </w:t>
      </w:r>
      <w:r w:rsidR="002759D0">
        <w:t>(4</w:t>
      </w:r>
      <w:r w:rsidRPr="00B60194" w:rsidR="005E0A9B">
        <w:t xml:space="preserve">0 CFR Part </w:t>
      </w:r>
      <w:r w:rsidRPr="00B60194" w:rsidR="00205D4D">
        <w:t>63, Subpart RRRR</w:t>
      </w:r>
      <w:r w:rsidR="002759D0">
        <w:t>)</w:t>
      </w:r>
      <w:r w:rsidRPr="00B60194" w:rsidR="00205D4D">
        <w:t xml:space="preserve"> </w:t>
      </w:r>
      <w:r w:rsidRPr="00B60194">
        <w:t xml:space="preserve">were proposed </w:t>
      </w:r>
      <w:r w:rsidRPr="00B60194" w:rsidR="00205D4D">
        <w:t>on April 24, 2002</w:t>
      </w:r>
      <w:r w:rsidR="002759D0">
        <w:t>;</w:t>
      </w:r>
      <w:r w:rsidRPr="00B60194" w:rsidR="00205D4D">
        <w:t xml:space="preserve"> promulgated on May 23, 2003</w:t>
      </w:r>
      <w:r w:rsidR="002759D0">
        <w:t>;</w:t>
      </w:r>
      <w:r w:rsidRPr="00B60194" w:rsidR="00205D4D">
        <w:t xml:space="preserve"> and most-recently amended on </w:t>
      </w:r>
      <w:r w:rsidRPr="00B60194" w:rsidR="007C464E">
        <w:t>March 15, 2019</w:t>
      </w:r>
      <w:r w:rsidR="002759D0">
        <w:t>,</w:t>
      </w:r>
      <w:r w:rsidRPr="00B60194" w:rsidR="007C464E">
        <w:t xml:space="preserve"> at </w:t>
      </w:r>
      <w:r w:rsidRPr="00B60194" w:rsidR="00B7480E">
        <w:t>8</w:t>
      </w:r>
      <w:r w:rsidR="00B7480E">
        <w:t>5</w:t>
      </w:r>
      <w:r w:rsidRPr="00B60194" w:rsidR="00B7480E">
        <w:t xml:space="preserve"> </w:t>
      </w:r>
      <w:r w:rsidRPr="00B60194" w:rsidR="007C464E">
        <w:t xml:space="preserve">FR </w:t>
      </w:r>
      <w:r w:rsidR="00B7480E">
        <w:t>41100</w:t>
      </w:r>
      <w:r w:rsidR="002759D0">
        <w:t>,</w:t>
      </w:r>
      <w:r w:rsidRPr="00B60194" w:rsidR="007C464E">
        <w:t xml:space="preserve"> and </w:t>
      </w:r>
      <w:r w:rsidRPr="00B60194" w:rsidR="00205D4D">
        <w:t>November 19, 2020</w:t>
      </w:r>
      <w:r w:rsidR="002759D0">
        <w:t>,</w:t>
      </w:r>
      <w:r w:rsidRPr="00B60194" w:rsidR="00205D4D">
        <w:t xml:space="preserve"> at 85 FR 73908</w:t>
      </w:r>
      <w:r w:rsidRPr="00813098" w:rsidR="00501D57">
        <w:rPr>
          <w:rStyle w:val="FootnoteReference"/>
          <w:vertAlign w:val="superscript"/>
        </w:rPr>
        <w:footnoteReference w:id="2"/>
      </w:r>
      <w:r w:rsidRPr="00B60194" w:rsidR="00205D4D">
        <w:t xml:space="preserve">. These regulations apply to existing facilities and new facilities that perform metal furniture surface coating operations where the total Hazardous Air Pollutants (HAPs) emitted are greater than or equal to 10 tons per year of any one HAP, or where the total HAPs emitted are greater than or equal to 25 tons per year of any combination of HAPs. New facilities include those that commenced </w:t>
      </w:r>
      <w:r w:rsidR="002759D0">
        <w:t xml:space="preserve">either </w:t>
      </w:r>
      <w:r w:rsidRPr="00B60194" w:rsidR="00205D4D">
        <w:t>construction, or reconstruction after the date of proposal. This information is being collected to assure compliance with 40 CFR Part 63, Subpart RRRR.</w:t>
      </w:r>
    </w:p>
    <w:p w:rsidRPr="00B60194" w:rsidR="00CA4CD6" w:rsidRDefault="00CA4CD6" w14:paraId="43FDF7BE" w14:textId="77777777"/>
    <w:p w:rsidR="00B60194" w:rsidRDefault="00CA4CD6" w14:paraId="58ED6C87" w14:textId="77777777">
      <w:pPr>
        <w:ind w:firstLine="720"/>
        <w:rPr>
          <w:color w:val="000000"/>
        </w:rPr>
      </w:pPr>
      <w:r w:rsidRPr="00B60194">
        <w:t>In general, all</w:t>
      </w:r>
      <w:r w:rsidRPr="00B60194" w:rsidR="00B60194">
        <w:t xml:space="preserve"> NESHAP </w:t>
      </w:r>
      <w:r w:rsidRPr="00B60194">
        <w:t>standards require initial notifications, performance tests, and periodic reports by the owners/operators of the affected facilities.</w:t>
      </w:r>
      <w:r w:rsidRPr="00B60194" w:rsidR="009C7E97">
        <w:t xml:space="preserve"> </w:t>
      </w:r>
      <w:r w:rsidRPr="00B60194">
        <w:t>They are also required to maintain records of the occurrence and duration of any startup, shutdown, or malfunction in the operation of an affected facility, or any period during which the monitoring system is inoperative.</w:t>
      </w:r>
      <w:r w:rsidRPr="00B60194" w:rsidR="009C7E97">
        <w:t xml:space="preserve"> </w:t>
      </w:r>
      <w:r w:rsidRPr="00B60194">
        <w:t xml:space="preserve">These notifications, reports, and records are essential in determining compliance, and are required of all affected facilities </w:t>
      </w:r>
      <w:r>
        <w:rPr>
          <w:color w:val="000000"/>
        </w:rPr>
        <w:t>subject to</w:t>
      </w:r>
      <w:r w:rsidR="00B60194">
        <w:rPr>
          <w:color w:val="000000"/>
        </w:rPr>
        <w:t xml:space="preserve"> NESHAP. </w:t>
      </w:r>
    </w:p>
    <w:p w:rsidR="00CA4CD6" w:rsidRDefault="00CA4CD6" w14:paraId="4416605D" w14:textId="77777777">
      <w:pPr>
        <w:rPr>
          <w:color w:val="000000"/>
        </w:rPr>
      </w:pPr>
    </w:p>
    <w:p w:rsidRPr="00CF001C" w:rsidR="00CA4CD6" w:rsidRDefault="00CA4CD6" w14:paraId="297BBA30" w14:textId="53586433">
      <w:pPr>
        <w:pBdr>
          <w:top w:val="single" w:color="FFFFFF" w:sz="6" w:space="0"/>
          <w:left w:val="single" w:color="FFFFFF" w:sz="6" w:space="0"/>
          <w:bottom w:val="single" w:color="FFFFFF" w:sz="6" w:space="0"/>
          <w:right w:val="single" w:color="FFFFFF" w:sz="6" w:space="0"/>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w:t>
      </w:r>
      <w:r w:rsidR="005C005F">
        <w:rPr>
          <w:color w:val="000000"/>
        </w:rPr>
        <w:t xml:space="preserve"> 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2759D0">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w:t>
      </w:r>
      <w:r w:rsidR="002759D0">
        <w:rPr>
          <w:shd w:val="clear" w:color="auto" w:fill="FFFFFF"/>
        </w:rPr>
        <w:t>If</w:t>
      </w:r>
      <w:r w:rsidRPr="00C2600C" w:rsidR="0095590C">
        <w:rPr>
          <w:shd w:val="clear" w:color="auto" w:fill="FFFFFF"/>
        </w:rPr>
        <w:t xml:space="preserve"> there is no such </w:t>
      </w:r>
      <w:r w:rsidRPr="00C2600C" w:rsidR="0095590C">
        <w:rPr>
          <w:shd w:val="clear" w:color="auto" w:fill="FFFFFF"/>
        </w:rPr>
        <w:lastRenderedPageBreak/>
        <w:t>delegated authority, the reports are sent directly to the EPA regional offices. The use of the term "Designated Administrator" throughout this document refers to the U.S. EPA or a delegated authority</w:t>
      </w:r>
      <w:r w:rsidR="002759D0">
        <w:rPr>
          <w:shd w:val="clear" w:color="auto" w:fill="FFFFFF"/>
        </w:rPr>
        <w:t>,</w:t>
      </w:r>
      <w:r w:rsidRPr="00C2600C" w:rsidR="0095590C">
        <w:rPr>
          <w:shd w:val="clear" w:color="auto" w:fill="FFFFFF"/>
        </w:rPr>
        <w:t xml:space="preserve"> s</w:t>
      </w:r>
      <w:r w:rsidRPr="00CF001C" w:rsidR="0095590C">
        <w:rPr>
          <w:shd w:val="clear" w:color="auto" w:fill="FFFFFF"/>
        </w:rPr>
        <w:t>uch as a state agency. The term "Administrator" alone refers to the U.S. EPA Administrator. </w:t>
      </w:r>
    </w:p>
    <w:p w:rsidRPr="00CF001C"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CF001C" w:rsidR="003E47DB" w:rsidRDefault="00CF001C" w14:paraId="4D41282E" w14:textId="282A0258">
      <w:pPr>
        <w:pBdr>
          <w:top w:val="single" w:color="FFFFFF" w:sz="6" w:space="0"/>
          <w:left w:val="single" w:color="FFFFFF" w:sz="6" w:space="0"/>
          <w:bottom w:val="single" w:color="FFFFFF" w:sz="6" w:space="0"/>
          <w:right w:val="single" w:color="FFFFFF" w:sz="6" w:space="0"/>
        </w:pBdr>
        <w:ind w:firstLine="720"/>
      </w:pPr>
      <w:r w:rsidRPr="00CF001C">
        <w:t xml:space="preserve">The “burden” to the “Affected Public” may be found below in Table 1: Annual Respondent Burden and Cost – </w:t>
      </w:r>
      <w:r w:rsidRPr="00CF001C">
        <w:rPr>
          <w:bCs/>
        </w:rPr>
        <w:t>NESHAP for Metal Furniture Surface Coating (40 CFR Part 63, Subpart RRRR) (Renewal)</w:t>
      </w:r>
      <w:r w:rsidRPr="00CF001C">
        <w:t xml:space="preserve">. The Federal Government’s “burden” is attributed entirely to work performed by either Federal employees or government contractors and may be found below in Table 2: Average Annual EPA Burden and Cost – </w:t>
      </w:r>
      <w:r w:rsidRPr="00CF001C">
        <w:rPr>
          <w:bCs/>
        </w:rPr>
        <w:t>NESHAP for Metal Furniture Surface Coating (40 CFR Part 63, Subpart RRRR) (Renewal)</w:t>
      </w:r>
      <w:r w:rsidRPr="00CF001C">
        <w:t xml:space="preserve">. </w:t>
      </w:r>
      <w:r w:rsidRPr="00CF001C" w:rsidR="003E47DB">
        <w:t>The</w:t>
      </w:r>
      <w:r w:rsidRPr="00CF001C">
        <w:t xml:space="preserve">se metal furniture surface coating facilities are </w:t>
      </w:r>
      <w:r w:rsidRPr="00CF001C" w:rsidR="003E47DB">
        <w:t xml:space="preserve">owned and operated by the </w:t>
      </w:r>
      <w:r w:rsidRPr="00CF001C">
        <w:t>metal furniture surface coating</w:t>
      </w:r>
      <w:r w:rsidRPr="00CF001C" w:rsidR="003E47DB">
        <w:t xml:space="preserve"> industry.</w:t>
      </w:r>
      <w:r w:rsidRPr="00CF001C" w:rsidR="009C7E97">
        <w:t xml:space="preserve"> </w:t>
      </w:r>
      <w:r w:rsidRPr="00CF001C" w:rsidR="003E47DB">
        <w:t>None of the</w:t>
      </w:r>
      <w:r w:rsidRPr="00CF001C">
        <w:t xml:space="preserve"> </w:t>
      </w:r>
      <w:r w:rsidRPr="00CF001C" w:rsidR="003E47DB">
        <w:t xml:space="preserve">facilities in the United States are owned by </w:t>
      </w:r>
      <w:r w:rsidR="004C4A28">
        <w:t xml:space="preserve">either </w:t>
      </w:r>
      <w:r w:rsidRPr="00CF001C" w:rsidR="003E47DB">
        <w:t xml:space="preserve">state, local, </w:t>
      </w:r>
      <w:r w:rsidR="00FA4410">
        <w:t xml:space="preserve">or </w:t>
      </w:r>
      <w:r w:rsidRPr="00CF001C" w:rsidR="003E47DB">
        <w:t>tribal</w:t>
      </w:r>
      <w:r w:rsidR="004C4A28">
        <w:t xml:space="preserve"> entities</w:t>
      </w:r>
      <w:r w:rsidRPr="00CF001C" w:rsidR="003E47DB">
        <w:t xml:space="preserve"> or the Federal government.</w:t>
      </w:r>
      <w:r w:rsidRPr="00CF001C" w:rsidR="009C7E97">
        <w:t xml:space="preserve"> </w:t>
      </w:r>
      <w:r w:rsidRPr="00CF001C" w:rsidR="003E47DB">
        <w:t>They are all owned and operated by privately-owned, for-profit businesses.</w:t>
      </w:r>
      <w:r w:rsidRPr="00CF001C" w:rsidR="009C7E97">
        <w:t xml:space="preserve"> </w:t>
      </w:r>
      <w:r w:rsidRPr="00CF001C" w:rsidR="003E47DB">
        <w:t>We assume that they will all respond</w:t>
      </w:r>
      <w:r w:rsidR="00FA4410">
        <w:t xml:space="preserve"> to EPA inquiries</w:t>
      </w:r>
      <w:r w:rsidRPr="00CF001C" w:rsidR="003E47DB">
        <w:t>.</w:t>
      </w:r>
      <w:r w:rsidRPr="00CF001C" w:rsidR="009C7E97">
        <w:t xml:space="preserve"> </w:t>
      </w:r>
    </w:p>
    <w:p w:rsidRPr="00CF001C"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005C005F" w:rsidP="005C005F" w:rsidRDefault="00CA4CD6" w14:paraId="4E1319AB" w14:textId="188AB03A">
      <w:pPr>
        <w:pBdr>
          <w:top w:val="single" w:color="FFFFFF" w:sz="6" w:space="0"/>
          <w:left w:val="single" w:color="FFFFFF" w:sz="6" w:space="0"/>
          <w:bottom w:val="single" w:color="FFFFFF" w:sz="6" w:space="0"/>
          <w:right w:val="single" w:color="FFFFFF" w:sz="6" w:space="0"/>
        </w:pBdr>
        <w:ind w:firstLine="720"/>
        <w:rPr>
          <w:color w:val="FF0000"/>
        </w:rPr>
      </w:pPr>
      <w:r w:rsidRPr="00CF001C">
        <w:t xml:space="preserve"> </w:t>
      </w:r>
      <w:r w:rsidRPr="00CF001C" w:rsidR="005C005F">
        <w:t xml:space="preserve">Based on </w:t>
      </w:r>
      <w:r w:rsidRPr="00CF001C" w:rsidR="005C005F">
        <w:rPr>
          <w:bCs/>
        </w:rPr>
        <w:t xml:space="preserve">our search of the National Emission Inventory (NEI), EPA’s </w:t>
      </w:r>
      <w:r w:rsidRPr="005C005F" w:rsidR="005C005F">
        <w:rPr>
          <w:bCs/>
          <w:color w:val="000000"/>
        </w:rPr>
        <w:t xml:space="preserve">Enforcement and Compliance History Online (ECHO) database </w:t>
      </w:r>
      <w:r w:rsidRPr="00FC113A" w:rsidR="005C005F">
        <w:rPr>
          <w:bCs/>
        </w:rPr>
        <w:t>(</w:t>
      </w:r>
      <w:hyperlink w:history="1" r:id="rId11">
        <w:r w:rsidRPr="00FC113A" w:rsidR="005C005F">
          <w:rPr>
            <w:rStyle w:val="Hyperlink"/>
            <w:bCs/>
            <w:i/>
            <w:iCs/>
            <w:color w:val="auto"/>
          </w:rPr>
          <w:t>www.echo.epa.gov</w:t>
        </w:r>
      </w:hyperlink>
      <w:r w:rsidRPr="005C005F" w:rsidR="005C005F">
        <w:rPr>
          <w:bCs/>
          <w:color w:val="000000"/>
        </w:rPr>
        <w:t xml:space="preserve">), </w:t>
      </w:r>
      <w:r w:rsidR="005C005F">
        <w:rPr>
          <w:bCs/>
          <w:color w:val="000000"/>
        </w:rPr>
        <w:t xml:space="preserve">and </w:t>
      </w:r>
      <w:r w:rsidRPr="005C005F" w:rsidR="005C005F">
        <w:rPr>
          <w:bCs/>
          <w:color w:val="000000"/>
        </w:rPr>
        <w:t>a review of active air emissions permits</w:t>
      </w:r>
      <w:r w:rsidR="005C005F">
        <w:rPr>
          <w:bCs/>
          <w:color w:val="000000"/>
        </w:rPr>
        <w:t xml:space="preserve"> conducted for the</w:t>
      </w:r>
      <w:r w:rsidR="00501D57">
        <w:rPr>
          <w:bCs/>
          <w:color w:val="000000"/>
        </w:rPr>
        <w:t xml:space="preserve"> March 15,</w:t>
      </w:r>
      <w:r w:rsidR="005C005F">
        <w:rPr>
          <w:bCs/>
          <w:color w:val="000000"/>
        </w:rPr>
        <w:t xml:space="preserve"> 2019 RTR</w:t>
      </w:r>
      <w:r w:rsidRPr="005C005F" w:rsidR="005C005F">
        <w:rPr>
          <w:bCs/>
          <w:color w:val="000000"/>
        </w:rPr>
        <w:t>, we estimate that</w:t>
      </w:r>
      <w:r w:rsidR="009771FE">
        <w:rPr>
          <w:bCs/>
          <w:color w:val="000000"/>
        </w:rPr>
        <w:t>:</w:t>
      </w:r>
      <w:r w:rsidR="005C005F">
        <w:rPr>
          <w:bCs/>
          <w:color w:val="000000"/>
        </w:rPr>
        <w:t xml:space="preserve"> </w:t>
      </w:r>
      <w:r w:rsidRPr="005C005F" w:rsidR="005C005F">
        <w:rPr>
          <w:bCs/>
          <w:color w:val="000000"/>
        </w:rPr>
        <w:t xml:space="preserve">16 facilities are subject to the Metal Furniture </w:t>
      </w:r>
      <w:r w:rsidRPr="00CF001C" w:rsidR="005C005F">
        <w:rPr>
          <w:bCs/>
        </w:rPr>
        <w:t>NESHAP</w:t>
      </w:r>
      <w:r w:rsidRPr="00CF001C">
        <w:t xml:space="preserve">, there </w:t>
      </w:r>
      <w:r w:rsidRPr="00CF001C" w:rsidR="005C005F">
        <w:t>is</w:t>
      </w:r>
      <w:r w:rsidRPr="00CF001C">
        <w:t xml:space="preserve"> an average of</w:t>
      </w:r>
      <w:r w:rsidRPr="00CF001C" w:rsidR="005C005F">
        <w:t xml:space="preserve"> one affected facility at each </w:t>
      </w:r>
      <w:r w:rsidRPr="00CF001C">
        <w:t>plant site</w:t>
      </w:r>
      <w:r w:rsidR="009771FE">
        <w:t>,</w:t>
      </w:r>
      <w:r w:rsidRPr="00CF001C">
        <w:t xml:space="preserve"> and each plant site has only one respondent (i.e., the owner/operator of the plant site).</w:t>
      </w:r>
      <w:r w:rsidRPr="00CF001C" w:rsidR="00CF001C">
        <w:t xml:space="preserve"> </w:t>
      </w:r>
      <w:r w:rsidRPr="00CF001C" w:rsidR="00E10DA7">
        <w:t xml:space="preserve">Over the next three years, </w:t>
      </w:r>
      <w:r w:rsidRPr="00CF001C" w:rsidR="00D91C34">
        <w:t xml:space="preserve">approximately </w:t>
      </w:r>
      <w:r w:rsidRPr="00CF001C" w:rsidR="00CF001C">
        <w:t>16</w:t>
      </w:r>
      <w:r w:rsidRPr="00CF001C">
        <w:t xml:space="preserve"> respondents </w:t>
      </w:r>
      <w:r w:rsidRPr="00CF001C" w:rsidR="00E10DA7">
        <w:t>per year will be subject to the</w:t>
      </w:r>
      <w:r w:rsidR="00FA4410">
        <w:t>se</w:t>
      </w:r>
      <w:r w:rsidRPr="00CF001C" w:rsidR="00E10DA7">
        <w:t xml:space="preserve"> standard</w:t>
      </w:r>
      <w:r w:rsidR="00FA4410">
        <w:t>s</w:t>
      </w:r>
      <w:r w:rsidRPr="00CF001C">
        <w:t xml:space="preserve">, and </w:t>
      </w:r>
      <w:r w:rsidRPr="00CF001C" w:rsidR="00CF001C">
        <w:t xml:space="preserve">no </w:t>
      </w:r>
      <w:r w:rsidRPr="00CF001C" w:rsidR="00E10DA7">
        <w:t xml:space="preserve">additional </w:t>
      </w:r>
      <w:r w:rsidRPr="00CF001C">
        <w:t xml:space="preserve">respondents </w:t>
      </w:r>
      <w:r w:rsidRPr="00CF001C" w:rsidR="00E10DA7">
        <w:t xml:space="preserve">per year </w:t>
      </w:r>
      <w:r w:rsidRPr="00CF001C">
        <w:t xml:space="preserve">will become subject to the </w:t>
      </w:r>
      <w:r w:rsidR="00FA4410">
        <w:t xml:space="preserve">se same </w:t>
      </w:r>
      <w:r w:rsidRPr="00CF001C" w:rsidR="00E10DA7">
        <w:t>standard</w:t>
      </w:r>
      <w:r w:rsidR="00FA4410">
        <w:t>s</w:t>
      </w:r>
      <w:r w:rsidRPr="00CF001C" w:rsidR="00E10DA7">
        <w:t>.</w:t>
      </w:r>
      <w:r w:rsidRPr="00CF001C" w:rsidR="009C7E97">
        <w:t xml:space="preserve"> </w:t>
      </w:r>
    </w:p>
    <w:p w:rsidRPr="005C005F" w:rsidR="005C005F" w:rsidRDefault="005C005F" w14:paraId="3B0E2B1E" w14:textId="77777777">
      <w:pPr>
        <w:pBdr>
          <w:top w:val="single" w:color="FFFFFF" w:sz="6" w:space="0"/>
          <w:left w:val="single" w:color="FFFFFF" w:sz="6" w:space="0"/>
          <w:bottom w:val="single" w:color="FFFFFF" w:sz="6" w:space="0"/>
          <w:right w:val="single" w:color="FFFFFF" w:sz="6" w:space="0"/>
        </w:pBdr>
        <w:ind w:firstLine="720"/>
      </w:pPr>
    </w:p>
    <w:p w:rsidRPr="009771FE" w:rsidR="009D6567" w:rsidRDefault="00A10DBD" w14:paraId="365C973F" w14:textId="0108E1BB">
      <w:pPr>
        <w:pBdr>
          <w:top w:val="single" w:color="FFFFFF" w:sz="6" w:space="0"/>
          <w:left w:val="single" w:color="FFFFFF" w:sz="6" w:space="0"/>
          <w:bottom w:val="single" w:color="FFFFFF" w:sz="6" w:space="0"/>
          <w:right w:val="single" w:color="FFFFFF" w:sz="6" w:space="0"/>
        </w:pBdr>
        <w:ind w:firstLine="720"/>
      </w:pPr>
      <w:r w:rsidRPr="005C005F">
        <w:t xml:space="preserve">The Office of </w:t>
      </w:r>
      <w:r w:rsidRPr="009771FE">
        <w:t>Management and Budget (</w:t>
      </w:r>
      <w:r w:rsidRPr="009771FE" w:rsidR="00CA4CD6">
        <w:t>OMB</w:t>
      </w:r>
      <w:r w:rsidRPr="009771FE">
        <w:t>)</w:t>
      </w:r>
      <w:r w:rsidRPr="009771FE" w:rsidR="00CA4CD6">
        <w:t xml:space="preserve"> approved the </w:t>
      </w:r>
      <w:proofErr w:type="gramStart"/>
      <w:r w:rsidRPr="009771FE" w:rsidR="00CA4CD6">
        <w:t>currently</w:t>
      </w:r>
      <w:r w:rsidR="00FA4410">
        <w:t>-</w:t>
      </w:r>
      <w:r w:rsidRPr="009771FE" w:rsidR="00CA4CD6">
        <w:t>active</w:t>
      </w:r>
      <w:proofErr w:type="gramEnd"/>
      <w:r w:rsidRPr="009771FE" w:rsidR="00CA4CD6">
        <w:t xml:space="preserve"> ICR without any </w:t>
      </w:r>
      <w:r w:rsidRPr="009771FE">
        <w:t>“</w:t>
      </w:r>
      <w:r w:rsidRPr="009771FE" w:rsidR="00CA4CD6">
        <w:t>Terms of Clearance</w:t>
      </w:r>
      <w:r w:rsidRPr="009771FE" w:rsidR="004318A0">
        <w:t>.</w:t>
      </w:r>
      <w:r w:rsidRPr="009771FE">
        <w:t>”</w:t>
      </w:r>
    </w:p>
    <w:p w:rsidRPr="009771FE" w:rsidR="002B29A5" w:rsidP="002B29A5" w:rsidRDefault="002B29A5" w14:paraId="70A26DD3" w14:textId="77777777"/>
    <w:p w:rsidRPr="009771F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9771FE">
        <w:rPr>
          <w:b/>
          <w:bCs/>
        </w:rPr>
        <w:t>2.</w:t>
      </w:r>
      <w:r w:rsidRPr="009771FE" w:rsidR="009C7E97">
        <w:rPr>
          <w:b/>
          <w:bCs/>
        </w:rPr>
        <w:t xml:space="preserve"> </w:t>
      </w:r>
      <w:r w:rsidRPr="009771FE">
        <w:rPr>
          <w:b/>
          <w:bCs/>
        </w:rPr>
        <w:t>Need for and Use of the Collection</w:t>
      </w:r>
    </w:p>
    <w:p w:rsidRPr="009771FE"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9771F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9771FE">
        <w:rPr>
          <w:b/>
          <w:bCs/>
        </w:rPr>
        <w:t>2(a)</w:t>
      </w:r>
      <w:r w:rsidRPr="009771FE" w:rsidR="009C7E97">
        <w:rPr>
          <w:b/>
          <w:bCs/>
        </w:rPr>
        <w:t xml:space="preserve"> </w:t>
      </w:r>
      <w:r w:rsidRPr="009771FE">
        <w:rPr>
          <w:b/>
          <w:bCs/>
        </w:rPr>
        <w:t>Need/Authority for the Collection</w:t>
      </w:r>
    </w:p>
    <w:p w:rsidRPr="009771FE"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9771FE" w:rsidR="00CA4CD6" w:rsidRDefault="00CA4CD6" w14:paraId="1B2AF144" w14:textId="40612213">
      <w:pPr>
        <w:pBdr>
          <w:top w:val="single" w:color="FFFFFF" w:sz="6" w:space="0"/>
          <w:left w:val="single" w:color="FFFFFF" w:sz="6" w:space="0"/>
          <w:bottom w:val="single" w:color="FFFFFF" w:sz="6" w:space="0"/>
          <w:right w:val="single" w:color="FFFFFF" w:sz="6" w:space="0"/>
        </w:pBdr>
        <w:ind w:firstLine="720"/>
      </w:pPr>
      <w:r w:rsidRPr="009771FE">
        <w:t>The EPA is charged under Section 112 of the Clean Air Act, as amended, to establish standards of performance for each category or subcategory of major sources and area sources of hazardous air pollutants.</w:t>
      </w:r>
      <w:r w:rsidRPr="009771FE" w:rsidR="009C7E97">
        <w:t xml:space="preserve"> </w:t>
      </w:r>
      <w:r w:rsidRPr="009771FE">
        <w:t>These standards are applicable to new or existing sources of hazardous air pollutants and shall require the maximum degree of emission reduction.</w:t>
      </w:r>
      <w:r w:rsidR="009771FE">
        <w:t xml:space="preserve"> </w:t>
      </w:r>
      <w:r w:rsidRPr="009771FE">
        <w:t xml:space="preserve">In addition, section 114(a) states that the Administrator may require any owner/operator subject to any requirement of this Act to: </w:t>
      </w:r>
    </w:p>
    <w:p w:rsidRPr="009771F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9771FE" w:rsidR="00CA4CD6" w:rsidRDefault="00CA4CD6" w14:paraId="33AC57AC" w14:textId="339A541A">
      <w:pPr>
        <w:pBdr>
          <w:top w:val="single" w:color="FFFFFF" w:sz="6" w:space="0"/>
          <w:left w:val="single" w:color="FFFFFF" w:sz="6" w:space="0"/>
          <w:bottom w:val="single" w:color="FFFFFF" w:sz="6" w:space="0"/>
          <w:right w:val="single" w:color="FFFFFF" w:sz="6" w:space="0"/>
        </w:pBdr>
        <w:ind w:left="1440" w:right="1440"/>
      </w:pPr>
      <w:r w:rsidRPr="009771FE">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9771FE">
        <w:lastRenderedPageBreak/>
        <w:t>compliance certifications in accordance with Section 114(a)(3); and (G) provide such other information as the Administrator may reasonably require.</w:t>
      </w:r>
    </w:p>
    <w:p w:rsidRPr="009771FE"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9771FE" w:rsidR="00CA4CD6" w:rsidP="009771FE" w:rsidRDefault="00CA4CD6" w14:paraId="5D6E9AB5" w14:textId="3AA230CF">
      <w:pPr>
        <w:pBdr>
          <w:top w:val="single" w:color="FFFFFF" w:sz="6" w:space="0"/>
          <w:left w:val="single" w:color="FFFFFF" w:sz="6" w:space="0"/>
          <w:bottom w:val="single" w:color="FFFFFF" w:sz="6" w:space="0"/>
          <w:right w:val="single" w:color="FFFFFF" w:sz="6" w:space="0"/>
        </w:pBdr>
        <w:ind w:firstLine="720"/>
      </w:pPr>
      <w:r w:rsidRPr="009771FE">
        <w:t xml:space="preserve">In the Administrator's judgment, </w:t>
      </w:r>
      <w:r w:rsidRPr="009771FE" w:rsidR="009771FE">
        <w:t xml:space="preserve">hazardous air </w:t>
      </w:r>
      <w:r w:rsidRPr="009771FE">
        <w:t xml:space="preserve">pollutant </w:t>
      </w:r>
      <w:r w:rsidRPr="009771FE" w:rsidR="009771FE">
        <w:t xml:space="preserve">emissions from furniture surface coating facilities </w:t>
      </w:r>
      <w:r w:rsidR="00FA4410">
        <w:t xml:space="preserve">either </w:t>
      </w:r>
      <w:r w:rsidRPr="009771FE">
        <w:t xml:space="preserve">cause or contribute to air pollution that may reasonably be anticipated to endanger public health </w:t>
      </w:r>
      <w:r w:rsidR="00FA4410">
        <w:t>and/</w:t>
      </w:r>
      <w:r w:rsidRPr="009771FE">
        <w:t>or welfare.</w:t>
      </w:r>
      <w:r w:rsidRPr="009771FE" w:rsidR="009C7E97">
        <w:t xml:space="preserve"> </w:t>
      </w:r>
      <w:r w:rsidRPr="009771FE">
        <w:t>Therefore, the</w:t>
      </w:r>
      <w:r w:rsidRPr="009771FE" w:rsidR="009771FE">
        <w:t xml:space="preserve"> NESHAP </w:t>
      </w:r>
      <w:r w:rsidRPr="009771FE">
        <w:t xml:space="preserve">were promulgated for this source category at 40 CFR </w:t>
      </w:r>
      <w:r w:rsidRPr="009771FE" w:rsidR="006810C3">
        <w:t xml:space="preserve">Part </w:t>
      </w:r>
      <w:r w:rsidRPr="009771FE">
        <w:t>63</w:t>
      </w:r>
      <w:r w:rsidRPr="009771FE" w:rsidR="009771FE">
        <w:t xml:space="preserve">, Subpart RRRR. </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Pr="00205D4D" w:rsidR="00CA4CD6" w:rsidP="009771FE" w:rsidRDefault="00CA4CD6" w14:paraId="16A166A4" w14:textId="17C25A64">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2(b)</w:t>
      </w:r>
      <w:r w:rsidR="009C7E97">
        <w:rPr>
          <w:b/>
          <w:bCs/>
          <w:color w:val="000000"/>
        </w:rPr>
        <w:t xml:space="preserve"> </w:t>
      </w:r>
      <w:r>
        <w:rPr>
          <w:b/>
          <w:bCs/>
          <w:color w:val="000000"/>
        </w:rPr>
        <w:t>Practical Utility/Users of the Data</w:t>
      </w:r>
    </w:p>
    <w:p w:rsidRPr="00985FDE"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985FDE" w:rsidR="00CA4CD6" w:rsidRDefault="00CA4CD6" w14:paraId="0991F016" w14:textId="5EA70142">
      <w:pPr>
        <w:pBdr>
          <w:top w:val="single" w:color="FFFFFF" w:sz="6" w:space="0"/>
          <w:left w:val="single" w:color="FFFFFF" w:sz="6" w:space="0"/>
          <w:bottom w:val="single" w:color="FFFFFF" w:sz="6" w:space="0"/>
          <w:right w:val="single" w:color="FFFFFF" w:sz="6" w:space="0"/>
        </w:pBdr>
        <w:ind w:firstLine="720"/>
      </w:pPr>
      <w:r w:rsidRPr="00985FDE">
        <w:t>The recordkeeping and reporting requirements in the</w:t>
      </w:r>
      <w:r w:rsidR="00FA4410">
        <w:t>se</w:t>
      </w:r>
      <w:r w:rsidRPr="00985FDE">
        <w:t xml:space="preserve"> standard</w:t>
      </w:r>
      <w:r w:rsidR="00FA4410">
        <w:t>s</w:t>
      </w:r>
      <w:r w:rsidRPr="00985FDE">
        <w:t xml:space="preserve"> ensure compliance with the applicable regulations which </w:t>
      </w:r>
      <w:r w:rsidRPr="00985FDE" w:rsidR="00556535">
        <w:t>were</w:t>
      </w:r>
      <w:r w:rsidRPr="00985FDE">
        <w:t xml:space="preserve"> promulgated in accordance with the Clean Air Act.</w:t>
      </w:r>
      <w:r w:rsidRPr="00985FDE" w:rsidR="009C7E97">
        <w:t xml:space="preserve"> </w:t>
      </w:r>
      <w:r w:rsidRPr="00985FDE">
        <w:t>The collected information is also used for targeting inspections and as evidence in legal proceedings.</w:t>
      </w:r>
    </w:p>
    <w:p w:rsidRPr="00985FDE"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985FDE" w:rsidR="00CA4CD6" w:rsidRDefault="00CA4CD6" w14:paraId="218DE045" w14:textId="70D48C05">
      <w:pPr>
        <w:pBdr>
          <w:top w:val="single" w:color="FFFFFF" w:sz="6" w:space="0"/>
          <w:left w:val="single" w:color="FFFFFF" w:sz="6" w:space="0"/>
          <w:bottom w:val="single" w:color="FFFFFF" w:sz="6" w:space="0"/>
          <w:right w:val="single" w:color="FFFFFF" w:sz="6" w:space="0"/>
        </w:pBdr>
        <w:ind w:firstLine="720"/>
      </w:pPr>
      <w:r w:rsidRPr="00985FDE">
        <w:t>Performance tests are required in order to determine an affected facility</w:t>
      </w:r>
      <w:r w:rsidRPr="00985FDE" w:rsidR="00724BC7">
        <w:t>’</w:t>
      </w:r>
      <w:r w:rsidRPr="00985FDE">
        <w:t xml:space="preserve">s initial capability to comply with the emission standard. Continuous emission monitors are used to </w:t>
      </w:r>
      <w:proofErr w:type="gramStart"/>
      <w:r w:rsidRPr="00985FDE">
        <w:t>ensure compliance with the</w:t>
      </w:r>
      <w:r w:rsidR="00FA4410">
        <w:t>se</w:t>
      </w:r>
      <w:r w:rsidRPr="00985FDE">
        <w:t xml:space="preserve"> standard</w:t>
      </w:r>
      <w:r w:rsidR="00FA4410">
        <w:t>s</w:t>
      </w:r>
      <w:r w:rsidRPr="00985FDE">
        <w:t xml:space="preserve"> at all times</w:t>
      </w:r>
      <w:proofErr w:type="gramEnd"/>
      <w:r w:rsidRPr="00985FDE">
        <w:t>. During the performance test a record of the operating parameters under which compliance was achieved may be recorded and used to determine compliance in place of a continuous emission monitor.</w:t>
      </w:r>
    </w:p>
    <w:p w:rsidRPr="00985FD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985FDE" w:rsidR="00CA4CD6" w:rsidRDefault="00CA4CD6" w14:paraId="14AFE8F2" w14:textId="4195EA44">
      <w:pPr>
        <w:pBdr>
          <w:top w:val="single" w:color="FFFFFF" w:sz="6" w:space="0"/>
          <w:left w:val="single" w:color="FFFFFF" w:sz="6" w:space="0"/>
          <w:bottom w:val="single" w:color="FFFFFF" w:sz="6" w:space="0"/>
          <w:right w:val="single" w:color="FFFFFF" w:sz="6" w:space="0"/>
        </w:pBdr>
        <w:ind w:firstLine="720"/>
      </w:pPr>
      <w:r w:rsidRPr="00985FDE">
        <w:t>The notifications required in the</w:t>
      </w:r>
      <w:r w:rsidR="00FA4410">
        <w:t>se</w:t>
      </w:r>
      <w:r w:rsidRPr="00985FDE">
        <w:t xml:space="preserve"> standard</w:t>
      </w:r>
      <w:r w:rsidR="00FA4410">
        <w:t xml:space="preserve">s </w:t>
      </w:r>
      <w:r w:rsidRPr="00985FDE">
        <w:t>are used to inform the Agency or delegated authority when a source becomes subject to the requirements of the regulations.</w:t>
      </w:r>
      <w:r w:rsidRPr="00985FDE" w:rsidR="009C7E97">
        <w:t xml:space="preserve"> </w:t>
      </w:r>
      <w:r w:rsidRPr="00985FDE">
        <w:t>The reviewing authority may then inspect the source to check if the pollution control devices are properly installed and operated</w:t>
      </w:r>
      <w:r w:rsidRPr="00985FDE" w:rsidR="00985FDE">
        <w:t xml:space="preserve">, </w:t>
      </w:r>
      <w:r w:rsidRPr="00985FDE">
        <w:t>leaks are being detected and repaired</w:t>
      </w:r>
      <w:r w:rsidRPr="00985FDE" w:rsidR="00985FDE">
        <w:t xml:space="preserve">, </w:t>
      </w:r>
      <w:r w:rsidRPr="00985FDE">
        <w:t xml:space="preserve">and </w:t>
      </w:r>
      <w:r w:rsidR="00FA4410">
        <w:t xml:space="preserve">that </w:t>
      </w:r>
      <w:r w:rsidRPr="00985FDE">
        <w:t>the</w:t>
      </w:r>
      <w:r w:rsidR="00FA4410">
        <w:t xml:space="preserve">se </w:t>
      </w:r>
      <w:r w:rsidRPr="00985FDE">
        <w:t>standard</w:t>
      </w:r>
      <w:r w:rsidRPr="00985FDE" w:rsidR="00985FDE">
        <w:t xml:space="preserve">s are </w:t>
      </w:r>
      <w:r w:rsidRPr="00985FDE">
        <w:t>being met.</w:t>
      </w:r>
      <w:r w:rsidRPr="00985FDE" w:rsidR="009C7E97">
        <w:t xml:space="preserve"> </w:t>
      </w:r>
      <w:r w:rsidRPr="00985FDE">
        <w:t>The performance test may also be observed.</w:t>
      </w:r>
    </w:p>
    <w:p w:rsidRPr="00985FDE"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695112" w:rsidP="00985FDE" w:rsidRDefault="00CA4CD6" w14:paraId="40FCA135" w14:textId="7DB10F14">
      <w:pPr>
        <w:pBdr>
          <w:top w:val="single" w:color="FFFFFF" w:sz="6" w:space="0"/>
          <w:left w:val="single" w:color="FFFFFF" w:sz="6" w:space="0"/>
          <w:bottom w:val="single" w:color="FFFFFF" w:sz="6" w:space="0"/>
          <w:right w:val="single" w:color="FFFFFF" w:sz="6" w:space="0"/>
        </w:pBdr>
        <w:ind w:firstLine="720"/>
        <w:rPr>
          <w:color w:val="FF0000"/>
        </w:rPr>
      </w:pPr>
      <w:r w:rsidRPr="00985FDE">
        <w:t>The required semiannual reports are used to determine periods of excess emissions, identify problems at the facility, verify operation/maintenance procedures</w:t>
      </w:r>
      <w:r w:rsidR="00FA4410">
        <w:t>,</w:t>
      </w:r>
      <w:r w:rsidRPr="00985FDE">
        <w:t xml:space="preserve"> and for compliance determinations.</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00E01C15" w:rsidP="00985FDE" w:rsidRDefault="008E72CE" w14:paraId="44885690" w14:textId="52B2B774">
      <w:pPr>
        <w:ind w:firstLine="720"/>
      </w:pPr>
      <w:r w:rsidRPr="00985FDE">
        <w:t>Additionally, the EPA is requiring electronic reporting for certain notifications or reports.</w:t>
      </w:r>
      <w:r>
        <w:t xml:space="preserve"> </w:t>
      </w:r>
      <w:r w:rsidR="00E01C15">
        <w:t>The EPA is</w:t>
      </w:r>
      <w:r w:rsidR="00985FDE">
        <w:t xml:space="preserve"> requiring </w:t>
      </w:r>
      <w:r w:rsidR="00E01C15">
        <w:t>that owners or operators of affected sources would submit electronic copies of</w:t>
      </w:r>
      <w:r w:rsidRPr="3CCE80CD" w:rsidR="00E01C15">
        <w:rPr>
          <w:color w:val="FF0000"/>
        </w:rPr>
        <w:t xml:space="preserve"> </w:t>
      </w:r>
      <w:r w:rsidR="00E01C15">
        <w:t xml:space="preserve">initial notifications </w:t>
      </w:r>
      <w:r w:rsidRPr="0013217C" w:rsidR="00E01C15">
        <w:t xml:space="preserve">required in 40 CFR 63.9(b), </w:t>
      </w:r>
      <w:r w:rsidRPr="0013217C" w:rsidR="0013217C">
        <w:t xml:space="preserve">change in information required in 40 CFR 63.9(j), </w:t>
      </w:r>
      <w:r w:rsidRPr="0013217C" w:rsidR="00E01C15">
        <w:t>notifications of compliance status required in 40 CFR 63.</w:t>
      </w:r>
      <w:r w:rsidRPr="0013217C" w:rsidR="0013217C">
        <w:t>4921(b)</w:t>
      </w:r>
      <w:r w:rsidRPr="0013217C" w:rsidR="00E01C15">
        <w:t>, performance test reports</w:t>
      </w:r>
      <w:r w:rsidRPr="0013217C" w:rsidR="0013217C">
        <w:t xml:space="preserve"> required in 40 CFR 63.4921(a)(1)</w:t>
      </w:r>
      <w:r w:rsidRPr="0013217C" w:rsidR="00E01C15">
        <w:t>, and semiannual reports</w:t>
      </w:r>
      <w:r w:rsidRPr="0013217C" w:rsidR="0013217C">
        <w:t xml:space="preserve"> required in 40 CFR 63.4921(c)</w:t>
      </w:r>
      <w:r w:rsidRPr="0013217C" w:rsidR="00E01C15">
        <w:t xml:space="preserve"> through the EPA's Central Data Exchange (CDX), using the Compliance and Emissions Data Reporting Interface (CEDRI). For semiannual reports, EPA</w:t>
      </w:r>
      <w:r w:rsidRPr="0013217C" w:rsidR="0013217C">
        <w:t xml:space="preserve"> has developed </w:t>
      </w:r>
      <w:r w:rsidRPr="0013217C" w:rsidR="00E01C15">
        <w:t xml:space="preserve">a template for the reporting form in CEDRI specifically for 40 CFR </w:t>
      </w:r>
      <w:r w:rsidRPr="0013217C" w:rsidR="00AC4478">
        <w:t xml:space="preserve">Part </w:t>
      </w:r>
      <w:r w:rsidRPr="0013217C" w:rsidR="0013217C">
        <w:t>63, Subpart RRRR</w:t>
      </w:r>
      <w:r w:rsidRPr="0013217C" w:rsidR="008D3C95">
        <w:t>.</w:t>
      </w:r>
      <w:r w:rsidRPr="0013217C" w:rsidR="2E11D347">
        <w:t xml:space="preserve"> For the notifications required in 40 CFR 63.9(b) and 63.9(j)</w:t>
      </w:r>
      <w:r w:rsidR="000D5C7F">
        <w:t xml:space="preserve"> and 40 CFR 63.4921(b)</w:t>
      </w:r>
      <w:r w:rsidRPr="0013217C" w:rsidR="2E11D347">
        <w:t>, owners and operators would be required to upload a PDF of the required notifications.</w:t>
      </w:r>
      <w:r w:rsidRPr="0013217C" w:rsidR="008D4B68">
        <w:t xml:space="preserve"> </w:t>
      </w:r>
    </w:p>
    <w:p w:rsidR="00C3430C" w:rsidP="00E01C15" w:rsidRDefault="00C3430C" w14:paraId="10A5897D" w14:textId="77777777"/>
    <w:p w:rsidR="00E01C15" w:rsidP="00673313" w:rsidRDefault="00E01C15" w14:paraId="3D6DA542" w14:textId="3C9FE5A0">
      <w:pPr>
        <w:ind w:firstLine="720"/>
      </w:pPr>
      <w:r>
        <w:t xml:space="preserve">CEDRI includes the Electronic Reporting Tool (ERT) software, which is used by facilities to generate electronic reports of performance tests. </w:t>
      </w:r>
      <w:r w:rsidR="00FA4410">
        <w:t xml:space="preserve">The </w:t>
      </w:r>
      <w:r>
        <w:t>EPA is also</w:t>
      </w:r>
      <w:r w:rsidR="0013217C">
        <w:t xml:space="preserve"> requiring </w:t>
      </w:r>
      <w:r>
        <w:t xml:space="preserve">that </w:t>
      </w:r>
      <w:r w:rsidRPr="0013217C" w:rsidR="0013217C">
        <w:t xml:space="preserve">40 CFR Part 63, Subpart RRRR </w:t>
      </w:r>
      <w:r>
        <w:t>performance test reports be submitted through the EPA’s ERT.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D38F7DA">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3.</w:t>
      </w:r>
      <w:r w:rsidR="009C7E97">
        <w:rPr>
          <w:b/>
          <w:bCs/>
          <w:color w:val="000000"/>
        </w:rPr>
        <w:t xml:space="preserve"> </w:t>
      </w:r>
      <w:r>
        <w:rPr>
          <w:b/>
          <w:bCs/>
          <w:color w:val="000000"/>
        </w:rPr>
        <w:t>Non</w:t>
      </w:r>
      <w:r w:rsidR="00FA4410">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615F7A41">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sidRPr="00421E9B" w:rsidR="00421E9B">
        <w:rPr>
          <w:color w:val="000000"/>
        </w:rPr>
        <w:t>40 CFR Part 63, Subpart RRRR</w:t>
      </w:r>
      <w:r w:rsidR="00421E9B">
        <w:rPr>
          <w:color w:val="000000"/>
        </w:rPr>
        <w:t xml:space="preserve">. </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D89400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FA4410">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421E9B" w:rsidR="00B8740D" w:rsidP="00B8740D" w:rsidRDefault="00B8740D" w14:paraId="7EFA7724" w14:textId="005208D5">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 xml:space="preserve">For reports </w:t>
      </w:r>
      <w:r w:rsidRPr="00421E9B">
        <w:t>required to be submitted electronically</w:t>
      </w:r>
      <w:r w:rsidRPr="00421E9B">
        <w:rPr>
          <w:shd w:val="clear" w:color="auto" w:fill="FFFFFF"/>
        </w:rPr>
        <w:t xml:space="preserve">, the information is sent through the EPA's CDX, using CEDRI, where the appropriate EPA regional office can review it, as well as </w:t>
      </w:r>
      <w:r w:rsidR="00FA4410">
        <w:rPr>
          <w:shd w:val="clear" w:color="auto" w:fill="FFFFFF"/>
        </w:rPr>
        <w:t xml:space="preserve">for </w:t>
      </w:r>
      <w:r w:rsidRPr="00421E9B">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421E9B" w:rsidR="00B8740D" w:rsidP="00B8740D" w:rsidRDefault="00B8740D" w14:paraId="69B99065" w14:textId="77777777">
      <w:pPr>
        <w:rPr>
          <w:shd w:val="clear" w:color="auto" w:fill="FFFFFF"/>
        </w:rPr>
      </w:pPr>
    </w:p>
    <w:p w:rsidRPr="00421E9B" w:rsidR="00B8740D" w:rsidP="00B8740D" w:rsidRDefault="00B8740D" w14:paraId="0EE55753" w14:textId="4CAC4F73">
      <w:pPr>
        <w:rPr>
          <w:shd w:val="clear" w:color="auto" w:fill="FFFFFF"/>
        </w:rPr>
      </w:pPr>
      <w:r w:rsidRPr="00421E9B">
        <w:rPr>
          <w:shd w:val="clear" w:color="auto" w:fill="FFFFFF"/>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w:t>
      </w:r>
      <w:r w:rsidR="00FA4410">
        <w:rPr>
          <w:shd w:val="clear" w:color="auto" w:fill="FFFFFF"/>
        </w:rPr>
        <w:t xml:space="preserve"> either</w:t>
      </w:r>
      <w:r w:rsidRPr="00421E9B">
        <w:rPr>
          <w:shd w:val="clear" w:color="auto" w:fill="FFFFFF"/>
        </w:rPr>
        <w:t xml:space="preserve"> the state or local agency can be sent to the Administrator in lieu of the report required by the Federal standards. Therefore, duplication does not exist. </w:t>
      </w:r>
    </w:p>
    <w:bookmarkEnd w:id="0"/>
    <w:p w:rsidRPr="00421E9B"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421E9B"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421E9B">
        <w:rPr>
          <w:b/>
          <w:bCs/>
        </w:rPr>
        <w:t>3(b)</w:t>
      </w:r>
      <w:r w:rsidRPr="00421E9B" w:rsidR="009C7E97">
        <w:rPr>
          <w:b/>
          <w:bCs/>
        </w:rPr>
        <w:t xml:space="preserve"> </w:t>
      </w:r>
      <w:r w:rsidRPr="00421E9B">
        <w:rPr>
          <w:b/>
          <w:bCs/>
        </w:rPr>
        <w:t>Public Notice Required Prior to ICR Submission to OMB</w:t>
      </w:r>
    </w:p>
    <w:p w:rsidRPr="00421E9B"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421E9B" w:rsidR="00CA4CD6" w:rsidP="00421E9B" w:rsidRDefault="00CA4CD6" w14:paraId="0C7D8B1F" w14:textId="6E7BFD3A">
      <w:pPr>
        <w:pBdr>
          <w:top w:val="single" w:color="FFFFFF" w:sz="6" w:space="0"/>
          <w:left w:val="single" w:color="FFFFFF" w:sz="6" w:space="0"/>
          <w:bottom w:val="single" w:color="FFFFFF" w:sz="6" w:space="0"/>
          <w:right w:val="single" w:color="FFFFFF" w:sz="6" w:space="0"/>
        </w:pBdr>
        <w:ind w:firstLine="720"/>
      </w:pPr>
      <w:r w:rsidRPr="00421E9B">
        <w:t xml:space="preserve">An announcement of a public comment period for the renewal of this ICR was published in the </w:t>
      </w:r>
      <w:r w:rsidRPr="00421E9B">
        <w:rPr>
          <w:i/>
        </w:rPr>
        <w:t>Federal Register</w:t>
      </w:r>
      <w:r w:rsidRPr="00421E9B">
        <w:t xml:space="preserve"> (</w:t>
      </w:r>
      <w:r w:rsidRPr="00421E9B" w:rsidR="00421E9B">
        <w:t xml:space="preserve">86 FR 19256) on April 13, 2021. </w:t>
      </w:r>
      <w:r w:rsidRPr="00421E9B">
        <w:t xml:space="preserve">No comments were received on the burden published in the </w:t>
      </w:r>
      <w:r w:rsidRPr="00421E9B">
        <w:rPr>
          <w:i/>
        </w:rPr>
        <w:t>Federal Register</w:t>
      </w:r>
      <w:r w:rsidRPr="00421E9B" w:rsidR="00DC56DE">
        <w:rPr>
          <w:i/>
        </w:rPr>
        <w:t xml:space="preserve"> </w:t>
      </w:r>
      <w:r w:rsidRPr="00421E9B" w:rsidR="00DC56DE">
        <w:t>for this renewal</w:t>
      </w:r>
      <w:r w:rsidRPr="00421E9B">
        <w:t xml:space="preserve">. </w:t>
      </w:r>
    </w:p>
    <w:p w:rsidRPr="00421E9B"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421E9B"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421E9B">
        <w:rPr>
          <w:b/>
          <w:bCs/>
        </w:rPr>
        <w:t>3(c)</w:t>
      </w:r>
      <w:r w:rsidRPr="00421E9B" w:rsidR="009C7E97">
        <w:rPr>
          <w:b/>
          <w:bCs/>
        </w:rPr>
        <w:t xml:space="preserve"> </w:t>
      </w:r>
      <w:r w:rsidRPr="00421E9B">
        <w:rPr>
          <w:b/>
          <w:bCs/>
        </w:rPr>
        <w:t>Consultations</w:t>
      </w:r>
    </w:p>
    <w:p w:rsidRPr="00421E9B" w:rsidR="00421E9B" w:rsidP="00CC5B39" w:rsidRDefault="00421E9B" w14:paraId="72F6C7AF" w14:textId="77777777">
      <w:pPr>
        <w:ind w:firstLine="720"/>
      </w:pPr>
    </w:p>
    <w:p w:rsidRPr="00421E9B" w:rsidR="00277F42" w:rsidP="00CC5B39" w:rsidRDefault="002B6993" w14:paraId="7E521393" w14:textId="63798E78">
      <w:pPr>
        <w:ind w:firstLine="720"/>
        <w:rPr>
          <w:strike/>
          <w:sz w:val="22"/>
          <w:szCs w:val="22"/>
        </w:rPr>
      </w:pPr>
      <w:r w:rsidRPr="00421E9B">
        <w:t>The Agency has consulted i</w:t>
      </w:r>
      <w:r w:rsidRPr="00421E9B" w:rsidR="00E25DB6">
        <w:rPr>
          <w:bCs/>
        </w:rPr>
        <w:t xml:space="preserve">ndustry experts and internal data sources </w:t>
      </w:r>
      <w:r w:rsidRPr="00421E9B">
        <w:rPr>
          <w:bCs/>
        </w:rPr>
        <w:t xml:space="preserve">to </w:t>
      </w:r>
      <w:r w:rsidRPr="00421E9B" w:rsidR="00E25DB6">
        <w:rPr>
          <w:bCs/>
        </w:rPr>
        <w:t>project</w:t>
      </w:r>
      <w:r w:rsidRPr="00421E9B">
        <w:rPr>
          <w:bCs/>
        </w:rPr>
        <w:t xml:space="preserve"> the number of affected facilities and </w:t>
      </w:r>
      <w:r w:rsidRPr="00421E9B" w:rsidR="00E25DB6">
        <w:rPr>
          <w:bCs/>
        </w:rPr>
        <w:t>industry growth over the next three years.</w:t>
      </w:r>
      <w:r w:rsidRPr="00421E9B" w:rsidR="009C7E97">
        <w:rPr>
          <w:b/>
          <w:bCs/>
        </w:rPr>
        <w:t xml:space="preserve"> </w:t>
      </w:r>
      <w:r w:rsidRPr="00421E9B" w:rsidR="00277F42">
        <w:t>The primary source of information as reported by industry, in compliance with the recordkeeping and reporting provisions in the</w:t>
      </w:r>
      <w:r w:rsidR="00FA4410">
        <w:t>se</w:t>
      </w:r>
      <w:r w:rsidRPr="00421E9B" w:rsidR="00277F42">
        <w:t xml:space="preserve"> standard</w:t>
      </w:r>
      <w:r w:rsidR="00FA4410">
        <w:t>s</w:t>
      </w:r>
      <w:r w:rsidRPr="00421E9B" w:rsidR="00277F42">
        <w:t xml:space="preserve">, </w:t>
      </w:r>
      <w:r w:rsidRPr="00421E9B" w:rsidR="00CC5B39">
        <w:t>is the Integrated Compliance Information System (ICIS).</w:t>
      </w:r>
      <w:r w:rsidRPr="00421E9B" w:rsidR="009C7E97">
        <w:t xml:space="preserve"> </w:t>
      </w:r>
      <w:r w:rsidRPr="00421E9B" w:rsidR="00CC5B39">
        <w:t>ICIS is EPA’s database for the collection, maintenance, and retrieval of compliance data for industrial and government-owned facilities.</w:t>
      </w:r>
      <w:r w:rsidRPr="00421E9B" w:rsidR="009C7E97">
        <w:rPr>
          <w:sz w:val="22"/>
          <w:szCs w:val="22"/>
        </w:rPr>
        <w:t xml:space="preserve"> </w:t>
      </w:r>
      <w:r w:rsidRPr="00421E9B" w:rsidR="00277F42">
        <w:t>The growth rate for the industry is based on our consultations with the Agency’s internal industry experts. Approximately</w:t>
      </w:r>
      <w:r w:rsidRPr="00421E9B" w:rsidR="00421E9B">
        <w:t xml:space="preserve"> 16</w:t>
      </w:r>
      <w:r w:rsidRPr="00421E9B" w:rsidR="00277F42">
        <w:t xml:space="preserve"> respondents will be subject to the</w:t>
      </w:r>
      <w:r w:rsidR="00FA4410">
        <w:t>se</w:t>
      </w:r>
      <w:r w:rsidRPr="00421E9B" w:rsidR="00277F42">
        <w:t xml:space="preserve"> standard</w:t>
      </w:r>
      <w:r w:rsidR="00FA4410">
        <w:t>s</w:t>
      </w:r>
      <w:r w:rsidRPr="00421E9B" w:rsidR="00277F42">
        <w:t xml:space="preserve"> over the </w:t>
      </w:r>
      <w:r w:rsidRPr="00421E9B" w:rsidR="00647BBB">
        <w:t>three-year</w:t>
      </w:r>
      <w:r w:rsidRPr="00421E9B" w:rsidR="00277F42">
        <w:t xml:space="preserve"> period covered by this ICR.</w:t>
      </w:r>
    </w:p>
    <w:p w:rsidRPr="00421E9B" w:rsidR="00277F42" w:rsidP="00277F42" w:rsidRDefault="00277F42" w14:paraId="2DC5F7D3" w14:textId="77777777"/>
    <w:p w:rsidRPr="00421E9B" w:rsidR="00123889" w:rsidP="00421E9B" w:rsidRDefault="0029006A" w14:paraId="1EC1123A" w14:textId="318C4F99">
      <w:pPr>
        <w:ind w:firstLine="720"/>
      </w:pPr>
      <w:r w:rsidRPr="00421E9B">
        <w:t>I</w:t>
      </w:r>
      <w:r w:rsidRPr="00421E9B" w:rsidR="00123889">
        <w:t>ndustry trade association</w:t>
      </w:r>
      <w:r w:rsidRPr="00421E9B" w:rsidR="00421E9B">
        <w:t>s</w:t>
      </w:r>
      <w:r w:rsidRPr="00421E9B" w:rsidR="00123889">
        <w:t xml:space="preserve"> and other interested parties were provided an opportunity to comment on the burden associated with the</w:t>
      </w:r>
      <w:r w:rsidR="00FA4410">
        <w:t>se</w:t>
      </w:r>
      <w:r w:rsidRPr="00421E9B" w:rsidR="00123889">
        <w:t xml:space="preserve"> standard</w:t>
      </w:r>
      <w:r w:rsidR="00FA4410">
        <w:t>s</w:t>
      </w:r>
      <w:r w:rsidRPr="00421E9B" w:rsidR="00123889">
        <w:t xml:space="preserve"> as </w:t>
      </w:r>
      <w:r w:rsidR="00FA4410">
        <w:t xml:space="preserve">they were </w:t>
      </w:r>
      <w:r w:rsidRPr="00421E9B" w:rsidR="00123889">
        <w:t xml:space="preserve">being developed and </w:t>
      </w:r>
      <w:r w:rsidR="00FA4410">
        <w:t xml:space="preserve">that </w:t>
      </w:r>
      <w:r w:rsidRPr="00421E9B" w:rsidR="00123889">
        <w:t>the</w:t>
      </w:r>
      <w:r w:rsidR="00FA4410">
        <w:t>se same</w:t>
      </w:r>
      <w:r w:rsidRPr="00421E9B" w:rsidR="00123889">
        <w:t xml:space="preserve"> standard</w:t>
      </w:r>
      <w:r w:rsidR="00FA4410">
        <w:t>s</w:t>
      </w:r>
      <w:r w:rsidRPr="00421E9B" w:rsidR="00123889">
        <w:t xml:space="preserve"> ha</w:t>
      </w:r>
      <w:r w:rsidR="00FA4410">
        <w:t>ve</w:t>
      </w:r>
      <w:r w:rsidRPr="00421E9B" w:rsidR="00123889">
        <w:t xml:space="preserve"> been reviewed </w:t>
      </w:r>
      <w:r w:rsidRPr="00FA4410" w:rsidR="00FA4410">
        <w:t>previously</w:t>
      </w:r>
      <w:r w:rsidRPr="00FA4410" w:rsidR="00FA4410">
        <w:t xml:space="preserve"> </w:t>
      </w:r>
      <w:r w:rsidRPr="00421E9B" w:rsidR="00123889">
        <w:t>to determine the minimum information needed for compliance purposes.</w:t>
      </w:r>
      <w:r w:rsidRPr="00421E9B" w:rsidR="001433D3">
        <w:t xml:space="preserve"> In developing this ICR, we contacted both the </w:t>
      </w:r>
      <w:r w:rsidRPr="00421E9B" w:rsidR="00421E9B">
        <w:t>Powder Coating Institute</w:t>
      </w:r>
      <w:r w:rsidR="00FA4410">
        <w:t>,</w:t>
      </w:r>
      <w:r w:rsidRPr="00421E9B" w:rsidR="00421E9B">
        <w:t xml:space="preserve"> at (859) 525-9988</w:t>
      </w:r>
      <w:r w:rsidR="00FA4410">
        <w:t>,</w:t>
      </w:r>
      <w:r w:rsidRPr="00421E9B" w:rsidR="00421E9B">
        <w:t xml:space="preserve"> and the American Coatings Association</w:t>
      </w:r>
      <w:r w:rsidR="00FA4410">
        <w:t>,</w:t>
      </w:r>
      <w:r w:rsidRPr="00421E9B" w:rsidR="00421E9B">
        <w:t xml:space="preserve"> at (202) 462-6272. </w:t>
      </w:r>
    </w:p>
    <w:p w:rsidRPr="00421E9B" w:rsidR="00277F42" w:rsidP="00123889" w:rsidRDefault="00277F42" w14:paraId="6FE4F3DD" w14:textId="77777777"/>
    <w:p w:rsidRPr="00421E9B" w:rsidR="00CF2B37" w:rsidP="00421E9B" w:rsidRDefault="00D42D52" w14:paraId="12978817" w14:textId="78B9B127">
      <w:pPr>
        <w:widowControl/>
        <w:ind w:firstLine="720"/>
      </w:pPr>
      <w:r w:rsidRPr="00421E9B">
        <w:rPr>
          <w:bCs/>
        </w:rPr>
        <w:t>It is our policy to respond after a thorough review of comments received since the last ICR renewal</w:t>
      </w:r>
      <w:r w:rsidR="00FA4410">
        <w:rPr>
          <w:bCs/>
        </w:rPr>
        <w:t>,</w:t>
      </w:r>
      <w:r w:rsidRPr="00421E9B">
        <w:rPr>
          <w:bCs/>
        </w:rPr>
        <w:t xml:space="preserve"> as well as </w:t>
      </w:r>
      <w:r w:rsidR="00FA4410">
        <w:rPr>
          <w:bCs/>
        </w:rPr>
        <w:t xml:space="preserve">for </w:t>
      </w:r>
      <w:r w:rsidRPr="00421E9B">
        <w:rPr>
          <w:bCs/>
        </w:rPr>
        <w:t xml:space="preserve">those submitted in response to the </w:t>
      </w:r>
      <w:r w:rsidRPr="00421E9B" w:rsidR="005253D4">
        <w:rPr>
          <w:bCs/>
        </w:rPr>
        <w:t>f</w:t>
      </w:r>
      <w:r w:rsidRPr="00421E9B">
        <w:rPr>
          <w:bCs/>
        </w:rPr>
        <w:t xml:space="preserve">irst </w:t>
      </w:r>
      <w:r w:rsidRPr="00421E9B">
        <w:rPr>
          <w:bCs/>
          <w:i/>
        </w:rPr>
        <w:t>Federal Register</w:t>
      </w:r>
      <w:r w:rsidRPr="00421E9B">
        <w:rPr>
          <w:bCs/>
        </w:rPr>
        <w:t xml:space="preserve"> </w:t>
      </w:r>
      <w:r w:rsidRPr="00421E9B" w:rsidR="005253D4">
        <w:rPr>
          <w:bCs/>
        </w:rPr>
        <w:t>n</w:t>
      </w:r>
      <w:r w:rsidRPr="00421E9B">
        <w:rPr>
          <w:bCs/>
        </w:rPr>
        <w:t>otice.</w:t>
      </w:r>
      <w:r w:rsidRPr="00421E9B" w:rsidR="009C7E97">
        <w:rPr>
          <w:bCs/>
        </w:rPr>
        <w:t xml:space="preserve"> </w:t>
      </w:r>
      <w:r w:rsidRPr="00421E9B" w:rsidR="0029006A">
        <w:t>In this case, no comments were received.</w:t>
      </w:r>
      <w:r w:rsidRPr="00421E9B" w:rsidR="009C7E97">
        <w:t xml:space="preserve"> </w:t>
      </w:r>
    </w:p>
    <w:p w:rsidRPr="00421E9B" w:rsidR="00CA4CD6" w:rsidRDefault="00CA4CD6" w14:paraId="3DB64864" w14:textId="390ECC4D">
      <w:pPr>
        <w:pBdr>
          <w:top w:val="single" w:color="FFFFFF" w:sz="6" w:space="0"/>
          <w:left w:val="single" w:color="FFFFFF" w:sz="6" w:space="0"/>
          <w:bottom w:val="single" w:color="FFFFFF" w:sz="6" w:space="0"/>
          <w:right w:val="single" w:color="FFFFFF" w:sz="6" w:space="0"/>
        </w:pBdr>
        <w:ind w:firstLine="720"/>
      </w:pPr>
      <w:r w:rsidRPr="00421E9B">
        <w:rPr>
          <w:b/>
          <w:bCs/>
        </w:rPr>
        <w:lastRenderedPageBreak/>
        <w:t>3(d)</w:t>
      </w:r>
      <w:r w:rsidRPr="00421E9B" w:rsidR="009C7E97">
        <w:rPr>
          <w:b/>
          <w:bCs/>
        </w:rPr>
        <w:t xml:space="preserve"> </w:t>
      </w:r>
      <w:r w:rsidRPr="00421E9B">
        <w:rPr>
          <w:b/>
          <w:bCs/>
        </w:rPr>
        <w:t>Effects of Less</w:t>
      </w:r>
      <w:r w:rsidR="00FA4410">
        <w:rPr>
          <w:b/>
          <w:bCs/>
        </w:rPr>
        <w:t>-</w:t>
      </w:r>
      <w:r w:rsidRPr="00421E9B">
        <w:rPr>
          <w:b/>
          <w:bCs/>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7C06A9C">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FA4410">
        <w:rPr>
          <w:color w:val="000000"/>
        </w:rPr>
        <w:t>-</w:t>
      </w:r>
      <w:r>
        <w:rPr>
          <w:color w:val="000000"/>
        </w:rPr>
        <w:t>frequent information collection would decrease the margin of assurance that facilities are continuing to meet the</w:t>
      </w:r>
      <w:r w:rsidR="00FA4410">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3B0CB1"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3B0CB1">
        <w:t>T</w:t>
      </w:r>
      <w:r w:rsidRPr="003B0CB1" w:rsidR="00CA4CD6">
        <w:t xml:space="preserve">hese reporting or recordkeeping requirements </w:t>
      </w:r>
      <w:r w:rsidRPr="003B0CB1">
        <w:t xml:space="preserve">do not </w:t>
      </w:r>
      <w:r w:rsidRPr="003B0CB1" w:rsidR="00CA4CD6">
        <w:t xml:space="preserve">violate any of the regulations </w:t>
      </w:r>
      <w:r w:rsidRPr="003B0CB1" w:rsidR="00206932">
        <w:t>promulgated by</w:t>
      </w:r>
      <w:r w:rsidRPr="003B0CB1">
        <w:t xml:space="preserve"> </w:t>
      </w:r>
      <w:r w:rsidRPr="003B0CB1" w:rsidR="00CA4CD6">
        <w:t xml:space="preserve">OMB </w:t>
      </w:r>
      <w:r w:rsidRPr="003B0CB1">
        <w:t>under</w:t>
      </w:r>
      <w:r w:rsidRPr="003B0CB1" w:rsidR="00CA4CD6">
        <w:t xml:space="preserve"> 5 CFR </w:t>
      </w:r>
      <w:r w:rsidRPr="003B0CB1" w:rsidR="003B384B">
        <w:t xml:space="preserve">Part </w:t>
      </w:r>
      <w:r w:rsidRPr="003B0CB1" w:rsidR="00CA4CD6">
        <w:t xml:space="preserve">1320, </w:t>
      </w:r>
      <w:r w:rsidRPr="003B0CB1" w:rsidR="003B384B">
        <w:t xml:space="preserve">Section </w:t>
      </w:r>
      <w:r w:rsidRPr="003B0CB1" w:rsidR="00CA4CD6">
        <w:t>1320.5.</w:t>
      </w:r>
    </w:p>
    <w:p w:rsidRPr="003B0CB1"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3B0CB1" w:rsidR="00CA4CD6" w:rsidP="003B0CB1" w:rsidRDefault="00CA4CD6" w14:paraId="2547F7A0" w14:textId="3FB698F8">
      <w:pPr>
        <w:pBdr>
          <w:top w:val="single" w:color="FFFFFF" w:sz="6" w:space="0"/>
          <w:left w:val="single" w:color="FFFFFF" w:sz="6" w:space="0"/>
          <w:bottom w:val="single" w:color="FFFFFF" w:sz="6" w:space="0"/>
          <w:right w:val="single" w:color="FFFFFF" w:sz="6" w:space="0"/>
        </w:pBdr>
        <w:ind w:firstLine="720"/>
      </w:pPr>
      <w:r w:rsidRPr="003B0CB1">
        <w:t>These standards require the respondents to maintain all records, including reports and notifications for at least five years.</w:t>
      </w:r>
      <w:r w:rsidRPr="003B0CB1" w:rsidR="009C7E97">
        <w:t xml:space="preserve"> </w:t>
      </w:r>
      <w:r w:rsidRPr="003B0CB1">
        <w:t>This is consistent with the General Provisions as applied to the standards.</w:t>
      </w:r>
      <w:r w:rsidRPr="003B0CB1" w:rsidR="009C7E97">
        <w:t xml:space="preserve"> </w:t>
      </w:r>
      <w:r w:rsidR="00FA4410">
        <w:t xml:space="preserve">The </w:t>
      </w:r>
      <w:r w:rsidRPr="003B0CB1">
        <w:t xml:space="preserve">EPA believes that the </w:t>
      </w:r>
      <w:r w:rsidRPr="003B0CB1" w:rsidR="0062215C">
        <w:t>five-year</w:t>
      </w:r>
      <w:r w:rsidRPr="003B0CB1">
        <w:t xml:space="preserve"> records retention requirement is consistent </w:t>
      </w:r>
      <w:r w:rsidRPr="003B0CB1" w:rsidR="004A084D">
        <w:t xml:space="preserve">with </w:t>
      </w:r>
      <w:r w:rsidRPr="003B0CB1">
        <w:t>the Part 70 permit program and the five</w:t>
      </w:r>
      <w:r w:rsidRPr="003B0CB1" w:rsidR="0062215C">
        <w:t>-</w:t>
      </w:r>
      <w:r w:rsidRPr="003B0CB1">
        <w:t>year statute of limitations on which the permit program is based.</w:t>
      </w:r>
      <w:r w:rsidRPr="003B0CB1" w:rsidR="009C7E97">
        <w:t xml:space="preserve"> </w:t>
      </w:r>
      <w:r w:rsidRPr="003B0CB1" w:rsidR="005F42F8">
        <w:t>T</w:t>
      </w:r>
      <w:r w:rsidRPr="003B0CB1">
        <w:t>he retention of records for five years allow</w:t>
      </w:r>
      <w:r w:rsidRPr="003B0CB1" w:rsidR="005F42F8">
        <w:t>s</w:t>
      </w:r>
      <w:r w:rsidRPr="003B0CB1">
        <w:t xml:space="preserve"> </w:t>
      </w:r>
      <w:r w:rsidR="00FA4410">
        <w:t xml:space="preserve">the </w:t>
      </w:r>
      <w:r w:rsidRPr="003B0CB1">
        <w:t>EPA to establish the compliance history of a source</w:t>
      </w:r>
      <w:r w:rsidRPr="003B0CB1" w:rsidR="005F42F8">
        <w:t xml:space="preserve">, </w:t>
      </w:r>
      <w:r w:rsidRPr="003B0CB1">
        <w:t xml:space="preserve">any pattern of </w:t>
      </w:r>
      <w:r w:rsidRPr="003B0CB1" w:rsidR="005F42F8">
        <w:t>non-</w:t>
      </w:r>
      <w:r w:rsidRPr="003B0CB1">
        <w:t>compliance</w:t>
      </w:r>
      <w:r w:rsidRPr="003B0CB1" w:rsidR="005F42F8">
        <w:t xml:space="preserve"> and to determine the appropriate level of enforcement action.</w:t>
      </w:r>
      <w:r w:rsidRPr="003B0CB1" w:rsidR="009C7E97">
        <w:t xml:space="preserve"> </w:t>
      </w:r>
      <w:r w:rsidR="00FA4410">
        <w:t xml:space="preserve">The </w:t>
      </w:r>
      <w:r w:rsidRPr="003B0CB1">
        <w:t>EPA has found that the most flagrant violators have violations extending beyond five years.</w:t>
      </w:r>
      <w:r w:rsidRPr="003B0CB1" w:rsidR="009C7E97">
        <w:t xml:space="preserve"> </w:t>
      </w:r>
      <w:r w:rsidRPr="003B0CB1" w:rsidR="005F42F8">
        <w:t xml:space="preserve">In addition, </w:t>
      </w:r>
      <w:r w:rsidRPr="003B0CB1">
        <w:t xml:space="preserve">EPA would be prevented from pursuing the violators due to the destruction or nonexistence of </w:t>
      </w:r>
      <w:r w:rsidRPr="003B0CB1" w:rsidR="005F42F8">
        <w:t xml:space="preserve">essential </w:t>
      </w:r>
      <w:r w:rsidRPr="003B0CB1">
        <w:t>records</w:t>
      </w:r>
      <w:r w:rsidRPr="003B0CB1"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102986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FA4410">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8675DBD">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FA4410">
        <w:rPr>
          <w:color w:val="000000"/>
        </w:rPr>
        <w:t>se</w:t>
      </w:r>
      <w:r>
        <w:rPr>
          <w:color w:val="000000"/>
        </w:rPr>
        <w:t xml:space="preserve"> standard</w:t>
      </w:r>
      <w:r w:rsidR="00FA4410">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B0CB1" w:rsidR="003B0CB1" w:rsidP="003B0CB1" w:rsidRDefault="003B0CB1" w14:paraId="0C6884C2" w14:textId="7BC6A4D5">
      <w:pPr>
        <w:pBdr>
          <w:top w:val="single" w:color="FFFFFF" w:sz="6" w:space="0"/>
          <w:left w:val="single" w:color="FFFFFF" w:sz="6" w:space="0"/>
          <w:bottom w:val="single" w:color="FFFFFF" w:sz="6" w:space="0"/>
          <w:right w:val="single" w:color="FFFFFF" w:sz="6" w:space="0"/>
        </w:pBdr>
        <w:ind w:firstLine="720"/>
      </w:pPr>
      <w:r w:rsidRPr="003B0CB1">
        <w:rPr>
          <w:color w:val="000000"/>
        </w:rPr>
        <w:t xml:space="preserve">The respondents to the recordkeeping and reporting requirements are metal furniture surface coating facilities.  </w:t>
      </w:r>
      <w:r w:rsidRPr="003B0CB1">
        <w:t>The United States Standard Industrial Classification (SIC) code for the respondents affected by the</w:t>
      </w:r>
      <w:r w:rsidR="00FA4410">
        <w:t>se</w:t>
      </w:r>
      <w:r w:rsidRPr="003B0CB1">
        <w:t xml:space="preserve"> standards and the corresponding North American Industry Classification System (NAICS) codes are listed below</w:t>
      </w:r>
      <w:r w:rsidR="00FA4410">
        <w:t>:</w:t>
      </w:r>
      <w:r w:rsidRPr="003B0CB1">
        <w:t xml:space="preserve">  </w:t>
      </w:r>
    </w:p>
    <w:p w:rsidRPr="007E7F12"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419" w:type="dxa"/>
        <w:tblInd w:w="112" w:type="dxa"/>
        <w:tblLayout w:type="fixed"/>
        <w:tblCellMar>
          <w:left w:w="112" w:type="dxa"/>
          <w:right w:w="112" w:type="dxa"/>
        </w:tblCellMar>
        <w:tblLook w:val="0000" w:firstRow="0" w:lastRow="0" w:firstColumn="0" w:lastColumn="0" w:noHBand="0" w:noVBand="0"/>
      </w:tblPr>
      <w:tblGrid>
        <w:gridCol w:w="5729"/>
        <w:gridCol w:w="1980"/>
        <w:gridCol w:w="1710"/>
      </w:tblGrid>
      <w:tr w:rsidRPr="007E7F12" w:rsidR="007E7F12" w:rsidTr="007E7F12" w14:paraId="4654FAA0" w14:textId="77777777">
        <w:trPr>
          <w:trHeight w:val="388"/>
        </w:trPr>
        <w:tc>
          <w:tcPr>
            <w:tcW w:w="5729" w:type="dxa"/>
            <w:tcBorders>
              <w:top w:val="single" w:color="000000" w:sz="7" w:space="0"/>
              <w:left w:val="single" w:color="000000" w:sz="7" w:space="0"/>
              <w:bottom w:val="single" w:color="FFFFFF" w:sz="6" w:space="0"/>
              <w:right w:val="single" w:color="FFFFFF" w:sz="6" w:space="0"/>
            </w:tcBorders>
            <w:vAlign w:val="center"/>
          </w:tcPr>
          <w:p w:rsidRPr="007E7F12" w:rsidR="00CA4CD6" w:rsidP="003B0CB1" w:rsidRDefault="00CA4CD6" w14:paraId="4DA07103" w14:textId="49966535">
            <w:pPr>
              <w:pBdr>
                <w:top w:val="single" w:color="FFFFFF" w:sz="6" w:space="0"/>
                <w:left w:val="single" w:color="FFFFFF" w:sz="6" w:space="0"/>
                <w:bottom w:val="single" w:color="FFFFFF" w:sz="6" w:space="0"/>
                <w:right w:val="single" w:color="FFFFFF" w:sz="6" w:space="0"/>
              </w:pBdr>
              <w:jc w:val="center"/>
              <w:rPr>
                <w:b/>
                <w:bCs/>
              </w:rPr>
            </w:pPr>
            <w:r w:rsidRPr="007E7F12">
              <w:rPr>
                <w:b/>
                <w:bCs/>
              </w:rPr>
              <w:lastRenderedPageBreak/>
              <w:t>Standard</w:t>
            </w:r>
            <w:r w:rsidRPr="007E7F12" w:rsidR="004C701D">
              <w:rPr>
                <w:b/>
                <w:bCs/>
              </w:rPr>
              <w:t xml:space="preserve"> </w:t>
            </w:r>
            <w:r w:rsidRPr="007E7F12" w:rsidR="003B0CB1">
              <w:rPr>
                <w:b/>
                <w:bCs/>
              </w:rPr>
              <w:t>(40 CFR Part 63, Subpart RRRR)</w:t>
            </w:r>
          </w:p>
        </w:tc>
        <w:tc>
          <w:tcPr>
            <w:tcW w:w="1980" w:type="dxa"/>
            <w:tcBorders>
              <w:top w:val="single" w:color="000000" w:sz="7" w:space="0"/>
              <w:left w:val="single" w:color="000000" w:sz="7" w:space="0"/>
              <w:bottom w:val="single" w:color="FFFFFF" w:sz="6" w:space="0"/>
              <w:right w:val="single" w:color="FFFFFF" w:sz="6" w:space="0"/>
            </w:tcBorders>
            <w:vAlign w:val="center"/>
          </w:tcPr>
          <w:p w:rsidRPr="007E7F12" w:rsidR="00CA4CD6" w:rsidP="003B0CB1"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7E7F12">
              <w:rPr>
                <w:b/>
                <w:bCs/>
              </w:rPr>
              <w:t>SIC Codes</w:t>
            </w:r>
          </w:p>
        </w:tc>
        <w:tc>
          <w:tcPr>
            <w:tcW w:w="1710" w:type="dxa"/>
            <w:tcBorders>
              <w:top w:val="single" w:color="000000" w:sz="7" w:space="0"/>
              <w:left w:val="single" w:color="000000" w:sz="7" w:space="0"/>
              <w:bottom w:val="single" w:color="FFFFFF" w:sz="6" w:space="0"/>
              <w:right w:val="single" w:color="000000" w:sz="7" w:space="0"/>
            </w:tcBorders>
            <w:vAlign w:val="center"/>
          </w:tcPr>
          <w:p w:rsidRPr="007E7F12" w:rsidR="00CA4CD6" w:rsidP="003B0CB1"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7E7F12">
              <w:rPr>
                <w:b/>
                <w:bCs/>
              </w:rPr>
              <w:t>NAICS Codes</w:t>
            </w:r>
          </w:p>
        </w:tc>
      </w:tr>
      <w:tr w:rsidRPr="007E7F12" w:rsidR="007E7F12" w:rsidTr="004A30CC" w14:paraId="43A768BC"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Pr="007E7F12" w:rsidR="003B0CB1" w:rsidP="007E7F12" w:rsidRDefault="003B0CB1" w14:paraId="69D88A48" w14:textId="693C8E6E">
            <w:pPr>
              <w:pBdr>
                <w:top w:val="single" w:color="FFFFFF" w:sz="6" w:space="0"/>
                <w:left w:val="single" w:color="FFFFFF" w:sz="6" w:space="0"/>
                <w:bottom w:val="single" w:color="FFFFFF" w:sz="6" w:space="0"/>
                <w:right w:val="single" w:color="FFFFFF" w:sz="6" w:space="0"/>
              </w:pBdr>
            </w:pPr>
            <w:r w:rsidRPr="007E7F12">
              <w:t>Metal household furniture manufacturing</w:t>
            </w:r>
          </w:p>
        </w:tc>
        <w:tc>
          <w:tcPr>
            <w:tcW w:w="1980" w:type="dxa"/>
            <w:tcBorders>
              <w:top w:val="single" w:color="000000" w:sz="7" w:space="0"/>
              <w:left w:val="single" w:color="000000" w:sz="7" w:space="0"/>
              <w:bottom w:val="single" w:color="FFFFFF" w:sz="6" w:space="0"/>
              <w:right w:val="single" w:color="FFFFFF" w:sz="6" w:space="0"/>
            </w:tcBorders>
            <w:shd w:val="clear" w:color="auto" w:fill="auto"/>
            <w:vAlign w:val="center"/>
          </w:tcPr>
          <w:p w:rsidRPr="004A30CC" w:rsidR="003B0CB1" w:rsidP="007E7F12" w:rsidRDefault="003B0CB1" w14:paraId="65180B57" w14:textId="1A791F1E">
            <w:pPr>
              <w:pBdr>
                <w:top w:val="single" w:color="FFFFFF" w:sz="6" w:space="0"/>
                <w:left w:val="single" w:color="FFFFFF" w:sz="6" w:space="0"/>
                <w:bottom w:val="single" w:color="FFFFFF" w:sz="6" w:space="0"/>
                <w:right w:val="single" w:color="FFFFFF" w:sz="6" w:space="0"/>
              </w:pBdr>
              <w:jc w:val="center"/>
            </w:pPr>
            <w:r w:rsidRPr="004A30CC">
              <w:t>2514</w:t>
            </w:r>
          </w:p>
        </w:tc>
        <w:tc>
          <w:tcPr>
            <w:tcW w:w="1710" w:type="dxa"/>
            <w:tcBorders>
              <w:top w:val="single" w:color="000000" w:sz="7" w:space="0"/>
              <w:left w:val="single" w:color="000000" w:sz="7" w:space="0"/>
              <w:bottom w:val="single" w:color="FFFFFF" w:sz="6" w:space="0"/>
              <w:right w:val="single" w:color="000000" w:sz="7" w:space="0"/>
            </w:tcBorders>
            <w:vAlign w:val="center"/>
          </w:tcPr>
          <w:p w:rsidRPr="007E7F12" w:rsidR="003B0CB1" w:rsidP="007E7F12" w:rsidRDefault="003B0CB1" w14:paraId="2270277B" w14:textId="5432D081">
            <w:pPr>
              <w:pBdr>
                <w:top w:val="single" w:color="FFFFFF" w:sz="6" w:space="0"/>
                <w:left w:val="single" w:color="FFFFFF" w:sz="6" w:space="0"/>
                <w:bottom w:val="single" w:color="FFFFFF" w:sz="6" w:space="0"/>
                <w:right w:val="single" w:color="FFFFFF" w:sz="6" w:space="0"/>
              </w:pBdr>
              <w:jc w:val="center"/>
            </w:pPr>
            <w:r w:rsidRPr="007E7F12">
              <w:t>337124</w:t>
            </w:r>
          </w:p>
        </w:tc>
      </w:tr>
      <w:tr w:rsidRPr="007E7F12" w:rsidR="007E7F12" w:rsidTr="004A30CC" w14:paraId="1381BC79"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Pr="007E7F12" w:rsidR="003B0CB1" w:rsidP="007E7F12" w:rsidRDefault="003B0CB1" w14:paraId="5BF69ED4" w14:textId="2A099177">
            <w:pPr>
              <w:tabs>
                <w:tab w:val="left" w:pos="3045"/>
              </w:tabs>
            </w:pPr>
            <w:r w:rsidRPr="007E7F12">
              <w:t>Office furniture (except wood) manufacturing</w:t>
            </w:r>
          </w:p>
        </w:tc>
        <w:tc>
          <w:tcPr>
            <w:tcW w:w="1980" w:type="dxa"/>
            <w:tcBorders>
              <w:top w:val="single" w:color="000000" w:sz="7" w:space="0"/>
              <w:left w:val="single" w:color="000000" w:sz="7" w:space="0"/>
              <w:bottom w:val="single" w:color="FFFFFF" w:sz="6" w:space="0"/>
              <w:right w:val="single" w:color="FFFFFF" w:sz="6" w:space="0"/>
            </w:tcBorders>
            <w:shd w:val="clear" w:color="auto" w:fill="auto"/>
            <w:vAlign w:val="center"/>
          </w:tcPr>
          <w:p w:rsidRPr="004A30CC" w:rsidR="003B0CB1" w:rsidP="007E7F12" w:rsidRDefault="003B0CB1" w14:paraId="44CB63F6" w14:textId="41F8C4A5">
            <w:pPr>
              <w:pBdr>
                <w:top w:val="single" w:color="FFFFFF" w:sz="6" w:space="0"/>
                <w:left w:val="single" w:color="FFFFFF" w:sz="6" w:space="0"/>
                <w:bottom w:val="single" w:color="FFFFFF" w:sz="6" w:space="0"/>
                <w:right w:val="single" w:color="FFFFFF" w:sz="6" w:space="0"/>
              </w:pBdr>
              <w:jc w:val="center"/>
            </w:pPr>
            <w:r w:rsidRPr="004A30CC">
              <w:t>2522</w:t>
            </w:r>
          </w:p>
        </w:tc>
        <w:tc>
          <w:tcPr>
            <w:tcW w:w="1710" w:type="dxa"/>
            <w:tcBorders>
              <w:top w:val="single" w:color="000000" w:sz="7" w:space="0"/>
              <w:left w:val="single" w:color="000000" w:sz="7" w:space="0"/>
              <w:bottom w:val="single" w:color="FFFFFF" w:sz="6" w:space="0"/>
              <w:right w:val="single" w:color="000000" w:sz="7" w:space="0"/>
            </w:tcBorders>
            <w:vAlign w:val="center"/>
          </w:tcPr>
          <w:p w:rsidRPr="007E7F12" w:rsidR="003B0CB1" w:rsidP="007E7F12" w:rsidRDefault="003B0CB1" w14:paraId="65FC1A16" w14:textId="3C6F97EA">
            <w:pPr>
              <w:pBdr>
                <w:top w:val="single" w:color="FFFFFF" w:sz="6" w:space="0"/>
                <w:left w:val="single" w:color="FFFFFF" w:sz="6" w:space="0"/>
                <w:bottom w:val="single" w:color="FFFFFF" w:sz="6" w:space="0"/>
                <w:right w:val="single" w:color="FFFFFF" w:sz="6" w:space="0"/>
              </w:pBdr>
              <w:jc w:val="center"/>
            </w:pPr>
            <w:r w:rsidRPr="007E7F12">
              <w:t>337214</w:t>
            </w:r>
          </w:p>
        </w:tc>
      </w:tr>
      <w:tr w:rsidR="003B0CB1" w:rsidTr="004A30CC" w14:paraId="671F5B03"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003B0CB1" w:rsidP="007E7F12" w:rsidRDefault="003B0CB1" w14:paraId="2023CB3E" w14:textId="77777777">
            <w:pPr>
              <w:spacing w:line="120" w:lineRule="exact"/>
              <w:rPr>
                <w:color w:val="000000"/>
              </w:rPr>
            </w:pPr>
          </w:p>
          <w:p w:rsidR="003B0CB1" w:rsidP="007E7F12" w:rsidRDefault="003B0CB1" w14:paraId="691848A5" w14:textId="1838DE32">
            <w:pPr>
              <w:pBdr>
                <w:top w:val="single" w:color="FFFFFF" w:sz="6" w:space="0"/>
                <w:left w:val="single" w:color="FFFFFF" w:sz="6" w:space="0"/>
                <w:bottom w:val="single" w:color="FFFFFF" w:sz="6" w:space="0"/>
                <w:right w:val="single" w:color="FFFFFF" w:sz="6" w:space="0"/>
              </w:pBdr>
              <w:rPr>
                <w:color w:val="000000"/>
              </w:rPr>
            </w:pPr>
            <w:r>
              <w:rPr>
                <w:color w:val="000000"/>
              </w:rPr>
              <w:t>Institutional furniture manufacturing</w:t>
            </w:r>
          </w:p>
        </w:tc>
        <w:tc>
          <w:tcPr>
            <w:tcW w:w="1980" w:type="dxa"/>
            <w:tcBorders>
              <w:top w:val="single" w:color="000000" w:sz="7" w:space="0"/>
              <w:left w:val="single" w:color="000000" w:sz="7" w:space="0"/>
              <w:bottom w:val="single" w:color="FFFFFF" w:sz="6" w:space="0"/>
              <w:right w:val="single" w:color="FFFFFF" w:sz="6" w:space="0"/>
            </w:tcBorders>
            <w:shd w:val="clear" w:color="auto" w:fill="auto"/>
            <w:vAlign w:val="center"/>
          </w:tcPr>
          <w:p w:rsidRPr="004A30CC" w:rsidR="003B0CB1" w:rsidP="007E7F12" w:rsidRDefault="003B0CB1" w14:paraId="58B0E161" w14:textId="77777777">
            <w:pPr>
              <w:spacing w:line="120" w:lineRule="exact"/>
              <w:jc w:val="center"/>
            </w:pPr>
          </w:p>
          <w:p w:rsidRPr="004A30CC" w:rsidR="003B0CB1" w:rsidP="007E7F12" w:rsidRDefault="003B0CB1" w14:paraId="379919C6" w14:textId="14C32F71">
            <w:pPr>
              <w:pBdr>
                <w:top w:val="single" w:color="FFFFFF" w:sz="6" w:space="0"/>
                <w:left w:val="single" w:color="FFFFFF" w:sz="6" w:space="0"/>
                <w:bottom w:val="single" w:color="FFFFFF" w:sz="6" w:space="0"/>
                <w:right w:val="single" w:color="FFFFFF" w:sz="6" w:space="0"/>
              </w:pBdr>
              <w:jc w:val="center"/>
              <w:rPr>
                <w:color w:val="000000"/>
              </w:rPr>
            </w:pPr>
            <w:r w:rsidRPr="004A30CC">
              <w:t>2531, 2599, 3999</w:t>
            </w:r>
          </w:p>
        </w:tc>
        <w:tc>
          <w:tcPr>
            <w:tcW w:w="1710" w:type="dxa"/>
            <w:tcBorders>
              <w:top w:val="single" w:color="000000" w:sz="7" w:space="0"/>
              <w:left w:val="single" w:color="000000" w:sz="7" w:space="0"/>
              <w:bottom w:val="single" w:color="FFFFFF" w:sz="6" w:space="0"/>
              <w:right w:val="single" w:color="000000" w:sz="7" w:space="0"/>
            </w:tcBorders>
            <w:vAlign w:val="center"/>
          </w:tcPr>
          <w:p w:rsidR="003B0CB1" w:rsidP="007E7F12" w:rsidRDefault="003B0CB1" w14:paraId="1EFFB66E" w14:textId="77777777">
            <w:pPr>
              <w:spacing w:line="120" w:lineRule="exact"/>
              <w:jc w:val="center"/>
            </w:pPr>
          </w:p>
          <w:p w:rsidR="003B0CB1" w:rsidP="007E7F12" w:rsidRDefault="003B0CB1" w14:paraId="1DBC97FC" w14:textId="53064C29">
            <w:pPr>
              <w:pBdr>
                <w:top w:val="single" w:color="FFFFFF" w:sz="6" w:space="0"/>
                <w:left w:val="single" w:color="FFFFFF" w:sz="6" w:space="0"/>
                <w:bottom w:val="single" w:color="FFFFFF" w:sz="6" w:space="0"/>
                <w:right w:val="single" w:color="FFFFFF" w:sz="6" w:space="0"/>
              </w:pBdr>
              <w:jc w:val="center"/>
              <w:rPr>
                <w:color w:val="000000"/>
              </w:rPr>
            </w:pPr>
            <w:r>
              <w:t>337127</w:t>
            </w:r>
          </w:p>
        </w:tc>
      </w:tr>
      <w:tr w:rsidR="003B0CB1" w:rsidTr="004A30CC" w14:paraId="222AD0AC" w14:textId="77777777">
        <w:tc>
          <w:tcPr>
            <w:tcW w:w="5729" w:type="dxa"/>
            <w:tcBorders>
              <w:top w:val="single" w:color="000000" w:sz="7" w:space="0"/>
              <w:left w:val="single" w:color="000000" w:sz="7" w:space="0"/>
              <w:bottom w:val="single" w:color="FFFFFF" w:sz="6" w:space="0"/>
              <w:right w:val="single" w:color="FFFFFF" w:sz="6" w:space="0"/>
            </w:tcBorders>
            <w:vAlign w:val="center"/>
          </w:tcPr>
          <w:p w:rsidR="003B0CB1" w:rsidP="007E7F12" w:rsidRDefault="003B0CB1" w14:paraId="6E760476" w14:textId="50D601AB">
            <w:pPr>
              <w:pBdr>
                <w:top w:val="single" w:color="FFFFFF" w:sz="6" w:space="0"/>
                <w:left w:val="single" w:color="FFFFFF" w:sz="6" w:space="0"/>
                <w:bottom w:val="single" w:color="FFFFFF" w:sz="6" w:space="0"/>
                <w:right w:val="single" w:color="FFFFFF" w:sz="6" w:space="0"/>
              </w:pBdr>
              <w:rPr>
                <w:color w:val="000000"/>
              </w:rPr>
            </w:pPr>
            <w:r>
              <w:rPr>
                <w:color w:val="000000"/>
              </w:rPr>
              <w:t>Showcase, partition, shelving, and locker manufacturing</w:t>
            </w:r>
          </w:p>
        </w:tc>
        <w:tc>
          <w:tcPr>
            <w:tcW w:w="1980" w:type="dxa"/>
            <w:tcBorders>
              <w:top w:val="single" w:color="000000" w:sz="7" w:space="0"/>
              <w:left w:val="single" w:color="000000" w:sz="7" w:space="0"/>
              <w:bottom w:val="single" w:color="FFFFFF" w:sz="6" w:space="0"/>
              <w:right w:val="single" w:color="FFFFFF" w:sz="6" w:space="0"/>
            </w:tcBorders>
            <w:shd w:val="clear" w:color="auto" w:fill="auto"/>
            <w:vAlign w:val="center"/>
          </w:tcPr>
          <w:p w:rsidRPr="004A30CC" w:rsidR="003B0CB1" w:rsidP="007E7F12" w:rsidRDefault="003B0CB1" w14:paraId="5A0BA3E0" w14:textId="66F349DC">
            <w:pPr>
              <w:pBdr>
                <w:top w:val="single" w:color="FFFFFF" w:sz="6" w:space="0"/>
                <w:left w:val="single" w:color="FFFFFF" w:sz="6" w:space="0"/>
                <w:bottom w:val="single" w:color="FFFFFF" w:sz="6" w:space="0"/>
                <w:right w:val="single" w:color="FFFFFF" w:sz="6" w:space="0"/>
              </w:pBdr>
              <w:jc w:val="center"/>
              <w:rPr>
                <w:color w:val="000000"/>
              </w:rPr>
            </w:pPr>
            <w:r w:rsidRPr="004A30CC">
              <w:t>2542, 3499, 3429</w:t>
            </w:r>
          </w:p>
        </w:tc>
        <w:tc>
          <w:tcPr>
            <w:tcW w:w="1710" w:type="dxa"/>
            <w:tcBorders>
              <w:top w:val="single" w:color="000000" w:sz="7" w:space="0"/>
              <w:left w:val="single" w:color="000000" w:sz="7" w:space="0"/>
              <w:bottom w:val="single" w:color="FFFFFF" w:sz="6" w:space="0"/>
              <w:right w:val="single" w:color="000000" w:sz="7" w:space="0"/>
            </w:tcBorders>
            <w:vAlign w:val="center"/>
          </w:tcPr>
          <w:p w:rsidR="003B0CB1" w:rsidP="007E7F12" w:rsidRDefault="003B0CB1" w14:paraId="475EFD5E" w14:textId="352AD58F">
            <w:pPr>
              <w:pBdr>
                <w:top w:val="single" w:color="FFFFFF" w:sz="6" w:space="0"/>
                <w:left w:val="single" w:color="FFFFFF" w:sz="6" w:space="0"/>
                <w:bottom w:val="single" w:color="FFFFFF" w:sz="6" w:space="0"/>
                <w:right w:val="single" w:color="FFFFFF" w:sz="6" w:space="0"/>
              </w:pBdr>
              <w:jc w:val="center"/>
              <w:rPr>
                <w:color w:val="000000"/>
              </w:rPr>
            </w:pPr>
            <w:r>
              <w:t>337215</w:t>
            </w:r>
          </w:p>
        </w:tc>
      </w:tr>
      <w:tr w:rsidR="002416A0" w:rsidTr="004A30CC" w14:paraId="12996D44"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2416A0" w:rsidP="007E7F12" w:rsidRDefault="002416A0" w14:paraId="1172C188" w14:textId="095CF1AF">
            <w:pPr>
              <w:pBdr>
                <w:top w:val="single" w:color="FFFFFF" w:sz="6" w:space="0"/>
                <w:left w:val="single" w:color="FFFFFF" w:sz="6" w:space="0"/>
                <w:bottom w:val="single" w:color="FFFFFF" w:sz="6" w:space="0"/>
                <w:right w:val="single" w:color="FFFFFF" w:sz="6" w:space="0"/>
              </w:pBdr>
              <w:rPr>
                <w:color w:val="000000"/>
              </w:rPr>
            </w:pPr>
            <w:r>
              <w:rPr>
                <w:color w:val="000000"/>
              </w:rPr>
              <w:t>Hardware manufacturing</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2416A0" w:rsidP="007E7F12" w:rsidRDefault="002416A0" w14:paraId="7A7743C9" w14:textId="77777777">
            <w:pPr>
              <w:pBdr>
                <w:top w:val="single" w:color="FFFFFF" w:sz="6" w:space="0"/>
                <w:left w:val="single" w:color="FFFFFF" w:sz="6" w:space="0"/>
                <w:bottom w:val="single" w:color="FFFFFF" w:sz="6" w:space="0"/>
                <w:right w:val="single" w:color="FFFFFF" w:sz="6" w:space="0"/>
              </w:pBdr>
              <w:jc w:val="center"/>
            </w:pPr>
          </w:p>
        </w:tc>
        <w:tc>
          <w:tcPr>
            <w:tcW w:w="1710" w:type="dxa"/>
            <w:tcBorders>
              <w:top w:val="single" w:color="000000" w:sz="7" w:space="0"/>
              <w:left w:val="single" w:color="000000" w:sz="7" w:space="0"/>
              <w:bottom w:val="single" w:color="000000" w:sz="7" w:space="0"/>
              <w:right w:val="single" w:color="000000" w:sz="7" w:space="0"/>
            </w:tcBorders>
            <w:vAlign w:val="center"/>
          </w:tcPr>
          <w:p w:rsidR="002416A0" w:rsidP="007E7F12" w:rsidRDefault="002416A0" w14:paraId="4C707DDD" w14:textId="74791D64">
            <w:pPr>
              <w:pBdr>
                <w:top w:val="single" w:color="FFFFFF" w:sz="6" w:space="0"/>
                <w:left w:val="single" w:color="FFFFFF" w:sz="6" w:space="0"/>
                <w:bottom w:val="single" w:color="FFFFFF" w:sz="6" w:space="0"/>
                <w:right w:val="single" w:color="FFFFFF" w:sz="6" w:space="0"/>
              </w:pBdr>
              <w:jc w:val="center"/>
            </w:pPr>
            <w:r>
              <w:t>332951</w:t>
            </w:r>
          </w:p>
        </w:tc>
      </w:tr>
      <w:tr w:rsidR="003B0CB1" w:rsidTr="004A30CC" w14:paraId="581E12B2"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3B0CB1" w:rsidP="007E7F12" w:rsidRDefault="003B0CB1" w14:paraId="50E6CAA7" w14:textId="541CB54C">
            <w:pPr>
              <w:pBdr>
                <w:top w:val="single" w:color="FFFFFF" w:sz="6" w:space="0"/>
                <w:left w:val="single" w:color="FFFFFF" w:sz="6" w:space="0"/>
                <w:bottom w:val="single" w:color="FFFFFF" w:sz="6" w:space="0"/>
                <w:right w:val="single" w:color="FFFFFF" w:sz="6" w:space="0"/>
              </w:pBdr>
              <w:rPr>
                <w:color w:val="000000"/>
              </w:rPr>
            </w:pPr>
            <w:r>
              <w:rPr>
                <w:color w:val="000000"/>
              </w:rPr>
              <w:t>Metal stamping</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3B0CB1" w:rsidP="007E7F12" w:rsidRDefault="003B0CB1" w14:paraId="38FFDE4A" w14:textId="55D174AB">
            <w:pPr>
              <w:pBdr>
                <w:top w:val="single" w:color="FFFFFF" w:sz="6" w:space="0"/>
                <w:left w:val="single" w:color="FFFFFF" w:sz="6" w:space="0"/>
                <w:bottom w:val="single" w:color="FFFFFF" w:sz="6" w:space="0"/>
                <w:right w:val="single" w:color="FFFFFF" w:sz="6" w:space="0"/>
              </w:pBdr>
              <w:jc w:val="center"/>
              <w:rPr>
                <w:color w:val="000000"/>
              </w:rPr>
            </w:pPr>
            <w:r w:rsidRPr="004A30CC">
              <w:t>3469</w:t>
            </w:r>
          </w:p>
        </w:tc>
        <w:tc>
          <w:tcPr>
            <w:tcW w:w="1710" w:type="dxa"/>
            <w:tcBorders>
              <w:top w:val="single" w:color="000000" w:sz="7" w:space="0"/>
              <w:left w:val="single" w:color="000000" w:sz="7" w:space="0"/>
              <w:bottom w:val="single" w:color="000000" w:sz="7" w:space="0"/>
              <w:right w:val="single" w:color="000000" w:sz="7" w:space="0"/>
            </w:tcBorders>
            <w:vAlign w:val="center"/>
          </w:tcPr>
          <w:p w:rsidR="003B0CB1" w:rsidP="007E7F12" w:rsidRDefault="003B0CB1" w14:paraId="4BC177CF" w14:textId="3EABD4D1">
            <w:pPr>
              <w:pBdr>
                <w:top w:val="single" w:color="FFFFFF" w:sz="6" w:space="0"/>
                <w:left w:val="single" w:color="FFFFFF" w:sz="6" w:space="0"/>
                <w:bottom w:val="single" w:color="FFFFFF" w:sz="6" w:space="0"/>
                <w:right w:val="single" w:color="FFFFFF" w:sz="6" w:space="0"/>
              </w:pBdr>
              <w:jc w:val="center"/>
              <w:rPr>
                <w:color w:val="000000"/>
              </w:rPr>
            </w:pPr>
            <w:r>
              <w:t>33211</w:t>
            </w:r>
            <w:r w:rsidR="00D44C35">
              <w:t>9</w:t>
            </w:r>
          </w:p>
        </w:tc>
      </w:tr>
      <w:tr w:rsidR="003B0CB1" w:rsidTr="004A30CC" w14:paraId="12DF9052"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3B0CB1" w:rsidP="007E7F12" w:rsidRDefault="003B0CB1" w14:paraId="50A26AD1" w14:textId="19072D34">
            <w:pPr>
              <w:pBdr>
                <w:top w:val="single" w:color="FFFFFF" w:sz="6" w:space="0"/>
                <w:left w:val="single" w:color="FFFFFF" w:sz="6" w:space="0"/>
                <w:bottom w:val="single" w:color="FFFFFF" w:sz="6" w:space="0"/>
                <w:right w:val="single" w:color="FFFFFF" w:sz="6" w:space="0"/>
              </w:pBdr>
              <w:rPr>
                <w:color w:val="000000"/>
              </w:rPr>
            </w:pPr>
            <w:r>
              <w:rPr>
                <w:color w:val="000000"/>
              </w:rPr>
              <w:t>Spring (light gauge) manufacturing</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3B0CB1" w:rsidP="007E7F12" w:rsidRDefault="003B0CB1" w14:paraId="01E8B6FC" w14:textId="06BC4D8B">
            <w:pPr>
              <w:pBdr>
                <w:top w:val="single" w:color="FFFFFF" w:sz="6" w:space="0"/>
                <w:left w:val="single" w:color="FFFFFF" w:sz="6" w:space="0"/>
                <w:bottom w:val="single" w:color="FFFFFF" w:sz="6" w:space="0"/>
                <w:right w:val="single" w:color="FFFFFF" w:sz="6" w:space="0"/>
              </w:pBdr>
              <w:jc w:val="center"/>
              <w:rPr>
                <w:color w:val="000000"/>
              </w:rPr>
            </w:pPr>
            <w:r w:rsidRPr="004A30CC">
              <w:t>3495</w:t>
            </w:r>
          </w:p>
        </w:tc>
        <w:tc>
          <w:tcPr>
            <w:tcW w:w="1710" w:type="dxa"/>
            <w:tcBorders>
              <w:top w:val="single" w:color="000000" w:sz="7" w:space="0"/>
              <w:left w:val="single" w:color="000000" w:sz="7" w:space="0"/>
              <w:bottom w:val="single" w:color="000000" w:sz="7" w:space="0"/>
              <w:right w:val="single" w:color="000000" w:sz="7" w:space="0"/>
            </w:tcBorders>
            <w:vAlign w:val="center"/>
          </w:tcPr>
          <w:p w:rsidR="003B0CB1" w:rsidP="007E7F12" w:rsidRDefault="003B0CB1" w14:paraId="57C099F7" w14:textId="492891B9">
            <w:pPr>
              <w:pBdr>
                <w:top w:val="single" w:color="FFFFFF" w:sz="6" w:space="0"/>
                <w:left w:val="single" w:color="FFFFFF" w:sz="6" w:space="0"/>
                <w:bottom w:val="single" w:color="FFFFFF" w:sz="6" w:space="0"/>
                <w:right w:val="single" w:color="FFFFFF" w:sz="6" w:space="0"/>
              </w:pBdr>
              <w:jc w:val="center"/>
              <w:rPr>
                <w:color w:val="000000"/>
              </w:rPr>
            </w:pPr>
            <w:r>
              <w:t>33261</w:t>
            </w:r>
            <w:r w:rsidR="00D44C35">
              <w:t>3</w:t>
            </w:r>
          </w:p>
        </w:tc>
      </w:tr>
      <w:tr w:rsidR="003B0CB1" w:rsidTr="004A30CC" w14:paraId="770BC1A1"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3B0CB1" w:rsidP="007E7F12" w:rsidRDefault="003B0CB1" w14:paraId="25B06060" w14:textId="69DD17FB">
            <w:pPr>
              <w:pBdr>
                <w:top w:val="single" w:color="FFFFFF" w:sz="6" w:space="0"/>
                <w:left w:val="single" w:color="FFFFFF" w:sz="6" w:space="0"/>
                <w:bottom w:val="single" w:color="FFFFFF" w:sz="6" w:space="0"/>
                <w:right w:val="single" w:color="FFFFFF" w:sz="6" w:space="0"/>
              </w:pBdr>
              <w:rPr>
                <w:color w:val="000000"/>
              </w:rPr>
            </w:pPr>
            <w:r>
              <w:rPr>
                <w:color w:val="000000"/>
              </w:rPr>
              <w:t>Residential electric lighting fixture manufacturing</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3B0CB1" w:rsidP="007E7F12" w:rsidRDefault="003B0CB1" w14:paraId="7A6DFA65" w14:textId="5F25069E">
            <w:pPr>
              <w:pBdr>
                <w:top w:val="single" w:color="FFFFFF" w:sz="6" w:space="0"/>
                <w:left w:val="single" w:color="FFFFFF" w:sz="6" w:space="0"/>
                <w:bottom w:val="single" w:color="FFFFFF" w:sz="6" w:space="0"/>
                <w:right w:val="single" w:color="FFFFFF" w:sz="6" w:space="0"/>
              </w:pBdr>
              <w:jc w:val="center"/>
              <w:rPr>
                <w:color w:val="000000"/>
              </w:rPr>
            </w:pPr>
            <w:r w:rsidRPr="004A30CC">
              <w:t>3645</w:t>
            </w:r>
            <w:r w:rsidRPr="004A30CC" w:rsidR="002416A0">
              <w:t>, 3999</w:t>
            </w:r>
          </w:p>
        </w:tc>
        <w:tc>
          <w:tcPr>
            <w:tcW w:w="1710" w:type="dxa"/>
            <w:tcBorders>
              <w:top w:val="single" w:color="000000" w:sz="7" w:space="0"/>
              <w:left w:val="single" w:color="000000" w:sz="7" w:space="0"/>
              <w:bottom w:val="single" w:color="000000" w:sz="7" w:space="0"/>
              <w:right w:val="single" w:color="000000" w:sz="7" w:space="0"/>
            </w:tcBorders>
            <w:vAlign w:val="center"/>
          </w:tcPr>
          <w:p w:rsidR="003B0CB1" w:rsidP="007E7F12" w:rsidRDefault="003B0CB1" w14:paraId="682BE562" w14:textId="712EACC2">
            <w:pPr>
              <w:pBdr>
                <w:top w:val="single" w:color="FFFFFF" w:sz="6" w:space="0"/>
                <w:left w:val="single" w:color="FFFFFF" w:sz="6" w:space="0"/>
                <w:bottom w:val="single" w:color="FFFFFF" w:sz="6" w:space="0"/>
                <w:right w:val="single" w:color="FFFFFF" w:sz="6" w:space="0"/>
              </w:pBdr>
              <w:jc w:val="center"/>
              <w:rPr>
                <w:color w:val="000000"/>
              </w:rPr>
            </w:pPr>
            <w:r>
              <w:t>335121</w:t>
            </w:r>
          </w:p>
        </w:tc>
      </w:tr>
      <w:tr w:rsidR="003B0CB1" w:rsidTr="004A30CC" w14:paraId="00689329"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3B0CB1" w:rsidP="007E7F12" w:rsidRDefault="003B0CB1" w14:paraId="1910464F" w14:textId="5CEDAFDA">
            <w:pPr>
              <w:pBdr>
                <w:top w:val="single" w:color="FFFFFF" w:sz="6" w:space="0"/>
                <w:left w:val="single" w:color="FFFFFF" w:sz="6" w:space="0"/>
                <w:bottom w:val="single" w:color="FFFFFF" w:sz="6" w:space="0"/>
                <w:right w:val="single" w:color="FFFFFF" w:sz="6" w:space="0"/>
              </w:pBdr>
              <w:rPr>
                <w:color w:val="000000"/>
              </w:rPr>
            </w:pPr>
            <w:r>
              <w:rPr>
                <w:color w:val="000000"/>
              </w:rPr>
              <w:t>Commercial, industrial, and institutional electric lighting fixture manufacturing</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3B0CB1" w:rsidP="007E7F12" w:rsidRDefault="003B0CB1" w14:paraId="20661241" w14:textId="41DE5822">
            <w:pPr>
              <w:pBdr>
                <w:top w:val="single" w:color="FFFFFF" w:sz="6" w:space="0"/>
                <w:left w:val="single" w:color="FFFFFF" w:sz="6" w:space="0"/>
                <w:bottom w:val="single" w:color="FFFFFF" w:sz="6" w:space="0"/>
                <w:right w:val="single" w:color="FFFFFF" w:sz="6" w:space="0"/>
              </w:pBdr>
              <w:jc w:val="center"/>
              <w:rPr>
                <w:color w:val="000000"/>
              </w:rPr>
            </w:pPr>
            <w:r w:rsidRPr="004A30CC">
              <w:t>3646</w:t>
            </w:r>
          </w:p>
        </w:tc>
        <w:tc>
          <w:tcPr>
            <w:tcW w:w="1710" w:type="dxa"/>
            <w:tcBorders>
              <w:top w:val="single" w:color="000000" w:sz="7" w:space="0"/>
              <w:left w:val="single" w:color="000000" w:sz="7" w:space="0"/>
              <w:bottom w:val="single" w:color="000000" w:sz="7" w:space="0"/>
              <w:right w:val="single" w:color="000000" w:sz="7" w:space="0"/>
            </w:tcBorders>
            <w:vAlign w:val="center"/>
          </w:tcPr>
          <w:p w:rsidR="003B0CB1" w:rsidP="007E7F12" w:rsidRDefault="003B0CB1" w14:paraId="06D6FB05" w14:textId="238B6EE5">
            <w:pPr>
              <w:pBdr>
                <w:top w:val="single" w:color="FFFFFF" w:sz="6" w:space="0"/>
                <w:left w:val="single" w:color="FFFFFF" w:sz="6" w:space="0"/>
                <w:bottom w:val="single" w:color="FFFFFF" w:sz="6" w:space="0"/>
                <w:right w:val="single" w:color="FFFFFF" w:sz="6" w:space="0"/>
              </w:pBdr>
              <w:jc w:val="center"/>
              <w:rPr>
                <w:color w:val="000000"/>
              </w:rPr>
            </w:pPr>
            <w:r>
              <w:t>335122</w:t>
            </w:r>
          </w:p>
        </w:tc>
      </w:tr>
      <w:tr w:rsidR="003B0CB1" w:rsidTr="004A30CC" w14:paraId="4D2AF1B6"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3B0CB1" w:rsidP="007E7F12" w:rsidRDefault="003B0CB1" w14:paraId="46E2430B" w14:textId="61EF535E">
            <w:pPr>
              <w:pBdr>
                <w:top w:val="single" w:color="FFFFFF" w:sz="6" w:space="0"/>
                <w:left w:val="single" w:color="FFFFFF" w:sz="6" w:space="0"/>
                <w:bottom w:val="single" w:color="FFFFFF" w:sz="6" w:space="0"/>
                <w:right w:val="single" w:color="FFFFFF" w:sz="6" w:space="0"/>
              </w:pBdr>
              <w:rPr>
                <w:color w:val="000000"/>
              </w:rPr>
            </w:pPr>
            <w:r>
              <w:rPr>
                <w:color w:val="000000"/>
              </w:rPr>
              <w:t>Laboratory apparatus and furniture manufacturing</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3B0CB1" w:rsidP="007E7F12" w:rsidRDefault="003B0CB1" w14:paraId="7132CAD8" w14:textId="77A182B0">
            <w:pPr>
              <w:pBdr>
                <w:top w:val="single" w:color="FFFFFF" w:sz="6" w:space="0"/>
                <w:left w:val="single" w:color="FFFFFF" w:sz="6" w:space="0"/>
                <w:bottom w:val="single" w:color="FFFFFF" w:sz="6" w:space="0"/>
                <w:right w:val="single" w:color="FFFFFF" w:sz="6" w:space="0"/>
              </w:pBdr>
              <w:jc w:val="center"/>
              <w:rPr>
                <w:color w:val="000000"/>
              </w:rPr>
            </w:pPr>
            <w:r w:rsidRPr="004A30CC">
              <w:t>3821, 3841</w:t>
            </w:r>
          </w:p>
        </w:tc>
        <w:tc>
          <w:tcPr>
            <w:tcW w:w="1710" w:type="dxa"/>
            <w:tcBorders>
              <w:top w:val="single" w:color="000000" w:sz="7" w:space="0"/>
              <w:left w:val="single" w:color="000000" w:sz="7" w:space="0"/>
              <w:bottom w:val="single" w:color="000000" w:sz="7" w:space="0"/>
              <w:right w:val="single" w:color="000000" w:sz="7" w:space="0"/>
            </w:tcBorders>
            <w:vAlign w:val="center"/>
          </w:tcPr>
          <w:p w:rsidR="003B0CB1" w:rsidP="007E7F12" w:rsidRDefault="003B0CB1" w14:paraId="449CC47E" w14:textId="34163971">
            <w:pPr>
              <w:pBdr>
                <w:top w:val="single" w:color="FFFFFF" w:sz="6" w:space="0"/>
                <w:left w:val="single" w:color="FFFFFF" w:sz="6" w:space="0"/>
                <w:bottom w:val="single" w:color="FFFFFF" w:sz="6" w:space="0"/>
                <w:right w:val="single" w:color="FFFFFF" w:sz="6" w:space="0"/>
              </w:pBdr>
              <w:jc w:val="center"/>
              <w:rPr>
                <w:color w:val="000000"/>
              </w:rPr>
            </w:pPr>
            <w:r>
              <w:t>33</w:t>
            </w:r>
            <w:r w:rsidR="00D44C35">
              <w:t>7127</w:t>
            </w:r>
          </w:p>
        </w:tc>
      </w:tr>
      <w:tr w:rsidR="004A30CC" w:rsidTr="004A30CC" w14:paraId="7375AE9D"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4A30CC" w:rsidP="007E7F12" w:rsidRDefault="004A30CC" w14:paraId="55CAD54D" w14:textId="08F9FD2E">
            <w:pPr>
              <w:pBdr>
                <w:top w:val="single" w:color="FFFFFF" w:sz="6" w:space="0"/>
                <w:left w:val="single" w:color="FFFFFF" w:sz="6" w:space="0"/>
                <w:bottom w:val="single" w:color="FFFFFF" w:sz="6" w:space="0"/>
                <w:right w:val="single" w:color="FFFFFF" w:sz="6" w:space="0"/>
              </w:pBdr>
              <w:rPr>
                <w:color w:val="000000"/>
              </w:rPr>
            </w:pPr>
            <w:r>
              <w:rPr>
                <w:color w:val="000000"/>
              </w:rPr>
              <w:t>D</w:t>
            </w:r>
            <w:r w:rsidRPr="004A30CC">
              <w:rPr>
                <w:color w:val="000000"/>
              </w:rPr>
              <w:t>ental Equipment and Supplies Manufacturing</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4A30CC" w:rsidP="007E7F12" w:rsidRDefault="004A30CC" w14:paraId="6165D239" w14:textId="7B62FACA">
            <w:pPr>
              <w:pBdr>
                <w:top w:val="single" w:color="FFFFFF" w:sz="6" w:space="0"/>
                <w:left w:val="single" w:color="FFFFFF" w:sz="6" w:space="0"/>
                <w:bottom w:val="single" w:color="FFFFFF" w:sz="6" w:space="0"/>
                <w:right w:val="single" w:color="FFFFFF" w:sz="6" w:space="0"/>
              </w:pBdr>
              <w:jc w:val="center"/>
            </w:pPr>
            <w:r w:rsidRPr="004A30CC">
              <w:t>3843</w:t>
            </w:r>
          </w:p>
        </w:tc>
        <w:tc>
          <w:tcPr>
            <w:tcW w:w="1710" w:type="dxa"/>
            <w:tcBorders>
              <w:top w:val="single" w:color="000000" w:sz="7" w:space="0"/>
              <w:left w:val="single" w:color="000000" w:sz="7" w:space="0"/>
              <w:bottom w:val="single" w:color="000000" w:sz="7" w:space="0"/>
              <w:right w:val="single" w:color="000000" w:sz="7" w:space="0"/>
            </w:tcBorders>
            <w:vAlign w:val="center"/>
          </w:tcPr>
          <w:p w:rsidR="004A30CC" w:rsidP="007E7F12" w:rsidRDefault="004A30CC" w14:paraId="1A3EBA16" w14:textId="3903704A">
            <w:pPr>
              <w:pBdr>
                <w:top w:val="single" w:color="FFFFFF" w:sz="6" w:space="0"/>
                <w:left w:val="single" w:color="FFFFFF" w:sz="6" w:space="0"/>
                <w:bottom w:val="single" w:color="FFFFFF" w:sz="6" w:space="0"/>
                <w:right w:val="single" w:color="FFFFFF" w:sz="6" w:space="0"/>
              </w:pBdr>
              <w:jc w:val="center"/>
            </w:pPr>
            <w:r>
              <w:t>339114</w:t>
            </w:r>
          </w:p>
        </w:tc>
      </w:tr>
      <w:tr w:rsidR="003B0CB1" w:rsidTr="004A30CC" w14:paraId="1A81A735"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3B0CB1" w:rsidP="007E7F12" w:rsidRDefault="003B0CB1" w14:paraId="0387A817" w14:textId="26901F9A">
            <w:pPr>
              <w:pBdr>
                <w:top w:val="single" w:color="FFFFFF" w:sz="6" w:space="0"/>
                <w:left w:val="single" w:color="FFFFFF" w:sz="6" w:space="0"/>
                <w:bottom w:val="single" w:color="FFFFFF" w:sz="6" w:space="0"/>
                <w:right w:val="single" w:color="FFFFFF" w:sz="6" w:space="0"/>
              </w:pBdr>
              <w:rPr>
                <w:color w:val="000000"/>
              </w:rPr>
            </w:pPr>
            <w:r>
              <w:rPr>
                <w:color w:val="000000"/>
              </w:rPr>
              <w:t>Reupholstery and furniture repair</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3B0CB1" w:rsidP="007E7F12" w:rsidRDefault="003B0CB1" w14:paraId="06482D16" w14:textId="16E53512">
            <w:pPr>
              <w:pBdr>
                <w:top w:val="single" w:color="FFFFFF" w:sz="6" w:space="0"/>
                <w:left w:val="single" w:color="FFFFFF" w:sz="6" w:space="0"/>
                <w:bottom w:val="single" w:color="FFFFFF" w:sz="6" w:space="0"/>
                <w:right w:val="single" w:color="FFFFFF" w:sz="6" w:space="0"/>
              </w:pBdr>
              <w:jc w:val="center"/>
              <w:rPr>
                <w:color w:val="000000"/>
              </w:rPr>
            </w:pPr>
            <w:r w:rsidRPr="004A30CC">
              <w:t>7641</w:t>
            </w:r>
          </w:p>
        </w:tc>
        <w:tc>
          <w:tcPr>
            <w:tcW w:w="1710" w:type="dxa"/>
            <w:tcBorders>
              <w:top w:val="single" w:color="000000" w:sz="7" w:space="0"/>
              <w:left w:val="single" w:color="000000" w:sz="7" w:space="0"/>
              <w:bottom w:val="single" w:color="000000" w:sz="7" w:space="0"/>
              <w:right w:val="single" w:color="000000" w:sz="7" w:space="0"/>
            </w:tcBorders>
            <w:vAlign w:val="center"/>
          </w:tcPr>
          <w:p w:rsidR="003B0CB1" w:rsidP="007E7F12" w:rsidRDefault="003B0CB1" w14:paraId="19F65759" w14:textId="5E32CCF6">
            <w:pPr>
              <w:pBdr>
                <w:top w:val="single" w:color="FFFFFF" w:sz="6" w:space="0"/>
                <w:left w:val="single" w:color="FFFFFF" w:sz="6" w:space="0"/>
                <w:bottom w:val="single" w:color="FFFFFF" w:sz="6" w:space="0"/>
                <w:right w:val="single" w:color="FFFFFF" w:sz="6" w:space="0"/>
              </w:pBdr>
              <w:jc w:val="center"/>
              <w:rPr>
                <w:color w:val="000000"/>
              </w:rPr>
            </w:pPr>
            <w:r>
              <w:t>81142</w:t>
            </w:r>
            <w:r w:rsidR="00D44C35">
              <w:t>0</w:t>
            </w:r>
          </w:p>
        </w:tc>
      </w:tr>
      <w:tr w:rsidR="004A30CC" w:rsidTr="004A30CC" w14:paraId="746FC5D4" w14:textId="77777777">
        <w:tc>
          <w:tcPr>
            <w:tcW w:w="5729" w:type="dxa"/>
            <w:tcBorders>
              <w:top w:val="single" w:color="000000" w:sz="7" w:space="0"/>
              <w:left w:val="single" w:color="000000" w:sz="7" w:space="0"/>
              <w:bottom w:val="single" w:color="000000" w:sz="7" w:space="0"/>
              <w:right w:val="single" w:color="FFFFFF" w:sz="6" w:space="0"/>
            </w:tcBorders>
            <w:vAlign w:val="center"/>
          </w:tcPr>
          <w:p w:rsidR="004A30CC" w:rsidP="007E7F12" w:rsidRDefault="004A30CC" w14:paraId="0B4FE883" w14:textId="6AC9B021">
            <w:pPr>
              <w:pBdr>
                <w:top w:val="single" w:color="FFFFFF" w:sz="6" w:space="0"/>
                <w:left w:val="single" w:color="FFFFFF" w:sz="6" w:space="0"/>
                <w:bottom w:val="single" w:color="FFFFFF" w:sz="6" w:space="0"/>
                <w:right w:val="single" w:color="FFFFFF" w:sz="6" w:space="0"/>
              </w:pBdr>
              <w:rPr>
                <w:color w:val="000000"/>
              </w:rPr>
            </w:pPr>
            <w:r>
              <w:rPr>
                <w:color w:val="000000"/>
              </w:rPr>
              <w:t>C</w:t>
            </w:r>
            <w:r w:rsidRPr="004A30CC">
              <w:rPr>
                <w:color w:val="000000"/>
              </w:rPr>
              <w:t>orrectional institutions that apply coatings to metal furniture</w:t>
            </w:r>
          </w:p>
        </w:tc>
        <w:tc>
          <w:tcPr>
            <w:tcW w:w="1980" w:type="dxa"/>
            <w:tcBorders>
              <w:top w:val="single" w:color="000000" w:sz="7" w:space="0"/>
              <w:left w:val="single" w:color="000000" w:sz="7" w:space="0"/>
              <w:bottom w:val="single" w:color="000000" w:sz="7" w:space="0"/>
              <w:right w:val="single" w:color="FFFFFF" w:sz="6" w:space="0"/>
            </w:tcBorders>
            <w:shd w:val="clear" w:color="auto" w:fill="auto"/>
            <w:vAlign w:val="center"/>
          </w:tcPr>
          <w:p w:rsidRPr="004A30CC" w:rsidR="004A30CC" w:rsidP="007E7F12" w:rsidRDefault="004A30CC" w14:paraId="13979A99" w14:textId="36891C65">
            <w:pPr>
              <w:pBdr>
                <w:top w:val="single" w:color="FFFFFF" w:sz="6" w:space="0"/>
                <w:left w:val="single" w:color="FFFFFF" w:sz="6" w:space="0"/>
                <w:bottom w:val="single" w:color="FFFFFF" w:sz="6" w:space="0"/>
                <w:right w:val="single" w:color="FFFFFF" w:sz="6" w:space="0"/>
              </w:pBdr>
              <w:jc w:val="center"/>
            </w:pPr>
            <w:r w:rsidRPr="004A30CC">
              <w:t>9223</w:t>
            </w:r>
          </w:p>
        </w:tc>
        <w:tc>
          <w:tcPr>
            <w:tcW w:w="1710" w:type="dxa"/>
            <w:tcBorders>
              <w:top w:val="single" w:color="000000" w:sz="7" w:space="0"/>
              <w:left w:val="single" w:color="000000" w:sz="7" w:space="0"/>
              <w:bottom w:val="single" w:color="000000" w:sz="7" w:space="0"/>
              <w:right w:val="single" w:color="000000" w:sz="7" w:space="0"/>
            </w:tcBorders>
            <w:vAlign w:val="center"/>
          </w:tcPr>
          <w:p w:rsidR="004A30CC" w:rsidP="007E7F12" w:rsidRDefault="004A30CC" w14:paraId="3A128B1E" w14:textId="3CC76C6F">
            <w:pPr>
              <w:pBdr>
                <w:top w:val="single" w:color="FFFFFF" w:sz="6" w:space="0"/>
                <w:left w:val="single" w:color="FFFFFF" w:sz="6" w:space="0"/>
                <w:bottom w:val="single" w:color="FFFFFF" w:sz="6" w:space="0"/>
                <w:right w:val="single" w:color="FFFFFF" w:sz="6" w:space="0"/>
              </w:pBdr>
              <w:jc w:val="center"/>
            </w:pPr>
            <w:r>
              <w:t>922140</w:t>
            </w:r>
          </w:p>
        </w:tc>
      </w:tr>
    </w:tbl>
    <w:p w:rsidR="00CA4CD6" w:rsidRDefault="009C7E97" w14:paraId="3E22D9ED" w14:textId="68855AEB">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3F1AFC" w:rsidR="00CA4CD6" w:rsidP="004A30CC" w:rsidRDefault="00CA4CD6" w14:paraId="1D2C2416" w14:textId="72D623E2">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4A30CC" w:rsidRDefault="00817E8B" w14:paraId="440AA44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Pr="004A30CC" w:rsidR="004A30CC">
        <w:rPr>
          <w:color w:val="000000"/>
        </w:rPr>
        <w:t xml:space="preserve"> NESHAP for Metal Furniture Surface Coating (40 CFR Part 63, Subpart RRRR).</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4A30CC" w:rsidTr="001C6F81" w14:paraId="3C77EC7A"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FD56E3" w:rsidR="004A30CC" w:rsidP="004A30CC" w:rsidRDefault="004A30CC" w14:paraId="567D45F6" w14:textId="595719FE">
            <w:pPr>
              <w:pBdr>
                <w:top w:val="single" w:color="FFFFFF" w:sz="6" w:space="0"/>
                <w:left w:val="single" w:color="FFFFFF" w:sz="6" w:space="0"/>
                <w:bottom w:val="single" w:color="FFFFFF" w:sz="6" w:space="0"/>
                <w:right w:val="single" w:color="FFFFFF" w:sz="6" w:space="0"/>
              </w:pBdr>
              <w:spacing w:after="58"/>
              <w:rPr>
                <w:b/>
                <w:bCs/>
              </w:rPr>
            </w:pPr>
            <w:r w:rsidRPr="00146F35">
              <w:t xml:space="preserve">Notification of </w:t>
            </w:r>
            <w:r>
              <w:t xml:space="preserve">intent to </w:t>
            </w:r>
            <w:r w:rsidRPr="00146F35">
              <w:t>construct or reconstruct</w:t>
            </w:r>
          </w:p>
        </w:tc>
        <w:tc>
          <w:tcPr>
            <w:tcW w:w="2709" w:type="dxa"/>
            <w:tcBorders>
              <w:top w:val="single" w:color="000000" w:sz="7" w:space="0"/>
              <w:left w:val="single" w:color="000000" w:sz="7" w:space="0"/>
              <w:bottom w:val="single" w:color="000000" w:sz="7" w:space="0"/>
              <w:right w:val="single" w:color="000000" w:sz="7" w:space="0"/>
            </w:tcBorders>
            <w:vAlign w:val="center"/>
          </w:tcPr>
          <w:p w:rsidRPr="00FD56E3" w:rsidR="004A30CC" w:rsidP="004A30CC" w:rsidRDefault="004A30CC" w14:paraId="1EF1C74F" w14:textId="5B39156F">
            <w:pPr>
              <w:pBdr>
                <w:top w:val="single" w:color="FFFFFF" w:sz="6" w:space="0"/>
                <w:left w:val="single" w:color="FFFFFF" w:sz="6" w:space="0"/>
                <w:bottom w:val="single" w:color="FFFFFF" w:sz="6" w:space="0"/>
                <w:right w:val="single" w:color="FFFFFF" w:sz="6" w:space="0"/>
              </w:pBdr>
              <w:spacing w:after="58"/>
              <w:rPr>
                <w:b/>
                <w:bCs/>
              </w:rPr>
            </w:pPr>
            <w:r>
              <w:rPr>
                <w:color w:val="000000"/>
              </w:rPr>
              <w:t>§</w:t>
            </w:r>
            <w:r w:rsidRPr="00146F35">
              <w:t>63.</w:t>
            </w:r>
            <w:r>
              <w:t>9(b)</w:t>
            </w:r>
          </w:p>
        </w:tc>
      </w:tr>
      <w:tr w:rsidRPr="00CF2B37" w:rsidR="004A30CC" w:rsidTr="001C6F81" w14:paraId="74DBFC89"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5FB7E8CC" w14:textId="243DD78E">
            <w:pPr>
              <w:pBdr>
                <w:top w:val="single" w:color="FFFFFF" w:sz="6" w:space="0"/>
                <w:left w:val="single" w:color="FFFFFF" w:sz="6" w:space="0"/>
                <w:bottom w:val="single" w:color="FFFFFF" w:sz="6" w:space="0"/>
                <w:right w:val="single" w:color="FFFFFF" w:sz="6" w:space="0"/>
              </w:pBdr>
              <w:spacing w:after="58"/>
            </w:pPr>
            <w:r>
              <w:t>Initial notification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2D6ACA34" w14:textId="37F81EF6">
            <w:pPr>
              <w:pBdr>
                <w:top w:val="single" w:color="FFFFFF" w:sz="6" w:space="0"/>
                <w:left w:val="single" w:color="FFFFFF" w:sz="6" w:space="0"/>
                <w:bottom w:val="single" w:color="FFFFFF" w:sz="6" w:space="0"/>
                <w:right w:val="single" w:color="FFFFFF" w:sz="6" w:space="0"/>
              </w:pBdr>
              <w:spacing w:after="58"/>
            </w:pPr>
            <w:r>
              <w:rPr>
                <w:color w:val="000000"/>
              </w:rPr>
              <w:t>§</w:t>
            </w:r>
            <w:r>
              <w:t xml:space="preserve">63.9(b), </w:t>
            </w:r>
            <w:r>
              <w:rPr>
                <w:color w:val="000000"/>
              </w:rPr>
              <w:t>§</w:t>
            </w:r>
            <w:r>
              <w:t>63.4910</w:t>
            </w:r>
            <w:r w:rsidR="00537AB2">
              <w:t>(b)</w:t>
            </w:r>
          </w:p>
        </w:tc>
      </w:tr>
      <w:tr w:rsidRPr="00CF2B37" w:rsidR="004A30CC" w:rsidTr="001C6F81" w14:paraId="1357996C"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36741732" w14:textId="0A508EB1">
            <w:pPr>
              <w:pBdr>
                <w:top w:val="single" w:color="FFFFFF" w:sz="6" w:space="0"/>
                <w:left w:val="single" w:color="FFFFFF" w:sz="6" w:space="0"/>
                <w:bottom w:val="single" w:color="FFFFFF" w:sz="6" w:space="0"/>
                <w:right w:val="single" w:color="FFFFFF" w:sz="6" w:space="0"/>
              </w:pBdr>
              <w:spacing w:after="58"/>
            </w:pPr>
            <w:r w:rsidRPr="00AB03C3">
              <w:t>Notification of anticipated startup</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1EAAA3B8" w14:textId="44C8A2D3">
            <w:pPr>
              <w:pBdr>
                <w:top w:val="single" w:color="FFFFFF" w:sz="6" w:space="0"/>
                <w:left w:val="single" w:color="FFFFFF" w:sz="6" w:space="0"/>
                <w:bottom w:val="single" w:color="FFFFFF" w:sz="6" w:space="0"/>
                <w:right w:val="single" w:color="FFFFFF" w:sz="6" w:space="0"/>
              </w:pBdr>
              <w:spacing w:after="58"/>
            </w:pPr>
            <w:r>
              <w:rPr>
                <w:color w:val="000000"/>
              </w:rPr>
              <w:t>§</w:t>
            </w:r>
            <w:r>
              <w:t xml:space="preserve">63.9(b), </w:t>
            </w:r>
            <w:r>
              <w:rPr>
                <w:color w:val="000000"/>
              </w:rPr>
              <w:t>§</w:t>
            </w:r>
            <w:r>
              <w:t>63.4910</w:t>
            </w:r>
          </w:p>
        </w:tc>
      </w:tr>
      <w:tr w:rsidRPr="00CF2B37" w:rsidR="004A30CC" w:rsidTr="001C6F81" w14:paraId="082A3A3E"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22A573F7" w14:textId="4D9CE67C">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405E9941" w14:textId="601B623A">
            <w:pPr>
              <w:pBdr>
                <w:top w:val="single" w:color="FFFFFF" w:sz="6" w:space="0"/>
                <w:left w:val="single" w:color="FFFFFF" w:sz="6" w:space="0"/>
                <w:bottom w:val="single" w:color="FFFFFF" w:sz="6" w:space="0"/>
                <w:right w:val="single" w:color="FFFFFF" w:sz="6" w:space="0"/>
              </w:pBdr>
              <w:spacing w:after="58"/>
            </w:pPr>
            <w:r>
              <w:rPr>
                <w:color w:val="000000"/>
              </w:rPr>
              <w:t>§</w:t>
            </w:r>
            <w:r>
              <w:t xml:space="preserve">63.9(b), </w:t>
            </w:r>
            <w:r>
              <w:rPr>
                <w:color w:val="000000"/>
              </w:rPr>
              <w:t>§</w:t>
            </w:r>
            <w:r>
              <w:t>63.4910</w:t>
            </w:r>
            <w:r w:rsidDel="00D84CDD">
              <w:t xml:space="preserve"> </w:t>
            </w:r>
          </w:p>
        </w:tc>
      </w:tr>
      <w:tr w:rsidRPr="00CF2B37" w:rsidR="004A30CC" w:rsidTr="001C6F81" w14:paraId="64305F2C"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57091804" w14:textId="7F3A2A27">
            <w:pPr>
              <w:pBdr>
                <w:top w:val="single" w:color="FFFFFF" w:sz="6" w:space="0"/>
                <w:left w:val="single" w:color="FFFFFF" w:sz="6" w:space="0"/>
                <w:bottom w:val="single" w:color="FFFFFF" w:sz="6" w:space="0"/>
                <w:right w:val="single" w:color="FFFFFF" w:sz="6" w:space="0"/>
              </w:pBdr>
              <w:spacing w:after="58"/>
            </w:pPr>
            <w:r w:rsidRPr="00AB03C3">
              <w:t>Request for extension of compliance date</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12EB33D6" w14:textId="1594224A">
            <w:pPr>
              <w:pBdr>
                <w:top w:val="single" w:color="FFFFFF" w:sz="6" w:space="0"/>
                <w:left w:val="single" w:color="FFFFFF" w:sz="6" w:space="0"/>
                <w:bottom w:val="single" w:color="FFFFFF" w:sz="6" w:space="0"/>
                <w:right w:val="single" w:color="FFFFFF" w:sz="6" w:space="0"/>
              </w:pBdr>
              <w:spacing w:after="58"/>
            </w:pPr>
            <w:r>
              <w:rPr>
                <w:color w:val="000000"/>
              </w:rPr>
              <w:t>§</w:t>
            </w:r>
            <w:r>
              <w:t>63.9(c)</w:t>
            </w:r>
          </w:p>
        </w:tc>
      </w:tr>
      <w:tr w:rsidRPr="00CF2B37" w:rsidR="004A30CC" w:rsidTr="001C6F81" w14:paraId="3B3DBBFF"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2EC0114C" w14:textId="66AB1789">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1964632F" w14:textId="6EF434D7">
            <w:pPr>
              <w:pBdr>
                <w:top w:val="single" w:color="FFFFFF" w:sz="6" w:space="0"/>
                <w:left w:val="single" w:color="FFFFFF" w:sz="6" w:space="0"/>
                <w:bottom w:val="single" w:color="FFFFFF" w:sz="6" w:space="0"/>
                <w:right w:val="single" w:color="FFFFFF" w:sz="6" w:space="0"/>
              </w:pBdr>
              <w:spacing w:after="58"/>
            </w:pPr>
            <w:r>
              <w:rPr>
                <w:color w:val="000000"/>
              </w:rPr>
              <w:t>§</w:t>
            </w:r>
            <w:r>
              <w:t xml:space="preserve">63.9(e), </w:t>
            </w:r>
            <w:r>
              <w:rPr>
                <w:color w:val="000000"/>
              </w:rPr>
              <w:t>§</w:t>
            </w:r>
            <w:r>
              <w:t>63.4910</w:t>
            </w:r>
            <w:r w:rsidR="00537AB2">
              <w:t>(a)</w:t>
            </w:r>
          </w:p>
        </w:tc>
      </w:tr>
      <w:tr w:rsidRPr="00CF2B37" w:rsidR="004A30CC" w:rsidTr="001C6F81" w14:paraId="0F11E0CC"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4A61E8C6" w14:textId="43585B26">
            <w:pPr>
              <w:pBdr>
                <w:top w:val="single" w:color="FFFFFF" w:sz="6" w:space="0"/>
                <w:left w:val="single" w:color="FFFFFF" w:sz="6" w:space="0"/>
                <w:bottom w:val="single" w:color="FFFFFF" w:sz="6" w:space="0"/>
                <w:right w:val="single" w:color="FFFFFF" w:sz="6" w:space="0"/>
              </w:pBdr>
              <w:spacing w:after="58"/>
            </w:pPr>
            <w:r>
              <w:t>Notification of compliance status</w:t>
            </w:r>
            <w:r w:rsidR="000D5C7F">
              <w:t xml:space="preserve"> </w:t>
            </w:r>
            <w:r w:rsidRPr="007744B9" w:rsidR="000D5C7F">
              <w:t>(electronic submission)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A30CC" w:rsidP="004A30CC" w:rsidRDefault="004A30CC" w14:paraId="292BC42E" w14:textId="1F70E618">
            <w:pPr>
              <w:pBdr>
                <w:top w:val="single" w:color="FFFFFF" w:sz="6" w:space="0"/>
                <w:left w:val="single" w:color="FFFFFF" w:sz="6" w:space="0"/>
                <w:bottom w:val="single" w:color="FFFFFF" w:sz="6" w:space="0"/>
                <w:right w:val="single" w:color="FFFFFF" w:sz="6" w:space="0"/>
              </w:pBdr>
              <w:spacing w:after="58"/>
            </w:pPr>
            <w:r>
              <w:rPr>
                <w:color w:val="000000"/>
              </w:rPr>
              <w:t>§</w:t>
            </w:r>
            <w:r>
              <w:t xml:space="preserve">63.9(h), </w:t>
            </w:r>
            <w:r>
              <w:rPr>
                <w:color w:val="000000"/>
              </w:rPr>
              <w:t>§</w:t>
            </w:r>
            <w:r>
              <w:t>63.4910</w:t>
            </w:r>
            <w:r w:rsidR="00537AB2">
              <w:t>(c)</w:t>
            </w:r>
          </w:p>
        </w:tc>
      </w:tr>
      <w:tr w:rsidRPr="00CF2B37" w:rsidR="00344B82" w:rsidTr="001C6F81" w14:paraId="3A382F00"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344B82" w:rsidP="00344B82" w:rsidRDefault="00344B82" w14:paraId="7E3F7F31" w14:textId="6D4AD087">
            <w:pPr>
              <w:pBdr>
                <w:top w:val="single" w:color="FFFFFF" w:sz="6" w:space="0"/>
                <w:left w:val="single" w:color="FFFFFF" w:sz="6" w:space="0"/>
                <w:bottom w:val="single" w:color="FFFFFF" w:sz="6" w:space="0"/>
                <w:right w:val="single" w:color="FFFFFF" w:sz="6" w:space="0"/>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709" w:type="dxa"/>
            <w:tcBorders>
              <w:top w:val="single" w:color="000000" w:sz="7" w:space="0"/>
              <w:left w:val="single" w:color="000000" w:sz="7" w:space="0"/>
              <w:bottom w:val="single" w:color="000000" w:sz="7" w:space="0"/>
              <w:right w:val="single" w:color="000000" w:sz="7" w:space="0"/>
            </w:tcBorders>
          </w:tcPr>
          <w:p w:rsidRPr="00723245" w:rsidR="00344B82" w:rsidP="00344B82" w:rsidRDefault="00344B82" w14:paraId="6A2EBB95" w14:textId="77777777">
            <w:pPr>
              <w:spacing w:line="120" w:lineRule="exact"/>
            </w:pPr>
          </w:p>
          <w:p w:rsidRPr="00CF2B37" w:rsidR="00344B82" w:rsidP="00344B82" w:rsidRDefault="00344B82" w14:paraId="64FF8903" w14:textId="469FCE95">
            <w:pPr>
              <w:pBdr>
                <w:top w:val="single" w:color="FFFFFF" w:sz="6" w:space="0"/>
                <w:left w:val="single" w:color="FFFFFF" w:sz="6" w:space="0"/>
                <w:bottom w:val="single" w:color="FFFFFF" w:sz="6" w:space="0"/>
                <w:right w:val="single" w:color="FFFFFF" w:sz="6" w:space="0"/>
              </w:pBdr>
              <w:spacing w:after="58"/>
            </w:pPr>
            <w:r w:rsidRPr="007744B9">
              <w:t xml:space="preserve">§63.9(b), </w:t>
            </w:r>
            <w:r w:rsidRPr="00697D24" w:rsidR="00697D24">
              <w:t>§</w:t>
            </w:r>
            <w:r w:rsidRPr="007744B9">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A73600" w:rsidTr="00537AB2"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537AB2" w:rsidTr="001C6F81" w14:paraId="46D42E18" w14:textId="77777777">
        <w:trPr>
          <w:jc w:val="center"/>
        </w:trPr>
        <w:tc>
          <w:tcPr>
            <w:tcW w:w="6651"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537AB2" w:rsidP="00537AB2" w:rsidRDefault="00537AB2" w14:paraId="4930BE0A" w14:textId="2243A5BE">
            <w:pPr>
              <w:pBdr>
                <w:top w:val="single" w:color="FFFFFF" w:sz="6" w:space="0"/>
                <w:left w:val="single" w:color="FFFFFF" w:sz="6" w:space="0"/>
                <w:bottom w:val="single" w:color="FFFFFF" w:sz="6" w:space="0"/>
                <w:right w:val="single" w:color="FFFFFF" w:sz="6" w:space="0"/>
              </w:pBdr>
              <w:spacing w:after="58"/>
            </w:pPr>
            <w:r>
              <w:t>Semiannual report</w:t>
            </w:r>
            <w:r w:rsidR="001C6F81">
              <w:t xml:space="preserve"> (</w:t>
            </w:r>
            <w:r>
              <w:t>includ</w:t>
            </w:r>
            <w:r w:rsidR="001C6F81">
              <w:t>es</w:t>
            </w:r>
            <w:r>
              <w:t xml:space="preserve"> monthly compliance </w:t>
            </w:r>
            <w:r w:rsidR="001C6F81">
              <w:t>demonstrations)</w:t>
            </w:r>
          </w:p>
        </w:tc>
        <w:tc>
          <w:tcPr>
            <w:tcW w:w="2709"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537AB2" w:rsidP="00537AB2" w:rsidRDefault="00537AB2" w14:paraId="6DF7646A" w14:textId="6D731E84">
            <w:pPr>
              <w:pBdr>
                <w:top w:val="single" w:color="FFFFFF" w:sz="6" w:space="0"/>
                <w:left w:val="single" w:color="FFFFFF" w:sz="6" w:space="0"/>
                <w:bottom w:val="single" w:color="FFFFFF" w:sz="6" w:space="0"/>
                <w:right w:val="single" w:color="FFFFFF" w:sz="6" w:space="0"/>
              </w:pBdr>
              <w:spacing w:after="58"/>
            </w:pPr>
            <w:r>
              <w:rPr>
                <w:color w:val="000000"/>
              </w:rPr>
              <w:t>§</w:t>
            </w:r>
            <w:r>
              <w:t>63.4920(a)</w:t>
            </w:r>
            <w:r w:rsidR="001C6F81">
              <w:t xml:space="preserve">, </w:t>
            </w:r>
            <w:r w:rsidRPr="001C6F81" w:rsidR="001C6F81">
              <w:t>§63.49</w:t>
            </w:r>
            <w:r w:rsidR="001C6F81">
              <w:t>4</w:t>
            </w:r>
            <w:r w:rsidRPr="001C6F81" w:rsidR="001C6F81">
              <w:t>2,</w:t>
            </w:r>
            <w:r w:rsidR="001C6F81">
              <w:t xml:space="preserve"> </w:t>
            </w:r>
            <w:r w:rsidRPr="001C6F81" w:rsidR="001C6F81">
              <w:t>§63.49</w:t>
            </w:r>
            <w:r w:rsidR="001C6F81">
              <w:t>5</w:t>
            </w:r>
            <w:r w:rsidRPr="001C6F81" w:rsidR="001C6F81">
              <w:t>2,</w:t>
            </w:r>
            <w:r w:rsidR="001C6F81">
              <w:t xml:space="preserve"> </w:t>
            </w:r>
            <w:r w:rsidRPr="001C6F81" w:rsidR="001C6F81">
              <w:t>§63.49</w:t>
            </w:r>
            <w:r w:rsidR="001C6F81">
              <w:t>6</w:t>
            </w:r>
            <w:r w:rsidRPr="001C6F81" w:rsidR="001C6F81">
              <w:t>2,</w:t>
            </w:r>
          </w:p>
        </w:tc>
      </w:tr>
      <w:tr w:rsidRPr="00CF2B37" w:rsidR="00CA4CD6" w:rsidTr="001C6F81" w14:paraId="27CA75D7" w14:textId="77777777">
        <w:trPr>
          <w:jc w:val="center"/>
        </w:trPr>
        <w:tc>
          <w:tcPr>
            <w:tcW w:w="665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00537AB2" w14:paraId="54F924A9" w14:textId="5BDFAB52">
            <w:pPr>
              <w:pBdr>
                <w:top w:val="single" w:color="FFFFFF" w:sz="6" w:space="0"/>
                <w:left w:val="single" w:color="FFFFFF" w:sz="6" w:space="0"/>
                <w:bottom w:val="single" w:color="FFFFFF" w:sz="6" w:space="0"/>
                <w:right w:val="single" w:color="FFFFFF" w:sz="6" w:space="0"/>
              </w:pBdr>
              <w:spacing w:after="58"/>
            </w:pPr>
            <w:r>
              <w:t>Performance test reports (electronic submission)</w:t>
            </w:r>
          </w:p>
        </w:tc>
        <w:tc>
          <w:tcPr>
            <w:tcW w:w="270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RDefault="00537AB2" w14:paraId="75004E58" w14:textId="04D318B8">
            <w:pPr>
              <w:pBdr>
                <w:top w:val="single" w:color="FFFFFF" w:sz="6" w:space="0"/>
                <w:left w:val="single" w:color="FFFFFF" w:sz="6" w:space="0"/>
                <w:bottom w:val="single" w:color="FFFFFF" w:sz="6" w:space="0"/>
                <w:right w:val="single" w:color="FFFFFF" w:sz="6" w:space="0"/>
              </w:pBdr>
              <w:spacing w:after="58"/>
            </w:pPr>
            <w:r w:rsidRPr="00537AB2">
              <w:t>§63.4920(</w:t>
            </w:r>
            <w:r>
              <w:t>b</w:t>
            </w:r>
            <w:r w:rsidRPr="00537AB2">
              <w:t>)</w:t>
            </w:r>
            <w:r w:rsidR="001C6F81">
              <w:t xml:space="preserve">, </w:t>
            </w:r>
            <w:r w:rsidRPr="001C6F81" w:rsidR="001C6F81">
              <w:t>§63.492</w:t>
            </w:r>
            <w:r w:rsidR="001C6F81">
              <w:t>1</w:t>
            </w:r>
            <w:r w:rsidRPr="001C6F81" w:rsidR="001C6F81">
              <w:t>(a)</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807CF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807CFC" w:rsidTr="00807CFC"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807CFC" w:rsidP="00807CFC" w:rsidRDefault="00807CFC" w14:paraId="52F2EF63" w14:textId="266B6AFD">
            <w:pPr>
              <w:pBdr>
                <w:top w:val="single" w:color="FFFFFF" w:sz="6" w:space="0"/>
                <w:left w:val="single" w:color="FFFFFF" w:sz="6" w:space="0"/>
                <w:bottom w:val="single" w:color="FFFFFF" w:sz="6" w:space="0"/>
                <w:right w:val="single" w:color="FFFFFF" w:sz="6" w:space="0"/>
              </w:pBdr>
              <w:spacing w:after="58"/>
            </w:pPr>
            <w:r w:rsidRPr="008C07F3">
              <w:t>Copies of notifications and reports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807CFC" w:rsidP="00807CFC" w:rsidRDefault="00807CFC" w14:paraId="4CD69875" w14:textId="28BB6167">
            <w:pPr>
              <w:pBdr>
                <w:top w:val="single" w:color="FFFFFF" w:sz="6" w:space="0"/>
                <w:left w:val="single" w:color="FFFFFF" w:sz="6" w:space="0"/>
                <w:bottom w:val="single" w:color="FFFFFF" w:sz="6" w:space="0"/>
                <w:right w:val="single" w:color="FFFFFF" w:sz="6" w:space="0"/>
              </w:pBdr>
              <w:spacing w:after="58"/>
            </w:pPr>
            <w:r w:rsidRPr="008C07F3">
              <w:t>§63.4930(a)</w:t>
            </w:r>
          </w:p>
        </w:tc>
      </w:tr>
      <w:tr w:rsidRPr="00CF2B37" w:rsidR="00807CFC" w:rsidTr="00807CFC"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2402E105" w14:textId="12A62E1E">
            <w:pPr>
              <w:pBdr>
                <w:top w:val="single" w:color="FFFFFF" w:sz="6" w:space="0"/>
                <w:left w:val="single" w:color="FFFFFF" w:sz="6" w:space="0"/>
                <w:bottom w:val="single" w:color="FFFFFF" w:sz="6" w:space="0"/>
                <w:right w:val="single" w:color="FFFFFF" w:sz="6" w:space="0"/>
              </w:pBdr>
              <w:spacing w:after="58"/>
            </w:pPr>
            <w:r w:rsidRPr="008C07F3">
              <w:t>Material formulation data</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1D7F443A" w14:textId="3794740D">
            <w:pPr>
              <w:pBdr>
                <w:top w:val="single" w:color="FFFFFF" w:sz="6" w:space="0"/>
                <w:left w:val="single" w:color="FFFFFF" w:sz="6" w:space="0"/>
                <w:bottom w:val="single" w:color="FFFFFF" w:sz="6" w:space="0"/>
                <w:right w:val="single" w:color="FFFFFF" w:sz="6" w:space="0"/>
              </w:pBdr>
              <w:spacing w:after="58"/>
            </w:pPr>
            <w:r w:rsidRPr="008C07F3">
              <w:t>§63.4930(b)</w:t>
            </w:r>
          </w:p>
        </w:tc>
      </w:tr>
      <w:tr w:rsidRPr="00CF2B37" w:rsidR="00807CFC" w:rsidTr="00807CFC"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7977DDAC" w14:textId="2292E66F">
            <w:pPr>
              <w:pBdr>
                <w:top w:val="single" w:color="FFFFFF" w:sz="6" w:space="0"/>
                <w:left w:val="single" w:color="FFFFFF" w:sz="6" w:space="0"/>
                <w:bottom w:val="single" w:color="FFFFFF" w:sz="6" w:space="0"/>
                <w:right w:val="single" w:color="FFFFFF" w:sz="6" w:space="0"/>
              </w:pBdr>
              <w:spacing w:after="58"/>
            </w:pPr>
            <w:r w:rsidRPr="00146F35">
              <w:t xml:space="preserve">Records of </w:t>
            </w:r>
            <w:r>
              <w:t xml:space="preserve">compliance option used and compliance </w:t>
            </w:r>
            <w:r w:rsidRPr="00146F35">
              <w:t>calculations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06801B01" w14:textId="5534E313">
            <w:pPr>
              <w:pBdr>
                <w:top w:val="single" w:color="FFFFFF" w:sz="6" w:space="0"/>
                <w:left w:val="single" w:color="FFFFFF" w:sz="6" w:space="0"/>
                <w:bottom w:val="single" w:color="FFFFFF" w:sz="6" w:space="0"/>
                <w:right w:val="single" w:color="FFFFFF" w:sz="6" w:space="0"/>
              </w:pBdr>
              <w:spacing w:after="58"/>
            </w:pPr>
            <w:r>
              <w:rPr>
                <w:color w:val="000000"/>
              </w:rPr>
              <w:t>§</w:t>
            </w:r>
            <w:r w:rsidRPr="00146F35">
              <w:t>63.4</w:t>
            </w:r>
            <w:r>
              <w:t>9</w:t>
            </w:r>
            <w:r w:rsidRPr="00146F35">
              <w:t>3</w:t>
            </w:r>
            <w:r>
              <w:t>0</w:t>
            </w:r>
            <w:r w:rsidRPr="00146F35">
              <w:t>(c)</w:t>
            </w:r>
          </w:p>
        </w:tc>
      </w:tr>
      <w:tr w:rsidRPr="00CF2B37" w:rsidR="00807CFC" w:rsidTr="00807CFC"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2BD4034B" w14:textId="0517044F">
            <w:pPr>
              <w:pBdr>
                <w:top w:val="single" w:color="FFFFFF" w:sz="6" w:space="0"/>
                <w:left w:val="single" w:color="FFFFFF" w:sz="6" w:space="0"/>
                <w:bottom w:val="single" w:color="FFFFFF" w:sz="6" w:space="0"/>
                <w:right w:val="single" w:color="FFFFFF" w:sz="6" w:space="0"/>
              </w:pBdr>
              <w:spacing w:after="58"/>
            </w:pPr>
            <w:r>
              <w:t>N</w:t>
            </w:r>
            <w:r w:rsidRPr="00146F35">
              <w:t xml:space="preserve">ames </w:t>
            </w:r>
            <w:r>
              <w:t xml:space="preserve">and volumes </w:t>
            </w:r>
            <w:r w:rsidRPr="00146F35">
              <w:t xml:space="preserve">of </w:t>
            </w:r>
            <w:r>
              <w:t xml:space="preserve">each </w:t>
            </w:r>
            <w:r w:rsidRPr="00146F35">
              <w:t>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7F8F2C95" w14:textId="68F82D43">
            <w:pPr>
              <w:pBdr>
                <w:top w:val="single" w:color="FFFFFF" w:sz="6" w:space="0"/>
                <w:left w:val="single" w:color="FFFFFF" w:sz="6" w:space="0"/>
                <w:bottom w:val="single" w:color="FFFFFF" w:sz="6" w:space="0"/>
                <w:right w:val="single" w:color="FFFFFF" w:sz="6" w:space="0"/>
              </w:pBdr>
              <w:spacing w:after="58"/>
            </w:pPr>
            <w:r>
              <w:rPr>
                <w:color w:val="000000"/>
              </w:rPr>
              <w:t>§</w:t>
            </w:r>
            <w:r w:rsidRPr="00146F35">
              <w:t>63.4</w:t>
            </w:r>
            <w:r>
              <w:t>9</w:t>
            </w:r>
            <w:r w:rsidRPr="00146F35">
              <w:t>3</w:t>
            </w:r>
            <w:r>
              <w:t>0</w:t>
            </w:r>
            <w:r w:rsidRPr="00146F35">
              <w:t>(d)</w:t>
            </w:r>
          </w:p>
        </w:tc>
      </w:tr>
      <w:tr w:rsidRPr="00CF2B37" w:rsidR="00807CFC" w:rsidTr="00807CFC"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652FB47B" w14:textId="10B393B2">
            <w:pPr>
              <w:pBdr>
                <w:top w:val="single" w:color="FFFFFF" w:sz="6" w:space="0"/>
                <w:left w:val="single" w:color="FFFFFF" w:sz="6" w:space="0"/>
                <w:bottom w:val="single" w:color="FFFFFF" w:sz="6" w:space="0"/>
                <w:right w:val="single" w:color="FFFFFF" w:sz="6" w:space="0"/>
              </w:pBdr>
              <w:spacing w:after="58"/>
            </w:pPr>
            <w:r>
              <w:t xml:space="preserve">Mass fraction of organic </w:t>
            </w:r>
            <w:r w:rsidRPr="00146F35">
              <w:t>HAP in each 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722BCDB7" w14:textId="13ED499F">
            <w:pPr>
              <w:pBdr>
                <w:top w:val="single" w:color="FFFFFF" w:sz="6" w:space="0"/>
                <w:left w:val="single" w:color="FFFFFF" w:sz="6" w:space="0"/>
                <w:bottom w:val="single" w:color="FFFFFF" w:sz="6" w:space="0"/>
                <w:right w:val="single" w:color="FFFFFF" w:sz="6" w:space="0"/>
              </w:pBdr>
              <w:spacing w:after="58"/>
            </w:pPr>
            <w:r>
              <w:rPr>
                <w:color w:val="000000"/>
              </w:rPr>
              <w:t>§</w:t>
            </w:r>
            <w:r w:rsidRPr="00146F35">
              <w:t>63.4</w:t>
            </w:r>
            <w:r>
              <w:t>9</w:t>
            </w:r>
            <w:r w:rsidRPr="00146F35">
              <w:t>3</w:t>
            </w:r>
            <w:r>
              <w:t>0</w:t>
            </w:r>
            <w:r w:rsidRPr="00146F35">
              <w:t>(e)</w:t>
            </w:r>
          </w:p>
        </w:tc>
      </w:tr>
      <w:tr w:rsidRPr="00CF2B37" w:rsidR="00807CFC" w:rsidTr="00807CFC" w14:paraId="31174E0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5AC87DBF" w14:textId="2E75FE21">
            <w:pPr>
              <w:pBdr>
                <w:top w:val="single" w:color="FFFFFF" w:sz="6" w:space="0"/>
                <w:left w:val="single" w:color="FFFFFF" w:sz="6" w:space="0"/>
                <w:bottom w:val="single" w:color="FFFFFF" w:sz="6" w:space="0"/>
                <w:right w:val="single" w:color="FFFFFF" w:sz="6" w:space="0"/>
              </w:pBdr>
              <w:spacing w:after="58"/>
            </w:pPr>
            <w:r w:rsidRPr="008C07F3">
              <w:t>Coating solids fraction in each 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588CEAC4" w14:textId="112E09EB">
            <w:pPr>
              <w:pBdr>
                <w:top w:val="single" w:color="FFFFFF" w:sz="6" w:space="0"/>
                <w:left w:val="single" w:color="FFFFFF" w:sz="6" w:space="0"/>
                <w:bottom w:val="single" w:color="FFFFFF" w:sz="6" w:space="0"/>
                <w:right w:val="single" w:color="FFFFFF" w:sz="6" w:space="0"/>
              </w:pBdr>
              <w:spacing w:after="58"/>
            </w:pPr>
            <w:r w:rsidRPr="008C07F3">
              <w:t>§63.4930(f)</w:t>
            </w:r>
          </w:p>
        </w:tc>
      </w:tr>
      <w:tr w:rsidRPr="00CF2B37" w:rsidR="00807CFC" w:rsidTr="00807CFC" w14:paraId="623E3E1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661825F2" w14:textId="2DD304FB">
            <w:pPr>
              <w:pBdr>
                <w:top w:val="single" w:color="FFFFFF" w:sz="6" w:space="0"/>
                <w:left w:val="single" w:color="FFFFFF" w:sz="6" w:space="0"/>
                <w:bottom w:val="single" w:color="FFFFFF" w:sz="6" w:space="0"/>
                <w:right w:val="single" w:color="FFFFFF" w:sz="6" w:space="0"/>
              </w:pBdr>
              <w:spacing w:after="58"/>
            </w:pPr>
            <w:r w:rsidRPr="008C07F3">
              <w:t xml:space="preserve">Density of </w:t>
            </w:r>
            <w:r>
              <w:t xml:space="preserve">each </w:t>
            </w:r>
            <w:r w:rsidRPr="008C07F3">
              <w:t>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4774ADD9" w14:textId="2E3F35D8">
            <w:pPr>
              <w:pBdr>
                <w:top w:val="single" w:color="FFFFFF" w:sz="6" w:space="0"/>
                <w:left w:val="single" w:color="FFFFFF" w:sz="6" w:space="0"/>
                <w:bottom w:val="single" w:color="FFFFFF" w:sz="6" w:space="0"/>
                <w:right w:val="single" w:color="FFFFFF" w:sz="6" w:space="0"/>
              </w:pBdr>
              <w:spacing w:after="58"/>
            </w:pPr>
            <w:r w:rsidRPr="008C07F3">
              <w:t>§63.4930(g)</w:t>
            </w:r>
          </w:p>
        </w:tc>
      </w:tr>
      <w:tr w:rsidRPr="00CF2B37" w:rsidR="00807CFC" w:rsidTr="00807CFC" w14:paraId="6B49A36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08E1C80A" w14:textId="3B0B12B7">
            <w:pPr>
              <w:pBdr>
                <w:top w:val="single" w:color="FFFFFF" w:sz="6" w:space="0"/>
                <w:left w:val="single" w:color="FFFFFF" w:sz="6" w:space="0"/>
                <w:bottom w:val="single" w:color="FFFFFF" w:sz="6" w:space="0"/>
                <w:right w:val="single" w:color="FFFFFF" w:sz="6" w:space="0"/>
              </w:pBdr>
              <w:spacing w:after="58"/>
            </w:pPr>
            <w:r w:rsidRPr="008C07F3">
              <w:t>Documentation of waste material shipped offsite</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58C3D184" w14:textId="4A015F28">
            <w:pPr>
              <w:pBdr>
                <w:top w:val="single" w:color="FFFFFF" w:sz="6" w:space="0"/>
                <w:left w:val="single" w:color="FFFFFF" w:sz="6" w:space="0"/>
                <w:bottom w:val="single" w:color="FFFFFF" w:sz="6" w:space="0"/>
                <w:right w:val="single" w:color="FFFFFF" w:sz="6" w:space="0"/>
              </w:pBdr>
              <w:spacing w:after="58"/>
            </w:pPr>
            <w:r w:rsidRPr="008C07F3">
              <w:t>§63.4930(h)</w:t>
            </w:r>
          </w:p>
        </w:tc>
      </w:tr>
      <w:tr w:rsidRPr="00CF2B37" w:rsidR="00807CFC" w:rsidTr="00807CFC" w14:paraId="2679A533"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030E4FDB" w14:textId="66848934">
            <w:pPr>
              <w:pBdr>
                <w:top w:val="single" w:color="FFFFFF" w:sz="6" w:space="0"/>
                <w:left w:val="single" w:color="FFFFFF" w:sz="6" w:space="0"/>
                <w:bottom w:val="single" w:color="FFFFFF" w:sz="6" w:space="0"/>
                <w:right w:val="single" w:color="FFFFFF" w:sz="6" w:space="0"/>
              </w:pBdr>
              <w:spacing w:after="58"/>
            </w:pPr>
            <w:r>
              <w:t xml:space="preserve">Deviation </w:t>
            </w:r>
            <w:r w:rsidRPr="00146F35">
              <w:t>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571A4944" w14:textId="31AC6A82">
            <w:pPr>
              <w:pBdr>
                <w:top w:val="single" w:color="FFFFFF" w:sz="6" w:space="0"/>
                <w:left w:val="single" w:color="FFFFFF" w:sz="6" w:space="0"/>
                <w:bottom w:val="single" w:color="FFFFFF" w:sz="6" w:space="0"/>
                <w:right w:val="single" w:color="FFFFFF" w:sz="6" w:space="0"/>
              </w:pBdr>
              <w:spacing w:after="58"/>
            </w:pPr>
            <w:r>
              <w:rPr>
                <w:color w:val="000000"/>
              </w:rPr>
              <w:t>§</w:t>
            </w:r>
            <w:r w:rsidRPr="00146F35">
              <w:t>63.4</w:t>
            </w:r>
            <w:r>
              <w:t>9</w:t>
            </w:r>
            <w:r w:rsidRPr="00146F35">
              <w:t>3</w:t>
            </w:r>
            <w:r>
              <w:t>0</w:t>
            </w:r>
            <w:r w:rsidRPr="00146F35">
              <w:t>(j)</w:t>
            </w:r>
          </w:p>
        </w:tc>
      </w:tr>
      <w:tr w:rsidRPr="00CF2B37" w:rsidR="00807CFC" w:rsidTr="00807CFC" w14:paraId="59DA285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23C36ACC" w14:textId="14344E92">
            <w:pPr>
              <w:pBdr>
                <w:top w:val="single" w:color="FFFFFF" w:sz="6" w:space="0"/>
                <w:left w:val="single" w:color="FFFFFF" w:sz="6" w:space="0"/>
                <w:bottom w:val="single" w:color="FFFFFF" w:sz="6" w:space="0"/>
                <w:right w:val="single" w:color="FFFFFF" w:sz="6" w:space="0"/>
              </w:pBdr>
              <w:spacing w:after="58"/>
            </w:pPr>
            <w:r w:rsidRPr="008C07F3">
              <w:t xml:space="preserve">Documentation of </w:t>
            </w:r>
            <w:r>
              <w:t xml:space="preserve">emission capture system and add-on </w:t>
            </w:r>
            <w:r w:rsidRPr="008C07F3">
              <w:t>control device performance tests</w:t>
            </w:r>
            <w:r>
              <w:t>, and records to show continuous compliance with operating limits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1AE4E2B6" w14:textId="3E7EC30F">
            <w:pPr>
              <w:pBdr>
                <w:top w:val="single" w:color="FFFFFF" w:sz="6" w:space="0"/>
                <w:left w:val="single" w:color="FFFFFF" w:sz="6" w:space="0"/>
                <w:bottom w:val="single" w:color="FFFFFF" w:sz="6" w:space="0"/>
                <w:right w:val="single" w:color="FFFFFF" w:sz="6" w:space="0"/>
              </w:pBdr>
              <w:spacing w:after="58"/>
            </w:pPr>
            <w:r w:rsidRPr="008C07F3">
              <w:t>§63.4930(k)</w:t>
            </w:r>
          </w:p>
        </w:tc>
      </w:tr>
      <w:tr w:rsidRPr="00CF2B37" w:rsidR="00807CFC" w:rsidTr="00807CFC" w14:paraId="729A1DCE"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4E9925BC" w14:textId="43D9EC70">
            <w:pPr>
              <w:pBdr>
                <w:top w:val="single" w:color="FFFFFF" w:sz="6" w:space="0"/>
                <w:left w:val="single" w:color="FFFFFF" w:sz="6" w:space="0"/>
                <w:bottom w:val="single" w:color="FFFFFF" w:sz="6" w:space="0"/>
                <w:right w:val="single" w:color="FFFFFF" w:sz="6" w:space="0"/>
              </w:pBdr>
              <w:spacing w:after="58"/>
            </w:pPr>
            <w:r>
              <w:t>Records submitted electronically via CEDRI may be kept electronically</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64497F00" w14:textId="200DFB61">
            <w:pPr>
              <w:pBdr>
                <w:top w:val="single" w:color="FFFFFF" w:sz="6" w:space="0"/>
                <w:left w:val="single" w:color="FFFFFF" w:sz="6" w:space="0"/>
                <w:bottom w:val="single" w:color="FFFFFF" w:sz="6" w:space="0"/>
                <w:right w:val="single" w:color="FFFFFF" w:sz="6" w:space="0"/>
              </w:pBdr>
              <w:spacing w:after="58"/>
            </w:pPr>
            <w:r>
              <w:rPr>
                <w:color w:val="000000"/>
              </w:rPr>
              <w:t>§</w:t>
            </w:r>
            <w:r>
              <w:t>63.49</w:t>
            </w:r>
            <w:r w:rsidRPr="00146F35">
              <w:t>3</w:t>
            </w:r>
            <w:r>
              <w:t>0(l)</w:t>
            </w:r>
          </w:p>
        </w:tc>
      </w:tr>
      <w:tr w:rsidRPr="00CF2B37" w:rsidR="00807CFC" w:rsidTr="00807CFC" w14:paraId="051BBCC3"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FD63B8" w14:paraId="1D765CE0" w14:textId="7A280255">
            <w:pPr>
              <w:pBdr>
                <w:top w:val="single" w:color="FFFFFF" w:sz="6" w:space="0"/>
                <w:left w:val="single" w:color="FFFFFF" w:sz="6" w:space="0"/>
                <w:bottom w:val="single" w:color="FFFFFF" w:sz="6" w:space="0"/>
                <w:right w:val="single" w:color="FFFFFF" w:sz="6" w:space="0"/>
              </w:pBdr>
              <w:spacing w:after="58"/>
            </w:pPr>
            <w:r w:rsidRPr="008C07F3">
              <w:t>Five-year</w:t>
            </w:r>
            <w:r w:rsidRPr="008C07F3" w:rsidR="00807CFC">
              <w:t xml:space="preserve"> retention of 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807CFC" w:rsidP="00807CFC" w:rsidRDefault="00807CFC" w14:paraId="60D5CCB9" w14:textId="5371856A">
            <w:pPr>
              <w:pBdr>
                <w:top w:val="single" w:color="FFFFFF" w:sz="6" w:space="0"/>
                <w:left w:val="single" w:color="FFFFFF" w:sz="6" w:space="0"/>
                <w:bottom w:val="single" w:color="FFFFFF" w:sz="6" w:space="0"/>
                <w:right w:val="single" w:color="FFFFFF" w:sz="6" w:space="0"/>
              </w:pBdr>
              <w:spacing w:after="58"/>
            </w:pPr>
            <w:r w:rsidRPr="008C07F3">
              <w:t>§63.</w:t>
            </w:r>
            <w:r>
              <w:t>4931(b)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11A045C4">
      <w:pPr>
        <w:pBdr>
          <w:top w:val="single" w:color="FFFFFF" w:sz="6" w:space="0"/>
          <w:left w:val="single" w:color="FFFFFF" w:sz="6" w:space="0"/>
          <w:bottom w:val="single" w:color="FFFFFF" w:sz="6" w:space="0"/>
          <w:right w:val="single" w:color="FFFFFF" w:sz="6" w:space="0"/>
        </w:pBdr>
        <w:ind w:firstLine="720"/>
        <w:rPr>
          <w:color w:val="000000"/>
        </w:rPr>
      </w:pPr>
    </w:p>
    <w:p w:rsidRPr="00205D4D" w:rsidR="00AE52C4" w:rsidP="00807CFC" w:rsidRDefault="00CA28F1" w14:paraId="33D2BE8B" w14:textId="264EA7FD">
      <w:pPr>
        <w:ind w:firstLine="720"/>
      </w:pPr>
      <w:r w:rsidRPr="00004ED8">
        <w:rPr>
          <w:bdr w:val="none" w:color="auto" w:sz="0" w:space="0" w:frame="1"/>
          <w:shd w:val="clear" w:color="auto" w:fill="FFFFFF"/>
        </w:rPr>
        <w:t xml:space="preserve">The rule was </w:t>
      </w:r>
      <w:r w:rsidR="00807CFC">
        <w:rPr>
          <w:bdr w:val="none" w:color="auto" w:sz="0" w:space="0" w:frame="1"/>
          <w:shd w:val="clear" w:color="auto" w:fill="FFFFFF"/>
        </w:rPr>
        <w:t>r</w:t>
      </w:r>
      <w:r w:rsidRPr="00004ED8">
        <w:rPr>
          <w:bdr w:val="none" w:color="auto" w:sz="0" w:space="0" w:frame="1"/>
          <w:shd w:val="clear" w:color="auto" w:fill="FFFFFF"/>
        </w:rPr>
        <w:t>ecently</w:t>
      </w:r>
      <w:r w:rsidR="00807CFC">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 </w:t>
      </w:r>
      <w:r w:rsidRPr="00807CFC" w:rsidR="00807CFC">
        <w:rPr>
          <w:bdr w:val="none" w:color="auto" w:sz="0" w:space="0" w:frame="1"/>
          <w:shd w:val="clear" w:color="auto" w:fill="FFFFFF"/>
        </w:rPr>
        <w:t>March 15, 2019 and November 19, 2020</w:t>
      </w:r>
      <w:r w:rsidR="00CB6966">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w:history="1" r:id="rId12">
        <w:r w:rsidRPr="00FC113A" w:rsidR="007F7CD8">
          <w:rPr>
            <w:rStyle w:val="Hyperlink"/>
            <w:color w:val="auto"/>
          </w:rPr>
          <w:t>https://cdx.epa.gov/</w:t>
        </w:r>
      </w:hyperlink>
      <w:r w:rsidR="007F7CD8">
        <w:t xml:space="preserve">). </w:t>
      </w:r>
      <w:r w:rsidRPr="00846D80" w:rsidR="00E546A1">
        <w:t>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000D78E3">
        <w:t xml:space="preserve"> Also,</w:t>
      </w:r>
      <w:r w:rsidR="00CB6966">
        <w:t xml:space="preserve"> </w:t>
      </w:r>
      <w:r w:rsidR="000D78E3">
        <w:rPr>
          <w:bdr w:val="none" w:color="auto" w:sz="0" w:space="0" w:frame="1"/>
          <w:shd w:val="clear" w:color="auto" w:fill="FFFFFF"/>
        </w:rPr>
        <w:lastRenderedPageBreak/>
        <w:t>r</w:t>
      </w:r>
      <w:r w:rsidR="00DA29A6">
        <w:rPr>
          <w:bdr w:val="none" w:color="auto" w:sz="0" w:space="0" w:frame="1"/>
          <w:shd w:val="clear" w:color="auto" w:fill="FFFFFF"/>
        </w:rPr>
        <w:t>espondents</w:t>
      </w:r>
      <w:r w:rsidR="00CB6966">
        <w:rPr>
          <w:bdr w:val="none" w:color="auto" w:sz="0" w:space="0" w:frame="1"/>
          <w:shd w:val="clear" w:color="auto" w:fill="FFFFFF"/>
        </w:rPr>
        <w:t xml:space="preserve"> are </w:t>
      </w:r>
      <w:r w:rsidR="00DA29A6">
        <w:rPr>
          <w:bdr w:val="none" w:color="auto" w:sz="0" w:space="0" w:frame="1"/>
          <w:shd w:val="clear" w:color="auto" w:fill="FFFFFF"/>
        </w:rPr>
        <w:t xml:space="preserve">required </w:t>
      </w:r>
      <w:r w:rsidRPr="00004ED8">
        <w:rPr>
          <w:bdr w:val="none" w:color="auto" w:sz="0" w:space="0" w:frame="1"/>
          <w:shd w:val="clear" w:color="auto" w:fill="FFFFFF"/>
        </w:rPr>
        <w:t xml:space="preserve">to submit electronic copies of </w:t>
      </w:r>
      <w:r w:rsidR="009A06B9">
        <w:rPr>
          <w:bdr w:val="none" w:color="auto" w:sz="0" w:space="0" w:frame="1"/>
          <w:shd w:val="clear" w:color="auto" w:fill="FFFFFF"/>
        </w:rPr>
        <w:t xml:space="preserve">notifications and </w:t>
      </w:r>
      <w:r w:rsidR="005062F9">
        <w:rPr>
          <w:bdr w:val="none" w:color="auto" w:sz="0" w:space="0" w:frame="1"/>
          <w:shd w:val="clear" w:color="auto" w:fill="FFFFFF"/>
        </w:rPr>
        <w:t>certain reports</w:t>
      </w:r>
      <w:r w:rsidRPr="00004ED8">
        <w:rPr>
          <w:bdr w:val="none" w:color="auto" w:sz="0" w:space="0" w:frame="1"/>
          <w:shd w:val="clear" w:color="auto" w:fill="FFFFFF"/>
        </w:rPr>
        <w:t xml:space="preserve"> through EPA’s CEDRI. </w:t>
      </w:r>
      <w:r w:rsidRPr="00846D80" w:rsidR="00AE52C4">
        <w:t>The notification is an upload of their currently required notification in portable document format (PDF) file. The</w:t>
      </w:r>
      <w:r w:rsidR="00CB6966">
        <w:t xml:space="preserve"> semiannual </w:t>
      </w:r>
      <w:r w:rsidRPr="00846D80" w:rsidR="00AE52C4">
        <w:t xml:space="preserve">reports are to be created using Form </w:t>
      </w:r>
      <w:r w:rsidRPr="005471ED" w:rsidR="00E52580">
        <w:t>5900-0528</w:t>
      </w:r>
      <w:r w:rsidRPr="006760FF" w:rsidR="00E52580">
        <w:t>,</w:t>
      </w:r>
      <w:r w:rsidR="00E52580">
        <w:rPr>
          <w:color w:val="FF0000"/>
        </w:rPr>
        <w:t xml:space="preserve"> </w:t>
      </w:r>
      <w:r w:rsidRPr="00846D80" w:rsidR="00AE52C4">
        <w:t>the electronic template included with this Supporting Statement. T</w:t>
      </w:r>
      <w:r w:rsidR="00AE52C4">
        <w:t xml:space="preserve">he template is an Excel spreadsheet which can be partially completed </w:t>
      </w:r>
      <w:r w:rsidRPr="00CB6966" w:rsidR="00AE52C4">
        <w:t xml:space="preserve">and saved for subsequent </w:t>
      </w:r>
      <w:r w:rsidRPr="00CB6966" w:rsidR="002F4D5D">
        <w:t>semiannual</w:t>
      </w:r>
      <w:r w:rsidRPr="00CB6966" w:rsidR="00AE52C4">
        <w:t xml:space="preserve"> reports to limit some of the repetitive data entry. It reflects </w:t>
      </w:r>
      <w:r w:rsidR="00AE52C4">
        <w:t>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w:t>
      </w:r>
      <w:r w:rsidR="00CB6966">
        <w:t xml:space="preserve"> is </w:t>
      </w:r>
      <w:r w:rsidR="00AE52C4">
        <w:t>no additional 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FC113A"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3">
        <w:r w:rsidRPr="00FC113A" w:rsidR="00E30B71">
          <w:rPr>
            <w:rStyle w:val="Hyperlink"/>
            <w:i/>
            <w:iCs/>
            <w:color w:val="auto"/>
            <w:bdr w:val="none" w:color="auto" w:sz="0" w:space="0" w:frame="1"/>
            <w:shd w:val="clear" w:color="auto" w:fill="FFFFFF"/>
          </w:rPr>
          <w:t>https://www.epa.gov/electronic-reporting-air-emissions/paperwork-reduction-act-pra-cedri-and-ert</w:t>
        </w:r>
      </w:hyperlink>
      <w:r w:rsidRPr="00FC113A"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205D4D"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205D4D"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CB6966" w:rsidTr="00CB6966" w14:paraId="61A3CA2B" w14:textId="3DCD495E">
        <w:trPr>
          <w:trHeight w:val="611"/>
        </w:trPr>
        <w:tc>
          <w:tcPr>
            <w:tcW w:w="9445" w:type="dxa"/>
            <w:vAlign w:val="center"/>
          </w:tcPr>
          <w:p w:rsidRPr="00B04A5C" w:rsidR="00CB6966" w:rsidP="00CB6966" w:rsidRDefault="00CB6966" w14:paraId="5B0ECB8D" w14:textId="228595D7">
            <w:pPr>
              <w:outlineLvl w:val="0"/>
              <w:rPr>
                <w:color w:val="000000"/>
              </w:rPr>
            </w:pPr>
            <w:r w:rsidRPr="009B6142">
              <w:t>Install, calibrate, maintain, and operate CPMS for gas volumetric flow rate, duct static pressure for oxidizer, carbon adsorber, condenser, concentrator, or capture system.</w:t>
            </w:r>
          </w:p>
        </w:tc>
      </w:tr>
      <w:tr w:rsidR="00CB6966" w:rsidTr="00CB6966" w14:paraId="1ED261EE" w14:textId="005A7CAD">
        <w:trPr>
          <w:trHeight w:val="1250"/>
        </w:trPr>
        <w:tc>
          <w:tcPr>
            <w:tcW w:w="9445" w:type="dxa"/>
            <w:vAlign w:val="center"/>
          </w:tcPr>
          <w:p w:rsidRPr="00B04A5C" w:rsidR="00CB6966" w:rsidP="00CB6966" w:rsidRDefault="00CB6966" w14:paraId="638FCDAD" w14:textId="0F528717">
            <w:pPr>
              <w:outlineLvl w:val="0"/>
              <w:rPr>
                <w:color w:val="000000"/>
              </w:rPr>
            </w:pPr>
            <w:r w:rsidRPr="009B6142">
              <w:t>Perform initial performance test, using applicable methods: Reference Method 1, 1A, 2, 2A, 2C, 2D, 2F, 2G, 3, 3A, 3B, 4, 18, 24, 25, 25A, 204, 204A, 204B, 204C, 204D, 204E, 204F, 311, or ASTM Method D1475-13, D2111-10 (2015), D2369-10 (2015), D2697–86, D6093-97 tests, and repeat performance tests if necessary.</w:t>
            </w:r>
          </w:p>
        </w:tc>
      </w:tr>
      <w:tr w:rsidR="00E116DC" w:rsidTr="00205D4D"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205D4D"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205D4D" w14:paraId="1A8581C8" w14:textId="78F09901">
        <w:trPr>
          <w:trHeight w:val="692"/>
        </w:trPr>
        <w:tc>
          <w:tcPr>
            <w:tcW w:w="9445" w:type="dxa"/>
            <w:vAlign w:val="center"/>
          </w:tcPr>
          <w:p w:rsidRPr="00B04A5C" w:rsidR="00E116DC" w:rsidP="00B04A5C" w:rsidRDefault="00CB6966" w14:paraId="2E7D5DD5" w14:textId="4223EB90">
            <w:pPr>
              <w:outlineLvl w:val="0"/>
              <w:rPr>
                <w:color w:val="000000"/>
              </w:rPr>
            </w:pPr>
            <w:r w:rsidRPr="00CB6966">
              <w:rPr>
                <w:color w:val="000000"/>
              </w:rPr>
              <w:t xml:space="preserve">Electronically </w:t>
            </w:r>
            <w:r>
              <w:rPr>
                <w:color w:val="000000"/>
              </w:rPr>
              <w:t>s</w:t>
            </w:r>
            <w:r w:rsidRPr="00B04A5C" w:rsidR="00E116DC">
              <w:rPr>
                <w:color w:val="000000"/>
              </w:rPr>
              <w:t>ubmit the required reports developing, acquiring, installing, and utilizing technology and systems for collecting, validating, and verifying information.</w:t>
            </w:r>
          </w:p>
        </w:tc>
      </w:tr>
      <w:tr w:rsidR="00E116DC" w:rsidTr="00205D4D"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205D4D"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205D4D"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205D4D"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0D78E3" w:rsidP="00504745" w:rsidRDefault="000D78E3" w14:paraId="5E2C82F5"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0D78E3" w:rsidP="00504745" w:rsidRDefault="000D78E3" w14:paraId="2340E938"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774CB376" w14:textId="6CA8D003">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892184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D78E3" w14:paraId="42F9647A" w14:textId="328F61B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B5689B" w14:paraId="5A7E1BE3" w14:textId="15C39D94">
        <w:trPr>
          <w:trHeight w:val="432"/>
        </w:trPr>
        <w:tc>
          <w:tcPr>
            <w:tcW w:w="9625" w:type="dxa"/>
            <w:vAlign w:val="center"/>
          </w:tcPr>
          <w:p w:rsidRPr="00E835B0" w:rsidR="00E116DC" w:rsidP="00B5689B" w:rsidRDefault="00E116DC" w14:paraId="4348CA1A" w14:textId="4315D459">
            <w:pPr>
              <w:jc w:val="center"/>
              <w:rPr>
                <w:b/>
                <w:bCs/>
                <w:color w:val="000000"/>
              </w:rPr>
            </w:pPr>
            <w:r>
              <w:rPr>
                <w:b/>
                <w:bCs/>
                <w:color w:val="000000"/>
              </w:rPr>
              <w:t>Agency Activities</w:t>
            </w:r>
          </w:p>
        </w:tc>
      </w:tr>
      <w:tr w:rsidR="00E116DC" w:rsidTr="00205D4D"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205D4D"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205D4D"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Pr="00B5689B"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B5689B">
        <w:rPr>
          <w:b/>
          <w:bCs/>
        </w:rPr>
        <w:t>5(b)</w:t>
      </w:r>
      <w:r w:rsidRPr="00B5689B" w:rsidR="009C7E97">
        <w:rPr>
          <w:b/>
          <w:bCs/>
        </w:rPr>
        <w:t xml:space="preserve"> </w:t>
      </w:r>
      <w:r w:rsidRPr="00B5689B">
        <w:rPr>
          <w:b/>
          <w:bCs/>
        </w:rPr>
        <w:t>Collection Methodology and Management</w:t>
      </w:r>
    </w:p>
    <w:p w:rsidRPr="00B5689B"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B5689B" w:rsidR="00CA4CD6" w:rsidRDefault="00CA4CD6" w14:paraId="2CF35A7F" w14:textId="6FE3D9B7">
      <w:pPr>
        <w:pBdr>
          <w:top w:val="single" w:color="FFFFFF" w:sz="6" w:space="0"/>
          <w:left w:val="single" w:color="FFFFFF" w:sz="6" w:space="0"/>
          <w:bottom w:val="single" w:color="FFFFFF" w:sz="6" w:space="0"/>
          <w:right w:val="single" w:color="FFFFFF" w:sz="6" w:space="0"/>
        </w:pBdr>
        <w:ind w:firstLine="720"/>
      </w:pPr>
      <w:r w:rsidRPr="00B5689B">
        <w:t xml:space="preserve">Following notification of startup, the reviewing authority </w:t>
      </w:r>
      <w:r w:rsidRPr="00B5689B" w:rsidR="002B29A7">
        <w:t xml:space="preserve">could </w:t>
      </w:r>
      <w:r w:rsidRPr="00B5689B">
        <w:t>inspect the source to determine whether the pollution control devices are properly installed and operated.</w:t>
      </w:r>
      <w:r w:rsidRPr="00B5689B" w:rsidR="009C7E97">
        <w:t xml:space="preserve"> </w:t>
      </w:r>
      <w:r w:rsidRPr="00B5689B" w:rsidR="00B5689B">
        <w:t>If a facility is using add-on controls to comply, performance test reports are used by the Agency to discern a source’s initial capability to comply with the emission standard</w:t>
      </w:r>
      <w:r w:rsidR="000D78E3">
        <w:t>s</w:t>
      </w:r>
      <w:r w:rsidRPr="00B5689B" w:rsidR="00B5689B">
        <w:t xml:space="preserve">. Other facilities are expected to use purchase records and manufacturer’s documentation of HAP content, based on coating formulation, to establish compliance with the final HAP content limit standards. Facilities </w:t>
      </w:r>
      <w:proofErr w:type="gramStart"/>
      <w:r w:rsidRPr="00B5689B" w:rsidR="00B5689B">
        <w:t xml:space="preserve">are </w:t>
      </w:r>
      <w:r w:rsidR="000D78E3">
        <w:t xml:space="preserve"> </w:t>
      </w:r>
      <w:r w:rsidRPr="00B5689B" w:rsidR="00B5689B">
        <w:t>not</w:t>
      </w:r>
      <w:proofErr w:type="gramEnd"/>
      <w:r w:rsidRPr="00B5689B" w:rsidR="00B5689B">
        <w:t xml:space="preserve"> expected to measure the HAP content of the coatings. </w:t>
      </w:r>
      <w:r w:rsidRPr="00B5689B">
        <w:t>Data and records maintained by the respondents are tabulated and published for use in compliance and enforcement programs.</w:t>
      </w:r>
      <w:r w:rsidRPr="00B5689B" w:rsidR="009C7E97">
        <w:t xml:space="preserve"> </w:t>
      </w:r>
      <w:r w:rsidR="000D78E3">
        <w:t xml:space="preserve">     </w:t>
      </w:r>
      <w:r w:rsidRPr="00B5689B">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BE1E211">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0D78E3">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w:t>
      </w:r>
      <w:r w:rsidR="000D78E3">
        <w:rPr>
          <w:color w:val="000000"/>
        </w:rPr>
        <w:t xml:space="preserve">and the </w:t>
      </w:r>
      <w:r>
        <w:rPr>
          <w:color w:val="000000"/>
        </w:rPr>
        <w:t>EPA</w:t>
      </w:r>
      <w:r w:rsidR="000D78E3">
        <w:rPr>
          <w:color w:val="000000"/>
        </w:rPr>
        <w:t>’s r</w:t>
      </w:r>
      <w:r>
        <w:rPr>
          <w:color w:val="000000"/>
        </w:rPr>
        <w:t>egional offices</w:t>
      </w:r>
      <w:r w:rsidR="000D78E3">
        <w:rPr>
          <w:color w:val="000000"/>
        </w:rPr>
        <w:t>,</w:t>
      </w:r>
      <w:r>
        <w:rPr>
          <w:color w:val="000000"/>
        </w:rPr>
        <w:t xml:space="preserve"> and </w:t>
      </w:r>
      <w:proofErr w:type="gramStart"/>
      <w:r>
        <w:rPr>
          <w:color w:val="000000"/>
        </w:rPr>
        <w:t>head</w:t>
      </w:r>
      <w:r w:rsidR="000D78E3">
        <w:rPr>
          <w:color w:val="000000"/>
        </w:rPr>
        <w:t>-</w:t>
      </w:r>
      <w:r>
        <w:rPr>
          <w:color w:val="000000"/>
        </w:rPr>
        <w:t>quarters</w:t>
      </w:r>
      <w:proofErr w:type="gramEnd"/>
      <w:r>
        <w:rPr>
          <w:color w:val="000000"/>
        </w:rPr>
        <w:t>.</w:t>
      </w:r>
      <w:r w:rsidR="009C7E97">
        <w:rPr>
          <w:color w:val="000000"/>
        </w:rPr>
        <w:t xml:space="preserve"> </w:t>
      </w:r>
      <w:r w:rsidR="000D78E3">
        <w:rPr>
          <w:color w:val="000000"/>
        </w:rPr>
        <w:t xml:space="preserve">The </w:t>
      </w:r>
      <w:r>
        <w:rPr>
          <w:color w:val="000000"/>
        </w:rPr>
        <w:t xml:space="preserve">EPA and its delegated </w:t>
      </w:r>
      <w:r w:rsidR="000D78E3">
        <w:rPr>
          <w:color w:val="000000"/>
        </w:rPr>
        <w:t>a</w:t>
      </w:r>
      <w:r>
        <w:rPr>
          <w:color w:val="000000"/>
        </w:rPr>
        <w:t>uthorities can edit, store, retrieve and analyze the data.</w:t>
      </w:r>
    </w:p>
    <w:p w:rsidRPr="00F02311"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F02311" w:rsidR="00CA4CD6" w:rsidRDefault="00CA4CD6" w14:paraId="39977937" w14:textId="43359CE4">
      <w:pPr>
        <w:pBdr>
          <w:top w:val="single" w:color="FFFFFF" w:sz="6" w:space="0"/>
          <w:left w:val="single" w:color="FFFFFF" w:sz="6" w:space="0"/>
          <w:bottom w:val="single" w:color="FFFFFF" w:sz="6" w:space="0"/>
          <w:right w:val="single" w:color="FFFFFF" w:sz="6" w:space="0"/>
        </w:pBdr>
        <w:ind w:firstLine="720"/>
      </w:pPr>
      <w:r w:rsidRPr="00F02311">
        <w:t xml:space="preserve"> The records required by this regulation must be retained by the owner/operator for </w:t>
      </w:r>
      <w:r w:rsidRPr="00F02311" w:rsidR="00B5689B">
        <w:t xml:space="preserve">five </w:t>
      </w:r>
      <w:r w:rsidRPr="00F02311">
        <w:t>years.</w:t>
      </w:r>
    </w:p>
    <w:p w:rsidRPr="00F02311"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F02311"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F02311">
        <w:rPr>
          <w:b/>
          <w:bCs/>
        </w:rPr>
        <w:t>5(c)</w:t>
      </w:r>
      <w:r w:rsidRPr="00F02311" w:rsidR="009C7E97">
        <w:rPr>
          <w:b/>
          <w:bCs/>
        </w:rPr>
        <w:t xml:space="preserve"> </w:t>
      </w:r>
      <w:r w:rsidRPr="00F02311">
        <w:rPr>
          <w:b/>
          <w:bCs/>
        </w:rPr>
        <w:t>Small Entity Flexibility</w:t>
      </w:r>
    </w:p>
    <w:p w:rsidRPr="00F02311"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F02311" w:rsidR="00CA4CD6" w:rsidP="00F02311" w:rsidRDefault="000D78E3" w14:paraId="02201076" w14:textId="5279031C">
      <w:pPr>
        <w:pBdr>
          <w:top w:val="single" w:color="FFFFFF" w:sz="6" w:space="0"/>
          <w:left w:val="single" w:color="FFFFFF" w:sz="6" w:space="0"/>
          <w:bottom w:val="single" w:color="FFFFFF" w:sz="6" w:space="0"/>
          <w:right w:val="single" w:color="FFFFFF" w:sz="6" w:space="0"/>
        </w:pBdr>
        <w:ind w:firstLine="720"/>
        <w:rPr>
          <w:b/>
          <w:bCs/>
        </w:rPr>
      </w:pPr>
      <w:proofErr w:type="gramStart"/>
      <w:r>
        <w:t xml:space="preserve">The </w:t>
      </w:r>
      <w:r w:rsidRPr="00F02311" w:rsidR="00CA4CD6">
        <w:t>majority of</w:t>
      </w:r>
      <w:proofErr w:type="gramEnd"/>
      <w:r w:rsidRPr="00F02311" w:rsidR="00CA4CD6">
        <w:t xml:space="preserve"> the respondents are large entities (i.e., large businesses).</w:t>
      </w:r>
      <w:r w:rsidRPr="00F02311" w:rsidR="009C7E97">
        <w:t xml:space="preserve"> </w:t>
      </w:r>
      <w:r w:rsidRPr="00F02311" w:rsidR="00CA4CD6">
        <w:t>However, the impact on small entities (i.e., small businesses) was taken into consideration during the development of the</w:t>
      </w:r>
      <w:r>
        <w:t>se</w:t>
      </w:r>
      <w:r w:rsidRPr="00F02311" w:rsidR="00CA4CD6">
        <w:t xml:space="preserve"> regulation</w:t>
      </w:r>
      <w:r>
        <w:t>s</w:t>
      </w:r>
      <w:r w:rsidRPr="00F02311" w:rsidR="00CA4CD6">
        <w:t>.</w:t>
      </w:r>
      <w:r w:rsidRPr="00F02311" w:rsidR="00F02311">
        <w:t xml:space="preserve"> </w:t>
      </w:r>
      <w:r w:rsidRPr="00F02311" w:rsidR="00CA4CD6">
        <w:t xml:space="preserve">Due to technical considerations involving the process operations and the types of control equipment employed, the recordkeeping and reporting </w:t>
      </w:r>
      <w:r w:rsidRPr="00F02311" w:rsidR="00CA4CD6">
        <w:lastRenderedPageBreak/>
        <w:t>requirements are the same for both small and large entities.</w:t>
      </w:r>
      <w:r w:rsidRPr="00F02311" w:rsidR="009C7E97">
        <w:t xml:space="preserve"> </w:t>
      </w:r>
      <w:r w:rsidRPr="00F02311" w:rsidR="00CA4CD6">
        <w:t xml:space="preserve">The Agency considers these </w:t>
      </w:r>
      <w:r w:rsidRPr="00F02311" w:rsidR="002B29A7">
        <w:t xml:space="preserve">to be the minimum </w:t>
      </w:r>
      <w:r w:rsidRPr="00F02311" w:rsidR="00CA4CD6">
        <w:t>requirements needed to ensure compliance and, therefore, cannot reduce them further for small entities.</w:t>
      </w:r>
      <w:r w:rsidRPr="00F02311" w:rsidR="009C7E97">
        <w:t xml:space="preserve"> </w:t>
      </w:r>
      <w:r w:rsidRPr="00F02311" w:rsidR="00CA4CD6">
        <w:t>To the extent that larger businesses can use economies of scale to reduce their burden, the overall burden will be reduced.</w:t>
      </w:r>
    </w:p>
    <w:p w:rsidRPr="00F02311"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F02311"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F02311">
        <w:rPr>
          <w:b/>
          <w:bCs/>
        </w:rPr>
        <w:t>5(d)</w:t>
      </w:r>
      <w:r w:rsidRPr="00F02311" w:rsidR="009C7E97">
        <w:rPr>
          <w:b/>
          <w:bCs/>
        </w:rPr>
        <w:t xml:space="preserve"> </w:t>
      </w:r>
      <w:r w:rsidRPr="00F02311">
        <w:rPr>
          <w:b/>
          <w:bCs/>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5C8DC5A6">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00F02311">
        <w:t xml:space="preserve"> </w:t>
      </w:r>
      <w:r w:rsidRPr="00F02311" w:rsidR="00F02311">
        <w:rPr>
          <w:bCs/>
        </w:rPr>
        <w:t>NESHAP for Metal Furniture Surface Coating (40 CFR Part 63, Subpart RRRR) (Renewal)</w:t>
      </w:r>
      <w:r w:rsidRPr="00F02311" w:rsidR="00F02311">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C80646D">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FD3F14">
        <w:rPr>
          <w:color w:val="000000"/>
        </w:rPr>
        <w:t>‘B</w:t>
      </w:r>
      <w:r>
        <w:rPr>
          <w:color w:val="000000"/>
        </w:rPr>
        <w:t>urden</w:t>
      </w:r>
      <w:r w:rsidR="00FD3F1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4998A8D">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FD3F14">
        <w:rPr>
          <w:color w:val="000000"/>
        </w:rPr>
        <w:t>either</w:t>
      </w:r>
      <w:r>
        <w:rPr>
          <w:color w:val="000000"/>
        </w:rPr>
        <w:t xml:space="preserve"> conduct </w:t>
      </w:r>
      <w:r w:rsidR="00FD3F14">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517BB7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50CB2">
        <w:rPr>
          <w:color w:val="000000"/>
        </w:rPr>
        <w:t xml:space="preserve"> 4,2</w:t>
      </w:r>
      <w:r w:rsidR="00FD63B8">
        <w:rPr>
          <w:color w:val="000000"/>
        </w:rPr>
        <w:t>70</w:t>
      </w:r>
      <w:r w:rsidR="00450CB2">
        <w:rPr>
          <w:color w:val="000000"/>
        </w:rPr>
        <w:t xml:space="preserve"> </w:t>
      </w:r>
      <w:r w:rsidR="00FD3F14">
        <w:rPr>
          <w:color w:val="000000"/>
        </w:rPr>
        <w:t xml:space="preserve">hours </w:t>
      </w:r>
      <w:r w:rsidR="004C701D">
        <w:rPr>
          <w:color w:val="000000"/>
        </w:rPr>
        <w:t>(</w:t>
      </w:r>
      <w:r>
        <w:rPr>
          <w:color w:val="000000"/>
        </w:rPr>
        <w:t>Total Labor Hours from Table 1</w:t>
      </w:r>
      <w:r w:rsidR="00FD3F14">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FD3F14">
        <w:rPr>
          <w:color w:val="000000"/>
        </w:rPr>
        <w:t>se</w:t>
      </w:r>
      <w:r w:rsidR="004C701D">
        <w:rPr>
          <w:color w:val="000000"/>
        </w:rPr>
        <w:t xml:space="preserve"> </w:t>
      </w:r>
      <w:r>
        <w:rPr>
          <w:color w:val="000000"/>
        </w:rPr>
        <w:t>regulation</w:t>
      </w:r>
      <w:r w:rsidR="00FD3F14">
        <w:rPr>
          <w:color w:val="000000"/>
        </w:rPr>
        <w:t>s</w:t>
      </w:r>
      <w:r>
        <w:rPr>
          <w:color w:val="000000"/>
        </w:rPr>
        <w:t>, Agency knowledge and experience with the</w:t>
      </w:r>
      <w:r w:rsidR="00F02311">
        <w:rPr>
          <w:color w:val="000000"/>
        </w:rPr>
        <w:t xml:space="preserve"> NESHAP</w:t>
      </w:r>
      <w:r>
        <w:rPr>
          <w:color w:val="000000"/>
        </w:rPr>
        <w:t xml:space="preserve"> program, the </w:t>
      </w:r>
      <w:proofErr w:type="gramStart"/>
      <w:r>
        <w:rPr>
          <w:color w:val="000000"/>
        </w:rPr>
        <w:t>previously</w:t>
      </w:r>
      <w:r w:rsidR="00FD3F14">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81216B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4DA237C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1AE7658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450CB2" w:rsidRDefault="002712EB" w14:paraId="0E7584E1" w14:textId="7273E5E9">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FD3F14" w:rsidP="00504745" w:rsidRDefault="00FD3F14" w14:paraId="17CD3DE6"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Pr="00450CB2" w:rsidR="00CA4CD6" w:rsidP="00504745" w:rsidRDefault="00CA4CD6" w14:paraId="7883C787" w14:textId="37CC6856">
      <w:pPr>
        <w:pBdr>
          <w:top w:val="single" w:color="FFFFFF" w:sz="6" w:space="0"/>
          <w:left w:val="single" w:color="FFFFFF" w:sz="6" w:space="0"/>
          <w:bottom w:val="single" w:color="FFFFFF" w:sz="6" w:space="0"/>
          <w:right w:val="single" w:color="FFFFFF" w:sz="6" w:space="0"/>
        </w:pBdr>
        <w:ind w:firstLine="1440"/>
        <w:outlineLvl w:val="0"/>
      </w:pPr>
      <w:r>
        <w:rPr>
          <w:b/>
          <w:bCs/>
          <w:color w:val="000000"/>
        </w:rPr>
        <w:lastRenderedPageBreak/>
        <w:t>(ii)</w:t>
      </w:r>
      <w:r w:rsidR="009C7E97">
        <w:rPr>
          <w:b/>
          <w:bCs/>
          <w:color w:val="000000"/>
        </w:rPr>
        <w:t xml:space="preserve"> </w:t>
      </w:r>
      <w:r w:rsidRPr="00450CB2">
        <w:rPr>
          <w:b/>
          <w:bCs/>
        </w:rPr>
        <w:t>Estimating Capital/Startup and Operation and Maintenance Costs</w:t>
      </w:r>
    </w:p>
    <w:p w:rsidRPr="00450CB2" w:rsidR="00450CB2" w:rsidRDefault="00450CB2" w14:paraId="43E4CB6B" w14:textId="77777777">
      <w:pPr>
        <w:pBdr>
          <w:top w:val="single" w:color="FFFFFF" w:sz="6" w:space="0"/>
          <w:left w:val="single" w:color="FFFFFF" w:sz="6" w:space="0"/>
          <w:bottom w:val="single" w:color="FFFFFF" w:sz="6" w:space="0"/>
          <w:right w:val="single" w:color="FFFFFF" w:sz="6" w:space="0"/>
        </w:pBdr>
        <w:ind w:firstLine="720"/>
      </w:pPr>
    </w:p>
    <w:p w:rsidRPr="00450CB2" w:rsidR="00CA4CD6" w:rsidRDefault="00CA4CD6" w14:paraId="728A7CA7" w14:textId="2F593B12">
      <w:pPr>
        <w:pBdr>
          <w:top w:val="single" w:color="FFFFFF" w:sz="6" w:space="0"/>
          <w:left w:val="single" w:color="FFFFFF" w:sz="6" w:space="0"/>
          <w:bottom w:val="single" w:color="FFFFFF" w:sz="6" w:space="0"/>
          <w:right w:val="single" w:color="FFFFFF" w:sz="6" w:space="0"/>
        </w:pBdr>
        <w:ind w:firstLine="720"/>
      </w:pPr>
      <w:r w:rsidRPr="00450CB2">
        <w:t>The type of industry costs associated with the information collection activities in the subject standard(s) are both labor costs</w:t>
      </w:r>
      <w:r w:rsidR="00FD3F14">
        <w:t>,</w:t>
      </w:r>
      <w:r w:rsidRPr="00450CB2">
        <w:t xml:space="preserve"> which are addressed elsewhere in this ICR</w:t>
      </w:r>
      <w:r w:rsidR="00FD3F14">
        <w:t>,</w:t>
      </w:r>
      <w:r w:rsidRPr="00450CB2">
        <w:t xml:space="preserve"> and the costs associated with continuous monitoring.</w:t>
      </w:r>
      <w:r w:rsidRPr="00450CB2" w:rsidR="009C7E97">
        <w:t xml:space="preserve"> </w:t>
      </w:r>
      <w:r w:rsidRPr="00450CB2">
        <w:t xml:space="preserve">The capital/startup costs are </w:t>
      </w:r>
      <w:r w:rsidRPr="00450CB2" w:rsidR="001414C4">
        <w:t>one-time</w:t>
      </w:r>
      <w:r w:rsidRPr="00450CB2">
        <w:t xml:space="preserve"> costs when a facility becomes subject to the</w:t>
      </w:r>
      <w:r w:rsidR="00FD3F14">
        <w:t>se</w:t>
      </w:r>
      <w:r w:rsidRPr="00450CB2">
        <w:t xml:space="preserve"> regulation</w:t>
      </w:r>
      <w:r w:rsidR="00FD3F14">
        <w:t>s</w:t>
      </w:r>
      <w:r w:rsidRPr="00450CB2">
        <w:t>.</w:t>
      </w:r>
      <w:r w:rsidRPr="00450CB2" w:rsidR="009C7E97">
        <w:t xml:space="preserve"> </w:t>
      </w:r>
      <w:r w:rsidRPr="00450CB2">
        <w:t>The annual operation and maintenance costs are the ongoing costs to maintain the monitor(s) and other costs such as photocopying and postage.</w:t>
      </w:r>
    </w:p>
    <w:p w:rsidRPr="00450CB2"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450CB2"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450CB2">
        <w:rPr>
          <w:b/>
          <w:bCs/>
        </w:rPr>
        <w:t>(iii)</w:t>
      </w:r>
      <w:r w:rsidRPr="00450CB2" w:rsidR="009C7E97">
        <w:rPr>
          <w:b/>
          <w:bCs/>
        </w:rPr>
        <w:t xml:space="preserve"> </w:t>
      </w:r>
      <w:r w:rsidRPr="00450CB2">
        <w:rPr>
          <w:b/>
          <w:bCs/>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510" w:type="dxa"/>
        <w:tblInd w:w="111" w:type="dxa"/>
        <w:tblLayout w:type="fixed"/>
        <w:tblCellMar>
          <w:left w:w="111" w:type="dxa"/>
          <w:right w:w="111" w:type="dxa"/>
        </w:tblCellMar>
        <w:tblLook w:val="0000" w:firstRow="0" w:lastRow="0" w:firstColumn="0" w:lastColumn="0" w:noHBand="0" w:noVBand="0"/>
      </w:tblPr>
      <w:tblGrid>
        <w:gridCol w:w="1860"/>
        <w:gridCol w:w="1440"/>
        <w:gridCol w:w="1260"/>
        <w:gridCol w:w="1440"/>
        <w:gridCol w:w="1350"/>
        <w:gridCol w:w="1260"/>
        <w:gridCol w:w="900"/>
      </w:tblGrid>
      <w:tr w:rsidR="00A73600" w:rsidTr="00A9590D" w14:paraId="36F2DCEA" w14:textId="77777777">
        <w:trPr>
          <w:tblHeader/>
        </w:trPr>
        <w:tc>
          <w:tcPr>
            <w:tcW w:w="951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A9590D" w14:paraId="1F818A84" w14:textId="77777777">
        <w:tc>
          <w:tcPr>
            <w:tcW w:w="1860" w:type="dxa"/>
            <w:tcBorders>
              <w:top w:val="single" w:color="000000" w:sz="7" w:space="0"/>
              <w:left w:val="single" w:color="000000" w:sz="7" w:space="0"/>
              <w:bottom w:val="single" w:color="000000" w:sz="8"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239A5EF6">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450CB2">
              <w:rPr>
                <w:color w:val="000000"/>
                <w:sz w:val="20"/>
                <w:szCs w:val="20"/>
              </w:rPr>
              <w:t xml:space="preserve"> </w:t>
            </w:r>
            <w:r w:rsidRPr="00450CB2" w:rsidR="00450CB2">
              <w:rPr>
                <w:color w:val="000000"/>
                <w:sz w:val="20"/>
                <w:szCs w:val="20"/>
                <w:vertAlign w:val="superscript"/>
              </w:rPr>
              <w:t>a</w:t>
            </w:r>
          </w:p>
        </w:tc>
        <w:tc>
          <w:tcPr>
            <w:tcW w:w="900" w:type="dxa"/>
            <w:tcBorders>
              <w:top w:val="single" w:color="000000" w:sz="7" w:space="0"/>
              <w:left w:val="single" w:color="000000" w:sz="7" w:space="0"/>
              <w:bottom w:val="single" w:color="000000" w:sz="8"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FD63B8" w:rsidTr="00A9590D" w14:paraId="4AA20F59" w14:textId="77777777">
        <w:tc>
          <w:tcPr>
            <w:tcW w:w="186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2113507C" w14:textId="391792B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Testing for Add-on Control Device</w:t>
            </w:r>
          </w:p>
        </w:tc>
        <w:tc>
          <w:tcPr>
            <w:tcW w:w="144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061FAA92" w14:textId="202734E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 xml:space="preserve">$19,000 </w:t>
            </w:r>
          </w:p>
        </w:tc>
        <w:tc>
          <w:tcPr>
            <w:tcW w:w="126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1B77751D" w14:textId="1B24B51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44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07F59DF4" w14:textId="6A4512C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 xml:space="preserve">$0 </w:t>
            </w:r>
          </w:p>
        </w:tc>
        <w:tc>
          <w:tcPr>
            <w:tcW w:w="135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014C668B" w14:textId="76EDE55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 </w:t>
            </w:r>
          </w:p>
        </w:tc>
        <w:tc>
          <w:tcPr>
            <w:tcW w:w="126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7704BF82" w14:textId="1F84D37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 </w:t>
            </w:r>
          </w:p>
        </w:tc>
        <w:tc>
          <w:tcPr>
            <w:tcW w:w="90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38C7234D" w14:textId="1E5873E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 </w:t>
            </w:r>
          </w:p>
        </w:tc>
      </w:tr>
      <w:tr w:rsidR="00FD63B8" w:rsidTr="00A9590D" w14:paraId="260841AB" w14:textId="77777777">
        <w:tc>
          <w:tcPr>
            <w:tcW w:w="186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0EC814FB" w14:textId="0A60C8A5">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CEM</w:t>
            </w:r>
          </w:p>
        </w:tc>
        <w:tc>
          <w:tcPr>
            <w:tcW w:w="144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2CD9A692" w14:textId="3DFE2AEC">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w:t>
            </w:r>
          </w:p>
        </w:tc>
        <w:tc>
          <w:tcPr>
            <w:tcW w:w="126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34D7EA29" w14:textId="5AC1766D">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w:t>
            </w:r>
          </w:p>
        </w:tc>
        <w:tc>
          <w:tcPr>
            <w:tcW w:w="144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5A3EE66F" w14:textId="4AE91381">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w:t>
            </w:r>
          </w:p>
        </w:tc>
        <w:tc>
          <w:tcPr>
            <w:tcW w:w="135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3A1B0B5D" w14:textId="6A9E28E2">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$1,200 </w:t>
            </w:r>
          </w:p>
        </w:tc>
        <w:tc>
          <w:tcPr>
            <w:tcW w:w="126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3A8FBCDC" w14:textId="50934AF4">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0</w:t>
            </w:r>
          </w:p>
        </w:tc>
        <w:tc>
          <w:tcPr>
            <w:tcW w:w="900" w:type="dxa"/>
            <w:tcBorders>
              <w:top w:val="single" w:color="000000" w:sz="8" w:space="0"/>
              <w:left w:val="single" w:color="000000" w:sz="8" w:space="0"/>
              <w:bottom w:val="single" w:color="000000" w:sz="8" w:space="0"/>
              <w:right w:val="single" w:color="000000" w:sz="8" w:space="0"/>
            </w:tcBorders>
            <w:vAlign w:val="center"/>
          </w:tcPr>
          <w:p w:rsidRPr="00450CB2" w:rsidR="00FD63B8" w:rsidP="00FD63B8" w:rsidRDefault="00FD63B8" w14:paraId="374D281A" w14:textId="3DAF5F36">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$0 </w:t>
            </w:r>
          </w:p>
        </w:tc>
      </w:tr>
      <w:tr w:rsidR="00FD63B8" w:rsidTr="00A9590D" w14:paraId="5C853A07" w14:textId="77777777">
        <w:tc>
          <w:tcPr>
            <w:tcW w:w="1860" w:type="dxa"/>
            <w:tcBorders>
              <w:top w:val="single" w:color="000000" w:sz="8" w:space="0"/>
              <w:left w:val="single" w:color="000000" w:sz="8" w:space="0"/>
              <w:bottom w:val="single" w:color="000000" w:sz="8" w:space="0"/>
              <w:right w:val="single" w:color="000000" w:sz="8" w:space="0"/>
            </w:tcBorders>
            <w:vAlign w:val="bottom"/>
          </w:tcPr>
          <w:p w:rsidRPr="00450CB2" w:rsidR="00FD63B8" w:rsidP="00FD63B8" w:rsidRDefault="00FD63B8" w14:paraId="3FD82842" w14:textId="0BE47C07">
            <w:pPr>
              <w:pBdr>
                <w:top w:val="single" w:color="FFFFFF" w:sz="6" w:space="0"/>
                <w:left w:val="single" w:color="FFFFFF" w:sz="6" w:space="0"/>
                <w:bottom w:val="single" w:color="FFFFFF" w:sz="6" w:space="0"/>
                <w:right w:val="single" w:color="FFFFFF" w:sz="6" w:space="0"/>
              </w:pBdr>
              <w:jc w:val="center"/>
              <w:rPr>
                <w:sz w:val="20"/>
                <w:szCs w:val="20"/>
              </w:rPr>
            </w:pPr>
            <w:r>
              <w:rPr>
                <w:b/>
                <w:bCs/>
                <w:color w:val="000000"/>
                <w:sz w:val="20"/>
                <w:szCs w:val="20"/>
              </w:rPr>
              <w:t>Total</w:t>
            </w:r>
          </w:p>
        </w:tc>
        <w:tc>
          <w:tcPr>
            <w:tcW w:w="1440" w:type="dxa"/>
            <w:tcBorders>
              <w:top w:val="single" w:color="000000" w:sz="8" w:space="0"/>
              <w:left w:val="single" w:color="000000" w:sz="8" w:space="0"/>
              <w:bottom w:val="single" w:color="000000" w:sz="8" w:space="0"/>
              <w:right w:val="single" w:color="000000" w:sz="8" w:space="0"/>
            </w:tcBorders>
            <w:vAlign w:val="bottom"/>
          </w:tcPr>
          <w:p w:rsidRPr="00450CB2" w:rsidR="00FD63B8" w:rsidP="00FD63B8" w:rsidRDefault="00FD63B8" w14:paraId="628D4DC2" w14:textId="5776D11D">
            <w:pPr>
              <w:pBdr>
                <w:top w:val="single" w:color="FFFFFF" w:sz="6" w:space="0"/>
                <w:left w:val="single" w:color="FFFFFF" w:sz="6" w:space="0"/>
                <w:bottom w:val="single" w:color="FFFFFF" w:sz="6" w:space="0"/>
                <w:right w:val="single" w:color="FFFFFF" w:sz="6" w:space="0"/>
              </w:pBdr>
              <w:jc w:val="center"/>
              <w:rPr>
                <w:sz w:val="20"/>
                <w:szCs w:val="20"/>
              </w:rPr>
            </w:pPr>
            <w:r>
              <w:rPr>
                <w:b/>
                <w:bCs/>
                <w:color w:val="000000"/>
                <w:sz w:val="20"/>
                <w:szCs w:val="20"/>
              </w:rPr>
              <w:t> </w:t>
            </w:r>
          </w:p>
        </w:tc>
        <w:tc>
          <w:tcPr>
            <w:tcW w:w="1260" w:type="dxa"/>
            <w:tcBorders>
              <w:top w:val="single" w:color="000000" w:sz="8" w:space="0"/>
              <w:left w:val="single" w:color="000000" w:sz="8" w:space="0"/>
              <w:bottom w:val="single" w:color="000000" w:sz="8" w:space="0"/>
              <w:right w:val="single" w:color="000000" w:sz="8" w:space="0"/>
            </w:tcBorders>
            <w:vAlign w:val="bottom"/>
          </w:tcPr>
          <w:p w:rsidRPr="00450CB2" w:rsidR="00FD63B8" w:rsidP="00FD63B8" w:rsidRDefault="00FD63B8" w14:paraId="61ECE6E3" w14:textId="044124B3">
            <w:pPr>
              <w:pBdr>
                <w:top w:val="single" w:color="FFFFFF" w:sz="6" w:space="0"/>
                <w:left w:val="single" w:color="FFFFFF" w:sz="6" w:space="0"/>
                <w:bottom w:val="single" w:color="FFFFFF" w:sz="6" w:space="0"/>
                <w:right w:val="single" w:color="FFFFFF" w:sz="6" w:space="0"/>
              </w:pBdr>
              <w:jc w:val="center"/>
              <w:rPr>
                <w:sz w:val="20"/>
                <w:szCs w:val="20"/>
              </w:rPr>
            </w:pPr>
            <w:r>
              <w:rPr>
                <w:b/>
                <w:bCs/>
                <w:color w:val="000000"/>
                <w:sz w:val="20"/>
                <w:szCs w:val="20"/>
              </w:rPr>
              <w:t> </w:t>
            </w:r>
          </w:p>
        </w:tc>
        <w:tc>
          <w:tcPr>
            <w:tcW w:w="1440" w:type="dxa"/>
            <w:tcBorders>
              <w:top w:val="single" w:color="000000" w:sz="8" w:space="0"/>
              <w:left w:val="single" w:color="000000" w:sz="8" w:space="0"/>
              <w:bottom w:val="single" w:color="000000" w:sz="8" w:space="0"/>
              <w:right w:val="single" w:color="000000" w:sz="8" w:space="0"/>
            </w:tcBorders>
            <w:vAlign w:val="bottom"/>
          </w:tcPr>
          <w:p w:rsidRPr="00450CB2" w:rsidR="00FD63B8" w:rsidP="00FD63B8" w:rsidRDefault="00FD63B8" w14:paraId="58628361" w14:textId="52298E5D">
            <w:pPr>
              <w:pBdr>
                <w:top w:val="single" w:color="FFFFFF" w:sz="6" w:space="0"/>
                <w:left w:val="single" w:color="FFFFFF" w:sz="6" w:space="0"/>
                <w:bottom w:val="single" w:color="FFFFFF" w:sz="6" w:space="0"/>
                <w:right w:val="single" w:color="FFFFFF" w:sz="6" w:space="0"/>
              </w:pBdr>
              <w:jc w:val="center"/>
              <w:rPr>
                <w:sz w:val="20"/>
                <w:szCs w:val="20"/>
              </w:rPr>
            </w:pPr>
            <w:r>
              <w:rPr>
                <w:b/>
                <w:bCs/>
                <w:color w:val="000000"/>
                <w:sz w:val="20"/>
                <w:szCs w:val="20"/>
              </w:rPr>
              <w:t>$0</w:t>
            </w:r>
          </w:p>
        </w:tc>
        <w:tc>
          <w:tcPr>
            <w:tcW w:w="1350" w:type="dxa"/>
            <w:tcBorders>
              <w:top w:val="single" w:color="000000" w:sz="8" w:space="0"/>
              <w:left w:val="single" w:color="000000" w:sz="8" w:space="0"/>
              <w:bottom w:val="single" w:color="000000" w:sz="8" w:space="0"/>
              <w:right w:val="single" w:color="000000" w:sz="8" w:space="0"/>
            </w:tcBorders>
            <w:vAlign w:val="bottom"/>
          </w:tcPr>
          <w:p w:rsidRPr="00450CB2" w:rsidR="00FD63B8" w:rsidP="00FD63B8" w:rsidRDefault="00FD63B8" w14:paraId="5657162D" w14:textId="1F476D7D">
            <w:pPr>
              <w:pBdr>
                <w:top w:val="single" w:color="FFFFFF" w:sz="6" w:space="0"/>
                <w:left w:val="single" w:color="FFFFFF" w:sz="6" w:space="0"/>
                <w:bottom w:val="single" w:color="FFFFFF" w:sz="6" w:space="0"/>
                <w:right w:val="single" w:color="FFFFFF" w:sz="6" w:space="0"/>
              </w:pBdr>
              <w:jc w:val="center"/>
              <w:rPr>
                <w:sz w:val="20"/>
                <w:szCs w:val="20"/>
              </w:rPr>
            </w:pPr>
            <w:r>
              <w:rPr>
                <w:b/>
                <w:bCs/>
                <w:color w:val="000000"/>
                <w:sz w:val="20"/>
                <w:szCs w:val="20"/>
              </w:rPr>
              <w:t> </w:t>
            </w:r>
          </w:p>
        </w:tc>
        <w:tc>
          <w:tcPr>
            <w:tcW w:w="1260" w:type="dxa"/>
            <w:tcBorders>
              <w:top w:val="single" w:color="000000" w:sz="8" w:space="0"/>
              <w:left w:val="single" w:color="000000" w:sz="8" w:space="0"/>
              <w:bottom w:val="single" w:color="000000" w:sz="8" w:space="0"/>
              <w:right w:val="single" w:color="000000" w:sz="8" w:space="0"/>
            </w:tcBorders>
            <w:vAlign w:val="bottom"/>
          </w:tcPr>
          <w:p w:rsidRPr="00450CB2" w:rsidR="00FD63B8" w:rsidP="00FD63B8" w:rsidRDefault="00FD63B8" w14:paraId="65FA9270" w14:textId="124016E0">
            <w:pPr>
              <w:pBdr>
                <w:top w:val="single" w:color="FFFFFF" w:sz="6" w:space="0"/>
                <w:left w:val="single" w:color="FFFFFF" w:sz="6" w:space="0"/>
                <w:bottom w:val="single" w:color="FFFFFF" w:sz="6" w:space="0"/>
                <w:right w:val="single" w:color="FFFFFF" w:sz="6" w:space="0"/>
              </w:pBdr>
              <w:jc w:val="center"/>
              <w:rPr>
                <w:sz w:val="20"/>
                <w:szCs w:val="20"/>
              </w:rPr>
            </w:pPr>
            <w:r>
              <w:rPr>
                <w:b/>
                <w:bCs/>
                <w:color w:val="000000"/>
                <w:sz w:val="20"/>
                <w:szCs w:val="20"/>
              </w:rPr>
              <w:t> </w:t>
            </w:r>
          </w:p>
        </w:tc>
        <w:tc>
          <w:tcPr>
            <w:tcW w:w="900" w:type="dxa"/>
            <w:tcBorders>
              <w:top w:val="single" w:color="000000" w:sz="8" w:space="0"/>
              <w:left w:val="single" w:color="000000" w:sz="8" w:space="0"/>
              <w:bottom w:val="single" w:color="000000" w:sz="8" w:space="0"/>
              <w:right w:val="single" w:color="000000" w:sz="8" w:space="0"/>
            </w:tcBorders>
            <w:vAlign w:val="bottom"/>
          </w:tcPr>
          <w:p w:rsidRPr="00450CB2" w:rsidR="00FD63B8" w:rsidP="00FD63B8" w:rsidRDefault="00FD63B8" w14:paraId="58D0C793" w14:textId="3FBA4746">
            <w:pPr>
              <w:pBdr>
                <w:top w:val="single" w:color="FFFFFF" w:sz="6" w:space="0"/>
                <w:left w:val="single" w:color="FFFFFF" w:sz="6" w:space="0"/>
                <w:bottom w:val="single" w:color="FFFFFF" w:sz="6" w:space="0"/>
                <w:right w:val="single" w:color="FFFFFF" w:sz="6" w:space="0"/>
              </w:pBdr>
              <w:jc w:val="center"/>
              <w:rPr>
                <w:sz w:val="20"/>
                <w:szCs w:val="20"/>
              </w:rPr>
            </w:pPr>
            <w:r>
              <w:rPr>
                <w:b/>
                <w:bCs/>
                <w:color w:val="000000"/>
                <w:sz w:val="20"/>
                <w:szCs w:val="20"/>
              </w:rPr>
              <w:t>$0</w:t>
            </w:r>
          </w:p>
        </w:tc>
      </w:tr>
    </w:tbl>
    <w:p w:rsidRPr="00450CB2" w:rsidR="00CA4CD6" w:rsidRDefault="00CA4CD6" w14:paraId="01B1561B" w14:textId="70E3E9CA">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sidR="00450CB2">
        <w:rPr>
          <w:color w:val="000000"/>
        </w:rPr>
        <w:t xml:space="preserve">  </w:t>
      </w:r>
      <w:proofErr w:type="gramStart"/>
      <w:r w:rsidRPr="00450CB2" w:rsidR="00450CB2">
        <w:rPr>
          <w:color w:val="000000"/>
          <w:sz w:val="20"/>
          <w:szCs w:val="20"/>
          <w:vertAlign w:val="superscript"/>
        </w:rPr>
        <w:t>a</w:t>
      </w:r>
      <w:r w:rsidRPr="00450CB2" w:rsidR="00450CB2">
        <w:rPr>
          <w:color w:val="000000"/>
          <w:sz w:val="20"/>
          <w:szCs w:val="20"/>
        </w:rPr>
        <w:t xml:space="preserve">  No</w:t>
      </w:r>
      <w:proofErr w:type="gramEnd"/>
      <w:r w:rsidRPr="00450CB2" w:rsidR="00450CB2">
        <w:rPr>
          <w:color w:val="000000"/>
          <w:sz w:val="20"/>
          <w:szCs w:val="20"/>
        </w:rPr>
        <w:t xml:space="preserve"> respondents use add-on controls or monitoring devices to establish compliance with the emission standards.</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7811F5D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44021C">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4120462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44021C">
        <w:rPr>
          <w:color w:val="000000"/>
        </w:rPr>
        <w:t>0.</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44021C" w:rsidRDefault="00CA4CD6" w14:paraId="57D916AF" w14:textId="0043D1B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44021C">
        <w:rPr>
          <w:color w:val="000000"/>
        </w:rPr>
        <w:t>0</w:t>
      </w:r>
      <w:r>
        <w:rPr>
          <w:color w:val="000000"/>
        </w:rPr>
        <w:t>.</w:t>
      </w:r>
      <w:r w:rsidR="009C7E97">
        <w:rPr>
          <w:color w:val="000000"/>
        </w:rPr>
        <w:t xml:space="preserve"> </w:t>
      </w:r>
      <w:r w:rsidR="001C5991">
        <w:rPr>
          <w:color w:val="000000"/>
        </w:rPr>
        <w:t xml:space="preserve">These are </w:t>
      </w:r>
      <w:r w:rsidR="003C2041">
        <w:rPr>
          <w:color w:val="000000"/>
        </w:rPr>
        <w:t xml:space="preserve">the </w:t>
      </w:r>
      <w:r w:rsidR="001C5991">
        <w:rPr>
          <w:color w:val="000000"/>
        </w:rPr>
        <w:t>recordkeeping costs</w:t>
      </w:r>
      <w:r w:rsidR="0044021C">
        <w:rPr>
          <w:color w:val="000000"/>
        </w:rPr>
        <w:t>.</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7727A8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1641C7">
        <w:rPr>
          <w:color w:val="000000"/>
        </w:rPr>
        <w:t xml:space="preserve">The </w:t>
      </w:r>
      <w:r>
        <w:rPr>
          <w:color w:val="000000"/>
        </w:rPr>
        <w:t>EPA's overall compliance and enforcement program i</w:t>
      </w:r>
      <w:r w:rsidR="005C42AC">
        <w:rPr>
          <w:color w:val="000000"/>
        </w:rPr>
        <w:t xml:space="preserve">ncludes </w:t>
      </w:r>
      <w:r w:rsidR="001641C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23AA42D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44021C">
        <w:rPr>
          <w:color w:val="000000"/>
        </w:rPr>
        <w:t>2</w:t>
      </w:r>
      <w:r w:rsidR="00A9590D">
        <w:rPr>
          <w:color w:val="000000"/>
        </w:rPr>
        <w:t>5,700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44021C" w:rsidRDefault="00CA4CD6" w14:paraId="69E7D1A3" w14:textId="5F66735B">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FD3F14">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00450CB2">
        <w:t xml:space="preserve"> </w:t>
      </w:r>
      <w:r w:rsidRPr="00450CB2" w:rsidR="00450CB2">
        <w:rPr>
          <w:bCs/>
        </w:rPr>
        <w:t>NESHAP for Metal Furniture Surface Coating (40 CFR Part 63, Subpart RRRR) (Renewal)</w:t>
      </w:r>
      <w:r w:rsidRPr="00450CB2" w:rsidR="00450CB2">
        <w:t>.</w:t>
      </w:r>
      <w:r w:rsidRPr="56D9BFF8" w:rsidR="00144F35">
        <w:rPr>
          <w:color w:val="000000" w:themeColor="text1"/>
        </w:rPr>
        <w:t xml:space="preserve">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28D73B44">
      <w:pPr>
        <w:pBdr>
          <w:top w:val="single" w:color="FFFFFF" w:sz="6" w:space="0"/>
          <w:left w:val="single" w:color="FFFFFF" w:sz="6" w:space="0"/>
          <w:bottom w:val="single" w:color="FFFFFF" w:sz="6" w:space="0"/>
          <w:right w:val="single" w:color="FFFFFF" w:sz="6" w:space="0"/>
        </w:pBdr>
        <w:ind w:firstLine="720"/>
        <w:rPr>
          <w:color w:val="000000"/>
        </w:rPr>
      </w:pPr>
      <w:r w:rsidRPr="0044021C">
        <w:t xml:space="preserve">Based on our research for this ICR, on average over the next three years, approximately </w:t>
      </w:r>
      <w:r w:rsidRPr="0044021C" w:rsidR="0044021C">
        <w:t>16</w:t>
      </w:r>
      <w:r w:rsidRPr="0044021C">
        <w:t xml:space="preserve"> existing </w:t>
      </w:r>
      <w:r>
        <w:rPr>
          <w:color w:val="000000"/>
        </w:rPr>
        <w:t>respondents will be subject to the</w:t>
      </w:r>
      <w:r w:rsidR="00FD3F14">
        <w:rPr>
          <w:color w:val="000000"/>
        </w:rPr>
        <w:t>se</w:t>
      </w:r>
      <w:r>
        <w:rPr>
          <w:color w:val="000000"/>
        </w:rPr>
        <w:t xml:space="preserve"> standard</w:t>
      </w:r>
      <w:r w:rsidR="00FD3F14">
        <w:rPr>
          <w:color w:val="000000"/>
        </w:rPr>
        <w:t>s</w:t>
      </w:r>
      <w:r>
        <w:rPr>
          <w:color w:val="000000"/>
        </w:rPr>
        <w:t>.</w:t>
      </w:r>
      <w:r w:rsidR="009C7E97">
        <w:rPr>
          <w:color w:val="000000"/>
        </w:rPr>
        <w:t xml:space="preserve"> </w:t>
      </w:r>
      <w:r>
        <w:rPr>
          <w:color w:val="000000"/>
        </w:rPr>
        <w:t xml:space="preserve">It is estimated that </w:t>
      </w:r>
      <w:r w:rsidR="0044021C">
        <w:rPr>
          <w:color w:val="000000"/>
        </w:rPr>
        <w:t>no</w:t>
      </w:r>
      <w:r>
        <w:rPr>
          <w:color w:val="000000"/>
        </w:rPr>
        <w:t xml:space="preserve"> additional</w:t>
      </w:r>
      <w:r w:rsidR="0044021C">
        <w:rPr>
          <w:color w:val="000000"/>
        </w:rPr>
        <w:t xml:space="preserve"> </w:t>
      </w:r>
      <w:r>
        <w:rPr>
          <w:color w:val="000000"/>
        </w:rPr>
        <w:t>respondents per year will become subject</w:t>
      </w:r>
      <w:r w:rsidR="00FD3F14">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44021C">
        <w:rPr>
          <w:color w:val="000000"/>
        </w:rPr>
        <w:t>16</w:t>
      </w:r>
      <w:r>
        <w:rPr>
          <w:color w:val="000000"/>
        </w:rPr>
        <w:t xml:space="preserve"> 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5A80EFE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D3F14">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44021C"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44021C"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44021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44021C" w:rsidTr="0044021C"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44021C" w:rsidP="0044021C" w:rsidRDefault="0044021C"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44021C" w:rsidP="0044021C" w:rsidRDefault="0044021C" w14:paraId="3108CE70" w14:textId="6FCC4B2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44021C" w:rsidP="0044021C" w:rsidRDefault="0044021C" w14:paraId="0B137A30" w14:textId="380E3D3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2070" w:type="dxa"/>
            <w:tcBorders>
              <w:top w:val="single" w:color="000000" w:sz="8" w:space="0"/>
              <w:left w:val="single" w:color="000000" w:sz="6" w:space="0"/>
              <w:bottom w:val="single" w:color="000000" w:sz="6" w:space="0"/>
              <w:right w:val="single" w:color="000000" w:sz="6" w:space="0"/>
            </w:tcBorders>
            <w:vAlign w:val="center"/>
          </w:tcPr>
          <w:p w:rsidR="0044021C" w:rsidP="0044021C" w:rsidRDefault="0044021C" w14:paraId="7D960C93" w14:textId="1BE5D5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44021C" w:rsidP="0044021C" w:rsidRDefault="0044021C" w14:paraId="7ED54B96" w14:textId="0BBC638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44021C" w:rsidP="0044021C" w:rsidRDefault="0044021C" w14:paraId="3F7C0DAD" w14:textId="154357F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r>
      <w:tr w:rsidR="0044021C" w:rsidTr="0044021C"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44021C" w:rsidP="0044021C" w:rsidRDefault="0044021C"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7564DEC3" w14:textId="0B6D341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002226B8" w14:textId="154EFEA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2070"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1C3913C5" w14:textId="5B298E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3802688A" w14:textId="7444BAB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44021C" w:rsidP="0044021C" w:rsidRDefault="0044021C" w14:paraId="45C01B8A" w14:textId="4AA0537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r>
      <w:tr w:rsidR="0044021C" w:rsidTr="0044021C"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44021C" w:rsidP="0044021C" w:rsidRDefault="0044021C"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1A6EA395" w14:textId="77747DD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37336570" w14:textId="128C5C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2070"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7C60F04B" w14:textId="64482B9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44021C" w:rsidP="0044021C" w:rsidRDefault="0044021C" w14:paraId="53B7186D" w14:textId="7093E1A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44021C" w:rsidP="0044021C" w:rsidRDefault="0044021C" w14:paraId="18B5AAAA" w14:textId="4088AA2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r>
      <w:tr w:rsidR="0044021C" w:rsidTr="0044021C"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44021C" w:rsidP="0044021C" w:rsidRDefault="0044021C"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44021C" w:rsidP="0044021C" w:rsidRDefault="0044021C" w14:paraId="1581E97D" w14:textId="4B0BB9D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44021C" w:rsidP="0044021C" w:rsidRDefault="0044021C" w14:paraId="47314C40" w14:textId="2DB83E4D">
            <w:pPr>
              <w:pBdr>
                <w:top w:val="single" w:color="FFFFFF" w:sz="6" w:space="0"/>
                <w:left w:val="single" w:color="FFFFFF" w:sz="6" w:space="0"/>
                <w:bottom w:val="single" w:color="FFFFFF" w:sz="6" w:space="0"/>
                <w:right w:val="single" w:color="FFFFFF" w:sz="6" w:space="0"/>
              </w:pBdr>
              <w:jc w:val="center"/>
              <w:rPr>
                <w:color w:val="000000"/>
                <w:sz w:val="18"/>
                <w:szCs w:val="18"/>
              </w:rPr>
            </w:pPr>
            <w:r w:rsidRPr="0044021C">
              <w:rPr>
                <w:sz w:val="18"/>
                <w:szCs w:val="18"/>
              </w:rPr>
              <w:t>16</w:t>
            </w:r>
          </w:p>
        </w:tc>
        <w:tc>
          <w:tcPr>
            <w:tcW w:w="2070" w:type="dxa"/>
            <w:tcBorders>
              <w:top w:val="single" w:color="000000" w:sz="6" w:space="0"/>
              <w:left w:val="single" w:color="000000" w:sz="6" w:space="0"/>
              <w:bottom w:val="single" w:color="000000" w:sz="8" w:space="0"/>
              <w:right w:val="single" w:color="000000" w:sz="6" w:space="0"/>
            </w:tcBorders>
            <w:vAlign w:val="center"/>
          </w:tcPr>
          <w:p w:rsidR="0044021C" w:rsidP="0044021C" w:rsidRDefault="0044021C" w14:paraId="480163AE" w14:textId="3FBCAEC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44021C" w:rsidP="0044021C" w:rsidRDefault="0044021C" w14:paraId="2B2CDCCB" w14:textId="4489ABE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44021C" w:rsidP="0044021C" w:rsidRDefault="0044021C" w14:paraId="0CAD30F7" w14:textId="217A15B2">
            <w:pPr>
              <w:pBdr>
                <w:top w:val="single" w:color="FFFFFF" w:sz="6" w:space="0"/>
                <w:left w:val="single" w:color="FFFFFF" w:sz="6" w:space="0"/>
                <w:bottom w:val="single" w:color="FFFFFF" w:sz="6" w:space="0"/>
                <w:right w:val="single" w:color="FFFFFF" w:sz="6" w:space="0"/>
              </w:pBdr>
              <w:jc w:val="center"/>
              <w:rPr>
                <w:color w:val="000000"/>
                <w:sz w:val="18"/>
                <w:szCs w:val="18"/>
              </w:rPr>
            </w:pPr>
            <w:r w:rsidRPr="0044021C">
              <w:rPr>
                <w:sz w:val="18"/>
                <w:szCs w:val="18"/>
              </w:rPr>
              <w:t>16</w:t>
            </w:r>
          </w:p>
        </w:tc>
      </w:tr>
    </w:tbl>
    <w:p w:rsidR="00CA4CD6" w:rsidRDefault="00CA4CD6" w14:paraId="7C547DF5" w14:textId="103AECAA">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65C8FED9">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44021C">
        <w:rPr>
          <w:color w:val="000000"/>
        </w:rPr>
        <w:t xml:space="preserve"> 16.</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3474A60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44021C"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44021C"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44021C" w:rsidTr="00A9590D" w14:paraId="16C1203F" w14:textId="77777777">
        <w:trPr>
          <w:trHeight w:val="366"/>
        </w:trPr>
        <w:tc>
          <w:tcPr>
            <w:tcW w:w="2700" w:type="dxa"/>
            <w:vAlign w:val="center"/>
          </w:tcPr>
          <w:p w:rsidRPr="000669C6" w:rsidR="0044021C" w:rsidP="00A9590D" w:rsidRDefault="0044021C" w14:paraId="7DB8FBDE" w14:textId="497FC925">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t>Initial notification</w:t>
            </w:r>
          </w:p>
        </w:tc>
        <w:tc>
          <w:tcPr>
            <w:tcW w:w="1260" w:type="dxa"/>
            <w:vAlign w:val="center"/>
          </w:tcPr>
          <w:p w:rsidRPr="000669C6" w:rsidR="0044021C" w:rsidP="0044021C" w:rsidRDefault="0044021C" w14:paraId="63308014" w14:textId="5B79A4E4">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1260" w:type="dxa"/>
            <w:vAlign w:val="center"/>
          </w:tcPr>
          <w:p w:rsidRPr="000669C6" w:rsidR="0044021C" w:rsidP="0044021C" w:rsidRDefault="0044021C" w14:paraId="7D6BA6A3" w14:textId="64B7B5D0">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w:t>
            </w:r>
          </w:p>
        </w:tc>
        <w:tc>
          <w:tcPr>
            <w:tcW w:w="1890" w:type="dxa"/>
            <w:vAlign w:val="center"/>
          </w:tcPr>
          <w:p w:rsidRPr="000669C6" w:rsidR="0044021C" w:rsidP="0044021C" w:rsidRDefault="0044021C" w14:paraId="508145DD" w14:textId="76C6D77B">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44021C" w:rsidP="0044021C" w:rsidRDefault="0044021C" w14:paraId="70F8E048" w14:textId="4545919B">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r>
      <w:tr w:rsidR="0044021C" w:rsidTr="00A9590D" w14:paraId="300564D1" w14:textId="77777777">
        <w:trPr>
          <w:trHeight w:val="366"/>
        </w:trPr>
        <w:tc>
          <w:tcPr>
            <w:tcW w:w="2700" w:type="dxa"/>
            <w:vAlign w:val="center"/>
          </w:tcPr>
          <w:p w:rsidRPr="000669C6" w:rsidR="0044021C" w:rsidP="00A9590D" w:rsidRDefault="0044021C" w14:paraId="0F46E3DF" w14:textId="46545F91">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lastRenderedPageBreak/>
              <w:t>Notification of initial compliance</w:t>
            </w:r>
          </w:p>
        </w:tc>
        <w:tc>
          <w:tcPr>
            <w:tcW w:w="1260" w:type="dxa"/>
            <w:vAlign w:val="center"/>
          </w:tcPr>
          <w:p w:rsidRPr="000669C6" w:rsidR="0044021C" w:rsidP="0044021C" w:rsidRDefault="0044021C" w14:paraId="06C154FF" w14:textId="18EFADF8">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1260" w:type="dxa"/>
            <w:vAlign w:val="center"/>
          </w:tcPr>
          <w:p w:rsidRPr="000669C6" w:rsidR="0044021C" w:rsidP="0044021C" w:rsidRDefault="0044021C" w14:paraId="40F59661" w14:textId="3DF1C196">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w:t>
            </w:r>
          </w:p>
        </w:tc>
        <w:tc>
          <w:tcPr>
            <w:tcW w:w="1890" w:type="dxa"/>
            <w:vAlign w:val="center"/>
          </w:tcPr>
          <w:p w:rsidRPr="000669C6" w:rsidR="0044021C" w:rsidP="0044021C" w:rsidRDefault="0044021C" w14:paraId="3E42D994" w14:textId="7E9C5DB2">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44021C" w:rsidP="0044021C" w:rsidRDefault="0044021C" w14:paraId="4B9F0EBE" w14:textId="4FC37D6F">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r>
      <w:tr w:rsidR="0044021C" w:rsidTr="00A9590D" w14:paraId="4FB1550D" w14:textId="77777777">
        <w:trPr>
          <w:trHeight w:val="366"/>
        </w:trPr>
        <w:tc>
          <w:tcPr>
            <w:tcW w:w="2700" w:type="dxa"/>
            <w:vAlign w:val="center"/>
          </w:tcPr>
          <w:p w:rsidRPr="000669C6" w:rsidR="0044021C" w:rsidP="00A9590D" w:rsidRDefault="0044021C" w14:paraId="5387B54C" w14:textId="2DE31053">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t>Notification of construction/reconstruction</w:t>
            </w:r>
          </w:p>
        </w:tc>
        <w:tc>
          <w:tcPr>
            <w:tcW w:w="1260" w:type="dxa"/>
            <w:vAlign w:val="center"/>
          </w:tcPr>
          <w:p w:rsidRPr="000669C6" w:rsidR="0044021C" w:rsidP="0044021C" w:rsidRDefault="0044021C" w14:paraId="5E226832" w14:textId="19AFEA43">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1260" w:type="dxa"/>
            <w:vAlign w:val="center"/>
          </w:tcPr>
          <w:p w:rsidRPr="000669C6" w:rsidR="0044021C" w:rsidP="0044021C" w:rsidRDefault="0044021C" w14:paraId="61FE4D7C" w14:textId="0CBAC524">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w:t>
            </w:r>
          </w:p>
        </w:tc>
        <w:tc>
          <w:tcPr>
            <w:tcW w:w="1890" w:type="dxa"/>
            <w:vAlign w:val="center"/>
          </w:tcPr>
          <w:p w:rsidRPr="000669C6" w:rsidR="0044021C" w:rsidP="0044021C" w:rsidRDefault="0044021C" w14:paraId="4628B654" w14:textId="74299D6A">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44021C" w:rsidP="0044021C" w:rsidRDefault="0044021C" w14:paraId="2ACB2E06" w14:textId="7B88D335">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r>
      <w:tr w:rsidR="0044021C" w:rsidTr="00A9590D" w14:paraId="083E1D2F" w14:textId="77777777">
        <w:trPr>
          <w:trHeight w:val="366"/>
        </w:trPr>
        <w:tc>
          <w:tcPr>
            <w:tcW w:w="2700" w:type="dxa"/>
            <w:vAlign w:val="center"/>
          </w:tcPr>
          <w:p w:rsidRPr="000669C6" w:rsidR="0044021C" w:rsidP="00A9590D" w:rsidRDefault="0044021C" w14:paraId="0A00E7E9" w14:textId="7AF60109">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t>Notification of actual startup</w:t>
            </w:r>
          </w:p>
        </w:tc>
        <w:tc>
          <w:tcPr>
            <w:tcW w:w="1260" w:type="dxa"/>
            <w:vAlign w:val="center"/>
          </w:tcPr>
          <w:p w:rsidRPr="000669C6" w:rsidR="0044021C" w:rsidP="0044021C" w:rsidRDefault="0044021C" w14:paraId="6D5F816B" w14:textId="4B1B8114">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1260" w:type="dxa"/>
            <w:vAlign w:val="center"/>
          </w:tcPr>
          <w:p w:rsidRPr="000669C6" w:rsidR="0044021C" w:rsidP="0044021C" w:rsidRDefault="0044021C" w14:paraId="64FA5AEC" w14:textId="7933BA99">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w:t>
            </w:r>
          </w:p>
        </w:tc>
        <w:tc>
          <w:tcPr>
            <w:tcW w:w="1890" w:type="dxa"/>
            <w:vAlign w:val="center"/>
          </w:tcPr>
          <w:p w:rsidRPr="000669C6" w:rsidR="0044021C" w:rsidP="0044021C" w:rsidRDefault="0044021C" w14:paraId="67D9124E" w14:textId="508A73B8">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44021C" w:rsidP="0044021C" w:rsidRDefault="0044021C" w14:paraId="526F05CB" w14:textId="6A8648A9">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r>
      <w:tr w:rsidR="0044021C" w:rsidTr="00A9590D" w14:paraId="4F2DCCF3" w14:textId="77777777">
        <w:trPr>
          <w:trHeight w:val="366"/>
        </w:trPr>
        <w:tc>
          <w:tcPr>
            <w:tcW w:w="2700" w:type="dxa"/>
            <w:vAlign w:val="center"/>
          </w:tcPr>
          <w:p w:rsidRPr="000669C6" w:rsidR="0044021C" w:rsidP="00A9590D" w:rsidRDefault="0044021C" w14:paraId="555F6D06" w14:textId="4A92C203">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t>Notification of performance test</w:t>
            </w:r>
          </w:p>
        </w:tc>
        <w:tc>
          <w:tcPr>
            <w:tcW w:w="1260" w:type="dxa"/>
            <w:vAlign w:val="center"/>
          </w:tcPr>
          <w:p w:rsidRPr="000669C6" w:rsidR="0044021C" w:rsidP="0044021C" w:rsidRDefault="0044021C" w14:paraId="4B2521A1" w14:textId="3C9E6E09">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1260" w:type="dxa"/>
            <w:vAlign w:val="center"/>
          </w:tcPr>
          <w:p w:rsidRPr="000669C6" w:rsidR="0044021C" w:rsidP="0044021C" w:rsidRDefault="0044021C" w14:paraId="7F4D2A7C" w14:textId="24F025AA">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w:t>
            </w:r>
          </w:p>
        </w:tc>
        <w:tc>
          <w:tcPr>
            <w:tcW w:w="1890" w:type="dxa"/>
            <w:vAlign w:val="center"/>
          </w:tcPr>
          <w:p w:rsidRPr="000669C6" w:rsidR="0044021C" w:rsidP="0044021C" w:rsidRDefault="0044021C" w14:paraId="643A86F8" w14:textId="2BE1AECB">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44021C" w:rsidP="0044021C" w:rsidRDefault="0044021C" w14:paraId="4A4188E6" w14:textId="0BFB78E4">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r>
      <w:tr w:rsidR="0044021C" w:rsidTr="00A9590D" w14:paraId="081D2F6C" w14:textId="77777777">
        <w:trPr>
          <w:trHeight w:val="366"/>
        </w:trPr>
        <w:tc>
          <w:tcPr>
            <w:tcW w:w="2700" w:type="dxa"/>
            <w:vAlign w:val="center"/>
          </w:tcPr>
          <w:p w:rsidRPr="000669C6" w:rsidR="0044021C" w:rsidP="00A9590D" w:rsidRDefault="0044021C" w14:paraId="06630F71" w14:textId="7B29BDC9">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t>Report of performance test</w:t>
            </w:r>
          </w:p>
        </w:tc>
        <w:tc>
          <w:tcPr>
            <w:tcW w:w="1260" w:type="dxa"/>
            <w:vAlign w:val="center"/>
          </w:tcPr>
          <w:p w:rsidRPr="000669C6" w:rsidR="0044021C" w:rsidP="0044021C" w:rsidRDefault="0044021C" w14:paraId="21542065" w14:textId="49597FD2">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1260" w:type="dxa"/>
            <w:vAlign w:val="center"/>
          </w:tcPr>
          <w:p w:rsidRPr="000669C6" w:rsidR="0044021C" w:rsidP="0044021C" w:rsidRDefault="0044021C" w14:paraId="336B7AF7" w14:textId="09896F96">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w:t>
            </w:r>
          </w:p>
        </w:tc>
        <w:tc>
          <w:tcPr>
            <w:tcW w:w="1890" w:type="dxa"/>
            <w:vAlign w:val="center"/>
          </w:tcPr>
          <w:p w:rsidRPr="000669C6" w:rsidR="0044021C" w:rsidP="0044021C" w:rsidRDefault="0044021C" w14:paraId="3D591904" w14:textId="788A8E3A">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44021C" w:rsidP="0044021C" w:rsidRDefault="0044021C" w14:paraId="1E218CA4" w14:textId="767F44DF">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r>
      <w:tr w:rsidR="00A9590D" w:rsidTr="00A9590D" w14:paraId="4447A904" w14:textId="77777777">
        <w:trPr>
          <w:trHeight w:val="366"/>
        </w:trPr>
        <w:tc>
          <w:tcPr>
            <w:tcW w:w="2700" w:type="dxa"/>
            <w:vAlign w:val="center"/>
          </w:tcPr>
          <w:p w:rsidRPr="000669C6" w:rsidR="00A9590D" w:rsidP="00A9590D" w:rsidRDefault="00A9590D" w14:paraId="494AA901" w14:textId="658FD10B">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t>Excess emissions report</w:t>
            </w:r>
          </w:p>
        </w:tc>
        <w:tc>
          <w:tcPr>
            <w:tcW w:w="1260" w:type="dxa"/>
            <w:vAlign w:val="center"/>
          </w:tcPr>
          <w:p w:rsidRPr="000669C6" w:rsidR="00A9590D" w:rsidP="0044021C" w:rsidRDefault="00A9590D" w14:paraId="50426BDF" w14:textId="74B06F4D">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16</w:t>
            </w:r>
          </w:p>
        </w:tc>
        <w:tc>
          <w:tcPr>
            <w:tcW w:w="1260" w:type="dxa"/>
            <w:vAlign w:val="center"/>
          </w:tcPr>
          <w:p w:rsidRPr="000669C6" w:rsidR="00A9590D" w:rsidP="0044021C" w:rsidRDefault="00A9590D" w14:paraId="1F312D85" w14:textId="55B6188B">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0.5</w:t>
            </w:r>
          </w:p>
        </w:tc>
        <w:tc>
          <w:tcPr>
            <w:tcW w:w="1890" w:type="dxa"/>
            <w:vAlign w:val="center"/>
          </w:tcPr>
          <w:p w:rsidRPr="000669C6" w:rsidR="00A9590D" w:rsidP="0044021C" w:rsidRDefault="00A9590D" w14:paraId="3CAC032F" w14:textId="45D88235">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A9590D" w:rsidP="0044021C" w:rsidRDefault="00A9590D" w14:paraId="2E0300EF" w14:textId="1E0812CF">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8</w:t>
            </w:r>
          </w:p>
        </w:tc>
      </w:tr>
      <w:tr w:rsidR="0044021C" w:rsidTr="00A9590D" w14:paraId="55CCAE2C" w14:textId="77777777">
        <w:trPr>
          <w:trHeight w:val="366"/>
        </w:trPr>
        <w:tc>
          <w:tcPr>
            <w:tcW w:w="2700" w:type="dxa"/>
            <w:vAlign w:val="center"/>
          </w:tcPr>
          <w:p w:rsidRPr="000669C6" w:rsidR="0044021C" w:rsidP="00A9590D" w:rsidRDefault="0044021C" w14:paraId="62B0EC6B" w14:textId="0B62B9EA">
            <w:pPr>
              <w:pBdr>
                <w:top w:val="single" w:color="FFFFFF" w:sz="6" w:space="0"/>
                <w:left w:val="single" w:color="FFFFFF" w:sz="6" w:space="0"/>
                <w:bottom w:val="single" w:color="FFFFFF" w:sz="6" w:space="0"/>
                <w:right w:val="single" w:color="FFFFFF" w:sz="6" w:space="0"/>
              </w:pBdr>
              <w:rPr>
                <w:color w:val="000000"/>
                <w:sz w:val="20"/>
                <w:szCs w:val="20"/>
              </w:rPr>
            </w:pPr>
            <w:r w:rsidRPr="000669C6">
              <w:rPr>
                <w:color w:val="000000"/>
                <w:sz w:val="20"/>
                <w:szCs w:val="20"/>
              </w:rPr>
              <w:t>Semiannual report</w:t>
            </w:r>
          </w:p>
        </w:tc>
        <w:tc>
          <w:tcPr>
            <w:tcW w:w="1260" w:type="dxa"/>
            <w:vAlign w:val="center"/>
          </w:tcPr>
          <w:p w:rsidRPr="000669C6" w:rsidR="0044021C" w:rsidP="0044021C" w:rsidRDefault="0044021C" w14:paraId="386AA8D4" w14:textId="0B821E52">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16</w:t>
            </w:r>
          </w:p>
        </w:tc>
        <w:tc>
          <w:tcPr>
            <w:tcW w:w="1260" w:type="dxa"/>
            <w:vAlign w:val="center"/>
          </w:tcPr>
          <w:p w:rsidRPr="000669C6" w:rsidR="0044021C" w:rsidP="0044021C" w:rsidRDefault="0044021C" w14:paraId="6EDB8C54" w14:textId="19D1D448">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2</w:t>
            </w:r>
          </w:p>
        </w:tc>
        <w:tc>
          <w:tcPr>
            <w:tcW w:w="1890" w:type="dxa"/>
            <w:vAlign w:val="center"/>
          </w:tcPr>
          <w:p w:rsidRPr="000669C6" w:rsidR="0044021C" w:rsidP="0044021C" w:rsidRDefault="0044021C" w14:paraId="77A35F02" w14:textId="21C9933E">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0</w:t>
            </w:r>
          </w:p>
        </w:tc>
        <w:tc>
          <w:tcPr>
            <w:tcW w:w="2070" w:type="dxa"/>
            <w:vAlign w:val="center"/>
          </w:tcPr>
          <w:p w:rsidRPr="000669C6" w:rsidR="0044021C" w:rsidP="0044021C" w:rsidRDefault="0044021C" w14:paraId="5180D087" w14:textId="4D227722">
            <w:pPr>
              <w:pBdr>
                <w:top w:val="single" w:color="FFFFFF" w:sz="6" w:space="0"/>
                <w:left w:val="single" w:color="FFFFFF" w:sz="6" w:space="0"/>
                <w:bottom w:val="single" w:color="FFFFFF" w:sz="6" w:space="0"/>
                <w:right w:val="single" w:color="FFFFFF" w:sz="6" w:space="0"/>
              </w:pBdr>
              <w:jc w:val="center"/>
              <w:rPr>
                <w:color w:val="000000"/>
                <w:sz w:val="20"/>
                <w:szCs w:val="20"/>
              </w:rPr>
            </w:pPr>
            <w:r w:rsidRPr="000669C6">
              <w:rPr>
                <w:color w:val="000000"/>
                <w:sz w:val="20"/>
                <w:szCs w:val="20"/>
              </w:rPr>
              <w:t>32</w:t>
            </w:r>
          </w:p>
        </w:tc>
      </w:tr>
      <w:tr w:rsidR="00CA4CD6" w:rsidTr="0044021C" w14:paraId="6C13DEF4" w14:textId="77777777">
        <w:trPr>
          <w:trHeight w:val="366"/>
        </w:trPr>
        <w:tc>
          <w:tcPr>
            <w:tcW w:w="2700" w:type="dxa"/>
            <w:vAlign w:val="center"/>
          </w:tcPr>
          <w:p w:rsidRPr="000669C6"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vAlign w:val="center"/>
          </w:tcPr>
          <w:p w:rsidRPr="000669C6"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vAlign w:val="center"/>
          </w:tcPr>
          <w:p w:rsidRPr="000669C6"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890" w:type="dxa"/>
            <w:vAlign w:val="center"/>
          </w:tcPr>
          <w:p w:rsidRPr="000669C6"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b/>
                <w:bCs/>
                <w:sz w:val="20"/>
                <w:szCs w:val="20"/>
              </w:rPr>
            </w:pPr>
            <w:r w:rsidRPr="000669C6">
              <w:rPr>
                <w:b/>
                <w:bCs/>
                <w:sz w:val="20"/>
                <w:szCs w:val="20"/>
              </w:rPr>
              <w:t>Total</w:t>
            </w:r>
          </w:p>
        </w:tc>
        <w:tc>
          <w:tcPr>
            <w:tcW w:w="2070" w:type="dxa"/>
            <w:vAlign w:val="center"/>
          </w:tcPr>
          <w:p w:rsidRPr="000669C6" w:rsidR="00CA4CD6" w:rsidP="00D91C34" w:rsidRDefault="00A9590D" w14:paraId="69A7F94D" w14:textId="30073448">
            <w:pPr>
              <w:pBdr>
                <w:top w:val="single" w:color="FFFFFF" w:sz="6" w:space="0"/>
                <w:left w:val="single" w:color="FFFFFF" w:sz="6" w:space="0"/>
                <w:bottom w:val="single" w:color="FFFFFF" w:sz="6" w:space="0"/>
                <w:right w:val="single" w:color="FFFFFF" w:sz="6" w:space="0"/>
              </w:pBdr>
              <w:jc w:val="center"/>
              <w:rPr>
                <w:b/>
                <w:bCs/>
                <w:sz w:val="20"/>
                <w:szCs w:val="20"/>
              </w:rPr>
            </w:pPr>
            <w:r w:rsidRPr="000669C6">
              <w:rPr>
                <w:b/>
                <w:bCs/>
                <w:sz w:val="20"/>
                <w:szCs w:val="20"/>
              </w:rPr>
              <w:t>40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44021C" w:rsidRDefault="00CA4CD6" w14:paraId="4D175AC3" w14:textId="6CA0CA0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44021C">
        <w:rPr>
          <w:color w:val="000000"/>
        </w:rPr>
        <w:t xml:space="preserve"> </w:t>
      </w:r>
      <w:r w:rsidR="00A9590D">
        <w:rPr>
          <w:color w:val="000000"/>
        </w:rPr>
        <w:t>40</w:t>
      </w:r>
      <w:r w:rsidR="0044021C">
        <w:rPr>
          <w:color w:val="000000"/>
        </w:rPr>
        <w:t xml:space="preserve">. </w:t>
      </w:r>
    </w:p>
    <w:p w:rsidR="0044021C" w:rsidRDefault="0044021C" w14:paraId="210E8DF7"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FF7602" w:rsidRDefault="00CA4CD6" w14:paraId="48CA59B8" w14:textId="6F73502A">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annual labor costs are</w:t>
      </w:r>
      <w:r w:rsidR="00FF7602">
        <w:rPr>
          <w:color w:val="000000"/>
        </w:rPr>
        <w:t xml:space="preserve"> $50</w:t>
      </w:r>
      <w:r w:rsidR="00A9590D">
        <w:rPr>
          <w:color w:val="000000"/>
        </w:rPr>
        <w:t>5</w:t>
      </w:r>
      <w:r w:rsidR="00FF7602">
        <w:rPr>
          <w:color w:val="000000"/>
        </w:rPr>
        <w:t>,000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00450CB2">
        <w:rPr>
          <w:color w:val="000000"/>
        </w:rPr>
        <w:t xml:space="preserve"> </w:t>
      </w:r>
      <w:r w:rsidRPr="00450CB2" w:rsidR="00450CB2">
        <w:rPr>
          <w:bCs/>
          <w:color w:val="000000"/>
        </w:rPr>
        <w:t>NESHAP for Metal Furniture Surface Coating (40 CFR Part 63, Subpart RRRR) (Renewal)</w:t>
      </w:r>
      <w:r w:rsidRPr="00450CB2" w:rsidR="00450CB2">
        <w:rPr>
          <w:color w:val="000000"/>
        </w:rPr>
        <w:t>.</w:t>
      </w:r>
      <w:r>
        <w:rPr>
          <w:color w:val="000000"/>
        </w:rPr>
        <w:t xml:space="preserve">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A239F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0307B6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FF7602">
        <w:rPr>
          <w:color w:val="000000"/>
        </w:rPr>
        <w:t xml:space="preserve"> 4,2</w:t>
      </w:r>
      <w:r w:rsidR="000669C6">
        <w:rPr>
          <w:color w:val="000000"/>
        </w:rPr>
        <w:t>70</w:t>
      </w:r>
      <w:r w:rsidR="003E5379">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3E5379">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00450CB2">
        <w:rPr>
          <w:color w:val="000000"/>
        </w:rPr>
        <w:t xml:space="preserve"> </w:t>
      </w:r>
      <w:r w:rsidRPr="00450CB2" w:rsidR="00450CB2">
        <w:rPr>
          <w:bCs/>
          <w:color w:val="000000"/>
        </w:rPr>
        <w:t>NESHAP for Metal Furniture Surface Coating (40 CFR Part 63, Subpart RRRR) (Renewal)</w:t>
      </w:r>
      <w:r w:rsidRPr="00450CB2" w:rsidR="00450CB2">
        <w:rPr>
          <w:color w:val="000000"/>
        </w:rPr>
        <w:t>.</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205D4D">
        <w:t>We assume that burdens for managerial tasks take 5% of the time required for technical tasks because the typical tasks for managers are to review and approve reports.</w:t>
      </w:r>
      <w:r w:rsidRPr="00205D4D" w:rsidR="009C7E97">
        <w:t xml:space="preserve"> </w:t>
      </w:r>
      <w:r w:rsidRPr="00205D4D">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29A3931">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FF7602">
        <w:rPr>
          <w:color w:val="000000"/>
        </w:rPr>
        <w:t xml:space="preserve"> </w:t>
      </w:r>
      <w:r w:rsidR="00A71268">
        <w:rPr>
          <w:color w:val="000000"/>
        </w:rPr>
        <w:t xml:space="preserve">107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008DB9B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FF7602">
        <w:rPr>
          <w:color w:val="000000"/>
        </w:rPr>
        <w:t xml:space="preserve"> $0.</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3E5379" w:rsidP="00504745" w:rsidRDefault="003E5379" w14:paraId="7E7D250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5987269" w14:textId="2EFB6C7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44D0A45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FF7602">
        <w:rPr>
          <w:color w:val="000000"/>
        </w:rPr>
        <w:t>5</w:t>
      </w:r>
      <w:r w:rsidR="000669C6">
        <w:rPr>
          <w:color w:val="000000"/>
        </w:rPr>
        <w:t>15</w:t>
      </w:r>
      <w:r w:rsidR="00FF7602">
        <w:rPr>
          <w:color w:val="000000"/>
        </w:rPr>
        <w:t xml:space="preserve"> </w:t>
      </w:r>
      <w:r>
        <w:rPr>
          <w:color w:val="000000"/>
        </w:rPr>
        <w:t>labor hours at a cost of</w:t>
      </w:r>
      <w:r w:rsidR="00FF7602">
        <w:rPr>
          <w:color w:val="000000"/>
        </w:rPr>
        <w:t xml:space="preserve"> $2</w:t>
      </w:r>
      <w:r w:rsidR="000669C6">
        <w:rPr>
          <w:color w:val="000000"/>
        </w:rPr>
        <w:t>5,70</w:t>
      </w:r>
      <w:r w:rsidR="003C2041">
        <w:rPr>
          <w:color w:val="000000"/>
        </w:rPr>
        <w:t>0</w:t>
      </w:r>
      <w:r w:rsidR="003E5379">
        <w:rPr>
          <w:color w:val="000000"/>
        </w:rPr>
        <w:t>; s</w:t>
      </w:r>
      <w:r w:rsidR="00144F35">
        <w:rPr>
          <w:color w:val="000000"/>
        </w:rPr>
        <w:t xml:space="preserve">ee </w:t>
      </w:r>
      <w:r w:rsidR="003E5379">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450CB2" w:rsidR="00450CB2">
        <w:rPr>
          <w:bCs/>
          <w:color w:val="000000"/>
        </w:rPr>
        <w:t>NESHAP for Metal Furniture Surface Coating (40 CFR Part 63, Subpart RRRR) (Renewal)</w:t>
      </w:r>
      <w:r w:rsidRPr="00450CB2" w:rsidR="00450CB2">
        <w:rPr>
          <w:color w:val="000000"/>
        </w:rPr>
        <w:t xml:space="preserve">. </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205D4D"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05D4D">
        <w:t>We assume that burdens for managerial tasks take 5% of the time required for technical tasks because the typical tasks for managers are to review and approve reports.</w:t>
      </w:r>
      <w:r w:rsidRPr="00205D4D" w:rsidR="009C7E97">
        <w:t xml:space="preserve"> </w:t>
      </w:r>
      <w:r w:rsidRPr="00205D4D">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385E6A85">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r w:rsidR="00FD36EF">
        <w:rPr>
          <w:b/>
          <w:bCs/>
          <w:color w:val="000000"/>
        </w:rPr>
        <w:t xml:space="preserve">  </w:t>
      </w:r>
    </w:p>
    <w:p w:rsidRPr="00516952" w:rsidR="00516952" w:rsidRDefault="00516952" w14:paraId="53ED72D3" w14:textId="77777777">
      <w:pPr>
        <w:pBdr>
          <w:top w:val="single" w:color="FFFFFF" w:sz="6" w:space="0"/>
          <w:left w:val="single" w:color="FFFFFF" w:sz="6" w:space="0"/>
          <w:bottom w:val="single" w:color="FFFFFF" w:sz="6" w:space="0"/>
          <w:right w:val="single" w:color="FFFFFF" w:sz="6" w:space="0"/>
        </w:pBdr>
        <w:ind w:firstLine="720"/>
        <w:rPr>
          <w:color w:val="FF0000"/>
        </w:rPr>
      </w:pPr>
    </w:p>
    <w:p w:rsidRPr="001051D9" w:rsidR="00516952" w:rsidP="00516952" w:rsidRDefault="004A5A52" w14:paraId="575AFBBE" w14:textId="5ACA10FB">
      <w:pPr>
        <w:ind w:firstLine="720"/>
      </w:pPr>
      <w:r w:rsidRPr="001051D9">
        <w:t xml:space="preserve">There is </w:t>
      </w:r>
      <w:r w:rsidRPr="001051D9" w:rsidR="00FF7602">
        <w:t>a decrease</w:t>
      </w:r>
      <w:r w:rsidRPr="001051D9">
        <w:t xml:space="preserve"> in burden from the most</w:t>
      </w:r>
      <w:r w:rsidR="003E5379">
        <w:t>-</w:t>
      </w:r>
      <w:r w:rsidRPr="001051D9">
        <w:t xml:space="preserve">recently approved ICR as currently identified in the OMB Inventory of Approved Burdens. </w:t>
      </w:r>
      <w:r w:rsidR="000669C6">
        <w:t>T</w:t>
      </w:r>
      <w:r w:rsidRPr="000669C6" w:rsidR="000669C6">
        <w:t>his ICR incorporates the requirements from the March 2019 and November 20</w:t>
      </w:r>
      <w:r w:rsidR="000669C6">
        <w:t>20</w:t>
      </w:r>
      <w:r w:rsidRPr="000669C6" w:rsidR="000669C6">
        <w:t xml:space="preserve"> rules.</w:t>
      </w:r>
      <w:r w:rsidR="000669C6">
        <w:t xml:space="preserve"> </w:t>
      </w:r>
      <w:r w:rsidRPr="001051D9">
        <w:t>Th</w:t>
      </w:r>
      <w:r w:rsidR="004203B9">
        <w:t>e decrease</w:t>
      </w:r>
      <w:r w:rsidRPr="001051D9">
        <w:t xml:space="preserve"> is due to two considerations. </w:t>
      </w:r>
      <w:r w:rsidR="00FF7B1E">
        <w:t xml:space="preserve">Since </w:t>
      </w:r>
      <w:r w:rsidR="00555379">
        <w:t>a</w:t>
      </w:r>
      <w:r w:rsidR="00FF7B1E">
        <w:t xml:space="preserve"> previous ICR renewal</w:t>
      </w:r>
      <w:r w:rsidR="00555379">
        <w:t xml:space="preserve">, </w:t>
      </w:r>
      <w:r w:rsidR="00FF7B1E">
        <w:t>1952.06</w:t>
      </w:r>
      <w:r w:rsidR="00555379">
        <w:t>,</w:t>
      </w:r>
      <w:r w:rsidR="00FF7B1E">
        <w:t xml:space="preserve"> was published in 2016, s</w:t>
      </w:r>
      <w:r w:rsidRPr="001051D9" w:rsidR="00FF7602">
        <w:t xml:space="preserve">ources </w:t>
      </w:r>
      <w:r w:rsidR="00440C5F">
        <w:t xml:space="preserve">have </w:t>
      </w:r>
      <w:r w:rsidRPr="001051D9" w:rsidR="00FF7602">
        <w:t xml:space="preserve">changed their coating practices to use non-HAP coatings, </w:t>
      </w:r>
      <w:r w:rsidR="00555379">
        <w:t xml:space="preserve">thus </w:t>
      </w:r>
      <w:r w:rsidRPr="001051D9" w:rsidR="00FF7602">
        <w:t>resulting in a decrease in the number of respondents</w:t>
      </w:r>
      <w:r w:rsidRPr="001051D9" w:rsidR="001051D9">
        <w:t xml:space="preserve">. The data gathered during the recent rulemaking indicates that there are no sources using add-on controls, resulting in a decrease in O&amp;M costs. There is no growth in this industry, therefore there is no capital/startup costs. </w:t>
      </w:r>
      <w:r w:rsidRPr="001051D9">
        <w:t>Th</w:t>
      </w:r>
      <w:r w:rsidR="0076793E">
        <w:t>is ICR also reflects</w:t>
      </w:r>
      <w:r w:rsidRPr="001051D9">
        <w:t xml:space="preserve"> the use of updated labor rates. This ICR uses labor rates from the most</w:t>
      </w:r>
      <w:r w:rsidR="003E5379">
        <w:t>-</w:t>
      </w:r>
      <w:r w:rsidRPr="001051D9">
        <w:t>recent Bureau of Labor Statistics report (</w:t>
      </w:r>
      <w:r w:rsidRPr="00440C5F">
        <w:t>March 202</w:t>
      </w:r>
      <w:r w:rsidRPr="00440C5F" w:rsidR="001051D9">
        <w:t>1</w:t>
      </w:r>
      <w:r w:rsidRPr="00440C5F">
        <w:t>)</w:t>
      </w:r>
      <w:r w:rsidRPr="001051D9">
        <w:t xml:space="preserve"> to calculate respondent burden costs.</w:t>
      </w:r>
      <w:r w:rsidR="00EA24FC">
        <w:t xml:space="preserve">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91D121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1051D9">
        <w:rPr>
          <w:color w:val="000000"/>
        </w:rPr>
        <w:t xml:space="preserve"> </w:t>
      </w:r>
      <w:r w:rsidR="00A71268">
        <w:rPr>
          <w:color w:val="000000"/>
        </w:rPr>
        <w:t>10</w:t>
      </w:r>
      <w:r w:rsidR="000669C6">
        <w:rPr>
          <w:color w:val="000000"/>
        </w:rPr>
        <w:t xml:space="preserve">7 </w:t>
      </w:r>
      <w:r>
        <w:rPr>
          <w:color w:val="000000"/>
        </w:rPr>
        <w:t>hours per response.</w:t>
      </w:r>
      <w:r w:rsidR="009C7E97">
        <w:rPr>
          <w:color w:val="000000"/>
        </w:rPr>
        <w:t xml:space="preserve"> </w:t>
      </w:r>
      <w:r w:rsidR="003E5379">
        <w:rPr>
          <w:color w:val="000000"/>
        </w:rPr>
        <w:t>‘</w:t>
      </w:r>
      <w:r>
        <w:rPr>
          <w:color w:val="000000"/>
        </w:rPr>
        <w:t>Burden</w:t>
      </w:r>
      <w:r w:rsidR="003E5379">
        <w:rPr>
          <w:color w:val="000000"/>
        </w:rPr>
        <w:t>’</w:t>
      </w:r>
      <w:r>
        <w:rPr>
          <w:color w:val="000000"/>
        </w:rPr>
        <w:t xml:space="preserve"> means the total time, effort, or financial resources expended by persons to generate, maintain, retain, or disclose or provide information </w:t>
      </w:r>
      <w:r w:rsidR="003E5379">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6487128">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1776BC">
        <w:rPr>
          <w:color w:val="000000"/>
        </w:rPr>
        <w:t>either</w:t>
      </w:r>
      <w:r>
        <w:rPr>
          <w:color w:val="000000"/>
        </w:rPr>
        <w:t xml:space="preserve"> conduct </w:t>
      </w:r>
      <w:r w:rsidR="001776BC">
        <w:rPr>
          <w:color w:val="000000"/>
        </w:rPr>
        <w:t>n</w:t>
      </w:r>
      <w:r>
        <w:rPr>
          <w:color w:val="000000"/>
        </w:rPr>
        <w:t xml:space="preserve">or sponsor, and a person is not required to respond </w:t>
      </w:r>
      <w:proofErr w:type="gramStart"/>
      <w:r>
        <w:rPr>
          <w:color w:val="000000"/>
        </w:rPr>
        <w:t xml:space="preserve">to, </w:t>
      </w:r>
      <w:r w:rsidR="001776BC">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4EFAF1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1776BC">
        <w:t xml:space="preserve">the </w:t>
      </w:r>
      <w:r w:rsidRPr="00354C15" w:rsidR="00CA4CD6">
        <w:t xml:space="preserve">EPA has established a public docket for this ICR under Docket ID Number </w:t>
      </w:r>
      <w:r w:rsidRPr="001051D9" w:rsidR="001051D9">
        <w:t>EPA-HQ-OAR-2021-0107</w:t>
      </w:r>
      <w:r w:rsidR="001051D9">
        <w:t>.</w:t>
      </w:r>
      <w:r w:rsidR="009C7E97">
        <w:rPr>
          <w:color w:val="FF0000"/>
        </w:rPr>
        <w:t xml:space="preserve"> </w:t>
      </w:r>
      <w:r w:rsidRPr="00354C15" w:rsidR="00354C15">
        <w:t xml:space="preserve">An electronic version of the public docket is available at </w:t>
      </w:r>
      <w:hyperlink w:history="1" r:id="rId14">
        <w:r w:rsidRPr="00FC113A" w:rsidR="00377D7F">
          <w:rPr>
            <w:rStyle w:val="Hyperlink"/>
            <w:i/>
            <w:iCs/>
            <w:color w:val="auto"/>
          </w:rPr>
          <w:t>http://www.regulations.gov/</w:t>
        </w:r>
      </w:hyperlink>
      <w:r w:rsidRPr="00FC113A" w:rsidR="00377D7F">
        <w:t xml:space="preserve"> </w:t>
      </w:r>
      <w:r w:rsidR="00354C15">
        <w:t xml:space="preserve">which may be used </w:t>
      </w:r>
      <w:r w:rsidRPr="00354C15" w:rsidR="00354C15">
        <w:t xml:space="preserve">to obtain a copy of the draft </w:t>
      </w:r>
      <w:r w:rsidRPr="00354C15" w:rsidR="00354C15">
        <w:lastRenderedPageBreak/>
        <w:t>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1776BC">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1776B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1051D9" w:rsidR="001051D9">
        <w:t>EPA-HQ-OAR-2021-0107</w:t>
      </w:r>
      <w:r w:rsidR="00CA4CD6">
        <w:t xml:space="preserve"> and OMB Control Number</w:t>
      </w:r>
      <w:r w:rsidR="001051D9">
        <w:t xml:space="preserve"> 2060-0518</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9771FE">
          <w:headerReference w:type="default" r:id="rId15"/>
          <w:footerReference w:type="default" r:id="rId16"/>
          <w:type w:val="continuous"/>
          <w:pgSz w:w="12240" w:h="15840"/>
          <w:pgMar w:top="1350" w:right="1440" w:bottom="1440" w:left="1440" w:header="1152" w:footer="720" w:gutter="0"/>
          <w:cols w:space="720"/>
          <w:noEndnote/>
          <w:titlePg/>
          <w:docGrid w:linePitch="326"/>
        </w:sectPr>
      </w:pPr>
    </w:p>
    <w:p w:rsidR="00144F35" w:rsidP="00504745" w:rsidRDefault="00144F35" w14:paraId="273D1098" w14:textId="3D7E8165">
      <w:pPr>
        <w:outlineLvl w:val="0"/>
        <w:rPr>
          <w:b/>
          <w:bCs/>
          <w:color w:val="000000"/>
        </w:rPr>
      </w:pPr>
      <w:r w:rsidRPr="00C4183F">
        <w:rPr>
          <w:b/>
          <w:bCs/>
          <w:color w:val="000000"/>
        </w:rPr>
        <w:lastRenderedPageBreak/>
        <w:t>Table 1: Annual Respondent Burden and Cost</w:t>
      </w:r>
      <w:r>
        <w:rPr>
          <w:b/>
          <w:bCs/>
          <w:color w:val="000000"/>
        </w:rPr>
        <w:t xml:space="preserve"> –</w:t>
      </w:r>
      <w:r w:rsidR="001051D9">
        <w:rPr>
          <w:b/>
          <w:bCs/>
          <w:color w:val="000000"/>
        </w:rPr>
        <w:t xml:space="preserve"> </w:t>
      </w:r>
      <w:r w:rsidRPr="001051D9" w:rsidR="001051D9">
        <w:rPr>
          <w:b/>
          <w:bCs/>
          <w:color w:val="000000"/>
        </w:rPr>
        <w:t>NESHAP for Metal Furniture Surface Coating (40 CFR Part 63, Subpart RRRR) (Renewal)</w:t>
      </w:r>
      <w:r w:rsidR="001051D9">
        <w:rPr>
          <w:b/>
          <w:bCs/>
          <w:color w:val="000000"/>
        </w:rPr>
        <w:t xml:space="preserve"> </w:t>
      </w:r>
    </w:p>
    <w:p w:rsidR="003D6951" w:rsidP="003D6951" w:rsidRDefault="003D6951" w14:paraId="69295A20" w14:textId="443C6AAF">
      <w:pPr>
        <w:rPr>
          <w:color w:val="FF0000"/>
        </w:rPr>
      </w:pPr>
    </w:p>
    <w:tbl>
      <w:tblPr>
        <w:tblW w:w="13911" w:type="dxa"/>
        <w:tblInd w:w="-545" w:type="dxa"/>
        <w:tblLook w:val="04A0" w:firstRow="1" w:lastRow="0" w:firstColumn="1" w:lastColumn="0" w:noHBand="0" w:noVBand="1"/>
      </w:tblPr>
      <w:tblGrid>
        <w:gridCol w:w="3570"/>
        <w:gridCol w:w="1322"/>
        <w:gridCol w:w="1228"/>
        <w:gridCol w:w="1487"/>
        <w:gridCol w:w="1239"/>
        <w:gridCol w:w="1324"/>
        <w:gridCol w:w="1261"/>
        <w:gridCol w:w="1259"/>
        <w:gridCol w:w="1221"/>
      </w:tblGrid>
      <w:tr w:rsidRPr="00B13BAD" w:rsidR="00B13BAD" w:rsidTr="00B13BAD" w14:paraId="62FC0008" w14:textId="77777777">
        <w:trPr>
          <w:trHeight w:val="1020"/>
        </w:trPr>
        <w:tc>
          <w:tcPr>
            <w:tcW w:w="35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3BAD" w:rsidR="00B13BAD" w:rsidP="00B13BAD" w:rsidRDefault="00B13BAD" w14:paraId="2605A8AE" w14:textId="77777777">
            <w:pPr>
              <w:widowControl/>
              <w:autoSpaceDE/>
              <w:autoSpaceDN/>
              <w:adjustRightInd/>
              <w:jc w:val="center"/>
              <w:rPr>
                <w:color w:val="000000"/>
                <w:sz w:val="20"/>
                <w:szCs w:val="20"/>
              </w:rPr>
            </w:pPr>
            <w:r w:rsidRPr="00B13BAD">
              <w:rPr>
                <w:color w:val="000000"/>
                <w:sz w:val="20"/>
                <w:szCs w:val="20"/>
              </w:rPr>
              <w:t>Burden Item</w:t>
            </w:r>
          </w:p>
        </w:tc>
        <w:tc>
          <w:tcPr>
            <w:tcW w:w="1322"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4224F1D4" w14:textId="77777777">
            <w:pPr>
              <w:widowControl/>
              <w:autoSpaceDE/>
              <w:autoSpaceDN/>
              <w:adjustRightInd/>
              <w:jc w:val="center"/>
              <w:rPr>
                <w:color w:val="000000"/>
                <w:sz w:val="20"/>
                <w:szCs w:val="20"/>
              </w:rPr>
            </w:pPr>
            <w:r w:rsidRPr="00B13BAD">
              <w:rPr>
                <w:color w:val="000000"/>
                <w:sz w:val="20"/>
                <w:szCs w:val="20"/>
              </w:rPr>
              <w:t xml:space="preserve">(A) </w:t>
            </w:r>
            <w:r w:rsidRPr="00B13BAD">
              <w:rPr>
                <w:color w:val="000000"/>
                <w:sz w:val="20"/>
                <w:szCs w:val="20"/>
              </w:rPr>
              <w:br/>
              <w:t>Person</w:t>
            </w:r>
            <w:r w:rsidRPr="00B13BAD">
              <w:rPr>
                <w:color w:val="000000"/>
                <w:sz w:val="20"/>
                <w:szCs w:val="20"/>
              </w:rPr>
              <w:noBreakHyphen/>
              <w:t xml:space="preserve"> hours per occurrence</w:t>
            </w:r>
          </w:p>
        </w:tc>
        <w:tc>
          <w:tcPr>
            <w:tcW w:w="1228"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1E5E2AF5" w14:textId="77777777">
            <w:pPr>
              <w:widowControl/>
              <w:autoSpaceDE/>
              <w:autoSpaceDN/>
              <w:adjustRightInd/>
              <w:jc w:val="center"/>
              <w:rPr>
                <w:color w:val="000000"/>
                <w:sz w:val="20"/>
                <w:szCs w:val="20"/>
              </w:rPr>
            </w:pPr>
            <w:r w:rsidRPr="00B13BAD">
              <w:rPr>
                <w:color w:val="000000"/>
                <w:sz w:val="20"/>
                <w:szCs w:val="20"/>
              </w:rPr>
              <w:t xml:space="preserve">(B)  </w:t>
            </w:r>
            <w:r w:rsidRPr="00B13BAD">
              <w:rPr>
                <w:color w:val="000000"/>
                <w:sz w:val="20"/>
                <w:szCs w:val="20"/>
              </w:rPr>
              <w:br/>
              <w:t>Number of occurrences per year</w:t>
            </w:r>
          </w:p>
        </w:tc>
        <w:tc>
          <w:tcPr>
            <w:tcW w:w="1487"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1DA2C3C9" w14:textId="77777777">
            <w:pPr>
              <w:widowControl/>
              <w:autoSpaceDE/>
              <w:autoSpaceDN/>
              <w:adjustRightInd/>
              <w:jc w:val="center"/>
              <w:rPr>
                <w:color w:val="000000"/>
                <w:sz w:val="20"/>
                <w:szCs w:val="20"/>
              </w:rPr>
            </w:pPr>
            <w:r w:rsidRPr="00B13BAD">
              <w:rPr>
                <w:color w:val="000000"/>
                <w:sz w:val="20"/>
                <w:szCs w:val="20"/>
              </w:rPr>
              <w:t xml:space="preserve">(C) </w:t>
            </w:r>
            <w:r w:rsidRPr="00B13BAD">
              <w:rPr>
                <w:color w:val="000000"/>
                <w:sz w:val="20"/>
                <w:szCs w:val="20"/>
              </w:rPr>
              <w:br/>
              <w:t>Person</w:t>
            </w:r>
            <w:r w:rsidRPr="00B13BAD">
              <w:rPr>
                <w:color w:val="000000"/>
                <w:sz w:val="20"/>
                <w:szCs w:val="20"/>
              </w:rPr>
              <w:noBreakHyphen/>
              <w:t xml:space="preserve">hrs. per respondent per </w:t>
            </w:r>
            <w:proofErr w:type="gramStart"/>
            <w:r w:rsidRPr="00B13BAD">
              <w:rPr>
                <w:color w:val="000000"/>
                <w:sz w:val="20"/>
                <w:szCs w:val="20"/>
              </w:rPr>
              <w:t>year  (</w:t>
            </w:r>
            <w:proofErr w:type="gramEnd"/>
            <w:r w:rsidRPr="00B13BAD">
              <w:rPr>
                <w:color w:val="000000"/>
                <w:sz w:val="20"/>
                <w:szCs w:val="20"/>
              </w:rPr>
              <w:t>C=</w:t>
            </w:r>
            <w:proofErr w:type="spellStart"/>
            <w:r w:rsidRPr="00B13BAD">
              <w:rPr>
                <w:color w:val="000000"/>
                <w:sz w:val="20"/>
                <w:szCs w:val="20"/>
              </w:rPr>
              <w:t>AxB</w:t>
            </w:r>
            <w:proofErr w:type="spellEnd"/>
            <w:r w:rsidRPr="00B13BAD">
              <w:rPr>
                <w:color w:val="000000"/>
                <w:sz w:val="20"/>
                <w:szCs w:val="20"/>
              </w:rPr>
              <w:t>)</w:t>
            </w:r>
          </w:p>
        </w:tc>
        <w:tc>
          <w:tcPr>
            <w:tcW w:w="1239"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083DB424" w14:textId="77777777">
            <w:pPr>
              <w:widowControl/>
              <w:autoSpaceDE/>
              <w:autoSpaceDN/>
              <w:adjustRightInd/>
              <w:jc w:val="center"/>
              <w:rPr>
                <w:color w:val="000000"/>
                <w:sz w:val="20"/>
                <w:szCs w:val="20"/>
              </w:rPr>
            </w:pPr>
            <w:r w:rsidRPr="00B13BAD">
              <w:rPr>
                <w:color w:val="000000"/>
                <w:sz w:val="20"/>
                <w:szCs w:val="20"/>
              </w:rPr>
              <w:t xml:space="preserve">(D) </w:t>
            </w:r>
            <w:r w:rsidRPr="00B13BAD">
              <w:rPr>
                <w:color w:val="000000"/>
                <w:sz w:val="20"/>
                <w:szCs w:val="20"/>
              </w:rPr>
              <w:br/>
              <w:t xml:space="preserve">Respondents per year </w:t>
            </w:r>
            <w:r w:rsidRPr="00B13BAD">
              <w:rPr>
                <w:color w:val="000000"/>
                <w:sz w:val="20"/>
                <w:szCs w:val="20"/>
                <w:vertAlign w:val="superscript"/>
              </w:rPr>
              <w:t>a</w:t>
            </w:r>
          </w:p>
        </w:tc>
        <w:tc>
          <w:tcPr>
            <w:tcW w:w="1324"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42346C72" w14:textId="77777777">
            <w:pPr>
              <w:widowControl/>
              <w:autoSpaceDE/>
              <w:autoSpaceDN/>
              <w:adjustRightInd/>
              <w:jc w:val="center"/>
              <w:rPr>
                <w:color w:val="000000"/>
                <w:sz w:val="20"/>
                <w:szCs w:val="20"/>
              </w:rPr>
            </w:pPr>
            <w:r w:rsidRPr="00B13BAD">
              <w:rPr>
                <w:color w:val="000000"/>
                <w:sz w:val="20"/>
                <w:szCs w:val="20"/>
              </w:rPr>
              <w:t xml:space="preserve">(E) </w:t>
            </w:r>
            <w:r w:rsidRPr="00B13BAD">
              <w:rPr>
                <w:color w:val="000000"/>
                <w:sz w:val="20"/>
                <w:szCs w:val="20"/>
              </w:rPr>
              <w:br/>
              <w:t>Technical person</w:t>
            </w:r>
            <w:r w:rsidRPr="00B13BAD">
              <w:rPr>
                <w:color w:val="000000"/>
                <w:sz w:val="20"/>
                <w:szCs w:val="20"/>
              </w:rPr>
              <w:noBreakHyphen/>
              <w:t>hrs. per year (E=</w:t>
            </w:r>
            <w:proofErr w:type="spellStart"/>
            <w:r w:rsidRPr="00B13BAD">
              <w:rPr>
                <w:color w:val="000000"/>
                <w:sz w:val="20"/>
                <w:szCs w:val="20"/>
              </w:rPr>
              <w:t>CxD</w:t>
            </w:r>
            <w:proofErr w:type="spellEnd"/>
            <w:r w:rsidRPr="00B13BAD">
              <w:rPr>
                <w:color w:val="000000"/>
                <w:sz w:val="20"/>
                <w:szCs w:val="20"/>
              </w:rPr>
              <w:t>)</w:t>
            </w:r>
          </w:p>
        </w:tc>
        <w:tc>
          <w:tcPr>
            <w:tcW w:w="1261"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7031210F" w14:textId="77777777">
            <w:pPr>
              <w:widowControl/>
              <w:autoSpaceDE/>
              <w:autoSpaceDN/>
              <w:adjustRightInd/>
              <w:jc w:val="center"/>
              <w:rPr>
                <w:color w:val="000000"/>
                <w:sz w:val="20"/>
                <w:szCs w:val="20"/>
              </w:rPr>
            </w:pPr>
            <w:r w:rsidRPr="00B13BAD">
              <w:rPr>
                <w:color w:val="000000"/>
                <w:sz w:val="20"/>
                <w:szCs w:val="20"/>
              </w:rPr>
              <w:t xml:space="preserve">(F) </w:t>
            </w:r>
            <w:r w:rsidRPr="00B13BAD">
              <w:rPr>
                <w:color w:val="000000"/>
                <w:sz w:val="20"/>
                <w:szCs w:val="20"/>
              </w:rPr>
              <w:br/>
              <w:t>Management person</w:t>
            </w:r>
            <w:r w:rsidRPr="00B13BAD">
              <w:rPr>
                <w:color w:val="000000"/>
                <w:sz w:val="20"/>
                <w:szCs w:val="20"/>
              </w:rPr>
              <w:noBreakHyphen/>
              <w:t xml:space="preserve">hrs. per </w:t>
            </w:r>
            <w:proofErr w:type="gramStart"/>
            <w:r w:rsidRPr="00B13BAD">
              <w:rPr>
                <w:color w:val="000000"/>
                <w:sz w:val="20"/>
                <w:szCs w:val="20"/>
              </w:rPr>
              <w:t>year  (</w:t>
            </w:r>
            <w:proofErr w:type="gramEnd"/>
            <w:r w:rsidRPr="00B13BAD">
              <w:rPr>
                <w:color w:val="000000"/>
                <w:sz w:val="20"/>
                <w:szCs w:val="20"/>
              </w:rPr>
              <w:t>F=Ex0.05)</w:t>
            </w:r>
          </w:p>
        </w:tc>
        <w:tc>
          <w:tcPr>
            <w:tcW w:w="1259"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27CE3FE0" w14:textId="77777777">
            <w:pPr>
              <w:widowControl/>
              <w:autoSpaceDE/>
              <w:autoSpaceDN/>
              <w:adjustRightInd/>
              <w:jc w:val="center"/>
              <w:rPr>
                <w:color w:val="000000"/>
                <w:sz w:val="20"/>
                <w:szCs w:val="20"/>
              </w:rPr>
            </w:pPr>
            <w:r w:rsidRPr="00B13BAD">
              <w:rPr>
                <w:color w:val="000000"/>
                <w:sz w:val="20"/>
                <w:szCs w:val="20"/>
              </w:rPr>
              <w:t xml:space="preserve">(G) </w:t>
            </w:r>
            <w:r w:rsidRPr="00B13BAD">
              <w:rPr>
                <w:color w:val="000000"/>
                <w:sz w:val="20"/>
                <w:szCs w:val="20"/>
              </w:rPr>
              <w:br/>
              <w:t>Clerical person</w:t>
            </w:r>
            <w:r w:rsidRPr="00B13BAD">
              <w:rPr>
                <w:color w:val="000000"/>
                <w:sz w:val="20"/>
                <w:szCs w:val="20"/>
              </w:rPr>
              <w:noBreakHyphen/>
              <w:t>hrs. per year (G=Ex0.1)</w:t>
            </w:r>
          </w:p>
        </w:tc>
        <w:tc>
          <w:tcPr>
            <w:tcW w:w="1221"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2E753EEE" w14:textId="77777777">
            <w:pPr>
              <w:widowControl/>
              <w:autoSpaceDE/>
              <w:autoSpaceDN/>
              <w:adjustRightInd/>
              <w:jc w:val="center"/>
              <w:rPr>
                <w:color w:val="000000"/>
                <w:sz w:val="20"/>
                <w:szCs w:val="20"/>
              </w:rPr>
            </w:pPr>
            <w:r w:rsidRPr="00B13BAD">
              <w:rPr>
                <w:color w:val="000000"/>
                <w:sz w:val="20"/>
                <w:szCs w:val="20"/>
              </w:rPr>
              <w:t xml:space="preserve">(H) </w:t>
            </w:r>
            <w:r w:rsidRPr="00B13BAD">
              <w:rPr>
                <w:color w:val="000000"/>
                <w:sz w:val="20"/>
                <w:szCs w:val="20"/>
              </w:rPr>
              <w:br/>
              <w:t xml:space="preserve">Annual costs ($) </w:t>
            </w:r>
            <w:r w:rsidRPr="00B13BAD">
              <w:rPr>
                <w:color w:val="000000"/>
                <w:sz w:val="20"/>
                <w:szCs w:val="20"/>
                <w:vertAlign w:val="superscript"/>
              </w:rPr>
              <w:t>b</w:t>
            </w:r>
          </w:p>
        </w:tc>
      </w:tr>
      <w:tr w:rsidRPr="00B13BAD" w:rsidR="00B13BAD" w:rsidTr="00B13BAD" w14:paraId="02C5AB54"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789A2F5C" w14:textId="77777777">
            <w:pPr>
              <w:widowControl/>
              <w:autoSpaceDE/>
              <w:autoSpaceDN/>
              <w:adjustRightInd/>
              <w:rPr>
                <w:color w:val="000000"/>
                <w:sz w:val="20"/>
                <w:szCs w:val="20"/>
              </w:rPr>
            </w:pPr>
            <w:r w:rsidRPr="00B13BAD">
              <w:rPr>
                <w:color w:val="000000"/>
                <w:sz w:val="20"/>
                <w:szCs w:val="20"/>
              </w:rPr>
              <w:t>1. Reporting requirements</w:t>
            </w:r>
          </w:p>
        </w:tc>
        <w:tc>
          <w:tcPr>
            <w:tcW w:w="10341" w:type="dxa"/>
            <w:gridSpan w:val="8"/>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4E17D14F"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0C44652F"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744A7101" w14:textId="77777777">
            <w:pPr>
              <w:widowControl/>
              <w:autoSpaceDE/>
              <w:autoSpaceDN/>
              <w:adjustRightInd/>
              <w:ind w:firstLine="200" w:firstLineChars="100"/>
              <w:rPr>
                <w:color w:val="000000"/>
                <w:sz w:val="20"/>
                <w:szCs w:val="20"/>
              </w:rPr>
            </w:pPr>
            <w:r w:rsidRPr="00B13BAD">
              <w:rPr>
                <w:color w:val="000000"/>
                <w:sz w:val="20"/>
                <w:szCs w:val="20"/>
              </w:rPr>
              <w:t>A. Familiarize with rule requirements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6DE3C1C" w14:textId="77777777">
            <w:pPr>
              <w:widowControl/>
              <w:autoSpaceDE/>
              <w:autoSpaceDN/>
              <w:adjustRightInd/>
              <w:jc w:val="center"/>
              <w:rPr>
                <w:color w:val="000000"/>
                <w:sz w:val="20"/>
                <w:szCs w:val="20"/>
              </w:rPr>
            </w:pPr>
            <w:r w:rsidRPr="00B13BAD">
              <w:rPr>
                <w:color w:val="000000"/>
                <w:sz w:val="20"/>
                <w:szCs w:val="20"/>
              </w:rPr>
              <w:t>4</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6B4DB9B"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359B68F" w14:textId="77777777">
            <w:pPr>
              <w:widowControl/>
              <w:autoSpaceDE/>
              <w:autoSpaceDN/>
              <w:adjustRightInd/>
              <w:jc w:val="center"/>
              <w:rPr>
                <w:color w:val="000000"/>
                <w:sz w:val="20"/>
                <w:szCs w:val="20"/>
              </w:rPr>
            </w:pPr>
            <w:r w:rsidRPr="00B13BAD">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3BD3921"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D459522" w14:textId="77777777">
            <w:pPr>
              <w:widowControl/>
              <w:autoSpaceDE/>
              <w:autoSpaceDN/>
              <w:adjustRightInd/>
              <w:jc w:val="center"/>
              <w:rPr>
                <w:color w:val="000000"/>
                <w:sz w:val="20"/>
                <w:szCs w:val="20"/>
              </w:rPr>
            </w:pPr>
            <w:r w:rsidRPr="00B13BAD">
              <w:rPr>
                <w:color w:val="000000"/>
                <w:sz w:val="20"/>
                <w:szCs w:val="20"/>
              </w:rPr>
              <w:t>64</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17713CB" w14:textId="77777777">
            <w:pPr>
              <w:widowControl/>
              <w:autoSpaceDE/>
              <w:autoSpaceDN/>
              <w:adjustRightInd/>
              <w:jc w:val="center"/>
              <w:rPr>
                <w:color w:val="000000"/>
                <w:sz w:val="20"/>
                <w:szCs w:val="20"/>
              </w:rPr>
            </w:pPr>
            <w:r w:rsidRPr="00B13BAD">
              <w:rPr>
                <w:color w:val="000000"/>
                <w:sz w:val="20"/>
                <w:szCs w:val="20"/>
              </w:rPr>
              <w:t>3.2</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03F0F70" w14:textId="77777777">
            <w:pPr>
              <w:widowControl/>
              <w:autoSpaceDE/>
              <w:autoSpaceDN/>
              <w:adjustRightInd/>
              <w:jc w:val="center"/>
              <w:rPr>
                <w:color w:val="000000"/>
                <w:sz w:val="20"/>
                <w:szCs w:val="20"/>
              </w:rPr>
            </w:pPr>
            <w:r w:rsidRPr="00B13BAD">
              <w:rPr>
                <w:color w:val="000000"/>
                <w:sz w:val="20"/>
                <w:szCs w:val="20"/>
              </w:rPr>
              <w:t>6.4</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E401A79" w14:textId="77777777">
            <w:pPr>
              <w:widowControl/>
              <w:autoSpaceDE/>
              <w:autoSpaceDN/>
              <w:adjustRightInd/>
              <w:jc w:val="right"/>
              <w:rPr>
                <w:color w:val="000000"/>
                <w:sz w:val="20"/>
                <w:szCs w:val="20"/>
              </w:rPr>
            </w:pPr>
            <w:r w:rsidRPr="00B13BAD">
              <w:rPr>
                <w:color w:val="000000"/>
                <w:sz w:val="20"/>
                <w:szCs w:val="20"/>
              </w:rPr>
              <w:t xml:space="preserve">$8,705.82 </w:t>
            </w:r>
          </w:p>
        </w:tc>
      </w:tr>
      <w:tr w:rsidRPr="00B13BAD" w:rsidR="00B13BAD" w:rsidTr="00B13BAD" w14:paraId="489CD32C" w14:textId="77777777">
        <w:trPr>
          <w:trHeight w:val="360"/>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36EA6BA8" w14:textId="77777777">
            <w:pPr>
              <w:widowControl/>
              <w:autoSpaceDE/>
              <w:autoSpaceDN/>
              <w:adjustRightInd/>
              <w:ind w:firstLine="200" w:firstLineChars="100"/>
              <w:rPr>
                <w:color w:val="000000"/>
                <w:sz w:val="20"/>
                <w:szCs w:val="20"/>
              </w:rPr>
            </w:pPr>
            <w:r w:rsidRPr="00B13BAD">
              <w:rPr>
                <w:color w:val="000000"/>
                <w:sz w:val="20"/>
                <w:szCs w:val="20"/>
              </w:rPr>
              <w:t>B. Process/review information</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A30CC9E" w14:textId="77777777">
            <w:pPr>
              <w:widowControl/>
              <w:autoSpaceDE/>
              <w:autoSpaceDN/>
              <w:adjustRightInd/>
              <w:jc w:val="center"/>
              <w:rPr>
                <w:color w:val="000000"/>
                <w:sz w:val="20"/>
                <w:szCs w:val="20"/>
              </w:rPr>
            </w:pPr>
            <w:r w:rsidRPr="00B13BAD">
              <w:rPr>
                <w:color w:val="000000"/>
                <w:sz w:val="20"/>
                <w:szCs w:val="20"/>
              </w:rPr>
              <w:t>4</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D26B945" w14:textId="77777777">
            <w:pPr>
              <w:widowControl/>
              <w:autoSpaceDE/>
              <w:autoSpaceDN/>
              <w:adjustRightInd/>
              <w:jc w:val="center"/>
              <w:rPr>
                <w:color w:val="000000"/>
                <w:sz w:val="20"/>
                <w:szCs w:val="20"/>
              </w:rPr>
            </w:pPr>
            <w:r w:rsidRPr="00B13BAD">
              <w:rPr>
                <w:color w:val="000000"/>
                <w:sz w:val="20"/>
                <w:szCs w:val="20"/>
              </w:rPr>
              <w:t>4</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19E46CF" w14:textId="77777777">
            <w:pPr>
              <w:widowControl/>
              <w:autoSpaceDE/>
              <w:autoSpaceDN/>
              <w:adjustRightInd/>
              <w:jc w:val="center"/>
              <w:rPr>
                <w:color w:val="000000"/>
                <w:sz w:val="20"/>
                <w:szCs w:val="20"/>
              </w:rPr>
            </w:pPr>
            <w:r w:rsidRPr="00B13BAD">
              <w:rPr>
                <w:color w:val="000000"/>
                <w:sz w:val="20"/>
                <w:szCs w:val="20"/>
              </w:rPr>
              <w:t>16</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00F5C9F"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8612F7B" w14:textId="77777777">
            <w:pPr>
              <w:widowControl/>
              <w:autoSpaceDE/>
              <w:autoSpaceDN/>
              <w:adjustRightInd/>
              <w:jc w:val="center"/>
              <w:rPr>
                <w:color w:val="000000"/>
                <w:sz w:val="20"/>
                <w:szCs w:val="20"/>
              </w:rPr>
            </w:pPr>
            <w:r w:rsidRPr="00B13BAD">
              <w:rPr>
                <w:color w:val="000000"/>
                <w:sz w:val="20"/>
                <w:szCs w:val="20"/>
              </w:rPr>
              <w:t>256</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36754DA" w14:textId="77777777">
            <w:pPr>
              <w:widowControl/>
              <w:autoSpaceDE/>
              <w:autoSpaceDN/>
              <w:adjustRightInd/>
              <w:jc w:val="center"/>
              <w:rPr>
                <w:color w:val="000000"/>
                <w:sz w:val="20"/>
                <w:szCs w:val="20"/>
              </w:rPr>
            </w:pPr>
            <w:r w:rsidRPr="00B13BAD">
              <w:rPr>
                <w:color w:val="000000"/>
                <w:sz w:val="20"/>
                <w:szCs w:val="20"/>
              </w:rPr>
              <w:t>12.8</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E2F20DD" w14:textId="77777777">
            <w:pPr>
              <w:widowControl/>
              <w:autoSpaceDE/>
              <w:autoSpaceDN/>
              <w:adjustRightInd/>
              <w:jc w:val="center"/>
              <w:rPr>
                <w:color w:val="000000"/>
                <w:sz w:val="20"/>
                <w:szCs w:val="20"/>
              </w:rPr>
            </w:pPr>
            <w:r w:rsidRPr="00B13BAD">
              <w:rPr>
                <w:color w:val="000000"/>
                <w:sz w:val="20"/>
                <w:szCs w:val="20"/>
              </w:rPr>
              <w:t>25.6</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10C86D1" w14:textId="77777777">
            <w:pPr>
              <w:widowControl/>
              <w:autoSpaceDE/>
              <w:autoSpaceDN/>
              <w:adjustRightInd/>
              <w:jc w:val="right"/>
              <w:rPr>
                <w:color w:val="000000"/>
                <w:sz w:val="20"/>
                <w:szCs w:val="20"/>
              </w:rPr>
            </w:pPr>
            <w:r w:rsidRPr="00B13BAD">
              <w:rPr>
                <w:color w:val="000000"/>
                <w:sz w:val="20"/>
                <w:szCs w:val="20"/>
              </w:rPr>
              <w:t xml:space="preserve">$34,823.30 </w:t>
            </w:r>
          </w:p>
        </w:tc>
      </w:tr>
      <w:tr w:rsidRPr="00B13BAD" w:rsidR="00B13BAD" w:rsidTr="00B13BAD" w14:paraId="76670FAF" w14:textId="77777777">
        <w:trPr>
          <w:trHeight w:val="31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435E1141" w14:textId="77777777">
            <w:pPr>
              <w:widowControl/>
              <w:autoSpaceDE/>
              <w:autoSpaceDN/>
              <w:adjustRightInd/>
              <w:ind w:firstLine="200" w:firstLineChars="100"/>
              <w:rPr>
                <w:color w:val="000000"/>
                <w:sz w:val="20"/>
                <w:szCs w:val="20"/>
              </w:rPr>
            </w:pPr>
            <w:r w:rsidRPr="00B13BAD">
              <w:rPr>
                <w:color w:val="000000"/>
                <w:sz w:val="20"/>
                <w:szCs w:val="20"/>
              </w:rPr>
              <w:t xml:space="preserve">C. Plan Activities - Training </w:t>
            </w:r>
            <w:r w:rsidRPr="00B13BAD">
              <w:rPr>
                <w:color w:val="000000"/>
                <w:sz w:val="20"/>
                <w:szCs w:val="20"/>
                <w:vertAlign w:val="superscript"/>
              </w:rPr>
              <w:t>c</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AC8D564" w14:textId="77777777">
            <w:pPr>
              <w:widowControl/>
              <w:autoSpaceDE/>
              <w:autoSpaceDN/>
              <w:adjustRightInd/>
              <w:jc w:val="center"/>
              <w:rPr>
                <w:color w:val="000000"/>
                <w:sz w:val="20"/>
                <w:szCs w:val="20"/>
              </w:rPr>
            </w:pPr>
            <w:r w:rsidRPr="00B13BAD">
              <w:rPr>
                <w:color w:val="000000"/>
                <w:sz w:val="20"/>
                <w:szCs w:val="20"/>
              </w:rPr>
              <w:t>10</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5AF0A95"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735EB3E" w14:textId="77777777">
            <w:pPr>
              <w:widowControl/>
              <w:autoSpaceDE/>
              <w:autoSpaceDN/>
              <w:adjustRightInd/>
              <w:jc w:val="center"/>
              <w:rPr>
                <w:color w:val="000000"/>
                <w:sz w:val="20"/>
                <w:szCs w:val="20"/>
              </w:rPr>
            </w:pPr>
            <w:r w:rsidRPr="00B13BAD">
              <w:rPr>
                <w:color w:val="000000"/>
                <w:sz w:val="20"/>
                <w:szCs w:val="20"/>
              </w:rPr>
              <w:t>10</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A8E7FB1"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7C57ECB" w14:textId="77777777">
            <w:pPr>
              <w:widowControl/>
              <w:autoSpaceDE/>
              <w:autoSpaceDN/>
              <w:adjustRightInd/>
              <w:jc w:val="center"/>
              <w:rPr>
                <w:color w:val="000000"/>
                <w:sz w:val="20"/>
                <w:szCs w:val="20"/>
              </w:rPr>
            </w:pPr>
            <w:r w:rsidRPr="00B13BAD">
              <w:rPr>
                <w:color w:val="000000"/>
                <w:sz w:val="20"/>
                <w:szCs w:val="20"/>
              </w:rPr>
              <w:t>160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E9E1541" w14:textId="77777777">
            <w:pPr>
              <w:widowControl/>
              <w:autoSpaceDE/>
              <w:autoSpaceDN/>
              <w:adjustRightInd/>
              <w:jc w:val="center"/>
              <w:rPr>
                <w:color w:val="000000"/>
                <w:sz w:val="20"/>
                <w:szCs w:val="20"/>
              </w:rPr>
            </w:pPr>
            <w:r w:rsidRPr="00B13BAD">
              <w:rPr>
                <w:color w:val="000000"/>
                <w:sz w:val="20"/>
                <w:szCs w:val="20"/>
              </w:rPr>
              <w:t>8</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1A21A7C" w14:textId="77777777">
            <w:pPr>
              <w:widowControl/>
              <w:autoSpaceDE/>
              <w:autoSpaceDN/>
              <w:adjustRightInd/>
              <w:jc w:val="center"/>
              <w:rPr>
                <w:color w:val="000000"/>
                <w:sz w:val="20"/>
                <w:szCs w:val="20"/>
              </w:rPr>
            </w:pPr>
            <w:r w:rsidRPr="00B13BAD">
              <w:rPr>
                <w:color w:val="000000"/>
                <w:sz w:val="20"/>
                <w:szCs w:val="20"/>
              </w:rPr>
              <w:t>16</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DEBF8B" w14:textId="77777777">
            <w:pPr>
              <w:widowControl/>
              <w:autoSpaceDE/>
              <w:autoSpaceDN/>
              <w:adjustRightInd/>
              <w:jc w:val="right"/>
              <w:rPr>
                <w:color w:val="000000"/>
                <w:sz w:val="20"/>
                <w:szCs w:val="20"/>
              </w:rPr>
            </w:pPr>
            <w:r w:rsidRPr="00B13BAD">
              <w:rPr>
                <w:color w:val="000000"/>
                <w:sz w:val="20"/>
                <w:szCs w:val="20"/>
              </w:rPr>
              <w:t xml:space="preserve">$21,764.56 </w:t>
            </w:r>
          </w:p>
        </w:tc>
      </w:tr>
      <w:tr w:rsidRPr="00B13BAD" w:rsidR="00B13BAD" w:rsidTr="00B13BAD" w14:paraId="04BB5202" w14:textId="77777777">
        <w:trPr>
          <w:trHeight w:val="31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6AD1B039" w14:textId="77777777">
            <w:pPr>
              <w:widowControl/>
              <w:autoSpaceDE/>
              <w:autoSpaceDN/>
              <w:adjustRightInd/>
              <w:ind w:firstLine="200" w:firstLineChars="100"/>
              <w:rPr>
                <w:color w:val="000000"/>
                <w:sz w:val="20"/>
                <w:szCs w:val="20"/>
              </w:rPr>
            </w:pPr>
            <w:r w:rsidRPr="00B13BAD">
              <w:rPr>
                <w:color w:val="000000"/>
                <w:sz w:val="20"/>
                <w:szCs w:val="20"/>
              </w:rPr>
              <w:t xml:space="preserve">D. Add-on Control Performance Test </w:t>
            </w:r>
            <w:r w:rsidRPr="00B13BAD">
              <w:rPr>
                <w:color w:val="000000"/>
                <w:sz w:val="20"/>
                <w:szCs w:val="20"/>
                <w:vertAlign w:val="superscript"/>
              </w:rPr>
              <w:t>d</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9625A18" w14:textId="77777777">
            <w:pPr>
              <w:widowControl/>
              <w:autoSpaceDE/>
              <w:autoSpaceDN/>
              <w:adjustRightInd/>
              <w:jc w:val="center"/>
              <w:rPr>
                <w:color w:val="000000"/>
                <w:sz w:val="20"/>
                <w:szCs w:val="20"/>
              </w:rPr>
            </w:pPr>
            <w:r w:rsidRPr="00B13BAD">
              <w:rPr>
                <w:color w:val="000000"/>
                <w:sz w:val="20"/>
                <w:szCs w:val="20"/>
              </w:rPr>
              <w:t>8</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D27070A"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D45C692" w14:textId="77777777">
            <w:pPr>
              <w:widowControl/>
              <w:autoSpaceDE/>
              <w:autoSpaceDN/>
              <w:adjustRightInd/>
              <w:jc w:val="center"/>
              <w:rPr>
                <w:color w:val="000000"/>
                <w:sz w:val="20"/>
                <w:szCs w:val="20"/>
              </w:rPr>
            </w:pPr>
            <w:r w:rsidRPr="00B13BAD">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8DFDB3A" w14:textId="77777777">
            <w:pPr>
              <w:widowControl/>
              <w:autoSpaceDE/>
              <w:autoSpaceDN/>
              <w:adjustRightInd/>
              <w:jc w:val="center"/>
              <w:rPr>
                <w:color w:val="000000"/>
                <w:sz w:val="20"/>
                <w:szCs w:val="20"/>
              </w:rPr>
            </w:pPr>
            <w:r w:rsidRPr="00B13BAD">
              <w:rPr>
                <w:color w:val="000000"/>
                <w:sz w:val="20"/>
                <w:szCs w:val="20"/>
              </w:rPr>
              <w:t>0</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EEA3A94" w14:textId="77777777">
            <w:pPr>
              <w:widowControl/>
              <w:autoSpaceDE/>
              <w:autoSpaceDN/>
              <w:adjustRightInd/>
              <w:jc w:val="center"/>
              <w:rPr>
                <w:color w:val="000000"/>
                <w:sz w:val="20"/>
                <w:szCs w:val="20"/>
              </w:rPr>
            </w:pPr>
            <w:r w:rsidRPr="00B13BAD">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AD61902" w14:textId="77777777">
            <w:pPr>
              <w:widowControl/>
              <w:autoSpaceDE/>
              <w:autoSpaceDN/>
              <w:adjustRightInd/>
              <w:jc w:val="center"/>
              <w:rPr>
                <w:color w:val="000000"/>
                <w:sz w:val="20"/>
                <w:szCs w:val="20"/>
              </w:rPr>
            </w:pPr>
            <w:r w:rsidRPr="00B13BAD">
              <w:rPr>
                <w:color w:val="000000"/>
                <w:sz w:val="20"/>
                <w:szCs w:val="20"/>
              </w:rPr>
              <w:t>0</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8A2204" w14:textId="77777777">
            <w:pPr>
              <w:widowControl/>
              <w:autoSpaceDE/>
              <w:autoSpaceDN/>
              <w:adjustRightInd/>
              <w:jc w:val="center"/>
              <w:rPr>
                <w:color w:val="000000"/>
                <w:sz w:val="20"/>
                <w:szCs w:val="20"/>
              </w:rPr>
            </w:pPr>
            <w:r w:rsidRPr="00B13BAD">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847C773" w14:textId="77777777">
            <w:pPr>
              <w:widowControl/>
              <w:autoSpaceDE/>
              <w:autoSpaceDN/>
              <w:adjustRightInd/>
              <w:jc w:val="right"/>
              <w:rPr>
                <w:color w:val="000000"/>
                <w:sz w:val="20"/>
                <w:szCs w:val="20"/>
              </w:rPr>
            </w:pPr>
            <w:r w:rsidRPr="00B13BAD">
              <w:rPr>
                <w:color w:val="000000"/>
                <w:sz w:val="20"/>
                <w:szCs w:val="20"/>
              </w:rPr>
              <w:t xml:space="preserve">$0 </w:t>
            </w:r>
          </w:p>
        </w:tc>
      </w:tr>
      <w:tr w:rsidRPr="00B13BAD" w:rsidR="00B13BAD" w:rsidTr="00B13BAD" w14:paraId="586A7725"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2145D84B" w14:textId="77777777">
            <w:pPr>
              <w:widowControl/>
              <w:autoSpaceDE/>
              <w:autoSpaceDN/>
              <w:adjustRightInd/>
              <w:ind w:firstLine="200" w:firstLineChars="100"/>
              <w:rPr>
                <w:color w:val="000000"/>
                <w:sz w:val="20"/>
                <w:szCs w:val="20"/>
              </w:rPr>
            </w:pPr>
            <w:r w:rsidRPr="00B13BAD">
              <w:rPr>
                <w:color w:val="000000"/>
                <w:sz w:val="20"/>
                <w:szCs w:val="20"/>
              </w:rPr>
              <w:t>E. Write reports</w:t>
            </w:r>
          </w:p>
        </w:tc>
        <w:tc>
          <w:tcPr>
            <w:tcW w:w="10341" w:type="dxa"/>
            <w:gridSpan w:val="8"/>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0F876641"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51BF0CDC"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0769B4BD" w14:textId="77777777">
            <w:pPr>
              <w:widowControl/>
              <w:autoSpaceDE/>
              <w:autoSpaceDN/>
              <w:adjustRightInd/>
              <w:ind w:firstLine="400" w:firstLineChars="200"/>
              <w:rPr>
                <w:color w:val="000000"/>
                <w:sz w:val="20"/>
                <w:szCs w:val="20"/>
              </w:rPr>
            </w:pPr>
            <w:proofErr w:type="spellStart"/>
            <w:r w:rsidRPr="00B13BAD">
              <w:rPr>
                <w:color w:val="000000"/>
                <w:sz w:val="20"/>
                <w:szCs w:val="20"/>
              </w:rPr>
              <w:t>i</w:t>
            </w:r>
            <w:proofErr w:type="spellEnd"/>
            <w:r w:rsidRPr="00B13BAD">
              <w:rPr>
                <w:color w:val="000000"/>
                <w:sz w:val="20"/>
                <w:szCs w:val="20"/>
              </w:rPr>
              <w:t>. Initial notification</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D477885"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9E7798F"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02F2484" w14:textId="77777777">
            <w:pPr>
              <w:widowControl/>
              <w:autoSpaceDE/>
              <w:autoSpaceDN/>
              <w:adjustRightInd/>
              <w:jc w:val="center"/>
              <w:rPr>
                <w:color w:val="000000"/>
                <w:sz w:val="20"/>
                <w:szCs w:val="20"/>
              </w:rPr>
            </w:pPr>
            <w:r w:rsidRPr="00B13BAD">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B988CF5" w14:textId="77777777">
            <w:pPr>
              <w:widowControl/>
              <w:autoSpaceDE/>
              <w:autoSpaceDN/>
              <w:adjustRightInd/>
              <w:jc w:val="center"/>
              <w:rPr>
                <w:color w:val="000000"/>
                <w:sz w:val="20"/>
                <w:szCs w:val="20"/>
              </w:rPr>
            </w:pPr>
            <w:r w:rsidRPr="00B13BAD">
              <w:rPr>
                <w:color w:val="000000"/>
                <w:sz w:val="20"/>
                <w:szCs w:val="20"/>
              </w:rPr>
              <w:t>0</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66464E8" w14:textId="77777777">
            <w:pPr>
              <w:widowControl/>
              <w:autoSpaceDE/>
              <w:autoSpaceDN/>
              <w:adjustRightInd/>
              <w:jc w:val="center"/>
              <w:rPr>
                <w:color w:val="000000"/>
                <w:sz w:val="20"/>
                <w:szCs w:val="20"/>
              </w:rPr>
            </w:pPr>
            <w:r w:rsidRPr="00B13BAD">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47FC83D" w14:textId="77777777">
            <w:pPr>
              <w:widowControl/>
              <w:autoSpaceDE/>
              <w:autoSpaceDN/>
              <w:adjustRightInd/>
              <w:jc w:val="center"/>
              <w:rPr>
                <w:color w:val="000000"/>
                <w:sz w:val="20"/>
                <w:szCs w:val="20"/>
              </w:rPr>
            </w:pPr>
            <w:r w:rsidRPr="00B13BAD">
              <w:rPr>
                <w:color w:val="000000"/>
                <w:sz w:val="20"/>
                <w:szCs w:val="20"/>
              </w:rPr>
              <w:t>0</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531893A" w14:textId="77777777">
            <w:pPr>
              <w:widowControl/>
              <w:autoSpaceDE/>
              <w:autoSpaceDN/>
              <w:adjustRightInd/>
              <w:jc w:val="center"/>
              <w:rPr>
                <w:color w:val="000000"/>
                <w:sz w:val="20"/>
                <w:szCs w:val="20"/>
              </w:rPr>
            </w:pPr>
            <w:r w:rsidRPr="00B13BAD">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86A5155" w14:textId="77777777">
            <w:pPr>
              <w:widowControl/>
              <w:autoSpaceDE/>
              <w:autoSpaceDN/>
              <w:adjustRightInd/>
              <w:jc w:val="right"/>
              <w:rPr>
                <w:color w:val="000000"/>
                <w:sz w:val="20"/>
                <w:szCs w:val="20"/>
              </w:rPr>
            </w:pPr>
            <w:r w:rsidRPr="00B13BAD">
              <w:rPr>
                <w:color w:val="000000"/>
                <w:sz w:val="20"/>
                <w:szCs w:val="20"/>
              </w:rPr>
              <w:t xml:space="preserve">$0 </w:t>
            </w:r>
          </w:p>
        </w:tc>
      </w:tr>
      <w:tr w:rsidRPr="00B13BAD" w:rsidR="00B13BAD" w:rsidTr="00B13BAD" w14:paraId="41F9526C"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295D2BBD" w14:textId="77777777">
            <w:pPr>
              <w:widowControl/>
              <w:autoSpaceDE/>
              <w:autoSpaceDN/>
              <w:adjustRightInd/>
              <w:ind w:firstLine="400" w:firstLineChars="200"/>
              <w:rPr>
                <w:color w:val="000000"/>
                <w:sz w:val="20"/>
                <w:szCs w:val="20"/>
              </w:rPr>
            </w:pPr>
            <w:r w:rsidRPr="00B13BAD">
              <w:rPr>
                <w:color w:val="000000"/>
                <w:sz w:val="20"/>
                <w:szCs w:val="20"/>
              </w:rPr>
              <w:t>ii. Notification of initial compliance</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663C700"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CD646EE"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36C0315" w14:textId="77777777">
            <w:pPr>
              <w:widowControl/>
              <w:autoSpaceDE/>
              <w:autoSpaceDN/>
              <w:adjustRightInd/>
              <w:jc w:val="center"/>
              <w:rPr>
                <w:color w:val="000000"/>
                <w:sz w:val="20"/>
                <w:szCs w:val="20"/>
              </w:rPr>
            </w:pPr>
            <w:r w:rsidRPr="00B13BAD">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1BF28C1" w14:textId="77777777">
            <w:pPr>
              <w:widowControl/>
              <w:autoSpaceDE/>
              <w:autoSpaceDN/>
              <w:adjustRightInd/>
              <w:jc w:val="center"/>
              <w:rPr>
                <w:color w:val="000000"/>
                <w:sz w:val="20"/>
                <w:szCs w:val="20"/>
              </w:rPr>
            </w:pPr>
            <w:r w:rsidRPr="00B13BAD">
              <w:rPr>
                <w:color w:val="000000"/>
                <w:sz w:val="20"/>
                <w:szCs w:val="20"/>
              </w:rPr>
              <w:t>0</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D8B2BC8" w14:textId="77777777">
            <w:pPr>
              <w:widowControl/>
              <w:autoSpaceDE/>
              <w:autoSpaceDN/>
              <w:adjustRightInd/>
              <w:jc w:val="center"/>
              <w:rPr>
                <w:color w:val="000000"/>
                <w:sz w:val="20"/>
                <w:szCs w:val="20"/>
              </w:rPr>
            </w:pPr>
            <w:r w:rsidRPr="00B13BAD">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F1B964A" w14:textId="77777777">
            <w:pPr>
              <w:widowControl/>
              <w:autoSpaceDE/>
              <w:autoSpaceDN/>
              <w:adjustRightInd/>
              <w:jc w:val="center"/>
              <w:rPr>
                <w:color w:val="000000"/>
                <w:sz w:val="20"/>
                <w:szCs w:val="20"/>
              </w:rPr>
            </w:pPr>
            <w:r w:rsidRPr="00B13BAD">
              <w:rPr>
                <w:color w:val="000000"/>
                <w:sz w:val="20"/>
                <w:szCs w:val="20"/>
              </w:rPr>
              <w:t>0</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0614776" w14:textId="77777777">
            <w:pPr>
              <w:widowControl/>
              <w:autoSpaceDE/>
              <w:autoSpaceDN/>
              <w:adjustRightInd/>
              <w:jc w:val="center"/>
              <w:rPr>
                <w:color w:val="000000"/>
                <w:sz w:val="20"/>
                <w:szCs w:val="20"/>
              </w:rPr>
            </w:pPr>
            <w:r w:rsidRPr="00B13BAD">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EFF44A6" w14:textId="77777777">
            <w:pPr>
              <w:widowControl/>
              <w:autoSpaceDE/>
              <w:autoSpaceDN/>
              <w:adjustRightInd/>
              <w:jc w:val="right"/>
              <w:rPr>
                <w:color w:val="000000"/>
                <w:sz w:val="20"/>
                <w:szCs w:val="20"/>
              </w:rPr>
            </w:pPr>
            <w:r w:rsidRPr="00B13BAD">
              <w:rPr>
                <w:color w:val="000000"/>
                <w:sz w:val="20"/>
                <w:szCs w:val="20"/>
              </w:rPr>
              <w:t xml:space="preserve">$0 </w:t>
            </w:r>
          </w:p>
        </w:tc>
      </w:tr>
      <w:tr w:rsidRPr="00B13BAD" w:rsidR="00B13BAD" w:rsidTr="00B13BAD" w14:paraId="603FF2BD" w14:textId="77777777">
        <w:trPr>
          <w:trHeight w:val="49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14DBC2F7" w14:textId="77777777">
            <w:pPr>
              <w:widowControl/>
              <w:autoSpaceDE/>
              <w:autoSpaceDN/>
              <w:adjustRightInd/>
              <w:ind w:firstLine="400" w:firstLineChars="200"/>
              <w:rPr>
                <w:color w:val="000000"/>
                <w:sz w:val="20"/>
                <w:szCs w:val="20"/>
              </w:rPr>
            </w:pPr>
            <w:r w:rsidRPr="00B13BAD">
              <w:rPr>
                <w:color w:val="000000"/>
                <w:sz w:val="20"/>
                <w:szCs w:val="20"/>
              </w:rPr>
              <w:t>iii. Notification of construction/reconstruction</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DD34D61"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E4C5F4D"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2F0D761" w14:textId="77777777">
            <w:pPr>
              <w:widowControl/>
              <w:autoSpaceDE/>
              <w:autoSpaceDN/>
              <w:adjustRightInd/>
              <w:jc w:val="center"/>
              <w:rPr>
                <w:color w:val="000000"/>
                <w:sz w:val="20"/>
                <w:szCs w:val="20"/>
              </w:rPr>
            </w:pPr>
            <w:r w:rsidRPr="00B13BAD">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C8365E0" w14:textId="77777777">
            <w:pPr>
              <w:widowControl/>
              <w:autoSpaceDE/>
              <w:autoSpaceDN/>
              <w:adjustRightInd/>
              <w:jc w:val="center"/>
              <w:rPr>
                <w:color w:val="000000"/>
                <w:sz w:val="20"/>
                <w:szCs w:val="20"/>
              </w:rPr>
            </w:pPr>
            <w:r w:rsidRPr="00B13BAD">
              <w:rPr>
                <w:color w:val="000000"/>
                <w:sz w:val="20"/>
                <w:szCs w:val="20"/>
              </w:rPr>
              <w:t>0</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7E820B6" w14:textId="77777777">
            <w:pPr>
              <w:widowControl/>
              <w:autoSpaceDE/>
              <w:autoSpaceDN/>
              <w:adjustRightInd/>
              <w:jc w:val="center"/>
              <w:rPr>
                <w:color w:val="000000"/>
                <w:sz w:val="20"/>
                <w:szCs w:val="20"/>
              </w:rPr>
            </w:pPr>
            <w:r w:rsidRPr="00B13BAD">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F3BB3E5" w14:textId="77777777">
            <w:pPr>
              <w:widowControl/>
              <w:autoSpaceDE/>
              <w:autoSpaceDN/>
              <w:adjustRightInd/>
              <w:jc w:val="center"/>
              <w:rPr>
                <w:color w:val="000000"/>
                <w:sz w:val="20"/>
                <w:szCs w:val="20"/>
              </w:rPr>
            </w:pPr>
            <w:r w:rsidRPr="00B13BAD">
              <w:rPr>
                <w:color w:val="000000"/>
                <w:sz w:val="20"/>
                <w:szCs w:val="20"/>
              </w:rPr>
              <w:t>0</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071207F" w14:textId="77777777">
            <w:pPr>
              <w:widowControl/>
              <w:autoSpaceDE/>
              <w:autoSpaceDN/>
              <w:adjustRightInd/>
              <w:jc w:val="center"/>
              <w:rPr>
                <w:color w:val="000000"/>
                <w:sz w:val="20"/>
                <w:szCs w:val="20"/>
              </w:rPr>
            </w:pPr>
            <w:r w:rsidRPr="00B13BAD">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EF88CD7" w14:textId="77777777">
            <w:pPr>
              <w:widowControl/>
              <w:autoSpaceDE/>
              <w:autoSpaceDN/>
              <w:adjustRightInd/>
              <w:jc w:val="right"/>
              <w:rPr>
                <w:color w:val="000000"/>
                <w:sz w:val="20"/>
                <w:szCs w:val="20"/>
              </w:rPr>
            </w:pPr>
            <w:r w:rsidRPr="00B13BAD">
              <w:rPr>
                <w:color w:val="000000"/>
                <w:sz w:val="20"/>
                <w:szCs w:val="20"/>
              </w:rPr>
              <w:t xml:space="preserve">$0 </w:t>
            </w:r>
          </w:p>
        </w:tc>
      </w:tr>
      <w:tr w:rsidRPr="00B13BAD" w:rsidR="00B13BAD" w:rsidTr="00B13BAD" w14:paraId="6745F3C3" w14:textId="77777777">
        <w:trPr>
          <w:trHeight w:val="330"/>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10502650" w14:textId="77777777">
            <w:pPr>
              <w:widowControl/>
              <w:autoSpaceDE/>
              <w:autoSpaceDN/>
              <w:adjustRightInd/>
              <w:ind w:firstLine="400" w:firstLineChars="200"/>
              <w:rPr>
                <w:color w:val="000000"/>
                <w:sz w:val="20"/>
                <w:szCs w:val="20"/>
              </w:rPr>
            </w:pPr>
            <w:r w:rsidRPr="00B13BAD">
              <w:rPr>
                <w:color w:val="000000"/>
                <w:sz w:val="20"/>
                <w:szCs w:val="20"/>
              </w:rPr>
              <w:t>iv. Notification of actual startup</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DDA82E2"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2DBFE4D"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CB7C6E1" w14:textId="77777777">
            <w:pPr>
              <w:widowControl/>
              <w:autoSpaceDE/>
              <w:autoSpaceDN/>
              <w:adjustRightInd/>
              <w:jc w:val="center"/>
              <w:rPr>
                <w:color w:val="000000"/>
                <w:sz w:val="20"/>
                <w:szCs w:val="20"/>
              </w:rPr>
            </w:pPr>
            <w:r w:rsidRPr="00B13BAD">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155B022" w14:textId="77777777">
            <w:pPr>
              <w:widowControl/>
              <w:autoSpaceDE/>
              <w:autoSpaceDN/>
              <w:adjustRightInd/>
              <w:jc w:val="center"/>
              <w:rPr>
                <w:color w:val="000000"/>
                <w:sz w:val="20"/>
                <w:szCs w:val="20"/>
              </w:rPr>
            </w:pPr>
            <w:r w:rsidRPr="00B13BAD">
              <w:rPr>
                <w:color w:val="000000"/>
                <w:sz w:val="20"/>
                <w:szCs w:val="20"/>
              </w:rPr>
              <w:t>0</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F52CEB6" w14:textId="77777777">
            <w:pPr>
              <w:widowControl/>
              <w:autoSpaceDE/>
              <w:autoSpaceDN/>
              <w:adjustRightInd/>
              <w:jc w:val="center"/>
              <w:rPr>
                <w:color w:val="000000"/>
                <w:sz w:val="20"/>
                <w:szCs w:val="20"/>
              </w:rPr>
            </w:pPr>
            <w:r w:rsidRPr="00B13BAD">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6D0E518" w14:textId="77777777">
            <w:pPr>
              <w:widowControl/>
              <w:autoSpaceDE/>
              <w:autoSpaceDN/>
              <w:adjustRightInd/>
              <w:jc w:val="center"/>
              <w:rPr>
                <w:color w:val="000000"/>
                <w:sz w:val="20"/>
                <w:szCs w:val="20"/>
              </w:rPr>
            </w:pPr>
            <w:r w:rsidRPr="00B13BAD">
              <w:rPr>
                <w:color w:val="000000"/>
                <w:sz w:val="20"/>
                <w:szCs w:val="20"/>
              </w:rPr>
              <w:t>0</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6F1C6C5" w14:textId="77777777">
            <w:pPr>
              <w:widowControl/>
              <w:autoSpaceDE/>
              <w:autoSpaceDN/>
              <w:adjustRightInd/>
              <w:jc w:val="center"/>
              <w:rPr>
                <w:color w:val="000000"/>
                <w:sz w:val="20"/>
                <w:szCs w:val="20"/>
              </w:rPr>
            </w:pPr>
            <w:r w:rsidRPr="00B13BAD">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46379D7" w14:textId="77777777">
            <w:pPr>
              <w:widowControl/>
              <w:autoSpaceDE/>
              <w:autoSpaceDN/>
              <w:adjustRightInd/>
              <w:jc w:val="right"/>
              <w:rPr>
                <w:color w:val="000000"/>
                <w:sz w:val="20"/>
                <w:szCs w:val="20"/>
              </w:rPr>
            </w:pPr>
            <w:r w:rsidRPr="00B13BAD">
              <w:rPr>
                <w:color w:val="000000"/>
                <w:sz w:val="20"/>
                <w:szCs w:val="20"/>
              </w:rPr>
              <w:t xml:space="preserve">$0 </w:t>
            </w:r>
          </w:p>
        </w:tc>
      </w:tr>
      <w:tr w:rsidRPr="00B13BAD" w:rsidR="00B13BAD" w:rsidTr="00B13BAD" w14:paraId="18F81A0C" w14:textId="77777777">
        <w:trPr>
          <w:trHeight w:val="330"/>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01A564B3" w14:textId="77777777">
            <w:pPr>
              <w:widowControl/>
              <w:autoSpaceDE/>
              <w:autoSpaceDN/>
              <w:adjustRightInd/>
              <w:ind w:firstLine="400" w:firstLineChars="200"/>
              <w:rPr>
                <w:color w:val="000000"/>
                <w:sz w:val="20"/>
                <w:szCs w:val="20"/>
              </w:rPr>
            </w:pPr>
            <w:r w:rsidRPr="00B13BAD">
              <w:rPr>
                <w:color w:val="000000"/>
                <w:sz w:val="20"/>
                <w:szCs w:val="20"/>
              </w:rPr>
              <w:t xml:space="preserve">v. Notification of performance test </w:t>
            </w:r>
            <w:r w:rsidRPr="00B13BAD">
              <w:rPr>
                <w:color w:val="000000"/>
                <w:sz w:val="20"/>
                <w:szCs w:val="20"/>
                <w:vertAlign w:val="superscript"/>
              </w:rPr>
              <w:t>d</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114C6DF"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51E3A6B"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3B40546" w14:textId="77777777">
            <w:pPr>
              <w:widowControl/>
              <w:autoSpaceDE/>
              <w:autoSpaceDN/>
              <w:adjustRightInd/>
              <w:jc w:val="center"/>
              <w:rPr>
                <w:color w:val="000000"/>
                <w:sz w:val="20"/>
                <w:szCs w:val="20"/>
              </w:rPr>
            </w:pPr>
            <w:r w:rsidRPr="00B13BAD">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C3AFF36" w14:textId="77777777">
            <w:pPr>
              <w:widowControl/>
              <w:autoSpaceDE/>
              <w:autoSpaceDN/>
              <w:adjustRightInd/>
              <w:jc w:val="center"/>
              <w:rPr>
                <w:color w:val="000000"/>
                <w:sz w:val="20"/>
                <w:szCs w:val="20"/>
              </w:rPr>
            </w:pPr>
            <w:r w:rsidRPr="00B13BAD">
              <w:rPr>
                <w:color w:val="000000"/>
                <w:sz w:val="20"/>
                <w:szCs w:val="20"/>
              </w:rPr>
              <w:t>0</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E5D779B" w14:textId="77777777">
            <w:pPr>
              <w:widowControl/>
              <w:autoSpaceDE/>
              <w:autoSpaceDN/>
              <w:adjustRightInd/>
              <w:jc w:val="center"/>
              <w:rPr>
                <w:color w:val="000000"/>
                <w:sz w:val="20"/>
                <w:szCs w:val="20"/>
              </w:rPr>
            </w:pPr>
            <w:r w:rsidRPr="00B13BAD">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2C26FF8" w14:textId="77777777">
            <w:pPr>
              <w:widowControl/>
              <w:autoSpaceDE/>
              <w:autoSpaceDN/>
              <w:adjustRightInd/>
              <w:jc w:val="center"/>
              <w:rPr>
                <w:color w:val="000000"/>
                <w:sz w:val="20"/>
                <w:szCs w:val="20"/>
              </w:rPr>
            </w:pPr>
            <w:r w:rsidRPr="00B13BAD">
              <w:rPr>
                <w:color w:val="000000"/>
                <w:sz w:val="20"/>
                <w:szCs w:val="20"/>
              </w:rPr>
              <w:t>0</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84E3DE8" w14:textId="77777777">
            <w:pPr>
              <w:widowControl/>
              <w:autoSpaceDE/>
              <w:autoSpaceDN/>
              <w:adjustRightInd/>
              <w:jc w:val="center"/>
              <w:rPr>
                <w:color w:val="000000"/>
                <w:sz w:val="20"/>
                <w:szCs w:val="20"/>
              </w:rPr>
            </w:pPr>
            <w:r w:rsidRPr="00B13BAD">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CA9CBB0" w14:textId="77777777">
            <w:pPr>
              <w:widowControl/>
              <w:autoSpaceDE/>
              <w:autoSpaceDN/>
              <w:adjustRightInd/>
              <w:jc w:val="right"/>
              <w:rPr>
                <w:color w:val="000000"/>
                <w:sz w:val="20"/>
                <w:szCs w:val="20"/>
              </w:rPr>
            </w:pPr>
            <w:r w:rsidRPr="00B13BAD">
              <w:rPr>
                <w:color w:val="000000"/>
                <w:sz w:val="20"/>
                <w:szCs w:val="20"/>
              </w:rPr>
              <w:t xml:space="preserve">$0 </w:t>
            </w:r>
          </w:p>
        </w:tc>
      </w:tr>
      <w:tr w:rsidRPr="00B13BAD" w:rsidR="00B13BAD" w:rsidTr="00B13BAD" w14:paraId="22F63C4B" w14:textId="77777777">
        <w:trPr>
          <w:trHeight w:val="31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010C02A0" w14:textId="77777777">
            <w:pPr>
              <w:widowControl/>
              <w:autoSpaceDE/>
              <w:autoSpaceDN/>
              <w:adjustRightInd/>
              <w:ind w:firstLine="400" w:firstLineChars="200"/>
              <w:rPr>
                <w:color w:val="000000"/>
                <w:sz w:val="20"/>
                <w:szCs w:val="20"/>
              </w:rPr>
            </w:pPr>
            <w:r w:rsidRPr="00B13BAD">
              <w:rPr>
                <w:color w:val="000000"/>
                <w:sz w:val="20"/>
                <w:szCs w:val="20"/>
              </w:rPr>
              <w:t xml:space="preserve">vi. Report of performance test </w:t>
            </w:r>
            <w:r w:rsidRPr="00B13BAD">
              <w:rPr>
                <w:color w:val="000000"/>
                <w:sz w:val="20"/>
                <w:szCs w:val="20"/>
                <w:vertAlign w:val="superscript"/>
              </w:rPr>
              <w:t>d</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4CD5372" w14:textId="77777777">
            <w:pPr>
              <w:widowControl/>
              <w:autoSpaceDE/>
              <w:autoSpaceDN/>
              <w:adjustRightInd/>
              <w:jc w:val="center"/>
              <w:rPr>
                <w:color w:val="000000"/>
                <w:sz w:val="20"/>
                <w:szCs w:val="20"/>
              </w:rPr>
            </w:pPr>
            <w:r w:rsidRPr="00B13BAD">
              <w:rPr>
                <w:color w:val="000000"/>
                <w:sz w:val="20"/>
                <w:szCs w:val="20"/>
              </w:rPr>
              <w:t>16</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4071369"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E805DA9" w14:textId="77777777">
            <w:pPr>
              <w:widowControl/>
              <w:autoSpaceDE/>
              <w:autoSpaceDN/>
              <w:adjustRightInd/>
              <w:jc w:val="center"/>
              <w:rPr>
                <w:color w:val="000000"/>
                <w:sz w:val="20"/>
                <w:szCs w:val="20"/>
              </w:rPr>
            </w:pPr>
            <w:r w:rsidRPr="00B13BAD">
              <w:rPr>
                <w:color w:val="000000"/>
                <w:sz w:val="20"/>
                <w:szCs w:val="20"/>
              </w:rPr>
              <w:t>16</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D961747" w14:textId="77777777">
            <w:pPr>
              <w:widowControl/>
              <w:autoSpaceDE/>
              <w:autoSpaceDN/>
              <w:adjustRightInd/>
              <w:jc w:val="center"/>
              <w:rPr>
                <w:color w:val="000000"/>
                <w:sz w:val="20"/>
                <w:szCs w:val="20"/>
              </w:rPr>
            </w:pPr>
            <w:r w:rsidRPr="00B13BAD">
              <w:rPr>
                <w:color w:val="000000"/>
                <w:sz w:val="20"/>
                <w:szCs w:val="20"/>
              </w:rPr>
              <w:t>0</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207D470" w14:textId="77777777">
            <w:pPr>
              <w:widowControl/>
              <w:autoSpaceDE/>
              <w:autoSpaceDN/>
              <w:adjustRightInd/>
              <w:jc w:val="center"/>
              <w:rPr>
                <w:color w:val="000000"/>
                <w:sz w:val="20"/>
                <w:szCs w:val="20"/>
              </w:rPr>
            </w:pPr>
            <w:r w:rsidRPr="00B13BAD">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16D97C4" w14:textId="77777777">
            <w:pPr>
              <w:widowControl/>
              <w:autoSpaceDE/>
              <w:autoSpaceDN/>
              <w:adjustRightInd/>
              <w:jc w:val="center"/>
              <w:rPr>
                <w:color w:val="000000"/>
                <w:sz w:val="20"/>
                <w:szCs w:val="20"/>
              </w:rPr>
            </w:pPr>
            <w:r w:rsidRPr="00B13BAD">
              <w:rPr>
                <w:color w:val="000000"/>
                <w:sz w:val="20"/>
                <w:szCs w:val="20"/>
              </w:rPr>
              <w:t>0</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4641430" w14:textId="77777777">
            <w:pPr>
              <w:widowControl/>
              <w:autoSpaceDE/>
              <w:autoSpaceDN/>
              <w:adjustRightInd/>
              <w:jc w:val="center"/>
              <w:rPr>
                <w:color w:val="000000"/>
                <w:sz w:val="20"/>
                <w:szCs w:val="20"/>
              </w:rPr>
            </w:pPr>
            <w:r w:rsidRPr="00B13BAD">
              <w:rPr>
                <w:color w:val="000000"/>
                <w:sz w:val="20"/>
                <w:szCs w:val="20"/>
              </w:rPr>
              <w:t>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E677B69" w14:textId="77777777">
            <w:pPr>
              <w:widowControl/>
              <w:autoSpaceDE/>
              <w:autoSpaceDN/>
              <w:adjustRightInd/>
              <w:jc w:val="right"/>
              <w:rPr>
                <w:color w:val="000000"/>
                <w:sz w:val="20"/>
                <w:szCs w:val="20"/>
              </w:rPr>
            </w:pPr>
            <w:r w:rsidRPr="00B13BAD">
              <w:rPr>
                <w:color w:val="000000"/>
                <w:sz w:val="20"/>
                <w:szCs w:val="20"/>
              </w:rPr>
              <w:t xml:space="preserve">$0 </w:t>
            </w:r>
          </w:p>
        </w:tc>
      </w:tr>
      <w:tr w:rsidRPr="00B13BAD" w:rsidR="00B13BAD" w:rsidTr="00B13BAD" w14:paraId="5ABE2438" w14:textId="77777777">
        <w:trPr>
          <w:trHeight w:val="31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5B73D838" w14:textId="77777777">
            <w:pPr>
              <w:widowControl/>
              <w:autoSpaceDE/>
              <w:autoSpaceDN/>
              <w:adjustRightInd/>
              <w:ind w:firstLine="400" w:firstLineChars="200"/>
              <w:rPr>
                <w:color w:val="000000"/>
                <w:sz w:val="20"/>
                <w:szCs w:val="20"/>
              </w:rPr>
            </w:pPr>
            <w:r w:rsidRPr="00B13BAD">
              <w:rPr>
                <w:color w:val="000000"/>
                <w:sz w:val="20"/>
                <w:szCs w:val="20"/>
              </w:rPr>
              <w:t>vii. Excess emissions report</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63AC76C" w14:textId="77777777">
            <w:pPr>
              <w:widowControl/>
              <w:autoSpaceDE/>
              <w:autoSpaceDN/>
              <w:adjustRightInd/>
              <w:jc w:val="center"/>
              <w:rPr>
                <w:color w:val="000000"/>
                <w:sz w:val="20"/>
                <w:szCs w:val="20"/>
              </w:rPr>
            </w:pPr>
            <w:r w:rsidRPr="00B13BAD">
              <w:rPr>
                <w:color w:val="000000"/>
                <w:sz w:val="20"/>
                <w:szCs w:val="20"/>
              </w:rPr>
              <w:t>4</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8011D01" w14:textId="77777777">
            <w:pPr>
              <w:widowControl/>
              <w:autoSpaceDE/>
              <w:autoSpaceDN/>
              <w:adjustRightInd/>
              <w:jc w:val="center"/>
              <w:rPr>
                <w:color w:val="000000"/>
                <w:sz w:val="20"/>
                <w:szCs w:val="20"/>
              </w:rPr>
            </w:pPr>
            <w:r w:rsidRPr="00B13BAD">
              <w:rPr>
                <w:color w:val="000000"/>
                <w:sz w:val="20"/>
                <w:szCs w:val="20"/>
              </w:rPr>
              <w:t>0.5</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DC26DA0" w14:textId="77777777">
            <w:pPr>
              <w:widowControl/>
              <w:autoSpaceDE/>
              <w:autoSpaceDN/>
              <w:adjustRightInd/>
              <w:jc w:val="center"/>
              <w:rPr>
                <w:color w:val="000000"/>
                <w:sz w:val="20"/>
                <w:szCs w:val="20"/>
              </w:rPr>
            </w:pPr>
            <w:r w:rsidRPr="00B13BAD">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6F49128"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F717317" w14:textId="77777777">
            <w:pPr>
              <w:widowControl/>
              <w:autoSpaceDE/>
              <w:autoSpaceDN/>
              <w:adjustRightInd/>
              <w:jc w:val="center"/>
              <w:rPr>
                <w:color w:val="000000"/>
                <w:sz w:val="20"/>
                <w:szCs w:val="20"/>
              </w:rPr>
            </w:pPr>
            <w:r w:rsidRPr="00B13BAD">
              <w:rPr>
                <w:color w:val="000000"/>
                <w:sz w:val="20"/>
                <w:szCs w:val="20"/>
              </w:rPr>
              <w:t>32</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E58FEBE" w14:textId="77777777">
            <w:pPr>
              <w:widowControl/>
              <w:autoSpaceDE/>
              <w:autoSpaceDN/>
              <w:adjustRightInd/>
              <w:jc w:val="center"/>
              <w:rPr>
                <w:color w:val="000000"/>
                <w:sz w:val="20"/>
                <w:szCs w:val="20"/>
              </w:rPr>
            </w:pPr>
            <w:r w:rsidRPr="00B13BAD">
              <w:rPr>
                <w:color w:val="000000"/>
                <w:sz w:val="20"/>
                <w:szCs w:val="20"/>
              </w:rPr>
              <w:t>1.6</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7317A25" w14:textId="77777777">
            <w:pPr>
              <w:widowControl/>
              <w:autoSpaceDE/>
              <w:autoSpaceDN/>
              <w:adjustRightInd/>
              <w:jc w:val="center"/>
              <w:rPr>
                <w:color w:val="000000"/>
                <w:sz w:val="20"/>
                <w:szCs w:val="20"/>
              </w:rPr>
            </w:pPr>
            <w:r w:rsidRPr="00B13BAD">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0279CFC" w14:textId="77777777">
            <w:pPr>
              <w:widowControl/>
              <w:autoSpaceDE/>
              <w:autoSpaceDN/>
              <w:adjustRightInd/>
              <w:jc w:val="right"/>
              <w:rPr>
                <w:color w:val="000000"/>
                <w:sz w:val="20"/>
                <w:szCs w:val="20"/>
              </w:rPr>
            </w:pPr>
            <w:r w:rsidRPr="00B13BAD">
              <w:rPr>
                <w:color w:val="000000"/>
                <w:sz w:val="20"/>
                <w:szCs w:val="20"/>
              </w:rPr>
              <w:t xml:space="preserve">$4,353 </w:t>
            </w:r>
          </w:p>
        </w:tc>
      </w:tr>
      <w:tr w:rsidRPr="00B13BAD" w:rsidR="00B13BAD" w:rsidTr="00B13BAD" w14:paraId="0B8630AE" w14:textId="77777777">
        <w:trPr>
          <w:trHeight w:val="330"/>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4B806CC8" w14:textId="77777777">
            <w:pPr>
              <w:widowControl/>
              <w:autoSpaceDE/>
              <w:autoSpaceDN/>
              <w:adjustRightInd/>
              <w:ind w:firstLine="400" w:firstLineChars="200"/>
              <w:rPr>
                <w:color w:val="000000"/>
                <w:sz w:val="20"/>
                <w:szCs w:val="20"/>
              </w:rPr>
            </w:pPr>
            <w:r w:rsidRPr="00B13BAD">
              <w:rPr>
                <w:color w:val="000000"/>
                <w:sz w:val="20"/>
                <w:szCs w:val="20"/>
              </w:rPr>
              <w:t xml:space="preserve">viii. Semiannual report </w:t>
            </w:r>
            <w:r w:rsidRPr="00B13BAD">
              <w:rPr>
                <w:color w:val="000000"/>
                <w:sz w:val="20"/>
                <w:szCs w:val="20"/>
                <w:vertAlign w:val="superscript"/>
              </w:rPr>
              <w:t>e</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8DA18D7" w14:textId="77777777">
            <w:pPr>
              <w:widowControl/>
              <w:autoSpaceDE/>
              <w:autoSpaceDN/>
              <w:adjustRightInd/>
              <w:jc w:val="center"/>
              <w:rPr>
                <w:color w:val="000000"/>
                <w:sz w:val="20"/>
                <w:szCs w:val="20"/>
              </w:rPr>
            </w:pPr>
            <w:r w:rsidRPr="00B13BAD">
              <w:rPr>
                <w:color w:val="000000"/>
                <w:sz w:val="20"/>
                <w:szCs w:val="20"/>
              </w:rPr>
              <w:t>8</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1F79DF7" w14:textId="77777777">
            <w:pPr>
              <w:widowControl/>
              <w:autoSpaceDE/>
              <w:autoSpaceDN/>
              <w:adjustRightInd/>
              <w:jc w:val="center"/>
              <w:rPr>
                <w:color w:val="000000"/>
                <w:sz w:val="20"/>
                <w:szCs w:val="20"/>
              </w:rPr>
            </w:pPr>
            <w:r w:rsidRPr="00B13BAD">
              <w:rPr>
                <w:color w:val="000000"/>
                <w:sz w:val="20"/>
                <w:szCs w:val="20"/>
              </w:rPr>
              <w:t>2</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373C681" w14:textId="77777777">
            <w:pPr>
              <w:widowControl/>
              <w:autoSpaceDE/>
              <w:autoSpaceDN/>
              <w:adjustRightInd/>
              <w:jc w:val="center"/>
              <w:rPr>
                <w:color w:val="000000"/>
                <w:sz w:val="20"/>
                <w:szCs w:val="20"/>
              </w:rPr>
            </w:pPr>
            <w:r w:rsidRPr="00B13BAD">
              <w:rPr>
                <w:color w:val="000000"/>
                <w:sz w:val="20"/>
                <w:szCs w:val="20"/>
              </w:rPr>
              <w:t>16</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B92F810"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0436D4F" w14:textId="77777777">
            <w:pPr>
              <w:widowControl/>
              <w:autoSpaceDE/>
              <w:autoSpaceDN/>
              <w:adjustRightInd/>
              <w:jc w:val="center"/>
              <w:rPr>
                <w:color w:val="000000"/>
                <w:sz w:val="20"/>
                <w:szCs w:val="20"/>
              </w:rPr>
            </w:pPr>
            <w:r w:rsidRPr="00B13BAD">
              <w:rPr>
                <w:color w:val="000000"/>
                <w:sz w:val="20"/>
                <w:szCs w:val="20"/>
              </w:rPr>
              <w:t>256</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5C52DF7" w14:textId="77777777">
            <w:pPr>
              <w:widowControl/>
              <w:autoSpaceDE/>
              <w:autoSpaceDN/>
              <w:adjustRightInd/>
              <w:jc w:val="center"/>
              <w:rPr>
                <w:color w:val="000000"/>
                <w:sz w:val="20"/>
                <w:szCs w:val="20"/>
              </w:rPr>
            </w:pPr>
            <w:r w:rsidRPr="00B13BAD">
              <w:rPr>
                <w:color w:val="000000"/>
                <w:sz w:val="20"/>
                <w:szCs w:val="20"/>
              </w:rPr>
              <w:t>12.8</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8813466" w14:textId="77777777">
            <w:pPr>
              <w:widowControl/>
              <w:autoSpaceDE/>
              <w:autoSpaceDN/>
              <w:adjustRightInd/>
              <w:jc w:val="center"/>
              <w:rPr>
                <w:color w:val="000000"/>
                <w:sz w:val="20"/>
                <w:szCs w:val="20"/>
              </w:rPr>
            </w:pPr>
            <w:r w:rsidRPr="00B13BAD">
              <w:rPr>
                <w:color w:val="000000"/>
                <w:sz w:val="20"/>
                <w:szCs w:val="20"/>
              </w:rPr>
              <w:t>25.6</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FC3F476" w14:textId="77777777">
            <w:pPr>
              <w:widowControl/>
              <w:autoSpaceDE/>
              <w:autoSpaceDN/>
              <w:adjustRightInd/>
              <w:jc w:val="right"/>
              <w:rPr>
                <w:color w:val="000000"/>
                <w:sz w:val="20"/>
                <w:szCs w:val="20"/>
              </w:rPr>
            </w:pPr>
            <w:r w:rsidRPr="00B13BAD">
              <w:rPr>
                <w:color w:val="000000"/>
                <w:sz w:val="20"/>
                <w:szCs w:val="20"/>
              </w:rPr>
              <w:t xml:space="preserve">$34,823.30 </w:t>
            </w:r>
          </w:p>
        </w:tc>
      </w:tr>
      <w:tr w:rsidRPr="00B13BAD" w:rsidR="00B13BAD" w:rsidTr="00B13BAD" w14:paraId="644E2D8A" w14:textId="77777777">
        <w:trPr>
          <w:trHeight w:val="270"/>
        </w:trPr>
        <w:tc>
          <w:tcPr>
            <w:tcW w:w="3570" w:type="dxa"/>
            <w:tcBorders>
              <w:top w:val="nil"/>
              <w:left w:val="single" w:color="auto" w:sz="4" w:space="0"/>
              <w:bottom w:val="single" w:color="auto" w:sz="4" w:space="0"/>
              <w:right w:val="single" w:color="auto" w:sz="4" w:space="0"/>
            </w:tcBorders>
            <w:shd w:val="clear" w:color="auto" w:fill="auto"/>
            <w:noWrap/>
            <w:vAlign w:val="bottom"/>
            <w:hideMark/>
          </w:tcPr>
          <w:p w:rsidRPr="00B13BAD" w:rsidR="00B13BAD" w:rsidP="00B13BAD" w:rsidRDefault="00B13BAD" w14:paraId="36064693" w14:textId="77777777">
            <w:pPr>
              <w:widowControl/>
              <w:autoSpaceDE/>
              <w:autoSpaceDN/>
              <w:adjustRightInd/>
              <w:rPr>
                <w:b/>
                <w:bCs/>
                <w:i/>
                <w:iCs/>
                <w:color w:val="000000"/>
                <w:sz w:val="20"/>
                <w:szCs w:val="20"/>
              </w:rPr>
            </w:pPr>
            <w:r w:rsidRPr="00B13BAD">
              <w:rPr>
                <w:b/>
                <w:bCs/>
                <w:i/>
                <w:iCs/>
                <w:color w:val="000000"/>
                <w:sz w:val="20"/>
                <w:szCs w:val="20"/>
              </w:rPr>
              <w:t>Subtotal for Reporting Requirements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9CE3432" w14:textId="77777777">
            <w:pPr>
              <w:widowControl/>
              <w:autoSpaceDE/>
              <w:autoSpaceDN/>
              <w:adjustRightInd/>
              <w:jc w:val="center"/>
              <w:rPr>
                <w:color w:val="000000"/>
                <w:sz w:val="20"/>
                <w:szCs w:val="20"/>
              </w:rPr>
            </w:pPr>
            <w:r w:rsidRPr="00B13BAD">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6B51DE1" w14:textId="77777777">
            <w:pPr>
              <w:widowControl/>
              <w:autoSpaceDE/>
              <w:autoSpaceDN/>
              <w:adjustRightInd/>
              <w:jc w:val="center"/>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D483806" w14:textId="77777777">
            <w:pPr>
              <w:widowControl/>
              <w:autoSpaceDE/>
              <w:autoSpaceDN/>
              <w:adjustRightInd/>
              <w:jc w:val="center"/>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69A1E9C" w14:textId="77777777">
            <w:pPr>
              <w:widowControl/>
              <w:autoSpaceDE/>
              <w:autoSpaceDN/>
              <w:adjustRightInd/>
              <w:jc w:val="center"/>
              <w:rPr>
                <w:color w:val="000000"/>
                <w:sz w:val="20"/>
                <w:szCs w:val="20"/>
              </w:rPr>
            </w:pPr>
            <w:r w:rsidRPr="00B13BAD">
              <w:rPr>
                <w:color w:val="000000"/>
                <w:sz w:val="20"/>
                <w:szCs w:val="20"/>
              </w:rPr>
              <w:t> </w:t>
            </w:r>
          </w:p>
        </w:tc>
        <w:tc>
          <w:tcPr>
            <w:tcW w:w="3844" w:type="dxa"/>
            <w:gridSpan w:val="3"/>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41953E1C" w14:textId="77777777">
            <w:pPr>
              <w:widowControl/>
              <w:autoSpaceDE/>
              <w:autoSpaceDN/>
              <w:adjustRightInd/>
              <w:jc w:val="center"/>
              <w:rPr>
                <w:b/>
                <w:bCs/>
                <w:color w:val="000000"/>
                <w:sz w:val="20"/>
                <w:szCs w:val="20"/>
              </w:rPr>
            </w:pPr>
            <w:r w:rsidRPr="00B13BAD">
              <w:rPr>
                <w:b/>
                <w:bCs/>
                <w:color w:val="000000"/>
                <w:sz w:val="20"/>
                <w:szCs w:val="20"/>
              </w:rPr>
              <w:t>883</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57C802E" w14:textId="77777777">
            <w:pPr>
              <w:widowControl/>
              <w:autoSpaceDE/>
              <w:autoSpaceDN/>
              <w:adjustRightInd/>
              <w:jc w:val="right"/>
              <w:rPr>
                <w:b/>
                <w:bCs/>
                <w:color w:val="000000"/>
                <w:sz w:val="20"/>
                <w:szCs w:val="20"/>
              </w:rPr>
            </w:pPr>
            <w:r w:rsidRPr="00B13BAD">
              <w:rPr>
                <w:b/>
                <w:bCs/>
                <w:color w:val="000000"/>
                <w:sz w:val="20"/>
                <w:szCs w:val="20"/>
              </w:rPr>
              <w:t xml:space="preserve">$104,470 </w:t>
            </w:r>
          </w:p>
        </w:tc>
      </w:tr>
      <w:tr w:rsidRPr="00B13BAD" w:rsidR="00B13BAD" w:rsidTr="00B13BAD" w14:paraId="2A1E7E54"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2635F641" w14:textId="77777777">
            <w:pPr>
              <w:widowControl/>
              <w:autoSpaceDE/>
              <w:autoSpaceDN/>
              <w:adjustRightInd/>
              <w:rPr>
                <w:color w:val="000000"/>
                <w:sz w:val="20"/>
                <w:szCs w:val="20"/>
              </w:rPr>
            </w:pPr>
            <w:r w:rsidRPr="00B13BAD">
              <w:rPr>
                <w:color w:val="000000"/>
                <w:sz w:val="20"/>
                <w:szCs w:val="20"/>
              </w:rPr>
              <w:t>2. Recordkeeping requirements</w:t>
            </w:r>
          </w:p>
        </w:tc>
        <w:tc>
          <w:tcPr>
            <w:tcW w:w="10341" w:type="dxa"/>
            <w:gridSpan w:val="8"/>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7F34DD66"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15B8FE7E"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6EE1221F" w14:textId="77777777">
            <w:pPr>
              <w:widowControl/>
              <w:autoSpaceDE/>
              <w:autoSpaceDN/>
              <w:adjustRightInd/>
              <w:ind w:firstLine="200" w:firstLineChars="100"/>
              <w:rPr>
                <w:color w:val="000000"/>
                <w:sz w:val="20"/>
                <w:szCs w:val="20"/>
              </w:rPr>
            </w:pPr>
            <w:r w:rsidRPr="00B13BAD">
              <w:rPr>
                <w:color w:val="000000"/>
                <w:sz w:val="20"/>
                <w:szCs w:val="20"/>
              </w:rPr>
              <w:t>A. Familiarize with rule requirements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DE6F5A6" w14:textId="77777777">
            <w:pPr>
              <w:widowControl/>
              <w:autoSpaceDE/>
              <w:autoSpaceDN/>
              <w:adjustRightInd/>
              <w:jc w:val="center"/>
              <w:rPr>
                <w:color w:val="000000"/>
                <w:sz w:val="20"/>
                <w:szCs w:val="20"/>
              </w:rPr>
            </w:pPr>
            <w:r w:rsidRPr="00B13BAD">
              <w:rPr>
                <w:color w:val="000000"/>
                <w:sz w:val="20"/>
                <w:szCs w:val="20"/>
              </w:rPr>
              <w:t xml:space="preserve">See </w:t>
            </w:r>
            <w:proofErr w:type="gramStart"/>
            <w:r w:rsidRPr="00B13BAD">
              <w:rPr>
                <w:color w:val="000000"/>
                <w:sz w:val="20"/>
                <w:szCs w:val="20"/>
              </w:rPr>
              <w:t>1.A</w:t>
            </w:r>
            <w:proofErr w:type="gramEnd"/>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06ABAD8" w14:textId="77777777">
            <w:pPr>
              <w:widowControl/>
              <w:autoSpaceDE/>
              <w:autoSpaceDN/>
              <w:adjustRightInd/>
              <w:jc w:val="center"/>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98ECCA2" w14:textId="77777777">
            <w:pPr>
              <w:widowControl/>
              <w:autoSpaceDE/>
              <w:autoSpaceDN/>
              <w:adjustRightInd/>
              <w:jc w:val="center"/>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64D265D" w14:textId="77777777">
            <w:pPr>
              <w:widowControl/>
              <w:autoSpaceDE/>
              <w:autoSpaceDN/>
              <w:adjustRightInd/>
              <w:jc w:val="center"/>
              <w:rPr>
                <w:color w:val="000000"/>
                <w:sz w:val="20"/>
                <w:szCs w:val="20"/>
              </w:rPr>
            </w:pPr>
            <w:r w:rsidRPr="00B13BAD">
              <w:rPr>
                <w:color w:val="000000"/>
                <w:sz w:val="20"/>
                <w:szCs w:val="20"/>
              </w:rPr>
              <w:t> </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8C58A84" w14:textId="77777777">
            <w:pPr>
              <w:widowControl/>
              <w:autoSpaceDE/>
              <w:autoSpaceDN/>
              <w:adjustRightInd/>
              <w:jc w:val="center"/>
              <w:rPr>
                <w:color w:val="000000"/>
                <w:sz w:val="20"/>
                <w:szCs w:val="20"/>
              </w:rPr>
            </w:pPr>
            <w:r w:rsidRPr="00B13BAD">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D5F9D6D" w14:textId="77777777">
            <w:pPr>
              <w:widowControl/>
              <w:autoSpaceDE/>
              <w:autoSpaceDN/>
              <w:adjustRightInd/>
              <w:jc w:val="center"/>
              <w:rPr>
                <w:color w:val="000000"/>
                <w:sz w:val="20"/>
                <w:szCs w:val="20"/>
              </w:rPr>
            </w:pPr>
            <w:r w:rsidRPr="00B13BAD">
              <w:rPr>
                <w:color w:val="000000"/>
                <w:sz w:val="20"/>
                <w:szCs w:val="20"/>
              </w:rPr>
              <w:t> </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82756A3" w14:textId="77777777">
            <w:pPr>
              <w:widowControl/>
              <w:autoSpaceDE/>
              <w:autoSpaceDN/>
              <w:adjustRightInd/>
              <w:jc w:val="center"/>
              <w:rPr>
                <w:color w:val="000000"/>
                <w:sz w:val="20"/>
                <w:szCs w:val="20"/>
              </w:rPr>
            </w:pPr>
            <w:r w:rsidRPr="00B13BAD">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8335E64"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129F50BE"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7507EB48" w14:textId="77777777">
            <w:pPr>
              <w:widowControl/>
              <w:autoSpaceDE/>
              <w:autoSpaceDN/>
              <w:adjustRightInd/>
              <w:ind w:firstLine="200" w:firstLineChars="100"/>
              <w:rPr>
                <w:color w:val="000000"/>
                <w:sz w:val="20"/>
                <w:szCs w:val="20"/>
              </w:rPr>
            </w:pPr>
            <w:r w:rsidRPr="00B13BAD">
              <w:rPr>
                <w:color w:val="000000"/>
                <w:sz w:val="20"/>
                <w:szCs w:val="20"/>
              </w:rPr>
              <w:t>B. Plan activities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BDA1C3F" w14:textId="77777777">
            <w:pPr>
              <w:widowControl/>
              <w:autoSpaceDE/>
              <w:autoSpaceDN/>
              <w:adjustRightInd/>
              <w:jc w:val="center"/>
              <w:rPr>
                <w:color w:val="000000"/>
                <w:sz w:val="20"/>
                <w:szCs w:val="20"/>
              </w:rPr>
            </w:pPr>
            <w:r w:rsidRPr="00B13BAD">
              <w:rPr>
                <w:color w:val="000000"/>
                <w:sz w:val="20"/>
                <w:szCs w:val="20"/>
              </w:rPr>
              <w:t>See 1.C</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97A76BB" w14:textId="77777777">
            <w:pPr>
              <w:widowControl/>
              <w:autoSpaceDE/>
              <w:autoSpaceDN/>
              <w:adjustRightInd/>
              <w:jc w:val="center"/>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A298F3E" w14:textId="77777777">
            <w:pPr>
              <w:widowControl/>
              <w:autoSpaceDE/>
              <w:autoSpaceDN/>
              <w:adjustRightInd/>
              <w:jc w:val="center"/>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76916E9" w14:textId="77777777">
            <w:pPr>
              <w:widowControl/>
              <w:autoSpaceDE/>
              <w:autoSpaceDN/>
              <w:adjustRightInd/>
              <w:jc w:val="center"/>
              <w:rPr>
                <w:color w:val="000000"/>
                <w:sz w:val="20"/>
                <w:szCs w:val="20"/>
              </w:rPr>
            </w:pPr>
            <w:r w:rsidRPr="00B13BAD">
              <w:rPr>
                <w:color w:val="000000"/>
                <w:sz w:val="20"/>
                <w:szCs w:val="20"/>
              </w:rPr>
              <w:t> </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5A0DD3C" w14:textId="77777777">
            <w:pPr>
              <w:widowControl/>
              <w:autoSpaceDE/>
              <w:autoSpaceDN/>
              <w:adjustRightInd/>
              <w:jc w:val="center"/>
              <w:rPr>
                <w:color w:val="000000"/>
                <w:sz w:val="20"/>
                <w:szCs w:val="20"/>
              </w:rPr>
            </w:pPr>
            <w:r w:rsidRPr="00B13BAD">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754128D" w14:textId="77777777">
            <w:pPr>
              <w:widowControl/>
              <w:autoSpaceDE/>
              <w:autoSpaceDN/>
              <w:adjustRightInd/>
              <w:jc w:val="center"/>
              <w:rPr>
                <w:color w:val="000000"/>
                <w:sz w:val="20"/>
                <w:szCs w:val="20"/>
              </w:rPr>
            </w:pPr>
            <w:r w:rsidRPr="00B13BAD">
              <w:rPr>
                <w:color w:val="000000"/>
                <w:sz w:val="20"/>
                <w:szCs w:val="20"/>
              </w:rPr>
              <w:t> </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F587732" w14:textId="77777777">
            <w:pPr>
              <w:widowControl/>
              <w:autoSpaceDE/>
              <w:autoSpaceDN/>
              <w:adjustRightInd/>
              <w:jc w:val="center"/>
              <w:rPr>
                <w:color w:val="000000"/>
                <w:sz w:val="20"/>
                <w:szCs w:val="20"/>
              </w:rPr>
            </w:pPr>
            <w:r w:rsidRPr="00B13BAD">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FE1C068"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274B648B"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04E93F5A" w14:textId="77777777">
            <w:pPr>
              <w:widowControl/>
              <w:autoSpaceDE/>
              <w:autoSpaceDN/>
              <w:adjustRightInd/>
              <w:ind w:firstLine="200" w:firstLineChars="100"/>
              <w:rPr>
                <w:color w:val="000000"/>
                <w:sz w:val="20"/>
                <w:szCs w:val="20"/>
              </w:rPr>
            </w:pPr>
            <w:r w:rsidRPr="00B13BAD">
              <w:rPr>
                <w:color w:val="000000"/>
                <w:sz w:val="20"/>
                <w:szCs w:val="20"/>
              </w:rPr>
              <w:t>C. Implement activities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3300743" w14:textId="77777777">
            <w:pPr>
              <w:widowControl/>
              <w:autoSpaceDE/>
              <w:autoSpaceDN/>
              <w:adjustRightInd/>
              <w:jc w:val="center"/>
              <w:rPr>
                <w:color w:val="000000"/>
                <w:sz w:val="20"/>
                <w:szCs w:val="20"/>
              </w:rPr>
            </w:pPr>
            <w:r w:rsidRPr="00B13BAD">
              <w:rPr>
                <w:color w:val="000000"/>
                <w:sz w:val="20"/>
                <w:szCs w:val="20"/>
              </w:rPr>
              <w:t>See 1.C</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4934538" w14:textId="77777777">
            <w:pPr>
              <w:widowControl/>
              <w:autoSpaceDE/>
              <w:autoSpaceDN/>
              <w:adjustRightInd/>
              <w:jc w:val="center"/>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0D351D0" w14:textId="77777777">
            <w:pPr>
              <w:widowControl/>
              <w:autoSpaceDE/>
              <w:autoSpaceDN/>
              <w:adjustRightInd/>
              <w:jc w:val="center"/>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5F64239" w14:textId="77777777">
            <w:pPr>
              <w:widowControl/>
              <w:autoSpaceDE/>
              <w:autoSpaceDN/>
              <w:adjustRightInd/>
              <w:jc w:val="center"/>
              <w:rPr>
                <w:color w:val="000000"/>
                <w:sz w:val="20"/>
                <w:szCs w:val="20"/>
              </w:rPr>
            </w:pPr>
            <w:r w:rsidRPr="00B13BAD">
              <w:rPr>
                <w:color w:val="000000"/>
                <w:sz w:val="20"/>
                <w:szCs w:val="20"/>
              </w:rPr>
              <w:t> </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3575E40" w14:textId="77777777">
            <w:pPr>
              <w:widowControl/>
              <w:autoSpaceDE/>
              <w:autoSpaceDN/>
              <w:adjustRightInd/>
              <w:jc w:val="center"/>
              <w:rPr>
                <w:color w:val="000000"/>
                <w:sz w:val="20"/>
                <w:szCs w:val="20"/>
              </w:rPr>
            </w:pPr>
            <w:r w:rsidRPr="00B13BAD">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9C77E84" w14:textId="77777777">
            <w:pPr>
              <w:widowControl/>
              <w:autoSpaceDE/>
              <w:autoSpaceDN/>
              <w:adjustRightInd/>
              <w:jc w:val="center"/>
              <w:rPr>
                <w:color w:val="000000"/>
                <w:sz w:val="20"/>
                <w:szCs w:val="20"/>
              </w:rPr>
            </w:pPr>
            <w:r w:rsidRPr="00B13BAD">
              <w:rPr>
                <w:color w:val="000000"/>
                <w:sz w:val="20"/>
                <w:szCs w:val="20"/>
              </w:rPr>
              <w:t> </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54D4973" w14:textId="77777777">
            <w:pPr>
              <w:widowControl/>
              <w:autoSpaceDE/>
              <w:autoSpaceDN/>
              <w:adjustRightInd/>
              <w:jc w:val="center"/>
              <w:rPr>
                <w:color w:val="000000"/>
                <w:sz w:val="20"/>
                <w:szCs w:val="20"/>
              </w:rPr>
            </w:pPr>
            <w:r w:rsidRPr="00B13BAD">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1077CCB"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61C819E9" w14:textId="77777777">
        <w:trPr>
          <w:trHeight w:val="510"/>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125CF873" w14:textId="77777777">
            <w:pPr>
              <w:widowControl/>
              <w:autoSpaceDE/>
              <w:autoSpaceDN/>
              <w:adjustRightInd/>
              <w:ind w:firstLine="200" w:firstLineChars="100"/>
              <w:rPr>
                <w:color w:val="000000"/>
                <w:sz w:val="20"/>
                <w:szCs w:val="20"/>
              </w:rPr>
            </w:pPr>
            <w:r w:rsidRPr="00B13BAD">
              <w:rPr>
                <w:color w:val="000000"/>
                <w:sz w:val="20"/>
                <w:szCs w:val="20"/>
              </w:rPr>
              <w:t>D. Maintain record system for material used</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3B3FFFD" w14:textId="77777777">
            <w:pPr>
              <w:widowControl/>
              <w:autoSpaceDE/>
              <w:autoSpaceDN/>
              <w:adjustRightInd/>
              <w:jc w:val="center"/>
              <w:rPr>
                <w:color w:val="000000"/>
                <w:sz w:val="20"/>
                <w:szCs w:val="20"/>
              </w:rPr>
            </w:pPr>
            <w:r w:rsidRPr="00B13BAD">
              <w:rPr>
                <w:color w:val="000000"/>
                <w:sz w:val="20"/>
                <w:szCs w:val="20"/>
              </w:rPr>
              <w:t>20</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B7046D4" w14:textId="77777777">
            <w:pPr>
              <w:widowControl/>
              <w:autoSpaceDE/>
              <w:autoSpaceDN/>
              <w:adjustRightInd/>
              <w:jc w:val="center"/>
              <w:rPr>
                <w:color w:val="000000"/>
                <w:sz w:val="20"/>
                <w:szCs w:val="20"/>
              </w:rPr>
            </w:pPr>
            <w:r w:rsidRPr="00B13BAD">
              <w:rPr>
                <w:color w:val="000000"/>
                <w:sz w:val="20"/>
                <w:szCs w:val="20"/>
              </w:rPr>
              <w:t>1</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D5A1C84" w14:textId="77777777">
            <w:pPr>
              <w:widowControl/>
              <w:autoSpaceDE/>
              <w:autoSpaceDN/>
              <w:adjustRightInd/>
              <w:jc w:val="center"/>
              <w:rPr>
                <w:color w:val="000000"/>
                <w:sz w:val="20"/>
                <w:szCs w:val="20"/>
              </w:rPr>
            </w:pPr>
            <w:r w:rsidRPr="00B13BAD">
              <w:rPr>
                <w:color w:val="000000"/>
                <w:sz w:val="20"/>
                <w:szCs w:val="20"/>
              </w:rPr>
              <w:t>20</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504C434"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E7C6F9" w14:textId="77777777">
            <w:pPr>
              <w:widowControl/>
              <w:autoSpaceDE/>
              <w:autoSpaceDN/>
              <w:adjustRightInd/>
              <w:jc w:val="center"/>
              <w:rPr>
                <w:color w:val="000000"/>
                <w:sz w:val="20"/>
                <w:szCs w:val="20"/>
              </w:rPr>
            </w:pPr>
            <w:r w:rsidRPr="00B13BAD">
              <w:rPr>
                <w:color w:val="000000"/>
                <w:sz w:val="20"/>
                <w:szCs w:val="20"/>
              </w:rPr>
              <w:t>320</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0C90E41" w14:textId="77777777">
            <w:pPr>
              <w:widowControl/>
              <w:autoSpaceDE/>
              <w:autoSpaceDN/>
              <w:adjustRightInd/>
              <w:jc w:val="center"/>
              <w:rPr>
                <w:color w:val="000000"/>
                <w:sz w:val="20"/>
                <w:szCs w:val="20"/>
              </w:rPr>
            </w:pPr>
            <w:r w:rsidRPr="00B13BAD">
              <w:rPr>
                <w:color w:val="000000"/>
                <w:sz w:val="20"/>
                <w:szCs w:val="20"/>
              </w:rPr>
              <w:t>16</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C34BE9C" w14:textId="77777777">
            <w:pPr>
              <w:widowControl/>
              <w:autoSpaceDE/>
              <w:autoSpaceDN/>
              <w:adjustRightInd/>
              <w:jc w:val="center"/>
              <w:rPr>
                <w:color w:val="000000"/>
                <w:sz w:val="20"/>
                <w:szCs w:val="20"/>
              </w:rPr>
            </w:pPr>
            <w:r w:rsidRPr="00B13BAD">
              <w:rPr>
                <w:color w:val="000000"/>
                <w:sz w:val="20"/>
                <w:szCs w:val="20"/>
              </w:rPr>
              <w:t>32</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E814F33" w14:textId="77777777">
            <w:pPr>
              <w:widowControl/>
              <w:autoSpaceDE/>
              <w:autoSpaceDN/>
              <w:adjustRightInd/>
              <w:jc w:val="right"/>
              <w:rPr>
                <w:color w:val="000000"/>
                <w:sz w:val="20"/>
                <w:szCs w:val="20"/>
              </w:rPr>
            </w:pPr>
            <w:r w:rsidRPr="00B13BAD">
              <w:rPr>
                <w:color w:val="000000"/>
                <w:sz w:val="20"/>
                <w:szCs w:val="20"/>
              </w:rPr>
              <w:t xml:space="preserve">$43,529.12 </w:t>
            </w:r>
          </w:p>
        </w:tc>
      </w:tr>
      <w:tr w:rsidRPr="00B13BAD" w:rsidR="00B13BAD" w:rsidTr="00B13BAD" w14:paraId="35D392F9"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5496FD4C" w14:textId="77777777">
            <w:pPr>
              <w:widowControl/>
              <w:autoSpaceDE/>
              <w:autoSpaceDN/>
              <w:adjustRightInd/>
              <w:ind w:firstLine="200" w:firstLineChars="100"/>
              <w:rPr>
                <w:color w:val="000000"/>
                <w:sz w:val="20"/>
                <w:szCs w:val="20"/>
              </w:rPr>
            </w:pPr>
            <w:r w:rsidRPr="00B13BAD">
              <w:rPr>
                <w:color w:val="000000"/>
                <w:sz w:val="20"/>
                <w:szCs w:val="20"/>
              </w:rPr>
              <w:t>E Time to enter information</w:t>
            </w:r>
          </w:p>
        </w:tc>
        <w:tc>
          <w:tcPr>
            <w:tcW w:w="10341" w:type="dxa"/>
            <w:gridSpan w:val="8"/>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3F803DE7"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0EB6B5A7" w14:textId="77777777">
        <w:trPr>
          <w:trHeight w:val="31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10BA1BF3" w14:textId="77777777">
            <w:pPr>
              <w:widowControl/>
              <w:autoSpaceDE/>
              <w:autoSpaceDN/>
              <w:adjustRightInd/>
              <w:ind w:firstLine="400" w:firstLineChars="200"/>
              <w:rPr>
                <w:color w:val="000000"/>
                <w:sz w:val="20"/>
                <w:szCs w:val="20"/>
              </w:rPr>
            </w:pPr>
            <w:proofErr w:type="spellStart"/>
            <w:r w:rsidRPr="00B13BAD">
              <w:rPr>
                <w:color w:val="000000"/>
                <w:sz w:val="20"/>
                <w:szCs w:val="20"/>
              </w:rPr>
              <w:t>i</w:t>
            </w:r>
            <w:proofErr w:type="spellEnd"/>
            <w:r w:rsidRPr="00B13BAD">
              <w:rPr>
                <w:color w:val="000000"/>
                <w:sz w:val="20"/>
                <w:szCs w:val="20"/>
              </w:rPr>
              <w:t xml:space="preserve">. Material usage </w:t>
            </w:r>
            <w:r w:rsidRPr="00B13BAD">
              <w:rPr>
                <w:color w:val="000000"/>
                <w:sz w:val="20"/>
                <w:szCs w:val="20"/>
                <w:vertAlign w:val="superscript"/>
              </w:rPr>
              <w:t>f</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ECEE350"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1F34A14" w14:textId="77777777">
            <w:pPr>
              <w:widowControl/>
              <w:autoSpaceDE/>
              <w:autoSpaceDN/>
              <w:adjustRightInd/>
              <w:jc w:val="center"/>
              <w:rPr>
                <w:color w:val="000000"/>
                <w:sz w:val="20"/>
                <w:szCs w:val="20"/>
              </w:rPr>
            </w:pPr>
            <w:r w:rsidRPr="00B13BAD">
              <w:rPr>
                <w:color w:val="000000"/>
                <w:sz w:val="20"/>
                <w:szCs w:val="20"/>
              </w:rPr>
              <w:t>52</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D6DCF30" w14:textId="77777777">
            <w:pPr>
              <w:widowControl/>
              <w:autoSpaceDE/>
              <w:autoSpaceDN/>
              <w:adjustRightInd/>
              <w:jc w:val="center"/>
              <w:rPr>
                <w:color w:val="000000"/>
                <w:sz w:val="20"/>
                <w:szCs w:val="20"/>
              </w:rPr>
            </w:pPr>
            <w:r w:rsidRPr="00B13BAD">
              <w:rPr>
                <w:color w:val="000000"/>
                <w:sz w:val="20"/>
                <w:szCs w:val="20"/>
              </w:rPr>
              <w:t>104</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8B229E6"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5FE1EA5" w14:textId="77777777">
            <w:pPr>
              <w:widowControl/>
              <w:autoSpaceDE/>
              <w:autoSpaceDN/>
              <w:adjustRightInd/>
              <w:jc w:val="center"/>
              <w:rPr>
                <w:color w:val="000000"/>
                <w:sz w:val="20"/>
                <w:szCs w:val="20"/>
              </w:rPr>
            </w:pPr>
            <w:r w:rsidRPr="00B13BAD">
              <w:rPr>
                <w:color w:val="000000"/>
                <w:sz w:val="20"/>
                <w:szCs w:val="20"/>
              </w:rPr>
              <w:t>1,664</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0EA5B5D" w14:textId="77777777">
            <w:pPr>
              <w:widowControl/>
              <w:autoSpaceDE/>
              <w:autoSpaceDN/>
              <w:adjustRightInd/>
              <w:jc w:val="center"/>
              <w:rPr>
                <w:color w:val="000000"/>
                <w:sz w:val="20"/>
                <w:szCs w:val="20"/>
              </w:rPr>
            </w:pPr>
            <w:r w:rsidRPr="00B13BAD">
              <w:rPr>
                <w:color w:val="000000"/>
                <w:sz w:val="20"/>
                <w:szCs w:val="20"/>
              </w:rPr>
              <w:t>83.2</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9BFB3D6" w14:textId="77777777">
            <w:pPr>
              <w:widowControl/>
              <w:autoSpaceDE/>
              <w:autoSpaceDN/>
              <w:adjustRightInd/>
              <w:jc w:val="center"/>
              <w:rPr>
                <w:color w:val="000000"/>
                <w:sz w:val="20"/>
                <w:szCs w:val="20"/>
              </w:rPr>
            </w:pPr>
            <w:r w:rsidRPr="00B13BAD">
              <w:rPr>
                <w:color w:val="000000"/>
                <w:sz w:val="20"/>
                <w:szCs w:val="20"/>
              </w:rPr>
              <w:t>166.4</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A62E34D" w14:textId="77777777">
            <w:pPr>
              <w:widowControl/>
              <w:autoSpaceDE/>
              <w:autoSpaceDN/>
              <w:adjustRightInd/>
              <w:jc w:val="right"/>
              <w:rPr>
                <w:color w:val="000000"/>
                <w:sz w:val="20"/>
                <w:szCs w:val="20"/>
              </w:rPr>
            </w:pPr>
            <w:r w:rsidRPr="00B13BAD">
              <w:rPr>
                <w:color w:val="000000"/>
                <w:sz w:val="20"/>
                <w:szCs w:val="20"/>
              </w:rPr>
              <w:t xml:space="preserve">$226,351.42 </w:t>
            </w:r>
          </w:p>
        </w:tc>
      </w:tr>
      <w:tr w:rsidRPr="00B13BAD" w:rsidR="00B13BAD" w:rsidTr="00B13BAD" w14:paraId="1F5A071B" w14:textId="77777777">
        <w:trPr>
          <w:trHeight w:val="31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12636F62" w14:textId="77777777">
            <w:pPr>
              <w:widowControl/>
              <w:autoSpaceDE/>
              <w:autoSpaceDN/>
              <w:adjustRightInd/>
              <w:ind w:firstLine="400" w:firstLineChars="200"/>
              <w:rPr>
                <w:color w:val="000000"/>
                <w:sz w:val="20"/>
                <w:szCs w:val="20"/>
              </w:rPr>
            </w:pPr>
            <w:r w:rsidRPr="00B13BAD">
              <w:rPr>
                <w:color w:val="000000"/>
                <w:sz w:val="20"/>
                <w:szCs w:val="20"/>
              </w:rPr>
              <w:lastRenderedPageBreak/>
              <w:t xml:space="preserve">ii. Compliance calculation </w:t>
            </w:r>
            <w:r w:rsidRPr="00B13BAD">
              <w:rPr>
                <w:color w:val="000000"/>
                <w:sz w:val="20"/>
                <w:szCs w:val="20"/>
                <w:vertAlign w:val="superscript"/>
              </w:rPr>
              <w:t>g</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BB4C06C"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0469D17" w14:textId="77777777">
            <w:pPr>
              <w:widowControl/>
              <w:autoSpaceDE/>
              <w:autoSpaceDN/>
              <w:adjustRightInd/>
              <w:jc w:val="center"/>
              <w:rPr>
                <w:color w:val="000000"/>
                <w:sz w:val="20"/>
                <w:szCs w:val="20"/>
              </w:rPr>
            </w:pPr>
            <w:r w:rsidRPr="00B13BAD">
              <w:rPr>
                <w:color w:val="000000"/>
                <w:sz w:val="20"/>
                <w:szCs w:val="20"/>
              </w:rPr>
              <w:t>12</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0055B7E" w14:textId="77777777">
            <w:pPr>
              <w:widowControl/>
              <w:autoSpaceDE/>
              <w:autoSpaceDN/>
              <w:adjustRightInd/>
              <w:jc w:val="center"/>
              <w:rPr>
                <w:color w:val="000000"/>
                <w:sz w:val="20"/>
                <w:szCs w:val="20"/>
              </w:rPr>
            </w:pPr>
            <w:r w:rsidRPr="00B13BAD">
              <w:rPr>
                <w:color w:val="000000"/>
                <w:sz w:val="20"/>
                <w:szCs w:val="20"/>
              </w:rPr>
              <w:t>24</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893A5FA"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35319F3" w14:textId="77777777">
            <w:pPr>
              <w:widowControl/>
              <w:autoSpaceDE/>
              <w:autoSpaceDN/>
              <w:adjustRightInd/>
              <w:jc w:val="center"/>
              <w:rPr>
                <w:color w:val="000000"/>
                <w:sz w:val="20"/>
                <w:szCs w:val="20"/>
              </w:rPr>
            </w:pPr>
            <w:r w:rsidRPr="00B13BAD">
              <w:rPr>
                <w:color w:val="000000"/>
                <w:sz w:val="20"/>
                <w:szCs w:val="20"/>
              </w:rPr>
              <w:t>384</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617469C" w14:textId="77777777">
            <w:pPr>
              <w:widowControl/>
              <w:autoSpaceDE/>
              <w:autoSpaceDN/>
              <w:adjustRightInd/>
              <w:jc w:val="center"/>
              <w:rPr>
                <w:color w:val="000000"/>
                <w:sz w:val="20"/>
                <w:szCs w:val="20"/>
              </w:rPr>
            </w:pPr>
            <w:r w:rsidRPr="00B13BAD">
              <w:rPr>
                <w:color w:val="000000"/>
                <w:sz w:val="20"/>
                <w:szCs w:val="20"/>
              </w:rPr>
              <w:t>19.2</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5FCA585" w14:textId="77777777">
            <w:pPr>
              <w:widowControl/>
              <w:autoSpaceDE/>
              <w:autoSpaceDN/>
              <w:adjustRightInd/>
              <w:jc w:val="center"/>
              <w:rPr>
                <w:color w:val="000000"/>
                <w:sz w:val="20"/>
                <w:szCs w:val="20"/>
              </w:rPr>
            </w:pPr>
            <w:r w:rsidRPr="00B13BAD">
              <w:rPr>
                <w:color w:val="000000"/>
                <w:sz w:val="20"/>
                <w:szCs w:val="20"/>
              </w:rPr>
              <w:t>38.4</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866806F" w14:textId="77777777">
            <w:pPr>
              <w:widowControl/>
              <w:autoSpaceDE/>
              <w:autoSpaceDN/>
              <w:adjustRightInd/>
              <w:jc w:val="right"/>
              <w:rPr>
                <w:color w:val="000000"/>
                <w:sz w:val="20"/>
                <w:szCs w:val="20"/>
              </w:rPr>
            </w:pPr>
            <w:r w:rsidRPr="00B13BAD">
              <w:rPr>
                <w:color w:val="000000"/>
                <w:sz w:val="20"/>
                <w:szCs w:val="20"/>
              </w:rPr>
              <w:t xml:space="preserve">$52,234.94 </w:t>
            </w:r>
          </w:p>
        </w:tc>
      </w:tr>
      <w:tr w:rsidRPr="00B13BAD" w:rsidR="00B13BAD" w:rsidTr="00B13BAD" w14:paraId="05869BDF"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5BCF560C" w14:textId="77777777">
            <w:pPr>
              <w:widowControl/>
              <w:autoSpaceDE/>
              <w:autoSpaceDN/>
              <w:adjustRightInd/>
              <w:ind w:firstLine="200" w:firstLineChars="100"/>
              <w:rPr>
                <w:color w:val="000000"/>
                <w:sz w:val="20"/>
                <w:szCs w:val="20"/>
              </w:rPr>
            </w:pPr>
            <w:r w:rsidRPr="00B13BAD">
              <w:rPr>
                <w:color w:val="000000"/>
                <w:sz w:val="20"/>
                <w:szCs w:val="20"/>
              </w:rPr>
              <w:t>F. Time to train personnel</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C24EFE3" w14:textId="77777777">
            <w:pPr>
              <w:widowControl/>
              <w:autoSpaceDE/>
              <w:autoSpaceDN/>
              <w:adjustRightInd/>
              <w:jc w:val="center"/>
              <w:rPr>
                <w:color w:val="000000"/>
                <w:sz w:val="20"/>
                <w:szCs w:val="20"/>
              </w:rPr>
            </w:pPr>
            <w:r w:rsidRPr="00B13BAD">
              <w:rPr>
                <w:color w:val="000000"/>
                <w:sz w:val="20"/>
                <w:szCs w:val="20"/>
              </w:rPr>
              <w:t>See 1.C</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013B606" w14:textId="77777777">
            <w:pPr>
              <w:widowControl/>
              <w:autoSpaceDE/>
              <w:autoSpaceDN/>
              <w:adjustRightInd/>
              <w:jc w:val="center"/>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F3AE6DC" w14:textId="77777777">
            <w:pPr>
              <w:widowControl/>
              <w:autoSpaceDE/>
              <w:autoSpaceDN/>
              <w:adjustRightInd/>
              <w:jc w:val="center"/>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1B7684D" w14:textId="77777777">
            <w:pPr>
              <w:widowControl/>
              <w:autoSpaceDE/>
              <w:autoSpaceDN/>
              <w:adjustRightInd/>
              <w:jc w:val="center"/>
              <w:rPr>
                <w:color w:val="000000"/>
                <w:sz w:val="20"/>
                <w:szCs w:val="20"/>
              </w:rPr>
            </w:pPr>
            <w:r w:rsidRPr="00B13BAD">
              <w:rPr>
                <w:color w:val="000000"/>
                <w:sz w:val="20"/>
                <w:szCs w:val="20"/>
              </w:rPr>
              <w:t> </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4293EC6" w14:textId="77777777">
            <w:pPr>
              <w:widowControl/>
              <w:autoSpaceDE/>
              <w:autoSpaceDN/>
              <w:adjustRightInd/>
              <w:jc w:val="center"/>
              <w:rPr>
                <w:color w:val="000000"/>
                <w:sz w:val="20"/>
                <w:szCs w:val="20"/>
              </w:rPr>
            </w:pPr>
            <w:r w:rsidRPr="00B13BAD">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D59DB84" w14:textId="77777777">
            <w:pPr>
              <w:widowControl/>
              <w:autoSpaceDE/>
              <w:autoSpaceDN/>
              <w:adjustRightInd/>
              <w:jc w:val="center"/>
              <w:rPr>
                <w:color w:val="000000"/>
                <w:sz w:val="20"/>
                <w:szCs w:val="20"/>
              </w:rPr>
            </w:pPr>
            <w:r w:rsidRPr="00B13BAD">
              <w:rPr>
                <w:color w:val="000000"/>
                <w:sz w:val="20"/>
                <w:szCs w:val="20"/>
              </w:rPr>
              <w:t> </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B472986" w14:textId="77777777">
            <w:pPr>
              <w:widowControl/>
              <w:autoSpaceDE/>
              <w:autoSpaceDN/>
              <w:adjustRightInd/>
              <w:jc w:val="center"/>
              <w:rPr>
                <w:color w:val="000000"/>
                <w:sz w:val="20"/>
                <w:szCs w:val="20"/>
              </w:rPr>
            </w:pPr>
            <w:r w:rsidRPr="00B13BAD">
              <w:rPr>
                <w:color w:val="000000"/>
                <w:sz w:val="20"/>
                <w:szCs w:val="20"/>
              </w:rPr>
              <w:t> </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410D9F7" w14:textId="77777777">
            <w:pPr>
              <w:widowControl/>
              <w:autoSpaceDE/>
              <w:autoSpaceDN/>
              <w:adjustRightInd/>
              <w:jc w:val="right"/>
              <w:rPr>
                <w:color w:val="000000"/>
                <w:sz w:val="20"/>
                <w:szCs w:val="20"/>
              </w:rPr>
            </w:pPr>
            <w:r w:rsidRPr="00B13BAD">
              <w:rPr>
                <w:color w:val="000000"/>
                <w:sz w:val="20"/>
                <w:szCs w:val="20"/>
              </w:rPr>
              <w:t> </w:t>
            </w:r>
          </w:p>
        </w:tc>
      </w:tr>
      <w:tr w:rsidRPr="00B13BAD" w:rsidR="00B13BAD" w:rsidTr="00B13BAD" w14:paraId="7B4CC5EE"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181663E6" w14:textId="77777777">
            <w:pPr>
              <w:widowControl/>
              <w:autoSpaceDE/>
              <w:autoSpaceDN/>
              <w:adjustRightInd/>
              <w:ind w:firstLine="200" w:firstLineChars="100"/>
              <w:rPr>
                <w:color w:val="000000"/>
                <w:sz w:val="20"/>
                <w:szCs w:val="20"/>
              </w:rPr>
            </w:pPr>
            <w:r w:rsidRPr="00B13BAD">
              <w:rPr>
                <w:color w:val="000000"/>
                <w:sz w:val="20"/>
                <w:szCs w:val="20"/>
              </w:rPr>
              <w:t>G. Store, file, and maintain records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E0336A3" w14:textId="77777777">
            <w:pPr>
              <w:widowControl/>
              <w:autoSpaceDE/>
              <w:autoSpaceDN/>
              <w:adjustRightInd/>
              <w:jc w:val="center"/>
              <w:rPr>
                <w:color w:val="000000"/>
                <w:sz w:val="20"/>
                <w:szCs w:val="20"/>
              </w:rPr>
            </w:pPr>
            <w:r w:rsidRPr="00B13BAD">
              <w:rPr>
                <w:color w:val="000000"/>
                <w:sz w:val="20"/>
                <w:szCs w:val="20"/>
              </w:rPr>
              <w:t>2</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C53DB03" w14:textId="77777777">
            <w:pPr>
              <w:widowControl/>
              <w:autoSpaceDE/>
              <w:autoSpaceDN/>
              <w:adjustRightInd/>
              <w:jc w:val="center"/>
              <w:rPr>
                <w:color w:val="000000"/>
                <w:sz w:val="20"/>
                <w:szCs w:val="20"/>
              </w:rPr>
            </w:pPr>
            <w:r w:rsidRPr="00B13BAD">
              <w:rPr>
                <w:color w:val="000000"/>
                <w:sz w:val="20"/>
                <w:szCs w:val="20"/>
              </w:rPr>
              <w:t>12</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805ED16" w14:textId="77777777">
            <w:pPr>
              <w:widowControl/>
              <w:autoSpaceDE/>
              <w:autoSpaceDN/>
              <w:adjustRightInd/>
              <w:jc w:val="center"/>
              <w:rPr>
                <w:color w:val="000000"/>
                <w:sz w:val="20"/>
                <w:szCs w:val="20"/>
              </w:rPr>
            </w:pPr>
            <w:r w:rsidRPr="00B13BAD">
              <w:rPr>
                <w:color w:val="000000"/>
                <w:sz w:val="20"/>
                <w:szCs w:val="20"/>
              </w:rPr>
              <w:t>24</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6654D85"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75BA9B5" w14:textId="77777777">
            <w:pPr>
              <w:widowControl/>
              <w:autoSpaceDE/>
              <w:autoSpaceDN/>
              <w:adjustRightInd/>
              <w:jc w:val="center"/>
              <w:rPr>
                <w:color w:val="000000"/>
                <w:sz w:val="20"/>
                <w:szCs w:val="20"/>
              </w:rPr>
            </w:pPr>
            <w:r w:rsidRPr="00B13BAD">
              <w:rPr>
                <w:color w:val="000000"/>
                <w:sz w:val="20"/>
                <w:szCs w:val="20"/>
              </w:rPr>
              <w:t>384</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28A35AF" w14:textId="77777777">
            <w:pPr>
              <w:widowControl/>
              <w:autoSpaceDE/>
              <w:autoSpaceDN/>
              <w:adjustRightInd/>
              <w:jc w:val="center"/>
              <w:rPr>
                <w:color w:val="000000"/>
                <w:sz w:val="20"/>
                <w:szCs w:val="20"/>
              </w:rPr>
            </w:pPr>
            <w:r w:rsidRPr="00B13BAD">
              <w:rPr>
                <w:color w:val="000000"/>
                <w:sz w:val="20"/>
                <w:szCs w:val="20"/>
              </w:rPr>
              <w:t>19.2</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B3A4580" w14:textId="77777777">
            <w:pPr>
              <w:widowControl/>
              <w:autoSpaceDE/>
              <w:autoSpaceDN/>
              <w:adjustRightInd/>
              <w:jc w:val="center"/>
              <w:rPr>
                <w:color w:val="000000"/>
                <w:sz w:val="20"/>
                <w:szCs w:val="20"/>
              </w:rPr>
            </w:pPr>
            <w:r w:rsidRPr="00B13BAD">
              <w:rPr>
                <w:color w:val="000000"/>
                <w:sz w:val="20"/>
                <w:szCs w:val="20"/>
              </w:rPr>
              <w:t>38.4</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58931EB" w14:textId="77777777">
            <w:pPr>
              <w:widowControl/>
              <w:autoSpaceDE/>
              <w:autoSpaceDN/>
              <w:adjustRightInd/>
              <w:jc w:val="right"/>
              <w:rPr>
                <w:color w:val="000000"/>
                <w:sz w:val="20"/>
                <w:szCs w:val="20"/>
              </w:rPr>
            </w:pPr>
            <w:r w:rsidRPr="00B13BAD">
              <w:rPr>
                <w:color w:val="000000"/>
                <w:sz w:val="20"/>
                <w:szCs w:val="20"/>
              </w:rPr>
              <w:t xml:space="preserve">$52,234.94 </w:t>
            </w:r>
          </w:p>
        </w:tc>
      </w:tr>
      <w:tr w:rsidRPr="00B13BAD" w:rsidR="00B13BAD" w:rsidTr="00B13BAD" w14:paraId="6071C160" w14:textId="77777777">
        <w:trPr>
          <w:trHeight w:val="25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4B523931" w14:textId="77777777">
            <w:pPr>
              <w:widowControl/>
              <w:autoSpaceDE/>
              <w:autoSpaceDN/>
              <w:adjustRightInd/>
              <w:ind w:firstLine="200" w:firstLineChars="100"/>
              <w:rPr>
                <w:color w:val="000000"/>
                <w:sz w:val="20"/>
                <w:szCs w:val="20"/>
              </w:rPr>
            </w:pPr>
            <w:r w:rsidRPr="00B13BAD">
              <w:rPr>
                <w:color w:val="000000"/>
                <w:sz w:val="20"/>
                <w:szCs w:val="20"/>
              </w:rPr>
              <w:t>H Retrieve records/reports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C68DED9" w14:textId="77777777">
            <w:pPr>
              <w:widowControl/>
              <w:autoSpaceDE/>
              <w:autoSpaceDN/>
              <w:adjustRightInd/>
              <w:jc w:val="center"/>
              <w:rPr>
                <w:color w:val="000000"/>
                <w:sz w:val="20"/>
                <w:szCs w:val="20"/>
              </w:rPr>
            </w:pPr>
            <w:r w:rsidRPr="00B13BAD">
              <w:rPr>
                <w:color w:val="000000"/>
                <w:sz w:val="20"/>
                <w:szCs w:val="20"/>
              </w:rPr>
              <w:t>1</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E3A00B3" w14:textId="77777777">
            <w:pPr>
              <w:widowControl/>
              <w:autoSpaceDE/>
              <w:autoSpaceDN/>
              <w:adjustRightInd/>
              <w:jc w:val="center"/>
              <w:rPr>
                <w:color w:val="000000"/>
                <w:sz w:val="20"/>
                <w:szCs w:val="20"/>
              </w:rPr>
            </w:pPr>
            <w:r w:rsidRPr="00B13BAD">
              <w:rPr>
                <w:color w:val="000000"/>
                <w:sz w:val="20"/>
                <w:szCs w:val="20"/>
              </w:rPr>
              <w:t>12</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239B303" w14:textId="77777777">
            <w:pPr>
              <w:widowControl/>
              <w:autoSpaceDE/>
              <w:autoSpaceDN/>
              <w:adjustRightInd/>
              <w:jc w:val="center"/>
              <w:rPr>
                <w:color w:val="000000"/>
                <w:sz w:val="20"/>
                <w:szCs w:val="20"/>
              </w:rPr>
            </w:pPr>
            <w:r w:rsidRPr="00B13BAD">
              <w:rPr>
                <w:color w:val="000000"/>
                <w:sz w:val="20"/>
                <w:szCs w:val="20"/>
              </w:rPr>
              <w:t>12</w:t>
            </w:r>
          </w:p>
        </w:tc>
        <w:tc>
          <w:tcPr>
            <w:tcW w:w="123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A9547B8" w14:textId="77777777">
            <w:pPr>
              <w:widowControl/>
              <w:autoSpaceDE/>
              <w:autoSpaceDN/>
              <w:adjustRightInd/>
              <w:jc w:val="center"/>
              <w:rPr>
                <w:color w:val="000000"/>
                <w:sz w:val="20"/>
                <w:szCs w:val="20"/>
              </w:rPr>
            </w:pPr>
            <w:r w:rsidRPr="00B13BAD">
              <w:rPr>
                <w:color w:val="000000"/>
                <w:sz w:val="20"/>
                <w:szCs w:val="20"/>
              </w:rPr>
              <w:t>16</w:t>
            </w:r>
          </w:p>
        </w:tc>
        <w:tc>
          <w:tcPr>
            <w:tcW w:w="1324"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BED1836" w14:textId="77777777">
            <w:pPr>
              <w:widowControl/>
              <w:autoSpaceDE/>
              <w:autoSpaceDN/>
              <w:adjustRightInd/>
              <w:jc w:val="center"/>
              <w:rPr>
                <w:color w:val="000000"/>
                <w:sz w:val="20"/>
                <w:szCs w:val="20"/>
              </w:rPr>
            </w:pPr>
            <w:r w:rsidRPr="00B13BAD">
              <w:rPr>
                <w:color w:val="000000"/>
                <w:sz w:val="20"/>
                <w:szCs w:val="20"/>
              </w:rPr>
              <w:t>192</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1C6BC91" w14:textId="77777777">
            <w:pPr>
              <w:widowControl/>
              <w:autoSpaceDE/>
              <w:autoSpaceDN/>
              <w:adjustRightInd/>
              <w:jc w:val="center"/>
              <w:rPr>
                <w:color w:val="000000"/>
                <w:sz w:val="20"/>
                <w:szCs w:val="20"/>
              </w:rPr>
            </w:pPr>
            <w:r w:rsidRPr="00B13BAD">
              <w:rPr>
                <w:color w:val="000000"/>
                <w:sz w:val="20"/>
                <w:szCs w:val="20"/>
              </w:rPr>
              <w:t>9.6</w:t>
            </w:r>
          </w:p>
        </w:tc>
        <w:tc>
          <w:tcPr>
            <w:tcW w:w="1259"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03CBE59" w14:textId="77777777">
            <w:pPr>
              <w:widowControl/>
              <w:autoSpaceDE/>
              <w:autoSpaceDN/>
              <w:adjustRightInd/>
              <w:jc w:val="center"/>
              <w:rPr>
                <w:color w:val="000000"/>
                <w:sz w:val="20"/>
                <w:szCs w:val="20"/>
              </w:rPr>
            </w:pPr>
            <w:r w:rsidRPr="00B13BAD">
              <w:rPr>
                <w:color w:val="000000"/>
                <w:sz w:val="20"/>
                <w:szCs w:val="20"/>
              </w:rPr>
              <w:t>19.2</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55F3499" w14:textId="77777777">
            <w:pPr>
              <w:widowControl/>
              <w:autoSpaceDE/>
              <w:autoSpaceDN/>
              <w:adjustRightInd/>
              <w:jc w:val="right"/>
              <w:rPr>
                <w:color w:val="000000"/>
                <w:sz w:val="20"/>
                <w:szCs w:val="20"/>
              </w:rPr>
            </w:pPr>
            <w:r w:rsidRPr="00B13BAD">
              <w:rPr>
                <w:color w:val="000000"/>
                <w:sz w:val="20"/>
                <w:szCs w:val="20"/>
              </w:rPr>
              <w:t xml:space="preserve">$26,117.47 </w:t>
            </w:r>
          </w:p>
        </w:tc>
      </w:tr>
      <w:tr w:rsidRPr="00B13BAD" w:rsidR="00B13BAD" w:rsidTr="00B13BAD" w14:paraId="7B52FFF1" w14:textId="77777777">
        <w:trPr>
          <w:trHeight w:val="270"/>
        </w:trPr>
        <w:tc>
          <w:tcPr>
            <w:tcW w:w="3570" w:type="dxa"/>
            <w:tcBorders>
              <w:top w:val="nil"/>
              <w:left w:val="single" w:color="auto" w:sz="4" w:space="0"/>
              <w:bottom w:val="single" w:color="auto" w:sz="4" w:space="0"/>
              <w:right w:val="single" w:color="auto" w:sz="4" w:space="0"/>
            </w:tcBorders>
            <w:shd w:val="clear" w:color="auto" w:fill="auto"/>
            <w:noWrap/>
            <w:vAlign w:val="bottom"/>
            <w:hideMark/>
          </w:tcPr>
          <w:p w:rsidRPr="00B13BAD" w:rsidR="00B13BAD" w:rsidP="00B13BAD" w:rsidRDefault="00B13BAD" w14:paraId="07145A04" w14:textId="77777777">
            <w:pPr>
              <w:widowControl/>
              <w:autoSpaceDE/>
              <w:autoSpaceDN/>
              <w:adjustRightInd/>
              <w:rPr>
                <w:b/>
                <w:bCs/>
                <w:i/>
                <w:iCs/>
                <w:sz w:val="20"/>
                <w:szCs w:val="20"/>
              </w:rPr>
            </w:pPr>
            <w:r w:rsidRPr="00B13BAD">
              <w:rPr>
                <w:b/>
                <w:bCs/>
                <w:i/>
                <w:iCs/>
                <w:sz w:val="20"/>
                <w:szCs w:val="20"/>
              </w:rPr>
              <w:t>Subtotal for Recordkeeping Requirements</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2CE12A3" w14:textId="77777777">
            <w:pPr>
              <w:widowControl/>
              <w:autoSpaceDE/>
              <w:autoSpaceDN/>
              <w:adjustRightInd/>
              <w:rPr>
                <w:color w:val="000000"/>
                <w:sz w:val="20"/>
                <w:szCs w:val="20"/>
              </w:rPr>
            </w:pPr>
            <w:r w:rsidRPr="00B13BAD">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6ADC01F" w14:textId="77777777">
            <w:pPr>
              <w:widowControl/>
              <w:autoSpaceDE/>
              <w:autoSpaceDN/>
              <w:adjustRightInd/>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2B034FC" w14:textId="77777777">
            <w:pPr>
              <w:widowControl/>
              <w:autoSpaceDE/>
              <w:autoSpaceDN/>
              <w:adjustRightInd/>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B13BAD" w:rsidR="00B13BAD" w:rsidP="00B13BAD" w:rsidRDefault="00B13BAD" w14:paraId="6CED8B93" w14:textId="77777777">
            <w:pPr>
              <w:widowControl/>
              <w:autoSpaceDE/>
              <w:autoSpaceDN/>
              <w:adjustRightInd/>
              <w:rPr>
                <w:color w:val="000000"/>
                <w:sz w:val="20"/>
                <w:szCs w:val="20"/>
              </w:rPr>
            </w:pPr>
            <w:r w:rsidRPr="00B13BAD">
              <w:rPr>
                <w:color w:val="000000"/>
                <w:sz w:val="20"/>
                <w:szCs w:val="20"/>
              </w:rPr>
              <w:t> </w:t>
            </w:r>
          </w:p>
        </w:tc>
        <w:tc>
          <w:tcPr>
            <w:tcW w:w="3844" w:type="dxa"/>
            <w:gridSpan w:val="3"/>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7010731F" w14:textId="77777777">
            <w:pPr>
              <w:widowControl/>
              <w:autoSpaceDE/>
              <w:autoSpaceDN/>
              <w:adjustRightInd/>
              <w:jc w:val="center"/>
              <w:rPr>
                <w:b/>
                <w:bCs/>
                <w:color w:val="000000"/>
                <w:sz w:val="20"/>
                <w:szCs w:val="20"/>
              </w:rPr>
            </w:pPr>
            <w:r w:rsidRPr="00B13BAD">
              <w:rPr>
                <w:b/>
                <w:bCs/>
                <w:color w:val="000000"/>
                <w:sz w:val="20"/>
                <w:szCs w:val="20"/>
              </w:rPr>
              <w:t>3,386</w:t>
            </w:r>
          </w:p>
        </w:tc>
        <w:tc>
          <w:tcPr>
            <w:tcW w:w="1221" w:type="dxa"/>
            <w:tcBorders>
              <w:top w:val="nil"/>
              <w:left w:val="nil"/>
              <w:bottom w:val="single" w:color="auto" w:sz="4" w:space="0"/>
              <w:right w:val="single" w:color="auto" w:sz="4" w:space="0"/>
            </w:tcBorders>
            <w:shd w:val="clear" w:color="auto" w:fill="auto"/>
            <w:noWrap/>
            <w:vAlign w:val="center"/>
            <w:hideMark/>
          </w:tcPr>
          <w:p w:rsidRPr="00B13BAD" w:rsidR="00B13BAD" w:rsidP="00B13BAD" w:rsidRDefault="00B13BAD" w14:paraId="421D5BAE" w14:textId="77777777">
            <w:pPr>
              <w:widowControl/>
              <w:autoSpaceDE/>
              <w:autoSpaceDN/>
              <w:adjustRightInd/>
              <w:jc w:val="right"/>
              <w:rPr>
                <w:b/>
                <w:bCs/>
                <w:color w:val="000000"/>
                <w:sz w:val="20"/>
                <w:szCs w:val="20"/>
              </w:rPr>
            </w:pPr>
            <w:r w:rsidRPr="00B13BAD">
              <w:rPr>
                <w:b/>
                <w:bCs/>
                <w:color w:val="000000"/>
                <w:sz w:val="20"/>
                <w:szCs w:val="20"/>
              </w:rPr>
              <w:t xml:space="preserve">$400,468 </w:t>
            </w:r>
          </w:p>
        </w:tc>
      </w:tr>
      <w:tr w:rsidRPr="00B13BAD" w:rsidR="00B13BAD" w:rsidTr="00B13BAD" w14:paraId="1E736E8C" w14:textId="77777777">
        <w:trPr>
          <w:trHeight w:val="345"/>
        </w:trPr>
        <w:tc>
          <w:tcPr>
            <w:tcW w:w="357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3A31C9AC" w14:textId="77777777">
            <w:pPr>
              <w:widowControl/>
              <w:autoSpaceDE/>
              <w:autoSpaceDN/>
              <w:adjustRightInd/>
              <w:rPr>
                <w:b/>
                <w:bCs/>
                <w:color w:val="000000"/>
                <w:sz w:val="20"/>
                <w:szCs w:val="20"/>
              </w:rPr>
            </w:pPr>
            <w:r w:rsidRPr="00B13BAD">
              <w:rPr>
                <w:b/>
                <w:bCs/>
                <w:color w:val="000000"/>
                <w:sz w:val="20"/>
                <w:szCs w:val="20"/>
              </w:rPr>
              <w:t xml:space="preserve">Total Labor Burden and Costs (rounded) </w:t>
            </w:r>
            <w:r w:rsidRPr="00B13BAD">
              <w:rPr>
                <w:b/>
                <w:bCs/>
                <w:color w:val="000000"/>
                <w:sz w:val="20"/>
                <w:szCs w:val="20"/>
                <w:vertAlign w:val="superscript"/>
              </w:rPr>
              <w:t>h</w:t>
            </w:r>
          </w:p>
        </w:tc>
        <w:tc>
          <w:tcPr>
            <w:tcW w:w="132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3128E8C" w14:textId="77777777">
            <w:pPr>
              <w:widowControl/>
              <w:autoSpaceDE/>
              <w:autoSpaceDN/>
              <w:adjustRightInd/>
              <w:rPr>
                <w:color w:val="000000"/>
                <w:sz w:val="20"/>
                <w:szCs w:val="20"/>
              </w:rPr>
            </w:pPr>
            <w:r w:rsidRPr="00B13BAD">
              <w:rPr>
                <w:color w:val="000000"/>
                <w:sz w:val="20"/>
                <w:szCs w:val="20"/>
              </w:rPr>
              <w:t> </w:t>
            </w:r>
          </w:p>
        </w:tc>
        <w:tc>
          <w:tcPr>
            <w:tcW w:w="1228"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9F35A24" w14:textId="77777777">
            <w:pPr>
              <w:widowControl/>
              <w:autoSpaceDE/>
              <w:autoSpaceDN/>
              <w:adjustRightInd/>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7D5E348" w14:textId="77777777">
            <w:pPr>
              <w:widowControl/>
              <w:autoSpaceDE/>
              <w:autoSpaceDN/>
              <w:adjustRightInd/>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B13BAD" w:rsidR="00B13BAD" w:rsidP="00B13BAD" w:rsidRDefault="00B13BAD" w14:paraId="537D1094" w14:textId="77777777">
            <w:pPr>
              <w:widowControl/>
              <w:autoSpaceDE/>
              <w:autoSpaceDN/>
              <w:adjustRightInd/>
              <w:rPr>
                <w:color w:val="000000"/>
                <w:sz w:val="20"/>
                <w:szCs w:val="20"/>
              </w:rPr>
            </w:pPr>
            <w:r w:rsidRPr="00B13BAD">
              <w:rPr>
                <w:color w:val="000000"/>
                <w:sz w:val="20"/>
                <w:szCs w:val="20"/>
              </w:rPr>
              <w:t> </w:t>
            </w:r>
          </w:p>
        </w:tc>
        <w:tc>
          <w:tcPr>
            <w:tcW w:w="3844" w:type="dxa"/>
            <w:gridSpan w:val="3"/>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7FF1EC48" w14:textId="77777777">
            <w:pPr>
              <w:widowControl/>
              <w:autoSpaceDE/>
              <w:autoSpaceDN/>
              <w:adjustRightInd/>
              <w:jc w:val="center"/>
              <w:rPr>
                <w:b/>
                <w:bCs/>
                <w:color w:val="000000"/>
                <w:sz w:val="20"/>
                <w:szCs w:val="20"/>
              </w:rPr>
            </w:pPr>
            <w:r w:rsidRPr="00B13BAD">
              <w:rPr>
                <w:b/>
                <w:bCs/>
                <w:color w:val="000000"/>
                <w:sz w:val="20"/>
                <w:szCs w:val="20"/>
              </w:rPr>
              <w:t>4,270</w:t>
            </w:r>
          </w:p>
        </w:tc>
        <w:tc>
          <w:tcPr>
            <w:tcW w:w="122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F028348" w14:textId="77777777">
            <w:pPr>
              <w:widowControl/>
              <w:autoSpaceDE/>
              <w:autoSpaceDN/>
              <w:adjustRightInd/>
              <w:jc w:val="right"/>
              <w:rPr>
                <w:b/>
                <w:bCs/>
                <w:color w:val="000000"/>
                <w:sz w:val="20"/>
                <w:szCs w:val="20"/>
              </w:rPr>
            </w:pPr>
            <w:r w:rsidRPr="00B13BAD">
              <w:rPr>
                <w:b/>
                <w:bCs/>
                <w:color w:val="000000"/>
                <w:sz w:val="20"/>
                <w:szCs w:val="20"/>
              </w:rPr>
              <w:t xml:space="preserve">$505,000 </w:t>
            </w:r>
          </w:p>
        </w:tc>
      </w:tr>
      <w:tr w:rsidRPr="00B13BAD" w:rsidR="00B13BAD" w:rsidTr="00B13BAD" w14:paraId="0FCD425F" w14:textId="77777777">
        <w:trPr>
          <w:trHeight w:val="315"/>
        </w:trPr>
        <w:tc>
          <w:tcPr>
            <w:tcW w:w="3570" w:type="dxa"/>
            <w:tcBorders>
              <w:top w:val="nil"/>
              <w:left w:val="single" w:color="auto" w:sz="4" w:space="0"/>
              <w:bottom w:val="single" w:color="auto" w:sz="4" w:space="0"/>
              <w:right w:val="single" w:color="auto" w:sz="4" w:space="0"/>
            </w:tcBorders>
            <w:shd w:val="clear" w:color="auto" w:fill="auto"/>
            <w:noWrap/>
            <w:vAlign w:val="center"/>
            <w:hideMark/>
          </w:tcPr>
          <w:p w:rsidRPr="00B13BAD" w:rsidR="00B13BAD" w:rsidP="00B13BAD" w:rsidRDefault="00B13BAD" w14:paraId="4D64C168" w14:textId="77777777">
            <w:pPr>
              <w:widowControl/>
              <w:autoSpaceDE/>
              <w:autoSpaceDN/>
              <w:adjustRightInd/>
              <w:rPr>
                <w:b/>
                <w:bCs/>
                <w:sz w:val="20"/>
                <w:szCs w:val="20"/>
              </w:rPr>
            </w:pPr>
            <w:r w:rsidRPr="00B13BAD">
              <w:rPr>
                <w:b/>
                <w:bCs/>
                <w:sz w:val="20"/>
                <w:szCs w:val="20"/>
              </w:rPr>
              <w:t xml:space="preserve">Total Capital and O&amp;M Cost (rounded) </w:t>
            </w:r>
            <w:r w:rsidRPr="00B13BAD">
              <w:rPr>
                <w:b/>
                <w:bCs/>
                <w:sz w:val="20"/>
                <w:szCs w:val="20"/>
                <w:vertAlign w:val="superscript"/>
              </w:rPr>
              <w:t>h</w:t>
            </w:r>
          </w:p>
        </w:tc>
        <w:tc>
          <w:tcPr>
            <w:tcW w:w="1322" w:type="dxa"/>
            <w:tcBorders>
              <w:top w:val="nil"/>
              <w:left w:val="nil"/>
              <w:bottom w:val="single" w:color="auto" w:sz="4" w:space="0"/>
              <w:right w:val="single" w:color="auto" w:sz="4" w:space="0"/>
            </w:tcBorders>
            <w:shd w:val="clear" w:color="auto" w:fill="auto"/>
            <w:hideMark/>
          </w:tcPr>
          <w:p w:rsidRPr="00B13BAD" w:rsidR="00B13BAD" w:rsidP="00B13BAD" w:rsidRDefault="00B13BAD" w14:paraId="2D5C96BD" w14:textId="77777777">
            <w:pPr>
              <w:widowControl/>
              <w:autoSpaceDE/>
              <w:autoSpaceDN/>
              <w:adjustRightInd/>
              <w:rPr>
                <w:color w:val="000000"/>
                <w:sz w:val="20"/>
                <w:szCs w:val="20"/>
              </w:rPr>
            </w:pPr>
            <w:r w:rsidRPr="00B13BAD">
              <w:rPr>
                <w:color w:val="000000"/>
                <w:sz w:val="20"/>
                <w:szCs w:val="20"/>
              </w:rPr>
              <w:t> </w:t>
            </w:r>
          </w:p>
        </w:tc>
        <w:tc>
          <w:tcPr>
            <w:tcW w:w="1228" w:type="dxa"/>
            <w:tcBorders>
              <w:top w:val="nil"/>
              <w:left w:val="nil"/>
              <w:bottom w:val="single" w:color="auto" w:sz="4" w:space="0"/>
              <w:right w:val="single" w:color="auto" w:sz="4" w:space="0"/>
            </w:tcBorders>
            <w:shd w:val="clear" w:color="auto" w:fill="auto"/>
            <w:hideMark/>
          </w:tcPr>
          <w:p w:rsidRPr="00B13BAD" w:rsidR="00B13BAD" w:rsidP="00B13BAD" w:rsidRDefault="00B13BAD" w14:paraId="540F8FF9" w14:textId="77777777">
            <w:pPr>
              <w:widowControl/>
              <w:autoSpaceDE/>
              <w:autoSpaceDN/>
              <w:adjustRightInd/>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hideMark/>
          </w:tcPr>
          <w:p w:rsidRPr="00B13BAD" w:rsidR="00B13BAD" w:rsidP="00B13BAD" w:rsidRDefault="00B13BAD" w14:paraId="74132FF3" w14:textId="77777777">
            <w:pPr>
              <w:widowControl/>
              <w:autoSpaceDE/>
              <w:autoSpaceDN/>
              <w:adjustRightInd/>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B13BAD" w:rsidR="00B13BAD" w:rsidP="00B13BAD" w:rsidRDefault="00B13BAD" w14:paraId="1F237E15" w14:textId="77777777">
            <w:pPr>
              <w:widowControl/>
              <w:autoSpaceDE/>
              <w:autoSpaceDN/>
              <w:adjustRightInd/>
              <w:rPr>
                <w:color w:val="000000"/>
                <w:sz w:val="20"/>
                <w:szCs w:val="20"/>
              </w:rPr>
            </w:pPr>
            <w:r w:rsidRPr="00B13BAD">
              <w:rPr>
                <w:color w:val="000000"/>
                <w:sz w:val="20"/>
                <w:szCs w:val="20"/>
              </w:rPr>
              <w:t> </w:t>
            </w:r>
          </w:p>
        </w:tc>
        <w:tc>
          <w:tcPr>
            <w:tcW w:w="1324" w:type="dxa"/>
            <w:tcBorders>
              <w:top w:val="nil"/>
              <w:left w:val="nil"/>
              <w:bottom w:val="single" w:color="auto" w:sz="4" w:space="0"/>
              <w:right w:val="single" w:color="auto" w:sz="4" w:space="0"/>
            </w:tcBorders>
            <w:shd w:val="clear" w:color="auto" w:fill="auto"/>
            <w:hideMark/>
          </w:tcPr>
          <w:p w:rsidRPr="00B13BAD" w:rsidR="00B13BAD" w:rsidP="00B13BAD" w:rsidRDefault="00B13BAD" w14:paraId="2FA8A866" w14:textId="77777777">
            <w:pPr>
              <w:widowControl/>
              <w:autoSpaceDE/>
              <w:autoSpaceDN/>
              <w:adjustRightInd/>
              <w:rPr>
                <w:color w:val="000000"/>
                <w:sz w:val="20"/>
                <w:szCs w:val="20"/>
              </w:rPr>
            </w:pPr>
            <w:r w:rsidRPr="00B13BAD">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4511071" w14:textId="77777777">
            <w:pPr>
              <w:widowControl/>
              <w:autoSpaceDE/>
              <w:autoSpaceDN/>
              <w:adjustRightInd/>
              <w:jc w:val="center"/>
              <w:rPr>
                <w:color w:val="000000"/>
                <w:sz w:val="20"/>
                <w:szCs w:val="20"/>
              </w:rPr>
            </w:pPr>
            <w:r w:rsidRPr="00B13BAD">
              <w:rPr>
                <w:color w:val="000000"/>
                <w:sz w:val="20"/>
                <w:szCs w:val="20"/>
              </w:rPr>
              <w:t> </w:t>
            </w:r>
          </w:p>
        </w:tc>
        <w:tc>
          <w:tcPr>
            <w:tcW w:w="1259" w:type="dxa"/>
            <w:tcBorders>
              <w:top w:val="nil"/>
              <w:left w:val="nil"/>
              <w:bottom w:val="single" w:color="auto" w:sz="4" w:space="0"/>
              <w:right w:val="single" w:color="auto" w:sz="4" w:space="0"/>
            </w:tcBorders>
            <w:shd w:val="clear" w:color="auto" w:fill="auto"/>
            <w:hideMark/>
          </w:tcPr>
          <w:p w:rsidRPr="00B13BAD" w:rsidR="00B13BAD" w:rsidP="00B13BAD" w:rsidRDefault="00B13BAD" w14:paraId="64F0B283" w14:textId="77777777">
            <w:pPr>
              <w:widowControl/>
              <w:autoSpaceDE/>
              <w:autoSpaceDN/>
              <w:adjustRightInd/>
              <w:rPr>
                <w:color w:val="000000"/>
                <w:sz w:val="20"/>
                <w:szCs w:val="20"/>
              </w:rPr>
            </w:pPr>
            <w:r w:rsidRPr="00B13BAD">
              <w:rPr>
                <w:color w:val="000000"/>
                <w:sz w:val="20"/>
                <w:szCs w:val="20"/>
              </w:rPr>
              <w:t> </w:t>
            </w:r>
          </w:p>
        </w:tc>
        <w:tc>
          <w:tcPr>
            <w:tcW w:w="1221" w:type="dxa"/>
            <w:tcBorders>
              <w:top w:val="nil"/>
              <w:left w:val="nil"/>
              <w:bottom w:val="single" w:color="auto" w:sz="4" w:space="0"/>
              <w:right w:val="single" w:color="auto" w:sz="4" w:space="0"/>
            </w:tcBorders>
            <w:shd w:val="clear" w:color="auto" w:fill="auto"/>
            <w:hideMark/>
          </w:tcPr>
          <w:p w:rsidRPr="00B13BAD" w:rsidR="00B13BAD" w:rsidP="00B13BAD" w:rsidRDefault="00B13BAD" w14:paraId="00FD485A" w14:textId="77777777">
            <w:pPr>
              <w:widowControl/>
              <w:autoSpaceDE/>
              <w:autoSpaceDN/>
              <w:adjustRightInd/>
              <w:jc w:val="right"/>
              <w:rPr>
                <w:b/>
                <w:bCs/>
                <w:color w:val="000000"/>
                <w:sz w:val="20"/>
                <w:szCs w:val="20"/>
              </w:rPr>
            </w:pPr>
            <w:r w:rsidRPr="00B13BAD">
              <w:rPr>
                <w:b/>
                <w:bCs/>
                <w:color w:val="000000"/>
                <w:sz w:val="20"/>
                <w:szCs w:val="20"/>
              </w:rPr>
              <w:t>$0</w:t>
            </w:r>
          </w:p>
        </w:tc>
      </w:tr>
      <w:tr w:rsidRPr="00B13BAD" w:rsidR="00B13BAD" w:rsidTr="00B13BAD" w14:paraId="44BDAE57" w14:textId="77777777">
        <w:trPr>
          <w:trHeight w:val="315"/>
        </w:trPr>
        <w:tc>
          <w:tcPr>
            <w:tcW w:w="3570" w:type="dxa"/>
            <w:tcBorders>
              <w:top w:val="nil"/>
              <w:left w:val="single" w:color="auto" w:sz="4" w:space="0"/>
              <w:bottom w:val="single" w:color="auto" w:sz="4" w:space="0"/>
              <w:right w:val="single" w:color="auto" w:sz="4" w:space="0"/>
            </w:tcBorders>
            <w:shd w:val="clear" w:color="auto" w:fill="auto"/>
            <w:noWrap/>
            <w:vAlign w:val="center"/>
            <w:hideMark/>
          </w:tcPr>
          <w:p w:rsidRPr="00B13BAD" w:rsidR="00B13BAD" w:rsidP="00B13BAD" w:rsidRDefault="00B13BAD" w14:paraId="5077E74A" w14:textId="77777777">
            <w:pPr>
              <w:widowControl/>
              <w:autoSpaceDE/>
              <w:autoSpaceDN/>
              <w:adjustRightInd/>
              <w:rPr>
                <w:b/>
                <w:bCs/>
                <w:sz w:val="20"/>
                <w:szCs w:val="20"/>
              </w:rPr>
            </w:pPr>
            <w:r w:rsidRPr="00B13BAD">
              <w:rPr>
                <w:b/>
                <w:bCs/>
                <w:sz w:val="20"/>
                <w:szCs w:val="20"/>
              </w:rPr>
              <w:t xml:space="preserve">GRAND TOTAL </w:t>
            </w:r>
            <w:r w:rsidRPr="00B13BAD">
              <w:rPr>
                <w:b/>
                <w:bCs/>
                <w:sz w:val="20"/>
                <w:szCs w:val="20"/>
                <w:vertAlign w:val="superscript"/>
              </w:rPr>
              <w:t>h</w:t>
            </w:r>
          </w:p>
        </w:tc>
        <w:tc>
          <w:tcPr>
            <w:tcW w:w="1322"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22F0F0BE" w14:textId="77777777">
            <w:pPr>
              <w:widowControl/>
              <w:autoSpaceDE/>
              <w:autoSpaceDN/>
              <w:adjustRightInd/>
              <w:rPr>
                <w:color w:val="000000"/>
                <w:sz w:val="20"/>
                <w:szCs w:val="20"/>
              </w:rPr>
            </w:pPr>
            <w:r w:rsidRPr="00B13BAD">
              <w:rPr>
                <w:color w:val="000000"/>
                <w:sz w:val="20"/>
                <w:szCs w:val="20"/>
              </w:rPr>
              <w:t> </w:t>
            </w:r>
          </w:p>
        </w:tc>
        <w:tc>
          <w:tcPr>
            <w:tcW w:w="1228"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10506592" w14:textId="77777777">
            <w:pPr>
              <w:widowControl/>
              <w:autoSpaceDE/>
              <w:autoSpaceDN/>
              <w:adjustRightInd/>
              <w:rPr>
                <w:color w:val="000000"/>
                <w:sz w:val="20"/>
                <w:szCs w:val="20"/>
              </w:rPr>
            </w:pPr>
            <w:r w:rsidRPr="00B13BAD">
              <w:rPr>
                <w:color w:val="000000"/>
                <w:sz w:val="20"/>
                <w:szCs w:val="20"/>
              </w:rPr>
              <w:t> </w:t>
            </w:r>
          </w:p>
        </w:tc>
        <w:tc>
          <w:tcPr>
            <w:tcW w:w="1487"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77553C85" w14:textId="77777777">
            <w:pPr>
              <w:widowControl/>
              <w:autoSpaceDE/>
              <w:autoSpaceDN/>
              <w:adjustRightInd/>
              <w:rPr>
                <w:color w:val="000000"/>
                <w:sz w:val="20"/>
                <w:szCs w:val="20"/>
              </w:rPr>
            </w:pPr>
            <w:r w:rsidRPr="00B13BAD">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1BFFBA26" w14:textId="77777777">
            <w:pPr>
              <w:widowControl/>
              <w:autoSpaceDE/>
              <w:autoSpaceDN/>
              <w:adjustRightInd/>
              <w:rPr>
                <w:color w:val="000000"/>
                <w:sz w:val="20"/>
                <w:szCs w:val="20"/>
              </w:rPr>
            </w:pPr>
            <w:r w:rsidRPr="00B13BAD">
              <w:rPr>
                <w:color w:val="000000"/>
                <w:sz w:val="20"/>
                <w:szCs w:val="20"/>
              </w:rPr>
              <w:t> </w:t>
            </w:r>
          </w:p>
        </w:tc>
        <w:tc>
          <w:tcPr>
            <w:tcW w:w="1324"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3C94F2C9" w14:textId="77777777">
            <w:pPr>
              <w:widowControl/>
              <w:autoSpaceDE/>
              <w:autoSpaceDN/>
              <w:adjustRightInd/>
              <w:rPr>
                <w:color w:val="000000"/>
                <w:sz w:val="20"/>
                <w:szCs w:val="20"/>
              </w:rPr>
            </w:pPr>
            <w:r w:rsidRPr="00B13BAD">
              <w:rPr>
                <w:color w:val="000000"/>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3932DE97" w14:textId="77777777">
            <w:pPr>
              <w:widowControl/>
              <w:autoSpaceDE/>
              <w:autoSpaceDN/>
              <w:adjustRightInd/>
              <w:rPr>
                <w:color w:val="000000"/>
                <w:sz w:val="20"/>
                <w:szCs w:val="20"/>
              </w:rPr>
            </w:pPr>
            <w:r w:rsidRPr="00B13BAD">
              <w:rPr>
                <w:color w:val="000000"/>
                <w:sz w:val="20"/>
                <w:szCs w:val="20"/>
              </w:rPr>
              <w:t> </w:t>
            </w:r>
          </w:p>
        </w:tc>
        <w:tc>
          <w:tcPr>
            <w:tcW w:w="1259"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6F920AF6" w14:textId="77777777">
            <w:pPr>
              <w:widowControl/>
              <w:autoSpaceDE/>
              <w:autoSpaceDN/>
              <w:adjustRightInd/>
              <w:rPr>
                <w:color w:val="000000"/>
                <w:sz w:val="20"/>
                <w:szCs w:val="20"/>
              </w:rPr>
            </w:pPr>
            <w:r w:rsidRPr="00B13BAD">
              <w:rPr>
                <w:color w:val="000000"/>
                <w:sz w:val="20"/>
                <w:szCs w:val="20"/>
              </w:rPr>
              <w:t> </w:t>
            </w:r>
          </w:p>
        </w:tc>
        <w:tc>
          <w:tcPr>
            <w:tcW w:w="1221" w:type="dxa"/>
            <w:tcBorders>
              <w:top w:val="nil"/>
              <w:left w:val="nil"/>
              <w:bottom w:val="single" w:color="auto" w:sz="4" w:space="0"/>
              <w:right w:val="single" w:color="auto" w:sz="4" w:space="0"/>
            </w:tcBorders>
            <w:shd w:val="clear" w:color="auto" w:fill="auto"/>
            <w:noWrap/>
            <w:vAlign w:val="bottom"/>
            <w:hideMark/>
          </w:tcPr>
          <w:p w:rsidRPr="00B13BAD" w:rsidR="00B13BAD" w:rsidP="00B13BAD" w:rsidRDefault="00B13BAD" w14:paraId="50BB83D7" w14:textId="77777777">
            <w:pPr>
              <w:widowControl/>
              <w:autoSpaceDE/>
              <w:autoSpaceDN/>
              <w:adjustRightInd/>
              <w:jc w:val="right"/>
              <w:rPr>
                <w:b/>
                <w:bCs/>
                <w:color w:val="000000"/>
                <w:sz w:val="20"/>
                <w:szCs w:val="20"/>
              </w:rPr>
            </w:pPr>
            <w:r w:rsidRPr="00B13BAD">
              <w:rPr>
                <w:b/>
                <w:bCs/>
                <w:color w:val="000000"/>
                <w:sz w:val="20"/>
                <w:szCs w:val="20"/>
              </w:rPr>
              <w:t xml:space="preserve">$505,000 </w:t>
            </w:r>
          </w:p>
        </w:tc>
      </w:tr>
      <w:tr w:rsidRPr="00B13BAD" w:rsidR="00B13BAD" w:rsidTr="00B13BAD" w14:paraId="6D38A4BD" w14:textId="77777777">
        <w:trPr>
          <w:trHeight w:val="255"/>
        </w:trPr>
        <w:tc>
          <w:tcPr>
            <w:tcW w:w="3570" w:type="dxa"/>
            <w:tcBorders>
              <w:top w:val="nil"/>
              <w:left w:val="nil"/>
              <w:bottom w:val="nil"/>
              <w:right w:val="nil"/>
            </w:tcBorders>
            <w:shd w:val="clear" w:color="auto" w:fill="auto"/>
            <w:noWrap/>
            <w:vAlign w:val="bottom"/>
            <w:hideMark/>
          </w:tcPr>
          <w:p w:rsidRPr="00B13BAD" w:rsidR="00B13BAD" w:rsidP="00B13BAD" w:rsidRDefault="00B13BAD" w14:paraId="3BD61446" w14:textId="77777777">
            <w:pPr>
              <w:widowControl/>
              <w:autoSpaceDE/>
              <w:autoSpaceDN/>
              <w:adjustRightInd/>
              <w:jc w:val="right"/>
              <w:rPr>
                <w:b/>
                <w:bCs/>
                <w:color w:val="000000"/>
                <w:sz w:val="20"/>
                <w:szCs w:val="20"/>
              </w:rPr>
            </w:pPr>
          </w:p>
        </w:tc>
        <w:tc>
          <w:tcPr>
            <w:tcW w:w="1322" w:type="dxa"/>
            <w:tcBorders>
              <w:top w:val="nil"/>
              <w:left w:val="nil"/>
              <w:bottom w:val="nil"/>
              <w:right w:val="nil"/>
            </w:tcBorders>
            <w:shd w:val="clear" w:color="auto" w:fill="auto"/>
            <w:noWrap/>
            <w:vAlign w:val="bottom"/>
            <w:hideMark/>
          </w:tcPr>
          <w:p w:rsidRPr="00B13BAD" w:rsidR="00B13BAD" w:rsidP="00B13BAD" w:rsidRDefault="00B13BAD" w14:paraId="1ED4A503"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B13BAD" w:rsidR="00B13BAD" w:rsidP="00B13BAD" w:rsidRDefault="00B13BAD" w14:paraId="5ECB26ED" w14:textId="77777777">
            <w:pPr>
              <w:widowControl/>
              <w:autoSpaceDE/>
              <w:autoSpaceDN/>
              <w:adjustRightInd/>
              <w:rPr>
                <w:sz w:val="20"/>
                <w:szCs w:val="20"/>
              </w:rPr>
            </w:pPr>
          </w:p>
        </w:tc>
        <w:tc>
          <w:tcPr>
            <w:tcW w:w="1487" w:type="dxa"/>
            <w:tcBorders>
              <w:top w:val="nil"/>
              <w:left w:val="nil"/>
              <w:bottom w:val="nil"/>
              <w:right w:val="nil"/>
            </w:tcBorders>
            <w:shd w:val="clear" w:color="auto" w:fill="auto"/>
            <w:noWrap/>
            <w:vAlign w:val="bottom"/>
            <w:hideMark/>
          </w:tcPr>
          <w:p w:rsidRPr="00B13BAD" w:rsidR="00B13BAD" w:rsidP="00B13BAD" w:rsidRDefault="00B13BAD" w14:paraId="32A12CD6"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B13BAD" w:rsidR="00B13BAD" w:rsidP="00B13BAD" w:rsidRDefault="00B13BAD" w14:paraId="6C41E64E" w14:textId="77777777">
            <w:pPr>
              <w:widowControl/>
              <w:autoSpaceDE/>
              <w:autoSpaceDN/>
              <w:adjustRightInd/>
              <w:rPr>
                <w:sz w:val="20"/>
                <w:szCs w:val="20"/>
              </w:rPr>
            </w:pPr>
          </w:p>
        </w:tc>
        <w:tc>
          <w:tcPr>
            <w:tcW w:w="1324" w:type="dxa"/>
            <w:tcBorders>
              <w:top w:val="nil"/>
              <w:left w:val="nil"/>
              <w:bottom w:val="nil"/>
              <w:right w:val="nil"/>
            </w:tcBorders>
            <w:shd w:val="clear" w:color="auto" w:fill="auto"/>
            <w:noWrap/>
            <w:vAlign w:val="bottom"/>
            <w:hideMark/>
          </w:tcPr>
          <w:p w:rsidRPr="00B13BAD" w:rsidR="00B13BAD" w:rsidP="00B13BAD" w:rsidRDefault="00B13BAD" w14:paraId="372D3300"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B13BAD" w:rsidR="00B13BAD" w:rsidP="00B13BAD" w:rsidRDefault="00B13BAD" w14:paraId="5C0A59CB" w14:textId="77777777">
            <w:pPr>
              <w:widowControl/>
              <w:autoSpaceDE/>
              <w:autoSpaceDN/>
              <w:adjustRightInd/>
              <w:rPr>
                <w:sz w:val="20"/>
                <w:szCs w:val="20"/>
              </w:rPr>
            </w:pPr>
          </w:p>
        </w:tc>
        <w:tc>
          <w:tcPr>
            <w:tcW w:w="1259" w:type="dxa"/>
            <w:tcBorders>
              <w:top w:val="nil"/>
              <w:left w:val="nil"/>
              <w:bottom w:val="nil"/>
              <w:right w:val="nil"/>
            </w:tcBorders>
            <w:shd w:val="clear" w:color="auto" w:fill="auto"/>
            <w:noWrap/>
            <w:vAlign w:val="bottom"/>
            <w:hideMark/>
          </w:tcPr>
          <w:p w:rsidRPr="00B13BAD" w:rsidR="00B13BAD" w:rsidP="00B13BAD" w:rsidRDefault="00B13BAD" w14:paraId="1423B5F0" w14:textId="77777777">
            <w:pPr>
              <w:widowControl/>
              <w:autoSpaceDE/>
              <w:autoSpaceDN/>
              <w:adjustRightInd/>
              <w:rPr>
                <w:sz w:val="20"/>
                <w:szCs w:val="20"/>
              </w:rPr>
            </w:pPr>
          </w:p>
        </w:tc>
        <w:tc>
          <w:tcPr>
            <w:tcW w:w="1221" w:type="dxa"/>
            <w:tcBorders>
              <w:top w:val="nil"/>
              <w:left w:val="nil"/>
              <w:bottom w:val="nil"/>
              <w:right w:val="nil"/>
            </w:tcBorders>
            <w:shd w:val="clear" w:color="auto" w:fill="auto"/>
            <w:noWrap/>
            <w:vAlign w:val="bottom"/>
            <w:hideMark/>
          </w:tcPr>
          <w:p w:rsidRPr="00B13BAD" w:rsidR="00B13BAD" w:rsidP="00B13BAD" w:rsidRDefault="00B13BAD" w14:paraId="39076EF6" w14:textId="77777777">
            <w:pPr>
              <w:widowControl/>
              <w:autoSpaceDE/>
              <w:autoSpaceDN/>
              <w:adjustRightInd/>
              <w:rPr>
                <w:sz w:val="20"/>
                <w:szCs w:val="20"/>
              </w:rPr>
            </w:pPr>
          </w:p>
        </w:tc>
      </w:tr>
      <w:tr w:rsidRPr="00B13BAD" w:rsidR="00B13BAD" w:rsidTr="00B13BAD" w14:paraId="05AAEEEC" w14:textId="77777777">
        <w:trPr>
          <w:trHeight w:val="255"/>
        </w:trPr>
        <w:tc>
          <w:tcPr>
            <w:tcW w:w="13911" w:type="dxa"/>
            <w:gridSpan w:val="9"/>
            <w:tcBorders>
              <w:top w:val="nil"/>
              <w:left w:val="nil"/>
              <w:bottom w:val="nil"/>
              <w:right w:val="nil"/>
            </w:tcBorders>
            <w:shd w:val="clear" w:color="auto" w:fill="auto"/>
            <w:hideMark/>
          </w:tcPr>
          <w:p w:rsidRPr="00B13BAD" w:rsidR="00B13BAD" w:rsidP="00B13BAD" w:rsidRDefault="00B13BAD" w14:paraId="3114CA8A" w14:textId="77777777">
            <w:pPr>
              <w:widowControl/>
              <w:autoSpaceDE/>
              <w:autoSpaceDN/>
              <w:adjustRightInd/>
              <w:rPr>
                <w:b/>
                <w:bCs/>
                <w:color w:val="000000"/>
                <w:sz w:val="20"/>
                <w:szCs w:val="20"/>
              </w:rPr>
            </w:pPr>
            <w:r w:rsidRPr="00B13BAD">
              <w:rPr>
                <w:b/>
                <w:bCs/>
                <w:color w:val="000000"/>
                <w:sz w:val="20"/>
                <w:szCs w:val="20"/>
              </w:rPr>
              <w:t>Assumptions:</w:t>
            </w:r>
          </w:p>
        </w:tc>
      </w:tr>
      <w:tr w:rsidRPr="00B13BAD" w:rsidR="00B13BAD" w:rsidTr="006107F3" w14:paraId="53B16329" w14:textId="77777777">
        <w:trPr>
          <w:trHeight w:val="225"/>
        </w:trPr>
        <w:tc>
          <w:tcPr>
            <w:tcW w:w="13911" w:type="dxa"/>
            <w:gridSpan w:val="9"/>
            <w:tcBorders>
              <w:top w:val="nil"/>
              <w:left w:val="nil"/>
              <w:bottom w:val="nil"/>
              <w:right w:val="nil"/>
            </w:tcBorders>
            <w:shd w:val="clear" w:color="auto" w:fill="auto"/>
            <w:noWrap/>
            <w:hideMark/>
          </w:tcPr>
          <w:p w:rsidRPr="00B13BAD" w:rsidR="00B13BAD" w:rsidP="00B13BAD" w:rsidRDefault="00B13BAD" w14:paraId="099C7E99" w14:textId="77777777">
            <w:pPr>
              <w:widowControl/>
              <w:autoSpaceDE/>
              <w:autoSpaceDN/>
              <w:adjustRightInd/>
              <w:rPr>
                <w:color w:val="000000"/>
                <w:sz w:val="20"/>
                <w:szCs w:val="20"/>
              </w:rPr>
            </w:pPr>
            <w:proofErr w:type="spellStart"/>
            <w:r w:rsidRPr="00B13BAD">
              <w:rPr>
                <w:color w:val="000000"/>
                <w:sz w:val="20"/>
                <w:szCs w:val="20"/>
                <w:vertAlign w:val="superscript"/>
              </w:rPr>
              <w:t>a</w:t>
            </w:r>
            <w:proofErr w:type="spellEnd"/>
            <w:r w:rsidRPr="00B13BAD">
              <w:rPr>
                <w:color w:val="000000"/>
                <w:sz w:val="20"/>
                <w:szCs w:val="20"/>
              </w:rPr>
              <w:t xml:space="preserve">   We have assumed that there are approximately 16 respondents, with no additional new or reconstructed sources becoming subject to the rule over the next three years.</w:t>
            </w:r>
          </w:p>
        </w:tc>
      </w:tr>
      <w:tr w:rsidRPr="00B13BAD" w:rsidR="00B13BAD" w:rsidTr="006107F3" w14:paraId="4E180856" w14:textId="77777777">
        <w:trPr>
          <w:trHeight w:val="585"/>
        </w:trPr>
        <w:tc>
          <w:tcPr>
            <w:tcW w:w="13911" w:type="dxa"/>
            <w:gridSpan w:val="9"/>
            <w:tcBorders>
              <w:top w:val="nil"/>
              <w:left w:val="nil"/>
              <w:bottom w:val="nil"/>
              <w:right w:val="nil"/>
            </w:tcBorders>
            <w:shd w:val="clear" w:color="auto" w:fill="auto"/>
            <w:hideMark/>
          </w:tcPr>
          <w:p w:rsidRPr="00B13BAD" w:rsidR="00B13BAD" w:rsidP="00B13BAD" w:rsidRDefault="00B13BAD" w14:paraId="573602D8" w14:textId="77777777">
            <w:pPr>
              <w:widowControl/>
              <w:autoSpaceDE/>
              <w:autoSpaceDN/>
              <w:adjustRightInd/>
              <w:rPr>
                <w:color w:val="000000"/>
              </w:rPr>
            </w:pPr>
            <w:proofErr w:type="gramStart"/>
            <w:r w:rsidRPr="00B13BAD">
              <w:rPr>
                <w:color w:val="000000"/>
                <w:vertAlign w:val="superscript"/>
              </w:rPr>
              <w:t xml:space="preserve">b </w:t>
            </w:r>
            <w:r w:rsidRPr="00B13BAD">
              <w:rPr>
                <w:color w:val="000000"/>
                <w:sz w:val="20"/>
                <w:szCs w:val="20"/>
              </w:rPr>
              <w:t xml:space="preserve"> This</w:t>
            </w:r>
            <w:proofErr w:type="gramEnd"/>
            <w:r w:rsidRPr="00B13BAD">
              <w:rPr>
                <w:color w:val="000000"/>
                <w:sz w:val="20"/>
                <w:szCs w:val="20"/>
              </w:rPr>
              <w:t xml:space="preserve"> ICR uses the following labor rates: Managerial $153.55 ($73.12+ 110%); Technical $122.20 ($58.19 + 110%);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 </w:t>
            </w:r>
          </w:p>
        </w:tc>
      </w:tr>
      <w:tr w:rsidRPr="00B13BAD" w:rsidR="00B13BAD" w:rsidTr="006107F3" w14:paraId="4D54BBC1" w14:textId="77777777">
        <w:trPr>
          <w:trHeight w:val="108"/>
        </w:trPr>
        <w:tc>
          <w:tcPr>
            <w:tcW w:w="13911" w:type="dxa"/>
            <w:gridSpan w:val="9"/>
            <w:tcBorders>
              <w:top w:val="nil"/>
              <w:left w:val="nil"/>
              <w:bottom w:val="nil"/>
              <w:right w:val="nil"/>
            </w:tcBorders>
            <w:shd w:val="clear" w:color="auto" w:fill="auto"/>
            <w:hideMark/>
          </w:tcPr>
          <w:p w:rsidRPr="00B13BAD" w:rsidR="00B13BAD" w:rsidP="00B13BAD" w:rsidRDefault="00B13BAD" w14:paraId="0B04AC5A" w14:textId="77777777">
            <w:pPr>
              <w:widowControl/>
              <w:autoSpaceDE/>
              <w:autoSpaceDN/>
              <w:adjustRightInd/>
              <w:rPr>
                <w:color w:val="000000"/>
                <w:sz w:val="20"/>
                <w:szCs w:val="20"/>
              </w:rPr>
            </w:pPr>
            <w:proofErr w:type="gramStart"/>
            <w:r w:rsidRPr="00B13BAD">
              <w:rPr>
                <w:color w:val="000000"/>
                <w:sz w:val="20"/>
                <w:szCs w:val="20"/>
                <w:vertAlign w:val="superscript"/>
              </w:rPr>
              <w:t>c</w:t>
            </w:r>
            <w:r w:rsidRPr="00B13BAD">
              <w:rPr>
                <w:color w:val="000000"/>
                <w:sz w:val="20"/>
                <w:szCs w:val="20"/>
              </w:rPr>
              <w:t xml:space="preserve">  We</w:t>
            </w:r>
            <w:proofErr w:type="gramEnd"/>
            <w:r w:rsidRPr="00B13BAD">
              <w:rPr>
                <w:color w:val="000000"/>
                <w:sz w:val="20"/>
                <w:szCs w:val="20"/>
              </w:rPr>
              <w:t xml:space="preserve"> assume each respondent will take ten hours, once per year to plan activities and train staff. </w:t>
            </w:r>
          </w:p>
        </w:tc>
      </w:tr>
      <w:tr w:rsidRPr="00B13BAD" w:rsidR="00B13BAD" w:rsidTr="006107F3" w14:paraId="7A7640AD" w14:textId="77777777">
        <w:trPr>
          <w:trHeight w:val="342"/>
        </w:trPr>
        <w:tc>
          <w:tcPr>
            <w:tcW w:w="13911" w:type="dxa"/>
            <w:gridSpan w:val="9"/>
            <w:tcBorders>
              <w:top w:val="nil"/>
              <w:left w:val="nil"/>
              <w:bottom w:val="nil"/>
              <w:right w:val="nil"/>
            </w:tcBorders>
            <w:shd w:val="clear" w:color="auto" w:fill="auto"/>
            <w:hideMark/>
          </w:tcPr>
          <w:p w:rsidRPr="00B13BAD" w:rsidR="00B13BAD" w:rsidP="00B13BAD" w:rsidRDefault="00B13BAD" w14:paraId="46B3CAC2" w14:textId="77777777">
            <w:pPr>
              <w:widowControl/>
              <w:autoSpaceDE/>
              <w:autoSpaceDN/>
              <w:adjustRightInd/>
              <w:rPr>
                <w:color w:val="000000"/>
                <w:sz w:val="20"/>
                <w:szCs w:val="20"/>
              </w:rPr>
            </w:pPr>
            <w:proofErr w:type="gramStart"/>
            <w:r w:rsidRPr="00B13BAD">
              <w:rPr>
                <w:color w:val="000000"/>
                <w:sz w:val="20"/>
                <w:szCs w:val="20"/>
                <w:vertAlign w:val="superscript"/>
              </w:rPr>
              <w:t>d</w:t>
            </w:r>
            <w:r w:rsidRPr="00B13BAD">
              <w:rPr>
                <w:color w:val="000000"/>
                <w:sz w:val="20"/>
                <w:szCs w:val="20"/>
              </w:rPr>
              <w:t xml:space="preserve">  Facilities</w:t>
            </w:r>
            <w:proofErr w:type="gramEnd"/>
            <w:r w:rsidRPr="00B13BAD">
              <w:rPr>
                <w:color w:val="000000"/>
                <w:sz w:val="20"/>
                <w:szCs w:val="20"/>
              </w:rPr>
              <w:t xml:space="preserve"> that comply using emission capture systems and add-on controls conduct air emissions performance testing. There are no Surface Coating of Metal Furniture facilities (Subpart RRRR) using add-on controls to comply. We do not anticipate any facilities in this industry to have performance testing costs.</w:t>
            </w:r>
          </w:p>
        </w:tc>
      </w:tr>
      <w:tr w:rsidRPr="00B13BAD" w:rsidR="00B13BAD" w:rsidTr="006107F3" w14:paraId="71E98F5E" w14:textId="77777777">
        <w:trPr>
          <w:trHeight w:val="153"/>
        </w:trPr>
        <w:tc>
          <w:tcPr>
            <w:tcW w:w="13911" w:type="dxa"/>
            <w:gridSpan w:val="9"/>
            <w:tcBorders>
              <w:top w:val="nil"/>
              <w:left w:val="nil"/>
              <w:bottom w:val="nil"/>
              <w:right w:val="nil"/>
            </w:tcBorders>
            <w:shd w:val="clear" w:color="auto" w:fill="auto"/>
            <w:hideMark/>
          </w:tcPr>
          <w:p w:rsidRPr="00B13BAD" w:rsidR="00B13BAD" w:rsidP="00B13BAD" w:rsidRDefault="00B13BAD" w14:paraId="259C22A3" w14:textId="77777777">
            <w:pPr>
              <w:widowControl/>
              <w:autoSpaceDE/>
              <w:autoSpaceDN/>
              <w:adjustRightInd/>
              <w:rPr>
                <w:color w:val="000000"/>
                <w:sz w:val="20"/>
                <w:szCs w:val="20"/>
              </w:rPr>
            </w:pPr>
            <w:proofErr w:type="gramStart"/>
            <w:r w:rsidRPr="00B13BAD">
              <w:rPr>
                <w:color w:val="000000"/>
                <w:sz w:val="20"/>
                <w:szCs w:val="20"/>
                <w:vertAlign w:val="superscript"/>
              </w:rPr>
              <w:t>e</w:t>
            </w:r>
            <w:r w:rsidRPr="00B13BAD">
              <w:rPr>
                <w:color w:val="000000"/>
                <w:sz w:val="20"/>
                <w:szCs w:val="20"/>
              </w:rPr>
              <w:t xml:space="preserve">  We</w:t>
            </w:r>
            <w:proofErr w:type="gramEnd"/>
            <w:r w:rsidRPr="00B13BAD">
              <w:rPr>
                <w:color w:val="000000"/>
                <w:sz w:val="20"/>
                <w:szCs w:val="20"/>
              </w:rPr>
              <w:t xml:space="preserve"> have assumed that each respondent will take eight hours twice per year to complete the semiannual report.</w:t>
            </w:r>
            <w:r w:rsidRPr="00B13BAD">
              <w:rPr>
                <w:color w:val="000000"/>
                <w:sz w:val="20"/>
                <w:szCs w:val="20"/>
                <w:vertAlign w:val="superscript"/>
              </w:rPr>
              <w:t xml:space="preserve"> </w:t>
            </w:r>
            <w:r w:rsidRPr="00B13BAD">
              <w:rPr>
                <w:color w:val="000000"/>
                <w:sz w:val="20"/>
                <w:szCs w:val="20"/>
              </w:rPr>
              <w:t>The semiannual report includes all compliance reports for that period.</w:t>
            </w:r>
          </w:p>
        </w:tc>
      </w:tr>
      <w:tr w:rsidRPr="00B13BAD" w:rsidR="00B13BAD" w:rsidTr="006107F3" w14:paraId="08B3B8D3" w14:textId="77777777">
        <w:trPr>
          <w:trHeight w:val="126"/>
        </w:trPr>
        <w:tc>
          <w:tcPr>
            <w:tcW w:w="13911" w:type="dxa"/>
            <w:gridSpan w:val="9"/>
            <w:tcBorders>
              <w:top w:val="nil"/>
              <w:left w:val="nil"/>
              <w:bottom w:val="nil"/>
              <w:right w:val="nil"/>
            </w:tcBorders>
            <w:shd w:val="clear" w:color="auto" w:fill="auto"/>
            <w:hideMark/>
          </w:tcPr>
          <w:p w:rsidRPr="00B13BAD" w:rsidR="00B13BAD" w:rsidP="00B13BAD" w:rsidRDefault="00B13BAD" w14:paraId="282E0648" w14:textId="77777777">
            <w:pPr>
              <w:widowControl/>
              <w:autoSpaceDE/>
              <w:autoSpaceDN/>
              <w:adjustRightInd/>
              <w:rPr>
                <w:color w:val="000000"/>
                <w:sz w:val="20"/>
                <w:szCs w:val="20"/>
              </w:rPr>
            </w:pPr>
            <w:proofErr w:type="gramStart"/>
            <w:r w:rsidRPr="00B13BAD">
              <w:rPr>
                <w:color w:val="000000"/>
                <w:sz w:val="20"/>
                <w:szCs w:val="20"/>
                <w:vertAlign w:val="superscript"/>
              </w:rPr>
              <w:t>f</w:t>
            </w:r>
            <w:r w:rsidRPr="00B13BAD">
              <w:rPr>
                <w:color w:val="000000"/>
                <w:sz w:val="20"/>
                <w:szCs w:val="20"/>
              </w:rPr>
              <w:t xml:space="preserve">  We</w:t>
            </w:r>
            <w:proofErr w:type="gramEnd"/>
            <w:r w:rsidRPr="00B13BAD">
              <w:rPr>
                <w:color w:val="000000"/>
                <w:sz w:val="20"/>
                <w:szCs w:val="20"/>
              </w:rPr>
              <w:t xml:space="preserve"> have assumed that each respondent will take 1 hour twice per week to enter information.</w:t>
            </w:r>
          </w:p>
        </w:tc>
      </w:tr>
      <w:tr w:rsidRPr="00B13BAD" w:rsidR="00B13BAD" w:rsidTr="00B13BAD" w14:paraId="58E3B5D3" w14:textId="77777777">
        <w:trPr>
          <w:trHeight w:val="315"/>
        </w:trPr>
        <w:tc>
          <w:tcPr>
            <w:tcW w:w="13911" w:type="dxa"/>
            <w:gridSpan w:val="9"/>
            <w:tcBorders>
              <w:top w:val="nil"/>
              <w:left w:val="nil"/>
              <w:bottom w:val="nil"/>
              <w:right w:val="nil"/>
            </w:tcBorders>
            <w:shd w:val="clear" w:color="auto" w:fill="auto"/>
            <w:hideMark/>
          </w:tcPr>
          <w:p w:rsidRPr="00B13BAD" w:rsidR="00B13BAD" w:rsidP="00B13BAD" w:rsidRDefault="00B13BAD" w14:paraId="71C620C2" w14:textId="77777777">
            <w:pPr>
              <w:widowControl/>
              <w:autoSpaceDE/>
              <w:autoSpaceDN/>
              <w:adjustRightInd/>
              <w:rPr>
                <w:color w:val="000000"/>
                <w:sz w:val="20"/>
                <w:szCs w:val="20"/>
              </w:rPr>
            </w:pPr>
            <w:proofErr w:type="gramStart"/>
            <w:r w:rsidRPr="00B13BAD">
              <w:rPr>
                <w:color w:val="000000"/>
                <w:sz w:val="20"/>
                <w:szCs w:val="20"/>
                <w:vertAlign w:val="superscript"/>
              </w:rPr>
              <w:t>g</w:t>
            </w:r>
            <w:r w:rsidRPr="00B13BAD">
              <w:rPr>
                <w:color w:val="000000"/>
                <w:sz w:val="20"/>
                <w:szCs w:val="20"/>
              </w:rPr>
              <w:t xml:space="preserve">  We</w:t>
            </w:r>
            <w:proofErr w:type="gramEnd"/>
            <w:r w:rsidRPr="00B13BAD">
              <w:rPr>
                <w:color w:val="000000"/>
                <w:sz w:val="20"/>
                <w:szCs w:val="20"/>
              </w:rPr>
              <w:t xml:space="preserve"> have assumed that each respondent will have to calculate compliance once per month. Compliance reports for the six-month period are filed with the semiannual report.</w:t>
            </w:r>
          </w:p>
        </w:tc>
      </w:tr>
      <w:tr w:rsidRPr="00B13BAD" w:rsidR="00B13BAD" w:rsidTr="00B13BAD" w14:paraId="08E88CC6" w14:textId="77777777">
        <w:trPr>
          <w:trHeight w:val="375"/>
        </w:trPr>
        <w:tc>
          <w:tcPr>
            <w:tcW w:w="13911" w:type="dxa"/>
            <w:gridSpan w:val="9"/>
            <w:tcBorders>
              <w:top w:val="nil"/>
              <w:left w:val="nil"/>
              <w:bottom w:val="nil"/>
              <w:right w:val="nil"/>
            </w:tcBorders>
            <w:shd w:val="clear" w:color="auto" w:fill="auto"/>
            <w:noWrap/>
            <w:hideMark/>
          </w:tcPr>
          <w:p w:rsidRPr="00B13BAD" w:rsidR="00B13BAD" w:rsidP="00B13BAD" w:rsidRDefault="00B13BAD" w14:paraId="32C34987" w14:textId="77777777">
            <w:pPr>
              <w:widowControl/>
              <w:autoSpaceDE/>
              <w:autoSpaceDN/>
              <w:adjustRightInd/>
              <w:rPr>
                <w:color w:val="000000"/>
              </w:rPr>
            </w:pPr>
            <w:proofErr w:type="gramStart"/>
            <w:r w:rsidRPr="00B13BAD">
              <w:rPr>
                <w:color w:val="000000"/>
                <w:vertAlign w:val="superscript"/>
              </w:rPr>
              <w:t xml:space="preserve">h  </w:t>
            </w:r>
            <w:r w:rsidRPr="00B13BAD">
              <w:rPr>
                <w:color w:val="000000"/>
                <w:sz w:val="20"/>
                <w:szCs w:val="20"/>
              </w:rPr>
              <w:t>Totals</w:t>
            </w:r>
            <w:proofErr w:type="gramEnd"/>
            <w:r w:rsidRPr="00B13BAD">
              <w:rPr>
                <w:color w:val="000000"/>
                <w:sz w:val="20"/>
                <w:szCs w:val="20"/>
              </w:rPr>
              <w:t xml:space="preserve"> have been rounded to 3 significant figures.  Figures may not add exactly due to rounding.</w:t>
            </w:r>
          </w:p>
        </w:tc>
      </w:tr>
    </w:tbl>
    <w:p w:rsidRPr="003F1AFC" w:rsidR="00B13BAD" w:rsidP="003D6951" w:rsidRDefault="00B13BAD" w14:paraId="5CD59A82" w14:textId="77777777">
      <w:pPr>
        <w:rPr>
          <w:color w:val="FF0000"/>
        </w:rPr>
      </w:pPr>
    </w:p>
    <w:p w:rsidR="00144F35" w:rsidP="00504745" w:rsidRDefault="00144F35" w14:paraId="5EDF628F" w14:textId="5B2DA93F">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563AF9" w:rsidR="00563AF9">
        <w:rPr>
          <w:b/>
          <w:bCs/>
          <w:color w:val="000000"/>
        </w:rPr>
        <w:t>NESHAP for Metal Furniture Surface Coating (40 CFR Part 63, Subpart RRRR) (Renewal)</w:t>
      </w:r>
    </w:p>
    <w:p w:rsidR="00563AF9" w:rsidP="00F340DF" w:rsidRDefault="00563AF9" w14:paraId="50776170" w14:textId="289CCBEF">
      <w:pPr>
        <w:rPr>
          <w:color w:val="000000"/>
        </w:rPr>
      </w:pPr>
    </w:p>
    <w:tbl>
      <w:tblPr>
        <w:tblW w:w="13756" w:type="dxa"/>
        <w:tblInd w:w="-365" w:type="dxa"/>
        <w:tblLook w:val="04A0" w:firstRow="1" w:lastRow="0" w:firstColumn="1" w:lastColumn="0" w:noHBand="0" w:noVBand="1"/>
      </w:tblPr>
      <w:tblGrid>
        <w:gridCol w:w="3780"/>
        <w:gridCol w:w="1300"/>
        <w:gridCol w:w="1300"/>
        <w:gridCol w:w="1265"/>
        <w:gridCol w:w="900"/>
        <w:gridCol w:w="1260"/>
        <w:gridCol w:w="1440"/>
        <w:gridCol w:w="1210"/>
        <w:gridCol w:w="13"/>
        <w:gridCol w:w="1252"/>
        <w:gridCol w:w="36"/>
      </w:tblGrid>
      <w:tr w:rsidRPr="00B13BAD" w:rsidR="00B13BAD" w:rsidTr="00B13BAD" w14:paraId="5D5E118A" w14:textId="77777777">
        <w:trPr>
          <w:gridAfter w:val="1"/>
          <w:wAfter w:w="36" w:type="dxa"/>
          <w:trHeight w:val="255"/>
        </w:trPr>
        <w:tc>
          <w:tcPr>
            <w:tcW w:w="37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13BAD" w:rsidR="00B13BAD" w:rsidP="00B13BAD" w:rsidRDefault="00B13BAD" w14:paraId="09241E51" w14:textId="77777777">
            <w:pPr>
              <w:widowControl/>
              <w:autoSpaceDE/>
              <w:autoSpaceDN/>
              <w:adjustRightInd/>
              <w:jc w:val="center"/>
              <w:rPr>
                <w:b/>
                <w:bCs/>
                <w:color w:val="000000"/>
                <w:sz w:val="20"/>
                <w:szCs w:val="20"/>
              </w:rPr>
            </w:pPr>
            <w:r w:rsidRPr="00B13BAD">
              <w:rPr>
                <w:b/>
                <w:bCs/>
                <w:color w:val="000000"/>
                <w:sz w:val="20"/>
                <w:szCs w:val="20"/>
              </w:rPr>
              <w:t>Burden Item</w:t>
            </w:r>
          </w:p>
        </w:tc>
        <w:tc>
          <w:tcPr>
            <w:tcW w:w="1300"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49ABD03C" w14:textId="77777777">
            <w:pPr>
              <w:widowControl/>
              <w:autoSpaceDE/>
              <w:autoSpaceDN/>
              <w:adjustRightInd/>
              <w:jc w:val="center"/>
              <w:rPr>
                <w:b/>
                <w:bCs/>
                <w:color w:val="000000"/>
                <w:sz w:val="20"/>
                <w:szCs w:val="20"/>
              </w:rPr>
            </w:pPr>
            <w:r w:rsidRPr="00B13BAD">
              <w:rPr>
                <w:b/>
                <w:bCs/>
                <w:color w:val="000000"/>
                <w:sz w:val="20"/>
                <w:szCs w:val="20"/>
              </w:rPr>
              <w:t>(A)</w:t>
            </w:r>
          </w:p>
        </w:tc>
        <w:tc>
          <w:tcPr>
            <w:tcW w:w="1300"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5F605A39" w14:textId="77777777">
            <w:pPr>
              <w:widowControl/>
              <w:autoSpaceDE/>
              <w:autoSpaceDN/>
              <w:adjustRightInd/>
              <w:jc w:val="center"/>
              <w:rPr>
                <w:b/>
                <w:bCs/>
                <w:color w:val="000000"/>
                <w:sz w:val="20"/>
                <w:szCs w:val="20"/>
              </w:rPr>
            </w:pPr>
            <w:r w:rsidRPr="00B13BAD">
              <w:rPr>
                <w:b/>
                <w:bCs/>
                <w:color w:val="000000"/>
                <w:sz w:val="20"/>
                <w:szCs w:val="20"/>
              </w:rPr>
              <w:t>(B)</w:t>
            </w:r>
          </w:p>
        </w:tc>
        <w:tc>
          <w:tcPr>
            <w:tcW w:w="1265"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0E72210A" w14:textId="77777777">
            <w:pPr>
              <w:widowControl/>
              <w:autoSpaceDE/>
              <w:autoSpaceDN/>
              <w:adjustRightInd/>
              <w:jc w:val="center"/>
              <w:rPr>
                <w:b/>
                <w:bCs/>
                <w:color w:val="000000"/>
                <w:sz w:val="20"/>
                <w:szCs w:val="20"/>
              </w:rPr>
            </w:pPr>
            <w:r w:rsidRPr="00B13BAD">
              <w:rPr>
                <w:b/>
                <w:bCs/>
                <w:color w:val="000000"/>
                <w:sz w:val="20"/>
                <w:szCs w:val="20"/>
              </w:rPr>
              <w:t>(C)</w:t>
            </w:r>
          </w:p>
        </w:tc>
        <w:tc>
          <w:tcPr>
            <w:tcW w:w="900"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4B6A386D" w14:textId="77777777">
            <w:pPr>
              <w:widowControl/>
              <w:autoSpaceDE/>
              <w:autoSpaceDN/>
              <w:adjustRightInd/>
              <w:jc w:val="center"/>
              <w:rPr>
                <w:b/>
                <w:bCs/>
                <w:color w:val="000000"/>
                <w:sz w:val="20"/>
                <w:szCs w:val="20"/>
              </w:rPr>
            </w:pPr>
            <w:r w:rsidRPr="00B13BAD">
              <w:rPr>
                <w:b/>
                <w:bCs/>
                <w:color w:val="000000"/>
                <w:sz w:val="20"/>
                <w:szCs w:val="20"/>
              </w:rPr>
              <w:t>(D)</w:t>
            </w:r>
          </w:p>
        </w:tc>
        <w:tc>
          <w:tcPr>
            <w:tcW w:w="1260"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4503857D" w14:textId="77777777">
            <w:pPr>
              <w:widowControl/>
              <w:autoSpaceDE/>
              <w:autoSpaceDN/>
              <w:adjustRightInd/>
              <w:jc w:val="center"/>
              <w:rPr>
                <w:b/>
                <w:bCs/>
                <w:color w:val="000000"/>
                <w:sz w:val="20"/>
                <w:szCs w:val="20"/>
              </w:rPr>
            </w:pPr>
            <w:r w:rsidRPr="00B13BAD">
              <w:rPr>
                <w:b/>
                <w:bCs/>
                <w:color w:val="000000"/>
                <w:sz w:val="20"/>
                <w:szCs w:val="20"/>
              </w:rPr>
              <w:t>(E)</w:t>
            </w:r>
          </w:p>
        </w:tc>
        <w:tc>
          <w:tcPr>
            <w:tcW w:w="1440"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3324E8B9" w14:textId="77777777">
            <w:pPr>
              <w:widowControl/>
              <w:autoSpaceDE/>
              <w:autoSpaceDN/>
              <w:adjustRightInd/>
              <w:jc w:val="center"/>
              <w:rPr>
                <w:b/>
                <w:bCs/>
                <w:color w:val="000000"/>
                <w:sz w:val="20"/>
                <w:szCs w:val="20"/>
              </w:rPr>
            </w:pPr>
            <w:r w:rsidRPr="00B13BAD">
              <w:rPr>
                <w:b/>
                <w:bCs/>
                <w:color w:val="000000"/>
                <w:sz w:val="20"/>
                <w:szCs w:val="20"/>
              </w:rPr>
              <w:t>(F)</w:t>
            </w:r>
          </w:p>
        </w:tc>
        <w:tc>
          <w:tcPr>
            <w:tcW w:w="1210" w:type="dxa"/>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2A00D2A8" w14:textId="77777777">
            <w:pPr>
              <w:widowControl/>
              <w:autoSpaceDE/>
              <w:autoSpaceDN/>
              <w:adjustRightInd/>
              <w:jc w:val="center"/>
              <w:rPr>
                <w:b/>
                <w:bCs/>
                <w:color w:val="000000"/>
                <w:sz w:val="20"/>
                <w:szCs w:val="20"/>
              </w:rPr>
            </w:pPr>
            <w:r w:rsidRPr="00B13BAD">
              <w:rPr>
                <w:b/>
                <w:bCs/>
                <w:color w:val="000000"/>
                <w:sz w:val="20"/>
                <w:szCs w:val="20"/>
              </w:rPr>
              <w:t>(G)</w:t>
            </w:r>
          </w:p>
        </w:tc>
        <w:tc>
          <w:tcPr>
            <w:tcW w:w="1265" w:type="dxa"/>
            <w:gridSpan w:val="2"/>
            <w:tcBorders>
              <w:top w:val="single" w:color="auto" w:sz="4" w:space="0"/>
              <w:left w:val="nil"/>
              <w:bottom w:val="single" w:color="auto" w:sz="4" w:space="0"/>
              <w:right w:val="single" w:color="auto" w:sz="4" w:space="0"/>
            </w:tcBorders>
            <w:shd w:val="clear" w:color="auto" w:fill="auto"/>
            <w:hideMark/>
          </w:tcPr>
          <w:p w:rsidRPr="00B13BAD" w:rsidR="00B13BAD" w:rsidP="00B13BAD" w:rsidRDefault="00B13BAD" w14:paraId="7C9E3B83" w14:textId="77777777">
            <w:pPr>
              <w:widowControl/>
              <w:autoSpaceDE/>
              <w:autoSpaceDN/>
              <w:adjustRightInd/>
              <w:jc w:val="center"/>
              <w:rPr>
                <w:b/>
                <w:bCs/>
                <w:color w:val="000000"/>
                <w:sz w:val="20"/>
                <w:szCs w:val="20"/>
              </w:rPr>
            </w:pPr>
            <w:r w:rsidRPr="00B13BAD">
              <w:rPr>
                <w:b/>
                <w:bCs/>
                <w:color w:val="000000"/>
                <w:sz w:val="20"/>
                <w:szCs w:val="20"/>
              </w:rPr>
              <w:t>(H)</w:t>
            </w:r>
          </w:p>
        </w:tc>
      </w:tr>
      <w:tr w:rsidRPr="00B13BAD" w:rsidR="00B13BAD" w:rsidTr="00B13BAD" w14:paraId="3A2EFD01" w14:textId="77777777">
        <w:trPr>
          <w:gridAfter w:val="1"/>
          <w:wAfter w:w="36" w:type="dxa"/>
          <w:trHeight w:val="765"/>
        </w:trPr>
        <w:tc>
          <w:tcPr>
            <w:tcW w:w="3780" w:type="dxa"/>
            <w:vMerge/>
            <w:tcBorders>
              <w:top w:val="single" w:color="auto" w:sz="4" w:space="0"/>
              <w:left w:val="single" w:color="auto" w:sz="4" w:space="0"/>
              <w:bottom w:val="single" w:color="auto" w:sz="4" w:space="0"/>
              <w:right w:val="single" w:color="auto" w:sz="4" w:space="0"/>
            </w:tcBorders>
            <w:vAlign w:val="center"/>
            <w:hideMark/>
          </w:tcPr>
          <w:p w:rsidRPr="00B13BAD" w:rsidR="00B13BAD" w:rsidP="00B13BAD" w:rsidRDefault="00B13BAD" w14:paraId="7CD3CC32" w14:textId="77777777">
            <w:pPr>
              <w:widowControl/>
              <w:autoSpaceDE/>
              <w:autoSpaceDN/>
              <w:adjustRightInd/>
              <w:rPr>
                <w:b/>
                <w:bCs/>
                <w:color w:val="000000"/>
                <w:sz w:val="20"/>
                <w:szCs w:val="20"/>
              </w:rPr>
            </w:pPr>
          </w:p>
        </w:tc>
        <w:tc>
          <w:tcPr>
            <w:tcW w:w="1300" w:type="dxa"/>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644D9E09" w14:textId="77777777">
            <w:pPr>
              <w:widowControl/>
              <w:autoSpaceDE/>
              <w:autoSpaceDN/>
              <w:adjustRightInd/>
              <w:jc w:val="center"/>
              <w:rPr>
                <w:b/>
                <w:bCs/>
                <w:color w:val="000000"/>
                <w:sz w:val="20"/>
                <w:szCs w:val="20"/>
              </w:rPr>
            </w:pPr>
            <w:r w:rsidRPr="00B13BAD">
              <w:rPr>
                <w:b/>
                <w:bCs/>
                <w:color w:val="000000"/>
                <w:sz w:val="20"/>
                <w:szCs w:val="20"/>
              </w:rPr>
              <w:t>EPA Hours per Occurrence</w:t>
            </w:r>
          </w:p>
        </w:tc>
        <w:tc>
          <w:tcPr>
            <w:tcW w:w="1300" w:type="dxa"/>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10B4B37D" w14:textId="77777777">
            <w:pPr>
              <w:widowControl/>
              <w:autoSpaceDE/>
              <w:autoSpaceDN/>
              <w:adjustRightInd/>
              <w:jc w:val="center"/>
              <w:rPr>
                <w:b/>
                <w:bCs/>
                <w:color w:val="000000"/>
                <w:sz w:val="20"/>
                <w:szCs w:val="20"/>
              </w:rPr>
            </w:pPr>
            <w:r w:rsidRPr="00B13BAD">
              <w:rPr>
                <w:b/>
                <w:bCs/>
                <w:color w:val="000000"/>
                <w:sz w:val="20"/>
                <w:szCs w:val="20"/>
              </w:rPr>
              <w:t>Number of Occurrences Per Year</w:t>
            </w:r>
          </w:p>
        </w:tc>
        <w:tc>
          <w:tcPr>
            <w:tcW w:w="1265" w:type="dxa"/>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7F566B51" w14:textId="77777777">
            <w:pPr>
              <w:widowControl/>
              <w:autoSpaceDE/>
              <w:autoSpaceDN/>
              <w:adjustRightInd/>
              <w:jc w:val="center"/>
              <w:rPr>
                <w:b/>
                <w:bCs/>
                <w:color w:val="000000"/>
                <w:sz w:val="20"/>
                <w:szCs w:val="20"/>
              </w:rPr>
            </w:pPr>
            <w:r w:rsidRPr="00B13BAD">
              <w:rPr>
                <w:b/>
                <w:bCs/>
                <w:color w:val="000000"/>
                <w:sz w:val="20"/>
                <w:szCs w:val="20"/>
              </w:rPr>
              <w:t>EPA Person Hours Per Year</w:t>
            </w:r>
            <w:r w:rsidRPr="00B13BAD">
              <w:rPr>
                <w:b/>
                <w:bCs/>
                <w:color w:val="000000"/>
                <w:sz w:val="20"/>
                <w:szCs w:val="20"/>
              </w:rPr>
              <w:br/>
              <w:t>(A x B)</w:t>
            </w:r>
          </w:p>
        </w:tc>
        <w:tc>
          <w:tcPr>
            <w:tcW w:w="900" w:type="dxa"/>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3160095F" w14:textId="77777777">
            <w:pPr>
              <w:widowControl/>
              <w:autoSpaceDE/>
              <w:autoSpaceDN/>
              <w:adjustRightInd/>
              <w:jc w:val="center"/>
              <w:rPr>
                <w:b/>
                <w:bCs/>
                <w:color w:val="000000"/>
                <w:sz w:val="20"/>
                <w:szCs w:val="20"/>
              </w:rPr>
            </w:pPr>
            <w:r w:rsidRPr="00B13BAD">
              <w:rPr>
                <w:b/>
                <w:bCs/>
                <w:color w:val="000000"/>
                <w:sz w:val="20"/>
                <w:szCs w:val="20"/>
              </w:rPr>
              <w:t xml:space="preserve">Plants Per Year </w:t>
            </w:r>
            <w:r w:rsidRPr="00B13BAD">
              <w:rPr>
                <w:b/>
                <w:bCs/>
                <w:color w:val="000000"/>
                <w:sz w:val="20"/>
                <w:szCs w:val="20"/>
                <w:vertAlign w:val="superscript"/>
              </w:rPr>
              <w:t>a</w:t>
            </w:r>
          </w:p>
        </w:tc>
        <w:tc>
          <w:tcPr>
            <w:tcW w:w="1260" w:type="dxa"/>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4C546098" w14:textId="77777777">
            <w:pPr>
              <w:widowControl/>
              <w:autoSpaceDE/>
              <w:autoSpaceDN/>
              <w:adjustRightInd/>
              <w:jc w:val="center"/>
              <w:rPr>
                <w:b/>
                <w:bCs/>
                <w:color w:val="000000"/>
                <w:sz w:val="20"/>
                <w:szCs w:val="20"/>
              </w:rPr>
            </w:pPr>
            <w:r w:rsidRPr="00B13BAD">
              <w:rPr>
                <w:b/>
                <w:bCs/>
                <w:color w:val="000000"/>
                <w:sz w:val="20"/>
                <w:szCs w:val="20"/>
              </w:rPr>
              <w:t>Technical Hours Per Year</w:t>
            </w:r>
            <w:r w:rsidRPr="00B13BAD">
              <w:rPr>
                <w:b/>
                <w:bCs/>
                <w:color w:val="000000"/>
                <w:sz w:val="20"/>
                <w:szCs w:val="20"/>
              </w:rPr>
              <w:br/>
              <w:t>(C x D)</w:t>
            </w:r>
          </w:p>
        </w:tc>
        <w:tc>
          <w:tcPr>
            <w:tcW w:w="1440" w:type="dxa"/>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5C0A9450" w14:textId="77777777">
            <w:pPr>
              <w:widowControl/>
              <w:autoSpaceDE/>
              <w:autoSpaceDN/>
              <w:adjustRightInd/>
              <w:jc w:val="center"/>
              <w:rPr>
                <w:b/>
                <w:bCs/>
                <w:color w:val="000000"/>
                <w:sz w:val="20"/>
                <w:szCs w:val="20"/>
              </w:rPr>
            </w:pPr>
            <w:r w:rsidRPr="00B13BAD">
              <w:rPr>
                <w:b/>
                <w:bCs/>
                <w:color w:val="000000"/>
                <w:sz w:val="20"/>
                <w:szCs w:val="20"/>
              </w:rPr>
              <w:t>Management Hours Per Year</w:t>
            </w:r>
            <w:r w:rsidRPr="00B13BAD">
              <w:rPr>
                <w:b/>
                <w:bCs/>
                <w:color w:val="000000"/>
                <w:sz w:val="20"/>
                <w:szCs w:val="20"/>
              </w:rPr>
              <w:br/>
              <w:t>(E x 0.05)</w:t>
            </w:r>
          </w:p>
        </w:tc>
        <w:tc>
          <w:tcPr>
            <w:tcW w:w="1210" w:type="dxa"/>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1CE8ACE3" w14:textId="77777777">
            <w:pPr>
              <w:widowControl/>
              <w:autoSpaceDE/>
              <w:autoSpaceDN/>
              <w:adjustRightInd/>
              <w:jc w:val="center"/>
              <w:rPr>
                <w:b/>
                <w:bCs/>
                <w:color w:val="000000"/>
                <w:sz w:val="20"/>
                <w:szCs w:val="20"/>
              </w:rPr>
            </w:pPr>
            <w:r w:rsidRPr="00B13BAD">
              <w:rPr>
                <w:b/>
                <w:bCs/>
                <w:color w:val="000000"/>
                <w:sz w:val="20"/>
                <w:szCs w:val="20"/>
              </w:rPr>
              <w:t>Clerical Hours Per Year</w:t>
            </w:r>
            <w:r w:rsidRPr="00B13BAD">
              <w:rPr>
                <w:b/>
                <w:bCs/>
                <w:color w:val="000000"/>
                <w:sz w:val="20"/>
                <w:szCs w:val="20"/>
              </w:rPr>
              <w:br/>
              <w:t>(E x 0.10)</w:t>
            </w:r>
          </w:p>
        </w:tc>
        <w:tc>
          <w:tcPr>
            <w:tcW w:w="1265" w:type="dxa"/>
            <w:gridSpan w:val="2"/>
            <w:tcBorders>
              <w:top w:val="nil"/>
              <w:left w:val="nil"/>
              <w:bottom w:val="single" w:color="auto" w:sz="4" w:space="0"/>
              <w:right w:val="single" w:color="auto" w:sz="4" w:space="0"/>
            </w:tcBorders>
            <w:shd w:val="clear" w:color="auto" w:fill="auto"/>
            <w:vAlign w:val="center"/>
            <w:hideMark/>
          </w:tcPr>
          <w:p w:rsidRPr="00B13BAD" w:rsidR="00B13BAD" w:rsidP="00B13BAD" w:rsidRDefault="00B13BAD" w14:paraId="253D428E" w14:textId="77777777">
            <w:pPr>
              <w:widowControl/>
              <w:autoSpaceDE/>
              <w:autoSpaceDN/>
              <w:adjustRightInd/>
              <w:jc w:val="center"/>
              <w:rPr>
                <w:b/>
                <w:bCs/>
                <w:color w:val="000000"/>
                <w:sz w:val="20"/>
                <w:szCs w:val="20"/>
              </w:rPr>
            </w:pPr>
            <w:r w:rsidRPr="00B13BAD">
              <w:rPr>
                <w:b/>
                <w:bCs/>
                <w:color w:val="000000"/>
                <w:sz w:val="20"/>
                <w:szCs w:val="20"/>
              </w:rPr>
              <w:t xml:space="preserve">Total Cost Per Year ($) </w:t>
            </w:r>
            <w:r w:rsidRPr="00B13BAD">
              <w:rPr>
                <w:b/>
                <w:bCs/>
                <w:color w:val="000000"/>
                <w:sz w:val="20"/>
                <w:szCs w:val="20"/>
                <w:vertAlign w:val="superscript"/>
              </w:rPr>
              <w:t>b</w:t>
            </w:r>
          </w:p>
        </w:tc>
      </w:tr>
      <w:tr w:rsidRPr="00B13BAD" w:rsidR="00B13BAD" w:rsidTr="00B13BAD" w14:paraId="7CB20818" w14:textId="77777777">
        <w:trPr>
          <w:gridAfter w:val="1"/>
          <w:wAfter w:w="36" w:type="dxa"/>
          <w:trHeight w:val="31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37ACEAC7" w14:textId="77777777">
            <w:pPr>
              <w:widowControl/>
              <w:autoSpaceDE/>
              <w:autoSpaceDN/>
              <w:adjustRightInd/>
              <w:rPr>
                <w:color w:val="000000"/>
                <w:sz w:val="20"/>
                <w:szCs w:val="20"/>
              </w:rPr>
            </w:pPr>
            <w:r w:rsidRPr="00B13BAD">
              <w:rPr>
                <w:color w:val="000000"/>
                <w:sz w:val="20"/>
                <w:szCs w:val="20"/>
              </w:rPr>
              <w:t xml:space="preserve">1. Initial performance test </w:t>
            </w:r>
            <w:r w:rsidRPr="00B13BAD">
              <w:rPr>
                <w:color w:val="000000"/>
                <w:sz w:val="20"/>
                <w:szCs w:val="20"/>
                <w:vertAlign w:val="superscript"/>
              </w:rPr>
              <w:t>c, d</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FB79ED8" w14:textId="77777777">
            <w:pPr>
              <w:widowControl/>
              <w:autoSpaceDE/>
              <w:autoSpaceDN/>
              <w:adjustRightInd/>
              <w:jc w:val="center"/>
              <w:rPr>
                <w:color w:val="000000"/>
                <w:sz w:val="20"/>
                <w:szCs w:val="20"/>
              </w:rPr>
            </w:pPr>
            <w:r w:rsidRPr="00B13BAD">
              <w:rPr>
                <w:color w:val="000000"/>
                <w:sz w:val="20"/>
                <w:szCs w:val="20"/>
              </w:rPr>
              <w:t>24</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55BA68" w14:textId="77777777">
            <w:pPr>
              <w:widowControl/>
              <w:autoSpaceDE/>
              <w:autoSpaceDN/>
              <w:adjustRightInd/>
              <w:jc w:val="center"/>
              <w:rPr>
                <w:sz w:val="20"/>
                <w:szCs w:val="20"/>
              </w:rPr>
            </w:pPr>
            <w:r w:rsidRPr="00B13BAD">
              <w:rPr>
                <w:sz w:val="20"/>
                <w:szCs w:val="20"/>
              </w:rPr>
              <w:t>1</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DDCFE05" w14:textId="77777777">
            <w:pPr>
              <w:widowControl/>
              <w:autoSpaceDE/>
              <w:autoSpaceDN/>
              <w:adjustRightInd/>
              <w:jc w:val="center"/>
              <w:rPr>
                <w:color w:val="000000"/>
                <w:sz w:val="20"/>
                <w:szCs w:val="20"/>
              </w:rPr>
            </w:pPr>
            <w:r w:rsidRPr="00B13BAD">
              <w:rPr>
                <w:color w:val="000000"/>
                <w:sz w:val="20"/>
                <w:szCs w:val="20"/>
              </w:rPr>
              <w:t>24</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20A08A4"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5FA5B1C"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08631B7"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72E0C93"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CA54E1A"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1BA6EB4C" w14:textId="77777777">
        <w:trPr>
          <w:gridAfter w:val="1"/>
          <w:wAfter w:w="36" w:type="dxa"/>
          <w:trHeight w:val="31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54ED79F4" w14:textId="77777777">
            <w:pPr>
              <w:widowControl/>
              <w:autoSpaceDE/>
              <w:autoSpaceDN/>
              <w:adjustRightInd/>
              <w:rPr>
                <w:color w:val="000000"/>
                <w:sz w:val="20"/>
                <w:szCs w:val="20"/>
              </w:rPr>
            </w:pPr>
            <w:r w:rsidRPr="00B13BAD">
              <w:rPr>
                <w:color w:val="000000"/>
                <w:sz w:val="20"/>
                <w:szCs w:val="20"/>
              </w:rPr>
              <w:t xml:space="preserve">2. Repeat performance test </w:t>
            </w:r>
            <w:r w:rsidRPr="00B13BAD">
              <w:rPr>
                <w:color w:val="000000"/>
                <w:sz w:val="20"/>
                <w:szCs w:val="20"/>
                <w:vertAlign w:val="superscript"/>
              </w:rPr>
              <w:t>d</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56C5B96" w14:textId="77777777">
            <w:pPr>
              <w:widowControl/>
              <w:autoSpaceDE/>
              <w:autoSpaceDN/>
              <w:adjustRightInd/>
              <w:jc w:val="center"/>
              <w:rPr>
                <w:color w:val="000000"/>
                <w:sz w:val="20"/>
                <w:szCs w:val="20"/>
              </w:rPr>
            </w:pPr>
            <w:r w:rsidRPr="00B13BAD">
              <w:rPr>
                <w:color w:val="000000"/>
                <w:sz w:val="20"/>
                <w:szCs w:val="20"/>
              </w:rPr>
              <w:t>24</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9024A15" w14:textId="77777777">
            <w:pPr>
              <w:widowControl/>
              <w:autoSpaceDE/>
              <w:autoSpaceDN/>
              <w:adjustRightInd/>
              <w:jc w:val="center"/>
              <w:rPr>
                <w:sz w:val="20"/>
                <w:szCs w:val="20"/>
              </w:rPr>
            </w:pPr>
            <w:r w:rsidRPr="00B13BAD">
              <w:rPr>
                <w:sz w:val="20"/>
                <w:szCs w:val="20"/>
              </w:rPr>
              <w:t>0.2</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7E0D123" w14:textId="77777777">
            <w:pPr>
              <w:widowControl/>
              <w:autoSpaceDE/>
              <w:autoSpaceDN/>
              <w:adjustRightInd/>
              <w:jc w:val="center"/>
              <w:rPr>
                <w:color w:val="000000"/>
                <w:sz w:val="20"/>
                <w:szCs w:val="20"/>
              </w:rPr>
            </w:pPr>
            <w:r w:rsidRPr="00B13BAD">
              <w:rPr>
                <w:color w:val="000000"/>
                <w:sz w:val="20"/>
                <w:szCs w:val="20"/>
              </w:rPr>
              <w:t>4.8</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6C3E675"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46CFFEE"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4A316BD"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FAC433B"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E9BD77E"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486C11DA" w14:textId="77777777">
        <w:trPr>
          <w:gridAfter w:val="1"/>
          <w:wAfter w:w="36" w:type="dxa"/>
          <w:trHeight w:val="25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6D9D7303" w14:textId="77777777">
            <w:pPr>
              <w:widowControl/>
              <w:autoSpaceDE/>
              <w:autoSpaceDN/>
              <w:adjustRightInd/>
              <w:rPr>
                <w:color w:val="000000"/>
                <w:sz w:val="20"/>
                <w:szCs w:val="20"/>
              </w:rPr>
            </w:pPr>
            <w:r w:rsidRPr="00B13BAD">
              <w:rPr>
                <w:color w:val="000000"/>
                <w:sz w:val="20"/>
                <w:szCs w:val="20"/>
              </w:rPr>
              <w:t xml:space="preserve">3. Report review </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C5220F7" w14:textId="77777777">
            <w:pPr>
              <w:widowControl/>
              <w:autoSpaceDE/>
              <w:autoSpaceDN/>
              <w:adjustRightInd/>
              <w:rPr>
                <w:color w:val="000000"/>
                <w:sz w:val="20"/>
                <w:szCs w:val="20"/>
              </w:rPr>
            </w:pPr>
            <w:r w:rsidRPr="00B13BAD">
              <w:rPr>
                <w:color w:val="000000"/>
                <w:sz w:val="20"/>
                <w:szCs w:val="20"/>
              </w:rPr>
              <w:t> </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5C78CB5" w14:textId="77777777">
            <w:pPr>
              <w:widowControl/>
              <w:autoSpaceDE/>
              <w:autoSpaceDN/>
              <w:adjustRightInd/>
              <w:jc w:val="center"/>
              <w:rPr>
                <w:sz w:val="20"/>
                <w:szCs w:val="20"/>
              </w:rPr>
            </w:pPr>
            <w:r w:rsidRPr="00B13BAD">
              <w:rPr>
                <w:sz w:val="20"/>
                <w:szCs w:val="20"/>
              </w:rPr>
              <w:t> </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36DC196" w14:textId="77777777">
            <w:pPr>
              <w:widowControl/>
              <w:autoSpaceDE/>
              <w:autoSpaceDN/>
              <w:adjustRightInd/>
              <w:jc w:val="center"/>
              <w:rPr>
                <w:color w:val="000000"/>
                <w:sz w:val="20"/>
                <w:szCs w:val="20"/>
              </w:rPr>
            </w:pPr>
            <w:r w:rsidRPr="00B13BA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4A87C6C" w14:textId="77777777">
            <w:pPr>
              <w:widowControl/>
              <w:autoSpaceDE/>
              <w:autoSpaceDN/>
              <w:adjustRightInd/>
              <w:rPr>
                <w:color w:val="000000"/>
                <w:sz w:val="20"/>
                <w:szCs w:val="20"/>
              </w:rPr>
            </w:pPr>
            <w:r w:rsidRPr="00B13BAD">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EBA0869" w14:textId="77777777">
            <w:pPr>
              <w:widowControl/>
              <w:autoSpaceDE/>
              <w:autoSpaceDN/>
              <w:adjustRightInd/>
              <w:rPr>
                <w:color w:val="000000"/>
                <w:sz w:val="20"/>
                <w:szCs w:val="20"/>
              </w:rPr>
            </w:pPr>
            <w:r w:rsidRPr="00B13BAD">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1E1816F" w14:textId="77777777">
            <w:pPr>
              <w:widowControl/>
              <w:autoSpaceDE/>
              <w:autoSpaceDN/>
              <w:adjustRightInd/>
              <w:jc w:val="center"/>
              <w:rPr>
                <w:color w:val="000000"/>
                <w:sz w:val="20"/>
                <w:szCs w:val="20"/>
              </w:rPr>
            </w:pPr>
            <w:r w:rsidRPr="00B13BAD">
              <w:rPr>
                <w:color w:val="000000"/>
                <w:sz w:val="20"/>
                <w:szCs w:val="20"/>
              </w:rPr>
              <w:t> </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32F3845" w14:textId="77777777">
            <w:pPr>
              <w:widowControl/>
              <w:autoSpaceDE/>
              <w:autoSpaceDN/>
              <w:adjustRightInd/>
              <w:jc w:val="center"/>
              <w:rPr>
                <w:color w:val="000000"/>
                <w:sz w:val="20"/>
                <w:szCs w:val="20"/>
              </w:rPr>
            </w:pPr>
            <w:r w:rsidRPr="00B13BAD">
              <w:rPr>
                <w:color w:val="000000"/>
                <w:sz w:val="20"/>
                <w:szCs w:val="20"/>
              </w:rPr>
              <w:t> </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58E8AB6" w14:textId="77777777">
            <w:pPr>
              <w:widowControl/>
              <w:autoSpaceDE/>
              <w:autoSpaceDN/>
              <w:adjustRightInd/>
              <w:jc w:val="center"/>
              <w:rPr>
                <w:color w:val="000000"/>
                <w:sz w:val="20"/>
                <w:szCs w:val="20"/>
              </w:rPr>
            </w:pPr>
            <w:r w:rsidRPr="00B13BAD">
              <w:rPr>
                <w:color w:val="000000"/>
                <w:sz w:val="20"/>
                <w:szCs w:val="20"/>
              </w:rPr>
              <w:t> </w:t>
            </w:r>
          </w:p>
        </w:tc>
      </w:tr>
      <w:tr w:rsidRPr="00B13BAD" w:rsidR="00B13BAD" w:rsidTr="00B13BAD" w14:paraId="1C685E4F" w14:textId="77777777">
        <w:trPr>
          <w:gridAfter w:val="1"/>
          <w:wAfter w:w="36" w:type="dxa"/>
          <w:trHeight w:val="25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74F5B8B3" w14:textId="77777777">
            <w:pPr>
              <w:widowControl/>
              <w:autoSpaceDE/>
              <w:autoSpaceDN/>
              <w:adjustRightInd/>
              <w:ind w:firstLine="200" w:firstLineChars="100"/>
              <w:rPr>
                <w:color w:val="000000"/>
                <w:sz w:val="20"/>
                <w:szCs w:val="20"/>
              </w:rPr>
            </w:pPr>
            <w:r w:rsidRPr="00B13BAD">
              <w:rPr>
                <w:color w:val="000000"/>
                <w:sz w:val="20"/>
                <w:szCs w:val="20"/>
              </w:rPr>
              <w:t>a) Initial notification</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1BBA96F" w14:textId="77777777">
            <w:pPr>
              <w:widowControl/>
              <w:autoSpaceDE/>
              <w:autoSpaceDN/>
              <w:adjustRightInd/>
              <w:jc w:val="center"/>
              <w:rPr>
                <w:color w:val="000000"/>
                <w:sz w:val="20"/>
                <w:szCs w:val="20"/>
              </w:rPr>
            </w:pPr>
            <w:r w:rsidRPr="00B13BAD">
              <w:rPr>
                <w:color w:val="000000"/>
                <w:sz w:val="20"/>
                <w:szCs w:val="20"/>
              </w:rPr>
              <w:t>4</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75FCB48" w14:textId="77777777">
            <w:pPr>
              <w:widowControl/>
              <w:autoSpaceDE/>
              <w:autoSpaceDN/>
              <w:adjustRightInd/>
              <w:jc w:val="center"/>
              <w:rPr>
                <w:sz w:val="20"/>
                <w:szCs w:val="20"/>
              </w:rPr>
            </w:pPr>
            <w:r w:rsidRPr="00B13BAD">
              <w:rPr>
                <w:sz w:val="20"/>
                <w:szCs w:val="20"/>
              </w:rPr>
              <w:t>1</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1067FB1" w14:textId="77777777">
            <w:pPr>
              <w:widowControl/>
              <w:autoSpaceDE/>
              <w:autoSpaceDN/>
              <w:adjustRightInd/>
              <w:jc w:val="center"/>
              <w:rPr>
                <w:color w:val="000000"/>
                <w:sz w:val="20"/>
                <w:szCs w:val="20"/>
              </w:rPr>
            </w:pPr>
            <w:r w:rsidRPr="00B13BAD">
              <w:rPr>
                <w:color w:val="000000"/>
                <w:sz w:val="20"/>
                <w:szCs w:val="20"/>
              </w:rPr>
              <w:t>4</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15D90C7"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D87F637"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3FD603E"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A61F036"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A48F83F"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418504FB" w14:textId="77777777">
        <w:trPr>
          <w:gridAfter w:val="1"/>
          <w:wAfter w:w="36" w:type="dxa"/>
          <w:trHeight w:val="31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6AF6B2DF" w14:textId="77777777">
            <w:pPr>
              <w:widowControl/>
              <w:autoSpaceDE/>
              <w:autoSpaceDN/>
              <w:adjustRightInd/>
              <w:ind w:firstLine="200" w:firstLineChars="100"/>
              <w:rPr>
                <w:color w:val="000000"/>
                <w:sz w:val="20"/>
                <w:szCs w:val="20"/>
              </w:rPr>
            </w:pPr>
            <w:r w:rsidRPr="00B13BAD">
              <w:rPr>
                <w:color w:val="000000"/>
                <w:sz w:val="20"/>
                <w:szCs w:val="20"/>
              </w:rPr>
              <w:t xml:space="preserve">b) Notification of performance test </w:t>
            </w:r>
            <w:r w:rsidRPr="00B13BAD">
              <w:rPr>
                <w:color w:val="000000"/>
                <w:sz w:val="20"/>
                <w:szCs w:val="20"/>
                <w:vertAlign w:val="superscript"/>
              </w:rPr>
              <w:t>e</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538FB5E" w14:textId="77777777">
            <w:pPr>
              <w:widowControl/>
              <w:autoSpaceDE/>
              <w:autoSpaceDN/>
              <w:adjustRightInd/>
              <w:jc w:val="center"/>
              <w:rPr>
                <w:color w:val="000000"/>
                <w:sz w:val="20"/>
                <w:szCs w:val="20"/>
              </w:rPr>
            </w:pPr>
            <w:r w:rsidRPr="00B13BAD">
              <w:rPr>
                <w:color w:val="000000"/>
                <w:sz w:val="20"/>
                <w:szCs w:val="20"/>
              </w:rPr>
              <w:t>4</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60FFD6B" w14:textId="77777777">
            <w:pPr>
              <w:widowControl/>
              <w:autoSpaceDE/>
              <w:autoSpaceDN/>
              <w:adjustRightInd/>
              <w:jc w:val="center"/>
              <w:rPr>
                <w:sz w:val="20"/>
                <w:szCs w:val="20"/>
              </w:rPr>
            </w:pPr>
            <w:r w:rsidRPr="00B13BAD">
              <w:rPr>
                <w:sz w:val="20"/>
                <w:szCs w:val="20"/>
              </w:rPr>
              <w:t>1</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E79DB84" w14:textId="77777777">
            <w:pPr>
              <w:widowControl/>
              <w:autoSpaceDE/>
              <w:autoSpaceDN/>
              <w:adjustRightInd/>
              <w:jc w:val="center"/>
              <w:rPr>
                <w:color w:val="000000"/>
                <w:sz w:val="20"/>
                <w:szCs w:val="20"/>
              </w:rPr>
            </w:pPr>
            <w:r w:rsidRPr="00B13BAD">
              <w:rPr>
                <w:color w:val="000000"/>
                <w:sz w:val="20"/>
                <w:szCs w:val="20"/>
              </w:rPr>
              <w:t>4</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3E75B80"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DAE23C6"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C9F60CF"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951C509"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100A9F5"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642DEFF6" w14:textId="77777777">
        <w:trPr>
          <w:gridAfter w:val="1"/>
          <w:wAfter w:w="36" w:type="dxa"/>
          <w:trHeight w:val="25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271CD718" w14:textId="77777777">
            <w:pPr>
              <w:widowControl/>
              <w:autoSpaceDE/>
              <w:autoSpaceDN/>
              <w:adjustRightInd/>
              <w:ind w:firstLine="200" w:firstLineChars="100"/>
              <w:rPr>
                <w:color w:val="000000"/>
                <w:sz w:val="20"/>
                <w:szCs w:val="20"/>
              </w:rPr>
            </w:pPr>
            <w:r w:rsidRPr="00B13BAD">
              <w:rPr>
                <w:color w:val="000000"/>
                <w:sz w:val="20"/>
                <w:szCs w:val="20"/>
              </w:rPr>
              <w:t>c) Notification of initial compliance</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8747941" w14:textId="77777777">
            <w:pPr>
              <w:widowControl/>
              <w:autoSpaceDE/>
              <w:autoSpaceDN/>
              <w:adjustRightInd/>
              <w:jc w:val="center"/>
              <w:rPr>
                <w:color w:val="000000"/>
                <w:sz w:val="20"/>
                <w:szCs w:val="20"/>
              </w:rPr>
            </w:pPr>
            <w:r w:rsidRPr="00B13BAD">
              <w:rPr>
                <w:color w:val="000000"/>
                <w:sz w:val="20"/>
                <w:szCs w:val="20"/>
              </w:rPr>
              <w:t>8</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75C7BAB" w14:textId="77777777">
            <w:pPr>
              <w:widowControl/>
              <w:autoSpaceDE/>
              <w:autoSpaceDN/>
              <w:adjustRightInd/>
              <w:jc w:val="center"/>
              <w:rPr>
                <w:sz w:val="20"/>
                <w:szCs w:val="20"/>
              </w:rPr>
            </w:pPr>
            <w:r w:rsidRPr="00B13BAD">
              <w:rPr>
                <w:sz w:val="20"/>
                <w:szCs w:val="20"/>
              </w:rPr>
              <w:t>1</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012CC8" w14:textId="77777777">
            <w:pPr>
              <w:widowControl/>
              <w:autoSpaceDE/>
              <w:autoSpaceDN/>
              <w:adjustRightInd/>
              <w:jc w:val="center"/>
              <w:rPr>
                <w:color w:val="000000"/>
                <w:sz w:val="20"/>
                <w:szCs w:val="20"/>
              </w:rPr>
            </w:pPr>
            <w:r w:rsidRPr="00B13BAD">
              <w:rPr>
                <w:color w:val="000000"/>
                <w:sz w:val="20"/>
                <w:szCs w:val="20"/>
              </w:rPr>
              <w:t>8</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1FD072"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98C6C72"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B2932BE"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68CA159"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C16DD21"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448002C5" w14:textId="77777777">
        <w:trPr>
          <w:gridAfter w:val="1"/>
          <w:wAfter w:w="36" w:type="dxa"/>
          <w:trHeight w:val="25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515B9A51" w14:textId="77777777">
            <w:pPr>
              <w:widowControl/>
              <w:autoSpaceDE/>
              <w:autoSpaceDN/>
              <w:adjustRightInd/>
              <w:ind w:firstLine="200" w:firstLineChars="100"/>
              <w:rPr>
                <w:color w:val="000000"/>
                <w:sz w:val="20"/>
                <w:szCs w:val="20"/>
              </w:rPr>
            </w:pPr>
            <w:r w:rsidRPr="00B13BAD">
              <w:rPr>
                <w:color w:val="000000"/>
                <w:sz w:val="20"/>
                <w:szCs w:val="20"/>
              </w:rPr>
              <w:t>d) Notification of construction/reconstruction</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3BE91F" w14:textId="77777777">
            <w:pPr>
              <w:widowControl/>
              <w:autoSpaceDE/>
              <w:autoSpaceDN/>
              <w:adjustRightInd/>
              <w:jc w:val="center"/>
              <w:rPr>
                <w:color w:val="000000"/>
                <w:sz w:val="20"/>
                <w:szCs w:val="20"/>
              </w:rPr>
            </w:pPr>
            <w:r w:rsidRPr="00B13BAD">
              <w:rPr>
                <w:color w:val="000000"/>
                <w:sz w:val="20"/>
                <w:szCs w:val="20"/>
              </w:rPr>
              <w:t>8</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F6B1FFC" w14:textId="77777777">
            <w:pPr>
              <w:widowControl/>
              <w:autoSpaceDE/>
              <w:autoSpaceDN/>
              <w:adjustRightInd/>
              <w:jc w:val="center"/>
              <w:rPr>
                <w:sz w:val="20"/>
                <w:szCs w:val="20"/>
              </w:rPr>
            </w:pPr>
            <w:r w:rsidRPr="00B13BAD">
              <w:rPr>
                <w:sz w:val="20"/>
                <w:szCs w:val="20"/>
              </w:rPr>
              <w:t>1</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BB6B23C" w14:textId="77777777">
            <w:pPr>
              <w:widowControl/>
              <w:autoSpaceDE/>
              <w:autoSpaceDN/>
              <w:adjustRightInd/>
              <w:jc w:val="center"/>
              <w:rPr>
                <w:color w:val="000000"/>
                <w:sz w:val="20"/>
                <w:szCs w:val="20"/>
              </w:rPr>
            </w:pPr>
            <w:r w:rsidRPr="00B13BAD">
              <w:rPr>
                <w:color w:val="000000"/>
                <w:sz w:val="20"/>
                <w:szCs w:val="20"/>
              </w:rPr>
              <w:t>8</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AE0574D"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B8204F5"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604F8A1"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7C31938"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2AB664A"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18163028" w14:textId="77777777">
        <w:trPr>
          <w:gridAfter w:val="1"/>
          <w:wAfter w:w="36" w:type="dxa"/>
          <w:trHeight w:val="25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7DF709E4" w14:textId="77777777">
            <w:pPr>
              <w:widowControl/>
              <w:autoSpaceDE/>
              <w:autoSpaceDN/>
              <w:adjustRightInd/>
              <w:ind w:firstLine="200" w:firstLineChars="100"/>
              <w:rPr>
                <w:color w:val="000000"/>
                <w:sz w:val="20"/>
                <w:szCs w:val="20"/>
              </w:rPr>
            </w:pPr>
            <w:r w:rsidRPr="00B13BAD">
              <w:rPr>
                <w:color w:val="000000"/>
                <w:sz w:val="20"/>
                <w:szCs w:val="20"/>
              </w:rPr>
              <w:t>e)  Notification of actual startup</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943773A" w14:textId="77777777">
            <w:pPr>
              <w:widowControl/>
              <w:autoSpaceDE/>
              <w:autoSpaceDN/>
              <w:adjustRightInd/>
              <w:jc w:val="center"/>
              <w:rPr>
                <w:color w:val="000000"/>
                <w:sz w:val="20"/>
                <w:szCs w:val="20"/>
              </w:rPr>
            </w:pPr>
            <w:r w:rsidRPr="00B13BAD">
              <w:rPr>
                <w:color w:val="000000"/>
                <w:sz w:val="20"/>
                <w:szCs w:val="20"/>
              </w:rPr>
              <w:t>8</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C41A83C" w14:textId="77777777">
            <w:pPr>
              <w:widowControl/>
              <w:autoSpaceDE/>
              <w:autoSpaceDN/>
              <w:adjustRightInd/>
              <w:jc w:val="center"/>
              <w:rPr>
                <w:sz w:val="20"/>
                <w:szCs w:val="20"/>
              </w:rPr>
            </w:pPr>
            <w:r w:rsidRPr="00B13BAD">
              <w:rPr>
                <w:sz w:val="20"/>
                <w:szCs w:val="20"/>
              </w:rPr>
              <w:t>1</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DE00087" w14:textId="77777777">
            <w:pPr>
              <w:widowControl/>
              <w:autoSpaceDE/>
              <w:autoSpaceDN/>
              <w:adjustRightInd/>
              <w:jc w:val="center"/>
              <w:rPr>
                <w:color w:val="000000"/>
                <w:sz w:val="20"/>
                <w:szCs w:val="20"/>
              </w:rPr>
            </w:pPr>
            <w:r w:rsidRPr="00B13BAD">
              <w:rPr>
                <w:color w:val="000000"/>
                <w:sz w:val="20"/>
                <w:szCs w:val="20"/>
              </w:rPr>
              <w:t>8</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5812944"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718D0AD"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E0A2E74"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7A4D50E"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98E6DC6"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622A5A8F" w14:textId="77777777">
        <w:trPr>
          <w:gridAfter w:val="1"/>
          <w:wAfter w:w="36" w:type="dxa"/>
          <w:trHeight w:val="31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26421F3D" w14:textId="77777777">
            <w:pPr>
              <w:widowControl/>
              <w:autoSpaceDE/>
              <w:autoSpaceDN/>
              <w:adjustRightInd/>
              <w:ind w:firstLine="200" w:firstLineChars="100"/>
              <w:rPr>
                <w:color w:val="000000"/>
                <w:sz w:val="20"/>
                <w:szCs w:val="20"/>
              </w:rPr>
            </w:pPr>
            <w:r w:rsidRPr="00B13BAD">
              <w:rPr>
                <w:color w:val="000000"/>
                <w:sz w:val="20"/>
                <w:szCs w:val="20"/>
              </w:rPr>
              <w:t xml:space="preserve">g) Report of performance test </w:t>
            </w:r>
            <w:r w:rsidRPr="00B13BAD">
              <w:rPr>
                <w:color w:val="000000"/>
                <w:sz w:val="20"/>
                <w:szCs w:val="20"/>
                <w:vertAlign w:val="superscript"/>
              </w:rPr>
              <w:t>f</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1B51D2F" w14:textId="77777777">
            <w:pPr>
              <w:widowControl/>
              <w:autoSpaceDE/>
              <w:autoSpaceDN/>
              <w:adjustRightInd/>
              <w:jc w:val="center"/>
              <w:rPr>
                <w:color w:val="000000"/>
                <w:sz w:val="20"/>
                <w:szCs w:val="20"/>
              </w:rPr>
            </w:pPr>
            <w:r w:rsidRPr="00B13BAD">
              <w:rPr>
                <w:color w:val="000000"/>
                <w:sz w:val="20"/>
                <w:szCs w:val="20"/>
              </w:rPr>
              <w:t>8</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C2D6C7E" w14:textId="77777777">
            <w:pPr>
              <w:widowControl/>
              <w:autoSpaceDE/>
              <w:autoSpaceDN/>
              <w:adjustRightInd/>
              <w:jc w:val="center"/>
              <w:rPr>
                <w:sz w:val="20"/>
                <w:szCs w:val="20"/>
              </w:rPr>
            </w:pPr>
            <w:r w:rsidRPr="00B13BAD">
              <w:rPr>
                <w:sz w:val="20"/>
                <w:szCs w:val="20"/>
              </w:rPr>
              <w:t>1</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5A7DE23" w14:textId="77777777">
            <w:pPr>
              <w:widowControl/>
              <w:autoSpaceDE/>
              <w:autoSpaceDN/>
              <w:adjustRightInd/>
              <w:jc w:val="center"/>
              <w:rPr>
                <w:color w:val="000000"/>
                <w:sz w:val="20"/>
                <w:szCs w:val="20"/>
              </w:rPr>
            </w:pPr>
            <w:r w:rsidRPr="00B13BAD">
              <w:rPr>
                <w:color w:val="000000"/>
                <w:sz w:val="20"/>
                <w:szCs w:val="20"/>
              </w:rPr>
              <w:t>8</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401BFAD" w14:textId="77777777">
            <w:pPr>
              <w:widowControl/>
              <w:autoSpaceDE/>
              <w:autoSpaceDN/>
              <w:adjustRightInd/>
              <w:jc w:val="center"/>
              <w:rPr>
                <w:color w:val="000000"/>
                <w:sz w:val="20"/>
                <w:szCs w:val="20"/>
              </w:rPr>
            </w:pPr>
            <w:r w:rsidRPr="00B13BAD">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2233D52" w14:textId="77777777">
            <w:pPr>
              <w:widowControl/>
              <w:autoSpaceDE/>
              <w:autoSpaceDN/>
              <w:adjustRightInd/>
              <w:jc w:val="center"/>
              <w:rPr>
                <w:color w:val="000000"/>
                <w:sz w:val="20"/>
                <w:szCs w:val="20"/>
              </w:rPr>
            </w:pPr>
            <w:r w:rsidRPr="00B13BAD">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CF434CE" w14:textId="77777777">
            <w:pPr>
              <w:widowControl/>
              <w:autoSpaceDE/>
              <w:autoSpaceDN/>
              <w:adjustRightInd/>
              <w:jc w:val="center"/>
              <w:rPr>
                <w:color w:val="000000"/>
                <w:sz w:val="20"/>
                <w:szCs w:val="20"/>
              </w:rPr>
            </w:pPr>
            <w:r w:rsidRPr="00B13BAD">
              <w:rPr>
                <w:color w:val="000000"/>
                <w:sz w:val="20"/>
                <w:szCs w:val="20"/>
              </w:rPr>
              <w:t>0</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F9A7749" w14:textId="77777777">
            <w:pPr>
              <w:widowControl/>
              <w:autoSpaceDE/>
              <w:autoSpaceDN/>
              <w:adjustRightInd/>
              <w:jc w:val="center"/>
              <w:rPr>
                <w:color w:val="000000"/>
                <w:sz w:val="20"/>
                <w:szCs w:val="20"/>
              </w:rPr>
            </w:pPr>
            <w:r w:rsidRPr="00B13BAD">
              <w:rPr>
                <w:color w:val="000000"/>
                <w:sz w:val="20"/>
                <w:szCs w:val="20"/>
              </w:rPr>
              <w:t>0</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3DF220E" w14:textId="77777777">
            <w:pPr>
              <w:widowControl/>
              <w:autoSpaceDE/>
              <w:autoSpaceDN/>
              <w:adjustRightInd/>
              <w:jc w:val="center"/>
              <w:rPr>
                <w:color w:val="000000"/>
                <w:sz w:val="20"/>
                <w:szCs w:val="20"/>
              </w:rPr>
            </w:pPr>
            <w:r w:rsidRPr="00B13BAD">
              <w:rPr>
                <w:color w:val="000000"/>
                <w:sz w:val="20"/>
                <w:szCs w:val="20"/>
              </w:rPr>
              <w:t xml:space="preserve">$0 </w:t>
            </w:r>
          </w:p>
        </w:tc>
      </w:tr>
      <w:tr w:rsidRPr="00B13BAD" w:rsidR="00B13BAD" w:rsidTr="00B13BAD" w14:paraId="19C7E9F2" w14:textId="77777777">
        <w:trPr>
          <w:gridAfter w:val="1"/>
          <w:wAfter w:w="36" w:type="dxa"/>
          <w:trHeight w:val="25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0DE11A3C" w14:textId="77777777">
            <w:pPr>
              <w:widowControl/>
              <w:autoSpaceDE/>
              <w:autoSpaceDN/>
              <w:adjustRightInd/>
              <w:ind w:firstLine="200" w:firstLineChars="100"/>
              <w:rPr>
                <w:color w:val="000000"/>
                <w:sz w:val="20"/>
                <w:szCs w:val="20"/>
              </w:rPr>
            </w:pPr>
            <w:r w:rsidRPr="00B13BAD">
              <w:rPr>
                <w:color w:val="000000"/>
                <w:sz w:val="20"/>
                <w:szCs w:val="20"/>
              </w:rPr>
              <w:t>h) Excess emissions report</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0FB8340F" w14:textId="77777777">
            <w:pPr>
              <w:widowControl/>
              <w:autoSpaceDE/>
              <w:autoSpaceDN/>
              <w:adjustRightInd/>
              <w:jc w:val="center"/>
              <w:rPr>
                <w:color w:val="000000"/>
                <w:sz w:val="20"/>
                <w:szCs w:val="20"/>
              </w:rPr>
            </w:pPr>
            <w:r w:rsidRPr="00B13BAD">
              <w:rPr>
                <w:color w:val="000000"/>
                <w:sz w:val="20"/>
                <w:szCs w:val="20"/>
              </w:rPr>
              <w:t>8</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28B1E922" w14:textId="77777777">
            <w:pPr>
              <w:widowControl/>
              <w:autoSpaceDE/>
              <w:autoSpaceDN/>
              <w:adjustRightInd/>
              <w:jc w:val="center"/>
              <w:rPr>
                <w:sz w:val="20"/>
                <w:szCs w:val="20"/>
              </w:rPr>
            </w:pPr>
            <w:r w:rsidRPr="00B13BAD">
              <w:rPr>
                <w:sz w:val="20"/>
                <w:szCs w:val="20"/>
              </w:rPr>
              <w:t>0.5</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C499458" w14:textId="77777777">
            <w:pPr>
              <w:widowControl/>
              <w:autoSpaceDE/>
              <w:autoSpaceDN/>
              <w:adjustRightInd/>
              <w:jc w:val="center"/>
              <w:rPr>
                <w:color w:val="000000"/>
                <w:sz w:val="20"/>
                <w:szCs w:val="20"/>
              </w:rPr>
            </w:pPr>
            <w:r w:rsidRPr="00B13BAD">
              <w:rPr>
                <w:color w:val="000000"/>
                <w:sz w:val="20"/>
                <w:szCs w:val="20"/>
              </w:rPr>
              <w:t>4</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DCCC963" w14:textId="77777777">
            <w:pPr>
              <w:widowControl/>
              <w:autoSpaceDE/>
              <w:autoSpaceDN/>
              <w:adjustRightInd/>
              <w:jc w:val="center"/>
              <w:rPr>
                <w:color w:val="000000"/>
                <w:sz w:val="20"/>
                <w:szCs w:val="20"/>
              </w:rPr>
            </w:pPr>
            <w:r w:rsidRPr="00B13BAD">
              <w:rPr>
                <w:color w:val="000000"/>
                <w:sz w:val="20"/>
                <w:szCs w:val="20"/>
              </w:rPr>
              <w:t>16</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456B780" w14:textId="77777777">
            <w:pPr>
              <w:widowControl/>
              <w:autoSpaceDE/>
              <w:autoSpaceDN/>
              <w:adjustRightInd/>
              <w:jc w:val="center"/>
              <w:rPr>
                <w:color w:val="000000"/>
                <w:sz w:val="20"/>
                <w:szCs w:val="20"/>
              </w:rPr>
            </w:pPr>
            <w:r w:rsidRPr="00B13BAD">
              <w:rPr>
                <w:color w:val="000000"/>
                <w:sz w:val="20"/>
                <w:szCs w:val="20"/>
              </w:rPr>
              <w:t>64</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3DCA8FDA" w14:textId="77777777">
            <w:pPr>
              <w:widowControl/>
              <w:autoSpaceDE/>
              <w:autoSpaceDN/>
              <w:adjustRightInd/>
              <w:jc w:val="center"/>
              <w:rPr>
                <w:color w:val="000000"/>
                <w:sz w:val="20"/>
                <w:szCs w:val="20"/>
              </w:rPr>
            </w:pPr>
            <w:r w:rsidRPr="00B13BAD">
              <w:rPr>
                <w:color w:val="000000"/>
                <w:sz w:val="20"/>
                <w:szCs w:val="20"/>
              </w:rPr>
              <w:t>3.2</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EFD7CD5" w14:textId="77777777">
            <w:pPr>
              <w:widowControl/>
              <w:autoSpaceDE/>
              <w:autoSpaceDN/>
              <w:adjustRightInd/>
              <w:jc w:val="center"/>
              <w:rPr>
                <w:color w:val="000000"/>
                <w:sz w:val="20"/>
                <w:szCs w:val="20"/>
              </w:rPr>
            </w:pPr>
            <w:r w:rsidRPr="00B13BAD">
              <w:rPr>
                <w:color w:val="000000"/>
                <w:sz w:val="20"/>
                <w:szCs w:val="20"/>
              </w:rPr>
              <w:t>6.4</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DAABAA9" w14:textId="77777777">
            <w:pPr>
              <w:widowControl/>
              <w:autoSpaceDE/>
              <w:autoSpaceDN/>
              <w:adjustRightInd/>
              <w:jc w:val="center"/>
              <w:rPr>
                <w:color w:val="000000"/>
                <w:sz w:val="20"/>
                <w:szCs w:val="20"/>
              </w:rPr>
            </w:pPr>
            <w:r w:rsidRPr="00B13BAD">
              <w:rPr>
                <w:color w:val="000000"/>
                <w:sz w:val="20"/>
                <w:szCs w:val="20"/>
              </w:rPr>
              <w:t xml:space="preserve">$3,677 </w:t>
            </w:r>
          </w:p>
        </w:tc>
      </w:tr>
      <w:tr w:rsidRPr="00B13BAD" w:rsidR="00B13BAD" w:rsidTr="00B13BAD" w14:paraId="6E3FF72F" w14:textId="77777777">
        <w:trPr>
          <w:gridAfter w:val="1"/>
          <w:wAfter w:w="36" w:type="dxa"/>
          <w:trHeight w:val="31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2566A8D4" w14:textId="77777777">
            <w:pPr>
              <w:widowControl/>
              <w:autoSpaceDE/>
              <w:autoSpaceDN/>
              <w:adjustRightInd/>
              <w:ind w:firstLine="200" w:firstLineChars="100"/>
              <w:rPr>
                <w:color w:val="000000"/>
                <w:sz w:val="20"/>
                <w:szCs w:val="20"/>
              </w:rPr>
            </w:pPr>
            <w:proofErr w:type="spellStart"/>
            <w:r w:rsidRPr="00B13BAD">
              <w:rPr>
                <w:color w:val="000000"/>
                <w:sz w:val="20"/>
                <w:szCs w:val="20"/>
              </w:rPr>
              <w:t>i</w:t>
            </w:r>
            <w:proofErr w:type="spellEnd"/>
            <w:r w:rsidRPr="00B13BAD">
              <w:rPr>
                <w:color w:val="000000"/>
                <w:sz w:val="20"/>
                <w:szCs w:val="20"/>
              </w:rPr>
              <w:t xml:space="preserve">) Semiannual report and compliance reports </w:t>
            </w:r>
            <w:r w:rsidRPr="00B13BAD">
              <w:rPr>
                <w:color w:val="000000"/>
                <w:sz w:val="20"/>
                <w:szCs w:val="20"/>
                <w:vertAlign w:val="superscript"/>
              </w:rPr>
              <w:t>g</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E67A488" w14:textId="77777777">
            <w:pPr>
              <w:widowControl/>
              <w:autoSpaceDE/>
              <w:autoSpaceDN/>
              <w:adjustRightInd/>
              <w:jc w:val="center"/>
              <w:rPr>
                <w:color w:val="000000"/>
                <w:sz w:val="20"/>
                <w:szCs w:val="20"/>
              </w:rPr>
            </w:pPr>
            <w:r w:rsidRPr="00B13BAD">
              <w:rPr>
                <w:color w:val="000000"/>
                <w:sz w:val="20"/>
                <w:szCs w:val="20"/>
              </w:rPr>
              <w:t>12</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91FD53E" w14:textId="77777777">
            <w:pPr>
              <w:widowControl/>
              <w:autoSpaceDE/>
              <w:autoSpaceDN/>
              <w:adjustRightInd/>
              <w:jc w:val="center"/>
              <w:rPr>
                <w:sz w:val="20"/>
                <w:szCs w:val="20"/>
              </w:rPr>
            </w:pPr>
            <w:r w:rsidRPr="00B13BAD">
              <w:rPr>
                <w:sz w:val="20"/>
                <w:szCs w:val="20"/>
              </w:rPr>
              <w:t>2</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5446B49" w14:textId="77777777">
            <w:pPr>
              <w:widowControl/>
              <w:autoSpaceDE/>
              <w:autoSpaceDN/>
              <w:adjustRightInd/>
              <w:jc w:val="center"/>
              <w:rPr>
                <w:color w:val="000000"/>
                <w:sz w:val="20"/>
                <w:szCs w:val="20"/>
              </w:rPr>
            </w:pPr>
            <w:r w:rsidRPr="00B13BAD">
              <w:rPr>
                <w:color w:val="000000"/>
                <w:sz w:val="20"/>
                <w:szCs w:val="20"/>
              </w:rPr>
              <w:t>24</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CD4BF76" w14:textId="77777777">
            <w:pPr>
              <w:widowControl/>
              <w:autoSpaceDE/>
              <w:autoSpaceDN/>
              <w:adjustRightInd/>
              <w:jc w:val="center"/>
              <w:rPr>
                <w:color w:val="000000"/>
                <w:sz w:val="20"/>
                <w:szCs w:val="20"/>
              </w:rPr>
            </w:pPr>
            <w:r w:rsidRPr="00B13BAD">
              <w:rPr>
                <w:color w:val="000000"/>
                <w:sz w:val="20"/>
                <w:szCs w:val="20"/>
              </w:rPr>
              <w:t>16</w:t>
            </w:r>
          </w:p>
        </w:tc>
        <w:tc>
          <w:tcPr>
            <w:tcW w:w="126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8C1FA17" w14:textId="77777777">
            <w:pPr>
              <w:widowControl/>
              <w:autoSpaceDE/>
              <w:autoSpaceDN/>
              <w:adjustRightInd/>
              <w:jc w:val="center"/>
              <w:rPr>
                <w:color w:val="000000"/>
                <w:sz w:val="20"/>
                <w:szCs w:val="20"/>
              </w:rPr>
            </w:pPr>
            <w:r w:rsidRPr="00B13BAD">
              <w:rPr>
                <w:color w:val="000000"/>
                <w:sz w:val="20"/>
                <w:szCs w:val="20"/>
              </w:rPr>
              <w:t>384</w:t>
            </w:r>
          </w:p>
        </w:tc>
        <w:tc>
          <w:tcPr>
            <w:tcW w:w="144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4A43798" w14:textId="77777777">
            <w:pPr>
              <w:widowControl/>
              <w:autoSpaceDE/>
              <w:autoSpaceDN/>
              <w:adjustRightInd/>
              <w:jc w:val="center"/>
              <w:rPr>
                <w:color w:val="000000"/>
                <w:sz w:val="20"/>
                <w:szCs w:val="20"/>
              </w:rPr>
            </w:pPr>
            <w:r w:rsidRPr="00B13BAD">
              <w:rPr>
                <w:color w:val="000000"/>
                <w:sz w:val="20"/>
                <w:szCs w:val="20"/>
              </w:rPr>
              <w:t>19.2</w:t>
            </w:r>
          </w:p>
        </w:tc>
        <w:tc>
          <w:tcPr>
            <w:tcW w:w="121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5AF5A9FE" w14:textId="77777777">
            <w:pPr>
              <w:widowControl/>
              <w:autoSpaceDE/>
              <w:autoSpaceDN/>
              <w:adjustRightInd/>
              <w:jc w:val="center"/>
              <w:rPr>
                <w:color w:val="000000"/>
                <w:sz w:val="20"/>
                <w:szCs w:val="20"/>
              </w:rPr>
            </w:pPr>
            <w:r w:rsidRPr="00B13BAD">
              <w:rPr>
                <w:color w:val="000000"/>
                <w:sz w:val="20"/>
                <w:szCs w:val="20"/>
              </w:rPr>
              <w:t>38.4</w:t>
            </w:r>
          </w:p>
        </w:tc>
        <w:tc>
          <w:tcPr>
            <w:tcW w:w="1265" w:type="dxa"/>
            <w:gridSpan w:val="2"/>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D876525" w14:textId="77777777">
            <w:pPr>
              <w:widowControl/>
              <w:autoSpaceDE/>
              <w:autoSpaceDN/>
              <w:adjustRightInd/>
              <w:jc w:val="center"/>
              <w:rPr>
                <w:color w:val="000000"/>
                <w:sz w:val="20"/>
                <w:szCs w:val="20"/>
              </w:rPr>
            </w:pPr>
            <w:r w:rsidRPr="00B13BAD">
              <w:rPr>
                <w:color w:val="000000"/>
                <w:sz w:val="20"/>
                <w:szCs w:val="20"/>
              </w:rPr>
              <w:t xml:space="preserve">$22,062.72 </w:t>
            </w:r>
          </w:p>
        </w:tc>
      </w:tr>
      <w:tr w:rsidRPr="00B13BAD" w:rsidR="00B13BAD" w:rsidTr="00B13BAD" w14:paraId="5B37C0B3" w14:textId="77777777">
        <w:trPr>
          <w:gridAfter w:val="1"/>
          <w:wAfter w:w="36" w:type="dxa"/>
          <w:trHeight w:val="315"/>
        </w:trPr>
        <w:tc>
          <w:tcPr>
            <w:tcW w:w="3780" w:type="dxa"/>
            <w:tcBorders>
              <w:top w:val="nil"/>
              <w:left w:val="single" w:color="auto" w:sz="4" w:space="0"/>
              <w:bottom w:val="single" w:color="auto" w:sz="4" w:space="0"/>
              <w:right w:val="single" w:color="auto" w:sz="4" w:space="0"/>
            </w:tcBorders>
            <w:shd w:val="clear" w:color="auto" w:fill="auto"/>
            <w:vAlign w:val="bottom"/>
            <w:hideMark/>
          </w:tcPr>
          <w:p w:rsidRPr="00B13BAD" w:rsidR="00B13BAD" w:rsidP="00B13BAD" w:rsidRDefault="00B13BAD" w14:paraId="26FAAF80" w14:textId="77777777">
            <w:pPr>
              <w:widowControl/>
              <w:autoSpaceDE/>
              <w:autoSpaceDN/>
              <w:adjustRightInd/>
              <w:rPr>
                <w:b/>
                <w:bCs/>
                <w:color w:val="000000"/>
                <w:sz w:val="20"/>
                <w:szCs w:val="20"/>
              </w:rPr>
            </w:pPr>
            <w:r w:rsidRPr="00B13BAD">
              <w:rPr>
                <w:b/>
                <w:bCs/>
                <w:color w:val="000000"/>
                <w:sz w:val="20"/>
                <w:szCs w:val="20"/>
              </w:rPr>
              <w:t xml:space="preserve">Total (rounded) </w:t>
            </w:r>
            <w:r w:rsidRPr="00B13BAD">
              <w:rPr>
                <w:b/>
                <w:bCs/>
                <w:color w:val="000000"/>
                <w:sz w:val="20"/>
                <w:szCs w:val="20"/>
                <w:vertAlign w:val="superscript"/>
              </w:rPr>
              <w:t>h</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A2B8ADA" w14:textId="77777777">
            <w:pPr>
              <w:widowControl/>
              <w:autoSpaceDE/>
              <w:autoSpaceDN/>
              <w:adjustRightInd/>
              <w:rPr>
                <w:b/>
                <w:bCs/>
                <w:sz w:val="20"/>
                <w:szCs w:val="20"/>
              </w:rPr>
            </w:pPr>
            <w:r w:rsidRPr="00B13BAD">
              <w:rPr>
                <w:b/>
                <w:bCs/>
                <w:sz w:val="20"/>
                <w:szCs w:val="20"/>
              </w:rPr>
              <w:t> </w:t>
            </w:r>
          </w:p>
        </w:tc>
        <w:tc>
          <w:tcPr>
            <w:tcW w:w="13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737AC6BA" w14:textId="77777777">
            <w:pPr>
              <w:widowControl/>
              <w:autoSpaceDE/>
              <w:autoSpaceDN/>
              <w:adjustRightInd/>
              <w:rPr>
                <w:b/>
                <w:bCs/>
                <w:sz w:val="20"/>
                <w:szCs w:val="20"/>
              </w:rPr>
            </w:pPr>
            <w:r w:rsidRPr="00B13BAD">
              <w:rPr>
                <w:b/>
                <w:bCs/>
                <w:sz w:val="20"/>
                <w:szCs w:val="20"/>
              </w:rPr>
              <w:t> </w:t>
            </w:r>
          </w:p>
        </w:tc>
        <w:tc>
          <w:tcPr>
            <w:tcW w:w="1265"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4826BF63" w14:textId="77777777">
            <w:pPr>
              <w:widowControl/>
              <w:autoSpaceDE/>
              <w:autoSpaceDN/>
              <w:adjustRightInd/>
              <w:rPr>
                <w:color w:val="000000"/>
                <w:sz w:val="20"/>
                <w:szCs w:val="20"/>
              </w:rPr>
            </w:pPr>
            <w:r w:rsidRPr="00B13BA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11890F83" w14:textId="77777777">
            <w:pPr>
              <w:widowControl/>
              <w:autoSpaceDE/>
              <w:autoSpaceDN/>
              <w:adjustRightInd/>
              <w:rPr>
                <w:color w:val="000000"/>
                <w:sz w:val="20"/>
                <w:szCs w:val="20"/>
              </w:rPr>
            </w:pPr>
            <w:r w:rsidRPr="00B13BAD">
              <w:rPr>
                <w:color w:val="000000"/>
                <w:sz w:val="20"/>
                <w:szCs w:val="20"/>
              </w:rPr>
              <w:t> </w:t>
            </w:r>
          </w:p>
        </w:tc>
        <w:tc>
          <w:tcPr>
            <w:tcW w:w="3923" w:type="dxa"/>
            <w:gridSpan w:val="4"/>
            <w:tcBorders>
              <w:top w:val="single" w:color="auto" w:sz="4" w:space="0"/>
              <w:left w:val="nil"/>
              <w:bottom w:val="single" w:color="auto" w:sz="4" w:space="0"/>
              <w:right w:val="single" w:color="auto" w:sz="4" w:space="0"/>
            </w:tcBorders>
            <w:shd w:val="clear" w:color="auto" w:fill="auto"/>
            <w:vAlign w:val="bottom"/>
            <w:hideMark/>
          </w:tcPr>
          <w:p w:rsidRPr="00B13BAD" w:rsidR="00B13BAD" w:rsidP="00B13BAD" w:rsidRDefault="00B13BAD" w14:paraId="5224C033" w14:textId="77777777">
            <w:pPr>
              <w:widowControl/>
              <w:autoSpaceDE/>
              <w:autoSpaceDN/>
              <w:adjustRightInd/>
              <w:jc w:val="center"/>
              <w:rPr>
                <w:b/>
                <w:bCs/>
                <w:color w:val="000000"/>
                <w:sz w:val="20"/>
                <w:szCs w:val="20"/>
              </w:rPr>
            </w:pPr>
            <w:r w:rsidRPr="00B13BAD">
              <w:rPr>
                <w:b/>
                <w:bCs/>
                <w:color w:val="000000"/>
                <w:sz w:val="20"/>
                <w:szCs w:val="20"/>
              </w:rPr>
              <w:t>515</w:t>
            </w:r>
          </w:p>
        </w:tc>
        <w:tc>
          <w:tcPr>
            <w:tcW w:w="1252" w:type="dxa"/>
            <w:tcBorders>
              <w:top w:val="nil"/>
              <w:left w:val="nil"/>
              <w:bottom w:val="single" w:color="auto" w:sz="4" w:space="0"/>
              <w:right w:val="single" w:color="auto" w:sz="4" w:space="0"/>
            </w:tcBorders>
            <w:shd w:val="clear" w:color="auto" w:fill="auto"/>
            <w:vAlign w:val="bottom"/>
            <w:hideMark/>
          </w:tcPr>
          <w:p w:rsidRPr="00B13BAD" w:rsidR="00B13BAD" w:rsidP="00B13BAD" w:rsidRDefault="00B13BAD" w14:paraId="66EE336D" w14:textId="77777777">
            <w:pPr>
              <w:widowControl/>
              <w:autoSpaceDE/>
              <w:autoSpaceDN/>
              <w:adjustRightInd/>
              <w:jc w:val="center"/>
              <w:rPr>
                <w:b/>
                <w:bCs/>
                <w:color w:val="000000"/>
                <w:sz w:val="20"/>
                <w:szCs w:val="20"/>
              </w:rPr>
            </w:pPr>
            <w:r w:rsidRPr="00B13BAD">
              <w:rPr>
                <w:b/>
                <w:bCs/>
                <w:color w:val="000000"/>
                <w:sz w:val="20"/>
                <w:szCs w:val="20"/>
              </w:rPr>
              <w:t xml:space="preserve">$25,700 </w:t>
            </w:r>
          </w:p>
        </w:tc>
      </w:tr>
      <w:tr w:rsidRPr="00B13BAD" w:rsidR="00B13BAD" w:rsidTr="00B13BAD" w14:paraId="05A4109F" w14:textId="77777777">
        <w:trPr>
          <w:gridAfter w:val="1"/>
          <w:wAfter w:w="36" w:type="dxa"/>
          <w:trHeight w:val="255"/>
        </w:trPr>
        <w:tc>
          <w:tcPr>
            <w:tcW w:w="3780" w:type="dxa"/>
            <w:tcBorders>
              <w:top w:val="nil"/>
              <w:left w:val="nil"/>
              <w:bottom w:val="nil"/>
              <w:right w:val="nil"/>
            </w:tcBorders>
            <w:shd w:val="clear" w:color="auto" w:fill="auto"/>
            <w:hideMark/>
          </w:tcPr>
          <w:p w:rsidRPr="00B13BAD" w:rsidR="00B13BAD" w:rsidP="00B13BAD" w:rsidRDefault="00B13BAD" w14:paraId="04E886A5" w14:textId="77777777">
            <w:pPr>
              <w:widowControl/>
              <w:autoSpaceDE/>
              <w:autoSpaceDN/>
              <w:adjustRightInd/>
              <w:jc w:val="center"/>
              <w:rPr>
                <w:b/>
                <w:bCs/>
                <w:color w:val="000000"/>
                <w:sz w:val="20"/>
                <w:szCs w:val="20"/>
              </w:rPr>
            </w:pPr>
          </w:p>
        </w:tc>
        <w:tc>
          <w:tcPr>
            <w:tcW w:w="1300" w:type="dxa"/>
            <w:tcBorders>
              <w:top w:val="nil"/>
              <w:left w:val="nil"/>
              <w:bottom w:val="nil"/>
              <w:right w:val="nil"/>
            </w:tcBorders>
            <w:shd w:val="clear" w:color="auto" w:fill="auto"/>
            <w:hideMark/>
          </w:tcPr>
          <w:p w:rsidRPr="00B13BAD" w:rsidR="00B13BAD" w:rsidP="00B13BAD" w:rsidRDefault="00B13BAD" w14:paraId="678225D5" w14:textId="77777777">
            <w:pPr>
              <w:widowControl/>
              <w:autoSpaceDE/>
              <w:autoSpaceDN/>
              <w:adjustRightInd/>
              <w:rPr>
                <w:sz w:val="20"/>
                <w:szCs w:val="20"/>
              </w:rPr>
            </w:pPr>
          </w:p>
        </w:tc>
        <w:tc>
          <w:tcPr>
            <w:tcW w:w="1300" w:type="dxa"/>
            <w:tcBorders>
              <w:top w:val="nil"/>
              <w:left w:val="nil"/>
              <w:bottom w:val="nil"/>
              <w:right w:val="nil"/>
            </w:tcBorders>
            <w:shd w:val="clear" w:color="auto" w:fill="auto"/>
            <w:hideMark/>
          </w:tcPr>
          <w:p w:rsidRPr="00B13BAD" w:rsidR="00B13BAD" w:rsidP="00B13BAD" w:rsidRDefault="00B13BAD" w14:paraId="06F23792" w14:textId="77777777">
            <w:pPr>
              <w:widowControl/>
              <w:autoSpaceDE/>
              <w:autoSpaceDN/>
              <w:adjustRightInd/>
              <w:rPr>
                <w:sz w:val="20"/>
                <w:szCs w:val="20"/>
              </w:rPr>
            </w:pPr>
          </w:p>
        </w:tc>
        <w:tc>
          <w:tcPr>
            <w:tcW w:w="1265" w:type="dxa"/>
            <w:tcBorders>
              <w:top w:val="nil"/>
              <w:left w:val="nil"/>
              <w:bottom w:val="nil"/>
              <w:right w:val="nil"/>
            </w:tcBorders>
            <w:shd w:val="clear" w:color="auto" w:fill="auto"/>
            <w:hideMark/>
          </w:tcPr>
          <w:p w:rsidRPr="00B13BAD" w:rsidR="00B13BAD" w:rsidP="00B13BAD" w:rsidRDefault="00B13BAD" w14:paraId="154A91B1" w14:textId="77777777">
            <w:pPr>
              <w:widowControl/>
              <w:autoSpaceDE/>
              <w:autoSpaceDN/>
              <w:adjustRightInd/>
              <w:rPr>
                <w:sz w:val="20"/>
                <w:szCs w:val="20"/>
              </w:rPr>
            </w:pPr>
          </w:p>
        </w:tc>
        <w:tc>
          <w:tcPr>
            <w:tcW w:w="900" w:type="dxa"/>
            <w:tcBorders>
              <w:top w:val="nil"/>
              <w:left w:val="nil"/>
              <w:bottom w:val="nil"/>
              <w:right w:val="nil"/>
            </w:tcBorders>
            <w:shd w:val="clear" w:color="auto" w:fill="auto"/>
            <w:hideMark/>
          </w:tcPr>
          <w:p w:rsidRPr="00B13BAD" w:rsidR="00B13BAD" w:rsidP="00B13BAD" w:rsidRDefault="00B13BAD" w14:paraId="68C3E8DF" w14:textId="77777777">
            <w:pPr>
              <w:widowControl/>
              <w:autoSpaceDE/>
              <w:autoSpaceDN/>
              <w:adjustRightInd/>
              <w:rPr>
                <w:sz w:val="20"/>
                <w:szCs w:val="20"/>
              </w:rPr>
            </w:pPr>
          </w:p>
        </w:tc>
        <w:tc>
          <w:tcPr>
            <w:tcW w:w="1260" w:type="dxa"/>
            <w:tcBorders>
              <w:top w:val="nil"/>
              <w:left w:val="nil"/>
              <w:bottom w:val="nil"/>
              <w:right w:val="nil"/>
            </w:tcBorders>
            <w:shd w:val="clear" w:color="auto" w:fill="auto"/>
            <w:hideMark/>
          </w:tcPr>
          <w:p w:rsidRPr="00B13BAD" w:rsidR="00B13BAD" w:rsidP="00B13BAD" w:rsidRDefault="00B13BAD" w14:paraId="3EC9AE58" w14:textId="77777777">
            <w:pPr>
              <w:widowControl/>
              <w:autoSpaceDE/>
              <w:autoSpaceDN/>
              <w:adjustRightInd/>
              <w:rPr>
                <w:sz w:val="20"/>
                <w:szCs w:val="20"/>
              </w:rPr>
            </w:pPr>
          </w:p>
        </w:tc>
        <w:tc>
          <w:tcPr>
            <w:tcW w:w="1440" w:type="dxa"/>
            <w:tcBorders>
              <w:top w:val="nil"/>
              <w:left w:val="nil"/>
              <w:bottom w:val="nil"/>
              <w:right w:val="nil"/>
            </w:tcBorders>
            <w:shd w:val="clear" w:color="auto" w:fill="auto"/>
            <w:vAlign w:val="bottom"/>
            <w:hideMark/>
          </w:tcPr>
          <w:p w:rsidRPr="00B13BAD" w:rsidR="00B13BAD" w:rsidP="00B13BAD" w:rsidRDefault="00B13BAD" w14:paraId="5A323F0F" w14:textId="77777777">
            <w:pPr>
              <w:widowControl/>
              <w:autoSpaceDE/>
              <w:autoSpaceDN/>
              <w:adjustRightInd/>
              <w:rPr>
                <w:sz w:val="20"/>
                <w:szCs w:val="20"/>
              </w:rPr>
            </w:pPr>
          </w:p>
        </w:tc>
        <w:tc>
          <w:tcPr>
            <w:tcW w:w="1210" w:type="dxa"/>
            <w:tcBorders>
              <w:top w:val="nil"/>
              <w:left w:val="nil"/>
              <w:bottom w:val="nil"/>
              <w:right w:val="nil"/>
            </w:tcBorders>
            <w:shd w:val="clear" w:color="auto" w:fill="auto"/>
            <w:hideMark/>
          </w:tcPr>
          <w:p w:rsidRPr="00B13BAD" w:rsidR="00B13BAD" w:rsidP="00B13BAD" w:rsidRDefault="00B13BAD" w14:paraId="54A9FB2A" w14:textId="77777777">
            <w:pPr>
              <w:widowControl/>
              <w:autoSpaceDE/>
              <w:autoSpaceDN/>
              <w:adjustRightInd/>
              <w:rPr>
                <w:sz w:val="20"/>
                <w:szCs w:val="20"/>
              </w:rPr>
            </w:pPr>
          </w:p>
        </w:tc>
        <w:tc>
          <w:tcPr>
            <w:tcW w:w="1265" w:type="dxa"/>
            <w:gridSpan w:val="2"/>
            <w:tcBorders>
              <w:top w:val="nil"/>
              <w:left w:val="nil"/>
              <w:bottom w:val="nil"/>
              <w:right w:val="nil"/>
            </w:tcBorders>
            <w:shd w:val="clear" w:color="auto" w:fill="auto"/>
            <w:hideMark/>
          </w:tcPr>
          <w:p w:rsidRPr="00B13BAD" w:rsidR="00B13BAD" w:rsidP="00B13BAD" w:rsidRDefault="00B13BAD" w14:paraId="1815567F" w14:textId="77777777">
            <w:pPr>
              <w:widowControl/>
              <w:autoSpaceDE/>
              <w:autoSpaceDN/>
              <w:adjustRightInd/>
              <w:rPr>
                <w:sz w:val="20"/>
                <w:szCs w:val="20"/>
              </w:rPr>
            </w:pPr>
          </w:p>
        </w:tc>
      </w:tr>
      <w:tr w:rsidRPr="00B13BAD" w:rsidR="00B13BAD" w:rsidTr="00B13BAD" w14:paraId="5F82DF89" w14:textId="77777777">
        <w:trPr>
          <w:gridAfter w:val="1"/>
          <w:wAfter w:w="36" w:type="dxa"/>
          <w:trHeight w:val="255"/>
        </w:trPr>
        <w:tc>
          <w:tcPr>
            <w:tcW w:w="3780" w:type="dxa"/>
            <w:tcBorders>
              <w:top w:val="nil"/>
              <w:left w:val="nil"/>
              <w:bottom w:val="nil"/>
              <w:right w:val="nil"/>
            </w:tcBorders>
            <w:shd w:val="clear" w:color="auto" w:fill="auto"/>
            <w:noWrap/>
            <w:vAlign w:val="bottom"/>
            <w:hideMark/>
          </w:tcPr>
          <w:p w:rsidRPr="00B13BAD" w:rsidR="00B13BAD" w:rsidP="00B13BAD" w:rsidRDefault="00B13BAD" w14:paraId="021E4602" w14:textId="77777777">
            <w:pPr>
              <w:widowControl/>
              <w:autoSpaceDE/>
              <w:autoSpaceDN/>
              <w:adjustRightInd/>
              <w:rPr>
                <w:b/>
                <w:bCs/>
                <w:color w:val="000000"/>
                <w:sz w:val="20"/>
                <w:szCs w:val="20"/>
              </w:rPr>
            </w:pPr>
            <w:r w:rsidRPr="00B13BAD">
              <w:rPr>
                <w:b/>
                <w:bCs/>
                <w:color w:val="000000"/>
                <w:sz w:val="20"/>
                <w:szCs w:val="20"/>
              </w:rPr>
              <w:t>Assumptions:</w:t>
            </w:r>
          </w:p>
        </w:tc>
        <w:tc>
          <w:tcPr>
            <w:tcW w:w="1300" w:type="dxa"/>
            <w:tcBorders>
              <w:top w:val="nil"/>
              <w:left w:val="nil"/>
              <w:bottom w:val="nil"/>
              <w:right w:val="nil"/>
            </w:tcBorders>
            <w:shd w:val="clear" w:color="auto" w:fill="auto"/>
            <w:noWrap/>
            <w:vAlign w:val="bottom"/>
            <w:hideMark/>
          </w:tcPr>
          <w:p w:rsidRPr="00B13BAD" w:rsidR="00B13BAD" w:rsidP="00B13BAD" w:rsidRDefault="00B13BAD" w14:paraId="5E706E93" w14:textId="77777777">
            <w:pPr>
              <w:widowControl/>
              <w:autoSpaceDE/>
              <w:autoSpaceDN/>
              <w:adjustRightInd/>
              <w:rPr>
                <w:b/>
                <w:bCs/>
                <w:color w:val="000000"/>
                <w:sz w:val="20"/>
                <w:szCs w:val="20"/>
              </w:rPr>
            </w:pPr>
          </w:p>
        </w:tc>
        <w:tc>
          <w:tcPr>
            <w:tcW w:w="1300" w:type="dxa"/>
            <w:tcBorders>
              <w:top w:val="nil"/>
              <w:left w:val="nil"/>
              <w:bottom w:val="nil"/>
              <w:right w:val="nil"/>
            </w:tcBorders>
            <w:shd w:val="clear" w:color="auto" w:fill="auto"/>
            <w:noWrap/>
            <w:vAlign w:val="bottom"/>
            <w:hideMark/>
          </w:tcPr>
          <w:p w:rsidRPr="00B13BAD" w:rsidR="00B13BAD" w:rsidP="00B13BAD" w:rsidRDefault="00B13BAD" w14:paraId="1A4EF1EC" w14:textId="77777777">
            <w:pPr>
              <w:widowControl/>
              <w:autoSpaceDE/>
              <w:autoSpaceDN/>
              <w:adjustRightInd/>
              <w:rPr>
                <w:sz w:val="20"/>
                <w:szCs w:val="20"/>
              </w:rPr>
            </w:pPr>
          </w:p>
        </w:tc>
        <w:tc>
          <w:tcPr>
            <w:tcW w:w="1265" w:type="dxa"/>
            <w:tcBorders>
              <w:top w:val="nil"/>
              <w:left w:val="nil"/>
              <w:bottom w:val="nil"/>
              <w:right w:val="nil"/>
            </w:tcBorders>
            <w:shd w:val="clear" w:color="auto" w:fill="auto"/>
            <w:hideMark/>
          </w:tcPr>
          <w:p w:rsidRPr="00B13BAD" w:rsidR="00B13BAD" w:rsidP="00B13BAD" w:rsidRDefault="00B13BAD" w14:paraId="61A3A028" w14:textId="77777777">
            <w:pPr>
              <w:widowControl/>
              <w:autoSpaceDE/>
              <w:autoSpaceDN/>
              <w:adjustRightInd/>
              <w:rPr>
                <w:sz w:val="20"/>
                <w:szCs w:val="20"/>
              </w:rPr>
            </w:pPr>
          </w:p>
        </w:tc>
        <w:tc>
          <w:tcPr>
            <w:tcW w:w="900" w:type="dxa"/>
            <w:tcBorders>
              <w:top w:val="nil"/>
              <w:left w:val="nil"/>
              <w:bottom w:val="nil"/>
              <w:right w:val="nil"/>
            </w:tcBorders>
            <w:shd w:val="clear" w:color="auto" w:fill="auto"/>
            <w:hideMark/>
          </w:tcPr>
          <w:p w:rsidRPr="00B13BAD" w:rsidR="00B13BAD" w:rsidP="00B13BAD" w:rsidRDefault="00B13BAD" w14:paraId="5D440BED" w14:textId="77777777">
            <w:pPr>
              <w:widowControl/>
              <w:autoSpaceDE/>
              <w:autoSpaceDN/>
              <w:adjustRightInd/>
              <w:rPr>
                <w:sz w:val="20"/>
                <w:szCs w:val="20"/>
              </w:rPr>
            </w:pPr>
          </w:p>
        </w:tc>
        <w:tc>
          <w:tcPr>
            <w:tcW w:w="1260" w:type="dxa"/>
            <w:tcBorders>
              <w:top w:val="nil"/>
              <w:left w:val="nil"/>
              <w:bottom w:val="nil"/>
              <w:right w:val="nil"/>
            </w:tcBorders>
            <w:shd w:val="clear" w:color="auto" w:fill="auto"/>
            <w:hideMark/>
          </w:tcPr>
          <w:p w:rsidRPr="00B13BAD" w:rsidR="00B13BAD" w:rsidP="00B13BAD" w:rsidRDefault="00B13BAD" w14:paraId="168A646F" w14:textId="77777777">
            <w:pPr>
              <w:widowControl/>
              <w:autoSpaceDE/>
              <w:autoSpaceDN/>
              <w:adjustRightInd/>
              <w:rPr>
                <w:sz w:val="20"/>
                <w:szCs w:val="20"/>
              </w:rPr>
            </w:pPr>
          </w:p>
        </w:tc>
        <w:tc>
          <w:tcPr>
            <w:tcW w:w="1440" w:type="dxa"/>
            <w:tcBorders>
              <w:top w:val="nil"/>
              <w:left w:val="nil"/>
              <w:bottom w:val="nil"/>
              <w:right w:val="nil"/>
            </w:tcBorders>
            <w:shd w:val="clear" w:color="auto" w:fill="auto"/>
            <w:vAlign w:val="bottom"/>
            <w:hideMark/>
          </w:tcPr>
          <w:p w:rsidRPr="00B13BAD" w:rsidR="00B13BAD" w:rsidP="00B13BAD" w:rsidRDefault="00B13BAD" w14:paraId="563BA7ED" w14:textId="77777777">
            <w:pPr>
              <w:widowControl/>
              <w:autoSpaceDE/>
              <w:autoSpaceDN/>
              <w:adjustRightInd/>
              <w:rPr>
                <w:sz w:val="20"/>
                <w:szCs w:val="20"/>
              </w:rPr>
            </w:pPr>
          </w:p>
        </w:tc>
        <w:tc>
          <w:tcPr>
            <w:tcW w:w="1210" w:type="dxa"/>
            <w:tcBorders>
              <w:top w:val="nil"/>
              <w:left w:val="nil"/>
              <w:bottom w:val="nil"/>
              <w:right w:val="nil"/>
            </w:tcBorders>
            <w:shd w:val="clear" w:color="auto" w:fill="auto"/>
            <w:hideMark/>
          </w:tcPr>
          <w:p w:rsidRPr="00B13BAD" w:rsidR="00B13BAD" w:rsidP="00B13BAD" w:rsidRDefault="00B13BAD" w14:paraId="49A61261" w14:textId="77777777">
            <w:pPr>
              <w:widowControl/>
              <w:autoSpaceDE/>
              <w:autoSpaceDN/>
              <w:adjustRightInd/>
              <w:rPr>
                <w:sz w:val="20"/>
                <w:szCs w:val="20"/>
              </w:rPr>
            </w:pPr>
          </w:p>
        </w:tc>
        <w:tc>
          <w:tcPr>
            <w:tcW w:w="1265" w:type="dxa"/>
            <w:gridSpan w:val="2"/>
            <w:tcBorders>
              <w:top w:val="nil"/>
              <w:left w:val="nil"/>
              <w:bottom w:val="nil"/>
              <w:right w:val="nil"/>
            </w:tcBorders>
            <w:shd w:val="clear" w:color="auto" w:fill="auto"/>
            <w:hideMark/>
          </w:tcPr>
          <w:p w:rsidRPr="00B13BAD" w:rsidR="00B13BAD" w:rsidP="00B13BAD" w:rsidRDefault="00B13BAD" w14:paraId="031BE091" w14:textId="77777777">
            <w:pPr>
              <w:widowControl/>
              <w:autoSpaceDE/>
              <w:autoSpaceDN/>
              <w:adjustRightInd/>
              <w:rPr>
                <w:sz w:val="20"/>
                <w:szCs w:val="20"/>
              </w:rPr>
            </w:pPr>
          </w:p>
        </w:tc>
      </w:tr>
      <w:tr w:rsidRPr="00B13BAD" w:rsidR="00B13BAD" w:rsidTr="006107F3" w14:paraId="67A44221" w14:textId="77777777">
        <w:trPr>
          <w:trHeight w:val="83"/>
        </w:trPr>
        <w:tc>
          <w:tcPr>
            <w:tcW w:w="13756" w:type="dxa"/>
            <w:gridSpan w:val="11"/>
            <w:tcBorders>
              <w:top w:val="nil"/>
              <w:left w:val="nil"/>
              <w:bottom w:val="nil"/>
              <w:right w:val="nil"/>
            </w:tcBorders>
            <w:shd w:val="clear" w:color="auto" w:fill="auto"/>
            <w:hideMark/>
          </w:tcPr>
          <w:p w:rsidRPr="00B13BAD" w:rsidR="00B13BAD" w:rsidP="00B13BAD" w:rsidRDefault="00B13BAD" w14:paraId="3AC661D7" w14:textId="77777777">
            <w:pPr>
              <w:widowControl/>
              <w:autoSpaceDE/>
              <w:autoSpaceDN/>
              <w:adjustRightInd/>
              <w:rPr>
                <w:color w:val="000000"/>
                <w:sz w:val="20"/>
                <w:szCs w:val="20"/>
              </w:rPr>
            </w:pPr>
            <w:proofErr w:type="spellStart"/>
            <w:proofErr w:type="gramStart"/>
            <w:r w:rsidRPr="00B13BAD">
              <w:rPr>
                <w:color w:val="000000"/>
                <w:sz w:val="20"/>
                <w:szCs w:val="20"/>
                <w:vertAlign w:val="superscript"/>
              </w:rPr>
              <w:t>a</w:t>
            </w:r>
            <w:proofErr w:type="spellEnd"/>
            <w:r w:rsidRPr="00B13BAD">
              <w:rPr>
                <w:color w:val="000000"/>
                <w:sz w:val="20"/>
                <w:szCs w:val="20"/>
              </w:rPr>
              <w:t xml:space="preserve">  We</w:t>
            </w:r>
            <w:proofErr w:type="gramEnd"/>
            <w:r w:rsidRPr="00B13BAD">
              <w:rPr>
                <w:color w:val="000000"/>
                <w:sz w:val="20"/>
                <w:szCs w:val="20"/>
              </w:rPr>
              <w:t xml:space="preserve"> have assumed that there are approximately 16 respondents, with no additional new or reconstructed sources becoming subject to the rule over the next three years.</w:t>
            </w:r>
          </w:p>
        </w:tc>
      </w:tr>
      <w:tr w:rsidRPr="00B13BAD" w:rsidR="00B13BAD" w:rsidTr="00B13BAD" w14:paraId="7BA47793" w14:textId="77777777">
        <w:trPr>
          <w:trHeight w:val="315"/>
        </w:trPr>
        <w:tc>
          <w:tcPr>
            <w:tcW w:w="13756" w:type="dxa"/>
            <w:gridSpan w:val="11"/>
            <w:tcBorders>
              <w:top w:val="nil"/>
              <w:left w:val="nil"/>
              <w:bottom w:val="nil"/>
              <w:right w:val="nil"/>
            </w:tcBorders>
            <w:shd w:val="clear" w:color="auto" w:fill="auto"/>
            <w:hideMark/>
          </w:tcPr>
          <w:p w:rsidRPr="00B13BAD" w:rsidR="00B13BAD" w:rsidP="00B13BAD" w:rsidRDefault="00B13BAD" w14:paraId="2389E1B4" w14:textId="77777777">
            <w:pPr>
              <w:widowControl/>
              <w:autoSpaceDE/>
              <w:autoSpaceDN/>
              <w:adjustRightInd/>
              <w:rPr>
                <w:color w:val="000000"/>
                <w:sz w:val="20"/>
                <w:szCs w:val="20"/>
              </w:rPr>
            </w:pPr>
            <w:proofErr w:type="gramStart"/>
            <w:r w:rsidRPr="00B13BAD">
              <w:rPr>
                <w:color w:val="000000"/>
                <w:sz w:val="20"/>
                <w:szCs w:val="20"/>
                <w:vertAlign w:val="superscript"/>
              </w:rPr>
              <w:t>b</w:t>
            </w:r>
            <w:r w:rsidRPr="00B13BAD">
              <w:rPr>
                <w:color w:val="000000"/>
                <w:sz w:val="20"/>
                <w:szCs w:val="20"/>
              </w:rPr>
              <w:t xml:space="preserve">  This</w:t>
            </w:r>
            <w:proofErr w:type="gramEnd"/>
            <w:r w:rsidRPr="00B13BAD">
              <w:rPr>
                <w:color w:val="000000"/>
                <w:sz w:val="20"/>
                <w:szCs w:val="20"/>
              </w:rPr>
              <w:t xml:space="preserve"> cost is based on the average hourly labor rate as follows: Managerial $69.04 (GS-13, Step 5, $43.15 + 60%); Technical $51.23 (GS-12, Step 1, $32.02 + 60%); and Clerical $27.73 (GS-6, Step 3, $17.33 + 60%). This ICR assumes that Managerial hours are 5 percent of Technical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w:t>
            </w:r>
          </w:p>
        </w:tc>
      </w:tr>
      <w:tr w:rsidRPr="00B13BAD" w:rsidR="00B13BAD" w:rsidTr="006107F3" w14:paraId="730C443E" w14:textId="77777777">
        <w:trPr>
          <w:trHeight w:val="162"/>
        </w:trPr>
        <w:tc>
          <w:tcPr>
            <w:tcW w:w="13756" w:type="dxa"/>
            <w:gridSpan w:val="11"/>
            <w:tcBorders>
              <w:top w:val="nil"/>
              <w:left w:val="nil"/>
              <w:bottom w:val="nil"/>
              <w:right w:val="nil"/>
            </w:tcBorders>
            <w:shd w:val="clear" w:color="auto" w:fill="auto"/>
            <w:hideMark/>
          </w:tcPr>
          <w:p w:rsidRPr="00B13BAD" w:rsidR="00B13BAD" w:rsidP="00B13BAD" w:rsidRDefault="00B13BAD" w14:paraId="6F8C43A7" w14:textId="77777777">
            <w:pPr>
              <w:widowControl/>
              <w:autoSpaceDE/>
              <w:autoSpaceDN/>
              <w:adjustRightInd/>
              <w:rPr>
                <w:color w:val="000000"/>
                <w:sz w:val="20"/>
                <w:szCs w:val="20"/>
              </w:rPr>
            </w:pPr>
            <w:proofErr w:type="gramStart"/>
            <w:r w:rsidRPr="00B13BAD">
              <w:rPr>
                <w:color w:val="000000"/>
                <w:sz w:val="20"/>
                <w:szCs w:val="20"/>
                <w:vertAlign w:val="superscript"/>
              </w:rPr>
              <w:t xml:space="preserve">c  </w:t>
            </w:r>
            <w:r w:rsidRPr="00B13BAD">
              <w:rPr>
                <w:color w:val="000000"/>
                <w:sz w:val="20"/>
                <w:szCs w:val="20"/>
              </w:rPr>
              <w:t>The</w:t>
            </w:r>
            <w:proofErr w:type="gramEnd"/>
            <w:r w:rsidRPr="00B13BAD">
              <w:rPr>
                <w:color w:val="000000"/>
                <w:sz w:val="20"/>
                <w:szCs w:val="20"/>
              </w:rPr>
              <w:t xml:space="preserve"> current ICR assumes it will take 24 hours to complete the task for each respondent. </w:t>
            </w:r>
          </w:p>
        </w:tc>
      </w:tr>
      <w:tr w:rsidRPr="00B13BAD" w:rsidR="00B13BAD" w:rsidTr="00B13BAD" w14:paraId="5E2A4D4D" w14:textId="77777777">
        <w:trPr>
          <w:trHeight w:val="450"/>
        </w:trPr>
        <w:tc>
          <w:tcPr>
            <w:tcW w:w="13756" w:type="dxa"/>
            <w:gridSpan w:val="11"/>
            <w:tcBorders>
              <w:top w:val="nil"/>
              <w:left w:val="nil"/>
              <w:bottom w:val="nil"/>
              <w:right w:val="nil"/>
            </w:tcBorders>
            <w:shd w:val="clear" w:color="auto" w:fill="auto"/>
            <w:hideMark/>
          </w:tcPr>
          <w:p w:rsidRPr="00B13BAD" w:rsidR="00B13BAD" w:rsidP="00B13BAD" w:rsidRDefault="00B13BAD" w14:paraId="38A2F1FD" w14:textId="77777777">
            <w:pPr>
              <w:widowControl/>
              <w:autoSpaceDE/>
              <w:autoSpaceDN/>
              <w:adjustRightInd/>
              <w:rPr>
                <w:color w:val="000000"/>
                <w:sz w:val="20"/>
                <w:szCs w:val="20"/>
              </w:rPr>
            </w:pPr>
            <w:proofErr w:type="gramStart"/>
            <w:r w:rsidRPr="00B13BAD">
              <w:rPr>
                <w:color w:val="000000"/>
                <w:sz w:val="20"/>
                <w:szCs w:val="20"/>
                <w:vertAlign w:val="superscript"/>
              </w:rPr>
              <w:t xml:space="preserve">d  </w:t>
            </w:r>
            <w:r w:rsidRPr="00B13BAD">
              <w:rPr>
                <w:color w:val="000000"/>
                <w:sz w:val="20"/>
                <w:szCs w:val="20"/>
              </w:rPr>
              <w:t>Facilities</w:t>
            </w:r>
            <w:proofErr w:type="gramEnd"/>
            <w:r w:rsidRPr="00B13BAD">
              <w:rPr>
                <w:color w:val="000000"/>
                <w:sz w:val="20"/>
                <w:szCs w:val="20"/>
              </w:rPr>
              <w:t xml:space="preserve"> that comply using emission capture systems and add-on controls conduct air emissions performance testing. No sources use emission capture systems and add-on controls.</w:t>
            </w:r>
          </w:p>
        </w:tc>
      </w:tr>
      <w:tr w:rsidRPr="00B13BAD" w:rsidR="00B13BAD" w:rsidTr="006107F3" w14:paraId="3144ACA8" w14:textId="77777777">
        <w:trPr>
          <w:trHeight w:val="108"/>
        </w:trPr>
        <w:tc>
          <w:tcPr>
            <w:tcW w:w="13756" w:type="dxa"/>
            <w:gridSpan w:val="11"/>
            <w:tcBorders>
              <w:top w:val="nil"/>
              <w:left w:val="nil"/>
              <w:bottom w:val="nil"/>
              <w:right w:val="nil"/>
            </w:tcBorders>
            <w:shd w:val="clear" w:color="auto" w:fill="auto"/>
            <w:hideMark/>
          </w:tcPr>
          <w:p w:rsidRPr="00B13BAD" w:rsidR="00B13BAD" w:rsidP="00B13BAD" w:rsidRDefault="00B13BAD" w14:paraId="17E46D60" w14:textId="77777777">
            <w:pPr>
              <w:widowControl/>
              <w:autoSpaceDE/>
              <w:autoSpaceDN/>
              <w:adjustRightInd/>
              <w:rPr>
                <w:color w:val="000000"/>
                <w:sz w:val="20"/>
                <w:szCs w:val="20"/>
              </w:rPr>
            </w:pPr>
            <w:proofErr w:type="gramStart"/>
            <w:r w:rsidRPr="00B13BAD">
              <w:rPr>
                <w:color w:val="000000"/>
                <w:sz w:val="20"/>
                <w:szCs w:val="20"/>
                <w:vertAlign w:val="superscript"/>
              </w:rPr>
              <w:t xml:space="preserve">e  </w:t>
            </w:r>
            <w:r w:rsidRPr="00B13BAD">
              <w:rPr>
                <w:color w:val="000000"/>
                <w:sz w:val="20"/>
                <w:szCs w:val="20"/>
              </w:rPr>
              <w:t>We</w:t>
            </w:r>
            <w:proofErr w:type="gramEnd"/>
            <w:r w:rsidRPr="00B13BAD">
              <w:rPr>
                <w:color w:val="000000"/>
                <w:sz w:val="20"/>
                <w:szCs w:val="20"/>
              </w:rPr>
              <w:t xml:space="preserve"> assume</w:t>
            </w:r>
            <w:r w:rsidRPr="00B13BAD">
              <w:rPr>
                <w:color w:val="000000"/>
                <w:sz w:val="20"/>
                <w:szCs w:val="20"/>
                <w:vertAlign w:val="superscript"/>
              </w:rPr>
              <w:t xml:space="preserve"> </w:t>
            </w:r>
            <w:r w:rsidRPr="00B13BAD">
              <w:rPr>
                <w:color w:val="000000"/>
                <w:sz w:val="20"/>
                <w:szCs w:val="20"/>
              </w:rPr>
              <w:t>it will take four hours to review the notification of the test and the test plan for each respondent.</w:t>
            </w:r>
          </w:p>
        </w:tc>
      </w:tr>
      <w:tr w:rsidRPr="00B13BAD" w:rsidR="00B13BAD" w:rsidTr="00B13BAD" w14:paraId="4E76C879" w14:textId="77777777">
        <w:trPr>
          <w:trHeight w:val="390"/>
        </w:trPr>
        <w:tc>
          <w:tcPr>
            <w:tcW w:w="13756" w:type="dxa"/>
            <w:gridSpan w:val="11"/>
            <w:tcBorders>
              <w:top w:val="nil"/>
              <w:left w:val="nil"/>
              <w:bottom w:val="nil"/>
              <w:right w:val="nil"/>
            </w:tcBorders>
            <w:shd w:val="clear" w:color="auto" w:fill="auto"/>
            <w:hideMark/>
          </w:tcPr>
          <w:p w:rsidRPr="00B13BAD" w:rsidR="00B13BAD" w:rsidP="00B13BAD" w:rsidRDefault="00B13BAD" w14:paraId="32A06606" w14:textId="77777777">
            <w:pPr>
              <w:widowControl/>
              <w:autoSpaceDE/>
              <w:autoSpaceDN/>
              <w:adjustRightInd/>
              <w:rPr>
                <w:color w:val="000000"/>
                <w:sz w:val="20"/>
                <w:szCs w:val="20"/>
              </w:rPr>
            </w:pPr>
            <w:proofErr w:type="spellStart"/>
            <w:proofErr w:type="gramStart"/>
            <w:r w:rsidRPr="00B13BAD">
              <w:rPr>
                <w:color w:val="000000"/>
                <w:sz w:val="20"/>
                <w:szCs w:val="20"/>
                <w:vertAlign w:val="superscript"/>
              </w:rPr>
              <w:t>f</w:t>
            </w:r>
            <w:proofErr w:type="spellEnd"/>
            <w:r w:rsidRPr="00B13BAD">
              <w:rPr>
                <w:color w:val="000000"/>
                <w:sz w:val="20"/>
                <w:szCs w:val="20"/>
                <w:vertAlign w:val="superscript"/>
              </w:rPr>
              <w:t xml:space="preserve">  </w:t>
            </w:r>
            <w:r w:rsidRPr="00B13BAD">
              <w:rPr>
                <w:color w:val="000000"/>
                <w:sz w:val="20"/>
                <w:szCs w:val="20"/>
              </w:rPr>
              <w:t>We</w:t>
            </w:r>
            <w:proofErr w:type="gramEnd"/>
            <w:r w:rsidRPr="00B13BAD">
              <w:rPr>
                <w:color w:val="000000"/>
                <w:sz w:val="20"/>
                <w:szCs w:val="20"/>
              </w:rPr>
              <w:t xml:space="preserve"> assume it will take eight hours to review the test report for each respondent.</w:t>
            </w:r>
          </w:p>
        </w:tc>
      </w:tr>
      <w:tr w:rsidRPr="00B13BAD" w:rsidR="00B13BAD" w:rsidTr="006107F3" w14:paraId="159663E5" w14:textId="77777777">
        <w:trPr>
          <w:trHeight w:val="83"/>
        </w:trPr>
        <w:tc>
          <w:tcPr>
            <w:tcW w:w="13756" w:type="dxa"/>
            <w:gridSpan w:val="11"/>
            <w:tcBorders>
              <w:top w:val="nil"/>
              <w:left w:val="nil"/>
              <w:bottom w:val="nil"/>
              <w:right w:val="nil"/>
            </w:tcBorders>
            <w:shd w:val="clear" w:color="auto" w:fill="auto"/>
            <w:hideMark/>
          </w:tcPr>
          <w:p w:rsidRPr="00B13BAD" w:rsidR="00B13BAD" w:rsidP="00B13BAD" w:rsidRDefault="00B13BAD" w14:paraId="3DF5B10F" w14:textId="77777777">
            <w:pPr>
              <w:widowControl/>
              <w:autoSpaceDE/>
              <w:autoSpaceDN/>
              <w:adjustRightInd/>
              <w:rPr>
                <w:color w:val="000000"/>
                <w:sz w:val="20"/>
                <w:szCs w:val="20"/>
              </w:rPr>
            </w:pPr>
            <w:proofErr w:type="gramStart"/>
            <w:r w:rsidRPr="00B13BAD">
              <w:rPr>
                <w:color w:val="000000"/>
                <w:sz w:val="20"/>
                <w:szCs w:val="20"/>
                <w:vertAlign w:val="superscript"/>
              </w:rPr>
              <w:lastRenderedPageBreak/>
              <w:t xml:space="preserve">g  </w:t>
            </w:r>
            <w:r w:rsidRPr="00B13BAD">
              <w:rPr>
                <w:color w:val="000000"/>
                <w:sz w:val="20"/>
                <w:szCs w:val="20"/>
              </w:rPr>
              <w:t>We</w:t>
            </w:r>
            <w:proofErr w:type="gramEnd"/>
            <w:r w:rsidRPr="00B13BAD">
              <w:rPr>
                <w:color w:val="000000"/>
                <w:sz w:val="20"/>
                <w:szCs w:val="20"/>
              </w:rPr>
              <w:t xml:space="preserve"> assume it will take twelve hours to review the semiannual reports for each respondent. The semiannual reports include the monthly compliance reports for that period.</w:t>
            </w:r>
          </w:p>
        </w:tc>
      </w:tr>
      <w:tr w:rsidRPr="00B13BAD" w:rsidR="00B13BAD" w:rsidTr="006107F3" w14:paraId="4CD84279" w14:textId="77777777">
        <w:trPr>
          <w:trHeight w:val="83"/>
        </w:trPr>
        <w:tc>
          <w:tcPr>
            <w:tcW w:w="13756" w:type="dxa"/>
            <w:gridSpan w:val="11"/>
            <w:tcBorders>
              <w:top w:val="nil"/>
              <w:left w:val="nil"/>
              <w:bottom w:val="nil"/>
              <w:right w:val="nil"/>
            </w:tcBorders>
            <w:shd w:val="clear" w:color="auto" w:fill="auto"/>
            <w:noWrap/>
            <w:hideMark/>
          </w:tcPr>
          <w:p w:rsidRPr="00B13BAD" w:rsidR="00B13BAD" w:rsidP="00B13BAD" w:rsidRDefault="00B13BAD" w14:paraId="4582FAB1" w14:textId="77777777">
            <w:pPr>
              <w:widowControl/>
              <w:autoSpaceDE/>
              <w:autoSpaceDN/>
              <w:adjustRightInd/>
              <w:rPr>
                <w:color w:val="000000"/>
                <w:sz w:val="20"/>
                <w:szCs w:val="20"/>
              </w:rPr>
            </w:pPr>
            <w:proofErr w:type="gramStart"/>
            <w:r w:rsidRPr="00B13BAD">
              <w:rPr>
                <w:color w:val="000000"/>
                <w:sz w:val="20"/>
                <w:szCs w:val="20"/>
                <w:vertAlign w:val="superscript"/>
              </w:rPr>
              <w:t xml:space="preserve">h  </w:t>
            </w:r>
            <w:r w:rsidRPr="00B13BAD">
              <w:rPr>
                <w:color w:val="000000"/>
                <w:sz w:val="20"/>
                <w:szCs w:val="20"/>
              </w:rPr>
              <w:t>Totals</w:t>
            </w:r>
            <w:proofErr w:type="gramEnd"/>
            <w:r w:rsidRPr="00B13BAD">
              <w:rPr>
                <w:color w:val="000000"/>
                <w:sz w:val="20"/>
                <w:szCs w:val="20"/>
              </w:rPr>
              <w:t xml:space="preserve"> have been rounded to 3 significant figures.  Figures may not add exactly due to rounding.</w:t>
            </w:r>
          </w:p>
        </w:tc>
      </w:tr>
    </w:tbl>
    <w:p w:rsidR="00B13BAD" w:rsidP="00F340DF" w:rsidRDefault="00B13BAD" w14:paraId="224858BB" w14:textId="77777777">
      <w:pPr>
        <w:rPr>
          <w:color w:val="000000"/>
        </w:rPr>
      </w:pPr>
    </w:p>
    <w:p w:rsidR="00563AF9" w:rsidP="00563AF9" w:rsidRDefault="00563AF9" w14:paraId="5267EAAF" w14:textId="4E2E1E1A">
      <w:pPr>
        <w:widowControl/>
        <w:autoSpaceDE/>
        <w:autoSpaceDN/>
        <w:adjustRightInd/>
        <w:jc w:val="center"/>
        <w:rPr>
          <w:b/>
          <w:bCs/>
        </w:rPr>
      </w:pPr>
      <w:r>
        <w:rPr>
          <w:color w:val="000000"/>
        </w:rPr>
        <w:br w:type="page"/>
      </w:r>
      <w:r w:rsidRPr="00D54DCD">
        <w:rPr>
          <w:b/>
          <w:bCs/>
        </w:rPr>
        <w:lastRenderedPageBreak/>
        <w:t>Appendix A – Draft Electronic Reporting Template</w:t>
      </w:r>
    </w:p>
    <w:p w:rsidRPr="00D54DCD" w:rsidR="00C838C6" w:rsidP="00440C5F" w:rsidRDefault="00563AF9" w14:paraId="586E85F2" w14:textId="39D4460C">
      <w:pPr>
        <w:jc w:val="center"/>
        <w:rPr>
          <w:b/>
          <w:bCs/>
          <w:color w:val="000000"/>
        </w:rPr>
      </w:pPr>
      <w:r w:rsidRPr="00D54DCD">
        <w:rPr>
          <w:b/>
          <w:bCs/>
        </w:rPr>
        <w:t>(see Docket ID Number EPA-HQ-OAR</w:t>
      </w:r>
      <w:r>
        <w:rPr>
          <w:b/>
          <w:bCs/>
        </w:rPr>
        <w:t>-</w:t>
      </w:r>
      <w:r w:rsidRPr="002D13CD">
        <w:rPr>
          <w:b/>
          <w:bCs/>
        </w:rPr>
        <w:t>2021-0107</w:t>
      </w:r>
      <w:r w:rsidRPr="00D54DCD">
        <w:rPr>
          <w:b/>
          <w:bCs/>
        </w:rPr>
        <w:t>)</w:t>
      </w:r>
    </w:p>
    <w:sectPr w:rsidRPr="00D54DCD" w:rsidR="00C838C6" w:rsidSect="006107F3">
      <w:pgSz w:w="15840" w:h="12240" w:orient="landscape"/>
      <w:pgMar w:top="1080" w:right="1350" w:bottom="1440" w:left="1440" w:header="1152"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5ABA4" w14:textId="77777777" w:rsidR="004C4A28" w:rsidRDefault="004C4A28">
      <w:r>
        <w:separator/>
      </w:r>
    </w:p>
    <w:p w14:paraId="22867770" w14:textId="77777777" w:rsidR="004C4A28" w:rsidRDefault="004C4A28"/>
  </w:endnote>
  <w:endnote w:type="continuationSeparator" w:id="0">
    <w:p w14:paraId="04F4FA81" w14:textId="77777777" w:rsidR="004C4A28" w:rsidRDefault="004C4A28">
      <w:r>
        <w:continuationSeparator/>
      </w:r>
    </w:p>
    <w:p w14:paraId="453AD8EA" w14:textId="77777777" w:rsidR="004C4A28" w:rsidRDefault="004C4A28"/>
  </w:endnote>
  <w:endnote w:type="continuationNotice" w:id="1">
    <w:p w14:paraId="0EEB5A43" w14:textId="77777777" w:rsidR="004C4A28" w:rsidRDefault="004C4A28"/>
    <w:p w14:paraId="75F28398" w14:textId="77777777" w:rsidR="004C4A28" w:rsidRDefault="004C4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4C4A28" w:rsidRDefault="004C4A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4C4A28" w:rsidRDefault="004C4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6D7C4" w14:textId="77777777" w:rsidR="004C4A28" w:rsidRDefault="004C4A28">
      <w:r>
        <w:separator/>
      </w:r>
    </w:p>
    <w:p w14:paraId="30506367" w14:textId="77777777" w:rsidR="004C4A28" w:rsidRDefault="004C4A28"/>
  </w:footnote>
  <w:footnote w:type="continuationSeparator" w:id="0">
    <w:p w14:paraId="4C8A7419" w14:textId="77777777" w:rsidR="004C4A28" w:rsidRDefault="004C4A28">
      <w:r>
        <w:continuationSeparator/>
      </w:r>
    </w:p>
    <w:p w14:paraId="7694B161" w14:textId="77777777" w:rsidR="004C4A28" w:rsidRDefault="004C4A28"/>
  </w:footnote>
  <w:footnote w:type="continuationNotice" w:id="1">
    <w:p w14:paraId="79CF6B01" w14:textId="77777777" w:rsidR="004C4A28" w:rsidRDefault="004C4A28"/>
    <w:p w14:paraId="25490CFC" w14:textId="77777777" w:rsidR="004C4A28" w:rsidRDefault="004C4A28"/>
  </w:footnote>
  <w:footnote w:id="2">
    <w:p w14:paraId="4DAB05B5" w14:textId="72982E08" w:rsidR="004C4A28" w:rsidRDefault="004C4A28">
      <w:pPr>
        <w:pStyle w:val="FootnoteText"/>
      </w:pPr>
      <w:r w:rsidRPr="00813098">
        <w:rPr>
          <w:rStyle w:val="FootnoteReference"/>
          <w:vertAlign w:val="superscript"/>
        </w:rPr>
        <w:footnoteRef/>
      </w:r>
      <w:r w:rsidRPr="00813098">
        <w:rPr>
          <w:vertAlign w:val="superscript"/>
        </w:rPr>
        <w:t xml:space="preserve"> </w:t>
      </w:r>
      <w:r w:rsidRPr="0016102E">
        <w:t xml:space="preserve">The most recent amendments </w:t>
      </w:r>
      <w:r>
        <w:t xml:space="preserve">at </w:t>
      </w:r>
      <w:r w:rsidRPr="0016102E">
        <w:t>8</w:t>
      </w:r>
      <w:r>
        <w:t>5</w:t>
      </w:r>
      <w:r w:rsidRPr="0016102E">
        <w:t xml:space="preserve"> FR </w:t>
      </w:r>
      <w:r>
        <w:t>41100</w:t>
      </w:r>
      <w:r w:rsidRPr="0016102E">
        <w:t xml:space="preserve"> include </w:t>
      </w:r>
      <w:r>
        <w:t xml:space="preserve">amendments to address emissions during periods of startup, shutdown, and malfunction (SSM); electronic reporting of performance test results and compliance reports; the addition of EPA Method 18 and updates to several measurement methods; and the addition of requirements for periodic performance testing. </w:t>
      </w:r>
      <w:r w:rsidRPr="0016102E">
        <w:t xml:space="preserve">The most recent amendments </w:t>
      </w:r>
      <w:r>
        <w:t xml:space="preserve">at </w:t>
      </w:r>
      <w:r w:rsidRPr="0016102E">
        <w:t>85 FR 7385</w:t>
      </w:r>
      <w:r>
        <w:t>4</w:t>
      </w:r>
      <w:r w:rsidRPr="0016102E">
        <w:t xml:space="preserve"> include notification and recordkeeping requirements that apply to sources choosing to reclassify to area source status and to sources that revert to major source status, including a requirement for electronic notification.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B230B" w14:textId="77777777" w:rsidR="004C4A28" w:rsidRDefault="004C4A2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0FD5"/>
    <w:rsid w:val="0003619B"/>
    <w:rsid w:val="0004349A"/>
    <w:rsid w:val="00047104"/>
    <w:rsid w:val="00055BDF"/>
    <w:rsid w:val="00055DC5"/>
    <w:rsid w:val="000669C6"/>
    <w:rsid w:val="000A118B"/>
    <w:rsid w:val="000A1FBB"/>
    <w:rsid w:val="000A687C"/>
    <w:rsid w:val="000A759F"/>
    <w:rsid w:val="000B2E1C"/>
    <w:rsid w:val="000C52CF"/>
    <w:rsid w:val="000C6F58"/>
    <w:rsid w:val="000D2272"/>
    <w:rsid w:val="000D5C7F"/>
    <w:rsid w:val="000D78E3"/>
    <w:rsid w:val="000D78EF"/>
    <w:rsid w:val="000F772C"/>
    <w:rsid w:val="00101B40"/>
    <w:rsid w:val="00102B52"/>
    <w:rsid w:val="001051D9"/>
    <w:rsid w:val="0010697C"/>
    <w:rsid w:val="00113C4B"/>
    <w:rsid w:val="00122CF4"/>
    <w:rsid w:val="00123889"/>
    <w:rsid w:val="00126A7C"/>
    <w:rsid w:val="0013217C"/>
    <w:rsid w:val="001356D4"/>
    <w:rsid w:val="0014079D"/>
    <w:rsid w:val="001414C4"/>
    <w:rsid w:val="001433D3"/>
    <w:rsid w:val="00144978"/>
    <w:rsid w:val="00144A82"/>
    <w:rsid w:val="00144F35"/>
    <w:rsid w:val="0015433E"/>
    <w:rsid w:val="00162ECC"/>
    <w:rsid w:val="001641C7"/>
    <w:rsid w:val="00165DCF"/>
    <w:rsid w:val="00175F39"/>
    <w:rsid w:val="00176616"/>
    <w:rsid w:val="00176CA3"/>
    <w:rsid w:val="001776BC"/>
    <w:rsid w:val="00186DA3"/>
    <w:rsid w:val="00186E35"/>
    <w:rsid w:val="001908D7"/>
    <w:rsid w:val="00194F34"/>
    <w:rsid w:val="00195034"/>
    <w:rsid w:val="00195753"/>
    <w:rsid w:val="001A0B41"/>
    <w:rsid w:val="001A3D80"/>
    <w:rsid w:val="001B0B9A"/>
    <w:rsid w:val="001B29C3"/>
    <w:rsid w:val="001B35F2"/>
    <w:rsid w:val="001B4351"/>
    <w:rsid w:val="001C5991"/>
    <w:rsid w:val="001C6F81"/>
    <w:rsid w:val="001D0B0D"/>
    <w:rsid w:val="001D0E0A"/>
    <w:rsid w:val="001D501D"/>
    <w:rsid w:val="001D5D9E"/>
    <w:rsid w:val="001D762C"/>
    <w:rsid w:val="001F19FF"/>
    <w:rsid w:val="002041C5"/>
    <w:rsid w:val="00205D4D"/>
    <w:rsid w:val="002063FE"/>
    <w:rsid w:val="00206932"/>
    <w:rsid w:val="00206E8E"/>
    <w:rsid w:val="002130D1"/>
    <w:rsid w:val="00215395"/>
    <w:rsid w:val="0021722B"/>
    <w:rsid w:val="002271E6"/>
    <w:rsid w:val="0022738C"/>
    <w:rsid w:val="00233B5E"/>
    <w:rsid w:val="00233F0F"/>
    <w:rsid w:val="00234A28"/>
    <w:rsid w:val="00236DB3"/>
    <w:rsid w:val="002416A0"/>
    <w:rsid w:val="002431D9"/>
    <w:rsid w:val="00246932"/>
    <w:rsid w:val="002524DD"/>
    <w:rsid w:val="002555F8"/>
    <w:rsid w:val="002573C1"/>
    <w:rsid w:val="00261055"/>
    <w:rsid w:val="002638A0"/>
    <w:rsid w:val="002652AB"/>
    <w:rsid w:val="002679E5"/>
    <w:rsid w:val="0027041E"/>
    <w:rsid w:val="002712EB"/>
    <w:rsid w:val="0027222A"/>
    <w:rsid w:val="002743D2"/>
    <w:rsid w:val="002759D0"/>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0ACA"/>
    <w:rsid w:val="002D13CD"/>
    <w:rsid w:val="002D7683"/>
    <w:rsid w:val="002F2480"/>
    <w:rsid w:val="002F39D7"/>
    <w:rsid w:val="002F4D5D"/>
    <w:rsid w:val="002F5A2A"/>
    <w:rsid w:val="002F674B"/>
    <w:rsid w:val="002F6DB3"/>
    <w:rsid w:val="003139FC"/>
    <w:rsid w:val="00336B9D"/>
    <w:rsid w:val="00341540"/>
    <w:rsid w:val="0034387F"/>
    <w:rsid w:val="00344B82"/>
    <w:rsid w:val="003511C6"/>
    <w:rsid w:val="0035325B"/>
    <w:rsid w:val="00354C15"/>
    <w:rsid w:val="00372254"/>
    <w:rsid w:val="00377D7F"/>
    <w:rsid w:val="003949EA"/>
    <w:rsid w:val="003A54D3"/>
    <w:rsid w:val="003B0CB1"/>
    <w:rsid w:val="003B1E92"/>
    <w:rsid w:val="003B384B"/>
    <w:rsid w:val="003C2041"/>
    <w:rsid w:val="003C4B46"/>
    <w:rsid w:val="003C5023"/>
    <w:rsid w:val="003D4C54"/>
    <w:rsid w:val="003D6951"/>
    <w:rsid w:val="003E2DB7"/>
    <w:rsid w:val="003E30B5"/>
    <w:rsid w:val="003E3BD0"/>
    <w:rsid w:val="003E47DB"/>
    <w:rsid w:val="003E4C18"/>
    <w:rsid w:val="003E5379"/>
    <w:rsid w:val="003F1AFC"/>
    <w:rsid w:val="00400527"/>
    <w:rsid w:val="0040391F"/>
    <w:rsid w:val="00404A15"/>
    <w:rsid w:val="00414085"/>
    <w:rsid w:val="004203B9"/>
    <w:rsid w:val="00421E9B"/>
    <w:rsid w:val="00423995"/>
    <w:rsid w:val="004318A0"/>
    <w:rsid w:val="0044021C"/>
    <w:rsid w:val="00440C5F"/>
    <w:rsid w:val="0044133C"/>
    <w:rsid w:val="00442D84"/>
    <w:rsid w:val="00450CB2"/>
    <w:rsid w:val="00455557"/>
    <w:rsid w:val="00456B7B"/>
    <w:rsid w:val="004812B0"/>
    <w:rsid w:val="00483112"/>
    <w:rsid w:val="00484A45"/>
    <w:rsid w:val="004912E8"/>
    <w:rsid w:val="0049327D"/>
    <w:rsid w:val="004A084D"/>
    <w:rsid w:val="004A30CC"/>
    <w:rsid w:val="004A4B25"/>
    <w:rsid w:val="004A5A52"/>
    <w:rsid w:val="004B2693"/>
    <w:rsid w:val="004B727B"/>
    <w:rsid w:val="004C4A28"/>
    <w:rsid w:val="004C5E95"/>
    <w:rsid w:val="004C701D"/>
    <w:rsid w:val="004D4CAD"/>
    <w:rsid w:val="004F0729"/>
    <w:rsid w:val="004F1469"/>
    <w:rsid w:val="004F305E"/>
    <w:rsid w:val="004F48CD"/>
    <w:rsid w:val="004F56DC"/>
    <w:rsid w:val="004F6FCD"/>
    <w:rsid w:val="00501A6E"/>
    <w:rsid w:val="00501D57"/>
    <w:rsid w:val="00504745"/>
    <w:rsid w:val="005062F9"/>
    <w:rsid w:val="00507EC5"/>
    <w:rsid w:val="0051004C"/>
    <w:rsid w:val="00516952"/>
    <w:rsid w:val="005225A2"/>
    <w:rsid w:val="005253D4"/>
    <w:rsid w:val="0053277C"/>
    <w:rsid w:val="00537AB2"/>
    <w:rsid w:val="00547974"/>
    <w:rsid w:val="00551815"/>
    <w:rsid w:val="00552085"/>
    <w:rsid w:val="005532DD"/>
    <w:rsid w:val="00555379"/>
    <w:rsid w:val="00556535"/>
    <w:rsid w:val="00560AD2"/>
    <w:rsid w:val="00563AF9"/>
    <w:rsid w:val="005648E8"/>
    <w:rsid w:val="00565A51"/>
    <w:rsid w:val="00571260"/>
    <w:rsid w:val="0057280A"/>
    <w:rsid w:val="00583626"/>
    <w:rsid w:val="00595934"/>
    <w:rsid w:val="005A0AE0"/>
    <w:rsid w:val="005A1986"/>
    <w:rsid w:val="005A7AE1"/>
    <w:rsid w:val="005B0089"/>
    <w:rsid w:val="005B5DE8"/>
    <w:rsid w:val="005C005F"/>
    <w:rsid w:val="005C3665"/>
    <w:rsid w:val="005C42AC"/>
    <w:rsid w:val="005C711F"/>
    <w:rsid w:val="005D385C"/>
    <w:rsid w:val="005E0A9B"/>
    <w:rsid w:val="005E194B"/>
    <w:rsid w:val="005F42F8"/>
    <w:rsid w:val="005F5698"/>
    <w:rsid w:val="00601205"/>
    <w:rsid w:val="00603BDA"/>
    <w:rsid w:val="00604404"/>
    <w:rsid w:val="00606DEF"/>
    <w:rsid w:val="0060798B"/>
    <w:rsid w:val="006107F3"/>
    <w:rsid w:val="0062215C"/>
    <w:rsid w:val="00625231"/>
    <w:rsid w:val="00631517"/>
    <w:rsid w:val="0063345B"/>
    <w:rsid w:val="00635DBD"/>
    <w:rsid w:val="00646DAF"/>
    <w:rsid w:val="00647BBB"/>
    <w:rsid w:val="00673313"/>
    <w:rsid w:val="006741F7"/>
    <w:rsid w:val="006760FF"/>
    <w:rsid w:val="006810C3"/>
    <w:rsid w:val="006815C9"/>
    <w:rsid w:val="00683B4D"/>
    <w:rsid w:val="00694B55"/>
    <w:rsid w:val="00695112"/>
    <w:rsid w:val="00697D24"/>
    <w:rsid w:val="006A4EDC"/>
    <w:rsid w:val="006A6978"/>
    <w:rsid w:val="006D128B"/>
    <w:rsid w:val="006D1B12"/>
    <w:rsid w:val="006D4402"/>
    <w:rsid w:val="006E4A6E"/>
    <w:rsid w:val="006E642B"/>
    <w:rsid w:val="006F0095"/>
    <w:rsid w:val="006F14DD"/>
    <w:rsid w:val="00724BC7"/>
    <w:rsid w:val="0072514C"/>
    <w:rsid w:val="00735360"/>
    <w:rsid w:val="007412F1"/>
    <w:rsid w:val="00752FC1"/>
    <w:rsid w:val="00754D1E"/>
    <w:rsid w:val="00762AC8"/>
    <w:rsid w:val="00763160"/>
    <w:rsid w:val="0076793E"/>
    <w:rsid w:val="00780612"/>
    <w:rsid w:val="007813DF"/>
    <w:rsid w:val="007822E0"/>
    <w:rsid w:val="00783351"/>
    <w:rsid w:val="00786A20"/>
    <w:rsid w:val="00795948"/>
    <w:rsid w:val="0079715F"/>
    <w:rsid w:val="007A0634"/>
    <w:rsid w:val="007A16F4"/>
    <w:rsid w:val="007A2F55"/>
    <w:rsid w:val="007A34A3"/>
    <w:rsid w:val="007A458D"/>
    <w:rsid w:val="007A4A00"/>
    <w:rsid w:val="007B5064"/>
    <w:rsid w:val="007B5114"/>
    <w:rsid w:val="007C00B1"/>
    <w:rsid w:val="007C0FAA"/>
    <w:rsid w:val="007C17DE"/>
    <w:rsid w:val="007C464E"/>
    <w:rsid w:val="007E6FF4"/>
    <w:rsid w:val="007E7F12"/>
    <w:rsid w:val="007F07FB"/>
    <w:rsid w:val="007F5773"/>
    <w:rsid w:val="007F5960"/>
    <w:rsid w:val="007F7CD8"/>
    <w:rsid w:val="00807CFC"/>
    <w:rsid w:val="00810507"/>
    <w:rsid w:val="00811EA5"/>
    <w:rsid w:val="00813098"/>
    <w:rsid w:val="0081350B"/>
    <w:rsid w:val="00813E69"/>
    <w:rsid w:val="00815B1C"/>
    <w:rsid w:val="00817E8B"/>
    <w:rsid w:val="008217AD"/>
    <w:rsid w:val="008338D4"/>
    <w:rsid w:val="00837642"/>
    <w:rsid w:val="0084255D"/>
    <w:rsid w:val="00850ACF"/>
    <w:rsid w:val="00852038"/>
    <w:rsid w:val="008547EC"/>
    <w:rsid w:val="00861489"/>
    <w:rsid w:val="0088639E"/>
    <w:rsid w:val="00896D69"/>
    <w:rsid w:val="008A46EB"/>
    <w:rsid w:val="008A622E"/>
    <w:rsid w:val="008B407C"/>
    <w:rsid w:val="008B501A"/>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771FE"/>
    <w:rsid w:val="00981C20"/>
    <w:rsid w:val="00984255"/>
    <w:rsid w:val="00985FDE"/>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4C98"/>
    <w:rsid w:val="00A26EF7"/>
    <w:rsid w:val="00A277D6"/>
    <w:rsid w:val="00A379F8"/>
    <w:rsid w:val="00A43350"/>
    <w:rsid w:val="00A50E60"/>
    <w:rsid w:val="00A51A9E"/>
    <w:rsid w:val="00A51CC5"/>
    <w:rsid w:val="00A51FD4"/>
    <w:rsid w:val="00A54EEA"/>
    <w:rsid w:val="00A56BFF"/>
    <w:rsid w:val="00A60C44"/>
    <w:rsid w:val="00A71268"/>
    <w:rsid w:val="00A73600"/>
    <w:rsid w:val="00A74C1E"/>
    <w:rsid w:val="00A7661C"/>
    <w:rsid w:val="00A949F7"/>
    <w:rsid w:val="00A9590D"/>
    <w:rsid w:val="00A95BC7"/>
    <w:rsid w:val="00A962DF"/>
    <w:rsid w:val="00A97D2E"/>
    <w:rsid w:val="00AA4008"/>
    <w:rsid w:val="00AC4478"/>
    <w:rsid w:val="00AE12FA"/>
    <w:rsid w:val="00AE4304"/>
    <w:rsid w:val="00AE52C4"/>
    <w:rsid w:val="00AF3AED"/>
    <w:rsid w:val="00AF70A1"/>
    <w:rsid w:val="00AF7924"/>
    <w:rsid w:val="00B01AD9"/>
    <w:rsid w:val="00B04A5C"/>
    <w:rsid w:val="00B06051"/>
    <w:rsid w:val="00B07F79"/>
    <w:rsid w:val="00B13BAD"/>
    <w:rsid w:val="00B16C07"/>
    <w:rsid w:val="00B20E02"/>
    <w:rsid w:val="00B311CB"/>
    <w:rsid w:val="00B34310"/>
    <w:rsid w:val="00B34DAA"/>
    <w:rsid w:val="00B41FFF"/>
    <w:rsid w:val="00B46A57"/>
    <w:rsid w:val="00B5689B"/>
    <w:rsid w:val="00B60194"/>
    <w:rsid w:val="00B611F3"/>
    <w:rsid w:val="00B63934"/>
    <w:rsid w:val="00B65754"/>
    <w:rsid w:val="00B66231"/>
    <w:rsid w:val="00B7480E"/>
    <w:rsid w:val="00B769F1"/>
    <w:rsid w:val="00B82025"/>
    <w:rsid w:val="00B8740D"/>
    <w:rsid w:val="00B907B1"/>
    <w:rsid w:val="00BA0A91"/>
    <w:rsid w:val="00BA4887"/>
    <w:rsid w:val="00BA7B1D"/>
    <w:rsid w:val="00BB3390"/>
    <w:rsid w:val="00BB3C1A"/>
    <w:rsid w:val="00BC6DEF"/>
    <w:rsid w:val="00BD0BEE"/>
    <w:rsid w:val="00BD75B9"/>
    <w:rsid w:val="00BD7CAE"/>
    <w:rsid w:val="00BE2989"/>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6966"/>
    <w:rsid w:val="00CC48AB"/>
    <w:rsid w:val="00CC58F6"/>
    <w:rsid w:val="00CC5B39"/>
    <w:rsid w:val="00CD0739"/>
    <w:rsid w:val="00CD2069"/>
    <w:rsid w:val="00CD280D"/>
    <w:rsid w:val="00CF001C"/>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4C35"/>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6272"/>
    <w:rsid w:val="00E51526"/>
    <w:rsid w:val="00E52580"/>
    <w:rsid w:val="00E53137"/>
    <w:rsid w:val="00E546A1"/>
    <w:rsid w:val="00E661B8"/>
    <w:rsid w:val="00E702F6"/>
    <w:rsid w:val="00E70A48"/>
    <w:rsid w:val="00E70C48"/>
    <w:rsid w:val="00E72D70"/>
    <w:rsid w:val="00E77343"/>
    <w:rsid w:val="00E77D5E"/>
    <w:rsid w:val="00E835B0"/>
    <w:rsid w:val="00E868BB"/>
    <w:rsid w:val="00E872BF"/>
    <w:rsid w:val="00E90E82"/>
    <w:rsid w:val="00EA24FC"/>
    <w:rsid w:val="00EA37A9"/>
    <w:rsid w:val="00EA7026"/>
    <w:rsid w:val="00EB6FBE"/>
    <w:rsid w:val="00EC3CBB"/>
    <w:rsid w:val="00EC4074"/>
    <w:rsid w:val="00ED5945"/>
    <w:rsid w:val="00ED741E"/>
    <w:rsid w:val="00EE1D38"/>
    <w:rsid w:val="00EE46A1"/>
    <w:rsid w:val="00EF113F"/>
    <w:rsid w:val="00EF7C57"/>
    <w:rsid w:val="00F02311"/>
    <w:rsid w:val="00F02EB3"/>
    <w:rsid w:val="00F033F0"/>
    <w:rsid w:val="00F03803"/>
    <w:rsid w:val="00F066C9"/>
    <w:rsid w:val="00F06755"/>
    <w:rsid w:val="00F17898"/>
    <w:rsid w:val="00F20822"/>
    <w:rsid w:val="00F340DF"/>
    <w:rsid w:val="00F524FA"/>
    <w:rsid w:val="00F5262C"/>
    <w:rsid w:val="00F538BC"/>
    <w:rsid w:val="00F5584C"/>
    <w:rsid w:val="00F65FC0"/>
    <w:rsid w:val="00F76CDD"/>
    <w:rsid w:val="00F853D6"/>
    <w:rsid w:val="00F87E6A"/>
    <w:rsid w:val="00F9092B"/>
    <w:rsid w:val="00F92D22"/>
    <w:rsid w:val="00F9559F"/>
    <w:rsid w:val="00FA4410"/>
    <w:rsid w:val="00FB0650"/>
    <w:rsid w:val="00FB3986"/>
    <w:rsid w:val="00FB4D98"/>
    <w:rsid w:val="00FB6378"/>
    <w:rsid w:val="00FB6ADA"/>
    <w:rsid w:val="00FB7BCE"/>
    <w:rsid w:val="00FC113A"/>
    <w:rsid w:val="00FC4E09"/>
    <w:rsid w:val="00FD36EF"/>
    <w:rsid w:val="00FD3F14"/>
    <w:rsid w:val="00FD56E3"/>
    <w:rsid w:val="00FD63B8"/>
    <w:rsid w:val="00FD72B2"/>
    <w:rsid w:val="00FE2099"/>
    <w:rsid w:val="00FE4B13"/>
    <w:rsid w:val="00FF57A3"/>
    <w:rsid w:val="00FF5BCF"/>
    <w:rsid w:val="00FF7602"/>
    <w:rsid w:val="00FF7B1E"/>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1D0B0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character" w:customStyle="1" w:styleId="Heading1Char">
    <w:name w:val="Heading 1 Char"/>
    <w:basedOn w:val="DefaultParagraphFont"/>
    <w:link w:val="Heading1"/>
    <w:rsid w:val="001D0B0D"/>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semiHidden/>
    <w:unhideWhenUsed/>
    <w:rsid w:val="00501D57"/>
    <w:rPr>
      <w:sz w:val="20"/>
      <w:szCs w:val="20"/>
    </w:rPr>
  </w:style>
  <w:style w:type="character" w:customStyle="1" w:styleId="FootnoteTextChar">
    <w:name w:val="Footnote Text Char"/>
    <w:basedOn w:val="DefaultParagraphFont"/>
    <w:link w:val="FootnoteText"/>
    <w:semiHidden/>
    <w:rsid w:val="0050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1331455">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1219119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22501425">
      <w:bodyDiv w:val="1"/>
      <w:marLeft w:val="0"/>
      <w:marRight w:val="0"/>
      <w:marTop w:val="0"/>
      <w:marBottom w:val="0"/>
      <w:divBdr>
        <w:top w:val="none" w:sz="0" w:space="0" w:color="auto"/>
        <w:left w:val="none" w:sz="0" w:space="0" w:color="auto"/>
        <w:bottom w:val="none" w:sz="0" w:space="0" w:color="auto"/>
        <w:right w:val="none" w:sz="0" w:space="0" w:color="auto"/>
      </w:divBdr>
    </w:div>
    <w:div w:id="1472283734">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29484064">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526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electronic-reporting-air-emissions/paperwork-reduction-act-pra-cedri-and-e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x.e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o.ep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6283</Words>
  <Characters>35818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2021-10-06T16:25:00Z</dcterms:created>
  <dcterms:modified xsi:type="dcterms:W3CDTF">2021-10-06T16:25:00Z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