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CA4CD6" w14:paraId="45451A35" w14:textId="5AFB3BD0">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AE09A0" w:rsidR="00CA4CD6" w:rsidRDefault="0022407A" w14:paraId="49855593" w14:textId="7D760C51">
      <w:r w:rsidRPr="00B03FD7">
        <w:rPr>
          <w:b/>
        </w:rPr>
        <w:t>NSPS for Other Solid Waste Incineration Units (40 CFR Part 60, Subpart EEEE) (Renewal)</w:t>
      </w:r>
      <w:r w:rsidRPr="00B03FD7">
        <w:t xml:space="preserve"> </w:t>
      </w:r>
    </w:p>
    <w:p w:rsidR="0022407A" w:rsidRDefault="0022407A" w14:paraId="59E7E3E1"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2407A" w:rsidR="00CA4CD6" w:rsidP="002B29A5" w:rsidRDefault="002B29A5" w14:paraId="524FB0EB" w14:textId="75846A86">
      <w:pPr>
        <w:rPr>
          <w:bCs/>
        </w:rPr>
      </w:pPr>
      <w:r w:rsidRPr="0022407A">
        <w:rPr>
          <w:bCs/>
        </w:rPr>
        <w:t>N</w:t>
      </w:r>
      <w:r w:rsidRPr="0022407A" w:rsidR="0022407A">
        <w:rPr>
          <w:bCs/>
        </w:rPr>
        <w:t>SPS</w:t>
      </w:r>
      <w:r w:rsidRPr="0022407A">
        <w:rPr>
          <w:bCs/>
        </w:rPr>
        <w:t xml:space="preserve"> for </w:t>
      </w:r>
      <w:r w:rsidRPr="0022407A" w:rsidR="0022407A">
        <w:rPr>
          <w:bCs/>
        </w:rPr>
        <w:t xml:space="preserve">Other Solid Waste Incineration Units (40 CFR Part 60, Subpart EEEE) </w:t>
      </w:r>
      <w:r w:rsidRPr="0022407A">
        <w:rPr>
          <w:bCs/>
        </w:rPr>
        <w:t>(Renewal</w:t>
      </w:r>
      <w:r w:rsidRPr="004C5E95">
        <w:rPr>
          <w:bCs/>
        </w:rPr>
        <w:t xml:space="preserve">), EPA ICR Number </w:t>
      </w:r>
      <w:r w:rsidRPr="0022407A" w:rsidR="0022407A">
        <w:rPr>
          <w:bCs/>
        </w:rPr>
        <w:t>2163.</w:t>
      </w:r>
      <w:r w:rsidRPr="0022407A" w:rsidR="00B62A41">
        <w:rPr>
          <w:bCs/>
        </w:rPr>
        <w:t>0</w:t>
      </w:r>
      <w:r w:rsidR="00B62A41">
        <w:rPr>
          <w:bCs/>
        </w:rPr>
        <w:t>7</w:t>
      </w:r>
      <w:r w:rsidRPr="0022407A">
        <w:rPr>
          <w:bCs/>
        </w:rPr>
        <w:t>, OMB Control Number 2060-</w:t>
      </w:r>
      <w:r w:rsidRPr="0022407A" w:rsidR="0022407A">
        <w:rPr>
          <w:bCs/>
        </w:rPr>
        <w:t>0563</w:t>
      </w:r>
      <w:r w:rsidRPr="0022407A">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P="00C258EC" w:rsidRDefault="0022407A" w14:paraId="43FDF7BE" w14:textId="62CF7359">
      <w:pPr>
        <w:pStyle w:val="NormalWeb"/>
        <w:ind w:firstLine="720"/>
      </w:pPr>
      <w:r w:rsidRPr="00B03FD7">
        <w:t>The New Source Performance Standards (NSPS) for Other Solid Waste Incineration (OSWI) Units (40 CFR Part 60</w:t>
      </w:r>
      <w:r w:rsidR="00D955E4">
        <w:t>,</w:t>
      </w:r>
      <w:r w:rsidRPr="00B03FD7">
        <w:t xml:space="preserve"> Subpart EEEE) were proposed on December 9, 2004</w:t>
      </w:r>
      <w:r w:rsidR="0079405E">
        <w:t xml:space="preserve"> </w:t>
      </w:r>
      <w:r w:rsidRPr="00B04FAA" w:rsidR="0079405E">
        <w:t xml:space="preserve">(69 </w:t>
      </w:r>
      <w:r w:rsidRPr="00B04FAA" w:rsidR="0079405E">
        <w:rPr>
          <w:u w:val="single"/>
        </w:rPr>
        <w:t>FR</w:t>
      </w:r>
      <w:r w:rsidRPr="00B04FAA" w:rsidR="0079405E">
        <w:t xml:space="preserve"> 7147</w:t>
      </w:r>
      <w:r w:rsidR="0079405E">
        <w:t>2</w:t>
      </w:r>
      <w:r w:rsidRPr="00B04FAA" w:rsidR="0079405E">
        <w:t>)</w:t>
      </w:r>
      <w:r w:rsidRPr="00B03FD7">
        <w:t>, promulgated on December 16, 2005</w:t>
      </w:r>
      <w:r w:rsidR="0079405E">
        <w:t xml:space="preserve"> </w:t>
      </w:r>
      <w:r w:rsidRPr="00B04FAA" w:rsidR="0079405E">
        <w:t xml:space="preserve">(70 </w:t>
      </w:r>
      <w:r w:rsidRPr="00B04FAA" w:rsidR="0079405E">
        <w:rPr>
          <w:u w:val="single"/>
        </w:rPr>
        <w:t>FR</w:t>
      </w:r>
      <w:r w:rsidRPr="00B04FAA" w:rsidR="0079405E">
        <w:t xml:space="preserve"> </w:t>
      </w:r>
      <w:r w:rsidRPr="00410CB0" w:rsidR="0077501A">
        <w:t>74870</w:t>
      </w:r>
      <w:r w:rsidRPr="00B04FAA" w:rsidR="0079405E">
        <w:t>)</w:t>
      </w:r>
      <w:r w:rsidRPr="00B03FD7">
        <w:t>, and revised on November 24, 2006</w:t>
      </w:r>
      <w:r w:rsidR="0079405E">
        <w:t xml:space="preserve"> </w:t>
      </w:r>
      <w:r w:rsidRPr="00B04FAA" w:rsidR="0079405E">
        <w:t xml:space="preserve">(71 </w:t>
      </w:r>
      <w:r w:rsidRPr="00B04FAA" w:rsidR="0079405E">
        <w:rPr>
          <w:u w:val="single"/>
        </w:rPr>
        <w:t>FR</w:t>
      </w:r>
      <w:r w:rsidRPr="00B04FAA" w:rsidR="0079405E">
        <w:t xml:space="preserve"> </w:t>
      </w:r>
      <w:r w:rsidRPr="00B04FAA" w:rsidR="0077501A">
        <w:t>6780</w:t>
      </w:r>
      <w:r w:rsidR="0077501A">
        <w:t>2</w:t>
      </w:r>
      <w:r w:rsidRPr="00B04FAA" w:rsidR="0079405E">
        <w:t>)</w:t>
      </w:r>
      <w:r w:rsidRPr="00B03FD7">
        <w:t>.</w:t>
      </w:r>
      <w:r w:rsidRPr="00410CB0" w:rsidR="00C258EC">
        <w:rPr>
          <w:rStyle w:val="FootnoteReference"/>
          <w:vertAlign w:val="superscript"/>
        </w:rPr>
        <w:footnoteReference w:id="1"/>
      </w:r>
      <w:r w:rsidRPr="00B03FD7">
        <w:t xml:space="preserve"> </w:t>
      </w:r>
      <w:r w:rsidR="0023502A">
        <w:t xml:space="preserve"> </w:t>
      </w:r>
      <w:r w:rsidRPr="00B03FD7">
        <w:t>These regulations apply to very small municipal waste combustion units</w:t>
      </w:r>
      <w:r w:rsidR="008649DB">
        <w:t xml:space="preserve"> (VSMWC)</w:t>
      </w:r>
      <w:r w:rsidRPr="00B03FD7">
        <w:t xml:space="preserve"> and institutional waste incineration </w:t>
      </w:r>
      <w:r w:rsidR="008649DB">
        <w:t xml:space="preserve">(IWI) </w:t>
      </w:r>
      <w:r w:rsidRPr="00B03FD7">
        <w:t xml:space="preserve">units. </w:t>
      </w:r>
      <w:r w:rsidRPr="00B03FD7">
        <w:rPr>
          <w:iCs/>
        </w:rPr>
        <w:t>A</w:t>
      </w:r>
      <w:r w:rsidRPr="00B03FD7">
        <w:rPr>
          <w:i/>
          <w:iCs/>
        </w:rPr>
        <w:t xml:space="preserve"> </w:t>
      </w:r>
      <w:r w:rsidRPr="00B03FD7">
        <w:t xml:space="preserve">very small municipal waste combustion unit is any municipal waste combustion unit that has the capacity to combust less than 35 </w:t>
      </w:r>
      <w:r w:rsidR="00D05E0D">
        <w:t>tons per day (TPD)</w:t>
      </w:r>
      <w:r w:rsidRPr="00B03FD7">
        <w:t xml:space="preserve"> of municipal solid waste or refuse-derived fuel.</w:t>
      </w:r>
      <w:r>
        <w:t xml:space="preserve"> </w:t>
      </w:r>
      <w:r w:rsidRPr="00B03FD7">
        <w:t>An institutional waste incineration unit is any combustion unit that combusts institutional waste and is a distinct operating unit of the institutional facility that generated the waste. Institutional waste is solid waste that is combusted at any institutional facility using controlled flame combustion in an enclosed, distinct operating unit: whose design does not provide for energy recovery; operated without energy recovery; or operated with only waste heat recovery. Institutional waste also means solid waste combusted on site in an air curtain incinerator that is a distinct operating unit of any institutional facility.</w:t>
      </w:r>
      <w:r>
        <w:t xml:space="preserve"> </w:t>
      </w:r>
      <w:r w:rsidRPr="00B03FD7" w:rsidR="008649DB">
        <w:t xml:space="preserve">A new </w:t>
      </w:r>
      <w:r w:rsidR="008649DB">
        <w:t xml:space="preserve">VSMWC or IWI </w:t>
      </w:r>
      <w:r w:rsidRPr="00B03FD7" w:rsidR="008649DB">
        <w:t xml:space="preserve">unit </w:t>
      </w:r>
      <w:r w:rsidR="008649DB">
        <w:t xml:space="preserve">is </w:t>
      </w:r>
      <w:r w:rsidRPr="00B03FD7" w:rsidR="008649DB">
        <w:t xml:space="preserve">subject to this subpart </w:t>
      </w:r>
      <w:r w:rsidR="008649DB">
        <w:t>if it meets</w:t>
      </w:r>
      <w:r w:rsidRPr="00B03FD7" w:rsidR="008649DB">
        <w:t xml:space="preserve"> either of two criteria</w:t>
      </w:r>
      <w:r w:rsidR="008649DB">
        <w:t xml:space="preserve"> if it has a capacity to combust greater than or equal to 10 </w:t>
      </w:r>
      <w:r w:rsidR="00126424">
        <w:t>TPD</w:t>
      </w:r>
      <w:r w:rsidR="008649DB">
        <w:t xml:space="preserve"> of waste</w:t>
      </w:r>
      <w:r w:rsidRPr="00B03FD7" w:rsidR="008649DB">
        <w:t xml:space="preserve">: 1) commenced construction after December 9, 2004; or 2) commenced reconstruction or modification on or after June 16, 2006. </w:t>
      </w:r>
      <w:r w:rsidR="008649DB">
        <w:t xml:space="preserve">Under the proposed rule, the EPA provides an additional subcategory of new VSMWC or IWI units that have a capacity to combust less than 10 </w:t>
      </w:r>
      <w:r w:rsidR="00126424">
        <w:t>TPD</w:t>
      </w:r>
      <w:r w:rsidR="008649DB">
        <w:t xml:space="preserve"> of waste that are constructed on or after August 30, 2020. </w:t>
      </w:r>
      <w:r w:rsidRPr="00B03FD7">
        <w:t>This information is being collected to assure compliance with 40 CFR Part 60, Subpart EEEE.</w:t>
      </w:r>
    </w:p>
    <w:p w:rsidRPr="00B04FAA" w:rsidR="00374FA1" w:rsidP="00374FA1" w:rsidRDefault="008649DB" w14:paraId="1361AB9D" w14:textId="42439F42">
      <w:pPr>
        <w:ind w:firstLine="720"/>
      </w:pPr>
      <w:r>
        <w:t xml:space="preserve">The </w:t>
      </w:r>
      <w:r w:rsidR="00374FA1">
        <w:t xml:space="preserve">EPA is proposing to revise 40 CFR Part 60, Subpart EEEE to include </w:t>
      </w:r>
      <w:r>
        <w:t xml:space="preserve">new requirements for </w:t>
      </w:r>
      <w:r w:rsidR="00374FA1">
        <w:t xml:space="preserve">subcategories </w:t>
      </w:r>
      <w:r>
        <w:t>of</w:t>
      </w:r>
      <w:r w:rsidR="00374FA1">
        <w:t xml:space="preserve"> VSMWC or IWI units that have capacities equal to or less than 10 </w:t>
      </w:r>
      <w:r w:rsidR="00D05E0D">
        <w:t>TPD</w:t>
      </w:r>
      <w:r w:rsidR="00374FA1">
        <w:t xml:space="preserve">.  For units that have capacities equal to or less than 10 </w:t>
      </w:r>
      <w:r w:rsidR="00D05E0D">
        <w:t>TPD</w:t>
      </w:r>
      <w:r w:rsidR="00374FA1">
        <w:t xml:space="preserve">, </w:t>
      </w:r>
      <w:r>
        <w:t xml:space="preserve">the </w:t>
      </w:r>
      <w:r w:rsidR="00374FA1">
        <w:t xml:space="preserve">EPA is proposing revised emission limits and </w:t>
      </w:r>
      <w:r w:rsidRPr="008B4892" w:rsidR="008B4892">
        <w:t xml:space="preserve">substitute means of compliance demonstration </w:t>
      </w:r>
      <w:r w:rsidR="00374FA1">
        <w:t>in lieu of initial and annual stack testing, add- on control devices, and CEMS.</w:t>
      </w:r>
      <w:r w:rsidR="00E01000">
        <w:t xml:space="preserve"> Additionally, </w:t>
      </w:r>
      <w:r>
        <w:t xml:space="preserve">the </w:t>
      </w:r>
      <w:r w:rsidR="00E01000">
        <w:t xml:space="preserve">EPA is proposing to </w:t>
      </w:r>
      <w:r w:rsidR="00E01000">
        <w:lastRenderedPageBreak/>
        <w:t>remove the reporting requirements related to periods of startup, shutdown, and malfunction, because the emission limits will apply at all times.</w:t>
      </w:r>
      <w:r>
        <w:t xml:space="preserve"> The EPA is also proposing electronic reporting requirements for submittal of certain reports and performance test results.</w:t>
      </w:r>
      <w:r w:rsidR="00374FA1">
        <w:t xml:space="preserve"> </w:t>
      </w:r>
      <w:r w:rsidRPr="00CF0C4E" w:rsidR="00374FA1">
        <w:t>This ICR only includes the incremental burden associated with the proposed rule.</w:t>
      </w:r>
    </w:p>
    <w:p w:rsidR="00374FA1" w:rsidRDefault="00374FA1" w14:paraId="4BBCCCBB" w14:textId="77777777">
      <w:pPr>
        <w:ind w:firstLine="720"/>
        <w:rPr>
          <w:color w:val="000000"/>
        </w:rPr>
      </w:pPr>
    </w:p>
    <w:p w:rsidR="00CA4CD6" w:rsidRDefault="00CA4CD6" w14:paraId="0116004E" w14:textId="43310C97">
      <w:pPr>
        <w:ind w:firstLine="720"/>
        <w:rPr>
          <w:color w:val="000000"/>
        </w:rPr>
      </w:pPr>
      <w:r>
        <w:rPr>
          <w:color w:val="000000"/>
        </w:rPr>
        <w:t xml:space="preserve">In general, </w:t>
      </w:r>
      <w:r w:rsidRPr="0022407A">
        <w:t>all NSPS standards require initial notifications, performance tests, and periodic reports by the owners/operators of the affected facilities.</w:t>
      </w:r>
      <w:r w:rsidRPr="0022407A" w:rsidR="009C7E97">
        <w:t xml:space="preserve"> </w:t>
      </w:r>
      <w:r w:rsidRPr="0022407A">
        <w:t>They are also required to maintain records of the occurrence and duration of any startup, shutdown, or malfunction in the operation of an affected facility, or any period during which the monitoring system is inoperative.</w:t>
      </w:r>
      <w:r w:rsidRPr="0022407A" w:rsidR="009C7E97">
        <w:t xml:space="preserve"> </w:t>
      </w:r>
      <w:r w:rsidRPr="0022407A">
        <w:t xml:space="preserve">These notifications, reports, and records are essential in determining compliance, and are required of all affected facilities subject to </w:t>
      </w:r>
      <w:r w:rsidRPr="0022407A" w:rsidR="0022407A">
        <w:t>NSPS.</w:t>
      </w:r>
    </w:p>
    <w:p w:rsidR="00CA4CD6" w:rsidRDefault="00CA4CD6" w14:paraId="4416605D" w14:textId="77777777">
      <w:pPr>
        <w:rPr>
          <w:color w:val="000000"/>
        </w:rPr>
      </w:pPr>
    </w:p>
    <w:p w:rsidR="00CA4CD6" w:rsidRDefault="00CA4CD6" w14:paraId="297BBA30" w14:textId="51D0CFE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22407A">
        <w:t xml:space="preserve">least </w:t>
      </w:r>
      <w:r w:rsidR="007527B3">
        <w:t>five</w:t>
      </w:r>
      <w:r w:rsidRPr="0022407A" w:rsidR="007527B3">
        <w:t xml:space="preserve"> </w:t>
      </w:r>
      <w:r w:rsidRPr="0022407A">
        <w:t xml:space="preserve">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United States Environmental Protection Agency (EPA) regional office.</w:t>
      </w:r>
    </w:p>
    <w:p w:rsidR="00CA4CD6" w:rsidRDefault="00CA4CD6" w14:paraId="0AA27FAF" w14:textId="6DDB345E">
      <w:pPr>
        <w:pBdr>
          <w:top w:val="single" w:color="FFFFFF" w:sz="6" w:space="0"/>
          <w:left w:val="single" w:color="FFFFFF" w:sz="6" w:space="0"/>
          <w:bottom w:val="single" w:color="FFFFFF" w:sz="6" w:space="0"/>
          <w:right w:val="single" w:color="FFFFFF" w:sz="6" w:space="0"/>
        </w:pBdr>
        <w:rPr>
          <w:color w:val="000000"/>
        </w:rPr>
      </w:pPr>
    </w:p>
    <w:p w:rsidR="00DF3701" w:rsidP="00DF3701" w:rsidRDefault="002E5D5B" w14:paraId="26C45E9C" w14:textId="4C645681">
      <w:pPr>
        <w:pBdr>
          <w:top w:val="single" w:color="FFFFFF" w:sz="6" w:space="0"/>
          <w:left w:val="single" w:color="FFFFFF" w:sz="6" w:space="0"/>
          <w:bottom w:val="single" w:color="FFFFFF" w:sz="6" w:space="0"/>
          <w:right w:val="single" w:color="FFFFFF" w:sz="6" w:space="0"/>
        </w:pBdr>
        <w:ind w:firstLine="720"/>
        <w:rPr>
          <w:color w:val="000000"/>
        </w:rPr>
      </w:pPr>
      <w:r>
        <w:t xml:space="preserve">There are currently </w:t>
      </w:r>
      <w:r w:rsidR="006D452A">
        <w:t>2</w:t>
      </w:r>
      <w:r w:rsidR="005A0D53">
        <w:t xml:space="preserve"> </w:t>
      </w:r>
      <w:r w:rsidR="00492146">
        <w:t>existing</w:t>
      </w:r>
      <w:r w:rsidRPr="00B03FD7" w:rsidR="0022407A">
        <w:t xml:space="preserve"> OSWI units that </w:t>
      </w:r>
      <w:r w:rsidR="00492146">
        <w:t xml:space="preserve">are </w:t>
      </w:r>
      <w:r>
        <w:t>known</w:t>
      </w:r>
      <w:r w:rsidR="00492146">
        <w:t xml:space="preserve"> to be </w:t>
      </w:r>
      <w:r w:rsidRPr="00B03FD7" w:rsidR="0022407A">
        <w:t xml:space="preserve">subject to the </w:t>
      </w:r>
      <w:r w:rsidRPr="005A0D53" w:rsidR="0022407A">
        <w:t>regulations</w:t>
      </w:r>
      <w:r w:rsidRPr="005A0D53" w:rsidR="00492146">
        <w:t>.</w:t>
      </w:r>
      <w:r w:rsidRPr="005A0D53" w:rsidR="00C86C8E">
        <w:t xml:space="preserve"> The prior ICR </w:t>
      </w:r>
      <w:r w:rsidR="005A0D53">
        <w:t>was</w:t>
      </w:r>
      <w:r w:rsidRPr="005A0D53" w:rsidR="00492146">
        <w:rPr>
          <w:color w:val="000000"/>
        </w:rPr>
        <w:t xml:space="preserve"> based on the assumption of </w:t>
      </w:r>
      <w:r w:rsidRPr="005A0D53" w:rsidR="00B76D31">
        <w:t>5</w:t>
      </w:r>
      <w:r w:rsidRPr="005A0D53" w:rsidR="00E21072">
        <w:t xml:space="preserve">5 </w:t>
      </w:r>
      <w:r w:rsidRPr="005A0D53" w:rsidR="0022407A">
        <w:t>additional respondents per year becom</w:t>
      </w:r>
      <w:r w:rsidRPr="005A0D53" w:rsidR="00E21072">
        <w:t>ing</w:t>
      </w:r>
      <w:r w:rsidRPr="005A0D53" w:rsidR="0022407A">
        <w:t xml:space="preserve"> subject to the regulation over </w:t>
      </w:r>
      <w:r w:rsidR="005A0D53">
        <w:t xml:space="preserve">a </w:t>
      </w:r>
      <w:r w:rsidRPr="005A0D53" w:rsidR="006F623B">
        <w:t>three</w:t>
      </w:r>
      <w:r w:rsidR="006F623B">
        <w:t>-year</w:t>
      </w:r>
      <w:r w:rsidR="005A0D53">
        <w:t xml:space="preserve"> period</w:t>
      </w:r>
      <w:r w:rsidRPr="005A0D53" w:rsidR="0022407A">
        <w:t xml:space="preserve">. </w:t>
      </w:r>
      <w:r w:rsidR="005A0D53">
        <w:t xml:space="preserve">However, this ICR presents the burden for implementation of the </w:t>
      </w:r>
      <w:r w:rsidR="0058490F">
        <w:t xml:space="preserve">proposed </w:t>
      </w:r>
      <w:r w:rsidR="005A0D53">
        <w:t xml:space="preserve">rule, based on the assumption that there will be </w:t>
      </w:r>
      <w:r w:rsidRPr="007A6D83" w:rsidR="00087E60">
        <w:t>2</w:t>
      </w:r>
      <w:r w:rsidR="00087E60">
        <w:t xml:space="preserve"> existing respondents and </w:t>
      </w:r>
      <w:r w:rsidR="005A0D53">
        <w:t xml:space="preserve">no new respondents </w:t>
      </w:r>
      <w:r w:rsidR="00087E60">
        <w:t xml:space="preserve">subject to the proposed amendments </w:t>
      </w:r>
      <w:r w:rsidR="005A0D53">
        <w:t xml:space="preserve">over the next three years. </w:t>
      </w:r>
      <w:r w:rsidRPr="005A0D53" w:rsidR="00A53067">
        <w:t>This assumption is based on Agency review, knowledge, and experience with the NSPS program and recent data gathered on the source category</w:t>
      </w:r>
      <w:r w:rsidR="00170D11">
        <w:t xml:space="preserve">. </w:t>
      </w:r>
      <w:r w:rsidRPr="007F732B" w:rsidR="00DF3701">
        <w:t>The burden to the “Affected Public” may be found in Table</w:t>
      </w:r>
      <w:r w:rsidR="00D759CC">
        <w:t>s</w:t>
      </w:r>
      <w:r w:rsidRPr="007F732B" w:rsidR="00DF3701">
        <w:t xml:space="preserve"> 1</w:t>
      </w:r>
      <w:r w:rsidR="00D759CC">
        <w:t xml:space="preserve"> through 4</w:t>
      </w:r>
      <w:r w:rsidR="008649DB">
        <w:t xml:space="preserve"> </w:t>
      </w:r>
      <w:r w:rsidR="00DF6B2F">
        <w:t xml:space="preserve">in </w:t>
      </w:r>
      <w:r w:rsidR="00DF6B2F">
        <w:rPr>
          <w:color w:val="000000"/>
        </w:rPr>
        <w:t xml:space="preserve">Attachment 1 </w:t>
      </w:r>
      <w:r w:rsidR="008649DB">
        <w:t>of this document</w:t>
      </w:r>
      <w:r w:rsidRPr="007F732B" w:rsidR="00DF3701">
        <w:t xml:space="preserve">. The “Federal Government” burden is attributed entirely to work performed by federal employees or government contractors and refer to </w:t>
      </w:r>
      <w:r w:rsidR="00D759CC">
        <w:t>Tables 5 through 8</w:t>
      </w:r>
      <w:r w:rsidR="008649DB">
        <w:t xml:space="preserve"> </w:t>
      </w:r>
      <w:r w:rsidR="00DF6B2F">
        <w:t xml:space="preserve">in </w:t>
      </w:r>
      <w:r w:rsidR="00DF6B2F">
        <w:rPr>
          <w:color w:val="000000"/>
        </w:rPr>
        <w:t xml:space="preserve">Attachment 1 </w:t>
      </w:r>
      <w:r w:rsidR="008649DB">
        <w:t>of this document</w:t>
      </w:r>
      <w:r w:rsidRPr="007F732B" w:rsidR="00DF3701">
        <w:t xml:space="preserve">. </w:t>
      </w:r>
    </w:p>
    <w:p w:rsidRPr="0022407A"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22407A" w:rsidR="002B29A5" w:rsidP="005643A3" w:rsidRDefault="00A10DBD" w14:paraId="70A26DD3" w14:textId="23D80FF2">
      <w:pPr>
        <w:pBdr>
          <w:top w:val="single" w:color="FFFFFF" w:sz="6" w:space="0"/>
          <w:left w:val="single" w:color="FFFFFF" w:sz="6" w:space="0"/>
          <w:bottom w:val="single" w:color="FFFFFF" w:sz="6" w:space="0"/>
          <w:right w:val="single" w:color="FFFFFF" w:sz="6" w:space="0"/>
        </w:pBdr>
        <w:ind w:firstLine="720"/>
      </w:pPr>
      <w:r w:rsidRPr="0022407A">
        <w:t>The Office of Management and Budget (</w:t>
      </w:r>
      <w:r w:rsidRPr="0022407A" w:rsidR="00CA4CD6">
        <w:t>OMB</w:t>
      </w:r>
      <w:r w:rsidRPr="0022407A">
        <w:t>)</w:t>
      </w:r>
      <w:r w:rsidRPr="0022407A" w:rsidR="00CA4CD6">
        <w:t xml:space="preserve"> approved the currently active ICR without any </w:t>
      </w:r>
      <w:r w:rsidRPr="0022407A">
        <w:t>“</w:t>
      </w:r>
      <w:r w:rsidRPr="0022407A" w:rsidR="00CA4CD6">
        <w:t>Terms of Clearance</w:t>
      </w:r>
      <w:r w:rsidRPr="0022407A">
        <w:t>”</w:t>
      </w:r>
      <w:r w:rsidRPr="0022407A" w:rsidR="00CA4CD6">
        <w:t xml:space="preserve">. </w:t>
      </w:r>
    </w:p>
    <w:p w:rsidRPr="0022407A" w:rsidR="0022407A" w:rsidP="002B29A5" w:rsidRDefault="0022407A" w14:paraId="18CC2C5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2407A" w:rsidR="00CA4CD6" w:rsidRDefault="00CA4CD6" w14:paraId="7A39E35B" w14:textId="1E793235">
      <w:pPr>
        <w:pBdr>
          <w:top w:val="single" w:color="FFFFFF" w:sz="6" w:space="0"/>
          <w:left w:val="single" w:color="FFFFFF" w:sz="6" w:space="0"/>
          <w:bottom w:val="single" w:color="FFFFFF" w:sz="6" w:space="0"/>
          <w:right w:val="single" w:color="FFFFFF" w:sz="6" w:space="0"/>
        </w:pBdr>
        <w:ind w:firstLine="720"/>
      </w:pPr>
      <w:r w:rsidRPr="0022407A">
        <w:t xml:space="preserve">The EPA is charged under Section 111 of the Clean Air Act (CAA), as amended, to establish standards of performance for new stationary sources that reflect: </w:t>
      </w:r>
    </w:p>
    <w:p w:rsidRPr="0022407A"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22407A"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22407A">
        <w:rPr>
          <w:b/>
          <w:bCs/>
        </w:rPr>
        <w:t>. . .</w:t>
      </w:r>
      <w:r w:rsidRPr="0022407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22407A" w:rsidR="009C7E97">
        <w:t xml:space="preserve"> </w:t>
      </w:r>
      <w:r w:rsidRPr="0022407A">
        <w:lastRenderedPageBreak/>
        <w:t>Section 111(a)(l).</w:t>
      </w:r>
    </w:p>
    <w:p w:rsidRPr="0022407A"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22407A" w:rsidR="00CA4CD6" w:rsidRDefault="00CA4CD6" w14:paraId="0926237E" w14:textId="289EE1B4">
      <w:pPr>
        <w:pBdr>
          <w:top w:val="single" w:color="FFFFFF" w:sz="6" w:space="0"/>
          <w:left w:val="single" w:color="FFFFFF" w:sz="6" w:space="0"/>
          <w:bottom w:val="single" w:color="FFFFFF" w:sz="6" w:space="0"/>
          <w:right w:val="single" w:color="FFFFFF" w:sz="6" w:space="0"/>
        </w:pBdr>
      </w:pPr>
      <w:r w:rsidRPr="0022407A">
        <w:t>The Agency refers to this charge as selecting the best demonstrated technology (BDT).</w:t>
      </w:r>
      <w:r w:rsidRPr="0022407A" w:rsidR="009C7E97">
        <w:t xml:space="preserve"> </w:t>
      </w:r>
      <w:r w:rsidRPr="0022407A">
        <w:t xml:space="preserve">Section 111 also requires that the Administrator review and, if appropriate, revise such standards every </w:t>
      </w:r>
      <w:r w:rsidRPr="0022407A" w:rsidR="00E90E82">
        <w:t>eight</w:t>
      </w:r>
      <w:r w:rsidRPr="0022407A">
        <w:t xml:space="preserve"> years. </w:t>
      </w:r>
    </w:p>
    <w:p w:rsidRPr="0022407A"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22407A" w:rsidR="00CA4CD6" w:rsidRDefault="00CA4CD6" w14:paraId="1B2AF144" w14:textId="0AD69670">
      <w:pPr>
        <w:pBdr>
          <w:top w:val="single" w:color="FFFFFF" w:sz="6" w:space="0"/>
          <w:left w:val="single" w:color="FFFFFF" w:sz="6" w:space="0"/>
          <w:bottom w:val="single" w:color="FFFFFF" w:sz="6" w:space="0"/>
          <w:right w:val="single" w:color="FFFFFF" w:sz="6" w:space="0"/>
        </w:pBdr>
        <w:ind w:firstLine="720"/>
      </w:pPr>
      <w:r w:rsidRPr="0022407A">
        <w:t xml:space="preserve">In addition, section 114(a) states that the Administrator may require any owner/operator subject to any requirement of this Act to: </w:t>
      </w:r>
    </w:p>
    <w:p w:rsidRPr="0022407A"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2407A" w:rsidR="00CA4CD6" w:rsidRDefault="00CA4CD6" w14:paraId="33AC57AC" w14:textId="236B3718">
      <w:pPr>
        <w:pBdr>
          <w:top w:val="single" w:color="FFFFFF" w:sz="6" w:space="0"/>
          <w:left w:val="single" w:color="FFFFFF" w:sz="6" w:space="0"/>
          <w:bottom w:val="single" w:color="FFFFFF" w:sz="6" w:space="0"/>
          <w:right w:val="single" w:color="FFFFFF" w:sz="6" w:space="0"/>
        </w:pBdr>
        <w:ind w:left="1440" w:right="1440"/>
      </w:pPr>
      <w:r w:rsidRPr="0022407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0DBC6FC4">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w:t>
      </w:r>
      <w:r w:rsidR="00C8378A">
        <w:rPr>
          <w:color w:val="000000"/>
        </w:rPr>
        <w:t>’</w:t>
      </w:r>
      <w:r>
        <w:rPr>
          <w:color w:val="000000"/>
        </w:rPr>
        <w:t>s judgment,</w:t>
      </w:r>
      <w:r>
        <w:rPr>
          <w:color w:val="FF0000"/>
        </w:rPr>
        <w:t xml:space="preserve"> </w:t>
      </w:r>
      <w:r w:rsidR="00DF3701">
        <w:t xml:space="preserve">particulate matter, sulfur dioxide, hydrogen chloride, nitrogen oxides, carbon monoxide, lead, cadmium, mercury, and dioxin/furans </w:t>
      </w:r>
      <w:r w:rsidRPr="00B03FD7" w:rsidR="00DF3701">
        <w:t xml:space="preserve">emissions from </w:t>
      </w:r>
      <w:r w:rsidR="00DF3701">
        <w:t>OSWI</w:t>
      </w:r>
      <w:r w:rsidRPr="00B03FD7" w:rsidR="00DF3701">
        <w:t xml:space="preserve"> units cause or contribute to air pollution that may reasonably be anticipated to endanger public health or welfare. Therefore, the NSPS was promulgated for this source category at</w:t>
      </w:r>
      <w:r w:rsidR="00DF3701">
        <w:t xml:space="preserve"> </w:t>
      </w:r>
      <w:r w:rsidRPr="00B03FD7" w:rsidR="00DF3701">
        <w:t>40 CFR Part 63,</w:t>
      </w:r>
      <w:r w:rsidRPr="00DF3701" w:rsidR="00DF3701">
        <w:rPr>
          <w:bCs/>
          <w:iCs/>
        </w:rPr>
        <w:t xml:space="preserve"> </w:t>
      </w:r>
      <w:r w:rsidRPr="00B03FD7" w:rsidR="00DF3701">
        <w:t>Subpart EEEE.</w:t>
      </w:r>
    </w:p>
    <w:p w:rsidR="00CA4CD6" w:rsidP="00C8378A"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090E86A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C8378A" w:rsidR="00CA4CD6" w:rsidRDefault="00CA4CD6" w14:paraId="218DE045" w14:textId="48F197F9">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 Continuous emission monitors are used to ensure compliance with the standard at all times</w:t>
      </w:r>
      <w:r w:rsidRPr="00C8378A">
        <w:t>. During the performance test a record of the operating parameters under which compliance was achieved may be recorded and used to determine compliance in place of a continuous emission monitor.</w:t>
      </w:r>
      <w:r w:rsidRPr="00C8378A"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C8378A" w:rsidR="00CA4CD6" w:rsidRDefault="00CA4CD6" w14:paraId="14AFE8F2" w14:textId="58C0D1A2">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C8378A">
        <w:t>the pollution control devices are properly installed and operated</w:t>
      </w:r>
      <w:r w:rsidRPr="00C8378A" w:rsidR="00C8378A">
        <w:t>,</w:t>
      </w:r>
      <w:r w:rsidRPr="00C8378A">
        <w:t xml:space="preserve"> leaks are being detected and repaired</w:t>
      </w:r>
      <w:r w:rsidRPr="00C8378A" w:rsidR="00C8378A">
        <w:t>,</w:t>
      </w:r>
      <w:r w:rsidRPr="00C8378A">
        <w:t xml:space="preserve"> and the standard</w:t>
      </w:r>
      <w:r w:rsidRPr="00C8378A" w:rsidR="00C8378A">
        <w:t xml:space="preserve"> </w:t>
      </w:r>
      <w:r w:rsidRPr="00C8378A" w:rsidR="0062215C">
        <w:t>is</w:t>
      </w:r>
      <w:r w:rsidRPr="00C8378A">
        <w:t xml:space="preserve"> being met.</w:t>
      </w:r>
      <w:r w:rsidRPr="00C8378A" w:rsidR="009C7E97">
        <w:t xml:space="preserve"> </w:t>
      </w:r>
      <w:r w:rsidRPr="00C8378A">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7C38B5B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C8378A">
        <w:t xml:space="preserve">required </w:t>
      </w:r>
      <w:r w:rsidR="00170D11">
        <w:t xml:space="preserve">annual and </w:t>
      </w:r>
      <w:r w:rsidRPr="00C8378A">
        <w:t>semiannual</w:t>
      </w:r>
      <w:r w:rsidRPr="00C8378A" w:rsidR="00C8378A">
        <w:t xml:space="preserve"> </w:t>
      </w:r>
      <w:r w:rsidRPr="00C8378A">
        <w:t xml:space="preserve">reports </w:t>
      </w:r>
      <w:r>
        <w:rPr>
          <w:color w:val="000000"/>
        </w:rPr>
        <w:t>are used to determine periods of excess emissions, identify problems at the facility, verify operation/maintenance procedures and for compliance determinations.</w:t>
      </w:r>
    </w:p>
    <w:p w:rsidR="00CA4CD6" w:rsidRDefault="00CA4CD6" w14:paraId="7B552AF6" w14:textId="77777777">
      <w:pPr>
        <w:pBdr>
          <w:top w:val="single" w:color="FFFFFF" w:sz="6" w:space="0"/>
          <w:left w:val="single" w:color="FFFFFF" w:sz="6" w:space="0"/>
          <w:bottom w:val="single" w:color="FFFFFF" w:sz="6" w:space="0"/>
          <w:right w:val="single" w:color="FFFFFF" w:sz="6" w:space="0"/>
        </w:pBdr>
        <w:rPr>
          <w:color w:val="000000"/>
        </w:rPr>
      </w:pPr>
    </w:p>
    <w:p w:rsidRPr="00C8378A" w:rsidR="00C8378A" w:rsidP="00504745" w:rsidRDefault="00C8378A" w14:paraId="78FFF51A" w14:textId="77777777">
      <w:pPr>
        <w:pBdr>
          <w:top w:val="single" w:color="FFFFFF" w:sz="6" w:space="0"/>
          <w:left w:val="single" w:color="FFFFFF" w:sz="6" w:space="0"/>
          <w:bottom w:val="single" w:color="FFFFFF" w:sz="6" w:space="0"/>
          <w:right w:val="single" w:color="FFFFFF" w:sz="6" w:space="0"/>
        </w:pBdr>
        <w:outlineLvl w:val="0"/>
      </w:pPr>
    </w:p>
    <w:p w:rsidR="00CA4CD6" w:rsidP="00504745" w:rsidRDefault="00CA4CD6" w14:paraId="12BA0C09" w14:textId="6302AEF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8378A" w:rsidP="00C8378A" w:rsidRDefault="00CA4CD6" w14:paraId="650BC66B" w14:textId="3D5AB65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B03FD7" w:rsidR="00C8378A">
        <w:t>6</w:t>
      </w:r>
      <w:r w:rsidR="00ED0ECC">
        <w:t>0</w:t>
      </w:r>
      <w:r w:rsidRPr="00B03FD7" w:rsidR="00C8378A">
        <w:t>,</w:t>
      </w:r>
      <w:r w:rsidRPr="00DF3701" w:rsidR="00C8378A">
        <w:rPr>
          <w:bCs/>
          <w:iCs/>
        </w:rPr>
        <w:t xml:space="preserve"> </w:t>
      </w:r>
      <w:r w:rsidRPr="00B03FD7" w:rsidR="00C8378A">
        <w:t xml:space="preserve">Subpart </w:t>
      </w:r>
      <w:r w:rsidR="00ED0ECC">
        <w:t>EEEE</w:t>
      </w:r>
      <w:r w:rsidRPr="00B03FD7" w:rsidR="00C8378A">
        <w:t>.</w:t>
      </w:r>
    </w:p>
    <w:p w:rsidR="00CA4CD6" w:rsidP="00C8378A" w:rsidRDefault="00CA4CD6" w14:paraId="1E94F317" w14:textId="3639DE23">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51D01F3">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P="006F623B" w:rsidRDefault="00084558" w14:paraId="474EDDE2" w14:textId="08E96081">
      <w:pPr>
        <w:pBdr>
          <w:top w:val="single" w:color="FFFFFF" w:sz="6" w:space="0"/>
          <w:left w:val="single" w:color="FFFFFF" w:sz="6" w:space="0"/>
          <w:bottom w:val="single" w:color="FFFFFF" w:sz="6" w:space="0"/>
          <w:right w:val="single" w:color="FFFFFF" w:sz="6" w:space="0"/>
        </w:pBdr>
        <w:ind w:firstLine="720"/>
        <w:rPr>
          <w:color w:val="000000"/>
        </w:rPr>
      </w:pPr>
      <w:r>
        <w:t xml:space="preserve">A public notice of this collection is provided in the Federal Register notice of proposed rulemaking published for the </w:t>
      </w:r>
      <w:r w:rsidRPr="00084558">
        <w:rPr>
          <w:bCs/>
        </w:rPr>
        <w:t>NSPS for Other Solid Waste Incineration Units (40 CFR Part 60, Subpart EEEE</w:t>
      </w:r>
      <w:r w:rsidRPr="00EF037F">
        <w:t>)</w:t>
      </w:r>
      <w:r>
        <w:t>.</w:t>
      </w:r>
      <w:r w:rsidDel="00EF037F">
        <w:rPr>
          <w:rStyle w:val="CommentReference"/>
        </w:rPr>
        <w:t xml:space="preserve"> </w:t>
      </w:r>
    </w:p>
    <w:p w:rsidR="006F623B" w:rsidRDefault="006F623B" w14:paraId="7C27DD8C"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9B2F54" w:rsidR="00E53137" w:rsidP="00D92F66" w:rsidRDefault="00E53137" w14:paraId="0193644F" w14:textId="77777777">
      <w:pPr>
        <w:spacing w:line="244" w:lineRule="exact"/>
      </w:pPr>
    </w:p>
    <w:p w:rsidRPr="000228BB" w:rsidR="00FF4123" w:rsidP="00FF4123" w:rsidRDefault="00FF4123" w14:paraId="6DA364AE" w14:textId="29465FD8">
      <w:pPr>
        <w:ind w:firstLine="720"/>
        <w:rPr>
          <w:strike/>
          <w:sz w:val="22"/>
          <w:szCs w:val="22"/>
        </w:rPr>
      </w:pPr>
      <w:r w:rsidRPr="000228BB">
        <w:t>The Agency has consulted i</w:t>
      </w:r>
      <w:r w:rsidRPr="000228BB">
        <w:rPr>
          <w:bCs/>
        </w:rPr>
        <w:t>ndustry experts and internal data sources to project the number of affected facilities and industry growth over the next three years.</w:t>
      </w:r>
      <w:r w:rsidRPr="00A84EF2">
        <w:rPr>
          <w:bCs/>
        </w:rPr>
        <w:t xml:space="preserve"> </w:t>
      </w:r>
      <w:r w:rsidRPr="000228BB">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0228BB">
        <w:rPr>
          <w:sz w:val="22"/>
          <w:szCs w:val="22"/>
        </w:rPr>
        <w:t xml:space="preserve"> </w:t>
      </w:r>
      <w:r w:rsidRPr="000228BB">
        <w:t xml:space="preserve">The growth rate for the industry is based on our consultations with the Agency’s internal industry experts. </w:t>
      </w:r>
      <w:r w:rsidR="00087E60">
        <w:t>This ICR assumes 2 existing respondents and n</w:t>
      </w:r>
      <w:r w:rsidR="002B4F93">
        <w:t>o new</w:t>
      </w:r>
      <w:r w:rsidR="002E5D5B">
        <w:t xml:space="preserve"> </w:t>
      </w:r>
      <w:r w:rsidRPr="000228BB">
        <w:t xml:space="preserve">respondents </w:t>
      </w:r>
      <w:r>
        <w:t>are estimated to</w:t>
      </w:r>
      <w:r w:rsidRPr="000228BB">
        <w:t xml:space="preserve"> be subject to the </w:t>
      </w:r>
      <w:r w:rsidR="00087E60">
        <w:t xml:space="preserve">proposed </w:t>
      </w:r>
      <w:r w:rsidRPr="000228BB">
        <w:t>standard over the three-year period covered by this ICR.</w:t>
      </w:r>
    </w:p>
    <w:p w:rsidRPr="000228BB" w:rsidR="00FF4123" w:rsidP="00FF4123" w:rsidRDefault="00FF4123" w14:paraId="305A57E8" w14:textId="77777777"/>
    <w:p w:rsidR="00FF4123" w:rsidP="0057312C" w:rsidRDefault="00084558" w14:paraId="09378EE4" w14:textId="4EE25989">
      <w:pPr>
        <w:ind w:firstLine="720"/>
      </w:pPr>
      <w:r w:rsidRPr="00084558">
        <w:t>Industry trade associations and other interested parties were contacted and provided an opportunity to review and comment on the burden associated with the current standard as it was being developed, and the standard was previously reviewed to determine the minimum information needed for compliance purposes.  In developing this ICR, we are providing all interested parties the opportunity to review and comment on the revised burden estimated in this Information Collection Request as a result of these proposed amendments.</w:t>
      </w:r>
    </w:p>
    <w:p w:rsidR="00FF4123" w:rsidRDefault="00FF4123" w14:paraId="302B57DC"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DB64864" w14:textId="5DCD831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2BE8F7FA">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2D33AC" w:rsidRDefault="002D33AC" w14:paraId="237DFE79" w14:textId="02B5016B">
      <w:pPr>
        <w:pBdr>
          <w:top w:val="single" w:color="FFFFFF" w:sz="6" w:space="0"/>
          <w:left w:val="single" w:color="FFFFFF" w:sz="6" w:space="0"/>
          <w:bottom w:val="single" w:color="FFFFFF" w:sz="6" w:space="0"/>
          <w:right w:val="single" w:color="FFFFFF" w:sz="6" w:space="0"/>
        </w:pBdr>
        <w:ind w:firstLine="720"/>
        <w:rPr>
          <w:color w:val="000000"/>
        </w:rPr>
      </w:pPr>
    </w:p>
    <w:p w:rsidRPr="005643A3" w:rsidR="002D33AC" w:rsidP="002D33AC" w:rsidRDefault="002D33AC" w14:paraId="750417B2" w14:textId="2AA95039">
      <w:pPr>
        <w:pBdr>
          <w:top w:val="single" w:color="FFFFFF" w:sz="6" w:space="0"/>
          <w:left w:val="single" w:color="FFFFFF" w:sz="6" w:space="0"/>
          <w:bottom w:val="single" w:color="FFFFFF" w:sz="6" w:space="0"/>
          <w:right w:val="single" w:color="FFFFFF" w:sz="6" w:space="0"/>
        </w:pBdr>
        <w:ind w:firstLine="720"/>
      </w:pPr>
      <w:r w:rsidRPr="00C16501">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ED0ECC" w:rsidRDefault="00CA4CD6" w14:paraId="23750743" w14:textId="10259A33">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ED0ECC">
        <w:t xml:space="preserve">are </w:t>
      </w:r>
      <w:r w:rsidR="002D33AC">
        <w:t xml:space="preserve">owners and operators of </w:t>
      </w:r>
      <w:r w:rsidRPr="00ED0ECC" w:rsidR="00ED0ECC">
        <w:t>OSWI units</w:t>
      </w:r>
      <w:r w:rsidRPr="00ED0ECC">
        <w:t>.</w:t>
      </w:r>
      <w:r w:rsidRPr="00ED0ECC" w:rsidR="009C7E97">
        <w:t xml:space="preserve"> </w:t>
      </w:r>
      <w:r w:rsidRPr="00ED0ECC" w:rsidR="00ED0ECC">
        <w:t xml:space="preserve">The United States Standard Industrial Classification (SIC) codes and </w:t>
      </w:r>
      <w:r w:rsidRPr="00ED0ECC" w:rsidR="00ED0ECC">
        <w:lastRenderedPageBreak/>
        <w:t xml:space="preserve">the corresponding </w:t>
      </w:r>
      <w:r w:rsidRPr="00B03FD7" w:rsidR="00ED0ECC">
        <w:t>North American Industry Classification System (NAICS) codes for the respondents affected by the</w:t>
      </w:r>
      <w:r w:rsidR="00ED0ECC">
        <w:t xml:space="preserve"> </w:t>
      </w:r>
      <w:r w:rsidRPr="00B03FD7" w:rsidR="00ED0ECC">
        <w:t xml:space="preserve">standard </w:t>
      </w:r>
      <w:r w:rsidR="00ED0ECC">
        <w:t>are listed below</w:t>
      </w:r>
      <w:r w:rsidR="002A29AB">
        <w:t>.</w:t>
      </w:r>
    </w:p>
    <w:p w:rsidR="00ED0ECC" w:rsidP="00ED0ECC" w:rsidRDefault="00ED0ECC" w14:paraId="4C998FB1"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80" w:type="dxa"/>
        <w:tblInd w:w="171" w:type="dxa"/>
        <w:tblLayout w:type="fixed"/>
        <w:tblCellMar>
          <w:left w:w="112" w:type="dxa"/>
          <w:right w:w="112" w:type="dxa"/>
        </w:tblCellMar>
        <w:tblLook w:val="0000" w:firstRow="0" w:lastRow="0" w:firstColumn="0" w:lastColumn="0" w:noHBand="0" w:noVBand="0"/>
      </w:tblPr>
      <w:tblGrid>
        <w:gridCol w:w="4770"/>
        <w:gridCol w:w="1710"/>
        <w:gridCol w:w="1800"/>
      </w:tblGrid>
      <w:tr w:rsidR="00CA4CD6" w:rsidTr="005044A8" w14:paraId="4654FAA0" w14:textId="77777777">
        <w:trPr>
          <w:tblHeader/>
        </w:trPr>
        <w:tc>
          <w:tcPr>
            <w:tcW w:w="4770" w:type="dxa"/>
            <w:tcBorders>
              <w:top w:val="single" w:color="000000" w:sz="7" w:space="0"/>
              <w:left w:val="single" w:color="000000" w:sz="7" w:space="0"/>
              <w:bottom w:val="single" w:color="FFFFFF" w:sz="6" w:space="0"/>
              <w:right w:val="single" w:color="FFFFFF" w:sz="6" w:space="0"/>
            </w:tcBorders>
          </w:tcPr>
          <w:p w:rsidRPr="00ED0ECC" w:rsidR="00CA4CD6" w:rsidP="009C7E97" w:rsidRDefault="00CA4CD6" w14:paraId="5BA46AC2" w14:textId="77777777">
            <w:pPr>
              <w:jc w:val="center"/>
              <w:rPr>
                <w:b/>
              </w:rPr>
            </w:pPr>
            <w:bookmarkStart w:name="_Hlk38861133" w:id="0"/>
          </w:p>
          <w:p w:rsidRPr="00ED0ECC" w:rsidR="00CA4CD6" w:rsidP="009C7E97" w:rsidRDefault="00CA4CD6" w14:paraId="4DA07103" w14:textId="62443A59">
            <w:pPr>
              <w:pBdr>
                <w:top w:val="single" w:color="FFFFFF" w:sz="6" w:space="0"/>
                <w:left w:val="single" w:color="FFFFFF" w:sz="6" w:space="0"/>
                <w:bottom w:val="single" w:color="FFFFFF" w:sz="6" w:space="0"/>
                <w:right w:val="single" w:color="FFFFFF" w:sz="6" w:space="0"/>
              </w:pBdr>
              <w:jc w:val="center"/>
              <w:rPr>
                <w:b/>
                <w:bCs/>
              </w:rPr>
            </w:pPr>
            <w:r w:rsidRPr="00ED0ECC">
              <w:rPr>
                <w:b/>
                <w:bCs/>
              </w:rPr>
              <w:t>Standard</w:t>
            </w:r>
            <w:r w:rsidRPr="00ED0ECC" w:rsidR="004C701D">
              <w:rPr>
                <w:b/>
                <w:bCs/>
              </w:rPr>
              <w:t xml:space="preserve"> </w:t>
            </w:r>
            <w:r w:rsidRPr="00ED0ECC" w:rsidR="00ED0ECC">
              <w:rPr>
                <w:b/>
                <w:bCs/>
              </w:rPr>
              <w:t>(</w:t>
            </w:r>
            <w:r w:rsidRPr="00ED0ECC" w:rsidR="004C701D">
              <w:rPr>
                <w:b/>
              </w:rPr>
              <w:t xml:space="preserve">40 CFR </w:t>
            </w:r>
            <w:r w:rsidRPr="00ED0ECC" w:rsidR="00CF2B37">
              <w:rPr>
                <w:b/>
              </w:rPr>
              <w:t>P</w:t>
            </w:r>
            <w:r w:rsidRPr="00ED0ECC" w:rsidR="004C701D">
              <w:rPr>
                <w:b/>
              </w:rPr>
              <w:t xml:space="preserve">art 60, </w:t>
            </w:r>
            <w:r w:rsidRPr="00ED0ECC" w:rsidR="00CF2B37">
              <w:rPr>
                <w:b/>
              </w:rPr>
              <w:t>S</w:t>
            </w:r>
            <w:r w:rsidRPr="00ED0ECC" w:rsidR="004C701D">
              <w:rPr>
                <w:b/>
              </w:rPr>
              <w:t xml:space="preserve">ubpart </w:t>
            </w:r>
            <w:r w:rsidRPr="00ED0ECC" w:rsidR="00ED0ECC">
              <w:rPr>
                <w:b/>
              </w:rPr>
              <w:t>EEEE)</w:t>
            </w:r>
          </w:p>
        </w:tc>
        <w:tc>
          <w:tcPr>
            <w:tcW w:w="1710" w:type="dxa"/>
            <w:tcBorders>
              <w:top w:val="single" w:color="000000" w:sz="7" w:space="0"/>
              <w:left w:val="single" w:color="000000" w:sz="7" w:space="0"/>
              <w:bottom w:val="single" w:color="FFFFFF" w:sz="6" w:space="0"/>
              <w:right w:val="single" w:color="FFFFFF" w:sz="6" w:space="0"/>
            </w:tcBorders>
          </w:tcPr>
          <w:p w:rsidRPr="00ED0ECC" w:rsidR="00CA4CD6" w:rsidP="009C7E97" w:rsidRDefault="00CA4CD6" w14:paraId="1F1C6672" w14:textId="77777777">
            <w:pPr>
              <w:jc w:val="center"/>
              <w:rPr>
                <w:b/>
                <w:bCs/>
              </w:rPr>
            </w:pPr>
          </w:p>
          <w:p w:rsidRPr="00ED0ECC"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ED0ECC">
              <w:rPr>
                <w:b/>
                <w:bCs/>
              </w:rPr>
              <w:t>SIC Codes</w:t>
            </w:r>
          </w:p>
        </w:tc>
        <w:tc>
          <w:tcPr>
            <w:tcW w:w="180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ED0ECC" w:rsidTr="005044A8" w14:paraId="1381BC79" w14:textId="77777777">
        <w:tc>
          <w:tcPr>
            <w:tcW w:w="4770" w:type="dxa"/>
            <w:tcBorders>
              <w:top w:val="single" w:color="000000" w:sz="7" w:space="0"/>
              <w:left w:val="single" w:color="000000" w:sz="7" w:space="0"/>
              <w:bottom w:val="single" w:color="FFFFFF" w:sz="6" w:space="0"/>
              <w:right w:val="single" w:color="FFFFFF" w:sz="6" w:space="0"/>
            </w:tcBorders>
          </w:tcPr>
          <w:p w:rsidR="00ED0ECC" w:rsidP="00ED0ECC" w:rsidRDefault="00ED0ECC" w14:paraId="5BF69ED4" w14:textId="0E4C01D8">
            <w:pPr>
              <w:tabs>
                <w:tab w:val="left" w:pos="3045"/>
              </w:tabs>
              <w:rPr>
                <w:color w:val="000000"/>
              </w:rPr>
            </w:pPr>
            <w:r w:rsidRPr="00B03FD7">
              <w:t>Solid Waste Combustors and Incinerators</w:t>
            </w:r>
          </w:p>
        </w:tc>
        <w:tc>
          <w:tcPr>
            <w:tcW w:w="1710" w:type="dxa"/>
            <w:tcBorders>
              <w:top w:val="single" w:color="000000" w:sz="7" w:space="0"/>
              <w:left w:val="single" w:color="000000" w:sz="7" w:space="0"/>
              <w:bottom w:val="single" w:color="FFFFFF" w:sz="6" w:space="0"/>
              <w:right w:val="single" w:color="FFFFFF" w:sz="6" w:space="0"/>
            </w:tcBorders>
            <w:vAlign w:val="center"/>
          </w:tcPr>
          <w:p w:rsidR="00ED0ECC" w:rsidP="00ED0ECC" w:rsidRDefault="00ED0ECC" w14:paraId="44CB63F6" w14:textId="14EF650F">
            <w:pPr>
              <w:pBdr>
                <w:top w:val="single" w:color="FFFFFF" w:sz="6" w:space="0"/>
                <w:left w:val="single" w:color="FFFFFF" w:sz="6" w:space="0"/>
                <w:bottom w:val="single" w:color="FFFFFF" w:sz="6" w:space="0"/>
                <w:right w:val="single" w:color="FFFFFF" w:sz="6" w:space="0"/>
              </w:pBdr>
              <w:rPr>
                <w:color w:val="000000"/>
              </w:rPr>
            </w:pPr>
            <w:r w:rsidRPr="00B03FD7">
              <w:t>4953</w:t>
            </w:r>
          </w:p>
        </w:tc>
        <w:tc>
          <w:tcPr>
            <w:tcW w:w="1800" w:type="dxa"/>
            <w:tcBorders>
              <w:top w:val="single" w:color="000000" w:sz="7" w:space="0"/>
              <w:left w:val="single" w:color="000000" w:sz="7" w:space="0"/>
              <w:bottom w:val="single" w:color="FFFFFF" w:sz="6" w:space="0"/>
              <w:right w:val="single" w:color="000000" w:sz="7" w:space="0"/>
            </w:tcBorders>
            <w:vAlign w:val="center"/>
          </w:tcPr>
          <w:p w:rsidRPr="003A15D8" w:rsidR="00ED0ECC" w:rsidP="00ED0ECC" w:rsidRDefault="00ED0ECC" w14:paraId="65FC1A16" w14:textId="3F049CA8">
            <w:pPr>
              <w:pBdr>
                <w:top w:val="single" w:color="FFFFFF" w:sz="6" w:space="0"/>
                <w:left w:val="single" w:color="FFFFFF" w:sz="6" w:space="0"/>
                <w:bottom w:val="single" w:color="FFFFFF" w:sz="6" w:space="0"/>
                <w:right w:val="single" w:color="FFFFFF" w:sz="6" w:space="0"/>
              </w:pBdr>
              <w:rPr>
                <w:color w:val="000000"/>
              </w:rPr>
            </w:pPr>
            <w:r w:rsidRPr="003A15D8">
              <w:t>562213</w:t>
            </w:r>
          </w:p>
        </w:tc>
      </w:tr>
      <w:tr w:rsidR="00ED0ECC" w:rsidTr="005044A8" w14:paraId="671F5B03" w14:textId="77777777">
        <w:tc>
          <w:tcPr>
            <w:tcW w:w="4770" w:type="dxa"/>
            <w:tcBorders>
              <w:top w:val="single" w:color="000000" w:sz="7" w:space="0"/>
              <w:left w:val="single" w:color="000000" w:sz="7" w:space="0"/>
              <w:bottom w:val="single" w:color="FFFFFF" w:sz="6" w:space="0"/>
              <w:right w:val="single" w:color="FFFFFF" w:sz="6" w:space="0"/>
            </w:tcBorders>
          </w:tcPr>
          <w:p w:rsidR="00ED0ECC" w:rsidP="00ED0ECC" w:rsidRDefault="00ED0ECC" w14:paraId="691848A5" w14:textId="2EFAB951">
            <w:pPr>
              <w:pBdr>
                <w:top w:val="single" w:color="FFFFFF" w:sz="6" w:space="0"/>
                <w:left w:val="single" w:color="FFFFFF" w:sz="6" w:space="0"/>
                <w:bottom w:val="single" w:color="FFFFFF" w:sz="6" w:space="0"/>
                <w:right w:val="single" w:color="FFFFFF" w:sz="6" w:space="0"/>
              </w:pBdr>
              <w:rPr>
                <w:color w:val="000000"/>
              </w:rPr>
            </w:pPr>
            <w:r w:rsidRPr="00B03FD7">
              <w:t>Administration of Air and Waste Resource and Solid Waste Management Programs</w:t>
            </w:r>
          </w:p>
        </w:tc>
        <w:tc>
          <w:tcPr>
            <w:tcW w:w="1710" w:type="dxa"/>
            <w:tcBorders>
              <w:top w:val="single" w:color="000000" w:sz="7" w:space="0"/>
              <w:left w:val="single" w:color="000000" w:sz="7" w:space="0"/>
              <w:bottom w:val="single" w:color="FFFFFF" w:sz="6" w:space="0"/>
              <w:right w:val="single" w:color="FFFFFF" w:sz="6" w:space="0"/>
            </w:tcBorders>
            <w:vAlign w:val="center"/>
          </w:tcPr>
          <w:p w:rsidR="00ED0ECC" w:rsidP="00ED0ECC" w:rsidRDefault="007527B3" w14:paraId="379919C6" w14:textId="7258D9BE">
            <w:pPr>
              <w:pBdr>
                <w:top w:val="single" w:color="FFFFFF" w:sz="6" w:space="0"/>
                <w:left w:val="single" w:color="FFFFFF" w:sz="6" w:space="0"/>
                <w:bottom w:val="single" w:color="FFFFFF" w:sz="6" w:space="0"/>
                <w:right w:val="single" w:color="FFFFFF" w:sz="6" w:space="0"/>
              </w:pBdr>
              <w:rPr>
                <w:color w:val="000000"/>
              </w:rPr>
            </w:pPr>
            <w:r w:rsidRPr="00B04FAA">
              <w:t>9511</w:t>
            </w:r>
          </w:p>
        </w:tc>
        <w:tc>
          <w:tcPr>
            <w:tcW w:w="1800" w:type="dxa"/>
            <w:tcBorders>
              <w:top w:val="single" w:color="000000" w:sz="7" w:space="0"/>
              <w:left w:val="single" w:color="000000" w:sz="7" w:space="0"/>
              <w:bottom w:val="single" w:color="FFFFFF" w:sz="6" w:space="0"/>
              <w:right w:val="single" w:color="000000" w:sz="7" w:space="0"/>
            </w:tcBorders>
            <w:vAlign w:val="center"/>
          </w:tcPr>
          <w:p w:rsidRPr="003A15D8" w:rsidR="00ED0ECC" w:rsidP="00ED0ECC" w:rsidRDefault="00ED0ECC" w14:paraId="1DBC97FC" w14:textId="29C23390">
            <w:pPr>
              <w:pBdr>
                <w:top w:val="single" w:color="FFFFFF" w:sz="6" w:space="0"/>
                <w:left w:val="single" w:color="FFFFFF" w:sz="6" w:space="0"/>
                <w:bottom w:val="single" w:color="FFFFFF" w:sz="6" w:space="0"/>
                <w:right w:val="single" w:color="FFFFFF" w:sz="6" w:space="0"/>
              </w:pBdr>
              <w:rPr>
                <w:color w:val="000000"/>
              </w:rPr>
            </w:pPr>
            <w:r w:rsidRPr="003A15D8">
              <w:t>92411</w:t>
            </w:r>
          </w:p>
        </w:tc>
      </w:tr>
      <w:tr w:rsidR="00ED0ECC" w:rsidTr="005044A8" w14:paraId="222AD0AC" w14:textId="77777777">
        <w:tc>
          <w:tcPr>
            <w:tcW w:w="4770" w:type="dxa"/>
            <w:tcBorders>
              <w:top w:val="single" w:color="000000" w:sz="7" w:space="0"/>
              <w:left w:val="single" w:color="000000" w:sz="7" w:space="0"/>
              <w:bottom w:val="single" w:color="FFFFFF" w:sz="6" w:space="0"/>
              <w:right w:val="single" w:color="FFFFFF" w:sz="6" w:space="0"/>
            </w:tcBorders>
          </w:tcPr>
          <w:p w:rsidR="00ED0ECC" w:rsidP="00ED0ECC" w:rsidRDefault="00ED0ECC" w14:paraId="6E760476" w14:textId="1A40E365">
            <w:pPr>
              <w:pBdr>
                <w:top w:val="single" w:color="FFFFFF" w:sz="6" w:space="0"/>
                <w:left w:val="single" w:color="FFFFFF" w:sz="6" w:space="0"/>
                <w:bottom w:val="single" w:color="FFFFFF" w:sz="6" w:space="0"/>
                <w:right w:val="single" w:color="FFFFFF" w:sz="6" w:space="0"/>
              </w:pBdr>
              <w:rPr>
                <w:color w:val="000000"/>
              </w:rPr>
            </w:pPr>
            <w:r w:rsidRPr="00B03FD7">
              <w:t>Elementary and Secondary Schools</w:t>
            </w:r>
          </w:p>
        </w:tc>
        <w:tc>
          <w:tcPr>
            <w:tcW w:w="1710" w:type="dxa"/>
            <w:tcBorders>
              <w:top w:val="single" w:color="000000" w:sz="7" w:space="0"/>
              <w:left w:val="single" w:color="000000" w:sz="7" w:space="0"/>
              <w:bottom w:val="single" w:color="FFFFFF" w:sz="6" w:space="0"/>
              <w:right w:val="single" w:color="FFFFFF" w:sz="6" w:space="0"/>
            </w:tcBorders>
            <w:vAlign w:val="center"/>
          </w:tcPr>
          <w:p w:rsidR="00ED0ECC" w:rsidP="00ED0ECC" w:rsidRDefault="002C527F" w14:paraId="5A0BA3E0" w14:textId="55A65545">
            <w:pPr>
              <w:pBdr>
                <w:top w:val="single" w:color="FFFFFF" w:sz="6" w:space="0"/>
                <w:left w:val="single" w:color="FFFFFF" w:sz="6" w:space="0"/>
                <w:bottom w:val="single" w:color="FFFFFF" w:sz="6" w:space="0"/>
                <w:right w:val="single" w:color="FFFFFF" w:sz="6" w:space="0"/>
              </w:pBdr>
              <w:rPr>
                <w:color w:val="000000"/>
              </w:rPr>
            </w:pPr>
            <w:r>
              <w:t>8211</w:t>
            </w:r>
          </w:p>
        </w:tc>
        <w:tc>
          <w:tcPr>
            <w:tcW w:w="1800" w:type="dxa"/>
            <w:tcBorders>
              <w:top w:val="single" w:color="000000" w:sz="7" w:space="0"/>
              <w:left w:val="single" w:color="000000" w:sz="7" w:space="0"/>
              <w:bottom w:val="single" w:color="FFFFFF" w:sz="6" w:space="0"/>
              <w:right w:val="single" w:color="000000" w:sz="7" w:space="0"/>
            </w:tcBorders>
            <w:vAlign w:val="center"/>
          </w:tcPr>
          <w:p w:rsidRPr="003A15D8" w:rsidR="00ED0ECC" w:rsidP="00ED0ECC" w:rsidRDefault="00ED0ECC" w14:paraId="475EFD5E" w14:textId="7BBBCB68">
            <w:pPr>
              <w:pBdr>
                <w:top w:val="single" w:color="FFFFFF" w:sz="6" w:space="0"/>
                <w:left w:val="single" w:color="FFFFFF" w:sz="6" w:space="0"/>
                <w:bottom w:val="single" w:color="FFFFFF" w:sz="6" w:space="0"/>
                <w:right w:val="single" w:color="FFFFFF" w:sz="6" w:space="0"/>
              </w:pBdr>
              <w:rPr>
                <w:color w:val="000000"/>
              </w:rPr>
            </w:pPr>
            <w:r w:rsidRPr="003A15D8">
              <w:t>6111</w:t>
            </w:r>
          </w:p>
        </w:tc>
      </w:tr>
      <w:tr w:rsidR="00ED0ECC" w:rsidTr="005044A8" w14:paraId="581E12B2" w14:textId="77777777">
        <w:tc>
          <w:tcPr>
            <w:tcW w:w="4770" w:type="dxa"/>
            <w:tcBorders>
              <w:top w:val="single" w:color="000000" w:sz="7" w:space="0"/>
              <w:left w:val="single" w:color="000000" w:sz="7" w:space="0"/>
              <w:bottom w:val="single" w:color="000000" w:sz="7" w:space="0"/>
              <w:right w:val="single" w:color="FFFFFF" w:sz="6" w:space="0"/>
            </w:tcBorders>
          </w:tcPr>
          <w:p w:rsidR="00ED0ECC" w:rsidP="00ED0ECC" w:rsidRDefault="00ED0ECC" w14:paraId="50E6CAA7" w14:textId="6E773D4E">
            <w:pPr>
              <w:pBdr>
                <w:top w:val="single" w:color="FFFFFF" w:sz="6" w:space="0"/>
                <w:left w:val="single" w:color="FFFFFF" w:sz="6" w:space="0"/>
                <w:bottom w:val="single" w:color="FFFFFF" w:sz="6" w:space="0"/>
                <w:right w:val="single" w:color="FFFFFF" w:sz="6" w:space="0"/>
              </w:pBdr>
              <w:rPr>
                <w:color w:val="000000"/>
              </w:rPr>
            </w:pPr>
            <w:r w:rsidRPr="00B03FD7">
              <w:t>Nursing and Residential Care Facilities</w:t>
            </w:r>
          </w:p>
        </w:tc>
        <w:tc>
          <w:tcPr>
            <w:tcW w:w="1710" w:type="dxa"/>
            <w:tcBorders>
              <w:top w:val="single" w:color="000000" w:sz="7" w:space="0"/>
              <w:left w:val="single" w:color="000000" w:sz="7" w:space="0"/>
              <w:bottom w:val="single" w:color="000000" w:sz="7" w:space="0"/>
              <w:right w:val="single" w:color="FFFFFF" w:sz="6" w:space="0"/>
            </w:tcBorders>
            <w:vAlign w:val="center"/>
          </w:tcPr>
          <w:p w:rsidR="00ED0ECC" w:rsidP="00ED0ECC" w:rsidRDefault="007527B3" w14:paraId="38FFDE4A" w14:textId="69220CA9">
            <w:pPr>
              <w:pBdr>
                <w:top w:val="single" w:color="FFFFFF" w:sz="6" w:space="0"/>
                <w:left w:val="single" w:color="FFFFFF" w:sz="6" w:space="0"/>
                <w:bottom w:val="single" w:color="FFFFFF" w:sz="6" w:space="0"/>
                <w:right w:val="single" w:color="FFFFFF" w:sz="6" w:space="0"/>
              </w:pBdr>
              <w:rPr>
                <w:color w:val="000000"/>
              </w:rPr>
            </w:pPr>
            <w:r w:rsidRPr="00B04FAA">
              <w:t>8051, 8052, 8059, 8361</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ED0ECC" w:rsidP="00ED0ECC" w:rsidRDefault="00ED0ECC" w14:paraId="4BC177CF" w14:textId="60607D3A">
            <w:pPr>
              <w:pBdr>
                <w:top w:val="single" w:color="FFFFFF" w:sz="6" w:space="0"/>
                <w:left w:val="single" w:color="FFFFFF" w:sz="6" w:space="0"/>
                <w:bottom w:val="single" w:color="FFFFFF" w:sz="6" w:space="0"/>
                <w:right w:val="single" w:color="FFFFFF" w:sz="6" w:space="0"/>
              </w:pBdr>
              <w:rPr>
                <w:color w:val="000000"/>
              </w:rPr>
            </w:pPr>
            <w:r w:rsidRPr="003A15D8">
              <w:t>623</w:t>
            </w:r>
          </w:p>
        </w:tc>
      </w:tr>
      <w:tr w:rsidR="00ED0ECC" w:rsidTr="005044A8" w14:paraId="211F0F1C"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ED0ECC" w:rsidP="00ED0ECC" w:rsidRDefault="00ED0ECC" w14:paraId="462F0E44" w14:textId="3F936144">
            <w:pPr>
              <w:pBdr>
                <w:top w:val="single" w:color="FFFFFF" w:sz="6" w:space="0"/>
                <w:left w:val="single" w:color="FFFFFF" w:sz="6" w:space="0"/>
                <w:bottom w:val="single" w:color="FFFFFF" w:sz="6" w:space="0"/>
                <w:right w:val="single" w:color="FFFFFF" w:sz="6" w:space="0"/>
              </w:pBdr>
            </w:pPr>
            <w:r w:rsidRPr="00B03FD7">
              <w:t>Justice, Public Order, and Safety Activities</w:t>
            </w:r>
          </w:p>
        </w:tc>
        <w:tc>
          <w:tcPr>
            <w:tcW w:w="1710" w:type="dxa"/>
            <w:tcBorders>
              <w:top w:val="single" w:color="000000" w:sz="7" w:space="0"/>
              <w:left w:val="single" w:color="000000" w:sz="7" w:space="0"/>
              <w:bottom w:val="single" w:color="000000" w:sz="7" w:space="0"/>
              <w:right w:val="single" w:color="FFFFFF" w:sz="6" w:space="0"/>
            </w:tcBorders>
            <w:vAlign w:val="center"/>
          </w:tcPr>
          <w:p w:rsidRPr="00B03FD7" w:rsidR="00ED0ECC" w:rsidP="00ED0ECC" w:rsidRDefault="007527B3" w14:paraId="16432497" w14:textId="5A4C8C01">
            <w:pPr>
              <w:pBdr>
                <w:top w:val="single" w:color="FFFFFF" w:sz="6" w:space="0"/>
                <w:left w:val="single" w:color="FFFFFF" w:sz="6" w:space="0"/>
                <w:bottom w:val="single" w:color="FFFFFF" w:sz="6" w:space="0"/>
                <w:right w:val="single" w:color="FFFFFF" w:sz="6" w:space="0"/>
              </w:pBdr>
            </w:pPr>
            <w:r w:rsidRPr="007527B3">
              <w:t>9211, 9221, 9222, 9223, 9224, 9229, 8322</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ED0ECC" w:rsidP="00ED0ECC" w:rsidRDefault="00ED0ECC" w14:paraId="28DF7F30" w14:textId="747346A2">
            <w:pPr>
              <w:pBdr>
                <w:top w:val="single" w:color="FFFFFF" w:sz="6" w:space="0"/>
                <w:left w:val="single" w:color="FFFFFF" w:sz="6" w:space="0"/>
                <w:bottom w:val="single" w:color="FFFFFF" w:sz="6" w:space="0"/>
                <w:right w:val="single" w:color="FFFFFF" w:sz="6" w:space="0"/>
              </w:pBdr>
            </w:pPr>
            <w:r w:rsidRPr="003A15D8">
              <w:t>922</w:t>
            </w:r>
          </w:p>
        </w:tc>
      </w:tr>
      <w:tr w:rsidR="00ED0ECC" w:rsidTr="005044A8" w14:paraId="5B784B4F"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ED0ECC" w:rsidP="00ED0ECC" w:rsidRDefault="00ED0ECC" w14:paraId="28144C1D" w14:textId="30EDF4C9">
            <w:pPr>
              <w:pBdr>
                <w:top w:val="single" w:color="FFFFFF" w:sz="6" w:space="0"/>
                <w:left w:val="single" w:color="FFFFFF" w:sz="6" w:space="0"/>
                <w:bottom w:val="single" w:color="FFFFFF" w:sz="6" w:space="0"/>
                <w:right w:val="single" w:color="FFFFFF" w:sz="6" w:space="0"/>
              </w:pBdr>
            </w:pPr>
            <w:r w:rsidRPr="00B03FD7">
              <w:t>National Security and International Affairs</w:t>
            </w:r>
          </w:p>
        </w:tc>
        <w:tc>
          <w:tcPr>
            <w:tcW w:w="1710" w:type="dxa"/>
            <w:tcBorders>
              <w:top w:val="single" w:color="000000" w:sz="7" w:space="0"/>
              <w:left w:val="single" w:color="000000" w:sz="7" w:space="0"/>
              <w:bottom w:val="single" w:color="000000" w:sz="7" w:space="0"/>
              <w:right w:val="single" w:color="FFFFFF" w:sz="6" w:space="0"/>
            </w:tcBorders>
            <w:vAlign w:val="center"/>
          </w:tcPr>
          <w:p w:rsidRPr="00B03FD7" w:rsidR="00ED0ECC" w:rsidP="00ED0ECC" w:rsidRDefault="007527B3" w14:paraId="2DB8AB62" w14:textId="45A3EFAF">
            <w:pPr>
              <w:pBdr>
                <w:top w:val="single" w:color="FFFFFF" w:sz="6" w:space="0"/>
                <w:left w:val="single" w:color="FFFFFF" w:sz="6" w:space="0"/>
                <w:bottom w:val="single" w:color="FFFFFF" w:sz="6" w:space="0"/>
                <w:right w:val="single" w:color="FFFFFF" w:sz="6" w:space="0"/>
              </w:pBdr>
            </w:pPr>
            <w:r w:rsidRPr="007527B3">
              <w:t>9711, 9721</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ED0ECC" w:rsidP="00ED0ECC" w:rsidRDefault="00ED0ECC" w14:paraId="2093A6F2" w14:textId="7BB57692">
            <w:pPr>
              <w:pBdr>
                <w:top w:val="single" w:color="FFFFFF" w:sz="6" w:space="0"/>
                <w:left w:val="single" w:color="FFFFFF" w:sz="6" w:space="0"/>
                <w:bottom w:val="single" w:color="FFFFFF" w:sz="6" w:space="0"/>
                <w:right w:val="single" w:color="FFFFFF" w:sz="6" w:space="0"/>
              </w:pBdr>
            </w:pPr>
            <w:r w:rsidRPr="003A15D8">
              <w:t>928</w:t>
            </w:r>
          </w:p>
        </w:tc>
      </w:tr>
      <w:tr w:rsidR="002C527F" w:rsidTr="002C527F" w14:paraId="6A7B8184"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349DCB30" w14:textId="1F24A216">
            <w:pPr>
              <w:pBdr>
                <w:top w:val="single" w:color="FFFFFF" w:sz="6" w:space="0"/>
                <w:left w:val="single" w:color="FFFFFF" w:sz="6" w:space="0"/>
                <w:bottom w:val="single" w:color="FFFFFF" w:sz="6" w:space="0"/>
                <w:right w:val="single" w:color="FFFFFF" w:sz="6" w:space="0"/>
              </w:pBdr>
            </w:pPr>
            <w:r w:rsidRPr="00B03FD7">
              <w:t>Junior Colleges</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2488BCA4" w14:textId="3D2EE6F0">
            <w:pPr>
              <w:pBdr>
                <w:top w:val="single" w:color="FFFFFF" w:sz="6" w:space="0"/>
                <w:left w:val="single" w:color="FFFFFF" w:sz="6" w:space="0"/>
                <w:bottom w:val="single" w:color="FFFFFF" w:sz="6" w:space="0"/>
                <w:right w:val="single" w:color="FFFFFF" w:sz="6" w:space="0"/>
              </w:pBdr>
            </w:pPr>
            <w:r w:rsidRPr="00EE4166">
              <w:t>8222</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2CB9AF01" w14:textId="2F19CBC4">
            <w:pPr>
              <w:pBdr>
                <w:top w:val="single" w:color="FFFFFF" w:sz="6" w:space="0"/>
                <w:left w:val="single" w:color="FFFFFF" w:sz="6" w:space="0"/>
                <w:bottom w:val="single" w:color="FFFFFF" w:sz="6" w:space="0"/>
                <w:right w:val="single" w:color="FFFFFF" w:sz="6" w:space="0"/>
              </w:pBdr>
            </w:pPr>
            <w:r w:rsidRPr="003A15D8">
              <w:t>6112</w:t>
            </w:r>
          </w:p>
        </w:tc>
      </w:tr>
      <w:tr w:rsidR="002C527F" w:rsidTr="002C527F" w14:paraId="4599D996"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740CE2D1" w14:textId="3A3D28E2">
            <w:pPr>
              <w:pBdr>
                <w:top w:val="single" w:color="FFFFFF" w:sz="6" w:space="0"/>
                <w:left w:val="single" w:color="FFFFFF" w:sz="6" w:space="0"/>
                <w:bottom w:val="single" w:color="FFFFFF" w:sz="6" w:space="0"/>
                <w:right w:val="single" w:color="FFFFFF" w:sz="6" w:space="0"/>
              </w:pBdr>
            </w:pPr>
            <w:r w:rsidRPr="00B03FD7">
              <w:t>Colleges, Universities, and Professional Schools</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2D665FD7" w14:textId="4B5E6146">
            <w:pPr>
              <w:pBdr>
                <w:top w:val="single" w:color="FFFFFF" w:sz="6" w:space="0"/>
                <w:left w:val="single" w:color="FFFFFF" w:sz="6" w:space="0"/>
                <w:bottom w:val="single" w:color="FFFFFF" w:sz="6" w:space="0"/>
                <w:right w:val="single" w:color="FFFFFF" w:sz="6" w:space="0"/>
              </w:pBdr>
            </w:pPr>
            <w:r w:rsidRPr="00EE4166">
              <w:t>8221</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4B7794F2" w14:textId="21224645">
            <w:pPr>
              <w:pBdr>
                <w:top w:val="single" w:color="FFFFFF" w:sz="6" w:space="0"/>
                <w:left w:val="single" w:color="FFFFFF" w:sz="6" w:space="0"/>
                <w:bottom w:val="single" w:color="FFFFFF" w:sz="6" w:space="0"/>
                <w:right w:val="single" w:color="FFFFFF" w:sz="6" w:space="0"/>
              </w:pBdr>
            </w:pPr>
            <w:r w:rsidRPr="003A15D8">
              <w:t>6113</w:t>
            </w:r>
          </w:p>
        </w:tc>
      </w:tr>
      <w:tr w:rsidR="002C527F" w:rsidTr="002C527F" w14:paraId="4AC63054"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600DA09E" w14:textId="3038D7AA">
            <w:pPr>
              <w:pBdr>
                <w:top w:val="single" w:color="FFFFFF" w:sz="6" w:space="0"/>
                <w:left w:val="single" w:color="FFFFFF" w:sz="6" w:space="0"/>
                <w:bottom w:val="single" w:color="FFFFFF" w:sz="6" w:space="0"/>
                <w:right w:val="single" w:color="FFFFFF" w:sz="6" w:space="0"/>
              </w:pBdr>
            </w:pPr>
            <w:r w:rsidRPr="00B03FD7">
              <w:t>Museums, Historical Sites, and Similar Institutions</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05D7BED8" w14:textId="7EC69D55">
            <w:pPr>
              <w:pBdr>
                <w:top w:val="single" w:color="FFFFFF" w:sz="6" w:space="0"/>
                <w:left w:val="single" w:color="FFFFFF" w:sz="6" w:space="0"/>
                <w:bottom w:val="single" w:color="FFFFFF" w:sz="6" w:space="0"/>
                <w:right w:val="single" w:color="FFFFFF" w:sz="6" w:space="0"/>
              </w:pBdr>
            </w:pPr>
            <w:r w:rsidRPr="00EE4166">
              <w:t>8412, 8422, 7999</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40C11818" w14:textId="631CE801">
            <w:pPr>
              <w:pBdr>
                <w:top w:val="single" w:color="FFFFFF" w:sz="6" w:space="0"/>
                <w:left w:val="single" w:color="FFFFFF" w:sz="6" w:space="0"/>
                <w:bottom w:val="single" w:color="FFFFFF" w:sz="6" w:space="0"/>
                <w:right w:val="single" w:color="FFFFFF" w:sz="6" w:space="0"/>
              </w:pBdr>
            </w:pPr>
            <w:r w:rsidRPr="003A15D8">
              <w:t>7121</w:t>
            </w:r>
          </w:p>
        </w:tc>
      </w:tr>
      <w:tr w:rsidR="002C527F" w:rsidTr="002C527F" w14:paraId="6AAA41F6"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658ACF37" w14:textId="20B15C73">
            <w:pPr>
              <w:pBdr>
                <w:top w:val="single" w:color="FFFFFF" w:sz="6" w:space="0"/>
                <w:left w:val="single" w:color="FFFFFF" w:sz="6" w:space="0"/>
                <w:bottom w:val="single" w:color="FFFFFF" w:sz="6" w:space="0"/>
                <w:right w:val="single" w:color="FFFFFF" w:sz="6" w:space="0"/>
              </w:pBdr>
            </w:pPr>
            <w:r w:rsidRPr="00B03FD7">
              <w:t>Religious Organizations</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193C4ECB" w14:textId="248EBD18">
            <w:pPr>
              <w:pBdr>
                <w:top w:val="single" w:color="FFFFFF" w:sz="6" w:space="0"/>
                <w:left w:val="single" w:color="FFFFFF" w:sz="6" w:space="0"/>
                <w:bottom w:val="single" w:color="FFFFFF" w:sz="6" w:space="0"/>
                <w:right w:val="single" w:color="FFFFFF" w:sz="6" w:space="0"/>
              </w:pBdr>
            </w:pPr>
            <w:r w:rsidRPr="00EE4166">
              <w:t>8661</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39A7851B" w14:textId="2B074B76">
            <w:pPr>
              <w:pBdr>
                <w:top w:val="single" w:color="FFFFFF" w:sz="6" w:space="0"/>
                <w:left w:val="single" w:color="FFFFFF" w:sz="6" w:space="0"/>
                <w:bottom w:val="single" w:color="FFFFFF" w:sz="6" w:space="0"/>
                <w:right w:val="single" w:color="FFFFFF" w:sz="6" w:space="0"/>
              </w:pBdr>
            </w:pPr>
            <w:r w:rsidRPr="003A15D8">
              <w:t>8131</w:t>
            </w:r>
          </w:p>
        </w:tc>
      </w:tr>
      <w:tr w:rsidR="002C527F" w:rsidTr="002C527F" w14:paraId="6A2CC6D9"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5002E269" w14:textId="52D56240">
            <w:pPr>
              <w:pBdr>
                <w:top w:val="single" w:color="FFFFFF" w:sz="6" w:space="0"/>
                <w:left w:val="single" w:color="FFFFFF" w:sz="6" w:space="0"/>
                <w:bottom w:val="single" w:color="FFFFFF" w:sz="6" w:space="0"/>
                <w:right w:val="single" w:color="FFFFFF" w:sz="6" w:space="0"/>
              </w:pBdr>
            </w:pPr>
            <w:r w:rsidRPr="00B03FD7">
              <w:t>Civic and Social Organizations</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19B4BE4C" w14:textId="12F8F4E6">
            <w:pPr>
              <w:pBdr>
                <w:top w:val="single" w:color="FFFFFF" w:sz="6" w:space="0"/>
                <w:left w:val="single" w:color="FFFFFF" w:sz="6" w:space="0"/>
                <w:bottom w:val="single" w:color="FFFFFF" w:sz="6" w:space="0"/>
                <w:right w:val="single" w:color="FFFFFF" w:sz="6" w:space="0"/>
              </w:pBdr>
            </w:pPr>
            <w:r w:rsidRPr="00EE4166">
              <w:t>8641, 8699</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45F52F84" w14:textId="7873DC6E">
            <w:pPr>
              <w:pBdr>
                <w:top w:val="single" w:color="FFFFFF" w:sz="6" w:space="0"/>
                <w:left w:val="single" w:color="FFFFFF" w:sz="6" w:space="0"/>
                <w:bottom w:val="single" w:color="FFFFFF" w:sz="6" w:space="0"/>
                <w:right w:val="single" w:color="FFFFFF" w:sz="6" w:space="0"/>
              </w:pBdr>
            </w:pPr>
            <w:r w:rsidRPr="003A15D8">
              <w:t>8134</w:t>
            </w:r>
          </w:p>
        </w:tc>
      </w:tr>
      <w:tr w:rsidR="002C527F" w:rsidTr="002C527F" w14:paraId="3587DE46"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16028507" w14:textId="5B03AAE2">
            <w:pPr>
              <w:pBdr>
                <w:top w:val="single" w:color="FFFFFF" w:sz="6" w:space="0"/>
                <w:left w:val="single" w:color="FFFFFF" w:sz="6" w:space="0"/>
                <w:bottom w:val="single" w:color="FFFFFF" w:sz="6" w:space="0"/>
                <w:right w:val="single" w:color="FFFFFF" w:sz="6" w:space="0"/>
              </w:pBdr>
            </w:pPr>
            <w:r w:rsidRPr="00A9256C">
              <w:t>Support Activities for Air Transportation</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79B616DC" w14:textId="73D7D15A">
            <w:pPr>
              <w:pBdr>
                <w:top w:val="single" w:color="FFFFFF" w:sz="6" w:space="0"/>
                <w:left w:val="single" w:color="FFFFFF" w:sz="6" w:space="0"/>
                <w:bottom w:val="single" w:color="FFFFFF" w:sz="6" w:space="0"/>
                <w:right w:val="single" w:color="FFFFFF" w:sz="6" w:space="0"/>
              </w:pBdr>
            </w:pPr>
            <w:r w:rsidRPr="00EE4166">
              <w:t>4851, 4959, 7997, 9621</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5997F466" w14:textId="505A4DC8">
            <w:pPr>
              <w:pBdr>
                <w:top w:val="single" w:color="FFFFFF" w:sz="6" w:space="0"/>
                <w:left w:val="single" w:color="FFFFFF" w:sz="6" w:space="0"/>
                <w:bottom w:val="single" w:color="FFFFFF" w:sz="6" w:space="0"/>
                <w:right w:val="single" w:color="FFFFFF" w:sz="6" w:space="0"/>
              </w:pBdr>
            </w:pPr>
            <w:r w:rsidRPr="003A15D8">
              <w:t>4881</w:t>
            </w:r>
          </w:p>
        </w:tc>
      </w:tr>
      <w:tr w:rsidR="002C527F" w:rsidTr="002C527F" w14:paraId="0AB25C71"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3A15235E" w14:textId="2259E000">
            <w:pPr>
              <w:pBdr>
                <w:top w:val="single" w:color="FFFFFF" w:sz="6" w:space="0"/>
                <w:left w:val="single" w:color="FFFFFF" w:sz="6" w:space="0"/>
                <w:bottom w:val="single" w:color="FFFFFF" w:sz="6" w:space="0"/>
                <w:right w:val="single" w:color="FFFFFF" w:sz="6" w:space="0"/>
              </w:pBdr>
            </w:pPr>
            <w:r w:rsidRPr="003A15D8">
              <w:t>Fishing, hunting and trapping</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57FA9ED2" w14:textId="39875392">
            <w:pPr>
              <w:pBdr>
                <w:top w:val="single" w:color="FFFFFF" w:sz="6" w:space="0"/>
                <w:left w:val="single" w:color="FFFFFF" w:sz="6" w:space="0"/>
                <w:bottom w:val="single" w:color="FFFFFF" w:sz="6" w:space="0"/>
                <w:right w:val="single" w:color="FFFFFF" w:sz="6" w:space="0"/>
              </w:pBdr>
            </w:pPr>
            <w:r w:rsidRPr="00EE4166">
              <w:t>0912, 0913, 0913, 0971</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44ABB7AE" w14:textId="4C75DC93">
            <w:pPr>
              <w:pBdr>
                <w:top w:val="single" w:color="FFFFFF" w:sz="6" w:space="0"/>
                <w:left w:val="single" w:color="FFFFFF" w:sz="6" w:space="0"/>
                <w:bottom w:val="single" w:color="FFFFFF" w:sz="6" w:space="0"/>
                <w:right w:val="single" w:color="FFFFFF" w:sz="6" w:space="0"/>
              </w:pBdr>
            </w:pPr>
            <w:r w:rsidRPr="003A15D8">
              <w:t>114</w:t>
            </w:r>
          </w:p>
        </w:tc>
      </w:tr>
      <w:tr w:rsidR="002C527F" w:rsidTr="002C527F" w14:paraId="055A84CF"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7EF2B520" w14:textId="24FA1403">
            <w:pPr>
              <w:pBdr>
                <w:top w:val="single" w:color="FFFFFF" w:sz="6" w:space="0"/>
                <w:left w:val="single" w:color="FFFFFF" w:sz="6" w:space="0"/>
                <w:bottom w:val="single" w:color="FFFFFF" w:sz="6" w:space="0"/>
                <w:right w:val="single" w:color="FFFFFF" w:sz="6" w:space="0"/>
              </w:pBdr>
            </w:pPr>
            <w:r w:rsidRPr="003A15D8">
              <w:t>Oil and Gas Extraction</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401B8FC0" w14:textId="179DD4D8">
            <w:pPr>
              <w:pBdr>
                <w:top w:val="single" w:color="FFFFFF" w:sz="6" w:space="0"/>
                <w:left w:val="single" w:color="FFFFFF" w:sz="6" w:space="0"/>
                <w:bottom w:val="single" w:color="FFFFFF" w:sz="6" w:space="0"/>
                <w:right w:val="single" w:color="FFFFFF" w:sz="6" w:space="0"/>
              </w:pBdr>
            </w:pPr>
            <w:r w:rsidRPr="00EE4166">
              <w:t>1311, 1321, 2819</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7C668DCA" w14:textId="6399C56D">
            <w:pPr>
              <w:pBdr>
                <w:top w:val="single" w:color="FFFFFF" w:sz="6" w:space="0"/>
                <w:left w:val="single" w:color="FFFFFF" w:sz="6" w:space="0"/>
                <w:bottom w:val="single" w:color="FFFFFF" w:sz="6" w:space="0"/>
                <w:right w:val="single" w:color="FFFFFF" w:sz="6" w:space="0"/>
              </w:pBdr>
            </w:pPr>
            <w:r w:rsidRPr="003A15D8">
              <w:t>211</w:t>
            </w:r>
          </w:p>
        </w:tc>
      </w:tr>
      <w:tr w:rsidR="002C527F" w:rsidTr="002C527F" w14:paraId="4E47610C"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1F3BB1B3" w14:textId="3B6E58B7">
            <w:pPr>
              <w:pBdr>
                <w:top w:val="single" w:color="FFFFFF" w:sz="6" w:space="0"/>
                <w:left w:val="single" w:color="FFFFFF" w:sz="6" w:space="0"/>
                <w:bottom w:val="single" w:color="FFFFFF" w:sz="6" w:space="0"/>
                <w:right w:val="single" w:color="FFFFFF" w:sz="6" w:space="0"/>
              </w:pBdr>
            </w:pPr>
            <w:r>
              <w:t>Mining</w:t>
            </w:r>
            <w:r w:rsidRPr="002C527F">
              <w:rPr>
                <w:vertAlign w:val="superscript"/>
              </w:rPr>
              <w:t>1</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501CEFAD" w14:textId="1CFB1CEA">
            <w:pPr>
              <w:pBdr>
                <w:top w:val="single" w:color="FFFFFF" w:sz="6" w:space="0"/>
                <w:left w:val="single" w:color="FFFFFF" w:sz="6" w:space="0"/>
                <w:bottom w:val="single" w:color="FFFFFF" w:sz="6" w:space="0"/>
                <w:right w:val="single" w:color="FFFFFF" w:sz="6" w:space="0"/>
              </w:pBdr>
            </w:pPr>
            <w:r w:rsidRPr="00EE4166">
              <w:t>10, 12, 14</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01239CEA" w14:textId="0DF69078">
            <w:pPr>
              <w:pBdr>
                <w:top w:val="single" w:color="FFFFFF" w:sz="6" w:space="0"/>
                <w:left w:val="single" w:color="FFFFFF" w:sz="6" w:space="0"/>
                <w:bottom w:val="single" w:color="FFFFFF" w:sz="6" w:space="0"/>
                <w:right w:val="single" w:color="FFFFFF" w:sz="6" w:space="0"/>
              </w:pBdr>
            </w:pPr>
            <w:r w:rsidRPr="003A15D8">
              <w:t>212</w:t>
            </w:r>
          </w:p>
        </w:tc>
      </w:tr>
      <w:tr w:rsidR="002C527F" w:rsidTr="002C527F" w14:paraId="3989D980"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4A03821B" w14:textId="134E3E06">
            <w:pPr>
              <w:pBdr>
                <w:top w:val="single" w:color="FFFFFF" w:sz="6" w:space="0"/>
                <w:left w:val="single" w:color="FFFFFF" w:sz="6" w:space="0"/>
                <w:bottom w:val="single" w:color="FFFFFF" w:sz="6" w:space="0"/>
                <w:right w:val="single" w:color="FFFFFF" w:sz="6" w:space="0"/>
              </w:pBdr>
            </w:pPr>
            <w:r>
              <w:t>Utilities</w:t>
            </w:r>
            <w:r w:rsidRPr="002C527F">
              <w:rPr>
                <w:vertAlign w:val="superscript"/>
              </w:rPr>
              <w:t>1</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03A30FB1" w14:textId="68910A8E">
            <w:pPr>
              <w:pBdr>
                <w:top w:val="single" w:color="FFFFFF" w:sz="6" w:space="0"/>
                <w:left w:val="single" w:color="FFFFFF" w:sz="6" w:space="0"/>
                <w:bottom w:val="single" w:color="FFFFFF" w:sz="6" w:space="0"/>
                <w:right w:val="single" w:color="FFFFFF" w:sz="6" w:space="0"/>
              </w:pBdr>
            </w:pPr>
            <w:r w:rsidRPr="00EE4166">
              <w:t>49</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219DB086" w14:textId="725C7EC2">
            <w:pPr>
              <w:pBdr>
                <w:top w:val="single" w:color="FFFFFF" w:sz="6" w:space="0"/>
                <w:left w:val="single" w:color="FFFFFF" w:sz="6" w:space="0"/>
                <w:bottom w:val="single" w:color="FFFFFF" w:sz="6" w:space="0"/>
                <w:right w:val="single" w:color="FFFFFF" w:sz="6" w:space="0"/>
              </w:pBdr>
            </w:pPr>
            <w:r w:rsidRPr="003A15D8">
              <w:t>221</w:t>
            </w:r>
          </w:p>
        </w:tc>
      </w:tr>
      <w:tr w:rsidR="002C527F" w:rsidTr="002C527F" w14:paraId="6ADB62A2" w14:textId="77777777">
        <w:tc>
          <w:tcPr>
            <w:tcW w:w="477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721EB9FC" w14:textId="1C3C3318">
            <w:pPr>
              <w:pBdr>
                <w:top w:val="single" w:color="FFFFFF" w:sz="6" w:space="0"/>
                <w:left w:val="single" w:color="FFFFFF" w:sz="6" w:space="0"/>
                <w:bottom w:val="single" w:color="FFFFFF" w:sz="6" w:space="0"/>
                <w:right w:val="single" w:color="FFFFFF" w:sz="6" w:space="0"/>
              </w:pBdr>
            </w:pPr>
            <w:r w:rsidRPr="003A15D8">
              <w:t>Pipeline Transportation of Crude Oil</w:t>
            </w:r>
          </w:p>
        </w:tc>
        <w:tc>
          <w:tcPr>
            <w:tcW w:w="1710" w:type="dxa"/>
            <w:tcBorders>
              <w:top w:val="single" w:color="000000" w:sz="7" w:space="0"/>
              <w:left w:val="single" w:color="000000" w:sz="7" w:space="0"/>
              <w:bottom w:val="single" w:color="000000" w:sz="7" w:space="0"/>
              <w:right w:val="single" w:color="FFFFFF" w:sz="6" w:space="0"/>
            </w:tcBorders>
          </w:tcPr>
          <w:p w:rsidRPr="00B03FD7" w:rsidR="002C527F" w:rsidP="002C527F" w:rsidRDefault="002C527F" w14:paraId="1FD1EFD6" w14:textId="1F4EE9B7">
            <w:pPr>
              <w:pBdr>
                <w:top w:val="single" w:color="FFFFFF" w:sz="6" w:space="0"/>
                <w:left w:val="single" w:color="FFFFFF" w:sz="6" w:space="0"/>
                <w:bottom w:val="single" w:color="FFFFFF" w:sz="6" w:space="0"/>
                <w:right w:val="single" w:color="FFFFFF" w:sz="6" w:space="0"/>
              </w:pBdr>
            </w:pPr>
            <w:r w:rsidRPr="00EE4166">
              <w:t>4612, 4922, 4923, 4613, 4619</w:t>
            </w:r>
          </w:p>
        </w:tc>
        <w:tc>
          <w:tcPr>
            <w:tcW w:w="1800" w:type="dxa"/>
            <w:tcBorders>
              <w:top w:val="single" w:color="000000" w:sz="7" w:space="0"/>
              <w:left w:val="single" w:color="000000" w:sz="7" w:space="0"/>
              <w:bottom w:val="single" w:color="000000" w:sz="7" w:space="0"/>
              <w:right w:val="single" w:color="000000" w:sz="7" w:space="0"/>
            </w:tcBorders>
            <w:vAlign w:val="center"/>
          </w:tcPr>
          <w:p w:rsidRPr="003A15D8" w:rsidR="002C527F" w:rsidP="002C527F" w:rsidRDefault="002C527F" w14:paraId="53EA9ED0" w14:textId="306604D6">
            <w:pPr>
              <w:pBdr>
                <w:top w:val="single" w:color="FFFFFF" w:sz="6" w:space="0"/>
                <w:left w:val="single" w:color="FFFFFF" w:sz="6" w:space="0"/>
                <w:bottom w:val="single" w:color="FFFFFF" w:sz="6" w:space="0"/>
                <w:right w:val="single" w:color="FFFFFF" w:sz="6" w:space="0"/>
              </w:pBdr>
            </w:pPr>
            <w:r w:rsidRPr="003A15D8">
              <w:t>486</w:t>
            </w:r>
          </w:p>
        </w:tc>
      </w:tr>
    </w:tbl>
    <w:bookmarkEnd w:id="0"/>
    <w:p w:rsidRPr="004A4C6C" w:rsidR="008E776F" w:rsidP="008E776F" w:rsidRDefault="008E776F" w14:paraId="2597C7AD" w14:textId="77777777">
      <w:pPr>
        <w:pBdr>
          <w:top w:val="single" w:color="FFFFFF" w:sz="6" w:space="0"/>
          <w:left w:val="single" w:color="FFFFFF" w:sz="6" w:space="0"/>
          <w:bottom w:val="single" w:color="FFFFFF" w:sz="6" w:space="0"/>
          <w:right w:val="single" w:color="FFFFFF" w:sz="6" w:space="0"/>
        </w:pBdr>
        <w:rPr>
          <w:color w:val="000000"/>
        </w:rPr>
      </w:pPr>
      <w:r w:rsidRPr="004A4C6C">
        <w:rPr>
          <w:color w:val="000000"/>
          <w:vertAlign w:val="superscript"/>
        </w:rPr>
        <w:t>1</w:t>
      </w:r>
      <w:r>
        <w:rPr>
          <w:color w:val="000000"/>
        </w:rPr>
        <w:t>There are many relevant 4-digit SIC codes that begin with the 2-digit SIC codes shown.</w:t>
      </w:r>
    </w:p>
    <w:p w:rsidR="00CA4CD6" w:rsidRDefault="00CA4CD6" w14:paraId="14C00FFB" w14:textId="3EC9C2D5">
      <w:pPr>
        <w:pBdr>
          <w:top w:val="single" w:color="FFFFFF" w:sz="6" w:space="0"/>
          <w:left w:val="single" w:color="FFFFFF" w:sz="6" w:space="0"/>
          <w:bottom w:val="single" w:color="FFFFFF" w:sz="6" w:space="0"/>
          <w:right w:val="single" w:color="FFFFFF" w:sz="6" w:space="0"/>
        </w:pBdr>
        <w:rPr>
          <w:color w:val="000000"/>
        </w:rPr>
      </w:pP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ED0ECC" w:rsidR="00CA4CD6" w:rsidP="00ED0ECC" w:rsidRDefault="00CA4CD6" w14:paraId="417133C3" w14:textId="15054F86">
      <w:pPr>
        <w:pBdr>
          <w:top w:val="single" w:color="FFFFFF" w:sz="6" w:space="0"/>
          <w:left w:val="single" w:color="FFFFFF" w:sz="6" w:space="0"/>
          <w:bottom w:val="single" w:color="FFFFFF" w:sz="6" w:space="0"/>
          <w:right w:val="single" w:color="FFFFFF" w:sz="6" w:space="0"/>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rsidR="00ED0ECC" w:rsidP="00ED0ECC" w:rsidRDefault="00ED0ECC" w14:paraId="07C87C5C"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ED0ECC" w:rsidRDefault="00817E8B" w14:paraId="204513B5" w14:textId="7EBABFFD">
      <w:pPr>
        <w:pBdr>
          <w:top w:val="single" w:color="FFFFFF" w:sz="6" w:space="0"/>
          <w:left w:val="single" w:color="FFFFFF" w:sz="6" w:space="0"/>
          <w:bottom w:val="single" w:color="FFFFFF" w:sz="6" w:space="0"/>
          <w:right w:val="single" w:color="FFFFFF" w:sz="6" w:space="0"/>
        </w:pBdr>
        <w:ind w:firstLine="720"/>
        <w:rPr>
          <w:bCs/>
        </w:rPr>
      </w:pPr>
      <w:r>
        <w:rPr>
          <w:color w:val="000000"/>
        </w:rPr>
        <w:lastRenderedPageBreak/>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Pr="003B7911" w:rsidR="00233F0F">
        <w:t>the</w:t>
      </w:r>
      <w:r w:rsidRPr="003B7911" w:rsidR="00CA4CD6">
        <w:t xml:space="preserve"> </w:t>
      </w:r>
      <w:r w:rsidRPr="003B7911" w:rsidR="00ED0ECC">
        <w:rPr>
          <w:bCs/>
        </w:rPr>
        <w:t>N</w:t>
      </w:r>
      <w:r w:rsidRPr="0022407A" w:rsidR="00ED0ECC">
        <w:rPr>
          <w:bCs/>
        </w:rPr>
        <w:t>SPS for Other Solid Waste Incineration Units (40 CFR Part 60, Subpart EEEE)</w:t>
      </w:r>
      <w:r w:rsidR="003B7911">
        <w:rPr>
          <w:bCs/>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7013"/>
        <w:gridCol w:w="2338"/>
        <w:gridCol w:w="9"/>
      </w:tblGrid>
      <w:tr w:rsidRPr="00CF2B37" w:rsidR="00A73600" w:rsidTr="005643A3" w14:paraId="57118738" w14:textId="77777777">
        <w:trPr>
          <w:tblHeader/>
          <w:jc w:val="center"/>
        </w:trPr>
        <w:tc>
          <w:tcPr>
            <w:tcW w:w="9360" w:type="dxa"/>
            <w:gridSpan w:val="3"/>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ED0ECC" w:rsidTr="005643A3" w14:paraId="3C77EC7A" w14:textId="77777777">
        <w:trPr>
          <w:jc w:val="center"/>
        </w:trPr>
        <w:tc>
          <w:tcPr>
            <w:tcW w:w="7020" w:type="dxa"/>
          </w:tcPr>
          <w:p w:rsidRPr="00CF2B37" w:rsidR="00ED0ECC" w:rsidP="00ED0ECC" w:rsidRDefault="00ED0ECC" w14:paraId="567D45F6" w14:textId="69112F12">
            <w:pPr>
              <w:pBdr>
                <w:top w:val="single" w:color="FFFFFF" w:sz="6" w:space="0"/>
                <w:left w:val="single" w:color="FFFFFF" w:sz="6" w:space="0"/>
                <w:bottom w:val="single" w:color="FFFFFF" w:sz="6" w:space="0"/>
                <w:right w:val="single" w:color="FFFFFF" w:sz="6" w:space="0"/>
              </w:pBdr>
              <w:spacing w:after="58"/>
            </w:pPr>
            <w:r w:rsidRPr="00B03FD7">
              <w:t>Notification to commence construction</w:t>
            </w:r>
          </w:p>
        </w:tc>
        <w:tc>
          <w:tcPr>
            <w:tcW w:w="2340" w:type="dxa"/>
            <w:gridSpan w:val="2"/>
          </w:tcPr>
          <w:p w:rsidR="00077E3A" w:rsidP="00ED0ECC" w:rsidRDefault="003D5AAD" w14:paraId="65995F77" w14:textId="77777777">
            <w:pPr>
              <w:pBdr>
                <w:top w:val="single" w:color="FFFFFF" w:sz="6" w:space="0"/>
                <w:left w:val="single" w:color="FFFFFF" w:sz="6" w:space="0"/>
                <w:bottom w:val="single" w:color="FFFFFF" w:sz="6" w:space="0"/>
                <w:right w:val="single" w:color="FFFFFF" w:sz="6" w:space="0"/>
              </w:pBdr>
              <w:spacing w:after="58"/>
            </w:pPr>
            <w:r>
              <w:t>§§</w:t>
            </w:r>
            <w:r w:rsidRPr="00B03FD7" w:rsidR="00ED0ECC">
              <w:t>60.2952(a)-(e)</w:t>
            </w:r>
            <w:r w:rsidR="00077E3A">
              <w:t xml:space="preserve">, </w:t>
            </w:r>
          </w:p>
          <w:p w:rsidRPr="00CF2B37" w:rsidR="00ED0ECC" w:rsidP="00ED0ECC" w:rsidRDefault="00077E3A" w14:paraId="1EF1C74F" w14:textId="47F05343">
            <w:pPr>
              <w:pBdr>
                <w:top w:val="single" w:color="FFFFFF" w:sz="6" w:space="0"/>
                <w:left w:val="single" w:color="FFFFFF" w:sz="6" w:space="0"/>
                <w:bottom w:val="single" w:color="FFFFFF" w:sz="6" w:space="0"/>
                <w:right w:val="single" w:color="FFFFFF" w:sz="6" w:space="0"/>
              </w:pBdr>
              <w:spacing w:after="58"/>
            </w:pPr>
            <w:r>
              <w:t>§60.2960</w:t>
            </w:r>
          </w:p>
        </w:tc>
      </w:tr>
      <w:tr w:rsidRPr="00CF2B37" w:rsidR="00ED0ECC" w:rsidTr="005643A3" w14:paraId="74DBFC89" w14:textId="77777777">
        <w:trPr>
          <w:jc w:val="center"/>
        </w:trPr>
        <w:tc>
          <w:tcPr>
            <w:tcW w:w="7020" w:type="dxa"/>
          </w:tcPr>
          <w:p w:rsidRPr="00CF2B37" w:rsidR="00ED0ECC" w:rsidP="00ED0ECC" w:rsidRDefault="00ED0ECC" w14:paraId="5FB7E8CC" w14:textId="010CF7A2">
            <w:pPr>
              <w:pBdr>
                <w:top w:val="single" w:color="FFFFFF" w:sz="6" w:space="0"/>
                <w:left w:val="single" w:color="FFFFFF" w:sz="6" w:space="0"/>
                <w:bottom w:val="single" w:color="FFFFFF" w:sz="6" w:space="0"/>
                <w:right w:val="single" w:color="FFFFFF" w:sz="6" w:space="0"/>
              </w:pBdr>
              <w:spacing w:after="58"/>
            </w:pPr>
            <w:r w:rsidRPr="00B03FD7">
              <w:t>Notification of initial startup</w:t>
            </w:r>
          </w:p>
        </w:tc>
        <w:tc>
          <w:tcPr>
            <w:tcW w:w="2340" w:type="dxa"/>
            <w:gridSpan w:val="2"/>
          </w:tcPr>
          <w:p w:rsidRPr="00CF2B37" w:rsidR="00ED0ECC" w:rsidP="00ED0ECC" w:rsidRDefault="003D5AAD" w14:paraId="2D6ACA34" w14:textId="55C0F06E">
            <w:pPr>
              <w:pBdr>
                <w:top w:val="single" w:color="FFFFFF" w:sz="6" w:space="0"/>
                <w:left w:val="single" w:color="FFFFFF" w:sz="6" w:space="0"/>
                <w:bottom w:val="single" w:color="FFFFFF" w:sz="6" w:space="0"/>
                <w:right w:val="single" w:color="FFFFFF" w:sz="6" w:space="0"/>
              </w:pBdr>
              <w:spacing w:after="58"/>
            </w:pPr>
            <w:r>
              <w:t>§</w:t>
            </w:r>
            <w:r w:rsidRPr="00B03FD7" w:rsidR="00ED0ECC">
              <w:t>60.2953</w:t>
            </w:r>
          </w:p>
        </w:tc>
      </w:tr>
      <w:tr w:rsidRPr="00CF2B37" w:rsidR="00ED0ECC" w:rsidTr="005643A3" w14:paraId="1357996C" w14:textId="77777777">
        <w:trPr>
          <w:gridAfter w:val="1"/>
          <w:wAfter w:w="9" w:type="dxa"/>
          <w:jc w:val="center"/>
        </w:trPr>
        <w:tc>
          <w:tcPr>
            <w:tcW w:w="7020" w:type="dxa"/>
          </w:tcPr>
          <w:p w:rsidRPr="00CF2B37" w:rsidR="00ED0ECC" w:rsidP="00ED0ECC" w:rsidRDefault="00ED0ECC" w14:paraId="36741732" w14:textId="2446DC84">
            <w:pPr>
              <w:pBdr>
                <w:top w:val="single" w:color="FFFFFF" w:sz="6" w:space="0"/>
                <w:left w:val="single" w:color="FFFFFF" w:sz="6" w:space="0"/>
                <w:bottom w:val="single" w:color="FFFFFF" w:sz="6" w:space="0"/>
                <w:right w:val="single" w:color="FFFFFF" w:sz="6" w:space="0"/>
              </w:pBdr>
              <w:spacing w:after="58"/>
            </w:pPr>
            <w:r w:rsidRPr="00B03FD7">
              <w:t xml:space="preserve">Notification of </w:t>
            </w:r>
            <w:r>
              <w:t xml:space="preserve">qualified operator </w:t>
            </w:r>
            <w:r w:rsidRPr="00B03FD7">
              <w:t>deviation</w:t>
            </w:r>
          </w:p>
        </w:tc>
        <w:tc>
          <w:tcPr>
            <w:tcW w:w="2340" w:type="dxa"/>
          </w:tcPr>
          <w:p w:rsidRPr="00CF2B37" w:rsidR="00ED0ECC" w:rsidP="00ED0ECC" w:rsidRDefault="003D5AAD" w14:paraId="1EAAA3B8" w14:textId="0DE07DB1">
            <w:pPr>
              <w:pBdr>
                <w:top w:val="single" w:color="FFFFFF" w:sz="6" w:space="0"/>
                <w:left w:val="single" w:color="FFFFFF" w:sz="6" w:space="0"/>
                <w:bottom w:val="single" w:color="FFFFFF" w:sz="6" w:space="0"/>
                <w:right w:val="single" w:color="FFFFFF" w:sz="6" w:space="0"/>
              </w:pBdr>
              <w:spacing w:after="58"/>
            </w:pPr>
            <w:r>
              <w:t>§</w:t>
            </w:r>
            <w:r w:rsidRPr="00B03FD7" w:rsidR="00ED0ECC">
              <w:t>60.2959(a)(1)</w:t>
            </w:r>
          </w:p>
        </w:tc>
      </w:tr>
      <w:tr w:rsidRPr="00CF2B37" w:rsidR="00ED0ECC" w:rsidTr="005643A3" w14:paraId="082A3A3E" w14:textId="77777777">
        <w:trPr>
          <w:gridAfter w:val="1"/>
          <w:wAfter w:w="9" w:type="dxa"/>
          <w:jc w:val="center"/>
        </w:trPr>
        <w:tc>
          <w:tcPr>
            <w:tcW w:w="7020" w:type="dxa"/>
          </w:tcPr>
          <w:p w:rsidRPr="00CF2B37" w:rsidR="00ED0ECC" w:rsidP="00ED0ECC" w:rsidRDefault="00ED0ECC" w14:paraId="22A573F7" w14:textId="3C98E653">
            <w:pPr>
              <w:pBdr>
                <w:top w:val="single" w:color="FFFFFF" w:sz="6" w:space="0"/>
                <w:left w:val="single" w:color="FFFFFF" w:sz="6" w:space="0"/>
                <w:bottom w:val="single" w:color="FFFFFF" w:sz="6" w:space="0"/>
                <w:right w:val="single" w:color="FFFFFF" w:sz="6" w:space="0"/>
              </w:pBdr>
              <w:spacing w:after="58"/>
            </w:pPr>
            <w:r w:rsidRPr="00B03FD7">
              <w:t>Notification of resumed operation</w:t>
            </w:r>
          </w:p>
        </w:tc>
        <w:tc>
          <w:tcPr>
            <w:tcW w:w="2340" w:type="dxa"/>
          </w:tcPr>
          <w:p w:rsidRPr="00CF2B37" w:rsidR="00ED0ECC" w:rsidP="00ED0ECC" w:rsidRDefault="003D5AAD" w14:paraId="405E9941" w14:textId="65C89B59">
            <w:pPr>
              <w:pBdr>
                <w:top w:val="single" w:color="FFFFFF" w:sz="6" w:space="0"/>
                <w:left w:val="single" w:color="FFFFFF" w:sz="6" w:space="0"/>
                <w:bottom w:val="single" w:color="FFFFFF" w:sz="6" w:space="0"/>
                <w:right w:val="single" w:color="FFFFFF" w:sz="6" w:space="0"/>
              </w:pBdr>
              <w:spacing w:after="58"/>
            </w:pPr>
            <w:r>
              <w:t>§</w:t>
            </w:r>
            <w:r w:rsidRPr="00B03FD7" w:rsidR="00ED0ECC">
              <w:t>60.2959(b)</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ED0ECC"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ED0ECC" w:rsidTr="00ED0ECC" w14:paraId="46D42E1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ED0ECC" w:rsidP="00ED0ECC" w:rsidRDefault="00ED0ECC" w14:paraId="4930BE0A" w14:textId="614C5D32">
            <w:pPr>
              <w:pBdr>
                <w:top w:val="single" w:color="FFFFFF" w:sz="6" w:space="0"/>
                <w:left w:val="single" w:color="FFFFFF" w:sz="6" w:space="0"/>
                <w:bottom w:val="single" w:color="FFFFFF" w:sz="6" w:space="0"/>
                <w:right w:val="single" w:color="FFFFFF" w:sz="6" w:space="0"/>
              </w:pBdr>
              <w:spacing w:after="58"/>
            </w:pPr>
            <w:r>
              <w:t>Pre-construction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ED0ECC" w:rsidP="00ED0ECC" w:rsidRDefault="003D5AAD" w14:paraId="6DF7646A" w14:textId="26C8F671">
            <w:pPr>
              <w:pBdr>
                <w:top w:val="single" w:color="FFFFFF" w:sz="6" w:space="0"/>
                <w:left w:val="single" w:color="FFFFFF" w:sz="6" w:space="0"/>
                <w:bottom w:val="single" w:color="FFFFFF" w:sz="6" w:space="0"/>
                <w:right w:val="single" w:color="FFFFFF" w:sz="6" w:space="0"/>
              </w:pBdr>
              <w:spacing w:after="58"/>
            </w:pPr>
            <w:r>
              <w:t>§</w:t>
            </w:r>
            <w:r w:rsidR="00ED0ECC">
              <w:t>60.2952</w:t>
            </w:r>
          </w:p>
        </w:tc>
      </w:tr>
      <w:tr w:rsidRPr="00CF2B37" w:rsidR="00ED0ECC" w:rsidTr="00ED0ECC"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ED0ECC" w:rsidP="00ED0ECC" w:rsidRDefault="00ED0ECC" w14:paraId="54F924A9" w14:textId="23F8BD2B">
            <w:pPr>
              <w:pBdr>
                <w:top w:val="single" w:color="FFFFFF" w:sz="6" w:space="0"/>
                <w:left w:val="single" w:color="FFFFFF" w:sz="6" w:space="0"/>
                <w:bottom w:val="single" w:color="FFFFFF" w:sz="6" w:space="0"/>
                <w:right w:val="single" w:color="FFFFFF" w:sz="6" w:space="0"/>
              </w:pBdr>
              <w:spacing w:after="58"/>
            </w:pPr>
            <w:r>
              <w:t>Initial test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ED0ECC" w:rsidP="00ED0ECC" w:rsidRDefault="003D5AAD" w14:paraId="75004E58" w14:textId="2613F5FA">
            <w:pPr>
              <w:pBdr>
                <w:top w:val="single" w:color="FFFFFF" w:sz="6" w:space="0"/>
                <w:left w:val="single" w:color="FFFFFF" w:sz="6" w:space="0"/>
                <w:bottom w:val="single" w:color="FFFFFF" w:sz="6" w:space="0"/>
                <w:right w:val="single" w:color="FFFFFF" w:sz="6" w:space="0"/>
              </w:pBdr>
              <w:spacing w:after="58"/>
            </w:pPr>
            <w:r>
              <w:t>§</w:t>
            </w:r>
            <w:r w:rsidR="00ED0ECC">
              <w:t>60.2954</w:t>
            </w:r>
          </w:p>
        </w:tc>
      </w:tr>
      <w:tr w:rsidRPr="00CF2B37" w:rsidR="00ED0ECC" w:rsidTr="00ED0ECC" w14:paraId="1B825826"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ED0ECC" w:rsidP="00ED0ECC" w:rsidRDefault="00ED0ECC" w14:paraId="1D1773ED" w14:textId="30B10037">
            <w:pPr>
              <w:pBdr>
                <w:top w:val="single" w:color="FFFFFF" w:sz="6" w:space="0"/>
                <w:left w:val="single" w:color="FFFFFF" w:sz="6" w:space="0"/>
                <w:bottom w:val="single" w:color="FFFFFF" w:sz="6" w:space="0"/>
                <w:right w:val="single" w:color="FFFFFF" w:sz="6" w:space="0"/>
              </w:pBdr>
              <w:spacing w:after="58"/>
            </w:pPr>
            <w:r>
              <w:t>Annual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ED0ECC" w:rsidP="00ED0ECC" w:rsidRDefault="003D5AAD" w14:paraId="27C71521" w14:textId="6FDB147E">
            <w:pPr>
              <w:pBdr>
                <w:top w:val="single" w:color="FFFFFF" w:sz="6" w:space="0"/>
                <w:left w:val="single" w:color="FFFFFF" w:sz="6" w:space="0"/>
                <w:bottom w:val="single" w:color="FFFFFF" w:sz="6" w:space="0"/>
                <w:right w:val="single" w:color="FFFFFF" w:sz="6" w:space="0"/>
              </w:pBdr>
              <w:spacing w:after="58"/>
            </w:pPr>
            <w:r>
              <w:t>§§</w:t>
            </w:r>
            <w:r w:rsidR="00ED0ECC">
              <w:t>60.2955, 60.2956</w:t>
            </w:r>
          </w:p>
        </w:tc>
      </w:tr>
      <w:tr w:rsidRPr="00B03FD7" w:rsidR="00ED0ECC" w:rsidTr="00ED0ECC" w14:paraId="14E418B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03FD7" w:rsidR="00ED0ECC" w:rsidP="00ED0ECC" w:rsidRDefault="00ED0ECC" w14:paraId="4201A71B" w14:textId="77777777">
            <w:pPr>
              <w:pBdr>
                <w:top w:val="single" w:color="FFFFFF" w:sz="6" w:space="0"/>
                <w:left w:val="single" w:color="FFFFFF" w:sz="6" w:space="0"/>
                <w:bottom w:val="single" w:color="FFFFFF" w:sz="6" w:space="0"/>
                <w:right w:val="single" w:color="FFFFFF" w:sz="6" w:space="0"/>
              </w:pBdr>
              <w:spacing w:after="58"/>
            </w:pPr>
            <w:r>
              <w:t>Qualified operation deviation status report</w:t>
            </w:r>
          </w:p>
        </w:tc>
        <w:tc>
          <w:tcPr>
            <w:tcW w:w="2349" w:type="dxa"/>
            <w:tcBorders>
              <w:top w:val="single" w:color="000000" w:sz="7" w:space="0"/>
              <w:left w:val="single" w:color="000000" w:sz="7" w:space="0"/>
              <w:bottom w:val="single" w:color="000000" w:sz="7" w:space="0"/>
              <w:right w:val="single" w:color="000000" w:sz="7" w:space="0"/>
            </w:tcBorders>
          </w:tcPr>
          <w:p w:rsidRPr="00B03FD7" w:rsidR="00ED0ECC" w:rsidP="00ED0ECC" w:rsidRDefault="003D5AAD" w14:paraId="54748376" w14:textId="6EC5CCB8">
            <w:pPr>
              <w:pBdr>
                <w:top w:val="single" w:color="FFFFFF" w:sz="6" w:space="0"/>
                <w:left w:val="single" w:color="FFFFFF" w:sz="6" w:space="0"/>
                <w:bottom w:val="single" w:color="FFFFFF" w:sz="6" w:space="0"/>
                <w:right w:val="single" w:color="FFFFFF" w:sz="6" w:space="0"/>
              </w:pBdr>
              <w:spacing w:after="58"/>
            </w:pPr>
            <w:r>
              <w:t>§</w:t>
            </w:r>
            <w:r w:rsidR="00ED0ECC">
              <w:t>60.2959(a)(2)</w:t>
            </w:r>
          </w:p>
        </w:tc>
      </w:tr>
      <w:tr w:rsidRPr="009F673C" w:rsidR="00ED0ECC" w:rsidTr="00ED0ECC" w14:paraId="62DD1F4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9F673C" w:rsidR="00ED0ECC" w:rsidP="00ED0ECC" w:rsidRDefault="00ED0ECC" w14:paraId="0D95E075" w14:textId="77777777">
            <w:pPr>
              <w:pBdr>
                <w:top w:val="single" w:color="FFFFFF" w:sz="6" w:space="0"/>
                <w:left w:val="single" w:color="FFFFFF" w:sz="6" w:space="0"/>
                <w:bottom w:val="single" w:color="FFFFFF" w:sz="6" w:space="0"/>
                <w:right w:val="single" w:color="FFFFFF" w:sz="6" w:space="0"/>
              </w:pBdr>
              <w:spacing w:after="58"/>
            </w:pPr>
            <w:r w:rsidRPr="009F673C">
              <w:t>Semiannual report of deviation</w:t>
            </w:r>
          </w:p>
        </w:tc>
        <w:tc>
          <w:tcPr>
            <w:tcW w:w="2349" w:type="dxa"/>
            <w:tcBorders>
              <w:top w:val="single" w:color="000000" w:sz="7" w:space="0"/>
              <w:left w:val="single" w:color="000000" w:sz="7" w:space="0"/>
              <w:bottom w:val="single" w:color="000000" w:sz="7" w:space="0"/>
              <w:right w:val="single" w:color="000000" w:sz="7" w:space="0"/>
            </w:tcBorders>
          </w:tcPr>
          <w:p w:rsidRPr="009F673C" w:rsidR="00ED0ECC" w:rsidP="00ED0ECC" w:rsidRDefault="003D5AAD" w14:paraId="49D09B28" w14:textId="063DE4E6">
            <w:pPr>
              <w:pBdr>
                <w:top w:val="single" w:color="FFFFFF" w:sz="6" w:space="0"/>
                <w:left w:val="single" w:color="FFFFFF" w:sz="6" w:space="0"/>
                <w:bottom w:val="single" w:color="FFFFFF" w:sz="6" w:space="0"/>
                <w:right w:val="single" w:color="FFFFFF" w:sz="6" w:space="0"/>
              </w:pBdr>
              <w:spacing w:after="58"/>
            </w:pPr>
            <w:r>
              <w:t>§§</w:t>
            </w:r>
            <w:r w:rsidR="00ED0ECC">
              <w:t>60.2957, 60.2958</w:t>
            </w:r>
          </w:p>
        </w:tc>
      </w:tr>
      <w:tr w:rsidR="00ED0ECC" w:rsidTr="00ED0ECC" w14:paraId="0E5C628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9F673C" w:rsidR="00ED0ECC" w:rsidP="00ED0ECC" w:rsidRDefault="00ED0ECC" w14:paraId="5805C726" w14:textId="77777777">
            <w:pPr>
              <w:pBdr>
                <w:top w:val="single" w:color="FFFFFF" w:sz="6" w:space="0"/>
                <w:left w:val="single" w:color="FFFFFF" w:sz="6" w:space="0"/>
                <w:bottom w:val="single" w:color="FFFFFF" w:sz="6" w:space="0"/>
                <w:right w:val="single" w:color="FFFFFF" w:sz="6" w:space="0"/>
              </w:pBdr>
              <w:spacing w:after="58"/>
            </w:pPr>
            <w:r>
              <w:t>Waste management plan</w:t>
            </w:r>
          </w:p>
        </w:tc>
        <w:tc>
          <w:tcPr>
            <w:tcW w:w="2349" w:type="dxa"/>
            <w:tcBorders>
              <w:top w:val="single" w:color="000000" w:sz="7" w:space="0"/>
              <w:left w:val="single" w:color="000000" w:sz="7" w:space="0"/>
              <w:bottom w:val="single" w:color="000000" w:sz="7" w:space="0"/>
              <w:right w:val="single" w:color="000000" w:sz="7" w:space="0"/>
            </w:tcBorders>
          </w:tcPr>
          <w:p w:rsidR="00ED0ECC" w:rsidP="00ED0ECC" w:rsidRDefault="003D5AAD" w14:paraId="70B5ED45" w14:textId="547FCC10">
            <w:pPr>
              <w:pBdr>
                <w:top w:val="single" w:color="FFFFFF" w:sz="6" w:space="0"/>
                <w:left w:val="single" w:color="FFFFFF" w:sz="6" w:space="0"/>
                <w:bottom w:val="single" w:color="FFFFFF" w:sz="6" w:space="0"/>
                <w:right w:val="single" w:color="FFFFFF" w:sz="6" w:space="0"/>
              </w:pBdr>
              <w:spacing w:after="58"/>
            </w:pPr>
            <w:r>
              <w:t>§</w:t>
            </w:r>
            <w:r w:rsidR="00ED0ECC">
              <w:t>60.2900</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ED0EC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ED0ECC" w:rsidTr="00814A03" w14:paraId="5FA3A52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ED0ECC" w14:paraId="52F2EF63" w14:textId="4E0D64D6">
            <w:pPr>
              <w:pBdr>
                <w:top w:val="single" w:color="FFFFFF" w:sz="6" w:space="0"/>
                <w:left w:val="single" w:color="FFFFFF" w:sz="6" w:space="0"/>
                <w:bottom w:val="single" w:color="FFFFFF" w:sz="6" w:space="0"/>
                <w:right w:val="single" w:color="FFFFFF" w:sz="6" w:space="0"/>
              </w:pBdr>
              <w:spacing w:after="58"/>
            </w:pPr>
            <w:r>
              <w:t>The OSWI unit charge dates, times, weights, and hourly charge rates.</w:t>
            </w:r>
          </w:p>
        </w:tc>
        <w:tc>
          <w:tcPr>
            <w:tcW w:w="2349" w:type="dxa"/>
            <w:tcBorders>
              <w:top w:val="single" w:color="000000" w:sz="7" w:space="0"/>
              <w:left w:val="single" w:color="000000" w:sz="7" w:space="0"/>
              <w:bottom w:val="single" w:color="000000" w:sz="7" w:space="0"/>
              <w:right w:val="single" w:color="000000" w:sz="7" w:space="0"/>
            </w:tcBorders>
            <w:vAlign w:val="center"/>
          </w:tcPr>
          <w:p w:rsidR="00077E3A" w:rsidP="00ED0ECC" w:rsidRDefault="003D5AAD" w14:paraId="4E46817D" w14:textId="36505518">
            <w:pPr>
              <w:pBdr>
                <w:top w:val="single" w:color="FFFFFF" w:sz="6" w:space="0"/>
                <w:left w:val="single" w:color="FFFFFF" w:sz="6" w:space="0"/>
                <w:bottom w:val="single" w:color="FFFFFF" w:sz="6" w:space="0"/>
                <w:right w:val="single" w:color="FFFFFF" w:sz="6" w:space="0"/>
              </w:pBdr>
              <w:spacing w:after="58"/>
            </w:pPr>
            <w:r>
              <w:t>§</w:t>
            </w:r>
            <w:r w:rsidR="00ED0ECC">
              <w:t>60.2949(b)(1)</w:t>
            </w:r>
            <w:r w:rsidR="00077E3A">
              <w:t xml:space="preserve">, </w:t>
            </w:r>
          </w:p>
          <w:p w:rsidR="00077E3A" w:rsidP="00ED0ECC" w:rsidRDefault="00077E3A" w14:paraId="180E38C0" w14:textId="77777777">
            <w:pPr>
              <w:pBdr>
                <w:top w:val="single" w:color="FFFFFF" w:sz="6" w:space="0"/>
                <w:left w:val="single" w:color="FFFFFF" w:sz="6" w:space="0"/>
                <w:bottom w:val="single" w:color="FFFFFF" w:sz="6" w:space="0"/>
                <w:right w:val="single" w:color="FFFFFF" w:sz="6" w:space="0"/>
              </w:pBdr>
              <w:spacing w:after="58"/>
            </w:pPr>
            <w:r w:rsidRPr="00077E3A">
              <w:t>§60.2940(d)</w:t>
            </w:r>
            <w:r>
              <w:t>,</w:t>
            </w:r>
          </w:p>
          <w:p w:rsidR="00ED0ECC" w:rsidP="00ED0ECC" w:rsidRDefault="00077E3A" w14:paraId="514F2762" w14:textId="77777777">
            <w:pPr>
              <w:pBdr>
                <w:top w:val="single" w:color="FFFFFF" w:sz="6" w:space="0"/>
                <w:left w:val="single" w:color="FFFFFF" w:sz="6" w:space="0"/>
                <w:bottom w:val="single" w:color="FFFFFF" w:sz="6" w:space="0"/>
                <w:right w:val="single" w:color="FFFFFF" w:sz="6" w:space="0"/>
              </w:pBdr>
              <w:spacing w:after="58"/>
            </w:pPr>
            <w:r w:rsidRPr="00077E3A">
              <w:t>§60.2949(g)</w:t>
            </w:r>
            <w:r>
              <w:t>,</w:t>
            </w:r>
          </w:p>
          <w:p w:rsidRPr="00CF2B37" w:rsidR="00077E3A" w:rsidP="00ED0ECC" w:rsidRDefault="00077E3A" w14:paraId="4CD69875" w14:textId="737B26A9">
            <w:pPr>
              <w:pBdr>
                <w:top w:val="single" w:color="FFFFFF" w:sz="6" w:space="0"/>
                <w:left w:val="single" w:color="FFFFFF" w:sz="6" w:space="0"/>
                <w:bottom w:val="single" w:color="FFFFFF" w:sz="6" w:space="0"/>
                <w:right w:val="single" w:color="FFFFFF" w:sz="6" w:space="0"/>
              </w:pBdr>
              <w:spacing w:after="58"/>
            </w:pPr>
            <w:r>
              <w:t>§60.2960</w:t>
            </w:r>
            <w:r w:rsidR="00636970">
              <w:t>, §60.7</w:t>
            </w:r>
          </w:p>
        </w:tc>
      </w:tr>
      <w:tr w:rsidRPr="00CF2B37" w:rsidR="00ED0ECC" w:rsidTr="00814A03" w14:paraId="36691C85"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ED0ECC" w14:paraId="2402E105" w14:textId="6DF899ED">
            <w:pPr>
              <w:pBdr>
                <w:top w:val="single" w:color="FFFFFF" w:sz="6" w:space="0"/>
                <w:left w:val="single" w:color="FFFFFF" w:sz="6" w:space="0"/>
                <w:bottom w:val="single" w:color="FFFFFF" w:sz="6" w:space="0"/>
                <w:right w:val="single" w:color="FFFFFF" w:sz="6" w:space="0"/>
              </w:pBdr>
              <w:spacing w:after="58"/>
            </w:pPr>
            <w:r>
              <w:t>Liquor flow rate to the wet scrubber inlet, pressure drop across the wet scrubber system or amperage to the wet scrubber, and liquor pH as introduced to the wet scrubber every 15 minutes of operation, as applicable.</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3D5AAD" w14:paraId="1D7F443A" w14:textId="0E78EE0F">
            <w:pPr>
              <w:pBdr>
                <w:top w:val="single" w:color="FFFFFF" w:sz="6" w:space="0"/>
                <w:left w:val="single" w:color="FFFFFF" w:sz="6" w:space="0"/>
                <w:bottom w:val="single" w:color="FFFFFF" w:sz="6" w:space="0"/>
                <w:right w:val="single" w:color="FFFFFF" w:sz="6" w:space="0"/>
              </w:pBdr>
              <w:spacing w:after="58"/>
            </w:pPr>
            <w:r>
              <w:t>§§</w:t>
            </w:r>
            <w:r w:rsidR="00ED0ECC">
              <w:t>60.2949(b)(2)–(4)</w:t>
            </w:r>
          </w:p>
        </w:tc>
      </w:tr>
      <w:tr w:rsidRPr="00CF2B37" w:rsidR="00ED0ECC" w:rsidTr="00814A03" w14:paraId="7B98B13A"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ED0ECC" w14:paraId="7977DDAC" w14:textId="355EC8C6">
            <w:pPr>
              <w:pBdr>
                <w:top w:val="single" w:color="FFFFFF" w:sz="6" w:space="0"/>
                <w:left w:val="single" w:color="FFFFFF" w:sz="6" w:space="0"/>
                <w:bottom w:val="single" w:color="FFFFFF" w:sz="6" w:space="0"/>
                <w:right w:val="single" w:color="FFFFFF" w:sz="6" w:space="0"/>
              </w:pBdr>
              <w:spacing w:after="58"/>
            </w:pPr>
            <w:r>
              <w:t>Data collected for all operating parameters used to determine compliance with the operating limits.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3D5AAD" w14:paraId="06801B01" w14:textId="0CD89112">
            <w:pPr>
              <w:pBdr>
                <w:top w:val="single" w:color="FFFFFF" w:sz="6" w:space="0"/>
                <w:left w:val="single" w:color="FFFFFF" w:sz="6" w:space="0"/>
                <w:bottom w:val="single" w:color="FFFFFF" w:sz="6" w:space="0"/>
                <w:right w:val="single" w:color="FFFFFF" w:sz="6" w:space="0"/>
              </w:pBdr>
              <w:spacing w:after="58"/>
            </w:pPr>
            <w:r>
              <w:t>§</w:t>
            </w:r>
            <w:r w:rsidR="00ED0ECC">
              <w:t>60.2949(b)(5)</w:t>
            </w:r>
          </w:p>
        </w:tc>
      </w:tr>
      <w:tr w:rsidRPr="00CF2B37" w:rsidR="00ED0ECC" w:rsidTr="00814A03" w14:paraId="32AE5640"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ED0ECC" w14:paraId="2BD4034B" w14:textId="634DE626">
            <w:pPr>
              <w:pBdr>
                <w:top w:val="single" w:color="FFFFFF" w:sz="6" w:space="0"/>
                <w:left w:val="single" w:color="FFFFFF" w:sz="6" w:space="0"/>
                <w:bottom w:val="single" w:color="FFFFFF" w:sz="6" w:space="0"/>
                <w:right w:val="single" w:color="FFFFFF" w:sz="6" w:space="0"/>
              </w:pBdr>
              <w:spacing w:after="58"/>
            </w:pPr>
            <w:r>
              <w:t>Average concentrations of carbon monoxide emissions and continuously monitored operating parameters.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3D5AAD" w14:paraId="7F8F2C95" w14:textId="7463D42C">
            <w:pPr>
              <w:pBdr>
                <w:top w:val="single" w:color="FFFFFF" w:sz="6" w:space="0"/>
                <w:left w:val="single" w:color="FFFFFF" w:sz="6" w:space="0"/>
                <w:bottom w:val="single" w:color="FFFFFF" w:sz="6" w:space="0"/>
                <w:right w:val="single" w:color="FFFFFF" w:sz="6" w:space="0"/>
              </w:pBdr>
              <w:spacing w:after="58"/>
            </w:pPr>
            <w:r>
              <w:t>§§</w:t>
            </w:r>
            <w:r w:rsidR="00ED0ECC">
              <w:t>60.2949(b)(6)–(7)</w:t>
            </w:r>
          </w:p>
        </w:tc>
      </w:tr>
      <w:tr w:rsidRPr="00CF2B37" w:rsidR="00ED0ECC" w:rsidTr="00814A03" w14:paraId="157FC910"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ED0ECC" w14:paraId="652FB47B" w14:textId="49FC7843">
            <w:pPr>
              <w:pBdr>
                <w:top w:val="single" w:color="FFFFFF" w:sz="6" w:space="0"/>
                <w:left w:val="single" w:color="FFFFFF" w:sz="6" w:space="0"/>
                <w:bottom w:val="single" w:color="FFFFFF" w:sz="6" w:space="0"/>
                <w:right w:val="single" w:color="FFFFFF" w:sz="6" w:space="0"/>
              </w:pBdr>
              <w:spacing w:after="58"/>
            </w:pPr>
            <w:r>
              <w:lastRenderedPageBreak/>
              <w:t>Records of the dates, times, and durations of any bypass of the control device.</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ED0ECC" w:rsidP="00ED0ECC" w:rsidRDefault="003D5AAD" w14:paraId="722BCDB7" w14:textId="28009C49">
            <w:pPr>
              <w:pBdr>
                <w:top w:val="single" w:color="FFFFFF" w:sz="6" w:space="0"/>
                <w:left w:val="single" w:color="FFFFFF" w:sz="6" w:space="0"/>
                <w:bottom w:val="single" w:color="FFFFFF" w:sz="6" w:space="0"/>
                <w:right w:val="single" w:color="FFFFFF" w:sz="6" w:space="0"/>
              </w:pBdr>
              <w:spacing w:after="58"/>
            </w:pPr>
            <w:r>
              <w:t>§</w:t>
            </w:r>
            <w:r w:rsidR="00ED0ECC">
              <w:t>60.2949(b)(8)</w:t>
            </w:r>
          </w:p>
        </w:tc>
      </w:tr>
      <w:tr w:rsidRPr="00CF2B37" w:rsidR="00ED0ECC" w:rsidTr="00814A03" w14:paraId="2A3BB2B1"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D0ECC" w:rsidP="00ED0ECC" w:rsidRDefault="00E131D9" w14:paraId="13576992" w14:textId="6F25A71D">
            <w:pPr>
              <w:pBdr>
                <w:top w:val="single" w:color="FFFFFF" w:sz="6" w:space="0"/>
                <w:left w:val="single" w:color="FFFFFF" w:sz="6" w:space="0"/>
                <w:bottom w:val="single" w:color="FFFFFF" w:sz="6" w:space="0"/>
                <w:right w:val="single" w:color="FFFFFF" w:sz="6" w:space="0"/>
              </w:pBdr>
              <w:spacing w:after="58"/>
            </w:pPr>
            <w:r>
              <w:t xml:space="preserve">Records of the occurrence and duration of each malfunction of operation or the air pollution control and monitoring equipment </w:t>
            </w:r>
          </w:p>
        </w:tc>
        <w:tc>
          <w:tcPr>
            <w:tcW w:w="2349" w:type="dxa"/>
            <w:tcBorders>
              <w:top w:val="single" w:color="000000" w:sz="7" w:space="0"/>
              <w:left w:val="single" w:color="000000" w:sz="7" w:space="0"/>
              <w:bottom w:val="single" w:color="000000" w:sz="7" w:space="0"/>
              <w:right w:val="single" w:color="000000" w:sz="7" w:space="0"/>
            </w:tcBorders>
            <w:vAlign w:val="center"/>
          </w:tcPr>
          <w:p w:rsidR="00ED0ECC" w:rsidP="00ED0ECC" w:rsidRDefault="003D5AAD" w14:paraId="1B79C9B4" w14:textId="2CE2C119">
            <w:pPr>
              <w:pBdr>
                <w:top w:val="single" w:color="FFFFFF" w:sz="6" w:space="0"/>
                <w:left w:val="single" w:color="FFFFFF" w:sz="6" w:space="0"/>
                <w:bottom w:val="single" w:color="FFFFFF" w:sz="6" w:space="0"/>
                <w:right w:val="single" w:color="FFFFFF" w:sz="6" w:space="0"/>
              </w:pBdr>
              <w:spacing w:after="58"/>
            </w:pPr>
            <w:r>
              <w:t>§</w:t>
            </w:r>
            <w:r w:rsidR="00ED0ECC">
              <w:t>60.2949(c)</w:t>
            </w:r>
          </w:p>
        </w:tc>
      </w:tr>
      <w:tr w:rsidRPr="00CF2B37" w:rsidR="00E131D9" w:rsidTr="00814A03" w14:paraId="5EC177C3"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131D9" w:rsidP="00ED0ECC" w:rsidRDefault="00E131D9" w14:paraId="3A91F72C" w14:textId="37E58C08">
            <w:pPr>
              <w:pBdr>
                <w:top w:val="single" w:color="FFFFFF" w:sz="6" w:space="0"/>
                <w:left w:val="single" w:color="FFFFFF" w:sz="6" w:space="0"/>
                <w:bottom w:val="single" w:color="FFFFFF" w:sz="6" w:space="0"/>
                <w:right w:val="single" w:color="FFFFFF" w:sz="6" w:space="0"/>
              </w:pBdr>
              <w:spacing w:after="58"/>
            </w:pPr>
            <w:r>
              <w:t>Records of</w:t>
            </w:r>
            <w:r w:rsidRPr="00B04FAA">
              <w:t xml:space="preserve"> action</w:t>
            </w:r>
            <w:r>
              <w:t>s</w:t>
            </w:r>
            <w:r w:rsidRPr="00B04FAA">
              <w:t xml:space="preserve"> taken</w:t>
            </w:r>
            <w:r>
              <w:t xml:space="preserve"> during periods of malfunction to minimize emissions in accordance with </w:t>
            </w:r>
            <w:r w:rsidRPr="00C845E4">
              <w:t>§60.11(d)</w:t>
            </w:r>
          </w:p>
        </w:tc>
        <w:tc>
          <w:tcPr>
            <w:tcW w:w="2349" w:type="dxa"/>
            <w:tcBorders>
              <w:top w:val="single" w:color="000000" w:sz="7" w:space="0"/>
              <w:left w:val="single" w:color="000000" w:sz="7" w:space="0"/>
              <w:bottom w:val="single" w:color="000000" w:sz="7" w:space="0"/>
              <w:right w:val="single" w:color="000000" w:sz="7" w:space="0"/>
            </w:tcBorders>
            <w:vAlign w:val="center"/>
          </w:tcPr>
          <w:p w:rsidR="00E131D9" w:rsidP="00ED0ECC" w:rsidRDefault="00E131D9" w14:paraId="0CC438BE" w14:textId="62420E0B">
            <w:pPr>
              <w:pBdr>
                <w:top w:val="single" w:color="FFFFFF" w:sz="6" w:space="0"/>
                <w:left w:val="single" w:color="FFFFFF" w:sz="6" w:space="0"/>
                <w:bottom w:val="single" w:color="FFFFFF" w:sz="6" w:space="0"/>
                <w:right w:val="single" w:color="FFFFFF" w:sz="6" w:space="0"/>
              </w:pBdr>
              <w:spacing w:after="58"/>
            </w:pPr>
            <w:r>
              <w:t>§60.2949(d)</w:t>
            </w:r>
          </w:p>
        </w:tc>
      </w:tr>
      <w:tr w:rsidRPr="00CF2B37" w:rsidR="00ED0ECC" w:rsidTr="00814A03" w14:paraId="4FF2888D"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D0ECC" w:rsidP="00ED0ECC" w:rsidRDefault="00ED0ECC" w14:paraId="2C8787A6" w14:textId="266D713A">
            <w:pPr>
              <w:pBdr>
                <w:top w:val="single" w:color="FFFFFF" w:sz="6" w:space="0"/>
                <w:left w:val="single" w:color="FFFFFF" w:sz="6" w:space="0"/>
                <w:bottom w:val="single" w:color="FFFFFF" w:sz="6" w:space="0"/>
                <w:right w:val="single" w:color="FFFFFF" w:sz="6" w:space="0"/>
              </w:pBdr>
              <w:spacing w:after="58"/>
            </w:pPr>
            <w:r>
              <w:t>Dates, times and descriptions of monitoring data deviations from emissions or operating limits, and description of corrective actions taken.</w:t>
            </w:r>
          </w:p>
        </w:tc>
        <w:tc>
          <w:tcPr>
            <w:tcW w:w="2349" w:type="dxa"/>
            <w:tcBorders>
              <w:top w:val="single" w:color="000000" w:sz="7" w:space="0"/>
              <w:left w:val="single" w:color="000000" w:sz="7" w:space="0"/>
              <w:bottom w:val="single" w:color="000000" w:sz="7" w:space="0"/>
              <w:right w:val="single" w:color="000000" w:sz="7" w:space="0"/>
            </w:tcBorders>
            <w:vAlign w:val="center"/>
          </w:tcPr>
          <w:p w:rsidR="00ED0ECC" w:rsidP="00ED0ECC" w:rsidRDefault="003D5AAD" w14:paraId="666BC85D" w14:textId="450FE274">
            <w:pPr>
              <w:pBdr>
                <w:top w:val="single" w:color="FFFFFF" w:sz="6" w:space="0"/>
                <w:left w:val="single" w:color="FFFFFF" w:sz="6" w:space="0"/>
                <w:bottom w:val="single" w:color="FFFFFF" w:sz="6" w:space="0"/>
                <w:right w:val="single" w:color="FFFFFF" w:sz="6" w:space="0"/>
              </w:pBdr>
              <w:spacing w:after="58"/>
            </w:pPr>
            <w:r>
              <w:t>§</w:t>
            </w:r>
            <w:r w:rsidR="00ED0ECC">
              <w:t>60.2949(e)</w:t>
            </w:r>
          </w:p>
        </w:tc>
      </w:tr>
      <w:tr w:rsidRPr="00CF2B37" w:rsidR="00ED0ECC" w:rsidTr="00814A03" w14:paraId="62A09200"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D0ECC" w:rsidP="00ED0ECC" w:rsidRDefault="00ED0ECC" w14:paraId="513C9F80" w14:textId="450DE82F">
            <w:pPr>
              <w:pBdr>
                <w:top w:val="single" w:color="FFFFFF" w:sz="6" w:space="0"/>
                <w:left w:val="single" w:color="FFFFFF" w:sz="6" w:space="0"/>
                <w:bottom w:val="single" w:color="FFFFFF" w:sz="6" w:space="0"/>
                <w:right w:val="single" w:color="FFFFFF" w:sz="6" w:space="0"/>
              </w:pBdr>
              <w:spacing w:after="58"/>
            </w:pPr>
            <w:r>
              <w:t>Maintain records of all initial, annual and occasional performance test reports.</w:t>
            </w:r>
          </w:p>
        </w:tc>
        <w:tc>
          <w:tcPr>
            <w:tcW w:w="2349" w:type="dxa"/>
            <w:tcBorders>
              <w:top w:val="single" w:color="000000" w:sz="7" w:space="0"/>
              <w:left w:val="single" w:color="000000" w:sz="7" w:space="0"/>
              <w:bottom w:val="single" w:color="000000" w:sz="7" w:space="0"/>
              <w:right w:val="single" w:color="000000" w:sz="7" w:space="0"/>
            </w:tcBorders>
            <w:vAlign w:val="center"/>
          </w:tcPr>
          <w:p w:rsidR="00ED0ECC" w:rsidP="00ED0ECC" w:rsidRDefault="003D5AAD" w14:paraId="1DBFD023" w14:textId="5952CFC5">
            <w:pPr>
              <w:pBdr>
                <w:top w:val="single" w:color="FFFFFF" w:sz="6" w:space="0"/>
                <w:left w:val="single" w:color="FFFFFF" w:sz="6" w:space="0"/>
                <w:bottom w:val="single" w:color="FFFFFF" w:sz="6" w:space="0"/>
                <w:right w:val="single" w:color="FFFFFF" w:sz="6" w:space="0"/>
              </w:pBdr>
              <w:spacing w:after="58"/>
            </w:pPr>
            <w:r>
              <w:t>§</w:t>
            </w:r>
            <w:r w:rsidR="00ED0ECC">
              <w:t>60.2949(</w:t>
            </w:r>
            <w:proofErr w:type="spellStart"/>
            <w:r w:rsidR="00ED0ECC">
              <w:t>i</w:t>
            </w:r>
            <w:proofErr w:type="spellEnd"/>
            <w:r w:rsidR="00ED0ECC">
              <w:t>)</w:t>
            </w:r>
          </w:p>
        </w:tc>
      </w:tr>
      <w:tr w:rsidRPr="00CF2B37" w:rsidR="00E131D9" w:rsidTr="00814A03" w14:paraId="280173F9"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131D9" w:rsidP="00ED0ECC" w:rsidRDefault="00E131D9" w14:paraId="7916A8E6" w14:textId="61AFB9EE">
            <w:pPr>
              <w:pBdr>
                <w:top w:val="single" w:color="FFFFFF" w:sz="6" w:space="0"/>
                <w:left w:val="single" w:color="FFFFFF" w:sz="6" w:space="0"/>
                <w:bottom w:val="single" w:color="FFFFFF" w:sz="6" w:space="0"/>
                <w:right w:val="single" w:color="FFFFFF" w:sz="6" w:space="0"/>
              </w:pBdr>
              <w:spacing w:after="58"/>
            </w:pPr>
            <w:r>
              <w:t>Calibration records</w:t>
            </w:r>
          </w:p>
        </w:tc>
        <w:tc>
          <w:tcPr>
            <w:tcW w:w="2349" w:type="dxa"/>
            <w:tcBorders>
              <w:top w:val="single" w:color="000000" w:sz="7" w:space="0"/>
              <w:left w:val="single" w:color="000000" w:sz="7" w:space="0"/>
              <w:bottom w:val="single" w:color="000000" w:sz="7" w:space="0"/>
              <w:right w:val="single" w:color="000000" w:sz="7" w:space="0"/>
            </w:tcBorders>
            <w:vAlign w:val="center"/>
          </w:tcPr>
          <w:p w:rsidR="00E131D9" w:rsidP="00ED0ECC" w:rsidRDefault="00E131D9" w14:paraId="755A65D4" w14:textId="02866CEC">
            <w:pPr>
              <w:pBdr>
                <w:top w:val="single" w:color="FFFFFF" w:sz="6" w:space="0"/>
                <w:left w:val="single" w:color="FFFFFF" w:sz="6" w:space="0"/>
                <w:bottom w:val="single" w:color="FFFFFF" w:sz="6" w:space="0"/>
                <w:right w:val="single" w:color="FFFFFF" w:sz="6" w:space="0"/>
              </w:pBdr>
              <w:spacing w:after="58"/>
            </w:pPr>
            <w:r>
              <w:t>§60.2949(h)</w:t>
            </w:r>
          </w:p>
        </w:tc>
      </w:tr>
      <w:tr w:rsidRPr="00CF2B37" w:rsidR="00ED0ECC" w:rsidTr="00814A03" w14:paraId="254054FC"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D0ECC" w:rsidP="00ED0ECC" w:rsidRDefault="00ED0ECC" w14:paraId="26279DC7" w14:textId="300904FD">
            <w:pPr>
              <w:pBdr>
                <w:top w:val="single" w:color="FFFFFF" w:sz="6" w:space="0"/>
                <w:left w:val="single" w:color="FFFFFF" w:sz="6" w:space="0"/>
                <w:bottom w:val="single" w:color="FFFFFF" w:sz="6" w:space="0"/>
                <w:right w:val="single" w:color="FFFFFF" w:sz="6" w:space="0"/>
              </w:pBdr>
              <w:spacing w:after="58"/>
            </w:pPr>
            <w:r>
              <w:t>Records of operator training and qualifications.</w:t>
            </w:r>
          </w:p>
        </w:tc>
        <w:tc>
          <w:tcPr>
            <w:tcW w:w="2349" w:type="dxa"/>
            <w:tcBorders>
              <w:top w:val="single" w:color="000000" w:sz="7" w:space="0"/>
              <w:left w:val="single" w:color="000000" w:sz="7" w:space="0"/>
              <w:bottom w:val="single" w:color="000000" w:sz="7" w:space="0"/>
              <w:right w:val="single" w:color="000000" w:sz="7" w:space="0"/>
            </w:tcBorders>
            <w:vAlign w:val="center"/>
          </w:tcPr>
          <w:p w:rsidR="00ED0ECC" w:rsidP="00ED0ECC" w:rsidRDefault="003D5AAD" w14:paraId="58DCAF5C" w14:textId="6549A36A">
            <w:pPr>
              <w:pBdr>
                <w:top w:val="single" w:color="FFFFFF" w:sz="6" w:space="0"/>
                <w:left w:val="single" w:color="FFFFFF" w:sz="6" w:space="0"/>
                <w:bottom w:val="single" w:color="FFFFFF" w:sz="6" w:space="0"/>
                <w:right w:val="single" w:color="FFFFFF" w:sz="6" w:space="0"/>
              </w:pBdr>
              <w:spacing w:after="58"/>
            </w:pPr>
            <w:r>
              <w:t>§§</w:t>
            </w:r>
            <w:r w:rsidR="00ED0ECC">
              <w:t>60.2949(k</w:t>
            </w:r>
            <w:r w:rsidRPr="00B03FD7" w:rsidR="00ED0ECC">
              <w:t>)</w:t>
            </w:r>
            <w:r w:rsidR="00ED0ECC">
              <w:t>, (l), (m)</w:t>
            </w:r>
          </w:p>
        </w:tc>
      </w:tr>
      <w:tr w:rsidRPr="00CF2B37" w:rsidR="00E131D9" w:rsidTr="00545526" w14:paraId="7ABA9AB5"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131D9" w:rsidP="00E131D9" w:rsidRDefault="00E131D9" w14:paraId="79AD78B1" w14:textId="5DA3355E">
            <w:pPr>
              <w:pBdr>
                <w:top w:val="single" w:color="FFFFFF" w:sz="6" w:space="0"/>
                <w:left w:val="single" w:color="FFFFFF" w:sz="6" w:space="0"/>
                <w:bottom w:val="single" w:color="FFFFFF" w:sz="6" w:space="0"/>
                <w:right w:val="single" w:color="FFFFFF" w:sz="6" w:space="0"/>
              </w:pBdr>
              <w:spacing w:after="58"/>
            </w:pPr>
            <w:r>
              <w:t>Records of unit capacity and design, waste variability profiles submitted to the delegated authority; and the substitute compliance demonstration test used to demonstrate initial compliance</w:t>
            </w:r>
          </w:p>
        </w:tc>
        <w:tc>
          <w:tcPr>
            <w:tcW w:w="2349" w:type="dxa"/>
            <w:tcBorders>
              <w:top w:val="single" w:color="000000" w:sz="7" w:space="0"/>
              <w:left w:val="single" w:color="000000" w:sz="7" w:space="0"/>
              <w:bottom w:val="single" w:color="000000" w:sz="7" w:space="0"/>
              <w:right w:val="single" w:color="000000" w:sz="7" w:space="0"/>
            </w:tcBorders>
            <w:vAlign w:val="center"/>
          </w:tcPr>
          <w:p w:rsidR="00E131D9" w:rsidP="00E131D9" w:rsidRDefault="00E131D9" w14:paraId="0EFC28EC" w14:textId="6D036420">
            <w:pPr>
              <w:pBdr>
                <w:top w:val="single" w:color="FFFFFF" w:sz="6" w:space="0"/>
                <w:left w:val="single" w:color="FFFFFF" w:sz="6" w:space="0"/>
                <w:bottom w:val="single" w:color="FFFFFF" w:sz="6" w:space="0"/>
                <w:right w:val="single" w:color="FFFFFF" w:sz="6" w:space="0"/>
              </w:pBdr>
              <w:spacing w:after="58"/>
            </w:pPr>
            <w:r>
              <w:t>§60.2949(p)</w:t>
            </w:r>
          </w:p>
        </w:tc>
      </w:tr>
      <w:tr w:rsidRPr="00CF2B37" w:rsidR="00E131D9" w:rsidTr="00E131D9" w14:paraId="27015BFA"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E131D9" w:rsidP="00E131D9" w:rsidRDefault="00E131D9" w14:paraId="2113C29D" w14:textId="2844DFBF">
            <w:pPr>
              <w:pBdr>
                <w:top w:val="single" w:color="FFFFFF" w:sz="6" w:space="0"/>
                <w:left w:val="single" w:color="FFFFFF" w:sz="6" w:space="0"/>
                <w:bottom w:val="single" w:color="FFFFFF" w:sz="6" w:space="0"/>
                <w:right w:val="single" w:color="FFFFFF" w:sz="6" w:space="0"/>
              </w:pBdr>
              <w:spacing w:after="58"/>
            </w:pPr>
            <w:r>
              <w:t>Records of unit operations and of wastes combusted</w:t>
            </w:r>
          </w:p>
        </w:tc>
        <w:tc>
          <w:tcPr>
            <w:tcW w:w="2349" w:type="dxa"/>
            <w:tcBorders>
              <w:top w:val="single" w:color="000000" w:sz="7" w:space="0"/>
              <w:left w:val="single" w:color="000000" w:sz="7" w:space="0"/>
              <w:bottom w:val="single" w:color="000000" w:sz="7" w:space="0"/>
              <w:right w:val="single" w:color="000000" w:sz="7" w:space="0"/>
            </w:tcBorders>
            <w:vAlign w:val="center"/>
          </w:tcPr>
          <w:p w:rsidR="00E131D9" w:rsidP="00E131D9" w:rsidRDefault="00E131D9" w14:paraId="0E1DC453" w14:textId="75A734F1">
            <w:pPr>
              <w:pBdr>
                <w:top w:val="single" w:color="FFFFFF" w:sz="6" w:space="0"/>
                <w:left w:val="single" w:color="FFFFFF" w:sz="6" w:space="0"/>
                <w:bottom w:val="single" w:color="FFFFFF" w:sz="6" w:space="0"/>
                <w:right w:val="single" w:color="FFFFFF" w:sz="6" w:space="0"/>
              </w:pBdr>
              <w:spacing w:after="58"/>
            </w:pPr>
            <w:r>
              <w:t>§60.2949(p)</w:t>
            </w:r>
          </w:p>
        </w:tc>
      </w:tr>
      <w:tr w:rsidRPr="00CF2B37" w:rsidR="00E131D9" w:rsidTr="00814A03" w14:paraId="4C8E4060"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E131D9" w:rsidP="00E131D9" w:rsidRDefault="00E131D9" w14:paraId="59F88CAC" w14:textId="1216B1F4">
            <w:pPr>
              <w:pBdr>
                <w:top w:val="single" w:color="FFFFFF" w:sz="6" w:space="0"/>
                <w:left w:val="single" w:color="FFFFFF" w:sz="6" w:space="0"/>
                <w:bottom w:val="single" w:color="FFFFFF" w:sz="6" w:space="0"/>
                <w:right w:val="single" w:color="FFFFFF" w:sz="6" w:space="0"/>
              </w:pBdr>
              <w:spacing w:after="58"/>
            </w:pPr>
            <w:r>
              <w:t>Procedures for receiving, handling, and charging waste; incinerator startup, shutdown; maintaining good combustion practices; operating the incinerator and control systems; monitoring, reporting and recordkeeping; and ash handling.</w:t>
            </w:r>
          </w:p>
        </w:tc>
        <w:tc>
          <w:tcPr>
            <w:tcW w:w="2349" w:type="dxa"/>
            <w:tcBorders>
              <w:top w:val="single" w:color="000000" w:sz="7" w:space="0"/>
              <w:left w:val="single" w:color="000000" w:sz="7" w:space="0"/>
              <w:bottom w:val="single" w:color="000000" w:sz="7" w:space="0"/>
              <w:right w:val="single" w:color="000000" w:sz="7" w:space="0"/>
            </w:tcBorders>
            <w:vAlign w:val="center"/>
          </w:tcPr>
          <w:p w:rsidR="00E131D9" w:rsidP="00E131D9" w:rsidRDefault="00E131D9" w14:paraId="2F39841E" w14:textId="29ED344D">
            <w:pPr>
              <w:pBdr>
                <w:top w:val="single" w:color="FFFFFF" w:sz="6" w:space="0"/>
                <w:left w:val="single" w:color="FFFFFF" w:sz="6" w:space="0"/>
                <w:bottom w:val="single" w:color="FFFFFF" w:sz="6" w:space="0"/>
                <w:right w:val="single" w:color="FFFFFF" w:sz="6" w:space="0"/>
              </w:pBdr>
              <w:spacing w:after="58"/>
            </w:pPr>
            <w:r>
              <w:t>§60.2910(a)</w:t>
            </w:r>
          </w:p>
        </w:tc>
      </w:tr>
      <w:tr w:rsidRPr="00CF2B37" w:rsidR="00E131D9" w:rsidTr="00814A03" w14:paraId="2A3D2B61"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E131D9" w:rsidP="00E131D9" w:rsidRDefault="00E131D9" w14:paraId="3900AC91" w14:textId="07B6030E">
            <w:pPr>
              <w:pBdr>
                <w:top w:val="single" w:color="FFFFFF" w:sz="6" w:space="0"/>
                <w:left w:val="single" w:color="FFFFFF" w:sz="6" w:space="0"/>
                <w:bottom w:val="single" w:color="FFFFFF" w:sz="6" w:space="0"/>
                <w:right w:val="single" w:color="FFFFFF" w:sz="6" w:space="0"/>
              </w:pBdr>
              <w:spacing w:after="58"/>
            </w:pPr>
            <w:r w:rsidRPr="00B03FD7">
              <w:t>Maintain waste management plan records</w:t>
            </w:r>
          </w:p>
        </w:tc>
        <w:tc>
          <w:tcPr>
            <w:tcW w:w="2349" w:type="dxa"/>
            <w:tcBorders>
              <w:top w:val="single" w:color="000000" w:sz="7" w:space="0"/>
              <w:left w:val="single" w:color="000000" w:sz="7" w:space="0"/>
              <w:bottom w:val="single" w:color="000000" w:sz="7" w:space="0"/>
              <w:right w:val="single" w:color="000000" w:sz="7" w:space="0"/>
            </w:tcBorders>
            <w:vAlign w:val="center"/>
          </w:tcPr>
          <w:p w:rsidR="00E131D9" w:rsidP="00E131D9" w:rsidRDefault="00E131D9" w14:paraId="69E8FCF5" w14:textId="71E988D3">
            <w:pPr>
              <w:pBdr>
                <w:top w:val="single" w:color="FFFFFF" w:sz="6" w:space="0"/>
                <w:left w:val="single" w:color="FFFFFF" w:sz="6" w:space="0"/>
                <w:bottom w:val="single" w:color="FFFFFF" w:sz="6" w:space="0"/>
                <w:right w:val="single" w:color="FFFFFF" w:sz="6" w:space="0"/>
              </w:pBdr>
              <w:spacing w:after="58"/>
            </w:pPr>
            <w:r>
              <w:t>§</w:t>
            </w:r>
            <w:r w:rsidRPr="00B03FD7">
              <w:t>60.2901</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5C7DFB" w:rsidP="002C527F" w:rsidRDefault="002C527F" w14:paraId="57CF2100" w14:textId="77777777">
      <w:pPr>
        <w:pBdr>
          <w:top w:val="single" w:color="FFFFFF" w:sz="6" w:space="0"/>
          <w:left w:val="single" w:color="FFFFFF" w:sz="6" w:space="0"/>
          <w:bottom w:val="single" w:color="FFFFFF" w:sz="6" w:space="0"/>
          <w:right w:val="single" w:color="FFFFFF" w:sz="6" w:space="0"/>
        </w:pBdr>
        <w:ind w:firstLine="720"/>
        <w:rPr>
          <w:color w:val="000000"/>
        </w:rPr>
      </w:pPr>
      <w:r w:rsidRPr="002C527F">
        <w:rPr>
          <w:color w:val="000000"/>
        </w:rPr>
        <w:t xml:space="preserve">Currently sources </w:t>
      </w:r>
      <w:r w:rsidR="005C3936">
        <w:rPr>
          <w:color w:val="000000"/>
        </w:rPr>
        <w:t>are</w:t>
      </w:r>
      <w:r w:rsidRPr="002C527F">
        <w:rPr>
          <w:color w:val="000000"/>
        </w:rPr>
        <w:t xml:space="preserv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bookmarkStart w:name="_Hlk42182137" w:id="1"/>
    </w:p>
    <w:p w:rsidR="005C7DFB" w:rsidP="002C527F" w:rsidRDefault="005C7DFB" w14:paraId="549875EE" w14:textId="77777777">
      <w:pPr>
        <w:pBdr>
          <w:top w:val="single" w:color="FFFFFF" w:sz="6" w:space="0"/>
          <w:left w:val="single" w:color="FFFFFF" w:sz="6" w:space="0"/>
          <w:bottom w:val="single" w:color="FFFFFF" w:sz="6" w:space="0"/>
          <w:right w:val="single" w:color="FFFFFF" w:sz="6" w:space="0"/>
        </w:pBdr>
        <w:ind w:firstLine="720"/>
        <w:rPr>
          <w:color w:val="000000"/>
        </w:rPr>
      </w:pPr>
    </w:p>
    <w:p w:rsidR="005643A3" w:rsidP="0061389E" w:rsidRDefault="005C7DFB" w14:paraId="6E0FF719" w14:textId="4EE52BBC">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addition</w:t>
      </w:r>
      <w:bookmarkEnd w:id="1"/>
      <w:r w:rsidR="0061389E">
        <w:rPr>
          <w:color w:val="000000"/>
        </w:rPr>
        <w:t>,</w:t>
      </w:r>
      <w:r w:rsidRPr="005C7DFB">
        <w:t xml:space="preserve"> </w:t>
      </w:r>
      <w:r w:rsidRPr="005C7DFB">
        <w:rPr>
          <w:color w:val="000000"/>
        </w:rPr>
        <w:t>these proposed amendments include a requirement that facilities would be required to submit initial notifications, annual reports, deviation reports, and performance test results to the EPA through the EPA’s Compliance and Emissions Data Reporting Interface (CEDRI) for data collected using test methods supported by the EPA’s Electronic Reporting Tool (ERT). The performance test data would be required to be submitted in a file format generated through the use of the EPA’s ERT or an alternate electronic file format consistent with the extensible markup language (XML) schema listed on the EPA’s ERT Web site.</w:t>
      </w:r>
      <w:r w:rsidR="0061389E">
        <w:rPr>
          <w:color w:val="000000"/>
        </w:rPr>
        <w:t xml:space="preserve"> The proposed </w:t>
      </w:r>
      <w:r w:rsidR="0061389E">
        <w:rPr>
          <w:color w:val="000000"/>
        </w:rPr>
        <w:lastRenderedPageBreak/>
        <w:t>amendments to the</w:t>
      </w:r>
      <w:r w:rsidR="0061389E">
        <w:rPr>
          <w:color w:val="FF0000"/>
        </w:rPr>
        <w:t xml:space="preserve"> </w:t>
      </w:r>
      <w:r w:rsidR="0061389E">
        <w:t>NSPS for</w:t>
      </w:r>
      <w:r w:rsidRPr="00F65E33" w:rsidR="0061389E">
        <w:t xml:space="preserve"> Other Solid Waste Incineration Units (40 CFR Part 60, Subpart </w:t>
      </w:r>
      <w:r w:rsidR="0061389E">
        <w:t>EEEE</w:t>
      </w:r>
      <w:r w:rsidRPr="00F65E33" w:rsidR="0061389E">
        <w:t>)</w:t>
      </w:r>
      <w:r w:rsidR="0061389E">
        <w:t xml:space="preserve"> allow for a </w:t>
      </w:r>
      <w:r w:rsidRPr="0061389E" w:rsidR="0061389E">
        <w:t>substitute means of compliance demonstration</w:t>
      </w:r>
      <w:r w:rsidR="0061389E">
        <w:t xml:space="preserve"> </w:t>
      </w:r>
      <w:r w:rsidR="0061389E">
        <w:rPr>
          <w:color w:val="000000"/>
        </w:rPr>
        <w:t xml:space="preserve">for units with a capacity of less than 10 TPD of solid waste </w:t>
      </w:r>
      <w:r w:rsidR="0061389E">
        <w:t>that allows facilities to demonstrate compliance through recordkeeping and reporting in lieu of a performance test, if they continue to combust a similar type of waste stream as was tested during initial stack tests or the initial stack tests for a similar unit as approved by a delegated authority.</w:t>
      </w:r>
      <w:r w:rsidRPr="007D5FED" w:rsidR="0061389E">
        <w:rPr>
          <w:color w:val="000000"/>
        </w:rPr>
        <w:t xml:space="preserve"> </w:t>
      </w:r>
      <w:r w:rsidRPr="0061389E" w:rsidR="0061389E">
        <w:rPr>
          <w:color w:val="000000"/>
        </w:rPr>
        <w:t xml:space="preserve">However, </w:t>
      </w:r>
      <w:r w:rsidR="0061389E">
        <w:rPr>
          <w:color w:val="000000"/>
        </w:rPr>
        <w:t>units using a substitute means of compliance demonstration</w:t>
      </w:r>
      <w:r w:rsidRPr="0061389E" w:rsidR="0061389E">
        <w:rPr>
          <w:color w:val="000000"/>
        </w:rPr>
        <w:t xml:space="preserve"> would still be required to submit initial notifications, annual reports, and deviation reports via CEDRI</w:t>
      </w:r>
      <w:r w:rsidR="0061389E">
        <w:rPr>
          <w:color w:val="000000"/>
        </w:rPr>
        <w:t xml:space="preserve">. The reporting requirements of </w:t>
      </w:r>
      <w:r w:rsidRPr="0061389E" w:rsidR="0061389E">
        <w:rPr>
          <w:color w:val="000000"/>
        </w:rPr>
        <w:t xml:space="preserve">the NSPS for Other Solid Waste Incineration Units (40 CFR Part 60, Subpart EEEE </w:t>
      </w:r>
      <w:r w:rsidR="0061389E">
        <w:rPr>
          <w:color w:val="000000"/>
        </w:rPr>
        <w:t>are not changing for units with capacities greater than or equal to 10 TPD; therefore, we assume the two units that are already subject to the rule</w:t>
      </w:r>
      <w:r w:rsidRPr="007D5FED" w:rsidR="0061389E">
        <w:rPr>
          <w:color w:val="000000"/>
        </w:rPr>
        <w:t xml:space="preserve"> will be required to electronically submit performance </w:t>
      </w:r>
      <w:r w:rsidR="0061389E">
        <w:rPr>
          <w:color w:val="000000"/>
        </w:rPr>
        <w:t>test results</w:t>
      </w:r>
      <w:r w:rsidR="00B33A5C">
        <w:rPr>
          <w:color w:val="000000"/>
        </w:rPr>
        <w:t>, annual reports, and deviation reports</w:t>
      </w:r>
      <w:r w:rsidRPr="007D5FED" w:rsidR="0061389E">
        <w:rPr>
          <w:color w:val="000000"/>
        </w:rPr>
        <w:t xml:space="preserve"> via CEDRI in the first three years of the information collection</w:t>
      </w:r>
      <w:r w:rsidR="0061389E">
        <w:rPr>
          <w:color w:val="000000"/>
        </w:rPr>
        <w:t xml:space="preserve">. </w:t>
      </w:r>
      <w:r w:rsidR="00617958">
        <w:rPr>
          <w:color w:val="000000"/>
        </w:rPr>
        <w:t>There is no change in burden associated with the proposed amendments for electronic reporting; we assume the burden to prepare and submit performance tests and additional reports electronically would not significantly differ from paper submittals and anticipate that such submittals will eventually reduce burden.</w:t>
      </w:r>
    </w:p>
    <w:p w:rsidR="008E776F" w:rsidP="002D33AC" w:rsidRDefault="008E776F" w14:paraId="03B6C5A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8E776F" w:rsidRDefault="00CA4CD6" w14:paraId="588DA5A2" w14:textId="7C99003C">
      <w:pPr>
        <w:keepNext/>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P="008E776F" w:rsidRDefault="00CA4CD6" w14:paraId="4D182B77" w14:textId="77777777">
      <w:pPr>
        <w:keepNext/>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Tr="00ED0ECC"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P="008E776F" w:rsidRDefault="00CA4CD6" w14:paraId="3348587C" w14:textId="77777777">
            <w:pPr>
              <w:keepNext/>
              <w:spacing w:line="120" w:lineRule="exact"/>
              <w:rPr>
                <w:color w:val="000000"/>
              </w:rPr>
            </w:pPr>
          </w:p>
          <w:p w:rsidR="00CA4CD6" w:rsidP="008E776F" w:rsidRDefault="00CA4CD6" w14:paraId="7977683B" w14:textId="77777777">
            <w:pPr>
              <w:keepNext/>
              <w:pageBreakBefore/>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ED0ECC" w:rsidTr="00ED0ECC"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4FAA" w:rsidR="008D4F82" w:rsidP="008D4F82" w:rsidRDefault="008D4F82" w14:paraId="093BB34F" w14:textId="77777777">
            <w:pPr>
              <w:spacing w:line="120" w:lineRule="exact"/>
              <w:rPr>
                <w:b/>
                <w:bCs/>
              </w:rPr>
            </w:pPr>
          </w:p>
          <w:p w:rsidR="00ED0ECC" w:rsidP="008D4F82" w:rsidRDefault="008D4F82" w14:paraId="2A5A39C3" w14:textId="525A9E5D">
            <w:pPr>
              <w:pBdr>
                <w:top w:val="single" w:color="FFFFFF" w:sz="6" w:space="0"/>
                <w:left w:val="single" w:color="FFFFFF" w:sz="6" w:space="0"/>
                <w:bottom w:val="single" w:color="FFFFFF" w:sz="6" w:space="0"/>
                <w:right w:val="single" w:color="FFFFFF" w:sz="6" w:space="0"/>
              </w:pBdr>
              <w:spacing w:after="55"/>
              <w:rPr>
                <w:color w:val="000000"/>
              </w:rPr>
            </w:pPr>
            <w:r w:rsidRPr="00B04FAA">
              <w:t>Familiarization with the regulatory requirements.</w:t>
            </w:r>
          </w:p>
        </w:tc>
      </w:tr>
      <w:tr w:rsidR="00ED0ECC" w:rsidTr="00ED0ECC"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7CFAE94F" w14:textId="77777777">
            <w:pPr>
              <w:spacing w:line="120" w:lineRule="exact"/>
            </w:pPr>
          </w:p>
          <w:p w:rsidR="00ED0ECC" w:rsidP="00ED0ECC" w:rsidRDefault="00ED0ECC" w14:paraId="0EC55766" w14:textId="40D586EB">
            <w:pPr>
              <w:pBdr>
                <w:top w:val="single" w:color="FFFFFF" w:sz="6" w:space="0"/>
                <w:left w:val="single" w:color="FFFFFF" w:sz="6" w:space="0"/>
                <w:bottom w:val="single" w:color="FFFFFF" w:sz="6" w:space="0"/>
                <w:right w:val="single" w:color="FFFFFF" w:sz="6" w:space="0"/>
              </w:pBdr>
              <w:spacing w:after="55"/>
              <w:rPr>
                <w:color w:val="000000"/>
              </w:rPr>
            </w:pPr>
            <w:r w:rsidRPr="00B03FD7">
              <w:t>Install, calibrate, maintain, and operate continuous emission monitoring systems (CEMS) for carbon monoxide and oxygen.</w:t>
            </w:r>
          </w:p>
        </w:tc>
      </w:tr>
      <w:tr w:rsidR="00ED0ECC" w:rsidTr="00ED0ECC"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20B9EDEA" w14:textId="77777777">
            <w:pPr>
              <w:spacing w:line="120" w:lineRule="exact"/>
            </w:pPr>
          </w:p>
          <w:p w:rsidR="00ED0ECC" w:rsidP="00ED0ECC" w:rsidRDefault="00ED0ECC" w14:paraId="040C7A3B" w14:textId="6D75338E">
            <w:pPr>
              <w:pBdr>
                <w:top w:val="single" w:color="FFFFFF" w:sz="6" w:space="0"/>
                <w:left w:val="single" w:color="FFFFFF" w:sz="6" w:space="0"/>
                <w:bottom w:val="single" w:color="FFFFFF" w:sz="6" w:space="0"/>
                <w:right w:val="single" w:color="FFFFFF" w:sz="6" w:space="0"/>
              </w:pBdr>
              <w:spacing w:after="55"/>
              <w:rPr>
                <w:color w:val="000000"/>
              </w:rPr>
            </w:pPr>
            <w:r w:rsidRPr="00B03FD7">
              <w:t>Perform initial performance test, Reference Method 1, 3A, 3B,</w:t>
            </w:r>
            <w:r w:rsidR="002D33AC">
              <w:t xml:space="preserve"> </w:t>
            </w:r>
            <w:r w:rsidRPr="00807994" w:rsidR="002D33AC">
              <w:t>5, 6, 6C, 7, 7A, 7C, 7D, 7E</w:t>
            </w:r>
            <w:r w:rsidRPr="00807994">
              <w:t xml:space="preserve"> </w:t>
            </w:r>
            <w:r w:rsidRPr="00807994" w:rsidR="002D33AC">
              <w:t>9,10, 10A, 10B, 23,</w:t>
            </w:r>
            <w:r w:rsidR="002D33AC">
              <w:t xml:space="preserve"> </w:t>
            </w:r>
            <w:r w:rsidRPr="00B03FD7">
              <w:t>26A</w:t>
            </w:r>
            <w:r w:rsidR="002D33AC">
              <w:t xml:space="preserve">, and </w:t>
            </w:r>
            <w:r w:rsidRPr="00807994" w:rsidR="002D33AC">
              <w:t>29</w:t>
            </w:r>
            <w:r w:rsidRPr="00B03FD7">
              <w:t xml:space="preserve"> tests, and repeat performance tests if necessary.</w:t>
            </w:r>
          </w:p>
        </w:tc>
      </w:tr>
      <w:tr w:rsidR="00ED0ECC" w:rsidTr="00ED0ECC"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27F967D9" w14:textId="77777777">
            <w:pPr>
              <w:spacing w:line="120" w:lineRule="exact"/>
            </w:pPr>
          </w:p>
          <w:p w:rsidR="00ED0ECC" w:rsidP="00ED0ECC" w:rsidRDefault="00ED0ECC" w14:paraId="32FA11A9" w14:textId="2611AE53">
            <w:pPr>
              <w:pBdr>
                <w:top w:val="single" w:color="FFFFFF" w:sz="6" w:space="0"/>
                <w:left w:val="single" w:color="FFFFFF" w:sz="6" w:space="0"/>
                <w:bottom w:val="single" w:color="FFFFFF" w:sz="6" w:space="0"/>
                <w:right w:val="single" w:color="FFFFFF" w:sz="6" w:space="0"/>
              </w:pBdr>
              <w:spacing w:after="55"/>
              <w:rPr>
                <w:color w:val="000000"/>
              </w:rPr>
            </w:pPr>
            <w:r w:rsidRPr="00B03FD7">
              <w:t>Write the notifications and reports listed above.</w:t>
            </w:r>
          </w:p>
        </w:tc>
      </w:tr>
      <w:tr w:rsidR="00ED0ECC" w:rsidTr="00ED0ECC"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749EE6D3" w14:textId="77777777">
            <w:pPr>
              <w:spacing w:line="120" w:lineRule="exact"/>
            </w:pPr>
          </w:p>
          <w:p w:rsidR="00ED0ECC" w:rsidP="00ED0ECC" w:rsidRDefault="00ED0ECC" w14:paraId="7BA88497" w14:textId="0F0A31F4">
            <w:pPr>
              <w:pBdr>
                <w:top w:val="single" w:color="FFFFFF" w:sz="6" w:space="0"/>
                <w:left w:val="single" w:color="FFFFFF" w:sz="6" w:space="0"/>
                <w:bottom w:val="single" w:color="FFFFFF" w:sz="6" w:space="0"/>
                <w:right w:val="single" w:color="FFFFFF" w:sz="6" w:space="0"/>
              </w:pBdr>
              <w:spacing w:after="55"/>
              <w:rPr>
                <w:color w:val="000000"/>
              </w:rPr>
            </w:pPr>
            <w:r w:rsidRPr="00B03FD7">
              <w:t>Enter information required to be recorded above.</w:t>
            </w:r>
          </w:p>
        </w:tc>
      </w:tr>
      <w:tr w:rsidR="00ED0ECC" w:rsidTr="00ED0ECC"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310B7443" w14:textId="77777777">
            <w:pPr>
              <w:spacing w:line="120" w:lineRule="exact"/>
            </w:pPr>
          </w:p>
          <w:p w:rsidR="00ED0ECC" w:rsidP="00ED0ECC" w:rsidRDefault="00ED0ECC" w14:paraId="45548886" w14:textId="1F77EB8F">
            <w:pPr>
              <w:pBdr>
                <w:top w:val="single" w:color="FFFFFF" w:sz="6" w:space="0"/>
                <w:left w:val="single" w:color="FFFFFF" w:sz="6" w:space="0"/>
                <w:bottom w:val="single" w:color="FFFFFF" w:sz="6" w:space="0"/>
                <w:right w:val="single" w:color="FFFFFF" w:sz="6" w:space="0"/>
              </w:pBdr>
              <w:spacing w:after="55"/>
              <w:rPr>
                <w:color w:val="000000"/>
              </w:rPr>
            </w:pPr>
            <w:r w:rsidRPr="00B03FD7">
              <w:t>Submit the required reports developing, acquiring, installing, and utilizing technology and systems for the purpose of collecting, validating, and verifying information.</w:t>
            </w:r>
          </w:p>
        </w:tc>
      </w:tr>
      <w:tr w:rsidR="00ED0ECC" w:rsidTr="00ED0ECC"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1C5CECC3" w14:textId="77777777">
            <w:pPr>
              <w:spacing w:line="120" w:lineRule="exact"/>
            </w:pPr>
          </w:p>
          <w:p w:rsidR="00ED0ECC" w:rsidP="00ED0ECC" w:rsidRDefault="00ED0ECC" w14:paraId="0826CF44" w14:textId="33F3A70B">
            <w:pPr>
              <w:pBdr>
                <w:top w:val="single" w:color="FFFFFF" w:sz="6" w:space="0"/>
                <w:left w:val="single" w:color="FFFFFF" w:sz="6" w:space="0"/>
                <w:bottom w:val="single" w:color="FFFFFF" w:sz="6" w:space="0"/>
                <w:right w:val="single" w:color="FFFFFF" w:sz="6" w:space="0"/>
              </w:pBdr>
              <w:spacing w:after="55"/>
              <w:rPr>
                <w:color w:val="000000"/>
              </w:rPr>
            </w:pPr>
            <w:r w:rsidRPr="00B03FD7">
              <w:t>Develop, acquire, install, and utilize technology and systems for the purpose of processing and maintaining information.</w:t>
            </w:r>
          </w:p>
        </w:tc>
      </w:tr>
      <w:tr w:rsidR="00ED0ECC" w:rsidTr="00ED0ECC"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5A297954" w14:textId="77777777">
            <w:pPr>
              <w:spacing w:line="120" w:lineRule="exact"/>
            </w:pPr>
          </w:p>
          <w:p w:rsidR="00ED0ECC" w:rsidP="00ED0ECC" w:rsidRDefault="00ED0ECC" w14:paraId="4546D7C8" w14:textId="042079BD">
            <w:pPr>
              <w:pBdr>
                <w:top w:val="single" w:color="FFFFFF" w:sz="6" w:space="0"/>
                <w:left w:val="single" w:color="FFFFFF" w:sz="6" w:space="0"/>
                <w:bottom w:val="single" w:color="FFFFFF" w:sz="6" w:space="0"/>
                <w:right w:val="single" w:color="FFFFFF" w:sz="6" w:space="0"/>
              </w:pBdr>
              <w:spacing w:after="55"/>
              <w:rPr>
                <w:color w:val="000000"/>
              </w:rPr>
            </w:pPr>
            <w:r w:rsidRPr="00B03FD7">
              <w:t>Develop, acquire, install, and utilize technology and systems for the purpose of disclosing and providing information.</w:t>
            </w:r>
          </w:p>
        </w:tc>
      </w:tr>
      <w:tr w:rsidR="00ED0ECC" w:rsidTr="00ED0ECC"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B03FD7" w:rsidR="00ED0ECC" w:rsidP="00ED0ECC" w:rsidRDefault="00ED0ECC" w14:paraId="0ECDD296" w14:textId="77777777">
            <w:pPr>
              <w:spacing w:line="120" w:lineRule="exact"/>
            </w:pPr>
          </w:p>
          <w:p w:rsidR="00ED0ECC" w:rsidP="00ED0ECC" w:rsidRDefault="00ED0ECC" w14:paraId="350FE487" w14:textId="0914859C">
            <w:pPr>
              <w:pBdr>
                <w:top w:val="single" w:color="FFFFFF" w:sz="6" w:space="0"/>
                <w:left w:val="single" w:color="FFFFFF" w:sz="6" w:space="0"/>
                <w:bottom w:val="single" w:color="FFFFFF" w:sz="6" w:space="0"/>
                <w:right w:val="single" w:color="FFFFFF" w:sz="6" w:space="0"/>
              </w:pBdr>
              <w:spacing w:after="55"/>
              <w:rPr>
                <w:color w:val="000000"/>
              </w:rPr>
            </w:pPr>
            <w:r w:rsidRPr="00B03FD7">
              <w:t>Train personnel to be able to respond to a collection of information.</w:t>
            </w:r>
          </w:p>
        </w:tc>
      </w:tr>
      <w:tr w:rsidR="00ED0ECC" w:rsidTr="00ED0ECC"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B03FD7" w:rsidR="00ED0ECC" w:rsidP="00ED0ECC" w:rsidRDefault="00ED0ECC" w14:paraId="53901EB1" w14:textId="77777777">
            <w:pPr>
              <w:spacing w:line="120" w:lineRule="exact"/>
            </w:pPr>
          </w:p>
          <w:p w:rsidR="00ED0ECC" w:rsidP="00ED0ECC" w:rsidRDefault="00ED0ECC" w14:paraId="0D6818D7" w14:textId="5AF6586C">
            <w:pPr>
              <w:pBdr>
                <w:top w:val="single" w:color="FFFFFF" w:sz="6" w:space="0"/>
                <w:left w:val="single" w:color="FFFFFF" w:sz="6" w:space="0"/>
                <w:bottom w:val="single" w:color="FFFFFF" w:sz="6" w:space="0"/>
                <w:right w:val="single" w:color="FFFFFF" w:sz="6" w:space="0"/>
              </w:pBdr>
              <w:spacing w:after="74"/>
              <w:rPr>
                <w:color w:val="000000"/>
              </w:rPr>
            </w:pPr>
            <w:r w:rsidRPr="00B03FD7">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A6A4C8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Tr="002A29AB" w14:paraId="051B4DD5" w14:textId="77777777">
        <w:trPr>
          <w:tblHeader/>
        </w:trPr>
        <w:tc>
          <w:tcPr>
            <w:tcW w:w="9360" w:type="dxa"/>
            <w:tcBorders>
              <w:top w:val="single" w:color="auto" w:sz="4" w:space="0"/>
              <w:left w:val="single" w:color="auto" w:sz="4" w:space="0"/>
              <w:bottom w:val="single" w:color="auto" w:sz="4" w:space="0"/>
              <w:right w:val="single" w:color="auto" w:sz="4" w:space="0"/>
            </w:tcBorders>
          </w:tcPr>
          <w:p w:rsidR="00CA4CD6" w:rsidP="002A29AB" w:rsidRDefault="00CA4CD6" w14:paraId="65B5AD31" w14:textId="77777777">
            <w:pPr>
              <w:spacing w:line="120" w:lineRule="exact"/>
              <w:rPr>
                <w:color w:val="000000"/>
              </w:rPr>
            </w:pPr>
          </w:p>
          <w:p w:rsidR="00CA4CD6" w:rsidP="002A29AB" w:rsidRDefault="00CA4CD6" w14:paraId="05C22BE9" w14:textId="77777777">
            <w:pPr>
              <w:spacing w:after="52"/>
              <w:jc w:val="center"/>
              <w:rPr>
                <w:b/>
                <w:bCs/>
                <w:color w:val="000000"/>
              </w:rPr>
            </w:pPr>
            <w:r>
              <w:rPr>
                <w:b/>
                <w:bCs/>
                <w:color w:val="000000"/>
              </w:rPr>
              <w:t>Agency Activities</w:t>
            </w:r>
          </w:p>
        </w:tc>
      </w:tr>
      <w:tr w:rsidR="00CA4CD6" w:rsidTr="002A29AB" w14:paraId="6B7C826C" w14:textId="77777777">
        <w:tc>
          <w:tcPr>
            <w:tcW w:w="9360" w:type="dxa"/>
            <w:tcBorders>
              <w:top w:val="single" w:color="auto" w:sz="4" w:space="0"/>
              <w:left w:val="single" w:color="000000" w:sz="7" w:space="0"/>
              <w:bottom w:val="single" w:color="auto" w:sz="4"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rsidTr="002A29AB" w14:paraId="79595274" w14:textId="77777777">
        <w:tc>
          <w:tcPr>
            <w:tcW w:w="9360" w:type="dxa"/>
            <w:tcBorders>
              <w:top w:val="single" w:color="auto" w:sz="4" w:space="0"/>
              <w:left w:val="single" w:color="auto" w:sz="4" w:space="0"/>
              <w:bottom w:val="single" w:color="auto" w:sz="4" w:space="0"/>
              <w:right w:val="single" w:color="auto" w:sz="4" w:space="0"/>
            </w:tcBorders>
          </w:tcPr>
          <w:p w:rsidR="00CA4CD6" w:rsidP="002A29AB" w:rsidRDefault="00CA4CD6" w14:paraId="22A4494B" w14:textId="77777777">
            <w:pPr>
              <w:spacing w:line="120" w:lineRule="exact"/>
              <w:rPr>
                <w:color w:val="000000"/>
              </w:rPr>
            </w:pPr>
          </w:p>
          <w:p w:rsidR="00CA4CD6" w:rsidP="002A29AB" w:rsidRDefault="00CA4CD6" w14:paraId="139C96FE" w14:textId="77777777">
            <w:pPr>
              <w:spacing w:after="52"/>
              <w:rPr>
                <w:color w:val="000000"/>
              </w:rPr>
            </w:pPr>
            <w:r>
              <w:rPr>
                <w:color w:val="000000"/>
              </w:rPr>
              <w:t>Audit facility records.</w:t>
            </w:r>
          </w:p>
        </w:tc>
      </w:tr>
      <w:tr w:rsidRPr="00D91C34" w:rsidR="00D91C34" w:rsidTr="00BC3F53" w14:paraId="01064184" w14:textId="77777777">
        <w:trPr>
          <w:trHeight w:val="685"/>
        </w:trPr>
        <w:tc>
          <w:tcPr>
            <w:tcW w:w="9360" w:type="dxa"/>
            <w:tcBorders>
              <w:top w:val="single" w:color="auto" w:sz="4" w:space="0"/>
              <w:left w:val="single" w:color="000000" w:sz="7" w:space="0"/>
              <w:bottom w:val="single" w:color="auto" w:sz="4" w:space="0"/>
              <w:right w:val="single" w:color="000000" w:sz="7" w:space="0"/>
            </w:tcBorders>
          </w:tcPr>
          <w:p w:rsidRPr="00D91C34" w:rsidR="00CA4CD6" w:rsidP="002A29AB" w:rsidRDefault="006D4402" w14:paraId="600A2A51" w14:textId="6C49FBF6">
            <w:pPr>
              <w:pBdr>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ED0ECC" w:rsidR="00CA4CD6" w:rsidRDefault="00CA4CD6" w14:paraId="2CF35A7F" w14:textId="57F844B2">
      <w:pPr>
        <w:pBdr>
          <w:top w:val="single" w:color="FFFFFF" w:sz="6" w:space="0"/>
          <w:left w:val="single" w:color="FFFFFF" w:sz="6" w:space="0"/>
          <w:bottom w:val="single" w:color="FFFFFF" w:sz="6" w:space="0"/>
          <w:right w:val="single" w:color="FFFFFF" w:sz="6" w:space="0"/>
        </w:pBdr>
        <w:ind w:firstLine="720"/>
      </w:pPr>
      <w:r w:rsidRPr="00ED0ECC">
        <w:t xml:space="preserve">Following notification of startup, the reviewing authority </w:t>
      </w:r>
      <w:r w:rsidRPr="00ED0ECC" w:rsidR="002B29A7">
        <w:t xml:space="preserve">could </w:t>
      </w:r>
      <w:r w:rsidRPr="00ED0ECC">
        <w:t>inspect the source to determine whether the pollution control devices are properly installed and operated.</w:t>
      </w:r>
      <w:r w:rsidRPr="00ED0ECC" w:rsidR="009C7E97">
        <w:t xml:space="preserve"> </w:t>
      </w:r>
      <w:r w:rsidRPr="00ED0ECC" w:rsidR="00ED0ECC">
        <w:t>P</w:t>
      </w:r>
      <w:r w:rsidRPr="00ED0ECC">
        <w:t>erformance test reports are used by the Agency to discern a source</w:t>
      </w:r>
      <w:r w:rsidRPr="00ED0ECC" w:rsidR="004C701D">
        <w:t>’</w:t>
      </w:r>
      <w:r w:rsidRPr="00ED0ECC">
        <w:t>s initial capability to comply with the emission standard</w:t>
      </w:r>
      <w:r w:rsidRPr="00ED0ECC" w:rsidR="00ED0ECC">
        <w:t xml:space="preserve"> and</w:t>
      </w:r>
      <w:r w:rsidR="00FF4123">
        <w:t xml:space="preserve"> </w:t>
      </w:r>
      <w:r w:rsidRPr="00ED0ECC">
        <w:t>note the operating conditions under which compliance was achieved.</w:t>
      </w:r>
      <w:r w:rsidRPr="00ED0ECC" w:rsidR="009C7E97">
        <w:t xml:space="preserve"> </w:t>
      </w:r>
      <w:r>
        <w:rPr>
          <w:color w:val="000000"/>
        </w:rPr>
        <w:t xml:space="preserve">Data and records maintained by the respondents are tabulated and published for use in compliance and enforcement </w:t>
      </w:r>
      <w:r w:rsidRPr="00ED0ECC">
        <w:t>programs.</w:t>
      </w:r>
      <w:r w:rsidRPr="00ED0ECC" w:rsidR="009C7E97">
        <w:t xml:space="preserve"> </w:t>
      </w:r>
      <w:r w:rsidRPr="00ED0ECC">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0D4F200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ED0ECC">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C43E0F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w:t>
      </w:r>
      <w:r w:rsidRPr="00ED0ECC">
        <w:t xml:space="preserve">operator 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3B7911" w:rsidRDefault="003B7911" w14:paraId="48ADFDF9" w14:textId="77777777">
      <w:pPr>
        <w:pBdr>
          <w:top w:val="single" w:color="FFFFFF" w:sz="6" w:space="0"/>
          <w:left w:val="single" w:color="FFFFFF" w:sz="6" w:space="0"/>
          <w:bottom w:val="single" w:color="FFFFFF" w:sz="6" w:space="0"/>
          <w:right w:val="single" w:color="FFFFFF" w:sz="6" w:space="0"/>
        </w:pBdr>
        <w:rPr>
          <w:color w:val="000000"/>
        </w:rPr>
      </w:pPr>
    </w:p>
    <w:p w:rsidRPr="0058344C" w:rsidR="00C84503" w:rsidP="00C84503" w:rsidRDefault="0069745D" w14:paraId="0C41FE37" w14:textId="61629007">
      <w:pPr>
        <w:pBdr>
          <w:top w:val="single" w:color="FFFFFF" w:sz="6" w:space="0"/>
          <w:left w:val="single" w:color="FFFFFF" w:sz="6" w:space="0"/>
          <w:bottom w:val="single" w:color="FFFFFF" w:sz="6" w:space="0"/>
          <w:right w:val="single" w:color="FFFFFF" w:sz="6" w:space="0"/>
        </w:pBdr>
        <w:ind w:firstLine="720"/>
      </w:pPr>
      <w:r>
        <w:t>There is distribution of business sizes in this industry</w:t>
      </w:r>
      <w:r w:rsidRPr="0058344C" w:rsidR="00C84503">
        <w:t xml:space="preserve">. </w:t>
      </w:r>
      <w:r w:rsidRPr="0058344C" w:rsidR="008E776F">
        <w:t>However,</w:t>
      </w:r>
      <w:r w:rsidR="008E776F">
        <w:t xml:space="preserve"> </w:t>
      </w:r>
      <w:r w:rsidRPr="0058344C" w:rsidR="00C84503">
        <w:t xml:space="preserve">the impact on small entities (i.e., small businesses) was taken into consideration during the development of the </w:t>
      </w:r>
      <w:r w:rsidRPr="0058344C" w:rsidR="00C84503">
        <w:lastRenderedPageBreak/>
        <w:t>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3B7911"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86690B" w:rsidRDefault="00CA4CD6" w14:paraId="3E842D25" w14:textId="7E309366">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w:t>
      </w:r>
      <w:r w:rsidR="00087E60">
        <w:rPr>
          <w:color w:val="000000"/>
        </w:rPr>
        <w:t>s</w:t>
      </w:r>
      <w:r>
        <w:rPr>
          <w:color w:val="000000"/>
        </w:rPr>
        <w:t xml:space="preserve"> 1</w:t>
      </w:r>
      <w:r w:rsidR="00087E60">
        <w:rPr>
          <w:color w:val="000000"/>
        </w:rPr>
        <w:t xml:space="preserve"> through 3</w:t>
      </w:r>
      <w:r w:rsidR="00DF6B2F">
        <w:rPr>
          <w:bCs/>
        </w:rPr>
        <w:t xml:space="preserve"> in </w:t>
      </w:r>
      <w:r w:rsidR="00DF6B2F">
        <w:rPr>
          <w:color w:val="000000"/>
        </w:rPr>
        <w:t>Attachment 1</w:t>
      </w:r>
      <w:r w:rsidR="00087E60">
        <w:rPr>
          <w:color w:val="000000"/>
        </w:rPr>
        <w:t xml:space="preserve"> of this document</w:t>
      </w:r>
      <w:r w:rsidR="003B7911">
        <w:rPr>
          <w:bCs/>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8E776F" w:rsidRDefault="00CA4CD6" w14:paraId="6B42F0A0" w14:textId="2CBC0F9C">
      <w:pPr>
        <w:keepNext/>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8E776F" w:rsidRDefault="00CA4CD6" w14:paraId="02161EF1" w14:textId="77777777">
      <w:pPr>
        <w:keepNext/>
        <w:pBdr>
          <w:top w:val="single" w:color="FFFFFF" w:sz="6" w:space="1"/>
          <w:left w:val="single" w:color="FFFFFF" w:sz="6" w:space="0"/>
          <w:bottom w:val="single" w:color="FFFFFF" w:sz="6" w:space="0"/>
          <w:right w:val="single" w:color="FFFFFF" w:sz="6" w:space="0"/>
        </w:pBdr>
        <w:rPr>
          <w:b/>
          <w:bCs/>
          <w:color w:val="000000"/>
        </w:rPr>
      </w:pPr>
    </w:p>
    <w:p w:rsidR="00CA4CD6" w:rsidP="008E776F" w:rsidRDefault="00051880" w14:paraId="25ADBDEC" w14:textId="310ACAB8">
      <w:pPr>
        <w:keepNext/>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Tables 1 through 4 of Attachment 1 present an itemization of the </w:t>
      </w:r>
      <w:r w:rsidRPr="00F06571" w:rsidR="00F06571">
        <w:rPr>
          <w:color w:val="000000"/>
        </w:rPr>
        <w:t>incremental</w:t>
      </w:r>
      <w:r w:rsidR="00F06571">
        <w:rPr>
          <w:color w:val="000000"/>
        </w:rPr>
        <w:t xml:space="preserve"> </w:t>
      </w:r>
      <w:r>
        <w:rPr>
          <w:color w:val="000000"/>
        </w:rPr>
        <w:t xml:space="preserve">burden on the respondents subject to these standards for the recordkeeping and reporting requirements in the first three years following promulgation of the amendments to the standards. </w:t>
      </w:r>
      <w:r w:rsidR="00CA4CD6">
        <w:rPr>
          <w:color w:val="000000"/>
        </w:rPr>
        <w:t>The individual burdens are expressed under standardized headings believed to be consistent with the concept of burden under the Paperwork Reduction Act.</w:t>
      </w:r>
      <w:r w:rsidR="009C7E97">
        <w:rPr>
          <w:color w:val="000000"/>
        </w:rPr>
        <w:t xml:space="preserve"> </w:t>
      </w:r>
      <w:r w:rsidR="00CA4CD6">
        <w:rPr>
          <w:color w:val="000000"/>
        </w:rPr>
        <w:t>Where appropriate, specific tasks and major assumptions have been identified.</w:t>
      </w:r>
      <w:r w:rsidR="009C7E97">
        <w:rPr>
          <w:color w:val="000000"/>
        </w:rPr>
        <w:t xml:space="preserve"> </w:t>
      </w:r>
      <w:r w:rsidR="00CA4CD6">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EF23D58">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3B7911" w:rsidR="004C701D">
        <w:t xml:space="preserve">be </w:t>
      </w:r>
      <w:r w:rsidR="00F06571">
        <w:t>14</w:t>
      </w:r>
      <w:r w:rsidR="008A71ED">
        <w:t xml:space="preserve"> </w:t>
      </w:r>
      <w:r w:rsidR="0086690B">
        <w:t xml:space="preserve">hours </w:t>
      </w:r>
      <w:r w:rsidRPr="003B7911" w:rsidR="004C701D">
        <w:t>(</w:t>
      </w:r>
      <w:r w:rsidRPr="003B7911">
        <w:t xml:space="preserve">Total </w:t>
      </w:r>
      <w:r>
        <w:rPr>
          <w:color w:val="000000"/>
        </w:rPr>
        <w:t xml:space="preserve">Labor Hours from Table </w:t>
      </w:r>
      <w:r w:rsidR="003D49DA">
        <w:rPr>
          <w:color w:val="000000"/>
        </w:rPr>
        <w:t>4</w:t>
      </w:r>
      <w:r w:rsidR="00DF6B2F">
        <w:rPr>
          <w:color w:val="000000"/>
        </w:rPr>
        <w:t xml:space="preserve"> in Attachment 1 of this document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3B7911">
        <w:t>the NSPS program</w:t>
      </w:r>
      <w:r>
        <w:rPr>
          <w:color w:val="000000"/>
        </w:rPr>
        <w:t xml:space="preserve">, </w:t>
      </w:r>
      <w:r w:rsidR="00381F77">
        <w:rPr>
          <w:color w:val="000000"/>
        </w:rPr>
        <w:t xml:space="preserve">and </w:t>
      </w:r>
      <w:r>
        <w:rPr>
          <w:color w:val="000000"/>
        </w:rPr>
        <w:t>the previously approved ICR.</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8EEFB8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00C70934">
        <w:rPr>
          <w:color w:val="000000"/>
        </w:rPr>
        <w:t>147.40</w:t>
      </w:r>
      <w:r>
        <w:rPr>
          <w:color w:val="000000"/>
        </w:rPr>
        <w:t xml:space="preserve"> ($</w:t>
      </w:r>
      <w:r w:rsidR="00C70934">
        <w:rPr>
          <w:color w:val="000000"/>
        </w:rPr>
        <w:t>70.19</w:t>
      </w:r>
      <w:r w:rsidR="0062215C">
        <w:rPr>
          <w:color w:val="000000"/>
        </w:rPr>
        <w:t xml:space="preserve"> </w:t>
      </w:r>
      <w:r>
        <w:rPr>
          <w:color w:val="000000"/>
        </w:rPr>
        <w:t>+ 110%)</w:t>
      </w:r>
    </w:p>
    <w:p w:rsidR="002712EB" w:rsidP="002712EB" w:rsidRDefault="002712EB" w14:paraId="19D41358" w14:textId="352759B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w:t>
      </w:r>
      <w:r w:rsidR="00C70934">
        <w:rPr>
          <w:color w:val="000000"/>
        </w:rPr>
        <w:t>117</w:t>
      </w:r>
      <w:r w:rsidR="0062215C">
        <w:rPr>
          <w:color w:val="000000"/>
        </w:rPr>
        <w:t>.</w:t>
      </w:r>
      <w:r w:rsidR="00C70934">
        <w:rPr>
          <w:color w:val="000000"/>
        </w:rPr>
        <w:t xml:space="preserve">92 </w:t>
      </w:r>
      <w:r w:rsidR="00811EA5">
        <w:rPr>
          <w:color w:val="000000"/>
        </w:rPr>
        <w:t>($</w:t>
      </w:r>
      <w:r w:rsidR="00C70934">
        <w:rPr>
          <w:color w:val="000000"/>
        </w:rPr>
        <w:t>56.15</w:t>
      </w:r>
      <w:r>
        <w:rPr>
          <w:color w:val="000000"/>
        </w:rPr>
        <w:t xml:space="preserve"> + 110%)</w:t>
      </w:r>
    </w:p>
    <w:p w:rsidR="002712EB" w:rsidP="002712EB" w:rsidRDefault="002712EB" w14:paraId="77F6D994" w14:textId="6034D59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t>$</w:t>
      </w:r>
      <w:r w:rsidR="00C70934">
        <w:rPr>
          <w:color w:val="000000"/>
        </w:rPr>
        <w:t>57</w:t>
      </w:r>
      <w:r w:rsidR="0062215C">
        <w:rPr>
          <w:color w:val="000000"/>
        </w:rPr>
        <w:t>.</w:t>
      </w:r>
      <w:r w:rsidR="00C70934">
        <w:rPr>
          <w:color w:val="000000"/>
        </w:rPr>
        <w:t xml:space="preserve">02 </w:t>
      </w:r>
      <w:r>
        <w:rPr>
          <w:color w:val="000000"/>
        </w:rPr>
        <w:t>($</w:t>
      </w:r>
      <w:r w:rsidR="00C70934">
        <w:rPr>
          <w:color w:val="000000"/>
        </w:rPr>
        <w:t>27.15</w:t>
      </w:r>
      <w:r>
        <w:rPr>
          <w:color w:val="000000"/>
        </w:rPr>
        <w:t xml:space="preserve">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2712EB" w:rsidRDefault="002712EB" w14:paraId="02AD384D" w14:textId="41AF4BDD">
      <w:pPr>
        <w:pBdr>
          <w:top w:val="single" w:color="FFFFFF" w:sz="6" w:space="0"/>
          <w:left w:val="single" w:color="FFFFFF" w:sz="6" w:space="0"/>
          <w:bottom w:val="single" w:color="FFFFFF" w:sz="6" w:space="0"/>
          <w:right w:val="single" w:color="FFFFFF" w:sz="6" w:space="0"/>
        </w:pBdr>
        <w:rPr>
          <w:color w:val="000000"/>
        </w:rPr>
      </w:pPr>
      <w:r>
        <w:rPr>
          <w:color w:val="000000"/>
        </w:rPr>
        <w:t xml:space="preserve">These rates are from the United States Department of Labor, Bureau of Labor Statistics, </w:t>
      </w:r>
      <w:r w:rsidR="0062215C">
        <w:rPr>
          <w:color w:val="000000"/>
        </w:rPr>
        <w:t xml:space="preserve">June </w:t>
      </w:r>
      <w:r w:rsidR="00C70934">
        <w:rPr>
          <w:color w:val="000000"/>
        </w:rPr>
        <w:t>2018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w:t>
      </w:r>
      <w:r>
        <w:rPr>
          <w:color w:val="000000"/>
        </w:rPr>
        <w:lastRenderedPageBreak/>
        <w:t xml:space="preserve">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B7911"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3B7911" w:rsidR="003B7911" w:rsidRDefault="003B7911" w14:paraId="103E947F" w14:textId="77777777">
      <w:pPr>
        <w:pBdr>
          <w:top w:val="single" w:color="FFFFFF" w:sz="6" w:space="0"/>
          <w:left w:val="single" w:color="FFFFFF" w:sz="6" w:space="0"/>
          <w:bottom w:val="single" w:color="FFFFFF" w:sz="6" w:space="0"/>
          <w:right w:val="single" w:color="FFFFFF" w:sz="6" w:space="0"/>
        </w:pBdr>
        <w:ind w:firstLine="720"/>
      </w:pPr>
    </w:p>
    <w:p w:rsidRPr="003B7911" w:rsidR="00CA4CD6" w:rsidRDefault="00CA4CD6" w14:paraId="728A7CA7" w14:textId="1E1E6B37">
      <w:pPr>
        <w:pBdr>
          <w:top w:val="single" w:color="FFFFFF" w:sz="6" w:space="0"/>
          <w:left w:val="single" w:color="FFFFFF" w:sz="6" w:space="0"/>
          <w:bottom w:val="single" w:color="FFFFFF" w:sz="6" w:space="0"/>
          <w:right w:val="single" w:color="FFFFFF" w:sz="6" w:space="0"/>
        </w:pBdr>
        <w:ind w:firstLine="720"/>
      </w:pPr>
      <w:r w:rsidRPr="003B7911">
        <w:t>The type of industry costs associated with the information collection activities in the subject standard(s) are both labor costs which are addressed elsewhere in this ICR and the costs associated with continuous monitoring.</w:t>
      </w:r>
      <w:r w:rsidRPr="003B7911" w:rsidR="009C7E97">
        <w:t xml:space="preserve"> </w:t>
      </w:r>
      <w:r w:rsidRPr="003B7911">
        <w:t xml:space="preserve">The capital/startup costs are </w:t>
      </w:r>
      <w:r w:rsidRPr="003B7911" w:rsidR="001414C4">
        <w:t>one-time</w:t>
      </w:r>
      <w:r w:rsidRPr="003B7911">
        <w:t xml:space="preserve"> costs when a facility becomes subject to the regulation.</w:t>
      </w:r>
      <w:r w:rsidRPr="003B7911" w:rsidR="009C7E97">
        <w:t xml:space="preserve"> </w:t>
      </w:r>
      <w:r w:rsidRPr="003B7911">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E37600" w:rsidRDefault="00E37600" w14:paraId="4311B26E" w14:textId="322E47B5">
      <w:pPr>
        <w:pBdr>
          <w:top w:val="single" w:color="FFFFFF" w:sz="6" w:space="0"/>
          <w:left w:val="single" w:color="FFFFFF" w:sz="6" w:space="0"/>
          <w:bottom w:val="single" w:color="FFFFFF" w:sz="6" w:space="0"/>
          <w:right w:val="single" w:color="FFFFFF" w:sz="6" w:space="0"/>
        </w:pBdr>
        <w:rPr>
          <w:color w:val="000000"/>
        </w:rPr>
      </w:pPr>
    </w:p>
    <w:tbl>
      <w:tblPr>
        <w:tblW w:w="10080" w:type="dxa"/>
        <w:tblInd w:w="118" w:type="dxa"/>
        <w:tblLook w:val="04A0" w:firstRow="1" w:lastRow="0" w:firstColumn="1" w:lastColumn="0" w:noHBand="0" w:noVBand="1"/>
      </w:tblPr>
      <w:tblGrid>
        <w:gridCol w:w="1966"/>
        <w:gridCol w:w="1647"/>
        <w:gridCol w:w="1381"/>
        <w:gridCol w:w="1532"/>
        <w:gridCol w:w="1343"/>
        <w:gridCol w:w="1340"/>
        <w:gridCol w:w="871"/>
      </w:tblGrid>
      <w:tr w:rsidRPr="00E37600" w:rsidR="00E37600" w:rsidTr="00E37600" w14:paraId="5475C787" w14:textId="77777777">
        <w:trPr>
          <w:trHeight w:val="315"/>
        </w:trPr>
        <w:tc>
          <w:tcPr>
            <w:tcW w:w="13240" w:type="dxa"/>
            <w:gridSpan w:val="7"/>
            <w:tcBorders>
              <w:top w:val="single" w:color="000000" w:sz="8" w:space="0"/>
              <w:left w:val="single" w:color="000000" w:sz="8" w:space="0"/>
              <w:bottom w:val="nil"/>
              <w:right w:val="single" w:color="000000" w:sz="8" w:space="0"/>
            </w:tcBorders>
            <w:shd w:val="clear" w:color="auto" w:fill="auto"/>
            <w:vAlign w:val="center"/>
            <w:hideMark/>
          </w:tcPr>
          <w:p w:rsidRPr="00E37600" w:rsidR="00E37600" w:rsidP="00E37600" w:rsidRDefault="00E37600" w14:paraId="18F6F084" w14:textId="77777777">
            <w:pPr>
              <w:widowControl/>
              <w:autoSpaceDE/>
              <w:autoSpaceDN/>
              <w:adjustRightInd/>
              <w:rPr>
                <w:color w:val="000000"/>
              </w:rPr>
            </w:pPr>
            <w:r w:rsidRPr="00E37600">
              <w:rPr>
                <w:color w:val="000000"/>
              </w:rPr>
              <w:t> </w:t>
            </w:r>
          </w:p>
        </w:tc>
      </w:tr>
      <w:tr w:rsidRPr="00E37600" w:rsidR="00E37600" w:rsidTr="00E37600" w14:paraId="1BFF793E" w14:textId="77777777">
        <w:trPr>
          <w:trHeight w:val="330"/>
        </w:trPr>
        <w:tc>
          <w:tcPr>
            <w:tcW w:w="13240" w:type="dxa"/>
            <w:gridSpan w:val="7"/>
            <w:tcBorders>
              <w:top w:val="nil"/>
              <w:left w:val="single" w:color="000000" w:sz="8" w:space="0"/>
              <w:bottom w:val="single" w:color="auto" w:sz="8" w:space="0"/>
              <w:right w:val="single" w:color="000000" w:sz="8" w:space="0"/>
            </w:tcBorders>
            <w:shd w:val="clear" w:color="auto" w:fill="auto"/>
            <w:vAlign w:val="center"/>
            <w:hideMark/>
          </w:tcPr>
          <w:p w:rsidRPr="00E37600" w:rsidR="00E37600" w:rsidP="00E37600" w:rsidRDefault="00E37600" w14:paraId="45745C23" w14:textId="350DEC8D">
            <w:pPr>
              <w:widowControl/>
              <w:autoSpaceDE/>
              <w:autoSpaceDN/>
              <w:adjustRightInd/>
              <w:jc w:val="center"/>
              <w:rPr>
                <w:b/>
                <w:bCs/>
                <w:color w:val="000000"/>
              </w:rPr>
            </w:pPr>
            <w:r w:rsidRPr="00E37600">
              <w:rPr>
                <w:b/>
                <w:bCs/>
                <w:color w:val="000000"/>
              </w:rPr>
              <w:t xml:space="preserve">Capital/Startup vs. Operation and Maintenance (O&amp;M) </w:t>
            </w:r>
            <w:proofErr w:type="spellStart"/>
            <w:r w:rsidRPr="00E37600">
              <w:rPr>
                <w:b/>
                <w:bCs/>
                <w:color w:val="000000"/>
              </w:rPr>
              <w:t>Costs</w:t>
            </w:r>
            <w:r w:rsidRPr="003270AE" w:rsidR="003270AE">
              <w:rPr>
                <w:b/>
                <w:bCs/>
                <w:color w:val="000000"/>
                <w:vertAlign w:val="superscript"/>
              </w:rPr>
              <w:t>a</w:t>
            </w:r>
            <w:proofErr w:type="spellEnd"/>
          </w:p>
        </w:tc>
      </w:tr>
      <w:tr w:rsidRPr="00E37600" w:rsidR="00E37600" w:rsidTr="00E37600" w14:paraId="0A276656" w14:textId="77777777">
        <w:trPr>
          <w:trHeight w:val="315"/>
        </w:trPr>
        <w:tc>
          <w:tcPr>
            <w:tcW w:w="3400" w:type="dxa"/>
            <w:tcBorders>
              <w:top w:val="nil"/>
              <w:left w:val="single" w:color="auto" w:sz="8" w:space="0"/>
              <w:bottom w:val="nil"/>
              <w:right w:val="single" w:color="auto" w:sz="8" w:space="0"/>
            </w:tcBorders>
            <w:shd w:val="clear" w:color="auto" w:fill="auto"/>
            <w:vAlign w:val="center"/>
            <w:hideMark/>
          </w:tcPr>
          <w:p w:rsidRPr="00E37600" w:rsidR="00E37600" w:rsidP="00E37600" w:rsidRDefault="00E37600" w14:paraId="32DB00CA" w14:textId="77777777">
            <w:pPr>
              <w:widowControl/>
              <w:autoSpaceDE/>
              <w:autoSpaceDN/>
              <w:adjustRightInd/>
              <w:rPr>
                <w:b/>
                <w:bCs/>
                <w:color w:val="000000"/>
              </w:rPr>
            </w:pPr>
            <w:r w:rsidRPr="00E37600">
              <w:rPr>
                <w:b/>
                <w:bCs/>
                <w:color w:val="000000"/>
              </w:rPr>
              <w:t> </w:t>
            </w:r>
          </w:p>
        </w:tc>
        <w:tc>
          <w:tcPr>
            <w:tcW w:w="2080" w:type="dxa"/>
            <w:tcBorders>
              <w:top w:val="nil"/>
              <w:left w:val="nil"/>
              <w:bottom w:val="nil"/>
              <w:right w:val="single" w:color="auto" w:sz="8" w:space="0"/>
            </w:tcBorders>
            <w:shd w:val="clear" w:color="auto" w:fill="auto"/>
            <w:vAlign w:val="center"/>
            <w:hideMark/>
          </w:tcPr>
          <w:p w:rsidRPr="00E37600" w:rsidR="00E37600" w:rsidP="00E37600" w:rsidRDefault="00E37600" w14:paraId="16BA00E1" w14:textId="77777777">
            <w:pPr>
              <w:widowControl/>
              <w:autoSpaceDE/>
              <w:autoSpaceDN/>
              <w:adjustRightInd/>
              <w:rPr>
                <w:color w:val="000000"/>
                <w:sz w:val="20"/>
                <w:szCs w:val="20"/>
              </w:rPr>
            </w:pPr>
            <w:r w:rsidRPr="00E37600">
              <w:rPr>
                <w:color w:val="000000"/>
                <w:sz w:val="20"/>
                <w:szCs w:val="20"/>
              </w:rPr>
              <w:t> </w:t>
            </w:r>
          </w:p>
        </w:tc>
        <w:tc>
          <w:tcPr>
            <w:tcW w:w="1660" w:type="dxa"/>
            <w:tcBorders>
              <w:top w:val="nil"/>
              <w:left w:val="nil"/>
              <w:bottom w:val="nil"/>
              <w:right w:val="single" w:color="auto" w:sz="8" w:space="0"/>
            </w:tcBorders>
            <w:shd w:val="clear" w:color="auto" w:fill="auto"/>
            <w:vAlign w:val="center"/>
            <w:hideMark/>
          </w:tcPr>
          <w:p w:rsidRPr="00E37600" w:rsidR="00E37600" w:rsidP="00E37600" w:rsidRDefault="00E37600" w14:paraId="78C073C1" w14:textId="77777777">
            <w:pPr>
              <w:widowControl/>
              <w:autoSpaceDE/>
              <w:autoSpaceDN/>
              <w:adjustRightInd/>
              <w:rPr>
                <w:color w:val="000000"/>
                <w:sz w:val="20"/>
                <w:szCs w:val="20"/>
              </w:rPr>
            </w:pPr>
            <w:r w:rsidRPr="00E37600">
              <w:rPr>
                <w:color w:val="000000"/>
                <w:sz w:val="20"/>
                <w:szCs w:val="20"/>
              </w:rPr>
              <w:t> </w:t>
            </w:r>
          </w:p>
        </w:tc>
        <w:tc>
          <w:tcPr>
            <w:tcW w:w="1740" w:type="dxa"/>
            <w:tcBorders>
              <w:top w:val="nil"/>
              <w:left w:val="nil"/>
              <w:bottom w:val="nil"/>
              <w:right w:val="single" w:color="auto" w:sz="8" w:space="0"/>
            </w:tcBorders>
            <w:shd w:val="clear" w:color="auto" w:fill="auto"/>
            <w:vAlign w:val="center"/>
            <w:hideMark/>
          </w:tcPr>
          <w:p w:rsidRPr="00E37600" w:rsidR="00E37600" w:rsidP="00E37600" w:rsidRDefault="00E37600" w14:paraId="0A259FEA" w14:textId="77777777">
            <w:pPr>
              <w:widowControl/>
              <w:autoSpaceDE/>
              <w:autoSpaceDN/>
              <w:adjustRightInd/>
              <w:rPr>
                <w:color w:val="000000"/>
                <w:sz w:val="20"/>
                <w:szCs w:val="20"/>
              </w:rPr>
            </w:pPr>
            <w:r w:rsidRPr="00E37600">
              <w:rPr>
                <w:color w:val="000000"/>
                <w:sz w:val="20"/>
                <w:szCs w:val="20"/>
              </w:rPr>
              <w:t> </w:t>
            </w:r>
          </w:p>
        </w:tc>
        <w:tc>
          <w:tcPr>
            <w:tcW w:w="1700" w:type="dxa"/>
            <w:tcBorders>
              <w:top w:val="nil"/>
              <w:left w:val="nil"/>
              <w:bottom w:val="nil"/>
              <w:right w:val="single" w:color="auto" w:sz="8" w:space="0"/>
            </w:tcBorders>
            <w:shd w:val="clear" w:color="auto" w:fill="auto"/>
            <w:vAlign w:val="center"/>
            <w:hideMark/>
          </w:tcPr>
          <w:p w:rsidRPr="00E37600" w:rsidR="00E37600" w:rsidP="00E37600" w:rsidRDefault="00E37600" w14:paraId="60747D97" w14:textId="77777777">
            <w:pPr>
              <w:widowControl/>
              <w:autoSpaceDE/>
              <w:autoSpaceDN/>
              <w:adjustRightInd/>
              <w:rPr>
                <w:color w:val="000000"/>
                <w:sz w:val="20"/>
                <w:szCs w:val="20"/>
              </w:rPr>
            </w:pPr>
            <w:r w:rsidRPr="00E37600">
              <w:rPr>
                <w:color w:val="000000"/>
                <w:sz w:val="20"/>
                <w:szCs w:val="20"/>
              </w:rPr>
              <w:t> </w:t>
            </w:r>
          </w:p>
        </w:tc>
        <w:tc>
          <w:tcPr>
            <w:tcW w:w="1540" w:type="dxa"/>
            <w:tcBorders>
              <w:top w:val="nil"/>
              <w:left w:val="nil"/>
              <w:bottom w:val="nil"/>
              <w:right w:val="single" w:color="auto" w:sz="8" w:space="0"/>
            </w:tcBorders>
            <w:shd w:val="clear" w:color="auto" w:fill="auto"/>
            <w:vAlign w:val="center"/>
            <w:hideMark/>
          </w:tcPr>
          <w:p w:rsidRPr="00E37600" w:rsidR="00E37600" w:rsidP="00E37600" w:rsidRDefault="00E37600" w14:paraId="700302CA" w14:textId="77777777">
            <w:pPr>
              <w:widowControl/>
              <w:autoSpaceDE/>
              <w:autoSpaceDN/>
              <w:adjustRightInd/>
              <w:rPr>
                <w:color w:val="000000"/>
                <w:sz w:val="20"/>
                <w:szCs w:val="20"/>
              </w:rPr>
            </w:pPr>
            <w:r w:rsidRPr="00E37600">
              <w:rPr>
                <w:color w:val="000000"/>
                <w:sz w:val="20"/>
                <w:szCs w:val="20"/>
              </w:rPr>
              <w:t> </w:t>
            </w:r>
          </w:p>
        </w:tc>
        <w:tc>
          <w:tcPr>
            <w:tcW w:w="1120" w:type="dxa"/>
            <w:tcBorders>
              <w:top w:val="nil"/>
              <w:left w:val="nil"/>
              <w:bottom w:val="nil"/>
              <w:right w:val="single" w:color="auto" w:sz="8" w:space="0"/>
            </w:tcBorders>
            <w:shd w:val="clear" w:color="auto" w:fill="auto"/>
            <w:vAlign w:val="center"/>
            <w:hideMark/>
          </w:tcPr>
          <w:p w:rsidRPr="00E37600" w:rsidR="00E37600" w:rsidP="00E37600" w:rsidRDefault="00E37600" w14:paraId="3E8EDFAB" w14:textId="77777777">
            <w:pPr>
              <w:widowControl/>
              <w:autoSpaceDE/>
              <w:autoSpaceDN/>
              <w:adjustRightInd/>
              <w:rPr>
                <w:color w:val="000000"/>
                <w:sz w:val="20"/>
                <w:szCs w:val="20"/>
              </w:rPr>
            </w:pPr>
            <w:r w:rsidRPr="00E37600">
              <w:rPr>
                <w:color w:val="000000"/>
                <w:sz w:val="20"/>
                <w:szCs w:val="20"/>
              </w:rPr>
              <w:t> </w:t>
            </w:r>
          </w:p>
        </w:tc>
      </w:tr>
      <w:tr w:rsidRPr="00E37600" w:rsidR="00E37600" w:rsidTr="00E37600" w14:paraId="203ED432" w14:textId="77777777">
        <w:trPr>
          <w:trHeight w:val="300"/>
        </w:trPr>
        <w:tc>
          <w:tcPr>
            <w:tcW w:w="3400" w:type="dxa"/>
            <w:tcBorders>
              <w:top w:val="nil"/>
              <w:left w:val="single" w:color="auto" w:sz="8" w:space="0"/>
              <w:bottom w:val="nil"/>
              <w:right w:val="single" w:color="auto" w:sz="8" w:space="0"/>
            </w:tcBorders>
            <w:shd w:val="clear" w:color="auto" w:fill="auto"/>
            <w:vAlign w:val="center"/>
            <w:hideMark/>
          </w:tcPr>
          <w:p w:rsidRPr="00E37600" w:rsidR="00E37600" w:rsidP="00E37600" w:rsidRDefault="00E37600" w14:paraId="248DA219" w14:textId="77777777">
            <w:pPr>
              <w:widowControl/>
              <w:autoSpaceDE/>
              <w:autoSpaceDN/>
              <w:adjustRightInd/>
              <w:jc w:val="center"/>
              <w:rPr>
                <w:color w:val="000000"/>
                <w:sz w:val="20"/>
                <w:szCs w:val="20"/>
              </w:rPr>
            </w:pPr>
            <w:r w:rsidRPr="00E37600">
              <w:rPr>
                <w:color w:val="000000"/>
                <w:sz w:val="20"/>
                <w:szCs w:val="20"/>
              </w:rPr>
              <w:t>(A)</w:t>
            </w:r>
          </w:p>
        </w:tc>
        <w:tc>
          <w:tcPr>
            <w:tcW w:w="2080" w:type="dxa"/>
            <w:tcBorders>
              <w:top w:val="nil"/>
              <w:left w:val="nil"/>
              <w:bottom w:val="nil"/>
              <w:right w:val="single" w:color="auto" w:sz="8" w:space="0"/>
            </w:tcBorders>
            <w:shd w:val="clear" w:color="auto" w:fill="auto"/>
            <w:vAlign w:val="center"/>
            <w:hideMark/>
          </w:tcPr>
          <w:p w:rsidRPr="00E37600" w:rsidR="00E37600" w:rsidP="00E37600" w:rsidRDefault="00E37600" w14:paraId="68905D0A" w14:textId="77777777">
            <w:pPr>
              <w:widowControl/>
              <w:autoSpaceDE/>
              <w:autoSpaceDN/>
              <w:adjustRightInd/>
              <w:jc w:val="center"/>
              <w:rPr>
                <w:color w:val="000000"/>
                <w:sz w:val="20"/>
                <w:szCs w:val="20"/>
              </w:rPr>
            </w:pPr>
            <w:r w:rsidRPr="00E37600">
              <w:rPr>
                <w:color w:val="000000"/>
                <w:sz w:val="20"/>
                <w:szCs w:val="20"/>
              </w:rPr>
              <w:t>(B)</w:t>
            </w:r>
          </w:p>
        </w:tc>
        <w:tc>
          <w:tcPr>
            <w:tcW w:w="1660" w:type="dxa"/>
            <w:tcBorders>
              <w:top w:val="nil"/>
              <w:left w:val="nil"/>
              <w:bottom w:val="nil"/>
              <w:right w:val="single" w:color="auto" w:sz="8" w:space="0"/>
            </w:tcBorders>
            <w:shd w:val="clear" w:color="auto" w:fill="auto"/>
            <w:vAlign w:val="center"/>
            <w:hideMark/>
          </w:tcPr>
          <w:p w:rsidRPr="00E37600" w:rsidR="00E37600" w:rsidP="00E37600" w:rsidRDefault="00E37600" w14:paraId="054E3F2C" w14:textId="77777777">
            <w:pPr>
              <w:widowControl/>
              <w:autoSpaceDE/>
              <w:autoSpaceDN/>
              <w:adjustRightInd/>
              <w:jc w:val="center"/>
              <w:rPr>
                <w:color w:val="000000"/>
                <w:sz w:val="20"/>
                <w:szCs w:val="20"/>
              </w:rPr>
            </w:pPr>
            <w:r w:rsidRPr="00E37600">
              <w:rPr>
                <w:color w:val="000000"/>
                <w:sz w:val="20"/>
                <w:szCs w:val="20"/>
              </w:rPr>
              <w:t>(C)</w:t>
            </w:r>
          </w:p>
        </w:tc>
        <w:tc>
          <w:tcPr>
            <w:tcW w:w="1740" w:type="dxa"/>
            <w:tcBorders>
              <w:top w:val="nil"/>
              <w:left w:val="nil"/>
              <w:bottom w:val="nil"/>
              <w:right w:val="single" w:color="auto" w:sz="8" w:space="0"/>
            </w:tcBorders>
            <w:shd w:val="clear" w:color="auto" w:fill="auto"/>
            <w:vAlign w:val="center"/>
            <w:hideMark/>
          </w:tcPr>
          <w:p w:rsidRPr="00E37600" w:rsidR="00E37600" w:rsidP="00E37600" w:rsidRDefault="00E37600" w14:paraId="25DA3C19" w14:textId="77777777">
            <w:pPr>
              <w:widowControl/>
              <w:autoSpaceDE/>
              <w:autoSpaceDN/>
              <w:adjustRightInd/>
              <w:jc w:val="center"/>
              <w:rPr>
                <w:color w:val="000000"/>
                <w:sz w:val="20"/>
                <w:szCs w:val="20"/>
              </w:rPr>
            </w:pPr>
            <w:r w:rsidRPr="00E37600">
              <w:rPr>
                <w:color w:val="000000"/>
                <w:sz w:val="20"/>
                <w:szCs w:val="20"/>
              </w:rPr>
              <w:t>(D)</w:t>
            </w:r>
          </w:p>
        </w:tc>
        <w:tc>
          <w:tcPr>
            <w:tcW w:w="1700" w:type="dxa"/>
            <w:tcBorders>
              <w:top w:val="nil"/>
              <w:left w:val="nil"/>
              <w:bottom w:val="nil"/>
              <w:right w:val="single" w:color="auto" w:sz="8" w:space="0"/>
            </w:tcBorders>
            <w:shd w:val="clear" w:color="auto" w:fill="auto"/>
            <w:vAlign w:val="center"/>
            <w:hideMark/>
          </w:tcPr>
          <w:p w:rsidRPr="00E37600" w:rsidR="00E37600" w:rsidP="00E37600" w:rsidRDefault="00E37600" w14:paraId="40405F01" w14:textId="77777777">
            <w:pPr>
              <w:widowControl/>
              <w:autoSpaceDE/>
              <w:autoSpaceDN/>
              <w:adjustRightInd/>
              <w:jc w:val="center"/>
              <w:rPr>
                <w:color w:val="000000"/>
                <w:sz w:val="20"/>
                <w:szCs w:val="20"/>
              </w:rPr>
            </w:pPr>
            <w:r w:rsidRPr="00E37600">
              <w:rPr>
                <w:color w:val="000000"/>
                <w:sz w:val="20"/>
                <w:szCs w:val="20"/>
              </w:rPr>
              <w:t>(E)</w:t>
            </w:r>
          </w:p>
        </w:tc>
        <w:tc>
          <w:tcPr>
            <w:tcW w:w="1540" w:type="dxa"/>
            <w:tcBorders>
              <w:top w:val="nil"/>
              <w:left w:val="nil"/>
              <w:bottom w:val="nil"/>
              <w:right w:val="single" w:color="auto" w:sz="8" w:space="0"/>
            </w:tcBorders>
            <w:shd w:val="clear" w:color="auto" w:fill="auto"/>
            <w:vAlign w:val="center"/>
            <w:hideMark/>
          </w:tcPr>
          <w:p w:rsidRPr="00E37600" w:rsidR="00E37600" w:rsidP="00E37600" w:rsidRDefault="00E37600" w14:paraId="00896DA1" w14:textId="77777777">
            <w:pPr>
              <w:widowControl/>
              <w:autoSpaceDE/>
              <w:autoSpaceDN/>
              <w:adjustRightInd/>
              <w:jc w:val="center"/>
              <w:rPr>
                <w:color w:val="000000"/>
                <w:sz w:val="20"/>
                <w:szCs w:val="20"/>
              </w:rPr>
            </w:pPr>
            <w:r w:rsidRPr="00E37600">
              <w:rPr>
                <w:color w:val="000000"/>
                <w:sz w:val="20"/>
                <w:szCs w:val="20"/>
              </w:rPr>
              <w:t>(F)</w:t>
            </w:r>
          </w:p>
        </w:tc>
        <w:tc>
          <w:tcPr>
            <w:tcW w:w="1120" w:type="dxa"/>
            <w:tcBorders>
              <w:top w:val="nil"/>
              <w:left w:val="nil"/>
              <w:bottom w:val="nil"/>
              <w:right w:val="single" w:color="auto" w:sz="8" w:space="0"/>
            </w:tcBorders>
            <w:shd w:val="clear" w:color="auto" w:fill="auto"/>
            <w:vAlign w:val="center"/>
            <w:hideMark/>
          </w:tcPr>
          <w:p w:rsidRPr="00E37600" w:rsidR="00E37600" w:rsidP="00E37600" w:rsidRDefault="00E37600" w14:paraId="333F58CF" w14:textId="77777777">
            <w:pPr>
              <w:widowControl/>
              <w:autoSpaceDE/>
              <w:autoSpaceDN/>
              <w:adjustRightInd/>
              <w:jc w:val="center"/>
              <w:rPr>
                <w:color w:val="000000"/>
                <w:sz w:val="20"/>
                <w:szCs w:val="20"/>
              </w:rPr>
            </w:pPr>
            <w:r w:rsidRPr="00E37600">
              <w:rPr>
                <w:color w:val="000000"/>
                <w:sz w:val="20"/>
                <w:szCs w:val="20"/>
              </w:rPr>
              <w:t>(G)</w:t>
            </w:r>
          </w:p>
        </w:tc>
      </w:tr>
      <w:tr w:rsidRPr="00E37600" w:rsidR="00E37600" w:rsidTr="00E37600" w14:paraId="5446197B" w14:textId="77777777">
        <w:trPr>
          <w:trHeight w:val="765"/>
        </w:trPr>
        <w:tc>
          <w:tcPr>
            <w:tcW w:w="3400" w:type="dxa"/>
            <w:tcBorders>
              <w:top w:val="nil"/>
              <w:left w:val="single" w:color="auto" w:sz="8" w:space="0"/>
              <w:bottom w:val="nil"/>
              <w:right w:val="single" w:color="auto" w:sz="8" w:space="0"/>
            </w:tcBorders>
            <w:shd w:val="clear" w:color="auto" w:fill="auto"/>
            <w:vAlign w:val="center"/>
            <w:hideMark/>
          </w:tcPr>
          <w:p w:rsidRPr="00E37600" w:rsidR="00E37600" w:rsidP="00E37600" w:rsidRDefault="00E37600" w14:paraId="255F3CB9" w14:textId="77777777">
            <w:pPr>
              <w:widowControl/>
              <w:autoSpaceDE/>
              <w:autoSpaceDN/>
              <w:adjustRightInd/>
              <w:rPr>
                <w:color w:val="000000"/>
                <w:sz w:val="20"/>
                <w:szCs w:val="20"/>
              </w:rPr>
            </w:pPr>
            <w:r w:rsidRPr="00E37600">
              <w:rPr>
                <w:color w:val="000000"/>
                <w:sz w:val="20"/>
                <w:szCs w:val="20"/>
              </w:rPr>
              <w:t>Cost Description</w:t>
            </w:r>
          </w:p>
        </w:tc>
        <w:tc>
          <w:tcPr>
            <w:tcW w:w="2080" w:type="dxa"/>
            <w:tcBorders>
              <w:top w:val="nil"/>
              <w:left w:val="nil"/>
              <w:bottom w:val="nil"/>
              <w:right w:val="single" w:color="auto" w:sz="8" w:space="0"/>
            </w:tcBorders>
            <w:shd w:val="clear" w:color="auto" w:fill="auto"/>
            <w:vAlign w:val="center"/>
            <w:hideMark/>
          </w:tcPr>
          <w:p w:rsidRPr="00E37600" w:rsidR="00E37600" w:rsidP="00E37600" w:rsidRDefault="00E37600" w14:paraId="51A94A07" w14:textId="77777777">
            <w:pPr>
              <w:widowControl/>
              <w:autoSpaceDE/>
              <w:autoSpaceDN/>
              <w:adjustRightInd/>
              <w:rPr>
                <w:color w:val="000000"/>
                <w:sz w:val="20"/>
                <w:szCs w:val="20"/>
              </w:rPr>
            </w:pPr>
            <w:r w:rsidRPr="00E37600">
              <w:rPr>
                <w:color w:val="000000"/>
                <w:sz w:val="20"/>
                <w:szCs w:val="20"/>
              </w:rPr>
              <w:t>Capital/Startup Cost for One Respondent</w:t>
            </w:r>
          </w:p>
        </w:tc>
        <w:tc>
          <w:tcPr>
            <w:tcW w:w="1660" w:type="dxa"/>
            <w:tcBorders>
              <w:top w:val="nil"/>
              <w:left w:val="nil"/>
              <w:bottom w:val="nil"/>
              <w:right w:val="single" w:color="auto" w:sz="8" w:space="0"/>
            </w:tcBorders>
            <w:shd w:val="clear" w:color="auto" w:fill="auto"/>
            <w:vAlign w:val="center"/>
            <w:hideMark/>
          </w:tcPr>
          <w:p w:rsidRPr="00E37600" w:rsidR="00E37600" w:rsidP="00E37600" w:rsidRDefault="00E37600" w14:paraId="6689D54E" w14:textId="77777777">
            <w:pPr>
              <w:widowControl/>
              <w:autoSpaceDE/>
              <w:autoSpaceDN/>
              <w:adjustRightInd/>
              <w:rPr>
                <w:color w:val="000000"/>
                <w:sz w:val="20"/>
                <w:szCs w:val="20"/>
              </w:rPr>
            </w:pPr>
            <w:r w:rsidRPr="00E37600">
              <w:rPr>
                <w:color w:val="000000"/>
                <w:sz w:val="20"/>
                <w:szCs w:val="20"/>
              </w:rPr>
              <w:t xml:space="preserve">Number of New Respondents </w:t>
            </w:r>
          </w:p>
        </w:tc>
        <w:tc>
          <w:tcPr>
            <w:tcW w:w="1740" w:type="dxa"/>
            <w:tcBorders>
              <w:top w:val="nil"/>
              <w:left w:val="nil"/>
              <w:bottom w:val="nil"/>
              <w:right w:val="single" w:color="auto" w:sz="8" w:space="0"/>
            </w:tcBorders>
            <w:shd w:val="clear" w:color="auto" w:fill="auto"/>
            <w:vAlign w:val="center"/>
            <w:hideMark/>
          </w:tcPr>
          <w:p w:rsidRPr="00E37600" w:rsidR="00E37600" w:rsidP="00E37600" w:rsidRDefault="00E37600" w14:paraId="50C902ED" w14:textId="77777777">
            <w:pPr>
              <w:widowControl/>
              <w:autoSpaceDE/>
              <w:autoSpaceDN/>
              <w:adjustRightInd/>
              <w:rPr>
                <w:color w:val="000000"/>
                <w:sz w:val="20"/>
                <w:szCs w:val="20"/>
              </w:rPr>
            </w:pPr>
            <w:r w:rsidRPr="00E37600">
              <w:rPr>
                <w:color w:val="000000"/>
                <w:sz w:val="20"/>
                <w:szCs w:val="20"/>
              </w:rPr>
              <w:t>Total Capital/Startup Cost, (B X C)</w:t>
            </w:r>
          </w:p>
        </w:tc>
        <w:tc>
          <w:tcPr>
            <w:tcW w:w="1700" w:type="dxa"/>
            <w:tcBorders>
              <w:top w:val="nil"/>
              <w:left w:val="nil"/>
              <w:bottom w:val="nil"/>
              <w:right w:val="single" w:color="auto" w:sz="8" w:space="0"/>
            </w:tcBorders>
            <w:shd w:val="clear" w:color="auto" w:fill="auto"/>
            <w:vAlign w:val="center"/>
            <w:hideMark/>
          </w:tcPr>
          <w:p w:rsidRPr="00E37600" w:rsidR="00E37600" w:rsidP="00E37600" w:rsidRDefault="00E37600" w14:paraId="4A822606" w14:textId="77777777">
            <w:pPr>
              <w:widowControl/>
              <w:autoSpaceDE/>
              <w:autoSpaceDN/>
              <w:adjustRightInd/>
              <w:rPr>
                <w:color w:val="000000"/>
                <w:sz w:val="20"/>
                <w:szCs w:val="20"/>
              </w:rPr>
            </w:pPr>
            <w:r w:rsidRPr="00E37600">
              <w:rPr>
                <w:color w:val="000000"/>
                <w:sz w:val="20"/>
                <w:szCs w:val="20"/>
              </w:rPr>
              <w:t>Annual O&amp;M Costs for One Respondent</w:t>
            </w:r>
          </w:p>
        </w:tc>
        <w:tc>
          <w:tcPr>
            <w:tcW w:w="1540" w:type="dxa"/>
            <w:tcBorders>
              <w:top w:val="nil"/>
              <w:left w:val="nil"/>
              <w:bottom w:val="nil"/>
              <w:right w:val="single" w:color="auto" w:sz="8" w:space="0"/>
            </w:tcBorders>
            <w:shd w:val="clear" w:color="auto" w:fill="auto"/>
            <w:vAlign w:val="center"/>
            <w:hideMark/>
          </w:tcPr>
          <w:p w:rsidRPr="00E37600" w:rsidR="00E37600" w:rsidP="00E37600" w:rsidRDefault="00E37600" w14:paraId="7DF98B8B" w14:textId="77777777">
            <w:pPr>
              <w:widowControl/>
              <w:autoSpaceDE/>
              <w:autoSpaceDN/>
              <w:adjustRightInd/>
              <w:rPr>
                <w:color w:val="000000"/>
                <w:sz w:val="20"/>
                <w:szCs w:val="20"/>
              </w:rPr>
            </w:pPr>
            <w:r w:rsidRPr="00E37600">
              <w:rPr>
                <w:color w:val="000000"/>
                <w:sz w:val="20"/>
                <w:szCs w:val="20"/>
              </w:rPr>
              <w:t>Number of Respondents with O&amp;M</w:t>
            </w:r>
          </w:p>
        </w:tc>
        <w:tc>
          <w:tcPr>
            <w:tcW w:w="1120" w:type="dxa"/>
            <w:tcBorders>
              <w:top w:val="nil"/>
              <w:left w:val="nil"/>
              <w:bottom w:val="nil"/>
              <w:right w:val="single" w:color="auto" w:sz="8" w:space="0"/>
            </w:tcBorders>
            <w:shd w:val="clear" w:color="auto" w:fill="auto"/>
            <w:vAlign w:val="center"/>
            <w:hideMark/>
          </w:tcPr>
          <w:p w:rsidRPr="00E37600" w:rsidR="00E37600" w:rsidP="00E37600" w:rsidRDefault="00E37600" w14:paraId="696B4BC1" w14:textId="77777777">
            <w:pPr>
              <w:widowControl/>
              <w:autoSpaceDE/>
              <w:autoSpaceDN/>
              <w:adjustRightInd/>
              <w:rPr>
                <w:color w:val="000000"/>
                <w:sz w:val="20"/>
                <w:szCs w:val="20"/>
              </w:rPr>
            </w:pPr>
            <w:r w:rsidRPr="00E37600">
              <w:rPr>
                <w:color w:val="000000"/>
                <w:sz w:val="20"/>
                <w:szCs w:val="20"/>
              </w:rPr>
              <w:t>Total O&amp;M,</w:t>
            </w:r>
          </w:p>
        </w:tc>
      </w:tr>
      <w:tr w:rsidRPr="00E37600" w:rsidR="00E37600" w:rsidTr="00E37600" w14:paraId="5A83B67B" w14:textId="77777777">
        <w:trPr>
          <w:trHeight w:val="300"/>
        </w:trPr>
        <w:tc>
          <w:tcPr>
            <w:tcW w:w="3400" w:type="dxa"/>
            <w:tcBorders>
              <w:top w:val="nil"/>
              <w:left w:val="single" w:color="auto" w:sz="8" w:space="0"/>
              <w:bottom w:val="nil"/>
              <w:right w:val="single" w:color="auto" w:sz="8" w:space="0"/>
            </w:tcBorders>
            <w:shd w:val="clear" w:color="auto" w:fill="auto"/>
            <w:hideMark/>
          </w:tcPr>
          <w:p w:rsidRPr="00E37600" w:rsidR="00E37600" w:rsidP="00E37600" w:rsidRDefault="00E37600" w14:paraId="204C72E1" w14:textId="77777777">
            <w:pPr>
              <w:widowControl/>
              <w:autoSpaceDE/>
              <w:autoSpaceDN/>
              <w:adjustRightInd/>
              <w:rPr>
                <w:rFonts w:ascii="Calibri" w:hAnsi="Calibri" w:cs="Calibri"/>
                <w:color w:val="000000"/>
                <w:sz w:val="22"/>
                <w:szCs w:val="22"/>
              </w:rPr>
            </w:pPr>
            <w:r w:rsidRPr="00E37600">
              <w:rPr>
                <w:rFonts w:ascii="Calibri" w:hAnsi="Calibri" w:cs="Calibri"/>
                <w:color w:val="000000"/>
                <w:sz w:val="22"/>
                <w:szCs w:val="22"/>
              </w:rPr>
              <w:t> </w:t>
            </w:r>
          </w:p>
        </w:tc>
        <w:tc>
          <w:tcPr>
            <w:tcW w:w="2080" w:type="dxa"/>
            <w:tcBorders>
              <w:top w:val="nil"/>
              <w:left w:val="nil"/>
              <w:bottom w:val="nil"/>
              <w:right w:val="single" w:color="auto" w:sz="8" w:space="0"/>
            </w:tcBorders>
            <w:shd w:val="clear" w:color="auto" w:fill="auto"/>
            <w:hideMark/>
          </w:tcPr>
          <w:p w:rsidRPr="00E37600" w:rsidR="00E37600" w:rsidP="00E37600" w:rsidRDefault="00E37600" w14:paraId="2FDFEA7F" w14:textId="77777777">
            <w:pPr>
              <w:widowControl/>
              <w:autoSpaceDE/>
              <w:autoSpaceDN/>
              <w:adjustRightInd/>
              <w:rPr>
                <w:rFonts w:ascii="Calibri" w:hAnsi="Calibri" w:cs="Calibri"/>
                <w:color w:val="000000"/>
                <w:sz w:val="22"/>
                <w:szCs w:val="22"/>
              </w:rPr>
            </w:pPr>
            <w:r w:rsidRPr="00E37600">
              <w:rPr>
                <w:rFonts w:ascii="Calibri" w:hAnsi="Calibri" w:cs="Calibri"/>
                <w:color w:val="000000"/>
                <w:sz w:val="22"/>
                <w:szCs w:val="22"/>
              </w:rPr>
              <w:t> </w:t>
            </w:r>
          </w:p>
        </w:tc>
        <w:tc>
          <w:tcPr>
            <w:tcW w:w="1660" w:type="dxa"/>
            <w:tcBorders>
              <w:top w:val="nil"/>
              <w:left w:val="nil"/>
              <w:bottom w:val="nil"/>
              <w:right w:val="single" w:color="auto" w:sz="8" w:space="0"/>
            </w:tcBorders>
            <w:shd w:val="clear" w:color="auto" w:fill="auto"/>
            <w:hideMark/>
          </w:tcPr>
          <w:p w:rsidRPr="00E37600" w:rsidR="00E37600" w:rsidP="00E37600" w:rsidRDefault="00E37600" w14:paraId="3C33CBED" w14:textId="77777777">
            <w:pPr>
              <w:widowControl/>
              <w:autoSpaceDE/>
              <w:autoSpaceDN/>
              <w:adjustRightInd/>
              <w:rPr>
                <w:rFonts w:ascii="Calibri" w:hAnsi="Calibri" w:cs="Calibri"/>
                <w:color w:val="000000"/>
                <w:sz w:val="22"/>
                <w:szCs w:val="22"/>
              </w:rPr>
            </w:pPr>
            <w:r w:rsidRPr="00E37600">
              <w:rPr>
                <w:rFonts w:ascii="Calibri" w:hAnsi="Calibri" w:cs="Calibri"/>
                <w:color w:val="000000"/>
                <w:sz w:val="22"/>
                <w:szCs w:val="22"/>
              </w:rPr>
              <w:t> </w:t>
            </w:r>
          </w:p>
        </w:tc>
        <w:tc>
          <w:tcPr>
            <w:tcW w:w="1740" w:type="dxa"/>
            <w:tcBorders>
              <w:top w:val="nil"/>
              <w:left w:val="nil"/>
              <w:bottom w:val="nil"/>
              <w:right w:val="single" w:color="auto" w:sz="8" w:space="0"/>
            </w:tcBorders>
            <w:shd w:val="clear" w:color="auto" w:fill="auto"/>
            <w:hideMark/>
          </w:tcPr>
          <w:p w:rsidRPr="00E37600" w:rsidR="00E37600" w:rsidP="00E37600" w:rsidRDefault="00E37600" w14:paraId="2A230902" w14:textId="77777777">
            <w:pPr>
              <w:widowControl/>
              <w:autoSpaceDE/>
              <w:autoSpaceDN/>
              <w:adjustRightInd/>
              <w:rPr>
                <w:rFonts w:ascii="Calibri" w:hAnsi="Calibri" w:cs="Calibri"/>
                <w:color w:val="000000"/>
                <w:sz w:val="22"/>
                <w:szCs w:val="22"/>
              </w:rPr>
            </w:pPr>
            <w:r w:rsidRPr="00E37600">
              <w:rPr>
                <w:rFonts w:ascii="Calibri" w:hAnsi="Calibri" w:cs="Calibri"/>
                <w:color w:val="000000"/>
                <w:sz w:val="22"/>
                <w:szCs w:val="22"/>
              </w:rPr>
              <w:t> </w:t>
            </w:r>
          </w:p>
        </w:tc>
        <w:tc>
          <w:tcPr>
            <w:tcW w:w="1700" w:type="dxa"/>
            <w:tcBorders>
              <w:top w:val="nil"/>
              <w:left w:val="nil"/>
              <w:bottom w:val="nil"/>
              <w:right w:val="single" w:color="auto" w:sz="8" w:space="0"/>
            </w:tcBorders>
            <w:shd w:val="clear" w:color="auto" w:fill="auto"/>
            <w:hideMark/>
          </w:tcPr>
          <w:p w:rsidRPr="00E37600" w:rsidR="00E37600" w:rsidP="00E37600" w:rsidRDefault="00E37600" w14:paraId="1D1D5743" w14:textId="77777777">
            <w:pPr>
              <w:widowControl/>
              <w:autoSpaceDE/>
              <w:autoSpaceDN/>
              <w:adjustRightInd/>
              <w:rPr>
                <w:rFonts w:ascii="Calibri" w:hAnsi="Calibri" w:cs="Calibri"/>
                <w:color w:val="000000"/>
                <w:sz w:val="22"/>
                <w:szCs w:val="22"/>
              </w:rPr>
            </w:pPr>
            <w:r w:rsidRPr="00E37600">
              <w:rPr>
                <w:rFonts w:ascii="Calibri" w:hAnsi="Calibri" w:cs="Calibri"/>
                <w:color w:val="000000"/>
                <w:sz w:val="22"/>
                <w:szCs w:val="22"/>
              </w:rPr>
              <w:t> </w:t>
            </w:r>
          </w:p>
        </w:tc>
        <w:tc>
          <w:tcPr>
            <w:tcW w:w="1540" w:type="dxa"/>
            <w:tcBorders>
              <w:top w:val="nil"/>
              <w:left w:val="nil"/>
              <w:bottom w:val="nil"/>
              <w:right w:val="single" w:color="auto" w:sz="8" w:space="0"/>
            </w:tcBorders>
            <w:shd w:val="clear" w:color="auto" w:fill="auto"/>
            <w:hideMark/>
          </w:tcPr>
          <w:p w:rsidRPr="00E37600" w:rsidR="00E37600" w:rsidP="00E37600" w:rsidRDefault="00E37600" w14:paraId="09A96E66" w14:textId="77777777">
            <w:pPr>
              <w:widowControl/>
              <w:autoSpaceDE/>
              <w:autoSpaceDN/>
              <w:adjustRightInd/>
              <w:rPr>
                <w:rFonts w:ascii="Calibri" w:hAnsi="Calibri" w:cs="Calibri"/>
                <w:color w:val="000000"/>
                <w:sz w:val="22"/>
                <w:szCs w:val="22"/>
              </w:rPr>
            </w:pPr>
            <w:r w:rsidRPr="00E37600">
              <w:rPr>
                <w:rFonts w:ascii="Calibri" w:hAnsi="Calibri" w:cs="Calibri"/>
                <w:color w:val="000000"/>
                <w:sz w:val="22"/>
                <w:szCs w:val="22"/>
              </w:rPr>
              <w:t> </w:t>
            </w:r>
          </w:p>
        </w:tc>
        <w:tc>
          <w:tcPr>
            <w:tcW w:w="1120" w:type="dxa"/>
            <w:tcBorders>
              <w:top w:val="nil"/>
              <w:left w:val="nil"/>
              <w:bottom w:val="nil"/>
              <w:right w:val="single" w:color="auto" w:sz="8" w:space="0"/>
            </w:tcBorders>
            <w:shd w:val="clear" w:color="auto" w:fill="auto"/>
            <w:vAlign w:val="center"/>
            <w:hideMark/>
          </w:tcPr>
          <w:p w:rsidRPr="00E37600" w:rsidR="00E37600" w:rsidP="00E37600" w:rsidRDefault="00E37600" w14:paraId="43FCF65A" w14:textId="77777777">
            <w:pPr>
              <w:widowControl/>
              <w:autoSpaceDE/>
              <w:autoSpaceDN/>
              <w:adjustRightInd/>
              <w:rPr>
                <w:color w:val="000000"/>
                <w:sz w:val="20"/>
                <w:szCs w:val="20"/>
              </w:rPr>
            </w:pPr>
            <w:r w:rsidRPr="00E37600">
              <w:rPr>
                <w:color w:val="000000"/>
                <w:sz w:val="20"/>
                <w:szCs w:val="20"/>
              </w:rPr>
              <w:t>(E X F)</w:t>
            </w:r>
          </w:p>
        </w:tc>
      </w:tr>
      <w:tr w:rsidRPr="00E37600" w:rsidR="00E37600" w:rsidTr="00E37600" w14:paraId="4F433D7A" w14:textId="77777777">
        <w:trPr>
          <w:trHeight w:val="315"/>
        </w:trPr>
        <w:tc>
          <w:tcPr>
            <w:tcW w:w="34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7600" w:rsidR="00E37600" w:rsidP="00E37600" w:rsidRDefault="00E37600" w14:paraId="09FC7A15" w14:textId="0B6F221D">
            <w:pPr>
              <w:widowControl/>
              <w:autoSpaceDE/>
              <w:autoSpaceDN/>
              <w:adjustRightInd/>
              <w:rPr>
                <w:color w:val="000000"/>
                <w:sz w:val="20"/>
                <w:szCs w:val="20"/>
              </w:rPr>
            </w:pPr>
            <w:r w:rsidRPr="00E37600">
              <w:rPr>
                <w:color w:val="000000"/>
                <w:sz w:val="20"/>
                <w:szCs w:val="20"/>
              </w:rPr>
              <w:t>Performance Tests (Non-ACI)</w:t>
            </w:r>
            <w:r w:rsidRPr="00E37600">
              <w:rPr>
                <w:color w:val="000000"/>
                <w:sz w:val="20"/>
                <w:szCs w:val="20"/>
                <w:vertAlign w:val="superscript"/>
              </w:rPr>
              <w:t xml:space="preserve"> </w:t>
            </w:r>
          </w:p>
        </w:tc>
        <w:tc>
          <w:tcPr>
            <w:tcW w:w="2080" w:type="dxa"/>
            <w:tcBorders>
              <w:top w:val="single" w:color="auto" w:sz="4" w:space="0"/>
              <w:left w:val="nil"/>
              <w:bottom w:val="single" w:color="auto" w:sz="4" w:space="0"/>
              <w:right w:val="single" w:color="auto" w:sz="4" w:space="0"/>
            </w:tcBorders>
            <w:shd w:val="clear" w:color="auto" w:fill="auto"/>
            <w:vAlign w:val="center"/>
            <w:hideMark/>
          </w:tcPr>
          <w:p w:rsidRPr="00E37600" w:rsidR="00E37600" w:rsidP="00E37600" w:rsidRDefault="00E37600" w14:paraId="35E43299" w14:textId="18718B5B">
            <w:pPr>
              <w:widowControl/>
              <w:autoSpaceDE/>
              <w:autoSpaceDN/>
              <w:adjustRightInd/>
              <w:jc w:val="center"/>
              <w:rPr>
                <w:color w:val="000000"/>
                <w:sz w:val="20"/>
                <w:szCs w:val="20"/>
              </w:rPr>
            </w:pPr>
            <w:r w:rsidRPr="00E37600">
              <w:rPr>
                <w:color w:val="000000"/>
                <w:sz w:val="20"/>
                <w:szCs w:val="20"/>
              </w:rPr>
              <w:t>$</w:t>
            </w:r>
            <w:r w:rsidR="005625AF">
              <w:rPr>
                <w:color w:val="000000"/>
                <w:sz w:val="20"/>
                <w:szCs w:val="20"/>
              </w:rPr>
              <w:t>57,333</w:t>
            </w:r>
            <w:r w:rsidRPr="00E37600">
              <w:rPr>
                <w:color w:val="000000"/>
                <w:sz w:val="20"/>
                <w:szCs w:val="20"/>
              </w:rPr>
              <w:t xml:space="preserve"> </w:t>
            </w:r>
          </w:p>
        </w:tc>
        <w:tc>
          <w:tcPr>
            <w:tcW w:w="1660" w:type="dxa"/>
            <w:tcBorders>
              <w:top w:val="single" w:color="auto" w:sz="4" w:space="0"/>
              <w:left w:val="nil"/>
              <w:bottom w:val="single" w:color="auto" w:sz="4" w:space="0"/>
              <w:right w:val="single" w:color="auto" w:sz="4" w:space="0"/>
            </w:tcBorders>
            <w:shd w:val="clear" w:color="auto" w:fill="auto"/>
            <w:vAlign w:val="center"/>
            <w:hideMark/>
          </w:tcPr>
          <w:p w:rsidRPr="00E37600" w:rsidR="00E37600" w:rsidP="00E37600" w:rsidRDefault="003270AE" w14:paraId="0E75EF8D" w14:textId="76D922E3">
            <w:pPr>
              <w:widowControl/>
              <w:autoSpaceDE/>
              <w:autoSpaceDN/>
              <w:adjustRightInd/>
              <w:jc w:val="center"/>
              <w:rPr>
                <w:color w:val="000000"/>
                <w:sz w:val="20"/>
                <w:szCs w:val="20"/>
              </w:rPr>
            </w:pPr>
            <w:r>
              <w:rPr>
                <w:color w:val="000000"/>
                <w:sz w:val="20"/>
                <w:szCs w:val="20"/>
              </w:rPr>
              <w:t>0</w:t>
            </w:r>
          </w:p>
        </w:tc>
        <w:tc>
          <w:tcPr>
            <w:tcW w:w="1740" w:type="dxa"/>
            <w:tcBorders>
              <w:top w:val="single" w:color="auto" w:sz="4" w:space="0"/>
              <w:left w:val="nil"/>
              <w:bottom w:val="single" w:color="auto" w:sz="4" w:space="0"/>
              <w:right w:val="single" w:color="auto" w:sz="4" w:space="0"/>
            </w:tcBorders>
            <w:shd w:val="clear" w:color="auto" w:fill="auto"/>
            <w:vAlign w:val="center"/>
            <w:hideMark/>
          </w:tcPr>
          <w:p w:rsidRPr="00E37600" w:rsidR="00E37600" w:rsidP="00E37600" w:rsidRDefault="00E37600" w14:paraId="5D73B123" w14:textId="4CE59B69">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c>
          <w:tcPr>
            <w:tcW w:w="1700" w:type="dxa"/>
            <w:tcBorders>
              <w:top w:val="single" w:color="auto" w:sz="4" w:space="0"/>
              <w:left w:val="nil"/>
              <w:bottom w:val="single" w:color="auto" w:sz="4" w:space="0"/>
              <w:right w:val="single" w:color="auto" w:sz="4" w:space="0"/>
            </w:tcBorders>
            <w:shd w:val="clear" w:color="auto" w:fill="auto"/>
            <w:vAlign w:val="center"/>
            <w:hideMark/>
          </w:tcPr>
          <w:p w:rsidRPr="00E37600" w:rsidR="00E37600" w:rsidP="00E37600" w:rsidRDefault="00E37600" w14:paraId="3A5F7F68" w14:textId="77777777">
            <w:pPr>
              <w:widowControl/>
              <w:autoSpaceDE/>
              <w:autoSpaceDN/>
              <w:adjustRightInd/>
              <w:jc w:val="center"/>
              <w:rPr>
                <w:color w:val="000000"/>
                <w:sz w:val="20"/>
                <w:szCs w:val="20"/>
              </w:rPr>
            </w:pPr>
            <w:r w:rsidRPr="00E37600">
              <w:rPr>
                <w:color w:val="000000"/>
                <w:sz w:val="20"/>
                <w:szCs w:val="20"/>
              </w:rPr>
              <w:t xml:space="preserve">$57,333 </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E37600" w:rsidR="00E37600" w:rsidP="00E37600" w:rsidRDefault="003270AE" w14:paraId="7CA77DA3" w14:textId="5C27738C">
            <w:pPr>
              <w:widowControl/>
              <w:autoSpaceDE/>
              <w:autoSpaceDN/>
              <w:adjustRightInd/>
              <w:jc w:val="center"/>
              <w:rPr>
                <w:color w:val="000000"/>
                <w:sz w:val="20"/>
                <w:szCs w:val="20"/>
              </w:rPr>
            </w:pPr>
            <w:r>
              <w:rPr>
                <w:color w:val="000000"/>
                <w:sz w:val="20"/>
                <w:szCs w:val="20"/>
              </w:rPr>
              <w:t>0</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E37600" w:rsidR="00E37600" w:rsidP="00E37600" w:rsidRDefault="00E37600" w14:paraId="408BD3A5" w14:textId="41B7375B">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r>
      <w:tr w:rsidRPr="00E37600" w:rsidR="00E37600" w:rsidTr="00E37600" w14:paraId="1583CCEE" w14:textId="77777777">
        <w:trPr>
          <w:trHeight w:val="31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E37600" w:rsidR="00E37600" w:rsidP="00E37600" w:rsidRDefault="00E37600" w14:paraId="619A57AC" w14:textId="3CB72ACB">
            <w:pPr>
              <w:widowControl/>
              <w:autoSpaceDE/>
              <w:autoSpaceDN/>
              <w:adjustRightInd/>
              <w:rPr>
                <w:color w:val="000000"/>
                <w:sz w:val="20"/>
                <w:szCs w:val="20"/>
              </w:rPr>
            </w:pPr>
            <w:r w:rsidRPr="00E37600">
              <w:rPr>
                <w:color w:val="000000"/>
                <w:sz w:val="20"/>
                <w:szCs w:val="20"/>
              </w:rPr>
              <w:t>Performance Tests (ACI)</w:t>
            </w:r>
          </w:p>
        </w:tc>
        <w:tc>
          <w:tcPr>
            <w:tcW w:w="208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79223FF7" w14:textId="70A6B476">
            <w:pPr>
              <w:widowControl/>
              <w:autoSpaceDE/>
              <w:autoSpaceDN/>
              <w:adjustRightInd/>
              <w:jc w:val="center"/>
              <w:rPr>
                <w:color w:val="000000"/>
                <w:sz w:val="20"/>
                <w:szCs w:val="20"/>
              </w:rPr>
            </w:pPr>
            <w:r w:rsidRPr="00E37600">
              <w:rPr>
                <w:color w:val="000000"/>
                <w:sz w:val="20"/>
                <w:szCs w:val="20"/>
              </w:rPr>
              <w:t>$3,</w:t>
            </w:r>
            <w:r w:rsidR="005625AF">
              <w:rPr>
                <w:color w:val="000000"/>
                <w:sz w:val="20"/>
                <w:szCs w:val="20"/>
              </w:rPr>
              <w:t>0</w:t>
            </w:r>
            <w:r w:rsidRPr="00E37600">
              <w:rPr>
                <w:color w:val="000000"/>
                <w:sz w:val="20"/>
                <w:szCs w:val="20"/>
              </w:rPr>
              <w:t xml:space="preserve">00 </w:t>
            </w:r>
          </w:p>
        </w:tc>
        <w:tc>
          <w:tcPr>
            <w:tcW w:w="166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3270AE" w14:paraId="31FCE8CF" w14:textId="70F2E8AD">
            <w:pPr>
              <w:widowControl/>
              <w:autoSpaceDE/>
              <w:autoSpaceDN/>
              <w:adjustRightInd/>
              <w:jc w:val="center"/>
              <w:rPr>
                <w:color w:val="000000"/>
                <w:sz w:val="20"/>
                <w:szCs w:val="20"/>
              </w:rPr>
            </w:pPr>
            <w:r>
              <w:rPr>
                <w:color w:val="000000"/>
                <w:sz w:val="20"/>
                <w:szCs w:val="20"/>
              </w:rPr>
              <w:t>0</w:t>
            </w:r>
          </w:p>
        </w:tc>
        <w:tc>
          <w:tcPr>
            <w:tcW w:w="17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4E7C0D43" w14:textId="3B8AE7AB">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c>
          <w:tcPr>
            <w:tcW w:w="170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5625AF" w14:paraId="0815A8CC" w14:textId="28DAD697">
            <w:pPr>
              <w:widowControl/>
              <w:autoSpaceDE/>
              <w:autoSpaceDN/>
              <w:adjustRightInd/>
              <w:jc w:val="center"/>
              <w:rPr>
                <w:color w:val="000000"/>
                <w:sz w:val="20"/>
                <w:szCs w:val="20"/>
              </w:rPr>
            </w:pPr>
            <w:r w:rsidRPr="00E37600">
              <w:rPr>
                <w:color w:val="000000"/>
                <w:sz w:val="20"/>
                <w:szCs w:val="20"/>
              </w:rPr>
              <w:t>$3,</w:t>
            </w:r>
            <w:r>
              <w:rPr>
                <w:color w:val="000000"/>
                <w:sz w:val="20"/>
                <w:szCs w:val="20"/>
              </w:rPr>
              <w:t>0</w:t>
            </w:r>
            <w:r w:rsidRPr="00E37600">
              <w:rPr>
                <w:color w:val="000000"/>
                <w:sz w:val="20"/>
                <w:szCs w:val="20"/>
              </w:rPr>
              <w:t>00</w:t>
            </w:r>
          </w:p>
        </w:tc>
        <w:tc>
          <w:tcPr>
            <w:tcW w:w="15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3270AE" w14:paraId="41F94B56" w14:textId="46C9712B">
            <w:pPr>
              <w:widowControl/>
              <w:autoSpaceDE/>
              <w:autoSpaceDN/>
              <w:adjustRightInd/>
              <w:jc w:val="center"/>
              <w:rPr>
                <w:color w:val="000000"/>
                <w:sz w:val="20"/>
                <w:szCs w:val="20"/>
              </w:rPr>
            </w:pPr>
            <w:r>
              <w:rPr>
                <w:color w:val="000000"/>
                <w:sz w:val="20"/>
                <w:szCs w:val="20"/>
              </w:rPr>
              <w:t>0</w:t>
            </w:r>
          </w:p>
        </w:tc>
        <w:tc>
          <w:tcPr>
            <w:tcW w:w="112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5625AF" w14:paraId="13CC090C" w14:textId="47246A4E">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r>
      <w:tr w:rsidRPr="00E37600" w:rsidR="00E37600" w:rsidTr="00E37600" w14:paraId="0BFB5416" w14:textId="77777777">
        <w:trPr>
          <w:trHeight w:val="300"/>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E37600" w:rsidR="00E37600" w:rsidP="00E37600" w:rsidRDefault="00E37600" w14:paraId="7C598972" w14:textId="5A48CAF2">
            <w:pPr>
              <w:widowControl/>
              <w:autoSpaceDE/>
              <w:autoSpaceDN/>
              <w:adjustRightInd/>
              <w:rPr>
                <w:color w:val="000000"/>
                <w:sz w:val="20"/>
                <w:szCs w:val="20"/>
              </w:rPr>
            </w:pPr>
            <w:r w:rsidRPr="00E37600">
              <w:rPr>
                <w:color w:val="000000"/>
                <w:sz w:val="20"/>
                <w:szCs w:val="20"/>
              </w:rPr>
              <w:t>CEMS</w:t>
            </w:r>
          </w:p>
        </w:tc>
        <w:tc>
          <w:tcPr>
            <w:tcW w:w="208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8A71ED" w14:paraId="11FAC318" w14:textId="53363A90">
            <w:pPr>
              <w:widowControl/>
              <w:autoSpaceDE/>
              <w:autoSpaceDN/>
              <w:adjustRightInd/>
              <w:jc w:val="center"/>
              <w:rPr>
                <w:color w:val="000000"/>
                <w:sz w:val="20"/>
                <w:szCs w:val="20"/>
              </w:rPr>
            </w:pPr>
            <w:r>
              <w:rPr>
                <w:color w:val="000000"/>
                <w:sz w:val="20"/>
                <w:szCs w:val="20"/>
              </w:rPr>
              <w:t>$351,000</w:t>
            </w:r>
          </w:p>
        </w:tc>
        <w:tc>
          <w:tcPr>
            <w:tcW w:w="166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8A71ED" w14:paraId="5C1B19C1" w14:textId="44342987">
            <w:pPr>
              <w:widowControl/>
              <w:autoSpaceDE/>
              <w:autoSpaceDN/>
              <w:adjustRightInd/>
              <w:jc w:val="center"/>
              <w:rPr>
                <w:color w:val="000000"/>
                <w:sz w:val="20"/>
                <w:szCs w:val="20"/>
              </w:rPr>
            </w:pPr>
            <w:r>
              <w:rPr>
                <w:color w:val="000000"/>
                <w:sz w:val="20"/>
                <w:szCs w:val="20"/>
              </w:rPr>
              <w:t>0</w:t>
            </w:r>
          </w:p>
        </w:tc>
        <w:tc>
          <w:tcPr>
            <w:tcW w:w="17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8A71ED" w14:paraId="16B7D722" w14:textId="2630FAFC">
            <w:pPr>
              <w:widowControl/>
              <w:autoSpaceDE/>
              <w:autoSpaceDN/>
              <w:adjustRightInd/>
              <w:jc w:val="center"/>
              <w:rPr>
                <w:color w:val="000000"/>
                <w:sz w:val="20"/>
                <w:szCs w:val="20"/>
              </w:rPr>
            </w:pPr>
            <w:r w:rsidRPr="00E37600">
              <w:rPr>
                <w:color w:val="000000"/>
                <w:sz w:val="20"/>
                <w:szCs w:val="20"/>
              </w:rPr>
              <w:t>$</w:t>
            </w:r>
            <w:r>
              <w:rPr>
                <w:color w:val="000000"/>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25C4FAE9" w14:textId="3FF379F0">
            <w:pPr>
              <w:widowControl/>
              <w:autoSpaceDE/>
              <w:autoSpaceDN/>
              <w:adjustRightInd/>
              <w:jc w:val="center"/>
              <w:rPr>
                <w:color w:val="000000"/>
                <w:sz w:val="20"/>
                <w:szCs w:val="20"/>
              </w:rPr>
            </w:pPr>
            <w:r w:rsidRPr="00E37600">
              <w:rPr>
                <w:color w:val="000000"/>
                <w:sz w:val="20"/>
                <w:szCs w:val="20"/>
              </w:rPr>
              <w:t>$6</w:t>
            </w:r>
            <w:r w:rsidR="005625AF">
              <w:rPr>
                <w:color w:val="000000"/>
                <w:sz w:val="20"/>
                <w:szCs w:val="20"/>
              </w:rPr>
              <w:t>4</w:t>
            </w:r>
            <w:r w:rsidRPr="00E37600">
              <w:rPr>
                <w:color w:val="000000"/>
                <w:sz w:val="20"/>
                <w:szCs w:val="20"/>
              </w:rPr>
              <w:t>,</w:t>
            </w:r>
            <w:r w:rsidR="005625AF">
              <w:rPr>
                <w:color w:val="000000"/>
                <w:sz w:val="20"/>
                <w:szCs w:val="20"/>
              </w:rPr>
              <w:t>6</w:t>
            </w:r>
            <w:r w:rsidRPr="00E37600">
              <w:rPr>
                <w:color w:val="000000"/>
                <w:sz w:val="20"/>
                <w:szCs w:val="20"/>
              </w:rPr>
              <w:t xml:space="preserve">00 </w:t>
            </w:r>
          </w:p>
        </w:tc>
        <w:tc>
          <w:tcPr>
            <w:tcW w:w="15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3270AE" w14:paraId="10DA8208" w14:textId="6B9FA41A">
            <w:pPr>
              <w:widowControl/>
              <w:autoSpaceDE/>
              <w:autoSpaceDN/>
              <w:adjustRightInd/>
              <w:jc w:val="center"/>
              <w:rPr>
                <w:color w:val="000000"/>
                <w:sz w:val="20"/>
                <w:szCs w:val="20"/>
              </w:rPr>
            </w:pPr>
            <w:r>
              <w:rPr>
                <w:color w:val="000000"/>
                <w:sz w:val="20"/>
                <w:szCs w:val="20"/>
              </w:rPr>
              <w:t>0</w:t>
            </w:r>
          </w:p>
        </w:tc>
        <w:tc>
          <w:tcPr>
            <w:tcW w:w="112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29BB2807" w14:textId="6B89898F">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r>
      <w:tr w:rsidRPr="00E37600" w:rsidR="00E37600" w:rsidTr="00E37600" w14:paraId="79A1A463" w14:textId="77777777">
        <w:trPr>
          <w:trHeight w:val="300"/>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E37600" w:rsidR="00E37600" w:rsidP="00E37600" w:rsidRDefault="00E37600" w14:paraId="43D584AB" w14:textId="1D07FBBE">
            <w:pPr>
              <w:widowControl/>
              <w:autoSpaceDE/>
              <w:autoSpaceDN/>
              <w:adjustRightInd/>
              <w:rPr>
                <w:color w:val="000000"/>
                <w:sz w:val="20"/>
                <w:szCs w:val="20"/>
              </w:rPr>
            </w:pPr>
            <w:r w:rsidRPr="00E37600">
              <w:rPr>
                <w:color w:val="000000"/>
                <w:sz w:val="20"/>
                <w:szCs w:val="20"/>
              </w:rPr>
              <w:t>Control Device</w:t>
            </w:r>
          </w:p>
        </w:tc>
        <w:tc>
          <w:tcPr>
            <w:tcW w:w="208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8A71ED" w14:paraId="714F6232" w14:textId="6A9F64AE">
            <w:pPr>
              <w:widowControl/>
              <w:autoSpaceDE/>
              <w:autoSpaceDN/>
              <w:adjustRightInd/>
              <w:jc w:val="center"/>
              <w:rPr>
                <w:color w:val="000000"/>
                <w:sz w:val="20"/>
                <w:szCs w:val="20"/>
              </w:rPr>
            </w:pPr>
            <w:r>
              <w:rPr>
                <w:color w:val="000000"/>
                <w:sz w:val="20"/>
                <w:szCs w:val="20"/>
              </w:rPr>
              <w:t>$25,900</w:t>
            </w:r>
          </w:p>
        </w:tc>
        <w:tc>
          <w:tcPr>
            <w:tcW w:w="166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8A71ED" w14:paraId="0D76FC59" w14:textId="0302C032">
            <w:pPr>
              <w:widowControl/>
              <w:autoSpaceDE/>
              <w:autoSpaceDN/>
              <w:adjustRightInd/>
              <w:jc w:val="center"/>
              <w:rPr>
                <w:color w:val="000000"/>
                <w:sz w:val="20"/>
                <w:szCs w:val="20"/>
              </w:rPr>
            </w:pPr>
            <w:r>
              <w:rPr>
                <w:color w:val="000000"/>
                <w:sz w:val="20"/>
                <w:szCs w:val="20"/>
              </w:rPr>
              <w:t>0</w:t>
            </w:r>
          </w:p>
        </w:tc>
        <w:tc>
          <w:tcPr>
            <w:tcW w:w="17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8A71ED" w14:paraId="28BB9044" w14:textId="269FEB02">
            <w:pPr>
              <w:widowControl/>
              <w:autoSpaceDE/>
              <w:autoSpaceDN/>
              <w:adjustRightInd/>
              <w:jc w:val="center"/>
              <w:rPr>
                <w:color w:val="000000"/>
                <w:sz w:val="20"/>
                <w:szCs w:val="20"/>
              </w:rPr>
            </w:pPr>
            <w:r w:rsidRPr="00E37600">
              <w:rPr>
                <w:color w:val="000000"/>
                <w:sz w:val="20"/>
                <w:szCs w:val="20"/>
              </w:rPr>
              <w:t>$</w:t>
            </w:r>
            <w:r>
              <w:rPr>
                <w:color w:val="000000"/>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3E9A4171" w14:textId="630FF168">
            <w:pPr>
              <w:widowControl/>
              <w:autoSpaceDE/>
              <w:autoSpaceDN/>
              <w:adjustRightInd/>
              <w:jc w:val="center"/>
              <w:rPr>
                <w:color w:val="000000"/>
                <w:sz w:val="20"/>
                <w:szCs w:val="20"/>
              </w:rPr>
            </w:pPr>
            <w:r w:rsidRPr="00E37600">
              <w:rPr>
                <w:color w:val="000000"/>
                <w:sz w:val="20"/>
                <w:szCs w:val="20"/>
              </w:rPr>
              <w:t>$</w:t>
            </w:r>
            <w:r w:rsidR="005625AF">
              <w:rPr>
                <w:color w:val="000000"/>
                <w:sz w:val="20"/>
                <w:szCs w:val="20"/>
              </w:rPr>
              <w:t>1</w:t>
            </w:r>
            <w:r w:rsidRPr="00E37600">
              <w:rPr>
                <w:color w:val="000000"/>
                <w:sz w:val="20"/>
                <w:szCs w:val="20"/>
              </w:rPr>
              <w:t>,</w:t>
            </w:r>
            <w:r w:rsidR="005625AF">
              <w:rPr>
                <w:color w:val="000000"/>
                <w:sz w:val="20"/>
                <w:szCs w:val="20"/>
              </w:rPr>
              <w:t>8</w:t>
            </w:r>
            <w:r w:rsidRPr="00E37600">
              <w:rPr>
                <w:color w:val="000000"/>
                <w:sz w:val="20"/>
                <w:szCs w:val="20"/>
              </w:rPr>
              <w:t xml:space="preserve">00 </w:t>
            </w:r>
          </w:p>
        </w:tc>
        <w:tc>
          <w:tcPr>
            <w:tcW w:w="15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3270AE" w14:paraId="3ECD637E" w14:textId="2AC9A605">
            <w:pPr>
              <w:widowControl/>
              <w:autoSpaceDE/>
              <w:autoSpaceDN/>
              <w:adjustRightInd/>
              <w:jc w:val="center"/>
              <w:rPr>
                <w:color w:val="000000"/>
                <w:sz w:val="20"/>
                <w:szCs w:val="20"/>
              </w:rPr>
            </w:pPr>
            <w:r>
              <w:rPr>
                <w:color w:val="000000"/>
                <w:sz w:val="20"/>
                <w:szCs w:val="20"/>
              </w:rPr>
              <w:t>0</w:t>
            </w:r>
          </w:p>
        </w:tc>
        <w:tc>
          <w:tcPr>
            <w:tcW w:w="112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686EB1A3" w14:textId="4A683DE3">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r>
      <w:tr w:rsidRPr="00E37600" w:rsidR="00E37600" w:rsidTr="00E37600" w14:paraId="1D23FB1F" w14:textId="77777777">
        <w:trPr>
          <w:trHeight w:val="300"/>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E37600" w:rsidR="00E37600" w:rsidP="00E37600" w:rsidRDefault="00E37600" w14:paraId="492C5291" w14:textId="0EC7BA48">
            <w:pPr>
              <w:widowControl/>
              <w:autoSpaceDE/>
              <w:autoSpaceDN/>
              <w:adjustRightInd/>
              <w:jc w:val="right"/>
              <w:rPr>
                <w:color w:val="000000"/>
                <w:sz w:val="20"/>
                <w:szCs w:val="20"/>
              </w:rPr>
            </w:pPr>
            <w:r w:rsidRPr="00E37600">
              <w:rPr>
                <w:color w:val="000000"/>
                <w:sz w:val="20"/>
                <w:szCs w:val="20"/>
              </w:rPr>
              <w:t>Total</w:t>
            </w:r>
            <w:r w:rsidR="00D93288">
              <w:rPr>
                <w:color w:val="000000"/>
                <w:sz w:val="20"/>
                <w:szCs w:val="20"/>
              </w:rPr>
              <w:t xml:space="preserve"> </w:t>
            </w:r>
            <w:r w:rsidRPr="003270AE" w:rsidR="003270AE">
              <w:rPr>
                <w:color w:val="000000"/>
                <w:sz w:val="20"/>
                <w:szCs w:val="20"/>
                <w:vertAlign w:val="superscript"/>
              </w:rPr>
              <w:t>b</w:t>
            </w:r>
          </w:p>
        </w:tc>
        <w:tc>
          <w:tcPr>
            <w:tcW w:w="208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44684E08" w14:textId="77777777">
            <w:pPr>
              <w:widowControl/>
              <w:autoSpaceDE/>
              <w:autoSpaceDN/>
              <w:adjustRightInd/>
              <w:jc w:val="center"/>
              <w:rPr>
                <w:color w:val="000000"/>
                <w:sz w:val="20"/>
                <w:szCs w:val="20"/>
              </w:rPr>
            </w:pPr>
            <w:r w:rsidRPr="00E37600">
              <w:rPr>
                <w:color w:val="000000"/>
                <w:sz w:val="20"/>
                <w:szCs w:val="20"/>
              </w:rPr>
              <w:t> </w:t>
            </w:r>
          </w:p>
        </w:tc>
        <w:tc>
          <w:tcPr>
            <w:tcW w:w="166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70865C13" w14:textId="77777777">
            <w:pPr>
              <w:widowControl/>
              <w:autoSpaceDE/>
              <w:autoSpaceDN/>
              <w:adjustRightInd/>
              <w:jc w:val="center"/>
              <w:rPr>
                <w:color w:val="000000"/>
                <w:sz w:val="20"/>
                <w:szCs w:val="20"/>
              </w:rPr>
            </w:pPr>
            <w:r w:rsidRPr="00E37600">
              <w:rPr>
                <w:color w:val="000000"/>
                <w:sz w:val="20"/>
                <w:szCs w:val="20"/>
              </w:rPr>
              <w:t> </w:t>
            </w:r>
          </w:p>
        </w:tc>
        <w:tc>
          <w:tcPr>
            <w:tcW w:w="17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6D873691" w14:textId="1871BCDD">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774547A4" w14:textId="77777777">
            <w:pPr>
              <w:widowControl/>
              <w:autoSpaceDE/>
              <w:autoSpaceDN/>
              <w:adjustRightInd/>
              <w:jc w:val="center"/>
              <w:rPr>
                <w:color w:val="000000"/>
                <w:sz w:val="20"/>
                <w:szCs w:val="20"/>
              </w:rPr>
            </w:pPr>
            <w:r w:rsidRPr="00E37600">
              <w:rPr>
                <w:color w:val="000000"/>
                <w:sz w:val="20"/>
                <w:szCs w:val="20"/>
              </w:rPr>
              <w:t> </w:t>
            </w:r>
          </w:p>
        </w:tc>
        <w:tc>
          <w:tcPr>
            <w:tcW w:w="154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37DA5F3B" w14:textId="77777777">
            <w:pPr>
              <w:widowControl/>
              <w:autoSpaceDE/>
              <w:autoSpaceDN/>
              <w:adjustRightInd/>
              <w:jc w:val="center"/>
              <w:rPr>
                <w:color w:val="000000"/>
                <w:sz w:val="20"/>
                <w:szCs w:val="20"/>
              </w:rPr>
            </w:pPr>
            <w:r w:rsidRPr="00E37600">
              <w:rPr>
                <w:color w:val="000000"/>
                <w:sz w:val="20"/>
                <w:szCs w:val="20"/>
              </w:rPr>
              <w:t> </w:t>
            </w:r>
          </w:p>
        </w:tc>
        <w:tc>
          <w:tcPr>
            <w:tcW w:w="1120" w:type="dxa"/>
            <w:tcBorders>
              <w:top w:val="nil"/>
              <w:left w:val="nil"/>
              <w:bottom w:val="single" w:color="auto" w:sz="4" w:space="0"/>
              <w:right w:val="single" w:color="auto" w:sz="4" w:space="0"/>
            </w:tcBorders>
            <w:shd w:val="clear" w:color="auto" w:fill="auto"/>
            <w:vAlign w:val="center"/>
            <w:hideMark/>
          </w:tcPr>
          <w:p w:rsidRPr="00E37600" w:rsidR="00E37600" w:rsidP="00E37600" w:rsidRDefault="00E37600" w14:paraId="4F842FA0" w14:textId="625172E2">
            <w:pPr>
              <w:widowControl/>
              <w:autoSpaceDE/>
              <w:autoSpaceDN/>
              <w:adjustRightInd/>
              <w:jc w:val="center"/>
              <w:rPr>
                <w:color w:val="000000"/>
                <w:sz w:val="20"/>
                <w:szCs w:val="20"/>
              </w:rPr>
            </w:pPr>
            <w:r w:rsidRPr="00E37600">
              <w:rPr>
                <w:color w:val="000000"/>
                <w:sz w:val="20"/>
                <w:szCs w:val="20"/>
              </w:rPr>
              <w:t>$</w:t>
            </w:r>
            <w:r w:rsidR="003270AE">
              <w:rPr>
                <w:color w:val="000000"/>
                <w:sz w:val="20"/>
                <w:szCs w:val="20"/>
              </w:rPr>
              <w:t>0</w:t>
            </w:r>
            <w:r w:rsidRPr="00E37600">
              <w:rPr>
                <w:color w:val="000000"/>
                <w:sz w:val="20"/>
                <w:szCs w:val="20"/>
              </w:rPr>
              <w:t xml:space="preserve"> </w:t>
            </w:r>
          </w:p>
        </w:tc>
      </w:tr>
    </w:tbl>
    <w:p w:rsidR="005625AF" w:rsidP="003270AE" w:rsidRDefault="005625AF" w14:paraId="38F36444" w14:textId="3C3E7A1C">
      <w:pPr>
        <w:pBdr>
          <w:top w:val="single" w:color="FFFFFF" w:sz="6" w:space="0"/>
          <w:left w:val="single" w:color="FFFFFF" w:sz="6" w:space="0"/>
          <w:bottom w:val="single" w:color="FFFFFF" w:sz="6" w:space="0"/>
          <w:right w:val="single" w:color="FFFFFF" w:sz="6" w:space="0"/>
        </w:pBdr>
        <w:rPr>
          <w:sz w:val="20"/>
          <w:szCs w:val="20"/>
        </w:rPr>
      </w:pPr>
      <w:proofErr w:type="gramStart"/>
      <w:r w:rsidRPr="005625AF">
        <w:rPr>
          <w:sz w:val="20"/>
          <w:szCs w:val="20"/>
          <w:vertAlign w:val="superscript"/>
        </w:rPr>
        <w:t>a</w:t>
      </w:r>
      <w:proofErr w:type="gramEnd"/>
      <w:r>
        <w:rPr>
          <w:sz w:val="20"/>
          <w:szCs w:val="20"/>
          <w:vertAlign w:val="superscript"/>
        </w:rPr>
        <w:t xml:space="preserve"> </w:t>
      </w:r>
      <w:r w:rsidRPr="00D93288">
        <w:rPr>
          <w:sz w:val="20"/>
          <w:szCs w:val="20"/>
        </w:rPr>
        <w:t>EPA</w:t>
      </w:r>
      <w:r>
        <w:rPr>
          <w:sz w:val="20"/>
          <w:szCs w:val="20"/>
          <w:vertAlign w:val="superscript"/>
        </w:rPr>
        <w:t xml:space="preserve"> </w:t>
      </w:r>
      <w:r>
        <w:rPr>
          <w:sz w:val="20"/>
          <w:szCs w:val="20"/>
        </w:rPr>
        <w:t xml:space="preserve">estimates that there are </w:t>
      </w:r>
      <w:r w:rsidR="003270AE">
        <w:rPr>
          <w:sz w:val="20"/>
          <w:szCs w:val="20"/>
        </w:rPr>
        <w:t xml:space="preserve">2 </w:t>
      </w:r>
      <w:r>
        <w:rPr>
          <w:sz w:val="20"/>
          <w:szCs w:val="20"/>
        </w:rPr>
        <w:t xml:space="preserve">units </w:t>
      </w:r>
      <w:r w:rsidR="003270AE">
        <w:rPr>
          <w:sz w:val="20"/>
          <w:szCs w:val="20"/>
        </w:rPr>
        <w:t>that have a capacity &gt;10 TPD</w:t>
      </w:r>
      <w:r w:rsidR="008D18DB">
        <w:rPr>
          <w:sz w:val="20"/>
          <w:szCs w:val="20"/>
        </w:rPr>
        <w:t xml:space="preserve"> that would be required to comply with existing testing and monitoring requirements. Therefore</w:t>
      </w:r>
      <w:r w:rsidR="00660666">
        <w:rPr>
          <w:sz w:val="20"/>
          <w:szCs w:val="20"/>
        </w:rPr>
        <w:t>,</w:t>
      </w:r>
      <w:r w:rsidR="003270AE">
        <w:rPr>
          <w:sz w:val="20"/>
          <w:szCs w:val="20"/>
        </w:rPr>
        <w:t xml:space="preserve"> there </w:t>
      </w:r>
      <w:r w:rsidR="008D18DB">
        <w:rPr>
          <w:sz w:val="20"/>
          <w:szCs w:val="20"/>
        </w:rPr>
        <w:t>are</w:t>
      </w:r>
      <w:r w:rsidR="003270AE">
        <w:rPr>
          <w:sz w:val="20"/>
          <w:szCs w:val="20"/>
        </w:rPr>
        <w:t xml:space="preserve"> no incremental </w:t>
      </w:r>
      <w:r w:rsidR="008D18DB">
        <w:rPr>
          <w:sz w:val="20"/>
          <w:szCs w:val="20"/>
        </w:rPr>
        <w:t xml:space="preserve">capital or O&amp;M costs </w:t>
      </w:r>
      <w:r w:rsidR="003270AE">
        <w:rPr>
          <w:sz w:val="20"/>
          <w:szCs w:val="20"/>
        </w:rPr>
        <w:t>due to the proposed requirements for these facilities.</w:t>
      </w:r>
    </w:p>
    <w:p w:rsidR="00CA4CD6" w:rsidRDefault="003270AE" w14:paraId="01B1561B" w14:textId="25221EFF">
      <w:pPr>
        <w:pBdr>
          <w:top w:val="single" w:color="FFFFFF" w:sz="6" w:space="0"/>
          <w:left w:val="single" w:color="FFFFFF" w:sz="6" w:space="0"/>
          <w:bottom w:val="single" w:color="FFFFFF" w:sz="6" w:space="0"/>
          <w:right w:val="single" w:color="FFFFFF" w:sz="6" w:space="0"/>
        </w:pBdr>
        <w:rPr>
          <w:sz w:val="20"/>
          <w:szCs w:val="20"/>
        </w:rPr>
      </w:pPr>
      <w:r>
        <w:rPr>
          <w:sz w:val="20"/>
          <w:szCs w:val="20"/>
          <w:vertAlign w:val="superscript"/>
        </w:rPr>
        <w:t>b</w:t>
      </w:r>
      <w:r w:rsidR="00660666">
        <w:rPr>
          <w:sz w:val="20"/>
          <w:szCs w:val="20"/>
          <w:vertAlign w:val="superscript"/>
        </w:rPr>
        <w:t xml:space="preserve">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4A887D2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003B7911">
        <w:rPr>
          <w:color w:val="000000"/>
        </w:rPr>
        <w:t>$</w:t>
      </w:r>
      <w:r w:rsidR="003270AE">
        <w:rPr>
          <w:color w:val="000000"/>
        </w:rPr>
        <w:t>0</w:t>
      </w:r>
      <w:r w:rsidR="003B7911">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5699D3D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003B7911">
        <w:rPr>
          <w:color w:val="000000"/>
        </w:rPr>
        <w:t>$</w:t>
      </w:r>
      <w:r w:rsidR="003270AE">
        <w:rPr>
          <w:color w:val="000000"/>
        </w:rPr>
        <w:t>0</w:t>
      </w:r>
      <w:r w:rsidR="003B7911">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9FC1B69" w14:textId="576247B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004F6451">
        <w:rPr>
          <w:color w:val="000000"/>
        </w:rPr>
        <w:t>$</w:t>
      </w:r>
      <w:r w:rsidR="003270AE">
        <w:rPr>
          <w:color w:val="000000"/>
        </w:rPr>
        <w:t>0</w:t>
      </w:r>
      <w:r>
        <w:rPr>
          <w:color w:val="000000"/>
        </w:rPr>
        <w:t>.</w:t>
      </w:r>
      <w:r w:rsidR="001C5991">
        <w:rPr>
          <w:color w:val="000000"/>
        </w:rPr>
        <w:t xml:space="preserve"> These are recordkeeping costs</w:t>
      </w:r>
      <w:r w:rsidR="003270AE">
        <w:rPr>
          <w:color w:val="000000"/>
        </w:rPr>
        <w:t xml:space="preserve"> associated with the incremental burden of the proposed requirements</w:t>
      </w:r>
      <w:r w:rsidR="004F6451">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63B435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DE0EC0">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A97760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0475D4" w:rsidR="000475D4">
        <w:rPr>
          <w:rStyle w:val="CommentReference"/>
          <w:sz w:val="24"/>
          <w:szCs w:val="24"/>
        </w:rPr>
        <w:t>0</w:t>
      </w:r>
      <w:r w:rsidR="004F6451">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0CBE31CF">
      <w:r>
        <w:tab/>
      </w:r>
      <w:r w:rsidRPr="00D2273E">
        <w:tab/>
      </w:r>
      <w:r w:rsidRPr="00D2273E" w:rsidR="00CA4CD6">
        <w:t>Managerial</w:t>
      </w:r>
      <w:r w:rsidRPr="00D2273E" w:rsidR="00CA4CD6">
        <w:tab/>
        <w:t>$</w:t>
      </w:r>
      <w:r w:rsidR="00C70934">
        <w:t>65.71</w:t>
      </w:r>
      <w:r w:rsidRPr="00D2273E" w:rsidR="00CA4CD6">
        <w:t xml:space="preserve"> (GS-13, Step 5, $</w:t>
      </w:r>
      <w:r w:rsidR="00C70934">
        <w:t>41.07</w:t>
      </w:r>
      <w:r w:rsidRPr="00D2273E" w:rsidR="00CA4CD6">
        <w:t xml:space="preserve"> </w:t>
      </w:r>
      <w:r w:rsidRPr="00D2273E" w:rsidR="00E77D5E">
        <w:t>+ 60%</w:t>
      </w:r>
      <w:r w:rsidRPr="00D2273E" w:rsidR="00D46FA2">
        <w:t xml:space="preserve">) </w:t>
      </w:r>
    </w:p>
    <w:p w:rsidRPr="00D2273E" w:rsidR="00CA4CD6" w:rsidP="00D2273E" w:rsidRDefault="00D2273E" w14:paraId="0F39875F" w14:textId="157B0B60">
      <w:r>
        <w:tab/>
      </w:r>
      <w:r w:rsidRPr="00D2273E">
        <w:tab/>
      </w:r>
      <w:r w:rsidRPr="00D2273E" w:rsidR="00CA4CD6">
        <w:t>Technical</w:t>
      </w:r>
      <w:r w:rsidRPr="00D2273E" w:rsidR="00CA4CD6">
        <w:tab/>
        <w:t>$</w:t>
      </w:r>
      <w:r w:rsidRPr="00D2273E" w:rsidR="009018EC">
        <w:t>4</w:t>
      </w:r>
      <w:r w:rsidR="00404A15">
        <w:t>8</w:t>
      </w:r>
      <w:r w:rsidRPr="00D2273E" w:rsidR="00A038EC">
        <w:t>.</w:t>
      </w:r>
      <w:r w:rsidR="00C70934">
        <w:t>75</w:t>
      </w:r>
      <w:r w:rsidRPr="00D2273E" w:rsidR="00C70934">
        <w:t xml:space="preserve"> </w:t>
      </w:r>
      <w:r w:rsidRPr="00D2273E" w:rsidR="00CA4CD6">
        <w:t>(GS-12, Step 1, $</w:t>
      </w:r>
      <w:r w:rsidR="00404A15">
        <w:t>30.</w:t>
      </w:r>
      <w:r w:rsidR="00C70934">
        <w:t>47</w:t>
      </w:r>
      <w:r w:rsidRPr="00D2273E" w:rsidR="00C70934">
        <w:t xml:space="preserve"> </w:t>
      </w:r>
      <w:r w:rsidRPr="00D2273E" w:rsidR="00E77D5E">
        <w:t>+ 60%</w:t>
      </w:r>
      <w:r w:rsidRPr="00D2273E" w:rsidR="00CA4CD6">
        <w:t>)</w:t>
      </w:r>
    </w:p>
    <w:p w:rsidRPr="00D2273E" w:rsidR="00CA4CD6" w:rsidP="00D2273E" w:rsidRDefault="00D2273E" w14:paraId="2D0AFDE9" w14:textId="425A78CF">
      <w:r>
        <w:tab/>
      </w:r>
      <w:r w:rsidRPr="00D2273E">
        <w:tab/>
      </w:r>
      <w:r w:rsidRPr="00D2273E" w:rsidR="00CA4CD6">
        <w:t>Clerical</w:t>
      </w:r>
      <w:r w:rsidRPr="00D2273E" w:rsidR="00CA4CD6">
        <w:tab/>
        <w:t>$2</w:t>
      </w:r>
      <w:r w:rsidR="00404A15">
        <w:t>6</w:t>
      </w:r>
      <w:r w:rsidR="002B517F">
        <w:t>.</w:t>
      </w:r>
      <w:r w:rsidR="00C70934">
        <w:t>38</w:t>
      </w:r>
      <w:r w:rsidRPr="00D2273E" w:rsidR="00C70934">
        <w:t xml:space="preserve"> </w:t>
      </w:r>
      <w:r w:rsidRPr="00D2273E" w:rsidR="00CA4CD6">
        <w:t>(GS-6, Step 3, $</w:t>
      </w:r>
      <w:r w:rsidRPr="00D2273E" w:rsidR="00A038EC">
        <w:t>1</w:t>
      </w:r>
      <w:r w:rsidR="0079715F">
        <w:t>6</w:t>
      </w:r>
      <w:r w:rsidRPr="00D2273E" w:rsidR="00A038EC">
        <w:t>.</w:t>
      </w:r>
      <w:r w:rsidR="00C70934">
        <w:t>49</w:t>
      </w:r>
      <w:r w:rsidRPr="00D2273E" w:rsidR="00C70934">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4F6451" w:rsidP="004F6451" w:rsidRDefault="00CA4CD6" w14:paraId="60BE613C" w14:textId="42C258CA">
      <w:pPr>
        <w:pBdr>
          <w:top w:val="single" w:color="FFFFFF" w:sz="6" w:space="0"/>
          <w:left w:val="single" w:color="FFFFFF" w:sz="6" w:space="0"/>
          <w:bottom w:val="single" w:color="FFFFFF" w:sz="6" w:space="0"/>
          <w:right w:val="single" w:color="FFFFFF" w:sz="6" w:space="0"/>
        </w:pBdr>
      </w:pPr>
      <w:r>
        <w:rPr>
          <w:color w:val="000000"/>
        </w:rPr>
        <w:t>These rates are from the Office of Personnel Management (OPM)</w:t>
      </w:r>
      <w:r w:rsidR="007A458D">
        <w:rPr>
          <w:color w:val="000000"/>
        </w:rPr>
        <w:t>,</w:t>
      </w:r>
      <w:r>
        <w:rPr>
          <w:color w:val="000000"/>
        </w:rPr>
        <w:t xml:space="preserve"> </w:t>
      </w:r>
      <w:r w:rsidR="00C70934">
        <w:rPr>
          <w:color w:val="000000"/>
        </w:rPr>
        <w:t xml:space="preserve">2018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Table</w:t>
      </w:r>
      <w:r w:rsidR="000475D4">
        <w:rPr>
          <w:color w:val="000000"/>
        </w:rPr>
        <w:t>s</w:t>
      </w:r>
      <w:r>
        <w:rPr>
          <w:color w:val="000000"/>
        </w:rPr>
        <w:t xml:space="preserve"> </w:t>
      </w:r>
      <w:r w:rsidR="000475D4">
        <w:rPr>
          <w:color w:val="000000"/>
        </w:rPr>
        <w:t xml:space="preserve">5 through 8 </w:t>
      </w:r>
      <w:r w:rsidR="00DF6B2F">
        <w:rPr>
          <w:color w:val="000000"/>
        </w:rPr>
        <w:t xml:space="preserve">in Attachment 1 </w:t>
      </w:r>
      <w:r w:rsidR="00DC477F">
        <w:rPr>
          <w:color w:val="000000"/>
        </w:rPr>
        <w:t>of this document</w:t>
      </w:r>
      <w:r w:rsidR="000475D4">
        <w:rPr>
          <w:color w:val="000000"/>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5940F6" w14:paraId="039C40C2" w14:textId="4ED91AAA">
      <w:pPr>
        <w:pBdr>
          <w:top w:val="single" w:color="FFFFFF" w:sz="6" w:space="0"/>
          <w:left w:val="single" w:color="FFFFFF" w:sz="6" w:space="0"/>
          <w:bottom w:val="single" w:color="FFFFFF" w:sz="6" w:space="0"/>
          <w:right w:val="single" w:color="FFFFFF" w:sz="6" w:space="0"/>
        </w:pBdr>
      </w:pPr>
      <w:r>
        <w:rPr>
          <w:color w:val="000000"/>
        </w:rPr>
        <w:t xml:space="preserve">Based on our research for this ICR, on average over the next three years, </w:t>
      </w:r>
      <w:r w:rsidR="000475D4">
        <w:rPr>
          <w:color w:val="000000"/>
        </w:rPr>
        <w:t>2</w:t>
      </w:r>
      <w:r>
        <w:rPr>
          <w:color w:val="000000"/>
        </w:rPr>
        <w:t xml:space="preserve"> existing respondents will be subject to the standard. It is estimated that </w:t>
      </w:r>
      <w:r w:rsidR="00C84503">
        <w:rPr>
          <w:color w:val="000000"/>
        </w:rPr>
        <w:t>no</w:t>
      </w:r>
      <w:r>
        <w:rPr>
          <w:color w:val="000000"/>
        </w:rPr>
        <w:t xml:space="preserve"> new respondents will become subject</w:t>
      </w:r>
      <w:r w:rsidR="00C84503">
        <w:rPr>
          <w:color w:val="000000"/>
        </w:rPr>
        <w:t xml:space="preserve"> to the standard in the next three years</w:t>
      </w:r>
      <w:r>
        <w:rPr>
          <w:color w:val="000000"/>
        </w:rPr>
        <w:t xml:space="preserve">. The overall average number of respondents, as shown in the table below, is </w:t>
      </w:r>
      <w:r w:rsidR="000475D4">
        <w:rPr>
          <w:color w:val="000000"/>
        </w:rPr>
        <w:t>2</w:t>
      </w:r>
      <w:r>
        <w:rPr>
          <w:color w:val="000000"/>
        </w:rPr>
        <w:t xml:space="preserve"> per year. </w:t>
      </w:r>
    </w:p>
    <w:p w:rsidR="008E776F" w:rsidRDefault="008E776F" w14:paraId="79E0C4F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1E9A7ABD">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6C55B3">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940F6" w14:paraId="3108CE70" w14:textId="2DD8EE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475D4" w14:paraId="0B137A30" w14:textId="34D522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F6451" w14:paraId="7D960C93" w14:textId="106CB2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4F6451" w14:paraId="7ED54B96" w14:textId="5350F0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0475D4" w14:paraId="3F7C0DAD" w14:textId="2F4395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940F6" w14:paraId="7564DEC3" w14:textId="085F868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475D4" w14:paraId="002226B8" w14:textId="6F9224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F6451" w14:paraId="1C3913C5" w14:textId="3520B5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F6451" w14:paraId="3802688A" w14:textId="5A9181A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475D4" w14:paraId="45C01B8A" w14:textId="4ED368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940F6" w14:paraId="1A6EA395" w14:textId="0E53FD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475D4" w14:paraId="37336570" w14:textId="548515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F6451" w14:paraId="7C60F04B" w14:textId="5CB0179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4F6451" w14:paraId="53B7186D" w14:textId="143DF3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475D4" w14:paraId="18B5AAAA" w14:textId="1F6903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940F6" w14:paraId="1581E97D" w14:textId="66720F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475D4" w14:paraId="47314C40" w14:textId="109495C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F6451" w14:paraId="480163AE" w14:textId="62CB4F6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4F6451" w14:paraId="2B2CDCCB" w14:textId="5F4EE01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4F6451" w:rsidRDefault="000475D4" w14:paraId="0CAD30F7" w14:textId="1AC67C1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bl>
    <w:p w:rsidRPr="004F6451" w:rsidR="00CA4CD6" w:rsidP="006D16C0" w:rsidRDefault="006C55B3" w14:paraId="7C547DF5" w14:textId="2C6F2367">
      <w:pPr>
        <w:pBdr>
          <w:top w:val="single" w:color="FFFFFF" w:sz="6" w:space="0"/>
          <w:left w:val="single" w:color="FFFFFF" w:sz="6" w:space="0"/>
          <w:bottom w:val="single" w:color="FFFFFF" w:sz="6" w:space="0"/>
          <w:right w:val="single" w:color="FFFFFF" w:sz="6" w:space="0"/>
        </w:pBdr>
        <w:ind w:left="720"/>
        <w:rPr>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r w:rsidR="006D16C0">
        <w:rPr>
          <w:color w:val="000000"/>
          <w:sz w:val="20"/>
          <w:szCs w:val="20"/>
        </w:rPr>
        <w:t xml:space="preserve"> </w:t>
      </w:r>
      <w:r w:rsidRPr="006D16C0" w:rsidR="006D16C0">
        <w:rPr>
          <w:color w:val="000000"/>
          <w:sz w:val="20"/>
          <w:szCs w:val="20"/>
        </w:rPr>
        <w:t xml:space="preserve">For the </w:t>
      </w:r>
      <w:r w:rsidRPr="006D16C0" w:rsidR="006D16C0">
        <w:rPr>
          <w:color w:val="000000"/>
          <w:sz w:val="20"/>
          <w:szCs w:val="20"/>
        </w:rPr>
        <w:lastRenderedPageBreak/>
        <w:t xml:space="preserve">purposes of estimating burden, </w:t>
      </w:r>
      <w:r w:rsidR="00DC477F">
        <w:rPr>
          <w:color w:val="000000"/>
          <w:sz w:val="20"/>
          <w:szCs w:val="20"/>
        </w:rPr>
        <w:t>no</w:t>
      </w:r>
      <w:r w:rsidRPr="006D16C0" w:rsidR="005940F6">
        <w:rPr>
          <w:color w:val="000000"/>
          <w:sz w:val="20"/>
          <w:szCs w:val="20"/>
        </w:rPr>
        <w:t xml:space="preserve"> </w:t>
      </w:r>
      <w:r w:rsidRPr="006D16C0" w:rsidR="006D16C0">
        <w:rPr>
          <w:color w:val="000000"/>
          <w:sz w:val="20"/>
          <w:szCs w:val="20"/>
        </w:rPr>
        <w:t>new units are expected to be constructed or in operation over the next three years.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2DE27139">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4F6451">
        <w:rPr>
          <w:color w:val="000000"/>
        </w:rPr>
        <w:t xml:space="preserve"> </w:t>
      </w:r>
      <w:r w:rsidR="000475D4">
        <w:rPr>
          <w:color w:val="000000"/>
        </w:rPr>
        <w:t>2</w:t>
      </w:r>
      <w:r w:rsidR="00507EC5">
        <w:rPr>
          <w:color w:val="000000"/>
        </w:rPr>
        <w:t xml:space="preserve">. </w:t>
      </w:r>
    </w:p>
    <w:p w:rsidR="004F6451" w:rsidRDefault="004F6451" w14:paraId="1E8EE104" w14:textId="77777777">
      <w:pPr>
        <w:pBdr>
          <w:top w:val="single" w:color="FFFFFF" w:sz="6" w:space="0"/>
          <w:left w:val="single" w:color="FFFFFF" w:sz="6" w:space="0"/>
          <w:bottom w:val="single" w:color="FFFFFF" w:sz="6" w:space="0"/>
          <w:right w:val="single" w:color="FFFFFF" w:sz="6" w:space="0"/>
        </w:pBdr>
        <w:ind w:firstLine="720"/>
        <w:rPr>
          <w:color w:val="000000"/>
        </w:rPr>
      </w:pPr>
    </w:p>
    <w:p w:rsidRPr="004F6451" w:rsidR="00CA4CD6" w:rsidRDefault="00CA4CD6" w14:paraId="2DD44DAF" w14:textId="5AF5E08E">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4F6451" w14:paraId="046B3587" w14:textId="77777777">
        <w:trPr>
          <w:tblHeader/>
        </w:trPr>
        <w:tc>
          <w:tcPr>
            <w:tcW w:w="9180" w:type="dxa"/>
            <w:gridSpan w:val="5"/>
          </w:tcPr>
          <w:p w:rsidR="00CA4CD6" w:rsidP="006C55B3" w:rsidRDefault="00CA4CD6" w14:paraId="6EA78754" w14:textId="77777777">
            <w:pPr>
              <w:keepNext/>
              <w:keepLines/>
              <w:spacing w:line="120" w:lineRule="exact"/>
              <w:rPr>
                <w:color w:val="000000"/>
              </w:rPr>
            </w:pPr>
          </w:p>
          <w:p w:rsidR="00CA4CD6" w:rsidP="006C55B3" w:rsidRDefault="00CA4CD6" w14:paraId="2BFF83AC"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4F6451" w14:paraId="081547E5" w14:textId="77777777">
        <w:tc>
          <w:tcPr>
            <w:tcW w:w="2700" w:type="dxa"/>
          </w:tcPr>
          <w:p w:rsidR="00CA4CD6" w:rsidP="006C55B3" w:rsidRDefault="00CA4CD6" w14:paraId="1FF13FEE" w14:textId="77777777">
            <w:pPr>
              <w:keepNext/>
              <w:keepLines/>
              <w:spacing w:line="120" w:lineRule="exact"/>
              <w:jc w:val="center"/>
              <w:rPr>
                <w:b/>
                <w:bCs/>
                <w:color w:val="000000"/>
                <w:sz w:val="18"/>
                <w:szCs w:val="18"/>
              </w:rPr>
            </w:pPr>
          </w:p>
          <w:p w:rsidR="00CA4CD6" w:rsidP="006C55B3" w:rsidRDefault="00CA4CD6" w14:paraId="052E56A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6C55B3" w:rsidRDefault="00CA4CD6" w14:paraId="5DBFA35A"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6C55B3" w:rsidRDefault="00CA4CD6" w14:paraId="1BEAAD9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6C55B3" w:rsidRDefault="00CA4CD6" w14:paraId="1512DB18" w14:textId="77777777">
            <w:pPr>
              <w:keepNext/>
              <w:keepLines/>
              <w:spacing w:line="120" w:lineRule="exact"/>
              <w:jc w:val="center"/>
              <w:rPr>
                <w:color w:val="000000"/>
                <w:sz w:val="18"/>
                <w:szCs w:val="18"/>
              </w:rPr>
            </w:pPr>
          </w:p>
          <w:p w:rsidR="00CA4CD6" w:rsidP="006C55B3" w:rsidRDefault="00CA4CD6" w14:paraId="0F6BDBA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6C55B3" w:rsidRDefault="00CA4CD6" w14:paraId="37D61E10"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6C55B3" w:rsidRDefault="00CA4CD6" w14:paraId="2C4C0C7A" w14:textId="34DE1A0D">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w:t>
            </w:r>
            <w:proofErr w:type="spellStart"/>
            <w:r>
              <w:rPr>
                <w:color w:val="000000"/>
                <w:sz w:val="18"/>
                <w:szCs w:val="18"/>
              </w:rPr>
              <w:t>Respondents</w:t>
            </w:r>
            <w:r w:rsidRPr="006C55B3" w:rsidR="006C55B3">
              <w:rPr>
                <w:color w:val="000000"/>
                <w:sz w:val="18"/>
                <w:szCs w:val="18"/>
                <w:vertAlign w:val="superscript"/>
              </w:rPr>
              <w:t>a</w:t>
            </w:r>
            <w:proofErr w:type="spellEnd"/>
          </w:p>
        </w:tc>
        <w:tc>
          <w:tcPr>
            <w:tcW w:w="1260" w:type="dxa"/>
          </w:tcPr>
          <w:p w:rsidR="00CA4CD6" w:rsidP="006C55B3" w:rsidRDefault="00CA4CD6" w14:paraId="7C8774CA" w14:textId="77777777">
            <w:pPr>
              <w:keepNext/>
              <w:keepLines/>
              <w:spacing w:line="120" w:lineRule="exact"/>
              <w:jc w:val="center"/>
              <w:rPr>
                <w:color w:val="000000"/>
                <w:sz w:val="18"/>
                <w:szCs w:val="18"/>
              </w:rPr>
            </w:pPr>
          </w:p>
          <w:p w:rsidR="00CA4CD6" w:rsidP="006C55B3" w:rsidRDefault="00CA4CD6" w14:paraId="73986CB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6C55B3" w:rsidRDefault="00CA4CD6" w14:paraId="39902BC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6C55B3" w:rsidRDefault="00CA4CD6" w14:paraId="6AED710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6C55B3" w:rsidRDefault="00CA4CD6" w14:paraId="3214EDCF" w14:textId="77777777">
            <w:pPr>
              <w:keepNext/>
              <w:keepLines/>
              <w:spacing w:line="120" w:lineRule="exact"/>
              <w:jc w:val="center"/>
              <w:rPr>
                <w:color w:val="000000"/>
                <w:sz w:val="18"/>
                <w:szCs w:val="18"/>
              </w:rPr>
            </w:pPr>
          </w:p>
          <w:p w:rsidR="00CA4CD6" w:rsidP="006C55B3" w:rsidRDefault="00CA4CD6" w14:paraId="67F3EBB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6C55B3" w:rsidRDefault="00CA4CD6" w14:paraId="13A7FE8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6C55B3" w:rsidRDefault="00CA4CD6" w14:paraId="2EDBD8A8" w14:textId="77777777">
            <w:pPr>
              <w:keepNext/>
              <w:keepLines/>
              <w:spacing w:line="120" w:lineRule="exact"/>
              <w:jc w:val="center"/>
              <w:rPr>
                <w:color w:val="000000"/>
                <w:sz w:val="18"/>
                <w:szCs w:val="18"/>
              </w:rPr>
            </w:pPr>
          </w:p>
          <w:p w:rsidR="00CA4CD6" w:rsidP="006C55B3" w:rsidRDefault="00CA4CD6" w14:paraId="4313828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6C55B3" w:rsidRDefault="00CA4CD6" w14:paraId="5E83DC58" w14:textId="645CCDB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6C55B3" w:rsidRDefault="00CA4CD6" w14:paraId="03A9119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4F6451" w:rsidTr="004F6451" w14:paraId="16C1203F" w14:textId="77777777">
        <w:trPr>
          <w:trHeight w:val="366"/>
        </w:trPr>
        <w:tc>
          <w:tcPr>
            <w:tcW w:w="2700" w:type="dxa"/>
            <w:vAlign w:val="center"/>
          </w:tcPr>
          <w:p w:rsidR="004F6451" w:rsidP="006C55B3" w:rsidRDefault="004F6451" w14:paraId="7DB8FBDE" w14:textId="7385F8A1">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3FD7">
              <w:rPr>
                <w:sz w:val="20"/>
                <w:szCs w:val="20"/>
              </w:rPr>
              <w:t>Notification to commence construction</w:t>
            </w:r>
          </w:p>
        </w:tc>
        <w:tc>
          <w:tcPr>
            <w:tcW w:w="1260" w:type="dxa"/>
            <w:vAlign w:val="center"/>
          </w:tcPr>
          <w:p w:rsidR="004F6451" w:rsidP="006C55B3" w:rsidRDefault="002D540E" w14:paraId="63308014" w14:textId="4B534C72">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F6451" w:rsidP="006C55B3" w:rsidRDefault="004F6451" w14:paraId="7D6BA6A3" w14:textId="484738B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F6451" w:rsidP="006C55B3" w:rsidRDefault="004F6451" w14:paraId="508145DD" w14:textId="0CC1E85A">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F6451" w:rsidP="006C55B3" w:rsidRDefault="002D540E" w14:paraId="70F8E048" w14:textId="514AD86C">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4F6451" w:rsidTr="004F6451" w14:paraId="300564D1" w14:textId="77777777">
        <w:trPr>
          <w:trHeight w:val="366"/>
        </w:trPr>
        <w:tc>
          <w:tcPr>
            <w:tcW w:w="2700" w:type="dxa"/>
            <w:vAlign w:val="center"/>
          </w:tcPr>
          <w:p w:rsidR="004F6451" w:rsidP="006C55B3" w:rsidRDefault="004F6451" w14:paraId="0F46E3DF" w14:textId="598E6868">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3FD7">
              <w:rPr>
                <w:sz w:val="20"/>
                <w:szCs w:val="20"/>
              </w:rPr>
              <w:t>Notification of initial startup</w:t>
            </w:r>
          </w:p>
        </w:tc>
        <w:tc>
          <w:tcPr>
            <w:tcW w:w="1260" w:type="dxa"/>
            <w:vAlign w:val="center"/>
          </w:tcPr>
          <w:p w:rsidR="004F6451" w:rsidP="006C55B3" w:rsidRDefault="002D540E" w14:paraId="06C154FF" w14:textId="3EE7634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F6451" w:rsidP="006C55B3" w:rsidRDefault="004F6451" w14:paraId="40F59661" w14:textId="629FB2D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F6451" w:rsidP="006C55B3" w:rsidRDefault="004F6451" w14:paraId="3E42D994" w14:textId="50379B15">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F6451" w:rsidP="006C55B3" w:rsidRDefault="002D540E" w14:paraId="4B9F0EBE" w14:textId="3F5D89B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4F6451" w:rsidTr="004F6451" w14:paraId="083E1D2F" w14:textId="77777777">
        <w:trPr>
          <w:trHeight w:val="366"/>
        </w:trPr>
        <w:tc>
          <w:tcPr>
            <w:tcW w:w="2700" w:type="dxa"/>
            <w:vAlign w:val="center"/>
          </w:tcPr>
          <w:p w:rsidRPr="005643A3" w:rsidR="004F6451" w:rsidP="006C55B3" w:rsidRDefault="004F6451" w14:paraId="0A00E7E9" w14:textId="18D686ED">
            <w:pPr>
              <w:keepNext/>
              <w:keepLines/>
              <w:pBdr>
                <w:top w:val="single" w:color="FFFFFF" w:sz="6" w:space="0"/>
                <w:left w:val="single" w:color="FFFFFF" w:sz="6" w:space="0"/>
                <w:bottom w:val="single" w:color="FFFFFF" w:sz="6" w:space="0"/>
                <w:right w:val="single" w:color="FFFFFF" w:sz="6" w:space="0"/>
              </w:pBdr>
              <w:rPr>
                <w:color w:val="000000"/>
                <w:sz w:val="18"/>
                <w:szCs w:val="18"/>
                <w:vertAlign w:val="superscript"/>
              </w:rPr>
            </w:pPr>
            <w:r w:rsidRPr="00B03FD7">
              <w:rPr>
                <w:sz w:val="20"/>
                <w:szCs w:val="20"/>
              </w:rPr>
              <w:t xml:space="preserve">Initial </w:t>
            </w:r>
            <w:r>
              <w:rPr>
                <w:sz w:val="20"/>
                <w:szCs w:val="20"/>
              </w:rPr>
              <w:t>test</w:t>
            </w:r>
            <w:r w:rsidRPr="00B03FD7">
              <w:rPr>
                <w:sz w:val="20"/>
                <w:szCs w:val="20"/>
              </w:rPr>
              <w:t xml:space="preserve"> report</w:t>
            </w:r>
          </w:p>
        </w:tc>
        <w:tc>
          <w:tcPr>
            <w:tcW w:w="1260" w:type="dxa"/>
            <w:vAlign w:val="center"/>
          </w:tcPr>
          <w:p w:rsidR="004F6451" w:rsidP="006C55B3" w:rsidRDefault="000475D4" w14:paraId="6D5F816B" w14:textId="1A2C5D1C">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F6451" w:rsidP="006C55B3" w:rsidRDefault="006D16C0" w14:paraId="64FA5AEC" w14:textId="40DF5E5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F6451" w:rsidP="006C55B3" w:rsidRDefault="004F6451" w14:paraId="67D9124E" w14:textId="613C48CC">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4F6451" w:rsidP="006C55B3" w:rsidRDefault="000475D4" w14:paraId="526F05CB" w14:textId="027818B5">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4F6451" w:rsidTr="004F6451" w14:paraId="6C13DEF4" w14:textId="77777777">
        <w:trPr>
          <w:trHeight w:val="366"/>
        </w:trPr>
        <w:tc>
          <w:tcPr>
            <w:tcW w:w="2700" w:type="dxa"/>
            <w:vAlign w:val="center"/>
          </w:tcPr>
          <w:p w:rsidR="004F6451" w:rsidP="006C55B3" w:rsidRDefault="004F6451" w14:paraId="7BBFA3A2" w14:textId="45872C1B">
            <w:pPr>
              <w:keepNext/>
              <w:keepLines/>
              <w:pBdr>
                <w:top w:val="single" w:color="FFFFFF" w:sz="6" w:space="0"/>
                <w:left w:val="single" w:color="FFFFFF" w:sz="6" w:space="0"/>
                <w:bottom w:val="single" w:color="FFFFFF" w:sz="6" w:space="0"/>
                <w:right w:val="single" w:color="FFFFFF" w:sz="6" w:space="0"/>
              </w:pBdr>
              <w:rPr>
                <w:color w:val="000000"/>
                <w:sz w:val="18"/>
                <w:szCs w:val="18"/>
              </w:rPr>
            </w:pPr>
            <w:r w:rsidRPr="00B03FD7">
              <w:rPr>
                <w:sz w:val="20"/>
                <w:szCs w:val="20"/>
              </w:rPr>
              <w:t>Annual compliance reports</w:t>
            </w:r>
          </w:p>
        </w:tc>
        <w:tc>
          <w:tcPr>
            <w:tcW w:w="1260" w:type="dxa"/>
            <w:vAlign w:val="center"/>
          </w:tcPr>
          <w:p w:rsidR="004F6451" w:rsidP="006C55B3" w:rsidRDefault="000475D4" w14:paraId="435BE08A" w14:textId="32FCA82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F6451" w:rsidP="006C55B3" w:rsidRDefault="00C576F5" w14:paraId="45D39C51" w14:textId="37F1A975">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4F6451" w:rsidP="006C55B3" w:rsidRDefault="004F6451" w14:paraId="191EB1FB" w14:textId="0E3BCBBA">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Pr="004F6451" w:rsidR="004F6451" w:rsidP="006C55B3" w:rsidRDefault="000475D4" w14:paraId="69A7F94D" w14:textId="54587D38">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r>
      <w:tr w:rsidR="004F6451" w:rsidTr="004F6451" w14:paraId="44645B36" w14:textId="77777777">
        <w:trPr>
          <w:trHeight w:val="366"/>
        </w:trPr>
        <w:tc>
          <w:tcPr>
            <w:tcW w:w="2700" w:type="dxa"/>
            <w:vAlign w:val="center"/>
          </w:tcPr>
          <w:p w:rsidRPr="00B03FD7" w:rsidR="004F6451" w:rsidP="006C55B3" w:rsidRDefault="004F6451" w14:paraId="4D4003AC" w14:textId="31ABC2DB">
            <w:pPr>
              <w:keepNext/>
              <w:keepLines/>
              <w:pBdr>
                <w:top w:val="single" w:color="FFFFFF" w:sz="6" w:space="0"/>
                <w:left w:val="single" w:color="FFFFFF" w:sz="6" w:space="0"/>
                <w:bottom w:val="single" w:color="FFFFFF" w:sz="6" w:space="0"/>
                <w:right w:val="single" w:color="FFFFFF" w:sz="6" w:space="0"/>
              </w:pBdr>
              <w:rPr>
                <w:sz w:val="20"/>
                <w:szCs w:val="20"/>
              </w:rPr>
            </w:pPr>
            <w:r w:rsidRPr="00B03FD7">
              <w:rPr>
                <w:sz w:val="20"/>
                <w:szCs w:val="20"/>
              </w:rPr>
              <w:t>Semiannual deviation reports</w:t>
            </w:r>
          </w:p>
        </w:tc>
        <w:tc>
          <w:tcPr>
            <w:tcW w:w="1260" w:type="dxa"/>
            <w:vAlign w:val="center"/>
          </w:tcPr>
          <w:p w:rsidR="004F6451" w:rsidP="006C55B3" w:rsidRDefault="000475D4" w14:paraId="2BD9C6E9" w14:textId="21CAD33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4F6451" w:rsidP="006C55B3" w:rsidRDefault="006D16C0" w14:paraId="5CB0A1EC" w14:textId="5809B53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4F6451" w:rsidP="006C55B3" w:rsidRDefault="004F6451" w14:paraId="7F40CD4C" w14:textId="48297F31">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Pr="004F6451" w:rsidR="004F6451" w:rsidP="006C55B3" w:rsidRDefault="000475D4" w14:paraId="7410D265" w14:textId="68BA2AA5">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r>
      <w:tr w:rsidR="00256120" w:rsidTr="004F6451" w14:paraId="3A3682A0" w14:textId="77777777">
        <w:trPr>
          <w:trHeight w:val="366"/>
        </w:trPr>
        <w:tc>
          <w:tcPr>
            <w:tcW w:w="2700" w:type="dxa"/>
            <w:vAlign w:val="center"/>
          </w:tcPr>
          <w:p w:rsidRPr="00B03FD7" w:rsidR="00256120" w:rsidP="006C55B3" w:rsidRDefault="002D6B6B" w14:paraId="7022CA56" w14:textId="3FE51CBE">
            <w:pPr>
              <w:keepNext/>
              <w:keepLines/>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final compliance</w:t>
            </w:r>
          </w:p>
        </w:tc>
        <w:tc>
          <w:tcPr>
            <w:tcW w:w="1260" w:type="dxa"/>
            <w:vAlign w:val="center"/>
          </w:tcPr>
          <w:p w:rsidR="00256120" w:rsidDel="002D540E" w:rsidP="006C55B3" w:rsidRDefault="000475D4" w14:paraId="01B9441A" w14:textId="47250BE9">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56120" w:rsidP="006C55B3" w:rsidRDefault="00256120" w14:paraId="3B763A7D" w14:textId="51FF387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56120" w:rsidP="006C55B3" w:rsidRDefault="00256120" w14:paraId="41AEAB39" w14:textId="67F58BC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56120" w:rsidDel="002D540E" w:rsidP="006C55B3" w:rsidRDefault="000475D4" w14:paraId="64EB8412" w14:textId="4172B0CD">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r>
      <w:tr w:rsidR="004F6451" w:rsidTr="004F6451" w14:paraId="786E8B21" w14:textId="77777777">
        <w:trPr>
          <w:trHeight w:val="366"/>
        </w:trPr>
        <w:tc>
          <w:tcPr>
            <w:tcW w:w="2700" w:type="dxa"/>
            <w:vAlign w:val="center"/>
          </w:tcPr>
          <w:p w:rsidRPr="00B03FD7" w:rsidR="004F6451" w:rsidP="006C55B3" w:rsidRDefault="004F6451" w14:paraId="5998FE6E" w14:textId="77777777">
            <w:pPr>
              <w:keepNext/>
              <w:keepLines/>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004F6451" w:rsidP="006C55B3" w:rsidRDefault="004F6451" w14:paraId="5D65AC0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4F6451" w:rsidP="006C55B3" w:rsidRDefault="004F6451" w14:paraId="20869D15"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4F6451" w:rsidP="006C55B3" w:rsidRDefault="004F6451" w14:paraId="6744FC1A" w14:textId="648D818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Pr="004F6451" w:rsidR="004F6451" w:rsidP="006C55B3" w:rsidRDefault="000475D4" w14:paraId="5C886A9A" w14:textId="4902EE22">
            <w:pPr>
              <w:keepNext/>
              <w:keepLines/>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r>
    </w:tbl>
    <w:p w:rsidR="00235397" w:rsidP="006C55B3" w:rsidRDefault="006C55B3" w14:paraId="1C5F8CF3" w14:textId="7902FB13">
      <w:pPr>
        <w:keepNext/>
        <w:keepLines/>
        <w:pBdr>
          <w:top w:val="single" w:color="FFFFFF" w:sz="6" w:space="0"/>
          <w:left w:val="single" w:color="FFFFFF" w:sz="6" w:space="0"/>
          <w:bottom w:val="single" w:color="FFFFFF" w:sz="6" w:space="0"/>
          <w:right w:val="single" w:color="FFFFFF" w:sz="6" w:space="0"/>
        </w:pBdr>
        <w:ind w:left="360"/>
        <w:rPr>
          <w:color w:val="000000"/>
          <w:sz w:val="20"/>
          <w:szCs w:val="20"/>
        </w:rPr>
      </w:pPr>
      <w:r>
        <w:rPr>
          <w:color w:val="000000"/>
          <w:vertAlign w:val="superscript"/>
        </w:rPr>
        <w:t>a</w:t>
      </w:r>
      <w:r>
        <w:rPr>
          <w:color w:val="000000"/>
        </w:rPr>
        <w:t xml:space="preserve"> </w:t>
      </w:r>
      <w:r>
        <w:rPr>
          <w:color w:val="000000"/>
          <w:sz w:val="20"/>
          <w:szCs w:val="20"/>
        </w:rPr>
        <w:t>We assume that the two existing respondents with capacities greater than 10 TPD have already completed initial testing and would have no new testing, monitoring, recordkeeping, or reporting requirements. Therefore, there are no incremental burden or responses associated with the proposed requirements for the two respondents.</w:t>
      </w:r>
    </w:p>
    <w:p w:rsidR="00614B14" w:rsidP="00614B14" w:rsidRDefault="00614B14" w14:paraId="4C5E67E5" w14:textId="77777777">
      <w:pPr>
        <w:pBdr>
          <w:top w:val="single" w:color="FFFFFF" w:sz="6" w:space="0"/>
          <w:left w:val="single" w:color="FFFFFF" w:sz="6" w:space="0"/>
          <w:bottom w:val="single" w:color="FFFFFF" w:sz="6" w:space="0"/>
          <w:right w:val="single" w:color="FFFFFF" w:sz="6" w:space="0"/>
        </w:pBdr>
        <w:ind w:left="360"/>
        <w:rPr>
          <w:color w:val="000000"/>
        </w:rPr>
      </w:pPr>
    </w:p>
    <w:p w:rsidRPr="004F6451" w:rsidR="00CA4CD6" w:rsidP="004F6451" w:rsidRDefault="00CA4CD6" w14:paraId="7A48FCEA" w14:textId="34564924">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4F6451">
        <w:t>is</w:t>
      </w:r>
      <w:r w:rsidR="005643A3">
        <w:t xml:space="preserve"> </w:t>
      </w:r>
      <w:r w:rsidR="00FF2D56">
        <w:t>0</w:t>
      </w:r>
      <w:r w:rsidRPr="004F6451" w:rsidR="004F6451">
        <w:t>.</w:t>
      </w:r>
      <w:r w:rsidRPr="004F6451" w:rsidR="009C7E97">
        <w:t xml:space="preserve"> </w:t>
      </w:r>
    </w:p>
    <w:p w:rsidRPr="004F6451"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00CA4CD6" w:rsidP="00256120" w:rsidRDefault="00CA4CD6" w14:paraId="15E0BE64" w14:textId="1F0EC4E0">
      <w:pPr>
        <w:pBdr>
          <w:top w:val="single" w:color="FFFFFF" w:sz="6" w:space="0"/>
          <w:left w:val="single" w:color="FFFFFF" w:sz="6" w:space="0"/>
          <w:bottom w:val="single" w:color="FFFFFF" w:sz="6" w:space="0"/>
          <w:right w:val="single" w:color="FFFFFF" w:sz="6" w:space="0"/>
        </w:pBdr>
        <w:ind w:firstLine="720"/>
      </w:pPr>
      <w:r w:rsidRPr="004F6451">
        <w:t xml:space="preserve">The annual </w:t>
      </w:r>
      <w:r w:rsidR="00183FD6">
        <w:t xml:space="preserve">average </w:t>
      </w:r>
      <w:r w:rsidRPr="004F6451">
        <w:t xml:space="preserve">labor costs are </w:t>
      </w:r>
      <w:r w:rsidR="00FF4123">
        <w:t>$</w:t>
      </w:r>
      <w:r w:rsidR="00FF2D56">
        <w:t>1,573</w:t>
      </w:r>
      <w:r w:rsidRPr="004F6451">
        <w:t>.</w:t>
      </w:r>
      <w:r w:rsidRPr="004F6451" w:rsidR="009C7E97">
        <w:t xml:space="preserve"> </w:t>
      </w:r>
      <w:r w:rsidRPr="004F6451">
        <w:t xml:space="preserve">Details regarding these estimates may be found </w:t>
      </w:r>
      <w:r w:rsidRPr="004F6451" w:rsidR="007A458D">
        <w:t xml:space="preserve">below </w:t>
      </w:r>
      <w:r w:rsidRPr="004F6451" w:rsidR="0035325B">
        <w:t xml:space="preserve">in </w:t>
      </w:r>
      <w:r w:rsidR="00256120">
        <w:rPr>
          <w:color w:val="000000"/>
        </w:rPr>
        <w:t>Tables 1 through 4 in Attachment 1</w:t>
      </w:r>
      <w:r w:rsidR="00DF6B2F">
        <w:rPr>
          <w:color w:val="000000"/>
        </w:rPr>
        <w:t xml:space="preserve"> of this document</w:t>
      </w:r>
      <w:r w:rsidRPr="00B04FAA" w:rsidR="00256120">
        <w:t>.</w:t>
      </w:r>
    </w:p>
    <w:p w:rsidRPr="004F6451" w:rsidR="00C542C2" w:rsidP="00256120" w:rsidRDefault="00C542C2" w14:paraId="14A39746"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4F6451" w:rsidR="00CA4CD6" w:rsidRDefault="00CA4CD6" w14:paraId="2100F319" w14:textId="494BC3EC">
      <w:pPr>
        <w:pBdr>
          <w:top w:val="single" w:color="FFFFFF" w:sz="6" w:space="0"/>
          <w:left w:val="single" w:color="FFFFFF" w:sz="6" w:space="0"/>
          <w:bottom w:val="single" w:color="FFFFFF" w:sz="6" w:space="0"/>
          <w:right w:val="single" w:color="FFFFFF" w:sz="6" w:space="0"/>
        </w:pBdr>
        <w:ind w:firstLine="720"/>
      </w:pPr>
      <w:r>
        <w:rPr>
          <w:color w:val="000000"/>
        </w:rPr>
        <w:t>The detailed bottom line burden hours and cost calculations for the respondents and the Agency are shown in Tables 1</w:t>
      </w:r>
      <w:r w:rsidR="008E776F">
        <w:rPr>
          <w:color w:val="000000"/>
        </w:rPr>
        <w:t xml:space="preserve"> </w:t>
      </w:r>
      <w:r w:rsidR="001E630F">
        <w:rPr>
          <w:color w:val="000000"/>
        </w:rPr>
        <w:t>through 8</w:t>
      </w:r>
      <w:r w:rsidRPr="004F6451" w:rsidR="00FE2099">
        <w:t xml:space="preserve"> </w:t>
      </w:r>
      <w:r w:rsidR="00DF6B2F">
        <w:t>in Attachment 1 of this document</w:t>
      </w:r>
      <w:r w:rsidRPr="004F6451">
        <w:t>, respectively, and summarized below.</w:t>
      </w:r>
      <w:r w:rsidRPr="004F6451" w:rsidR="009C7E97">
        <w:t xml:space="preserve"> </w:t>
      </w:r>
    </w:p>
    <w:p w:rsidRPr="004F6451"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AB951A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w:t>
      </w:r>
      <w:r w:rsidR="00183FD6">
        <w:rPr>
          <w:color w:val="000000"/>
        </w:rPr>
        <w:t xml:space="preserve">average </w:t>
      </w:r>
      <w:r>
        <w:rPr>
          <w:color w:val="000000"/>
        </w:rPr>
        <w:t xml:space="preserve">labor </w:t>
      </w:r>
      <w:r w:rsidR="002C416A">
        <w:rPr>
          <w:color w:val="000000"/>
        </w:rPr>
        <w:t xml:space="preserve">hours </w:t>
      </w:r>
      <w:r w:rsidRPr="00D94CC5" w:rsidR="002C416A">
        <w:t>are</w:t>
      </w:r>
      <w:r w:rsidRPr="00D94CC5">
        <w:t xml:space="preserve"> </w:t>
      </w:r>
      <w:r w:rsidR="00FF2D56">
        <w:t>14</w:t>
      </w:r>
      <w:r w:rsidRPr="00D94CC5">
        <w:t>.</w:t>
      </w:r>
      <w:r w:rsidRPr="00D94CC5" w:rsidR="009C7E97">
        <w:t xml:space="preserve"> </w:t>
      </w:r>
      <w:r w:rsidRPr="00D94CC5">
        <w:t xml:space="preserve">Details </w:t>
      </w:r>
      <w:r>
        <w:rPr>
          <w:color w:val="000000"/>
        </w:rPr>
        <w:t xml:space="preserve">regarding these estimates may be found in </w:t>
      </w:r>
      <w:r w:rsidR="00256120">
        <w:rPr>
          <w:color w:val="000000"/>
        </w:rPr>
        <w:lastRenderedPageBreak/>
        <w:t>in Tables 1 through 4 of Attachment 1</w:t>
      </w:r>
      <w:r w:rsidR="00DF6B2F">
        <w:rPr>
          <w:color w:val="000000"/>
        </w:rPr>
        <w:t xml:space="preserve"> of this document</w:t>
      </w:r>
      <w:r w:rsidRPr="00B03FD7" w:rsidR="00D94CC5">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C8378A">
        <w:t>We assume that burdens for managerial tasks take 5% of the time required for technical tasks because the typical tasks for managers are to review and approve reports.</w:t>
      </w:r>
      <w:r w:rsidRPr="00C8378A" w:rsidR="009C7E97">
        <w:t xml:space="preserve"> </w:t>
      </w:r>
      <w:r w:rsidRPr="00C8378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2F3145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D94CC5">
        <w:t xml:space="preserve">average </w:t>
      </w:r>
      <w:r w:rsidR="00DF6B2F">
        <w:t>7</w:t>
      </w:r>
      <w:r w:rsidR="00C542C2">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Pr="00D94CC5" w:rsidR="00CA4CD6" w:rsidRDefault="00CA4CD6" w14:paraId="291B4E94" w14:textId="03AA3E64">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w:t>
      </w:r>
      <w:r w:rsidRPr="00D94CC5">
        <w:t xml:space="preserve">capital/startup and O&amp;M costs to the regulated entity are </w:t>
      </w:r>
      <w:r w:rsidRPr="00D94CC5" w:rsidR="00D94CC5">
        <w:t>$</w:t>
      </w:r>
      <w:r w:rsidR="00FF2D56">
        <w:t>0</w:t>
      </w:r>
      <w:r w:rsidRPr="00D94CC5" w:rsidR="00D94CC5">
        <w:t>.</w:t>
      </w:r>
      <w:r w:rsidRPr="00D94CC5" w:rsidR="009C7E97">
        <w:t xml:space="preserve"> </w:t>
      </w:r>
      <w:r w:rsidRPr="00D94CC5">
        <w:t>The cost calculations are detailed in Section 6(b)(iii), Capital/Startup vs. Operation and Maintenance (O&amp;M) Costs.</w:t>
      </w:r>
    </w:p>
    <w:p w:rsidRPr="00D94CC5"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D94CC5"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D94CC5">
        <w:rPr>
          <w:b/>
          <w:bCs/>
        </w:rPr>
        <w:t>(ii) The Agency Tally</w:t>
      </w:r>
    </w:p>
    <w:p w:rsidRPr="00D94CC5"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D94CC5" w:rsidR="0049327D" w:rsidP="00144F35" w:rsidRDefault="00CA4CD6" w14:paraId="47DC86B1" w14:textId="45360AFD">
      <w:pPr>
        <w:pBdr>
          <w:top w:val="single" w:color="FFFFFF" w:sz="6" w:space="0"/>
          <w:left w:val="single" w:color="FFFFFF" w:sz="6" w:space="0"/>
          <w:bottom w:val="single" w:color="FFFFFF" w:sz="6" w:space="0"/>
          <w:right w:val="single" w:color="FFFFFF" w:sz="6" w:space="0"/>
        </w:pBdr>
        <w:ind w:firstLine="720"/>
      </w:pPr>
      <w:r w:rsidRPr="00D94CC5">
        <w:t xml:space="preserve">The average annual Agency burden and cost over next three years is estimated to be </w:t>
      </w:r>
      <w:r w:rsidR="00E1654D">
        <w:t>0</w:t>
      </w:r>
      <w:r w:rsidR="00E13DC7">
        <w:t xml:space="preserve"> </w:t>
      </w:r>
      <w:r w:rsidRPr="00D94CC5">
        <w:t>labor hours at a cost of $</w:t>
      </w:r>
      <w:r w:rsidR="00E1654D">
        <w:t>0</w:t>
      </w:r>
      <w:r w:rsidRPr="00D94CC5" w:rsidR="00144F35">
        <w:t>.</w:t>
      </w:r>
      <w:r w:rsidRPr="00D94CC5" w:rsidR="009C7E97">
        <w:t xml:space="preserve"> </w:t>
      </w:r>
      <w:r w:rsidRPr="00D94CC5" w:rsidR="00144F35">
        <w:t xml:space="preserve">See </w:t>
      </w:r>
      <w:r w:rsidR="00E95027">
        <w:t>Tables 5 through 8</w:t>
      </w:r>
      <w:r w:rsidR="00E64CF7">
        <w:t xml:space="preserve"> in Attachment 1 of this document</w:t>
      </w:r>
      <w:r w:rsidR="00E95027">
        <w:t>.</w:t>
      </w:r>
    </w:p>
    <w:p w:rsidRPr="00D94CC5" w:rsidR="00D94CC5" w:rsidP="00144F35" w:rsidRDefault="00D94CC5" w14:paraId="197BDCF3" w14:textId="77777777">
      <w:pPr>
        <w:pBdr>
          <w:top w:val="single" w:color="FFFFFF" w:sz="6" w:space="0"/>
          <w:left w:val="single" w:color="FFFFFF" w:sz="6" w:space="0"/>
          <w:bottom w:val="single" w:color="FFFFFF" w:sz="6" w:space="0"/>
          <w:right w:val="single" w:color="FFFFFF" w:sz="6" w:space="0"/>
        </w:pBdr>
        <w:ind w:firstLine="720"/>
      </w:pPr>
    </w:p>
    <w:p w:rsidRPr="00D94CC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D94CC5">
        <w:t>We assume that burdens for managerial tasks take 5% of the time required for technical tasks because the typical tasks for managers are to review and approve reports.</w:t>
      </w:r>
      <w:r w:rsidRPr="00D94CC5" w:rsidR="009C7E97">
        <w:t xml:space="preserve"> </w:t>
      </w:r>
      <w:r w:rsidRPr="00D94CC5">
        <w:t>Clerical burdens are assumed to take 10% of the time required for technical tasks because the typical duties of clerical staff are to proofread the reports, make copies and maintain records.</w:t>
      </w:r>
    </w:p>
    <w:p w:rsidRPr="00D94CC5"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D94CC5"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D94CC5">
        <w:rPr>
          <w:b/>
          <w:bCs/>
        </w:rPr>
        <w:t>6(f)</w:t>
      </w:r>
      <w:r w:rsidRPr="00D94CC5" w:rsidR="009C7E97">
        <w:rPr>
          <w:b/>
          <w:bCs/>
        </w:rPr>
        <w:t xml:space="preserve"> </w:t>
      </w:r>
      <w:r w:rsidRPr="00D94CC5">
        <w:rPr>
          <w:b/>
          <w:bCs/>
        </w:rPr>
        <w:t>Reasons for Change in Burden</w:t>
      </w:r>
    </w:p>
    <w:p w:rsidRPr="00D94CC5"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F00A47" w:rsidP="00D94CC5" w:rsidRDefault="00E64CF7" w14:paraId="486F1F53" w14:textId="0AC0FEC7">
      <w:pPr>
        <w:pBdr>
          <w:top w:val="single" w:color="FFFFFF" w:sz="6" w:space="0"/>
          <w:left w:val="single" w:color="FFFFFF" w:sz="6" w:space="0"/>
          <w:bottom w:val="single" w:color="FFFFFF" w:sz="6" w:space="0"/>
          <w:right w:val="single" w:color="FFFFFF" w:sz="6" w:space="0"/>
        </w:pBdr>
        <w:ind w:firstLine="720"/>
      </w:pPr>
      <w:r w:rsidRPr="00CF0C4E">
        <w:t>This ICR only includes the incremental burden associated with the proposed rule</w:t>
      </w:r>
      <w:r>
        <w:t xml:space="preserve">. </w:t>
      </w:r>
      <w:r w:rsidR="00E95027">
        <w:t>T</w:t>
      </w:r>
      <w:r w:rsidRPr="00E95027" w:rsidR="00E95027">
        <w:t xml:space="preserve">he overall decrease in burden </w:t>
      </w:r>
      <w:r w:rsidR="00E95027">
        <w:t xml:space="preserve">from the most recently-approved ICR </w:t>
      </w:r>
      <w:r w:rsidRPr="00E95027" w:rsidR="00E95027">
        <w:t xml:space="preserve">is due to </w:t>
      </w:r>
      <w:r w:rsidR="00E95027">
        <w:t>a decrease in the number of estimated respondents</w:t>
      </w:r>
      <w:r w:rsidR="00E1654D">
        <w:t xml:space="preserve">. </w:t>
      </w:r>
      <w:r w:rsidRPr="001144CB" w:rsidR="005C4BDA">
        <w:t xml:space="preserve">The EPA’s records indicate that there are currently </w:t>
      </w:r>
      <w:r w:rsidR="00E1654D">
        <w:t>2</w:t>
      </w:r>
      <w:r w:rsidRPr="001144CB" w:rsidR="005C4BDA">
        <w:t xml:space="preserve"> </w:t>
      </w:r>
      <w:r>
        <w:t xml:space="preserve">OSWI units that would be </w:t>
      </w:r>
      <w:r w:rsidRPr="001144CB" w:rsidR="005C4BDA">
        <w:t xml:space="preserve">subject to </w:t>
      </w:r>
      <w:r w:rsidR="005C4BDA">
        <w:t>thes</w:t>
      </w:r>
      <w:r w:rsidR="00E1654D">
        <w:t xml:space="preserve">e </w:t>
      </w:r>
      <w:r>
        <w:t xml:space="preserve">proposed </w:t>
      </w:r>
      <w:r w:rsidR="00E1654D">
        <w:t>requirements</w:t>
      </w:r>
      <w:r w:rsidR="005C4BDA">
        <w:t>.</w:t>
      </w:r>
      <w:r w:rsidRPr="001144CB" w:rsidR="005C4BDA">
        <w:t xml:space="preserve"> </w:t>
      </w:r>
      <w:r w:rsidR="005C4BDA">
        <w:t>T</w:t>
      </w:r>
      <w:r w:rsidRPr="001144CB" w:rsidR="005C4BDA">
        <w:t>he pr</w:t>
      </w:r>
      <w:r>
        <w:t xml:space="preserve">ior ICR assumed an </w:t>
      </w:r>
      <w:r w:rsidRPr="001144CB" w:rsidR="005C4BDA">
        <w:t xml:space="preserve">estimate of </w:t>
      </w:r>
      <w:r w:rsidR="005C4BDA">
        <w:t>55</w:t>
      </w:r>
      <w:r w:rsidRPr="001144CB" w:rsidR="005C4BDA">
        <w:t xml:space="preserve"> </w:t>
      </w:r>
      <w:r w:rsidR="005C4BDA">
        <w:t xml:space="preserve">facilities per year over a </w:t>
      </w:r>
      <w:r w:rsidR="00D1146E">
        <w:t>3-year</w:t>
      </w:r>
      <w:r w:rsidR="005C4BDA">
        <w:t xml:space="preserve"> period for a total of 165 facilities</w:t>
      </w:r>
      <w:r>
        <w:t>. We have revised the number of respondents</w:t>
      </w:r>
      <w:r w:rsidR="005C4BDA">
        <w:t xml:space="preserve"> based on the inventory conducted as part of the proposed rulemaking</w:t>
      </w:r>
      <w:r>
        <w:t>; based on the data collected, we estimate that there are no OSWI units with a capacity of less than 10 TPD solid waste subject to the NSPS</w:t>
      </w:r>
      <w:r w:rsidR="005C4BDA">
        <w:t>.</w:t>
      </w:r>
      <w:r>
        <w:t xml:space="preserve"> The 2 OSWI units with a capacity of greater than or equal to 10 TPD are not subject to any revised testing, monitoring, recordkeeping, or reporting requirements that would impact burden. The incremental burden for these amendments</w:t>
      </w:r>
      <w:r w:rsidR="00617958">
        <w:t xml:space="preserve"> reflects the time for these respondents to familiarize themselves with the proposed rule.</w:t>
      </w:r>
    </w:p>
    <w:p w:rsidRPr="00D94CC5"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E93DBA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D94CC5">
        <w:t xml:space="preserve">average </w:t>
      </w:r>
      <w:r w:rsidR="006D452A">
        <w:t xml:space="preserve">7 </w:t>
      </w:r>
      <w:r w:rsidRPr="00D94CC5">
        <w:t xml:space="preserve">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D94CC5" w:rsidRDefault="00CA4CD6" w14:paraId="5FEA1034" w14:textId="468D0949">
      <w:pPr>
        <w:ind w:firstLine="720"/>
      </w:pPr>
      <w:r w:rsidRPr="00354C15">
        <w:t>To comment on the Agency</w:t>
      </w:r>
      <w:r w:rsidR="00D94CC5">
        <w:t>’</w:t>
      </w:r>
      <w:r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Pr="00D94CC5" w:rsidR="0035325B">
        <w:t>-</w:t>
      </w:r>
      <w:r w:rsidRPr="00D94CC5" w:rsidR="00D94CC5">
        <w:t>0094</w:t>
      </w:r>
      <w:r w:rsidRPr="00D94CC5" w:rsidR="00354C15">
        <w:t>.</w:t>
      </w:r>
      <w:r w:rsidRPr="00D94CC5" w:rsidR="009C7E97">
        <w:t xml:space="preserve"> </w:t>
      </w:r>
      <w:r w:rsidRPr="00D94CC5" w:rsidR="00354C15">
        <w:t xml:space="preserve">An </w:t>
      </w:r>
      <w:r w:rsidRPr="00354C15" w:rsidR="00354C15">
        <w:t xml:space="preserve">electronic version of the public docket is available at </w:t>
      </w:r>
      <w:hyperlink w:history="1" r:id="rId8">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t xml:space="preserve">available for public viewing at the Enforcement and Compliance Docket and Information Center in the EPA Docket Center (EPA/DC), </w:t>
      </w:r>
      <w:r w:rsidRPr="000E187E" w:rsidR="00D95819">
        <w:t xml:space="preserve">EPA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354C15">
        <w:t xml:space="preserve">The telephone number for the Reading Room is (202) 566-1744, and the telephone number </w:t>
      </w:r>
      <w:r w:rsidR="00354C15">
        <w:t>for the docket center i</w:t>
      </w:r>
      <w:r w:rsidRPr="00354C15">
        <w:t>s (202) 566-</w:t>
      </w:r>
      <w:r w:rsidR="00850ACF">
        <w:t>1927</w:t>
      </w:r>
      <w:r w:rsidR="00354C15">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Number </w:t>
      </w:r>
      <w:r w:rsidR="00144A82">
        <w:t>EPA-HQ-OECA-20</w:t>
      </w:r>
      <w:r w:rsidR="00D94CC5">
        <w:t>14-0094</w:t>
      </w:r>
      <w:r>
        <w:t xml:space="preserve"> and OMB Control </w:t>
      </w:r>
      <w:r w:rsidRPr="00D94CC5">
        <w:t xml:space="preserve">Number </w:t>
      </w:r>
      <w:r w:rsidRPr="00D94CC5" w:rsidR="00D94CC5">
        <w:t>2060-0563</w:t>
      </w:r>
      <w:r w:rsidRPr="00D94CC5">
        <w:t xml:space="preserve"> in </w:t>
      </w:r>
      <w:r>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Pr="00C80382" w:rsidR="00C80382" w:rsidP="00D1146E" w:rsidRDefault="00CA4CD6" w14:paraId="53EDE0F7" w14:textId="315BCE54">
      <w:pPr>
        <w:rPr>
          <w:color w:val="000000"/>
          <w:sz w:val="20"/>
          <w:szCs w:val="20"/>
        </w:rPr>
      </w:pPr>
      <w:r>
        <w:rPr>
          <w:color w:val="000000"/>
        </w:rPr>
        <w:t>This part is not applicable because no statistical methods were used in collecting this information.</w:t>
      </w:r>
    </w:p>
    <w:sectPr w:rsidRPr="00C80382" w:rsidR="00C80382" w:rsidSect="00D1146E">
      <w:headerReference w:type="default" r:id="rId9"/>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21D6" w14:textId="77777777" w:rsidR="0026503D" w:rsidRDefault="0026503D">
      <w:r>
        <w:separator/>
      </w:r>
    </w:p>
  </w:endnote>
  <w:endnote w:type="continuationSeparator" w:id="0">
    <w:p w14:paraId="1B3EE1CB" w14:textId="77777777" w:rsidR="0026503D" w:rsidRDefault="0026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94CB" w14:textId="77777777" w:rsidR="0026503D" w:rsidRDefault="0026503D">
      <w:r>
        <w:separator/>
      </w:r>
    </w:p>
  </w:footnote>
  <w:footnote w:type="continuationSeparator" w:id="0">
    <w:p w14:paraId="44BFB331" w14:textId="77777777" w:rsidR="0026503D" w:rsidRDefault="0026503D">
      <w:r>
        <w:continuationSeparator/>
      </w:r>
    </w:p>
  </w:footnote>
  <w:footnote w:id="1">
    <w:p w14:paraId="56104AAB" w14:textId="56C3C9CE" w:rsidR="0026503D" w:rsidRDefault="0026503D">
      <w:pPr>
        <w:pStyle w:val="FootnoteText"/>
      </w:pPr>
      <w:r w:rsidRPr="00410CB0">
        <w:rPr>
          <w:rStyle w:val="FootnoteReference"/>
          <w:vertAlign w:val="superscript"/>
        </w:rPr>
        <w:footnoteRef/>
      </w:r>
      <w:r>
        <w:t xml:space="preserve"> A notice of final action on reconsideration (72 FR 7620) was published on January 22, 2007. However, this action did not impose any new information collection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08BB" w14:textId="2CB79C33" w:rsidR="0026503D" w:rsidRDefault="0026503D">
    <w:pPr>
      <w:framePr w:w="9361" w:wrap="notBeside" w:vAnchor="text" w:hAnchor="text" w:x="1" w:y="1"/>
      <w:jc w:val="center"/>
    </w:pPr>
    <w:r>
      <w:fldChar w:fldCharType="begin"/>
    </w:r>
    <w:r>
      <w:instrText xml:space="preserve">PAGE </w:instrText>
    </w:r>
    <w:r>
      <w:fldChar w:fldCharType="separate"/>
    </w:r>
    <w:r>
      <w:rPr>
        <w:noProof/>
      </w:rPr>
      <w:t>2</w:t>
    </w:r>
    <w:r>
      <w:rPr>
        <w:noProof/>
      </w:rPr>
      <w:fldChar w:fldCharType="end"/>
    </w:r>
  </w:p>
  <w:p w14:paraId="5B65F028" w14:textId="77777777" w:rsidR="0026503D" w:rsidRDefault="0026503D"/>
  <w:p w14:paraId="70BB230B" w14:textId="77777777" w:rsidR="0026503D" w:rsidRDefault="0026503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071C8"/>
    <w:rsid w:val="00013EAF"/>
    <w:rsid w:val="0003619B"/>
    <w:rsid w:val="000475D4"/>
    <w:rsid w:val="00051880"/>
    <w:rsid w:val="00055BDF"/>
    <w:rsid w:val="00055DC5"/>
    <w:rsid w:val="00064DCE"/>
    <w:rsid w:val="00073802"/>
    <w:rsid w:val="00077E3A"/>
    <w:rsid w:val="00084558"/>
    <w:rsid w:val="00087E60"/>
    <w:rsid w:val="0009007D"/>
    <w:rsid w:val="0009585A"/>
    <w:rsid w:val="00096AA1"/>
    <w:rsid w:val="000A1FBB"/>
    <w:rsid w:val="000A687C"/>
    <w:rsid w:val="000B2E1C"/>
    <w:rsid w:val="000C52CF"/>
    <w:rsid w:val="000D2272"/>
    <w:rsid w:val="000D5D80"/>
    <w:rsid w:val="000F772C"/>
    <w:rsid w:val="00101B40"/>
    <w:rsid w:val="00102B52"/>
    <w:rsid w:val="0010697C"/>
    <w:rsid w:val="001166B2"/>
    <w:rsid w:val="00122CF4"/>
    <w:rsid w:val="00123889"/>
    <w:rsid w:val="00126424"/>
    <w:rsid w:val="00126A7C"/>
    <w:rsid w:val="001356D4"/>
    <w:rsid w:val="0014079D"/>
    <w:rsid w:val="001414C4"/>
    <w:rsid w:val="00144978"/>
    <w:rsid w:val="00144A82"/>
    <w:rsid w:val="00144F35"/>
    <w:rsid w:val="0015433E"/>
    <w:rsid w:val="001563F4"/>
    <w:rsid w:val="00162ECC"/>
    <w:rsid w:val="00165DCF"/>
    <w:rsid w:val="00167B9E"/>
    <w:rsid w:val="00170D11"/>
    <w:rsid w:val="00176C90"/>
    <w:rsid w:val="00183FD6"/>
    <w:rsid w:val="0018555F"/>
    <w:rsid w:val="00186DA3"/>
    <w:rsid w:val="00194DB3"/>
    <w:rsid w:val="00195753"/>
    <w:rsid w:val="001968F1"/>
    <w:rsid w:val="001A0B41"/>
    <w:rsid w:val="001B0B9A"/>
    <w:rsid w:val="001B29C3"/>
    <w:rsid w:val="001B35F2"/>
    <w:rsid w:val="001C1443"/>
    <w:rsid w:val="001C5991"/>
    <w:rsid w:val="001D762C"/>
    <w:rsid w:val="001E630F"/>
    <w:rsid w:val="001F19FF"/>
    <w:rsid w:val="00202178"/>
    <w:rsid w:val="002041C5"/>
    <w:rsid w:val="002063FE"/>
    <w:rsid w:val="00206932"/>
    <w:rsid w:val="002130D1"/>
    <w:rsid w:val="002162AA"/>
    <w:rsid w:val="0021722B"/>
    <w:rsid w:val="0022407A"/>
    <w:rsid w:val="0022738C"/>
    <w:rsid w:val="00233F0F"/>
    <w:rsid w:val="00234A28"/>
    <w:rsid w:val="0023502A"/>
    <w:rsid w:val="00235397"/>
    <w:rsid w:val="00236DB3"/>
    <w:rsid w:val="002431D9"/>
    <w:rsid w:val="00246126"/>
    <w:rsid w:val="00256120"/>
    <w:rsid w:val="002638A0"/>
    <w:rsid w:val="0026503D"/>
    <w:rsid w:val="002679E5"/>
    <w:rsid w:val="002712EB"/>
    <w:rsid w:val="0027222A"/>
    <w:rsid w:val="00273697"/>
    <w:rsid w:val="002743D2"/>
    <w:rsid w:val="00277F42"/>
    <w:rsid w:val="00281CAE"/>
    <w:rsid w:val="00285FD7"/>
    <w:rsid w:val="0029006A"/>
    <w:rsid w:val="002904E7"/>
    <w:rsid w:val="002976E9"/>
    <w:rsid w:val="002A19EB"/>
    <w:rsid w:val="002A29AB"/>
    <w:rsid w:val="002B29A5"/>
    <w:rsid w:val="002B29A7"/>
    <w:rsid w:val="002B4F93"/>
    <w:rsid w:val="002B517F"/>
    <w:rsid w:val="002B6993"/>
    <w:rsid w:val="002C1F95"/>
    <w:rsid w:val="002C416A"/>
    <w:rsid w:val="002C527F"/>
    <w:rsid w:val="002C77DF"/>
    <w:rsid w:val="002D33AC"/>
    <w:rsid w:val="002D540E"/>
    <w:rsid w:val="002D6B6B"/>
    <w:rsid w:val="002D7683"/>
    <w:rsid w:val="002E5D5B"/>
    <w:rsid w:val="002F674B"/>
    <w:rsid w:val="002F6DB3"/>
    <w:rsid w:val="002F7CFC"/>
    <w:rsid w:val="003139FC"/>
    <w:rsid w:val="003215A7"/>
    <w:rsid w:val="003270AE"/>
    <w:rsid w:val="00341540"/>
    <w:rsid w:val="00347573"/>
    <w:rsid w:val="003511C6"/>
    <w:rsid w:val="0035325B"/>
    <w:rsid w:val="00354C15"/>
    <w:rsid w:val="00357CE6"/>
    <w:rsid w:val="00371260"/>
    <w:rsid w:val="00373823"/>
    <w:rsid w:val="00374FA1"/>
    <w:rsid w:val="00377D7F"/>
    <w:rsid w:val="00381E87"/>
    <w:rsid w:val="00381F77"/>
    <w:rsid w:val="00383404"/>
    <w:rsid w:val="003850B2"/>
    <w:rsid w:val="003A15D8"/>
    <w:rsid w:val="003A53EE"/>
    <w:rsid w:val="003B1E92"/>
    <w:rsid w:val="003B384B"/>
    <w:rsid w:val="003B7911"/>
    <w:rsid w:val="003C4B46"/>
    <w:rsid w:val="003C5023"/>
    <w:rsid w:val="003D49DA"/>
    <w:rsid w:val="003D5AAD"/>
    <w:rsid w:val="003D6951"/>
    <w:rsid w:val="003E0C10"/>
    <w:rsid w:val="003E1742"/>
    <w:rsid w:val="003E30B5"/>
    <w:rsid w:val="003E30E1"/>
    <w:rsid w:val="003E3BD0"/>
    <w:rsid w:val="003E47DB"/>
    <w:rsid w:val="003E4C18"/>
    <w:rsid w:val="003E53C5"/>
    <w:rsid w:val="003F1AFC"/>
    <w:rsid w:val="0040391F"/>
    <w:rsid w:val="00404A15"/>
    <w:rsid w:val="00410CB0"/>
    <w:rsid w:val="0042409B"/>
    <w:rsid w:val="0044133C"/>
    <w:rsid w:val="00442D84"/>
    <w:rsid w:val="00455557"/>
    <w:rsid w:val="00455FE8"/>
    <w:rsid w:val="004731BE"/>
    <w:rsid w:val="004736C1"/>
    <w:rsid w:val="00475E7B"/>
    <w:rsid w:val="00484A45"/>
    <w:rsid w:val="00492146"/>
    <w:rsid w:val="0049327D"/>
    <w:rsid w:val="004935B0"/>
    <w:rsid w:val="004A084D"/>
    <w:rsid w:val="004A4B25"/>
    <w:rsid w:val="004B2D78"/>
    <w:rsid w:val="004C5E95"/>
    <w:rsid w:val="004C701D"/>
    <w:rsid w:val="004D1001"/>
    <w:rsid w:val="004D2B52"/>
    <w:rsid w:val="004F1469"/>
    <w:rsid w:val="004F56DC"/>
    <w:rsid w:val="004F6451"/>
    <w:rsid w:val="004F6FCD"/>
    <w:rsid w:val="00502415"/>
    <w:rsid w:val="005044A8"/>
    <w:rsid w:val="00504745"/>
    <w:rsid w:val="00504C94"/>
    <w:rsid w:val="00507EC5"/>
    <w:rsid w:val="00516952"/>
    <w:rsid w:val="005253D4"/>
    <w:rsid w:val="0053277C"/>
    <w:rsid w:val="005354B6"/>
    <w:rsid w:val="00541CDC"/>
    <w:rsid w:val="00545526"/>
    <w:rsid w:val="005460FE"/>
    <w:rsid w:val="00551815"/>
    <w:rsid w:val="00556535"/>
    <w:rsid w:val="00560AD2"/>
    <w:rsid w:val="005625AF"/>
    <w:rsid w:val="005643A3"/>
    <w:rsid w:val="00565A51"/>
    <w:rsid w:val="00565D21"/>
    <w:rsid w:val="00571260"/>
    <w:rsid w:val="0057312C"/>
    <w:rsid w:val="00582FB6"/>
    <w:rsid w:val="00583626"/>
    <w:rsid w:val="0058490F"/>
    <w:rsid w:val="005940F6"/>
    <w:rsid w:val="005949B3"/>
    <w:rsid w:val="005A0D53"/>
    <w:rsid w:val="005A1986"/>
    <w:rsid w:val="005A6BD9"/>
    <w:rsid w:val="005B5DE8"/>
    <w:rsid w:val="005C3665"/>
    <w:rsid w:val="005C3936"/>
    <w:rsid w:val="005C42AC"/>
    <w:rsid w:val="005C4BDA"/>
    <w:rsid w:val="005C7DFB"/>
    <w:rsid w:val="005D385C"/>
    <w:rsid w:val="005E0A9B"/>
    <w:rsid w:val="005E194B"/>
    <w:rsid w:val="005E28A0"/>
    <w:rsid w:val="005F0342"/>
    <w:rsid w:val="005F42F8"/>
    <w:rsid w:val="00601205"/>
    <w:rsid w:val="00604DEE"/>
    <w:rsid w:val="00606DEF"/>
    <w:rsid w:val="006101CB"/>
    <w:rsid w:val="0061389E"/>
    <w:rsid w:val="00614B14"/>
    <w:rsid w:val="00617958"/>
    <w:rsid w:val="0062215C"/>
    <w:rsid w:val="00631517"/>
    <w:rsid w:val="00635DBD"/>
    <w:rsid w:val="00636970"/>
    <w:rsid w:val="00643793"/>
    <w:rsid w:val="00647BBB"/>
    <w:rsid w:val="00660666"/>
    <w:rsid w:val="006741F7"/>
    <w:rsid w:val="006810C3"/>
    <w:rsid w:val="00694B55"/>
    <w:rsid w:val="0069745D"/>
    <w:rsid w:val="006A6978"/>
    <w:rsid w:val="006C55B3"/>
    <w:rsid w:val="006D16C0"/>
    <w:rsid w:val="006D1B12"/>
    <w:rsid w:val="006D4402"/>
    <w:rsid w:val="006D452A"/>
    <w:rsid w:val="006E4A6E"/>
    <w:rsid w:val="006E642B"/>
    <w:rsid w:val="006F623B"/>
    <w:rsid w:val="00714B00"/>
    <w:rsid w:val="00723918"/>
    <w:rsid w:val="0072416A"/>
    <w:rsid w:val="00724BC7"/>
    <w:rsid w:val="007308A3"/>
    <w:rsid w:val="0074486F"/>
    <w:rsid w:val="007527B3"/>
    <w:rsid w:val="00754D1E"/>
    <w:rsid w:val="00763160"/>
    <w:rsid w:val="0077501A"/>
    <w:rsid w:val="00780612"/>
    <w:rsid w:val="00786A20"/>
    <w:rsid w:val="00786FE1"/>
    <w:rsid w:val="0079405E"/>
    <w:rsid w:val="00795BE1"/>
    <w:rsid w:val="0079715F"/>
    <w:rsid w:val="007A0634"/>
    <w:rsid w:val="007A16F4"/>
    <w:rsid w:val="007A3A75"/>
    <w:rsid w:val="007A458D"/>
    <w:rsid w:val="007A6D83"/>
    <w:rsid w:val="007C0FAA"/>
    <w:rsid w:val="007D5940"/>
    <w:rsid w:val="007E577C"/>
    <w:rsid w:val="007E6FF4"/>
    <w:rsid w:val="007F064D"/>
    <w:rsid w:val="007F07FB"/>
    <w:rsid w:val="00807994"/>
    <w:rsid w:val="00810507"/>
    <w:rsid w:val="00811EA5"/>
    <w:rsid w:val="00813E69"/>
    <w:rsid w:val="00814A03"/>
    <w:rsid w:val="00814E2E"/>
    <w:rsid w:val="00817E8B"/>
    <w:rsid w:val="008338D4"/>
    <w:rsid w:val="00837642"/>
    <w:rsid w:val="0084255D"/>
    <w:rsid w:val="00850ACF"/>
    <w:rsid w:val="00852038"/>
    <w:rsid w:val="00852873"/>
    <w:rsid w:val="00860EBC"/>
    <w:rsid w:val="00861489"/>
    <w:rsid w:val="008621BA"/>
    <w:rsid w:val="008649DB"/>
    <w:rsid w:val="0086690B"/>
    <w:rsid w:val="008753A6"/>
    <w:rsid w:val="0088639E"/>
    <w:rsid w:val="00893CDC"/>
    <w:rsid w:val="008974AE"/>
    <w:rsid w:val="008A342F"/>
    <w:rsid w:val="008A46EB"/>
    <w:rsid w:val="008A71ED"/>
    <w:rsid w:val="008B0A01"/>
    <w:rsid w:val="008B407C"/>
    <w:rsid w:val="008B4892"/>
    <w:rsid w:val="008C1460"/>
    <w:rsid w:val="008D18DB"/>
    <w:rsid w:val="008D4F82"/>
    <w:rsid w:val="008D77BB"/>
    <w:rsid w:val="008E65E6"/>
    <w:rsid w:val="008E776F"/>
    <w:rsid w:val="008F285B"/>
    <w:rsid w:val="008F4564"/>
    <w:rsid w:val="009018EC"/>
    <w:rsid w:val="00906EDB"/>
    <w:rsid w:val="00912E00"/>
    <w:rsid w:val="00923C46"/>
    <w:rsid w:val="0093620B"/>
    <w:rsid w:val="009711DB"/>
    <w:rsid w:val="009737C0"/>
    <w:rsid w:val="0098108C"/>
    <w:rsid w:val="00981C20"/>
    <w:rsid w:val="0098598D"/>
    <w:rsid w:val="009903E5"/>
    <w:rsid w:val="009A0F50"/>
    <w:rsid w:val="009A16CD"/>
    <w:rsid w:val="009A3399"/>
    <w:rsid w:val="009B2F54"/>
    <w:rsid w:val="009C06F5"/>
    <w:rsid w:val="009C1133"/>
    <w:rsid w:val="009C7E97"/>
    <w:rsid w:val="009D2C61"/>
    <w:rsid w:val="009D6567"/>
    <w:rsid w:val="009E0F31"/>
    <w:rsid w:val="009E5954"/>
    <w:rsid w:val="009E7032"/>
    <w:rsid w:val="00A007F5"/>
    <w:rsid w:val="00A038EC"/>
    <w:rsid w:val="00A054DF"/>
    <w:rsid w:val="00A10DBD"/>
    <w:rsid w:val="00A145B0"/>
    <w:rsid w:val="00A15172"/>
    <w:rsid w:val="00A26EF7"/>
    <w:rsid w:val="00A277D6"/>
    <w:rsid w:val="00A379F8"/>
    <w:rsid w:val="00A50E60"/>
    <w:rsid w:val="00A51A9E"/>
    <w:rsid w:val="00A53067"/>
    <w:rsid w:val="00A54EEA"/>
    <w:rsid w:val="00A56BFF"/>
    <w:rsid w:val="00A609FF"/>
    <w:rsid w:val="00A73600"/>
    <w:rsid w:val="00A74C1E"/>
    <w:rsid w:val="00A7661C"/>
    <w:rsid w:val="00A807AE"/>
    <w:rsid w:val="00A9256C"/>
    <w:rsid w:val="00A949F7"/>
    <w:rsid w:val="00A95BC7"/>
    <w:rsid w:val="00A962DF"/>
    <w:rsid w:val="00AA4008"/>
    <w:rsid w:val="00AD12E2"/>
    <w:rsid w:val="00AE032A"/>
    <w:rsid w:val="00AE09A0"/>
    <w:rsid w:val="00AF14FC"/>
    <w:rsid w:val="00AF20AE"/>
    <w:rsid w:val="00AF3AED"/>
    <w:rsid w:val="00AF70A1"/>
    <w:rsid w:val="00B07F79"/>
    <w:rsid w:val="00B121EA"/>
    <w:rsid w:val="00B1501E"/>
    <w:rsid w:val="00B16C07"/>
    <w:rsid w:val="00B33A5C"/>
    <w:rsid w:val="00B413D0"/>
    <w:rsid w:val="00B41FFF"/>
    <w:rsid w:val="00B46A57"/>
    <w:rsid w:val="00B56C14"/>
    <w:rsid w:val="00B62A41"/>
    <w:rsid w:val="00B65754"/>
    <w:rsid w:val="00B66231"/>
    <w:rsid w:val="00B769F1"/>
    <w:rsid w:val="00B76D31"/>
    <w:rsid w:val="00B82025"/>
    <w:rsid w:val="00B94C87"/>
    <w:rsid w:val="00BA0A91"/>
    <w:rsid w:val="00BA4887"/>
    <w:rsid w:val="00BB3390"/>
    <w:rsid w:val="00BB3C1A"/>
    <w:rsid w:val="00BC3F53"/>
    <w:rsid w:val="00BC6B73"/>
    <w:rsid w:val="00BC6DEF"/>
    <w:rsid w:val="00BD7CAE"/>
    <w:rsid w:val="00BE2989"/>
    <w:rsid w:val="00BE7A11"/>
    <w:rsid w:val="00BF722F"/>
    <w:rsid w:val="00BF74A5"/>
    <w:rsid w:val="00C10E8E"/>
    <w:rsid w:val="00C10ED1"/>
    <w:rsid w:val="00C11742"/>
    <w:rsid w:val="00C13FE8"/>
    <w:rsid w:val="00C20AE2"/>
    <w:rsid w:val="00C258EC"/>
    <w:rsid w:val="00C27825"/>
    <w:rsid w:val="00C30A60"/>
    <w:rsid w:val="00C33ABA"/>
    <w:rsid w:val="00C37BB6"/>
    <w:rsid w:val="00C426B0"/>
    <w:rsid w:val="00C52EFD"/>
    <w:rsid w:val="00C542C2"/>
    <w:rsid w:val="00C576F5"/>
    <w:rsid w:val="00C64378"/>
    <w:rsid w:val="00C70934"/>
    <w:rsid w:val="00C75CF0"/>
    <w:rsid w:val="00C80382"/>
    <w:rsid w:val="00C808B5"/>
    <w:rsid w:val="00C82DB6"/>
    <w:rsid w:val="00C8378A"/>
    <w:rsid w:val="00C84503"/>
    <w:rsid w:val="00C86C8E"/>
    <w:rsid w:val="00C961ED"/>
    <w:rsid w:val="00C97195"/>
    <w:rsid w:val="00CA4948"/>
    <w:rsid w:val="00CA4CD6"/>
    <w:rsid w:val="00CA7DA0"/>
    <w:rsid w:val="00CB5AC2"/>
    <w:rsid w:val="00CC32E7"/>
    <w:rsid w:val="00CC48AB"/>
    <w:rsid w:val="00CC4941"/>
    <w:rsid w:val="00CC58F6"/>
    <w:rsid w:val="00CC5B39"/>
    <w:rsid w:val="00CD2069"/>
    <w:rsid w:val="00CD20F7"/>
    <w:rsid w:val="00CD280D"/>
    <w:rsid w:val="00CD44E9"/>
    <w:rsid w:val="00CD550D"/>
    <w:rsid w:val="00CD5ACC"/>
    <w:rsid w:val="00CD7496"/>
    <w:rsid w:val="00CF0C4E"/>
    <w:rsid w:val="00CF2B37"/>
    <w:rsid w:val="00D0554C"/>
    <w:rsid w:val="00D05E0D"/>
    <w:rsid w:val="00D1146E"/>
    <w:rsid w:val="00D12D12"/>
    <w:rsid w:val="00D13D9A"/>
    <w:rsid w:val="00D14A8D"/>
    <w:rsid w:val="00D162C5"/>
    <w:rsid w:val="00D1663F"/>
    <w:rsid w:val="00D21198"/>
    <w:rsid w:val="00D2273E"/>
    <w:rsid w:val="00D402BC"/>
    <w:rsid w:val="00D41343"/>
    <w:rsid w:val="00D42D52"/>
    <w:rsid w:val="00D43431"/>
    <w:rsid w:val="00D46FA2"/>
    <w:rsid w:val="00D5080D"/>
    <w:rsid w:val="00D56F5F"/>
    <w:rsid w:val="00D61125"/>
    <w:rsid w:val="00D61B37"/>
    <w:rsid w:val="00D63B96"/>
    <w:rsid w:val="00D665B9"/>
    <w:rsid w:val="00D759CC"/>
    <w:rsid w:val="00D91C34"/>
    <w:rsid w:val="00D92F66"/>
    <w:rsid w:val="00D93288"/>
    <w:rsid w:val="00D94CC5"/>
    <w:rsid w:val="00D955E4"/>
    <w:rsid w:val="00D95819"/>
    <w:rsid w:val="00DA3178"/>
    <w:rsid w:val="00DA4DC7"/>
    <w:rsid w:val="00DA5972"/>
    <w:rsid w:val="00DA7285"/>
    <w:rsid w:val="00DB59E1"/>
    <w:rsid w:val="00DB786E"/>
    <w:rsid w:val="00DC477F"/>
    <w:rsid w:val="00DD0312"/>
    <w:rsid w:val="00DD1AC1"/>
    <w:rsid w:val="00DD4958"/>
    <w:rsid w:val="00DD7D49"/>
    <w:rsid w:val="00DE0EC0"/>
    <w:rsid w:val="00DE27C4"/>
    <w:rsid w:val="00DE4B66"/>
    <w:rsid w:val="00DF3701"/>
    <w:rsid w:val="00DF5C4E"/>
    <w:rsid w:val="00DF6B2F"/>
    <w:rsid w:val="00E01000"/>
    <w:rsid w:val="00E10DA7"/>
    <w:rsid w:val="00E110E3"/>
    <w:rsid w:val="00E131D9"/>
    <w:rsid w:val="00E13DC7"/>
    <w:rsid w:val="00E1538C"/>
    <w:rsid w:val="00E1654D"/>
    <w:rsid w:val="00E21072"/>
    <w:rsid w:val="00E25DB6"/>
    <w:rsid w:val="00E276CD"/>
    <w:rsid w:val="00E32EDA"/>
    <w:rsid w:val="00E37600"/>
    <w:rsid w:val="00E411C9"/>
    <w:rsid w:val="00E506B6"/>
    <w:rsid w:val="00E508D8"/>
    <w:rsid w:val="00E53137"/>
    <w:rsid w:val="00E64CF7"/>
    <w:rsid w:val="00E702F6"/>
    <w:rsid w:val="00E70F3B"/>
    <w:rsid w:val="00E72D70"/>
    <w:rsid w:val="00E77D5E"/>
    <w:rsid w:val="00E868BB"/>
    <w:rsid w:val="00E90E82"/>
    <w:rsid w:val="00E9335C"/>
    <w:rsid w:val="00E95027"/>
    <w:rsid w:val="00EA37A9"/>
    <w:rsid w:val="00EA7026"/>
    <w:rsid w:val="00EC4074"/>
    <w:rsid w:val="00ED0ECC"/>
    <w:rsid w:val="00ED741E"/>
    <w:rsid w:val="00EE5127"/>
    <w:rsid w:val="00EF113F"/>
    <w:rsid w:val="00EF2367"/>
    <w:rsid w:val="00F00A47"/>
    <w:rsid w:val="00F02EB3"/>
    <w:rsid w:val="00F033F0"/>
    <w:rsid w:val="00F03803"/>
    <w:rsid w:val="00F06571"/>
    <w:rsid w:val="00F066C9"/>
    <w:rsid w:val="00F07C72"/>
    <w:rsid w:val="00F17898"/>
    <w:rsid w:val="00F20822"/>
    <w:rsid w:val="00F340DF"/>
    <w:rsid w:val="00F34A08"/>
    <w:rsid w:val="00F5262C"/>
    <w:rsid w:val="00F538BC"/>
    <w:rsid w:val="00F566B9"/>
    <w:rsid w:val="00F859EA"/>
    <w:rsid w:val="00F86F15"/>
    <w:rsid w:val="00F87E6A"/>
    <w:rsid w:val="00F9092B"/>
    <w:rsid w:val="00F92D22"/>
    <w:rsid w:val="00FB0650"/>
    <w:rsid w:val="00FB3986"/>
    <w:rsid w:val="00FB4D98"/>
    <w:rsid w:val="00FB6378"/>
    <w:rsid w:val="00FB7BCE"/>
    <w:rsid w:val="00FC1264"/>
    <w:rsid w:val="00FC4E09"/>
    <w:rsid w:val="00FD72B2"/>
    <w:rsid w:val="00FE2099"/>
    <w:rsid w:val="00FF2D56"/>
    <w:rsid w:val="00FF4123"/>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8CC95334-400E-4F1A-9609-B37237B5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22407A"/>
    <w:pPr>
      <w:widowControl/>
      <w:autoSpaceDE/>
      <w:autoSpaceDN/>
      <w:adjustRightInd/>
      <w:spacing w:before="100" w:beforeAutospacing="1" w:after="100" w:afterAutospacing="1"/>
    </w:pPr>
  </w:style>
  <w:style w:type="paragraph" w:styleId="FootnoteText">
    <w:name w:val="footnote text"/>
    <w:basedOn w:val="Normal"/>
    <w:link w:val="FootnoteTextChar"/>
    <w:semiHidden/>
    <w:unhideWhenUsed/>
    <w:rsid w:val="00C258EC"/>
    <w:rPr>
      <w:sz w:val="20"/>
      <w:szCs w:val="20"/>
    </w:rPr>
  </w:style>
  <w:style w:type="character" w:customStyle="1" w:styleId="FootnoteTextChar">
    <w:name w:val="Footnote Text Char"/>
    <w:basedOn w:val="DefaultParagraphFont"/>
    <w:link w:val="FootnoteText"/>
    <w:semiHidden/>
    <w:rsid w:val="00C258EC"/>
  </w:style>
  <w:style w:type="paragraph" w:styleId="Revision">
    <w:name w:val="Revision"/>
    <w:hidden/>
    <w:uiPriority w:val="99"/>
    <w:semiHidden/>
    <w:rsid w:val="00327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1578889">
      <w:bodyDiv w:val="1"/>
      <w:marLeft w:val="0"/>
      <w:marRight w:val="0"/>
      <w:marTop w:val="0"/>
      <w:marBottom w:val="0"/>
      <w:divBdr>
        <w:top w:val="none" w:sz="0" w:space="0" w:color="auto"/>
        <w:left w:val="none" w:sz="0" w:space="0" w:color="auto"/>
        <w:bottom w:val="none" w:sz="0" w:space="0" w:color="auto"/>
        <w:right w:val="none" w:sz="0" w:space="0" w:color="auto"/>
      </w:divBdr>
    </w:div>
    <w:div w:id="283004238">
      <w:bodyDiv w:val="1"/>
      <w:marLeft w:val="0"/>
      <w:marRight w:val="0"/>
      <w:marTop w:val="0"/>
      <w:marBottom w:val="0"/>
      <w:divBdr>
        <w:top w:val="none" w:sz="0" w:space="0" w:color="auto"/>
        <w:left w:val="none" w:sz="0" w:space="0" w:color="auto"/>
        <w:bottom w:val="none" w:sz="0" w:space="0" w:color="auto"/>
        <w:right w:val="none" w:sz="0" w:space="0" w:color="auto"/>
      </w:divBdr>
      <w:divsChild>
        <w:div w:id="1282758528">
          <w:marLeft w:val="0"/>
          <w:marRight w:val="0"/>
          <w:marTop w:val="0"/>
          <w:marBottom w:val="0"/>
          <w:divBdr>
            <w:top w:val="none" w:sz="0" w:space="0" w:color="auto"/>
            <w:left w:val="none" w:sz="0" w:space="0" w:color="auto"/>
            <w:bottom w:val="none" w:sz="0" w:space="0" w:color="auto"/>
            <w:right w:val="none" w:sz="0" w:space="0" w:color="auto"/>
          </w:divBdr>
        </w:div>
        <w:div w:id="2038311226">
          <w:marLeft w:val="0"/>
          <w:marRight w:val="0"/>
          <w:marTop w:val="0"/>
          <w:marBottom w:val="0"/>
          <w:divBdr>
            <w:top w:val="none" w:sz="0" w:space="0" w:color="auto"/>
            <w:left w:val="none" w:sz="0" w:space="0" w:color="auto"/>
            <w:bottom w:val="none" w:sz="0" w:space="0" w:color="auto"/>
            <w:right w:val="none" w:sz="0" w:space="0" w:color="auto"/>
          </w:divBdr>
        </w:div>
        <w:div w:id="1023170353">
          <w:marLeft w:val="0"/>
          <w:marRight w:val="0"/>
          <w:marTop w:val="0"/>
          <w:marBottom w:val="0"/>
          <w:divBdr>
            <w:top w:val="none" w:sz="0" w:space="0" w:color="auto"/>
            <w:left w:val="none" w:sz="0" w:space="0" w:color="auto"/>
            <w:bottom w:val="none" w:sz="0" w:space="0" w:color="auto"/>
            <w:right w:val="none" w:sz="0" w:space="0" w:color="auto"/>
          </w:divBdr>
        </w:div>
        <w:div w:id="77141802">
          <w:marLeft w:val="0"/>
          <w:marRight w:val="0"/>
          <w:marTop w:val="0"/>
          <w:marBottom w:val="0"/>
          <w:divBdr>
            <w:top w:val="none" w:sz="0" w:space="0" w:color="auto"/>
            <w:left w:val="none" w:sz="0" w:space="0" w:color="auto"/>
            <w:bottom w:val="none" w:sz="0" w:space="0" w:color="auto"/>
            <w:right w:val="none" w:sz="0" w:space="0" w:color="auto"/>
          </w:divBdr>
        </w:div>
        <w:div w:id="1129203292">
          <w:marLeft w:val="0"/>
          <w:marRight w:val="0"/>
          <w:marTop w:val="0"/>
          <w:marBottom w:val="0"/>
          <w:divBdr>
            <w:top w:val="none" w:sz="0" w:space="0" w:color="auto"/>
            <w:left w:val="none" w:sz="0" w:space="0" w:color="auto"/>
            <w:bottom w:val="none" w:sz="0" w:space="0" w:color="auto"/>
            <w:right w:val="none" w:sz="0" w:space="0" w:color="auto"/>
          </w:divBdr>
        </w:div>
        <w:div w:id="1712339859">
          <w:marLeft w:val="0"/>
          <w:marRight w:val="0"/>
          <w:marTop w:val="0"/>
          <w:marBottom w:val="0"/>
          <w:divBdr>
            <w:top w:val="none" w:sz="0" w:space="0" w:color="auto"/>
            <w:left w:val="none" w:sz="0" w:space="0" w:color="auto"/>
            <w:bottom w:val="none" w:sz="0" w:space="0" w:color="auto"/>
            <w:right w:val="none" w:sz="0" w:space="0" w:color="auto"/>
          </w:divBdr>
        </w:div>
      </w:divsChild>
    </w:div>
    <w:div w:id="37323200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3619847">
      <w:bodyDiv w:val="1"/>
      <w:marLeft w:val="0"/>
      <w:marRight w:val="0"/>
      <w:marTop w:val="0"/>
      <w:marBottom w:val="0"/>
      <w:divBdr>
        <w:top w:val="none" w:sz="0" w:space="0" w:color="auto"/>
        <w:left w:val="none" w:sz="0" w:space="0" w:color="auto"/>
        <w:bottom w:val="none" w:sz="0" w:space="0" w:color="auto"/>
        <w:right w:val="none" w:sz="0" w:space="0" w:color="auto"/>
      </w:divBdr>
    </w:div>
    <w:div w:id="53615973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59422601">
      <w:bodyDiv w:val="1"/>
      <w:marLeft w:val="0"/>
      <w:marRight w:val="0"/>
      <w:marTop w:val="0"/>
      <w:marBottom w:val="0"/>
      <w:divBdr>
        <w:top w:val="none" w:sz="0" w:space="0" w:color="auto"/>
        <w:left w:val="none" w:sz="0" w:space="0" w:color="auto"/>
        <w:bottom w:val="none" w:sz="0" w:space="0" w:color="auto"/>
        <w:right w:val="none" w:sz="0" w:space="0" w:color="auto"/>
      </w:divBdr>
      <w:divsChild>
        <w:div w:id="1783575484">
          <w:marLeft w:val="0"/>
          <w:marRight w:val="0"/>
          <w:marTop w:val="0"/>
          <w:marBottom w:val="0"/>
          <w:divBdr>
            <w:top w:val="none" w:sz="0" w:space="0" w:color="auto"/>
            <w:left w:val="none" w:sz="0" w:space="0" w:color="auto"/>
            <w:bottom w:val="none" w:sz="0" w:space="0" w:color="auto"/>
            <w:right w:val="none" w:sz="0" w:space="0" w:color="auto"/>
          </w:divBdr>
        </w:div>
        <w:div w:id="1312903853">
          <w:marLeft w:val="0"/>
          <w:marRight w:val="0"/>
          <w:marTop w:val="0"/>
          <w:marBottom w:val="0"/>
          <w:divBdr>
            <w:top w:val="none" w:sz="0" w:space="0" w:color="auto"/>
            <w:left w:val="none" w:sz="0" w:space="0" w:color="auto"/>
            <w:bottom w:val="none" w:sz="0" w:space="0" w:color="auto"/>
            <w:right w:val="none" w:sz="0" w:space="0" w:color="auto"/>
          </w:divBdr>
        </w:div>
      </w:divsChild>
    </w:div>
    <w:div w:id="1562670845">
      <w:bodyDiv w:val="1"/>
      <w:marLeft w:val="0"/>
      <w:marRight w:val="0"/>
      <w:marTop w:val="0"/>
      <w:marBottom w:val="0"/>
      <w:divBdr>
        <w:top w:val="none" w:sz="0" w:space="0" w:color="auto"/>
        <w:left w:val="none" w:sz="0" w:space="0" w:color="auto"/>
        <w:bottom w:val="none" w:sz="0" w:space="0" w:color="auto"/>
        <w:right w:val="none" w:sz="0" w:space="0" w:color="auto"/>
      </w:divBdr>
      <w:divsChild>
        <w:div w:id="1234121455">
          <w:marLeft w:val="0"/>
          <w:marRight w:val="0"/>
          <w:marTop w:val="0"/>
          <w:marBottom w:val="0"/>
          <w:divBdr>
            <w:top w:val="none" w:sz="0" w:space="0" w:color="auto"/>
            <w:left w:val="none" w:sz="0" w:space="0" w:color="auto"/>
            <w:bottom w:val="none" w:sz="0" w:space="0" w:color="auto"/>
            <w:right w:val="none" w:sz="0" w:space="0" w:color="auto"/>
          </w:divBdr>
        </w:div>
        <w:div w:id="255938678">
          <w:marLeft w:val="0"/>
          <w:marRight w:val="0"/>
          <w:marTop w:val="0"/>
          <w:marBottom w:val="0"/>
          <w:divBdr>
            <w:top w:val="none" w:sz="0" w:space="0" w:color="auto"/>
            <w:left w:val="none" w:sz="0" w:space="0" w:color="auto"/>
            <w:bottom w:val="none" w:sz="0" w:space="0" w:color="auto"/>
            <w:right w:val="none" w:sz="0" w:space="0" w:color="auto"/>
          </w:divBdr>
        </w:div>
      </w:divsChild>
    </w:div>
    <w:div w:id="1588346032">
      <w:bodyDiv w:val="1"/>
      <w:marLeft w:val="0"/>
      <w:marRight w:val="0"/>
      <w:marTop w:val="0"/>
      <w:marBottom w:val="0"/>
      <w:divBdr>
        <w:top w:val="none" w:sz="0" w:space="0" w:color="auto"/>
        <w:left w:val="none" w:sz="0" w:space="0" w:color="auto"/>
        <w:bottom w:val="none" w:sz="0" w:space="0" w:color="auto"/>
        <w:right w:val="none" w:sz="0" w:space="0" w:color="auto"/>
      </w:divBdr>
    </w:div>
    <w:div w:id="1870757758">
      <w:bodyDiv w:val="1"/>
      <w:marLeft w:val="0"/>
      <w:marRight w:val="0"/>
      <w:marTop w:val="0"/>
      <w:marBottom w:val="0"/>
      <w:divBdr>
        <w:top w:val="none" w:sz="0" w:space="0" w:color="auto"/>
        <w:left w:val="none" w:sz="0" w:space="0" w:color="auto"/>
        <w:bottom w:val="none" w:sz="0" w:space="0" w:color="auto"/>
        <w:right w:val="none" w:sz="0" w:space="0" w:color="auto"/>
      </w:divBdr>
    </w:div>
    <w:div w:id="20244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07F2-9280-4B83-BBE6-F9FA6840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5401</Words>
  <Characters>30350</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2022-03-31T18:12:00Z</dcterms:created>
  <dcterms:modified xsi:type="dcterms:W3CDTF">2022-03-31T18:12:00Z</dcterms:modified>
</cp:coreProperties>
</file>