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8F3B173" w14:textId="19C632EF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</w:t>
      </w:r>
      <w:r w:rsidRPr="00DE3D18">
        <w:rPr>
          <w:sz w:val="28"/>
          <w:szCs w:val="28"/>
        </w:rPr>
        <w:t>the “</w:t>
      </w:r>
      <w:r w:rsidRPr="00DE3D18" w:rsidR="00DE3D18">
        <w:rPr>
          <w:sz w:val="28"/>
          <w:szCs w:val="28"/>
        </w:rPr>
        <w:t>Generic Clearance for TSCA Section 4 Test Rules, Test Orders, Enforceable Consent Agreements (ECAs), Voluntary Data Submissions, and Exemptions from Testing Requirement</w:t>
      </w:r>
      <w:r w:rsidRPr="00DE3D18">
        <w:rPr>
          <w:sz w:val="28"/>
          <w:szCs w:val="28"/>
        </w:rPr>
        <w:t xml:space="preserve">” (OMB Control Number: </w:t>
      </w:r>
      <w:r w:rsidRPr="00DE3D18" w:rsidR="00DE3D18">
        <w:rPr>
          <w:sz w:val="28"/>
          <w:szCs w:val="28"/>
        </w:rPr>
        <w:t>2070-0033</w:t>
      </w:r>
      <w:r>
        <w:rPr>
          <w:sz w:val="28"/>
        </w:rPr>
        <w:t>)</w:t>
      </w:r>
    </w:p>
    <w:p w:rsidR="005964F0" w:rsidP="00434E33" w:rsidRDefault="005964F0" w14:paraId="07EB3703" w14:textId="77777777">
      <w:pPr>
        <w:rPr>
          <w:b/>
        </w:rPr>
      </w:pPr>
    </w:p>
    <w:p w:rsidR="005964F0" w:rsidP="00434E33" w:rsidRDefault="00A22375" w14:paraId="65AA2456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67769F0" wp14:anchorId="39A3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D4C5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7809A7" w:rsidRDefault="008606EC" w14:paraId="4B40E490" w14:textId="07B1453E">
      <w:r>
        <w:t>Voluntary Robust Summaries for Test Rules, Test Orders, and Enforceable Consent Agreements (</w:t>
      </w:r>
      <w:r w:rsidR="003B1922">
        <w:t>ECAs</w:t>
      </w:r>
      <w:r>
        <w:t>)</w:t>
      </w:r>
    </w:p>
    <w:p w:rsidR="005964F0" w:rsidRDefault="005964F0" w14:paraId="2D43C2F0" w14:textId="77777777">
      <w:pPr>
        <w:rPr>
          <w:b/>
        </w:rPr>
      </w:pPr>
    </w:p>
    <w:p w:rsidR="001B0AAA" w:rsidRDefault="002923D0" w14:paraId="1B9A2DBB" w14:textId="441F888B">
      <w:r>
        <w:rPr>
          <w:b/>
        </w:rPr>
        <w:t>DESCRIPTION OF INFORMATION COLLECTION</w:t>
      </w:r>
      <w:r w:rsidRPr="009239AA" w:rsidR="00F15956">
        <w:rPr>
          <w:b/>
        </w:rPr>
        <w:t>:</w:t>
      </w:r>
      <w:r w:rsidRPr="009239AA" w:rsidR="00C14CC4">
        <w:rPr>
          <w:b/>
        </w:rPr>
        <w:t xml:space="preserve">  </w:t>
      </w:r>
    </w:p>
    <w:p w:rsidR="008606EC" w:rsidP="008606EC" w:rsidRDefault="00DE3D18" w14:paraId="1CE3AD65" w14:textId="77777777">
      <w:r>
        <w:t xml:space="preserve">For </w:t>
      </w:r>
      <w:r w:rsidR="00717549">
        <w:t>more information about this Information Collection, including description</w:t>
      </w:r>
      <w:r>
        <w:t xml:space="preserve"> of respondents, need for this collection, and more details of respondent activities, please refer to the Supporting Statement for this generic Information Collection Request (ICR).</w:t>
      </w:r>
      <w:r w:rsidR="003B1922">
        <w:t xml:space="preserve"> </w:t>
      </w:r>
      <w:r w:rsidRPr="004A1B40" w:rsidR="008606EC">
        <w:t xml:space="preserve">EPA estimates that </w:t>
      </w:r>
      <w:r w:rsidR="008606EC">
        <w:t>ten</w:t>
      </w:r>
      <w:r w:rsidRPr="004A1B40" w:rsidR="008606EC">
        <w:t xml:space="preserve"> percent of the studies completed </w:t>
      </w:r>
      <w:r w:rsidR="008606EC">
        <w:t xml:space="preserve">for TSCA Section 4 testing actions </w:t>
      </w:r>
      <w:r w:rsidRPr="004A1B40" w:rsidR="008606EC">
        <w:t>will be accompanied by a robust summary, yielding one robust summary</w:t>
      </w:r>
      <w:r w:rsidR="008606EC">
        <w:t xml:space="preserve"> per chemical each year</w:t>
      </w:r>
      <w:r w:rsidRPr="004A1B40" w:rsidR="008606EC">
        <w:t>.</w:t>
      </w:r>
      <w:r w:rsidR="008606EC">
        <w:rPr>
          <w:rStyle w:val="FootnoteReference"/>
          <w:bCs/>
        </w:rPr>
        <w:footnoteReference w:id="1"/>
      </w:r>
      <w:r w:rsidRPr="004A1B40" w:rsidR="008606EC">
        <w:t xml:space="preserve"> </w:t>
      </w:r>
    </w:p>
    <w:p w:rsidR="00163F7F" w:rsidP="00163F7F" w:rsidRDefault="00163F7F" w14:paraId="37B84ED3" w14:textId="657FC831"/>
    <w:p w:rsidR="00E81577" w:rsidP="00BB2ACD" w:rsidRDefault="00E81577" w14:paraId="4026CEF3" w14:textId="34B4D4DC">
      <w:pPr>
        <w:rPr>
          <w:b/>
        </w:rPr>
      </w:pPr>
    </w:p>
    <w:p w:rsidR="008606EC" w:rsidP="008606EC" w:rsidRDefault="00DE3D18" w14:paraId="384F69B4" w14:textId="77777777">
      <w:pPr>
        <w:pStyle w:val="Caption"/>
        <w:keepNext/>
        <w:keepLines/>
      </w:pPr>
      <w:r>
        <w:t xml:space="preserve">TOTAL ANNUAL </w:t>
      </w:r>
      <w:r w:rsidR="005E714A">
        <w:t>BURDEN</w:t>
      </w:r>
      <w:r w:rsidR="00E005DC">
        <w:t>:</w:t>
      </w:r>
      <w:r w:rsidRPr="00952100" w:rsidR="00952100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5"/>
        <w:gridCol w:w="929"/>
        <w:gridCol w:w="1169"/>
        <w:gridCol w:w="1017"/>
        <w:gridCol w:w="929"/>
        <w:gridCol w:w="929"/>
        <w:gridCol w:w="1040"/>
        <w:gridCol w:w="976"/>
        <w:gridCol w:w="1036"/>
      </w:tblGrid>
      <w:tr w:rsidRPr="00F2049B" w:rsidR="008606EC" w:rsidTr="008A7135" w14:paraId="72542FC9" w14:textId="77777777">
        <w:trPr>
          <w:trHeight w:val="288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8606EC" w:rsidP="008A7135" w:rsidRDefault="008606EC" w14:paraId="5996EB57" w14:textId="77777777">
            <w:pPr>
              <w:keepNext/>
              <w:keepLines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8606EC" w:rsidP="008A7135" w:rsidRDefault="008606EC" w14:paraId="0DCF575A" w14:textId="77777777">
            <w:pPr>
              <w:keepNext/>
              <w:keepLines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Adjusted Unit Burden (hours)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8606EC" w:rsidP="008A7135" w:rsidRDefault="008606EC" w14:paraId="6656DD01" w14:textId="77777777">
            <w:pPr>
              <w:keepNext/>
              <w:keepLines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Number of Respondents (Sponsors) 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8606EC" w:rsidP="008A7135" w:rsidRDefault="008606EC" w14:paraId="2D6949E1" w14:textId="77777777">
            <w:pPr>
              <w:keepNext/>
              <w:keepLines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Responses (Chemicals Tested within an Action)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8606EC" w:rsidP="008A7135" w:rsidRDefault="008606EC" w14:paraId="3B440066" w14:textId="77777777">
            <w:pPr>
              <w:keepNext/>
              <w:keepLines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Overlap Factor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BFBFBF"/>
            <w:vAlign w:val="center"/>
            <w:hideMark/>
          </w:tcPr>
          <w:p w:rsidRPr="00F2049B" w:rsidR="008606EC" w:rsidP="008A7135" w:rsidRDefault="008606EC" w14:paraId="3AD023B8" w14:textId="77777777">
            <w:pPr>
              <w:keepNext/>
              <w:keepLines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Burden (hours)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8606EC" w:rsidP="008A7135" w:rsidRDefault="008606EC" w14:paraId="5DF71B70" w14:textId="77777777">
            <w:pPr>
              <w:keepNext/>
              <w:keepLines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Labor Cost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8606EC" w:rsidP="008A7135" w:rsidRDefault="008606EC" w14:paraId="6BE49078" w14:textId="77777777">
            <w:pPr>
              <w:keepNext/>
              <w:keepLines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Non-Labor Cost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8606EC" w:rsidP="008A7135" w:rsidRDefault="008606EC" w14:paraId="3A87444E" w14:textId="77777777">
            <w:pPr>
              <w:keepNext/>
              <w:keepLines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</w:tr>
      <w:tr w:rsidRPr="00F2049B" w:rsidR="008606EC" w:rsidTr="008A7135" w14:paraId="1B70DCEA" w14:textId="77777777">
        <w:trPr>
          <w:trHeight w:val="288"/>
        </w:trPr>
        <w:tc>
          <w:tcPr>
            <w:tcW w:w="708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22BA2EDA" w14:textId="77777777">
            <w:pPr>
              <w:keepNext/>
              <w:keepLines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Robust Summary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5BA42C59" w14:textId="77777777">
            <w:pPr>
              <w:keepNext/>
              <w:keepLines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4446334A" w14:textId="77777777">
            <w:pPr>
              <w:keepNext/>
              <w:keepLines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542A795F" w14:textId="77777777">
            <w:pPr>
              <w:keepNext/>
              <w:keepLines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7C7F0308" w14:textId="77777777">
            <w:pPr>
              <w:keepNext/>
              <w:keepLines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8606EC" w:rsidP="008A7135" w:rsidRDefault="008606EC" w14:paraId="2FA43BB9" w14:textId="77777777">
            <w:pPr>
              <w:keepNext/>
              <w:keepLines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4A93FEC0" w14:textId="77777777">
            <w:pPr>
              <w:keepNext/>
              <w:keepLines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575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2AA0DDB9" w14:textId="77777777">
            <w:pPr>
              <w:keepNext/>
              <w:keepLines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8606EC" w:rsidP="008A7135" w:rsidRDefault="008606EC" w14:paraId="7866D11A" w14:textId="77777777">
            <w:pPr>
              <w:keepNext/>
              <w:keepLines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575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8606EC" w:rsidTr="008A7135" w14:paraId="6CE7E4C3" w14:textId="77777777">
        <w:trPr>
          <w:trHeight w:val="288"/>
        </w:trPr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53D7CA42" w14:textId="77777777">
            <w:pPr>
              <w:keepNext/>
              <w:keepLines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Reporting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18772A3C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2E9BF49F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300453C6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310EAEDE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8606EC" w:rsidP="008A7135" w:rsidRDefault="008606EC" w14:paraId="1B574F9F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7F96397C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575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41284920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8606EC" w:rsidP="008A7135" w:rsidRDefault="008606EC" w14:paraId="418A2CDD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575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8606EC" w:rsidTr="008A7135" w14:paraId="3BBF6B80" w14:textId="77777777">
        <w:trPr>
          <w:trHeight w:val="288"/>
        </w:trPr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173FFBD0" w14:textId="77777777">
            <w:pPr>
              <w:keepNext/>
              <w:keepLines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Recordkeeping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0CAC0E7E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3FB4A687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10657013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1E893304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8606EC" w:rsidP="008A7135" w:rsidRDefault="008606EC" w14:paraId="1076D714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3A25DDB4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59B70826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8606EC" w:rsidP="008A7135" w:rsidRDefault="008606EC" w14:paraId="5DC077C3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</w:tr>
      <w:tr w:rsidRPr="00F2049B" w:rsidR="008606EC" w:rsidTr="008A7135" w14:paraId="67FAB1A5" w14:textId="77777777">
        <w:trPr>
          <w:trHeight w:val="288"/>
        </w:trPr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398BEA69" w14:textId="77777777">
            <w:pPr>
              <w:keepNext/>
              <w:keepLines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Robust Summaries (Voluntary)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47ACA0FA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44A860B3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0A92909E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33C2ABDB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8606EC" w:rsidP="008A7135" w:rsidRDefault="008606EC" w14:paraId="4E47BBB6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30F91613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575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8606EC" w:rsidP="008A7135" w:rsidRDefault="008606EC" w14:paraId="5ED0B263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8606EC" w:rsidP="008A7135" w:rsidRDefault="008606EC" w14:paraId="075877DB" w14:textId="77777777">
            <w:pPr>
              <w:keepNext/>
              <w:keepLines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575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8606EC" w:rsidTr="008A7135" w14:paraId="7E48DCD7" w14:textId="77777777">
        <w:trPr>
          <w:trHeight w:val="288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70815" w:rsidR="008606EC" w:rsidP="008A7135" w:rsidRDefault="008606EC" w14:paraId="177E03C6" w14:textId="77777777">
            <w:pPr>
              <w:keepNext/>
              <w:keepLines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Footnotes:</w:t>
            </w:r>
          </w:p>
          <w:p w:rsidRPr="00F2049B" w:rsidR="008606EC" w:rsidP="008A7135" w:rsidRDefault="008606EC" w14:paraId="58638DEF" w14:textId="77777777">
            <w:pPr>
              <w:keepNext/>
              <w:keepLines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13CCC"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B13CC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Assumes one sponsor per chemical.</w:t>
            </w:r>
          </w:p>
        </w:tc>
      </w:tr>
    </w:tbl>
    <w:p w:rsidR="00952100" w:rsidP="008606EC" w:rsidRDefault="00952100" w14:paraId="69E19C6F" w14:textId="4C4D2E33">
      <w:pPr>
        <w:pStyle w:val="Caption"/>
        <w:keepNext/>
        <w:rPr>
          <w:b w:val="0"/>
          <w:bCs w:val="0"/>
        </w:rPr>
      </w:pPr>
    </w:p>
    <w:p w:rsidRPr="0016032B" w:rsidR="00DE3D18" w:rsidP="00952100" w:rsidRDefault="00717549" w14:paraId="47ECEF22" w14:textId="4A9CB4E5">
      <w:r>
        <w:rPr>
          <w:b/>
          <w:bCs/>
        </w:rPr>
        <w:t>TOTAL</w:t>
      </w:r>
      <w:r w:rsidR="0016032B">
        <w:rPr>
          <w:b/>
          <w:bCs/>
        </w:rPr>
        <w:t xml:space="preserve"> 3-YEAR BURDEN: </w:t>
      </w:r>
      <w:r w:rsidR="008606EC">
        <w:t xml:space="preserve">258.72 </w:t>
      </w:r>
      <w:bookmarkStart w:name="_GoBack" w:id="0"/>
      <w:bookmarkEnd w:id="0"/>
      <w:r w:rsidR="0016032B">
        <w:t>hours.</w:t>
      </w:r>
    </w:p>
    <w:sectPr w:rsidRPr="0016032B" w:rsidR="00DE3D18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9472" w14:textId="77777777" w:rsidR="008966E2" w:rsidRDefault="008966E2">
      <w:r>
        <w:separator/>
      </w:r>
    </w:p>
  </w:endnote>
  <w:endnote w:type="continuationSeparator" w:id="0">
    <w:p w14:paraId="17A95828" w14:textId="77777777" w:rsidR="008966E2" w:rsidRDefault="008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9B20" w14:textId="77777777" w:rsidR="007D0CFE" w:rsidRDefault="007D0CF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5D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7DD8" w14:textId="77777777" w:rsidR="008966E2" w:rsidRDefault="008966E2">
      <w:r>
        <w:separator/>
      </w:r>
    </w:p>
  </w:footnote>
  <w:footnote w:type="continuationSeparator" w:id="0">
    <w:p w14:paraId="51F39335" w14:textId="77777777" w:rsidR="008966E2" w:rsidRDefault="008966E2">
      <w:r>
        <w:continuationSeparator/>
      </w:r>
    </w:p>
  </w:footnote>
  <w:footnote w:id="1">
    <w:p w14:paraId="722FEB18" w14:textId="77777777" w:rsidR="008606EC" w:rsidRPr="00A44665" w:rsidRDefault="008606EC" w:rsidP="008606EC">
      <w:pPr>
        <w:pStyle w:val="FootnoteText"/>
        <w:rPr>
          <w:rFonts w:cs="Times New Roman"/>
          <w:bCs/>
          <w:szCs w:val="24"/>
        </w:rPr>
      </w:pPr>
      <w:r>
        <w:rPr>
          <w:rStyle w:val="FootnoteReference"/>
        </w:rPr>
        <w:footnoteRef/>
      </w:r>
      <w:r>
        <w:t xml:space="preserve"> Historically, r</w:t>
      </w:r>
      <w:r>
        <w:rPr>
          <w:rFonts w:cs="Times New Roman"/>
          <w:bCs/>
          <w:szCs w:val="24"/>
        </w:rPr>
        <w:t xml:space="preserve">obust summaries have been developed in order to </w:t>
      </w:r>
      <w:r w:rsidRPr="00A44665">
        <w:rPr>
          <w:rFonts w:cs="Times New Roman"/>
          <w:bCs/>
          <w:szCs w:val="24"/>
        </w:rPr>
        <w:t xml:space="preserve">standardize how the technical information </w:t>
      </w:r>
      <w:r>
        <w:rPr>
          <w:rFonts w:cs="Times New Roman"/>
          <w:bCs/>
          <w:szCs w:val="24"/>
        </w:rPr>
        <w:t xml:space="preserve">is </w:t>
      </w:r>
      <w:r w:rsidRPr="00A44665">
        <w:rPr>
          <w:rFonts w:cs="Times New Roman"/>
          <w:bCs/>
          <w:szCs w:val="24"/>
        </w:rPr>
        <w:t>presented and summarized</w:t>
      </w:r>
      <w:r>
        <w:rPr>
          <w:rFonts w:cs="Times New Roman"/>
          <w:bCs/>
          <w:szCs w:val="24"/>
        </w:rPr>
        <w:t>. R</w:t>
      </w:r>
      <w:r w:rsidRPr="00A44665">
        <w:rPr>
          <w:rFonts w:cs="Times New Roman"/>
          <w:bCs/>
          <w:szCs w:val="24"/>
        </w:rPr>
        <w:t xml:space="preserve">obust summaries have been adopted voluntarily and used by data submitters outside </w:t>
      </w:r>
      <w:r>
        <w:rPr>
          <w:rFonts w:cs="Times New Roman"/>
          <w:bCs/>
          <w:szCs w:val="24"/>
        </w:rPr>
        <w:t>EPA programs.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12E"/>
    <w:multiLevelType w:val="hybridMultilevel"/>
    <w:tmpl w:val="445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5FE"/>
    <w:rsid w:val="00023A57"/>
    <w:rsid w:val="000475F1"/>
    <w:rsid w:val="00047A64"/>
    <w:rsid w:val="00067329"/>
    <w:rsid w:val="000A23C7"/>
    <w:rsid w:val="000B2838"/>
    <w:rsid w:val="000C06EF"/>
    <w:rsid w:val="000D44CA"/>
    <w:rsid w:val="000E200B"/>
    <w:rsid w:val="000F68BE"/>
    <w:rsid w:val="000F7A47"/>
    <w:rsid w:val="001269BA"/>
    <w:rsid w:val="0016032B"/>
    <w:rsid w:val="00163F7F"/>
    <w:rsid w:val="001927A4"/>
    <w:rsid w:val="00194AC6"/>
    <w:rsid w:val="001A23B0"/>
    <w:rsid w:val="001A25CC"/>
    <w:rsid w:val="001B0AAA"/>
    <w:rsid w:val="001C39F7"/>
    <w:rsid w:val="002100BE"/>
    <w:rsid w:val="00214BBD"/>
    <w:rsid w:val="00237B48"/>
    <w:rsid w:val="00240F00"/>
    <w:rsid w:val="0024521E"/>
    <w:rsid w:val="00263C3D"/>
    <w:rsid w:val="00274D0B"/>
    <w:rsid w:val="002923D0"/>
    <w:rsid w:val="002A0D44"/>
    <w:rsid w:val="002B3C95"/>
    <w:rsid w:val="002D0B92"/>
    <w:rsid w:val="003048B5"/>
    <w:rsid w:val="003B1922"/>
    <w:rsid w:val="003B63F1"/>
    <w:rsid w:val="003D5BBE"/>
    <w:rsid w:val="003E3C61"/>
    <w:rsid w:val="003F1C5B"/>
    <w:rsid w:val="00405D01"/>
    <w:rsid w:val="00415B10"/>
    <w:rsid w:val="00431CA9"/>
    <w:rsid w:val="00434E33"/>
    <w:rsid w:val="00441434"/>
    <w:rsid w:val="0045264C"/>
    <w:rsid w:val="004551E2"/>
    <w:rsid w:val="004876EC"/>
    <w:rsid w:val="004D6E14"/>
    <w:rsid w:val="004E5A75"/>
    <w:rsid w:val="004F325F"/>
    <w:rsid w:val="005009B0"/>
    <w:rsid w:val="00532239"/>
    <w:rsid w:val="00574175"/>
    <w:rsid w:val="005964F0"/>
    <w:rsid w:val="005A1006"/>
    <w:rsid w:val="005D467F"/>
    <w:rsid w:val="005E714A"/>
    <w:rsid w:val="006140A0"/>
    <w:rsid w:val="00621951"/>
    <w:rsid w:val="00636621"/>
    <w:rsid w:val="00642B49"/>
    <w:rsid w:val="00681DF4"/>
    <w:rsid w:val="006832D9"/>
    <w:rsid w:val="0069403B"/>
    <w:rsid w:val="006D5DF6"/>
    <w:rsid w:val="006E1611"/>
    <w:rsid w:val="006E1C79"/>
    <w:rsid w:val="006F3DDE"/>
    <w:rsid w:val="00704678"/>
    <w:rsid w:val="00717549"/>
    <w:rsid w:val="007425E7"/>
    <w:rsid w:val="007809A7"/>
    <w:rsid w:val="007A2216"/>
    <w:rsid w:val="007B457F"/>
    <w:rsid w:val="007D0CFE"/>
    <w:rsid w:val="007D7A01"/>
    <w:rsid w:val="00802607"/>
    <w:rsid w:val="008101A5"/>
    <w:rsid w:val="00822664"/>
    <w:rsid w:val="00843796"/>
    <w:rsid w:val="008606EC"/>
    <w:rsid w:val="00871373"/>
    <w:rsid w:val="00895229"/>
    <w:rsid w:val="008966E2"/>
    <w:rsid w:val="008B7F89"/>
    <w:rsid w:val="008D65DC"/>
    <w:rsid w:val="008F0203"/>
    <w:rsid w:val="008F50D4"/>
    <w:rsid w:val="009239AA"/>
    <w:rsid w:val="00935ADA"/>
    <w:rsid w:val="00946B6C"/>
    <w:rsid w:val="00952100"/>
    <w:rsid w:val="00955A71"/>
    <w:rsid w:val="00957FCE"/>
    <w:rsid w:val="0096108F"/>
    <w:rsid w:val="00997323"/>
    <w:rsid w:val="009C13B9"/>
    <w:rsid w:val="009C37AD"/>
    <w:rsid w:val="009C4295"/>
    <w:rsid w:val="009D01A2"/>
    <w:rsid w:val="009F5923"/>
    <w:rsid w:val="00A22375"/>
    <w:rsid w:val="00A374A3"/>
    <w:rsid w:val="00A403BB"/>
    <w:rsid w:val="00A674DF"/>
    <w:rsid w:val="00A70B40"/>
    <w:rsid w:val="00A83AA6"/>
    <w:rsid w:val="00AB7BA5"/>
    <w:rsid w:val="00AE1809"/>
    <w:rsid w:val="00B203E9"/>
    <w:rsid w:val="00B80D76"/>
    <w:rsid w:val="00BA2105"/>
    <w:rsid w:val="00BA7E06"/>
    <w:rsid w:val="00BB2ACD"/>
    <w:rsid w:val="00BB43B5"/>
    <w:rsid w:val="00BB6219"/>
    <w:rsid w:val="00BB65BF"/>
    <w:rsid w:val="00BD290F"/>
    <w:rsid w:val="00BF33DC"/>
    <w:rsid w:val="00BF42B7"/>
    <w:rsid w:val="00BF787C"/>
    <w:rsid w:val="00C14CC4"/>
    <w:rsid w:val="00C152B1"/>
    <w:rsid w:val="00C33C52"/>
    <w:rsid w:val="00C40D8B"/>
    <w:rsid w:val="00C53458"/>
    <w:rsid w:val="00C8407A"/>
    <w:rsid w:val="00C8441F"/>
    <w:rsid w:val="00C8488C"/>
    <w:rsid w:val="00C86E91"/>
    <w:rsid w:val="00CA2650"/>
    <w:rsid w:val="00CB1078"/>
    <w:rsid w:val="00CC6FAF"/>
    <w:rsid w:val="00CE3118"/>
    <w:rsid w:val="00D056D3"/>
    <w:rsid w:val="00D24698"/>
    <w:rsid w:val="00D6383F"/>
    <w:rsid w:val="00DA1618"/>
    <w:rsid w:val="00DB59D0"/>
    <w:rsid w:val="00DC33D3"/>
    <w:rsid w:val="00DE3D18"/>
    <w:rsid w:val="00DF5922"/>
    <w:rsid w:val="00E005DC"/>
    <w:rsid w:val="00E00D00"/>
    <w:rsid w:val="00E26329"/>
    <w:rsid w:val="00E40B50"/>
    <w:rsid w:val="00E50293"/>
    <w:rsid w:val="00E65FFC"/>
    <w:rsid w:val="00E80951"/>
    <w:rsid w:val="00E81577"/>
    <w:rsid w:val="00E86CC6"/>
    <w:rsid w:val="00E95171"/>
    <w:rsid w:val="00EB56B3"/>
    <w:rsid w:val="00ED6492"/>
    <w:rsid w:val="00EF203B"/>
    <w:rsid w:val="00EF2095"/>
    <w:rsid w:val="00F06866"/>
    <w:rsid w:val="00F15956"/>
    <w:rsid w:val="00F24CFC"/>
    <w:rsid w:val="00F3170F"/>
    <w:rsid w:val="00F32259"/>
    <w:rsid w:val="00F804AC"/>
    <w:rsid w:val="00F976B0"/>
    <w:rsid w:val="00FA13D4"/>
    <w:rsid w:val="00FA429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16637C"/>
  <w15:docId w15:val="{7A421538-2022-47CE-A1B4-87E562A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81577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81577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577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8157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81577"/>
    <w:pPr>
      <w:spacing w:after="200"/>
    </w:pPr>
    <w:rPr>
      <w:rFonts w:ascii="Arial" w:eastAsiaTheme="minorHAnsi" w:hAnsi="Arial" w:cs="Arial"/>
      <w:b/>
      <w:b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EPA</cp:lastModifiedBy>
  <cp:revision>3</cp:revision>
  <cp:lastPrinted>2011-09-30T16:31:00Z</cp:lastPrinted>
  <dcterms:created xsi:type="dcterms:W3CDTF">2020-09-03T12:53:00Z</dcterms:created>
  <dcterms:modified xsi:type="dcterms:W3CDTF">2020-09-03T12:55:00Z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