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61FF" w:rsidR="005161FF" w:rsidP="006F5CC0" w:rsidRDefault="005161FF" w14:paraId="02E096F3" w14:textId="77777777">
      <w:pPr>
        <w:jc w:val="center"/>
        <w:rPr>
          <w:rFonts w:eastAsia="Arial" w:cs="Times New Roman"/>
          <w:b/>
          <w:bCs/>
        </w:rPr>
      </w:pPr>
      <w:r w:rsidRPr="005161FF">
        <w:rPr>
          <w:rFonts w:eastAsia="Arial" w:cs="Times New Roman"/>
          <w:b/>
          <w:bCs/>
        </w:rPr>
        <w:t>Supporting Statement for an Information Collection Request (ICR)</w:t>
      </w:r>
      <w:r w:rsidRPr="005161FF">
        <w:rPr>
          <w:rFonts w:eastAsia="Arial" w:cs="Times New Roman"/>
          <w:b/>
          <w:bCs/>
        </w:rPr>
        <w:br/>
        <w:t>Under the Paperwork Reduction Act (PRA)</w:t>
      </w:r>
    </w:p>
    <w:p w:rsidRPr="005161FF" w:rsidR="005161FF" w:rsidP="006F5CC0" w:rsidRDefault="005161FF" w14:paraId="7D0BAABC" w14:textId="77777777">
      <w:pPr>
        <w:keepNext/>
        <w:keepLines/>
        <w:pBdr>
          <w:top w:val="single" w:color="auto" w:sz="4" w:space="1"/>
        </w:pBdr>
        <w:spacing w:before="240"/>
        <w:outlineLvl w:val="0"/>
        <w:rPr>
          <w:rFonts w:eastAsia="Times New Roman" w:cs="Arial"/>
          <w:b/>
          <w:bCs/>
          <w:szCs w:val="32"/>
        </w:rPr>
      </w:pPr>
      <w:r w:rsidRPr="005161FF">
        <w:rPr>
          <w:rFonts w:eastAsia="Times New Roman" w:cs="Arial"/>
          <w:b/>
          <w:bCs/>
          <w:szCs w:val="32"/>
        </w:rPr>
        <w:t>EXECUTIVE SUMMARY</w:t>
      </w:r>
    </w:p>
    <w:p w:rsidRPr="005161FF" w:rsidR="005161FF" w:rsidP="006F5CC0" w:rsidRDefault="005161FF" w14:paraId="43A1F2EC" w14:textId="77777777">
      <w:pPr>
        <w:keepNext/>
        <w:keepLines/>
        <w:spacing w:before="240"/>
        <w:outlineLvl w:val="1"/>
        <w:rPr>
          <w:rFonts w:eastAsia="Times New Roman" w:cs="Arial"/>
          <w:b/>
          <w:i/>
          <w:iCs/>
        </w:rPr>
      </w:pPr>
      <w:r w:rsidRPr="005161FF">
        <w:rPr>
          <w:rFonts w:eastAsia="Times New Roman" w:cs="Arial"/>
          <w:b/>
          <w:i/>
          <w:iCs/>
        </w:rPr>
        <w:t>Identification of the Information Collection – Title and Numbers</w:t>
      </w:r>
    </w:p>
    <w:tbl>
      <w:tblPr>
        <w:tblStyle w:val="TableGrid1"/>
        <w:tblW w:w="5000" w:type="pct"/>
        <w:tblInd w:w="2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7092"/>
      </w:tblGrid>
      <w:tr w:rsidRPr="005161FF" w:rsidR="00106D57" w:rsidTr="00DC1509" w14:paraId="2D78C664" w14:textId="77777777">
        <w:tc>
          <w:tcPr>
            <w:tcW w:w="2268" w:type="dxa"/>
          </w:tcPr>
          <w:p w:rsidRPr="005161FF" w:rsidR="005161FF" w:rsidP="006F5CC0" w:rsidRDefault="005161FF" w14:paraId="36F1259F" w14:textId="77777777">
            <w:pPr>
              <w:rPr>
                <w:rFonts w:eastAsia="Arial" w:cs="Times New Roman"/>
                <w:b/>
                <w:bCs/>
              </w:rPr>
            </w:pPr>
            <w:r w:rsidRPr="005161FF">
              <w:rPr>
                <w:rFonts w:eastAsia="Arial" w:cs="Times New Roman"/>
                <w:b/>
                <w:bCs/>
              </w:rPr>
              <w:t>Title:</w:t>
            </w:r>
          </w:p>
        </w:tc>
        <w:tc>
          <w:tcPr>
            <w:tcW w:w="7092" w:type="dxa"/>
          </w:tcPr>
          <w:p w:rsidRPr="005161FF" w:rsidR="005161FF" w:rsidP="006F5CC0" w:rsidRDefault="005161FF" w14:paraId="5C3D0F17" w14:textId="136BC30C">
            <w:pPr>
              <w:rPr>
                <w:rFonts w:eastAsia="Arial" w:cs="Times New Roman"/>
              </w:rPr>
            </w:pPr>
            <w:r w:rsidRPr="00106D57">
              <w:rPr>
                <w:rFonts w:eastAsia="Arial" w:cs="Times New Roman"/>
              </w:rPr>
              <w:t>Labeling Requirements for Certain Minimum Risk Pesticides Under FIFRA Section 25(b)</w:t>
            </w:r>
          </w:p>
        </w:tc>
      </w:tr>
      <w:tr w:rsidRPr="005161FF" w:rsidR="00106D57" w:rsidTr="00DC1509" w14:paraId="39BC1B0B" w14:textId="77777777">
        <w:trPr>
          <w:trHeight w:val="432"/>
        </w:trPr>
        <w:tc>
          <w:tcPr>
            <w:tcW w:w="2268" w:type="dxa"/>
          </w:tcPr>
          <w:p w:rsidRPr="005161FF" w:rsidR="005161FF" w:rsidP="006F5CC0" w:rsidRDefault="005161FF" w14:paraId="0D5FA66D" w14:textId="77777777">
            <w:pPr>
              <w:rPr>
                <w:rFonts w:eastAsia="Arial" w:cs="Times New Roman"/>
                <w:b/>
                <w:bCs/>
              </w:rPr>
            </w:pPr>
            <w:r w:rsidRPr="005161FF">
              <w:rPr>
                <w:rFonts w:eastAsia="Arial" w:cs="Times New Roman"/>
                <w:b/>
                <w:bCs/>
              </w:rPr>
              <w:t>EPA ICR No.:</w:t>
            </w:r>
          </w:p>
        </w:tc>
        <w:tc>
          <w:tcPr>
            <w:tcW w:w="7092" w:type="dxa"/>
          </w:tcPr>
          <w:p w:rsidRPr="005161FF" w:rsidR="005161FF" w:rsidP="006F5CC0" w:rsidRDefault="005161FF" w14:paraId="29804AA3" w14:textId="37EC60BD">
            <w:pPr>
              <w:rPr>
                <w:rFonts w:eastAsia="Arial" w:cs="Times New Roman"/>
              </w:rPr>
            </w:pPr>
            <w:r w:rsidRPr="00106D57">
              <w:rPr>
                <w:rFonts w:eastAsia="Arial" w:cs="Times New Roman"/>
              </w:rPr>
              <w:t>2475</w:t>
            </w:r>
            <w:r w:rsidRPr="005161FF">
              <w:rPr>
                <w:rFonts w:eastAsia="Arial" w:cs="Times New Roman"/>
              </w:rPr>
              <w:t>.</w:t>
            </w:r>
            <w:r w:rsidRPr="00106D57">
              <w:rPr>
                <w:rFonts w:eastAsia="Arial" w:cs="Times New Roman"/>
              </w:rPr>
              <w:t>0</w:t>
            </w:r>
            <w:r w:rsidRPr="00AB798B">
              <w:rPr>
                <w:rFonts w:eastAsia="Arial" w:cs="Times New Roman"/>
              </w:rPr>
              <w:t>4</w:t>
            </w:r>
          </w:p>
        </w:tc>
      </w:tr>
      <w:tr w:rsidRPr="005161FF" w:rsidR="00106D57" w:rsidTr="00DC1509" w14:paraId="0CB862F6" w14:textId="77777777">
        <w:trPr>
          <w:trHeight w:val="432"/>
        </w:trPr>
        <w:tc>
          <w:tcPr>
            <w:tcW w:w="2268" w:type="dxa"/>
          </w:tcPr>
          <w:p w:rsidRPr="005161FF" w:rsidR="005161FF" w:rsidP="006F5CC0" w:rsidRDefault="005161FF" w14:paraId="006647F2" w14:textId="77777777">
            <w:pPr>
              <w:rPr>
                <w:rFonts w:eastAsia="Arial" w:cs="Times New Roman"/>
                <w:b/>
                <w:bCs/>
              </w:rPr>
            </w:pPr>
            <w:r w:rsidRPr="005161FF">
              <w:rPr>
                <w:rFonts w:eastAsia="Arial" w:cs="Times New Roman"/>
                <w:b/>
                <w:bCs/>
              </w:rPr>
              <w:t>OMB Control No.:</w:t>
            </w:r>
          </w:p>
        </w:tc>
        <w:tc>
          <w:tcPr>
            <w:tcW w:w="7092" w:type="dxa"/>
          </w:tcPr>
          <w:p w:rsidRPr="005161FF" w:rsidR="005161FF" w:rsidP="006F5CC0" w:rsidRDefault="005161FF" w14:paraId="6EE2C54F" w14:textId="06358968">
            <w:pPr>
              <w:rPr>
                <w:rFonts w:eastAsia="Arial" w:cs="Times New Roman"/>
              </w:rPr>
            </w:pPr>
            <w:r w:rsidRPr="005161FF">
              <w:rPr>
                <w:rFonts w:eastAsia="Arial" w:cs="Times New Roman"/>
              </w:rPr>
              <w:t>2070-0</w:t>
            </w:r>
            <w:r w:rsidRPr="00106D57">
              <w:rPr>
                <w:rFonts w:eastAsia="Arial" w:cs="Times New Roman"/>
              </w:rPr>
              <w:t>187</w:t>
            </w:r>
          </w:p>
        </w:tc>
      </w:tr>
      <w:tr w:rsidRPr="005161FF" w:rsidR="00106D57" w:rsidTr="00DC1509" w14:paraId="67C1E2A0" w14:textId="77777777">
        <w:tc>
          <w:tcPr>
            <w:tcW w:w="2268" w:type="dxa"/>
          </w:tcPr>
          <w:p w:rsidRPr="005161FF" w:rsidR="005161FF" w:rsidP="006F5CC0" w:rsidRDefault="005161FF" w14:paraId="18B93197" w14:textId="77777777">
            <w:pPr>
              <w:rPr>
                <w:rFonts w:eastAsia="Arial" w:cs="Times New Roman"/>
                <w:b/>
                <w:bCs/>
              </w:rPr>
            </w:pPr>
            <w:r w:rsidRPr="005161FF">
              <w:rPr>
                <w:rFonts w:eastAsia="Arial" w:cs="Times New Roman"/>
                <w:b/>
                <w:bCs/>
              </w:rPr>
              <w:t>Docket ID No.:</w:t>
            </w:r>
          </w:p>
        </w:tc>
        <w:tc>
          <w:tcPr>
            <w:tcW w:w="7092" w:type="dxa"/>
          </w:tcPr>
          <w:p w:rsidRPr="005161FF" w:rsidR="005161FF" w:rsidP="006F5CC0" w:rsidRDefault="005161FF" w14:paraId="13B02681" w14:textId="306BC64D">
            <w:pPr>
              <w:rPr>
                <w:rFonts w:eastAsia="Arial" w:cs="Times New Roman"/>
              </w:rPr>
            </w:pPr>
            <w:r w:rsidRPr="005161FF">
              <w:rPr>
                <w:rFonts w:eastAsia="Arial" w:cs="Times New Roman"/>
              </w:rPr>
              <w:t>EPA-HQ-OPP-2021-0</w:t>
            </w:r>
            <w:r w:rsidRPr="00106D57">
              <w:rPr>
                <w:rFonts w:eastAsia="Arial" w:cs="Times New Roman"/>
              </w:rPr>
              <w:t>346</w:t>
            </w:r>
          </w:p>
        </w:tc>
      </w:tr>
    </w:tbl>
    <w:p w:rsidRPr="005161FF" w:rsidR="005161FF" w:rsidP="006F5CC0" w:rsidRDefault="005161FF" w14:paraId="14200412" w14:textId="77777777">
      <w:pPr>
        <w:keepNext/>
        <w:keepLines/>
        <w:spacing w:before="240"/>
        <w:outlineLvl w:val="1"/>
        <w:rPr>
          <w:rFonts w:eastAsia="Times New Roman" w:cs="Arial"/>
          <w:b/>
          <w:i/>
          <w:iCs/>
        </w:rPr>
      </w:pPr>
      <w:r w:rsidRPr="005161FF">
        <w:rPr>
          <w:rFonts w:eastAsia="Times New Roman" w:cs="Arial"/>
          <w:b/>
          <w:i/>
          <w:iCs/>
        </w:rPr>
        <w:t>Abstract</w:t>
      </w:r>
    </w:p>
    <w:p w:rsidRPr="00106D57" w:rsidR="002D24E8" w:rsidP="006F5CC0" w:rsidRDefault="002D24E8" w14:paraId="328CCB23" w14:textId="5B2BCADD">
      <w:bookmarkStart w:name="_Hlk79749095" w:id="0"/>
      <w:r w:rsidRPr="00106D57">
        <w:t>This information collection request documents the Paperwork Reduction Act (PRA) burden for the labeling requirements for certain minimum risk pesticide products exempt from Federal Insecticide, Fungicide, and Rodenticide Act (FIFRA) registration under 40 CFR 152.25(f). These requirements were updated in the final rule entitled: Pesticides; Revisions to Minimum Risk Exemption (80 FR 80653; December 28, 2015).</w:t>
      </w:r>
      <w:r w:rsidR="009C57E5">
        <w:t xml:space="preserve">  </w:t>
      </w:r>
    </w:p>
    <w:p w:rsidRPr="00106D57" w:rsidR="002D24E8" w:rsidP="006F5CC0" w:rsidRDefault="002D24E8" w14:paraId="343F9BD5" w14:textId="69E5FCB6">
      <w:r w:rsidRPr="00106D57">
        <w:t xml:space="preserve">Under 40 CFR 152.25(f), EPA has exempted from the requirement of FIFRA registration certain pesticide products if they are composed of specified ingredients and labeled accordingly. EPA created the exemption for minimum risk pesticides to eliminate the need for industry or business to expend significant resources to apply for and maintain regulated products that are deemed to be of minimum risk to human health and the environment. In addition, exempting such products freed Agency resources to focus on evaluating formulations whose toxicity was less well characterized, or was of higher toxicity. </w:t>
      </w:r>
    </w:p>
    <w:p w:rsidRPr="00106D57" w:rsidR="002D24E8" w:rsidP="006F5CC0" w:rsidRDefault="002D24E8" w14:paraId="52F8CAB4" w14:textId="6D6D488E">
      <w:r w:rsidRPr="00106D57">
        <w:t xml:space="preserve">The 2015 Final Rule reorganized the ingredients lists and added specific chemical identifiers to clarify to manufacturers, the public, and Federal, state, and tribal inspectors the specific chemical substances that are permitted in minimum risk pesticide products. EPA also modified the label requirements to require the use of specific label display names of ingredients and to require producer contact information on the label. The primary goal of this rulemaking was to clarify the conditions of exemption for minimum risk pesticides by clarifying the specific ingredients that are permitted in minimum risk pesticide products and to provide company contact information on the label. The previous version of this ICR covered the paperwork burdens associated with existing products updating their labels to comply with the new requirements during the 2015 Final Rule’s compliance period. EPA anticipates that those burdens have been </w:t>
      </w:r>
      <w:r w:rsidRPr="00106D57" w:rsidR="00A5746C">
        <w:lastRenderedPageBreak/>
        <w:t>realized and</w:t>
      </w:r>
      <w:r w:rsidRPr="00106D57">
        <w:t xml:space="preserve"> is now accounting for the potential burden for new products coming into the market. </w:t>
      </w:r>
    </w:p>
    <w:p w:rsidRPr="00106D57" w:rsidR="00C72D8B" w:rsidP="006F5CC0" w:rsidRDefault="00605DAE" w14:paraId="5C68EFF6" w14:textId="157C433C">
      <w:pPr>
        <w:pStyle w:val="Heading2"/>
        <w:spacing w:after="240"/>
        <w:ind w:firstLine="720"/>
        <w:rPr>
          <w:rFonts w:eastAsia="Calibri"/>
          <w:color w:val="auto"/>
        </w:rPr>
      </w:pPr>
      <w:bookmarkStart w:name="_Toc49148160" w:id="1"/>
      <w:bookmarkEnd w:id="0"/>
      <w:r w:rsidRPr="00106D57">
        <w:rPr>
          <w:rFonts w:eastAsia="Calibri"/>
          <w:color w:val="auto"/>
        </w:rPr>
        <w:t xml:space="preserve">Table 1: </w:t>
      </w:r>
      <w:r w:rsidRPr="00106D57" w:rsidR="00C72D8B">
        <w:rPr>
          <w:rFonts w:eastAsia="Calibri"/>
          <w:color w:val="auto"/>
        </w:rPr>
        <w:t>Summary Total Burden and Costs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59"/>
        <w:gridCol w:w="2388"/>
        <w:gridCol w:w="1561"/>
        <w:gridCol w:w="2688"/>
      </w:tblGrid>
      <w:tr w:rsidRPr="00A16D67" w:rsidR="00106D57" w:rsidTr="00F55F6C" w14:paraId="7C47E36C" w14:textId="77777777">
        <w:trPr>
          <w:trHeight w:val="329"/>
        </w:trPr>
        <w:tc>
          <w:tcPr>
            <w:tcW w:w="2659" w:type="dxa"/>
            <w:vMerge w:val="restart"/>
            <w:shd w:val="clear" w:color="auto" w:fill="auto"/>
          </w:tcPr>
          <w:p w:rsidRPr="00A16D67" w:rsidR="00C72D8B" w:rsidP="00A16D67" w:rsidRDefault="00C72D8B" w14:paraId="40CAA867" w14:textId="77777777">
            <w:pPr>
              <w:spacing w:after="0" w:line="240" w:lineRule="auto"/>
              <w:rPr>
                <w:rFonts w:eastAsia="Times New Roman" w:cs="Arial"/>
                <w:sz w:val="22"/>
              </w:rPr>
            </w:pPr>
          </w:p>
        </w:tc>
        <w:tc>
          <w:tcPr>
            <w:tcW w:w="6637" w:type="dxa"/>
            <w:gridSpan w:val="3"/>
            <w:shd w:val="clear" w:color="auto" w:fill="auto"/>
          </w:tcPr>
          <w:p w:rsidRPr="00A16D67" w:rsidR="00C72D8B" w:rsidP="00A16D67" w:rsidRDefault="00C72D8B" w14:paraId="39AB50CF" w14:textId="77777777">
            <w:pPr>
              <w:spacing w:after="0" w:line="240" w:lineRule="auto"/>
              <w:jc w:val="center"/>
              <w:rPr>
                <w:rFonts w:eastAsia="Times New Roman" w:cs="Arial"/>
                <w:b/>
                <w:bCs/>
                <w:sz w:val="22"/>
              </w:rPr>
            </w:pPr>
            <w:r w:rsidRPr="00A16D67">
              <w:rPr>
                <w:rFonts w:eastAsia="Times New Roman" w:cs="Arial"/>
                <w:b/>
                <w:bCs/>
                <w:sz w:val="22"/>
              </w:rPr>
              <w:t>TOTAL</w:t>
            </w:r>
          </w:p>
        </w:tc>
      </w:tr>
      <w:tr w:rsidRPr="00A16D67" w:rsidR="00106D57" w:rsidTr="00F55F6C" w14:paraId="5DF3D102" w14:textId="77777777">
        <w:trPr>
          <w:trHeight w:val="329"/>
        </w:trPr>
        <w:tc>
          <w:tcPr>
            <w:tcW w:w="2659" w:type="dxa"/>
            <w:vMerge/>
            <w:shd w:val="clear" w:color="auto" w:fill="auto"/>
          </w:tcPr>
          <w:p w:rsidRPr="00A16D67" w:rsidR="00C72D8B" w:rsidP="00A16D67" w:rsidRDefault="00C72D8B" w14:paraId="6CEC9859" w14:textId="77777777">
            <w:pPr>
              <w:spacing w:after="0" w:line="240" w:lineRule="auto"/>
              <w:rPr>
                <w:rFonts w:eastAsia="Times New Roman" w:cs="Arial"/>
                <w:sz w:val="22"/>
              </w:rPr>
            </w:pPr>
          </w:p>
        </w:tc>
        <w:tc>
          <w:tcPr>
            <w:tcW w:w="2388" w:type="dxa"/>
            <w:shd w:val="clear" w:color="auto" w:fill="auto"/>
          </w:tcPr>
          <w:p w:rsidRPr="00A16D67" w:rsidR="00C72D8B" w:rsidP="00A16D67" w:rsidRDefault="00C72D8B" w14:paraId="4B9D80BF" w14:textId="77777777">
            <w:pPr>
              <w:spacing w:after="0" w:line="240" w:lineRule="auto"/>
              <w:jc w:val="center"/>
              <w:rPr>
                <w:rFonts w:eastAsia="Times New Roman" w:cs="Arial"/>
                <w:sz w:val="22"/>
              </w:rPr>
            </w:pPr>
            <w:r w:rsidRPr="00A16D67">
              <w:rPr>
                <w:rFonts w:eastAsia="Times New Roman" w:cs="Arial"/>
                <w:sz w:val="22"/>
              </w:rPr>
              <w:t>Responses</w:t>
            </w:r>
          </w:p>
        </w:tc>
        <w:tc>
          <w:tcPr>
            <w:tcW w:w="1561" w:type="dxa"/>
            <w:shd w:val="clear" w:color="auto" w:fill="auto"/>
          </w:tcPr>
          <w:p w:rsidRPr="00A16D67" w:rsidR="00C72D8B" w:rsidP="00A16D67" w:rsidRDefault="00C72D8B" w14:paraId="7461074F" w14:textId="77777777">
            <w:pPr>
              <w:spacing w:after="0" w:line="240" w:lineRule="auto"/>
              <w:jc w:val="center"/>
              <w:rPr>
                <w:rFonts w:eastAsia="Times New Roman" w:cs="Arial"/>
                <w:sz w:val="22"/>
              </w:rPr>
            </w:pPr>
            <w:r w:rsidRPr="00A16D67">
              <w:rPr>
                <w:rFonts w:eastAsia="Times New Roman" w:cs="Arial"/>
                <w:sz w:val="22"/>
              </w:rPr>
              <w:t>Hours</w:t>
            </w:r>
          </w:p>
        </w:tc>
        <w:tc>
          <w:tcPr>
            <w:tcW w:w="2687" w:type="dxa"/>
            <w:shd w:val="clear" w:color="auto" w:fill="auto"/>
          </w:tcPr>
          <w:p w:rsidRPr="00A16D67" w:rsidR="00C72D8B" w:rsidP="00A16D67" w:rsidRDefault="00C72D8B" w14:paraId="49625F6E" w14:textId="77777777">
            <w:pPr>
              <w:spacing w:after="0" w:line="240" w:lineRule="auto"/>
              <w:jc w:val="center"/>
              <w:rPr>
                <w:rFonts w:eastAsia="Times New Roman" w:cs="Arial"/>
                <w:sz w:val="22"/>
              </w:rPr>
            </w:pPr>
            <w:r w:rsidRPr="00A16D67">
              <w:rPr>
                <w:rFonts w:eastAsia="Times New Roman" w:cs="Arial"/>
                <w:sz w:val="22"/>
              </w:rPr>
              <w:t>Costs</w:t>
            </w:r>
          </w:p>
        </w:tc>
      </w:tr>
      <w:tr w:rsidRPr="00A16D67" w:rsidR="00106D57" w:rsidTr="00F55F6C" w14:paraId="58637269" w14:textId="77777777">
        <w:trPr>
          <w:trHeight w:val="329"/>
        </w:trPr>
        <w:tc>
          <w:tcPr>
            <w:tcW w:w="2659" w:type="dxa"/>
            <w:shd w:val="clear" w:color="auto" w:fill="auto"/>
          </w:tcPr>
          <w:p w:rsidRPr="00A16D67" w:rsidR="00C72D8B" w:rsidP="00A16D67" w:rsidRDefault="00C72D8B" w14:paraId="6DA60F98" w14:textId="77777777">
            <w:pPr>
              <w:spacing w:after="0" w:line="240" w:lineRule="auto"/>
              <w:rPr>
                <w:rFonts w:eastAsia="Times New Roman" w:cs="Arial"/>
                <w:sz w:val="22"/>
              </w:rPr>
            </w:pPr>
            <w:r w:rsidRPr="00A16D67">
              <w:rPr>
                <w:rFonts w:eastAsia="Times New Roman" w:cs="Arial"/>
                <w:sz w:val="22"/>
              </w:rPr>
              <w:t>Annual Labeling Activities</w:t>
            </w:r>
          </w:p>
        </w:tc>
        <w:tc>
          <w:tcPr>
            <w:tcW w:w="2388" w:type="dxa"/>
            <w:shd w:val="clear" w:color="auto" w:fill="auto"/>
          </w:tcPr>
          <w:p w:rsidRPr="00A16D67" w:rsidR="00C72D8B" w:rsidP="00A16D67" w:rsidRDefault="00C72D8B" w14:paraId="16B11A34" w14:textId="77777777">
            <w:pPr>
              <w:spacing w:after="0" w:line="240" w:lineRule="auto"/>
              <w:ind w:right="12"/>
              <w:jc w:val="center"/>
              <w:rPr>
                <w:rFonts w:eastAsia="Times New Roman" w:cs="Arial"/>
                <w:sz w:val="22"/>
              </w:rPr>
            </w:pPr>
            <w:r w:rsidRPr="00A16D67">
              <w:rPr>
                <w:rFonts w:eastAsia="Times New Roman" w:cs="Arial"/>
                <w:sz w:val="22"/>
              </w:rPr>
              <w:t>87</w:t>
            </w:r>
          </w:p>
        </w:tc>
        <w:tc>
          <w:tcPr>
            <w:tcW w:w="1561" w:type="dxa"/>
            <w:shd w:val="clear" w:color="auto" w:fill="auto"/>
          </w:tcPr>
          <w:p w:rsidRPr="00A16D67" w:rsidR="00C72D8B" w:rsidP="00A16D67" w:rsidRDefault="00C72D8B" w14:paraId="23470A98" w14:textId="77777777">
            <w:pPr>
              <w:spacing w:after="0" w:line="240" w:lineRule="auto"/>
              <w:ind w:right="12"/>
              <w:jc w:val="center"/>
              <w:rPr>
                <w:rFonts w:eastAsia="Times New Roman" w:cs="Arial"/>
                <w:sz w:val="22"/>
              </w:rPr>
            </w:pPr>
            <w:r w:rsidRPr="00A16D67">
              <w:rPr>
                <w:rFonts w:eastAsia="Times New Roman" w:cs="Arial"/>
                <w:sz w:val="22"/>
              </w:rPr>
              <w:t>478.5</w:t>
            </w:r>
          </w:p>
        </w:tc>
        <w:tc>
          <w:tcPr>
            <w:tcW w:w="2687" w:type="dxa"/>
            <w:shd w:val="clear" w:color="auto" w:fill="auto"/>
          </w:tcPr>
          <w:p w:rsidRPr="00A16D67" w:rsidR="00C72D8B" w:rsidP="00A16D67" w:rsidRDefault="00C72D8B" w14:paraId="776E2A8E" w14:textId="77777777">
            <w:pPr>
              <w:spacing w:after="0" w:line="240" w:lineRule="auto"/>
              <w:ind w:right="12"/>
              <w:jc w:val="right"/>
              <w:rPr>
                <w:rFonts w:eastAsia="Times New Roman" w:cs="Arial"/>
                <w:sz w:val="22"/>
              </w:rPr>
            </w:pPr>
            <w:r w:rsidRPr="00A16D67">
              <w:rPr>
                <w:rFonts w:eastAsia="Times New Roman" w:cs="Arial"/>
                <w:sz w:val="22"/>
              </w:rPr>
              <w:t>$61,018.45</w:t>
            </w:r>
          </w:p>
        </w:tc>
      </w:tr>
      <w:tr w:rsidRPr="00A16D67" w:rsidR="00106D57" w:rsidTr="00F55F6C" w14:paraId="628AFD5A" w14:textId="77777777">
        <w:trPr>
          <w:trHeight w:val="329"/>
        </w:trPr>
        <w:tc>
          <w:tcPr>
            <w:tcW w:w="2659" w:type="dxa"/>
            <w:shd w:val="clear" w:color="auto" w:fill="auto"/>
          </w:tcPr>
          <w:p w:rsidRPr="00A16D67" w:rsidR="00C72D8B" w:rsidP="00A16D67" w:rsidRDefault="00C72D8B" w14:paraId="7A29047A" w14:textId="77777777">
            <w:pPr>
              <w:spacing w:after="0" w:line="240" w:lineRule="auto"/>
              <w:rPr>
                <w:rFonts w:eastAsia="Times New Roman" w:cs="Arial"/>
                <w:sz w:val="22"/>
              </w:rPr>
            </w:pPr>
            <w:r w:rsidRPr="00A16D67">
              <w:rPr>
                <w:rFonts w:eastAsia="Times New Roman" w:cs="Arial"/>
                <w:sz w:val="22"/>
              </w:rPr>
              <w:t>Total Response Burden</w:t>
            </w:r>
          </w:p>
        </w:tc>
        <w:tc>
          <w:tcPr>
            <w:tcW w:w="2388" w:type="dxa"/>
            <w:shd w:val="clear" w:color="auto" w:fill="auto"/>
          </w:tcPr>
          <w:p w:rsidRPr="00A16D67" w:rsidR="00C72D8B" w:rsidP="00A16D67" w:rsidRDefault="00C72D8B" w14:paraId="129DB076" w14:textId="77777777">
            <w:pPr>
              <w:spacing w:after="0" w:line="240" w:lineRule="auto"/>
              <w:ind w:right="12"/>
              <w:jc w:val="center"/>
              <w:rPr>
                <w:rFonts w:eastAsia="Times New Roman" w:cs="Arial"/>
                <w:sz w:val="22"/>
              </w:rPr>
            </w:pPr>
            <w:r w:rsidRPr="00A16D67">
              <w:rPr>
                <w:rFonts w:eastAsia="Times New Roman" w:cs="Arial"/>
                <w:sz w:val="22"/>
              </w:rPr>
              <w:t>260</w:t>
            </w:r>
          </w:p>
        </w:tc>
        <w:tc>
          <w:tcPr>
            <w:tcW w:w="1561" w:type="dxa"/>
            <w:shd w:val="clear" w:color="auto" w:fill="auto"/>
          </w:tcPr>
          <w:p w:rsidRPr="00A16D67" w:rsidR="00C72D8B" w:rsidP="00A16D67" w:rsidRDefault="00C72D8B" w14:paraId="46876753" w14:textId="77777777">
            <w:pPr>
              <w:spacing w:after="0" w:line="240" w:lineRule="auto"/>
              <w:ind w:right="12"/>
              <w:jc w:val="center"/>
              <w:rPr>
                <w:rFonts w:eastAsia="Times New Roman" w:cs="Arial"/>
                <w:sz w:val="22"/>
              </w:rPr>
            </w:pPr>
            <w:r w:rsidRPr="00A16D67">
              <w:rPr>
                <w:rFonts w:eastAsia="Times New Roman" w:cs="Arial"/>
                <w:sz w:val="22"/>
              </w:rPr>
              <w:t>1,435.5</w:t>
            </w:r>
          </w:p>
        </w:tc>
        <w:tc>
          <w:tcPr>
            <w:tcW w:w="2687" w:type="dxa"/>
            <w:shd w:val="clear" w:color="auto" w:fill="auto"/>
          </w:tcPr>
          <w:p w:rsidRPr="00A16D67" w:rsidR="00C72D8B" w:rsidP="00A16D67" w:rsidRDefault="00C72D8B" w14:paraId="5393A76E" w14:textId="77777777">
            <w:pPr>
              <w:spacing w:after="0" w:line="240" w:lineRule="auto"/>
              <w:ind w:right="12"/>
              <w:jc w:val="right"/>
              <w:rPr>
                <w:rFonts w:eastAsia="Times New Roman" w:cs="Arial"/>
                <w:sz w:val="22"/>
              </w:rPr>
            </w:pPr>
            <w:r w:rsidRPr="00A16D67">
              <w:rPr>
                <w:rFonts w:eastAsia="Times New Roman" w:cs="Arial"/>
                <w:sz w:val="22"/>
              </w:rPr>
              <w:t>$183,055.35</w:t>
            </w:r>
          </w:p>
        </w:tc>
      </w:tr>
      <w:tr w:rsidRPr="00A16D67" w:rsidR="00106D57" w:rsidTr="00F55F6C" w14:paraId="42983918" w14:textId="77777777">
        <w:trPr>
          <w:trHeight w:val="314"/>
        </w:trPr>
        <w:tc>
          <w:tcPr>
            <w:tcW w:w="2659" w:type="dxa"/>
            <w:shd w:val="clear" w:color="auto" w:fill="auto"/>
          </w:tcPr>
          <w:p w:rsidRPr="00A16D67" w:rsidR="00C72D8B" w:rsidP="00A16D67" w:rsidRDefault="00C72D8B" w14:paraId="09265019" w14:textId="77777777">
            <w:pPr>
              <w:spacing w:after="0" w:line="240" w:lineRule="auto"/>
              <w:rPr>
                <w:rFonts w:eastAsia="Times New Roman" w:cs="Arial"/>
                <w:sz w:val="22"/>
              </w:rPr>
            </w:pPr>
            <w:r w:rsidRPr="00A16D67">
              <w:rPr>
                <w:rFonts w:eastAsia="Times New Roman" w:cs="Arial"/>
                <w:sz w:val="22"/>
              </w:rPr>
              <w:t>Agency Burden Estimate</w:t>
            </w:r>
          </w:p>
        </w:tc>
        <w:tc>
          <w:tcPr>
            <w:tcW w:w="2388" w:type="dxa"/>
            <w:shd w:val="clear" w:color="auto" w:fill="auto"/>
          </w:tcPr>
          <w:p w:rsidRPr="00A16D67" w:rsidR="00C72D8B" w:rsidP="00A16D67" w:rsidRDefault="00C72D8B" w14:paraId="1DDB7FDD" w14:textId="77777777">
            <w:pPr>
              <w:spacing w:after="0" w:line="240" w:lineRule="auto"/>
              <w:ind w:right="12"/>
              <w:jc w:val="center"/>
              <w:rPr>
                <w:rFonts w:eastAsia="Times New Roman" w:cs="Arial"/>
                <w:sz w:val="22"/>
              </w:rPr>
            </w:pPr>
          </w:p>
        </w:tc>
        <w:tc>
          <w:tcPr>
            <w:tcW w:w="1561" w:type="dxa"/>
            <w:shd w:val="clear" w:color="auto" w:fill="auto"/>
          </w:tcPr>
          <w:p w:rsidRPr="00A16D67" w:rsidR="00C72D8B" w:rsidP="00A16D67" w:rsidRDefault="00C72D8B" w14:paraId="08C4FE48" w14:textId="77777777">
            <w:pPr>
              <w:spacing w:after="0" w:line="240" w:lineRule="auto"/>
              <w:ind w:right="12"/>
              <w:jc w:val="center"/>
              <w:rPr>
                <w:rFonts w:eastAsia="Times New Roman" w:cs="Arial"/>
                <w:sz w:val="22"/>
              </w:rPr>
            </w:pPr>
            <w:r w:rsidRPr="00A16D67">
              <w:rPr>
                <w:rFonts w:eastAsia="Times New Roman" w:cs="Arial"/>
                <w:sz w:val="22"/>
              </w:rPr>
              <w:t>00.00</w:t>
            </w:r>
          </w:p>
        </w:tc>
        <w:tc>
          <w:tcPr>
            <w:tcW w:w="2687" w:type="dxa"/>
            <w:shd w:val="clear" w:color="auto" w:fill="auto"/>
          </w:tcPr>
          <w:p w:rsidRPr="00A16D67" w:rsidR="00C72D8B" w:rsidP="00A16D67" w:rsidRDefault="00C72D8B" w14:paraId="085BBE17" w14:textId="77777777">
            <w:pPr>
              <w:spacing w:after="0" w:line="240" w:lineRule="auto"/>
              <w:ind w:right="12"/>
              <w:jc w:val="right"/>
              <w:rPr>
                <w:rFonts w:eastAsia="Times New Roman" w:cs="Arial"/>
                <w:sz w:val="22"/>
              </w:rPr>
            </w:pPr>
            <w:r w:rsidRPr="00A16D67">
              <w:rPr>
                <w:rFonts w:eastAsia="Times New Roman" w:cs="Arial"/>
                <w:sz w:val="22"/>
              </w:rPr>
              <w:t>00.00</w:t>
            </w:r>
          </w:p>
        </w:tc>
      </w:tr>
    </w:tbl>
    <w:p w:rsidRPr="004528AA" w:rsidR="004528AA" w:rsidP="006F5CC0" w:rsidRDefault="004528AA" w14:paraId="3D6A67C0" w14:textId="77777777">
      <w:pPr>
        <w:keepNext/>
        <w:keepLines/>
        <w:pBdr>
          <w:top w:val="single" w:color="auto" w:sz="4" w:space="1"/>
        </w:pBdr>
        <w:spacing w:before="240"/>
        <w:outlineLvl w:val="0"/>
        <w:rPr>
          <w:rFonts w:eastAsia="Times New Roman" w:cs="Arial"/>
          <w:b/>
          <w:bCs/>
          <w:szCs w:val="32"/>
        </w:rPr>
      </w:pPr>
      <w:r w:rsidRPr="004528AA">
        <w:rPr>
          <w:rFonts w:eastAsia="Times New Roman" w:cs="Arial"/>
          <w:b/>
          <w:bCs/>
          <w:szCs w:val="32"/>
        </w:rPr>
        <w:t>SUPPORTING STATEMENT</w:t>
      </w:r>
    </w:p>
    <w:p w:rsidRPr="00106D57" w:rsidR="00C72D8B" w:rsidP="006F5CC0" w:rsidRDefault="004528AA" w14:paraId="69B6F2A6" w14:textId="0B470C8D">
      <w:pPr>
        <w:keepNext/>
        <w:keepLines/>
        <w:spacing w:before="240"/>
        <w:outlineLvl w:val="1"/>
        <w:rPr>
          <w:rFonts w:eastAsia="Times New Roman" w:cs="Arial"/>
          <w:b/>
          <w:i/>
          <w:iCs/>
        </w:rPr>
      </w:pPr>
      <w:r w:rsidRPr="004528AA">
        <w:rPr>
          <w:rFonts w:eastAsia="Times New Roman" w:cs="Arial"/>
          <w:b/>
          <w:i/>
          <w:iCs/>
        </w:rPr>
        <w:t>1. Explain the circumstances that make the collection of information necessary.</w:t>
      </w:r>
      <w:r w:rsidRPr="00106D57" w:rsidR="00C72D8B">
        <w:rPr>
          <w:rFonts w:eastAsia="Yu Gothic Light" w:cs="Times New Roman"/>
          <w:b/>
          <w:bCs/>
          <w:i/>
          <w:iCs/>
          <w:szCs w:val="26"/>
          <w:lang w:bidi="en-US"/>
        </w:rPr>
        <w:t xml:space="preserve"> Identify any legal or administrative requirements that necessitate the collection. Attach a copy of the appropriate section of each statute and regulation mandating or authorizing the collection of information.</w:t>
      </w:r>
    </w:p>
    <w:p w:rsidRPr="00106D57" w:rsidR="00C72D8B" w:rsidP="006F5CC0" w:rsidRDefault="00C72D8B" w14:paraId="2A87B2E8" w14:textId="7B5AAABE">
      <w:pPr>
        <w:spacing w:line="276" w:lineRule="auto"/>
        <w:rPr>
          <w:rFonts w:eastAsia="Calibri" w:cs="Arial"/>
        </w:rPr>
      </w:pPr>
      <w:r w:rsidRPr="00106D57">
        <w:rPr>
          <w:rFonts w:eastAsia="Calibri" w:cs="Arial"/>
        </w:rPr>
        <w:t xml:space="preserve">Authorizing legislation is contained in </w:t>
      </w:r>
      <w:r w:rsidR="000B462E">
        <w:rPr>
          <w:rFonts w:eastAsia="Calibri" w:cs="Arial"/>
        </w:rPr>
        <w:t>S</w:t>
      </w:r>
      <w:r w:rsidRPr="00106D57" w:rsidR="000B462E">
        <w:rPr>
          <w:rFonts w:eastAsia="Calibri" w:cs="Arial"/>
        </w:rPr>
        <w:t>ection</w:t>
      </w:r>
      <w:r w:rsidR="000B462E">
        <w:rPr>
          <w:rFonts w:eastAsia="Calibri" w:cs="Arial"/>
        </w:rPr>
        <w:t>s</w:t>
      </w:r>
      <w:r w:rsidRPr="00106D57" w:rsidR="000B462E">
        <w:rPr>
          <w:rFonts w:eastAsia="Calibri" w:cs="Arial"/>
        </w:rPr>
        <w:t xml:space="preserve"> </w:t>
      </w:r>
      <w:r w:rsidRPr="00106D57">
        <w:rPr>
          <w:rFonts w:eastAsia="Calibri" w:cs="Arial"/>
        </w:rPr>
        <w:t>3 and 25 of FIFRA, as amended. Requirements for labels of minimum risk pesticide products are described in 40 CFR 152.25(f) (See attachments A, B, and C).</w:t>
      </w:r>
    </w:p>
    <w:p w:rsidRPr="00106D57" w:rsidR="004528AA" w:rsidP="006F5CC0" w:rsidRDefault="004528AA" w14:paraId="07F08CB9" w14:textId="77777777">
      <w:pPr>
        <w:pStyle w:val="Heading2"/>
        <w:spacing w:after="240"/>
        <w:rPr>
          <w:i/>
          <w:iCs/>
          <w:color w:val="auto"/>
        </w:rPr>
      </w:pPr>
      <w:r w:rsidRPr="00106D57">
        <w:rPr>
          <w:i/>
          <w:iCs/>
          <w:color w:val="auto"/>
        </w:rPr>
        <w:t>2. Indicate how, by whom, and for what purpose the information is to be used. Except for a new collection, indicate the actual use the Agency has made of the information received from the current collection.</w:t>
      </w:r>
    </w:p>
    <w:p w:rsidRPr="00106D57" w:rsidR="00C72D8B" w:rsidP="006F5CC0" w:rsidRDefault="00C72D8B" w14:paraId="6B4E3B62" w14:textId="77777777">
      <w:pPr>
        <w:spacing w:line="276" w:lineRule="auto"/>
        <w:rPr>
          <w:rFonts w:eastAsia="Calibri" w:cs="Arial"/>
        </w:rPr>
      </w:pPr>
      <w:r w:rsidRPr="00106D57">
        <w:rPr>
          <w:rFonts w:eastAsia="Calibri" w:cs="Arial"/>
        </w:rPr>
        <w:t xml:space="preserve">Under FIFRA 25(b)(2), EPA may exempt from the requirements of FIFRA any pesticide that is “of a character unnecessary to be subject to [FIFRA].” Pursuant to this authority, in March 1996, EPA promulgated 40 CFR 152.25(g), which exempted from FIFRA any pesticide products consisting solely of specified ingredients that EPA judged to pose minimum risk to humans and the environment (61 FR 8876, March 6, 1996). This provision was later redesignated as 152.25(f) (66 FR 64759, December 14, 2001). Unlike producers of registered pesticides, producers of products exempted under 152.25(f) do not register their products with EPA, pay registration fees, or report production to EPA. </w:t>
      </w:r>
    </w:p>
    <w:p w:rsidRPr="00106D57" w:rsidR="00C72D8B" w:rsidP="006F5CC0" w:rsidRDefault="00C72D8B" w14:paraId="33491045" w14:textId="435E02FF">
      <w:pPr>
        <w:spacing w:line="276" w:lineRule="auto"/>
        <w:rPr>
          <w:rFonts w:eastAsia="Calibri" w:cs="Arial"/>
        </w:rPr>
      </w:pPr>
      <w:r w:rsidRPr="00106D57">
        <w:rPr>
          <w:rFonts w:eastAsia="Calibri" w:cs="Arial"/>
        </w:rPr>
        <w:t xml:space="preserve">This exemption is in contrast to a typical FIFRA section 3 registration of a pesticide. A section 3 registration is a scientific, legal, and administrative process through which EPA examines the ingredients of the pesticide; the particular site or crop on which it is to be used; the amount, frequency and timing of its use; and storage and disposal practices. In evaluating a pesticide registration application, EPA assesses a wide variety of potential human health and environmental effects associated with use of the product. </w:t>
      </w:r>
      <w:r w:rsidRPr="00106D57">
        <w:rPr>
          <w:rFonts w:eastAsia="Calibri" w:cs="Arial"/>
        </w:rPr>
        <w:lastRenderedPageBreak/>
        <w:t>The producer of the pesticide must provide data to EPA, using tests done according to either EPA guidelines or other methods determined acceptable by EPA on a case-by-case basis. The data from these tests are used to determine whether a pesticide has the potential to cause adverse effects on humans, wildlife, fish, and plants, including endangered species and non-target organisms, as well as possible contamination of surface water or groundwater from leaching, run</w:t>
      </w:r>
      <w:r w:rsidR="00EC268C">
        <w:rPr>
          <w:rFonts w:eastAsia="Calibri" w:cs="Arial"/>
        </w:rPr>
        <w:t>-</w:t>
      </w:r>
      <w:r w:rsidRPr="00106D57">
        <w:rPr>
          <w:rFonts w:eastAsia="Calibri" w:cs="Arial"/>
        </w:rPr>
        <w:t xml:space="preserve">off and spray drift. Potential human risks include short-term toxicity and long-term effects such as cancer and reproductive system disorders. EPA also must approve the language that appears on each pesticide label. A pesticide product can only be used according to the directions on the label or labeling accompanying it at the time of sale, through its use and disposal. The labeling is the primary enforcement mechanism for Federal, state, and tribal authorities. </w:t>
      </w:r>
    </w:p>
    <w:p w:rsidRPr="00106D57" w:rsidR="00C72D8B" w:rsidP="006F5CC0" w:rsidRDefault="00C72D8B" w14:paraId="1501EFAD" w14:textId="605533A8">
      <w:pPr>
        <w:spacing w:line="276" w:lineRule="auto"/>
        <w:rPr>
          <w:rFonts w:eastAsia="Calibri" w:cs="Arial"/>
        </w:rPr>
      </w:pPr>
      <w:r w:rsidRPr="00106D57">
        <w:rPr>
          <w:rFonts w:eastAsia="Calibri" w:cs="Arial"/>
        </w:rPr>
        <w:t xml:space="preserve">Since minimum risk pesticide products are not registered by EPA, the product information associated with the pesticide registration process under </w:t>
      </w:r>
      <w:r w:rsidR="000B462E">
        <w:rPr>
          <w:rFonts w:eastAsia="Calibri" w:cs="Arial"/>
        </w:rPr>
        <w:t>S</w:t>
      </w:r>
      <w:r w:rsidRPr="00106D57" w:rsidR="000B462E">
        <w:rPr>
          <w:rFonts w:eastAsia="Calibri" w:cs="Arial"/>
        </w:rPr>
        <w:t xml:space="preserve">ection </w:t>
      </w:r>
      <w:r w:rsidRPr="00106D57">
        <w:rPr>
          <w:rFonts w:eastAsia="Calibri" w:cs="Arial"/>
        </w:rPr>
        <w:t xml:space="preserve">3 of FIFRA are never submitted to EPA. However, approximately 39 states and the District of Columbia require products that are exempt from FIFRA requirements under 152.25(f) to obtain a state-registration. Generally, state registration of a </w:t>
      </w:r>
      <w:proofErr w:type="gramStart"/>
      <w:r w:rsidRPr="00106D57">
        <w:rPr>
          <w:rFonts w:eastAsia="Calibri" w:cs="Arial"/>
        </w:rPr>
        <w:t>federally-registered</w:t>
      </w:r>
      <w:proofErr w:type="gramEnd"/>
      <w:r w:rsidRPr="00106D57">
        <w:rPr>
          <w:rFonts w:eastAsia="Calibri" w:cs="Arial"/>
        </w:rPr>
        <w:t xml:space="preserve"> pesticide relies heavily on the previous Federal review of the product’s toxicity, use patterns, and label. In contrast, given that minimum risk pesticides are exempt from Federal registration under FIFRA, the numerous states that do regulate these products use review criteria that vary from state to state. In some states, manufacturers of minimum risk products are only required to pay a registration fee; in others, there is a label review, which can include a review of the ingredients used in the product; and a few require Material Safety Data Sheets and data on product efficacy.</w:t>
      </w:r>
      <w:r w:rsidR="009C57E5">
        <w:rPr>
          <w:rFonts w:eastAsia="Calibri" w:cs="Arial"/>
        </w:rPr>
        <w:t xml:space="preserve">  </w:t>
      </w:r>
    </w:p>
    <w:p w:rsidRPr="00106D57" w:rsidR="00C72D8B" w:rsidP="006F5CC0" w:rsidRDefault="00C72D8B" w14:paraId="065473B4" w14:textId="130F04DE">
      <w:pPr>
        <w:spacing w:line="276" w:lineRule="auto"/>
        <w:rPr>
          <w:rFonts w:eastAsia="Calibri" w:cs="Arial"/>
        </w:rPr>
      </w:pPr>
      <w:r w:rsidRPr="00106D57">
        <w:rPr>
          <w:rFonts w:eastAsia="Calibri" w:cs="Arial"/>
        </w:rPr>
        <w:t xml:space="preserve">Thus, labeling requirements are the key component of the minimum risk exemption since this is the only information that enforcement authorities have to assess </w:t>
      </w:r>
      <w:r w:rsidRPr="00106D57" w:rsidR="00A5746C">
        <w:rPr>
          <w:rFonts w:eastAsia="Calibri" w:cs="Arial"/>
        </w:rPr>
        <w:t>whether</w:t>
      </w:r>
      <w:r w:rsidRPr="00106D57">
        <w:rPr>
          <w:rFonts w:eastAsia="Calibri" w:cs="Arial"/>
        </w:rPr>
        <w:t xml:space="preserve"> the product meets the exemption requirements. While EPA does not review these products, and therefore a Federal label review is not conducted, to maintain exemption status, an exempt product’s label must meet certain criteria. The methods for displaying active and inert ingredient information are detailed in the exemption: labels must include the EPA required “label display name” and the percentage (by weight) of active ingredients and list all inert ingredients by their label display name. The label display name for a chemical is name that is codified in the minimum risk regulations at 40 CFR 152.25(f)(1) and (2). Other names for the chemical/substance may exist, but the ingredient statement should only use the EPA label display name. The label information documented in this renewal ICR accounts for the burden of labeling new products entering the market. These labels provide important regulatory information for the Federal, state, and tribal authorities that regulate or enforce minimum risk products.</w:t>
      </w:r>
      <w:r w:rsidR="009C57E5">
        <w:rPr>
          <w:rFonts w:eastAsia="Calibri" w:cs="Arial"/>
        </w:rPr>
        <w:t xml:space="preserve">  </w:t>
      </w:r>
    </w:p>
    <w:p w:rsidRPr="00106D57" w:rsidR="00C72D8B" w:rsidP="006F5CC0" w:rsidRDefault="004528AA" w14:paraId="4CA8E400" w14:textId="666EA8D8">
      <w:pPr>
        <w:pStyle w:val="Heading2"/>
        <w:spacing w:after="240"/>
        <w:rPr>
          <w:rFonts w:eastAsia="Yu Gothic Light" w:cs="Times New Roman"/>
          <w:bCs/>
          <w:color w:val="auto"/>
          <w:szCs w:val="26"/>
          <w:lang w:bidi="en-US"/>
        </w:rPr>
      </w:pPr>
      <w:r w:rsidRPr="00106D57">
        <w:rPr>
          <w:i/>
          <w:iCs/>
          <w:color w:val="auto"/>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w:t>
      </w:r>
    </w:p>
    <w:p w:rsidRPr="00106D57" w:rsidR="004528AA" w:rsidP="006F5CC0" w:rsidRDefault="004528AA" w14:paraId="37ACFD6F" w14:textId="77777777">
      <w:r w:rsidRPr="00106D57">
        <w:t>This question is not applicable to this ICR.</w:t>
      </w:r>
    </w:p>
    <w:p w:rsidRPr="00106D57" w:rsidR="004528AA" w:rsidP="006F5CC0" w:rsidRDefault="004528AA" w14:paraId="437E9BF5" w14:textId="77777777">
      <w:pPr>
        <w:pStyle w:val="Heading2"/>
        <w:spacing w:after="240"/>
        <w:rPr>
          <w:i/>
          <w:iCs/>
          <w:color w:val="auto"/>
        </w:rPr>
      </w:pPr>
      <w:bookmarkStart w:name="_Hlk79749232" w:id="2"/>
      <w:r w:rsidRPr="00106D57">
        <w:rPr>
          <w:i/>
          <w:iCs/>
          <w:color w:val="auto"/>
        </w:rPr>
        <w:t>4. Describe efforts to identify duplication.</w:t>
      </w:r>
    </w:p>
    <w:p w:rsidRPr="00106D57" w:rsidR="00C72D8B" w:rsidP="006F5CC0" w:rsidRDefault="00DA10C4" w14:paraId="1AA00DF1" w14:textId="77777777">
      <w:pPr>
        <w:rPr>
          <w:rFonts w:eastAsia="Calibri" w:cs="Arial"/>
        </w:rPr>
      </w:pPr>
      <w:r w:rsidRPr="00106D57">
        <w:rPr>
          <w:rFonts w:cs="Arial"/>
          <w:szCs w:val="24"/>
        </w:rPr>
        <w:t xml:space="preserve">Duplication will not occur in this program, as the labeling requirements are unique to each minimum risk product. The exemption also does not require submission of information to EPA. The exemption standardizes some of the information on product labels, which reduces the burden on industry by creating labels for the same product </w:t>
      </w:r>
      <w:bookmarkStart w:name="_Hlk79749277" w:id="3"/>
      <w:bookmarkEnd w:id="2"/>
      <w:r w:rsidRPr="00106D57" w:rsidR="00C72D8B">
        <w:rPr>
          <w:rFonts w:eastAsia="Calibri" w:cs="Arial"/>
          <w:szCs w:val="24"/>
        </w:rPr>
        <w:t>registered for use in different states</w:t>
      </w:r>
    </w:p>
    <w:p w:rsidRPr="00106D57" w:rsidR="004528AA" w:rsidP="006F5CC0" w:rsidRDefault="004528AA" w14:paraId="70A3744E" w14:textId="77777777">
      <w:pPr>
        <w:pStyle w:val="Heading2"/>
        <w:spacing w:after="240"/>
        <w:rPr>
          <w:i/>
          <w:iCs/>
          <w:color w:val="auto"/>
        </w:rPr>
      </w:pPr>
      <w:r w:rsidRPr="00106D57">
        <w:rPr>
          <w:i/>
          <w:iCs/>
          <w:color w:val="auto"/>
        </w:rPr>
        <w:t>5. If the collection of information impacts small businesses or other small entities, describe the methods used to minimize burden.</w:t>
      </w:r>
    </w:p>
    <w:p w:rsidRPr="00106D57" w:rsidR="00C72D8B" w:rsidP="006F5CC0" w:rsidRDefault="00C72D8B" w14:paraId="016BC531" w14:textId="77777777">
      <w:pPr>
        <w:spacing w:line="276" w:lineRule="auto"/>
        <w:rPr>
          <w:rFonts w:eastAsia="Calibri" w:cs="Arial"/>
        </w:rPr>
      </w:pPr>
      <w:r w:rsidRPr="00106D57">
        <w:rPr>
          <w:rFonts w:eastAsia="Calibri" w:cs="Arial"/>
        </w:rPr>
        <w:t xml:space="preserve">EPA created the exemption for minimum risk pesticides to eliminate the need to expend significant resources to regulate products that were deemed to be of minimum risk to human health and the environment. Since these minimum risk products do not have to be registered at the Federal level, significant cost savings are available for small business to benefit from this exemption. </w:t>
      </w:r>
    </w:p>
    <w:p w:rsidRPr="00106D57" w:rsidR="004528AA" w:rsidP="006F5CC0" w:rsidRDefault="004528AA" w14:paraId="3C1B8E08" w14:textId="77777777">
      <w:pPr>
        <w:pStyle w:val="Heading2"/>
        <w:spacing w:after="240"/>
        <w:rPr>
          <w:i/>
          <w:iCs/>
          <w:color w:val="auto"/>
        </w:rPr>
      </w:pPr>
      <w:r w:rsidRPr="00106D57">
        <w:rPr>
          <w:i/>
          <w:iCs/>
          <w:color w:val="auto"/>
        </w:rPr>
        <w:t xml:space="preserve">6. Describe the consequence to Federal program or policy activities if the collection is not conducted or is conducted less frequently, as well as any technical or legal obstacles to reducing burden. </w:t>
      </w:r>
    </w:p>
    <w:p w:rsidRPr="00106D57" w:rsidR="009E1E08" w:rsidP="006F5CC0" w:rsidRDefault="000E43A3" w14:paraId="37E5552F" w14:textId="1166E01F">
      <w:pPr>
        <w:rPr>
          <w:rFonts w:cs="Arial"/>
          <w:szCs w:val="24"/>
        </w:rPr>
      </w:pPr>
      <w:r w:rsidRPr="00106D57">
        <w:rPr>
          <w:rFonts w:cs="Arial"/>
          <w:szCs w:val="24"/>
        </w:rPr>
        <w:t>The frequency of the collection (3 years) cannot be reduced. This information collection activity is a one-time collection for new minimum risk products entering into the market. This collection provides an accounting of the burden for any new products entering into the market that must comply with the labeling requirements in the minimum risk exemption.</w:t>
      </w:r>
    </w:p>
    <w:bookmarkEnd w:id="3"/>
    <w:p w:rsidR="00C72D8B" w:rsidP="00AF29A5" w:rsidRDefault="004528AA" w14:paraId="21E98ADB" w14:textId="7F7B0744">
      <w:pPr>
        <w:pStyle w:val="Heading2"/>
        <w:spacing w:before="0" w:after="0" w:line="240" w:lineRule="auto"/>
        <w:rPr>
          <w:rFonts w:eastAsia="Calibri" w:cs="Times New Roman"/>
          <w:color w:val="FF0000"/>
          <w:szCs w:val="24"/>
        </w:rPr>
      </w:pPr>
      <w:r w:rsidRPr="00106D57">
        <w:rPr>
          <w:i/>
          <w:iCs/>
          <w:color w:val="auto"/>
        </w:rPr>
        <w:t>7. Explain any special circumstances that require the collection to be conducted in a manner inconsistent with OMB guidelines.</w:t>
      </w:r>
      <w:r w:rsidRPr="00B056AE" w:rsidR="009C57E5">
        <w:rPr>
          <w:rFonts w:eastAsia="Calibri" w:cs="Times New Roman"/>
          <w:bCs/>
          <w:color w:val="FF0000"/>
          <w:szCs w:val="24"/>
        </w:rPr>
        <w:t xml:space="preserve">  </w:t>
      </w:r>
    </w:p>
    <w:p w:rsidR="00D11313" w:rsidP="00D11313" w:rsidRDefault="00D11313" w14:paraId="3D1ED373" w14:textId="77777777">
      <w:pPr>
        <w:pStyle w:val="ListParagraph"/>
        <w:numPr>
          <w:ilvl w:val="0"/>
          <w:numId w:val="15"/>
        </w:numPr>
        <w:spacing w:after="0" w:line="240" w:lineRule="auto"/>
        <w:rPr>
          <w:rFonts w:cs="Tahoma"/>
          <w:b/>
        </w:rPr>
      </w:pPr>
      <w:r w:rsidRPr="00493E7A">
        <w:rPr>
          <w:rFonts w:cs="Tahoma"/>
          <w:b/>
        </w:rPr>
        <w:t xml:space="preserve">requiring respondents to report information to the agency more often than </w:t>
      </w:r>
      <w:proofErr w:type="gramStart"/>
      <w:r w:rsidRPr="00493E7A">
        <w:rPr>
          <w:rFonts w:cs="Tahoma"/>
          <w:b/>
        </w:rPr>
        <w:t>quarterly;</w:t>
      </w:r>
      <w:proofErr w:type="gramEnd"/>
    </w:p>
    <w:p w:rsidR="00D11313" w:rsidP="00D11313" w:rsidRDefault="00D11313" w14:paraId="62A2A5C3" w14:textId="77777777">
      <w:pPr>
        <w:pStyle w:val="ListParagraph"/>
        <w:numPr>
          <w:ilvl w:val="0"/>
          <w:numId w:val="15"/>
        </w:numPr>
        <w:spacing w:after="0" w:line="240" w:lineRule="auto"/>
        <w:rPr>
          <w:rFonts w:cs="Tahoma"/>
          <w:b/>
        </w:rPr>
      </w:pPr>
      <w:r w:rsidRPr="00493E7A">
        <w:rPr>
          <w:rFonts w:cs="Tahoma"/>
          <w:b/>
        </w:rPr>
        <w:t xml:space="preserve"> requiring respondents to prepare a written response to a collection of information in fewer than 30 days after receipt of </w:t>
      </w:r>
      <w:proofErr w:type="gramStart"/>
      <w:r w:rsidRPr="00493E7A">
        <w:rPr>
          <w:rFonts w:cs="Tahoma"/>
          <w:b/>
        </w:rPr>
        <w:t>it;</w:t>
      </w:r>
      <w:proofErr w:type="gramEnd"/>
    </w:p>
    <w:p w:rsidR="00D11313" w:rsidP="00D11313" w:rsidRDefault="00D11313" w14:paraId="14BE1285" w14:textId="77777777">
      <w:pPr>
        <w:pStyle w:val="ListParagraph"/>
        <w:numPr>
          <w:ilvl w:val="0"/>
          <w:numId w:val="15"/>
        </w:numPr>
        <w:spacing w:after="0" w:line="240" w:lineRule="auto"/>
        <w:rPr>
          <w:rFonts w:cs="Tahoma"/>
          <w:b/>
        </w:rPr>
      </w:pPr>
      <w:r w:rsidRPr="00493E7A">
        <w:rPr>
          <w:rFonts w:cs="Tahoma"/>
          <w:b/>
        </w:rPr>
        <w:t xml:space="preserve">requiring respondents to submit more than an original and two copies of any </w:t>
      </w:r>
      <w:proofErr w:type="gramStart"/>
      <w:r w:rsidRPr="00493E7A">
        <w:rPr>
          <w:rFonts w:cs="Tahoma"/>
          <w:b/>
        </w:rPr>
        <w:t>document;</w:t>
      </w:r>
      <w:proofErr w:type="gramEnd"/>
    </w:p>
    <w:p w:rsidR="00D11313" w:rsidP="00D11313" w:rsidRDefault="00D11313" w14:paraId="5AD92246" w14:textId="77777777">
      <w:pPr>
        <w:pStyle w:val="ListParagraph"/>
        <w:numPr>
          <w:ilvl w:val="0"/>
          <w:numId w:val="15"/>
        </w:numPr>
        <w:spacing w:after="0" w:line="240" w:lineRule="auto"/>
        <w:rPr>
          <w:rFonts w:cs="Tahoma"/>
          <w:b/>
        </w:rPr>
      </w:pPr>
      <w:r w:rsidRPr="00493E7A">
        <w:rPr>
          <w:rFonts w:cs="Tahoma"/>
          <w:b/>
        </w:rPr>
        <w:t xml:space="preserve">requiring respondents to retain records, other than health, medical, government contract, grant-in-aid, or tax records, for more than three </w:t>
      </w:r>
      <w:proofErr w:type="gramStart"/>
      <w:r w:rsidRPr="00493E7A">
        <w:rPr>
          <w:rFonts w:cs="Tahoma"/>
          <w:b/>
        </w:rPr>
        <w:t>years;</w:t>
      </w:r>
      <w:proofErr w:type="gramEnd"/>
    </w:p>
    <w:p w:rsidR="00D11313" w:rsidP="00D11313" w:rsidRDefault="00D11313" w14:paraId="5704CCD7" w14:textId="77777777">
      <w:pPr>
        <w:pStyle w:val="ListParagraph"/>
        <w:numPr>
          <w:ilvl w:val="0"/>
          <w:numId w:val="15"/>
        </w:numPr>
        <w:spacing w:after="0" w:line="240" w:lineRule="auto"/>
        <w:rPr>
          <w:rFonts w:cs="Tahoma"/>
          <w:b/>
        </w:rPr>
      </w:pPr>
      <w:r w:rsidRPr="00493E7A">
        <w:rPr>
          <w:rFonts w:cs="Tahoma"/>
          <w:b/>
        </w:rPr>
        <w:lastRenderedPageBreak/>
        <w:t xml:space="preserve">in connection with a statistical survey, that is not designed to produce valid and reliable results that can be generalized to the universe of </w:t>
      </w:r>
      <w:proofErr w:type="gramStart"/>
      <w:r w:rsidRPr="00493E7A">
        <w:rPr>
          <w:rFonts w:cs="Tahoma"/>
          <w:b/>
        </w:rPr>
        <w:t>study;</w:t>
      </w:r>
      <w:proofErr w:type="gramEnd"/>
    </w:p>
    <w:p w:rsidR="00D11313" w:rsidP="00D11313" w:rsidRDefault="00D11313" w14:paraId="6E334625" w14:textId="77777777">
      <w:pPr>
        <w:pStyle w:val="ListParagraph"/>
        <w:numPr>
          <w:ilvl w:val="0"/>
          <w:numId w:val="15"/>
        </w:numPr>
        <w:spacing w:after="0" w:line="240" w:lineRule="auto"/>
        <w:rPr>
          <w:rFonts w:cs="Tahoma"/>
          <w:b/>
        </w:rPr>
      </w:pPr>
      <w:r w:rsidRPr="00493E7A">
        <w:rPr>
          <w:rFonts w:cs="Tahoma"/>
          <w:b/>
        </w:rPr>
        <w:t xml:space="preserve">requiring the use of a statistical data classification that has not been reviewed and approved by </w:t>
      </w:r>
      <w:proofErr w:type="gramStart"/>
      <w:r w:rsidRPr="00493E7A">
        <w:rPr>
          <w:rFonts w:cs="Tahoma"/>
          <w:b/>
        </w:rPr>
        <w:t>OMB;</w:t>
      </w:r>
      <w:proofErr w:type="gramEnd"/>
    </w:p>
    <w:p w:rsidRPr="00AF29A5" w:rsidR="00AF29A5" w:rsidP="00AF29A5" w:rsidRDefault="00D11313" w14:paraId="4F089307" w14:textId="77777777">
      <w:pPr>
        <w:pStyle w:val="ListParagraph"/>
        <w:numPr>
          <w:ilvl w:val="0"/>
          <w:numId w:val="15"/>
        </w:numPr>
        <w:spacing w:after="0" w:line="240" w:lineRule="auto"/>
      </w:pPr>
      <w:r w:rsidRPr="001C163D">
        <w:rPr>
          <w:rFonts w:cs="Tahoma"/>
          <w:b/>
        </w:rPr>
        <w:t>that includes a pledge of confidentiality that is not supported by authority established in</w:t>
      </w:r>
      <w:r w:rsidRPr="00EA71A0">
        <w:rPr>
          <w:rFonts w:cs="Tahoma"/>
          <w:b/>
        </w:rPr>
        <w:t xml:space="preserve"> statute or regulation, that is not supported by disc</w:t>
      </w:r>
      <w:r w:rsidRPr="001C163D">
        <w:rPr>
          <w:rFonts w:cs="Tahoma"/>
          <w:b/>
        </w:rPr>
        <w:t>losure and data security policies that are consistent with the pledge, or which unnecessarily impedes sharing of data with other agencies for compatible confidential use; or</w:t>
      </w:r>
      <w:r w:rsidR="00AF29A5">
        <w:rPr>
          <w:rFonts w:cs="Tahoma"/>
          <w:b/>
        </w:rPr>
        <w:t xml:space="preserve"> </w:t>
      </w:r>
      <w:r w:rsidRPr="00AF29A5">
        <w:rPr>
          <w:rFonts w:cs="Tahoma"/>
          <w:b/>
        </w:rPr>
        <w:t>requiring respondents to submit proprietary trade secrets, or other confidential information unless the agency can demonstrate that it has instituted procedures to protect the information's confidentiality to the extent permitted by law.</w:t>
      </w:r>
    </w:p>
    <w:p w:rsidRPr="00AF29A5" w:rsidR="00AF29A5" w:rsidP="00AF29A5" w:rsidRDefault="00AF29A5" w14:paraId="0F1B53F1" w14:textId="77777777">
      <w:pPr>
        <w:pStyle w:val="ListParagraph"/>
        <w:spacing w:after="0" w:line="240" w:lineRule="auto"/>
      </w:pPr>
    </w:p>
    <w:p w:rsidRPr="00106D57" w:rsidR="004528AA" w:rsidP="00AF29A5" w:rsidRDefault="004528AA" w14:paraId="73366D8D" w14:textId="16FD510E">
      <w:pPr>
        <w:spacing w:line="240" w:lineRule="auto"/>
      </w:pPr>
      <w:r w:rsidRPr="00106D57">
        <w:t>This question is not applicable to this ICR.</w:t>
      </w:r>
    </w:p>
    <w:p w:rsidRPr="00106D57" w:rsidR="004528AA" w:rsidP="006F5CC0" w:rsidRDefault="004528AA" w14:paraId="28AD7881" w14:textId="77777777">
      <w:pPr>
        <w:pStyle w:val="Heading2"/>
        <w:spacing w:after="240"/>
        <w:rPr>
          <w:i/>
          <w:iCs/>
          <w:color w:val="auto"/>
        </w:rPr>
      </w:pPr>
      <w:bookmarkStart w:name="_Hlk79749318" w:id="4"/>
      <w:r w:rsidRPr="00106D57">
        <w:rPr>
          <w:i/>
          <w:iCs/>
          <w:color w:val="auto"/>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EPA to obtain their views on the availability of data, frequency of collection, the clarity of instructions and recordkeeping, disclosure, or reporting format (if any), and on the data elements to be recorded, disclosed, or report. </w:t>
      </w:r>
    </w:p>
    <w:p w:rsidR="001D0332" w:rsidP="006F5CC0" w:rsidRDefault="001D0332" w14:paraId="727AAB0F" w14:textId="68E6174A">
      <w:pPr>
        <w:rPr>
          <w:rFonts w:cs="Arial"/>
          <w:szCs w:val="24"/>
        </w:rPr>
      </w:pPr>
      <w:r w:rsidRPr="001D0332">
        <w:rPr>
          <w:rFonts w:cs="Arial"/>
          <w:szCs w:val="24"/>
        </w:rPr>
        <w:t xml:space="preserve">Pursuant of 5 CFR </w:t>
      </w:r>
      <w:r>
        <w:rPr>
          <w:rFonts w:cs="Arial"/>
          <w:szCs w:val="24"/>
        </w:rPr>
        <w:t>1320.8(d) and 5 CFR 1320.8(d)(1)</w:t>
      </w:r>
      <w:r w:rsidR="0079772A">
        <w:rPr>
          <w:rFonts w:cs="Arial"/>
          <w:szCs w:val="24"/>
        </w:rPr>
        <w:t>, EPA published a notice in the Federal Register on September 7, 2021 (</w:t>
      </w:r>
      <w:r w:rsidRPr="004D502F" w:rsidR="0079772A">
        <w:rPr>
          <w:rFonts w:cs="Arial"/>
          <w:szCs w:val="24"/>
        </w:rPr>
        <w:t xml:space="preserve">86 FR </w:t>
      </w:r>
      <w:proofErr w:type="gramStart"/>
      <w:r w:rsidRPr="004D502F" w:rsidR="0079772A">
        <w:rPr>
          <w:rFonts w:cs="Arial"/>
          <w:szCs w:val="24"/>
        </w:rPr>
        <w:t>50114;</w:t>
      </w:r>
      <w:proofErr w:type="gramEnd"/>
      <w:r w:rsidRPr="004D502F" w:rsidR="0079772A">
        <w:rPr>
          <w:rFonts w:cs="Arial"/>
          <w:szCs w:val="24"/>
        </w:rPr>
        <w:t xml:space="preserve"> FRL-8720-01-OCSPP</w:t>
      </w:r>
      <w:r w:rsidR="0079772A">
        <w:rPr>
          <w:rFonts w:cs="Arial"/>
          <w:szCs w:val="24"/>
        </w:rPr>
        <w:t>)</w:t>
      </w:r>
      <w:r w:rsidRPr="00BA7B33" w:rsidR="0079772A">
        <w:rPr>
          <w:rFonts w:cs="Arial"/>
          <w:szCs w:val="24"/>
        </w:rPr>
        <w:t xml:space="preserve">, announcing the </w:t>
      </w:r>
      <w:r w:rsidR="0079772A">
        <w:rPr>
          <w:rFonts w:cs="Arial"/>
          <w:szCs w:val="24"/>
        </w:rPr>
        <w:t>planned</w:t>
      </w:r>
      <w:r w:rsidRPr="00BA7B33" w:rsidR="0079772A">
        <w:rPr>
          <w:rFonts w:cs="Arial"/>
          <w:szCs w:val="24"/>
        </w:rPr>
        <w:t xml:space="preserve"> renew</w:t>
      </w:r>
      <w:r w:rsidR="0079772A">
        <w:rPr>
          <w:rFonts w:cs="Arial"/>
          <w:szCs w:val="24"/>
        </w:rPr>
        <w:t>al of</w:t>
      </w:r>
      <w:r w:rsidRPr="00BA7B33" w:rsidR="0079772A">
        <w:rPr>
          <w:rFonts w:cs="Arial"/>
          <w:szCs w:val="24"/>
        </w:rPr>
        <w:t xml:space="preserve"> this information collection activity</w:t>
      </w:r>
      <w:r w:rsidR="0079772A">
        <w:rPr>
          <w:rFonts w:cs="Arial"/>
          <w:szCs w:val="24"/>
        </w:rPr>
        <w:t xml:space="preserve">, soliciting public comment on specific aspects of the ICR and </w:t>
      </w:r>
      <w:r w:rsidRPr="00BA7B33" w:rsidR="0079772A">
        <w:rPr>
          <w:rFonts w:cs="Arial"/>
          <w:szCs w:val="24"/>
        </w:rPr>
        <w:t>providing a 60-day public comment period.</w:t>
      </w:r>
      <w:r>
        <w:rPr>
          <w:rFonts w:cs="Arial"/>
          <w:szCs w:val="24"/>
        </w:rPr>
        <w:t xml:space="preserve"> </w:t>
      </w:r>
    </w:p>
    <w:p w:rsidR="00074A19" w:rsidP="00074A19" w:rsidRDefault="00074A19" w14:paraId="48B91731" w14:textId="74F3AA4F">
      <w:bookmarkStart w:name="_Hlk84334820" w:id="5"/>
      <w:r>
        <w:t xml:space="preserve">The EPA also consulted </w:t>
      </w:r>
      <w:r w:rsidR="004D6F55">
        <w:t>7</w:t>
      </w:r>
      <w:r>
        <w:t xml:space="preserve"> stakeholders, specifically asking them for their assessment of the regulatory burden estimates expressed by the Agency in this ICR.</w:t>
      </w:r>
    </w:p>
    <w:bookmarkEnd w:id="5"/>
    <w:p w:rsidR="00074A19" w:rsidP="00074A19" w:rsidRDefault="00074A19" w14:paraId="7FBB9806" w14:textId="2F9DD552">
      <w:r>
        <w:t>EPA consulted with the following entities and received 1 response:</w:t>
      </w:r>
    </w:p>
    <w:p w:rsidR="00074A19" w:rsidP="00074A19" w:rsidRDefault="00074A19" w14:paraId="45AC9095" w14:textId="5E048301">
      <w:pPr>
        <w:pStyle w:val="ListParagraph"/>
        <w:numPr>
          <w:ilvl w:val="0"/>
          <w:numId w:val="14"/>
        </w:numPr>
      </w:pPr>
      <w:r>
        <w:t xml:space="preserve">W. </w:t>
      </w:r>
      <w:proofErr w:type="spellStart"/>
      <w:r>
        <w:t>Neudorff</w:t>
      </w:r>
      <w:proofErr w:type="spellEnd"/>
      <w:r>
        <w:t xml:space="preserve"> GmbH KG</w:t>
      </w:r>
    </w:p>
    <w:p w:rsidR="00074A19" w:rsidP="00074A19" w:rsidRDefault="00074A19" w14:paraId="083384F1" w14:textId="6DC198C5">
      <w:pPr>
        <w:pStyle w:val="ListParagraph"/>
        <w:numPr>
          <w:ilvl w:val="0"/>
          <w:numId w:val="14"/>
        </w:numPr>
      </w:pPr>
      <w:proofErr w:type="spellStart"/>
      <w:r>
        <w:t>Bonide</w:t>
      </w:r>
      <w:proofErr w:type="spellEnd"/>
      <w:r>
        <w:t xml:space="preserve"> Products, Inc.</w:t>
      </w:r>
    </w:p>
    <w:p w:rsidR="00074A19" w:rsidP="00074A19" w:rsidRDefault="00074A19" w14:paraId="3B7FB8BD" w14:textId="31F410D8">
      <w:pPr>
        <w:pStyle w:val="ListParagraph"/>
        <w:numPr>
          <w:ilvl w:val="0"/>
          <w:numId w:val="14"/>
        </w:numPr>
      </w:pPr>
      <w:r>
        <w:t>Central Pet &amp; Garden</w:t>
      </w:r>
    </w:p>
    <w:p w:rsidRPr="00232137" w:rsidR="00074A19" w:rsidP="00074A19" w:rsidRDefault="00074A19" w14:paraId="2DDF046D" w14:textId="024A9DE1">
      <w:pPr>
        <w:pStyle w:val="ListParagraph"/>
        <w:numPr>
          <w:ilvl w:val="0"/>
          <w:numId w:val="14"/>
        </w:numPr>
      </w:pPr>
      <w:r w:rsidRPr="00232137">
        <w:t>Rockwell Labs</w:t>
      </w:r>
    </w:p>
    <w:p w:rsidR="00074A19" w:rsidP="00074A19" w:rsidRDefault="00074A19" w14:paraId="5FB9944D" w14:textId="1525E9DF">
      <w:pPr>
        <w:pStyle w:val="ListParagraph"/>
        <w:numPr>
          <w:ilvl w:val="0"/>
          <w:numId w:val="14"/>
        </w:numPr>
      </w:pPr>
      <w:r>
        <w:t>S.C. Johnson</w:t>
      </w:r>
    </w:p>
    <w:p w:rsidR="00074A19" w:rsidP="00074A19" w:rsidRDefault="00074A19" w14:paraId="6D7B2B7B" w14:textId="0A9A94B1">
      <w:pPr>
        <w:pStyle w:val="ListParagraph"/>
        <w:numPr>
          <w:ilvl w:val="0"/>
          <w:numId w:val="14"/>
        </w:numPr>
      </w:pPr>
      <w:r>
        <w:t>Spectrum Brands</w:t>
      </w:r>
    </w:p>
    <w:p w:rsidR="00074A19" w:rsidP="00074A19" w:rsidRDefault="00074A19" w14:paraId="64546893" w14:textId="4D4BA893">
      <w:pPr>
        <w:pStyle w:val="ListParagraph"/>
        <w:numPr>
          <w:ilvl w:val="0"/>
          <w:numId w:val="14"/>
        </w:numPr>
      </w:pPr>
      <w:r>
        <w:t>W.S. Badger Company</w:t>
      </w:r>
    </w:p>
    <w:p w:rsidR="008E2AC3" w:rsidP="006F5CC0" w:rsidRDefault="00127187" w14:paraId="21456108" w14:textId="5E185FF3">
      <w:r>
        <w:t xml:space="preserve">In response to the consultation, </w:t>
      </w:r>
      <w:r w:rsidR="00546225">
        <w:t>Rockwell Labs</w:t>
      </w:r>
      <w:r w:rsidR="00074A19">
        <w:t xml:space="preserve"> commented</w:t>
      </w:r>
      <w:r w:rsidR="00F33B00">
        <w:t xml:space="preserve"> </w:t>
      </w:r>
      <w:r w:rsidR="00546225">
        <w:t>that the ICR generally reflected the calculations and actions of the company</w:t>
      </w:r>
      <w:r w:rsidR="008E2AC3">
        <w:t xml:space="preserve">, except in cases wherein states </w:t>
      </w:r>
      <w:r w:rsidR="008E2AC3">
        <w:lastRenderedPageBreak/>
        <w:t>asked companies to make label changes before register</w:t>
      </w:r>
      <w:r w:rsidR="00445EAD">
        <w:t>ing or re-registering these products</w:t>
      </w:r>
      <w:r w:rsidR="008E2AC3">
        <w:t xml:space="preserve"> in their states (many states require state registration of minimum risk products</w:t>
      </w:r>
      <w:r w:rsidR="00445EAD">
        <w:t xml:space="preserve"> </w:t>
      </w:r>
      <w:r w:rsidR="008E2AC3">
        <w:t xml:space="preserve">even though they are exempt at the federal level). This is not a regulatory burden at the federal </w:t>
      </w:r>
      <w:r w:rsidR="0079772A">
        <w:t>level and</w:t>
      </w:r>
      <w:r w:rsidR="008E2AC3">
        <w:t xml:space="preserve"> is therefore not relevant to this </w:t>
      </w:r>
      <w:r w:rsidR="3CA56023">
        <w:t>ICR</w:t>
      </w:r>
      <w:r w:rsidR="008E2AC3">
        <w:t xml:space="preserve">. </w:t>
      </w:r>
    </w:p>
    <w:p w:rsidRPr="001D0332" w:rsidR="00074A19" w:rsidP="006F5CC0" w:rsidRDefault="008E2AC3" w14:paraId="4A2D59BD" w14:textId="2CB86704">
      <w:pPr>
        <w:rPr>
          <w:rFonts w:cs="Arial"/>
          <w:szCs w:val="24"/>
        </w:rPr>
      </w:pPr>
      <w:r>
        <w:t>Rockwell Labs also commented that the requirement that product</w:t>
      </w:r>
      <w:r w:rsidR="0069652F">
        <w:t>s</w:t>
      </w:r>
      <w:r>
        <w:t xml:space="preserve"> exempt under FIFRA 25(b) contain no “misleading” claims</w:t>
      </w:r>
      <w:r w:rsidR="0069652F">
        <w:t xml:space="preserve"> is burdensome and often </w:t>
      </w:r>
      <w:r w:rsidR="00445EAD">
        <w:t>subject</w:t>
      </w:r>
      <w:r w:rsidR="003B2924">
        <w:t>ive</w:t>
      </w:r>
      <w:r w:rsidR="00445EAD">
        <w:t>ly</w:t>
      </w:r>
      <w:r w:rsidR="0069652F">
        <w:t xml:space="preserve"> enforced by states. This requirement, which appears in the regulations at 40 CFR </w:t>
      </w:r>
      <w:r w:rsidR="008C47D5">
        <w:t>156.10(a)(5</w:t>
      </w:r>
      <w:proofErr w:type="gramStart"/>
      <w:r w:rsidR="008C47D5">
        <w:t>), and</w:t>
      </w:r>
      <w:proofErr w:type="gramEnd"/>
      <w:r w:rsidR="008C47D5">
        <w:t xml:space="preserve"> is referred to in the minimum risk regulations at 40 CFR 152.25(f)(3)(iv), </w:t>
      </w:r>
      <w:r w:rsidR="00445EAD">
        <w:t>is also applied to pesticide product registered under FIFRA Section 3. While EPA strives to be consistent in its interpretation of the “misleading” claims regulations, the world of misleading claims is constantly being updated based upon the e</w:t>
      </w:r>
      <w:r w:rsidR="003B2924">
        <w:t>volving understanding</w:t>
      </w:r>
      <w:r w:rsidR="00445EAD">
        <w:t xml:space="preserve"> of how consumers view pesticide products, and their claims, in the marketplace. </w:t>
      </w:r>
      <w:r w:rsidR="003B2924">
        <w:t xml:space="preserve">Still, EPA can help provide consistency across states by using existing webpage, such as the Pesticide Labeling Q&amp;A page, to post guidance on problematic claims. In almost all scenarios, a misleading claim on a Section 3 product would also be considered misleading on a minimum risk product exempt from registration under FIFRA 25(b). </w:t>
      </w:r>
    </w:p>
    <w:p w:rsidRPr="00106D57" w:rsidR="009C0A53" w:rsidP="006F5CC0" w:rsidRDefault="00A010EC" w14:paraId="4330900E" w14:textId="376EFC6F">
      <w:pPr>
        <w:rPr>
          <w:rFonts w:cs="Arial"/>
          <w:szCs w:val="24"/>
        </w:rPr>
      </w:pPr>
      <w:r w:rsidRPr="00AF29A5">
        <w:rPr>
          <w:rFonts w:cs="Arial"/>
          <w:szCs w:val="24"/>
        </w:rPr>
        <w:t>See t</w:t>
      </w:r>
      <w:r w:rsidRPr="00AF29A5" w:rsidR="009C0A53">
        <w:rPr>
          <w:rFonts w:cs="Arial"/>
          <w:szCs w:val="24"/>
        </w:rPr>
        <w:t>he full consultation</w:t>
      </w:r>
      <w:r w:rsidR="00640A6A">
        <w:rPr>
          <w:rFonts w:cs="Arial"/>
          <w:szCs w:val="24"/>
        </w:rPr>
        <w:t xml:space="preserve"> response</w:t>
      </w:r>
      <w:r w:rsidRPr="00AF29A5" w:rsidR="009C0A53">
        <w:rPr>
          <w:rFonts w:cs="Arial"/>
          <w:szCs w:val="24"/>
        </w:rPr>
        <w:t xml:space="preserve"> in </w:t>
      </w:r>
      <w:r w:rsidRPr="00232137" w:rsidR="009C0A53">
        <w:rPr>
          <w:rFonts w:cs="Arial"/>
          <w:szCs w:val="24"/>
        </w:rPr>
        <w:t>Attachment D</w:t>
      </w:r>
      <w:r w:rsidRPr="00AF29A5" w:rsidR="009C0A53">
        <w:rPr>
          <w:rFonts w:cs="Arial"/>
          <w:szCs w:val="24"/>
        </w:rPr>
        <w:t>.</w:t>
      </w:r>
    </w:p>
    <w:bookmarkEnd w:id="4"/>
    <w:p w:rsidRPr="00106D57" w:rsidR="00B61D23" w:rsidP="006F5CC0" w:rsidRDefault="00B61D23" w14:paraId="357A6F83" w14:textId="77777777">
      <w:pPr>
        <w:pStyle w:val="Heading2"/>
        <w:spacing w:after="240"/>
        <w:rPr>
          <w:i/>
          <w:iCs/>
          <w:color w:val="auto"/>
        </w:rPr>
      </w:pPr>
      <w:r w:rsidRPr="00106D57">
        <w:rPr>
          <w:i/>
          <w:iCs/>
          <w:color w:val="auto"/>
        </w:rPr>
        <w:t xml:space="preserve">9. Explain any decision to provide any payment or gift to respondents, other than remuneration of contractors or grantees. </w:t>
      </w:r>
    </w:p>
    <w:p w:rsidRPr="00106D57" w:rsidR="004528AA" w:rsidP="006F5CC0" w:rsidRDefault="004528AA" w14:paraId="28F66267" w14:textId="55F74F8B">
      <w:r w:rsidRPr="00106D57">
        <w:t>This question is not applicable to this ICR.</w:t>
      </w:r>
    </w:p>
    <w:p w:rsidRPr="00106D57" w:rsidR="00C72D8B" w:rsidP="006F5CC0" w:rsidRDefault="00B61D23" w14:paraId="2A8613C0" w14:textId="2C659A70">
      <w:pPr>
        <w:pStyle w:val="Heading2"/>
        <w:spacing w:after="240"/>
        <w:rPr>
          <w:rFonts w:eastAsia="Yu Gothic Light" w:cs="Times New Roman"/>
          <w:b w:val="0"/>
          <w:bCs/>
          <w:i/>
          <w:iCs/>
          <w:color w:val="auto"/>
          <w:szCs w:val="26"/>
          <w:lang w:bidi="en-US"/>
        </w:rPr>
      </w:pPr>
      <w:bookmarkStart w:name="_Hlk79749419" w:id="6"/>
      <w:r w:rsidRPr="00106D57">
        <w:rPr>
          <w:i/>
          <w:iCs/>
          <w:color w:val="auto"/>
        </w:rPr>
        <w:t>10. Describe any assurance of confidentiality provided to respondents and the basis for the assurance in statute, regulation, or agency policy.</w:t>
      </w:r>
      <w:r w:rsidRPr="00106D57" w:rsidR="00C72D8B">
        <w:rPr>
          <w:rFonts w:eastAsia="Yu Gothic Light" w:cs="Times New Roman"/>
          <w:bCs/>
          <w:i/>
          <w:iCs/>
          <w:color w:val="auto"/>
          <w:szCs w:val="26"/>
          <w:lang w:bidi="en-US"/>
        </w:rPr>
        <w:t xml:space="preserve"> If the collection requires a </w:t>
      </w:r>
      <w:r w:rsidRPr="00106D57" w:rsidR="00A5746C">
        <w:rPr>
          <w:rFonts w:eastAsia="Yu Gothic Light" w:cs="Times New Roman"/>
          <w:bCs/>
          <w:i/>
          <w:iCs/>
          <w:color w:val="auto"/>
          <w:szCs w:val="26"/>
          <w:lang w:bidi="en-US"/>
        </w:rPr>
        <w:t>system of records notice (SORN)</w:t>
      </w:r>
      <w:r w:rsidRPr="00106D57" w:rsidR="00C72D8B">
        <w:rPr>
          <w:rFonts w:eastAsia="Yu Gothic Light" w:cs="Times New Roman"/>
          <w:bCs/>
          <w:i/>
          <w:iCs/>
          <w:color w:val="auto"/>
          <w:szCs w:val="26"/>
          <w:lang w:bidi="en-US"/>
        </w:rPr>
        <w:t xml:space="preserve"> or privacy impact assessment (PIA), those should be cited and described here.</w:t>
      </w:r>
    </w:p>
    <w:p w:rsidRPr="00106D57" w:rsidR="00C72D8B" w:rsidP="006F5CC0" w:rsidRDefault="00C72D8B" w14:paraId="74B065EB" w14:textId="77777777">
      <w:pPr>
        <w:spacing w:line="276" w:lineRule="auto"/>
        <w:rPr>
          <w:rFonts w:eastAsia="Calibri" w:cs="Arial"/>
        </w:rPr>
      </w:pPr>
      <w:r w:rsidRPr="00106D57">
        <w:rPr>
          <w:rFonts w:eastAsia="Calibri" w:cs="Arial"/>
        </w:rPr>
        <w:t>EPA's policy is that all comments received will be included in the docket without change, including any personal information provided, unless the comment includes profanity, threats, information claimed to be Confidential Business Information (CBI) or other information whose disclosure is restricted by statute.</w:t>
      </w:r>
    </w:p>
    <w:p w:rsidRPr="00106D57" w:rsidR="00B61D23" w:rsidP="006F5CC0" w:rsidRDefault="00B61D23" w14:paraId="4952CC5F" w14:textId="77777777">
      <w:pPr>
        <w:pStyle w:val="Heading2"/>
        <w:spacing w:after="240"/>
        <w:rPr>
          <w:i/>
          <w:iCs/>
          <w:color w:val="auto"/>
        </w:rPr>
      </w:pPr>
      <w:r w:rsidRPr="00106D57">
        <w:rPr>
          <w:i/>
          <w:iCs/>
          <w:color w:val="auto"/>
        </w:rPr>
        <w:t>11. Provide additional justification for any questions of a sensitive nature, such as sexual behavior and attitudes, religious beliefs, and other matters that are commonly considered private.</w:t>
      </w:r>
    </w:p>
    <w:p w:rsidRPr="00106D57" w:rsidR="00C72D8B" w:rsidP="006F5CC0" w:rsidRDefault="00C72D8B" w14:paraId="55885C41" w14:textId="77777777">
      <w:pPr>
        <w:spacing w:line="276" w:lineRule="auto"/>
        <w:rPr>
          <w:rFonts w:eastAsia="Calibri" w:cs="Arial"/>
        </w:rPr>
      </w:pPr>
      <w:r w:rsidRPr="00106D57">
        <w:rPr>
          <w:rFonts w:eastAsia="Calibri" w:cs="Arial"/>
        </w:rPr>
        <w:t>No information of a sensitive or private nature is requested in conjunction with these information collection activities, and these information collection activities comply with the provisions of the Privacy Act of 1974 and OMB Circular A-108.</w:t>
      </w:r>
    </w:p>
    <w:p w:rsidRPr="00106D57" w:rsidR="00B61D23" w:rsidP="00AF29A5" w:rsidRDefault="00B61D23" w14:paraId="2236245B" w14:textId="1E212B12">
      <w:pPr>
        <w:pStyle w:val="Heading2"/>
        <w:spacing w:before="0" w:after="0" w:line="240" w:lineRule="auto"/>
        <w:rPr>
          <w:i/>
          <w:iCs/>
          <w:color w:val="auto"/>
        </w:rPr>
      </w:pPr>
      <w:r w:rsidRPr="00106D57">
        <w:rPr>
          <w:i/>
          <w:iCs/>
          <w:color w:val="auto"/>
        </w:rPr>
        <w:lastRenderedPageBreak/>
        <w:t>12. Provide estimates of the hour burden of the collection of information.</w:t>
      </w:r>
    </w:p>
    <w:p w:rsidRPr="009A79F1" w:rsidR="00D11313" w:rsidP="00D11313" w:rsidRDefault="00D11313" w14:paraId="6C3DAD19" w14:textId="77777777">
      <w:pPr>
        <w:pStyle w:val="ListParagraph"/>
        <w:numPr>
          <w:ilvl w:val="0"/>
          <w:numId w:val="16"/>
        </w:numPr>
        <w:spacing w:after="0" w:line="240" w:lineRule="auto"/>
        <w:rPr>
          <w:b/>
          <w:i/>
          <w:iCs/>
        </w:rPr>
      </w:pPr>
      <w:r w:rsidRPr="009A79F1">
        <w:rPr>
          <w:b/>
          <w:i/>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F29A5" w:rsidP="00AF29A5" w:rsidRDefault="00D11313" w14:paraId="1AD0A41B" w14:textId="77777777">
      <w:pPr>
        <w:pStyle w:val="ListParagraph"/>
        <w:numPr>
          <w:ilvl w:val="0"/>
          <w:numId w:val="16"/>
        </w:numPr>
        <w:spacing w:after="0" w:line="240" w:lineRule="auto"/>
        <w:rPr>
          <w:b/>
          <w:i/>
          <w:iCs/>
        </w:rPr>
      </w:pPr>
      <w:r w:rsidRPr="009A79F1">
        <w:rPr>
          <w:b/>
          <w:i/>
          <w:iCs/>
        </w:rPr>
        <w:t>If this request for approval covers more than one form, provide separate hour burden estimates for each form and aggregate the hour burdens.</w:t>
      </w:r>
    </w:p>
    <w:p w:rsidRPr="00AF29A5" w:rsidR="009A79F1" w:rsidP="00AF29A5" w:rsidRDefault="00D11313" w14:paraId="2864BE28" w14:textId="4C956857">
      <w:pPr>
        <w:pStyle w:val="ListParagraph"/>
        <w:numPr>
          <w:ilvl w:val="0"/>
          <w:numId w:val="16"/>
        </w:numPr>
        <w:spacing w:after="0" w:line="240" w:lineRule="auto"/>
        <w:rPr>
          <w:b/>
          <w:i/>
          <w:iCs/>
        </w:rPr>
      </w:pPr>
      <w:r w:rsidRPr="00AF29A5">
        <w:rPr>
          <w:b/>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AF29A5" w:rsidR="00127187" w:rsidP="00AF29A5" w:rsidRDefault="00127187" w14:paraId="797E259B" w14:textId="77777777">
      <w:pPr>
        <w:pStyle w:val="ListParagraph"/>
        <w:spacing w:after="0" w:line="240" w:lineRule="auto"/>
      </w:pPr>
    </w:p>
    <w:p w:rsidRPr="00106D57" w:rsidR="00E64CC7" w:rsidP="006F5CC0" w:rsidRDefault="003316B2" w14:paraId="77A8C42E" w14:textId="2A71B3FD">
      <w:pPr>
        <w:rPr>
          <w:rFonts w:cs="Arial"/>
          <w:szCs w:val="24"/>
        </w:rPr>
      </w:pPr>
      <w:r w:rsidRPr="00106D57">
        <w:rPr>
          <w:rFonts w:cs="Arial"/>
          <w:szCs w:val="24"/>
        </w:rPr>
        <w:t xml:space="preserve">Minimum risk pesticide products are exempt from federal registration requirements, and manufacturers of these products do not submit any data, forms, or labels to EPA. They are also not required to conduct annual reporting or recordkeeping. The requirements for minimum risk pesticide products are limited to what active and inert ingredients they may contain, and specific information that must be on product labels. </w:t>
      </w:r>
      <w:r w:rsidRPr="00106D57" w:rsidR="00E64CC7">
        <w:rPr>
          <w:rFonts w:cs="Arial"/>
          <w:szCs w:val="24"/>
        </w:rPr>
        <w:t xml:space="preserve">However, to help companies comply with the labeling requirements, EPA provides and periodically updates web guidance applicable to minimum risk products. </w:t>
      </w:r>
    </w:p>
    <w:p w:rsidRPr="00106D57" w:rsidR="003316B2" w:rsidP="006F5CC0" w:rsidRDefault="003316B2" w14:paraId="179662EB" w14:textId="7ACB13F6">
      <w:pPr>
        <w:rPr>
          <w:rFonts w:cs="Arial"/>
          <w:szCs w:val="24"/>
        </w:rPr>
      </w:pPr>
      <w:r w:rsidRPr="00106D57">
        <w:rPr>
          <w:rFonts w:cs="Arial"/>
          <w:szCs w:val="24"/>
        </w:rPr>
        <w:t xml:space="preserve">There is no change in the total estimated respondent burden compared with the ICR currently approved by OMB. This </w:t>
      </w:r>
      <w:proofErr w:type="gramStart"/>
      <w:r w:rsidRPr="00106D57">
        <w:rPr>
          <w:rFonts w:cs="Arial"/>
          <w:szCs w:val="24"/>
        </w:rPr>
        <w:t>is based on the assumption</w:t>
      </w:r>
      <w:proofErr w:type="gramEnd"/>
      <w:r w:rsidRPr="00106D57">
        <w:rPr>
          <w:rFonts w:cs="Arial"/>
          <w:szCs w:val="24"/>
        </w:rPr>
        <w:t xml:space="preserve"> that the estimated number of new products entering the market is the same as that used in the previous ICR, that is, 87 per year, with estimated burden hours of 478.5 hours per year. However, in this renewal, burden costs are updated with the 2019 wage rates.</w:t>
      </w:r>
    </w:p>
    <w:p w:rsidRPr="00106D57" w:rsidR="003316B2" w:rsidP="006F5CC0" w:rsidRDefault="003316B2" w14:paraId="01CB9977" w14:textId="513452C2">
      <w:pPr>
        <w:rPr>
          <w:rFonts w:cs="Arial"/>
          <w:szCs w:val="24"/>
        </w:rPr>
      </w:pPr>
      <w:r w:rsidRPr="00106D57">
        <w:rPr>
          <w:rFonts w:cs="Arial"/>
          <w:szCs w:val="24"/>
        </w:rPr>
        <w:t>The total burden hours per response (5.5 hours) ha</w:t>
      </w:r>
      <w:r w:rsidR="009679BA">
        <w:rPr>
          <w:rFonts w:cs="Arial"/>
          <w:szCs w:val="24"/>
        </w:rPr>
        <w:t>ve</w:t>
      </w:r>
      <w:r w:rsidRPr="00106D57">
        <w:rPr>
          <w:rFonts w:cs="Arial"/>
          <w:szCs w:val="24"/>
        </w:rPr>
        <w:t xml:space="preserve"> not changed for this ICR renewal and the total response burden estimate has remained the same at 1,435.5 hours. With updated wage rates, the total labor costs increased from $156,606.53 to $183,055.35. </w:t>
      </w:r>
    </w:p>
    <w:p w:rsidRPr="00106D57" w:rsidR="007F565B" w:rsidP="006F5CC0" w:rsidRDefault="007F565B" w14:paraId="6A3349E2" w14:textId="07315AA5">
      <w:r w:rsidRPr="00106D57">
        <w:t>Over the next three years, EPA estimates that there will be approximately 49 companies selling approximately 170 new products that meet the requirements of the minimum risk pesticide exemption in the U.S. These estimates are derived primarily from estimates provided by three states (Indiana, Maine, and New Mexico) who register minimum risk pesticides in their states. Although minimum risk products are exempt from registration by EPA, most states require some form of registration for these pesticide products. Additionally, several of these states provide their pesticide registration lists online (including minimum risk pesticides) and are available to the public.</w:t>
      </w:r>
      <w:r w:rsidR="009C57E5">
        <w:t xml:space="preserve">  </w:t>
      </w:r>
    </w:p>
    <w:p w:rsidRPr="00106D57" w:rsidR="007F565B" w:rsidP="006F5CC0" w:rsidRDefault="007F565B" w14:paraId="255F22F8" w14:textId="77777777">
      <w:r w:rsidRPr="00106D57">
        <w:lastRenderedPageBreak/>
        <w:t>However, many products have more than one size or type of package. Each is referred to as a stock keeping unit (SKU). Each SKU would have to be labeled to comply with the new requirements established in 2015. EPA has estimated that there are 1.53 SKUs per product, for a total number of 260 products that would have to be labeled according the exemption’s requirements. Therefore, approximately 87 new products are expected to enter the market per year over the next 3 years.</w:t>
      </w:r>
    </w:p>
    <w:p w:rsidRPr="00106D57" w:rsidR="007F565B" w:rsidP="006F5CC0" w:rsidRDefault="007F565B" w14:paraId="087EFBF8" w14:textId="3988AFB8">
      <w:r w:rsidRPr="00106D57">
        <w:t>The total cost for the labeling activities over 3 years is estimated to cost $156,607</w:t>
      </w:r>
      <w:r w:rsidR="0063246D">
        <w:t>.00</w:t>
      </w:r>
      <w:r w:rsidRPr="00106D57">
        <w:t>, for a one-time burden. The annual burden is estimated to cost $52,202</w:t>
      </w:r>
      <w:r w:rsidR="0063246D">
        <w:t>.00</w:t>
      </w:r>
      <w:r w:rsidRPr="00106D57">
        <w:t xml:space="preserve"> per year. Cost rates have been indexed to May 2019 dollars.</w:t>
      </w:r>
    </w:p>
    <w:p w:rsidRPr="00106D57" w:rsidR="0021333F" w:rsidP="006F5CC0" w:rsidRDefault="007F565B" w14:paraId="1AB62A05" w14:textId="77777777">
      <w:pPr>
        <w:rPr>
          <w:b/>
        </w:rPr>
      </w:pPr>
      <w:r w:rsidRPr="00106D57">
        <w:t xml:space="preserve">Agency economists revised the estimated wages, benefits, and overhead for all labor categories for affected industries, state government, and EPA employees based on publicly available data from the US Bureau of Labor Statistics. The formulas used to estimate the labor rates and formulas used to derive the fully loaded rates and overhead costs for this ICR are listed in </w:t>
      </w:r>
      <w:r w:rsidRPr="00232137">
        <w:t>Attachment E</w:t>
      </w:r>
      <w:r w:rsidRPr="00686E3A">
        <w:t>.</w:t>
      </w:r>
      <w:r w:rsidRPr="00106D57">
        <w:rPr>
          <w:b/>
        </w:rPr>
        <w:t xml:space="preserve"> </w:t>
      </w:r>
    </w:p>
    <w:p w:rsidRPr="00106D57" w:rsidR="007F565B" w:rsidP="006F5CC0" w:rsidRDefault="0021333F" w14:paraId="0A950C6C" w14:textId="16D2C917">
      <w:pPr>
        <w:pStyle w:val="Heading4"/>
        <w:spacing w:after="240"/>
        <w:ind w:firstLine="720"/>
        <w:rPr>
          <w:rFonts w:eastAsia="Times New Roman"/>
        </w:rPr>
      </w:pPr>
      <w:r w:rsidRPr="00106D57">
        <w:rPr>
          <w:rFonts w:eastAsia="Times New Roman"/>
        </w:rPr>
        <w:t xml:space="preserve">Table </w:t>
      </w:r>
      <w:r w:rsidRPr="00106D57" w:rsidR="00605DAE">
        <w:rPr>
          <w:rFonts w:eastAsia="Times New Roman"/>
        </w:rPr>
        <w:t>2:</w:t>
      </w:r>
      <w:r w:rsidRPr="00106D57">
        <w:rPr>
          <w:rFonts w:eastAsia="Times New Roman"/>
        </w:rPr>
        <w:t xml:space="preserve"> Wage Rates</w:t>
      </w:r>
      <w:r w:rsidRPr="00106D57" w:rsidR="007F565B">
        <w:rPr>
          <w:rFonts w:eastAsia="Times New Roman"/>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57"/>
        <w:gridCol w:w="7693"/>
      </w:tblGrid>
      <w:tr w:rsidRPr="00A16D67" w:rsidR="00106D57" w:rsidTr="007F565B" w14:paraId="2B034A5B" w14:textId="77777777">
        <w:tc>
          <w:tcPr>
            <w:tcW w:w="1657" w:type="dxa"/>
            <w:shd w:val="clear" w:color="auto" w:fill="auto"/>
          </w:tcPr>
          <w:p w:rsidRPr="00A16D67" w:rsidR="007F565B" w:rsidP="006F5CC0" w:rsidRDefault="007F565B" w14:paraId="0D8461BB" w14:textId="77777777">
            <w:pPr>
              <w:spacing w:line="240" w:lineRule="auto"/>
              <w:rPr>
                <w:rFonts w:eastAsia="Times New Roman" w:cs="Arial"/>
                <w:sz w:val="22"/>
              </w:rPr>
            </w:pPr>
            <w:r w:rsidRPr="00A16D67">
              <w:rPr>
                <w:rFonts w:eastAsia="Times New Roman" w:cs="Arial"/>
                <w:sz w:val="22"/>
              </w:rPr>
              <w:t>Methodology</w:t>
            </w:r>
          </w:p>
        </w:tc>
        <w:tc>
          <w:tcPr>
            <w:tcW w:w="7693" w:type="dxa"/>
            <w:shd w:val="clear" w:color="auto" w:fill="auto"/>
          </w:tcPr>
          <w:p w:rsidRPr="00A16D67" w:rsidR="007F565B" w:rsidP="006F5CC0" w:rsidRDefault="007F565B" w14:paraId="3A10A128" w14:textId="0922BCD3">
            <w:pPr>
              <w:spacing w:line="240" w:lineRule="auto"/>
              <w:rPr>
                <w:rFonts w:eastAsia="Times New Roman" w:cs="Arial"/>
                <w:sz w:val="22"/>
              </w:rPr>
            </w:pPr>
            <w:r w:rsidRPr="00A16D67">
              <w:rPr>
                <w:rFonts w:eastAsia="Times New Roman" w:cs="Arial"/>
                <w:sz w:val="22"/>
              </w:rPr>
              <w:t xml:space="preserve">The methodology uses data on each sector and labor type for an </w:t>
            </w:r>
            <w:r w:rsidRPr="00A16D67">
              <w:rPr>
                <w:rFonts w:eastAsia="Times New Roman" w:cs="Arial"/>
                <w:i/>
                <w:sz w:val="22"/>
              </w:rPr>
              <w:t>Unloaded wage rate</w:t>
            </w:r>
            <w:r w:rsidRPr="00A16D67">
              <w:rPr>
                <w:rFonts w:eastAsia="Times New Roman" w:cs="Arial"/>
                <w:sz w:val="22"/>
              </w:rPr>
              <w:t xml:space="preserve"> (hourly wage rate) and calculates the </w:t>
            </w:r>
            <w:r w:rsidRPr="00A16D67">
              <w:rPr>
                <w:rFonts w:eastAsia="Times New Roman" w:cs="Arial"/>
                <w:i/>
                <w:sz w:val="22"/>
              </w:rPr>
              <w:t>Loaded wage rate</w:t>
            </w:r>
            <w:r w:rsidRPr="00A16D67">
              <w:rPr>
                <w:rFonts w:eastAsia="Times New Roman" w:cs="Arial"/>
                <w:sz w:val="22"/>
              </w:rPr>
              <w:t xml:space="preserve"> (unloaded wage rate + benefits), and the </w:t>
            </w:r>
            <w:r w:rsidRPr="00A16D67">
              <w:rPr>
                <w:rFonts w:eastAsia="Times New Roman" w:cs="Arial"/>
                <w:i/>
                <w:sz w:val="22"/>
              </w:rPr>
              <w:t>Fully loaded wage rate</w:t>
            </w:r>
            <w:r w:rsidRPr="00A16D67">
              <w:rPr>
                <w:rFonts w:eastAsia="Times New Roman" w:cs="Arial"/>
                <w:sz w:val="22"/>
              </w:rPr>
              <w:t xml:space="preserve"> (loaded wage rate + overhead). Fully loaded wage rates are used to calculate respondent costs. This ICR uses 2019 wage data</w:t>
            </w:r>
          </w:p>
        </w:tc>
      </w:tr>
      <w:tr w:rsidRPr="00A16D67" w:rsidR="00106D57" w:rsidTr="007F565B" w14:paraId="0A6A8F05" w14:textId="77777777">
        <w:tc>
          <w:tcPr>
            <w:tcW w:w="1657" w:type="dxa"/>
            <w:shd w:val="clear" w:color="auto" w:fill="auto"/>
          </w:tcPr>
          <w:p w:rsidRPr="00A16D67" w:rsidR="007F565B" w:rsidP="006F5CC0" w:rsidRDefault="007F565B" w14:paraId="38486232" w14:textId="77777777">
            <w:pPr>
              <w:spacing w:line="240" w:lineRule="auto"/>
              <w:rPr>
                <w:rFonts w:eastAsia="Times New Roman" w:cs="Arial"/>
                <w:sz w:val="22"/>
              </w:rPr>
            </w:pPr>
            <w:r w:rsidRPr="00A16D67">
              <w:rPr>
                <w:rFonts w:eastAsia="Times New Roman" w:cs="Arial"/>
                <w:sz w:val="22"/>
              </w:rPr>
              <w:t>Unloaded Wage Rate</w:t>
            </w:r>
          </w:p>
        </w:tc>
        <w:tc>
          <w:tcPr>
            <w:tcW w:w="7693" w:type="dxa"/>
            <w:shd w:val="clear" w:color="auto" w:fill="auto"/>
          </w:tcPr>
          <w:p w:rsidRPr="00A16D67" w:rsidR="007F565B" w:rsidP="006F5CC0" w:rsidRDefault="007F565B" w14:paraId="346B10A6" w14:textId="1DDED875">
            <w:pPr>
              <w:spacing w:line="240" w:lineRule="auto"/>
              <w:rPr>
                <w:rFonts w:eastAsia="Times New Roman" w:cs="Arial"/>
                <w:sz w:val="22"/>
              </w:rPr>
            </w:pPr>
            <w:r w:rsidRPr="00A16D67">
              <w:rPr>
                <w:rFonts w:eastAsia="Times New Roman" w:cs="Arial"/>
                <w:sz w:val="22"/>
              </w:rPr>
              <w:t xml:space="preserve">Wages are estimated for labor types (management, technical, and clerical) within applicable sectors. The Agency uses average wage data for the relevant sectors available in the National Industry-Specific Occupational Employment and Wage Estimates from the Bureau of Labor Statistics (BLS) at </w:t>
            </w:r>
            <w:hyperlink w:history="1" r:id="rId12">
              <w:r w:rsidRPr="00AF29A5">
                <w:rPr>
                  <w:rFonts w:eastAsia="Times New Roman" w:cs="Arial"/>
                  <w:color w:val="0000FF"/>
                  <w:sz w:val="22"/>
                  <w:u w:val="single"/>
                </w:rPr>
                <w:t>http://www.bls.gov/oes/current/oes_nat.htm</w:t>
              </w:r>
            </w:hyperlink>
            <w:r w:rsidRPr="00A16D67">
              <w:rPr>
                <w:rFonts w:eastAsia="Times New Roman" w:cs="Arial"/>
                <w:sz w:val="22"/>
              </w:rPr>
              <w:t>.</w:t>
            </w:r>
            <w:r w:rsidRPr="00A16D67" w:rsidR="009C57E5">
              <w:rPr>
                <w:rFonts w:eastAsia="Times New Roman" w:cs="Arial"/>
                <w:sz w:val="22"/>
              </w:rPr>
              <w:t xml:space="preserve"> </w:t>
            </w:r>
          </w:p>
        </w:tc>
      </w:tr>
      <w:tr w:rsidRPr="00A16D67" w:rsidR="00106D57" w:rsidTr="007F565B" w14:paraId="7CDAA8F6" w14:textId="77777777">
        <w:tc>
          <w:tcPr>
            <w:tcW w:w="1657" w:type="dxa"/>
            <w:shd w:val="clear" w:color="auto" w:fill="auto"/>
          </w:tcPr>
          <w:p w:rsidRPr="00A16D67" w:rsidR="007F565B" w:rsidP="006F5CC0" w:rsidRDefault="007F565B" w14:paraId="34FD56B5" w14:textId="77777777">
            <w:pPr>
              <w:spacing w:line="240" w:lineRule="auto"/>
              <w:rPr>
                <w:rFonts w:eastAsia="Times New Roman" w:cs="Arial"/>
                <w:sz w:val="22"/>
              </w:rPr>
            </w:pPr>
            <w:r w:rsidRPr="00A16D67">
              <w:rPr>
                <w:rFonts w:eastAsia="Times New Roman" w:cs="Arial"/>
                <w:sz w:val="22"/>
              </w:rPr>
              <w:t>Sectors</w:t>
            </w:r>
          </w:p>
        </w:tc>
        <w:tc>
          <w:tcPr>
            <w:tcW w:w="7693" w:type="dxa"/>
            <w:shd w:val="clear" w:color="auto" w:fill="auto"/>
          </w:tcPr>
          <w:p w:rsidRPr="00A16D67" w:rsidR="007F565B" w:rsidP="006F5CC0" w:rsidRDefault="007F565B" w14:paraId="350E3381" w14:textId="760460CB">
            <w:pPr>
              <w:spacing w:line="240" w:lineRule="auto"/>
              <w:rPr>
                <w:rFonts w:eastAsia="Times New Roman" w:cs="Arial"/>
                <w:sz w:val="22"/>
              </w:rPr>
            </w:pPr>
            <w:r w:rsidRPr="00A16D67">
              <w:rPr>
                <w:rFonts w:eastAsia="Times New Roman" w:cs="Arial"/>
                <w:sz w:val="22"/>
              </w:rPr>
              <w:t xml:space="preserve">The specific North American Industry Classification System (NAICS) code and website for each sector is included in that sector’s wage rate table (see </w:t>
            </w:r>
            <w:r w:rsidRPr="004D502F">
              <w:rPr>
                <w:rFonts w:eastAsia="Times New Roman" w:cs="Arial"/>
                <w:sz w:val="22"/>
              </w:rPr>
              <w:t>Attachment E</w:t>
            </w:r>
            <w:r w:rsidRPr="00A16D67">
              <w:rPr>
                <w:rFonts w:eastAsia="Times New Roman" w:cs="Arial"/>
                <w:sz w:val="22"/>
              </w:rPr>
              <w:t>). Within each sector, the wage data are provided</w:t>
            </w:r>
            <w:r w:rsidRPr="00A16D67">
              <w:rPr>
                <w:rFonts w:eastAsia="Times New Roman" w:cs="Arial"/>
                <w:b/>
                <w:sz w:val="22"/>
              </w:rPr>
              <w:t xml:space="preserve"> </w:t>
            </w:r>
            <w:r w:rsidRPr="00A16D67">
              <w:rPr>
                <w:rFonts w:eastAsia="Times New Roman" w:cs="Arial"/>
                <w:sz w:val="22"/>
              </w:rPr>
              <w:t xml:space="preserve">by Standard Occupational Classification (SOC). The SOC system is used by Federal statistical agencies to classify workers into occupational categories for the purpose of collecting, calculating, or disseminating data (see </w:t>
            </w:r>
            <w:hyperlink w:history="1" r:id="rId13">
              <w:r w:rsidRPr="00AF29A5">
                <w:rPr>
                  <w:rFonts w:eastAsia="Times New Roman" w:cs="Arial"/>
                  <w:color w:val="0000FF"/>
                  <w:sz w:val="22"/>
                  <w:u w:val="single"/>
                </w:rPr>
                <w:t>http://www.bls.gov/oes/current/oes_stru.htm</w:t>
              </w:r>
            </w:hyperlink>
            <w:r w:rsidRPr="00A16D67">
              <w:rPr>
                <w:rFonts w:eastAsia="Times New Roman" w:cs="Arial"/>
                <w:sz w:val="22"/>
              </w:rPr>
              <w:t>).</w:t>
            </w:r>
          </w:p>
        </w:tc>
      </w:tr>
      <w:tr w:rsidRPr="00A16D67" w:rsidR="00106D57" w:rsidTr="007F565B" w14:paraId="17B1EDCC" w14:textId="77777777">
        <w:tc>
          <w:tcPr>
            <w:tcW w:w="1657" w:type="dxa"/>
            <w:shd w:val="clear" w:color="auto" w:fill="auto"/>
          </w:tcPr>
          <w:p w:rsidRPr="00A16D67" w:rsidR="007F565B" w:rsidP="006F5CC0" w:rsidRDefault="007F565B" w14:paraId="6B90E20C" w14:textId="77777777">
            <w:pPr>
              <w:spacing w:line="240" w:lineRule="auto"/>
              <w:rPr>
                <w:rFonts w:eastAsia="Times New Roman" w:cs="Arial"/>
                <w:sz w:val="22"/>
              </w:rPr>
            </w:pPr>
            <w:r w:rsidRPr="00A16D67">
              <w:rPr>
                <w:rFonts w:eastAsia="Times New Roman" w:cs="Arial"/>
                <w:sz w:val="22"/>
              </w:rPr>
              <w:t>Loaded Wage Rate</w:t>
            </w:r>
          </w:p>
        </w:tc>
        <w:tc>
          <w:tcPr>
            <w:tcW w:w="7693" w:type="dxa"/>
            <w:shd w:val="clear" w:color="auto" w:fill="auto"/>
          </w:tcPr>
          <w:p w:rsidRPr="00A16D67" w:rsidR="007F565B" w:rsidP="006F5CC0" w:rsidRDefault="007F565B" w14:paraId="271625B9" w14:textId="078FA671">
            <w:pPr>
              <w:spacing w:line="240" w:lineRule="auto"/>
              <w:rPr>
                <w:rFonts w:eastAsia="Times New Roman" w:cs="Arial"/>
                <w:sz w:val="22"/>
              </w:rPr>
            </w:pPr>
            <w:r w:rsidRPr="00A16D67">
              <w:rPr>
                <w:rFonts w:eastAsia="Times New Roman" w:cs="Arial"/>
                <w:sz w:val="22"/>
              </w:rPr>
              <w:t xml:space="preserve">Unless stated otherwise, all benefits represent 46.4% of unloaded wage rates, based on benefits for all civilian non-farm workers, from </w:t>
            </w:r>
            <w:hyperlink w:history="1" r:id="rId14">
              <w:r w:rsidRPr="00AF29A5">
                <w:rPr>
                  <w:rFonts w:eastAsia="Times New Roman" w:cs="Arial"/>
                  <w:color w:val="0000FF"/>
                  <w:sz w:val="22"/>
                  <w:u w:val="single"/>
                </w:rPr>
                <w:t>http://www.bls.gov/news.release/ecec.t01.htm</w:t>
              </w:r>
            </w:hyperlink>
            <w:r w:rsidRPr="00A16D67">
              <w:rPr>
                <w:rFonts w:eastAsia="Times New Roman" w:cs="Arial"/>
                <w:sz w:val="22"/>
              </w:rPr>
              <w:t>. However, if other sectors are listed for which 46.4% is not applicable, the applicable percentage will be stated.</w:t>
            </w:r>
          </w:p>
        </w:tc>
      </w:tr>
      <w:tr w:rsidRPr="00A16D67" w:rsidR="00A16D67" w:rsidTr="007F565B" w14:paraId="722BA39C" w14:textId="77777777">
        <w:tc>
          <w:tcPr>
            <w:tcW w:w="1657" w:type="dxa"/>
            <w:shd w:val="clear" w:color="auto" w:fill="auto"/>
          </w:tcPr>
          <w:p w:rsidRPr="00A16D67" w:rsidR="007F565B" w:rsidP="006F5CC0" w:rsidRDefault="007F565B" w14:paraId="1FFC5871" w14:textId="77777777">
            <w:pPr>
              <w:spacing w:line="240" w:lineRule="auto"/>
              <w:rPr>
                <w:rFonts w:eastAsia="Times New Roman" w:cs="Arial"/>
                <w:sz w:val="22"/>
              </w:rPr>
            </w:pPr>
            <w:r w:rsidRPr="00A16D67">
              <w:rPr>
                <w:rFonts w:eastAsia="Times New Roman" w:cs="Arial"/>
                <w:sz w:val="22"/>
              </w:rPr>
              <w:t>Fully Loaded Wage Rate</w:t>
            </w:r>
          </w:p>
        </w:tc>
        <w:tc>
          <w:tcPr>
            <w:tcW w:w="7693" w:type="dxa"/>
            <w:shd w:val="clear" w:color="auto" w:fill="auto"/>
          </w:tcPr>
          <w:p w:rsidRPr="00A16D67" w:rsidR="007F565B" w:rsidP="006F5CC0" w:rsidRDefault="007F565B" w14:paraId="2ED9BCC5" w14:textId="77777777">
            <w:pPr>
              <w:spacing w:line="240" w:lineRule="auto"/>
              <w:rPr>
                <w:rFonts w:eastAsia="Times New Roman" w:cs="Arial"/>
                <w:sz w:val="22"/>
              </w:rPr>
            </w:pPr>
            <w:r w:rsidRPr="00A16D67">
              <w:rPr>
                <w:rFonts w:eastAsia="Times New Roman" w:cs="Arial"/>
                <w:sz w:val="22"/>
              </w:rPr>
              <w:t>We multiply the loaded wage rate by 50% (EPA guidelines 20-70%) to get overhead costs.</w:t>
            </w:r>
          </w:p>
        </w:tc>
      </w:tr>
    </w:tbl>
    <w:p w:rsidRPr="00106D57" w:rsidR="007F565B" w:rsidP="006F5CC0" w:rsidRDefault="007F565B" w14:paraId="0F3093E8" w14:textId="77777777"/>
    <w:p w:rsidRPr="00106D57" w:rsidR="007F565B" w:rsidP="006F5CC0" w:rsidRDefault="007F565B" w14:paraId="55A6E50D" w14:textId="77777777">
      <w:r w:rsidRPr="00106D57">
        <w:t>The following table presents the estimated burden and cost estimates per label to comply with the information collection activities associated with the rulemaking:</w:t>
      </w:r>
    </w:p>
    <w:p w:rsidRPr="00106D57" w:rsidR="007F565B" w:rsidP="006F5CC0" w:rsidRDefault="007F565B" w14:paraId="74276C02" w14:textId="5ABCCD63">
      <w:pPr>
        <w:pStyle w:val="Heading4"/>
        <w:spacing w:after="240"/>
        <w:ind w:left="720"/>
        <w:rPr>
          <w:rFonts w:eastAsia="Times New Roman"/>
        </w:rPr>
      </w:pPr>
      <w:bookmarkStart w:name="_Hlk86146470" w:id="7"/>
      <w:r w:rsidRPr="00106D57">
        <w:rPr>
          <w:rFonts w:eastAsia="Times New Roman"/>
        </w:rPr>
        <w:t>Table</w:t>
      </w:r>
      <w:bookmarkEnd w:id="7"/>
      <w:r w:rsidRPr="00106D57">
        <w:rPr>
          <w:rFonts w:eastAsia="Times New Roman"/>
        </w:rPr>
        <w:t xml:space="preserve"> </w:t>
      </w:r>
      <w:r w:rsidRPr="00106D57" w:rsidR="00605DAE">
        <w:rPr>
          <w:rFonts w:eastAsia="Times New Roman"/>
        </w:rPr>
        <w:t>3</w:t>
      </w:r>
      <w:r w:rsidRPr="00106D57">
        <w:rPr>
          <w:rFonts w:eastAsia="Times New Roman"/>
        </w:rPr>
        <w:t>: Estimated Burden/Cost per Label (Minimum Risk Exemption - New Product Labeling; No Registration)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11"/>
        <w:gridCol w:w="1806"/>
        <w:gridCol w:w="1659"/>
        <w:gridCol w:w="1451"/>
        <w:gridCol w:w="803"/>
        <w:gridCol w:w="920"/>
      </w:tblGrid>
      <w:tr w:rsidRPr="00A16D67" w:rsidR="00106D57" w:rsidTr="00A16D67" w14:paraId="45483042" w14:textId="77777777">
        <w:trPr>
          <w:trHeight w:val="324"/>
          <w:jc w:val="center"/>
        </w:trPr>
        <w:tc>
          <w:tcPr>
            <w:tcW w:w="1398" w:type="pct"/>
            <w:vMerge w:val="restart"/>
            <w:tcBorders>
              <w:bottom w:val="nil"/>
            </w:tcBorders>
            <w:shd w:val="clear" w:color="auto" w:fill="auto"/>
            <w:vAlign w:val="bottom"/>
            <w:hideMark/>
          </w:tcPr>
          <w:p w:rsidRPr="00A16D67" w:rsidR="007F565B" w:rsidP="00A16D67" w:rsidRDefault="007F565B" w14:paraId="27677680" w14:textId="77777777">
            <w:pPr>
              <w:spacing w:after="0" w:line="240" w:lineRule="auto"/>
              <w:rPr>
                <w:rFonts w:eastAsia="Times New Roman" w:cs="Arial"/>
                <w:b/>
                <w:sz w:val="22"/>
              </w:rPr>
            </w:pPr>
            <w:r w:rsidRPr="00A16D67">
              <w:rPr>
                <w:rFonts w:eastAsia="Times New Roman" w:cs="Arial"/>
                <w:b/>
                <w:sz w:val="22"/>
              </w:rPr>
              <w:t>Collection Activities</w:t>
            </w:r>
          </w:p>
        </w:tc>
        <w:tc>
          <w:tcPr>
            <w:tcW w:w="2476" w:type="pct"/>
            <w:gridSpan w:val="3"/>
            <w:tcBorders>
              <w:bottom w:val="single" w:color="auto" w:sz="4" w:space="0"/>
            </w:tcBorders>
            <w:shd w:val="clear" w:color="auto" w:fill="auto"/>
            <w:hideMark/>
          </w:tcPr>
          <w:p w:rsidRPr="00A16D67" w:rsidR="007F565B" w:rsidP="00A16D67" w:rsidRDefault="007F565B" w14:paraId="4739C406" w14:textId="77777777">
            <w:pPr>
              <w:spacing w:after="0" w:line="240" w:lineRule="auto"/>
              <w:jc w:val="center"/>
              <w:rPr>
                <w:rFonts w:eastAsia="Times New Roman" w:cs="Arial"/>
                <w:b/>
                <w:sz w:val="22"/>
              </w:rPr>
            </w:pPr>
            <w:r w:rsidRPr="00A16D67">
              <w:rPr>
                <w:rFonts w:eastAsia="Times New Roman" w:cs="Arial"/>
                <w:b/>
                <w:sz w:val="22"/>
              </w:rPr>
              <w:t>Burden Hours</w:t>
            </w:r>
          </w:p>
        </w:tc>
        <w:tc>
          <w:tcPr>
            <w:tcW w:w="1126" w:type="pct"/>
            <w:gridSpan w:val="2"/>
            <w:tcBorders>
              <w:bottom w:val="single" w:color="auto" w:sz="4" w:space="0"/>
            </w:tcBorders>
            <w:shd w:val="clear" w:color="auto" w:fill="auto"/>
            <w:hideMark/>
          </w:tcPr>
          <w:p w:rsidRPr="00A16D67" w:rsidR="007F565B" w:rsidP="00A16D67" w:rsidRDefault="007F565B" w14:paraId="0E21E483" w14:textId="77777777">
            <w:pPr>
              <w:spacing w:after="0" w:line="240" w:lineRule="auto"/>
              <w:jc w:val="center"/>
              <w:rPr>
                <w:rFonts w:eastAsia="Times New Roman" w:cs="Arial"/>
                <w:b/>
                <w:sz w:val="22"/>
              </w:rPr>
            </w:pPr>
            <w:r w:rsidRPr="00A16D67">
              <w:rPr>
                <w:rFonts w:eastAsia="Times New Roman" w:cs="Arial"/>
                <w:b/>
                <w:sz w:val="22"/>
              </w:rPr>
              <w:t>Total</w:t>
            </w:r>
          </w:p>
        </w:tc>
      </w:tr>
      <w:tr w:rsidRPr="00A16D67" w:rsidR="00106D57" w:rsidTr="00A16D67" w14:paraId="3B8C5AA9" w14:textId="77777777">
        <w:trPr>
          <w:trHeight w:val="312"/>
          <w:jc w:val="center"/>
        </w:trPr>
        <w:tc>
          <w:tcPr>
            <w:tcW w:w="1398" w:type="pct"/>
            <w:vMerge/>
            <w:tcBorders>
              <w:bottom w:val="nil"/>
            </w:tcBorders>
            <w:vAlign w:val="center"/>
            <w:hideMark/>
          </w:tcPr>
          <w:p w:rsidRPr="00A16D67" w:rsidR="007F565B" w:rsidP="00A16D67" w:rsidRDefault="007F565B" w14:paraId="7D70366E" w14:textId="77777777">
            <w:pPr>
              <w:spacing w:after="0" w:line="240" w:lineRule="auto"/>
              <w:rPr>
                <w:rFonts w:eastAsia="Times New Roman" w:cs="Arial"/>
                <w:b/>
                <w:sz w:val="22"/>
              </w:rPr>
            </w:pPr>
          </w:p>
        </w:tc>
        <w:tc>
          <w:tcPr>
            <w:tcW w:w="954" w:type="pct"/>
            <w:tcBorders>
              <w:bottom w:val="nil"/>
            </w:tcBorders>
            <w:shd w:val="clear" w:color="auto" w:fill="auto"/>
            <w:noWrap/>
            <w:hideMark/>
          </w:tcPr>
          <w:p w:rsidRPr="00A16D67" w:rsidR="007F565B" w:rsidP="00A16D67" w:rsidRDefault="007F565B" w14:paraId="54E50DB9" w14:textId="1B14BD73">
            <w:pPr>
              <w:spacing w:after="0" w:line="240" w:lineRule="auto"/>
              <w:jc w:val="center"/>
              <w:rPr>
                <w:rFonts w:eastAsia="Times New Roman" w:cs="Arial"/>
                <w:sz w:val="22"/>
              </w:rPr>
            </w:pPr>
            <w:r w:rsidRPr="00A16D67">
              <w:rPr>
                <w:rFonts w:eastAsia="Times New Roman" w:cs="Arial"/>
                <w:sz w:val="22"/>
              </w:rPr>
              <w:t>M</w:t>
            </w:r>
            <w:r w:rsidRPr="00A16D67" w:rsidR="00641EB1">
              <w:rPr>
                <w:rFonts w:eastAsia="Times New Roman" w:cs="Arial"/>
                <w:sz w:val="22"/>
              </w:rPr>
              <w:t xml:space="preserve">anagerial </w:t>
            </w:r>
            <w:r w:rsidRPr="00A16D67">
              <w:rPr>
                <w:rFonts w:eastAsia="Times New Roman" w:cs="Arial"/>
                <w:sz w:val="22"/>
                <w:lang w:eastAsia="ko-KR"/>
              </w:rPr>
              <w:t>$/</w:t>
            </w:r>
            <w:r w:rsidRPr="00A16D67" w:rsidR="00A5746C">
              <w:rPr>
                <w:rFonts w:eastAsia="Times New Roman" w:cs="Arial"/>
                <w:sz w:val="22"/>
              </w:rPr>
              <w:t>hr.</w:t>
            </w:r>
          </w:p>
        </w:tc>
        <w:tc>
          <w:tcPr>
            <w:tcW w:w="780" w:type="pct"/>
            <w:tcBorders>
              <w:bottom w:val="nil"/>
            </w:tcBorders>
            <w:shd w:val="clear" w:color="auto" w:fill="auto"/>
            <w:noWrap/>
            <w:hideMark/>
          </w:tcPr>
          <w:p w:rsidRPr="00A16D67" w:rsidR="007F565B" w:rsidP="00A16D67" w:rsidRDefault="007F565B" w14:paraId="724C6478" w14:textId="729545C1">
            <w:pPr>
              <w:spacing w:after="0" w:line="240" w:lineRule="auto"/>
              <w:jc w:val="center"/>
              <w:rPr>
                <w:rFonts w:eastAsia="Times New Roman" w:cs="Arial"/>
                <w:sz w:val="22"/>
              </w:rPr>
            </w:pPr>
            <w:r w:rsidRPr="00A16D67">
              <w:rPr>
                <w:rFonts w:eastAsia="Times New Roman" w:cs="Arial"/>
                <w:sz w:val="22"/>
              </w:rPr>
              <w:t>Tech</w:t>
            </w:r>
            <w:r w:rsidRPr="00A16D67" w:rsidR="00641EB1">
              <w:rPr>
                <w:rFonts w:eastAsia="Times New Roman" w:cs="Arial"/>
                <w:sz w:val="22"/>
              </w:rPr>
              <w:t>nical</w:t>
            </w:r>
            <w:r w:rsidRPr="00A16D67">
              <w:rPr>
                <w:rFonts w:eastAsia="Times New Roman" w:cs="Arial"/>
                <w:sz w:val="22"/>
                <w:lang w:eastAsia="ko-KR"/>
              </w:rPr>
              <w:t xml:space="preserve"> $/</w:t>
            </w:r>
            <w:r w:rsidRPr="00A16D67" w:rsidR="00A5746C">
              <w:rPr>
                <w:rFonts w:eastAsia="Times New Roman" w:cs="Arial"/>
                <w:sz w:val="22"/>
              </w:rPr>
              <w:t>hr.</w:t>
            </w:r>
          </w:p>
        </w:tc>
        <w:tc>
          <w:tcPr>
            <w:tcW w:w="742" w:type="pct"/>
            <w:tcBorders>
              <w:bottom w:val="nil"/>
            </w:tcBorders>
            <w:shd w:val="clear" w:color="auto" w:fill="auto"/>
            <w:noWrap/>
            <w:hideMark/>
          </w:tcPr>
          <w:p w:rsidRPr="00A16D67" w:rsidR="007F565B" w:rsidP="00A16D67" w:rsidRDefault="007F565B" w14:paraId="77B74FDE" w14:textId="09929767">
            <w:pPr>
              <w:spacing w:after="0" w:line="240" w:lineRule="auto"/>
              <w:jc w:val="center"/>
              <w:rPr>
                <w:rFonts w:eastAsia="Times New Roman" w:cs="Arial"/>
                <w:sz w:val="22"/>
              </w:rPr>
            </w:pPr>
            <w:r w:rsidRPr="00A16D67">
              <w:rPr>
                <w:rFonts w:eastAsia="Times New Roman" w:cs="Arial"/>
                <w:sz w:val="22"/>
              </w:rPr>
              <w:t>Cler</w:t>
            </w:r>
            <w:r w:rsidRPr="00A16D67" w:rsidR="00641EB1">
              <w:rPr>
                <w:rFonts w:eastAsia="Times New Roman" w:cs="Arial"/>
                <w:sz w:val="22"/>
              </w:rPr>
              <w:t>ical</w:t>
            </w:r>
            <w:r w:rsidRPr="00A16D67">
              <w:rPr>
                <w:rFonts w:eastAsia="Times New Roman" w:cs="Arial"/>
                <w:sz w:val="22"/>
                <w:lang w:eastAsia="ko-KR"/>
              </w:rPr>
              <w:t xml:space="preserve"> $/</w:t>
            </w:r>
            <w:r w:rsidRPr="00A16D67" w:rsidR="00A5746C">
              <w:rPr>
                <w:rFonts w:eastAsia="Times New Roman" w:cs="Arial"/>
                <w:sz w:val="22"/>
              </w:rPr>
              <w:t>hr.</w:t>
            </w:r>
          </w:p>
        </w:tc>
        <w:tc>
          <w:tcPr>
            <w:tcW w:w="397" w:type="pct"/>
            <w:tcBorders>
              <w:bottom w:val="nil"/>
            </w:tcBorders>
            <w:shd w:val="clear" w:color="auto" w:fill="auto"/>
            <w:hideMark/>
          </w:tcPr>
          <w:p w:rsidRPr="00A16D67" w:rsidR="007F565B" w:rsidP="00A16D67" w:rsidRDefault="007F565B" w14:paraId="4E7FF6A7" w14:textId="77777777">
            <w:pPr>
              <w:spacing w:after="0" w:line="240" w:lineRule="auto"/>
              <w:jc w:val="center"/>
              <w:rPr>
                <w:rFonts w:eastAsia="Times New Roman" w:cs="Arial"/>
                <w:sz w:val="22"/>
              </w:rPr>
            </w:pPr>
            <w:r w:rsidRPr="00A16D67">
              <w:rPr>
                <w:rFonts w:eastAsia="Times New Roman" w:cs="Arial"/>
                <w:sz w:val="22"/>
              </w:rPr>
              <w:t>Hours</w:t>
            </w:r>
          </w:p>
        </w:tc>
        <w:tc>
          <w:tcPr>
            <w:tcW w:w="729" w:type="pct"/>
            <w:tcBorders>
              <w:bottom w:val="nil"/>
            </w:tcBorders>
            <w:shd w:val="clear" w:color="auto" w:fill="auto"/>
            <w:hideMark/>
          </w:tcPr>
          <w:p w:rsidRPr="00A16D67" w:rsidR="007F565B" w:rsidP="00A16D67" w:rsidRDefault="007F565B" w14:paraId="1E263A04" w14:textId="77777777">
            <w:pPr>
              <w:spacing w:after="0" w:line="240" w:lineRule="auto"/>
              <w:jc w:val="center"/>
              <w:rPr>
                <w:rFonts w:eastAsia="Times New Roman" w:cs="Arial"/>
                <w:sz w:val="22"/>
              </w:rPr>
            </w:pPr>
            <w:r w:rsidRPr="00A16D67">
              <w:rPr>
                <w:rFonts w:eastAsia="Times New Roman" w:cs="Arial"/>
                <w:sz w:val="22"/>
              </w:rPr>
              <w:t>Costs $</w:t>
            </w:r>
          </w:p>
        </w:tc>
      </w:tr>
      <w:tr w:rsidRPr="00A16D67" w:rsidR="00106D57" w:rsidTr="00A16D67" w14:paraId="6C41E84F" w14:textId="77777777">
        <w:trPr>
          <w:trHeight w:val="324"/>
          <w:jc w:val="center"/>
        </w:trPr>
        <w:tc>
          <w:tcPr>
            <w:tcW w:w="1398" w:type="pct"/>
            <w:tcBorders>
              <w:top w:val="nil"/>
            </w:tcBorders>
            <w:vAlign w:val="center"/>
            <w:hideMark/>
          </w:tcPr>
          <w:p w:rsidRPr="00A16D67" w:rsidR="007F565B" w:rsidP="00A16D67" w:rsidRDefault="007F565B" w14:paraId="127EC982" w14:textId="77777777">
            <w:pPr>
              <w:spacing w:after="0" w:line="240" w:lineRule="auto"/>
              <w:rPr>
                <w:rFonts w:eastAsia="Times New Roman" w:cs="Arial"/>
                <w:b/>
                <w:sz w:val="22"/>
                <w:lang w:eastAsia="ko-KR"/>
              </w:rPr>
            </w:pPr>
          </w:p>
        </w:tc>
        <w:tc>
          <w:tcPr>
            <w:tcW w:w="954" w:type="pct"/>
            <w:tcBorders>
              <w:top w:val="nil"/>
            </w:tcBorders>
            <w:shd w:val="clear" w:color="auto" w:fill="auto"/>
            <w:hideMark/>
          </w:tcPr>
          <w:p w:rsidRPr="00A16D67" w:rsidR="007F565B" w:rsidP="00A16D67" w:rsidRDefault="007F565B" w14:paraId="250537FA" w14:textId="77777777">
            <w:pPr>
              <w:spacing w:after="0" w:line="240" w:lineRule="auto"/>
              <w:jc w:val="center"/>
              <w:rPr>
                <w:rFonts w:eastAsia="Times New Roman" w:cs="Arial"/>
                <w:sz w:val="22"/>
                <w:lang w:eastAsia="ko-KR"/>
              </w:rPr>
            </w:pPr>
            <w:r w:rsidRPr="00A16D67">
              <w:rPr>
                <w:rFonts w:eastAsia="Times New Roman" w:cs="Arial"/>
                <w:sz w:val="22"/>
              </w:rPr>
              <w:t xml:space="preserve">$145.34 </w:t>
            </w:r>
          </w:p>
        </w:tc>
        <w:tc>
          <w:tcPr>
            <w:tcW w:w="780" w:type="pct"/>
            <w:tcBorders>
              <w:top w:val="nil"/>
            </w:tcBorders>
            <w:shd w:val="clear" w:color="auto" w:fill="auto"/>
            <w:hideMark/>
          </w:tcPr>
          <w:p w:rsidRPr="00A16D67" w:rsidR="007F565B" w:rsidP="00A16D67" w:rsidRDefault="007F565B" w14:paraId="54412AB1" w14:textId="77777777">
            <w:pPr>
              <w:spacing w:after="0" w:line="240" w:lineRule="auto"/>
              <w:jc w:val="center"/>
              <w:rPr>
                <w:rFonts w:eastAsia="Times New Roman" w:cs="Arial"/>
                <w:sz w:val="22"/>
                <w:lang w:eastAsia="ko-KR"/>
              </w:rPr>
            </w:pPr>
            <w:r w:rsidRPr="00A16D67">
              <w:rPr>
                <w:rFonts w:eastAsia="Times New Roman" w:cs="Arial"/>
                <w:sz w:val="22"/>
              </w:rPr>
              <w:t xml:space="preserve">$76.35 </w:t>
            </w:r>
          </w:p>
        </w:tc>
        <w:tc>
          <w:tcPr>
            <w:tcW w:w="742" w:type="pct"/>
            <w:tcBorders>
              <w:top w:val="nil"/>
            </w:tcBorders>
            <w:shd w:val="clear" w:color="auto" w:fill="auto"/>
            <w:hideMark/>
          </w:tcPr>
          <w:p w:rsidRPr="00A16D67" w:rsidR="007F565B" w:rsidP="00A16D67" w:rsidRDefault="007F565B" w14:paraId="630F9CF8" w14:textId="77777777">
            <w:pPr>
              <w:spacing w:after="0" w:line="240" w:lineRule="auto"/>
              <w:jc w:val="center"/>
              <w:rPr>
                <w:rFonts w:eastAsia="Times New Roman" w:cs="Arial"/>
                <w:sz w:val="22"/>
                <w:lang w:eastAsia="ko-KR"/>
              </w:rPr>
            </w:pPr>
            <w:r w:rsidRPr="00A16D67">
              <w:rPr>
                <w:rFonts w:eastAsia="Times New Roman" w:cs="Arial"/>
                <w:sz w:val="22"/>
              </w:rPr>
              <w:t xml:space="preserve">$49.61 </w:t>
            </w:r>
          </w:p>
        </w:tc>
        <w:tc>
          <w:tcPr>
            <w:tcW w:w="397" w:type="pct"/>
            <w:tcBorders>
              <w:top w:val="nil"/>
            </w:tcBorders>
            <w:vAlign w:val="center"/>
            <w:hideMark/>
          </w:tcPr>
          <w:p w:rsidRPr="00A16D67" w:rsidR="007F565B" w:rsidP="00A16D67" w:rsidRDefault="007F565B" w14:paraId="6905B9AC" w14:textId="77777777">
            <w:pPr>
              <w:spacing w:after="0" w:line="240" w:lineRule="auto"/>
              <w:rPr>
                <w:rFonts w:eastAsia="Times New Roman" w:cs="Arial"/>
                <w:sz w:val="22"/>
                <w:lang w:eastAsia="ko-KR"/>
              </w:rPr>
            </w:pPr>
          </w:p>
        </w:tc>
        <w:tc>
          <w:tcPr>
            <w:tcW w:w="729" w:type="pct"/>
            <w:tcBorders>
              <w:top w:val="nil"/>
            </w:tcBorders>
            <w:vAlign w:val="center"/>
            <w:hideMark/>
          </w:tcPr>
          <w:p w:rsidRPr="00A16D67" w:rsidR="007F565B" w:rsidP="00A16D67" w:rsidRDefault="007F565B" w14:paraId="1BB0E4B0" w14:textId="77777777">
            <w:pPr>
              <w:spacing w:after="0" w:line="240" w:lineRule="auto"/>
              <w:rPr>
                <w:rFonts w:eastAsia="Times New Roman" w:cs="Arial"/>
                <w:sz w:val="22"/>
                <w:lang w:eastAsia="ko-KR"/>
              </w:rPr>
            </w:pPr>
          </w:p>
        </w:tc>
      </w:tr>
      <w:tr w:rsidRPr="00A16D67" w:rsidR="00106D57" w:rsidTr="00A16D67" w14:paraId="564A7FFD" w14:textId="77777777">
        <w:trPr>
          <w:trHeight w:val="324"/>
          <w:jc w:val="center"/>
        </w:trPr>
        <w:tc>
          <w:tcPr>
            <w:tcW w:w="1398" w:type="pct"/>
            <w:shd w:val="clear" w:color="auto" w:fill="auto"/>
            <w:vAlign w:val="center"/>
            <w:hideMark/>
          </w:tcPr>
          <w:p w:rsidRPr="00A16D67" w:rsidR="007F565B" w:rsidP="00A16D67" w:rsidRDefault="007F565B" w14:paraId="377A1DA1" w14:textId="77777777">
            <w:pPr>
              <w:spacing w:after="0" w:line="240" w:lineRule="auto"/>
              <w:rPr>
                <w:rFonts w:eastAsia="Times New Roman" w:cs="Arial"/>
                <w:sz w:val="22"/>
              </w:rPr>
            </w:pPr>
            <w:r w:rsidRPr="00A16D67">
              <w:rPr>
                <w:rFonts w:eastAsia="Times New Roman" w:cs="Arial"/>
                <w:sz w:val="22"/>
              </w:rPr>
              <w:t>Read Instructions</w:t>
            </w:r>
          </w:p>
        </w:tc>
        <w:tc>
          <w:tcPr>
            <w:tcW w:w="954" w:type="pct"/>
            <w:shd w:val="clear" w:color="auto" w:fill="auto"/>
            <w:vAlign w:val="center"/>
            <w:hideMark/>
          </w:tcPr>
          <w:p w:rsidRPr="00A16D67" w:rsidR="007F565B" w:rsidP="00A16D67" w:rsidRDefault="007F565B" w14:paraId="62CF77F0" w14:textId="77777777">
            <w:pPr>
              <w:spacing w:after="0" w:line="240" w:lineRule="auto"/>
              <w:jc w:val="center"/>
              <w:rPr>
                <w:rFonts w:eastAsia="Times New Roman" w:cs="Arial"/>
                <w:sz w:val="22"/>
              </w:rPr>
            </w:pPr>
            <w:r w:rsidRPr="00A16D67">
              <w:rPr>
                <w:rFonts w:eastAsia="Times New Roman" w:cs="Arial"/>
                <w:sz w:val="22"/>
              </w:rPr>
              <w:t>3.5</w:t>
            </w:r>
          </w:p>
        </w:tc>
        <w:tc>
          <w:tcPr>
            <w:tcW w:w="780" w:type="pct"/>
            <w:shd w:val="clear" w:color="auto" w:fill="auto"/>
            <w:vAlign w:val="center"/>
            <w:hideMark/>
          </w:tcPr>
          <w:p w:rsidRPr="00A16D67" w:rsidR="007F565B" w:rsidP="00A16D67" w:rsidRDefault="007F565B" w14:paraId="4C3912D8" w14:textId="77777777">
            <w:pPr>
              <w:spacing w:after="0" w:line="240" w:lineRule="auto"/>
              <w:jc w:val="center"/>
              <w:rPr>
                <w:rFonts w:eastAsia="Times New Roman" w:cs="Arial"/>
                <w:sz w:val="22"/>
              </w:rPr>
            </w:pPr>
            <w:r w:rsidRPr="00A16D67">
              <w:rPr>
                <w:rFonts w:eastAsia="Times New Roman" w:cs="Arial"/>
                <w:sz w:val="22"/>
              </w:rPr>
              <w:t>0.0</w:t>
            </w:r>
          </w:p>
        </w:tc>
        <w:tc>
          <w:tcPr>
            <w:tcW w:w="742" w:type="pct"/>
            <w:shd w:val="clear" w:color="auto" w:fill="auto"/>
            <w:vAlign w:val="center"/>
            <w:hideMark/>
          </w:tcPr>
          <w:p w:rsidRPr="00A16D67" w:rsidR="007F565B" w:rsidP="00A16D67" w:rsidRDefault="007F565B" w14:paraId="4494CE72" w14:textId="77777777">
            <w:pPr>
              <w:spacing w:after="0" w:line="240" w:lineRule="auto"/>
              <w:jc w:val="center"/>
              <w:rPr>
                <w:rFonts w:eastAsia="Times New Roman" w:cs="Arial"/>
                <w:sz w:val="22"/>
              </w:rPr>
            </w:pPr>
            <w:r w:rsidRPr="00A16D67">
              <w:rPr>
                <w:rFonts w:eastAsia="Times New Roman" w:cs="Arial"/>
                <w:sz w:val="22"/>
              </w:rPr>
              <w:t>0.0</w:t>
            </w:r>
          </w:p>
        </w:tc>
        <w:tc>
          <w:tcPr>
            <w:tcW w:w="397" w:type="pct"/>
            <w:shd w:val="clear" w:color="auto" w:fill="auto"/>
            <w:vAlign w:val="center"/>
            <w:hideMark/>
          </w:tcPr>
          <w:p w:rsidRPr="00A16D67" w:rsidR="007F565B" w:rsidP="00A16D67" w:rsidRDefault="007F565B" w14:paraId="1BC0CD6C" w14:textId="77777777">
            <w:pPr>
              <w:spacing w:after="0" w:line="240" w:lineRule="auto"/>
              <w:jc w:val="right"/>
              <w:rPr>
                <w:rFonts w:eastAsia="Times New Roman" w:cs="Arial"/>
                <w:sz w:val="22"/>
              </w:rPr>
            </w:pPr>
            <w:r w:rsidRPr="00A16D67">
              <w:rPr>
                <w:rFonts w:eastAsia="Times New Roman" w:cs="Arial"/>
                <w:sz w:val="22"/>
              </w:rPr>
              <w:t>3.5</w:t>
            </w:r>
          </w:p>
        </w:tc>
        <w:tc>
          <w:tcPr>
            <w:tcW w:w="729" w:type="pct"/>
            <w:shd w:val="clear" w:color="auto" w:fill="auto"/>
            <w:vAlign w:val="center"/>
          </w:tcPr>
          <w:p w:rsidRPr="00A16D67" w:rsidR="007F565B" w:rsidP="00A16D67" w:rsidRDefault="007F565B" w14:paraId="4E957230" w14:textId="77777777">
            <w:pPr>
              <w:spacing w:after="0" w:line="240" w:lineRule="auto"/>
              <w:jc w:val="right"/>
              <w:rPr>
                <w:rFonts w:eastAsia="Times New Roman" w:cs="Arial"/>
                <w:sz w:val="22"/>
              </w:rPr>
            </w:pPr>
            <w:r w:rsidRPr="00A16D67">
              <w:rPr>
                <w:rFonts w:eastAsia="Times New Roman" w:cs="Arial"/>
                <w:sz w:val="22"/>
              </w:rPr>
              <w:t>508.67</w:t>
            </w:r>
          </w:p>
        </w:tc>
      </w:tr>
      <w:tr w:rsidRPr="00A16D67" w:rsidR="00106D57" w:rsidTr="00A16D67" w14:paraId="7C994D70" w14:textId="77777777">
        <w:trPr>
          <w:trHeight w:val="324"/>
          <w:jc w:val="center"/>
        </w:trPr>
        <w:tc>
          <w:tcPr>
            <w:tcW w:w="1398" w:type="pct"/>
            <w:shd w:val="clear" w:color="auto" w:fill="auto"/>
            <w:vAlign w:val="center"/>
            <w:hideMark/>
          </w:tcPr>
          <w:p w:rsidRPr="00A16D67" w:rsidR="007F565B" w:rsidP="00A16D67" w:rsidRDefault="007F565B" w14:paraId="031D03FA" w14:textId="77777777">
            <w:pPr>
              <w:spacing w:after="0" w:line="240" w:lineRule="auto"/>
              <w:rPr>
                <w:rFonts w:eastAsia="Times New Roman" w:cs="Arial"/>
                <w:sz w:val="22"/>
              </w:rPr>
            </w:pPr>
            <w:r w:rsidRPr="00A16D67">
              <w:rPr>
                <w:rFonts w:eastAsia="Times New Roman" w:cs="Arial"/>
                <w:sz w:val="22"/>
              </w:rPr>
              <w:t>Plan activities</w:t>
            </w:r>
          </w:p>
        </w:tc>
        <w:tc>
          <w:tcPr>
            <w:tcW w:w="954" w:type="pct"/>
            <w:shd w:val="clear" w:color="auto" w:fill="auto"/>
            <w:vAlign w:val="center"/>
            <w:hideMark/>
          </w:tcPr>
          <w:p w:rsidRPr="00A16D67" w:rsidR="007F565B" w:rsidP="00A16D67" w:rsidRDefault="007F565B" w14:paraId="0B2E32FD" w14:textId="77777777">
            <w:pPr>
              <w:spacing w:after="0" w:line="240" w:lineRule="auto"/>
              <w:jc w:val="center"/>
              <w:rPr>
                <w:rFonts w:eastAsia="Times New Roman" w:cs="Arial"/>
                <w:sz w:val="22"/>
              </w:rPr>
            </w:pPr>
            <w:r w:rsidRPr="00A16D67">
              <w:rPr>
                <w:rFonts w:eastAsia="Times New Roman" w:cs="Arial"/>
                <w:sz w:val="22"/>
              </w:rPr>
              <w:t>0.5</w:t>
            </w:r>
          </w:p>
        </w:tc>
        <w:tc>
          <w:tcPr>
            <w:tcW w:w="780" w:type="pct"/>
            <w:shd w:val="clear" w:color="auto" w:fill="auto"/>
            <w:vAlign w:val="center"/>
            <w:hideMark/>
          </w:tcPr>
          <w:p w:rsidRPr="00A16D67" w:rsidR="007F565B" w:rsidP="00A16D67" w:rsidRDefault="007F565B" w14:paraId="0666CAFD" w14:textId="77777777">
            <w:pPr>
              <w:spacing w:after="0" w:line="240" w:lineRule="auto"/>
              <w:jc w:val="center"/>
              <w:rPr>
                <w:rFonts w:eastAsia="Times New Roman" w:cs="Arial"/>
                <w:sz w:val="22"/>
              </w:rPr>
            </w:pPr>
            <w:r w:rsidRPr="00A16D67">
              <w:rPr>
                <w:rFonts w:eastAsia="Times New Roman" w:cs="Arial"/>
                <w:sz w:val="22"/>
              </w:rPr>
              <w:t>0.0</w:t>
            </w:r>
          </w:p>
        </w:tc>
        <w:tc>
          <w:tcPr>
            <w:tcW w:w="742" w:type="pct"/>
            <w:shd w:val="clear" w:color="auto" w:fill="auto"/>
            <w:vAlign w:val="center"/>
            <w:hideMark/>
          </w:tcPr>
          <w:p w:rsidRPr="00A16D67" w:rsidR="007F565B" w:rsidP="00A16D67" w:rsidRDefault="007F565B" w14:paraId="3086036D" w14:textId="77777777">
            <w:pPr>
              <w:spacing w:after="0" w:line="240" w:lineRule="auto"/>
              <w:jc w:val="center"/>
              <w:rPr>
                <w:rFonts w:eastAsia="Times New Roman" w:cs="Arial"/>
                <w:sz w:val="22"/>
              </w:rPr>
            </w:pPr>
            <w:r w:rsidRPr="00A16D67">
              <w:rPr>
                <w:rFonts w:eastAsia="Times New Roman" w:cs="Arial"/>
                <w:sz w:val="22"/>
              </w:rPr>
              <w:t>0.0</w:t>
            </w:r>
          </w:p>
        </w:tc>
        <w:tc>
          <w:tcPr>
            <w:tcW w:w="397" w:type="pct"/>
            <w:shd w:val="clear" w:color="auto" w:fill="auto"/>
            <w:vAlign w:val="center"/>
            <w:hideMark/>
          </w:tcPr>
          <w:p w:rsidRPr="00A16D67" w:rsidR="007F565B" w:rsidP="00A16D67" w:rsidRDefault="007F565B" w14:paraId="203E27AC" w14:textId="77777777">
            <w:pPr>
              <w:spacing w:after="0" w:line="240" w:lineRule="auto"/>
              <w:jc w:val="right"/>
              <w:rPr>
                <w:rFonts w:eastAsia="Times New Roman" w:cs="Arial"/>
                <w:sz w:val="22"/>
              </w:rPr>
            </w:pPr>
            <w:r w:rsidRPr="00A16D67">
              <w:rPr>
                <w:rFonts w:eastAsia="Times New Roman" w:cs="Arial"/>
                <w:sz w:val="22"/>
              </w:rPr>
              <w:t>0.5</w:t>
            </w:r>
          </w:p>
        </w:tc>
        <w:tc>
          <w:tcPr>
            <w:tcW w:w="729" w:type="pct"/>
            <w:shd w:val="clear" w:color="auto" w:fill="auto"/>
            <w:vAlign w:val="center"/>
          </w:tcPr>
          <w:p w:rsidRPr="00A16D67" w:rsidR="007F565B" w:rsidP="00A16D67" w:rsidRDefault="007F565B" w14:paraId="0B84B17A" w14:textId="77777777">
            <w:pPr>
              <w:spacing w:after="0" w:line="240" w:lineRule="auto"/>
              <w:jc w:val="right"/>
              <w:rPr>
                <w:rFonts w:eastAsia="Times New Roman" w:cs="Arial"/>
                <w:sz w:val="22"/>
              </w:rPr>
            </w:pPr>
            <w:r w:rsidRPr="00A16D67">
              <w:rPr>
                <w:rFonts w:eastAsia="Times New Roman" w:cs="Arial"/>
                <w:sz w:val="22"/>
              </w:rPr>
              <w:t>72.67</w:t>
            </w:r>
          </w:p>
        </w:tc>
      </w:tr>
      <w:tr w:rsidRPr="00A16D67" w:rsidR="00106D57" w:rsidTr="00A16D67" w14:paraId="1FC5FB60" w14:textId="77777777">
        <w:trPr>
          <w:trHeight w:val="324"/>
          <w:jc w:val="center"/>
        </w:trPr>
        <w:tc>
          <w:tcPr>
            <w:tcW w:w="1398" w:type="pct"/>
            <w:shd w:val="clear" w:color="auto" w:fill="auto"/>
            <w:noWrap/>
            <w:vAlign w:val="center"/>
            <w:hideMark/>
          </w:tcPr>
          <w:p w:rsidRPr="00A16D67" w:rsidR="007F565B" w:rsidP="00A16D67" w:rsidRDefault="007F565B" w14:paraId="203CC3C4" w14:textId="77777777">
            <w:pPr>
              <w:spacing w:after="0" w:line="240" w:lineRule="auto"/>
              <w:rPr>
                <w:rFonts w:eastAsia="Times New Roman" w:cs="Arial"/>
                <w:sz w:val="22"/>
              </w:rPr>
            </w:pPr>
            <w:r w:rsidRPr="00A16D67">
              <w:rPr>
                <w:rFonts w:eastAsia="Times New Roman" w:cs="Arial"/>
                <w:sz w:val="22"/>
              </w:rPr>
              <w:t>Gather/create information</w:t>
            </w:r>
          </w:p>
        </w:tc>
        <w:tc>
          <w:tcPr>
            <w:tcW w:w="954" w:type="pct"/>
            <w:shd w:val="clear" w:color="auto" w:fill="auto"/>
            <w:vAlign w:val="center"/>
            <w:hideMark/>
          </w:tcPr>
          <w:p w:rsidRPr="00A16D67" w:rsidR="007F565B" w:rsidP="00A16D67" w:rsidRDefault="007F565B" w14:paraId="562EF644" w14:textId="77777777">
            <w:pPr>
              <w:spacing w:after="0" w:line="240" w:lineRule="auto"/>
              <w:jc w:val="center"/>
              <w:rPr>
                <w:rFonts w:eastAsia="Times New Roman" w:cs="Arial"/>
                <w:sz w:val="22"/>
              </w:rPr>
            </w:pPr>
            <w:r w:rsidRPr="00A16D67">
              <w:rPr>
                <w:rFonts w:eastAsia="Times New Roman" w:cs="Arial"/>
                <w:sz w:val="22"/>
              </w:rPr>
              <w:t>0.0</w:t>
            </w:r>
          </w:p>
        </w:tc>
        <w:tc>
          <w:tcPr>
            <w:tcW w:w="780" w:type="pct"/>
            <w:shd w:val="clear" w:color="auto" w:fill="auto"/>
            <w:vAlign w:val="center"/>
            <w:hideMark/>
          </w:tcPr>
          <w:p w:rsidRPr="00A16D67" w:rsidR="007F565B" w:rsidP="00A16D67" w:rsidRDefault="007F565B" w14:paraId="62AA7427" w14:textId="77777777">
            <w:pPr>
              <w:spacing w:after="0" w:line="240" w:lineRule="auto"/>
              <w:jc w:val="center"/>
              <w:rPr>
                <w:rFonts w:eastAsia="Times New Roman" w:cs="Arial"/>
                <w:sz w:val="22"/>
              </w:rPr>
            </w:pPr>
            <w:r w:rsidRPr="00A16D67">
              <w:rPr>
                <w:rFonts w:eastAsia="Times New Roman" w:cs="Arial"/>
                <w:sz w:val="22"/>
              </w:rPr>
              <w:t>1.5</w:t>
            </w:r>
          </w:p>
        </w:tc>
        <w:tc>
          <w:tcPr>
            <w:tcW w:w="742" w:type="pct"/>
            <w:shd w:val="clear" w:color="auto" w:fill="auto"/>
            <w:vAlign w:val="center"/>
            <w:hideMark/>
          </w:tcPr>
          <w:p w:rsidRPr="00A16D67" w:rsidR="007F565B" w:rsidP="00A16D67" w:rsidRDefault="007F565B" w14:paraId="4036FA1F" w14:textId="77777777">
            <w:pPr>
              <w:spacing w:after="0" w:line="240" w:lineRule="auto"/>
              <w:jc w:val="center"/>
              <w:rPr>
                <w:rFonts w:eastAsia="Times New Roman" w:cs="Arial"/>
                <w:sz w:val="22"/>
              </w:rPr>
            </w:pPr>
            <w:r w:rsidRPr="00A16D67">
              <w:rPr>
                <w:rFonts w:eastAsia="Times New Roman" w:cs="Arial"/>
                <w:sz w:val="22"/>
              </w:rPr>
              <w:t>0.0</w:t>
            </w:r>
          </w:p>
        </w:tc>
        <w:tc>
          <w:tcPr>
            <w:tcW w:w="397" w:type="pct"/>
            <w:shd w:val="clear" w:color="auto" w:fill="auto"/>
            <w:vAlign w:val="center"/>
            <w:hideMark/>
          </w:tcPr>
          <w:p w:rsidRPr="00A16D67" w:rsidR="007F565B" w:rsidP="00A16D67" w:rsidRDefault="007F565B" w14:paraId="18265E11" w14:textId="77777777">
            <w:pPr>
              <w:spacing w:after="0" w:line="240" w:lineRule="auto"/>
              <w:jc w:val="right"/>
              <w:rPr>
                <w:rFonts w:eastAsia="Times New Roman" w:cs="Arial"/>
                <w:sz w:val="22"/>
              </w:rPr>
            </w:pPr>
            <w:r w:rsidRPr="00A16D67">
              <w:rPr>
                <w:rFonts w:eastAsia="Times New Roman" w:cs="Arial"/>
                <w:sz w:val="22"/>
              </w:rPr>
              <w:t>1.5</w:t>
            </w:r>
          </w:p>
        </w:tc>
        <w:tc>
          <w:tcPr>
            <w:tcW w:w="729" w:type="pct"/>
            <w:shd w:val="clear" w:color="auto" w:fill="auto"/>
            <w:vAlign w:val="center"/>
          </w:tcPr>
          <w:p w:rsidRPr="00A16D67" w:rsidR="007F565B" w:rsidP="00A16D67" w:rsidRDefault="007F565B" w14:paraId="12F36DBF" w14:textId="77777777">
            <w:pPr>
              <w:spacing w:after="0" w:line="240" w:lineRule="auto"/>
              <w:jc w:val="right"/>
              <w:rPr>
                <w:rFonts w:eastAsia="Times New Roman" w:cs="Arial"/>
                <w:sz w:val="22"/>
              </w:rPr>
            </w:pPr>
            <w:r w:rsidRPr="00A16D67">
              <w:rPr>
                <w:rFonts w:eastAsia="Times New Roman" w:cs="Arial"/>
                <w:sz w:val="22"/>
              </w:rPr>
              <w:t>114.52</w:t>
            </w:r>
          </w:p>
        </w:tc>
      </w:tr>
      <w:tr w:rsidRPr="00A16D67" w:rsidR="00106D57" w:rsidTr="00A16D67" w14:paraId="119504EB" w14:textId="77777777">
        <w:trPr>
          <w:trHeight w:val="324"/>
          <w:jc w:val="center"/>
        </w:trPr>
        <w:tc>
          <w:tcPr>
            <w:tcW w:w="1398" w:type="pct"/>
            <w:shd w:val="clear" w:color="auto" w:fill="auto"/>
            <w:vAlign w:val="center"/>
            <w:hideMark/>
          </w:tcPr>
          <w:p w:rsidRPr="00A16D67" w:rsidR="007F565B" w:rsidP="00A16D67" w:rsidRDefault="007F565B" w14:paraId="09495431" w14:textId="77777777">
            <w:pPr>
              <w:spacing w:after="0" w:line="240" w:lineRule="auto"/>
              <w:rPr>
                <w:rFonts w:eastAsia="Times New Roman" w:cs="Arial"/>
                <w:b/>
                <w:sz w:val="22"/>
              </w:rPr>
            </w:pPr>
            <w:r w:rsidRPr="00A16D67">
              <w:rPr>
                <w:rFonts w:eastAsia="Times New Roman" w:cs="Arial"/>
                <w:b/>
                <w:sz w:val="22"/>
              </w:rPr>
              <w:t>TOTAL</w:t>
            </w:r>
          </w:p>
        </w:tc>
        <w:tc>
          <w:tcPr>
            <w:tcW w:w="954" w:type="pct"/>
            <w:shd w:val="clear" w:color="auto" w:fill="auto"/>
            <w:vAlign w:val="center"/>
            <w:hideMark/>
          </w:tcPr>
          <w:p w:rsidRPr="00A16D67" w:rsidR="007F565B" w:rsidP="00A16D67" w:rsidRDefault="007F565B" w14:paraId="5D2F85C2" w14:textId="77777777">
            <w:pPr>
              <w:spacing w:after="0" w:line="240" w:lineRule="auto"/>
              <w:jc w:val="center"/>
              <w:rPr>
                <w:rFonts w:eastAsia="Times New Roman" w:cs="Arial"/>
                <w:sz w:val="22"/>
              </w:rPr>
            </w:pPr>
            <w:r w:rsidRPr="00A16D67">
              <w:rPr>
                <w:rFonts w:eastAsia="Times New Roman" w:cs="Arial"/>
                <w:sz w:val="22"/>
              </w:rPr>
              <w:t>4.0</w:t>
            </w:r>
          </w:p>
        </w:tc>
        <w:tc>
          <w:tcPr>
            <w:tcW w:w="780" w:type="pct"/>
            <w:shd w:val="clear" w:color="auto" w:fill="auto"/>
            <w:vAlign w:val="center"/>
            <w:hideMark/>
          </w:tcPr>
          <w:p w:rsidRPr="00A16D67" w:rsidR="007F565B" w:rsidP="00A16D67" w:rsidRDefault="007F565B" w14:paraId="032B58E5" w14:textId="77777777">
            <w:pPr>
              <w:spacing w:after="0" w:line="240" w:lineRule="auto"/>
              <w:jc w:val="center"/>
              <w:rPr>
                <w:rFonts w:eastAsia="Times New Roman" w:cs="Arial"/>
                <w:sz w:val="22"/>
              </w:rPr>
            </w:pPr>
            <w:r w:rsidRPr="00A16D67">
              <w:rPr>
                <w:rFonts w:eastAsia="Times New Roman" w:cs="Arial"/>
                <w:sz w:val="22"/>
              </w:rPr>
              <w:t>1.5</w:t>
            </w:r>
          </w:p>
        </w:tc>
        <w:tc>
          <w:tcPr>
            <w:tcW w:w="742" w:type="pct"/>
            <w:shd w:val="clear" w:color="auto" w:fill="auto"/>
            <w:vAlign w:val="center"/>
            <w:hideMark/>
          </w:tcPr>
          <w:p w:rsidRPr="00A16D67" w:rsidR="007F565B" w:rsidP="00A16D67" w:rsidRDefault="007F565B" w14:paraId="30FDEE82" w14:textId="77777777">
            <w:pPr>
              <w:spacing w:after="0" w:line="240" w:lineRule="auto"/>
              <w:jc w:val="center"/>
              <w:rPr>
                <w:rFonts w:eastAsia="Times New Roman" w:cs="Arial"/>
                <w:sz w:val="22"/>
              </w:rPr>
            </w:pPr>
            <w:r w:rsidRPr="00A16D67">
              <w:rPr>
                <w:rFonts w:eastAsia="Times New Roman" w:cs="Arial"/>
                <w:sz w:val="22"/>
              </w:rPr>
              <w:t>0.0</w:t>
            </w:r>
          </w:p>
        </w:tc>
        <w:tc>
          <w:tcPr>
            <w:tcW w:w="397" w:type="pct"/>
            <w:shd w:val="clear" w:color="auto" w:fill="auto"/>
            <w:vAlign w:val="center"/>
            <w:hideMark/>
          </w:tcPr>
          <w:p w:rsidRPr="00A16D67" w:rsidR="007F565B" w:rsidP="00A16D67" w:rsidRDefault="007F565B" w14:paraId="18B3B63E" w14:textId="77777777">
            <w:pPr>
              <w:spacing w:after="0" w:line="240" w:lineRule="auto"/>
              <w:jc w:val="right"/>
              <w:rPr>
                <w:rFonts w:eastAsia="Times New Roman" w:cs="Arial"/>
                <w:sz w:val="22"/>
              </w:rPr>
            </w:pPr>
            <w:r w:rsidRPr="00A16D67">
              <w:rPr>
                <w:rFonts w:eastAsia="Times New Roman" w:cs="Arial"/>
                <w:sz w:val="22"/>
              </w:rPr>
              <w:t>5.5</w:t>
            </w:r>
          </w:p>
        </w:tc>
        <w:tc>
          <w:tcPr>
            <w:tcW w:w="729" w:type="pct"/>
            <w:shd w:val="clear" w:color="auto" w:fill="auto"/>
            <w:vAlign w:val="center"/>
          </w:tcPr>
          <w:p w:rsidRPr="00A16D67" w:rsidR="007F565B" w:rsidP="00A16D67" w:rsidRDefault="007F565B" w14:paraId="416317CE" w14:textId="77777777">
            <w:pPr>
              <w:spacing w:after="0" w:line="240" w:lineRule="auto"/>
              <w:jc w:val="right"/>
              <w:rPr>
                <w:rFonts w:eastAsia="Times New Roman" w:cs="Arial"/>
                <w:sz w:val="22"/>
              </w:rPr>
            </w:pPr>
            <w:r w:rsidRPr="00A16D67">
              <w:rPr>
                <w:rFonts w:eastAsia="Times New Roman" w:cs="Arial"/>
                <w:sz w:val="22"/>
              </w:rPr>
              <w:t>695.86</w:t>
            </w:r>
          </w:p>
        </w:tc>
      </w:tr>
    </w:tbl>
    <w:p w:rsidRPr="00106D57" w:rsidR="007F565B" w:rsidP="006F5CC0" w:rsidRDefault="007F565B" w14:paraId="1CEA5F00" w14:textId="77777777">
      <w:pPr>
        <w:spacing w:line="240" w:lineRule="auto"/>
        <w:rPr>
          <w:rFonts w:eastAsia="Times New Roman" w:cs="Arial"/>
          <w:b/>
          <w:szCs w:val="24"/>
        </w:rPr>
      </w:pPr>
    </w:p>
    <w:p w:rsidRPr="00106D57" w:rsidR="00E47981" w:rsidP="006F5CC0" w:rsidRDefault="00E47981" w14:paraId="5F09FC09" w14:textId="618CB70A">
      <w:pPr>
        <w:pStyle w:val="Heading4"/>
        <w:spacing w:after="240"/>
        <w:ind w:firstLine="720"/>
        <w:rPr>
          <w:rFonts w:eastAsia="Times New Roman"/>
        </w:rPr>
      </w:pPr>
      <w:r w:rsidRPr="00106D57">
        <w:rPr>
          <w:rFonts w:eastAsia="Times New Roman"/>
        </w:rPr>
        <w:t xml:space="preserve">Table </w:t>
      </w:r>
      <w:r w:rsidRPr="00106D57" w:rsidR="00605DAE">
        <w:rPr>
          <w:rFonts w:eastAsia="Times New Roman"/>
        </w:rPr>
        <w:t>4</w:t>
      </w:r>
      <w:r w:rsidRPr="00106D57">
        <w:rPr>
          <w:rFonts w:eastAsia="Times New Roman"/>
        </w:rPr>
        <w:t xml:space="preserve">: </w:t>
      </w:r>
      <w:r w:rsidRPr="00106D57" w:rsidR="007F565B">
        <w:rPr>
          <w:rFonts w:eastAsia="Times New Roman"/>
        </w:rPr>
        <w:t xml:space="preserve">Annual </w:t>
      </w:r>
      <w:r w:rsidR="0079772A">
        <w:rPr>
          <w:rFonts w:eastAsia="Times New Roman"/>
        </w:rPr>
        <w:t xml:space="preserve">Respondent </w:t>
      </w:r>
      <w:r w:rsidRPr="00106D57" w:rsidR="007F565B">
        <w:rPr>
          <w:rFonts w:eastAsia="Times New Roman"/>
        </w:rPr>
        <w:t>Burden &amp; Costs</w:t>
      </w:r>
    </w:p>
    <w:tbl>
      <w:tblPr>
        <w:tblStyle w:val="TableGrid"/>
        <w:tblW w:w="0" w:type="auto"/>
        <w:tblLook w:val="04A0" w:firstRow="1" w:lastRow="0" w:firstColumn="1" w:lastColumn="0" w:noHBand="0" w:noVBand="1"/>
      </w:tblPr>
      <w:tblGrid>
        <w:gridCol w:w="1675"/>
        <w:gridCol w:w="1589"/>
        <w:gridCol w:w="1340"/>
        <w:gridCol w:w="2095"/>
        <w:gridCol w:w="1292"/>
        <w:gridCol w:w="1318"/>
      </w:tblGrid>
      <w:tr w:rsidRPr="00A16D67" w:rsidR="00106D57" w:rsidTr="001A6A8C" w14:paraId="4E204CC8" w14:textId="77777777">
        <w:trPr>
          <w:trHeight w:val="606"/>
        </w:trPr>
        <w:tc>
          <w:tcPr>
            <w:tcW w:w="1675" w:type="dxa"/>
            <w:tcBorders>
              <w:bottom w:val="single" w:color="auto" w:sz="4" w:space="0"/>
            </w:tcBorders>
          </w:tcPr>
          <w:p w:rsidRPr="00A16D67" w:rsidR="00E47981" w:rsidP="00A16D67" w:rsidRDefault="00E47981" w14:paraId="3148762B" w14:textId="77777777">
            <w:pPr>
              <w:spacing w:after="0"/>
              <w:rPr>
                <w:rFonts w:eastAsia="Times New Roman" w:cs="Arial"/>
                <w:sz w:val="22"/>
              </w:rPr>
            </w:pPr>
          </w:p>
        </w:tc>
        <w:tc>
          <w:tcPr>
            <w:tcW w:w="1589" w:type="dxa"/>
            <w:tcBorders>
              <w:bottom w:val="single" w:color="auto" w:sz="4" w:space="0"/>
            </w:tcBorders>
          </w:tcPr>
          <w:p w:rsidRPr="00A16D67" w:rsidR="00E47981" w:rsidP="00A16D67" w:rsidRDefault="00641EB1" w14:paraId="43EA2B09" w14:textId="44A984C4">
            <w:pPr>
              <w:spacing w:after="0"/>
              <w:jc w:val="center"/>
              <w:rPr>
                <w:rFonts w:eastAsia="Times New Roman" w:cs="Arial"/>
                <w:b/>
                <w:bCs/>
                <w:sz w:val="22"/>
              </w:rPr>
            </w:pPr>
            <w:r w:rsidRPr="00A16D67">
              <w:rPr>
                <w:rFonts w:eastAsia="Times New Roman" w:cs="Arial"/>
                <w:b/>
                <w:bCs/>
                <w:sz w:val="22"/>
              </w:rPr>
              <w:t>Burden Hours</w:t>
            </w:r>
          </w:p>
        </w:tc>
        <w:tc>
          <w:tcPr>
            <w:tcW w:w="1340" w:type="dxa"/>
            <w:tcBorders>
              <w:bottom w:val="single" w:color="auto" w:sz="4" w:space="0"/>
            </w:tcBorders>
          </w:tcPr>
          <w:p w:rsidRPr="00A16D67" w:rsidR="00E47981" w:rsidP="00A16D67" w:rsidRDefault="00641EB1" w14:paraId="0981C2D4" w14:textId="36B906F5">
            <w:pPr>
              <w:spacing w:after="0"/>
              <w:jc w:val="center"/>
              <w:rPr>
                <w:rFonts w:eastAsia="Times New Roman" w:cs="Arial"/>
                <w:b/>
                <w:bCs/>
                <w:sz w:val="22"/>
              </w:rPr>
            </w:pPr>
            <w:r w:rsidRPr="00A16D67">
              <w:rPr>
                <w:rFonts w:eastAsia="Times New Roman" w:cs="Arial"/>
                <w:b/>
                <w:bCs/>
                <w:sz w:val="22"/>
              </w:rPr>
              <w:t>$/</w:t>
            </w:r>
            <w:r w:rsidRPr="00A16D67" w:rsidR="00A5746C">
              <w:rPr>
                <w:rFonts w:eastAsia="Times New Roman" w:cs="Arial"/>
                <w:b/>
                <w:bCs/>
                <w:sz w:val="22"/>
              </w:rPr>
              <w:t>hr.</w:t>
            </w:r>
          </w:p>
        </w:tc>
        <w:tc>
          <w:tcPr>
            <w:tcW w:w="2095" w:type="dxa"/>
            <w:tcBorders>
              <w:bottom w:val="single" w:color="auto" w:sz="4" w:space="0"/>
            </w:tcBorders>
          </w:tcPr>
          <w:p w:rsidRPr="00A16D67" w:rsidR="00E47981" w:rsidP="00A16D67" w:rsidRDefault="00641EB1" w14:paraId="521BE83A" w14:textId="209F4CF6">
            <w:pPr>
              <w:spacing w:after="0"/>
              <w:jc w:val="center"/>
              <w:rPr>
                <w:rFonts w:eastAsia="Times New Roman" w:cs="Arial"/>
                <w:b/>
                <w:bCs/>
                <w:sz w:val="22"/>
              </w:rPr>
            </w:pPr>
            <w:r w:rsidRPr="00A16D67">
              <w:rPr>
                <w:rFonts w:eastAsia="Times New Roman" w:cs="Arial"/>
                <w:b/>
                <w:bCs/>
                <w:sz w:val="22"/>
              </w:rPr>
              <w:t>Responses/year</w:t>
            </w:r>
          </w:p>
        </w:tc>
        <w:tc>
          <w:tcPr>
            <w:tcW w:w="2594" w:type="dxa"/>
            <w:gridSpan w:val="2"/>
            <w:tcBorders>
              <w:bottom w:val="single" w:color="auto" w:sz="4" w:space="0"/>
            </w:tcBorders>
          </w:tcPr>
          <w:p w:rsidRPr="00A16D67" w:rsidR="00E47981" w:rsidP="00A16D67" w:rsidRDefault="00E47981" w14:paraId="13A8CF2A" w14:textId="063E9D8D">
            <w:pPr>
              <w:spacing w:after="0"/>
              <w:jc w:val="center"/>
              <w:rPr>
                <w:rFonts w:eastAsia="Times New Roman" w:cs="Arial"/>
                <w:b/>
                <w:bCs/>
                <w:sz w:val="22"/>
              </w:rPr>
            </w:pPr>
            <w:r w:rsidRPr="00A16D67">
              <w:rPr>
                <w:rFonts w:eastAsia="Times New Roman" w:cs="Arial"/>
                <w:b/>
                <w:bCs/>
                <w:sz w:val="22"/>
              </w:rPr>
              <w:t>Total</w:t>
            </w:r>
          </w:p>
        </w:tc>
      </w:tr>
      <w:tr w:rsidRPr="00A16D67" w:rsidR="00106D57" w:rsidTr="001A6A8C" w14:paraId="3FBE6573" w14:textId="537F5F35">
        <w:trPr>
          <w:trHeight w:val="329"/>
        </w:trPr>
        <w:tc>
          <w:tcPr>
            <w:tcW w:w="1675" w:type="dxa"/>
            <w:vMerge w:val="restart"/>
          </w:tcPr>
          <w:p w:rsidRPr="00A16D67" w:rsidR="006F2629" w:rsidP="00A16D67" w:rsidRDefault="006F2629" w14:paraId="59C4BBAF" w14:textId="77777777">
            <w:pPr>
              <w:spacing w:after="0"/>
              <w:rPr>
                <w:rFonts w:eastAsia="Times New Roman" w:cs="Arial"/>
                <w:sz w:val="22"/>
              </w:rPr>
            </w:pPr>
          </w:p>
        </w:tc>
        <w:tc>
          <w:tcPr>
            <w:tcW w:w="1589" w:type="dxa"/>
            <w:vMerge w:val="restart"/>
          </w:tcPr>
          <w:p w:rsidRPr="00A16D67" w:rsidR="006F2629" w:rsidP="00A16D67" w:rsidRDefault="006F2629" w14:paraId="6B60FC91" w14:textId="1ABF67A0">
            <w:pPr>
              <w:spacing w:after="0"/>
              <w:jc w:val="center"/>
              <w:rPr>
                <w:rFonts w:eastAsia="Times New Roman" w:cs="Arial"/>
                <w:sz w:val="22"/>
              </w:rPr>
            </w:pPr>
            <w:r w:rsidRPr="00A16D67">
              <w:rPr>
                <w:rFonts w:eastAsia="Times New Roman" w:cs="Arial"/>
                <w:sz w:val="22"/>
              </w:rPr>
              <w:t>5.5</w:t>
            </w:r>
          </w:p>
        </w:tc>
        <w:tc>
          <w:tcPr>
            <w:tcW w:w="1340" w:type="dxa"/>
            <w:vMerge w:val="restart"/>
          </w:tcPr>
          <w:p w:rsidRPr="00A16D67" w:rsidR="006F2629" w:rsidP="00A16D67" w:rsidRDefault="006F2629" w14:paraId="02C63845" w14:textId="77777777">
            <w:pPr>
              <w:spacing w:after="0"/>
              <w:jc w:val="center"/>
              <w:rPr>
                <w:rFonts w:eastAsia="Times New Roman" w:cs="Arial"/>
                <w:sz w:val="22"/>
              </w:rPr>
            </w:pPr>
          </w:p>
        </w:tc>
        <w:tc>
          <w:tcPr>
            <w:tcW w:w="2095" w:type="dxa"/>
            <w:vMerge w:val="restart"/>
          </w:tcPr>
          <w:p w:rsidRPr="00A16D67" w:rsidR="006F2629" w:rsidP="00A16D67" w:rsidRDefault="006F2629" w14:paraId="096970A2" w14:textId="448942F5">
            <w:pPr>
              <w:spacing w:after="0"/>
              <w:jc w:val="center"/>
              <w:rPr>
                <w:rFonts w:eastAsia="Times New Roman" w:cs="Arial"/>
                <w:sz w:val="22"/>
              </w:rPr>
            </w:pPr>
            <w:r w:rsidRPr="00A16D67">
              <w:rPr>
                <w:rFonts w:eastAsia="Times New Roman" w:cs="Arial"/>
                <w:sz w:val="22"/>
              </w:rPr>
              <w:t>87</w:t>
            </w:r>
          </w:p>
        </w:tc>
        <w:tc>
          <w:tcPr>
            <w:tcW w:w="1284" w:type="dxa"/>
          </w:tcPr>
          <w:p w:rsidRPr="00A16D67" w:rsidR="006F2629" w:rsidP="00A16D67" w:rsidRDefault="006F2629" w14:paraId="2D12A7DC" w14:textId="77E47C71">
            <w:pPr>
              <w:spacing w:after="0"/>
              <w:jc w:val="center"/>
              <w:rPr>
                <w:rFonts w:eastAsia="Times New Roman" w:cs="Arial"/>
                <w:sz w:val="22"/>
              </w:rPr>
            </w:pPr>
            <w:r w:rsidRPr="00A16D67">
              <w:rPr>
                <w:rFonts w:eastAsia="Times New Roman" w:cs="Arial"/>
                <w:sz w:val="22"/>
              </w:rPr>
              <w:t>Hours/year</w:t>
            </w:r>
          </w:p>
        </w:tc>
        <w:tc>
          <w:tcPr>
            <w:tcW w:w="1310" w:type="dxa"/>
          </w:tcPr>
          <w:p w:rsidRPr="00A16D67" w:rsidR="006F2629" w:rsidP="00A16D67" w:rsidRDefault="006F2629" w14:paraId="58744EFE" w14:textId="3CB00913">
            <w:pPr>
              <w:spacing w:after="0"/>
              <w:jc w:val="center"/>
              <w:rPr>
                <w:rFonts w:eastAsia="Times New Roman" w:cs="Arial"/>
                <w:sz w:val="22"/>
              </w:rPr>
            </w:pPr>
            <w:r w:rsidRPr="00A16D67">
              <w:rPr>
                <w:rFonts w:eastAsia="Times New Roman" w:cs="Arial"/>
                <w:sz w:val="22"/>
              </w:rPr>
              <w:t>Cost</w:t>
            </w:r>
            <w:r w:rsidRPr="00A16D67" w:rsidR="00542A34">
              <w:rPr>
                <w:rFonts w:eastAsia="Times New Roman" w:cs="Arial"/>
                <w:sz w:val="22"/>
              </w:rPr>
              <w:t xml:space="preserve"> $</w:t>
            </w:r>
          </w:p>
        </w:tc>
      </w:tr>
      <w:tr w:rsidRPr="00A16D67" w:rsidR="00106D57" w:rsidTr="001A6A8C" w14:paraId="18571E1A" w14:textId="77777777">
        <w:trPr>
          <w:trHeight w:val="368"/>
        </w:trPr>
        <w:tc>
          <w:tcPr>
            <w:tcW w:w="1675" w:type="dxa"/>
            <w:vMerge/>
          </w:tcPr>
          <w:p w:rsidRPr="00A16D67" w:rsidR="006F2629" w:rsidP="00A16D67" w:rsidRDefault="006F2629" w14:paraId="3B8CEA21" w14:textId="77777777">
            <w:pPr>
              <w:spacing w:after="0"/>
              <w:rPr>
                <w:rFonts w:eastAsia="Times New Roman" w:cs="Arial"/>
                <w:sz w:val="22"/>
              </w:rPr>
            </w:pPr>
          </w:p>
        </w:tc>
        <w:tc>
          <w:tcPr>
            <w:tcW w:w="1589" w:type="dxa"/>
            <w:vMerge/>
          </w:tcPr>
          <w:p w:rsidRPr="00A16D67" w:rsidR="006F2629" w:rsidP="00A16D67" w:rsidRDefault="006F2629" w14:paraId="27FEC85C" w14:textId="77777777">
            <w:pPr>
              <w:spacing w:after="0"/>
              <w:jc w:val="center"/>
              <w:rPr>
                <w:rFonts w:eastAsia="Times New Roman" w:cs="Arial"/>
                <w:sz w:val="22"/>
              </w:rPr>
            </w:pPr>
          </w:p>
        </w:tc>
        <w:tc>
          <w:tcPr>
            <w:tcW w:w="1340" w:type="dxa"/>
            <w:vMerge/>
          </w:tcPr>
          <w:p w:rsidRPr="00A16D67" w:rsidR="006F2629" w:rsidP="00A16D67" w:rsidRDefault="006F2629" w14:paraId="74593920" w14:textId="77777777">
            <w:pPr>
              <w:spacing w:after="0"/>
              <w:jc w:val="center"/>
              <w:rPr>
                <w:rFonts w:eastAsia="Times New Roman" w:cs="Arial"/>
                <w:sz w:val="22"/>
              </w:rPr>
            </w:pPr>
          </w:p>
        </w:tc>
        <w:tc>
          <w:tcPr>
            <w:tcW w:w="2095" w:type="dxa"/>
            <w:vMerge/>
          </w:tcPr>
          <w:p w:rsidRPr="00A16D67" w:rsidR="006F2629" w:rsidP="00A16D67" w:rsidRDefault="006F2629" w14:paraId="1DF17A50" w14:textId="77777777">
            <w:pPr>
              <w:spacing w:after="0"/>
              <w:jc w:val="center"/>
              <w:rPr>
                <w:rFonts w:eastAsia="Times New Roman" w:cs="Arial"/>
                <w:sz w:val="22"/>
              </w:rPr>
            </w:pPr>
          </w:p>
        </w:tc>
        <w:tc>
          <w:tcPr>
            <w:tcW w:w="1284" w:type="dxa"/>
          </w:tcPr>
          <w:p w:rsidRPr="00A16D67" w:rsidR="006F2629" w:rsidP="00A16D67" w:rsidRDefault="006F2629" w14:paraId="53EE01F0" w14:textId="1386F363">
            <w:pPr>
              <w:spacing w:after="0"/>
              <w:jc w:val="center"/>
              <w:rPr>
                <w:rFonts w:eastAsia="Times New Roman" w:cs="Arial"/>
                <w:sz w:val="22"/>
              </w:rPr>
            </w:pPr>
            <w:r w:rsidRPr="00A16D67">
              <w:rPr>
                <w:rFonts w:eastAsia="Times New Roman" w:cs="Arial"/>
                <w:sz w:val="22"/>
              </w:rPr>
              <w:t>478.5</w:t>
            </w:r>
          </w:p>
        </w:tc>
        <w:tc>
          <w:tcPr>
            <w:tcW w:w="1310" w:type="dxa"/>
          </w:tcPr>
          <w:p w:rsidRPr="00A16D67" w:rsidR="006F2629" w:rsidP="00A16D67" w:rsidRDefault="006F2629" w14:paraId="6CCD3AD6" w14:textId="77777777">
            <w:pPr>
              <w:spacing w:after="0"/>
              <w:jc w:val="center"/>
              <w:rPr>
                <w:rFonts w:eastAsia="Times New Roman" w:cs="Arial"/>
                <w:sz w:val="22"/>
              </w:rPr>
            </w:pPr>
          </w:p>
        </w:tc>
      </w:tr>
      <w:tr w:rsidRPr="00A16D67" w:rsidR="00106D57" w:rsidTr="001A6A8C" w14:paraId="2C4F9B71" w14:textId="22923B15">
        <w:trPr>
          <w:trHeight w:val="303"/>
        </w:trPr>
        <w:tc>
          <w:tcPr>
            <w:tcW w:w="1675" w:type="dxa"/>
          </w:tcPr>
          <w:p w:rsidRPr="00A16D67" w:rsidR="006F2629" w:rsidP="00A16D67" w:rsidRDefault="006F2629" w14:paraId="482E7C48" w14:textId="2476A793">
            <w:pPr>
              <w:spacing w:after="0"/>
              <w:rPr>
                <w:rFonts w:eastAsia="Times New Roman" w:cs="Arial"/>
                <w:sz w:val="22"/>
              </w:rPr>
            </w:pPr>
            <w:r w:rsidRPr="00A16D67">
              <w:rPr>
                <w:rFonts w:eastAsia="Times New Roman" w:cs="Arial"/>
                <w:sz w:val="22"/>
              </w:rPr>
              <w:t>Managerial</w:t>
            </w:r>
          </w:p>
        </w:tc>
        <w:tc>
          <w:tcPr>
            <w:tcW w:w="1589" w:type="dxa"/>
          </w:tcPr>
          <w:p w:rsidRPr="00A16D67" w:rsidR="006F2629" w:rsidP="00A16D67" w:rsidRDefault="006F2629" w14:paraId="3A62B803" w14:textId="45A70E50">
            <w:pPr>
              <w:spacing w:after="0"/>
              <w:jc w:val="center"/>
              <w:rPr>
                <w:rFonts w:eastAsia="Times New Roman" w:cs="Arial"/>
                <w:sz w:val="22"/>
              </w:rPr>
            </w:pPr>
            <w:r w:rsidRPr="00A16D67">
              <w:rPr>
                <w:rFonts w:eastAsia="Times New Roman" w:cs="Arial"/>
                <w:sz w:val="22"/>
              </w:rPr>
              <w:t>4.0</w:t>
            </w:r>
          </w:p>
        </w:tc>
        <w:tc>
          <w:tcPr>
            <w:tcW w:w="1340" w:type="dxa"/>
          </w:tcPr>
          <w:p w:rsidRPr="00A16D67" w:rsidR="006F2629" w:rsidP="00A16D67" w:rsidRDefault="006F2629" w14:paraId="783A2D78" w14:textId="201C91B2">
            <w:pPr>
              <w:spacing w:after="0"/>
              <w:jc w:val="center"/>
              <w:rPr>
                <w:rFonts w:eastAsia="Times New Roman" w:cs="Arial"/>
                <w:sz w:val="22"/>
              </w:rPr>
            </w:pPr>
            <w:r w:rsidRPr="00A16D67">
              <w:rPr>
                <w:rFonts w:eastAsia="Times New Roman" w:cs="Arial"/>
                <w:sz w:val="22"/>
              </w:rPr>
              <w:t>$145.34</w:t>
            </w:r>
          </w:p>
        </w:tc>
        <w:tc>
          <w:tcPr>
            <w:tcW w:w="2095" w:type="dxa"/>
          </w:tcPr>
          <w:p w:rsidRPr="00A16D67" w:rsidR="006F2629" w:rsidP="00A16D67" w:rsidRDefault="006F2629" w14:paraId="6AEF4163" w14:textId="39F78E3E">
            <w:pPr>
              <w:spacing w:after="0"/>
              <w:jc w:val="center"/>
              <w:rPr>
                <w:rFonts w:eastAsia="Times New Roman" w:cs="Arial"/>
                <w:sz w:val="22"/>
              </w:rPr>
            </w:pPr>
            <w:r w:rsidRPr="00A16D67">
              <w:rPr>
                <w:rFonts w:eastAsia="Times New Roman" w:cs="Arial"/>
                <w:sz w:val="22"/>
              </w:rPr>
              <w:t>87</w:t>
            </w:r>
          </w:p>
        </w:tc>
        <w:tc>
          <w:tcPr>
            <w:tcW w:w="1284" w:type="dxa"/>
          </w:tcPr>
          <w:p w:rsidRPr="00A16D67" w:rsidR="006F2629" w:rsidP="00A16D67" w:rsidRDefault="006F2629" w14:paraId="77AC6946" w14:textId="0D1F25B5">
            <w:pPr>
              <w:spacing w:after="0"/>
              <w:jc w:val="center"/>
              <w:rPr>
                <w:rFonts w:eastAsia="Times New Roman" w:cs="Arial"/>
                <w:sz w:val="22"/>
              </w:rPr>
            </w:pPr>
          </w:p>
        </w:tc>
        <w:tc>
          <w:tcPr>
            <w:tcW w:w="1310" w:type="dxa"/>
          </w:tcPr>
          <w:p w:rsidRPr="00A16D67" w:rsidR="006F2629" w:rsidP="00A16D67" w:rsidRDefault="006F2629" w14:paraId="5EF14661" w14:textId="6798DC36">
            <w:pPr>
              <w:spacing w:after="0"/>
              <w:jc w:val="center"/>
              <w:rPr>
                <w:rFonts w:eastAsia="Times New Roman" w:cs="Arial"/>
                <w:sz w:val="22"/>
              </w:rPr>
            </w:pPr>
            <w:r w:rsidRPr="00A16D67">
              <w:rPr>
                <w:rFonts w:eastAsia="Times New Roman" w:cs="Arial"/>
                <w:sz w:val="22"/>
              </w:rPr>
              <w:t>$50,576.67</w:t>
            </w:r>
          </w:p>
        </w:tc>
      </w:tr>
      <w:tr w:rsidRPr="00A16D67" w:rsidR="00106D57" w:rsidTr="001A6A8C" w14:paraId="6A85BE24" w14:textId="3E5F3398">
        <w:trPr>
          <w:trHeight w:val="303"/>
        </w:trPr>
        <w:tc>
          <w:tcPr>
            <w:tcW w:w="1675" w:type="dxa"/>
          </w:tcPr>
          <w:p w:rsidRPr="00A16D67" w:rsidR="006F2629" w:rsidP="00A16D67" w:rsidRDefault="006F2629" w14:paraId="050AFF04" w14:textId="4EAC447F">
            <w:pPr>
              <w:spacing w:after="0"/>
              <w:rPr>
                <w:rFonts w:eastAsia="Times New Roman" w:cs="Arial"/>
                <w:sz w:val="22"/>
              </w:rPr>
            </w:pPr>
            <w:r w:rsidRPr="00A16D67">
              <w:rPr>
                <w:rFonts w:eastAsia="Times New Roman" w:cs="Arial"/>
                <w:sz w:val="22"/>
              </w:rPr>
              <w:t>Technical</w:t>
            </w:r>
          </w:p>
        </w:tc>
        <w:tc>
          <w:tcPr>
            <w:tcW w:w="1589" w:type="dxa"/>
          </w:tcPr>
          <w:p w:rsidRPr="00A16D67" w:rsidR="006F2629" w:rsidP="00A16D67" w:rsidRDefault="006F2629" w14:paraId="11E60270" w14:textId="312C096C">
            <w:pPr>
              <w:spacing w:after="0"/>
              <w:jc w:val="center"/>
              <w:rPr>
                <w:rFonts w:eastAsia="Times New Roman" w:cs="Arial"/>
                <w:sz w:val="22"/>
              </w:rPr>
            </w:pPr>
            <w:r w:rsidRPr="00A16D67">
              <w:rPr>
                <w:rFonts w:eastAsia="Times New Roman" w:cs="Arial"/>
                <w:sz w:val="22"/>
              </w:rPr>
              <w:t>1.5</w:t>
            </w:r>
          </w:p>
        </w:tc>
        <w:tc>
          <w:tcPr>
            <w:tcW w:w="1340" w:type="dxa"/>
          </w:tcPr>
          <w:p w:rsidRPr="00A16D67" w:rsidR="006F2629" w:rsidP="00A16D67" w:rsidRDefault="006F2629" w14:paraId="3FF84F31" w14:textId="20D5A6B9">
            <w:pPr>
              <w:spacing w:after="0"/>
              <w:jc w:val="center"/>
              <w:rPr>
                <w:rFonts w:eastAsia="Times New Roman" w:cs="Arial"/>
                <w:sz w:val="22"/>
              </w:rPr>
            </w:pPr>
            <w:r w:rsidRPr="00A16D67">
              <w:rPr>
                <w:rFonts w:eastAsia="Times New Roman" w:cs="Arial"/>
                <w:sz w:val="22"/>
              </w:rPr>
              <w:t>$76.35</w:t>
            </w:r>
          </w:p>
        </w:tc>
        <w:tc>
          <w:tcPr>
            <w:tcW w:w="2095" w:type="dxa"/>
          </w:tcPr>
          <w:p w:rsidRPr="00A16D67" w:rsidR="006F2629" w:rsidP="00A16D67" w:rsidRDefault="006F2629" w14:paraId="3402CFBC" w14:textId="6918A754">
            <w:pPr>
              <w:spacing w:after="0"/>
              <w:jc w:val="center"/>
              <w:rPr>
                <w:rFonts w:eastAsia="Times New Roman" w:cs="Arial"/>
                <w:sz w:val="22"/>
              </w:rPr>
            </w:pPr>
            <w:r w:rsidRPr="00A16D67">
              <w:rPr>
                <w:rFonts w:eastAsia="Times New Roman" w:cs="Arial"/>
                <w:sz w:val="22"/>
              </w:rPr>
              <w:t>87</w:t>
            </w:r>
          </w:p>
        </w:tc>
        <w:tc>
          <w:tcPr>
            <w:tcW w:w="1284" w:type="dxa"/>
          </w:tcPr>
          <w:p w:rsidRPr="00A16D67" w:rsidR="006F2629" w:rsidP="00A16D67" w:rsidRDefault="006F2629" w14:paraId="6AE83D54" w14:textId="7EF64CEB">
            <w:pPr>
              <w:spacing w:after="0"/>
              <w:jc w:val="center"/>
              <w:rPr>
                <w:rFonts w:eastAsia="Times New Roman" w:cs="Arial"/>
                <w:sz w:val="22"/>
              </w:rPr>
            </w:pPr>
          </w:p>
        </w:tc>
        <w:tc>
          <w:tcPr>
            <w:tcW w:w="1310" w:type="dxa"/>
          </w:tcPr>
          <w:p w:rsidRPr="00A16D67" w:rsidR="006F2629" w:rsidP="00A16D67" w:rsidRDefault="006F2629" w14:paraId="654B176C" w14:textId="6E44F654">
            <w:pPr>
              <w:spacing w:after="0"/>
              <w:jc w:val="center"/>
              <w:rPr>
                <w:rFonts w:eastAsia="Times New Roman" w:cs="Arial"/>
                <w:sz w:val="22"/>
              </w:rPr>
            </w:pPr>
            <w:r w:rsidRPr="00A16D67">
              <w:rPr>
                <w:rFonts w:eastAsia="Times New Roman" w:cs="Arial"/>
                <w:sz w:val="22"/>
              </w:rPr>
              <w:t>$9,963.28</w:t>
            </w:r>
          </w:p>
        </w:tc>
      </w:tr>
      <w:tr w:rsidRPr="00A16D67" w:rsidR="00106D57" w:rsidTr="001A6A8C" w14:paraId="715903DB" w14:textId="315F22B5">
        <w:trPr>
          <w:trHeight w:val="303"/>
        </w:trPr>
        <w:tc>
          <w:tcPr>
            <w:tcW w:w="1675" w:type="dxa"/>
            <w:tcBorders>
              <w:bottom w:val="single" w:color="auto" w:sz="4" w:space="0"/>
            </w:tcBorders>
          </w:tcPr>
          <w:p w:rsidRPr="00A16D67" w:rsidR="006F2629" w:rsidP="00A16D67" w:rsidRDefault="006F2629" w14:paraId="27DC6A62" w14:textId="463A2360">
            <w:pPr>
              <w:spacing w:after="0"/>
              <w:rPr>
                <w:rFonts w:eastAsia="Times New Roman" w:cs="Arial"/>
                <w:sz w:val="22"/>
              </w:rPr>
            </w:pPr>
            <w:r w:rsidRPr="00A16D67">
              <w:rPr>
                <w:rFonts w:eastAsia="Times New Roman" w:cs="Arial"/>
                <w:sz w:val="22"/>
              </w:rPr>
              <w:t>Clerical</w:t>
            </w:r>
          </w:p>
        </w:tc>
        <w:tc>
          <w:tcPr>
            <w:tcW w:w="1589" w:type="dxa"/>
            <w:tcBorders>
              <w:bottom w:val="single" w:color="auto" w:sz="4" w:space="0"/>
            </w:tcBorders>
          </w:tcPr>
          <w:p w:rsidRPr="00A16D67" w:rsidR="006F2629" w:rsidP="00A16D67" w:rsidRDefault="006F2629" w14:paraId="4DE9FC61" w14:textId="3F69CE50">
            <w:pPr>
              <w:spacing w:after="0"/>
              <w:jc w:val="center"/>
              <w:rPr>
                <w:rFonts w:eastAsia="Times New Roman" w:cs="Arial"/>
                <w:sz w:val="22"/>
              </w:rPr>
            </w:pPr>
            <w:r w:rsidRPr="00A16D67">
              <w:rPr>
                <w:rFonts w:eastAsia="Times New Roman" w:cs="Arial"/>
                <w:sz w:val="22"/>
              </w:rPr>
              <w:t>0</w:t>
            </w:r>
          </w:p>
        </w:tc>
        <w:tc>
          <w:tcPr>
            <w:tcW w:w="1340" w:type="dxa"/>
            <w:tcBorders>
              <w:bottom w:val="single" w:color="auto" w:sz="4" w:space="0"/>
            </w:tcBorders>
          </w:tcPr>
          <w:p w:rsidRPr="00A16D67" w:rsidR="006F2629" w:rsidP="00A16D67" w:rsidRDefault="006F2629" w14:paraId="2483F9B8" w14:textId="21F0C682">
            <w:pPr>
              <w:spacing w:after="0"/>
              <w:jc w:val="center"/>
              <w:rPr>
                <w:rFonts w:eastAsia="Times New Roman" w:cs="Arial"/>
                <w:sz w:val="22"/>
              </w:rPr>
            </w:pPr>
            <w:r w:rsidRPr="00A16D67">
              <w:rPr>
                <w:rFonts w:eastAsia="Times New Roman" w:cs="Arial"/>
                <w:sz w:val="22"/>
              </w:rPr>
              <w:t>49.61</w:t>
            </w:r>
          </w:p>
        </w:tc>
        <w:tc>
          <w:tcPr>
            <w:tcW w:w="2095" w:type="dxa"/>
            <w:tcBorders>
              <w:bottom w:val="single" w:color="auto" w:sz="4" w:space="0"/>
            </w:tcBorders>
          </w:tcPr>
          <w:p w:rsidRPr="00A16D67" w:rsidR="006F2629" w:rsidP="00A16D67" w:rsidRDefault="006F2629" w14:paraId="760FD192" w14:textId="7F0D0FC4">
            <w:pPr>
              <w:spacing w:after="0"/>
              <w:jc w:val="center"/>
              <w:rPr>
                <w:rFonts w:eastAsia="Times New Roman" w:cs="Arial"/>
                <w:sz w:val="22"/>
              </w:rPr>
            </w:pPr>
            <w:r w:rsidRPr="00A16D67">
              <w:rPr>
                <w:rFonts w:eastAsia="Times New Roman" w:cs="Arial"/>
                <w:sz w:val="22"/>
              </w:rPr>
              <w:t>87</w:t>
            </w:r>
          </w:p>
        </w:tc>
        <w:tc>
          <w:tcPr>
            <w:tcW w:w="1284" w:type="dxa"/>
            <w:tcBorders>
              <w:bottom w:val="single" w:color="auto" w:sz="4" w:space="0"/>
            </w:tcBorders>
          </w:tcPr>
          <w:p w:rsidRPr="00A16D67" w:rsidR="006F2629" w:rsidP="00A16D67" w:rsidRDefault="006F2629" w14:paraId="57E7C40D" w14:textId="49F1CE1A">
            <w:pPr>
              <w:spacing w:after="0"/>
              <w:jc w:val="center"/>
              <w:rPr>
                <w:rFonts w:eastAsia="Times New Roman" w:cs="Arial"/>
                <w:sz w:val="22"/>
              </w:rPr>
            </w:pPr>
          </w:p>
        </w:tc>
        <w:tc>
          <w:tcPr>
            <w:tcW w:w="1310" w:type="dxa"/>
            <w:tcBorders>
              <w:bottom w:val="single" w:color="auto" w:sz="4" w:space="0"/>
            </w:tcBorders>
          </w:tcPr>
          <w:p w:rsidRPr="00A16D67" w:rsidR="006F2629" w:rsidP="00A16D67" w:rsidRDefault="006F2629" w14:paraId="29C356BE" w14:textId="66AAF83D">
            <w:pPr>
              <w:spacing w:after="0"/>
              <w:jc w:val="center"/>
              <w:rPr>
                <w:rFonts w:eastAsia="Times New Roman" w:cs="Arial"/>
                <w:sz w:val="22"/>
              </w:rPr>
            </w:pPr>
            <w:r w:rsidRPr="00A16D67">
              <w:rPr>
                <w:rFonts w:eastAsia="Times New Roman" w:cs="Arial"/>
                <w:sz w:val="22"/>
              </w:rPr>
              <w:t>$0</w:t>
            </w:r>
          </w:p>
        </w:tc>
      </w:tr>
      <w:tr w:rsidRPr="00A16D67" w:rsidR="00106D57" w:rsidTr="001A6A8C" w14:paraId="3953BF32" w14:textId="02544FA6">
        <w:trPr>
          <w:trHeight w:val="289"/>
        </w:trPr>
        <w:tc>
          <w:tcPr>
            <w:tcW w:w="1675" w:type="dxa"/>
            <w:tcBorders>
              <w:top w:val="single" w:color="auto" w:sz="4" w:space="0"/>
            </w:tcBorders>
          </w:tcPr>
          <w:p w:rsidRPr="00A16D67" w:rsidR="006F2629" w:rsidP="00A16D67" w:rsidRDefault="006F2629" w14:paraId="183832E3" w14:textId="305B405F">
            <w:pPr>
              <w:spacing w:after="0"/>
              <w:rPr>
                <w:rFonts w:eastAsia="Times New Roman" w:cs="Arial"/>
                <w:b/>
                <w:bCs/>
                <w:sz w:val="22"/>
              </w:rPr>
            </w:pPr>
            <w:r w:rsidRPr="00A16D67">
              <w:rPr>
                <w:rFonts w:eastAsia="Times New Roman" w:cs="Arial"/>
                <w:b/>
                <w:bCs/>
                <w:sz w:val="22"/>
              </w:rPr>
              <w:t>TOTAL</w:t>
            </w:r>
          </w:p>
        </w:tc>
        <w:tc>
          <w:tcPr>
            <w:tcW w:w="1589" w:type="dxa"/>
            <w:tcBorders>
              <w:top w:val="single" w:color="auto" w:sz="4" w:space="0"/>
            </w:tcBorders>
          </w:tcPr>
          <w:p w:rsidRPr="00A16D67" w:rsidR="006F2629" w:rsidP="00A16D67" w:rsidRDefault="006F2629" w14:paraId="3F04DBCC" w14:textId="77777777">
            <w:pPr>
              <w:spacing w:after="0"/>
              <w:jc w:val="center"/>
              <w:rPr>
                <w:rFonts w:eastAsia="Times New Roman" w:cs="Arial"/>
                <w:sz w:val="22"/>
              </w:rPr>
            </w:pPr>
          </w:p>
        </w:tc>
        <w:tc>
          <w:tcPr>
            <w:tcW w:w="1340" w:type="dxa"/>
            <w:tcBorders>
              <w:top w:val="single" w:color="auto" w:sz="4" w:space="0"/>
            </w:tcBorders>
          </w:tcPr>
          <w:p w:rsidRPr="00A16D67" w:rsidR="006F2629" w:rsidP="00A16D67" w:rsidRDefault="006F2629" w14:paraId="3870F6D4" w14:textId="77777777">
            <w:pPr>
              <w:spacing w:after="0"/>
              <w:jc w:val="center"/>
              <w:rPr>
                <w:rFonts w:eastAsia="Times New Roman" w:cs="Arial"/>
                <w:sz w:val="22"/>
              </w:rPr>
            </w:pPr>
          </w:p>
        </w:tc>
        <w:tc>
          <w:tcPr>
            <w:tcW w:w="2095" w:type="dxa"/>
            <w:tcBorders>
              <w:top w:val="single" w:color="auto" w:sz="4" w:space="0"/>
            </w:tcBorders>
          </w:tcPr>
          <w:p w:rsidRPr="00A16D67" w:rsidR="006F2629" w:rsidP="00A16D67" w:rsidRDefault="006F2629" w14:paraId="60B9F50F" w14:textId="77777777">
            <w:pPr>
              <w:spacing w:after="0"/>
              <w:jc w:val="center"/>
              <w:rPr>
                <w:rFonts w:eastAsia="Times New Roman" w:cs="Arial"/>
                <w:sz w:val="22"/>
              </w:rPr>
            </w:pPr>
          </w:p>
        </w:tc>
        <w:tc>
          <w:tcPr>
            <w:tcW w:w="1284" w:type="dxa"/>
            <w:tcBorders>
              <w:top w:val="single" w:color="auto" w:sz="4" w:space="0"/>
            </w:tcBorders>
          </w:tcPr>
          <w:p w:rsidRPr="00A16D67" w:rsidR="006F2629" w:rsidP="00A16D67" w:rsidRDefault="0077787F" w14:paraId="58FB3CAE" w14:textId="2A25650F">
            <w:pPr>
              <w:spacing w:after="0"/>
              <w:jc w:val="center"/>
              <w:rPr>
                <w:rFonts w:eastAsia="Times New Roman" w:cs="Arial"/>
                <w:sz w:val="22"/>
              </w:rPr>
            </w:pPr>
            <w:r w:rsidRPr="00A16D67">
              <w:rPr>
                <w:rFonts w:eastAsia="Times New Roman" w:cs="Arial"/>
                <w:sz w:val="22"/>
              </w:rPr>
              <w:t>478.5</w:t>
            </w:r>
          </w:p>
        </w:tc>
        <w:tc>
          <w:tcPr>
            <w:tcW w:w="1310" w:type="dxa"/>
            <w:tcBorders>
              <w:top w:val="single" w:color="auto" w:sz="4" w:space="0"/>
            </w:tcBorders>
          </w:tcPr>
          <w:p w:rsidRPr="00A16D67" w:rsidR="006F2629" w:rsidP="00A16D67" w:rsidRDefault="006F2629" w14:paraId="77804A86" w14:textId="4FF54C71">
            <w:pPr>
              <w:spacing w:after="0"/>
              <w:jc w:val="center"/>
              <w:rPr>
                <w:rFonts w:eastAsia="Times New Roman" w:cs="Arial"/>
                <w:sz w:val="22"/>
              </w:rPr>
            </w:pPr>
            <w:r w:rsidRPr="00A16D67">
              <w:rPr>
                <w:rFonts w:eastAsia="Times New Roman" w:cs="Arial"/>
                <w:sz w:val="22"/>
              </w:rPr>
              <w:t>$61,018.45</w:t>
            </w:r>
          </w:p>
        </w:tc>
      </w:tr>
    </w:tbl>
    <w:p w:rsidR="00B61D23" w:rsidP="006F5CC0" w:rsidRDefault="00B61D23" w14:paraId="70FEA8E1" w14:textId="6D5E95B8">
      <w:pPr>
        <w:spacing w:line="240" w:lineRule="auto"/>
        <w:rPr>
          <w:rFonts w:eastAsia="Times New Roman" w:cs="Arial"/>
          <w:color w:val="FF0000"/>
          <w:sz w:val="22"/>
        </w:rPr>
      </w:pPr>
    </w:p>
    <w:p w:rsidR="00542A34" w:rsidP="006F5CC0" w:rsidRDefault="00542A34" w14:paraId="58C3117E" w14:textId="1E543C89">
      <w:pPr>
        <w:pStyle w:val="Heading4"/>
        <w:spacing w:after="240"/>
        <w:ind w:firstLine="720"/>
        <w:rPr>
          <w:rFonts w:eastAsia="Times New Roman"/>
        </w:rPr>
      </w:pPr>
      <w:r>
        <w:rPr>
          <w:rFonts w:eastAsia="Times New Roman"/>
        </w:rPr>
        <w:t xml:space="preserve">Table </w:t>
      </w:r>
      <w:r w:rsidR="00605DAE">
        <w:rPr>
          <w:rFonts w:eastAsia="Times New Roman"/>
        </w:rPr>
        <w:t>5</w:t>
      </w:r>
      <w:r>
        <w:rPr>
          <w:rFonts w:eastAsia="Times New Roman"/>
        </w:rPr>
        <w:t xml:space="preserve">: </w:t>
      </w:r>
      <w:r w:rsidR="00AF29A5">
        <w:rPr>
          <w:rFonts w:eastAsia="Times New Roman"/>
        </w:rPr>
        <w:t>3-Year</w:t>
      </w:r>
      <w:r w:rsidRPr="007952BA" w:rsidR="00AF29A5">
        <w:rPr>
          <w:rFonts w:eastAsia="Times New Roman"/>
        </w:rPr>
        <w:t xml:space="preserve"> </w:t>
      </w:r>
      <w:r w:rsidR="0079772A">
        <w:rPr>
          <w:rFonts w:eastAsia="Times New Roman"/>
        </w:rPr>
        <w:t xml:space="preserve">Respondent </w:t>
      </w:r>
      <w:r w:rsidRPr="007952BA">
        <w:rPr>
          <w:rFonts w:eastAsia="Times New Roman"/>
        </w:rPr>
        <w:t>Burden &amp; Costs</w:t>
      </w:r>
    </w:p>
    <w:tbl>
      <w:tblPr>
        <w:tblStyle w:val="TableGrid"/>
        <w:tblW w:w="9367" w:type="dxa"/>
        <w:tblInd w:w="-5" w:type="dxa"/>
        <w:tblLook w:val="04A0" w:firstRow="1" w:lastRow="0" w:firstColumn="1" w:lastColumn="0" w:noHBand="0" w:noVBand="1"/>
      </w:tblPr>
      <w:tblGrid>
        <w:gridCol w:w="1320"/>
        <w:gridCol w:w="1323"/>
        <w:gridCol w:w="1022"/>
        <w:gridCol w:w="1924"/>
        <w:gridCol w:w="824"/>
        <w:gridCol w:w="1367"/>
        <w:gridCol w:w="1587"/>
      </w:tblGrid>
      <w:tr w:rsidRPr="00A16D67" w:rsidR="00542A34" w:rsidTr="001A6A8C" w14:paraId="535FBFC3" w14:textId="77777777">
        <w:trPr>
          <w:trHeight w:val="601"/>
        </w:trPr>
        <w:tc>
          <w:tcPr>
            <w:tcW w:w="1320" w:type="dxa"/>
            <w:tcBorders>
              <w:bottom w:val="single" w:color="auto" w:sz="4" w:space="0"/>
            </w:tcBorders>
          </w:tcPr>
          <w:p w:rsidRPr="00A16D67" w:rsidR="00542A34" w:rsidP="00A16D67" w:rsidRDefault="00542A34" w14:paraId="4E82F86C" w14:textId="77777777">
            <w:pPr>
              <w:spacing w:after="0"/>
              <w:rPr>
                <w:rFonts w:eastAsia="Times New Roman" w:cs="Arial"/>
                <w:color w:val="000000"/>
                <w:sz w:val="22"/>
              </w:rPr>
            </w:pPr>
          </w:p>
        </w:tc>
        <w:tc>
          <w:tcPr>
            <w:tcW w:w="1323" w:type="dxa"/>
            <w:tcBorders>
              <w:bottom w:val="single" w:color="auto" w:sz="4" w:space="0"/>
            </w:tcBorders>
          </w:tcPr>
          <w:p w:rsidRPr="00A16D67" w:rsidR="00542A34" w:rsidP="001A6A8C" w:rsidRDefault="00542A34" w14:paraId="1181256C" w14:textId="77777777">
            <w:pPr>
              <w:spacing w:after="0"/>
              <w:jc w:val="center"/>
              <w:rPr>
                <w:rFonts w:eastAsia="Times New Roman" w:cs="Arial"/>
                <w:b/>
                <w:bCs/>
                <w:color w:val="000000"/>
                <w:sz w:val="22"/>
              </w:rPr>
            </w:pPr>
            <w:r w:rsidRPr="00A16D67">
              <w:rPr>
                <w:rFonts w:eastAsia="Times New Roman" w:cs="Arial"/>
                <w:b/>
                <w:bCs/>
                <w:color w:val="000000"/>
                <w:sz w:val="22"/>
              </w:rPr>
              <w:t>Burden Hours</w:t>
            </w:r>
          </w:p>
        </w:tc>
        <w:tc>
          <w:tcPr>
            <w:tcW w:w="1022" w:type="dxa"/>
            <w:tcBorders>
              <w:bottom w:val="single" w:color="auto" w:sz="4" w:space="0"/>
            </w:tcBorders>
          </w:tcPr>
          <w:p w:rsidRPr="00A16D67" w:rsidR="00542A34" w:rsidP="00A16D67" w:rsidRDefault="00542A34" w14:paraId="22856013" w14:textId="174410E8">
            <w:pPr>
              <w:spacing w:after="0"/>
              <w:jc w:val="center"/>
              <w:rPr>
                <w:rFonts w:eastAsia="Times New Roman" w:cs="Arial"/>
                <w:b/>
                <w:bCs/>
                <w:color w:val="000000"/>
                <w:sz w:val="22"/>
              </w:rPr>
            </w:pPr>
            <w:r w:rsidRPr="00A16D67">
              <w:rPr>
                <w:rFonts w:eastAsia="Times New Roman" w:cs="Arial"/>
                <w:b/>
                <w:bCs/>
                <w:color w:val="000000"/>
                <w:sz w:val="22"/>
              </w:rPr>
              <w:t>$/</w:t>
            </w:r>
            <w:r w:rsidRPr="00A16D67" w:rsidR="00A5746C">
              <w:rPr>
                <w:rFonts w:eastAsia="Times New Roman" w:cs="Arial"/>
                <w:b/>
                <w:bCs/>
                <w:color w:val="000000"/>
                <w:sz w:val="22"/>
              </w:rPr>
              <w:t>hr.</w:t>
            </w:r>
          </w:p>
        </w:tc>
        <w:tc>
          <w:tcPr>
            <w:tcW w:w="1924" w:type="dxa"/>
            <w:tcBorders>
              <w:bottom w:val="single" w:color="auto" w:sz="4" w:space="0"/>
            </w:tcBorders>
          </w:tcPr>
          <w:p w:rsidRPr="00A16D67" w:rsidR="00542A34" w:rsidP="00A16D67" w:rsidRDefault="00542A34" w14:paraId="0F870687" w14:textId="6E954357">
            <w:pPr>
              <w:spacing w:after="0"/>
              <w:rPr>
                <w:rFonts w:eastAsia="Times New Roman" w:cs="Arial"/>
                <w:b/>
                <w:bCs/>
                <w:color w:val="000000"/>
                <w:sz w:val="22"/>
              </w:rPr>
            </w:pPr>
            <w:r w:rsidRPr="00A16D67">
              <w:rPr>
                <w:rFonts w:eastAsia="Times New Roman" w:cs="Arial"/>
                <w:b/>
                <w:bCs/>
                <w:color w:val="000000"/>
                <w:sz w:val="22"/>
              </w:rPr>
              <w:t>Responses/year</w:t>
            </w:r>
          </w:p>
        </w:tc>
        <w:tc>
          <w:tcPr>
            <w:tcW w:w="824" w:type="dxa"/>
            <w:tcBorders>
              <w:bottom w:val="single" w:color="auto" w:sz="4" w:space="0"/>
            </w:tcBorders>
          </w:tcPr>
          <w:p w:rsidRPr="00A16D67" w:rsidR="00542A34" w:rsidP="00A16D67" w:rsidRDefault="00542A34" w14:paraId="71C38973" w14:textId="257EE63C">
            <w:pPr>
              <w:spacing w:after="0"/>
              <w:jc w:val="center"/>
              <w:rPr>
                <w:rFonts w:eastAsia="Times New Roman" w:cs="Arial"/>
                <w:b/>
                <w:bCs/>
                <w:color w:val="000000"/>
                <w:sz w:val="22"/>
              </w:rPr>
            </w:pPr>
            <w:r w:rsidRPr="00A16D67">
              <w:rPr>
                <w:rFonts w:eastAsia="Times New Roman" w:cs="Arial"/>
                <w:b/>
                <w:bCs/>
                <w:color w:val="000000"/>
                <w:sz w:val="22"/>
              </w:rPr>
              <w:t>Years</w:t>
            </w:r>
          </w:p>
        </w:tc>
        <w:tc>
          <w:tcPr>
            <w:tcW w:w="2954" w:type="dxa"/>
            <w:gridSpan w:val="2"/>
            <w:tcBorders>
              <w:bottom w:val="single" w:color="auto" w:sz="4" w:space="0"/>
            </w:tcBorders>
          </w:tcPr>
          <w:p w:rsidRPr="00A16D67" w:rsidR="00542A34" w:rsidP="00A16D67" w:rsidRDefault="00542A34" w14:paraId="757CE4BB" w14:textId="77777777">
            <w:pPr>
              <w:spacing w:after="0"/>
              <w:jc w:val="center"/>
              <w:rPr>
                <w:rFonts w:eastAsia="Times New Roman" w:cs="Arial"/>
                <w:b/>
                <w:bCs/>
                <w:color w:val="000000"/>
                <w:sz w:val="22"/>
              </w:rPr>
            </w:pPr>
            <w:r w:rsidRPr="00A16D67">
              <w:rPr>
                <w:rFonts w:eastAsia="Times New Roman" w:cs="Arial"/>
                <w:b/>
                <w:bCs/>
                <w:color w:val="000000"/>
                <w:sz w:val="22"/>
              </w:rPr>
              <w:t>Total</w:t>
            </w:r>
          </w:p>
        </w:tc>
      </w:tr>
      <w:tr w:rsidRPr="00A16D67" w:rsidR="00A16D67" w:rsidTr="001A6A8C" w14:paraId="3724DA80" w14:textId="77777777">
        <w:trPr>
          <w:trHeight w:val="326"/>
        </w:trPr>
        <w:tc>
          <w:tcPr>
            <w:tcW w:w="1320" w:type="dxa"/>
            <w:vMerge w:val="restart"/>
          </w:tcPr>
          <w:p w:rsidRPr="00A16D67" w:rsidR="00542A34" w:rsidP="00A16D67" w:rsidRDefault="00542A34" w14:paraId="1B4C6FFD" w14:textId="77777777">
            <w:pPr>
              <w:spacing w:after="0"/>
              <w:rPr>
                <w:rFonts w:eastAsia="Times New Roman" w:cs="Arial"/>
                <w:color w:val="000000"/>
                <w:sz w:val="22"/>
              </w:rPr>
            </w:pPr>
          </w:p>
        </w:tc>
        <w:tc>
          <w:tcPr>
            <w:tcW w:w="1323" w:type="dxa"/>
            <w:vMerge w:val="restart"/>
          </w:tcPr>
          <w:p w:rsidRPr="00A16D67" w:rsidR="00542A34" w:rsidP="00A16D67" w:rsidRDefault="00542A34" w14:paraId="5E70EFB6" w14:textId="77777777">
            <w:pPr>
              <w:spacing w:after="0"/>
              <w:jc w:val="center"/>
              <w:rPr>
                <w:rFonts w:eastAsia="Times New Roman" w:cs="Arial"/>
                <w:color w:val="000000"/>
                <w:sz w:val="22"/>
              </w:rPr>
            </w:pPr>
            <w:r w:rsidRPr="00A16D67">
              <w:rPr>
                <w:rFonts w:eastAsia="Times New Roman" w:cs="Arial"/>
                <w:color w:val="000000"/>
                <w:sz w:val="22"/>
              </w:rPr>
              <w:t>5.5</w:t>
            </w:r>
          </w:p>
        </w:tc>
        <w:tc>
          <w:tcPr>
            <w:tcW w:w="1022" w:type="dxa"/>
            <w:vMerge w:val="restart"/>
          </w:tcPr>
          <w:p w:rsidRPr="00A16D67" w:rsidR="00542A34" w:rsidP="00A16D67" w:rsidRDefault="00542A34" w14:paraId="2DA8F8CD" w14:textId="77777777">
            <w:pPr>
              <w:spacing w:after="0"/>
              <w:jc w:val="center"/>
              <w:rPr>
                <w:rFonts w:eastAsia="Times New Roman" w:cs="Arial"/>
                <w:color w:val="000000"/>
                <w:sz w:val="22"/>
              </w:rPr>
            </w:pPr>
          </w:p>
        </w:tc>
        <w:tc>
          <w:tcPr>
            <w:tcW w:w="1924" w:type="dxa"/>
            <w:tcBorders>
              <w:bottom w:val="nil"/>
            </w:tcBorders>
          </w:tcPr>
          <w:p w:rsidRPr="00A16D67" w:rsidR="00542A34" w:rsidP="00A16D67" w:rsidRDefault="00542A34" w14:paraId="58BA6D50" w14:textId="7F4F2CEB">
            <w:pPr>
              <w:spacing w:after="0"/>
              <w:jc w:val="center"/>
              <w:rPr>
                <w:rFonts w:eastAsia="Times New Roman" w:cs="Arial"/>
                <w:color w:val="000000"/>
                <w:sz w:val="22"/>
              </w:rPr>
            </w:pPr>
            <w:r w:rsidRPr="00A16D67">
              <w:rPr>
                <w:rFonts w:eastAsia="Times New Roman" w:cs="Arial"/>
                <w:color w:val="000000"/>
                <w:sz w:val="22"/>
              </w:rPr>
              <w:t>87</w:t>
            </w:r>
          </w:p>
        </w:tc>
        <w:tc>
          <w:tcPr>
            <w:tcW w:w="824" w:type="dxa"/>
            <w:vMerge w:val="restart"/>
          </w:tcPr>
          <w:p w:rsidRPr="00A16D67" w:rsidR="00542A34" w:rsidP="00A16D67" w:rsidRDefault="00542A34" w14:paraId="465DA897" w14:textId="70A5D4CF">
            <w:pPr>
              <w:spacing w:after="0"/>
              <w:jc w:val="center"/>
              <w:rPr>
                <w:rFonts w:eastAsia="Times New Roman" w:cs="Arial"/>
                <w:color w:val="000000"/>
                <w:sz w:val="22"/>
              </w:rPr>
            </w:pPr>
            <w:r w:rsidRPr="00A16D67">
              <w:rPr>
                <w:rFonts w:eastAsia="Times New Roman" w:cs="Arial"/>
                <w:color w:val="000000"/>
                <w:sz w:val="22"/>
              </w:rPr>
              <w:t>3</w:t>
            </w:r>
          </w:p>
        </w:tc>
        <w:tc>
          <w:tcPr>
            <w:tcW w:w="1367" w:type="dxa"/>
          </w:tcPr>
          <w:p w:rsidRPr="00A16D67" w:rsidR="00542A34" w:rsidP="00A16D67" w:rsidRDefault="00542A34" w14:paraId="121973B6" w14:textId="77777777">
            <w:pPr>
              <w:spacing w:after="0"/>
              <w:jc w:val="center"/>
              <w:rPr>
                <w:rFonts w:eastAsia="Times New Roman" w:cs="Arial"/>
                <w:color w:val="000000"/>
                <w:sz w:val="22"/>
              </w:rPr>
            </w:pPr>
            <w:r w:rsidRPr="00A16D67">
              <w:rPr>
                <w:rFonts w:eastAsia="Times New Roman" w:cs="Arial"/>
                <w:color w:val="000000"/>
                <w:sz w:val="22"/>
              </w:rPr>
              <w:t>Hours/year</w:t>
            </w:r>
          </w:p>
        </w:tc>
        <w:tc>
          <w:tcPr>
            <w:tcW w:w="1586" w:type="dxa"/>
          </w:tcPr>
          <w:p w:rsidRPr="00A16D67" w:rsidR="00542A34" w:rsidP="00A16D67" w:rsidRDefault="00542A34" w14:paraId="7578D233" w14:textId="14EC0AD1">
            <w:pPr>
              <w:spacing w:after="0"/>
              <w:jc w:val="center"/>
              <w:rPr>
                <w:rFonts w:eastAsia="Times New Roman" w:cs="Arial"/>
                <w:color w:val="000000"/>
                <w:sz w:val="22"/>
              </w:rPr>
            </w:pPr>
            <w:r w:rsidRPr="00A16D67">
              <w:rPr>
                <w:rFonts w:eastAsia="Times New Roman" w:cs="Arial"/>
                <w:color w:val="000000"/>
                <w:sz w:val="22"/>
              </w:rPr>
              <w:t>Cost $</w:t>
            </w:r>
          </w:p>
        </w:tc>
      </w:tr>
      <w:tr w:rsidRPr="00A16D67" w:rsidR="00A16D67" w:rsidTr="001A6A8C" w14:paraId="66AFD6A9" w14:textId="77777777">
        <w:trPr>
          <w:trHeight w:val="365"/>
        </w:trPr>
        <w:tc>
          <w:tcPr>
            <w:tcW w:w="1320" w:type="dxa"/>
            <w:vMerge/>
          </w:tcPr>
          <w:p w:rsidRPr="00A16D67" w:rsidR="00542A34" w:rsidP="00A16D67" w:rsidRDefault="00542A34" w14:paraId="1BDF309A" w14:textId="77777777">
            <w:pPr>
              <w:spacing w:after="0"/>
              <w:rPr>
                <w:rFonts w:eastAsia="Times New Roman" w:cs="Arial"/>
                <w:color w:val="000000"/>
                <w:sz w:val="22"/>
              </w:rPr>
            </w:pPr>
          </w:p>
        </w:tc>
        <w:tc>
          <w:tcPr>
            <w:tcW w:w="1323" w:type="dxa"/>
            <w:vMerge/>
          </w:tcPr>
          <w:p w:rsidRPr="00A16D67" w:rsidR="00542A34" w:rsidP="00A16D67" w:rsidRDefault="00542A34" w14:paraId="5C583E17" w14:textId="77777777">
            <w:pPr>
              <w:spacing w:after="0"/>
              <w:jc w:val="center"/>
              <w:rPr>
                <w:rFonts w:eastAsia="Times New Roman" w:cs="Arial"/>
                <w:color w:val="000000"/>
                <w:sz w:val="22"/>
              </w:rPr>
            </w:pPr>
          </w:p>
        </w:tc>
        <w:tc>
          <w:tcPr>
            <w:tcW w:w="1022" w:type="dxa"/>
            <w:vMerge/>
          </w:tcPr>
          <w:p w:rsidRPr="00A16D67" w:rsidR="00542A34" w:rsidP="00A16D67" w:rsidRDefault="00542A34" w14:paraId="4052D066" w14:textId="77777777">
            <w:pPr>
              <w:spacing w:after="0"/>
              <w:jc w:val="center"/>
              <w:rPr>
                <w:rFonts w:eastAsia="Times New Roman" w:cs="Arial"/>
                <w:color w:val="000000"/>
                <w:sz w:val="22"/>
              </w:rPr>
            </w:pPr>
          </w:p>
        </w:tc>
        <w:tc>
          <w:tcPr>
            <w:tcW w:w="1924" w:type="dxa"/>
            <w:tcBorders>
              <w:top w:val="nil"/>
            </w:tcBorders>
          </w:tcPr>
          <w:p w:rsidRPr="00A16D67" w:rsidR="00542A34" w:rsidP="00A16D67" w:rsidRDefault="00542A34" w14:paraId="606B133D" w14:textId="77777777">
            <w:pPr>
              <w:spacing w:after="0"/>
              <w:jc w:val="center"/>
              <w:rPr>
                <w:rFonts w:eastAsia="Times New Roman" w:cs="Arial"/>
                <w:color w:val="000000"/>
                <w:sz w:val="22"/>
              </w:rPr>
            </w:pPr>
          </w:p>
        </w:tc>
        <w:tc>
          <w:tcPr>
            <w:tcW w:w="824" w:type="dxa"/>
            <w:vMerge/>
          </w:tcPr>
          <w:p w:rsidRPr="00A16D67" w:rsidR="00542A34" w:rsidP="00A16D67" w:rsidRDefault="00542A34" w14:paraId="44119CF1" w14:textId="66839153">
            <w:pPr>
              <w:spacing w:after="0"/>
              <w:jc w:val="center"/>
              <w:rPr>
                <w:rFonts w:eastAsia="Times New Roman" w:cs="Arial"/>
                <w:color w:val="000000"/>
                <w:sz w:val="22"/>
              </w:rPr>
            </w:pPr>
          </w:p>
        </w:tc>
        <w:tc>
          <w:tcPr>
            <w:tcW w:w="1367" w:type="dxa"/>
          </w:tcPr>
          <w:p w:rsidRPr="00A16D67" w:rsidR="00542A34" w:rsidP="00A16D67" w:rsidRDefault="00542A34" w14:paraId="72BE92C1" w14:textId="54FD6CBF">
            <w:pPr>
              <w:spacing w:after="0"/>
              <w:jc w:val="center"/>
              <w:rPr>
                <w:rFonts w:eastAsia="Times New Roman" w:cs="Arial"/>
                <w:color w:val="000000"/>
                <w:sz w:val="22"/>
              </w:rPr>
            </w:pPr>
            <w:r w:rsidRPr="00A16D67">
              <w:rPr>
                <w:rFonts w:eastAsia="Times New Roman" w:cs="Arial"/>
                <w:color w:val="000000"/>
                <w:sz w:val="22"/>
              </w:rPr>
              <w:t>1,435.5</w:t>
            </w:r>
          </w:p>
        </w:tc>
        <w:tc>
          <w:tcPr>
            <w:tcW w:w="1586" w:type="dxa"/>
          </w:tcPr>
          <w:p w:rsidRPr="00A16D67" w:rsidR="00542A34" w:rsidP="00A16D67" w:rsidRDefault="00542A34" w14:paraId="1410E1B7" w14:textId="77777777">
            <w:pPr>
              <w:spacing w:after="0"/>
              <w:jc w:val="center"/>
              <w:rPr>
                <w:rFonts w:eastAsia="Times New Roman" w:cs="Arial"/>
                <w:color w:val="000000"/>
                <w:sz w:val="22"/>
              </w:rPr>
            </w:pPr>
          </w:p>
        </w:tc>
      </w:tr>
      <w:tr w:rsidRPr="00A16D67" w:rsidR="00A16D67" w:rsidTr="001A6A8C" w14:paraId="166C5937" w14:textId="77777777">
        <w:trPr>
          <w:trHeight w:val="300"/>
        </w:trPr>
        <w:tc>
          <w:tcPr>
            <w:tcW w:w="1320" w:type="dxa"/>
          </w:tcPr>
          <w:p w:rsidRPr="00A16D67" w:rsidR="00542A34" w:rsidP="00A16D67" w:rsidRDefault="00542A34" w14:paraId="02CAFF8B" w14:textId="77777777">
            <w:pPr>
              <w:spacing w:after="0"/>
              <w:rPr>
                <w:rFonts w:eastAsia="Times New Roman" w:cs="Arial"/>
                <w:color w:val="000000"/>
                <w:sz w:val="22"/>
              </w:rPr>
            </w:pPr>
            <w:r w:rsidRPr="00A16D67">
              <w:rPr>
                <w:rFonts w:eastAsia="Times New Roman" w:cs="Arial"/>
                <w:color w:val="000000"/>
                <w:sz w:val="22"/>
              </w:rPr>
              <w:t>Managerial</w:t>
            </w:r>
          </w:p>
        </w:tc>
        <w:tc>
          <w:tcPr>
            <w:tcW w:w="1323" w:type="dxa"/>
          </w:tcPr>
          <w:p w:rsidRPr="00A16D67" w:rsidR="00542A34" w:rsidP="00A16D67" w:rsidRDefault="00542A34" w14:paraId="40BA2B6C" w14:textId="77777777">
            <w:pPr>
              <w:spacing w:after="0"/>
              <w:jc w:val="center"/>
              <w:rPr>
                <w:rFonts w:eastAsia="Times New Roman" w:cs="Arial"/>
                <w:color w:val="000000"/>
                <w:sz w:val="22"/>
              </w:rPr>
            </w:pPr>
            <w:r w:rsidRPr="00A16D67">
              <w:rPr>
                <w:rFonts w:eastAsia="Times New Roman" w:cs="Arial"/>
                <w:color w:val="000000"/>
                <w:sz w:val="22"/>
              </w:rPr>
              <w:t>4.0</w:t>
            </w:r>
          </w:p>
        </w:tc>
        <w:tc>
          <w:tcPr>
            <w:tcW w:w="1022" w:type="dxa"/>
          </w:tcPr>
          <w:p w:rsidRPr="00A16D67" w:rsidR="00542A34" w:rsidP="00A16D67" w:rsidRDefault="00542A34" w14:paraId="4120A35B" w14:textId="77777777">
            <w:pPr>
              <w:spacing w:after="0"/>
              <w:jc w:val="center"/>
              <w:rPr>
                <w:rFonts w:eastAsia="Times New Roman" w:cs="Arial"/>
                <w:color w:val="000000"/>
                <w:sz w:val="22"/>
              </w:rPr>
            </w:pPr>
            <w:r w:rsidRPr="00A16D67">
              <w:rPr>
                <w:rFonts w:eastAsia="Times New Roman" w:cs="Arial"/>
                <w:color w:val="000000"/>
                <w:sz w:val="22"/>
              </w:rPr>
              <w:t>$145.34</w:t>
            </w:r>
          </w:p>
        </w:tc>
        <w:tc>
          <w:tcPr>
            <w:tcW w:w="1924" w:type="dxa"/>
          </w:tcPr>
          <w:p w:rsidRPr="00A16D67" w:rsidR="00542A34" w:rsidP="00A16D67" w:rsidRDefault="00542A34" w14:paraId="52A5502D" w14:textId="512193A8">
            <w:pPr>
              <w:spacing w:after="0"/>
              <w:jc w:val="center"/>
              <w:rPr>
                <w:rFonts w:eastAsia="Times New Roman" w:cs="Arial"/>
                <w:color w:val="000000"/>
                <w:sz w:val="22"/>
              </w:rPr>
            </w:pPr>
            <w:r w:rsidRPr="00A16D67">
              <w:rPr>
                <w:rFonts w:eastAsia="Times New Roman" w:cs="Arial"/>
                <w:color w:val="000000"/>
                <w:sz w:val="22"/>
              </w:rPr>
              <w:t>87</w:t>
            </w:r>
          </w:p>
        </w:tc>
        <w:tc>
          <w:tcPr>
            <w:tcW w:w="824" w:type="dxa"/>
          </w:tcPr>
          <w:p w:rsidRPr="00A16D67" w:rsidR="00542A34" w:rsidP="00A16D67" w:rsidRDefault="00542A34" w14:paraId="1C27B1BA" w14:textId="6DEE57F5">
            <w:pPr>
              <w:spacing w:after="0"/>
              <w:jc w:val="center"/>
              <w:rPr>
                <w:rFonts w:eastAsia="Times New Roman" w:cs="Arial"/>
                <w:color w:val="000000"/>
                <w:sz w:val="22"/>
              </w:rPr>
            </w:pPr>
            <w:r w:rsidRPr="00A16D67">
              <w:rPr>
                <w:rFonts w:eastAsia="Times New Roman" w:cs="Arial"/>
                <w:color w:val="000000"/>
                <w:sz w:val="22"/>
              </w:rPr>
              <w:t>3</w:t>
            </w:r>
          </w:p>
        </w:tc>
        <w:tc>
          <w:tcPr>
            <w:tcW w:w="1367" w:type="dxa"/>
          </w:tcPr>
          <w:p w:rsidRPr="00A16D67" w:rsidR="00542A34" w:rsidP="00A16D67" w:rsidRDefault="00542A34" w14:paraId="39D9F3FA" w14:textId="77777777">
            <w:pPr>
              <w:spacing w:after="0"/>
              <w:jc w:val="center"/>
              <w:rPr>
                <w:rFonts w:eastAsia="Times New Roman" w:cs="Arial"/>
                <w:color w:val="000000"/>
                <w:sz w:val="22"/>
              </w:rPr>
            </w:pPr>
          </w:p>
        </w:tc>
        <w:tc>
          <w:tcPr>
            <w:tcW w:w="1586" w:type="dxa"/>
          </w:tcPr>
          <w:p w:rsidRPr="00A16D67" w:rsidR="00542A34" w:rsidP="00A16D67" w:rsidRDefault="00542A34" w14:paraId="79719BA1" w14:textId="0CC22112">
            <w:pPr>
              <w:spacing w:after="0"/>
              <w:jc w:val="center"/>
              <w:rPr>
                <w:rFonts w:eastAsia="Times New Roman" w:cs="Arial"/>
                <w:color w:val="000000"/>
                <w:sz w:val="22"/>
              </w:rPr>
            </w:pPr>
            <w:r w:rsidRPr="00A16D67">
              <w:rPr>
                <w:rFonts w:eastAsia="Times New Roman" w:cs="Arial"/>
                <w:color w:val="000000"/>
                <w:sz w:val="22"/>
              </w:rPr>
              <w:t>$151,730.00</w:t>
            </w:r>
          </w:p>
        </w:tc>
      </w:tr>
      <w:tr w:rsidRPr="00A16D67" w:rsidR="00A16D67" w:rsidTr="001A6A8C" w14:paraId="5D831126" w14:textId="77777777">
        <w:trPr>
          <w:trHeight w:val="300"/>
        </w:trPr>
        <w:tc>
          <w:tcPr>
            <w:tcW w:w="1320" w:type="dxa"/>
          </w:tcPr>
          <w:p w:rsidRPr="00A16D67" w:rsidR="00542A34" w:rsidP="00A16D67" w:rsidRDefault="00542A34" w14:paraId="55A751D8" w14:textId="77777777">
            <w:pPr>
              <w:spacing w:after="0"/>
              <w:rPr>
                <w:rFonts w:eastAsia="Times New Roman" w:cs="Arial"/>
                <w:color w:val="000000"/>
                <w:sz w:val="22"/>
              </w:rPr>
            </w:pPr>
            <w:r w:rsidRPr="00A16D67">
              <w:rPr>
                <w:rFonts w:eastAsia="Times New Roman" w:cs="Arial"/>
                <w:color w:val="000000"/>
                <w:sz w:val="22"/>
              </w:rPr>
              <w:t>Technical</w:t>
            </w:r>
          </w:p>
        </w:tc>
        <w:tc>
          <w:tcPr>
            <w:tcW w:w="1323" w:type="dxa"/>
          </w:tcPr>
          <w:p w:rsidRPr="00A16D67" w:rsidR="00542A34" w:rsidP="00A16D67" w:rsidRDefault="00542A34" w14:paraId="0EFBB486" w14:textId="77777777">
            <w:pPr>
              <w:spacing w:after="0"/>
              <w:jc w:val="center"/>
              <w:rPr>
                <w:rFonts w:eastAsia="Times New Roman" w:cs="Arial"/>
                <w:color w:val="000000"/>
                <w:sz w:val="22"/>
              </w:rPr>
            </w:pPr>
            <w:r w:rsidRPr="00A16D67">
              <w:rPr>
                <w:rFonts w:eastAsia="Times New Roman" w:cs="Arial"/>
                <w:color w:val="000000"/>
                <w:sz w:val="22"/>
              </w:rPr>
              <w:t>1.5</w:t>
            </w:r>
          </w:p>
        </w:tc>
        <w:tc>
          <w:tcPr>
            <w:tcW w:w="1022" w:type="dxa"/>
          </w:tcPr>
          <w:p w:rsidRPr="00A16D67" w:rsidR="00542A34" w:rsidP="00A16D67" w:rsidRDefault="00542A34" w14:paraId="69491F1E" w14:textId="77777777">
            <w:pPr>
              <w:spacing w:after="0"/>
              <w:jc w:val="center"/>
              <w:rPr>
                <w:rFonts w:eastAsia="Times New Roman" w:cs="Arial"/>
                <w:color w:val="000000"/>
                <w:sz w:val="22"/>
              </w:rPr>
            </w:pPr>
            <w:r w:rsidRPr="00A16D67">
              <w:rPr>
                <w:rFonts w:eastAsia="Times New Roman" w:cs="Arial"/>
                <w:color w:val="000000"/>
                <w:sz w:val="22"/>
              </w:rPr>
              <w:t>$76.35</w:t>
            </w:r>
          </w:p>
        </w:tc>
        <w:tc>
          <w:tcPr>
            <w:tcW w:w="1924" w:type="dxa"/>
          </w:tcPr>
          <w:p w:rsidRPr="00A16D67" w:rsidR="00542A34" w:rsidP="00A16D67" w:rsidRDefault="00542A34" w14:paraId="52D2D406" w14:textId="102A6E9F">
            <w:pPr>
              <w:spacing w:after="0"/>
              <w:jc w:val="center"/>
              <w:rPr>
                <w:rFonts w:eastAsia="Times New Roman" w:cs="Arial"/>
                <w:color w:val="000000"/>
                <w:sz w:val="22"/>
              </w:rPr>
            </w:pPr>
            <w:r w:rsidRPr="00A16D67">
              <w:rPr>
                <w:rFonts w:eastAsia="Times New Roman" w:cs="Arial"/>
                <w:color w:val="000000"/>
                <w:sz w:val="22"/>
              </w:rPr>
              <w:t>87</w:t>
            </w:r>
          </w:p>
        </w:tc>
        <w:tc>
          <w:tcPr>
            <w:tcW w:w="824" w:type="dxa"/>
          </w:tcPr>
          <w:p w:rsidRPr="00A16D67" w:rsidR="00542A34" w:rsidP="00A16D67" w:rsidRDefault="00542A34" w14:paraId="353BA2B5" w14:textId="3B1701DD">
            <w:pPr>
              <w:spacing w:after="0"/>
              <w:jc w:val="center"/>
              <w:rPr>
                <w:rFonts w:eastAsia="Times New Roman" w:cs="Arial"/>
                <w:color w:val="000000"/>
                <w:sz w:val="22"/>
              </w:rPr>
            </w:pPr>
            <w:r w:rsidRPr="00A16D67">
              <w:rPr>
                <w:rFonts w:eastAsia="Times New Roman" w:cs="Arial"/>
                <w:color w:val="000000"/>
                <w:sz w:val="22"/>
              </w:rPr>
              <w:t>3</w:t>
            </w:r>
          </w:p>
        </w:tc>
        <w:tc>
          <w:tcPr>
            <w:tcW w:w="1367" w:type="dxa"/>
          </w:tcPr>
          <w:p w:rsidRPr="00A16D67" w:rsidR="00542A34" w:rsidP="00A16D67" w:rsidRDefault="00542A34" w14:paraId="4BDDC74E" w14:textId="77777777">
            <w:pPr>
              <w:spacing w:after="0"/>
              <w:jc w:val="center"/>
              <w:rPr>
                <w:rFonts w:eastAsia="Times New Roman" w:cs="Arial"/>
                <w:color w:val="000000"/>
                <w:sz w:val="22"/>
              </w:rPr>
            </w:pPr>
          </w:p>
        </w:tc>
        <w:tc>
          <w:tcPr>
            <w:tcW w:w="1586" w:type="dxa"/>
          </w:tcPr>
          <w:p w:rsidRPr="00A16D67" w:rsidR="00542A34" w:rsidP="00A16D67" w:rsidRDefault="00542A34" w14:paraId="1633D51A" w14:textId="4F15B2E7">
            <w:pPr>
              <w:spacing w:after="0"/>
              <w:jc w:val="center"/>
              <w:rPr>
                <w:rFonts w:eastAsia="Times New Roman" w:cs="Arial"/>
                <w:color w:val="000000"/>
                <w:sz w:val="22"/>
              </w:rPr>
            </w:pPr>
            <w:r w:rsidRPr="00A16D67">
              <w:rPr>
                <w:rFonts w:eastAsia="Times New Roman" w:cs="Arial"/>
                <w:color w:val="000000"/>
                <w:sz w:val="22"/>
              </w:rPr>
              <w:t>$29,889.85</w:t>
            </w:r>
          </w:p>
        </w:tc>
      </w:tr>
      <w:tr w:rsidRPr="00A16D67" w:rsidR="00A16D67" w:rsidTr="001A6A8C" w14:paraId="17C9E7EE" w14:textId="77777777">
        <w:trPr>
          <w:trHeight w:val="300"/>
        </w:trPr>
        <w:tc>
          <w:tcPr>
            <w:tcW w:w="1320" w:type="dxa"/>
            <w:tcBorders>
              <w:bottom w:val="single" w:color="auto" w:sz="4" w:space="0"/>
            </w:tcBorders>
          </w:tcPr>
          <w:p w:rsidRPr="00A16D67" w:rsidR="00542A34" w:rsidP="00A16D67" w:rsidRDefault="00542A34" w14:paraId="0835BC52" w14:textId="77777777">
            <w:pPr>
              <w:spacing w:after="0"/>
              <w:rPr>
                <w:rFonts w:eastAsia="Times New Roman" w:cs="Arial"/>
                <w:color w:val="000000"/>
                <w:sz w:val="22"/>
              </w:rPr>
            </w:pPr>
            <w:r w:rsidRPr="00A16D67">
              <w:rPr>
                <w:rFonts w:eastAsia="Times New Roman" w:cs="Arial"/>
                <w:color w:val="000000"/>
                <w:sz w:val="22"/>
              </w:rPr>
              <w:t>Clerical</w:t>
            </w:r>
          </w:p>
        </w:tc>
        <w:tc>
          <w:tcPr>
            <w:tcW w:w="1323" w:type="dxa"/>
            <w:tcBorders>
              <w:bottom w:val="single" w:color="auto" w:sz="4" w:space="0"/>
            </w:tcBorders>
          </w:tcPr>
          <w:p w:rsidRPr="00A16D67" w:rsidR="00542A34" w:rsidP="00A16D67" w:rsidRDefault="00542A34" w14:paraId="10863D48" w14:textId="77777777">
            <w:pPr>
              <w:spacing w:after="0"/>
              <w:jc w:val="center"/>
              <w:rPr>
                <w:rFonts w:eastAsia="Times New Roman" w:cs="Arial"/>
                <w:color w:val="000000"/>
                <w:sz w:val="22"/>
              </w:rPr>
            </w:pPr>
            <w:r w:rsidRPr="00A16D67">
              <w:rPr>
                <w:rFonts w:eastAsia="Times New Roman" w:cs="Arial"/>
                <w:color w:val="000000"/>
                <w:sz w:val="22"/>
              </w:rPr>
              <w:t>0</w:t>
            </w:r>
          </w:p>
        </w:tc>
        <w:tc>
          <w:tcPr>
            <w:tcW w:w="1022" w:type="dxa"/>
            <w:tcBorders>
              <w:bottom w:val="single" w:color="auto" w:sz="4" w:space="0"/>
            </w:tcBorders>
          </w:tcPr>
          <w:p w:rsidRPr="00A16D67" w:rsidR="00542A34" w:rsidP="00A16D67" w:rsidRDefault="00542A34" w14:paraId="08E99C12" w14:textId="77777777">
            <w:pPr>
              <w:spacing w:after="0"/>
              <w:jc w:val="center"/>
              <w:rPr>
                <w:rFonts w:eastAsia="Times New Roman" w:cs="Arial"/>
                <w:color w:val="000000"/>
                <w:sz w:val="22"/>
              </w:rPr>
            </w:pPr>
            <w:r w:rsidRPr="00A16D67">
              <w:rPr>
                <w:rFonts w:eastAsia="Times New Roman" w:cs="Arial"/>
                <w:color w:val="000000"/>
                <w:sz w:val="22"/>
              </w:rPr>
              <w:t>49.61</w:t>
            </w:r>
          </w:p>
        </w:tc>
        <w:tc>
          <w:tcPr>
            <w:tcW w:w="1924" w:type="dxa"/>
            <w:tcBorders>
              <w:bottom w:val="single" w:color="auto" w:sz="4" w:space="0"/>
            </w:tcBorders>
          </w:tcPr>
          <w:p w:rsidRPr="00A16D67" w:rsidR="00542A34" w:rsidP="00A16D67" w:rsidRDefault="00542A34" w14:paraId="7E8E4711" w14:textId="46E29464">
            <w:pPr>
              <w:spacing w:after="0"/>
              <w:jc w:val="center"/>
              <w:rPr>
                <w:rFonts w:eastAsia="Times New Roman" w:cs="Arial"/>
                <w:color w:val="000000"/>
                <w:sz w:val="22"/>
              </w:rPr>
            </w:pPr>
            <w:r w:rsidRPr="00A16D67">
              <w:rPr>
                <w:rFonts w:eastAsia="Times New Roman" w:cs="Arial"/>
                <w:color w:val="000000"/>
                <w:sz w:val="22"/>
              </w:rPr>
              <w:t>87</w:t>
            </w:r>
          </w:p>
        </w:tc>
        <w:tc>
          <w:tcPr>
            <w:tcW w:w="824" w:type="dxa"/>
            <w:tcBorders>
              <w:bottom w:val="single" w:color="auto" w:sz="4" w:space="0"/>
            </w:tcBorders>
          </w:tcPr>
          <w:p w:rsidRPr="00A16D67" w:rsidR="00542A34" w:rsidP="00A16D67" w:rsidRDefault="00542A34" w14:paraId="051518C3" w14:textId="791F50DD">
            <w:pPr>
              <w:spacing w:after="0"/>
              <w:jc w:val="center"/>
              <w:rPr>
                <w:rFonts w:eastAsia="Times New Roman" w:cs="Arial"/>
                <w:color w:val="000000"/>
                <w:sz w:val="22"/>
              </w:rPr>
            </w:pPr>
            <w:r w:rsidRPr="00A16D67">
              <w:rPr>
                <w:rFonts w:eastAsia="Times New Roman" w:cs="Arial"/>
                <w:color w:val="000000"/>
                <w:sz w:val="22"/>
              </w:rPr>
              <w:t>3</w:t>
            </w:r>
          </w:p>
        </w:tc>
        <w:tc>
          <w:tcPr>
            <w:tcW w:w="1367" w:type="dxa"/>
            <w:tcBorders>
              <w:bottom w:val="single" w:color="auto" w:sz="4" w:space="0"/>
            </w:tcBorders>
          </w:tcPr>
          <w:p w:rsidRPr="00A16D67" w:rsidR="00542A34" w:rsidP="00A16D67" w:rsidRDefault="00542A34" w14:paraId="1563A97D" w14:textId="77777777">
            <w:pPr>
              <w:spacing w:after="0"/>
              <w:jc w:val="center"/>
              <w:rPr>
                <w:rFonts w:eastAsia="Times New Roman" w:cs="Arial"/>
                <w:color w:val="000000"/>
                <w:sz w:val="22"/>
              </w:rPr>
            </w:pPr>
          </w:p>
        </w:tc>
        <w:tc>
          <w:tcPr>
            <w:tcW w:w="1586" w:type="dxa"/>
            <w:tcBorders>
              <w:bottom w:val="single" w:color="auto" w:sz="4" w:space="0"/>
            </w:tcBorders>
          </w:tcPr>
          <w:p w:rsidRPr="00A16D67" w:rsidR="00542A34" w:rsidP="00A16D67" w:rsidRDefault="00542A34" w14:paraId="2B69E02D" w14:textId="77777777">
            <w:pPr>
              <w:spacing w:after="0"/>
              <w:jc w:val="center"/>
              <w:rPr>
                <w:rFonts w:eastAsia="Times New Roman" w:cs="Arial"/>
                <w:color w:val="000000"/>
                <w:sz w:val="22"/>
              </w:rPr>
            </w:pPr>
            <w:r w:rsidRPr="00A16D67">
              <w:rPr>
                <w:rFonts w:eastAsia="Times New Roman" w:cs="Arial"/>
                <w:color w:val="000000"/>
                <w:sz w:val="22"/>
              </w:rPr>
              <w:t>$0</w:t>
            </w:r>
          </w:p>
        </w:tc>
      </w:tr>
      <w:tr w:rsidRPr="00A16D67" w:rsidR="00A16D67" w:rsidTr="001A6A8C" w14:paraId="48CEC508" w14:textId="77777777">
        <w:trPr>
          <w:trHeight w:val="287"/>
        </w:trPr>
        <w:tc>
          <w:tcPr>
            <w:tcW w:w="1320" w:type="dxa"/>
            <w:tcBorders>
              <w:top w:val="single" w:color="auto" w:sz="4" w:space="0"/>
            </w:tcBorders>
          </w:tcPr>
          <w:p w:rsidRPr="00A16D67" w:rsidR="00542A34" w:rsidP="00A16D67" w:rsidRDefault="00542A34" w14:paraId="37D3572D" w14:textId="77777777">
            <w:pPr>
              <w:spacing w:after="0"/>
              <w:rPr>
                <w:rFonts w:eastAsia="Times New Roman" w:cs="Arial"/>
                <w:b/>
                <w:bCs/>
                <w:color w:val="000000"/>
                <w:sz w:val="22"/>
              </w:rPr>
            </w:pPr>
            <w:r w:rsidRPr="00A16D67">
              <w:rPr>
                <w:rFonts w:eastAsia="Times New Roman" w:cs="Arial"/>
                <w:b/>
                <w:bCs/>
                <w:color w:val="000000"/>
                <w:sz w:val="22"/>
              </w:rPr>
              <w:t>TOTAL</w:t>
            </w:r>
          </w:p>
        </w:tc>
        <w:tc>
          <w:tcPr>
            <w:tcW w:w="1323" w:type="dxa"/>
            <w:tcBorders>
              <w:top w:val="single" w:color="auto" w:sz="4" w:space="0"/>
            </w:tcBorders>
          </w:tcPr>
          <w:p w:rsidRPr="00A16D67" w:rsidR="00542A34" w:rsidP="00A16D67" w:rsidRDefault="00542A34" w14:paraId="41C4184A" w14:textId="77777777">
            <w:pPr>
              <w:spacing w:after="0"/>
              <w:jc w:val="center"/>
              <w:rPr>
                <w:rFonts w:eastAsia="Times New Roman" w:cs="Arial"/>
                <w:color w:val="000000"/>
                <w:sz w:val="22"/>
              </w:rPr>
            </w:pPr>
          </w:p>
        </w:tc>
        <w:tc>
          <w:tcPr>
            <w:tcW w:w="1022" w:type="dxa"/>
            <w:tcBorders>
              <w:top w:val="single" w:color="auto" w:sz="4" w:space="0"/>
            </w:tcBorders>
          </w:tcPr>
          <w:p w:rsidRPr="00A16D67" w:rsidR="00542A34" w:rsidP="00A16D67" w:rsidRDefault="00542A34" w14:paraId="1AE4988A" w14:textId="77777777">
            <w:pPr>
              <w:spacing w:after="0"/>
              <w:jc w:val="center"/>
              <w:rPr>
                <w:rFonts w:eastAsia="Times New Roman" w:cs="Arial"/>
                <w:color w:val="000000"/>
                <w:sz w:val="22"/>
              </w:rPr>
            </w:pPr>
          </w:p>
        </w:tc>
        <w:tc>
          <w:tcPr>
            <w:tcW w:w="1924" w:type="dxa"/>
            <w:tcBorders>
              <w:top w:val="single" w:color="auto" w:sz="4" w:space="0"/>
            </w:tcBorders>
          </w:tcPr>
          <w:p w:rsidRPr="00A16D67" w:rsidR="00542A34" w:rsidP="00A16D67" w:rsidRDefault="00542A34" w14:paraId="308AD303" w14:textId="77777777">
            <w:pPr>
              <w:spacing w:after="0"/>
              <w:jc w:val="center"/>
              <w:rPr>
                <w:rFonts w:eastAsia="Times New Roman" w:cs="Arial"/>
                <w:color w:val="000000"/>
                <w:sz w:val="22"/>
              </w:rPr>
            </w:pPr>
          </w:p>
        </w:tc>
        <w:tc>
          <w:tcPr>
            <w:tcW w:w="824" w:type="dxa"/>
            <w:tcBorders>
              <w:top w:val="single" w:color="auto" w:sz="4" w:space="0"/>
            </w:tcBorders>
          </w:tcPr>
          <w:p w:rsidRPr="00A16D67" w:rsidR="00542A34" w:rsidP="00A16D67" w:rsidRDefault="00542A34" w14:paraId="4EBCAED0" w14:textId="28DC8FF1">
            <w:pPr>
              <w:spacing w:after="0"/>
              <w:jc w:val="center"/>
              <w:rPr>
                <w:rFonts w:eastAsia="Times New Roman" w:cs="Arial"/>
                <w:color w:val="000000"/>
                <w:sz w:val="22"/>
              </w:rPr>
            </w:pPr>
          </w:p>
        </w:tc>
        <w:tc>
          <w:tcPr>
            <w:tcW w:w="1367" w:type="dxa"/>
            <w:tcBorders>
              <w:top w:val="single" w:color="auto" w:sz="4" w:space="0"/>
            </w:tcBorders>
          </w:tcPr>
          <w:p w:rsidRPr="00A16D67" w:rsidR="00542A34" w:rsidP="00A16D67" w:rsidRDefault="0077787F" w14:paraId="378B42BF" w14:textId="37B9BE69">
            <w:pPr>
              <w:spacing w:after="0"/>
              <w:jc w:val="center"/>
              <w:rPr>
                <w:rFonts w:eastAsia="Times New Roman" w:cs="Arial"/>
                <w:color w:val="000000"/>
                <w:sz w:val="22"/>
              </w:rPr>
            </w:pPr>
            <w:r w:rsidRPr="00A16D67">
              <w:rPr>
                <w:rFonts w:eastAsia="Times New Roman" w:cs="Arial"/>
                <w:color w:val="000000"/>
                <w:sz w:val="22"/>
              </w:rPr>
              <w:t>1,435.5</w:t>
            </w:r>
          </w:p>
        </w:tc>
        <w:tc>
          <w:tcPr>
            <w:tcW w:w="1586" w:type="dxa"/>
            <w:tcBorders>
              <w:top w:val="single" w:color="auto" w:sz="4" w:space="0"/>
            </w:tcBorders>
          </w:tcPr>
          <w:p w:rsidRPr="00A16D67" w:rsidR="00542A34" w:rsidP="00A16D67" w:rsidRDefault="00542A34" w14:paraId="748C636A" w14:textId="033DD07D">
            <w:pPr>
              <w:spacing w:after="0"/>
              <w:jc w:val="center"/>
              <w:rPr>
                <w:rFonts w:eastAsia="Times New Roman" w:cs="Arial"/>
                <w:color w:val="000000"/>
                <w:sz w:val="22"/>
              </w:rPr>
            </w:pPr>
            <w:r w:rsidRPr="00A16D67">
              <w:rPr>
                <w:rFonts w:eastAsia="Times New Roman" w:cs="Arial"/>
                <w:color w:val="000000"/>
                <w:sz w:val="22"/>
              </w:rPr>
              <w:t>$183,055.35</w:t>
            </w:r>
          </w:p>
        </w:tc>
      </w:tr>
    </w:tbl>
    <w:p w:rsidRPr="00542A34" w:rsidR="00542A34" w:rsidP="006F5CC0" w:rsidRDefault="00542A34" w14:paraId="60A2988C" w14:textId="77777777">
      <w:pPr>
        <w:spacing w:line="240" w:lineRule="auto"/>
        <w:rPr>
          <w:rFonts w:eastAsia="Times New Roman" w:cs="Arial"/>
          <w:color w:val="FF0000"/>
          <w:sz w:val="22"/>
        </w:rPr>
      </w:pPr>
    </w:p>
    <w:p w:rsidRPr="00106D57" w:rsidR="00605DAE" w:rsidP="00AF29A5" w:rsidRDefault="00605DAE" w14:paraId="312D6F2E" w14:textId="23A4F323">
      <w:pPr>
        <w:pStyle w:val="Heading2"/>
        <w:spacing w:before="0" w:after="0" w:line="240" w:lineRule="auto"/>
        <w:rPr>
          <w:i/>
          <w:iCs/>
          <w:color w:val="auto"/>
        </w:rPr>
      </w:pPr>
      <w:bookmarkStart w:name="_Toc49148207" w:id="8"/>
      <w:bookmarkEnd w:id="6"/>
      <w:r w:rsidRPr="00106D57">
        <w:rPr>
          <w:i/>
          <w:iCs/>
          <w:color w:val="auto"/>
        </w:rPr>
        <w:lastRenderedPageBreak/>
        <w:t>13. Provide an estimate for the total annual cost burden to respondents or recordkeepers resulting from the collection of information.</w:t>
      </w:r>
    </w:p>
    <w:bookmarkEnd w:id="1"/>
    <w:bookmarkEnd w:id="8"/>
    <w:p w:rsidRPr="00AF29A5" w:rsidR="00D11313" w:rsidP="00D11313" w:rsidRDefault="00D11313" w14:paraId="66969FFE" w14:textId="77777777">
      <w:pPr>
        <w:pStyle w:val="ListParagraph"/>
        <w:numPr>
          <w:ilvl w:val="0"/>
          <w:numId w:val="17"/>
        </w:numPr>
        <w:spacing w:after="0" w:line="240" w:lineRule="auto"/>
        <w:rPr>
          <w:b/>
          <w:i/>
          <w:iCs/>
        </w:rPr>
      </w:pPr>
      <w:r w:rsidRPr="00AF29A5">
        <w:rPr>
          <w:b/>
          <w:i/>
          <w:iCs/>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AF29A5">
        <w:rPr>
          <w:b/>
          <w:i/>
          <w:iCs/>
        </w:rPr>
        <w:t>take into account</w:t>
      </w:r>
      <w:proofErr w:type="gramEnd"/>
      <w:r w:rsidRPr="00AF29A5">
        <w:rPr>
          <w:b/>
          <w:i/>
          <w:i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AF29A5" w:rsidR="00D11313" w:rsidP="00D11313" w:rsidRDefault="00D11313" w14:paraId="3B84C910" w14:textId="77777777">
      <w:pPr>
        <w:pStyle w:val="ListParagraph"/>
        <w:numPr>
          <w:ilvl w:val="0"/>
          <w:numId w:val="17"/>
        </w:numPr>
        <w:spacing w:after="0" w:line="240" w:lineRule="auto"/>
        <w:rPr>
          <w:b/>
          <w:i/>
          <w:iCs/>
        </w:rPr>
      </w:pPr>
      <w:r w:rsidRPr="00AF29A5">
        <w:rPr>
          <w:b/>
          <w:i/>
          <w:i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F29A5" w:rsidR="009A79F1" w:rsidP="00AF29A5" w:rsidRDefault="00D11313" w14:paraId="68EFDBC6" w14:textId="4758B29B">
      <w:pPr>
        <w:pStyle w:val="ListParagraph"/>
        <w:spacing w:after="0" w:line="240" w:lineRule="auto"/>
        <w:rPr>
          <w:b/>
          <w:i/>
          <w:iCs/>
        </w:rPr>
      </w:pPr>
      <w:r w:rsidRPr="00AF29A5">
        <w:rPr>
          <w:b/>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F29A5" w:rsidR="00D11313" w:rsidP="00AF29A5" w:rsidRDefault="00D11313" w14:paraId="0A10464F" w14:textId="77777777">
      <w:pPr>
        <w:spacing w:after="0" w:line="240" w:lineRule="auto"/>
        <w:ind w:left="360"/>
      </w:pPr>
    </w:p>
    <w:p w:rsidRPr="00606D14" w:rsidR="00606D14" w:rsidP="006F5CC0" w:rsidRDefault="00606D14" w14:paraId="28CEA6AE" w14:textId="77777777">
      <w:pPr>
        <w:spacing w:line="276" w:lineRule="auto"/>
        <w:rPr>
          <w:rFonts w:eastAsia="Calibri" w:cs="Arial"/>
        </w:rPr>
      </w:pPr>
      <w:r w:rsidRPr="00606D14">
        <w:rPr>
          <w:rFonts w:eastAsia="Calibri" w:cs="Arial"/>
        </w:rPr>
        <w:t xml:space="preserve">There are no operational or maintenance costs associated with this collection. </w:t>
      </w:r>
    </w:p>
    <w:p w:rsidRPr="00106D57" w:rsidR="00605DAE" w:rsidP="006F5CC0" w:rsidRDefault="00605DAE" w14:paraId="7B506D3C" w14:textId="77777777">
      <w:pPr>
        <w:pStyle w:val="Heading2"/>
        <w:spacing w:after="240"/>
        <w:rPr>
          <w:i/>
          <w:iCs/>
          <w:color w:val="auto"/>
        </w:rPr>
      </w:pPr>
      <w:r w:rsidRPr="00106D57">
        <w:rPr>
          <w:i/>
          <w:iCs/>
          <w:color w:val="auto"/>
        </w:rPr>
        <w:t xml:space="preserve">14. Provide </w:t>
      </w:r>
      <w:bookmarkStart w:name="_Hlk82508788" w:id="9"/>
      <w:r w:rsidRPr="00106D57">
        <w:rPr>
          <w:i/>
          <w:iCs/>
          <w:color w:val="auto"/>
        </w:rPr>
        <w:t>estimates of annualized cost to the Federal government.</w:t>
      </w:r>
      <w:bookmarkEnd w:id="9"/>
    </w:p>
    <w:p w:rsidRPr="00606D14" w:rsidR="00606D14" w:rsidP="006F5CC0" w:rsidRDefault="00606D14" w14:paraId="321B6B52" w14:textId="77777777">
      <w:pPr>
        <w:spacing w:line="276" w:lineRule="auto"/>
        <w:rPr>
          <w:rFonts w:eastAsia="Calibri" w:cs="Arial"/>
        </w:rPr>
      </w:pPr>
      <w:r w:rsidRPr="00606D14">
        <w:rPr>
          <w:rFonts w:eastAsia="Calibri" w:cs="Arial"/>
        </w:rPr>
        <w:t xml:space="preserve">There is no Agency burden related to registration of minimum risk pesticide products since they are exempt from Federal registration. </w:t>
      </w:r>
    </w:p>
    <w:p w:rsidRPr="00106D57" w:rsidR="00605DAE" w:rsidP="006F5CC0" w:rsidRDefault="00605DAE" w14:paraId="6AB16D0A" w14:textId="77777777">
      <w:pPr>
        <w:pStyle w:val="Heading2"/>
        <w:spacing w:after="240"/>
        <w:rPr>
          <w:i/>
          <w:iCs/>
          <w:color w:val="auto"/>
        </w:rPr>
      </w:pPr>
      <w:r w:rsidRPr="00106D57">
        <w:rPr>
          <w:i/>
          <w:iCs/>
          <w:color w:val="auto"/>
        </w:rPr>
        <w:t>15. Explain the reasons for any program changes or adjustments reported in Items 13 (or 14) of OMB Form 83-I.</w:t>
      </w:r>
    </w:p>
    <w:p w:rsidRPr="00606D14" w:rsidR="00606D14" w:rsidP="006F5CC0" w:rsidRDefault="00606D14" w14:paraId="18329558" w14:textId="77777777">
      <w:pPr>
        <w:spacing w:line="276" w:lineRule="auto"/>
        <w:rPr>
          <w:rFonts w:eastAsia="Calibri" w:cs="Arial"/>
        </w:rPr>
      </w:pPr>
      <w:r w:rsidRPr="00606D14">
        <w:rPr>
          <w:rFonts w:eastAsia="Calibri" w:cs="Arial"/>
        </w:rPr>
        <w:t xml:space="preserve">There is no change in the total estimated respondent burden compared with the ICR currently approved by OMB. This </w:t>
      </w:r>
      <w:proofErr w:type="gramStart"/>
      <w:r w:rsidRPr="00606D14">
        <w:rPr>
          <w:rFonts w:eastAsia="Calibri" w:cs="Arial"/>
        </w:rPr>
        <w:t>is based on the assumption</w:t>
      </w:r>
      <w:proofErr w:type="gramEnd"/>
      <w:r w:rsidRPr="00606D14">
        <w:rPr>
          <w:rFonts w:eastAsia="Calibri" w:cs="Arial"/>
        </w:rPr>
        <w:t xml:space="preserve"> that the estimated number of new products entering the market is the same as that used in the previous ICR, that is, 87 per year, with estimated burden hours of 478.5 hours per year. However, in this renewal, burden costs are updated with the 2019 wage rates.</w:t>
      </w:r>
    </w:p>
    <w:p w:rsidRPr="00106D57" w:rsidR="00606D14" w:rsidP="006F5CC0" w:rsidRDefault="00606D14" w14:paraId="67981C0B" w14:textId="470F74C0">
      <w:pPr>
        <w:spacing w:line="276" w:lineRule="auto"/>
        <w:rPr>
          <w:rFonts w:eastAsia="Calibri" w:cs="Arial"/>
        </w:rPr>
      </w:pPr>
      <w:r w:rsidRPr="00606D14">
        <w:rPr>
          <w:rFonts w:eastAsia="Calibri" w:cs="Arial"/>
        </w:rPr>
        <w:lastRenderedPageBreak/>
        <w:t xml:space="preserve">The total burden hours per response (5.5 hours) </w:t>
      </w:r>
      <w:r w:rsidRPr="00606D14" w:rsidR="00E2711D">
        <w:rPr>
          <w:rFonts w:eastAsia="Calibri" w:cs="Arial"/>
        </w:rPr>
        <w:t>have</w:t>
      </w:r>
      <w:r w:rsidRPr="00606D14">
        <w:rPr>
          <w:rFonts w:eastAsia="Calibri" w:cs="Arial"/>
        </w:rPr>
        <w:t xml:space="preserve"> not changed for this ICR renewal and the total response burden estimate has remained the same at 1,435.5 hours. With updated wage ra</w:t>
      </w:r>
      <w:r w:rsidRPr="00106D57">
        <w:rPr>
          <w:rFonts w:eastAsia="Calibri" w:cs="Arial"/>
        </w:rPr>
        <w:t xml:space="preserve">tes, the total labor costs increased from $156,606.53 to $183,055.35. </w:t>
      </w:r>
    </w:p>
    <w:p w:rsidRPr="00106D57" w:rsidR="00605DAE" w:rsidP="006F5CC0" w:rsidRDefault="00605DAE" w14:paraId="61B6665F" w14:textId="77777777">
      <w:pPr>
        <w:pStyle w:val="Heading2"/>
        <w:spacing w:after="240"/>
        <w:rPr>
          <w:i/>
          <w:iCs/>
          <w:color w:val="auto"/>
        </w:rPr>
      </w:pPr>
      <w:r w:rsidRPr="00106D57">
        <w:rPr>
          <w:i/>
          <w:iCs/>
          <w:color w:val="auto"/>
        </w:rPr>
        <w:t xml:space="preserve">16. For collections whose results will be published, outline the plans for tabulation and publication. </w:t>
      </w:r>
    </w:p>
    <w:p w:rsidRPr="00106D57" w:rsidR="00605DAE" w:rsidP="006F5CC0" w:rsidRDefault="00605DAE" w14:paraId="4CC4EBEB" w14:textId="77777777">
      <w:r w:rsidRPr="00106D57">
        <w:t>This question not applicable to this ICR.</w:t>
      </w:r>
    </w:p>
    <w:p w:rsidRPr="00106D57" w:rsidR="00605DAE" w:rsidP="006F5CC0" w:rsidRDefault="00605DAE" w14:paraId="4A68D668" w14:textId="77777777">
      <w:pPr>
        <w:pStyle w:val="Heading2"/>
        <w:spacing w:after="240"/>
        <w:rPr>
          <w:i/>
          <w:iCs/>
          <w:color w:val="auto"/>
        </w:rPr>
      </w:pPr>
      <w:r w:rsidRPr="00106D57">
        <w:rPr>
          <w:i/>
          <w:iCs/>
          <w:color w:val="auto"/>
        </w:rPr>
        <w:t xml:space="preserve">17. If seeking approval to not display the expiration date for OMB approval of the information collection, explain the reasons why display would be inappropriate. </w:t>
      </w:r>
    </w:p>
    <w:p w:rsidRPr="00106D57" w:rsidR="00605DAE" w:rsidP="006F5CC0" w:rsidRDefault="00605DAE" w14:paraId="358D2F48" w14:textId="77777777">
      <w:r w:rsidRPr="00106D57">
        <w:t>This question not applicable to this ICR.</w:t>
      </w:r>
    </w:p>
    <w:p w:rsidRPr="00605DAE" w:rsidR="00605DAE" w:rsidP="006F5CC0" w:rsidRDefault="00605DAE" w14:paraId="06A04D26" w14:textId="77777777">
      <w:pPr>
        <w:pStyle w:val="Heading2"/>
        <w:spacing w:after="240"/>
        <w:rPr>
          <w:i/>
          <w:iCs/>
        </w:rPr>
      </w:pPr>
      <w:r w:rsidRPr="00106D57">
        <w:rPr>
          <w:i/>
          <w:iCs/>
          <w:color w:val="auto"/>
        </w:rPr>
        <w:t>18. Explain each exception to the certification statement identified in Item 19 of OMB Form 83-I.</w:t>
      </w:r>
      <w:r w:rsidRPr="00605DAE">
        <w:rPr>
          <w:i/>
          <w:iCs/>
        </w:rPr>
        <w:t xml:space="preserve"> </w:t>
      </w:r>
    </w:p>
    <w:p w:rsidR="00606D14" w:rsidP="006F5CC0" w:rsidRDefault="00606D14" w14:paraId="670A881B" w14:textId="3D2EB586">
      <w:pPr>
        <w:spacing w:line="276" w:lineRule="auto"/>
        <w:rPr>
          <w:rFonts w:eastAsia="Calibri" w:cs="Arial"/>
        </w:rPr>
      </w:pPr>
      <w:r w:rsidRPr="00606D14">
        <w:rPr>
          <w:rFonts w:eastAsia="Calibri" w:cs="Arial"/>
        </w:rPr>
        <w:t>EPA does not request an exception to the certification of this information collection.</w:t>
      </w:r>
    </w:p>
    <w:p w:rsidR="00106D57" w:rsidP="006F5CC0" w:rsidRDefault="00106D57" w14:paraId="429C405B" w14:textId="388E9D96">
      <w:pPr>
        <w:keepNext/>
        <w:keepLines/>
        <w:pBdr>
          <w:top w:val="single" w:color="auto" w:sz="4" w:space="1"/>
        </w:pBdr>
        <w:spacing w:before="240"/>
        <w:outlineLvl w:val="0"/>
        <w:rPr>
          <w:rFonts w:eastAsia="Times New Roman" w:cs="Arial"/>
          <w:b/>
          <w:bCs/>
          <w:szCs w:val="32"/>
        </w:rPr>
      </w:pPr>
      <w:r w:rsidRPr="00106D57">
        <w:rPr>
          <w:rFonts w:eastAsia="Times New Roman" w:cs="Arial"/>
          <w:b/>
          <w:bCs/>
          <w:szCs w:val="32"/>
        </w:rPr>
        <w:t>SUPPLEMENTAL INFORMATION</w:t>
      </w:r>
    </w:p>
    <w:p w:rsidR="00E2711D" w:rsidP="006F5CC0" w:rsidRDefault="008047E1" w14:paraId="19108938" w14:textId="77777777">
      <w:r w:rsidRPr="003046A2">
        <w:t xml:space="preserve">This collection of information is approved by OMB under the Paperwork Reduction Act, 44 U.S.C. 3501 et seq. (OMB Control No. </w:t>
      </w:r>
      <w:r>
        <w:t>2070-0187</w:t>
      </w:r>
      <w:r w:rsidRPr="003046A2">
        <w:t xml:space="preserve">). Responses to this collection of information are mandatory for certain persons, as specified at 40 CFR </w:t>
      </w:r>
      <w:r>
        <w:t>152.25(f)</w:t>
      </w:r>
      <w:r w:rsidRPr="003046A2">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t>5.5</w:t>
      </w:r>
      <w:r w:rsidRPr="003046A2">
        <w:t xml:space="preserve"> hours per response. </w:t>
      </w:r>
    </w:p>
    <w:p w:rsidRPr="00AF29A5" w:rsidR="00106D57" w:rsidP="006F5CC0" w:rsidRDefault="00106D57" w14:paraId="49A33B0C" w14:textId="4601C5FB">
      <w:pPr>
        <w:rPr>
          <w:rFonts w:eastAsia="Arial" w:cs="Times New Roman"/>
        </w:rPr>
      </w:pPr>
      <w:r w:rsidRPr="00AF29A5">
        <w:rPr>
          <w:rFonts w:eastAsia="Arial" w:cs="Times New Roman"/>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EPA-HQ-OPP-2021-0</w:t>
      </w:r>
      <w:r w:rsidR="004D502F">
        <w:rPr>
          <w:rFonts w:eastAsia="Arial" w:cs="Times New Roman"/>
        </w:rPr>
        <w:t>346</w:t>
      </w:r>
      <w:r w:rsidRPr="00AF29A5">
        <w:rPr>
          <w:rFonts w:eastAsia="Arial" w:cs="Times New Roman"/>
        </w:rPr>
        <w:t xml:space="preserve">, which is available at </w:t>
      </w:r>
      <w:r w:rsidRPr="00AF29A5">
        <w:rPr>
          <w:rFonts w:eastAsia="Arial" w:cs="Times New Roman"/>
          <w:color w:val="0000FF"/>
          <w:u w:val="single"/>
        </w:rPr>
        <w:t>http://www.regulations.gov</w:t>
      </w:r>
      <w:r w:rsidRPr="00AF29A5">
        <w:rPr>
          <w:rFonts w:eastAsia="Arial" w:cs="Times New Roman"/>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w:t>
      </w:r>
    </w:p>
    <w:p w:rsidRPr="00AF29A5" w:rsidR="00106D57" w:rsidP="006F5CC0" w:rsidRDefault="00106D57" w14:paraId="161D0E75" w14:textId="77777777">
      <w:pPr>
        <w:rPr>
          <w:rFonts w:eastAsia="Arial" w:cs="Times New Roman"/>
        </w:rPr>
      </w:pPr>
      <w:r w:rsidRPr="00AF29A5">
        <w:rPr>
          <w:rFonts w:eastAsia="Arial" w:cs="Times New Roman"/>
        </w:rPr>
        <w:t xml:space="preserve">You can also provide comments to the Office of Information and Regulatory Affairs, Office of Management and Budget via </w:t>
      </w:r>
      <w:r w:rsidRPr="00AF29A5">
        <w:rPr>
          <w:rFonts w:eastAsia="Arial" w:cs="Times New Roman"/>
          <w:color w:val="0000FF"/>
          <w:u w:val="single"/>
        </w:rPr>
        <w:t>http://www.reginfo.gov/public/do/PRAMain</w:t>
      </w:r>
      <w:r w:rsidRPr="00AF29A5">
        <w:rPr>
          <w:rFonts w:eastAsia="Arial" w:cs="Times New Roman"/>
        </w:rPr>
        <w:t>. Find this particular information collection by selecting ‘‘Currently under 30-day Review—Open for Public Comments’’ or by using the search function.</w:t>
      </w:r>
    </w:p>
    <w:p w:rsidRPr="00AF29A5" w:rsidR="00106D57" w:rsidP="006F5CC0" w:rsidRDefault="00106D57" w14:paraId="73C062D6" w14:textId="77777777">
      <w:pPr>
        <w:rPr>
          <w:rFonts w:eastAsia="Arial" w:cs="Times New Roman"/>
        </w:rPr>
      </w:pPr>
      <w:r w:rsidRPr="00AF29A5">
        <w:rPr>
          <w:rFonts w:eastAsia="Arial" w:cs="Times New Roman"/>
        </w:rPr>
        <w:t xml:space="preserve">All comments received by EPA will be included in the docket without change, including any personal information provided, unless the comment includes profanity, threats, </w:t>
      </w:r>
      <w:r w:rsidRPr="00AF29A5">
        <w:rPr>
          <w:rFonts w:eastAsia="Arial" w:cs="Times New Roman"/>
        </w:rPr>
        <w:lastRenderedPageBreak/>
        <w:t xml:space="preserve">information claimed to be Confidential Business Information (CBI), or other information whose disclosure is restricted by statute. Do not submit electronically any information you consider to be CBI or other information whose disclosure is restricted by statute. </w:t>
      </w:r>
    </w:p>
    <w:p w:rsidRPr="00AF29A5" w:rsidR="00106D57" w:rsidP="006F5CC0" w:rsidRDefault="00106D57" w14:paraId="369C9EC2" w14:textId="4BC44E50">
      <w:pPr>
        <w:rPr>
          <w:rFonts w:eastAsia="Arial" w:cs="Times New Roman"/>
        </w:rPr>
      </w:pPr>
      <w:r w:rsidRPr="00AF29A5">
        <w:rPr>
          <w:rFonts w:eastAsia="Arial" w:cs="Times New Roman"/>
        </w:rPr>
        <w:t xml:space="preserve">Please note that due to the public health concerns related to COVID-19, the EPA Docket Center (EPA/DC) and Reading Room is open to visitors by appointment only. The staff continues to provide remote customer service via email, phone, and webform. For the latest status information on EPA/DC services and docket access, visit </w:t>
      </w:r>
      <w:hyperlink w:history="1" r:id="rId15">
        <w:r w:rsidRPr="00AF29A5">
          <w:rPr>
            <w:rStyle w:val="Hyperlink"/>
          </w:rPr>
          <w:t>https://www.epa.gov/dockets</w:t>
        </w:r>
      </w:hyperlink>
      <w:r w:rsidRPr="00AF29A5">
        <w:rPr>
          <w:rFonts w:eastAsia="Arial" w:cs="Times New Roman"/>
        </w:rPr>
        <w:t>.</w:t>
      </w:r>
    </w:p>
    <w:p w:rsidRPr="00106D57" w:rsidR="00606D14" w:rsidP="006F5CC0" w:rsidRDefault="00106D57" w14:paraId="7F69842F" w14:textId="58FB7579">
      <w:pPr>
        <w:keepNext/>
        <w:keepLines/>
        <w:pBdr>
          <w:top w:val="single" w:color="auto" w:sz="4" w:space="1"/>
        </w:pBdr>
        <w:spacing w:before="240"/>
        <w:outlineLvl w:val="0"/>
        <w:rPr>
          <w:rFonts w:eastAsia="Times New Roman" w:cs="Arial"/>
          <w:b/>
          <w:bCs/>
          <w:szCs w:val="32"/>
        </w:rPr>
      </w:pPr>
      <w:r w:rsidRPr="00106D57">
        <w:rPr>
          <w:rFonts w:eastAsia="Times New Roman" w:cs="Arial"/>
          <w:b/>
          <w:bCs/>
          <w:szCs w:val="32"/>
        </w:rPr>
        <w:t>LIST OF ATTACHMENT</w:t>
      </w:r>
      <w:r w:rsidR="008413E4">
        <w:rPr>
          <w:rFonts w:eastAsia="Times New Roman" w:cs="Arial"/>
          <w:b/>
          <w:bCs/>
          <w:szCs w:val="32"/>
        </w:rPr>
        <w:t>S</w:t>
      </w:r>
    </w:p>
    <w:p w:rsidRPr="00606D14" w:rsidR="00606D14" w:rsidP="006F5CC0" w:rsidRDefault="00606D14" w14:paraId="073D182F" w14:textId="35B118A1">
      <w:pPr>
        <w:rPr>
          <w:rFonts w:eastAsia="Calibri" w:cs="Arial"/>
          <w:lang w:bidi="en-US"/>
        </w:rPr>
      </w:pPr>
      <w:r w:rsidRPr="00606D14">
        <w:rPr>
          <w:rFonts w:eastAsia="Calibri" w:cs="Arial"/>
          <w:lang w:bidi="en-US"/>
        </w:rPr>
        <w:t xml:space="preserve">The attachments listed below can be found in the docket for this ICR or by using the hyperlink that is provided in the list below. The docket for this ICR is accessible electronically through </w:t>
      </w:r>
      <w:hyperlink w:history="1" r:id="rId16">
        <w:r w:rsidRPr="00AF29A5">
          <w:rPr>
            <w:rFonts w:eastAsia="Calibri" w:cs="Arial"/>
            <w:color w:val="0000FF"/>
            <w:u w:val="single"/>
          </w:rPr>
          <w:t>http://www.regulations.gov</w:t>
        </w:r>
      </w:hyperlink>
      <w:r w:rsidRPr="00606D14">
        <w:rPr>
          <w:rFonts w:eastAsia="Calibri" w:cs="Arial"/>
          <w:lang w:bidi="en-US"/>
        </w:rPr>
        <w:t xml:space="preserve"> using Docket ID Number: </w:t>
      </w:r>
      <w:r w:rsidRPr="00606D14">
        <w:rPr>
          <w:rFonts w:eastAsia="Calibri" w:cs="Arial"/>
          <w:szCs w:val="24"/>
        </w:rPr>
        <w:t>EPA-HQ- OPP-</w:t>
      </w:r>
      <w:r w:rsidRPr="005161FF" w:rsidR="004D502F">
        <w:rPr>
          <w:rFonts w:eastAsia="Arial" w:cs="Times New Roman"/>
        </w:rPr>
        <w:t>2021-0</w:t>
      </w:r>
      <w:r w:rsidRPr="00106D57" w:rsidR="004D502F">
        <w:rPr>
          <w:rFonts w:eastAsia="Arial" w:cs="Times New Roman"/>
        </w:rPr>
        <w:t>346</w:t>
      </w:r>
      <w:r w:rsidRPr="00606D14">
        <w:rPr>
          <w:rFonts w:eastAsia="Calibri" w:cs="Arial"/>
          <w:lang w:bidi="en-US"/>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7"/>
        <w:gridCol w:w="7823"/>
      </w:tblGrid>
      <w:tr w:rsidRPr="00606D14" w:rsidR="00606D14" w:rsidTr="00A958F6" w14:paraId="0465692C" w14:textId="77777777">
        <w:tc>
          <w:tcPr>
            <w:tcW w:w="535" w:type="dxa"/>
          </w:tcPr>
          <w:p w:rsidRPr="00606D14" w:rsidR="00606D14" w:rsidP="006F5CC0" w:rsidRDefault="00F0491E" w14:paraId="4DD569D0" w14:textId="1D8F9A59">
            <w:pPr>
              <w:widowControl w:val="0"/>
              <w:spacing w:before="40"/>
              <w:rPr>
                <w:rFonts w:eastAsia="Calibri" w:cs="Arial"/>
                <w:b/>
                <w:bCs/>
                <w:lang w:bidi="en-US"/>
              </w:rPr>
            </w:pPr>
            <w:r>
              <w:rPr>
                <w:rFonts w:eastAsia="Calibri" w:cs="Arial"/>
                <w:b/>
                <w:bCs/>
                <w:lang w:bidi="en-US"/>
              </w:rPr>
              <w:t>Attachment</w:t>
            </w:r>
          </w:p>
        </w:tc>
        <w:tc>
          <w:tcPr>
            <w:tcW w:w="8815" w:type="dxa"/>
          </w:tcPr>
          <w:p w:rsidRPr="00606D14" w:rsidR="00606D14" w:rsidP="006F5CC0" w:rsidRDefault="00606D14" w14:paraId="0F4926E2" w14:textId="641307D5">
            <w:pPr>
              <w:widowControl w:val="0"/>
              <w:spacing w:before="40"/>
              <w:rPr>
                <w:rFonts w:eastAsia="Calibri" w:cs="Arial"/>
                <w:b/>
                <w:bCs/>
                <w:lang w:bidi="en-US"/>
              </w:rPr>
            </w:pPr>
            <w:r w:rsidRPr="00606D14">
              <w:rPr>
                <w:rFonts w:eastAsia="Calibri" w:cs="Arial"/>
                <w:b/>
                <w:bCs/>
                <w:lang w:bidi="en-US"/>
              </w:rPr>
              <w:t xml:space="preserve">Title </w:t>
            </w:r>
          </w:p>
        </w:tc>
      </w:tr>
      <w:tr w:rsidRPr="00606D14" w:rsidR="00606D14" w:rsidTr="00A958F6" w14:paraId="6D7791C1" w14:textId="77777777">
        <w:tc>
          <w:tcPr>
            <w:tcW w:w="535" w:type="dxa"/>
          </w:tcPr>
          <w:p w:rsidRPr="00606D14" w:rsidR="00606D14" w:rsidP="006F5CC0" w:rsidRDefault="00606D14" w14:paraId="418071E2" w14:textId="55CE2043">
            <w:pPr>
              <w:widowControl w:val="0"/>
              <w:spacing w:before="40"/>
              <w:jc w:val="center"/>
              <w:rPr>
                <w:rFonts w:eastAsia="Calibri" w:cs="Arial"/>
                <w:lang w:bidi="en-US"/>
              </w:rPr>
            </w:pPr>
            <w:r w:rsidRPr="00606D14">
              <w:rPr>
                <w:rFonts w:eastAsia="Calibri" w:cs="Arial"/>
                <w:lang w:bidi="en-US"/>
              </w:rPr>
              <w:t>A</w:t>
            </w:r>
          </w:p>
        </w:tc>
        <w:tc>
          <w:tcPr>
            <w:tcW w:w="8815" w:type="dxa"/>
          </w:tcPr>
          <w:p w:rsidRPr="00606D14" w:rsidR="00606D14" w:rsidP="006F5CC0" w:rsidRDefault="00B10059" w14:paraId="7BF7D371" w14:textId="3897C99D">
            <w:pPr>
              <w:spacing w:line="276" w:lineRule="auto"/>
              <w:rPr>
                <w:rFonts w:eastAsia="Calibri" w:cs="Arial"/>
                <w:szCs w:val="24"/>
              </w:rPr>
            </w:pPr>
            <w:hyperlink w:history="1" r:id="rId17">
              <w:r w:rsidR="00F7527B">
                <w:rPr>
                  <w:rStyle w:val="Hyperlink"/>
                  <w:rFonts w:eastAsia="Calibri" w:cs="Arial"/>
                  <w:szCs w:val="24"/>
                </w:rPr>
                <w:t xml:space="preserve">Title 7 Agriculture, §136a. Registration of Pesticides </w:t>
              </w:r>
            </w:hyperlink>
            <w:r w:rsidR="00F7527B">
              <w:rPr>
                <w:rFonts w:eastAsia="Calibri" w:cs="Arial"/>
                <w:color w:val="0563C1"/>
                <w:szCs w:val="24"/>
                <w:u w:val="single"/>
              </w:rPr>
              <w:t xml:space="preserve"> </w:t>
            </w:r>
          </w:p>
        </w:tc>
      </w:tr>
      <w:tr w:rsidRPr="00606D14" w:rsidR="00606D14" w:rsidTr="00A958F6" w14:paraId="00EA60B9" w14:textId="77777777">
        <w:tc>
          <w:tcPr>
            <w:tcW w:w="535" w:type="dxa"/>
          </w:tcPr>
          <w:p w:rsidRPr="00606D14" w:rsidR="00606D14" w:rsidP="006F5CC0" w:rsidRDefault="00606D14" w14:paraId="1F1F951F" w14:textId="4958269D">
            <w:pPr>
              <w:widowControl w:val="0"/>
              <w:spacing w:before="40"/>
              <w:jc w:val="center"/>
              <w:rPr>
                <w:rFonts w:eastAsia="Calibri" w:cs="Arial"/>
                <w:lang w:bidi="en-US"/>
              </w:rPr>
            </w:pPr>
            <w:r w:rsidRPr="00606D14">
              <w:rPr>
                <w:rFonts w:eastAsia="Calibri" w:cs="Arial"/>
                <w:lang w:bidi="en-US"/>
              </w:rPr>
              <w:t>B</w:t>
            </w:r>
          </w:p>
        </w:tc>
        <w:tc>
          <w:tcPr>
            <w:tcW w:w="8815" w:type="dxa"/>
          </w:tcPr>
          <w:p w:rsidRPr="00606D14" w:rsidR="00606D14" w:rsidP="006F5CC0" w:rsidRDefault="00B10059" w14:paraId="72DF7076" w14:textId="025A1A7B">
            <w:pPr>
              <w:spacing w:line="276" w:lineRule="auto"/>
              <w:rPr>
                <w:rFonts w:eastAsia="Calibri" w:cs="Arial"/>
                <w:szCs w:val="24"/>
              </w:rPr>
            </w:pPr>
            <w:hyperlink w:history="1" r:id="rId18">
              <w:r w:rsidR="00F7527B">
                <w:rPr>
                  <w:rStyle w:val="Hyperlink"/>
                  <w:rFonts w:eastAsia="Calibri" w:cs="Arial"/>
                  <w:szCs w:val="24"/>
                </w:rPr>
                <w:t>Title 7: Agriculture, §136v Authority of States</w:t>
              </w:r>
            </w:hyperlink>
            <w:r w:rsidR="00F7527B">
              <w:rPr>
                <w:rFonts w:eastAsia="Calibri" w:cs="Arial"/>
                <w:szCs w:val="24"/>
              </w:rPr>
              <w:t xml:space="preserve"> </w:t>
            </w:r>
          </w:p>
        </w:tc>
      </w:tr>
      <w:tr w:rsidRPr="00606D14" w:rsidR="00606D14" w:rsidTr="00A958F6" w14:paraId="5E02C8ED" w14:textId="77777777">
        <w:tc>
          <w:tcPr>
            <w:tcW w:w="535" w:type="dxa"/>
          </w:tcPr>
          <w:p w:rsidRPr="00606D14" w:rsidR="00606D14" w:rsidP="006F5CC0" w:rsidRDefault="00606D14" w14:paraId="3A8D4471" w14:textId="2B467736">
            <w:pPr>
              <w:widowControl w:val="0"/>
              <w:spacing w:before="40"/>
              <w:jc w:val="center"/>
              <w:rPr>
                <w:rFonts w:eastAsia="Calibri" w:cs="Arial"/>
                <w:lang w:bidi="en-US"/>
              </w:rPr>
            </w:pPr>
            <w:r w:rsidRPr="00606D14">
              <w:rPr>
                <w:rFonts w:eastAsia="Calibri" w:cs="Arial"/>
                <w:lang w:bidi="en-US"/>
              </w:rPr>
              <w:t>C</w:t>
            </w:r>
          </w:p>
        </w:tc>
        <w:tc>
          <w:tcPr>
            <w:tcW w:w="8815" w:type="dxa"/>
          </w:tcPr>
          <w:p w:rsidRPr="00606D14" w:rsidR="00606D14" w:rsidP="006F5CC0" w:rsidRDefault="00B10059" w14:paraId="5FB280C4" w14:textId="62269A4E">
            <w:pPr>
              <w:spacing w:line="276" w:lineRule="auto"/>
              <w:rPr>
                <w:rFonts w:eastAsia="Calibri" w:cs="Arial"/>
                <w:szCs w:val="24"/>
              </w:rPr>
            </w:pPr>
            <w:hyperlink w:history="1" r:id="rId19">
              <w:r w:rsidR="00F7527B">
                <w:rPr>
                  <w:rStyle w:val="Hyperlink"/>
                  <w:rFonts w:eastAsia="Calibri" w:cs="Arial"/>
                  <w:szCs w:val="24"/>
                </w:rPr>
                <w:t xml:space="preserve">Title 40: Protection of Environment, PART 152 Pesticide Registration and Classification Procedures, Subpart B—Exemptions, § 152.25: </w:t>
              </w:r>
            </w:hyperlink>
            <w:r w:rsidR="00F7527B">
              <w:rPr>
                <w:rFonts w:eastAsia="Calibri" w:cs="Arial"/>
                <w:szCs w:val="24"/>
              </w:rPr>
              <w:t xml:space="preserve"> </w:t>
            </w:r>
          </w:p>
        </w:tc>
      </w:tr>
      <w:tr w:rsidRPr="00606D14" w:rsidR="00606D14" w:rsidTr="00A958F6" w14:paraId="100EDBCE" w14:textId="77777777">
        <w:tc>
          <w:tcPr>
            <w:tcW w:w="535" w:type="dxa"/>
          </w:tcPr>
          <w:p w:rsidRPr="00606D14" w:rsidR="00606D14" w:rsidP="006F5CC0" w:rsidRDefault="00606D14" w14:paraId="2BE31141" w14:textId="638C9736">
            <w:pPr>
              <w:widowControl w:val="0"/>
              <w:spacing w:before="40"/>
              <w:jc w:val="center"/>
              <w:rPr>
                <w:rFonts w:eastAsia="Calibri" w:cs="Arial"/>
                <w:lang w:bidi="en-US"/>
              </w:rPr>
            </w:pPr>
            <w:r w:rsidRPr="00606D14">
              <w:rPr>
                <w:rFonts w:eastAsia="Calibri" w:cs="Arial"/>
                <w:lang w:bidi="en-US"/>
              </w:rPr>
              <w:t>D</w:t>
            </w:r>
          </w:p>
        </w:tc>
        <w:tc>
          <w:tcPr>
            <w:tcW w:w="8815" w:type="dxa"/>
          </w:tcPr>
          <w:p w:rsidRPr="0013512A" w:rsidR="00606D14" w:rsidP="006F5CC0" w:rsidRDefault="00F61672" w14:paraId="4119A655" w14:textId="55DDA996">
            <w:pPr>
              <w:spacing w:line="276" w:lineRule="auto"/>
              <w:rPr>
                <w:rFonts w:eastAsia="Calibri" w:cs="Arial"/>
              </w:rPr>
            </w:pPr>
            <w:r w:rsidRPr="0013512A">
              <w:rPr>
                <w:rFonts w:eastAsia="Calibri" w:cs="Arial"/>
              </w:rPr>
              <w:t>Consultations Summary for the Renewal ICR, entitled "Labeling Requirements for Certain Minimum Risk Pesticides under FIFRA Section 25(b) Information Collection Request”</w:t>
            </w:r>
            <w:r w:rsidRPr="00AF29A5">
              <w:rPr>
                <w:rFonts w:eastAsia="Calibri" w:cs="Arial"/>
                <w:szCs w:val="24"/>
              </w:rPr>
              <w:t xml:space="preserve"> – Rockwell Labs</w:t>
            </w:r>
          </w:p>
        </w:tc>
      </w:tr>
      <w:tr w:rsidRPr="00606D14" w:rsidR="00606D14" w:rsidTr="00A958F6" w14:paraId="58BEF414" w14:textId="77777777">
        <w:tc>
          <w:tcPr>
            <w:tcW w:w="535" w:type="dxa"/>
          </w:tcPr>
          <w:p w:rsidRPr="00606D14" w:rsidR="00606D14" w:rsidP="006F5CC0" w:rsidRDefault="00606D14" w14:paraId="251327E8" w14:textId="2391CBDC">
            <w:pPr>
              <w:widowControl w:val="0"/>
              <w:spacing w:before="40"/>
              <w:jc w:val="center"/>
              <w:rPr>
                <w:rFonts w:eastAsia="Calibri" w:cs="Arial"/>
                <w:lang w:bidi="en-US"/>
              </w:rPr>
            </w:pPr>
            <w:r w:rsidRPr="00606D14">
              <w:rPr>
                <w:rFonts w:eastAsia="Calibri" w:cs="Arial"/>
                <w:lang w:bidi="en-US"/>
              </w:rPr>
              <w:t>E</w:t>
            </w:r>
          </w:p>
        </w:tc>
        <w:tc>
          <w:tcPr>
            <w:tcW w:w="8815" w:type="dxa"/>
          </w:tcPr>
          <w:p w:rsidRPr="00606D14" w:rsidR="00606D14" w:rsidP="006F5CC0" w:rsidRDefault="00606D14" w14:paraId="64562B10" w14:textId="7BF15E8E">
            <w:pPr>
              <w:spacing w:line="276" w:lineRule="auto"/>
              <w:rPr>
                <w:rFonts w:eastAsia="Calibri" w:cs="Arial"/>
                <w:color w:val="0563C1"/>
                <w:szCs w:val="24"/>
                <w:u w:val="single"/>
              </w:rPr>
            </w:pPr>
            <w:r w:rsidRPr="002F6437">
              <w:rPr>
                <w:rFonts w:eastAsia="Calibri" w:cs="Arial"/>
                <w:szCs w:val="24"/>
              </w:rPr>
              <w:t>Work Sheet Used to Calculate Pesticide Industry Labor Costs</w:t>
            </w:r>
          </w:p>
        </w:tc>
      </w:tr>
    </w:tbl>
    <w:p w:rsidRPr="00606D14" w:rsidR="00606D14" w:rsidP="006F5CC0" w:rsidRDefault="00606D14" w14:paraId="30A6995B" w14:textId="77777777">
      <w:pPr>
        <w:spacing w:line="276" w:lineRule="auto"/>
        <w:rPr>
          <w:rFonts w:eastAsia="Calibri" w:cs="Arial"/>
          <w:lang w:bidi="en-US"/>
        </w:rPr>
      </w:pPr>
    </w:p>
    <w:sectPr w:rsidRPr="00606D14" w:rsidR="00606D14">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95641" w14:textId="77777777" w:rsidR="00D01BDF" w:rsidRDefault="00D01BDF" w:rsidP="00B51147">
      <w:pPr>
        <w:spacing w:after="0" w:line="240" w:lineRule="auto"/>
      </w:pPr>
      <w:r>
        <w:separator/>
      </w:r>
    </w:p>
  </w:endnote>
  <w:endnote w:type="continuationSeparator" w:id="0">
    <w:p w14:paraId="00C9E5A1" w14:textId="77777777" w:rsidR="00D01BDF" w:rsidRDefault="00D01BDF" w:rsidP="00B51147">
      <w:pPr>
        <w:spacing w:after="0" w:line="240" w:lineRule="auto"/>
      </w:pPr>
      <w:r>
        <w:continuationSeparator/>
      </w:r>
    </w:p>
  </w:endnote>
  <w:endnote w:type="continuationNotice" w:id="1">
    <w:p w14:paraId="76354C81" w14:textId="77777777" w:rsidR="00D01BDF" w:rsidRDefault="00D01B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543192"/>
      <w:docPartObj>
        <w:docPartGallery w:val="Page Numbers (Bottom of Page)"/>
        <w:docPartUnique/>
      </w:docPartObj>
    </w:sdtPr>
    <w:sdtEndPr>
      <w:rPr>
        <w:rFonts w:cs="Arial"/>
        <w:sz w:val="20"/>
        <w:szCs w:val="20"/>
      </w:rPr>
    </w:sdtEndPr>
    <w:sdtContent>
      <w:sdt>
        <w:sdtPr>
          <w:id w:val="1728636285"/>
          <w:docPartObj>
            <w:docPartGallery w:val="Page Numbers (Top of Page)"/>
            <w:docPartUnique/>
          </w:docPartObj>
        </w:sdtPr>
        <w:sdtEndPr>
          <w:rPr>
            <w:rFonts w:cs="Arial"/>
            <w:sz w:val="20"/>
            <w:szCs w:val="20"/>
          </w:rPr>
        </w:sdtEndPr>
        <w:sdtContent>
          <w:p w14:paraId="777CD310" w14:textId="201072ED" w:rsidR="00D01BDF" w:rsidRPr="00606D14" w:rsidRDefault="00D01BDF">
            <w:pPr>
              <w:pStyle w:val="Footer"/>
              <w:jc w:val="center"/>
              <w:rPr>
                <w:rFonts w:cs="Arial"/>
                <w:sz w:val="20"/>
                <w:szCs w:val="20"/>
              </w:rPr>
            </w:pPr>
            <w:r w:rsidRPr="00606D14">
              <w:rPr>
                <w:rFonts w:cs="Arial"/>
                <w:sz w:val="20"/>
                <w:szCs w:val="20"/>
              </w:rPr>
              <w:t xml:space="preserve">Page </w:t>
            </w:r>
            <w:r w:rsidRPr="00606D14">
              <w:rPr>
                <w:rFonts w:cs="Arial"/>
                <w:b/>
                <w:bCs/>
                <w:sz w:val="20"/>
                <w:szCs w:val="20"/>
              </w:rPr>
              <w:fldChar w:fldCharType="begin"/>
            </w:r>
            <w:r w:rsidRPr="00606D14">
              <w:rPr>
                <w:rFonts w:cs="Arial"/>
                <w:b/>
                <w:bCs/>
                <w:sz w:val="20"/>
                <w:szCs w:val="20"/>
              </w:rPr>
              <w:instrText xml:space="preserve"> PAGE </w:instrText>
            </w:r>
            <w:r w:rsidRPr="00606D14">
              <w:rPr>
                <w:rFonts w:cs="Arial"/>
                <w:b/>
                <w:bCs/>
                <w:sz w:val="20"/>
                <w:szCs w:val="20"/>
              </w:rPr>
              <w:fldChar w:fldCharType="separate"/>
            </w:r>
            <w:r w:rsidRPr="00606D14">
              <w:rPr>
                <w:rFonts w:cs="Arial"/>
                <w:b/>
                <w:bCs/>
                <w:noProof/>
                <w:sz w:val="20"/>
                <w:szCs w:val="20"/>
              </w:rPr>
              <w:t>2</w:t>
            </w:r>
            <w:r w:rsidRPr="00606D14">
              <w:rPr>
                <w:rFonts w:cs="Arial"/>
                <w:b/>
                <w:bCs/>
                <w:sz w:val="20"/>
                <w:szCs w:val="20"/>
              </w:rPr>
              <w:fldChar w:fldCharType="end"/>
            </w:r>
            <w:r w:rsidRPr="00606D14">
              <w:rPr>
                <w:rFonts w:cs="Arial"/>
                <w:sz w:val="20"/>
                <w:szCs w:val="20"/>
              </w:rPr>
              <w:t xml:space="preserve"> of </w:t>
            </w:r>
            <w:r w:rsidRPr="00606D14">
              <w:rPr>
                <w:rFonts w:cs="Arial"/>
                <w:b/>
                <w:bCs/>
                <w:sz w:val="20"/>
                <w:szCs w:val="20"/>
              </w:rPr>
              <w:fldChar w:fldCharType="begin"/>
            </w:r>
            <w:r w:rsidRPr="00606D14">
              <w:rPr>
                <w:rFonts w:cs="Arial"/>
                <w:b/>
                <w:bCs/>
                <w:sz w:val="20"/>
                <w:szCs w:val="20"/>
              </w:rPr>
              <w:instrText xml:space="preserve"> NUMPAGES  </w:instrText>
            </w:r>
            <w:r w:rsidRPr="00606D14">
              <w:rPr>
                <w:rFonts w:cs="Arial"/>
                <w:b/>
                <w:bCs/>
                <w:sz w:val="20"/>
                <w:szCs w:val="20"/>
              </w:rPr>
              <w:fldChar w:fldCharType="separate"/>
            </w:r>
            <w:r w:rsidRPr="00606D14">
              <w:rPr>
                <w:rFonts w:cs="Arial"/>
                <w:b/>
                <w:bCs/>
                <w:noProof/>
                <w:sz w:val="20"/>
                <w:szCs w:val="20"/>
              </w:rPr>
              <w:t>2</w:t>
            </w:r>
            <w:r w:rsidRPr="00606D14">
              <w:rPr>
                <w:rFonts w:cs="Arial"/>
                <w:b/>
                <w:bCs/>
                <w:sz w:val="20"/>
                <w:szCs w:val="20"/>
              </w:rPr>
              <w:fldChar w:fldCharType="end"/>
            </w:r>
          </w:p>
        </w:sdtContent>
      </w:sdt>
    </w:sdtContent>
  </w:sdt>
  <w:p w14:paraId="66FC02F4" w14:textId="77777777" w:rsidR="00D01BDF" w:rsidRPr="00606D14" w:rsidRDefault="00D01BDF">
    <w:pPr>
      <w:pStyle w:val="Footer"/>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5802B" w14:textId="77777777" w:rsidR="00D01BDF" w:rsidRDefault="00D01BDF" w:rsidP="00B51147">
      <w:pPr>
        <w:spacing w:after="0" w:line="240" w:lineRule="auto"/>
      </w:pPr>
      <w:r>
        <w:separator/>
      </w:r>
    </w:p>
  </w:footnote>
  <w:footnote w:type="continuationSeparator" w:id="0">
    <w:p w14:paraId="60803B66" w14:textId="77777777" w:rsidR="00D01BDF" w:rsidRDefault="00D01BDF" w:rsidP="00B51147">
      <w:pPr>
        <w:spacing w:after="0" w:line="240" w:lineRule="auto"/>
      </w:pPr>
      <w:r>
        <w:continuationSeparator/>
      </w:r>
    </w:p>
  </w:footnote>
  <w:footnote w:type="continuationNotice" w:id="1">
    <w:p w14:paraId="19DB6B65" w14:textId="77777777" w:rsidR="00D01BDF" w:rsidRDefault="00D01B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D17C" w14:textId="44784146" w:rsidR="00D01BDF" w:rsidRPr="005161FF" w:rsidRDefault="00B10059" w:rsidP="005161FF">
    <w:pPr>
      <w:pStyle w:val="Header"/>
      <w:jc w:val="right"/>
    </w:pPr>
    <w:sdt>
      <w:sdtPr>
        <w:alias w:val="Version"/>
        <w:tag w:val="Version"/>
        <w:id w:val="1456983313"/>
        <w:placeholder>
          <w:docPart w:val="28E5165EC1D241C29670ADDE1E43294B"/>
        </w:placeholder>
        <w:dropDownList>
          <w:listItem w:displayText="Public Review Version" w:value="Public Review Version"/>
          <w:listItem w:displayText="OMB Review Version" w:value="OMB Review Version"/>
        </w:dropDownList>
      </w:sdtPr>
      <w:sdtEndPr/>
      <w:sdtContent>
        <w:r w:rsidR="005161FF">
          <w:t>OMB Review Version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F6E3B"/>
    <w:multiLevelType w:val="hybridMultilevel"/>
    <w:tmpl w:val="5942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21BBB"/>
    <w:multiLevelType w:val="hybridMultilevel"/>
    <w:tmpl w:val="FF02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81D9C"/>
    <w:multiLevelType w:val="hybridMultilevel"/>
    <w:tmpl w:val="520A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05E64"/>
    <w:multiLevelType w:val="hybridMultilevel"/>
    <w:tmpl w:val="CBC03F5C"/>
    <w:lvl w:ilvl="0" w:tplc="9DD46A6C">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80A88"/>
    <w:multiLevelType w:val="hybridMultilevel"/>
    <w:tmpl w:val="C6DED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DD28EB"/>
    <w:multiLevelType w:val="hybridMultilevel"/>
    <w:tmpl w:val="CDF2501E"/>
    <w:lvl w:ilvl="0" w:tplc="8F7044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3B79B5"/>
    <w:multiLevelType w:val="hybridMultilevel"/>
    <w:tmpl w:val="B35C6B40"/>
    <w:lvl w:ilvl="0" w:tplc="6330ABB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714EA"/>
    <w:multiLevelType w:val="hybridMultilevel"/>
    <w:tmpl w:val="01D6BB88"/>
    <w:lvl w:ilvl="0" w:tplc="87EE4D44">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B14E0F"/>
    <w:multiLevelType w:val="hybridMultilevel"/>
    <w:tmpl w:val="D0CA7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C527F15"/>
    <w:multiLevelType w:val="hybridMultilevel"/>
    <w:tmpl w:val="EC2C0850"/>
    <w:lvl w:ilvl="0" w:tplc="0EB6D85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DB63B2"/>
    <w:multiLevelType w:val="hybridMultilevel"/>
    <w:tmpl w:val="DBFAC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5C57AC3"/>
    <w:multiLevelType w:val="hybridMultilevel"/>
    <w:tmpl w:val="709EC23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DB34B9"/>
    <w:multiLevelType w:val="hybridMultilevel"/>
    <w:tmpl w:val="BC849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626EBC"/>
    <w:multiLevelType w:val="hybridMultilevel"/>
    <w:tmpl w:val="3C783A26"/>
    <w:lvl w:ilvl="0" w:tplc="A222837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4E5506B"/>
    <w:multiLevelType w:val="hybridMultilevel"/>
    <w:tmpl w:val="CDF2501E"/>
    <w:lvl w:ilvl="0" w:tplc="8F7044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8"/>
  </w:num>
  <w:num w:numId="3">
    <w:abstractNumId w:val="13"/>
  </w:num>
  <w:num w:numId="4">
    <w:abstractNumId w:val="9"/>
  </w:num>
  <w:num w:numId="5">
    <w:abstractNumId w:val="4"/>
  </w:num>
  <w:num w:numId="6">
    <w:abstractNumId w:val="11"/>
  </w:num>
  <w:num w:numId="7">
    <w:abstractNumId w:val="3"/>
  </w:num>
  <w:num w:numId="8">
    <w:abstractNumId w:val="3"/>
    <w:lvlOverride w:ilvl="0">
      <w:startOverride w:val="1"/>
    </w:lvlOverride>
  </w:num>
  <w:num w:numId="9">
    <w:abstractNumId w:val="3"/>
    <w:lvlOverride w:ilvl="0">
      <w:startOverride w:val="1"/>
    </w:lvlOverride>
  </w:num>
  <w:num w:numId="10">
    <w:abstractNumId w:val="14"/>
  </w:num>
  <w:num w:numId="11">
    <w:abstractNumId w:val="10"/>
  </w:num>
  <w:num w:numId="12">
    <w:abstractNumId w:val="5"/>
  </w:num>
  <w:num w:numId="13">
    <w:abstractNumId w:val="12"/>
  </w:num>
  <w:num w:numId="14">
    <w:abstractNumId w:val="6"/>
  </w:num>
  <w:num w:numId="15">
    <w:abstractNumId w:val="1"/>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08"/>
    <w:rsid w:val="000425BB"/>
    <w:rsid w:val="000736AE"/>
    <w:rsid w:val="000740EC"/>
    <w:rsid w:val="00074A19"/>
    <w:rsid w:val="00074B3B"/>
    <w:rsid w:val="00080C74"/>
    <w:rsid w:val="000970E8"/>
    <w:rsid w:val="000A7FF6"/>
    <w:rsid w:val="000B462E"/>
    <w:rsid w:val="000D1E0D"/>
    <w:rsid w:val="000E43A3"/>
    <w:rsid w:val="00106D57"/>
    <w:rsid w:val="00124616"/>
    <w:rsid w:val="00127187"/>
    <w:rsid w:val="0013512A"/>
    <w:rsid w:val="00194EBA"/>
    <w:rsid w:val="001A6A8C"/>
    <w:rsid w:val="001D0332"/>
    <w:rsid w:val="001F0FB2"/>
    <w:rsid w:val="0021333F"/>
    <w:rsid w:val="002227CA"/>
    <w:rsid w:val="00222B31"/>
    <w:rsid w:val="00231758"/>
    <w:rsid w:val="00232137"/>
    <w:rsid w:val="00252299"/>
    <w:rsid w:val="002608D0"/>
    <w:rsid w:val="002637A1"/>
    <w:rsid w:val="00293347"/>
    <w:rsid w:val="002A1035"/>
    <w:rsid w:val="002D24E8"/>
    <w:rsid w:val="002F6437"/>
    <w:rsid w:val="00300FD3"/>
    <w:rsid w:val="003046A2"/>
    <w:rsid w:val="003316B2"/>
    <w:rsid w:val="00380E2D"/>
    <w:rsid w:val="00385992"/>
    <w:rsid w:val="003B2924"/>
    <w:rsid w:val="003B594E"/>
    <w:rsid w:val="0040599B"/>
    <w:rsid w:val="0040742B"/>
    <w:rsid w:val="0043224F"/>
    <w:rsid w:val="004417EE"/>
    <w:rsid w:val="00445EAD"/>
    <w:rsid w:val="004528AA"/>
    <w:rsid w:val="00463523"/>
    <w:rsid w:val="0048218E"/>
    <w:rsid w:val="00486CF9"/>
    <w:rsid w:val="004D502F"/>
    <w:rsid w:val="004D6AE7"/>
    <w:rsid w:val="004D6F55"/>
    <w:rsid w:val="00512E80"/>
    <w:rsid w:val="005161FF"/>
    <w:rsid w:val="00542A34"/>
    <w:rsid w:val="00546225"/>
    <w:rsid w:val="00553C35"/>
    <w:rsid w:val="00560CD0"/>
    <w:rsid w:val="00567D8F"/>
    <w:rsid w:val="005835FB"/>
    <w:rsid w:val="005A00BB"/>
    <w:rsid w:val="005C28FB"/>
    <w:rsid w:val="005C39A8"/>
    <w:rsid w:val="005C4748"/>
    <w:rsid w:val="005C565A"/>
    <w:rsid w:val="00605DAE"/>
    <w:rsid w:val="00606D14"/>
    <w:rsid w:val="0062488B"/>
    <w:rsid w:val="006313D1"/>
    <w:rsid w:val="0063246D"/>
    <w:rsid w:val="00636714"/>
    <w:rsid w:val="00640A6A"/>
    <w:rsid w:val="00640B44"/>
    <w:rsid w:val="00641EB1"/>
    <w:rsid w:val="00666CFD"/>
    <w:rsid w:val="00686E3A"/>
    <w:rsid w:val="00687782"/>
    <w:rsid w:val="0069652F"/>
    <w:rsid w:val="006D1AF6"/>
    <w:rsid w:val="006F1082"/>
    <w:rsid w:val="006F2629"/>
    <w:rsid w:val="006F5CC0"/>
    <w:rsid w:val="0071312F"/>
    <w:rsid w:val="007478C0"/>
    <w:rsid w:val="0075611C"/>
    <w:rsid w:val="00776EBD"/>
    <w:rsid w:val="0077787F"/>
    <w:rsid w:val="007810A5"/>
    <w:rsid w:val="00790F08"/>
    <w:rsid w:val="007951A7"/>
    <w:rsid w:val="007952BA"/>
    <w:rsid w:val="00795E5A"/>
    <w:rsid w:val="0079772A"/>
    <w:rsid w:val="007D1393"/>
    <w:rsid w:val="007D2226"/>
    <w:rsid w:val="007F11E7"/>
    <w:rsid w:val="007F135D"/>
    <w:rsid w:val="007F565B"/>
    <w:rsid w:val="008047E1"/>
    <w:rsid w:val="0081293D"/>
    <w:rsid w:val="00827F60"/>
    <w:rsid w:val="00831A84"/>
    <w:rsid w:val="008413E4"/>
    <w:rsid w:val="00853691"/>
    <w:rsid w:val="0089462B"/>
    <w:rsid w:val="008A534C"/>
    <w:rsid w:val="008C47D5"/>
    <w:rsid w:val="008C6AAD"/>
    <w:rsid w:val="008E0B28"/>
    <w:rsid w:val="008E2AC3"/>
    <w:rsid w:val="00911619"/>
    <w:rsid w:val="00933C15"/>
    <w:rsid w:val="00934B71"/>
    <w:rsid w:val="009679BA"/>
    <w:rsid w:val="00985672"/>
    <w:rsid w:val="009A79F1"/>
    <w:rsid w:val="009C0727"/>
    <w:rsid w:val="009C0A53"/>
    <w:rsid w:val="009C57E5"/>
    <w:rsid w:val="009E1E08"/>
    <w:rsid w:val="009E2095"/>
    <w:rsid w:val="00A010EC"/>
    <w:rsid w:val="00A16D67"/>
    <w:rsid w:val="00A27F71"/>
    <w:rsid w:val="00A33EF5"/>
    <w:rsid w:val="00A53A87"/>
    <w:rsid w:val="00A5746C"/>
    <w:rsid w:val="00A619AA"/>
    <w:rsid w:val="00A9204D"/>
    <w:rsid w:val="00A958F6"/>
    <w:rsid w:val="00AB798B"/>
    <w:rsid w:val="00AF29A5"/>
    <w:rsid w:val="00B056AE"/>
    <w:rsid w:val="00B10059"/>
    <w:rsid w:val="00B50F34"/>
    <w:rsid w:val="00B51147"/>
    <w:rsid w:val="00B52E1A"/>
    <w:rsid w:val="00B5679E"/>
    <w:rsid w:val="00B61D23"/>
    <w:rsid w:val="00B67B6F"/>
    <w:rsid w:val="00B912A4"/>
    <w:rsid w:val="00BA3F95"/>
    <w:rsid w:val="00BC02FA"/>
    <w:rsid w:val="00BF2CD6"/>
    <w:rsid w:val="00C02E9F"/>
    <w:rsid w:val="00C43D79"/>
    <w:rsid w:val="00C72D8B"/>
    <w:rsid w:val="00CE0999"/>
    <w:rsid w:val="00D01BDF"/>
    <w:rsid w:val="00D11313"/>
    <w:rsid w:val="00D22FB1"/>
    <w:rsid w:val="00D43F27"/>
    <w:rsid w:val="00D60AA7"/>
    <w:rsid w:val="00D92C5A"/>
    <w:rsid w:val="00DA10C4"/>
    <w:rsid w:val="00DA706A"/>
    <w:rsid w:val="00DD6439"/>
    <w:rsid w:val="00E0437A"/>
    <w:rsid w:val="00E2711D"/>
    <w:rsid w:val="00E30CFD"/>
    <w:rsid w:val="00E47981"/>
    <w:rsid w:val="00E64CC7"/>
    <w:rsid w:val="00E66495"/>
    <w:rsid w:val="00E7178D"/>
    <w:rsid w:val="00E80701"/>
    <w:rsid w:val="00EC268C"/>
    <w:rsid w:val="00EC4F69"/>
    <w:rsid w:val="00EE449A"/>
    <w:rsid w:val="00EF3836"/>
    <w:rsid w:val="00EF7726"/>
    <w:rsid w:val="00F03C1F"/>
    <w:rsid w:val="00F0491E"/>
    <w:rsid w:val="00F11D25"/>
    <w:rsid w:val="00F12826"/>
    <w:rsid w:val="00F33B00"/>
    <w:rsid w:val="00F51075"/>
    <w:rsid w:val="00F55F6C"/>
    <w:rsid w:val="00F60E79"/>
    <w:rsid w:val="00F61672"/>
    <w:rsid w:val="00F7527B"/>
    <w:rsid w:val="00F80EE3"/>
    <w:rsid w:val="00FD6857"/>
    <w:rsid w:val="079B59C7"/>
    <w:rsid w:val="08A99316"/>
    <w:rsid w:val="166CC949"/>
    <w:rsid w:val="20390614"/>
    <w:rsid w:val="2DDBD8F5"/>
    <w:rsid w:val="310469EF"/>
    <w:rsid w:val="380AD7B2"/>
    <w:rsid w:val="3943051B"/>
    <w:rsid w:val="39CE8690"/>
    <w:rsid w:val="3CA56023"/>
    <w:rsid w:val="3EC67132"/>
    <w:rsid w:val="43CF0A61"/>
    <w:rsid w:val="47113853"/>
    <w:rsid w:val="49F916F7"/>
    <w:rsid w:val="4E97D974"/>
    <w:rsid w:val="52A6D5B9"/>
    <w:rsid w:val="5C5810BE"/>
    <w:rsid w:val="670B687A"/>
    <w:rsid w:val="72D48D62"/>
    <w:rsid w:val="7D524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3F74"/>
  <w15:chartTrackingRefBased/>
  <w15:docId w15:val="{EAD4044D-5ACC-4E06-AB4A-4BB15786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2BA"/>
    <w:pPr>
      <w:spacing w:after="240"/>
    </w:pPr>
    <w:rPr>
      <w:rFonts w:ascii="Arial" w:hAnsi="Arial"/>
      <w:sz w:val="24"/>
    </w:rPr>
  </w:style>
  <w:style w:type="paragraph" w:styleId="Heading1">
    <w:name w:val="heading 1"/>
    <w:basedOn w:val="Normal"/>
    <w:next w:val="Normal"/>
    <w:link w:val="Heading1Char"/>
    <w:uiPriority w:val="9"/>
    <w:qFormat/>
    <w:rsid w:val="007952BA"/>
    <w:pPr>
      <w:keepNext/>
      <w:keepLines/>
      <w:spacing w:before="240" w:after="120"/>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7952BA"/>
    <w:pPr>
      <w:keepNext/>
      <w:keepLines/>
      <w:spacing w:before="120" w:after="120"/>
      <w:outlineLvl w:val="1"/>
    </w:pPr>
    <w:rPr>
      <w:rFonts w:eastAsiaTheme="majorEastAsia" w:cstheme="majorBidi"/>
      <w:b/>
      <w:color w:val="404040" w:themeColor="text1" w:themeTint="BF"/>
      <w:szCs w:val="28"/>
    </w:rPr>
  </w:style>
  <w:style w:type="paragraph" w:styleId="Heading3">
    <w:name w:val="heading 3"/>
    <w:basedOn w:val="Normal"/>
    <w:next w:val="Normal"/>
    <w:link w:val="Heading3Char"/>
    <w:uiPriority w:val="9"/>
    <w:unhideWhenUsed/>
    <w:qFormat/>
    <w:rsid w:val="00D60AA7"/>
    <w:pPr>
      <w:keepNext/>
      <w:keepLines/>
      <w:spacing w:before="40" w:after="0"/>
      <w:outlineLvl w:val="2"/>
    </w:pPr>
    <w:rPr>
      <w:rFonts w:asciiTheme="majorHAnsi" w:eastAsiaTheme="majorEastAsia" w:hAnsiTheme="majorHAnsi" w:cstheme="majorBidi"/>
      <w:color w:val="44546A" w:themeColor="text2"/>
      <w:szCs w:val="24"/>
    </w:rPr>
  </w:style>
  <w:style w:type="paragraph" w:styleId="Heading4">
    <w:name w:val="heading 4"/>
    <w:basedOn w:val="Normal"/>
    <w:next w:val="Normal"/>
    <w:link w:val="Heading4Char"/>
    <w:uiPriority w:val="9"/>
    <w:unhideWhenUsed/>
    <w:qFormat/>
    <w:rsid w:val="007952BA"/>
    <w:pPr>
      <w:keepNext/>
      <w:keepLines/>
      <w:spacing w:after="0"/>
      <w:outlineLvl w:val="3"/>
    </w:pPr>
    <w:rPr>
      <w:rFonts w:eastAsiaTheme="majorEastAsia" w:cstheme="majorBidi"/>
      <w:b/>
    </w:rPr>
  </w:style>
  <w:style w:type="paragraph" w:styleId="Heading5">
    <w:name w:val="heading 5"/>
    <w:basedOn w:val="Normal"/>
    <w:next w:val="Normal"/>
    <w:link w:val="Heading5Char"/>
    <w:uiPriority w:val="9"/>
    <w:semiHidden/>
    <w:unhideWhenUsed/>
    <w:qFormat/>
    <w:rsid w:val="00D60AA7"/>
    <w:pPr>
      <w:keepNext/>
      <w:keepLines/>
      <w:spacing w:before="40" w:after="0"/>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D60AA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60AA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D60AA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60AA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2BA"/>
    <w:rPr>
      <w:rFonts w:ascii="Arial" w:eastAsiaTheme="majorEastAsia" w:hAnsi="Arial" w:cstheme="majorBidi"/>
      <w:b/>
      <w:caps/>
      <w:sz w:val="28"/>
      <w:szCs w:val="32"/>
    </w:rPr>
  </w:style>
  <w:style w:type="character" w:customStyle="1" w:styleId="Heading2Char">
    <w:name w:val="Heading 2 Char"/>
    <w:basedOn w:val="DefaultParagraphFont"/>
    <w:link w:val="Heading2"/>
    <w:uiPriority w:val="9"/>
    <w:rsid w:val="007952BA"/>
    <w:rPr>
      <w:rFonts w:ascii="Arial" w:eastAsiaTheme="majorEastAsia" w:hAnsi="Arial" w:cstheme="majorBidi"/>
      <w:b/>
      <w:color w:val="404040" w:themeColor="text1" w:themeTint="BF"/>
      <w:sz w:val="24"/>
      <w:szCs w:val="28"/>
    </w:rPr>
  </w:style>
  <w:style w:type="character" w:customStyle="1" w:styleId="Heading3Char">
    <w:name w:val="Heading 3 Char"/>
    <w:basedOn w:val="DefaultParagraphFont"/>
    <w:link w:val="Heading3"/>
    <w:uiPriority w:val="9"/>
    <w:semiHidden/>
    <w:rsid w:val="00D60AA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7952BA"/>
    <w:rPr>
      <w:rFonts w:ascii="Arial" w:eastAsiaTheme="majorEastAsia" w:hAnsi="Arial" w:cstheme="majorBidi"/>
      <w:b/>
      <w:sz w:val="24"/>
    </w:rPr>
  </w:style>
  <w:style w:type="character" w:customStyle="1" w:styleId="Heading5Char">
    <w:name w:val="Heading 5 Char"/>
    <w:basedOn w:val="DefaultParagraphFont"/>
    <w:link w:val="Heading5"/>
    <w:uiPriority w:val="9"/>
    <w:semiHidden/>
    <w:rsid w:val="00D60AA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60AA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60AA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D60AA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60AA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60AA7"/>
    <w:rPr>
      <w:b/>
      <w:bCs/>
      <w:smallCaps/>
      <w:color w:val="595959" w:themeColor="text1" w:themeTint="A6"/>
      <w:spacing w:val="6"/>
    </w:rPr>
  </w:style>
  <w:style w:type="paragraph" w:styleId="Title">
    <w:name w:val="Title"/>
    <w:basedOn w:val="Normal"/>
    <w:next w:val="Normal"/>
    <w:link w:val="TitleChar"/>
    <w:uiPriority w:val="10"/>
    <w:qFormat/>
    <w:rsid w:val="00D60AA7"/>
    <w:pPr>
      <w:spacing w:after="0"/>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D60AA7"/>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D60AA7"/>
    <w:pPr>
      <w:numPr>
        <w:ilvl w:val="1"/>
      </w:numP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D60AA7"/>
    <w:rPr>
      <w:rFonts w:asciiTheme="majorHAnsi" w:eastAsiaTheme="majorEastAsia" w:hAnsiTheme="majorHAnsi" w:cstheme="majorBidi"/>
      <w:sz w:val="24"/>
      <w:szCs w:val="24"/>
    </w:rPr>
  </w:style>
  <w:style w:type="character" w:styleId="Strong">
    <w:name w:val="Strong"/>
    <w:basedOn w:val="DefaultParagraphFont"/>
    <w:uiPriority w:val="22"/>
    <w:qFormat/>
    <w:rsid w:val="00D60AA7"/>
    <w:rPr>
      <w:b/>
      <w:bCs/>
    </w:rPr>
  </w:style>
  <w:style w:type="character" w:styleId="Emphasis">
    <w:name w:val="Emphasis"/>
    <w:basedOn w:val="DefaultParagraphFont"/>
    <w:uiPriority w:val="20"/>
    <w:qFormat/>
    <w:rsid w:val="00D60AA7"/>
    <w:rPr>
      <w:i/>
      <w:iCs/>
    </w:rPr>
  </w:style>
  <w:style w:type="paragraph" w:styleId="NoSpacing">
    <w:name w:val="No Spacing"/>
    <w:uiPriority w:val="1"/>
    <w:qFormat/>
    <w:rsid w:val="00D60AA7"/>
    <w:pPr>
      <w:spacing w:after="0"/>
    </w:pPr>
  </w:style>
  <w:style w:type="paragraph" w:styleId="ListParagraph">
    <w:name w:val="List Paragraph"/>
    <w:aliases w:val="Bullets,List 6 space between lines"/>
    <w:basedOn w:val="Normal"/>
    <w:link w:val="ListParagraphChar"/>
    <w:qFormat/>
    <w:rsid w:val="00D60AA7"/>
    <w:pPr>
      <w:ind w:left="720"/>
      <w:contextualSpacing/>
    </w:pPr>
  </w:style>
  <w:style w:type="paragraph" w:styleId="Quote">
    <w:name w:val="Quote"/>
    <w:basedOn w:val="Normal"/>
    <w:next w:val="Normal"/>
    <w:link w:val="QuoteChar"/>
    <w:uiPriority w:val="29"/>
    <w:qFormat/>
    <w:rsid w:val="00D60AA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60AA7"/>
    <w:rPr>
      <w:i/>
      <w:iCs/>
      <w:color w:val="404040" w:themeColor="text1" w:themeTint="BF"/>
    </w:rPr>
  </w:style>
  <w:style w:type="paragraph" w:styleId="IntenseQuote">
    <w:name w:val="Intense Quote"/>
    <w:basedOn w:val="Normal"/>
    <w:next w:val="Normal"/>
    <w:link w:val="IntenseQuoteChar"/>
    <w:uiPriority w:val="30"/>
    <w:qFormat/>
    <w:rsid w:val="00D60AA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60AA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60AA7"/>
    <w:rPr>
      <w:i/>
      <w:iCs/>
      <w:color w:val="404040" w:themeColor="text1" w:themeTint="BF"/>
    </w:rPr>
  </w:style>
  <w:style w:type="character" w:styleId="IntenseEmphasis">
    <w:name w:val="Intense Emphasis"/>
    <w:basedOn w:val="DefaultParagraphFont"/>
    <w:uiPriority w:val="21"/>
    <w:qFormat/>
    <w:rsid w:val="00D60AA7"/>
    <w:rPr>
      <w:b/>
      <w:bCs/>
      <w:i/>
      <w:iCs/>
    </w:rPr>
  </w:style>
  <w:style w:type="character" w:styleId="SubtleReference">
    <w:name w:val="Subtle Reference"/>
    <w:basedOn w:val="DefaultParagraphFont"/>
    <w:uiPriority w:val="31"/>
    <w:qFormat/>
    <w:rsid w:val="00D60AA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60AA7"/>
    <w:rPr>
      <w:b/>
      <w:bCs/>
      <w:smallCaps/>
      <w:spacing w:val="5"/>
      <w:u w:val="single"/>
    </w:rPr>
  </w:style>
  <w:style w:type="character" w:styleId="BookTitle">
    <w:name w:val="Book Title"/>
    <w:basedOn w:val="DefaultParagraphFont"/>
    <w:uiPriority w:val="33"/>
    <w:qFormat/>
    <w:rsid w:val="00D60AA7"/>
    <w:rPr>
      <w:b/>
      <w:bCs/>
      <w:smallCaps/>
    </w:rPr>
  </w:style>
  <w:style w:type="paragraph" w:styleId="TOCHeading">
    <w:name w:val="TOC Heading"/>
    <w:basedOn w:val="Heading1"/>
    <w:next w:val="Normal"/>
    <w:uiPriority w:val="39"/>
    <w:semiHidden/>
    <w:unhideWhenUsed/>
    <w:qFormat/>
    <w:rsid w:val="00D60AA7"/>
    <w:pPr>
      <w:outlineLvl w:val="9"/>
    </w:pPr>
  </w:style>
  <w:style w:type="paragraph" w:styleId="BalloonText">
    <w:name w:val="Balloon Text"/>
    <w:basedOn w:val="Normal"/>
    <w:link w:val="BalloonTextChar"/>
    <w:uiPriority w:val="99"/>
    <w:semiHidden/>
    <w:unhideWhenUsed/>
    <w:rsid w:val="00194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EBA"/>
    <w:rPr>
      <w:rFonts w:ascii="Segoe UI" w:hAnsi="Segoe UI" w:cs="Segoe UI"/>
      <w:sz w:val="18"/>
      <w:szCs w:val="18"/>
    </w:rPr>
  </w:style>
  <w:style w:type="character" w:styleId="CommentReference">
    <w:name w:val="annotation reference"/>
    <w:basedOn w:val="DefaultParagraphFont"/>
    <w:uiPriority w:val="99"/>
    <w:semiHidden/>
    <w:unhideWhenUsed/>
    <w:rsid w:val="002608D0"/>
    <w:rPr>
      <w:sz w:val="16"/>
      <w:szCs w:val="16"/>
    </w:rPr>
  </w:style>
  <w:style w:type="paragraph" w:styleId="CommentText">
    <w:name w:val="annotation text"/>
    <w:basedOn w:val="Normal"/>
    <w:link w:val="CommentTextChar"/>
    <w:uiPriority w:val="99"/>
    <w:semiHidden/>
    <w:unhideWhenUsed/>
    <w:rsid w:val="002608D0"/>
    <w:pPr>
      <w:spacing w:line="240" w:lineRule="auto"/>
    </w:pPr>
    <w:rPr>
      <w:sz w:val="20"/>
      <w:szCs w:val="20"/>
    </w:rPr>
  </w:style>
  <w:style w:type="character" w:customStyle="1" w:styleId="CommentTextChar">
    <w:name w:val="Comment Text Char"/>
    <w:basedOn w:val="DefaultParagraphFont"/>
    <w:link w:val="CommentText"/>
    <w:uiPriority w:val="99"/>
    <w:rsid w:val="002608D0"/>
    <w:rPr>
      <w:sz w:val="20"/>
      <w:szCs w:val="20"/>
    </w:rPr>
  </w:style>
  <w:style w:type="paragraph" w:styleId="CommentSubject">
    <w:name w:val="annotation subject"/>
    <w:basedOn w:val="CommentText"/>
    <w:next w:val="CommentText"/>
    <w:link w:val="CommentSubjectChar"/>
    <w:uiPriority w:val="99"/>
    <w:semiHidden/>
    <w:unhideWhenUsed/>
    <w:rsid w:val="002608D0"/>
    <w:rPr>
      <w:b/>
      <w:bCs/>
    </w:rPr>
  </w:style>
  <w:style w:type="character" w:customStyle="1" w:styleId="CommentSubjectChar">
    <w:name w:val="Comment Subject Char"/>
    <w:basedOn w:val="CommentTextChar"/>
    <w:link w:val="CommentSubject"/>
    <w:uiPriority w:val="99"/>
    <w:semiHidden/>
    <w:rsid w:val="002608D0"/>
    <w:rPr>
      <w:b/>
      <w:bCs/>
      <w:sz w:val="20"/>
      <w:szCs w:val="20"/>
    </w:rPr>
  </w:style>
  <w:style w:type="character" w:styleId="Hyperlink">
    <w:name w:val="Hyperlink"/>
    <w:rsid w:val="0062488B"/>
    <w:rPr>
      <w:color w:val="0000FF"/>
      <w:u w:val="single"/>
    </w:rPr>
  </w:style>
  <w:style w:type="character" w:styleId="UnresolvedMention">
    <w:name w:val="Unresolved Mention"/>
    <w:basedOn w:val="DefaultParagraphFont"/>
    <w:uiPriority w:val="99"/>
    <w:unhideWhenUsed/>
    <w:rsid w:val="008A534C"/>
    <w:rPr>
      <w:color w:val="605E5C"/>
      <w:shd w:val="clear" w:color="auto" w:fill="E1DFDD"/>
    </w:rPr>
  </w:style>
  <w:style w:type="paragraph" w:styleId="Revision">
    <w:name w:val="Revision"/>
    <w:hidden/>
    <w:uiPriority w:val="99"/>
    <w:semiHidden/>
    <w:rsid w:val="00E30CFD"/>
    <w:pPr>
      <w:spacing w:after="0" w:line="240" w:lineRule="auto"/>
    </w:pPr>
  </w:style>
  <w:style w:type="paragraph" w:styleId="Header">
    <w:name w:val="header"/>
    <w:basedOn w:val="Normal"/>
    <w:link w:val="HeaderChar"/>
    <w:uiPriority w:val="99"/>
    <w:unhideWhenUsed/>
    <w:rsid w:val="00B51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147"/>
  </w:style>
  <w:style w:type="paragraph" w:styleId="Footer">
    <w:name w:val="footer"/>
    <w:basedOn w:val="Normal"/>
    <w:link w:val="FooterChar"/>
    <w:uiPriority w:val="99"/>
    <w:unhideWhenUsed/>
    <w:rsid w:val="00B51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147"/>
  </w:style>
  <w:style w:type="table" w:styleId="TableGrid">
    <w:name w:val="Table Grid"/>
    <w:basedOn w:val="TableNormal"/>
    <w:rsid w:val="00606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1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E449A"/>
    <w:rPr>
      <w:color w:val="2B579A"/>
      <w:shd w:val="clear" w:color="auto" w:fill="E1DFDD"/>
    </w:rPr>
  </w:style>
  <w:style w:type="character" w:customStyle="1" w:styleId="ListParagraphChar">
    <w:name w:val="List Paragraph Char"/>
    <w:aliases w:val="Bullets Char,List 6 space between lines Char"/>
    <w:link w:val="ListParagraph"/>
    <w:locked/>
    <w:rsid w:val="00EE449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765523">
      <w:bodyDiv w:val="1"/>
      <w:marLeft w:val="0"/>
      <w:marRight w:val="0"/>
      <w:marTop w:val="0"/>
      <w:marBottom w:val="0"/>
      <w:divBdr>
        <w:top w:val="none" w:sz="0" w:space="0" w:color="auto"/>
        <w:left w:val="none" w:sz="0" w:space="0" w:color="auto"/>
        <w:bottom w:val="none" w:sz="0" w:space="0" w:color="auto"/>
        <w:right w:val="none" w:sz="0" w:space="0" w:color="auto"/>
      </w:divBdr>
    </w:div>
    <w:div w:id="365065202">
      <w:bodyDiv w:val="1"/>
      <w:marLeft w:val="0"/>
      <w:marRight w:val="0"/>
      <w:marTop w:val="0"/>
      <w:marBottom w:val="0"/>
      <w:divBdr>
        <w:top w:val="none" w:sz="0" w:space="0" w:color="auto"/>
        <w:left w:val="none" w:sz="0" w:space="0" w:color="auto"/>
        <w:bottom w:val="none" w:sz="0" w:space="0" w:color="auto"/>
        <w:right w:val="none" w:sz="0" w:space="0" w:color="auto"/>
      </w:divBdr>
    </w:div>
    <w:div w:id="85527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stru.htm" TargetMode="External"/><Relationship Id="rId18" Type="http://schemas.openxmlformats.org/officeDocument/2006/relationships/hyperlink" Target="https://www.govinfo.gov/content/pkg/USCODE-2010-title7/pdf/USCODE-2010-title7-chap6-subchapII-sec136v.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bls.gov/oes/current/oes_nat.htm" TargetMode="External"/><Relationship Id="rId17" Type="http://schemas.openxmlformats.org/officeDocument/2006/relationships/hyperlink" Target="https://www.govinfo.gov/content/pkg/USCODE-2011-title7/pdf/USCODE-2011-title7-chap6-subchapII-sec136a.pdf" TargetMode="External"/><Relationship Id="rId2" Type="http://schemas.openxmlformats.org/officeDocument/2006/relationships/customXml" Target="../customXml/item2.xml"/><Relationship Id="rId16" Type="http://schemas.openxmlformats.org/officeDocument/2006/relationships/hyperlink" Target="http://www.regulations.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pa.gov/docket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ecfr.gov/cgi-bin/text-idx?tpl=/ecfrbrowse/Title40/40cfr152_main_02.t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news.release/ecec.t01.htm"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E5165EC1D241C29670ADDE1E43294B"/>
        <w:category>
          <w:name w:val="General"/>
          <w:gallery w:val="placeholder"/>
        </w:category>
        <w:types>
          <w:type w:val="bbPlcHdr"/>
        </w:types>
        <w:behaviors>
          <w:behavior w:val="content"/>
        </w:behaviors>
        <w:guid w:val="{15612AEC-23DF-4748-90F6-DF6DDD528CF0}"/>
      </w:docPartPr>
      <w:docPartBody>
        <w:p w:rsidR="00A00028" w:rsidRDefault="001F0FB2" w:rsidP="001F0FB2">
          <w:pPr>
            <w:pStyle w:val="28E5165EC1D241C29670ADDE1E43294B"/>
          </w:pPr>
          <w:r w:rsidRPr="007C5B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B2"/>
    <w:rsid w:val="001F0FB2"/>
    <w:rsid w:val="00A00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FB2"/>
    <w:rPr>
      <w:color w:val="808080"/>
    </w:rPr>
  </w:style>
  <w:style w:type="paragraph" w:customStyle="1" w:styleId="28E5165EC1D241C29670ADDE1E43294B">
    <w:name w:val="28E5165EC1D241C29670ADDE1E43294B"/>
    <w:rsid w:val="001F0F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59e2b11041a8f69cb54f82c80f4c255f">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a02cef7f9d2310416e5efbefa9ae00b8"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FRN_x0020_List_x0020_Item_x0020_ID xmlns="118f882f-1e32-4cf2-ad69-9de43d57f4c6">3575</FRN_x0020_List_x0020_Item_x0020_ID>
  </documentManagement>
</p:properties>
</file>

<file path=customXml/itemProps1.xml><?xml version="1.0" encoding="utf-8"?>
<ds:datastoreItem xmlns:ds="http://schemas.openxmlformats.org/officeDocument/2006/customXml" ds:itemID="{F9BD2F0F-C5C0-4001-9B2D-004C7890B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90CB3A-09EC-4DA8-A443-E5BA468170B8}">
  <ds:schemaRefs>
    <ds:schemaRef ds:uri="http://schemas.openxmlformats.org/officeDocument/2006/bibliography"/>
  </ds:schemaRefs>
</ds:datastoreItem>
</file>

<file path=customXml/itemProps3.xml><?xml version="1.0" encoding="utf-8"?>
<ds:datastoreItem xmlns:ds="http://schemas.openxmlformats.org/officeDocument/2006/customXml" ds:itemID="{B1440BB2-E3B9-4089-9A17-4EAF75DB2A20}">
  <ds:schemaRefs>
    <ds:schemaRef ds:uri="Microsoft.SharePoint.Taxonomy.ContentTypeSync"/>
  </ds:schemaRefs>
</ds:datastoreItem>
</file>

<file path=customXml/itemProps4.xml><?xml version="1.0" encoding="utf-8"?>
<ds:datastoreItem xmlns:ds="http://schemas.openxmlformats.org/officeDocument/2006/customXml" ds:itemID="{33FDA314-7A42-4D66-9C9D-01DFCA747F42}">
  <ds:schemaRefs>
    <ds:schemaRef ds:uri="http://schemas.microsoft.com/sharepoint/v3/contenttype/forms"/>
  </ds:schemaRefs>
</ds:datastoreItem>
</file>

<file path=customXml/itemProps5.xml><?xml version="1.0" encoding="utf-8"?>
<ds:datastoreItem xmlns:ds="http://schemas.openxmlformats.org/officeDocument/2006/customXml" ds:itemID="{77A1A7BA-AFCD-43EE-BCC2-1E1F5B7E0FC6}">
  <ds:schemaRefs>
    <ds:schemaRef ds:uri="http://purl.org/dc/dcmitype/"/>
    <ds:schemaRef ds:uri="http://schemas.microsoft.com/office/2006/documentManagement/types"/>
    <ds:schemaRef ds:uri="http://purl.org/dc/terms/"/>
    <ds:schemaRef ds:uri="118f882f-1e32-4cf2-ad69-9de43d57f4c6"/>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a5d1ca4e-0a3f-4119-b619-e20b93ebd1aa"/>
    <ds:schemaRef ds:uri="4ffa91fb-a0ff-4ac5-b2db-65c790d184a4"/>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4360</Words>
  <Characters>24855</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Sleasman</dc:creator>
  <cp:keywords/>
  <dc:description/>
  <cp:lastModifiedBy>Johnson, Amaris</cp:lastModifiedBy>
  <cp:revision>2</cp:revision>
  <dcterms:created xsi:type="dcterms:W3CDTF">2022-03-21T16:32:00Z</dcterms:created>
  <dcterms:modified xsi:type="dcterms:W3CDTF">2022-03-21T16:32:00Z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