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198C" w:rsidP="00312BA9" w:rsidRDefault="006A198C" w14:paraId="29CA564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90"/>
          <w:tab w:val="left" w:pos="10080"/>
          <w:tab w:val="left" w:pos="10800"/>
          <w:tab w:val="left" w:pos="11520"/>
          <w:tab w:val="left" w:pos="12240"/>
          <w:tab w:val="left" w:pos="12960"/>
          <w:tab w:val="left" w:pos="13680"/>
          <w:tab w:val="left" w:pos="14400"/>
        </w:tabs>
        <w:ind w:hanging="720"/>
        <w:jc w:val="center"/>
        <w:rPr>
          <w:rFonts w:ascii="Helvetica" w:hAnsi="Helvetica"/>
          <w:sz w:val="16"/>
        </w:rPr>
      </w:pPr>
    </w:p>
    <w:p w:rsidR="006A198C" w:rsidP="00312BA9" w:rsidRDefault="006A198C" w14:paraId="3BD5F17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90"/>
          <w:tab w:val="left" w:pos="10080"/>
          <w:tab w:val="left" w:pos="10800"/>
          <w:tab w:val="left" w:pos="11520"/>
          <w:tab w:val="left" w:pos="12240"/>
          <w:tab w:val="left" w:pos="12960"/>
          <w:tab w:val="left" w:pos="13680"/>
          <w:tab w:val="left" w:pos="14400"/>
        </w:tabs>
        <w:ind w:hanging="720"/>
        <w:jc w:val="center"/>
        <w:rPr>
          <w:rFonts w:ascii="Helvetica" w:hAnsi="Helvetica"/>
          <w:sz w:val="16"/>
        </w:rPr>
      </w:pPr>
    </w:p>
    <w:p w:rsidR="006A198C" w:rsidP="00312BA9" w:rsidRDefault="006A198C" w14:paraId="3565CB5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90"/>
          <w:tab w:val="left" w:pos="10080"/>
          <w:tab w:val="left" w:pos="10800"/>
          <w:tab w:val="left" w:pos="11520"/>
          <w:tab w:val="left" w:pos="12240"/>
          <w:tab w:val="left" w:pos="12960"/>
          <w:tab w:val="left" w:pos="13680"/>
          <w:tab w:val="left" w:pos="14400"/>
        </w:tabs>
        <w:ind w:hanging="720"/>
        <w:jc w:val="center"/>
        <w:rPr>
          <w:rFonts w:ascii="Helvetica" w:hAnsi="Helvetica"/>
          <w:sz w:val="16"/>
        </w:rPr>
      </w:pPr>
    </w:p>
    <w:p w:rsidRPr="006A198C" w:rsidR="00312BA9" w:rsidP="006A198C" w:rsidRDefault="006A198C" w14:paraId="58B2F46A" w14:textId="27C2F6FC">
      <w:pPr>
        <w:tabs>
          <w:tab w:val="left" w:pos="720"/>
          <w:tab w:val="left" w:pos="1440"/>
          <w:tab w:val="left" w:pos="2160"/>
          <w:tab w:val="left" w:pos="2550"/>
          <w:tab w:val="left" w:pos="2880"/>
          <w:tab w:val="left" w:pos="3600"/>
          <w:tab w:val="left" w:pos="4320"/>
          <w:tab w:val="left" w:pos="5040"/>
          <w:tab w:val="left" w:pos="5760"/>
          <w:tab w:val="left" w:pos="6480"/>
          <w:tab w:val="left" w:pos="7200"/>
          <w:tab w:val="left" w:pos="7920"/>
          <w:tab w:val="left" w:pos="8640"/>
          <w:tab w:val="left" w:pos="9990"/>
          <w:tab w:val="left" w:pos="10080"/>
          <w:tab w:val="left" w:pos="10800"/>
          <w:tab w:val="left" w:pos="11520"/>
          <w:tab w:val="left" w:pos="12240"/>
          <w:tab w:val="left" w:pos="12960"/>
          <w:tab w:val="left" w:pos="13680"/>
          <w:tab w:val="left" w:pos="14400"/>
        </w:tabs>
        <w:ind w:hanging="720"/>
        <w:rPr>
          <w:rFonts w:ascii="Helvetica" w:hAnsi="Helvetica"/>
          <w:sz w:val="16"/>
        </w:rPr>
      </w:pP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sidRPr="00E90DF3" w:rsidR="00E90DF3">
        <w:rPr>
          <w:b/>
        </w:rPr>
        <w:t xml:space="preserve"> </w:t>
      </w:r>
      <w:r w:rsidRPr="00607CCE" w:rsidR="00312BA9">
        <w:rPr>
          <w:b/>
          <w:sz w:val="24"/>
          <w:szCs w:val="24"/>
        </w:rPr>
        <w:t>Supporting Statement for Paperwork Reduction Act Submissions</w:t>
      </w:r>
    </w:p>
    <w:p w:rsidRPr="00607CCE" w:rsidR="00312BA9" w:rsidP="00312BA9" w:rsidRDefault="00312BA9" w14:paraId="645765AA" w14:textId="77777777">
      <w:pPr>
        <w:pStyle w:val="OmniPage2"/>
        <w:tabs>
          <w:tab w:val="left" w:pos="9990"/>
        </w:tabs>
        <w:ind w:hanging="720"/>
        <w:jc w:val="center"/>
        <w:rPr>
          <w:b/>
          <w:sz w:val="24"/>
          <w:szCs w:val="24"/>
        </w:rPr>
      </w:pPr>
    </w:p>
    <w:p w:rsidRPr="00607CCE" w:rsidR="00312BA9" w:rsidP="00312BA9" w:rsidRDefault="00312BA9" w14:paraId="07E41ED3" w14:textId="77777777">
      <w:pPr>
        <w:pBdr>
          <w:top w:val="single" w:color="auto" w:sz="4" w:space="1"/>
        </w:pBdr>
        <w:tabs>
          <w:tab w:val="left" w:pos="480"/>
          <w:tab w:val="left" w:pos="9990"/>
        </w:tabs>
        <w:ind w:left="480" w:hanging="480"/>
        <w:rPr>
          <w:b/>
          <w:bCs/>
          <w:sz w:val="24"/>
          <w:szCs w:val="24"/>
        </w:rPr>
      </w:pPr>
      <w:r>
        <w:rPr>
          <w:b/>
          <w:bCs/>
          <w:sz w:val="24"/>
          <w:szCs w:val="24"/>
        </w:rPr>
        <w:t>A.</w:t>
      </w:r>
      <w:r>
        <w:rPr>
          <w:b/>
          <w:bCs/>
          <w:sz w:val="24"/>
          <w:szCs w:val="24"/>
        </w:rPr>
        <w:tab/>
        <w:t>Justification:</w:t>
      </w:r>
    </w:p>
    <w:p w:rsidRPr="00607CCE" w:rsidR="00312BA9" w:rsidP="00312BA9" w:rsidRDefault="00312BA9" w14:paraId="557F45FD" w14:textId="77777777">
      <w:pPr>
        <w:tabs>
          <w:tab w:val="left" w:pos="480"/>
          <w:tab w:val="left" w:pos="9990"/>
        </w:tabs>
        <w:ind w:left="480" w:hanging="480"/>
        <w:rPr>
          <w:b/>
          <w:bCs/>
          <w:sz w:val="24"/>
          <w:szCs w:val="24"/>
        </w:rPr>
      </w:pPr>
    </w:p>
    <w:p w:rsidRPr="00FC0BD4" w:rsidR="00312BA9" w:rsidP="00312BA9" w:rsidRDefault="00312BA9" w14:paraId="0EACE3BD" w14:textId="77777777">
      <w:pPr>
        <w:pStyle w:val="BodyText"/>
        <w:keepNext/>
        <w:numPr>
          <w:ilvl w:val="0"/>
          <w:numId w:val="10"/>
        </w:numPr>
        <w:tabs>
          <w:tab w:val="left" w:pos="480"/>
          <w:tab w:val="left" w:pos="9990"/>
        </w:tabs>
        <w:rPr>
          <w:szCs w:val="24"/>
        </w:rPr>
      </w:pPr>
      <w:r>
        <w:rPr>
          <w:b/>
          <w:bCs/>
          <w:szCs w:val="24"/>
        </w:rPr>
        <w:t xml:space="preserve">Why is this information necessary?  </w:t>
      </w:r>
    </w:p>
    <w:p w:rsidR="009A7672" w:rsidP="000D6E3D" w:rsidRDefault="009A7672" w14:paraId="19A9818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9A7672" w:rsidP="000D6E3D" w:rsidRDefault="009A7672" w14:paraId="16DC11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Pr>
          <w:sz w:val="24"/>
          <w:szCs w:val="24"/>
        </w:rPr>
        <w:t xml:space="preserve">Under </w:t>
      </w:r>
      <w:r w:rsidRPr="000D6E3D">
        <w:rPr>
          <w:sz w:val="24"/>
          <w:szCs w:val="24"/>
        </w:rPr>
        <w:t>Section 9 of the U.S. Housing Act of 1937</w:t>
      </w:r>
      <w:r>
        <w:rPr>
          <w:sz w:val="24"/>
          <w:szCs w:val="24"/>
        </w:rPr>
        <w:t xml:space="preserve"> (1937 Act) and the regulations at 24 CFR 905, t</w:t>
      </w:r>
      <w:r w:rsidRPr="009A7672">
        <w:rPr>
          <w:sz w:val="24"/>
          <w:szCs w:val="24"/>
        </w:rPr>
        <w:t>he Public Housing Capital Fund Program (Capital Fund Program or CFP) provides financial assistance to public housing agencies (PHAs) to make improvements to existing public housing.</w:t>
      </w:r>
      <w:r>
        <w:rPr>
          <w:sz w:val="24"/>
          <w:szCs w:val="24"/>
        </w:rPr>
        <w:t xml:space="preserve"> Eligible uses of capital funds include the development, financing, and modernization of Public Housing.</w:t>
      </w:r>
      <w:r w:rsidR="008E7D86">
        <w:rPr>
          <w:sz w:val="24"/>
          <w:szCs w:val="24"/>
        </w:rPr>
        <w:t xml:space="preserve"> </w:t>
      </w:r>
    </w:p>
    <w:p w:rsidR="008E7D86" w:rsidP="000D6E3D" w:rsidRDefault="008E7D86" w14:paraId="13A20BE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2D47AF" w:rsidP="002D47AF" w:rsidRDefault="008E7D86" w14:paraId="4AAF813F" w14:textId="5464F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386E2BBE">
        <w:rPr>
          <w:sz w:val="24"/>
          <w:szCs w:val="24"/>
        </w:rPr>
        <w:t xml:space="preserve">The Energy and Performance Information Center (EPIC) system provides a streamlined way for PHAs to fulfill their Capital Fund reporting requirements under 24 CFR 905.300. By regulation, PHAs are required to submit 1) a CFP </w:t>
      </w:r>
      <w:r w:rsidRPr="386E2BBE" w:rsidR="002D47AF">
        <w:rPr>
          <w:sz w:val="24"/>
          <w:szCs w:val="24"/>
        </w:rPr>
        <w:t>Five-Year</w:t>
      </w:r>
      <w:r w:rsidRPr="386E2BBE">
        <w:rPr>
          <w:sz w:val="24"/>
          <w:szCs w:val="24"/>
        </w:rPr>
        <w:t xml:space="preserve"> Action Plan </w:t>
      </w:r>
      <w:r w:rsidRPr="386E2BBE" w:rsidR="00802886">
        <w:rPr>
          <w:sz w:val="24"/>
          <w:szCs w:val="24"/>
        </w:rPr>
        <w:t xml:space="preserve">(HUD-50075.2) </w:t>
      </w:r>
      <w:r w:rsidRPr="386E2BBE">
        <w:rPr>
          <w:sz w:val="24"/>
          <w:szCs w:val="24"/>
        </w:rPr>
        <w:t xml:space="preserve">describing the capital improvements necessary to ensure long-term physical and social viability of the PHA's public housing developments, 2) a Capital Fund </w:t>
      </w:r>
      <w:r w:rsidRPr="386E2BBE" w:rsidR="002D47AF">
        <w:rPr>
          <w:sz w:val="24"/>
          <w:szCs w:val="24"/>
        </w:rPr>
        <w:t>Annual Statement/</w:t>
      </w:r>
      <w:r w:rsidRPr="386E2BBE">
        <w:rPr>
          <w:sz w:val="24"/>
          <w:szCs w:val="24"/>
        </w:rPr>
        <w:t>Budget for each year</w:t>
      </w:r>
      <w:r w:rsidRPr="386E2BBE" w:rsidR="00802886">
        <w:rPr>
          <w:sz w:val="24"/>
          <w:szCs w:val="24"/>
        </w:rPr>
        <w:t xml:space="preserve"> (HUD-50075.1)</w:t>
      </w:r>
      <w:r w:rsidRPr="386E2BBE" w:rsidR="002D47AF">
        <w:rPr>
          <w:sz w:val="24"/>
          <w:szCs w:val="24"/>
        </w:rPr>
        <w:t>, 3) a Performance &amp; E</w:t>
      </w:r>
      <w:r w:rsidRPr="386E2BBE" w:rsidR="66749780">
        <w:rPr>
          <w:sz w:val="24"/>
          <w:szCs w:val="24"/>
        </w:rPr>
        <w:t>valuation</w:t>
      </w:r>
      <w:r w:rsidRPr="386E2BBE" w:rsidR="002D47AF">
        <w:rPr>
          <w:sz w:val="24"/>
          <w:szCs w:val="24"/>
        </w:rPr>
        <w:t xml:space="preserve"> (P&amp;E Report) </w:t>
      </w:r>
      <w:r w:rsidRPr="386E2BBE" w:rsidR="00802886">
        <w:rPr>
          <w:sz w:val="24"/>
          <w:szCs w:val="24"/>
        </w:rPr>
        <w:t xml:space="preserve">(HUD-50075.1) </w:t>
      </w:r>
      <w:r w:rsidRPr="386E2BBE" w:rsidR="002D47AF">
        <w:rPr>
          <w:sz w:val="24"/>
          <w:szCs w:val="24"/>
        </w:rPr>
        <w:t xml:space="preserve">as </w:t>
      </w:r>
      <w:r w:rsidRPr="386E2BBE" w:rsidR="00802886">
        <w:rPr>
          <w:sz w:val="24"/>
          <w:szCs w:val="24"/>
        </w:rPr>
        <w:t>requested</w:t>
      </w:r>
      <w:r w:rsidRPr="386E2BBE" w:rsidR="00B92C76">
        <w:rPr>
          <w:sz w:val="24"/>
          <w:szCs w:val="24"/>
        </w:rPr>
        <w:t xml:space="preserve"> in EPICEPIC allows PHAs to submit </w:t>
      </w:r>
      <w:r w:rsidRPr="386E2BBE" w:rsidR="001D2E8E">
        <w:rPr>
          <w:sz w:val="24"/>
          <w:szCs w:val="24"/>
        </w:rPr>
        <w:t xml:space="preserve">copies of certifications of compliance and/or documentation to comply with the award, monitoring and/or close-out of a Capital Fund Grants in the Document Management Center.  For example, </w:t>
      </w:r>
      <w:r w:rsidRPr="386E2BBE" w:rsidR="0002020F">
        <w:rPr>
          <w:sz w:val="24"/>
          <w:szCs w:val="24"/>
        </w:rPr>
        <w:t>a Capital Fund Annual Submission</w:t>
      </w:r>
      <w:r w:rsidRPr="386E2BBE" w:rsidR="008E7B1E">
        <w:rPr>
          <w:sz w:val="24"/>
          <w:szCs w:val="24"/>
        </w:rPr>
        <w:t xml:space="preserve"> as defined in the annual Processing Guidance</w:t>
      </w:r>
      <w:r w:rsidRPr="386E2BBE" w:rsidR="0033371C">
        <w:rPr>
          <w:sz w:val="24"/>
          <w:szCs w:val="24"/>
        </w:rPr>
        <w:t xml:space="preserve">. Moreover, PHAs </w:t>
      </w:r>
      <w:r w:rsidRPr="386E2BBE" w:rsidR="00B92C76">
        <w:rPr>
          <w:sz w:val="24"/>
          <w:szCs w:val="24"/>
        </w:rPr>
        <w:t>may</w:t>
      </w:r>
      <w:r w:rsidRPr="386E2BBE" w:rsidR="002D47AF">
        <w:rPr>
          <w:sz w:val="24"/>
          <w:szCs w:val="24"/>
        </w:rPr>
        <w:t xml:space="preserve"> request to use additional capital resources</w:t>
      </w:r>
      <w:r w:rsidRPr="386E2BBE" w:rsidR="00B92C76">
        <w:rPr>
          <w:sz w:val="24"/>
          <w:szCs w:val="24"/>
        </w:rPr>
        <w:t xml:space="preserve">, such as Operating Funds, </w:t>
      </w:r>
      <w:r w:rsidRPr="386E2BBE" w:rsidR="002D47AF">
        <w:rPr>
          <w:sz w:val="24"/>
          <w:szCs w:val="24"/>
        </w:rPr>
        <w:t>for Capital Fund purposes</w:t>
      </w:r>
      <w:r w:rsidRPr="386E2BBE" w:rsidR="00B92C76">
        <w:rPr>
          <w:sz w:val="24"/>
          <w:szCs w:val="24"/>
        </w:rPr>
        <w:t xml:space="preserve"> in EPIC</w:t>
      </w:r>
    </w:p>
    <w:p w:rsidR="002023C3" w:rsidP="000D6E3D" w:rsidRDefault="002023C3" w14:paraId="3785EDE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312BA9" w:rsidP="002023C3" w:rsidRDefault="002023C3" w14:paraId="2803F9C7" w14:textId="0AC370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386E2BBE">
        <w:rPr>
          <w:sz w:val="24"/>
          <w:szCs w:val="24"/>
        </w:rPr>
        <w:t>T</w:t>
      </w:r>
      <w:r w:rsidRPr="386E2BBE" w:rsidR="009026EF">
        <w:rPr>
          <w:sz w:val="24"/>
          <w:szCs w:val="24"/>
        </w:rPr>
        <w:t>his</w:t>
      </w:r>
      <w:r w:rsidRPr="386E2BBE">
        <w:rPr>
          <w:sz w:val="24"/>
          <w:szCs w:val="24"/>
        </w:rPr>
        <w:t xml:space="preserve"> information collect</w:t>
      </w:r>
      <w:r w:rsidRPr="386E2BBE" w:rsidR="009026EF">
        <w:rPr>
          <w:sz w:val="24"/>
          <w:szCs w:val="24"/>
        </w:rPr>
        <w:t>ion</w:t>
      </w:r>
      <w:r w:rsidRPr="386E2BBE">
        <w:rPr>
          <w:sz w:val="24"/>
          <w:szCs w:val="24"/>
        </w:rPr>
        <w:t xml:space="preserve"> in EPIC also enable</w:t>
      </w:r>
      <w:r w:rsidRPr="386E2BBE" w:rsidR="009026EF">
        <w:rPr>
          <w:sz w:val="24"/>
          <w:szCs w:val="24"/>
        </w:rPr>
        <w:t>s</w:t>
      </w:r>
      <w:r w:rsidRPr="386E2BBE">
        <w:rPr>
          <w:sz w:val="24"/>
          <w:szCs w:val="24"/>
        </w:rPr>
        <w:t xml:space="preserve"> HUD to fulfill its oversight responsibilities. </w:t>
      </w:r>
      <w:r w:rsidR="00132005">
        <w:rPr>
          <w:sz w:val="24"/>
          <w:szCs w:val="24"/>
        </w:rPr>
        <w:t xml:space="preserve"> </w:t>
      </w:r>
      <w:r w:rsidRPr="386E2BBE">
        <w:rPr>
          <w:sz w:val="24"/>
          <w:szCs w:val="24"/>
        </w:rPr>
        <w:t xml:space="preserve">Field Office staff review and approve </w:t>
      </w:r>
      <w:r w:rsidR="00D72991">
        <w:rPr>
          <w:sz w:val="24"/>
          <w:szCs w:val="24"/>
        </w:rPr>
        <w:t>Five</w:t>
      </w:r>
      <w:r w:rsidRPr="386E2BBE">
        <w:rPr>
          <w:sz w:val="24"/>
          <w:szCs w:val="24"/>
        </w:rPr>
        <w:t>-Year Action Plans</w:t>
      </w:r>
      <w:r w:rsidRPr="386E2BBE" w:rsidR="00B37C63">
        <w:rPr>
          <w:sz w:val="24"/>
          <w:szCs w:val="24"/>
        </w:rPr>
        <w:t xml:space="preserve"> </w:t>
      </w:r>
      <w:r w:rsidRPr="386E2BBE">
        <w:rPr>
          <w:sz w:val="24"/>
          <w:szCs w:val="24"/>
        </w:rPr>
        <w:t>to verify that all work activities are eligible items under the Capital Fund</w:t>
      </w:r>
      <w:r w:rsidRPr="386E2BBE" w:rsidR="009026EF">
        <w:rPr>
          <w:sz w:val="24"/>
          <w:szCs w:val="24"/>
        </w:rPr>
        <w:t xml:space="preserve"> and to assess the level and type of environmental review required</w:t>
      </w:r>
      <w:r w:rsidRPr="386E2BBE">
        <w:rPr>
          <w:sz w:val="24"/>
          <w:szCs w:val="24"/>
        </w:rPr>
        <w:t xml:space="preserve">. </w:t>
      </w:r>
      <w:r w:rsidR="00132005">
        <w:rPr>
          <w:sz w:val="24"/>
          <w:szCs w:val="24"/>
        </w:rPr>
        <w:t xml:space="preserve"> </w:t>
      </w:r>
      <w:r w:rsidRPr="386E2BBE">
        <w:rPr>
          <w:sz w:val="24"/>
          <w:szCs w:val="24"/>
        </w:rPr>
        <w:t>Upon</w:t>
      </w:r>
      <w:r w:rsidRPr="386E2BBE" w:rsidR="00B37C63">
        <w:rPr>
          <w:sz w:val="24"/>
          <w:szCs w:val="24"/>
        </w:rPr>
        <w:t xml:space="preserve"> Annual Statement/</w:t>
      </w:r>
      <w:r w:rsidRPr="386E2BBE">
        <w:rPr>
          <w:sz w:val="24"/>
          <w:szCs w:val="24"/>
        </w:rPr>
        <w:t>Budget</w:t>
      </w:r>
      <w:r w:rsidRPr="386E2BBE" w:rsidR="00B37C63">
        <w:rPr>
          <w:sz w:val="24"/>
          <w:szCs w:val="24"/>
        </w:rPr>
        <w:t xml:space="preserve"> </w:t>
      </w:r>
      <w:r w:rsidRPr="386E2BBE">
        <w:rPr>
          <w:sz w:val="24"/>
          <w:szCs w:val="24"/>
        </w:rPr>
        <w:t>submission, HUD performs validation checks to fu</w:t>
      </w:r>
      <w:r w:rsidRPr="386E2BBE" w:rsidR="0002020F">
        <w:rPr>
          <w:sz w:val="24"/>
          <w:szCs w:val="24"/>
        </w:rPr>
        <w:t>lfi</w:t>
      </w:r>
      <w:r w:rsidRPr="386E2BBE">
        <w:rPr>
          <w:sz w:val="24"/>
          <w:szCs w:val="24"/>
        </w:rPr>
        <w:t>ll requirements to monitor statutory and regulatory restrictions</w:t>
      </w:r>
      <w:r w:rsidRPr="386E2BBE" w:rsidR="009026EF">
        <w:rPr>
          <w:sz w:val="24"/>
          <w:szCs w:val="24"/>
        </w:rPr>
        <w:t xml:space="preserve"> on the funds</w:t>
      </w:r>
      <w:r w:rsidRPr="386E2BBE">
        <w:rPr>
          <w:sz w:val="24"/>
          <w:szCs w:val="24"/>
        </w:rPr>
        <w:t xml:space="preserve">, including </w:t>
      </w:r>
      <w:r w:rsidRPr="386E2BBE" w:rsidR="000D6E3D">
        <w:rPr>
          <w:sz w:val="24"/>
          <w:szCs w:val="24"/>
        </w:rPr>
        <w:t xml:space="preserve">limits on </w:t>
      </w:r>
      <w:r w:rsidRPr="386E2BBE">
        <w:rPr>
          <w:sz w:val="24"/>
          <w:szCs w:val="24"/>
        </w:rPr>
        <w:t xml:space="preserve">the percentage of funding that may be used for </w:t>
      </w:r>
      <w:r w:rsidRPr="386E2BBE" w:rsidR="000D6E3D">
        <w:rPr>
          <w:sz w:val="24"/>
          <w:szCs w:val="24"/>
        </w:rPr>
        <w:t xml:space="preserve">Administration, </w:t>
      </w:r>
      <w:r w:rsidRPr="386E2BBE">
        <w:rPr>
          <w:sz w:val="24"/>
          <w:szCs w:val="24"/>
        </w:rPr>
        <w:t>transferred</w:t>
      </w:r>
      <w:r w:rsidRPr="386E2BBE" w:rsidR="000D6E3D">
        <w:rPr>
          <w:sz w:val="24"/>
          <w:szCs w:val="24"/>
        </w:rPr>
        <w:t xml:space="preserve"> to Operations, </w:t>
      </w:r>
      <w:r w:rsidRPr="386E2BBE">
        <w:rPr>
          <w:sz w:val="24"/>
          <w:szCs w:val="24"/>
        </w:rPr>
        <w:t xml:space="preserve">or used to undertake </w:t>
      </w:r>
      <w:r w:rsidRPr="386E2BBE" w:rsidR="000D6E3D">
        <w:rPr>
          <w:sz w:val="24"/>
          <w:szCs w:val="24"/>
        </w:rPr>
        <w:t xml:space="preserve">Management Improvements. </w:t>
      </w:r>
      <w:r w:rsidRPr="386E2BBE">
        <w:rPr>
          <w:sz w:val="24"/>
          <w:szCs w:val="24"/>
        </w:rPr>
        <w:t xml:space="preserve">HUD also uses the budget information to ensure that </w:t>
      </w:r>
      <w:r w:rsidRPr="386E2BBE" w:rsidR="000D6E3D">
        <w:rPr>
          <w:sz w:val="24"/>
          <w:szCs w:val="24"/>
        </w:rPr>
        <w:t xml:space="preserve">Housing </w:t>
      </w:r>
      <w:r w:rsidRPr="386E2BBE" w:rsidR="00EB6522">
        <w:rPr>
          <w:sz w:val="24"/>
          <w:szCs w:val="24"/>
        </w:rPr>
        <w:t>Authorities participat</w:t>
      </w:r>
      <w:r w:rsidRPr="386E2BBE">
        <w:rPr>
          <w:sz w:val="24"/>
          <w:szCs w:val="24"/>
        </w:rPr>
        <w:t>ing</w:t>
      </w:r>
      <w:r w:rsidRPr="386E2BBE" w:rsidR="00EB6522">
        <w:rPr>
          <w:sz w:val="24"/>
          <w:szCs w:val="24"/>
        </w:rPr>
        <w:t xml:space="preserve"> in the Capital Fund Finance Program (CFFP) to leverage their limited </w:t>
      </w:r>
      <w:r w:rsidRPr="386E2BBE" w:rsidR="009026EF">
        <w:rPr>
          <w:sz w:val="24"/>
          <w:szCs w:val="24"/>
        </w:rPr>
        <w:t>c</w:t>
      </w:r>
      <w:r w:rsidRPr="386E2BBE" w:rsidR="00EB6522">
        <w:rPr>
          <w:sz w:val="24"/>
          <w:szCs w:val="24"/>
        </w:rPr>
        <w:t>apital funds</w:t>
      </w:r>
      <w:r w:rsidRPr="386E2BBE">
        <w:rPr>
          <w:sz w:val="24"/>
          <w:szCs w:val="24"/>
        </w:rPr>
        <w:t xml:space="preserve"> are </w:t>
      </w:r>
      <w:r w:rsidRPr="386E2BBE" w:rsidR="001C592A">
        <w:rPr>
          <w:sz w:val="24"/>
          <w:szCs w:val="24"/>
        </w:rPr>
        <w:t xml:space="preserve">properly allocating funds for </w:t>
      </w:r>
      <w:r w:rsidRPr="386E2BBE" w:rsidR="00EB6522">
        <w:rPr>
          <w:sz w:val="24"/>
          <w:szCs w:val="24"/>
        </w:rPr>
        <w:t>the debt service payments</w:t>
      </w:r>
      <w:r w:rsidRPr="386E2BBE" w:rsidR="005C5E61">
        <w:rPr>
          <w:sz w:val="24"/>
          <w:szCs w:val="24"/>
        </w:rPr>
        <w:t>, and to reflect Capital Funds used as part of Rental Assistance Demonstration (RAD) program</w:t>
      </w:r>
      <w:r w:rsidRPr="386E2BBE" w:rsidR="000D6E3D">
        <w:rPr>
          <w:sz w:val="24"/>
          <w:szCs w:val="24"/>
        </w:rPr>
        <w:t>.</w:t>
      </w:r>
      <w:r w:rsidRPr="386E2BBE" w:rsidR="004E7F3A">
        <w:rPr>
          <w:sz w:val="24"/>
          <w:szCs w:val="24"/>
        </w:rPr>
        <w:t xml:space="preserve"> </w:t>
      </w:r>
      <w:r w:rsidRPr="386E2BBE" w:rsidR="004C051D">
        <w:rPr>
          <w:sz w:val="24"/>
          <w:szCs w:val="24"/>
        </w:rPr>
        <w:t xml:space="preserve">For EPIC budget submissions found in compliance, HUD updates the </w:t>
      </w:r>
      <w:r w:rsidRPr="386E2BBE" w:rsidR="00802886">
        <w:rPr>
          <w:sz w:val="24"/>
          <w:szCs w:val="24"/>
        </w:rPr>
        <w:t xml:space="preserve">Budget Line Items (BLI) obligations in the </w:t>
      </w:r>
      <w:r w:rsidRPr="386E2BBE" w:rsidR="004C051D">
        <w:rPr>
          <w:sz w:val="24"/>
          <w:szCs w:val="24"/>
        </w:rPr>
        <w:t xml:space="preserve">Line of Credit Control System (LOCCS) in accordance with the funds spread in EPIC; this enables PHAs to draw down funds without requesting manual updates or revisions from HUD Field Offices. </w:t>
      </w:r>
      <w:r w:rsidR="00563ED2">
        <w:rPr>
          <w:sz w:val="24"/>
          <w:szCs w:val="24"/>
        </w:rPr>
        <w:t xml:space="preserve"> </w:t>
      </w:r>
      <w:r w:rsidRPr="386E2BBE" w:rsidR="004C051D">
        <w:rPr>
          <w:sz w:val="24"/>
          <w:szCs w:val="24"/>
        </w:rPr>
        <w:t>Lastly</w:t>
      </w:r>
      <w:r w:rsidRPr="386E2BBE" w:rsidR="00802886">
        <w:rPr>
          <w:sz w:val="24"/>
          <w:szCs w:val="24"/>
        </w:rPr>
        <w:t>.</w:t>
      </w:r>
      <w:r w:rsidRPr="386E2BBE" w:rsidR="004C051D">
        <w:rPr>
          <w:sz w:val="24"/>
          <w:szCs w:val="24"/>
        </w:rPr>
        <w:t xml:space="preserve"> </w:t>
      </w:r>
      <w:r w:rsidRPr="386E2BBE" w:rsidR="00802886">
        <w:rPr>
          <w:sz w:val="24"/>
          <w:szCs w:val="24"/>
        </w:rPr>
        <w:t>The P&amp;E Report allows HUD to monitor other measures such as Lead-Based Paint hazard mitigation measures, installation information and actual costs/expenditures.  HUD analyses PHA obligations of Capital Funds to report to Congress and interested stakeholders on spending patterns and to develop budgetary justifications.</w:t>
      </w:r>
    </w:p>
    <w:p w:rsidR="00534F51" w:rsidP="00312BA9" w:rsidRDefault="00534F51" w14:paraId="3B9218B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4C051D" w:rsidP="00312BA9" w:rsidRDefault="004C051D" w14:paraId="6ECBF58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Pr>
          <w:sz w:val="24"/>
          <w:szCs w:val="24"/>
        </w:rPr>
        <w:t>In addition to collecting and using information in CFP Five-Year Action Plans and Budgets, several EPIC modules currently in use or in development collect additional key programmatic information or streamline PHA reporting.</w:t>
      </w:r>
    </w:p>
    <w:p w:rsidR="004C051D" w:rsidP="00312BA9" w:rsidRDefault="004C051D" w14:paraId="219656D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4C051D" w:rsidP="008E439E" w:rsidRDefault="00FE586D" w14:paraId="1F8D5AA2" w14:textId="313DFE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386E2BBE">
        <w:rPr>
          <w:i/>
          <w:iCs/>
          <w:sz w:val="24"/>
          <w:szCs w:val="24"/>
        </w:rPr>
        <w:t xml:space="preserve">Energy Efficiency Measures: </w:t>
      </w:r>
      <w:r w:rsidRPr="386E2BBE">
        <w:rPr>
          <w:sz w:val="24"/>
          <w:szCs w:val="24"/>
        </w:rPr>
        <w:t>The Core Activity/Energy module of EPIC collects information on Energy Efficiency Measures (EEMs) implemented with Capital Funds.</w:t>
      </w:r>
      <w:r w:rsidRPr="386E2BBE" w:rsidR="00B045F8">
        <w:rPr>
          <w:sz w:val="24"/>
          <w:szCs w:val="24"/>
        </w:rPr>
        <w:t xml:space="preserve"> UD previously reported aggregated data toward HUD’s strategic goal on energy efficiency.</w:t>
      </w:r>
    </w:p>
    <w:p w:rsidR="004C051D" w:rsidP="00312BA9" w:rsidRDefault="004C051D" w14:paraId="0CDAB00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FF6843" w:rsidP="00312BA9" w:rsidRDefault="00FE586D" w14:paraId="3C9EBDDA" w14:textId="325596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Pr>
          <w:i/>
          <w:sz w:val="24"/>
          <w:szCs w:val="24"/>
        </w:rPr>
        <w:lastRenderedPageBreak/>
        <w:t>Physical Needs Assessments:</w:t>
      </w:r>
      <w:r w:rsidR="00B045F8">
        <w:rPr>
          <w:i/>
          <w:sz w:val="24"/>
          <w:szCs w:val="24"/>
        </w:rPr>
        <w:t xml:space="preserve"> </w:t>
      </w:r>
      <w:r w:rsidR="00B045F8">
        <w:rPr>
          <w:sz w:val="24"/>
          <w:szCs w:val="24"/>
        </w:rPr>
        <w:t>This functionality enable</w:t>
      </w:r>
      <w:r w:rsidR="0002020F">
        <w:rPr>
          <w:sz w:val="24"/>
          <w:szCs w:val="24"/>
        </w:rPr>
        <w:t>s</w:t>
      </w:r>
      <w:r w:rsidR="00B045F8">
        <w:rPr>
          <w:sz w:val="24"/>
          <w:szCs w:val="24"/>
        </w:rPr>
        <w:t xml:space="preserve"> PHAs to download PIC data from EPIC </w:t>
      </w:r>
      <w:proofErr w:type="gramStart"/>
      <w:r w:rsidR="00B045F8">
        <w:rPr>
          <w:sz w:val="24"/>
          <w:szCs w:val="24"/>
        </w:rPr>
        <w:t>in order to</w:t>
      </w:r>
      <w:proofErr w:type="gramEnd"/>
      <w:r w:rsidR="00B045F8">
        <w:rPr>
          <w:sz w:val="24"/>
          <w:szCs w:val="24"/>
        </w:rPr>
        <w:t xml:space="preserve"> complete physical needs assessments</w:t>
      </w:r>
      <w:r w:rsidR="00FF6843">
        <w:rPr>
          <w:sz w:val="24"/>
          <w:szCs w:val="24"/>
        </w:rPr>
        <w:t xml:space="preserve">. </w:t>
      </w:r>
      <w:r w:rsidR="0002020F">
        <w:rPr>
          <w:sz w:val="24"/>
          <w:szCs w:val="24"/>
        </w:rPr>
        <w:t xml:space="preserve">In the future, </w:t>
      </w:r>
      <w:r w:rsidR="00B045F8">
        <w:rPr>
          <w:sz w:val="24"/>
          <w:szCs w:val="24"/>
        </w:rPr>
        <w:t>PHAs who wish to voluntarily submit their PNA data into EPIC may achieve time savings by draw</w:t>
      </w:r>
      <w:r w:rsidR="00241A8D">
        <w:rPr>
          <w:sz w:val="24"/>
          <w:szCs w:val="24"/>
        </w:rPr>
        <w:t>ing</w:t>
      </w:r>
      <w:r w:rsidR="00B045F8">
        <w:rPr>
          <w:sz w:val="24"/>
          <w:szCs w:val="24"/>
        </w:rPr>
        <w:t xml:space="preserve"> from items </w:t>
      </w:r>
      <w:r w:rsidR="00241A8D">
        <w:rPr>
          <w:sz w:val="24"/>
          <w:szCs w:val="24"/>
        </w:rPr>
        <w:t xml:space="preserve">identified in the PNA </w:t>
      </w:r>
      <w:r w:rsidR="00B045F8">
        <w:rPr>
          <w:sz w:val="24"/>
          <w:szCs w:val="24"/>
        </w:rPr>
        <w:t xml:space="preserve">to drop into their Five-Year Action Plan. </w:t>
      </w:r>
      <w:r w:rsidR="00241A8D">
        <w:rPr>
          <w:sz w:val="24"/>
          <w:szCs w:val="24"/>
        </w:rPr>
        <w:t>Currently</w:t>
      </w:r>
      <w:r w:rsidR="0018385C">
        <w:rPr>
          <w:sz w:val="24"/>
          <w:szCs w:val="24"/>
        </w:rPr>
        <w:t xml:space="preserve">, PHA submission of PNA data to EPIC </w:t>
      </w:r>
      <w:r w:rsidR="00241A8D">
        <w:rPr>
          <w:sz w:val="24"/>
          <w:szCs w:val="24"/>
        </w:rPr>
        <w:t xml:space="preserve">is </w:t>
      </w:r>
      <w:r w:rsidR="0018385C">
        <w:rPr>
          <w:sz w:val="24"/>
          <w:szCs w:val="24"/>
        </w:rPr>
        <w:t>strictly voluntary.</w:t>
      </w:r>
    </w:p>
    <w:p w:rsidR="00FF6843" w:rsidP="00312BA9" w:rsidRDefault="00FF6843" w14:paraId="30E623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FF6843" w:rsidP="00312BA9" w:rsidRDefault="00FE586D" w14:paraId="07EB932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Pr>
          <w:i/>
          <w:sz w:val="24"/>
          <w:szCs w:val="24"/>
        </w:rPr>
        <w:t xml:space="preserve">Energy Performance Contracts: </w:t>
      </w:r>
      <w:r w:rsidRPr="00895A8F" w:rsidR="00895A8F">
        <w:rPr>
          <w:sz w:val="24"/>
          <w:szCs w:val="24"/>
        </w:rPr>
        <w:t xml:space="preserve">Under 24 CFR 990.185, PHAs may qualify for conservation incentives when undertaking </w:t>
      </w:r>
      <w:r w:rsidR="00895A8F">
        <w:rPr>
          <w:sz w:val="24"/>
          <w:szCs w:val="24"/>
        </w:rPr>
        <w:t>Energy Conservation Measures (</w:t>
      </w:r>
      <w:r w:rsidRPr="00895A8F" w:rsidR="00895A8F">
        <w:rPr>
          <w:sz w:val="24"/>
          <w:szCs w:val="24"/>
        </w:rPr>
        <w:t>ECMs</w:t>
      </w:r>
      <w:r w:rsidR="00895A8F">
        <w:rPr>
          <w:sz w:val="24"/>
          <w:szCs w:val="24"/>
        </w:rPr>
        <w:t xml:space="preserve">) </w:t>
      </w:r>
      <w:r w:rsidRPr="00895A8F" w:rsidR="00895A8F">
        <w:rPr>
          <w:sz w:val="24"/>
          <w:szCs w:val="24"/>
        </w:rPr>
        <w:t>that are financed by an entity other than HUD</w:t>
      </w:r>
      <w:r w:rsidR="00895A8F">
        <w:rPr>
          <w:sz w:val="24"/>
          <w:szCs w:val="24"/>
        </w:rPr>
        <w:t xml:space="preserve"> </w:t>
      </w:r>
      <w:proofErr w:type="gramStart"/>
      <w:r w:rsidR="00895A8F">
        <w:rPr>
          <w:sz w:val="24"/>
          <w:szCs w:val="24"/>
        </w:rPr>
        <w:t>thr</w:t>
      </w:r>
      <w:r>
        <w:rPr>
          <w:sz w:val="24"/>
          <w:szCs w:val="24"/>
        </w:rPr>
        <w:t>o</w:t>
      </w:r>
      <w:r w:rsidR="00895A8F">
        <w:rPr>
          <w:sz w:val="24"/>
          <w:szCs w:val="24"/>
        </w:rPr>
        <w:t>u</w:t>
      </w:r>
      <w:r>
        <w:rPr>
          <w:sz w:val="24"/>
          <w:szCs w:val="24"/>
        </w:rPr>
        <w:t>gh</w:t>
      </w:r>
      <w:r w:rsidR="00895A8F">
        <w:rPr>
          <w:sz w:val="24"/>
          <w:szCs w:val="24"/>
        </w:rPr>
        <w:t xml:space="preserve"> the use of</w:t>
      </w:r>
      <w:proofErr w:type="gramEnd"/>
      <w:r w:rsidR="00895A8F">
        <w:rPr>
          <w:sz w:val="24"/>
          <w:szCs w:val="24"/>
        </w:rPr>
        <w:t xml:space="preserve"> an Energy Performance Contract (EPC)</w:t>
      </w:r>
      <w:r w:rsidRPr="00895A8F" w:rsidR="00895A8F">
        <w:rPr>
          <w:sz w:val="24"/>
          <w:szCs w:val="24"/>
        </w:rPr>
        <w:t xml:space="preserve">.  </w:t>
      </w:r>
      <w:r w:rsidR="00895A8F">
        <w:rPr>
          <w:sz w:val="24"/>
          <w:szCs w:val="24"/>
        </w:rPr>
        <w:t>This allows PHAs the ability to privately finance energy improvements so that PHAs can use Capital Funds for other improvements.  EPCs result in lower Operating costs for PHAs thr</w:t>
      </w:r>
      <w:r w:rsidR="00B045F8">
        <w:rPr>
          <w:sz w:val="24"/>
          <w:szCs w:val="24"/>
        </w:rPr>
        <w:t>ough</w:t>
      </w:r>
      <w:r w:rsidR="00895A8F">
        <w:rPr>
          <w:sz w:val="24"/>
          <w:szCs w:val="24"/>
        </w:rPr>
        <w:t xml:space="preserve"> reduced </w:t>
      </w:r>
      <w:r w:rsidR="00561E22">
        <w:rPr>
          <w:sz w:val="24"/>
          <w:szCs w:val="24"/>
        </w:rPr>
        <w:t>utility</w:t>
      </w:r>
      <w:r w:rsidR="00895A8F">
        <w:rPr>
          <w:sz w:val="24"/>
          <w:szCs w:val="24"/>
        </w:rPr>
        <w:t xml:space="preserve"> cost.  </w:t>
      </w:r>
      <w:r w:rsidR="00FF6843">
        <w:rPr>
          <w:sz w:val="24"/>
          <w:szCs w:val="24"/>
        </w:rPr>
        <w:t xml:space="preserve">The EPIC data system will collect information about the </w:t>
      </w:r>
      <w:r w:rsidR="0001146D">
        <w:rPr>
          <w:sz w:val="24"/>
          <w:szCs w:val="24"/>
        </w:rPr>
        <w:t>EPC</w:t>
      </w:r>
      <w:r w:rsidR="00895A8F">
        <w:rPr>
          <w:sz w:val="24"/>
          <w:szCs w:val="24"/>
        </w:rPr>
        <w:t xml:space="preserve"> </w:t>
      </w:r>
      <w:r w:rsidR="00FF6843">
        <w:rPr>
          <w:sz w:val="24"/>
          <w:szCs w:val="24"/>
        </w:rPr>
        <w:t>process, including the energy efficiency improvements</w:t>
      </w:r>
      <w:r w:rsidR="006C0FD9">
        <w:rPr>
          <w:sz w:val="24"/>
          <w:szCs w:val="24"/>
        </w:rPr>
        <w:t>.</w:t>
      </w:r>
      <w:r w:rsidR="00FF6843">
        <w:rPr>
          <w:sz w:val="24"/>
          <w:szCs w:val="24"/>
        </w:rPr>
        <w:t xml:space="preserve"> </w:t>
      </w:r>
      <w:r w:rsidR="006C0FD9">
        <w:rPr>
          <w:sz w:val="24"/>
          <w:szCs w:val="24"/>
        </w:rPr>
        <w:t xml:space="preserve"> </w:t>
      </w:r>
      <w:r w:rsidR="00895A8F">
        <w:rPr>
          <w:sz w:val="24"/>
          <w:szCs w:val="24"/>
        </w:rPr>
        <w:t>The electronic submission process streamlines the former paper submission process and reduces the time for approval.</w:t>
      </w:r>
    </w:p>
    <w:p w:rsidR="00FF6843" w:rsidP="00312BA9" w:rsidRDefault="00FF6843" w14:paraId="737A045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9026EF" w:rsidP="009026EF" w:rsidRDefault="00FE586D" w14:paraId="2B05FD3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Pr>
          <w:i/>
          <w:sz w:val="24"/>
          <w:szCs w:val="24"/>
        </w:rPr>
        <w:t xml:space="preserve">Public Housing Development: </w:t>
      </w:r>
      <w:r w:rsidR="00AF5A8C">
        <w:rPr>
          <w:sz w:val="24"/>
          <w:szCs w:val="24"/>
        </w:rPr>
        <w:t>T</w:t>
      </w:r>
      <w:r w:rsidR="00A860C0">
        <w:rPr>
          <w:sz w:val="24"/>
          <w:szCs w:val="24"/>
        </w:rPr>
        <w:t xml:space="preserve">he EPIC data system will track development of public housing </w:t>
      </w:r>
      <w:r w:rsidR="00AF5A8C">
        <w:rPr>
          <w:sz w:val="24"/>
          <w:szCs w:val="24"/>
        </w:rPr>
        <w:t xml:space="preserve">with Federal funds and </w:t>
      </w:r>
      <w:r w:rsidR="00A860C0">
        <w:rPr>
          <w:sz w:val="24"/>
          <w:szCs w:val="24"/>
        </w:rPr>
        <w:t>through other means, including mixed-finance development</w:t>
      </w:r>
      <w:r w:rsidR="00B045F8">
        <w:rPr>
          <w:sz w:val="24"/>
          <w:szCs w:val="24"/>
        </w:rPr>
        <w:t>, enabling more efficient review and submission of required development documents.</w:t>
      </w:r>
      <w:r w:rsidRPr="009026EF" w:rsidR="009026EF">
        <w:rPr>
          <w:sz w:val="24"/>
          <w:szCs w:val="24"/>
        </w:rPr>
        <w:t xml:space="preserve"> </w:t>
      </w:r>
    </w:p>
    <w:p w:rsidR="0001146D" w:rsidP="00312BA9" w:rsidRDefault="0001146D" w14:paraId="0630CD3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Pr="0001146D" w:rsidR="0001146D" w:rsidP="0001146D" w:rsidRDefault="0001146D" w14:paraId="193C95F6" w14:textId="77777777">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r w:rsidRPr="0001146D">
        <w:rPr>
          <w:b/>
          <w:sz w:val="24"/>
          <w:szCs w:val="24"/>
        </w:rPr>
        <w:t>How is the data to be used?</w:t>
      </w:r>
    </w:p>
    <w:p w:rsidR="0001146D" w:rsidP="0001146D" w:rsidRDefault="0001146D" w14:paraId="4451CAF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896D21" w:rsidP="00FC4F02" w:rsidRDefault="00FC4F02" w14:paraId="10E371D2" w14:textId="5D261E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Pr>
          <w:sz w:val="24"/>
          <w:szCs w:val="24"/>
        </w:rPr>
        <w:t xml:space="preserve">As noted above, the information submitted in CFP Five-Year Action Plans is used by HUD to fulfill its oversight responsibilities. Field Office staff review and approve </w:t>
      </w:r>
      <w:r w:rsidR="008D6A4B">
        <w:rPr>
          <w:sz w:val="24"/>
          <w:szCs w:val="24"/>
        </w:rPr>
        <w:t>Five</w:t>
      </w:r>
      <w:r>
        <w:rPr>
          <w:sz w:val="24"/>
          <w:szCs w:val="24"/>
        </w:rPr>
        <w:t xml:space="preserve">-Year Action Plans to verify that all work activities are eligible items </w:t>
      </w:r>
      <w:r w:rsidR="00241A8D">
        <w:rPr>
          <w:sz w:val="24"/>
          <w:szCs w:val="24"/>
        </w:rPr>
        <w:t>under the Capital Fund and to assess the level and type of environmental review required</w:t>
      </w:r>
      <w:r>
        <w:rPr>
          <w:sz w:val="24"/>
          <w:szCs w:val="24"/>
        </w:rPr>
        <w:t xml:space="preserve">. </w:t>
      </w:r>
      <w:r w:rsidR="008D6A4B">
        <w:rPr>
          <w:sz w:val="24"/>
          <w:szCs w:val="24"/>
        </w:rPr>
        <w:t xml:space="preserve"> </w:t>
      </w:r>
      <w:r>
        <w:rPr>
          <w:sz w:val="24"/>
          <w:szCs w:val="24"/>
        </w:rPr>
        <w:t xml:space="preserve">Upon </w:t>
      </w:r>
      <w:r w:rsidR="00431DF4">
        <w:rPr>
          <w:sz w:val="24"/>
          <w:szCs w:val="24"/>
        </w:rPr>
        <w:t>b</w:t>
      </w:r>
      <w:r>
        <w:rPr>
          <w:sz w:val="24"/>
          <w:szCs w:val="24"/>
        </w:rPr>
        <w:t>udget submission, HUD performs validation checks to full requirements to monitor statutory and regulatory restrictions, including limits on the percentage of funding that may be used for Administration, transferred to Operations, or used to undertake Management Improvements. HUD also uses the budget information to ensure that Housing Authorities participating in the CFFP to leverage their limited Capital funds are properly allocating funds for the debt service payments</w:t>
      </w:r>
      <w:r w:rsidR="005C5E61">
        <w:rPr>
          <w:sz w:val="24"/>
          <w:szCs w:val="24"/>
        </w:rPr>
        <w:t>, and to accurately reflect Capital Funds used as part of RAD transactions</w:t>
      </w:r>
      <w:r>
        <w:rPr>
          <w:sz w:val="24"/>
          <w:szCs w:val="24"/>
        </w:rPr>
        <w:t xml:space="preserve">. </w:t>
      </w:r>
      <w:r w:rsidR="008D6A4B">
        <w:rPr>
          <w:sz w:val="24"/>
          <w:szCs w:val="24"/>
        </w:rPr>
        <w:t xml:space="preserve"> </w:t>
      </w:r>
      <w:r>
        <w:rPr>
          <w:sz w:val="24"/>
          <w:szCs w:val="24"/>
        </w:rPr>
        <w:t xml:space="preserve">For EPIC budget submissions found in compliance, HUD updates the LOCCS in accordance with the funds spread in EPIC; this enables PHAs to draw down funds without requesting manual updates or revisions from HUD Field Offices. </w:t>
      </w:r>
    </w:p>
    <w:p w:rsidR="00896D21" w:rsidP="00FC4F02" w:rsidRDefault="00896D21" w14:paraId="009238D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AF5A8C" w:rsidP="0001146D" w:rsidRDefault="00FC4F02" w14:paraId="049B68C0" w14:textId="67D368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Pr>
          <w:sz w:val="24"/>
          <w:szCs w:val="24"/>
        </w:rPr>
        <w:t xml:space="preserve">HUD </w:t>
      </w:r>
      <w:r w:rsidR="00896D21">
        <w:rPr>
          <w:sz w:val="24"/>
          <w:szCs w:val="24"/>
        </w:rPr>
        <w:t>analyzes</w:t>
      </w:r>
      <w:r>
        <w:rPr>
          <w:sz w:val="24"/>
          <w:szCs w:val="24"/>
        </w:rPr>
        <w:t xml:space="preserve"> PHA allocations of Capital Funds to report to Congress and interested stakeholders on spending patterns and to develop budgetary justifications.</w:t>
      </w:r>
      <w:r w:rsidR="00896D21">
        <w:rPr>
          <w:sz w:val="24"/>
          <w:szCs w:val="24"/>
        </w:rPr>
        <w:t xml:space="preserve"> </w:t>
      </w:r>
      <w:r w:rsidR="0024590D">
        <w:rPr>
          <w:sz w:val="24"/>
          <w:szCs w:val="24"/>
        </w:rPr>
        <w:t xml:space="preserve"> </w:t>
      </w:r>
      <w:r w:rsidR="005C5E61">
        <w:rPr>
          <w:sz w:val="24"/>
          <w:szCs w:val="24"/>
        </w:rPr>
        <w:t xml:space="preserve">The transition from paper to electronic submissions in FY18 exposed data quality </w:t>
      </w:r>
      <w:r w:rsidR="002D47AF">
        <w:rPr>
          <w:sz w:val="24"/>
          <w:szCs w:val="24"/>
        </w:rPr>
        <w:t xml:space="preserve">and reporting compliance </w:t>
      </w:r>
      <w:r w:rsidR="005C5E61">
        <w:rPr>
          <w:sz w:val="24"/>
          <w:szCs w:val="24"/>
        </w:rPr>
        <w:t>issues that had previously been more difficult to diagnose. Therefore, as the quality of the data improves, t</w:t>
      </w:r>
      <w:r w:rsidR="0001146D">
        <w:rPr>
          <w:sz w:val="24"/>
          <w:szCs w:val="24"/>
        </w:rPr>
        <w:t xml:space="preserve">he Department will gain a better understanding of the problem—both its nature and its scope—through the data collected in the EPIC data system. </w:t>
      </w:r>
      <w:r w:rsidR="00AF5A8C">
        <w:rPr>
          <w:sz w:val="24"/>
          <w:szCs w:val="24"/>
        </w:rPr>
        <w:t xml:space="preserve">The electronic collection of the data </w:t>
      </w:r>
      <w:r w:rsidR="00307B99">
        <w:rPr>
          <w:sz w:val="24"/>
          <w:szCs w:val="24"/>
        </w:rPr>
        <w:t>formerly</w:t>
      </w:r>
      <w:r w:rsidR="00AF5A8C">
        <w:rPr>
          <w:sz w:val="24"/>
          <w:szCs w:val="24"/>
        </w:rPr>
        <w:t xml:space="preserve"> collected through paper Forms </w:t>
      </w:r>
      <w:r w:rsidR="00F83085">
        <w:rPr>
          <w:sz w:val="24"/>
          <w:szCs w:val="24"/>
        </w:rPr>
        <w:t>HUD-</w:t>
      </w:r>
      <w:r w:rsidR="00AF5A8C">
        <w:rPr>
          <w:sz w:val="24"/>
          <w:szCs w:val="24"/>
        </w:rPr>
        <w:t xml:space="preserve">50075.1 and </w:t>
      </w:r>
      <w:r w:rsidR="00F83085">
        <w:rPr>
          <w:sz w:val="24"/>
          <w:szCs w:val="24"/>
        </w:rPr>
        <w:t>HUD-</w:t>
      </w:r>
      <w:r w:rsidR="00AF5A8C">
        <w:rPr>
          <w:sz w:val="24"/>
          <w:szCs w:val="24"/>
        </w:rPr>
        <w:t xml:space="preserve">50075.2 will enable the Department to follow the money from grant to capital improvement and evaluate the successes of the program. </w:t>
      </w:r>
      <w:r w:rsidR="005C5E61">
        <w:rPr>
          <w:sz w:val="24"/>
          <w:szCs w:val="24"/>
        </w:rPr>
        <w:t>This in turn, will allow to use the data to get a real-time picture of the use of funding and the progress made toward meeting the considerable capital needs of the public housing inventory.</w:t>
      </w:r>
    </w:p>
    <w:p w:rsidR="00AF5A8C" w:rsidP="0001146D" w:rsidRDefault="00AF5A8C" w14:paraId="590E3C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01146D" w:rsidP="0001146D" w:rsidRDefault="0001146D" w14:paraId="1239D32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Pr>
          <w:sz w:val="24"/>
          <w:szCs w:val="24"/>
        </w:rPr>
        <w:t>Moreover, the improved data collection around energy efficien</w:t>
      </w:r>
      <w:r w:rsidR="00241A8D">
        <w:rPr>
          <w:sz w:val="24"/>
          <w:szCs w:val="24"/>
        </w:rPr>
        <w:t>cy</w:t>
      </w:r>
      <w:r>
        <w:rPr>
          <w:sz w:val="24"/>
          <w:szCs w:val="24"/>
        </w:rPr>
        <w:t xml:space="preserve"> improvements will enable the Department to identify areas for increased savings in consumption. The EPC program enables grantees to leverage these savings into additional funding for meeting capital needs.</w:t>
      </w:r>
      <w:r w:rsidR="00AF5A8C">
        <w:rPr>
          <w:sz w:val="24"/>
          <w:szCs w:val="24"/>
        </w:rPr>
        <w:t xml:space="preserve"> The Department will be able to monitor the EPC process and document the energy savings realized through capital improvements </w:t>
      </w:r>
      <w:r w:rsidR="00241A8D">
        <w:rPr>
          <w:sz w:val="24"/>
          <w:szCs w:val="24"/>
        </w:rPr>
        <w:t>implemented using EPIC financing</w:t>
      </w:r>
      <w:r w:rsidR="00AF5A8C">
        <w:rPr>
          <w:sz w:val="24"/>
          <w:szCs w:val="24"/>
        </w:rPr>
        <w:t>.</w:t>
      </w:r>
      <w:r w:rsidR="00D95427">
        <w:rPr>
          <w:sz w:val="24"/>
          <w:szCs w:val="24"/>
        </w:rPr>
        <w:t xml:space="preserve"> </w:t>
      </w:r>
      <w:r>
        <w:rPr>
          <w:sz w:val="24"/>
          <w:szCs w:val="24"/>
        </w:rPr>
        <w:t>These data points, in conjunction with the PNA data and the energy audit data, will increase transparency in public housing and create a platform for evaluating performance and identifying efficiencies.</w:t>
      </w:r>
    </w:p>
    <w:p w:rsidR="00D95427" w:rsidP="0001146D" w:rsidRDefault="00D95427" w14:paraId="4F65684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D95427" w:rsidP="0001146D" w:rsidRDefault="00D95427" w14:paraId="005DB2E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Pr>
          <w:sz w:val="24"/>
          <w:szCs w:val="24"/>
        </w:rPr>
        <w:t xml:space="preserve">Data collected on public housing development will be used to ensure greater accuracy of present data and will be used to identify ways PHA grantees are using both </w:t>
      </w:r>
      <w:r w:rsidR="00241A8D">
        <w:rPr>
          <w:sz w:val="24"/>
          <w:szCs w:val="24"/>
        </w:rPr>
        <w:t>f</w:t>
      </w:r>
      <w:r>
        <w:rPr>
          <w:sz w:val="24"/>
          <w:szCs w:val="24"/>
        </w:rPr>
        <w:t>ederal and non-</w:t>
      </w:r>
      <w:r w:rsidR="00241A8D">
        <w:rPr>
          <w:sz w:val="24"/>
          <w:szCs w:val="24"/>
        </w:rPr>
        <w:t>f</w:t>
      </w:r>
      <w:r>
        <w:rPr>
          <w:sz w:val="24"/>
          <w:szCs w:val="24"/>
        </w:rPr>
        <w:t>ederal funding sources to meet the affordable housing needs of the American public.</w:t>
      </w:r>
    </w:p>
    <w:p w:rsidR="0001146D" w:rsidP="0001146D" w:rsidRDefault="0001146D" w14:paraId="25A5E6B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Pr="00607CCE" w:rsidR="0001146D" w:rsidP="0001146D" w:rsidRDefault="0001146D" w14:paraId="6891ED26" w14:textId="77777777">
      <w:pPr>
        <w:pStyle w:val="Heading1"/>
        <w:tabs>
          <w:tab w:val="left" w:pos="480"/>
        </w:tabs>
        <w:ind w:left="480" w:hanging="480"/>
        <w:jc w:val="left"/>
        <w:rPr>
          <w:szCs w:val="24"/>
          <w:u w:val="none"/>
        </w:rPr>
      </w:pPr>
      <w:r w:rsidRPr="005F1A11">
        <w:rPr>
          <w:szCs w:val="24"/>
          <w:u w:val="none"/>
        </w:rPr>
        <w:lastRenderedPageBreak/>
        <w:t>3.</w:t>
      </w:r>
      <w:r w:rsidRPr="005F1A11">
        <w:rPr>
          <w:szCs w:val="24"/>
          <w:u w:val="none"/>
        </w:rPr>
        <w:tab/>
        <w:t>Describe whether, and to what extent, the collection of information is automated?</w:t>
      </w:r>
    </w:p>
    <w:p w:rsidR="0001146D" w:rsidP="0001146D" w:rsidRDefault="0001146D" w14:paraId="4143C92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p>
    <w:p w:rsidR="001974C5" w:rsidP="0001146D" w:rsidRDefault="001974C5" w14:paraId="608800A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Pr>
          <w:sz w:val="24"/>
          <w:szCs w:val="24"/>
        </w:rPr>
        <w:t xml:space="preserve">Prior to the implementation of the EPIC system, PHAs used a paper process to submit Five-Year Action Plans and </w:t>
      </w:r>
      <w:r w:rsidR="00802886">
        <w:rPr>
          <w:sz w:val="24"/>
          <w:szCs w:val="24"/>
        </w:rPr>
        <w:t>Annual Statement/</w:t>
      </w:r>
      <w:r>
        <w:rPr>
          <w:sz w:val="24"/>
          <w:szCs w:val="24"/>
        </w:rPr>
        <w:t>Budgets</w:t>
      </w:r>
      <w:r w:rsidR="00802886">
        <w:rPr>
          <w:sz w:val="24"/>
          <w:szCs w:val="24"/>
        </w:rPr>
        <w:t>/P&amp;Es</w:t>
      </w:r>
      <w:r>
        <w:rPr>
          <w:sz w:val="24"/>
          <w:szCs w:val="24"/>
        </w:rPr>
        <w:t>. (This information was previously collected in hard copy on Forms HUD-50075.1 and HUD-50075.2 under collection OMB control number 2577-0157.) The EPIC system provides for electronic submission and automates may aspects of this process.</w:t>
      </w:r>
    </w:p>
    <w:p w:rsidR="001974C5" w:rsidP="0001146D" w:rsidRDefault="001974C5" w14:paraId="5C8D142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8E439E" w:rsidP="0001146D" w:rsidRDefault="008E439E" w14:paraId="2B4BED92" w14:textId="2B551E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Pr>
          <w:sz w:val="24"/>
          <w:szCs w:val="24"/>
        </w:rPr>
        <w:t xml:space="preserve">The transition from a paper submission to an electronic submission of the </w:t>
      </w:r>
      <w:r w:rsidR="000D749E">
        <w:rPr>
          <w:sz w:val="24"/>
          <w:szCs w:val="24"/>
        </w:rPr>
        <w:t>F</w:t>
      </w:r>
      <w:r>
        <w:rPr>
          <w:sz w:val="24"/>
          <w:szCs w:val="24"/>
        </w:rPr>
        <w:t>ive-</w:t>
      </w:r>
      <w:r w:rsidR="000D749E">
        <w:rPr>
          <w:sz w:val="24"/>
          <w:szCs w:val="24"/>
        </w:rPr>
        <w:t>Y</w:t>
      </w:r>
      <w:r>
        <w:rPr>
          <w:sz w:val="24"/>
          <w:szCs w:val="24"/>
        </w:rPr>
        <w:t xml:space="preserve">ear </w:t>
      </w:r>
      <w:r w:rsidR="000D749E">
        <w:rPr>
          <w:sz w:val="24"/>
          <w:szCs w:val="24"/>
        </w:rPr>
        <w:t>Action P</w:t>
      </w:r>
      <w:r>
        <w:rPr>
          <w:sz w:val="24"/>
          <w:szCs w:val="24"/>
        </w:rPr>
        <w:t xml:space="preserve">lan and </w:t>
      </w:r>
      <w:r w:rsidR="000D749E">
        <w:rPr>
          <w:sz w:val="24"/>
          <w:szCs w:val="24"/>
        </w:rPr>
        <w:t>A</w:t>
      </w:r>
      <w:r>
        <w:rPr>
          <w:sz w:val="24"/>
          <w:szCs w:val="24"/>
        </w:rPr>
        <w:t xml:space="preserve">nnual </w:t>
      </w:r>
      <w:r w:rsidR="000D749E">
        <w:rPr>
          <w:sz w:val="24"/>
          <w:szCs w:val="24"/>
        </w:rPr>
        <w:t>S</w:t>
      </w:r>
      <w:r>
        <w:rPr>
          <w:sz w:val="24"/>
          <w:szCs w:val="24"/>
        </w:rPr>
        <w:t>tatement</w:t>
      </w:r>
      <w:r w:rsidR="001974C5">
        <w:rPr>
          <w:sz w:val="24"/>
          <w:szCs w:val="24"/>
        </w:rPr>
        <w:t>/</w:t>
      </w:r>
      <w:r w:rsidR="000D749E">
        <w:rPr>
          <w:sz w:val="24"/>
          <w:szCs w:val="24"/>
        </w:rPr>
        <w:t>B</w:t>
      </w:r>
      <w:r w:rsidR="001974C5">
        <w:rPr>
          <w:sz w:val="24"/>
          <w:szCs w:val="24"/>
        </w:rPr>
        <w:t>udget</w:t>
      </w:r>
      <w:r>
        <w:rPr>
          <w:sz w:val="24"/>
          <w:szCs w:val="24"/>
        </w:rPr>
        <w:t xml:space="preserve"> forms in the EPIC data system began in FY17 based on the grantee fiscal year end. </w:t>
      </w:r>
      <w:r w:rsidR="0024590D">
        <w:rPr>
          <w:sz w:val="24"/>
          <w:szCs w:val="24"/>
        </w:rPr>
        <w:t xml:space="preserve"> </w:t>
      </w:r>
      <w:r w:rsidR="001974C5">
        <w:rPr>
          <w:sz w:val="24"/>
          <w:szCs w:val="24"/>
        </w:rPr>
        <w:t xml:space="preserve">For FY17, </w:t>
      </w:r>
      <w:r>
        <w:rPr>
          <w:sz w:val="24"/>
          <w:szCs w:val="24"/>
        </w:rPr>
        <w:t xml:space="preserve">PHAs with 3/31 fiscal years ends and 6/30 fiscal year ends were required to transition to electronic submissions in EPIC.  For FY18, all </w:t>
      </w:r>
      <w:r w:rsidR="000D749E">
        <w:rPr>
          <w:sz w:val="24"/>
          <w:szCs w:val="24"/>
        </w:rPr>
        <w:t>PHAs</w:t>
      </w:r>
      <w:r>
        <w:rPr>
          <w:sz w:val="24"/>
          <w:szCs w:val="24"/>
        </w:rPr>
        <w:t xml:space="preserve"> will be required to transition to electronic submission of the </w:t>
      </w:r>
      <w:r w:rsidR="000D749E">
        <w:rPr>
          <w:sz w:val="24"/>
          <w:szCs w:val="24"/>
        </w:rPr>
        <w:t xml:space="preserve">Five-Year Action Plan and Annual Statement/Budget </w:t>
      </w:r>
      <w:r w:rsidR="001974C5">
        <w:rPr>
          <w:sz w:val="24"/>
          <w:szCs w:val="24"/>
        </w:rPr>
        <w:t>in EPIC</w:t>
      </w:r>
      <w:r>
        <w:rPr>
          <w:sz w:val="24"/>
          <w:szCs w:val="24"/>
        </w:rPr>
        <w:t xml:space="preserve">.  </w:t>
      </w:r>
      <w:r w:rsidR="001974C5">
        <w:rPr>
          <w:sz w:val="24"/>
          <w:szCs w:val="24"/>
        </w:rPr>
        <w:t>PHAs may also submit P&amp;E Reports in EPIC</w:t>
      </w:r>
      <w:r>
        <w:rPr>
          <w:sz w:val="24"/>
          <w:szCs w:val="24"/>
        </w:rPr>
        <w:t xml:space="preserve">.  </w:t>
      </w:r>
    </w:p>
    <w:p w:rsidR="00574167" w:rsidP="0001146D" w:rsidRDefault="00574167" w14:paraId="1AE5D11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8E439E" w:rsidP="0001146D" w:rsidRDefault="00574167" w14:paraId="7D93D53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Pr>
          <w:sz w:val="24"/>
          <w:szCs w:val="24"/>
        </w:rPr>
        <w:t xml:space="preserve">Electronic submission in EPIC automates many steps in the planning and approval process. </w:t>
      </w:r>
      <w:r w:rsidR="007924DE">
        <w:rPr>
          <w:sz w:val="24"/>
          <w:szCs w:val="24"/>
        </w:rPr>
        <w:t xml:space="preserve">When completing these submissions in EPIC, many items pre-populate based on existing HUD system data. </w:t>
      </w:r>
      <w:r>
        <w:rPr>
          <w:sz w:val="24"/>
          <w:szCs w:val="24"/>
        </w:rPr>
        <w:t xml:space="preserve">PHAs with an approved Five-Year Action Plan in EPIC can easily create their plan for the next reporting period by “copying forward” their current plan and making updates. Once HUD has approved a work item in the Five-Year Action Plan, it automatically retains its approved status, even if the PHA moves the item into a new plan or year. And, </w:t>
      </w:r>
      <w:r w:rsidR="007924DE">
        <w:rPr>
          <w:sz w:val="24"/>
          <w:szCs w:val="24"/>
        </w:rPr>
        <w:t xml:space="preserve">of particular significance, the system automates the budget revision process. Whereas HUD staff previously reviewed and approved budgets and then manually moved funds in LOCCS, HUD has automated the process of reviewing budgets and changing LOCCS accordingly. </w:t>
      </w:r>
    </w:p>
    <w:p w:rsidR="007924DE" w:rsidP="0001146D" w:rsidRDefault="007924DE" w14:paraId="2B66B79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p>
    <w:p w:rsidR="00B92C76" w:rsidP="0001146D" w:rsidRDefault="00B92C76" w14:paraId="1E9D8F7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r>
        <w:rPr>
          <w:color w:val="000000"/>
          <w:sz w:val="24"/>
          <w:szCs w:val="24"/>
        </w:rPr>
        <w:t xml:space="preserve">The Document Management Center automates and centralizes a previously paper-based process that required PHAs to submit documents for Award management and close-out. </w:t>
      </w:r>
    </w:p>
    <w:p w:rsidR="00B92C76" w:rsidP="0001146D" w:rsidRDefault="00B92C76" w14:paraId="1D96AFB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p>
    <w:p w:rsidR="0001146D" w:rsidP="0001146D" w:rsidRDefault="002F2F09" w14:paraId="38E0ACC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2F2F09">
        <w:rPr>
          <w:color w:val="000000"/>
          <w:sz w:val="24"/>
          <w:szCs w:val="24"/>
        </w:rPr>
        <w:t>HUD</w:t>
      </w:r>
      <w:r w:rsidR="007924DE">
        <w:rPr>
          <w:color w:val="000000"/>
          <w:sz w:val="24"/>
          <w:szCs w:val="24"/>
        </w:rPr>
        <w:t>’s</w:t>
      </w:r>
      <w:r w:rsidRPr="002F2F09">
        <w:rPr>
          <w:color w:val="000000"/>
          <w:sz w:val="24"/>
          <w:szCs w:val="24"/>
        </w:rPr>
        <w:t xml:space="preserve"> </w:t>
      </w:r>
      <w:r w:rsidR="00D95427">
        <w:rPr>
          <w:color w:val="000000"/>
          <w:sz w:val="24"/>
          <w:szCs w:val="24"/>
        </w:rPr>
        <w:t>electroni</w:t>
      </w:r>
      <w:r w:rsidR="007924DE">
        <w:rPr>
          <w:color w:val="000000"/>
          <w:sz w:val="24"/>
          <w:szCs w:val="24"/>
        </w:rPr>
        <w:t>c</w:t>
      </w:r>
      <w:r w:rsidR="00D95427">
        <w:rPr>
          <w:color w:val="000000"/>
          <w:sz w:val="24"/>
          <w:szCs w:val="24"/>
        </w:rPr>
        <w:t xml:space="preserve"> collect</w:t>
      </w:r>
      <w:r w:rsidR="007924DE">
        <w:rPr>
          <w:color w:val="000000"/>
          <w:sz w:val="24"/>
          <w:szCs w:val="24"/>
        </w:rPr>
        <w:t>ion of</w:t>
      </w:r>
      <w:r w:rsidR="00D95427">
        <w:rPr>
          <w:color w:val="000000"/>
          <w:sz w:val="24"/>
          <w:szCs w:val="24"/>
        </w:rPr>
        <w:t xml:space="preserve"> EE</w:t>
      </w:r>
      <w:r w:rsidRPr="002F2F09">
        <w:rPr>
          <w:color w:val="000000"/>
          <w:sz w:val="24"/>
          <w:szCs w:val="24"/>
        </w:rPr>
        <w:t xml:space="preserve">M information </w:t>
      </w:r>
      <w:r w:rsidR="007924DE">
        <w:rPr>
          <w:color w:val="000000"/>
          <w:sz w:val="24"/>
          <w:szCs w:val="24"/>
        </w:rPr>
        <w:t>is also</w:t>
      </w:r>
      <w:r w:rsidRPr="002F2F09">
        <w:rPr>
          <w:color w:val="000000"/>
          <w:sz w:val="24"/>
          <w:szCs w:val="24"/>
        </w:rPr>
        <w:t xml:space="preserve"> pre-populated with data to the greatest extent possible</w:t>
      </w:r>
      <w:r>
        <w:rPr>
          <w:sz w:val="24"/>
          <w:szCs w:val="24"/>
        </w:rPr>
        <w:t xml:space="preserve"> to minimize data entry. </w:t>
      </w:r>
      <w:r w:rsidRPr="002F2F09">
        <w:rPr>
          <w:sz w:val="24"/>
          <w:szCs w:val="24"/>
        </w:rPr>
        <w:t xml:space="preserve">Once the initial </w:t>
      </w:r>
      <w:r w:rsidR="007924DE">
        <w:rPr>
          <w:sz w:val="24"/>
          <w:szCs w:val="24"/>
        </w:rPr>
        <w:t>report</w:t>
      </w:r>
      <w:r w:rsidRPr="002F2F09" w:rsidR="007924DE">
        <w:rPr>
          <w:sz w:val="24"/>
          <w:szCs w:val="24"/>
        </w:rPr>
        <w:t xml:space="preserve"> </w:t>
      </w:r>
      <w:r w:rsidRPr="002F2F09">
        <w:rPr>
          <w:sz w:val="24"/>
          <w:szCs w:val="24"/>
        </w:rPr>
        <w:t>is created</w:t>
      </w:r>
      <w:r w:rsidR="007924DE">
        <w:rPr>
          <w:sz w:val="24"/>
          <w:szCs w:val="24"/>
        </w:rPr>
        <w:t xml:space="preserve"> for a grant award</w:t>
      </w:r>
      <w:r w:rsidRPr="002F2F09">
        <w:rPr>
          <w:sz w:val="24"/>
          <w:szCs w:val="24"/>
        </w:rPr>
        <w:t>, r</w:t>
      </w:r>
      <w:r>
        <w:rPr>
          <w:sz w:val="24"/>
          <w:szCs w:val="24"/>
        </w:rPr>
        <w:t xml:space="preserve">ecipients </w:t>
      </w:r>
      <w:r w:rsidR="007924DE">
        <w:rPr>
          <w:sz w:val="24"/>
          <w:szCs w:val="24"/>
        </w:rPr>
        <w:t>also</w:t>
      </w:r>
      <w:r>
        <w:rPr>
          <w:sz w:val="24"/>
          <w:szCs w:val="24"/>
        </w:rPr>
        <w:t xml:space="preserve"> copy</w:t>
      </w:r>
      <w:r w:rsidRPr="002F2F09">
        <w:rPr>
          <w:sz w:val="24"/>
          <w:szCs w:val="24"/>
        </w:rPr>
        <w:t xml:space="preserve"> the file </w:t>
      </w:r>
      <w:r>
        <w:rPr>
          <w:sz w:val="24"/>
          <w:szCs w:val="24"/>
        </w:rPr>
        <w:t xml:space="preserve">forward for editing </w:t>
      </w:r>
      <w:r w:rsidR="007924DE">
        <w:rPr>
          <w:sz w:val="24"/>
          <w:szCs w:val="24"/>
        </w:rPr>
        <w:t>in</w:t>
      </w:r>
      <w:r>
        <w:rPr>
          <w:sz w:val="24"/>
          <w:szCs w:val="24"/>
        </w:rPr>
        <w:t xml:space="preserve"> the </w:t>
      </w:r>
      <w:r w:rsidR="007924DE">
        <w:rPr>
          <w:sz w:val="24"/>
          <w:szCs w:val="24"/>
        </w:rPr>
        <w:t>next year</w:t>
      </w:r>
      <w:r>
        <w:rPr>
          <w:sz w:val="24"/>
          <w:szCs w:val="24"/>
        </w:rPr>
        <w:t xml:space="preserve">. </w:t>
      </w:r>
    </w:p>
    <w:p w:rsidR="00D95427" w:rsidP="0001146D" w:rsidRDefault="00D95427" w14:paraId="1E50C38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D95427" w:rsidP="0001146D" w:rsidRDefault="00AC15FD" w14:paraId="1B68FFB6" w14:textId="2CE2A3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Pr>
          <w:sz w:val="24"/>
          <w:szCs w:val="24"/>
        </w:rPr>
        <w:t xml:space="preserve">The EPC and Public Housing Development modules </w:t>
      </w:r>
      <w:r w:rsidR="008E7B1E">
        <w:rPr>
          <w:sz w:val="24"/>
          <w:szCs w:val="24"/>
        </w:rPr>
        <w:t xml:space="preserve">will </w:t>
      </w:r>
      <w:r>
        <w:rPr>
          <w:sz w:val="24"/>
          <w:szCs w:val="24"/>
        </w:rPr>
        <w:t xml:space="preserve">also automate and streamline existing paper-based processes. </w:t>
      </w:r>
      <w:r w:rsidR="00D95427">
        <w:rPr>
          <w:sz w:val="24"/>
          <w:szCs w:val="24"/>
        </w:rPr>
        <w:t xml:space="preserve">For example, PHAs wishing to engage in an EPC will be able to submit many of the required documents electronically. </w:t>
      </w:r>
      <w:r w:rsidR="0034298A">
        <w:rPr>
          <w:sz w:val="24"/>
          <w:szCs w:val="24"/>
        </w:rPr>
        <w:t xml:space="preserve"> </w:t>
      </w:r>
      <w:r w:rsidR="00D95427">
        <w:rPr>
          <w:sz w:val="24"/>
          <w:szCs w:val="24"/>
        </w:rPr>
        <w:t>Much of the rest of the process will be automated through the EPIC data system as well.</w:t>
      </w:r>
      <w:r w:rsidR="0034298A">
        <w:rPr>
          <w:sz w:val="24"/>
          <w:szCs w:val="24"/>
        </w:rPr>
        <w:t xml:space="preserve"> </w:t>
      </w:r>
      <w:r w:rsidR="00D95427">
        <w:rPr>
          <w:sz w:val="24"/>
          <w:szCs w:val="24"/>
        </w:rPr>
        <w:t xml:space="preserve"> Information on public housing development is collected piecemeal at the field office level in hard copy; the EPIC data system will automate and centralize this data collection. </w:t>
      </w:r>
    </w:p>
    <w:p w:rsidR="002F2F09" w:rsidP="002F2F09" w:rsidRDefault="002F2F09" w14:paraId="2626A66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Pr="002F2F09" w:rsidR="002F2F09" w:rsidP="00C83549" w:rsidRDefault="002F2F09" w14:paraId="0731E7E6" w14:textId="0DB32900">
      <w:pPr>
        <w:pStyle w:val="BodyTextIndent"/>
        <w:keepNext/>
        <w:spacing w:after="0"/>
        <w:ind w:left="480" w:hanging="480"/>
        <w:rPr>
          <w:b/>
          <w:bCs/>
          <w:sz w:val="24"/>
          <w:szCs w:val="24"/>
        </w:rPr>
      </w:pPr>
      <w:r w:rsidRPr="002F2F09">
        <w:rPr>
          <w:b/>
          <w:bCs/>
          <w:sz w:val="24"/>
          <w:szCs w:val="24"/>
        </w:rPr>
        <w:t>4.</w:t>
      </w:r>
      <w:r w:rsidRPr="002F2F09">
        <w:rPr>
          <w:b/>
          <w:bCs/>
          <w:sz w:val="24"/>
          <w:szCs w:val="24"/>
        </w:rPr>
        <w:tab/>
        <w:t xml:space="preserve">Duplication of Information </w:t>
      </w:r>
    </w:p>
    <w:p w:rsidRPr="002F2F09" w:rsidR="002F2F09" w:rsidP="002F2F09" w:rsidRDefault="002F2F09" w14:paraId="209A1522" w14:textId="77777777">
      <w:pPr>
        <w:pStyle w:val="BodyTextIndent"/>
        <w:tabs>
          <w:tab w:val="left" w:pos="-450"/>
        </w:tabs>
        <w:spacing w:after="0"/>
        <w:ind w:left="0"/>
        <w:rPr>
          <w:sz w:val="24"/>
          <w:szCs w:val="24"/>
        </w:rPr>
      </w:pPr>
      <w:r w:rsidRPr="002F2F09">
        <w:rPr>
          <w:sz w:val="24"/>
          <w:szCs w:val="24"/>
        </w:rPr>
        <w:t>This information is not being collected elsewhere.</w:t>
      </w:r>
      <w:r>
        <w:rPr>
          <w:sz w:val="24"/>
          <w:szCs w:val="24"/>
        </w:rPr>
        <w:t xml:space="preserve"> Some of the information to be collected through the EPIC data system is collected through paper submissions presently, but the EPIC data system’s electronic collection will completely replace the paper process.</w:t>
      </w:r>
    </w:p>
    <w:p w:rsidRPr="002F2F09" w:rsidR="002F2F09" w:rsidP="002F2F09" w:rsidRDefault="002F2F09" w14:paraId="52298421" w14:textId="77777777">
      <w:pPr>
        <w:pStyle w:val="BodyTextIndent"/>
        <w:spacing w:after="0"/>
        <w:ind w:left="0"/>
        <w:rPr>
          <w:sz w:val="24"/>
          <w:szCs w:val="24"/>
        </w:rPr>
      </w:pPr>
    </w:p>
    <w:p w:rsidRPr="0034298A" w:rsidR="002F2F09" w:rsidP="00FC2BDD" w:rsidRDefault="002F2F09" w14:paraId="3B6A2753" w14:textId="2D388E96">
      <w:pPr>
        <w:pStyle w:val="BodyTextIndent"/>
        <w:keepNext/>
        <w:numPr>
          <w:ilvl w:val="0"/>
          <w:numId w:val="11"/>
        </w:numPr>
        <w:tabs>
          <w:tab w:val="clear" w:pos="360"/>
          <w:tab w:val="left" w:pos="-450"/>
          <w:tab w:val="num" w:pos="450"/>
        </w:tabs>
        <w:spacing w:after="0"/>
        <w:ind w:left="480" w:hanging="480"/>
        <w:rPr>
          <w:sz w:val="24"/>
          <w:szCs w:val="24"/>
        </w:rPr>
      </w:pPr>
      <w:r w:rsidRPr="002F2F09">
        <w:rPr>
          <w:b/>
          <w:bCs/>
          <w:sz w:val="24"/>
          <w:szCs w:val="24"/>
        </w:rPr>
        <w:t xml:space="preserve">Does the collection of information impact small businesses or other small entities? </w:t>
      </w:r>
    </w:p>
    <w:p w:rsidRPr="002F2F09" w:rsidR="002F2F09" w:rsidP="002F2F09" w:rsidRDefault="002F2F09" w14:paraId="72736ACC" w14:textId="77777777">
      <w:pPr>
        <w:pStyle w:val="BodyTextIndent"/>
        <w:keepNext/>
        <w:spacing w:after="0"/>
        <w:ind w:left="0"/>
        <w:rPr>
          <w:sz w:val="24"/>
          <w:szCs w:val="24"/>
        </w:rPr>
      </w:pPr>
      <w:r w:rsidRPr="002F2F09">
        <w:rPr>
          <w:sz w:val="24"/>
          <w:szCs w:val="24"/>
        </w:rPr>
        <w:t xml:space="preserve">Many of the recipients of PIH funds subject to this data collection </w:t>
      </w:r>
      <w:r w:rsidR="00AC15FD">
        <w:rPr>
          <w:sz w:val="24"/>
          <w:szCs w:val="24"/>
        </w:rPr>
        <w:t>are small PHAs</w:t>
      </w:r>
      <w:r w:rsidRPr="002F2F09">
        <w:rPr>
          <w:sz w:val="24"/>
          <w:szCs w:val="24"/>
        </w:rPr>
        <w:t xml:space="preserve">. The impact is expected to be minimal.  </w:t>
      </w:r>
    </w:p>
    <w:p w:rsidRPr="002F2F09" w:rsidR="002F2F09" w:rsidP="002F2F09" w:rsidRDefault="002F2F09" w14:paraId="50D51788" w14:textId="77777777">
      <w:pPr>
        <w:ind w:left="480" w:hanging="480"/>
        <w:rPr>
          <w:sz w:val="24"/>
          <w:szCs w:val="24"/>
        </w:rPr>
      </w:pPr>
    </w:p>
    <w:p w:rsidRPr="00FC2BDD" w:rsidR="002F2F09" w:rsidP="00FC2BDD" w:rsidRDefault="002F2F09" w14:paraId="5AAA18BA" w14:textId="6DC2E310">
      <w:pPr>
        <w:pStyle w:val="BodyTextIndent"/>
        <w:keepNext/>
        <w:numPr>
          <w:ilvl w:val="0"/>
          <w:numId w:val="11"/>
        </w:numPr>
        <w:spacing w:after="0"/>
        <w:rPr>
          <w:sz w:val="24"/>
          <w:szCs w:val="24"/>
        </w:rPr>
      </w:pPr>
      <w:r w:rsidRPr="002F2F09">
        <w:rPr>
          <w:b/>
          <w:bCs/>
          <w:sz w:val="24"/>
          <w:szCs w:val="24"/>
        </w:rPr>
        <w:t xml:space="preserve">Describe the consequences to Federal program or policy activities if the collection is not conducted or is conducted less frequently. </w:t>
      </w:r>
    </w:p>
    <w:p w:rsidR="00467B1B" w:rsidP="002F2F09" w:rsidRDefault="00467B1B" w14:paraId="4A836DAA" w14:textId="2235B3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Pr>
          <w:sz w:val="24"/>
          <w:szCs w:val="24"/>
        </w:rPr>
        <w:t>The regulations at 24 CFR 9</w:t>
      </w:r>
      <w:r w:rsidR="00041462">
        <w:rPr>
          <w:sz w:val="24"/>
          <w:szCs w:val="24"/>
        </w:rPr>
        <w:t>05</w:t>
      </w:r>
      <w:r>
        <w:rPr>
          <w:sz w:val="24"/>
          <w:szCs w:val="24"/>
        </w:rPr>
        <w:t xml:space="preserve">.300 specify the frequency and timeline of submission of CFP Five-Year Action </w:t>
      </w:r>
      <w:r w:rsidR="008E7B1E">
        <w:rPr>
          <w:sz w:val="24"/>
          <w:szCs w:val="24"/>
        </w:rPr>
        <w:t>Plans, Annual</w:t>
      </w:r>
      <w:r>
        <w:rPr>
          <w:sz w:val="24"/>
          <w:szCs w:val="24"/>
        </w:rPr>
        <w:t xml:space="preserve"> Statements/Budgets</w:t>
      </w:r>
      <w:r w:rsidR="008E7B1E">
        <w:rPr>
          <w:sz w:val="24"/>
          <w:szCs w:val="24"/>
        </w:rPr>
        <w:t>, P&amp;E Reports, and the submission of documentation to HUD to receive funding</w:t>
      </w:r>
      <w:r>
        <w:rPr>
          <w:sz w:val="24"/>
          <w:szCs w:val="24"/>
        </w:rPr>
        <w:t>.</w:t>
      </w:r>
      <w:r w:rsidR="00C06735">
        <w:rPr>
          <w:sz w:val="24"/>
          <w:szCs w:val="24"/>
        </w:rPr>
        <w:t xml:space="preserve">  </w:t>
      </w:r>
    </w:p>
    <w:p w:rsidR="00467B1B" w:rsidP="002F2F09" w:rsidRDefault="00467B1B" w14:paraId="2F12E14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B92C76" w:rsidP="002F2F09" w:rsidRDefault="00C4476F" w14:paraId="02596EC9" w14:textId="52AB1C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Pr>
          <w:sz w:val="24"/>
          <w:szCs w:val="24"/>
        </w:rPr>
        <w:t>If HUD’s review of Five</w:t>
      </w:r>
      <w:r w:rsidR="00345286">
        <w:rPr>
          <w:sz w:val="24"/>
          <w:szCs w:val="24"/>
        </w:rPr>
        <w:t>-</w:t>
      </w:r>
      <w:r>
        <w:rPr>
          <w:sz w:val="24"/>
          <w:szCs w:val="24"/>
        </w:rPr>
        <w:t>Year Action Plans were reduced or eliminated, PHAs would be at risk of having funds recaptured due to spending on ineligible purposes</w:t>
      </w:r>
      <w:r w:rsidR="009026EF">
        <w:rPr>
          <w:sz w:val="24"/>
          <w:szCs w:val="24"/>
        </w:rPr>
        <w:t xml:space="preserve"> and failure to comply with environmental review </w:t>
      </w:r>
      <w:r w:rsidR="009026EF">
        <w:rPr>
          <w:sz w:val="24"/>
          <w:szCs w:val="24"/>
        </w:rPr>
        <w:lastRenderedPageBreak/>
        <w:t>requirements</w:t>
      </w:r>
      <w:r>
        <w:rPr>
          <w:sz w:val="24"/>
          <w:szCs w:val="24"/>
        </w:rPr>
        <w:t xml:space="preserve">. </w:t>
      </w:r>
      <w:r w:rsidR="00C83549">
        <w:rPr>
          <w:sz w:val="24"/>
          <w:szCs w:val="24"/>
        </w:rPr>
        <w:t xml:space="preserve"> </w:t>
      </w:r>
      <w:r>
        <w:rPr>
          <w:sz w:val="24"/>
          <w:szCs w:val="24"/>
        </w:rPr>
        <w:t>If HUD eliminated compliance checks of budgets for compliance with statutory and regulatory spending limitations, PHAs and HUD would also face risk of audit findings and PHAs would see funds recaptured.</w:t>
      </w:r>
      <w:r w:rsidR="008E7B1E">
        <w:rPr>
          <w:sz w:val="24"/>
          <w:szCs w:val="24"/>
        </w:rPr>
        <w:t xml:space="preserve"> </w:t>
      </w:r>
    </w:p>
    <w:p w:rsidR="00B92C76" w:rsidP="002F2F09" w:rsidRDefault="00B92C76" w14:paraId="3BFBD08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C4476F" w:rsidP="002F2F09" w:rsidRDefault="008E7B1E" w14:paraId="467B13F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Pr>
          <w:sz w:val="24"/>
          <w:szCs w:val="24"/>
        </w:rPr>
        <w:t>If HUD were unable to receive required documentation to receive funding</w:t>
      </w:r>
      <w:r w:rsidR="00B92C76">
        <w:rPr>
          <w:sz w:val="24"/>
          <w:szCs w:val="24"/>
        </w:rPr>
        <w:t xml:space="preserve"> in the Document Management Center, </w:t>
      </w:r>
      <w:r>
        <w:rPr>
          <w:sz w:val="24"/>
          <w:szCs w:val="24"/>
        </w:rPr>
        <w:t xml:space="preserve">HUD could not </w:t>
      </w:r>
      <w:r w:rsidR="00B92C76">
        <w:rPr>
          <w:sz w:val="24"/>
          <w:szCs w:val="24"/>
        </w:rPr>
        <w:t xml:space="preserve">maintain proper financial controls and could not, for example, </w:t>
      </w:r>
      <w:r>
        <w:rPr>
          <w:sz w:val="24"/>
          <w:szCs w:val="24"/>
        </w:rPr>
        <w:t xml:space="preserve">contract the funds </w:t>
      </w:r>
      <w:r w:rsidR="00C06735">
        <w:rPr>
          <w:sz w:val="24"/>
          <w:szCs w:val="24"/>
        </w:rPr>
        <w:t>in LOCCS.</w:t>
      </w:r>
    </w:p>
    <w:p w:rsidR="00C4476F" w:rsidP="002F2F09" w:rsidRDefault="00C4476F" w14:paraId="7ABA14E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C4476F" w:rsidP="002F2F09" w:rsidRDefault="00C4476F" w14:paraId="4FC05C1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Pr>
          <w:sz w:val="24"/>
          <w:szCs w:val="24"/>
        </w:rPr>
        <w:t xml:space="preserve">Misuse or inefficient use of federal funds would </w:t>
      </w:r>
      <w:r w:rsidR="00E15251">
        <w:rPr>
          <w:sz w:val="24"/>
          <w:szCs w:val="24"/>
        </w:rPr>
        <w:t xml:space="preserve">also </w:t>
      </w:r>
      <w:r>
        <w:rPr>
          <w:sz w:val="24"/>
          <w:szCs w:val="24"/>
        </w:rPr>
        <w:t>deny these funds to their intended purpose and erode the public’s trust.</w:t>
      </w:r>
    </w:p>
    <w:p w:rsidR="00C4476F" w:rsidP="002F2F09" w:rsidRDefault="00C4476F" w14:paraId="2199187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2F2F09" w:rsidP="002F2F09" w:rsidRDefault="00E15251" w14:paraId="094BBB9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Pr>
          <w:sz w:val="24"/>
          <w:szCs w:val="24"/>
        </w:rPr>
        <w:t xml:space="preserve">Without the information from Five-Year Plans, Budgets, and reporting on Energy Efficiency Measures, HUD would be limited in its ability to assess the use of capital funds, the needs of the inventory, and </w:t>
      </w:r>
      <w:r w:rsidR="002F2F09">
        <w:rPr>
          <w:sz w:val="24"/>
          <w:szCs w:val="24"/>
        </w:rPr>
        <w:t>performance or progress toward reduced energy costs made by PHAs.</w:t>
      </w:r>
      <w:r w:rsidR="001B29B3">
        <w:rPr>
          <w:sz w:val="24"/>
          <w:szCs w:val="24"/>
        </w:rPr>
        <w:t xml:space="preserve">  </w:t>
      </w:r>
      <w:r>
        <w:rPr>
          <w:sz w:val="24"/>
          <w:szCs w:val="24"/>
        </w:rPr>
        <w:t>However, t</w:t>
      </w:r>
      <w:r w:rsidR="002F2F09">
        <w:rPr>
          <w:sz w:val="24"/>
          <w:szCs w:val="24"/>
        </w:rPr>
        <w:t xml:space="preserve">he Department </w:t>
      </w:r>
      <w:r>
        <w:rPr>
          <w:sz w:val="24"/>
          <w:szCs w:val="24"/>
        </w:rPr>
        <w:t xml:space="preserve">has </w:t>
      </w:r>
      <w:r w:rsidR="008608F4">
        <w:rPr>
          <w:sz w:val="24"/>
          <w:szCs w:val="24"/>
        </w:rPr>
        <w:t xml:space="preserve">reduced the </w:t>
      </w:r>
      <w:r w:rsidR="001B29B3">
        <w:rPr>
          <w:sz w:val="24"/>
          <w:szCs w:val="24"/>
        </w:rPr>
        <w:t>frequency of reporting on EEMs from quarterly to annually in the previous revision to this information collection</w:t>
      </w:r>
      <w:r>
        <w:rPr>
          <w:sz w:val="24"/>
          <w:szCs w:val="24"/>
        </w:rPr>
        <w:t xml:space="preserve"> </w:t>
      </w:r>
      <w:r w:rsidR="000D749E">
        <w:rPr>
          <w:sz w:val="24"/>
          <w:szCs w:val="24"/>
        </w:rPr>
        <w:t>to</w:t>
      </w:r>
      <w:r>
        <w:rPr>
          <w:sz w:val="24"/>
          <w:szCs w:val="24"/>
        </w:rPr>
        <w:t xml:space="preserve"> provide relief to PHAs</w:t>
      </w:r>
      <w:r w:rsidR="001B29B3">
        <w:rPr>
          <w:sz w:val="24"/>
          <w:szCs w:val="24"/>
        </w:rPr>
        <w:t xml:space="preserve">.  </w:t>
      </w:r>
    </w:p>
    <w:p w:rsidR="000E7886" w:rsidP="002F2F09" w:rsidRDefault="000E7886" w14:paraId="3967373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D95427" w:rsidP="002F2F09" w:rsidRDefault="00D95427" w14:paraId="47BEF447" w14:textId="0132A0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Pr>
          <w:sz w:val="24"/>
          <w:szCs w:val="24"/>
        </w:rPr>
        <w:t>Finally, much of the information to be collected in the EPIC data system will enable grantees to realize benefits. For example, the EPC process</w:t>
      </w:r>
      <w:r w:rsidR="008E2322">
        <w:rPr>
          <w:sz w:val="24"/>
          <w:szCs w:val="24"/>
        </w:rPr>
        <w:t xml:space="preserve">, the </w:t>
      </w:r>
      <w:r w:rsidR="00C06735">
        <w:rPr>
          <w:sz w:val="24"/>
          <w:szCs w:val="24"/>
        </w:rPr>
        <w:t>request for additional capital resources</w:t>
      </w:r>
      <w:r w:rsidR="008E2322">
        <w:rPr>
          <w:sz w:val="24"/>
          <w:szCs w:val="24"/>
        </w:rPr>
        <w:t>,</w:t>
      </w:r>
      <w:r>
        <w:rPr>
          <w:sz w:val="24"/>
          <w:szCs w:val="24"/>
        </w:rPr>
        <w:t xml:space="preserve"> and the development process require certain Department approvals under the United States Housing Act of 1937.</w:t>
      </w:r>
    </w:p>
    <w:p w:rsidR="002F2F09" w:rsidP="002F2F09" w:rsidRDefault="002F2F09" w14:paraId="03AE2ED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Pr="00392FB0" w:rsidR="008313F9" w:rsidP="008313F9" w:rsidRDefault="008313F9" w14:paraId="4C46FEC3" w14:textId="77777777">
      <w:pPr>
        <w:pStyle w:val="ListParagraph"/>
        <w:numPr>
          <w:ilvl w:val="0"/>
          <w:numId w:val="11"/>
        </w:numPr>
        <w:rPr>
          <w:rFonts w:ascii="Times New Roman" w:hAnsi="Times New Roman"/>
          <w:sz w:val="24"/>
          <w:szCs w:val="24"/>
        </w:rPr>
      </w:pPr>
      <w:r w:rsidRPr="00392FB0">
        <w:rPr>
          <w:rFonts w:ascii="Times New Roman" w:hAnsi="Times New Roman"/>
          <w:b/>
          <w:sz w:val="24"/>
          <w:szCs w:val="24"/>
        </w:rPr>
        <w:t>Explain any special circumstances that would cause an information to be collected in a manner:</w:t>
      </w:r>
    </w:p>
    <w:p w:rsidRPr="00B112D5" w:rsidR="008313F9" w:rsidP="008313F9" w:rsidRDefault="008313F9" w14:paraId="5AA85BD3" w14:textId="77777777">
      <w:pPr>
        <w:pStyle w:val="ListParagraph"/>
        <w:numPr>
          <w:ilvl w:val="0"/>
          <w:numId w:val="13"/>
        </w:numPr>
        <w:rPr>
          <w:rFonts w:ascii="Times New Roman" w:hAnsi="Times New Roman"/>
          <w:sz w:val="24"/>
          <w:szCs w:val="24"/>
        </w:rPr>
      </w:pPr>
      <w:r w:rsidRPr="00392FB0">
        <w:rPr>
          <w:rFonts w:ascii="Times New Roman" w:hAnsi="Times New Roman"/>
          <w:sz w:val="24"/>
          <w:szCs w:val="24"/>
        </w:rPr>
        <w:t>requiring respondents to report information to the agency more than quarterly</w:t>
      </w:r>
      <w:r>
        <w:rPr>
          <w:rFonts w:ascii="Times New Roman" w:hAnsi="Times New Roman"/>
          <w:sz w:val="24"/>
          <w:szCs w:val="24"/>
        </w:rPr>
        <w:t>;</w:t>
      </w:r>
      <w:r w:rsidRPr="00392FB0">
        <w:rPr>
          <w:rFonts w:ascii="Times New Roman" w:hAnsi="Times New Roman"/>
          <w:sz w:val="24"/>
          <w:szCs w:val="24"/>
        </w:rPr>
        <w:t xml:space="preserve"> </w:t>
      </w:r>
    </w:p>
    <w:p w:rsidRPr="00392FB0" w:rsidR="008313F9" w:rsidP="008313F9" w:rsidRDefault="00E15251" w14:paraId="07D79774" w14:textId="77777777">
      <w:pPr>
        <w:pStyle w:val="ListParagraph"/>
        <w:ind w:left="1485"/>
        <w:rPr>
          <w:rFonts w:ascii="Times New Roman" w:hAnsi="Times New Roman"/>
          <w:sz w:val="24"/>
          <w:szCs w:val="24"/>
        </w:rPr>
      </w:pPr>
      <w:r>
        <w:rPr>
          <w:rFonts w:ascii="Times New Roman" w:hAnsi="Times New Roman"/>
          <w:b/>
          <w:sz w:val="24"/>
          <w:szCs w:val="24"/>
        </w:rPr>
        <w:t xml:space="preserve">PHAs may submit budget revisions as needed when their plans for spending change, which may be in response to changing priorities or an emergency. Submitting a budget revision in EPIC enables HUD to update the spread of funds in LOCCS so that they can be drawn down by the PHA. </w:t>
      </w:r>
    </w:p>
    <w:p w:rsidR="008313F9" w:rsidP="008313F9" w:rsidRDefault="008313F9" w14:paraId="74DA02E5" w14:textId="77777777">
      <w:pPr>
        <w:pStyle w:val="ListParagraph"/>
        <w:numPr>
          <w:ilvl w:val="0"/>
          <w:numId w:val="13"/>
        </w:numPr>
        <w:rPr>
          <w:rFonts w:ascii="Times New Roman" w:hAnsi="Times New Roman"/>
          <w:sz w:val="24"/>
          <w:szCs w:val="24"/>
        </w:rPr>
      </w:pPr>
      <w:r w:rsidRPr="00392FB0">
        <w:rPr>
          <w:rFonts w:ascii="Times New Roman" w:hAnsi="Times New Roman"/>
          <w:sz w:val="24"/>
          <w:szCs w:val="24"/>
        </w:rPr>
        <w:t>requiring respondents to prepare a written response to a collecti</w:t>
      </w:r>
      <w:r>
        <w:rPr>
          <w:rFonts w:ascii="Times New Roman" w:hAnsi="Times New Roman"/>
          <w:sz w:val="24"/>
          <w:szCs w:val="24"/>
        </w:rPr>
        <w:t>o</w:t>
      </w:r>
      <w:r w:rsidRPr="00392FB0">
        <w:rPr>
          <w:rFonts w:ascii="Times New Roman" w:hAnsi="Times New Roman"/>
          <w:sz w:val="24"/>
          <w:szCs w:val="24"/>
        </w:rPr>
        <w:t>n of information in fewer than 30 days after receipt of it</w:t>
      </w:r>
      <w:r>
        <w:rPr>
          <w:rFonts w:ascii="Times New Roman" w:hAnsi="Times New Roman"/>
          <w:sz w:val="24"/>
          <w:szCs w:val="24"/>
        </w:rPr>
        <w:t>;</w:t>
      </w:r>
    </w:p>
    <w:p w:rsidRPr="00392FB0" w:rsidR="008313F9" w:rsidP="008313F9" w:rsidRDefault="008313F9" w14:paraId="6AAE0F83" w14:textId="77777777">
      <w:pPr>
        <w:pStyle w:val="ListParagraph"/>
        <w:ind w:left="1485"/>
        <w:rPr>
          <w:rFonts w:ascii="Times New Roman" w:hAnsi="Times New Roman"/>
          <w:sz w:val="24"/>
          <w:szCs w:val="24"/>
        </w:rPr>
      </w:pPr>
      <w:r w:rsidRPr="00B112D5">
        <w:rPr>
          <w:rFonts w:ascii="Times New Roman" w:hAnsi="Times New Roman"/>
          <w:b/>
          <w:sz w:val="24"/>
          <w:szCs w:val="24"/>
        </w:rPr>
        <w:t>N</w:t>
      </w:r>
      <w:r>
        <w:rPr>
          <w:rFonts w:ascii="Times New Roman" w:hAnsi="Times New Roman"/>
          <w:b/>
          <w:sz w:val="24"/>
          <w:szCs w:val="24"/>
        </w:rPr>
        <w:t xml:space="preserve">ot </w:t>
      </w:r>
      <w:r w:rsidRPr="00B112D5">
        <w:rPr>
          <w:rFonts w:ascii="Times New Roman" w:hAnsi="Times New Roman"/>
          <w:b/>
          <w:sz w:val="24"/>
          <w:szCs w:val="24"/>
        </w:rPr>
        <w:t>A</w:t>
      </w:r>
      <w:r>
        <w:rPr>
          <w:rFonts w:ascii="Times New Roman" w:hAnsi="Times New Roman"/>
          <w:b/>
          <w:sz w:val="24"/>
          <w:szCs w:val="24"/>
        </w:rPr>
        <w:t>pplicable</w:t>
      </w:r>
    </w:p>
    <w:p w:rsidR="008313F9" w:rsidP="008313F9" w:rsidRDefault="008313F9" w14:paraId="32960C67" w14:textId="77777777">
      <w:pPr>
        <w:pStyle w:val="ListParagraph"/>
        <w:numPr>
          <w:ilvl w:val="0"/>
          <w:numId w:val="13"/>
        </w:numPr>
        <w:rPr>
          <w:rFonts w:ascii="Times New Roman" w:hAnsi="Times New Roman"/>
          <w:sz w:val="24"/>
          <w:szCs w:val="24"/>
        </w:rPr>
      </w:pPr>
      <w:r w:rsidRPr="00392FB0">
        <w:rPr>
          <w:rFonts w:ascii="Times New Roman" w:hAnsi="Times New Roman"/>
          <w:sz w:val="24"/>
          <w:szCs w:val="24"/>
        </w:rPr>
        <w:t>requiring respondents to submit more than an original</w:t>
      </w:r>
      <w:r w:rsidR="007A37D1">
        <w:rPr>
          <w:rFonts w:ascii="Times New Roman" w:hAnsi="Times New Roman"/>
          <w:sz w:val="24"/>
          <w:szCs w:val="24"/>
        </w:rPr>
        <w:t xml:space="preserve"> and two copies of any document</w:t>
      </w:r>
      <w:r>
        <w:rPr>
          <w:rFonts w:ascii="Times New Roman" w:hAnsi="Times New Roman"/>
          <w:sz w:val="24"/>
          <w:szCs w:val="24"/>
        </w:rPr>
        <w:t>;</w:t>
      </w:r>
    </w:p>
    <w:p w:rsidRPr="00392FB0" w:rsidR="008313F9" w:rsidP="008313F9" w:rsidRDefault="008313F9" w14:paraId="41668FE7" w14:textId="77777777">
      <w:pPr>
        <w:pStyle w:val="ListParagraph"/>
        <w:ind w:left="1485"/>
        <w:rPr>
          <w:rFonts w:ascii="Times New Roman" w:hAnsi="Times New Roman"/>
          <w:sz w:val="24"/>
          <w:szCs w:val="24"/>
        </w:rPr>
      </w:pPr>
      <w:r w:rsidRPr="00B112D5">
        <w:rPr>
          <w:rFonts w:ascii="Times New Roman" w:hAnsi="Times New Roman"/>
          <w:b/>
          <w:sz w:val="24"/>
          <w:szCs w:val="24"/>
        </w:rPr>
        <w:t>N</w:t>
      </w:r>
      <w:r>
        <w:rPr>
          <w:rFonts w:ascii="Times New Roman" w:hAnsi="Times New Roman"/>
          <w:b/>
          <w:sz w:val="24"/>
          <w:szCs w:val="24"/>
        </w:rPr>
        <w:t xml:space="preserve">ot </w:t>
      </w:r>
      <w:r w:rsidRPr="00B112D5">
        <w:rPr>
          <w:rFonts w:ascii="Times New Roman" w:hAnsi="Times New Roman"/>
          <w:b/>
          <w:sz w:val="24"/>
          <w:szCs w:val="24"/>
        </w:rPr>
        <w:t>A</w:t>
      </w:r>
      <w:r>
        <w:rPr>
          <w:rFonts w:ascii="Times New Roman" w:hAnsi="Times New Roman"/>
          <w:b/>
          <w:sz w:val="24"/>
          <w:szCs w:val="24"/>
        </w:rPr>
        <w:t>pplicable</w:t>
      </w:r>
    </w:p>
    <w:p w:rsidR="008313F9" w:rsidP="008313F9" w:rsidRDefault="008313F9" w14:paraId="16AB6B82" w14:textId="77777777">
      <w:pPr>
        <w:pStyle w:val="ListParagraph"/>
        <w:numPr>
          <w:ilvl w:val="0"/>
          <w:numId w:val="13"/>
        </w:numPr>
        <w:rPr>
          <w:rFonts w:ascii="Times New Roman" w:hAnsi="Times New Roman"/>
          <w:sz w:val="24"/>
          <w:szCs w:val="24"/>
        </w:rPr>
      </w:pPr>
      <w:r w:rsidRPr="00392FB0">
        <w:rPr>
          <w:rFonts w:ascii="Times New Roman" w:hAnsi="Times New Roman"/>
          <w:sz w:val="24"/>
          <w:szCs w:val="24"/>
        </w:rPr>
        <w:t>requiring respondents to retain records other than health, medical, government contract, grant-in-aid, or tax records for more than three years;</w:t>
      </w:r>
    </w:p>
    <w:p w:rsidRPr="00392FB0" w:rsidR="008313F9" w:rsidP="008313F9" w:rsidRDefault="008313F9" w14:paraId="494824DB" w14:textId="77777777">
      <w:pPr>
        <w:pStyle w:val="ListParagraph"/>
        <w:ind w:left="1485"/>
        <w:rPr>
          <w:rFonts w:ascii="Times New Roman" w:hAnsi="Times New Roman"/>
          <w:sz w:val="24"/>
          <w:szCs w:val="24"/>
        </w:rPr>
      </w:pPr>
      <w:r w:rsidRPr="00B112D5">
        <w:rPr>
          <w:rFonts w:ascii="Times New Roman" w:hAnsi="Times New Roman"/>
          <w:b/>
          <w:sz w:val="24"/>
          <w:szCs w:val="24"/>
        </w:rPr>
        <w:t>N</w:t>
      </w:r>
      <w:r>
        <w:rPr>
          <w:rFonts w:ascii="Times New Roman" w:hAnsi="Times New Roman"/>
          <w:b/>
          <w:sz w:val="24"/>
          <w:szCs w:val="24"/>
        </w:rPr>
        <w:t xml:space="preserve">ot </w:t>
      </w:r>
      <w:r w:rsidRPr="00B112D5">
        <w:rPr>
          <w:rFonts w:ascii="Times New Roman" w:hAnsi="Times New Roman"/>
          <w:b/>
          <w:sz w:val="24"/>
          <w:szCs w:val="24"/>
        </w:rPr>
        <w:t>A</w:t>
      </w:r>
      <w:r>
        <w:rPr>
          <w:rFonts w:ascii="Times New Roman" w:hAnsi="Times New Roman"/>
          <w:b/>
          <w:sz w:val="24"/>
          <w:szCs w:val="24"/>
        </w:rPr>
        <w:t>pplicable</w:t>
      </w:r>
    </w:p>
    <w:p w:rsidR="008313F9" w:rsidP="008313F9" w:rsidRDefault="008313F9" w14:paraId="6FBABC19" w14:textId="77777777">
      <w:pPr>
        <w:pStyle w:val="ListParagraph"/>
        <w:numPr>
          <w:ilvl w:val="0"/>
          <w:numId w:val="13"/>
        </w:numPr>
        <w:rPr>
          <w:rFonts w:ascii="Times New Roman" w:hAnsi="Times New Roman"/>
          <w:sz w:val="24"/>
          <w:szCs w:val="24"/>
        </w:rPr>
      </w:pPr>
      <w:r w:rsidRPr="00392FB0">
        <w:rPr>
          <w:rFonts w:ascii="Times New Roman" w:hAnsi="Times New Roman"/>
          <w:sz w:val="24"/>
          <w:szCs w:val="24"/>
        </w:rPr>
        <w:t>in connection with a statistical survey, that is not designed to produce valid and reliable results than can be generalized to the universe of th</w:t>
      </w:r>
      <w:r>
        <w:rPr>
          <w:rFonts w:ascii="Times New Roman" w:hAnsi="Times New Roman"/>
          <w:sz w:val="24"/>
          <w:szCs w:val="24"/>
        </w:rPr>
        <w:t>e study</w:t>
      </w:r>
      <w:r w:rsidRPr="00392FB0">
        <w:rPr>
          <w:rFonts w:ascii="Times New Roman" w:hAnsi="Times New Roman"/>
          <w:sz w:val="24"/>
          <w:szCs w:val="24"/>
        </w:rPr>
        <w:t>;</w:t>
      </w:r>
    </w:p>
    <w:p w:rsidRPr="00392FB0" w:rsidR="008313F9" w:rsidP="008313F9" w:rsidRDefault="008313F9" w14:paraId="69CF036A" w14:textId="77777777">
      <w:pPr>
        <w:pStyle w:val="ListParagraph"/>
        <w:ind w:left="1485"/>
        <w:rPr>
          <w:rFonts w:ascii="Times New Roman" w:hAnsi="Times New Roman"/>
          <w:sz w:val="24"/>
          <w:szCs w:val="24"/>
        </w:rPr>
      </w:pPr>
      <w:r w:rsidRPr="00B112D5">
        <w:rPr>
          <w:rFonts w:ascii="Times New Roman" w:hAnsi="Times New Roman"/>
          <w:b/>
          <w:sz w:val="24"/>
          <w:szCs w:val="24"/>
        </w:rPr>
        <w:t>N</w:t>
      </w:r>
      <w:r>
        <w:rPr>
          <w:rFonts w:ascii="Times New Roman" w:hAnsi="Times New Roman"/>
          <w:b/>
          <w:sz w:val="24"/>
          <w:szCs w:val="24"/>
        </w:rPr>
        <w:t xml:space="preserve">ot </w:t>
      </w:r>
      <w:r w:rsidRPr="00B112D5">
        <w:rPr>
          <w:rFonts w:ascii="Times New Roman" w:hAnsi="Times New Roman"/>
          <w:b/>
          <w:sz w:val="24"/>
          <w:szCs w:val="24"/>
        </w:rPr>
        <w:t>A</w:t>
      </w:r>
      <w:r>
        <w:rPr>
          <w:rFonts w:ascii="Times New Roman" w:hAnsi="Times New Roman"/>
          <w:b/>
          <w:sz w:val="24"/>
          <w:szCs w:val="24"/>
        </w:rPr>
        <w:t>pplicable</w:t>
      </w:r>
    </w:p>
    <w:p w:rsidR="008313F9" w:rsidP="008313F9" w:rsidRDefault="008313F9" w14:paraId="45C2EEEC" w14:textId="77777777">
      <w:pPr>
        <w:pStyle w:val="ListParagraph"/>
        <w:numPr>
          <w:ilvl w:val="0"/>
          <w:numId w:val="13"/>
        </w:numPr>
        <w:rPr>
          <w:rFonts w:ascii="Times New Roman" w:hAnsi="Times New Roman"/>
          <w:sz w:val="24"/>
          <w:szCs w:val="24"/>
        </w:rPr>
      </w:pPr>
      <w:r w:rsidRPr="00392FB0">
        <w:rPr>
          <w:rFonts w:ascii="Times New Roman" w:hAnsi="Times New Roman"/>
          <w:sz w:val="24"/>
          <w:szCs w:val="24"/>
        </w:rPr>
        <w:t>requiring the use of statistical data classification that has not been re</w:t>
      </w:r>
      <w:r>
        <w:rPr>
          <w:rFonts w:ascii="Times New Roman" w:hAnsi="Times New Roman"/>
          <w:sz w:val="24"/>
          <w:szCs w:val="24"/>
        </w:rPr>
        <w:t>viewed and approved by OMB</w:t>
      </w:r>
      <w:r w:rsidRPr="00392FB0">
        <w:rPr>
          <w:rFonts w:ascii="Times New Roman" w:hAnsi="Times New Roman"/>
          <w:sz w:val="24"/>
          <w:szCs w:val="24"/>
        </w:rPr>
        <w:t>;</w:t>
      </w:r>
    </w:p>
    <w:p w:rsidRPr="00392FB0" w:rsidR="008313F9" w:rsidP="008313F9" w:rsidRDefault="008313F9" w14:paraId="62549F69" w14:textId="77777777">
      <w:pPr>
        <w:pStyle w:val="ListParagraph"/>
        <w:ind w:left="1485"/>
        <w:rPr>
          <w:rFonts w:ascii="Times New Roman" w:hAnsi="Times New Roman"/>
          <w:sz w:val="24"/>
          <w:szCs w:val="24"/>
        </w:rPr>
      </w:pPr>
      <w:r w:rsidRPr="00B112D5">
        <w:rPr>
          <w:rFonts w:ascii="Times New Roman" w:hAnsi="Times New Roman"/>
          <w:b/>
          <w:sz w:val="24"/>
          <w:szCs w:val="24"/>
        </w:rPr>
        <w:t>N</w:t>
      </w:r>
      <w:r>
        <w:rPr>
          <w:rFonts w:ascii="Times New Roman" w:hAnsi="Times New Roman"/>
          <w:b/>
          <w:sz w:val="24"/>
          <w:szCs w:val="24"/>
        </w:rPr>
        <w:t xml:space="preserve">ot </w:t>
      </w:r>
      <w:r w:rsidRPr="00B112D5">
        <w:rPr>
          <w:rFonts w:ascii="Times New Roman" w:hAnsi="Times New Roman"/>
          <w:b/>
          <w:sz w:val="24"/>
          <w:szCs w:val="24"/>
        </w:rPr>
        <w:t>A</w:t>
      </w:r>
      <w:r>
        <w:rPr>
          <w:rFonts w:ascii="Times New Roman" w:hAnsi="Times New Roman"/>
          <w:b/>
          <w:sz w:val="24"/>
          <w:szCs w:val="24"/>
        </w:rPr>
        <w:t>pplicable</w:t>
      </w:r>
    </w:p>
    <w:p w:rsidR="008313F9" w:rsidP="008313F9" w:rsidRDefault="008313F9" w14:paraId="63746A84" w14:textId="77777777">
      <w:pPr>
        <w:pStyle w:val="ListParagraph"/>
        <w:numPr>
          <w:ilvl w:val="0"/>
          <w:numId w:val="13"/>
        </w:numPr>
        <w:rPr>
          <w:rFonts w:ascii="Times New Roman" w:hAnsi="Times New Roman"/>
          <w:sz w:val="24"/>
          <w:szCs w:val="24"/>
        </w:rPr>
      </w:pPr>
      <w:r w:rsidRPr="00392FB0">
        <w:rPr>
          <w:rFonts w:ascii="Times New Roman" w:hAnsi="Times New Roman"/>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B112D5">
        <w:rPr>
          <w:rFonts w:ascii="Times New Roman" w:hAnsi="Times New Roman"/>
          <w:sz w:val="24"/>
          <w:szCs w:val="24"/>
        </w:rPr>
        <w:t>; or</w:t>
      </w:r>
    </w:p>
    <w:p w:rsidRPr="00B112D5" w:rsidR="008313F9" w:rsidP="008313F9" w:rsidRDefault="008313F9" w14:paraId="04272EF6" w14:textId="77777777">
      <w:pPr>
        <w:pStyle w:val="ListParagraph"/>
        <w:ind w:left="1485"/>
        <w:rPr>
          <w:rFonts w:ascii="Times New Roman" w:hAnsi="Times New Roman"/>
          <w:sz w:val="24"/>
          <w:szCs w:val="24"/>
        </w:rPr>
      </w:pPr>
      <w:r w:rsidRPr="00B112D5">
        <w:rPr>
          <w:rFonts w:ascii="Times New Roman" w:hAnsi="Times New Roman"/>
          <w:b/>
          <w:sz w:val="24"/>
          <w:szCs w:val="24"/>
        </w:rPr>
        <w:t>N</w:t>
      </w:r>
      <w:r>
        <w:rPr>
          <w:rFonts w:ascii="Times New Roman" w:hAnsi="Times New Roman"/>
          <w:b/>
          <w:sz w:val="24"/>
          <w:szCs w:val="24"/>
        </w:rPr>
        <w:t xml:space="preserve">ot </w:t>
      </w:r>
      <w:r w:rsidRPr="00B112D5">
        <w:rPr>
          <w:rFonts w:ascii="Times New Roman" w:hAnsi="Times New Roman"/>
          <w:b/>
          <w:sz w:val="24"/>
          <w:szCs w:val="24"/>
        </w:rPr>
        <w:t>A</w:t>
      </w:r>
      <w:r>
        <w:rPr>
          <w:rFonts w:ascii="Times New Roman" w:hAnsi="Times New Roman"/>
          <w:b/>
          <w:sz w:val="24"/>
          <w:szCs w:val="24"/>
        </w:rPr>
        <w:t>pplicable</w:t>
      </w:r>
    </w:p>
    <w:p w:rsidR="008313F9" w:rsidP="008313F9" w:rsidRDefault="008313F9" w14:paraId="6E414125" w14:textId="77777777">
      <w:pPr>
        <w:pStyle w:val="ListParagraph"/>
        <w:numPr>
          <w:ilvl w:val="0"/>
          <w:numId w:val="13"/>
        </w:numPr>
        <w:rPr>
          <w:rFonts w:ascii="Times New Roman" w:hAnsi="Times New Roman"/>
          <w:sz w:val="24"/>
          <w:szCs w:val="24"/>
        </w:rPr>
      </w:pPr>
      <w:r w:rsidRPr="00392FB0">
        <w:rPr>
          <w:rFonts w:ascii="Times New Roman" w:hAnsi="Times New Roman"/>
          <w:sz w:val="24"/>
          <w:szCs w:val="24"/>
        </w:rPr>
        <w:lastRenderedPageBreak/>
        <w:t>requiring respondents to submit proprietary trade secret, or other confidential information unless the agency can demonstrate that it has instituted procedures to protect the information’s confidentiality to the extent permitted by law.</w:t>
      </w:r>
    </w:p>
    <w:p w:rsidRPr="00392FB0" w:rsidR="008313F9" w:rsidP="008313F9" w:rsidRDefault="008313F9" w14:paraId="586D27F8" w14:textId="77777777">
      <w:pPr>
        <w:pStyle w:val="ListParagraph"/>
        <w:ind w:left="1485"/>
        <w:rPr>
          <w:rFonts w:ascii="Times New Roman" w:hAnsi="Times New Roman"/>
          <w:sz w:val="24"/>
          <w:szCs w:val="24"/>
        </w:rPr>
      </w:pPr>
      <w:r w:rsidRPr="00B112D5">
        <w:rPr>
          <w:rFonts w:ascii="Times New Roman" w:hAnsi="Times New Roman"/>
          <w:b/>
          <w:sz w:val="24"/>
          <w:szCs w:val="24"/>
        </w:rPr>
        <w:t>N</w:t>
      </w:r>
      <w:r>
        <w:rPr>
          <w:rFonts w:ascii="Times New Roman" w:hAnsi="Times New Roman"/>
          <w:b/>
          <w:sz w:val="24"/>
          <w:szCs w:val="24"/>
        </w:rPr>
        <w:t xml:space="preserve">ot </w:t>
      </w:r>
      <w:r w:rsidRPr="00B112D5">
        <w:rPr>
          <w:rFonts w:ascii="Times New Roman" w:hAnsi="Times New Roman"/>
          <w:b/>
          <w:sz w:val="24"/>
          <w:szCs w:val="24"/>
        </w:rPr>
        <w:t>A</w:t>
      </w:r>
      <w:r>
        <w:rPr>
          <w:rFonts w:ascii="Times New Roman" w:hAnsi="Times New Roman"/>
          <w:b/>
          <w:sz w:val="24"/>
          <w:szCs w:val="24"/>
        </w:rPr>
        <w:t>pplicable</w:t>
      </w:r>
    </w:p>
    <w:p w:rsidR="000A6FA1" w:rsidP="000A6FA1" w:rsidRDefault="000A6FA1" w14:paraId="6EA334ED" w14:textId="77777777">
      <w:pPr>
        <w:ind w:left="720" w:hanging="720"/>
        <w:rPr>
          <w:b/>
          <w:bCs/>
          <w:sz w:val="24"/>
          <w:szCs w:val="24"/>
        </w:rPr>
      </w:pPr>
      <w:r w:rsidRPr="000A6FA1">
        <w:rPr>
          <w:b/>
          <w:bCs/>
          <w:sz w:val="24"/>
          <w:szCs w:val="24"/>
        </w:rPr>
        <w:t>8.</w:t>
      </w:r>
      <w:r w:rsidRPr="000A6FA1">
        <w:rPr>
          <w:b/>
          <w:bCs/>
          <w:sz w:val="24"/>
          <w:szCs w:val="24"/>
        </w:rPr>
        <w:tab/>
        <w:t xml:space="preserve">Identify the date and page number of the Federal Register notice soliciting comments on the information. </w:t>
      </w:r>
    </w:p>
    <w:p w:rsidR="00C81ABE" w:rsidP="000A6FA1" w:rsidRDefault="00C81ABE" w14:paraId="06324E27" w14:textId="77777777">
      <w:pPr>
        <w:ind w:left="720" w:hanging="720"/>
        <w:rPr>
          <w:b/>
          <w:bCs/>
          <w:sz w:val="24"/>
          <w:szCs w:val="24"/>
        </w:rPr>
      </w:pPr>
    </w:p>
    <w:p w:rsidR="000A6FA1" w:rsidP="000A6FA1" w:rsidRDefault="005B16E4" w14:paraId="66E3AE3B" w14:textId="57421D09">
      <w:pPr>
        <w:rPr>
          <w:bCs/>
          <w:sz w:val="24"/>
          <w:szCs w:val="24"/>
        </w:rPr>
      </w:pPr>
      <w:r>
        <w:rPr>
          <w:bCs/>
          <w:sz w:val="24"/>
          <w:szCs w:val="24"/>
        </w:rPr>
        <w:t xml:space="preserve">This information collection </w:t>
      </w:r>
      <w:r w:rsidRPr="009A3A1D">
        <w:rPr>
          <w:bCs/>
          <w:color w:val="2B579A"/>
          <w:sz w:val="24"/>
          <w:szCs w:val="24"/>
          <w:shd w:val="clear" w:color="auto" w:fill="E6E6E6"/>
        </w:rPr>
        <w:t xml:space="preserve">was announced in the </w:t>
      </w:r>
      <w:r w:rsidRPr="009A3A1D">
        <w:rPr>
          <w:bCs/>
          <w:i/>
          <w:color w:val="2B579A"/>
          <w:sz w:val="24"/>
          <w:szCs w:val="24"/>
          <w:shd w:val="clear" w:color="auto" w:fill="E6E6E6"/>
        </w:rPr>
        <w:t>Federal Register</w:t>
      </w:r>
      <w:r w:rsidRPr="009A3A1D" w:rsidR="00034ED0">
        <w:rPr>
          <w:bCs/>
          <w:color w:val="2B579A"/>
          <w:sz w:val="24"/>
          <w:szCs w:val="24"/>
          <w:shd w:val="clear" w:color="auto" w:fill="E6E6E6"/>
        </w:rPr>
        <w:t xml:space="preserve">, Volume </w:t>
      </w:r>
      <w:r w:rsidR="00E85629">
        <w:rPr>
          <w:bCs/>
          <w:color w:val="2B579A"/>
          <w:sz w:val="24"/>
          <w:szCs w:val="24"/>
          <w:shd w:val="clear" w:color="auto" w:fill="E6E6E6"/>
        </w:rPr>
        <w:t>84</w:t>
      </w:r>
      <w:r w:rsidRPr="009A3A1D" w:rsidR="00801417">
        <w:rPr>
          <w:bCs/>
          <w:color w:val="2B579A"/>
          <w:sz w:val="24"/>
          <w:szCs w:val="24"/>
          <w:shd w:val="clear" w:color="auto" w:fill="E6E6E6"/>
        </w:rPr>
        <w:t>;</w:t>
      </w:r>
      <w:r w:rsidRPr="009A3A1D" w:rsidR="00034ED0">
        <w:rPr>
          <w:bCs/>
          <w:color w:val="2B579A"/>
          <w:sz w:val="24"/>
          <w:szCs w:val="24"/>
          <w:shd w:val="clear" w:color="auto" w:fill="E6E6E6"/>
        </w:rPr>
        <w:t xml:space="preserve"> No. </w:t>
      </w:r>
      <w:r w:rsidR="00E85629">
        <w:rPr>
          <w:bCs/>
          <w:color w:val="2B579A"/>
          <w:sz w:val="24"/>
          <w:szCs w:val="24"/>
          <w:shd w:val="clear" w:color="auto" w:fill="E6E6E6"/>
        </w:rPr>
        <w:t>213</w:t>
      </w:r>
      <w:r w:rsidRPr="009A3A1D" w:rsidR="00067139">
        <w:rPr>
          <w:bCs/>
          <w:color w:val="2B579A"/>
          <w:sz w:val="24"/>
          <w:szCs w:val="24"/>
          <w:shd w:val="clear" w:color="auto" w:fill="E6E6E6"/>
        </w:rPr>
        <w:t>;</w:t>
      </w:r>
      <w:r w:rsidRPr="009A3A1D" w:rsidR="00034ED0">
        <w:rPr>
          <w:bCs/>
          <w:color w:val="2B579A"/>
          <w:sz w:val="24"/>
          <w:szCs w:val="24"/>
          <w:shd w:val="clear" w:color="auto" w:fill="E6E6E6"/>
        </w:rPr>
        <w:t xml:space="preserve"> Page </w:t>
      </w:r>
      <w:r w:rsidR="00E85629">
        <w:rPr>
          <w:bCs/>
          <w:color w:val="2B579A"/>
          <w:sz w:val="24"/>
          <w:szCs w:val="24"/>
          <w:shd w:val="clear" w:color="auto" w:fill="E6E6E6"/>
        </w:rPr>
        <w:t>59410</w:t>
      </w:r>
      <w:r w:rsidRPr="009A3A1D" w:rsidR="00801417">
        <w:rPr>
          <w:bCs/>
          <w:color w:val="2B579A"/>
          <w:sz w:val="24"/>
          <w:szCs w:val="24"/>
          <w:shd w:val="clear" w:color="auto" w:fill="E6E6E6"/>
        </w:rPr>
        <w:t>, on</w:t>
      </w:r>
      <w:r w:rsidR="00E85629">
        <w:rPr>
          <w:bCs/>
          <w:color w:val="2B579A"/>
          <w:sz w:val="24"/>
          <w:szCs w:val="24"/>
          <w:shd w:val="clear" w:color="auto" w:fill="E6E6E6"/>
        </w:rPr>
        <w:t xml:space="preserve"> November 4, 2019</w:t>
      </w:r>
      <w:r w:rsidRPr="009A3A1D" w:rsidR="00034ED0">
        <w:rPr>
          <w:bCs/>
          <w:color w:val="2B579A"/>
          <w:sz w:val="24"/>
          <w:szCs w:val="24"/>
          <w:shd w:val="clear" w:color="auto" w:fill="E6E6E6"/>
        </w:rPr>
        <w:t xml:space="preserve">. The public was given until, to submit comments on the proposed information collection.  </w:t>
      </w:r>
      <w:r w:rsidRPr="009A3A1D" w:rsidR="00345286">
        <w:rPr>
          <w:bCs/>
          <w:color w:val="2B579A"/>
          <w:sz w:val="24"/>
          <w:szCs w:val="24"/>
          <w:shd w:val="clear" w:color="auto" w:fill="E6E6E6"/>
        </w:rPr>
        <w:t>HUD received no public comments on this proposed collection.</w:t>
      </w:r>
    </w:p>
    <w:p w:rsidR="00034ED0" w:rsidP="000A6FA1" w:rsidRDefault="00034ED0" w14:paraId="479FEA1F" w14:textId="77777777">
      <w:pPr>
        <w:rPr>
          <w:sz w:val="24"/>
          <w:szCs w:val="24"/>
        </w:rPr>
      </w:pPr>
    </w:p>
    <w:p w:rsidRPr="000A6FA1" w:rsidR="000A6FA1" w:rsidP="000A6FA1" w:rsidRDefault="000A6FA1" w14:paraId="5CE57530" w14:textId="77777777">
      <w:pPr>
        <w:pStyle w:val="BodyTextIndent"/>
        <w:keepNext/>
        <w:spacing w:after="0"/>
        <w:ind w:left="0"/>
        <w:rPr>
          <w:sz w:val="24"/>
          <w:szCs w:val="24"/>
        </w:rPr>
      </w:pPr>
      <w:r w:rsidRPr="000A6FA1">
        <w:rPr>
          <w:b/>
          <w:bCs/>
          <w:sz w:val="24"/>
          <w:szCs w:val="24"/>
        </w:rPr>
        <w:t>9.</w:t>
      </w:r>
      <w:r w:rsidRPr="000A6FA1">
        <w:rPr>
          <w:b/>
          <w:bCs/>
          <w:sz w:val="24"/>
          <w:szCs w:val="24"/>
        </w:rPr>
        <w:tab/>
        <w:t xml:space="preserve">Explain any payments or gifts to respondents, other than remuneration of contractors or grantees. </w:t>
      </w:r>
    </w:p>
    <w:p w:rsidR="000A6FA1" w:rsidP="000A6FA1" w:rsidRDefault="000A6FA1" w14:paraId="69CD88AE" w14:textId="77777777">
      <w:pPr>
        <w:pStyle w:val="BodyTextIndent"/>
        <w:spacing w:after="0"/>
        <w:ind w:left="0"/>
        <w:rPr>
          <w:sz w:val="24"/>
          <w:szCs w:val="24"/>
        </w:rPr>
      </w:pPr>
    </w:p>
    <w:p w:rsidRPr="000A6FA1" w:rsidR="000A6FA1" w:rsidP="000A6FA1" w:rsidRDefault="000A6FA1" w14:paraId="0D0157AD" w14:textId="77777777">
      <w:pPr>
        <w:pStyle w:val="BodyTextIndent"/>
        <w:spacing w:after="0"/>
        <w:ind w:left="0"/>
        <w:rPr>
          <w:sz w:val="24"/>
          <w:szCs w:val="24"/>
        </w:rPr>
      </w:pPr>
      <w:r w:rsidRPr="000A6FA1">
        <w:rPr>
          <w:sz w:val="24"/>
          <w:szCs w:val="24"/>
        </w:rPr>
        <w:t>No payments or gifts to respondents are provided.</w:t>
      </w:r>
    </w:p>
    <w:p w:rsidRPr="000A6FA1" w:rsidR="000A6FA1" w:rsidP="000A6FA1" w:rsidRDefault="000A6FA1" w14:paraId="078D40DF" w14:textId="77777777">
      <w:pPr>
        <w:rPr>
          <w:sz w:val="24"/>
          <w:szCs w:val="24"/>
        </w:rPr>
      </w:pPr>
    </w:p>
    <w:p w:rsidRPr="000A6FA1" w:rsidR="000A6FA1" w:rsidP="000A6FA1" w:rsidRDefault="000A6FA1" w14:paraId="50FE6741" w14:textId="77777777">
      <w:pPr>
        <w:pStyle w:val="BodyTextIndent"/>
        <w:keepNext/>
        <w:spacing w:after="0"/>
        <w:ind w:left="0"/>
        <w:rPr>
          <w:b/>
          <w:bCs/>
          <w:sz w:val="24"/>
          <w:szCs w:val="24"/>
        </w:rPr>
      </w:pPr>
      <w:r w:rsidRPr="000A6FA1">
        <w:rPr>
          <w:b/>
          <w:bCs/>
          <w:sz w:val="24"/>
          <w:szCs w:val="24"/>
        </w:rPr>
        <w:t>10.</w:t>
      </w:r>
      <w:r w:rsidRPr="000A6FA1">
        <w:rPr>
          <w:b/>
          <w:bCs/>
          <w:sz w:val="24"/>
          <w:szCs w:val="24"/>
        </w:rPr>
        <w:tab/>
        <w:t xml:space="preserve">Describe any assurance of confidentiality provided to respondents. </w:t>
      </w:r>
    </w:p>
    <w:p w:rsidRPr="000A6FA1" w:rsidR="000A6FA1" w:rsidP="000A6FA1" w:rsidRDefault="000A6FA1" w14:paraId="4ACC03F3" w14:textId="77777777">
      <w:pPr>
        <w:pStyle w:val="BodyTextIndent"/>
        <w:keepNext/>
        <w:spacing w:after="0"/>
        <w:ind w:left="0"/>
        <w:rPr>
          <w:b/>
          <w:bCs/>
          <w:sz w:val="24"/>
          <w:szCs w:val="24"/>
        </w:rPr>
      </w:pPr>
    </w:p>
    <w:p w:rsidRPr="000A6FA1" w:rsidR="000A6FA1" w:rsidP="000A6FA1" w:rsidRDefault="000A6FA1" w14:paraId="0FC06B3B" w14:textId="6A241074">
      <w:pPr>
        <w:pStyle w:val="BodyTextIndent"/>
        <w:spacing w:after="0"/>
        <w:ind w:left="0"/>
        <w:rPr>
          <w:sz w:val="24"/>
          <w:szCs w:val="24"/>
        </w:rPr>
      </w:pPr>
      <w:r w:rsidRPr="000A6FA1">
        <w:rPr>
          <w:sz w:val="24"/>
          <w:szCs w:val="24"/>
        </w:rPr>
        <w:t xml:space="preserve">Only summary level data will be made available to the public. </w:t>
      </w:r>
      <w:r w:rsidR="007947C5">
        <w:rPr>
          <w:sz w:val="24"/>
          <w:szCs w:val="24"/>
        </w:rPr>
        <w:t xml:space="preserve"> </w:t>
      </w:r>
      <w:r>
        <w:rPr>
          <w:sz w:val="24"/>
          <w:szCs w:val="24"/>
        </w:rPr>
        <w:t xml:space="preserve">The EPIC data system does not </w:t>
      </w:r>
      <w:r w:rsidR="004515D6">
        <w:rPr>
          <w:sz w:val="24"/>
          <w:szCs w:val="24"/>
        </w:rPr>
        <w:t xml:space="preserve">collect </w:t>
      </w:r>
      <w:r>
        <w:rPr>
          <w:sz w:val="24"/>
          <w:szCs w:val="24"/>
        </w:rPr>
        <w:t>any personally identifiable information and does not involve the collection of any information covered by the Privacy Act.</w:t>
      </w:r>
      <w:r w:rsidRPr="000A6FA1">
        <w:rPr>
          <w:sz w:val="24"/>
          <w:szCs w:val="24"/>
        </w:rPr>
        <w:t xml:space="preserve"> </w:t>
      </w:r>
      <w:r w:rsidR="00CE2964">
        <w:rPr>
          <w:sz w:val="24"/>
          <w:szCs w:val="24"/>
        </w:rPr>
        <w:t xml:space="preserve"> </w:t>
      </w:r>
      <w:r w:rsidRPr="000A6FA1">
        <w:rPr>
          <w:sz w:val="24"/>
          <w:szCs w:val="24"/>
        </w:rPr>
        <w:t xml:space="preserve">Information at the Grantee level is not sensitive.  </w:t>
      </w:r>
    </w:p>
    <w:p w:rsidRPr="000A6FA1" w:rsidR="000A6FA1" w:rsidP="000A6FA1" w:rsidRDefault="000A6FA1" w14:paraId="63DE63C3" w14:textId="77777777">
      <w:pPr>
        <w:pStyle w:val="BodyTextIndent"/>
        <w:spacing w:after="0"/>
        <w:ind w:left="0"/>
        <w:rPr>
          <w:sz w:val="24"/>
          <w:szCs w:val="24"/>
        </w:rPr>
      </w:pPr>
    </w:p>
    <w:p w:rsidRPr="000A6FA1" w:rsidR="000A6FA1" w:rsidP="000A6FA1" w:rsidRDefault="000A6FA1" w14:paraId="65A62BEB" w14:textId="77777777">
      <w:pPr>
        <w:pStyle w:val="BodyTextIndent"/>
        <w:keepNext/>
        <w:spacing w:after="0"/>
        <w:ind w:left="720" w:hanging="720"/>
        <w:rPr>
          <w:b/>
          <w:bCs/>
          <w:sz w:val="24"/>
          <w:szCs w:val="24"/>
        </w:rPr>
      </w:pPr>
      <w:r w:rsidRPr="000A6FA1">
        <w:rPr>
          <w:b/>
          <w:bCs/>
          <w:sz w:val="24"/>
          <w:szCs w:val="24"/>
        </w:rPr>
        <w:t>11.</w:t>
      </w:r>
      <w:r w:rsidRPr="000A6FA1">
        <w:rPr>
          <w:b/>
          <w:bCs/>
          <w:sz w:val="24"/>
          <w:szCs w:val="24"/>
        </w:rPr>
        <w:tab/>
        <w:t xml:space="preserve">Justify any questions of a sensitive nature, such as sexual, religious beliefs, and other matters that are commonly considered private. </w:t>
      </w:r>
    </w:p>
    <w:p w:rsidRPr="000A6FA1" w:rsidR="000A6FA1" w:rsidP="000A6FA1" w:rsidRDefault="000A6FA1" w14:paraId="32EFCEC8" w14:textId="77777777">
      <w:pPr>
        <w:pStyle w:val="BodyTextIndent"/>
        <w:keepNext/>
        <w:spacing w:after="0"/>
        <w:ind w:left="0"/>
        <w:rPr>
          <w:b/>
          <w:bCs/>
          <w:sz w:val="24"/>
          <w:szCs w:val="24"/>
        </w:rPr>
      </w:pPr>
    </w:p>
    <w:p w:rsidRPr="000A6FA1" w:rsidR="000A6FA1" w:rsidP="000A6FA1" w:rsidRDefault="000A6FA1" w14:paraId="34DCA486" w14:textId="77777777">
      <w:pPr>
        <w:pStyle w:val="BodyTextIndent"/>
        <w:spacing w:after="0"/>
        <w:ind w:left="0"/>
        <w:rPr>
          <w:b/>
          <w:bCs/>
          <w:sz w:val="24"/>
          <w:szCs w:val="24"/>
        </w:rPr>
      </w:pPr>
      <w:r w:rsidRPr="000A6FA1">
        <w:rPr>
          <w:sz w:val="24"/>
          <w:szCs w:val="24"/>
        </w:rPr>
        <w:t xml:space="preserve">The information collected does not contain questions of a sensitive nature.  </w:t>
      </w:r>
    </w:p>
    <w:p w:rsidRPr="00467B95" w:rsidR="002F2F09" w:rsidP="00467B95" w:rsidRDefault="002F2F09" w14:paraId="0FA088A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Pr="009E6634" w:rsidR="00467B95" w:rsidP="0070762B" w:rsidRDefault="00467B95" w14:paraId="1CA7AF63" w14:textId="77777777">
      <w:pPr>
        <w:pStyle w:val="BodyTextIndent"/>
        <w:spacing w:after="0"/>
        <w:ind w:left="0"/>
        <w:rPr>
          <w:b/>
          <w:bCs/>
          <w:sz w:val="24"/>
          <w:szCs w:val="24"/>
        </w:rPr>
      </w:pPr>
      <w:r w:rsidRPr="009E6634">
        <w:rPr>
          <w:b/>
          <w:bCs/>
          <w:sz w:val="24"/>
          <w:szCs w:val="24"/>
        </w:rPr>
        <w:t>12.</w:t>
      </w:r>
      <w:r w:rsidRPr="009E6634">
        <w:rPr>
          <w:b/>
          <w:bCs/>
          <w:sz w:val="24"/>
          <w:szCs w:val="24"/>
        </w:rPr>
        <w:tab/>
        <w:t xml:space="preserve">Annual Reporting Burden </w:t>
      </w:r>
    </w:p>
    <w:p w:rsidRPr="00467B95" w:rsidR="00467B95" w:rsidP="0070762B" w:rsidRDefault="00467B95" w14:paraId="68002355" w14:textId="77777777">
      <w:pPr>
        <w:pStyle w:val="BodyTextIndent"/>
        <w:spacing w:after="0"/>
        <w:ind w:left="0"/>
        <w:rPr>
          <w:sz w:val="24"/>
          <w:szCs w:val="24"/>
        </w:rPr>
      </w:pPr>
    </w:p>
    <w:p w:rsidR="00467B95" w:rsidP="0070762B" w:rsidRDefault="00467B95" w14:paraId="685860D3" w14:textId="282B0CCA">
      <w:pPr>
        <w:pStyle w:val="BodyTextIndent"/>
        <w:spacing w:after="0"/>
        <w:ind w:left="0"/>
        <w:rPr>
          <w:sz w:val="24"/>
          <w:szCs w:val="24"/>
        </w:rPr>
      </w:pPr>
      <w:r w:rsidRPr="386E2BBE">
        <w:rPr>
          <w:sz w:val="24"/>
          <w:szCs w:val="24"/>
        </w:rPr>
        <w:t xml:space="preserve">The </w:t>
      </w:r>
      <w:r w:rsidRPr="386E2BBE" w:rsidR="008E2322">
        <w:rPr>
          <w:sz w:val="24"/>
          <w:szCs w:val="24"/>
        </w:rPr>
        <w:t xml:space="preserve">EEM (“core activity”) </w:t>
      </w:r>
      <w:r w:rsidRPr="386E2BBE">
        <w:rPr>
          <w:sz w:val="24"/>
          <w:szCs w:val="24"/>
        </w:rPr>
        <w:t xml:space="preserve">data collection will cover </w:t>
      </w:r>
      <w:r w:rsidRPr="386E2BBE" w:rsidR="005F7AC9">
        <w:rPr>
          <w:sz w:val="24"/>
          <w:szCs w:val="24"/>
        </w:rPr>
        <w:t>2</w:t>
      </w:r>
      <w:r w:rsidRPr="386E2BBE">
        <w:rPr>
          <w:sz w:val="24"/>
          <w:szCs w:val="24"/>
        </w:rPr>
        <w:t>,</w:t>
      </w:r>
      <w:r w:rsidR="008F4CB9">
        <w:rPr>
          <w:sz w:val="24"/>
          <w:szCs w:val="24"/>
        </w:rPr>
        <w:t>80</w:t>
      </w:r>
      <w:r w:rsidRPr="386E2BBE" w:rsidR="008F4CB9">
        <w:rPr>
          <w:sz w:val="24"/>
          <w:szCs w:val="24"/>
        </w:rPr>
        <w:t xml:space="preserve">0 </w:t>
      </w:r>
      <w:r w:rsidRPr="386E2BBE">
        <w:rPr>
          <w:sz w:val="24"/>
          <w:szCs w:val="24"/>
        </w:rPr>
        <w:t>grantees with 1</w:t>
      </w:r>
      <w:r w:rsidRPr="386E2BBE" w:rsidR="005F7AC9">
        <w:rPr>
          <w:sz w:val="24"/>
          <w:szCs w:val="24"/>
        </w:rPr>
        <w:t>1</w:t>
      </w:r>
      <w:r w:rsidRPr="386E2BBE">
        <w:rPr>
          <w:sz w:val="24"/>
          <w:szCs w:val="24"/>
        </w:rPr>
        <w:t>,</w:t>
      </w:r>
      <w:r w:rsidRPr="386E2BBE" w:rsidR="005F7AC9">
        <w:rPr>
          <w:sz w:val="24"/>
          <w:szCs w:val="24"/>
        </w:rPr>
        <w:t>8</w:t>
      </w:r>
      <w:r w:rsidRPr="386E2BBE">
        <w:rPr>
          <w:sz w:val="24"/>
          <w:szCs w:val="24"/>
        </w:rPr>
        <w:t>00 active PIH grants</w:t>
      </w:r>
      <w:r w:rsidRPr="386E2BBE" w:rsidR="00D93870">
        <w:rPr>
          <w:sz w:val="24"/>
          <w:szCs w:val="24"/>
        </w:rPr>
        <w:t xml:space="preserve"> and that will be reported in EPIC</w:t>
      </w:r>
      <w:r w:rsidRPr="386E2BBE">
        <w:rPr>
          <w:sz w:val="24"/>
          <w:szCs w:val="24"/>
        </w:rPr>
        <w:t>. Average time to complete the survey is 30 minut</w:t>
      </w:r>
      <w:r w:rsidRPr="386E2BBE" w:rsidR="008E2322">
        <w:rPr>
          <w:sz w:val="24"/>
          <w:szCs w:val="24"/>
        </w:rPr>
        <w:t xml:space="preserve">es. Respondents will be required to submit information under the core activity module </w:t>
      </w:r>
      <w:r w:rsidRPr="386E2BBE" w:rsidR="00B37C63">
        <w:rPr>
          <w:sz w:val="24"/>
          <w:szCs w:val="24"/>
        </w:rPr>
        <w:t>annually</w:t>
      </w:r>
      <w:r w:rsidRPr="386E2BBE">
        <w:rPr>
          <w:sz w:val="24"/>
          <w:szCs w:val="24"/>
        </w:rPr>
        <w:t xml:space="preserve">. Each respondent will spend an additional </w:t>
      </w:r>
      <w:r w:rsidRPr="386E2BBE" w:rsidR="009E6634">
        <w:rPr>
          <w:sz w:val="24"/>
          <w:szCs w:val="24"/>
        </w:rPr>
        <w:t>1</w:t>
      </w:r>
      <w:r w:rsidRPr="386E2BBE">
        <w:rPr>
          <w:sz w:val="24"/>
          <w:szCs w:val="24"/>
        </w:rPr>
        <w:t xml:space="preserve">.5 hours collecting the data required to complete the survey. The annual reporting burden hours are based on the requirement that each recipient submits a separate report for each active grant. </w:t>
      </w:r>
    </w:p>
    <w:p w:rsidR="008E2322" w:rsidP="0070762B" w:rsidRDefault="008E2322" w14:paraId="21875C8A" w14:textId="77777777">
      <w:pPr>
        <w:pStyle w:val="BodyTextIndent"/>
        <w:spacing w:after="0"/>
        <w:ind w:left="0"/>
        <w:rPr>
          <w:sz w:val="24"/>
          <w:szCs w:val="24"/>
        </w:rPr>
      </w:pPr>
    </w:p>
    <w:p w:rsidR="004515D6" w:rsidP="0070762B" w:rsidRDefault="00B37C63" w14:paraId="60F5E476" w14:textId="6FE7B734">
      <w:pPr>
        <w:pStyle w:val="BodyTextIndent"/>
        <w:spacing w:after="0"/>
        <w:ind w:left="0"/>
        <w:rPr>
          <w:sz w:val="24"/>
          <w:szCs w:val="24"/>
        </w:rPr>
      </w:pPr>
      <w:r>
        <w:rPr>
          <w:sz w:val="24"/>
          <w:szCs w:val="24"/>
        </w:rPr>
        <w:t>The same universe of grantees will electronically submit t</w:t>
      </w:r>
      <w:r w:rsidR="008E2322">
        <w:rPr>
          <w:sz w:val="24"/>
          <w:szCs w:val="24"/>
        </w:rPr>
        <w:t xml:space="preserve">he Forms </w:t>
      </w:r>
      <w:r w:rsidR="00F83085">
        <w:rPr>
          <w:sz w:val="24"/>
          <w:szCs w:val="24"/>
        </w:rPr>
        <w:t>HUD-</w:t>
      </w:r>
      <w:r w:rsidR="008E2322">
        <w:rPr>
          <w:sz w:val="24"/>
          <w:szCs w:val="24"/>
        </w:rPr>
        <w:t xml:space="preserve">50075.1 </w:t>
      </w:r>
      <w:r w:rsidR="0026430D">
        <w:rPr>
          <w:sz w:val="24"/>
          <w:szCs w:val="24"/>
        </w:rPr>
        <w:t>(</w:t>
      </w:r>
      <w:r>
        <w:rPr>
          <w:sz w:val="24"/>
          <w:szCs w:val="24"/>
        </w:rPr>
        <w:t xml:space="preserve">the </w:t>
      </w:r>
      <w:r w:rsidR="0026430D">
        <w:rPr>
          <w:sz w:val="24"/>
          <w:szCs w:val="24"/>
        </w:rPr>
        <w:t>Annual Statement</w:t>
      </w:r>
      <w:r>
        <w:rPr>
          <w:sz w:val="24"/>
          <w:szCs w:val="24"/>
        </w:rPr>
        <w:t>/Budget</w:t>
      </w:r>
      <w:r w:rsidR="0026430D">
        <w:rPr>
          <w:sz w:val="24"/>
          <w:szCs w:val="24"/>
        </w:rPr>
        <w:t xml:space="preserve"> and P&amp;E</w:t>
      </w:r>
      <w:r>
        <w:rPr>
          <w:sz w:val="24"/>
          <w:szCs w:val="24"/>
        </w:rPr>
        <w:t xml:space="preserve"> Report</w:t>
      </w:r>
      <w:r w:rsidR="0026430D">
        <w:rPr>
          <w:sz w:val="24"/>
          <w:szCs w:val="24"/>
        </w:rPr>
        <w:t xml:space="preserve">) </w:t>
      </w:r>
      <w:r w:rsidR="008E2322">
        <w:rPr>
          <w:sz w:val="24"/>
          <w:szCs w:val="24"/>
        </w:rPr>
        <w:t xml:space="preserve">and </w:t>
      </w:r>
      <w:r w:rsidR="00F83085">
        <w:rPr>
          <w:sz w:val="24"/>
          <w:szCs w:val="24"/>
        </w:rPr>
        <w:t>HUD-</w:t>
      </w:r>
      <w:r w:rsidR="008E2322">
        <w:rPr>
          <w:sz w:val="24"/>
          <w:szCs w:val="24"/>
        </w:rPr>
        <w:t xml:space="preserve">50075.2 </w:t>
      </w:r>
      <w:r w:rsidR="0026430D">
        <w:rPr>
          <w:sz w:val="24"/>
          <w:szCs w:val="24"/>
        </w:rPr>
        <w:t xml:space="preserve">(the </w:t>
      </w:r>
      <w:r>
        <w:rPr>
          <w:sz w:val="24"/>
          <w:szCs w:val="24"/>
        </w:rPr>
        <w:t xml:space="preserve">Capital Fund Program </w:t>
      </w:r>
      <w:r w:rsidR="0026430D">
        <w:rPr>
          <w:sz w:val="24"/>
          <w:szCs w:val="24"/>
        </w:rPr>
        <w:t>Five</w:t>
      </w:r>
      <w:r>
        <w:rPr>
          <w:sz w:val="24"/>
          <w:szCs w:val="24"/>
        </w:rPr>
        <w:t>-</w:t>
      </w:r>
      <w:r w:rsidR="0026430D">
        <w:rPr>
          <w:sz w:val="24"/>
          <w:szCs w:val="24"/>
        </w:rPr>
        <w:t>Yea</w:t>
      </w:r>
      <w:r w:rsidR="00290C72">
        <w:rPr>
          <w:sz w:val="24"/>
          <w:szCs w:val="24"/>
        </w:rPr>
        <w:t xml:space="preserve">r </w:t>
      </w:r>
      <w:r>
        <w:rPr>
          <w:sz w:val="24"/>
          <w:szCs w:val="24"/>
        </w:rPr>
        <w:t xml:space="preserve">Action </w:t>
      </w:r>
      <w:r w:rsidR="00290C72">
        <w:rPr>
          <w:sz w:val="24"/>
          <w:szCs w:val="24"/>
        </w:rPr>
        <w:t>Plan)</w:t>
      </w:r>
      <w:r w:rsidR="00B573D4">
        <w:rPr>
          <w:sz w:val="24"/>
          <w:szCs w:val="24"/>
        </w:rPr>
        <w:t xml:space="preserve">. The Department anticipates each “form,” separated by function in the EPIC data system, will require </w:t>
      </w:r>
      <w:r w:rsidR="00AC2719">
        <w:rPr>
          <w:sz w:val="24"/>
          <w:szCs w:val="24"/>
        </w:rPr>
        <w:t>1-</w:t>
      </w:r>
      <w:r w:rsidR="00B573D4">
        <w:rPr>
          <w:sz w:val="24"/>
          <w:szCs w:val="24"/>
        </w:rPr>
        <w:t xml:space="preserve">2 hours to complete, as broken out in the table below. </w:t>
      </w:r>
      <w:r w:rsidR="00CE2964">
        <w:rPr>
          <w:sz w:val="24"/>
          <w:szCs w:val="24"/>
        </w:rPr>
        <w:t xml:space="preserve"> </w:t>
      </w:r>
      <w:r w:rsidR="004A7268">
        <w:rPr>
          <w:sz w:val="24"/>
          <w:szCs w:val="24"/>
        </w:rPr>
        <w:t>Data suggest approximately 8,500 open grants at any given point in time for which the Annual Statement</w:t>
      </w:r>
      <w:r>
        <w:rPr>
          <w:sz w:val="24"/>
          <w:szCs w:val="24"/>
        </w:rPr>
        <w:t>/Budget</w:t>
      </w:r>
      <w:r w:rsidR="00267B99">
        <w:rPr>
          <w:sz w:val="24"/>
          <w:szCs w:val="24"/>
        </w:rPr>
        <w:t xml:space="preserve"> would be required annually</w:t>
      </w:r>
      <w:r w:rsidR="00FA216D">
        <w:rPr>
          <w:sz w:val="24"/>
          <w:szCs w:val="24"/>
        </w:rPr>
        <w:t xml:space="preserve">. </w:t>
      </w:r>
      <w:r w:rsidR="004A7268">
        <w:rPr>
          <w:sz w:val="24"/>
          <w:szCs w:val="24"/>
        </w:rPr>
        <w:t>PHAs are only required to update the Five</w:t>
      </w:r>
      <w:r>
        <w:rPr>
          <w:sz w:val="24"/>
          <w:szCs w:val="24"/>
        </w:rPr>
        <w:t>-</w:t>
      </w:r>
      <w:r w:rsidR="004A7268">
        <w:rPr>
          <w:sz w:val="24"/>
          <w:szCs w:val="24"/>
        </w:rPr>
        <w:t xml:space="preserve">Year </w:t>
      </w:r>
      <w:r>
        <w:rPr>
          <w:sz w:val="24"/>
          <w:szCs w:val="24"/>
        </w:rPr>
        <w:t xml:space="preserve">Action </w:t>
      </w:r>
      <w:r w:rsidR="004A7268">
        <w:rPr>
          <w:sz w:val="24"/>
          <w:szCs w:val="24"/>
        </w:rPr>
        <w:t>Plan every five years, but many PHAs do so more frequently</w:t>
      </w:r>
      <w:r>
        <w:rPr>
          <w:sz w:val="24"/>
          <w:szCs w:val="24"/>
        </w:rPr>
        <w:t xml:space="preserve"> (PHAs may elect whether to submit a fixed plan in 5-year intervals or a rolling plan annually and may change their election as desired</w:t>
      </w:r>
      <w:r w:rsidR="004A7268">
        <w:rPr>
          <w:sz w:val="24"/>
          <w:szCs w:val="24"/>
        </w:rPr>
        <w:t>.</w:t>
      </w:r>
      <w:r>
        <w:rPr>
          <w:sz w:val="24"/>
          <w:szCs w:val="24"/>
        </w:rPr>
        <w:t>)</w:t>
      </w:r>
      <w:r w:rsidR="004A7268">
        <w:rPr>
          <w:sz w:val="24"/>
          <w:szCs w:val="24"/>
        </w:rPr>
        <w:t xml:space="preserve"> The Department anticipates up to 2,000 responses per year through this module.</w:t>
      </w:r>
      <w:r w:rsidR="00674FAB">
        <w:rPr>
          <w:sz w:val="24"/>
          <w:szCs w:val="24"/>
        </w:rPr>
        <w:t xml:space="preserve">  </w:t>
      </w:r>
      <w:r w:rsidR="00FA216D">
        <w:rPr>
          <w:sz w:val="24"/>
          <w:szCs w:val="24"/>
        </w:rPr>
        <w:t xml:space="preserve">The P&amp;E Report is no longer required </w:t>
      </w:r>
      <w:r w:rsidR="004A16B5">
        <w:rPr>
          <w:sz w:val="24"/>
          <w:szCs w:val="24"/>
        </w:rPr>
        <w:t>annually but</w:t>
      </w:r>
      <w:r w:rsidR="00FA216D">
        <w:rPr>
          <w:sz w:val="24"/>
          <w:szCs w:val="24"/>
        </w:rPr>
        <w:t xml:space="preserve"> </w:t>
      </w:r>
      <w:r w:rsidR="00DA698D">
        <w:rPr>
          <w:sz w:val="24"/>
          <w:szCs w:val="24"/>
        </w:rPr>
        <w:t>remains an effective monitoring tool for the Department.</w:t>
      </w:r>
    </w:p>
    <w:p w:rsidR="004A16B5" w:rsidP="0070762B" w:rsidRDefault="004A16B5" w14:paraId="4C1DE21C" w14:textId="77777777">
      <w:pPr>
        <w:pStyle w:val="BodyTextIndent"/>
        <w:spacing w:after="0"/>
        <w:ind w:left="0"/>
        <w:rPr>
          <w:sz w:val="24"/>
          <w:szCs w:val="24"/>
        </w:rPr>
      </w:pPr>
    </w:p>
    <w:p w:rsidR="004A16B5" w:rsidP="0070762B" w:rsidRDefault="004A16B5" w14:paraId="6A3D086A" w14:textId="0D262DAB">
      <w:pPr>
        <w:pStyle w:val="BodyTextIndent"/>
        <w:spacing w:after="0"/>
        <w:ind w:left="0"/>
        <w:rPr>
          <w:sz w:val="24"/>
          <w:szCs w:val="24"/>
        </w:rPr>
      </w:pPr>
      <w:r>
        <w:rPr>
          <w:sz w:val="24"/>
          <w:szCs w:val="24"/>
        </w:rPr>
        <w:t xml:space="preserve">The same universe of grantees will electronically submit copies of documents required by </w:t>
      </w:r>
      <w:r w:rsidR="00443999">
        <w:rPr>
          <w:sz w:val="24"/>
          <w:szCs w:val="24"/>
        </w:rPr>
        <w:t>Regulation to allow the Department to contract new Awards in LOCCS.  Th</w:t>
      </w:r>
      <w:r w:rsidR="00F80701">
        <w:rPr>
          <w:sz w:val="24"/>
          <w:szCs w:val="24"/>
        </w:rPr>
        <w:t xml:space="preserve">is collection of documents is required for each new Award, which the Department estimates </w:t>
      </w:r>
      <w:r w:rsidR="00361B38">
        <w:rPr>
          <w:sz w:val="24"/>
          <w:szCs w:val="24"/>
        </w:rPr>
        <w:t>approximately 2</w:t>
      </w:r>
      <w:r w:rsidR="00F80701">
        <w:rPr>
          <w:sz w:val="24"/>
          <w:szCs w:val="24"/>
        </w:rPr>
        <w:t xml:space="preserve"> per year</w:t>
      </w:r>
      <w:r w:rsidR="002E68D5">
        <w:rPr>
          <w:sz w:val="24"/>
          <w:szCs w:val="24"/>
        </w:rPr>
        <w:t xml:space="preserve">, and take approximately </w:t>
      </w:r>
      <w:r w:rsidR="003B493C">
        <w:rPr>
          <w:sz w:val="24"/>
          <w:szCs w:val="24"/>
        </w:rPr>
        <w:t>30 minutes to complete.</w:t>
      </w:r>
    </w:p>
    <w:p w:rsidR="00F80701" w:rsidP="0070762B" w:rsidRDefault="00F80701" w14:paraId="04DAFF8D" w14:textId="77777777">
      <w:pPr>
        <w:pStyle w:val="BodyTextIndent"/>
        <w:spacing w:after="0"/>
        <w:ind w:left="0"/>
        <w:rPr>
          <w:sz w:val="24"/>
          <w:szCs w:val="24"/>
        </w:rPr>
      </w:pPr>
    </w:p>
    <w:p w:rsidR="00EE69EE" w:rsidP="0070762B" w:rsidRDefault="003B493C" w14:paraId="278958F5" w14:textId="5229CCA8">
      <w:pPr>
        <w:pStyle w:val="BodyTextIndent"/>
        <w:spacing w:after="0"/>
        <w:ind w:left="0"/>
        <w:rPr>
          <w:sz w:val="24"/>
          <w:szCs w:val="24"/>
        </w:rPr>
      </w:pPr>
      <w:r>
        <w:rPr>
          <w:sz w:val="24"/>
          <w:szCs w:val="24"/>
        </w:rPr>
        <w:lastRenderedPageBreak/>
        <w:t xml:space="preserve">The Department anticipates approximately 15 </w:t>
      </w:r>
      <w:r w:rsidR="00EE69EE">
        <w:rPr>
          <w:sz w:val="24"/>
          <w:szCs w:val="24"/>
        </w:rPr>
        <w:t xml:space="preserve">requests </w:t>
      </w:r>
      <w:r w:rsidR="006464F8">
        <w:rPr>
          <w:sz w:val="24"/>
          <w:szCs w:val="24"/>
        </w:rPr>
        <w:t xml:space="preserve">from PHAs </w:t>
      </w:r>
      <w:r w:rsidR="00EE69EE">
        <w:rPr>
          <w:sz w:val="24"/>
          <w:szCs w:val="24"/>
        </w:rPr>
        <w:t>to use additional capital resources, such as a portion of Operating Funds, for Capital Fund eligible activities.</w:t>
      </w:r>
      <w:r w:rsidR="006E5CAA">
        <w:rPr>
          <w:sz w:val="24"/>
          <w:szCs w:val="24"/>
        </w:rPr>
        <w:t xml:space="preserve"> Such a request should take approximately 30 minutes to complete.</w:t>
      </w:r>
    </w:p>
    <w:p w:rsidR="00EE69EE" w:rsidP="0070762B" w:rsidRDefault="00EE69EE" w14:paraId="6EE12936" w14:textId="77777777">
      <w:pPr>
        <w:pStyle w:val="BodyTextIndent"/>
        <w:spacing w:after="0"/>
        <w:ind w:left="0"/>
        <w:rPr>
          <w:sz w:val="24"/>
          <w:szCs w:val="24"/>
        </w:rPr>
      </w:pPr>
    </w:p>
    <w:p w:rsidR="0026430D" w:rsidP="0070762B" w:rsidRDefault="0026430D" w14:paraId="44E75103" w14:textId="6F854D20">
      <w:pPr>
        <w:pStyle w:val="BodyTextIndent"/>
        <w:spacing w:after="0"/>
        <w:ind w:left="0"/>
        <w:rPr>
          <w:sz w:val="24"/>
          <w:szCs w:val="24"/>
        </w:rPr>
      </w:pPr>
      <w:r>
        <w:rPr>
          <w:sz w:val="24"/>
          <w:szCs w:val="24"/>
        </w:rPr>
        <w:t xml:space="preserve">The Department anticipates 30 </w:t>
      </w:r>
      <w:r w:rsidR="00DC011D">
        <w:rPr>
          <w:sz w:val="24"/>
          <w:szCs w:val="24"/>
        </w:rPr>
        <w:t>submittals for</w:t>
      </w:r>
      <w:r>
        <w:rPr>
          <w:sz w:val="24"/>
          <w:szCs w:val="24"/>
        </w:rPr>
        <w:t xml:space="preserve"> EPC financings</w:t>
      </w:r>
      <w:r w:rsidR="00DC011D">
        <w:rPr>
          <w:sz w:val="24"/>
          <w:szCs w:val="24"/>
        </w:rPr>
        <w:t xml:space="preserve"> per year</w:t>
      </w:r>
      <w:r>
        <w:rPr>
          <w:sz w:val="24"/>
          <w:szCs w:val="24"/>
        </w:rPr>
        <w:t>. The hourly burden associated with this process is much higher, but participation in the process is voluntary and at the PHA’s discretion.</w:t>
      </w:r>
    </w:p>
    <w:p w:rsidR="0026430D" w:rsidP="0070762B" w:rsidRDefault="0026430D" w14:paraId="791BAD7D" w14:textId="77777777">
      <w:pPr>
        <w:pStyle w:val="BodyTextIndent"/>
        <w:spacing w:after="0"/>
        <w:ind w:left="0"/>
        <w:rPr>
          <w:sz w:val="24"/>
          <w:szCs w:val="24"/>
        </w:rPr>
      </w:pPr>
    </w:p>
    <w:p w:rsidR="0026430D" w:rsidP="0070762B" w:rsidRDefault="00DC011D" w14:paraId="35DB869A" w14:textId="77777777">
      <w:pPr>
        <w:pStyle w:val="BodyTextIndent"/>
        <w:spacing w:after="0"/>
        <w:ind w:left="0"/>
        <w:rPr>
          <w:sz w:val="24"/>
          <w:szCs w:val="24"/>
        </w:rPr>
      </w:pPr>
      <w:r>
        <w:rPr>
          <w:sz w:val="24"/>
          <w:szCs w:val="24"/>
        </w:rPr>
        <w:t xml:space="preserve">The Department anticipates up to 60 new developments per year. These developments may contain varying numbers of units and correspondingly different levels of funding, both </w:t>
      </w:r>
      <w:r w:rsidR="00B37C63">
        <w:rPr>
          <w:sz w:val="24"/>
          <w:szCs w:val="24"/>
        </w:rPr>
        <w:t>f</w:t>
      </w:r>
      <w:r>
        <w:rPr>
          <w:sz w:val="24"/>
          <w:szCs w:val="24"/>
        </w:rPr>
        <w:t>ederal and non-</w:t>
      </w:r>
      <w:r w:rsidR="00B37C63">
        <w:rPr>
          <w:sz w:val="24"/>
          <w:szCs w:val="24"/>
        </w:rPr>
        <w:t>f</w:t>
      </w:r>
      <w:r>
        <w:rPr>
          <w:sz w:val="24"/>
          <w:szCs w:val="24"/>
        </w:rPr>
        <w:t>ederal. This process also demands a greater burden, but development is at the PHA’s discretion.</w:t>
      </w:r>
    </w:p>
    <w:p w:rsidR="00DC011D" w:rsidP="0070762B" w:rsidRDefault="00DC011D" w14:paraId="41C794E4" w14:textId="77777777">
      <w:pPr>
        <w:pStyle w:val="BodyTextIndent"/>
        <w:spacing w:after="0"/>
        <w:ind w:left="0"/>
        <w:rPr>
          <w:sz w:val="24"/>
          <w:szCs w:val="24"/>
        </w:rPr>
      </w:pPr>
    </w:p>
    <w:p w:rsidR="00DC011D" w:rsidP="0070762B" w:rsidRDefault="004A7268" w14:paraId="20A7CB97" w14:textId="77777777">
      <w:pPr>
        <w:pStyle w:val="BodyTextIndent"/>
        <w:spacing w:after="0"/>
        <w:ind w:left="0"/>
        <w:rPr>
          <w:sz w:val="24"/>
          <w:szCs w:val="24"/>
        </w:rPr>
      </w:pPr>
      <w:r>
        <w:rPr>
          <w:sz w:val="24"/>
          <w:szCs w:val="24"/>
        </w:rPr>
        <w:t xml:space="preserve">The Department anticipates approximately 60 PHAs per year will submit plans through the </w:t>
      </w:r>
      <w:r w:rsidR="008401E4">
        <w:rPr>
          <w:sz w:val="24"/>
          <w:szCs w:val="24"/>
        </w:rPr>
        <w:t xml:space="preserve">Mixed </w:t>
      </w:r>
      <w:r>
        <w:rPr>
          <w:sz w:val="24"/>
          <w:szCs w:val="24"/>
        </w:rPr>
        <w:t>F</w:t>
      </w:r>
      <w:r w:rsidR="008401E4">
        <w:rPr>
          <w:sz w:val="24"/>
          <w:szCs w:val="24"/>
        </w:rPr>
        <w:t>inance</w:t>
      </w:r>
      <w:r>
        <w:rPr>
          <w:sz w:val="24"/>
          <w:szCs w:val="24"/>
        </w:rPr>
        <w:t xml:space="preserve"> Early Warning module. This module will allow a PHA to alert the Department of its intention to propose a mixed-finance transaction as well as various deadlines associated with the non-</w:t>
      </w:r>
      <w:r w:rsidR="00B37C63">
        <w:rPr>
          <w:sz w:val="24"/>
          <w:szCs w:val="24"/>
        </w:rPr>
        <w:t>f</w:t>
      </w:r>
      <w:r>
        <w:rPr>
          <w:sz w:val="24"/>
          <w:szCs w:val="24"/>
        </w:rPr>
        <w:t>ederal sources of financing so that the Department can provide technical assistance to the PHA in the planning process.</w:t>
      </w:r>
    </w:p>
    <w:p w:rsidR="008401E4" w:rsidP="0070762B" w:rsidRDefault="008401E4" w14:paraId="603A34BF" w14:textId="77777777">
      <w:pPr>
        <w:pStyle w:val="BodyTextIndent"/>
        <w:spacing w:after="0"/>
        <w:ind w:left="0"/>
        <w:rPr>
          <w:sz w:val="24"/>
          <w:szCs w:val="24"/>
        </w:rPr>
      </w:pPr>
    </w:p>
    <w:tbl>
      <w:tblPr>
        <w:tblW w:w="9400" w:type="dxa"/>
        <w:tblInd w:w="118" w:type="dxa"/>
        <w:tblLook w:val="04A0" w:firstRow="1" w:lastRow="0" w:firstColumn="1" w:lastColumn="0" w:noHBand="0" w:noVBand="1"/>
      </w:tblPr>
      <w:tblGrid>
        <w:gridCol w:w="776"/>
        <w:gridCol w:w="1294"/>
        <w:gridCol w:w="1159"/>
        <w:gridCol w:w="972"/>
        <w:gridCol w:w="1360"/>
        <w:gridCol w:w="946"/>
        <w:gridCol w:w="899"/>
        <w:gridCol w:w="839"/>
        <w:gridCol w:w="1155"/>
      </w:tblGrid>
      <w:tr w:rsidRPr="003251DC" w:rsidR="003251DC" w:rsidTr="003251DC" w14:paraId="11EC3118" w14:textId="77777777">
        <w:trPr>
          <w:trHeight w:val="690"/>
        </w:trPr>
        <w:tc>
          <w:tcPr>
            <w:tcW w:w="918" w:type="dxa"/>
            <w:tcBorders>
              <w:top w:val="single" w:color="auto" w:sz="8" w:space="0"/>
              <w:left w:val="single" w:color="auto" w:sz="8" w:space="0"/>
              <w:bottom w:val="single" w:color="auto" w:sz="8" w:space="0"/>
              <w:right w:val="single" w:color="auto" w:sz="8" w:space="0"/>
            </w:tcBorders>
            <w:shd w:val="clear" w:color="000000" w:fill="D8D8D8"/>
            <w:vAlign w:val="center"/>
            <w:hideMark/>
          </w:tcPr>
          <w:p w:rsidRPr="003251DC" w:rsidR="003251DC" w:rsidP="003251DC" w:rsidRDefault="003251DC" w14:paraId="5AED6511" w14:textId="77777777">
            <w:pPr>
              <w:overflowPunct/>
              <w:autoSpaceDE/>
              <w:autoSpaceDN/>
              <w:adjustRightInd/>
              <w:jc w:val="center"/>
              <w:textAlignment w:val="auto"/>
              <w:rPr>
                <w:b/>
                <w:bCs/>
                <w:color w:val="000000"/>
                <w:sz w:val="16"/>
                <w:szCs w:val="16"/>
              </w:rPr>
            </w:pPr>
            <w:r w:rsidRPr="003251DC">
              <w:rPr>
                <w:b/>
                <w:bCs/>
                <w:color w:val="000000"/>
                <w:sz w:val="16"/>
                <w:szCs w:val="16"/>
              </w:rPr>
              <w:t> </w:t>
            </w:r>
          </w:p>
        </w:tc>
        <w:tc>
          <w:tcPr>
            <w:tcW w:w="1108" w:type="dxa"/>
            <w:tcBorders>
              <w:top w:val="single" w:color="auto" w:sz="8" w:space="0"/>
              <w:left w:val="nil"/>
              <w:bottom w:val="single" w:color="auto" w:sz="8" w:space="0"/>
              <w:right w:val="single" w:color="auto" w:sz="8" w:space="0"/>
            </w:tcBorders>
            <w:shd w:val="clear" w:color="000000" w:fill="D8D8D8"/>
            <w:vAlign w:val="center"/>
            <w:hideMark/>
          </w:tcPr>
          <w:p w:rsidRPr="003251DC" w:rsidR="003251DC" w:rsidP="003251DC" w:rsidRDefault="003251DC" w14:paraId="604B1A63" w14:textId="77777777">
            <w:pPr>
              <w:overflowPunct/>
              <w:autoSpaceDE/>
              <w:autoSpaceDN/>
              <w:adjustRightInd/>
              <w:jc w:val="center"/>
              <w:textAlignment w:val="auto"/>
              <w:rPr>
                <w:rFonts w:ascii="Arial" w:hAnsi="Arial" w:cs="Arial"/>
                <w:color w:val="000000"/>
                <w:sz w:val="16"/>
                <w:szCs w:val="16"/>
              </w:rPr>
            </w:pPr>
            <w:r w:rsidRPr="003251DC">
              <w:rPr>
                <w:rFonts w:ascii="Arial" w:hAnsi="Arial" w:cs="Arial"/>
                <w:color w:val="000000"/>
                <w:sz w:val="16"/>
                <w:szCs w:val="16"/>
              </w:rPr>
              <w:t>Form/ Document</w:t>
            </w:r>
          </w:p>
        </w:tc>
        <w:tc>
          <w:tcPr>
            <w:tcW w:w="973" w:type="dxa"/>
            <w:tcBorders>
              <w:top w:val="single" w:color="auto" w:sz="8" w:space="0"/>
              <w:left w:val="nil"/>
              <w:bottom w:val="single" w:color="auto" w:sz="8" w:space="0"/>
              <w:right w:val="single" w:color="auto" w:sz="8" w:space="0"/>
            </w:tcBorders>
            <w:shd w:val="clear" w:color="000000" w:fill="D8D8D8"/>
            <w:vAlign w:val="center"/>
            <w:hideMark/>
          </w:tcPr>
          <w:p w:rsidRPr="003251DC" w:rsidR="003251DC" w:rsidP="003251DC" w:rsidRDefault="003251DC" w14:paraId="3C40204E" w14:textId="77777777">
            <w:pPr>
              <w:overflowPunct/>
              <w:autoSpaceDE/>
              <w:autoSpaceDN/>
              <w:adjustRightInd/>
              <w:jc w:val="center"/>
              <w:textAlignment w:val="auto"/>
              <w:rPr>
                <w:rFonts w:ascii="Arial" w:hAnsi="Arial" w:cs="Arial"/>
                <w:color w:val="000000"/>
                <w:sz w:val="16"/>
                <w:szCs w:val="16"/>
              </w:rPr>
            </w:pPr>
            <w:r w:rsidRPr="003251DC">
              <w:rPr>
                <w:rFonts w:ascii="Arial" w:hAnsi="Arial" w:cs="Arial"/>
                <w:color w:val="000000"/>
                <w:sz w:val="16"/>
                <w:szCs w:val="16"/>
              </w:rPr>
              <w:t>No. of Respondents</w:t>
            </w:r>
          </w:p>
        </w:tc>
        <w:tc>
          <w:tcPr>
            <w:tcW w:w="951" w:type="dxa"/>
            <w:tcBorders>
              <w:top w:val="single" w:color="auto" w:sz="8" w:space="0"/>
              <w:left w:val="nil"/>
              <w:bottom w:val="single" w:color="auto" w:sz="8" w:space="0"/>
              <w:right w:val="single" w:color="auto" w:sz="8" w:space="0"/>
            </w:tcBorders>
            <w:shd w:val="clear" w:color="000000" w:fill="D8D8D8"/>
            <w:vAlign w:val="center"/>
            <w:hideMark/>
          </w:tcPr>
          <w:p w:rsidRPr="003251DC" w:rsidR="003251DC" w:rsidP="003251DC" w:rsidRDefault="003251DC" w14:paraId="03243019" w14:textId="77777777">
            <w:pPr>
              <w:overflowPunct/>
              <w:autoSpaceDE/>
              <w:autoSpaceDN/>
              <w:adjustRightInd/>
              <w:jc w:val="center"/>
              <w:textAlignment w:val="auto"/>
              <w:rPr>
                <w:rFonts w:ascii="Arial" w:hAnsi="Arial" w:cs="Arial"/>
                <w:color w:val="000000"/>
                <w:sz w:val="16"/>
                <w:szCs w:val="16"/>
              </w:rPr>
            </w:pPr>
            <w:r w:rsidRPr="003251DC">
              <w:rPr>
                <w:rFonts w:ascii="Arial" w:hAnsi="Arial" w:cs="Arial"/>
                <w:color w:val="000000"/>
                <w:sz w:val="16"/>
                <w:szCs w:val="16"/>
              </w:rPr>
              <w:t>Frequency</w:t>
            </w:r>
          </w:p>
        </w:tc>
        <w:tc>
          <w:tcPr>
            <w:tcW w:w="1465" w:type="dxa"/>
            <w:tcBorders>
              <w:top w:val="single" w:color="auto" w:sz="8" w:space="0"/>
              <w:left w:val="nil"/>
              <w:bottom w:val="single" w:color="auto" w:sz="8" w:space="0"/>
              <w:right w:val="single" w:color="auto" w:sz="8" w:space="0"/>
            </w:tcBorders>
            <w:shd w:val="clear" w:color="000000" w:fill="D8D8D8"/>
            <w:vAlign w:val="center"/>
            <w:hideMark/>
          </w:tcPr>
          <w:p w:rsidRPr="003251DC" w:rsidR="003251DC" w:rsidP="003251DC" w:rsidRDefault="003251DC" w14:paraId="1E55E7CE" w14:textId="77777777">
            <w:pPr>
              <w:overflowPunct/>
              <w:autoSpaceDE/>
              <w:autoSpaceDN/>
              <w:adjustRightInd/>
              <w:jc w:val="center"/>
              <w:textAlignment w:val="auto"/>
              <w:rPr>
                <w:rFonts w:ascii="Arial" w:hAnsi="Arial" w:cs="Arial"/>
                <w:color w:val="000000"/>
                <w:sz w:val="16"/>
                <w:szCs w:val="16"/>
              </w:rPr>
            </w:pPr>
            <w:r w:rsidRPr="003251DC">
              <w:rPr>
                <w:rFonts w:ascii="Arial" w:hAnsi="Arial" w:cs="Arial"/>
                <w:color w:val="000000"/>
                <w:sz w:val="16"/>
                <w:szCs w:val="16"/>
              </w:rPr>
              <w:t>Total Responses</w:t>
            </w:r>
          </w:p>
        </w:tc>
        <w:tc>
          <w:tcPr>
            <w:tcW w:w="949" w:type="dxa"/>
            <w:tcBorders>
              <w:top w:val="single" w:color="auto" w:sz="8" w:space="0"/>
              <w:left w:val="nil"/>
              <w:bottom w:val="single" w:color="auto" w:sz="8" w:space="0"/>
              <w:right w:val="single" w:color="auto" w:sz="8" w:space="0"/>
            </w:tcBorders>
            <w:shd w:val="clear" w:color="000000" w:fill="D8D8D8"/>
            <w:vAlign w:val="center"/>
            <w:hideMark/>
          </w:tcPr>
          <w:p w:rsidRPr="003251DC" w:rsidR="003251DC" w:rsidP="003251DC" w:rsidRDefault="003251DC" w14:paraId="60AA9092" w14:textId="77777777">
            <w:pPr>
              <w:overflowPunct/>
              <w:autoSpaceDE/>
              <w:autoSpaceDN/>
              <w:adjustRightInd/>
              <w:jc w:val="center"/>
              <w:textAlignment w:val="auto"/>
              <w:rPr>
                <w:rFonts w:ascii="Arial" w:hAnsi="Arial" w:cs="Arial"/>
                <w:color w:val="000000"/>
                <w:sz w:val="16"/>
                <w:szCs w:val="16"/>
              </w:rPr>
            </w:pPr>
            <w:r w:rsidRPr="003251DC">
              <w:rPr>
                <w:rFonts w:ascii="Arial" w:hAnsi="Arial" w:cs="Arial"/>
                <w:color w:val="000000"/>
                <w:sz w:val="16"/>
                <w:szCs w:val="16"/>
              </w:rPr>
              <w:t>Hours per Response</w:t>
            </w:r>
          </w:p>
        </w:tc>
        <w:tc>
          <w:tcPr>
            <w:tcW w:w="940" w:type="dxa"/>
            <w:tcBorders>
              <w:top w:val="single" w:color="auto" w:sz="8" w:space="0"/>
              <w:left w:val="nil"/>
              <w:bottom w:val="single" w:color="auto" w:sz="8" w:space="0"/>
              <w:right w:val="single" w:color="auto" w:sz="8" w:space="0"/>
            </w:tcBorders>
            <w:shd w:val="clear" w:color="000000" w:fill="D8D8D8"/>
            <w:vAlign w:val="center"/>
            <w:hideMark/>
          </w:tcPr>
          <w:p w:rsidRPr="003251DC" w:rsidR="003251DC" w:rsidP="003251DC" w:rsidRDefault="003251DC" w14:paraId="0A790D81" w14:textId="77777777">
            <w:pPr>
              <w:overflowPunct/>
              <w:autoSpaceDE/>
              <w:autoSpaceDN/>
              <w:adjustRightInd/>
              <w:jc w:val="center"/>
              <w:textAlignment w:val="auto"/>
              <w:rPr>
                <w:rFonts w:ascii="Arial" w:hAnsi="Arial" w:cs="Arial"/>
                <w:color w:val="000000"/>
                <w:sz w:val="16"/>
                <w:szCs w:val="16"/>
              </w:rPr>
            </w:pPr>
            <w:r w:rsidRPr="003251DC">
              <w:rPr>
                <w:rFonts w:ascii="Arial" w:hAnsi="Arial" w:cs="Arial"/>
                <w:color w:val="000000"/>
                <w:sz w:val="16"/>
                <w:szCs w:val="16"/>
              </w:rPr>
              <w:t>Total Hours</w:t>
            </w:r>
          </w:p>
        </w:tc>
        <w:tc>
          <w:tcPr>
            <w:tcW w:w="929" w:type="dxa"/>
            <w:tcBorders>
              <w:top w:val="single" w:color="auto" w:sz="8" w:space="0"/>
              <w:left w:val="nil"/>
              <w:bottom w:val="single" w:color="auto" w:sz="8" w:space="0"/>
              <w:right w:val="single" w:color="auto" w:sz="8" w:space="0"/>
            </w:tcBorders>
            <w:shd w:val="clear" w:color="000000" w:fill="D8D8D8"/>
            <w:vAlign w:val="center"/>
            <w:hideMark/>
          </w:tcPr>
          <w:p w:rsidRPr="003251DC" w:rsidR="003251DC" w:rsidP="003251DC" w:rsidRDefault="003251DC" w14:paraId="6107C6E2" w14:textId="77777777">
            <w:pPr>
              <w:overflowPunct/>
              <w:autoSpaceDE/>
              <w:autoSpaceDN/>
              <w:adjustRightInd/>
              <w:jc w:val="center"/>
              <w:textAlignment w:val="auto"/>
              <w:rPr>
                <w:rFonts w:ascii="Arial" w:hAnsi="Arial" w:cs="Arial"/>
                <w:color w:val="000000"/>
                <w:sz w:val="16"/>
                <w:szCs w:val="16"/>
              </w:rPr>
            </w:pPr>
            <w:r w:rsidRPr="003251DC">
              <w:rPr>
                <w:rFonts w:ascii="Arial" w:hAnsi="Arial" w:cs="Arial"/>
                <w:color w:val="000000"/>
                <w:sz w:val="16"/>
                <w:szCs w:val="16"/>
              </w:rPr>
              <w:t>Cost per hour</w:t>
            </w:r>
          </w:p>
        </w:tc>
        <w:tc>
          <w:tcPr>
            <w:tcW w:w="1167" w:type="dxa"/>
            <w:tcBorders>
              <w:top w:val="single" w:color="auto" w:sz="8" w:space="0"/>
              <w:left w:val="nil"/>
              <w:bottom w:val="single" w:color="auto" w:sz="8" w:space="0"/>
              <w:right w:val="single" w:color="auto" w:sz="8" w:space="0"/>
            </w:tcBorders>
            <w:shd w:val="clear" w:color="000000" w:fill="D8D8D8"/>
            <w:vAlign w:val="center"/>
            <w:hideMark/>
          </w:tcPr>
          <w:p w:rsidRPr="003251DC" w:rsidR="003251DC" w:rsidP="003251DC" w:rsidRDefault="003251DC" w14:paraId="0265AEB6" w14:textId="77777777">
            <w:pPr>
              <w:overflowPunct/>
              <w:autoSpaceDE/>
              <w:autoSpaceDN/>
              <w:adjustRightInd/>
              <w:jc w:val="center"/>
              <w:textAlignment w:val="auto"/>
              <w:rPr>
                <w:rFonts w:ascii="Arial" w:hAnsi="Arial" w:cs="Arial"/>
                <w:color w:val="000000"/>
                <w:sz w:val="16"/>
                <w:szCs w:val="16"/>
              </w:rPr>
            </w:pPr>
            <w:r w:rsidRPr="003251DC">
              <w:rPr>
                <w:rFonts w:ascii="Arial" w:hAnsi="Arial" w:cs="Arial"/>
                <w:color w:val="000000"/>
                <w:sz w:val="16"/>
                <w:szCs w:val="16"/>
              </w:rPr>
              <w:t>Total Cost</w:t>
            </w:r>
          </w:p>
        </w:tc>
      </w:tr>
      <w:tr w:rsidRPr="003251DC" w:rsidR="003251DC" w:rsidTr="003251DC" w14:paraId="195AA050" w14:textId="77777777">
        <w:trPr>
          <w:trHeight w:val="525"/>
        </w:trPr>
        <w:tc>
          <w:tcPr>
            <w:tcW w:w="918" w:type="dxa"/>
            <w:tcBorders>
              <w:top w:val="nil"/>
              <w:left w:val="single" w:color="auto" w:sz="8" w:space="0"/>
              <w:bottom w:val="single" w:color="D8D8D8" w:sz="8" w:space="0"/>
              <w:right w:val="single" w:color="D8D8D8" w:sz="8" w:space="0"/>
            </w:tcBorders>
            <w:shd w:val="clear" w:color="auto" w:fill="auto"/>
            <w:vAlign w:val="center"/>
            <w:hideMark/>
          </w:tcPr>
          <w:p w:rsidRPr="003251DC" w:rsidR="003251DC" w:rsidP="003251DC" w:rsidRDefault="003251DC" w14:paraId="2D24294F" w14:textId="77777777">
            <w:pPr>
              <w:overflowPunct/>
              <w:autoSpaceDE/>
              <w:autoSpaceDN/>
              <w:adjustRightInd/>
              <w:jc w:val="right"/>
              <w:textAlignment w:val="auto"/>
              <w:rPr>
                <w:rFonts w:ascii="Arial" w:hAnsi="Arial" w:cs="Arial"/>
                <w:color w:val="000000"/>
                <w:sz w:val="18"/>
                <w:szCs w:val="18"/>
              </w:rPr>
            </w:pPr>
            <w:r w:rsidRPr="003251DC">
              <w:rPr>
                <w:rFonts w:ascii="Arial" w:hAnsi="Arial" w:cs="Arial"/>
                <w:color w:val="000000"/>
                <w:sz w:val="18"/>
                <w:szCs w:val="18"/>
              </w:rPr>
              <w:t>1</w:t>
            </w:r>
          </w:p>
        </w:tc>
        <w:tc>
          <w:tcPr>
            <w:tcW w:w="1108"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5F518008" w14:textId="77777777">
            <w:pPr>
              <w:overflowPunct/>
              <w:autoSpaceDE/>
              <w:autoSpaceDN/>
              <w:adjustRightInd/>
              <w:textAlignment w:val="auto"/>
              <w:rPr>
                <w:color w:val="000000"/>
              </w:rPr>
            </w:pPr>
            <w:r w:rsidRPr="003251DC">
              <w:rPr>
                <w:color w:val="000000"/>
              </w:rPr>
              <w:t>Core Activity</w:t>
            </w:r>
          </w:p>
        </w:tc>
        <w:tc>
          <w:tcPr>
            <w:tcW w:w="973"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54A9A5EC" w14:textId="77777777">
            <w:pPr>
              <w:overflowPunct/>
              <w:autoSpaceDE/>
              <w:autoSpaceDN/>
              <w:adjustRightInd/>
              <w:textAlignment w:val="auto"/>
              <w:rPr>
                <w:color w:val="000000"/>
              </w:rPr>
            </w:pPr>
            <w:r w:rsidRPr="003251DC">
              <w:rPr>
                <w:color w:val="000000"/>
              </w:rPr>
              <w:t>2,8000</w:t>
            </w:r>
            <w:r w:rsidRPr="003251DC">
              <w:rPr>
                <w:color w:val="000000"/>
                <w:sz w:val="16"/>
                <w:szCs w:val="16"/>
              </w:rPr>
              <w:t> </w:t>
            </w:r>
          </w:p>
        </w:tc>
        <w:tc>
          <w:tcPr>
            <w:tcW w:w="951"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0B4F219C" w14:textId="77777777">
            <w:pPr>
              <w:overflowPunct/>
              <w:autoSpaceDE/>
              <w:autoSpaceDN/>
              <w:adjustRightInd/>
              <w:jc w:val="right"/>
              <w:textAlignment w:val="auto"/>
              <w:rPr>
                <w:color w:val="000000"/>
              </w:rPr>
            </w:pPr>
            <w:r w:rsidRPr="003251DC">
              <w:rPr>
                <w:color w:val="000000"/>
              </w:rPr>
              <w:t>1</w:t>
            </w:r>
          </w:p>
        </w:tc>
        <w:tc>
          <w:tcPr>
            <w:tcW w:w="1465"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75C90D19" w14:textId="77777777">
            <w:pPr>
              <w:overflowPunct/>
              <w:autoSpaceDE/>
              <w:autoSpaceDN/>
              <w:adjustRightInd/>
              <w:jc w:val="right"/>
              <w:textAlignment w:val="auto"/>
              <w:rPr>
                <w:color w:val="000000"/>
              </w:rPr>
            </w:pPr>
            <w:r w:rsidRPr="003251DC">
              <w:rPr>
                <w:color w:val="000000"/>
              </w:rPr>
              <w:t>2,800</w:t>
            </w:r>
          </w:p>
        </w:tc>
        <w:tc>
          <w:tcPr>
            <w:tcW w:w="949"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3D087776" w14:textId="77777777">
            <w:pPr>
              <w:overflowPunct/>
              <w:autoSpaceDE/>
              <w:autoSpaceDN/>
              <w:adjustRightInd/>
              <w:jc w:val="right"/>
              <w:textAlignment w:val="auto"/>
              <w:rPr>
                <w:color w:val="000000"/>
              </w:rPr>
            </w:pPr>
            <w:r w:rsidRPr="003251DC">
              <w:rPr>
                <w:color w:val="000000"/>
              </w:rPr>
              <w:t>2</w:t>
            </w:r>
          </w:p>
        </w:tc>
        <w:tc>
          <w:tcPr>
            <w:tcW w:w="940"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08DBBB9E" w14:textId="77777777">
            <w:pPr>
              <w:overflowPunct/>
              <w:autoSpaceDE/>
              <w:autoSpaceDN/>
              <w:adjustRightInd/>
              <w:jc w:val="right"/>
              <w:textAlignment w:val="auto"/>
              <w:rPr>
                <w:color w:val="000000"/>
              </w:rPr>
            </w:pPr>
            <w:r w:rsidRPr="003251DC">
              <w:rPr>
                <w:color w:val="000000"/>
              </w:rPr>
              <w:t>5,600</w:t>
            </w:r>
          </w:p>
        </w:tc>
        <w:tc>
          <w:tcPr>
            <w:tcW w:w="929"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70B95664" w14:textId="77777777">
            <w:pPr>
              <w:overflowPunct/>
              <w:autoSpaceDE/>
              <w:autoSpaceDN/>
              <w:adjustRightInd/>
              <w:jc w:val="right"/>
              <w:textAlignment w:val="auto"/>
              <w:rPr>
                <w:rFonts w:ascii="Arial" w:hAnsi="Arial" w:cs="Arial"/>
                <w:color w:val="000000"/>
                <w:sz w:val="18"/>
                <w:szCs w:val="18"/>
              </w:rPr>
            </w:pPr>
            <w:r w:rsidRPr="003251DC">
              <w:rPr>
                <w:rFonts w:ascii="Arial" w:hAnsi="Arial" w:cs="Arial"/>
                <w:color w:val="000000"/>
                <w:sz w:val="18"/>
                <w:szCs w:val="18"/>
              </w:rPr>
              <w:t xml:space="preserve">$44 </w:t>
            </w:r>
          </w:p>
        </w:tc>
        <w:tc>
          <w:tcPr>
            <w:tcW w:w="1167" w:type="dxa"/>
            <w:tcBorders>
              <w:top w:val="nil"/>
              <w:left w:val="nil"/>
              <w:bottom w:val="single" w:color="D8D8D8" w:sz="8" w:space="0"/>
              <w:right w:val="single" w:color="auto" w:sz="8" w:space="0"/>
            </w:tcBorders>
            <w:shd w:val="clear" w:color="auto" w:fill="auto"/>
            <w:vAlign w:val="center"/>
            <w:hideMark/>
          </w:tcPr>
          <w:p w:rsidRPr="003251DC" w:rsidR="003251DC" w:rsidP="003251DC" w:rsidRDefault="003251DC" w14:paraId="11342ACC" w14:textId="77777777">
            <w:pPr>
              <w:overflowPunct/>
              <w:autoSpaceDE/>
              <w:autoSpaceDN/>
              <w:adjustRightInd/>
              <w:jc w:val="right"/>
              <w:textAlignment w:val="auto"/>
              <w:rPr>
                <w:rFonts w:ascii="Arial" w:hAnsi="Arial" w:cs="Arial"/>
                <w:color w:val="000000"/>
                <w:sz w:val="18"/>
                <w:szCs w:val="18"/>
              </w:rPr>
            </w:pPr>
            <w:r w:rsidRPr="003251DC">
              <w:rPr>
                <w:rFonts w:ascii="Arial" w:hAnsi="Arial" w:cs="Arial"/>
                <w:color w:val="000000"/>
                <w:sz w:val="18"/>
                <w:szCs w:val="18"/>
              </w:rPr>
              <w:t xml:space="preserve">$246,960 </w:t>
            </w:r>
          </w:p>
        </w:tc>
      </w:tr>
      <w:tr w:rsidRPr="003251DC" w:rsidR="003251DC" w:rsidTr="003251DC" w14:paraId="74BBE554" w14:textId="77777777">
        <w:trPr>
          <w:trHeight w:val="315"/>
        </w:trPr>
        <w:tc>
          <w:tcPr>
            <w:tcW w:w="918" w:type="dxa"/>
            <w:tcBorders>
              <w:top w:val="nil"/>
              <w:left w:val="single" w:color="auto" w:sz="8" w:space="0"/>
              <w:bottom w:val="single" w:color="D8D8D8" w:sz="8" w:space="0"/>
              <w:right w:val="single" w:color="D8D8D8" w:sz="8" w:space="0"/>
            </w:tcBorders>
            <w:shd w:val="clear" w:color="auto" w:fill="auto"/>
            <w:vAlign w:val="center"/>
            <w:hideMark/>
          </w:tcPr>
          <w:p w:rsidRPr="003251DC" w:rsidR="003251DC" w:rsidP="003251DC" w:rsidRDefault="003251DC" w14:paraId="44C4EC7D" w14:textId="77777777">
            <w:pPr>
              <w:overflowPunct/>
              <w:autoSpaceDE/>
              <w:autoSpaceDN/>
              <w:adjustRightInd/>
              <w:jc w:val="right"/>
              <w:textAlignment w:val="auto"/>
              <w:rPr>
                <w:rFonts w:ascii="Arial" w:hAnsi="Arial" w:cs="Arial"/>
                <w:color w:val="000000"/>
                <w:sz w:val="18"/>
                <w:szCs w:val="18"/>
              </w:rPr>
            </w:pPr>
            <w:r w:rsidRPr="003251DC">
              <w:rPr>
                <w:rFonts w:ascii="Arial" w:hAnsi="Arial" w:cs="Arial"/>
                <w:color w:val="000000"/>
                <w:sz w:val="18"/>
                <w:szCs w:val="18"/>
              </w:rPr>
              <w:t>2</w:t>
            </w:r>
          </w:p>
        </w:tc>
        <w:tc>
          <w:tcPr>
            <w:tcW w:w="1108"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51B13F91" w14:textId="77777777">
            <w:pPr>
              <w:overflowPunct/>
              <w:autoSpaceDE/>
              <w:autoSpaceDN/>
              <w:adjustRightInd/>
              <w:textAlignment w:val="auto"/>
              <w:rPr>
                <w:color w:val="000000"/>
              </w:rPr>
            </w:pPr>
            <w:r w:rsidRPr="003251DC">
              <w:rPr>
                <w:color w:val="000000"/>
              </w:rPr>
              <w:t>5-Yr Plan</w:t>
            </w:r>
          </w:p>
        </w:tc>
        <w:tc>
          <w:tcPr>
            <w:tcW w:w="973"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17E07472" w14:textId="77777777">
            <w:pPr>
              <w:overflowPunct/>
              <w:autoSpaceDE/>
              <w:autoSpaceDN/>
              <w:adjustRightInd/>
              <w:textAlignment w:val="auto"/>
              <w:rPr>
                <w:color w:val="000000"/>
              </w:rPr>
            </w:pPr>
            <w:r w:rsidRPr="003251DC">
              <w:rPr>
                <w:color w:val="000000"/>
              </w:rPr>
              <w:t>2,000</w:t>
            </w:r>
            <w:r w:rsidRPr="003251DC">
              <w:rPr>
                <w:color w:val="000000"/>
                <w:sz w:val="16"/>
                <w:szCs w:val="16"/>
              </w:rPr>
              <w:t> </w:t>
            </w:r>
          </w:p>
        </w:tc>
        <w:tc>
          <w:tcPr>
            <w:tcW w:w="951"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18DFF9EE" w14:textId="77777777">
            <w:pPr>
              <w:overflowPunct/>
              <w:autoSpaceDE/>
              <w:autoSpaceDN/>
              <w:adjustRightInd/>
              <w:jc w:val="right"/>
              <w:textAlignment w:val="auto"/>
              <w:rPr>
                <w:color w:val="000000"/>
              </w:rPr>
            </w:pPr>
            <w:r w:rsidRPr="003251DC">
              <w:rPr>
                <w:color w:val="000000"/>
              </w:rPr>
              <w:t>1</w:t>
            </w:r>
          </w:p>
        </w:tc>
        <w:tc>
          <w:tcPr>
            <w:tcW w:w="1465"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6383E1FF" w14:textId="77777777">
            <w:pPr>
              <w:overflowPunct/>
              <w:autoSpaceDE/>
              <w:autoSpaceDN/>
              <w:adjustRightInd/>
              <w:jc w:val="right"/>
              <w:textAlignment w:val="auto"/>
              <w:rPr>
                <w:color w:val="000000"/>
              </w:rPr>
            </w:pPr>
            <w:r w:rsidRPr="003251DC">
              <w:rPr>
                <w:color w:val="000000"/>
              </w:rPr>
              <w:t>2,000</w:t>
            </w:r>
          </w:p>
        </w:tc>
        <w:tc>
          <w:tcPr>
            <w:tcW w:w="949"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5581D8DD" w14:textId="77777777">
            <w:pPr>
              <w:overflowPunct/>
              <w:autoSpaceDE/>
              <w:autoSpaceDN/>
              <w:adjustRightInd/>
              <w:jc w:val="right"/>
              <w:textAlignment w:val="auto"/>
              <w:rPr>
                <w:color w:val="000000"/>
              </w:rPr>
            </w:pPr>
            <w:r w:rsidRPr="003251DC">
              <w:rPr>
                <w:color w:val="000000"/>
              </w:rPr>
              <w:t>2</w:t>
            </w:r>
          </w:p>
        </w:tc>
        <w:tc>
          <w:tcPr>
            <w:tcW w:w="940"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71697F55" w14:textId="77777777">
            <w:pPr>
              <w:overflowPunct/>
              <w:autoSpaceDE/>
              <w:autoSpaceDN/>
              <w:adjustRightInd/>
              <w:jc w:val="right"/>
              <w:textAlignment w:val="auto"/>
              <w:rPr>
                <w:color w:val="000000"/>
              </w:rPr>
            </w:pPr>
            <w:r w:rsidRPr="003251DC">
              <w:rPr>
                <w:color w:val="000000"/>
              </w:rPr>
              <w:t>4,000</w:t>
            </w:r>
          </w:p>
        </w:tc>
        <w:tc>
          <w:tcPr>
            <w:tcW w:w="929"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7746D30A" w14:textId="77777777">
            <w:pPr>
              <w:overflowPunct/>
              <w:autoSpaceDE/>
              <w:autoSpaceDN/>
              <w:adjustRightInd/>
              <w:jc w:val="right"/>
              <w:textAlignment w:val="auto"/>
              <w:rPr>
                <w:rFonts w:ascii="Arial" w:hAnsi="Arial" w:cs="Arial"/>
                <w:color w:val="000000"/>
                <w:sz w:val="18"/>
                <w:szCs w:val="18"/>
              </w:rPr>
            </w:pPr>
            <w:r w:rsidRPr="003251DC">
              <w:rPr>
                <w:rFonts w:ascii="Arial" w:hAnsi="Arial" w:cs="Arial"/>
                <w:color w:val="000000"/>
                <w:sz w:val="18"/>
                <w:szCs w:val="18"/>
              </w:rPr>
              <w:t xml:space="preserve">$44 </w:t>
            </w:r>
          </w:p>
        </w:tc>
        <w:tc>
          <w:tcPr>
            <w:tcW w:w="1167" w:type="dxa"/>
            <w:tcBorders>
              <w:top w:val="nil"/>
              <w:left w:val="nil"/>
              <w:bottom w:val="single" w:color="D8D8D8" w:sz="8" w:space="0"/>
              <w:right w:val="single" w:color="auto" w:sz="8" w:space="0"/>
            </w:tcBorders>
            <w:shd w:val="clear" w:color="auto" w:fill="auto"/>
            <w:vAlign w:val="center"/>
            <w:hideMark/>
          </w:tcPr>
          <w:p w:rsidRPr="003251DC" w:rsidR="003251DC" w:rsidP="003251DC" w:rsidRDefault="003251DC" w14:paraId="731B2DE0" w14:textId="77777777">
            <w:pPr>
              <w:overflowPunct/>
              <w:autoSpaceDE/>
              <w:autoSpaceDN/>
              <w:adjustRightInd/>
              <w:jc w:val="right"/>
              <w:textAlignment w:val="auto"/>
              <w:rPr>
                <w:rFonts w:ascii="Arial" w:hAnsi="Arial" w:cs="Arial"/>
                <w:color w:val="000000"/>
                <w:sz w:val="18"/>
                <w:szCs w:val="18"/>
              </w:rPr>
            </w:pPr>
            <w:r w:rsidRPr="003251DC">
              <w:rPr>
                <w:rFonts w:ascii="Arial" w:hAnsi="Arial" w:cs="Arial"/>
                <w:color w:val="000000"/>
                <w:sz w:val="18"/>
                <w:szCs w:val="18"/>
              </w:rPr>
              <w:t xml:space="preserve">$176,400 </w:t>
            </w:r>
          </w:p>
        </w:tc>
      </w:tr>
      <w:tr w:rsidRPr="003251DC" w:rsidR="003251DC" w:rsidTr="003251DC" w14:paraId="356F5989" w14:textId="77777777">
        <w:trPr>
          <w:trHeight w:val="780"/>
        </w:trPr>
        <w:tc>
          <w:tcPr>
            <w:tcW w:w="918" w:type="dxa"/>
            <w:tcBorders>
              <w:top w:val="nil"/>
              <w:left w:val="single" w:color="auto" w:sz="8" w:space="0"/>
              <w:bottom w:val="single" w:color="D8D8D8" w:sz="8" w:space="0"/>
              <w:right w:val="single" w:color="D8D8D8" w:sz="8" w:space="0"/>
            </w:tcBorders>
            <w:shd w:val="clear" w:color="auto" w:fill="auto"/>
            <w:vAlign w:val="center"/>
            <w:hideMark/>
          </w:tcPr>
          <w:p w:rsidRPr="003251DC" w:rsidR="003251DC" w:rsidP="003251DC" w:rsidRDefault="003251DC" w14:paraId="6759CA90" w14:textId="77777777">
            <w:pPr>
              <w:overflowPunct/>
              <w:autoSpaceDE/>
              <w:autoSpaceDN/>
              <w:adjustRightInd/>
              <w:jc w:val="right"/>
              <w:textAlignment w:val="auto"/>
              <w:rPr>
                <w:rFonts w:ascii="Arial" w:hAnsi="Arial" w:cs="Arial"/>
                <w:color w:val="000000"/>
                <w:sz w:val="18"/>
                <w:szCs w:val="18"/>
              </w:rPr>
            </w:pPr>
            <w:r w:rsidRPr="003251DC">
              <w:rPr>
                <w:rFonts w:ascii="Arial" w:hAnsi="Arial" w:cs="Arial"/>
                <w:color w:val="000000"/>
                <w:sz w:val="18"/>
                <w:szCs w:val="18"/>
              </w:rPr>
              <w:t>3</w:t>
            </w:r>
          </w:p>
        </w:tc>
        <w:tc>
          <w:tcPr>
            <w:tcW w:w="1108"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7ABCEAAC" w14:textId="77777777">
            <w:pPr>
              <w:overflowPunct/>
              <w:autoSpaceDE/>
              <w:autoSpaceDN/>
              <w:adjustRightInd/>
              <w:textAlignment w:val="auto"/>
              <w:rPr>
                <w:color w:val="000000"/>
              </w:rPr>
            </w:pPr>
            <w:r w:rsidRPr="003251DC">
              <w:rPr>
                <w:color w:val="000000"/>
              </w:rPr>
              <w:t xml:space="preserve">Annual </w:t>
            </w:r>
            <w:proofErr w:type="spellStart"/>
            <w:r w:rsidRPr="003251DC">
              <w:rPr>
                <w:color w:val="000000"/>
              </w:rPr>
              <w:t>Stmt</w:t>
            </w:r>
            <w:proofErr w:type="spellEnd"/>
            <w:r w:rsidRPr="003251DC">
              <w:rPr>
                <w:color w:val="000000"/>
              </w:rPr>
              <w:t>/Budget</w:t>
            </w:r>
          </w:p>
        </w:tc>
        <w:tc>
          <w:tcPr>
            <w:tcW w:w="973"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3C83CC0F" w14:textId="77777777">
            <w:pPr>
              <w:overflowPunct/>
              <w:autoSpaceDE/>
              <w:autoSpaceDN/>
              <w:adjustRightInd/>
              <w:textAlignment w:val="auto"/>
              <w:rPr>
                <w:color w:val="000000"/>
              </w:rPr>
            </w:pPr>
            <w:r w:rsidRPr="003251DC">
              <w:rPr>
                <w:color w:val="000000"/>
              </w:rPr>
              <w:t>2,800</w:t>
            </w:r>
            <w:r w:rsidRPr="003251DC">
              <w:rPr>
                <w:color w:val="000000"/>
                <w:sz w:val="16"/>
                <w:szCs w:val="16"/>
              </w:rPr>
              <w:t> </w:t>
            </w:r>
          </w:p>
        </w:tc>
        <w:tc>
          <w:tcPr>
            <w:tcW w:w="951"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273833CB" w14:textId="77777777">
            <w:pPr>
              <w:overflowPunct/>
              <w:autoSpaceDE/>
              <w:autoSpaceDN/>
              <w:adjustRightInd/>
              <w:jc w:val="right"/>
              <w:textAlignment w:val="auto"/>
              <w:rPr>
                <w:color w:val="000000"/>
              </w:rPr>
            </w:pPr>
            <w:r w:rsidRPr="003251DC">
              <w:rPr>
                <w:color w:val="000000"/>
              </w:rPr>
              <w:t>3</w:t>
            </w:r>
          </w:p>
        </w:tc>
        <w:tc>
          <w:tcPr>
            <w:tcW w:w="1465"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3227AC24" w14:textId="77777777">
            <w:pPr>
              <w:overflowPunct/>
              <w:autoSpaceDE/>
              <w:autoSpaceDN/>
              <w:adjustRightInd/>
              <w:jc w:val="right"/>
              <w:textAlignment w:val="auto"/>
              <w:rPr>
                <w:color w:val="000000"/>
              </w:rPr>
            </w:pPr>
            <w:r w:rsidRPr="003251DC">
              <w:rPr>
                <w:color w:val="000000"/>
              </w:rPr>
              <w:t>8,400</w:t>
            </w:r>
          </w:p>
        </w:tc>
        <w:tc>
          <w:tcPr>
            <w:tcW w:w="949"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3703C02A" w14:textId="77777777">
            <w:pPr>
              <w:overflowPunct/>
              <w:autoSpaceDE/>
              <w:autoSpaceDN/>
              <w:adjustRightInd/>
              <w:jc w:val="right"/>
              <w:textAlignment w:val="auto"/>
              <w:rPr>
                <w:color w:val="000000"/>
              </w:rPr>
            </w:pPr>
            <w:r w:rsidRPr="003251DC">
              <w:rPr>
                <w:color w:val="000000"/>
              </w:rPr>
              <w:t>1</w:t>
            </w:r>
          </w:p>
        </w:tc>
        <w:tc>
          <w:tcPr>
            <w:tcW w:w="940"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25EFD1FE" w14:textId="77777777">
            <w:pPr>
              <w:overflowPunct/>
              <w:autoSpaceDE/>
              <w:autoSpaceDN/>
              <w:adjustRightInd/>
              <w:jc w:val="right"/>
              <w:textAlignment w:val="auto"/>
              <w:rPr>
                <w:color w:val="000000"/>
              </w:rPr>
            </w:pPr>
            <w:r w:rsidRPr="003251DC">
              <w:rPr>
                <w:color w:val="000000"/>
              </w:rPr>
              <w:t>8,400</w:t>
            </w:r>
          </w:p>
        </w:tc>
        <w:tc>
          <w:tcPr>
            <w:tcW w:w="929"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7C57C2BB" w14:textId="77777777">
            <w:pPr>
              <w:overflowPunct/>
              <w:autoSpaceDE/>
              <w:autoSpaceDN/>
              <w:adjustRightInd/>
              <w:jc w:val="right"/>
              <w:textAlignment w:val="auto"/>
              <w:rPr>
                <w:rFonts w:ascii="Arial" w:hAnsi="Arial" w:cs="Arial"/>
                <w:color w:val="000000"/>
                <w:sz w:val="18"/>
                <w:szCs w:val="18"/>
              </w:rPr>
            </w:pPr>
            <w:r w:rsidRPr="003251DC">
              <w:rPr>
                <w:rFonts w:ascii="Arial" w:hAnsi="Arial" w:cs="Arial"/>
                <w:color w:val="000000"/>
                <w:sz w:val="18"/>
                <w:szCs w:val="18"/>
              </w:rPr>
              <w:t xml:space="preserve">$44 </w:t>
            </w:r>
          </w:p>
        </w:tc>
        <w:tc>
          <w:tcPr>
            <w:tcW w:w="1167" w:type="dxa"/>
            <w:tcBorders>
              <w:top w:val="nil"/>
              <w:left w:val="nil"/>
              <w:bottom w:val="single" w:color="D8D8D8" w:sz="8" w:space="0"/>
              <w:right w:val="single" w:color="auto" w:sz="8" w:space="0"/>
            </w:tcBorders>
            <w:shd w:val="clear" w:color="auto" w:fill="auto"/>
            <w:vAlign w:val="center"/>
            <w:hideMark/>
          </w:tcPr>
          <w:p w:rsidRPr="003251DC" w:rsidR="003251DC" w:rsidP="003251DC" w:rsidRDefault="003251DC" w14:paraId="4DD66862" w14:textId="77777777">
            <w:pPr>
              <w:overflowPunct/>
              <w:autoSpaceDE/>
              <w:autoSpaceDN/>
              <w:adjustRightInd/>
              <w:jc w:val="right"/>
              <w:textAlignment w:val="auto"/>
              <w:rPr>
                <w:rFonts w:ascii="Arial" w:hAnsi="Arial" w:cs="Arial"/>
                <w:color w:val="000000"/>
                <w:sz w:val="18"/>
                <w:szCs w:val="18"/>
              </w:rPr>
            </w:pPr>
            <w:r w:rsidRPr="003251DC">
              <w:rPr>
                <w:rFonts w:ascii="Arial" w:hAnsi="Arial" w:cs="Arial"/>
                <w:color w:val="000000"/>
                <w:sz w:val="18"/>
                <w:szCs w:val="18"/>
              </w:rPr>
              <w:t xml:space="preserve">$370,440 </w:t>
            </w:r>
          </w:p>
        </w:tc>
      </w:tr>
      <w:tr w:rsidRPr="003251DC" w:rsidR="003251DC" w:rsidTr="003251DC" w14:paraId="1D5B81DA" w14:textId="77777777">
        <w:trPr>
          <w:trHeight w:val="315"/>
        </w:trPr>
        <w:tc>
          <w:tcPr>
            <w:tcW w:w="918" w:type="dxa"/>
            <w:tcBorders>
              <w:top w:val="nil"/>
              <w:left w:val="single" w:color="auto" w:sz="8" w:space="0"/>
              <w:bottom w:val="single" w:color="D8D8D8" w:sz="8" w:space="0"/>
              <w:right w:val="single" w:color="D8D8D8" w:sz="8" w:space="0"/>
            </w:tcBorders>
            <w:shd w:val="clear" w:color="auto" w:fill="auto"/>
            <w:vAlign w:val="center"/>
            <w:hideMark/>
          </w:tcPr>
          <w:p w:rsidRPr="003251DC" w:rsidR="003251DC" w:rsidP="003251DC" w:rsidRDefault="003251DC" w14:paraId="0BCA9FC2" w14:textId="77777777">
            <w:pPr>
              <w:overflowPunct/>
              <w:autoSpaceDE/>
              <w:autoSpaceDN/>
              <w:adjustRightInd/>
              <w:jc w:val="right"/>
              <w:textAlignment w:val="auto"/>
              <w:rPr>
                <w:rFonts w:ascii="Arial" w:hAnsi="Arial" w:cs="Arial"/>
                <w:color w:val="000000"/>
                <w:sz w:val="18"/>
                <w:szCs w:val="18"/>
              </w:rPr>
            </w:pPr>
            <w:r w:rsidRPr="003251DC">
              <w:rPr>
                <w:rFonts w:ascii="Arial" w:hAnsi="Arial" w:cs="Arial"/>
                <w:color w:val="000000"/>
                <w:sz w:val="18"/>
                <w:szCs w:val="18"/>
              </w:rPr>
              <w:t>4</w:t>
            </w:r>
          </w:p>
        </w:tc>
        <w:tc>
          <w:tcPr>
            <w:tcW w:w="1108"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775F97C9" w14:textId="77777777">
            <w:pPr>
              <w:overflowPunct/>
              <w:autoSpaceDE/>
              <w:autoSpaceDN/>
              <w:adjustRightInd/>
              <w:textAlignment w:val="auto"/>
              <w:rPr>
                <w:color w:val="000000"/>
              </w:rPr>
            </w:pPr>
            <w:r w:rsidRPr="003251DC">
              <w:rPr>
                <w:color w:val="000000"/>
              </w:rPr>
              <w:t>P&amp;E</w:t>
            </w:r>
          </w:p>
        </w:tc>
        <w:tc>
          <w:tcPr>
            <w:tcW w:w="973"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294EF0B5" w14:textId="77777777">
            <w:pPr>
              <w:overflowPunct/>
              <w:autoSpaceDE/>
              <w:autoSpaceDN/>
              <w:adjustRightInd/>
              <w:textAlignment w:val="auto"/>
              <w:rPr>
                <w:color w:val="000000"/>
              </w:rPr>
            </w:pPr>
            <w:r w:rsidRPr="003251DC">
              <w:rPr>
                <w:color w:val="000000"/>
              </w:rPr>
              <w:t>2,800</w:t>
            </w:r>
            <w:r w:rsidRPr="003251DC">
              <w:rPr>
                <w:color w:val="000000"/>
                <w:sz w:val="16"/>
                <w:szCs w:val="16"/>
              </w:rPr>
              <w:t> </w:t>
            </w:r>
          </w:p>
        </w:tc>
        <w:tc>
          <w:tcPr>
            <w:tcW w:w="951"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54751ECD" w14:textId="77777777">
            <w:pPr>
              <w:overflowPunct/>
              <w:autoSpaceDE/>
              <w:autoSpaceDN/>
              <w:adjustRightInd/>
              <w:jc w:val="right"/>
              <w:textAlignment w:val="auto"/>
              <w:rPr>
                <w:color w:val="000000"/>
              </w:rPr>
            </w:pPr>
            <w:r w:rsidRPr="003251DC">
              <w:rPr>
                <w:color w:val="000000"/>
              </w:rPr>
              <w:t>0.5</w:t>
            </w:r>
          </w:p>
        </w:tc>
        <w:tc>
          <w:tcPr>
            <w:tcW w:w="1465"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2C2B9084" w14:textId="77777777">
            <w:pPr>
              <w:overflowPunct/>
              <w:autoSpaceDE/>
              <w:autoSpaceDN/>
              <w:adjustRightInd/>
              <w:jc w:val="right"/>
              <w:textAlignment w:val="auto"/>
              <w:rPr>
                <w:color w:val="000000"/>
              </w:rPr>
            </w:pPr>
            <w:r w:rsidRPr="003251DC">
              <w:rPr>
                <w:color w:val="000000"/>
              </w:rPr>
              <w:t>1,475</w:t>
            </w:r>
          </w:p>
        </w:tc>
        <w:tc>
          <w:tcPr>
            <w:tcW w:w="949"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1E53DCF7" w14:textId="77777777">
            <w:pPr>
              <w:overflowPunct/>
              <w:autoSpaceDE/>
              <w:autoSpaceDN/>
              <w:adjustRightInd/>
              <w:jc w:val="right"/>
              <w:textAlignment w:val="auto"/>
              <w:rPr>
                <w:color w:val="000000"/>
              </w:rPr>
            </w:pPr>
            <w:r w:rsidRPr="003251DC">
              <w:rPr>
                <w:color w:val="000000"/>
              </w:rPr>
              <w:t>1</w:t>
            </w:r>
          </w:p>
        </w:tc>
        <w:tc>
          <w:tcPr>
            <w:tcW w:w="940"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1250AE60" w14:textId="77777777">
            <w:pPr>
              <w:overflowPunct/>
              <w:autoSpaceDE/>
              <w:autoSpaceDN/>
              <w:adjustRightInd/>
              <w:jc w:val="right"/>
              <w:textAlignment w:val="auto"/>
              <w:rPr>
                <w:color w:val="000000"/>
              </w:rPr>
            </w:pPr>
            <w:r w:rsidRPr="003251DC">
              <w:rPr>
                <w:color w:val="000000"/>
              </w:rPr>
              <w:t>1,475</w:t>
            </w:r>
          </w:p>
        </w:tc>
        <w:tc>
          <w:tcPr>
            <w:tcW w:w="929"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3C3E46A8" w14:textId="77777777">
            <w:pPr>
              <w:overflowPunct/>
              <w:autoSpaceDE/>
              <w:autoSpaceDN/>
              <w:adjustRightInd/>
              <w:jc w:val="right"/>
              <w:textAlignment w:val="auto"/>
              <w:rPr>
                <w:rFonts w:ascii="Arial" w:hAnsi="Arial" w:cs="Arial"/>
                <w:color w:val="000000"/>
                <w:sz w:val="18"/>
                <w:szCs w:val="18"/>
              </w:rPr>
            </w:pPr>
            <w:r w:rsidRPr="003251DC">
              <w:rPr>
                <w:rFonts w:ascii="Arial" w:hAnsi="Arial" w:cs="Arial"/>
                <w:color w:val="000000"/>
                <w:sz w:val="18"/>
                <w:szCs w:val="18"/>
              </w:rPr>
              <w:t xml:space="preserve">$44 </w:t>
            </w:r>
          </w:p>
        </w:tc>
        <w:tc>
          <w:tcPr>
            <w:tcW w:w="1167" w:type="dxa"/>
            <w:tcBorders>
              <w:top w:val="nil"/>
              <w:left w:val="nil"/>
              <w:bottom w:val="single" w:color="D8D8D8" w:sz="8" w:space="0"/>
              <w:right w:val="single" w:color="auto" w:sz="8" w:space="0"/>
            </w:tcBorders>
            <w:shd w:val="clear" w:color="auto" w:fill="auto"/>
            <w:vAlign w:val="center"/>
            <w:hideMark/>
          </w:tcPr>
          <w:p w:rsidRPr="003251DC" w:rsidR="003251DC" w:rsidP="003251DC" w:rsidRDefault="003251DC" w14:paraId="3C297432" w14:textId="77777777">
            <w:pPr>
              <w:overflowPunct/>
              <w:autoSpaceDE/>
              <w:autoSpaceDN/>
              <w:adjustRightInd/>
              <w:jc w:val="right"/>
              <w:textAlignment w:val="auto"/>
              <w:rPr>
                <w:rFonts w:ascii="Arial" w:hAnsi="Arial" w:cs="Arial"/>
                <w:color w:val="000000"/>
                <w:sz w:val="18"/>
                <w:szCs w:val="18"/>
              </w:rPr>
            </w:pPr>
            <w:r w:rsidRPr="003251DC">
              <w:rPr>
                <w:rFonts w:ascii="Arial" w:hAnsi="Arial" w:cs="Arial"/>
                <w:color w:val="000000"/>
                <w:sz w:val="18"/>
                <w:szCs w:val="18"/>
              </w:rPr>
              <w:t xml:space="preserve">$65,048 </w:t>
            </w:r>
          </w:p>
        </w:tc>
      </w:tr>
      <w:tr w:rsidRPr="003251DC" w:rsidR="003251DC" w:rsidTr="003251DC" w14:paraId="071B38BB" w14:textId="77777777">
        <w:trPr>
          <w:trHeight w:val="780"/>
        </w:trPr>
        <w:tc>
          <w:tcPr>
            <w:tcW w:w="918" w:type="dxa"/>
            <w:tcBorders>
              <w:top w:val="nil"/>
              <w:left w:val="single" w:color="auto" w:sz="8" w:space="0"/>
              <w:bottom w:val="single" w:color="D8D8D8" w:sz="8" w:space="0"/>
              <w:right w:val="single" w:color="D8D8D8" w:sz="8" w:space="0"/>
            </w:tcBorders>
            <w:shd w:val="clear" w:color="auto" w:fill="auto"/>
            <w:vAlign w:val="center"/>
            <w:hideMark/>
          </w:tcPr>
          <w:p w:rsidRPr="003251DC" w:rsidR="003251DC" w:rsidP="003251DC" w:rsidRDefault="003251DC" w14:paraId="5A9139F2" w14:textId="77777777">
            <w:pPr>
              <w:overflowPunct/>
              <w:autoSpaceDE/>
              <w:autoSpaceDN/>
              <w:adjustRightInd/>
              <w:jc w:val="right"/>
              <w:textAlignment w:val="auto"/>
              <w:rPr>
                <w:rFonts w:ascii="Arial" w:hAnsi="Arial" w:cs="Arial"/>
                <w:color w:val="000000"/>
                <w:sz w:val="18"/>
                <w:szCs w:val="18"/>
              </w:rPr>
            </w:pPr>
            <w:r w:rsidRPr="003251DC">
              <w:rPr>
                <w:rFonts w:ascii="Arial" w:hAnsi="Arial" w:cs="Arial"/>
                <w:color w:val="000000"/>
                <w:sz w:val="18"/>
                <w:szCs w:val="18"/>
              </w:rPr>
              <w:t>5</w:t>
            </w:r>
          </w:p>
        </w:tc>
        <w:tc>
          <w:tcPr>
            <w:tcW w:w="1108"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1068EA22" w14:textId="77777777">
            <w:pPr>
              <w:overflowPunct/>
              <w:autoSpaceDE/>
              <w:autoSpaceDN/>
              <w:adjustRightInd/>
              <w:textAlignment w:val="auto"/>
              <w:rPr>
                <w:color w:val="000000"/>
              </w:rPr>
            </w:pPr>
            <w:r w:rsidRPr="003251DC">
              <w:rPr>
                <w:color w:val="000000"/>
              </w:rPr>
              <w:t>Document Management Center</w:t>
            </w:r>
          </w:p>
        </w:tc>
        <w:tc>
          <w:tcPr>
            <w:tcW w:w="973"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23EADF70" w14:textId="77777777">
            <w:pPr>
              <w:overflowPunct/>
              <w:autoSpaceDE/>
              <w:autoSpaceDN/>
              <w:adjustRightInd/>
              <w:textAlignment w:val="auto"/>
              <w:rPr>
                <w:color w:val="000000"/>
              </w:rPr>
            </w:pPr>
            <w:r w:rsidRPr="003251DC">
              <w:rPr>
                <w:color w:val="000000"/>
              </w:rPr>
              <w:t>2,800</w:t>
            </w:r>
            <w:r w:rsidRPr="003251DC">
              <w:rPr>
                <w:color w:val="000000"/>
                <w:sz w:val="16"/>
                <w:szCs w:val="16"/>
              </w:rPr>
              <w:t> </w:t>
            </w:r>
          </w:p>
        </w:tc>
        <w:tc>
          <w:tcPr>
            <w:tcW w:w="951"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048A914D" w14:textId="77777777">
            <w:pPr>
              <w:overflowPunct/>
              <w:autoSpaceDE/>
              <w:autoSpaceDN/>
              <w:adjustRightInd/>
              <w:jc w:val="right"/>
              <w:textAlignment w:val="auto"/>
              <w:rPr>
                <w:color w:val="000000"/>
              </w:rPr>
            </w:pPr>
            <w:r w:rsidRPr="003251DC">
              <w:rPr>
                <w:color w:val="000000"/>
              </w:rPr>
              <w:t>2</w:t>
            </w:r>
          </w:p>
        </w:tc>
        <w:tc>
          <w:tcPr>
            <w:tcW w:w="1465"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52F4E0A2" w14:textId="77777777">
            <w:pPr>
              <w:overflowPunct/>
              <w:autoSpaceDE/>
              <w:autoSpaceDN/>
              <w:adjustRightInd/>
              <w:jc w:val="right"/>
              <w:textAlignment w:val="auto"/>
              <w:rPr>
                <w:color w:val="000000"/>
              </w:rPr>
            </w:pPr>
            <w:r w:rsidRPr="003251DC">
              <w:rPr>
                <w:color w:val="000000"/>
              </w:rPr>
              <w:t>5,600</w:t>
            </w:r>
          </w:p>
        </w:tc>
        <w:tc>
          <w:tcPr>
            <w:tcW w:w="949"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175A8065" w14:textId="77777777">
            <w:pPr>
              <w:overflowPunct/>
              <w:autoSpaceDE/>
              <w:autoSpaceDN/>
              <w:adjustRightInd/>
              <w:jc w:val="right"/>
              <w:textAlignment w:val="auto"/>
              <w:rPr>
                <w:color w:val="000000"/>
              </w:rPr>
            </w:pPr>
            <w:r w:rsidRPr="003251DC">
              <w:rPr>
                <w:color w:val="000000"/>
              </w:rPr>
              <w:t>0.5</w:t>
            </w:r>
          </w:p>
        </w:tc>
        <w:tc>
          <w:tcPr>
            <w:tcW w:w="940"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05FC587E" w14:textId="77777777">
            <w:pPr>
              <w:overflowPunct/>
              <w:autoSpaceDE/>
              <w:autoSpaceDN/>
              <w:adjustRightInd/>
              <w:jc w:val="right"/>
              <w:textAlignment w:val="auto"/>
              <w:rPr>
                <w:color w:val="000000"/>
              </w:rPr>
            </w:pPr>
            <w:r w:rsidRPr="003251DC">
              <w:rPr>
                <w:color w:val="000000"/>
              </w:rPr>
              <w:t>2,800</w:t>
            </w:r>
          </w:p>
        </w:tc>
        <w:tc>
          <w:tcPr>
            <w:tcW w:w="929"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3CDB9D49" w14:textId="77777777">
            <w:pPr>
              <w:overflowPunct/>
              <w:autoSpaceDE/>
              <w:autoSpaceDN/>
              <w:adjustRightInd/>
              <w:jc w:val="right"/>
              <w:textAlignment w:val="auto"/>
              <w:rPr>
                <w:rFonts w:ascii="Arial" w:hAnsi="Arial" w:cs="Arial"/>
                <w:color w:val="000000"/>
                <w:sz w:val="18"/>
                <w:szCs w:val="18"/>
              </w:rPr>
            </w:pPr>
            <w:r w:rsidRPr="003251DC">
              <w:rPr>
                <w:rFonts w:ascii="Arial" w:hAnsi="Arial" w:cs="Arial"/>
                <w:color w:val="000000"/>
                <w:sz w:val="18"/>
                <w:szCs w:val="18"/>
              </w:rPr>
              <w:t xml:space="preserve">$44 </w:t>
            </w:r>
          </w:p>
        </w:tc>
        <w:tc>
          <w:tcPr>
            <w:tcW w:w="1167" w:type="dxa"/>
            <w:tcBorders>
              <w:top w:val="nil"/>
              <w:left w:val="nil"/>
              <w:bottom w:val="single" w:color="D8D8D8" w:sz="8" w:space="0"/>
              <w:right w:val="single" w:color="auto" w:sz="8" w:space="0"/>
            </w:tcBorders>
            <w:shd w:val="clear" w:color="auto" w:fill="auto"/>
            <w:vAlign w:val="center"/>
            <w:hideMark/>
          </w:tcPr>
          <w:p w:rsidRPr="003251DC" w:rsidR="003251DC" w:rsidP="003251DC" w:rsidRDefault="003251DC" w14:paraId="502DC63F" w14:textId="77777777">
            <w:pPr>
              <w:overflowPunct/>
              <w:autoSpaceDE/>
              <w:autoSpaceDN/>
              <w:adjustRightInd/>
              <w:jc w:val="right"/>
              <w:textAlignment w:val="auto"/>
              <w:rPr>
                <w:rFonts w:ascii="Arial" w:hAnsi="Arial" w:cs="Arial"/>
                <w:color w:val="000000"/>
                <w:sz w:val="18"/>
                <w:szCs w:val="18"/>
              </w:rPr>
            </w:pPr>
            <w:r w:rsidRPr="003251DC">
              <w:rPr>
                <w:rFonts w:ascii="Arial" w:hAnsi="Arial" w:cs="Arial"/>
                <w:color w:val="000000"/>
                <w:sz w:val="18"/>
                <w:szCs w:val="18"/>
              </w:rPr>
              <w:t xml:space="preserve">$123,480 </w:t>
            </w:r>
          </w:p>
        </w:tc>
      </w:tr>
      <w:tr w:rsidRPr="003251DC" w:rsidR="003251DC" w:rsidTr="003251DC" w14:paraId="4218FCFF" w14:textId="77777777">
        <w:trPr>
          <w:trHeight w:val="780"/>
        </w:trPr>
        <w:tc>
          <w:tcPr>
            <w:tcW w:w="918" w:type="dxa"/>
            <w:tcBorders>
              <w:top w:val="nil"/>
              <w:left w:val="single" w:color="auto" w:sz="8" w:space="0"/>
              <w:bottom w:val="single" w:color="D8D8D8" w:sz="8" w:space="0"/>
              <w:right w:val="single" w:color="D8D8D8" w:sz="8" w:space="0"/>
            </w:tcBorders>
            <w:shd w:val="clear" w:color="auto" w:fill="auto"/>
            <w:vAlign w:val="center"/>
            <w:hideMark/>
          </w:tcPr>
          <w:p w:rsidRPr="003251DC" w:rsidR="003251DC" w:rsidP="003251DC" w:rsidRDefault="003251DC" w14:paraId="3A5C093E" w14:textId="77777777">
            <w:pPr>
              <w:overflowPunct/>
              <w:autoSpaceDE/>
              <w:autoSpaceDN/>
              <w:adjustRightInd/>
              <w:jc w:val="right"/>
              <w:textAlignment w:val="auto"/>
              <w:rPr>
                <w:rFonts w:ascii="Arial" w:hAnsi="Arial" w:cs="Arial"/>
                <w:color w:val="000000"/>
                <w:sz w:val="18"/>
                <w:szCs w:val="18"/>
              </w:rPr>
            </w:pPr>
            <w:r w:rsidRPr="003251DC">
              <w:rPr>
                <w:rFonts w:ascii="Arial" w:hAnsi="Arial" w:cs="Arial"/>
                <w:color w:val="000000"/>
                <w:sz w:val="18"/>
                <w:szCs w:val="18"/>
              </w:rPr>
              <w:t>6</w:t>
            </w:r>
          </w:p>
        </w:tc>
        <w:tc>
          <w:tcPr>
            <w:tcW w:w="1108"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77DB68E9" w14:textId="77777777">
            <w:pPr>
              <w:overflowPunct/>
              <w:autoSpaceDE/>
              <w:autoSpaceDN/>
              <w:adjustRightInd/>
              <w:textAlignment w:val="auto"/>
              <w:rPr>
                <w:color w:val="000000"/>
              </w:rPr>
            </w:pPr>
            <w:r w:rsidRPr="003251DC">
              <w:rPr>
                <w:color w:val="000000"/>
              </w:rPr>
              <w:t>Additional Capital Resources</w:t>
            </w:r>
          </w:p>
        </w:tc>
        <w:tc>
          <w:tcPr>
            <w:tcW w:w="973"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3754A73C" w14:textId="77777777">
            <w:pPr>
              <w:overflowPunct/>
              <w:autoSpaceDE/>
              <w:autoSpaceDN/>
              <w:adjustRightInd/>
              <w:textAlignment w:val="auto"/>
              <w:rPr>
                <w:color w:val="000000"/>
              </w:rPr>
            </w:pPr>
            <w:r w:rsidRPr="003251DC">
              <w:rPr>
                <w:color w:val="000000"/>
              </w:rPr>
              <w:t>15</w:t>
            </w:r>
            <w:r w:rsidRPr="003251DC">
              <w:rPr>
                <w:color w:val="000000"/>
                <w:sz w:val="16"/>
                <w:szCs w:val="16"/>
              </w:rPr>
              <w:t> </w:t>
            </w:r>
          </w:p>
        </w:tc>
        <w:tc>
          <w:tcPr>
            <w:tcW w:w="951"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45A0748D" w14:textId="77777777">
            <w:pPr>
              <w:overflowPunct/>
              <w:autoSpaceDE/>
              <w:autoSpaceDN/>
              <w:adjustRightInd/>
              <w:jc w:val="right"/>
              <w:textAlignment w:val="auto"/>
              <w:rPr>
                <w:color w:val="000000"/>
              </w:rPr>
            </w:pPr>
            <w:r w:rsidRPr="003251DC">
              <w:rPr>
                <w:color w:val="000000"/>
              </w:rPr>
              <w:t>1</w:t>
            </w:r>
          </w:p>
        </w:tc>
        <w:tc>
          <w:tcPr>
            <w:tcW w:w="1465"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37A41133" w14:textId="77777777">
            <w:pPr>
              <w:overflowPunct/>
              <w:autoSpaceDE/>
              <w:autoSpaceDN/>
              <w:adjustRightInd/>
              <w:jc w:val="right"/>
              <w:textAlignment w:val="auto"/>
              <w:rPr>
                <w:color w:val="000000"/>
              </w:rPr>
            </w:pPr>
            <w:r w:rsidRPr="003251DC">
              <w:rPr>
                <w:color w:val="000000"/>
              </w:rPr>
              <w:t>15</w:t>
            </w:r>
          </w:p>
        </w:tc>
        <w:tc>
          <w:tcPr>
            <w:tcW w:w="949"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2C34B269" w14:textId="77777777">
            <w:pPr>
              <w:overflowPunct/>
              <w:autoSpaceDE/>
              <w:autoSpaceDN/>
              <w:adjustRightInd/>
              <w:jc w:val="right"/>
              <w:textAlignment w:val="auto"/>
              <w:rPr>
                <w:color w:val="000000"/>
              </w:rPr>
            </w:pPr>
            <w:r w:rsidRPr="003251DC">
              <w:rPr>
                <w:color w:val="000000"/>
              </w:rPr>
              <w:t>0.5</w:t>
            </w:r>
          </w:p>
        </w:tc>
        <w:tc>
          <w:tcPr>
            <w:tcW w:w="940"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7CAD3AA9" w14:textId="77777777">
            <w:pPr>
              <w:overflowPunct/>
              <w:autoSpaceDE/>
              <w:autoSpaceDN/>
              <w:adjustRightInd/>
              <w:jc w:val="right"/>
              <w:textAlignment w:val="auto"/>
              <w:rPr>
                <w:color w:val="000000"/>
              </w:rPr>
            </w:pPr>
            <w:r w:rsidRPr="003251DC">
              <w:rPr>
                <w:color w:val="000000"/>
              </w:rPr>
              <w:t>7.5</w:t>
            </w:r>
          </w:p>
        </w:tc>
        <w:tc>
          <w:tcPr>
            <w:tcW w:w="929"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1CB06167" w14:textId="77777777">
            <w:pPr>
              <w:overflowPunct/>
              <w:autoSpaceDE/>
              <w:autoSpaceDN/>
              <w:adjustRightInd/>
              <w:jc w:val="right"/>
              <w:textAlignment w:val="auto"/>
              <w:rPr>
                <w:rFonts w:ascii="Arial" w:hAnsi="Arial" w:cs="Arial"/>
                <w:color w:val="000000"/>
                <w:sz w:val="18"/>
                <w:szCs w:val="18"/>
              </w:rPr>
            </w:pPr>
            <w:r w:rsidRPr="003251DC">
              <w:rPr>
                <w:rFonts w:ascii="Arial" w:hAnsi="Arial" w:cs="Arial"/>
                <w:color w:val="000000"/>
                <w:sz w:val="18"/>
                <w:szCs w:val="18"/>
              </w:rPr>
              <w:t xml:space="preserve">$44 </w:t>
            </w:r>
          </w:p>
        </w:tc>
        <w:tc>
          <w:tcPr>
            <w:tcW w:w="1167" w:type="dxa"/>
            <w:tcBorders>
              <w:top w:val="nil"/>
              <w:left w:val="nil"/>
              <w:bottom w:val="single" w:color="D8D8D8" w:sz="8" w:space="0"/>
              <w:right w:val="single" w:color="auto" w:sz="8" w:space="0"/>
            </w:tcBorders>
            <w:shd w:val="clear" w:color="auto" w:fill="auto"/>
            <w:vAlign w:val="center"/>
            <w:hideMark/>
          </w:tcPr>
          <w:p w:rsidRPr="003251DC" w:rsidR="003251DC" w:rsidP="003251DC" w:rsidRDefault="003251DC" w14:paraId="35957792" w14:textId="77777777">
            <w:pPr>
              <w:overflowPunct/>
              <w:autoSpaceDE/>
              <w:autoSpaceDN/>
              <w:adjustRightInd/>
              <w:jc w:val="right"/>
              <w:textAlignment w:val="auto"/>
              <w:rPr>
                <w:rFonts w:ascii="Arial" w:hAnsi="Arial" w:cs="Arial"/>
                <w:color w:val="000000"/>
                <w:sz w:val="18"/>
                <w:szCs w:val="18"/>
              </w:rPr>
            </w:pPr>
            <w:r w:rsidRPr="003251DC">
              <w:rPr>
                <w:rFonts w:ascii="Arial" w:hAnsi="Arial" w:cs="Arial"/>
                <w:color w:val="000000"/>
                <w:sz w:val="18"/>
                <w:szCs w:val="18"/>
              </w:rPr>
              <w:t xml:space="preserve">$331 </w:t>
            </w:r>
          </w:p>
        </w:tc>
      </w:tr>
      <w:tr w:rsidRPr="003251DC" w:rsidR="003251DC" w:rsidTr="003251DC" w14:paraId="25396D04" w14:textId="77777777">
        <w:trPr>
          <w:trHeight w:val="315"/>
        </w:trPr>
        <w:tc>
          <w:tcPr>
            <w:tcW w:w="918" w:type="dxa"/>
            <w:vMerge w:val="restart"/>
            <w:tcBorders>
              <w:top w:val="nil"/>
              <w:left w:val="single" w:color="auto" w:sz="8" w:space="0"/>
              <w:bottom w:val="single" w:color="D8D8D8" w:sz="8" w:space="0"/>
              <w:right w:val="single" w:color="D8D8D8" w:sz="8" w:space="0"/>
            </w:tcBorders>
            <w:shd w:val="clear" w:color="auto" w:fill="auto"/>
            <w:vAlign w:val="center"/>
            <w:hideMark/>
          </w:tcPr>
          <w:p w:rsidRPr="003251DC" w:rsidR="003251DC" w:rsidP="003251DC" w:rsidRDefault="003251DC" w14:paraId="53AE9E20" w14:textId="77777777">
            <w:pPr>
              <w:overflowPunct/>
              <w:autoSpaceDE/>
              <w:autoSpaceDN/>
              <w:adjustRightInd/>
              <w:jc w:val="right"/>
              <w:textAlignment w:val="auto"/>
              <w:rPr>
                <w:rFonts w:ascii="Arial" w:hAnsi="Arial" w:cs="Arial"/>
                <w:color w:val="000000"/>
                <w:sz w:val="18"/>
                <w:szCs w:val="18"/>
              </w:rPr>
            </w:pPr>
            <w:r w:rsidRPr="003251DC">
              <w:rPr>
                <w:rFonts w:ascii="Arial" w:hAnsi="Arial" w:cs="Arial"/>
                <w:color w:val="000000"/>
                <w:sz w:val="18"/>
                <w:szCs w:val="18"/>
              </w:rPr>
              <w:t>6</w:t>
            </w:r>
          </w:p>
        </w:tc>
        <w:tc>
          <w:tcPr>
            <w:tcW w:w="1108" w:type="dxa"/>
            <w:vMerge w:val="restart"/>
            <w:tcBorders>
              <w:top w:val="nil"/>
              <w:left w:val="single" w:color="D8D8D8" w:sz="8" w:space="0"/>
              <w:bottom w:val="single" w:color="D8D8D8" w:sz="8" w:space="0"/>
              <w:right w:val="single" w:color="D8D8D8" w:sz="8" w:space="0"/>
            </w:tcBorders>
            <w:shd w:val="clear" w:color="auto" w:fill="auto"/>
            <w:vAlign w:val="center"/>
            <w:hideMark/>
          </w:tcPr>
          <w:p w:rsidRPr="003251DC" w:rsidR="003251DC" w:rsidP="003251DC" w:rsidRDefault="003251DC" w14:paraId="6CF50325" w14:textId="77777777">
            <w:pPr>
              <w:overflowPunct/>
              <w:autoSpaceDE/>
              <w:autoSpaceDN/>
              <w:adjustRightInd/>
              <w:textAlignment w:val="auto"/>
              <w:rPr>
                <w:color w:val="000000"/>
              </w:rPr>
            </w:pPr>
            <w:r w:rsidRPr="003251DC">
              <w:rPr>
                <w:color w:val="000000"/>
              </w:rPr>
              <w:t>EPC</w:t>
            </w:r>
          </w:p>
        </w:tc>
        <w:tc>
          <w:tcPr>
            <w:tcW w:w="973" w:type="dxa"/>
            <w:vMerge w:val="restart"/>
            <w:tcBorders>
              <w:top w:val="nil"/>
              <w:left w:val="single" w:color="D8D8D8" w:sz="8" w:space="0"/>
              <w:bottom w:val="single" w:color="D8D8D8" w:sz="8" w:space="0"/>
              <w:right w:val="single" w:color="D8D8D8" w:sz="8" w:space="0"/>
            </w:tcBorders>
            <w:shd w:val="clear" w:color="auto" w:fill="auto"/>
            <w:vAlign w:val="center"/>
            <w:hideMark/>
          </w:tcPr>
          <w:p w:rsidRPr="003251DC" w:rsidR="003251DC" w:rsidP="003251DC" w:rsidRDefault="003251DC" w14:paraId="0E869443" w14:textId="77777777">
            <w:pPr>
              <w:overflowPunct/>
              <w:autoSpaceDE/>
              <w:autoSpaceDN/>
              <w:adjustRightInd/>
              <w:textAlignment w:val="auto"/>
              <w:rPr>
                <w:color w:val="000000"/>
              </w:rPr>
            </w:pPr>
            <w:r w:rsidRPr="003251DC">
              <w:rPr>
                <w:color w:val="000000"/>
              </w:rPr>
              <w:t>30</w:t>
            </w:r>
            <w:r w:rsidRPr="003251DC">
              <w:rPr>
                <w:color w:val="000000"/>
                <w:sz w:val="16"/>
                <w:szCs w:val="16"/>
              </w:rPr>
              <w:t> </w:t>
            </w:r>
          </w:p>
        </w:tc>
        <w:tc>
          <w:tcPr>
            <w:tcW w:w="951" w:type="dxa"/>
            <w:vMerge w:val="restart"/>
            <w:tcBorders>
              <w:top w:val="nil"/>
              <w:left w:val="single" w:color="D8D8D8" w:sz="8" w:space="0"/>
              <w:bottom w:val="single" w:color="D8D8D8" w:sz="8" w:space="0"/>
              <w:right w:val="single" w:color="D8D8D8" w:sz="8" w:space="0"/>
            </w:tcBorders>
            <w:shd w:val="clear" w:color="auto" w:fill="auto"/>
            <w:vAlign w:val="center"/>
            <w:hideMark/>
          </w:tcPr>
          <w:p w:rsidRPr="003251DC" w:rsidR="003251DC" w:rsidP="003251DC" w:rsidRDefault="003251DC" w14:paraId="5BF27E84" w14:textId="77777777">
            <w:pPr>
              <w:overflowPunct/>
              <w:autoSpaceDE/>
              <w:autoSpaceDN/>
              <w:adjustRightInd/>
              <w:jc w:val="right"/>
              <w:textAlignment w:val="auto"/>
              <w:rPr>
                <w:color w:val="000000"/>
              </w:rPr>
            </w:pPr>
            <w:r w:rsidRPr="003251DC">
              <w:rPr>
                <w:color w:val="000000"/>
              </w:rPr>
              <w:t>1</w:t>
            </w:r>
          </w:p>
        </w:tc>
        <w:tc>
          <w:tcPr>
            <w:tcW w:w="1465" w:type="dxa"/>
            <w:vMerge w:val="restart"/>
            <w:tcBorders>
              <w:top w:val="nil"/>
              <w:left w:val="single" w:color="D8D8D8" w:sz="8" w:space="0"/>
              <w:bottom w:val="single" w:color="D8D8D8" w:sz="8" w:space="0"/>
              <w:right w:val="single" w:color="D8D8D8" w:sz="8" w:space="0"/>
            </w:tcBorders>
            <w:shd w:val="clear" w:color="auto" w:fill="auto"/>
            <w:vAlign w:val="center"/>
            <w:hideMark/>
          </w:tcPr>
          <w:p w:rsidRPr="003251DC" w:rsidR="003251DC" w:rsidP="003251DC" w:rsidRDefault="003251DC" w14:paraId="00EC864B" w14:textId="77777777">
            <w:pPr>
              <w:overflowPunct/>
              <w:autoSpaceDE/>
              <w:autoSpaceDN/>
              <w:adjustRightInd/>
              <w:jc w:val="right"/>
              <w:textAlignment w:val="auto"/>
              <w:rPr>
                <w:color w:val="000000"/>
              </w:rPr>
            </w:pPr>
            <w:r w:rsidRPr="003251DC">
              <w:rPr>
                <w:color w:val="000000"/>
              </w:rPr>
              <w:t>30</w:t>
            </w:r>
          </w:p>
        </w:tc>
        <w:tc>
          <w:tcPr>
            <w:tcW w:w="949" w:type="dxa"/>
            <w:vMerge w:val="restart"/>
            <w:tcBorders>
              <w:top w:val="nil"/>
              <w:left w:val="single" w:color="D8D8D8" w:sz="8" w:space="0"/>
              <w:bottom w:val="single" w:color="D8D8D8" w:sz="8" w:space="0"/>
              <w:right w:val="single" w:color="D8D8D8" w:sz="8" w:space="0"/>
            </w:tcBorders>
            <w:shd w:val="clear" w:color="auto" w:fill="auto"/>
            <w:vAlign w:val="center"/>
            <w:hideMark/>
          </w:tcPr>
          <w:p w:rsidRPr="003251DC" w:rsidR="003251DC" w:rsidP="003251DC" w:rsidRDefault="003251DC" w14:paraId="0CE893C9" w14:textId="77777777">
            <w:pPr>
              <w:overflowPunct/>
              <w:autoSpaceDE/>
              <w:autoSpaceDN/>
              <w:adjustRightInd/>
              <w:jc w:val="right"/>
              <w:textAlignment w:val="auto"/>
              <w:rPr>
                <w:color w:val="000000"/>
              </w:rPr>
            </w:pPr>
            <w:r w:rsidRPr="003251DC">
              <w:rPr>
                <w:color w:val="000000"/>
              </w:rPr>
              <w:t>120</w:t>
            </w:r>
          </w:p>
        </w:tc>
        <w:tc>
          <w:tcPr>
            <w:tcW w:w="940" w:type="dxa"/>
            <w:vMerge w:val="restart"/>
            <w:tcBorders>
              <w:top w:val="nil"/>
              <w:left w:val="single" w:color="D8D8D8" w:sz="8" w:space="0"/>
              <w:bottom w:val="single" w:color="D8D8D8" w:sz="8" w:space="0"/>
              <w:right w:val="single" w:color="D8D8D8" w:sz="8" w:space="0"/>
            </w:tcBorders>
            <w:shd w:val="clear" w:color="auto" w:fill="auto"/>
            <w:vAlign w:val="center"/>
            <w:hideMark/>
          </w:tcPr>
          <w:p w:rsidRPr="003251DC" w:rsidR="003251DC" w:rsidP="003251DC" w:rsidRDefault="003251DC" w14:paraId="517A43C3" w14:textId="77777777">
            <w:pPr>
              <w:overflowPunct/>
              <w:autoSpaceDE/>
              <w:autoSpaceDN/>
              <w:adjustRightInd/>
              <w:jc w:val="right"/>
              <w:textAlignment w:val="auto"/>
              <w:rPr>
                <w:color w:val="000000"/>
              </w:rPr>
            </w:pPr>
            <w:r w:rsidRPr="003251DC">
              <w:rPr>
                <w:color w:val="000000"/>
              </w:rPr>
              <w:t>3,600</w:t>
            </w:r>
          </w:p>
        </w:tc>
        <w:tc>
          <w:tcPr>
            <w:tcW w:w="929"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5A866897" w14:textId="77777777">
            <w:pPr>
              <w:overflowPunct/>
              <w:autoSpaceDE/>
              <w:autoSpaceDN/>
              <w:adjustRightInd/>
              <w:jc w:val="right"/>
              <w:textAlignment w:val="auto"/>
              <w:rPr>
                <w:rFonts w:ascii="Arial" w:hAnsi="Arial" w:cs="Arial"/>
                <w:color w:val="000000"/>
                <w:sz w:val="18"/>
                <w:szCs w:val="18"/>
              </w:rPr>
            </w:pPr>
            <w:r w:rsidRPr="003251DC">
              <w:rPr>
                <w:rFonts w:ascii="Arial" w:hAnsi="Arial" w:cs="Arial"/>
                <w:color w:val="000000"/>
                <w:sz w:val="18"/>
                <w:szCs w:val="18"/>
              </w:rPr>
              <w:t xml:space="preserve">$44 </w:t>
            </w:r>
          </w:p>
        </w:tc>
        <w:tc>
          <w:tcPr>
            <w:tcW w:w="1167" w:type="dxa"/>
            <w:tcBorders>
              <w:top w:val="nil"/>
              <w:left w:val="nil"/>
              <w:bottom w:val="single" w:color="D8D8D8" w:sz="8" w:space="0"/>
              <w:right w:val="single" w:color="auto" w:sz="8" w:space="0"/>
            </w:tcBorders>
            <w:shd w:val="clear" w:color="auto" w:fill="auto"/>
            <w:vAlign w:val="center"/>
            <w:hideMark/>
          </w:tcPr>
          <w:p w:rsidRPr="003251DC" w:rsidR="003251DC" w:rsidP="003251DC" w:rsidRDefault="003251DC" w14:paraId="71675BCB" w14:textId="77777777">
            <w:pPr>
              <w:overflowPunct/>
              <w:autoSpaceDE/>
              <w:autoSpaceDN/>
              <w:adjustRightInd/>
              <w:jc w:val="right"/>
              <w:textAlignment w:val="auto"/>
              <w:rPr>
                <w:rFonts w:ascii="Arial" w:hAnsi="Arial" w:cs="Arial"/>
                <w:color w:val="000000"/>
                <w:sz w:val="18"/>
                <w:szCs w:val="18"/>
              </w:rPr>
            </w:pPr>
            <w:r w:rsidRPr="003251DC">
              <w:rPr>
                <w:rFonts w:ascii="Arial" w:hAnsi="Arial" w:cs="Arial"/>
                <w:color w:val="000000"/>
                <w:sz w:val="18"/>
                <w:szCs w:val="18"/>
              </w:rPr>
              <w:t xml:space="preserve">$158,760 </w:t>
            </w:r>
          </w:p>
        </w:tc>
      </w:tr>
      <w:tr w:rsidRPr="003251DC" w:rsidR="003251DC" w:rsidTr="003251DC" w14:paraId="15643A15" w14:textId="77777777">
        <w:trPr>
          <w:trHeight w:val="315"/>
        </w:trPr>
        <w:tc>
          <w:tcPr>
            <w:tcW w:w="918" w:type="dxa"/>
            <w:vMerge/>
            <w:tcBorders>
              <w:top w:val="nil"/>
              <w:left w:val="single" w:color="auto" w:sz="8" w:space="0"/>
              <w:bottom w:val="single" w:color="D8D8D8" w:sz="8" w:space="0"/>
              <w:right w:val="single" w:color="D8D8D8" w:sz="8" w:space="0"/>
            </w:tcBorders>
            <w:vAlign w:val="center"/>
            <w:hideMark/>
          </w:tcPr>
          <w:p w:rsidRPr="003251DC" w:rsidR="003251DC" w:rsidP="003251DC" w:rsidRDefault="003251DC" w14:paraId="2717E615" w14:textId="77777777">
            <w:pPr>
              <w:overflowPunct/>
              <w:autoSpaceDE/>
              <w:autoSpaceDN/>
              <w:adjustRightInd/>
              <w:textAlignment w:val="auto"/>
              <w:rPr>
                <w:rFonts w:ascii="Arial" w:hAnsi="Arial" w:cs="Arial"/>
                <w:color w:val="000000"/>
                <w:sz w:val="18"/>
                <w:szCs w:val="18"/>
              </w:rPr>
            </w:pPr>
          </w:p>
        </w:tc>
        <w:tc>
          <w:tcPr>
            <w:tcW w:w="1108" w:type="dxa"/>
            <w:vMerge/>
            <w:tcBorders>
              <w:top w:val="nil"/>
              <w:left w:val="single" w:color="D8D8D8" w:sz="8" w:space="0"/>
              <w:bottom w:val="single" w:color="D8D8D8" w:sz="8" w:space="0"/>
              <w:right w:val="single" w:color="D8D8D8" w:sz="8" w:space="0"/>
            </w:tcBorders>
            <w:vAlign w:val="center"/>
            <w:hideMark/>
          </w:tcPr>
          <w:p w:rsidRPr="003251DC" w:rsidR="003251DC" w:rsidP="003251DC" w:rsidRDefault="003251DC" w14:paraId="5AE26CDF" w14:textId="77777777">
            <w:pPr>
              <w:overflowPunct/>
              <w:autoSpaceDE/>
              <w:autoSpaceDN/>
              <w:adjustRightInd/>
              <w:textAlignment w:val="auto"/>
              <w:rPr>
                <w:color w:val="000000"/>
              </w:rPr>
            </w:pPr>
          </w:p>
        </w:tc>
        <w:tc>
          <w:tcPr>
            <w:tcW w:w="973" w:type="dxa"/>
            <w:vMerge/>
            <w:tcBorders>
              <w:top w:val="nil"/>
              <w:left w:val="single" w:color="D8D8D8" w:sz="8" w:space="0"/>
              <w:bottom w:val="single" w:color="D8D8D8" w:sz="8" w:space="0"/>
              <w:right w:val="single" w:color="D8D8D8" w:sz="8" w:space="0"/>
            </w:tcBorders>
            <w:vAlign w:val="center"/>
            <w:hideMark/>
          </w:tcPr>
          <w:p w:rsidRPr="003251DC" w:rsidR="003251DC" w:rsidP="003251DC" w:rsidRDefault="003251DC" w14:paraId="3B779E86" w14:textId="77777777">
            <w:pPr>
              <w:overflowPunct/>
              <w:autoSpaceDE/>
              <w:autoSpaceDN/>
              <w:adjustRightInd/>
              <w:textAlignment w:val="auto"/>
              <w:rPr>
                <w:color w:val="000000"/>
              </w:rPr>
            </w:pPr>
          </w:p>
        </w:tc>
        <w:tc>
          <w:tcPr>
            <w:tcW w:w="951" w:type="dxa"/>
            <w:vMerge/>
            <w:tcBorders>
              <w:top w:val="nil"/>
              <w:left w:val="single" w:color="D8D8D8" w:sz="8" w:space="0"/>
              <w:bottom w:val="single" w:color="D8D8D8" w:sz="8" w:space="0"/>
              <w:right w:val="single" w:color="D8D8D8" w:sz="8" w:space="0"/>
            </w:tcBorders>
            <w:vAlign w:val="center"/>
            <w:hideMark/>
          </w:tcPr>
          <w:p w:rsidRPr="003251DC" w:rsidR="003251DC" w:rsidP="003251DC" w:rsidRDefault="003251DC" w14:paraId="770949A7" w14:textId="77777777">
            <w:pPr>
              <w:overflowPunct/>
              <w:autoSpaceDE/>
              <w:autoSpaceDN/>
              <w:adjustRightInd/>
              <w:textAlignment w:val="auto"/>
              <w:rPr>
                <w:color w:val="000000"/>
              </w:rPr>
            </w:pPr>
          </w:p>
        </w:tc>
        <w:tc>
          <w:tcPr>
            <w:tcW w:w="1465" w:type="dxa"/>
            <w:vMerge/>
            <w:tcBorders>
              <w:top w:val="nil"/>
              <w:left w:val="single" w:color="D8D8D8" w:sz="8" w:space="0"/>
              <w:bottom w:val="single" w:color="D8D8D8" w:sz="8" w:space="0"/>
              <w:right w:val="single" w:color="D8D8D8" w:sz="8" w:space="0"/>
            </w:tcBorders>
            <w:vAlign w:val="center"/>
            <w:hideMark/>
          </w:tcPr>
          <w:p w:rsidRPr="003251DC" w:rsidR="003251DC" w:rsidP="003251DC" w:rsidRDefault="003251DC" w14:paraId="3A5B76BE" w14:textId="77777777">
            <w:pPr>
              <w:overflowPunct/>
              <w:autoSpaceDE/>
              <w:autoSpaceDN/>
              <w:adjustRightInd/>
              <w:textAlignment w:val="auto"/>
              <w:rPr>
                <w:color w:val="000000"/>
              </w:rPr>
            </w:pPr>
          </w:p>
        </w:tc>
        <w:tc>
          <w:tcPr>
            <w:tcW w:w="949" w:type="dxa"/>
            <w:vMerge/>
            <w:tcBorders>
              <w:top w:val="nil"/>
              <w:left w:val="single" w:color="D8D8D8" w:sz="8" w:space="0"/>
              <w:bottom w:val="single" w:color="D8D8D8" w:sz="8" w:space="0"/>
              <w:right w:val="single" w:color="D8D8D8" w:sz="8" w:space="0"/>
            </w:tcBorders>
            <w:vAlign w:val="center"/>
            <w:hideMark/>
          </w:tcPr>
          <w:p w:rsidRPr="003251DC" w:rsidR="003251DC" w:rsidP="003251DC" w:rsidRDefault="003251DC" w14:paraId="61E7203A" w14:textId="77777777">
            <w:pPr>
              <w:overflowPunct/>
              <w:autoSpaceDE/>
              <w:autoSpaceDN/>
              <w:adjustRightInd/>
              <w:textAlignment w:val="auto"/>
              <w:rPr>
                <w:color w:val="000000"/>
              </w:rPr>
            </w:pPr>
          </w:p>
        </w:tc>
        <w:tc>
          <w:tcPr>
            <w:tcW w:w="940" w:type="dxa"/>
            <w:vMerge/>
            <w:tcBorders>
              <w:top w:val="nil"/>
              <w:left w:val="single" w:color="D8D8D8" w:sz="8" w:space="0"/>
              <w:bottom w:val="single" w:color="D8D8D8" w:sz="8" w:space="0"/>
              <w:right w:val="single" w:color="D8D8D8" w:sz="8" w:space="0"/>
            </w:tcBorders>
            <w:vAlign w:val="center"/>
            <w:hideMark/>
          </w:tcPr>
          <w:p w:rsidRPr="003251DC" w:rsidR="003251DC" w:rsidP="003251DC" w:rsidRDefault="003251DC" w14:paraId="7ACC3CAA" w14:textId="77777777">
            <w:pPr>
              <w:overflowPunct/>
              <w:autoSpaceDE/>
              <w:autoSpaceDN/>
              <w:adjustRightInd/>
              <w:textAlignment w:val="auto"/>
              <w:rPr>
                <w:color w:val="000000"/>
              </w:rPr>
            </w:pPr>
          </w:p>
        </w:tc>
        <w:tc>
          <w:tcPr>
            <w:tcW w:w="929"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08403FAB" w14:textId="77777777">
            <w:pPr>
              <w:overflowPunct/>
              <w:autoSpaceDE/>
              <w:autoSpaceDN/>
              <w:adjustRightInd/>
              <w:jc w:val="right"/>
              <w:textAlignment w:val="auto"/>
              <w:rPr>
                <w:rFonts w:ascii="Arial" w:hAnsi="Arial" w:cs="Arial"/>
                <w:color w:val="000000"/>
                <w:sz w:val="18"/>
                <w:szCs w:val="18"/>
              </w:rPr>
            </w:pPr>
            <w:r w:rsidRPr="003251DC">
              <w:rPr>
                <w:rFonts w:ascii="Arial" w:hAnsi="Arial" w:cs="Arial"/>
                <w:color w:val="000000"/>
                <w:sz w:val="18"/>
                <w:szCs w:val="18"/>
              </w:rPr>
              <w:t xml:space="preserve">$44 </w:t>
            </w:r>
          </w:p>
        </w:tc>
        <w:tc>
          <w:tcPr>
            <w:tcW w:w="1167" w:type="dxa"/>
            <w:tcBorders>
              <w:top w:val="nil"/>
              <w:left w:val="nil"/>
              <w:bottom w:val="single" w:color="D8D8D8" w:sz="8" w:space="0"/>
              <w:right w:val="single" w:color="auto" w:sz="8" w:space="0"/>
            </w:tcBorders>
            <w:shd w:val="clear" w:color="auto" w:fill="auto"/>
            <w:vAlign w:val="center"/>
            <w:hideMark/>
          </w:tcPr>
          <w:p w:rsidRPr="003251DC" w:rsidR="003251DC" w:rsidP="003251DC" w:rsidRDefault="003251DC" w14:paraId="23D74AFB" w14:textId="77777777">
            <w:pPr>
              <w:overflowPunct/>
              <w:autoSpaceDE/>
              <w:autoSpaceDN/>
              <w:adjustRightInd/>
              <w:jc w:val="right"/>
              <w:textAlignment w:val="auto"/>
              <w:rPr>
                <w:rFonts w:ascii="Arial" w:hAnsi="Arial" w:cs="Arial"/>
                <w:color w:val="000000"/>
                <w:sz w:val="18"/>
                <w:szCs w:val="18"/>
              </w:rPr>
            </w:pPr>
            <w:r w:rsidRPr="003251DC">
              <w:rPr>
                <w:rFonts w:ascii="Arial" w:hAnsi="Arial" w:cs="Arial"/>
                <w:color w:val="000000"/>
                <w:sz w:val="18"/>
                <w:szCs w:val="18"/>
              </w:rPr>
              <w:t xml:space="preserve">$0 </w:t>
            </w:r>
          </w:p>
        </w:tc>
      </w:tr>
      <w:tr w:rsidRPr="003251DC" w:rsidR="003251DC" w:rsidTr="003251DC" w14:paraId="627345F1" w14:textId="77777777">
        <w:trPr>
          <w:trHeight w:val="720"/>
        </w:trPr>
        <w:tc>
          <w:tcPr>
            <w:tcW w:w="918" w:type="dxa"/>
            <w:tcBorders>
              <w:top w:val="nil"/>
              <w:left w:val="single" w:color="auto" w:sz="8" w:space="0"/>
              <w:bottom w:val="nil"/>
              <w:right w:val="single" w:color="D8D8D8" w:sz="8" w:space="0"/>
            </w:tcBorders>
            <w:shd w:val="clear" w:color="auto" w:fill="auto"/>
            <w:vAlign w:val="center"/>
            <w:hideMark/>
          </w:tcPr>
          <w:p w:rsidRPr="003251DC" w:rsidR="003251DC" w:rsidP="003251DC" w:rsidRDefault="003251DC" w14:paraId="4114E243" w14:textId="77777777">
            <w:pPr>
              <w:overflowPunct/>
              <w:autoSpaceDE/>
              <w:autoSpaceDN/>
              <w:adjustRightInd/>
              <w:jc w:val="right"/>
              <w:textAlignment w:val="auto"/>
              <w:rPr>
                <w:rFonts w:ascii="Arial" w:hAnsi="Arial" w:cs="Arial"/>
                <w:color w:val="000000"/>
                <w:sz w:val="18"/>
                <w:szCs w:val="18"/>
              </w:rPr>
            </w:pPr>
            <w:r w:rsidRPr="003251DC">
              <w:rPr>
                <w:rFonts w:ascii="Arial" w:hAnsi="Arial" w:cs="Arial"/>
                <w:color w:val="000000"/>
                <w:sz w:val="18"/>
                <w:szCs w:val="18"/>
              </w:rPr>
              <w:t> </w:t>
            </w:r>
          </w:p>
        </w:tc>
        <w:tc>
          <w:tcPr>
            <w:tcW w:w="1108" w:type="dxa"/>
            <w:vMerge w:val="restart"/>
            <w:tcBorders>
              <w:top w:val="nil"/>
              <w:left w:val="single" w:color="D8D8D8" w:sz="8" w:space="0"/>
              <w:bottom w:val="nil"/>
              <w:right w:val="single" w:color="D8D8D8" w:sz="8" w:space="0"/>
            </w:tcBorders>
            <w:shd w:val="clear" w:color="auto" w:fill="auto"/>
            <w:vAlign w:val="center"/>
            <w:hideMark/>
          </w:tcPr>
          <w:p w:rsidRPr="003251DC" w:rsidR="003251DC" w:rsidP="003251DC" w:rsidRDefault="003251DC" w14:paraId="59390BBD" w14:textId="77777777">
            <w:pPr>
              <w:overflowPunct/>
              <w:autoSpaceDE/>
              <w:autoSpaceDN/>
              <w:adjustRightInd/>
              <w:textAlignment w:val="auto"/>
              <w:rPr>
                <w:color w:val="000000"/>
              </w:rPr>
            </w:pPr>
            <w:r w:rsidRPr="003251DC">
              <w:rPr>
                <w:color w:val="000000"/>
              </w:rPr>
              <w:t>Public Housing Development</w:t>
            </w:r>
          </w:p>
        </w:tc>
        <w:tc>
          <w:tcPr>
            <w:tcW w:w="973" w:type="dxa"/>
            <w:vMerge w:val="restart"/>
            <w:tcBorders>
              <w:top w:val="nil"/>
              <w:left w:val="single" w:color="D8D8D8" w:sz="8" w:space="0"/>
              <w:bottom w:val="nil"/>
              <w:right w:val="single" w:color="D8D8D8" w:sz="8" w:space="0"/>
            </w:tcBorders>
            <w:shd w:val="clear" w:color="auto" w:fill="auto"/>
            <w:vAlign w:val="center"/>
            <w:hideMark/>
          </w:tcPr>
          <w:p w:rsidRPr="003251DC" w:rsidR="003251DC" w:rsidP="003251DC" w:rsidRDefault="003251DC" w14:paraId="7C8444F9" w14:textId="77777777">
            <w:pPr>
              <w:overflowPunct/>
              <w:autoSpaceDE/>
              <w:autoSpaceDN/>
              <w:adjustRightInd/>
              <w:textAlignment w:val="auto"/>
              <w:rPr>
                <w:color w:val="000000"/>
              </w:rPr>
            </w:pPr>
            <w:r w:rsidRPr="003251DC">
              <w:rPr>
                <w:color w:val="000000"/>
              </w:rPr>
              <w:t>60</w:t>
            </w:r>
            <w:r w:rsidRPr="003251DC">
              <w:rPr>
                <w:color w:val="000000"/>
                <w:sz w:val="16"/>
                <w:szCs w:val="16"/>
              </w:rPr>
              <w:t> </w:t>
            </w:r>
          </w:p>
        </w:tc>
        <w:tc>
          <w:tcPr>
            <w:tcW w:w="951" w:type="dxa"/>
            <w:vMerge w:val="restart"/>
            <w:tcBorders>
              <w:top w:val="nil"/>
              <w:left w:val="single" w:color="D8D8D8" w:sz="8" w:space="0"/>
              <w:bottom w:val="nil"/>
              <w:right w:val="single" w:color="D8D8D8" w:sz="8" w:space="0"/>
            </w:tcBorders>
            <w:shd w:val="clear" w:color="auto" w:fill="auto"/>
            <w:vAlign w:val="center"/>
            <w:hideMark/>
          </w:tcPr>
          <w:p w:rsidRPr="003251DC" w:rsidR="003251DC" w:rsidP="003251DC" w:rsidRDefault="003251DC" w14:paraId="7956F333" w14:textId="77777777">
            <w:pPr>
              <w:overflowPunct/>
              <w:autoSpaceDE/>
              <w:autoSpaceDN/>
              <w:adjustRightInd/>
              <w:jc w:val="right"/>
              <w:textAlignment w:val="auto"/>
              <w:rPr>
                <w:rFonts w:ascii="Arial" w:hAnsi="Arial" w:cs="Arial"/>
                <w:color w:val="000000"/>
                <w:sz w:val="18"/>
                <w:szCs w:val="18"/>
              </w:rPr>
            </w:pPr>
            <w:r w:rsidRPr="003251DC">
              <w:rPr>
                <w:rFonts w:ascii="Arial" w:hAnsi="Arial" w:cs="Arial"/>
                <w:color w:val="000000"/>
                <w:sz w:val="18"/>
                <w:szCs w:val="18"/>
              </w:rPr>
              <w:t>1</w:t>
            </w:r>
          </w:p>
        </w:tc>
        <w:tc>
          <w:tcPr>
            <w:tcW w:w="1465" w:type="dxa"/>
            <w:vMerge w:val="restart"/>
            <w:tcBorders>
              <w:top w:val="nil"/>
              <w:left w:val="single" w:color="D8D8D8" w:sz="8" w:space="0"/>
              <w:bottom w:val="nil"/>
              <w:right w:val="single" w:color="D8D8D8" w:sz="8" w:space="0"/>
            </w:tcBorders>
            <w:shd w:val="clear" w:color="auto" w:fill="auto"/>
            <w:vAlign w:val="center"/>
            <w:hideMark/>
          </w:tcPr>
          <w:p w:rsidRPr="003251DC" w:rsidR="003251DC" w:rsidP="003251DC" w:rsidRDefault="003251DC" w14:paraId="17BCD75A" w14:textId="77777777">
            <w:pPr>
              <w:overflowPunct/>
              <w:autoSpaceDE/>
              <w:autoSpaceDN/>
              <w:adjustRightInd/>
              <w:jc w:val="right"/>
              <w:textAlignment w:val="auto"/>
              <w:rPr>
                <w:rFonts w:ascii="Arial" w:hAnsi="Arial" w:cs="Arial"/>
                <w:color w:val="000000"/>
                <w:sz w:val="18"/>
                <w:szCs w:val="18"/>
              </w:rPr>
            </w:pPr>
            <w:r w:rsidRPr="003251DC">
              <w:rPr>
                <w:rFonts w:ascii="Arial" w:hAnsi="Arial" w:cs="Arial"/>
                <w:color w:val="000000"/>
                <w:sz w:val="18"/>
                <w:szCs w:val="18"/>
              </w:rPr>
              <w:t>60</w:t>
            </w:r>
          </w:p>
        </w:tc>
        <w:tc>
          <w:tcPr>
            <w:tcW w:w="949" w:type="dxa"/>
            <w:vMerge w:val="restart"/>
            <w:tcBorders>
              <w:top w:val="nil"/>
              <w:left w:val="single" w:color="D8D8D8" w:sz="8" w:space="0"/>
              <w:bottom w:val="nil"/>
              <w:right w:val="single" w:color="D8D8D8" w:sz="8" w:space="0"/>
            </w:tcBorders>
            <w:shd w:val="clear" w:color="auto" w:fill="auto"/>
            <w:vAlign w:val="center"/>
            <w:hideMark/>
          </w:tcPr>
          <w:p w:rsidRPr="003251DC" w:rsidR="003251DC" w:rsidP="003251DC" w:rsidRDefault="003251DC" w14:paraId="429E59DB" w14:textId="77777777">
            <w:pPr>
              <w:overflowPunct/>
              <w:autoSpaceDE/>
              <w:autoSpaceDN/>
              <w:adjustRightInd/>
              <w:jc w:val="right"/>
              <w:textAlignment w:val="auto"/>
              <w:rPr>
                <w:rFonts w:ascii="Arial" w:hAnsi="Arial" w:cs="Arial"/>
                <w:color w:val="000000"/>
                <w:sz w:val="18"/>
                <w:szCs w:val="18"/>
              </w:rPr>
            </w:pPr>
            <w:r w:rsidRPr="003251DC">
              <w:rPr>
                <w:rFonts w:ascii="Arial" w:hAnsi="Arial" w:cs="Arial"/>
                <w:color w:val="000000"/>
                <w:sz w:val="18"/>
                <w:szCs w:val="18"/>
              </w:rPr>
              <w:t>120</w:t>
            </w:r>
          </w:p>
        </w:tc>
        <w:tc>
          <w:tcPr>
            <w:tcW w:w="940" w:type="dxa"/>
            <w:vMerge w:val="restart"/>
            <w:tcBorders>
              <w:top w:val="nil"/>
              <w:left w:val="single" w:color="D8D8D8" w:sz="8" w:space="0"/>
              <w:bottom w:val="nil"/>
              <w:right w:val="single" w:color="D8D8D8" w:sz="8" w:space="0"/>
            </w:tcBorders>
            <w:shd w:val="clear" w:color="auto" w:fill="auto"/>
            <w:vAlign w:val="center"/>
            <w:hideMark/>
          </w:tcPr>
          <w:p w:rsidRPr="003251DC" w:rsidR="003251DC" w:rsidP="003251DC" w:rsidRDefault="003251DC" w14:paraId="4FEA0F4F" w14:textId="77777777">
            <w:pPr>
              <w:overflowPunct/>
              <w:autoSpaceDE/>
              <w:autoSpaceDN/>
              <w:adjustRightInd/>
              <w:jc w:val="right"/>
              <w:textAlignment w:val="auto"/>
              <w:rPr>
                <w:rFonts w:ascii="Arial" w:hAnsi="Arial" w:cs="Arial"/>
                <w:color w:val="000000"/>
                <w:sz w:val="18"/>
                <w:szCs w:val="18"/>
              </w:rPr>
            </w:pPr>
            <w:r w:rsidRPr="003251DC">
              <w:rPr>
                <w:rFonts w:ascii="Arial" w:hAnsi="Arial" w:cs="Arial"/>
                <w:color w:val="000000"/>
                <w:sz w:val="18"/>
                <w:szCs w:val="18"/>
              </w:rPr>
              <w:t>7,200</w:t>
            </w:r>
          </w:p>
        </w:tc>
        <w:tc>
          <w:tcPr>
            <w:tcW w:w="929"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615A20FD" w14:textId="77777777">
            <w:pPr>
              <w:overflowPunct/>
              <w:autoSpaceDE/>
              <w:autoSpaceDN/>
              <w:adjustRightInd/>
              <w:jc w:val="right"/>
              <w:textAlignment w:val="auto"/>
              <w:rPr>
                <w:rFonts w:ascii="Arial" w:hAnsi="Arial" w:cs="Arial"/>
                <w:color w:val="000000"/>
                <w:sz w:val="18"/>
                <w:szCs w:val="18"/>
              </w:rPr>
            </w:pPr>
            <w:r w:rsidRPr="003251DC">
              <w:rPr>
                <w:rFonts w:ascii="Arial" w:hAnsi="Arial" w:cs="Arial"/>
                <w:color w:val="000000"/>
                <w:sz w:val="18"/>
                <w:szCs w:val="18"/>
              </w:rPr>
              <w:t xml:space="preserve">$44 </w:t>
            </w:r>
          </w:p>
        </w:tc>
        <w:tc>
          <w:tcPr>
            <w:tcW w:w="1167" w:type="dxa"/>
            <w:tcBorders>
              <w:top w:val="nil"/>
              <w:left w:val="nil"/>
              <w:bottom w:val="single" w:color="D8D8D8" w:sz="8" w:space="0"/>
              <w:right w:val="single" w:color="auto" w:sz="8" w:space="0"/>
            </w:tcBorders>
            <w:shd w:val="clear" w:color="auto" w:fill="auto"/>
            <w:vAlign w:val="center"/>
            <w:hideMark/>
          </w:tcPr>
          <w:p w:rsidRPr="003251DC" w:rsidR="003251DC" w:rsidP="003251DC" w:rsidRDefault="003251DC" w14:paraId="59B07B33" w14:textId="77777777">
            <w:pPr>
              <w:overflowPunct/>
              <w:autoSpaceDE/>
              <w:autoSpaceDN/>
              <w:adjustRightInd/>
              <w:jc w:val="right"/>
              <w:textAlignment w:val="auto"/>
              <w:rPr>
                <w:rFonts w:ascii="Arial" w:hAnsi="Arial" w:cs="Arial"/>
                <w:color w:val="000000"/>
                <w:sz w:val="18"/>
                <w:szCs w:val="18"/>
              </w:rPr>
            </w:pPr>
            <w:r w:rsidRPr="003251DC">
              <w:rPr>
                <w:rFonts w:ascii="Arial" w:hAnsi="Arial" w:cs="Arial"/>
                <w:color w:val="000000"/>
                <w:sz w:val="18"/>
                <w:szCs w:val="18"/>
              </w:rPr>
              <w:t xml:space="preserve">$317,520 </w:t>
            </w:r>
          </w:p>
        </w:tc>
      </w:tr>
      <w:tr w:rsidRPr="003251DC" w:rsidR="003251DC" w:rsidTr="003251DC" w14:paraId="3483168E" w14:textId="77777777">
        <w:trPr>
          <w:trHeight w:val="315"/>
        </w:trPr>
        <w:tc>
          <w:tcPr>
            <w:tcW w:w="918" w:type="dxa"/>
            <w:tcBorders>
              <w:top w:val="nil"/>
              <w:left w:val="single" w:color="auto" w:sz="8" w:space="0"/>
              <w:bottom w:val="nil"/>
              <w:right w:val="single" w:color="D8D8D8" w:sz="8" w:space="0"/>
            </w:tcBorders>
            <w:shd w:val="clear" w:color="auto" w:fill="auto"/>
            <w:vAlign w:val="center"/>
            <w:hideMark/>
          </w:tcPr>
          <w:p w:rsidRPr="003251DC" w:rsidR="003251DC" w:rsidP="003251DC" w:rsidRDefault="003251DC" w14:paraId="7B4F1666" w14:textId="77777777">
            <w:pPr>
              <w:overflowPunct/>
              <w:autoSpaceDE/>
              <w:autoSpaceDN/>
              <w:adjustRightInd/>
              <w:jc w:val="right"/>
              <w:textAlignment w:val="auto"/>
              <w:rPr>
                <w:rFonts w:ascii="Arial" w:hAnsi="Arial" w:cs="Arial"/>
                <w:color w:val="000000"/>
                <w:sz w:val="18"/>
                <w:szCs w:val="18"/>
              </w:rPr>
            </w:pPr>
            <w:r w:rsidRPr="003251DC">
              <w:rPr>
                <w:rFonts w:ascii="Arial" w:hAnsi="Arial" w:cs="Arial"/>
                <w:color w:val="000000"/>
                <w:sz w:val="18"/>
                <w:szCs w:val="18"/>
              </w:rPr>
              <w:t>7</w:t>
            </w:r>
          </w:p>
        </w:tc>
        <w:tc>
          <w:tcPr>
            <w:tcW w:w="1108" w:type="dxa"/>
            <w:vMerge/>
            <w:tcBorders>
              <w:top w:val="nil"/>
              <w:left w:val="single" w:color="D8D8D8" w:sz="8" w:space="0"/>
              <w:bottom w:val="nil"/>
              <w:right w:val="single" w:color="D8D8D8" w:sz="8" w:space="0"/>
            </w:tcBorders>
            <w:vAlign w:val="center"/>
            <w:hideMark/>
          </w:tcPr>
          <w:p w:rsidRPr="003251DC" w:rsidR="003251DC" w:rsidP="003251DC" w:rsidRDefault="003251DC" w14:paraId="241B3DD1" w14:textId="77777777">
            <w:pPr>
              <w:overflowPunct/>
              <w:autoSpaceDE/>
              <w:autoSpaceDN/>
              <w:adjustRightInd/>
              <w:textAlignment w:val="auto"/>
              <w:rPr>
                <w:color w:val="000000"/>
              </w:rPr>
            </w:pPr>
          </w:p>
        </w:tc>
        <w:tc>
          <w:tcPr>
            <w:tcW w:w="973" w:type="dxa"/>
            <w:vMerge/>
            <w:tcBorders>
              <w:top w:val="nil"/>
              <w:left w:val="single" w:color="D8D8D8" w:sz="8" w:space="0"/>
              <w:bottom w:val="nil"/>
              <w:right w:val="single" w:color="D8D8D8" w:sz="8" w:space="0"/>
            </w:tcBorders>
            <w:vAlign w:val="center"/>
            <w:hideMark/>
          </w:tcPr>
          <w:p w:rsidRPr="003251DC" w:rsidR="003251DC" w:rsidP="003251DC" w:rsidRDefault="003251DC" w14:paraId="441F5105" w14:textId="77777777">
            <w:pPr>
              <w:overflowPunct/>
              <w:autoSpaceDE/>
              <w:autoSpaceDN/>
              <w:adjustRightInd/>
              <w:textAlignment w:val="auto"/>
              <w:rPr>
                <w:color w:val="000000"/>
              </w:rPr>
            </w:pPr>
          </w:p>
        </w:tc>
        <w:tc>
          <w:tcPr>
            <w:tcW w:w="951" w:type="dxa"/>
            <w:vMerge/>
            <w:tcBorders>
              <w:top w:val="nil"/>
              <w:left w:val="single" w:color="D8D8D8" w:sz="8" w:space="0"/>
              <w:bottom w:val="nil"/>
              <w:right w:val="single" w:color="D8D8D8" w:sz="8" w:space="0"/>
            </w:tcBorders>
            <w:vAlign w:val="center"/>
            <w:hideMark/>
          </w:tcPr>
          <w:p w:rsidRPr="003251DC" w:rsidR="003251DC" w:rsidP="003251DC" w:rsidRDefault="003251DC" w14:paraId="0073FB58" w14:textId="77777777">
            <w:pPr>
              <w:overflowPunct/>
              <w:autoSpaceDE/>
              <w:autoSpaceDN/>
              <w:adjustRightInd/>
              <w:textAlignment w:val="auto"/>
              <w:rPr>
                <w:rFonts w:ascii="Arial" w:hAnsi="Arial" w:cs="Arial"/>
                <w:color w:val="000000"/>
                <w:sz w:val="18"/>
                <w:szCs w:val="18"/>
              </w:rPr>
            </w:pPr>
          </w:p>
        </w:tc>
        <w:tc>
          <w:tcPr>
            <w:tcW w:w="1465" w:type="dxa"/>
            <w:vMerge/>
            <w:tcBorders>
              <w:top w:val="nil"/>
              <w:left w:val="single" w:color="D8D8D8" w:sz="8" w:space="0"/>
              <w:bottom w:val="nil"/>
              <w:right w:val="single" w:color="D8D8D8" w:sz="8" w:space="0"/>
            </w:tcBorders>
            <w:vAlign w:val="center"/>
            <w:hideMark/>
          </w:tcPr>
          <w:p w:rsidRPr="003251DC" w:rsidR="003251DC" w:rsidP="003251DC" w:rsidRDefault="003251DC" w14:paraId="7C7E203A" w14:textId="77777777">
            <w:pPr>
              <w:overflowPunct/>
              <w:autoSpaceDE/>
              <w:autoSpaceDN/>
              <w:adjustRightInd/>
              <w:textAlignment w:val="auto"/>
              <w:rPr>
                <w:rFonts w:ascii="Arial" w:hAnsi="Arial" w:cs="Arial"/>
                <w:color w:val="000000"/>
                <w:sz w:val="18"/>
                <w:szCs w:val="18"/>
              </w:rPr>
            </w:pPr>
          </w:p>
        </w:tc>
        <w:tc>
          <w:tcPr>
            <w:tcW w:w="949" w:type="dxa"/>
            <w:vMerge/>
            <w:tcBorders>
              <w:top w:val="nil"/>
              <w:left w:val="single" w:color="D8D8D8" w:sz="8" w:space="0"/>
              <w:bottom w:val="nil"/>
              <w:right w:val="single" w:color="D8D8D8" w:sz="8" w:space="0"/>
            </w:tcBorders>
            <w:vAlign w:val="center"/>
            <w:hideMark/>
          </w:tcPr>
          <w:p w:rsidRPr="003251DC" w:rsidR="003251DC" w:rsidP="003251DC" w:rsidRDefault="003251DC" w14:paraId="0DA7594B" w14:textId="77777777">
            <w:pPr>
              <w:overflowPunct/>
              <w:autoSpaceDE/>
              <w:autoSpaceDN/>
              <w:adjustRightInd/>
              <w:textAlignment w:val="auto"/>
              <w:rPr>
                <w:rFonts w:ascii="Arial" w:hAnsi="Arial" w:cs="Arial"/>
                <w:color w:val="000000"/>
                <w:sz w:val="18"/>
                <w:szCs w:val="18"/>
              </w:rPr>
            </w:pPr>
          </w:p>
        </w:tc>
        <w:tc>
          <w:tcPr>
            <w:tcW w:w="940" w:type="dxa"/>
            <w:vMerge/>
            <w:tcBorders>
              <w:top w:val="nil"/>
              <w:left w:val="single" w:color="D8D8D8" w:sz="8" w:space="0"/>
              <w:bottom w:val="nil"/>
              <w:right w:val="single" w:color="D8D8D8" w:sz="8" w:space="0"/>
            </w:tcBorders>
            <w:vAlign w:val="center"/>
            <w:hideMark/>
          </w:tcPr>
          <w:p w:rsidRPr="003251DC" w:rsidR="003251DC" w:rsidP="003251DC" w:rsidRDefault="003251DC" w14:paraId="681959CD" w14:textId="77777777">
            <w:pPr>
              <w:overflowPunct/>
              <w:autoSpaceDE/>
              <w:autoSpaceDN/>
              <w:adjustRightInd/>
              <w:textAlignment w:val="auto"/>
              <w:rPr>
                <w:rFonts w:ascii="Arial" w:hAnsi="Arial" w:cs="Arial"/>
                <w:color w:val="000000"/>
                <w:sz w:val="18"/>
                <w:szCs w:val="18"/>
              </w:rPr>
            </w:pPr>
          </w:p>
        </w:tc>
        <w:tc>
          <w:tcPr>
            <w:tcW w:w="929"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2F96F939" w14:textId="77777777">
            <w:pPr>
              <w:overflowPunct/>
              <w:autoSpaceDE/>
              <w:autoSpaceDN/>
              <w:adjustRightInd/>
              <w:jc w:val="right"/>
              <w:textAlignment w:val="auto"/>
              <w:rPr>
                <w:rFonts w:ascii="Arial" w:hAnsi="Arial" w:cs="Arial"/>
                <w:color w:val="000000"/>
                <w:sz w:val="18"/>
                <w:szCs w:val="18"/>
              </w:rPr>
            </w:pPr>
            <w:r w:rsidRPr="003251DC">
              <w:rPr>
                <w:rFonts w:ascii="Arial" w:hAnsi="Arial" w:cs="Arial"/>
                <w:color w:val="000000"/>
                <w:sz w:val="18"/>
                <w:szCs w:val="18"/>
              </w:rPr>
              <w:t xml:space="preserve">$44 </w:t>
            </w:r>
          </w:p>
        </w:tc>
        <w:tc>
          <w:tcPr>
            <w:tcW w:w="1167" w:type="dxa"/>
            <w:tcBorders>
              <w:top w:val="nil"/>
              <w:left w:val="nil"/>
              <w:bottom w:val="single" w:color="D8D8D8" w:sz="8" w:space="0"/>
              <w:right w:val="single" w:color="auto" w:sz="8" w:space="0"/>
            </w:tcBorders>
            <w:shd w:val="clear" w:color="auto" w:fill="auto"/>
            <w:vAlign w:val="center"/>
            <w:hideMark/>
          </w:tcPr>
          <w:p w:rsidRPr="003251DC" w:rsidR="003251DC" w:rsidP="003251DC" w:rsidRDefault="003251DC" w14:paraId="4DE3BAD3" w14:textId="77777777">
            <w:pPr>
              <w:overflowPunct/>
              <w:autoSpaceDE/>
              <w:autoSpaceDN/>
              <w:adjustRightInd/>
              <w:jc w:val="right"/>
              <w:textAlignment w:val="auto"/>
              <w:rPr>
                <w:rFonts w:ascii="Arial" w:hAnsi="Arial" w:cs="Arial"/>
                <w:color w:val="000000"/>
                <w:sz w:val="18"/>
                <w:szCs w:val="18"/>
              </w:rPr>
            </w:pPr>
            <w:r w:rsidRPr="003251DC">
              <w:rPr>
                <w:rFonts w:ascii="Arial" w:hAnsi="Arial" w:cs="Arial"/>
                <w:color w:val="000000"/>
                <w:sz w:val="18"/>
                <w:szCs w:val="18"/>
              </w:rPr>
              <w:t xml:space="preserve">$0 </w:t>
            </w:r>
          </w:p>
        </w:tc>
      </w:tr>
      <w:tr w:rsidRPr="003251DC" w:rsidR="003251DC" w:rsidTr="003251DC" w14:paraId="1514C072" w14:textId="77777777">
        <w:trPr>
          <w:trHeight w:val="1035"/>
        </w:trPr>
        <w:tc>
          <w:tcPr>
            <w:tcW w:w="918" w:type="dxa"/>
            <w:tcBorders>
              <w:top w:val="nil"/>
              <w:left w:val="single" w:color="auto" w:sz="8" w:space="0"/>
              <w:bottom w:val="single" w:color="D8D8D8" w:sz="8" w:space="0"/>
              <w:right w:val="single" w:color="D8D8D8" w:sz="8" w:space="0"/>
            </w:tcBorders>
            <w:shd w:val="clear" w:color="auto" w:fill="auto"/>
            <w:vAlign w:val="center"/>
            <w:hideMark/>
          </w:tcPr>
          <w:p w:rsidRPr="003251DC" w:rsidR="003251DC" w:rsidP="003251DC" w:rsidRDefault="003251DC" w14:paraId="240520A0" w14:textId="77777777">
            <w:pPr>
              <w:overflowPunct/>
              <w:autoSpaceDE/>
              <w:autoSpaceDN/>
              <w:adjustRightInd/>
              <w:jc w:val="right"/>
              <w:textAlignment w:val="auto"/>
              <w:rPr>
                <w:rFonts w:ascii="Arial" w:hAnsi="Arial" w:cs="Arial"/>
                <w:color w:val="000000"/>
                <w:sz w:val="18"/>
                <w:szCs w:val="18"/>
              </w:rPr>
            </w:pPr>
            <w:r w:rsidRPr="003251DC">
              <w:rPr>
                <w:rFonts w:ascii="Arial" w:hAnsi="Arial" w:cs="Arial"/>
                <w:color w:val="000000"/>
                <w:sz w:val="18"/>
                <w:szCs w:val="18"/>
              </w:rPr>
              <w:t> </w:t>
            </w:r>
          </w:p>
        </w:tc>
        <w:tc>
          <w:tcPr>
            <w:tcW w:w="1108"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73C16833" w14:textId="77777777">
            <w:pPr>
              <w:overflowPunct/>
              <w:autoSpaceDE/>
              <w:autoSpaceDN/>
              <w:adjustRightInd/>
              <w:textAlignment w:val="auto"/>
              <w:rPr>
                <w:color w:val="000000"/>
              </w:rPr>
            </w:pPr>
            <w:r w:rsidRPr="003251DC">
              <w:rPr>
                <w:color w:val="000000"/>
              </w:rPr>
              <w:t>Mixed Finance Early Warning</w:t>
            </w:r>
          </w:p>
        </w:tc>
        <w:tc>
          <w:tcPr>
            <w:tcW w:w="973"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5DC750B4" w14:textId="77777777">
            <w:pPr>
              <w:overflowPunct/>
              <w:autoSpaceDE/>
              <w:autoSpaceDN/>
              <w:adjustRightInd/>
              <w:jc w:val="right"/>
              <w:textAlignment w:val="auto"/>
              <w:rPr>
                <w:color w:val="000000"/>
              </w:rPr>
            </w:pPr>
            <w:r w:rsidRPr="003251DC">
              <w:rPr>
                <w:color w:val="000000"/>
              </w:rPr>
              <w:t>60</w:t>
            </w:r>
          </w:p>
        </w:tc>
        <w:tc>
          <w:tcPr>
            <w:tcW w:w="951"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4270040C" w14:textId="77777777">
            <w:pPr>
              <w:overflowPunct/>
              <w:autoSpaceDE/>
              <w:autoSpaceDN/>
              <w:adjustRightInd/>
              <w:jc w:val="right"/>
              <w:textAlignment w:val="auto"/>
              <w:rPr>
                <w:color w:val="000000"/>
              </w:rPr>
            </w:pPr>
            <w:r w:rsidRPr="003251DC">
              <w:rPr>
                <w:color w:val="000000"/>
              </w:rPr>
              <w:t>1</w:t>
            </w:r>
          </w:p>
        </w:tc>
        <w:tc>
          <w:tcPr>
            <w:tcW w:w="1465"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5E582776" w14:textId="77777777">
            <w:pPr>
              <w:overflowPunct/>
              <w:autoSpaceDE/>
              <w:autoSpaceDN/>
              <w:adjustRightInd/>
              <w:jc w:val="right"/>
              <w:textAlignment w:val="auto"/>
              <w:rPr>
                <w:color w:val="000000"/>
              </w:rPr>
            </w:pPr>
            <w:r w:rsidRPr="003251DC">
              <w:rPr>
                <w:color w:val="000000"/>
              </w:rPr>
              <w:t>60</w:t>
            </w:r>
          </w:p>
        </w:tc>
        <w:tc>
          <w:tcPr>
            <w:tcW w:w="949"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76EEB14E" w14:textId="77777777">
            <w:pPr>
              <w:overflowPunct/>
              <w:autoSpaceDE/>
              <w:autoSpaceDN/>
              <w:adjustRightInd/>
              <w:jc w:val="right"/>
              <w:textAlignment w:val="auto"/>
              <w:rPr>
                <w:color w:val="000000"/>
              </w:rPr>
            </w:pPr>
            <w:r w:rsidRPr="003251DC">
              <w:rPr>
                <w:color w:val="000000"/>
              </w:rPr>
              <w:t>0.33</w:t>
            </w:r>
          </w:p>
        </w:tc>
        <w:tc>
          <w:tcPr>
            <w:tcW w:w="940"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3E14FC91" w14:textId="77777777">
            <w:pPr>
              <w:overflowPunct/>
              <w:autoSpaceDE/>
              <w:autoSpaceDN/>
              <w:adjustRightInd/>
              <w:jc w:val="right"/>
              <w:textAlignment w:val="auto"/>
              <w:rPr>
                <w:color w:val="000000"/>
              </w:rPr>
            </w:pPr>
            <w:r w:rsidRPr="003251DC">
              <w:rPr>
                <w:color w:val="000000"/>
              </w:rPr>
              <w:t>20</w:t>
            </w:r>
          </w:p>
        </w:tc>
        <w:tc>
          <w:tcPr>
            <w:tcW w:w="929" w:type="dxa"/>
            <w:tcBorders>
              <w:top w:val="nil"/>
              <w:left w:val="nil"/>
              <w:bottom w:val="single" w:color="D8D8D8" w:sz="8" w:space="0"/>
              <w:right w:val="single" w:color="D8D8D8" w:sz="8" w:space="0"/>
            </w:tcBorders>
            <w:shd w:val="clear" w:color="auto" w:fill="auto"/>
            <w:vAlign w:val="center"/>
            <w:hideMark/>
          </w:tcPr>
          <w:p w:rsidRPr="003251DC" w:rsidR="003251DC" w:rsidP="003251DC" w:rsidRDefault="003251DC" w14:paraId="462A0AA3" w14:textId="77777777">
            <w:pPr>
              <w:overflowPunct/>
              <w:autoSpaceDE/>
              <w:autoSpaceDN/>
              <w:adjustRightInd/>
              <w:jc w:val="right"/>
              <w:textAlignment w:val="auto"/>
              <w:rPr>
                <w:rFonts w:ascii="Arial" w:hAnsi="Arial" w:cs="Arial"/>
                <w:color w:val="000000"/>
                <w:sz w:val="18"/>
                <w:szCs w:val="18"/>
              </w:rPr>
            </w:pPr>
            <w:r w:rsidRPr="003251DC">
              <w:rPr>
                <w:rFonts w:ascii="Arial" w:hAnsi="Arial" w:cs="Arial"/>
                <w:color w:val="000000"/>
                <w:sz w:val="18"/>
                <w:szCs w:val="18"/>
              </w:rPr>
              <w:t xml:space="preserve">$44 </w:t>
            </w:r>
          </w:p>
        </w:tc>
        <w:tc>
          <w:tcPr>
            <w:tcW w:w="1167" w:type="dxa"/>
            <w:tcBorders>
              <w:top w:val="nil"/>
              <w:left w:val="nil"/>
              <w:bottom w:val="single" w:color="D8D8D8" w:sz="8" w:space="0"/>
              <w:right w:val="single" w:color="auto" w:sz="8" w:space="0"/>
            </w:tcBorders>
            <w:shd w:val="clear" w:color="auto" w:fill="auto"/>
            <w:vAlign w:val="center"/>
            <w:hideMark/>
          </w:tcPr>
          <w:p w:rsidRPr="003251DC" w:rsidR="003251DC" w:rsidP="003251DC" w:rsidRDefault="003251DC" w14:paraId="55E6DF63" w14:textId="77777777">
            <w:pPr>
              <w:overflowPunct/>
              <w:autoSpaceDE/>
              <w:autoSpaceDN/>
              <w:adjustRightInd/>
              <w:jc w:val="right"/>
              <w:textAlignment w:val="auto"/>
              <w:rPr>
                <w:rFonts w:ascii="Arial" w:hAnsi="Arial" w:cs="Arial"/>
                <w:color w:val="000000"/>
                <w:sz w:val="18"/>
                <w:szCs w:val="18"/>
              </w:rPr>
            </w:pPr>
            <w:r w:rsidRPr="003251DC">
              <w:rPr>
                <w:rFonts w:ascii="Arial" w:hAnsi="Arial" w:cs="Arial"/>
                <w:color w:val="000000"/>
                <w:sz w:val="18"/>
                <w:szCs w:val="18"/>
              </w:rPr>
              <w:t xml:space="preserve">$882 </w:t>
            </w:r>
          </w:p>
        </w:tc>
      </w:tr>
      <w:tr w:rsidRPr="003251DC" w:rsidR="003251DC" w:rsidTr="003251DC" w14:paraId="52A3756C" w14:textId="77777777">
        <w:trPr>
          <w:trHeight w:val="315"/>
        </w:trPr>
        <w:tc>
          <w:tcPr>
            <w:tcW w:w="918" w:type="dxa"/>
            <w:tcBorders>
              <w:top w:val="nil"/>
              <w:left w:val="single" w:color="auto" w:sz="8" w:space="0"/>
              <w:bottom w:val="single" w:color="auto" w:sz="8" w:space="0"/>
              <w:right w:val="single" w:color="D8D8D8" w:sz="8" w:space="0"/>
            </w:tcBorders>
            <w:shd w:val="clear" w:color="000000" w:fill="D8D8D8"/>
            <w:vAlign w:val="center"/>
            <w:hideMark/>
          </w:tcPr>
          <w:p w:rsidRPr="003251DC" w:rsidR="003251DC" w:rsidP="003251DC" w:rsidRDefault="003251DC" w14:paraId="582782F8" w14:textId="77777777">
            <w:pPr>
              <w:overflowPunct/>
              <w:autoSpaceDE/>
              <w:autoSpaceDN/>
              <w:adjustRightInd/>
              <w:jc w:val="center"/>
              <w:textAlignment w:val="auto"/>
              <w:rPr>
                <w:color w:val="000000"/>
              </w:rPr>
            </w:pPr>
            <w:r w:rsidRPr="003251DC">
              <w:rPr>
                <w:color w:val="000000"/>
              </w:rPr>
              <w:t> </w:t>
            </w:r>
          </w:p>
        </w:tc>
        <w:tc>
          <w:tcPr>
            <w:tcW w:w="1108" w:type="dxa"/>
            <w:tcBorders>
              <w:top w:val="nil"/>
              <w:left w:val="nil"/>
              <w:bottom w:val="single" w:color="auto" w:sz="8" w:space="0"/>
              <w:right w:val="single" w:color="D8D8D8" w:sz="8" w:space="0"/>
            </w:tcBorders>
            <w:shd w:val="clear" w:color="000000" w:fill="D8D8D8"/>
            <w:vAlign w:val="center"/>
            <w:hideMark/>
          </w:tcPr>
          <w:p w:rsidRPr="003251DC" w:rsidR="003251DC" w:rsidP="003251DC" w:rsidRDefault="003251DC" w14:paraId="7ED84EB7" w14:textId="77777777">
            <w:pPr>
              <w:overflowPunct/>
              <w:autoSpaceDE/>
              <w:autoSpaceDN/>
              <w:adjustRightInd/>
              <w:jc w:val="center"/>
              <w:textAlignment w:val="auto"/>
              <w:rPr>
                <w:b/>
                <w:bCs/>
                <w:color w:val="2B579A"/>
              </w:rPr>
            </w:pPr>
            <w:r w:rsidRPr="003251DC">
              <w:rPr>
                <w:b/>
                <w:bCs/>
                <w:color w:val="2B579A"/>
              </w:rPr>
              <w:t>Totals</w:t>
            </w:r>
          </w:p>
        </w:tc>
        <w:tc>
          <w:tcPr>
            <w:tcW w:w="973" w:type="dxa"/>
            <w:tcBorders>
              <w:top w:val="nil"/>
              <w:left w:val="nil"/>
              <w:bottom w:val="single" w:color="auto" w:sz="8" w:space="0"/>
              <w:right w:val="single" w:color="D8D8D8" w:sz="8" w:space="0"/>
            </w:tcBorders>
            <w:shd w:val="clear" w:color="000000" w:fill="D8D8D8"/>
            <w:vAlign w:val="center"/>
            <w:hideMark/>
          </w:tcPr>
          <w:p w:rsidRPr="003251DC" w:rsidR="003251DC" w:rsidP="003251DC" w:rsidRDefault="003251DC" w14:paraId="4B50AE87" w14:textId="77777777">
            <w:pPr>
              <w:overflowPunct/>
              <w:autoSpaceDE/>
              <w:autoSpaceDN/>
              <w:adjustRightInd/>
              <w:jc w:val="center"/>
              <w:textAlignment w:val="auto"/>
              <w:rPr>
                <w:b/>
                <w:bCs/>
                <w:color w:val="2B579A"/>
              </w:rPr>
            </w:pPr>
            <w:r w:rsidRPr="003251DC">
              <w:rPr>
                <w:b/>
                <w:bCs/>
                <w:color w:val="2B579A"/>
              </w:rPr>
              <w:t>2,800</w:t>
            </w:r>
          </w:p>
        </w:tc>
        <w:tc>
          <w:tcPr>
            <w:tcW w:w="951" w:type="dxa"/>
            <w:tcBorders>
              <w:top w:val="nil"/>
              <w:left w:val="nil"/>
              <w:bottom w:val="single" w:color="auto" w:sz="8" w:space="0"/>
              <w:right w:val="single" w:color="D8D8D8" w:sz="8" w:space="0"/>
            </w:tcBorders>
            <w:shd w:val="clear" w:color="000000" w:fill="D8D8D8"/>
            <w:vAlign w:val="center"/>
            <w:hideMark/>
          </w:tcPr>
          <w:p w:rsidRPr="003251DC" w:rsidR="003251DC" w:rsidP="003251DC" w:rsidRDefault="003251DC" w14:paraId="7144482F" w14:textId="77777777">
            <w:pPr>
              <w:overflowPunct/>
              <w:autoSpaceDE/>
              <w:autoSpaceDN/>
              <w:adjustRightInd/>
              <w:jc w:val="center"/>
              <w:textAlignment w:val="auto"/>
              <w:rPr>
                <w:b/>
                <w:bCs/>
                <w:color w:val="2B579A"/>
              </w:rPr>
            </w:pPr>
            <w:r w:rsidRPr="003251DC">
              <w:rPr>
                <w:b/>
                <w:bCs/>
                <w:color w:val="2B579A"/>
              </w:rPr>
              <w:t>Varies</w:t>
            </w:r>
          </w:p>
        </w:tc>
        <w:tc>
          <w:tcPr>
            <w:tcW w:w="1465" w:type="dxa"/>
            <w:tcBorders>
              <w:top w:val="nil"/>
              <w:left w:val="nil"/>
              <w:bottom w:val="single" w:color="auto" w:sz="8" w:space="0"/>
              <w:right w:val="single" w:color="D8D8D8" w:sz="8" w:space="0"/>
            </w:tcBorders>
            <w:shd w:val="clear" w:color="000000" w:fill="D8D8D8"/>
            <w:vAlign w:val="center"/>
            <w:hideMark/>
          </w:tcPr>
          <w:p w:rsidRPr="003251DC" w:rsidR="003251DC" w:rsidP="003251DC" w:rsidRDefault="003251DC" w14:paraId="6392166D" w14:textId="77777777">
            <w:pPr>
              <w:overflowPunct/>
              <w:autoSpaceDE/>
              <w:autoSpaceDN/>
              <w:adjustRightInd/>
              <w:jc w:val="center"/>
              <w:textAlignment w:val="auto"/>
              <w:rPr>
                <w:b/>
                <w:bCs/>
                <w:color w:val="2B579A"/>
              </w:rPr>
            </w:pPr>
            <w:r w:rsidRPr="003251DC">
              <w:rPr>
                <w:b/>
                <w:bCs/>
                <w:color w:val="2B579A"/>
              </w:rPr>
              <w:t>20,440</w:t>
            </w:r>
          </w:p>
        </w:tc>
        <w:tc>
          <w:tcPr>
            <w:tcW w:w="949" w:type="dxa"/>
            <w:tcBorders>
              <w:top w:val="nil"/>
              <w:left w:val="nil"/>
              <w:bottom w:val="single" w:color="auto" w:sz="8" w:space="0"/>
              <w:right w:val="single" w:color="D8D8D8" w:sz="8" w:space="0"/>
            </w:tcBorders>
            <w:shd w:val="clear" w:color="000000" w:fill="D8D8D8"/>
            <w:vAlign w:val="center"/>
            <w:hideMark/>
          </w:tcPr>
          <w:p w:rsidRPr="003251DC" w:rsidR="003251DC" w:rsidP="003251DC" w:rsidRDefault="003251DC" w14:paraId="76734E67" w14:textId="77777777">
            <w:pPr>
              <w:overflowPunct/>
              <w:autoSpaceDE/>
              <w:autoSpaceDN/>
              <w:adjustRightInd/>
              <w:jc w:val="center"/>
              <w:textAlignment w:val="auto"/>
              <w:rPr>
                <w:b/>
                <w:bCs/>
                <w:color w:val="2B579A"/>
              </w:rPr>
            </w:pPr>
            <w:r w:rsidRPr="003251DC">
              <w:rPr>
                <w:b/>
                <w:bCs/>
                <w:color w:val="2B579A"/>
              </w:rPr>
              <w:t>Varies</w:t>
            </w:r>
          </w:p>
        </w:tc>
        <w:tc>
          <w:tcPr>
            <w:tcW w:w="940" w:type="dxa"/>
            <w:tcBorders>
              <w:top w:val="nil"/>
              <w:left w:val="nil"/>
              <w:bottom w:val="single" w:color="auto" w:sz="8" w:space="0"/>
              <w:right w:val="single" w:color="D8D8D8" w:sz="8" w:space="0"/>
            </w:tcBorders>
            <w:shd w:val="clear" w:color="000000" w:fill="D8D8D8"/>
            <w:vAlign w:val="center"/>
            <w:hideMark/>
          </w:tcPr>
          <w:p w:rsidRPr="003251DC" w:rsidR="003251DC" w:rsidP="003251DC" w:rsidRDefault="003251DC" w14:paraId="4093BA75" w14:textId="77777777">
            <w:pPr>
              <w:overflowPunct/>
              <w:autoSpaceDE/>
              <w:autoSpaceDN/>
              <w:adjustRightInd/>
              <w:jc w:val="center"/>
              <w:textAlignment w:val="auto"/>
              <w:rPr>
                <w:b/>
                <w:bCs/>
                <w:color w:val="2B579A"/>
              </w:rPr>
            </w:pPr>
            <w:r w:rsidRPr="003251DC">
              <w:rPr>
                <w:b/>
                <w:bCs/>
                <w:color w:val="2B579A"/>
              </w:rPr>
              <w:t>33,103</w:t>
            </w:r>
          </w:p>
        </w:tc>
        <w:tc>
          <w:tcPr>
            <w:tcW w:w="929" w:type="dxa"/>
            <w:tcBorders>
              <w:top w:val="nil"/>
              <w:left w:val="nil"/>
              <w:bottom w:val="single" w:color="auto" w:sz="8" w:space="0"/>
              <w:right w:val="single" w:color="D8D8D8" w:sz="8" w:space="0"/>
            </w:tcBorders>
            <w:shd w:val="clear" w:color="000000" w:fill="D8D8D8"/>
            <w:vAlign w:val="center"/>
            <w:hideMark/>
          </w:tcPr>
          <w:p w:rsidRPr="003251DC" w:rsidR="003251DC" w:rsidP="003251DC" w:rsidRDefault="003251DC" w14:paraId="7E64E9D9" w14:textId="77777777">
            <w:pPr>
              <w:overflowPunct/>
              <w:autoSpaceDE/>
              <w:autoSpaceDN/>
              <w:adjustRightInd/>
              <w:jc w:val="center"/>
              <w:textAlignment w:val="auto"/>
              <w:rPr>
                <w:b/>
                <w:bCs/>
                <w:color w:val="2B579A"/>
              </w:rPr>
            </w:pPr>
            <w:r w:rsidRPr="003251DC">
              <w:rPr>
                <w:b/>
                <w:bCs/>
                <w:color w:val="2B579A"/>
              </w:rPr>
              <w:t xml:space="preserve">$44 </w:t>
            </w:r>
          </w:p>
        </w:tc>
        <w:tc>
          <w:tcPr>
            <w:tcW w:w="1167" w:type="dxa"/>
            <w:tcBorders>
              <w:top w:val="nil"/>
              <w:left w:val="nil"/>
              <w:bottom w:val="single" w:color="auto" w:sz="8" w:space="0"/>
              <w:right w:val="single" w:color="D8D8D8" w:sz="8" w:space="0"/>
            </w:tcBorders>
            <w:shd w:val="clear" w:color="000000" w:fill="D8D8D8"/>
            <w:vAlign w:val="center"/>
            <w:hideMark/>
          </w:tcPr>
          <w:p w:rsidRPr="003251DC" w:rsidR="003251DC" w:rsidP="003251DC" w:rsidRDefault="003251DC" w14:paraId="006C37C0" w14:textId="77777777">
            <w:pPr>
              <w:overflowPunct/>
              <w:autoSpaceDE/>
              <w:autoSpaceDN/>
              <w:adjustRightInd/>
              <w:jc w:val="center"/>
              <w:textAlignment w:val="auto"/>
              <w:rPr>
                <w:b/>
                <w:bCs/>
                <w:color w:val="2B579A"/>
              </w:rPr>
            </w:pPr>
            <w:r w:rsidRPr="003251DC">
              <w:rPr>
                <w:b/>
                <w:bCs/>
                <w:color w:val="2B579A"/>
              </w:rPr>
              <w:t xml:space="preserve">$1,459,820 </w:t>
            </w:r>
          </w:p>
        </w:tc>
      </w:tr>
    </w:tbl>
    <w:p w:rsidRPr="00FC2BDD" w:rsidR="009845B8" w:rsidP="0070762B" w:rsidRDefault="009845B8" w14:paraId="406CBEB2" w14:textId="77777777">
      <w:pPr>
        <w:pStyle w:val="BodyTextIndent"/>
        <w:spacing w:after="0"/>
        <w:ind w:left="0"/>
        <w:rPr>
          <w:b/>
          <w:bCs/>
          <w:sz w:val="24"/>
          <w:szCs w:val="24"/>
        </w:rPr>
      </w:pPr>
    </w:p>
    <w:p w:rsidRPr="00467B95" w:rsidR="00467B95" w:rsidP="0070762B" w:rsidRDefault="00D93870" w14:paraId="44F3E205" w14:textId="54262C84">
      <w:pPr>
        <w:rPr>
          <w:sz w:val="24"/>
          <w:szCs w:val="24"/>
        </w:rPr>
      </w:pPr>
      <w:r w:rsidRPr="386E2BBE">
        <w:rPr>
          <w:sz w:val="24"/>
          <w:szCs w:val="24"/>
        </w:rPr>
        <w:t xml:space="preserve">PIH estimates that </w:t>
      </w:r>
      <w:r w:rsidRPr="386E2BBE" w:rsidR="006203C5">
        <w:rPr>
          <w:sz w:val="24"/>
          <w:szCs w:val="24"/>
        </w:rPr>
        <w:t>3</w:t>
      </w:r>
      <w:r w:rsidR="005B5EBC">
        <w:rPr>
          <w:sz w:val="24"/>
          <w:szCs w:val="24"/>
        </w:rPr>
        <w:t>3</w:t>
      </w:r>
      <w:r w:rsidRPr="386E2BBE" w:rsidR="006203C5">
        <w:rPr>
          <w:sz w:val="24"/>
          <w:szCs w:val="24"/>
        </w:rPr>
        <w:t>,</w:t>
      </w:r>
      <w:r w:rsidR="00712EE0">
        <w:rPr>
          <w:sz w:val="24"/>
          <w:szCs w:val="24"/>
        </w:rPr>
        <w:t>1</w:t>
      </w:r>
      <w:r w:rsidRPr="386E2BBE" w:rsidR="002D20D8">
        <w:rPr>
          <w:sz w:val="24"/>
          <w:szCs w:val="24"/>
        </w:rPr>
        <w:t>03</w:t>
      </w:r>
      <w:r w:rsidRPr="386E2BBE" w:rsidR="00467B95">
        <w:rPr>
          <w:sz w:val="24"/>
          <w:szCs w:val="24"/>
        </w:rPr>
        <w:t xml:space="preserve"> hours of labor per year are required for this colle</w:t>
      </w:r>
      <w:r w:rsidRPr="386E2BBE" w:rsidR="00D95427">
        <w:rPr>
          <w:sz w:val="24"/>
          <w:szCs w:val="24"/>
        </w:rPr>
        <w:t xml:space="preserve">ction. </w:t>
      </w:r>
      <w:r w:rsidRPr="386E2BBE" w:rsidR="00467B95">
        <w:rPr>
          <w:sz w:val="24"/>
          <w:szCs w:val="24"/>
        </w:rPr>
        <w:t>Based on an estimated labor rate of $</w:t>
      </w:r>
      <w:r w:rsidRPr="386E2BBE" w:rsidR="006C0DD0">
        <w:rPr>
          <w:sz w:val="24"/>
          <w:szCs w:val="24"/>
        </w:rPr>
        <w:t>4</w:t>
      </w:r>
      <w:r w:rsidR="003251DC">
        <w:rPr>
          <w:sz w:val="24"/>
          <w:szCs w:val="24"/>
        </w:rPr>
        <w:t>4.10</w:t>
      </w:r>
      <w:r w:rsidRPr="386E2BBE" w:rsidR="00467B95">
        <w:rPr>
          <w:sz w:val="24"/>
          <w:szCs w:val="24"/>
        </w:rPr>
        <w:t xml:space="preserve"> (GS-13 Step 5 equivalent) the annual labor cost is $</w:t>
      </w:r>
      <w:r w:rsidRPr="386E2BBE" w:rsidR="002D20D8">
        <w:rPr>
          <w:sz w:val="24"/>
          <w:szCs w:val="24"/>
        </w:rPr>
        <w:t>1,</w:t>
      </w:r>
      <w:r w:rsidR="003251DC">
        <w:rPr>
          <w:sz w:val="24"/>
          <w:szCs w:val="24"/>
        </w:rPr>
        <w:t>459</w:t>
      </w:r>
      <w:r w:rsidRPr="386E2BBE" w:rsidR="002D20D8">
        <w:rPr>
          <w:sz w:val="24"/>
          <w:szCs w:val="24"/>
        </w:rPr>
        <w:t>,</w:t>
      </w:r>
      <w:r w:rsidR="00B57F15">
        <w:rPr>
          <w:sz w:val="24"/>
          <w:szCs w:val="24"/>
        </w:rPr>
        <w:t>820</w:t>
      </w:r>
      <w:r w:rsidRPr="386E2BBE" w:rsidR="00307042">
        <w:rPr>
          <w:sz w:val="24"/>
          <w:szCs w:val="24"/>
        </w:rPr>
        <w:t xml:space="preserve">.  </w:t>
      </w:r>
      <w:r w:rsidRPr="002860BC" w:rsidR="00467B95">
        <w:rPr>
          <w:color w:val="000000"/>
          <w:sz w:val="24"/>
          <w:szCs w:val="24"/>
        </w:rPr>
        <w:t xml:space="preserve">Based on </w:t>
      </w:r>
      <w:r w:rsidRPr="002860BC" w:rsidR="0070762B">
        <w:rPr>
          <w:color w:val="000000"/>
          <w:sz w:val="24"/>
          <w:szCs w:val="24"/>
        </w:rPr>
        <w:t>the Department’s</w:t>
      </w:r>
      <w:r w:rsidRPr="002860BC" w:rsidR="00467B95">
        <w:rPr>
          <w:color w:val="000000"/>
          <w:sz w:val="24"/>
          <w:szCs w:val="24"/>
        </w:rPr>
        <w:t xml:space="preserve"> experience, the projected labor burden </w:t>
      </w:r>
      <w:r w:rsidRPr="002860BC" w:rsidR="006203C5">
        <w:rPr>
          <w:color w:val="000000"/>
          <w:sz w:val="24"/>
          <w:szCs w:val="24"/>
        </w:rPr>
        <w:t xml:space="preserve">has </w:t>
      </w:r>
      <w:r w:rsidRPr="002860BC" w:rsidR="00467B95">
        <w:rPr>
          <w:color w:val="000000"/>
          <w:sz w:val="24"/>
          <w:szCs w:val="24"/>
        </w:rPr>
        <w:t>steadily decrease</w:t>
      </w:r>
      <w:r w:rsidRPr="002860BC" w:rsidR="006203C5">
        <w:rPr>
          <w:color w:val="000000"/>
          <w:sz w:val="24"/>
          <w:szCs w:val="24"/>
        </w:rPr>
        <w:t>d</w:t>
      </w:r>
      <w:r w:rsidRPr="002860BC" w:rsidR="00467B95">
        <w:rPr>
          <w:color w:val="000000"/>
          <w:sz w:val="24"/>
          <w:szCs w:val="24"/>
        </w:rPr>
        <w:t xml:space="preserve"> as the grantees become familiar with navigating </w:t>
      </w:r>
      <w:r w:rsidRPr="002860BC" w:rsidR="006203C5">
        <w:rPr>
          <w:color w:val="000000"/>
          <w:sz w:val="24"/>
          <w:szCs w:val="24"/>
        </w:rPr>
        <w:t xml:space="preserve">new features in </w:t>
      </w:r>
      <w:r w:rsidRPr="002860BC" w:rsidR="00467B95">
        <w:rPr>
          <w:color w:val="000000"/>
          <w:sz w:val="24"/>
          <w:szCs w:val="24"/>
        </w:rPr>
        <w:t xml:space="preserve">the </w:t>
      </w:r>
      <w:r w:rsidRPr="002860BC" w:rsidR="0070762B">
        <w:rPr>
          <w:color w:val="000000"/>
          <w:sz w:val="24"/>
          <w:szCs w:val="24"/>
        </w:rPr>
        <w:t>EPIC</w:t>
      </w:r>
      <w:r w:rsidRPr="002860BC" w:rsidR="00467B95">
        <w:rPr>
          <w:color w:val="000000"/>
          <w:sz w:val="24"/>
          <w:szCs w:val="24"/>
        </w:rPr>
        <w:t xml:space="preserve"> system and </w:t>
      </w:r>
      <w:r w:rsidRPr="002860BC" w:rsidR="0070762B">
        <w:rPr>
          <w:color w:val="000000"/>
          <w:sz w:val="24"/>
          <w:szCs w:val="24"/>
        </w:rPr>
        <w:t>because</w:t>
      </w:r>
      <w:r w:rsidRPr="002860BC" w:rsidR="00467B95">
        <w:rPr>
          <w:color w:val="000000"/>
          <w:sz w:val="24"/>
          <w:szCs w:val="24"/>
        </w:rPr>
        <w:t xml:space="preserve"> submission</w:t>
      </w:r>
      <w:r w:rsidRPr="002860BC" w:rsidR="0070762B">
        <w:rPr>
          <w:color w:val="000000"/>
          <w:sz w:val="24"/>
          <w:szCs w:val="24"/>
        </w:rPr>
        <w:t>s after the first reporting cycle for a grant</w:t>
      </w:r>
      <w:r w:rsidRPr="002860BC" w:rsidR="00467B95">
        <w:rPr>
          <w:color w:val="000000"/>
          <w:sz w:val="24"/>
          <w:szCs w:val="24"/>
        </w:rPr>
        <w:t xml:space="preserve"> will be an update to the initial submitted report and will require less labor to complete.</w:t>
      </w:r>
    </w:p>
    <w:p w:rsidRPr="00467B95" w:rsidR="00467B95" w:rsidP="00467B95" w:rsidRDefault="00467B95" w14:paraId="5B32A09F" w14:textId="77777777">
      <w:pPr>
        <w:tabs>
          <w:tab w:val="left" w:pos="6930"/>
        </w:tabs>
        <w:rPr>
          <w:sz w:val="24"/>
          <w:szCs w:val="24"/>
        </w:rPr>
      </w:pPr>
      <w:r w:rsidRPr="00467B95">
        <w:rPr>
          <w:sz w:val="24"/>
          <w:szCs w:val="24"/>
        </w:rPr>
        <w:tab/>
      </w:r>
    </w:p>
    <w:p w:rsidRPr="00467B95" w:rsidR="00467B95" w:rsidP="0070762B" w:rsidRDefault="00467B95" w14:paraId="4048E68D" w14:textId="77777777">
      <w:pPr>
        <w:tabs>
          <w:tab w:val="left" w:pos="0"/>
        </w:tabs>
        <w:rPr>
          <w:b/>
          <w:bCs/>
          <w:sz w:val="24"/>
          <w:szCs w:val="24"/>
        </w:rPr>
      </w:pPr>
      <w:r w:rsidRPr="00467B95">
        <w:rPr>
          <w:b/>
          <w:bCs/>
          <w:sz w:val="24"/>
          <w:szCs w:val="24"/>
        </w:rPr>
        <w:t>13.</w:t>
      </w:r>
      <w:r w:rsidRPr="00467B95">
        <w:rPr>
          <w:b/>
          <w:bCs/>
          <w:sz w:val="24"/>
          <w:szCs w:val="24"/>
        </w:rPr>
        <w:tab/>
        <w:t xml:space="preserve">Additional Cost to Respondents </w:t>
      </w:r>
    </w:p>
    <w:p w:rsidR="0070762B" w:rsidP="0070762B" w:rsidRDefault="0070762B" w14:paraId="47C1938D" w14:textId="77777777">
      <w:pPr>
        <w:pStyle w:val="BodyText2"/>
        <w:tabs>
          <w:tab w:val="left" w:pos="0"/>
        </w:tabs>
        <w:spacing w:after="0" w:line="240" w:lineRule="auto"/>
        <w:rPr>
          <w:sz w:val="24"/>
          <w:szCs w:val="24"/>
        </w:rPr>
      </w:pPr>
    </w:p>
    <w:p w:rsidRPr="00467B95" w:rsidR="00467B95" w:rsidP="0070762B" w:rsidRDefault="00467B95" w14:paraId="68466A60" w14:textId="77777777">
      <w:pPr>
        <w:pStyle w:val="BodyText2"/>
        <w:tabs>
          <w:tab w:val="left" w:pos="0"/>
        </w:tabs>
        <w:spacing w:after="0" w:line="240" w:lineRule="auto"/>
        <w:rPr>
          <w:sz w:val="24"/>
          <w:szCs w:val="24"/>
        </w:rPr>
      </w:pPr>
      <w:r w:rsidRPr="00467B95">
        <w:rPr>
          <w:sz w:val="24"/>
          <w:szCs w:val="24"/>
        </w:rPr>
        <w:lastRenderedPageBreak/>
        <w:t>There are no additional costs to respondents other than what is reported in Item 12.</w:t>
      </w:r>
    </w:p>
    <w:p w:rsidRPr="00467B95" w:rsidR="00467B95" w:rsidP="0070762B" w:rsidRDefault="00467B95" w14:paraId="706BE320" w14:textId="77777777">
      <w:pPr>
        <w:pStyle w:val="Enclosure"/>
        <w:tabs>
          <w:tab w:val="left" w:pos="0"/>
        </w:tabs>
        <w:overflowPunct w:val="0"/>
        <w:autoSpaceDE w:val="0"/>
        <w:autoSpaceDN w:val="0"/>
        <w:adjustRightInd w:val="0"/>
        <w:textAlignment w:val="baseline"/>
        <w:rPr>
          <w:rFonts w:ascii="Times New Roman" w:hAnsi="Times New Roman" w:cs="Times New Roman"/>
        </w:rPr>
      </w:pPr>
    </w:p>
    <w:p w:rsidRPr="00467B95" w:rsidR="00467B95" w:rsidP="0070762B" w:rsidRDefault="00467B95" w14:paraId="75F5454C" w14:textId="77777777">
      <w:pPr>
        <w:keepNext/>
        <w:tabs>
          <w:tab w:val="left" w:pos="0"/>
        </w:tabs>
        <w:rPr>
          <w:b/>
          <w:bCs/>
          <w:sz w:val="24"/>
          <w:szCs w:val="24"/>
        </w:rPr>
      </w:pPr>
      <w:r w:rsidRPr="00467B95">
        <w:rPr>
          <w:b/>
          <w:bCs/>
          <w:sz w:val="24"/>
          <w:szCs w:val="24"/>
        </w:rPr>
        <w:t xml:space="preserve">14. </w:t>
      </w:r>
      <w:r w:rsidRPr="00467B95">
        <w:rPr>
          <w:b/>
          <w:bCs/>
          <w:sz w:val="24"/>
          <w:szCs w:val="24"/>
        </w:rPr>
        <w:tab/>
        <w:t xml:space="preserve">Annualized cost to the Federal Government </w:t>
      </w:r>
    </w:p>
    <w:p w:rsidRPr="00467B95" w:rsidR="00467B95" w:rsidP="0070762B" w:rsidRDefault="00467B95" w14:paraId="5D706C6B" w14:textId="77777777">
      <w:pPr>
        <w:keepNext/>
        <w:tabs>
          <w:tab w:val="left" w:pos="0"/>
        </w:tabs>
        <w:rPr>
          <w:b/>
          <w:bCs/>
          <w:sz w:val="24"/>
          <w:szCs w:val="24"/>
        </w:rPr>
      </w:pPr>
    </w:p>
    <w:p w:rsidRPr="00467B95" w:rsidR="00467B95" w:rsidP="386E2BBE" w:rsidRDefault="00467B95" w14:paraId="3CFC2FCB" w14:textId="26824A21">
      <w:pPr>
        <w:rPr>
          <w:noProof/>
          <w:sz w:val="24"/>
          <w:szCs w:val="24"/>
        </w:rPr>
      </w:pPr>
      <w:r w:rsidRPr="386E2BBE">
        <w:rPr>
          <w:noProof/>
          <w:sz w:val="24"/>
          <w:szCs w:val="24"/>
        </w:rPr>
        <w:t>Estimated annualized cost for collection of information is</w:t>
      </w:r>
      <w:r w:rsidRPr="002860BC">
        <w:rPr>
          <w:color w:val="000000"/>
          <w:sz w:val="24"/>
          <w:szCs w:val="24"/>
        </w:rPr>
        <w:t xml:space="preserve"> </w:t>
      </w:r>
      <w:r w:rsidRPr="386E2BBE" w:rsidR="006203C5">
        <w:rPr>
          <w:sz w:val="24"/>
          <w:szCs w:val="24"/>
        </w:rPr>
        <w:t>$</w:t>
      </w:r>
      <w:r w:rsidRPr="00F515B1" w:rsidR="00F515B1">
        <w:rPr>
          <w:sz w:val="24"/>
          <w:szCs w:val="24"/>
        </w:rPr>
        <w:t>8,805,888.00</w:t>
      </w:r>
      <w:r w:rsidR="00F515B1">
        <w:rPr>
          <w:sz w:val="24"/>
          <w:szCs w:val="24"/>
        </w:rPr>
        <w:t xml:space="preserve">. </w:t>
      </w:r>
      <w:r w:rsidRPr="00F515B1" w:rsidR="00F515B1">
        <w:rPr>
          <w:sz w:val="24"/>
          <w:szCs w:val="24"/>
        </w:rPr>
        <w:t xml:space="preserve"> </w:t>
      </w:r>
      <w:r w:rsidRPr="386E2BBE">
        <w:rPr>
          <w:noProof/>
          <w:sz w:val="24"/>
          <w:szCs w:val="24"/>
        </w:rPr>
        <w:t>The assumed hourly cost figure of $</w:t>
      </w:r>
      <w:r w:rsidRPr="386E2BBE" w:rsidR="00F515B1">
        <w:rPr>
          <w:noProof/>
          <w:sz w:val="24"/>
          <w:szCs w:val="24"/>
        </w:rPr>
        <w:t>4</w:t>
      </w:r>
      <w:r w:rsidR="00F515B1">
        <w:rPr>
          <w:noProof/>
          <w:sz w:val="24"/>
          <w:szCs w:val="24"/>
        </w:rPr>
        <w:t>4</w:t>
      </w:r>
      <w:r w:rsidRPr="386E2BBE" w:rsidR="00674FAB">
        <w:rPr>
          <w:noProof/>
          <w:sz w:val="24"/>
          <w:szCs w:val="24"/>
        </w:rPr>
        <w:t>.</w:t>
      </w:r>
      <w:r w:rsidR="00F515B1">
        <w:rPr>
          <w:noProof/>
          <w:sz w:val="24"/>
          <w:szCs w:val="24"/>
        </w:rPr>
        <w:t>10</w:t>
      </w:r>
      <w:r w:rsidRPr="386E2BBE">
        <w:rPr>
          <w:noProof/>
          <w:sz w:val="24"/>
          <w:szCs w:val="24"/>
        </w:rPr>
        <w:t xml:space="preserve"> is equivalent to the hourly (mid-range) salary of an experienced professional (i.e., a GS-13 Step 5 employee).  </w:t>
      </w:r>
      <w:r w:rsidRPr="386E2BBE" w:rsidR="009E41E8">
        <w:rPr>
          <w:noProof/>
          <w:sz w:val="24"/>
          <w:szCs w:val="24"/>
        </w:rPr>
        <w:t>The total estimated hours for the collection is</w:t>
      </w:r>
      <w:r w:rsidR="00D97498">
        <w:rPr>
          <w:noProof/>
          <w:sz w:val="24"/>
          <w:szCs w:val="24"/>
        </w:rPr>
        <w:t xml:space="preserve"> </w:t>
      </w:r>
      <w:r w:rsidRPr="00580D8E" w:rsidR="00580D8E">
        <w:rPr>
          <w:noProof/>
          <w:sz w:val="24"/>
          <w:szCs w:val="24"/>
        </w:rPr>
        <w:t>199</w:t>
      </w:r>
      <w:r w:rsidR="00580D8E">
        <w:rPr>
          <w:noProof/>
          <w:sz w:val="24"/>
          <w:szCs w:val="24"/>
        </w:rPr>
        <w:t>,</w:t>
      </w:r>
      <w:r w:rsidRPr="00580D8E" w:rsidR="00580D8E">
        <w:rPr>
          <w:noProof/>
          <w:sz w:val="24"/>
          <w:szCs w:val="24"/>
        </w:rPr>
        <w:t>680</w:t>
      </w:r>
      <w:r w:rsidRPr="386E2BBE" w:rsidR="009E41E8">
        <w:rPr>
          <w:noProof/>
          <w:sz w:val="24"/>
          <w:szCs w:val="24"/>
        </w:rPr>
        <w:t xml:space="preserve"> hours.  </w:t>
      </w:r>
      <w:r w:rsidRPr="386E2BBE">
        <w:rPr>
          <w:noProof/>
          <w:sz w:val="24"/>
          <w:szCs w:val="24"/>
        </w:rPr>
        <w:t xml:space="preserve">The costs for this data collection are PIH project management and </w:t>
      </w:r>
      <w:r w:rsidR="00D97498">
        <w:rPr>
          <w:noProof/>
          <w:sz w:val="24"/>
          <w:szCs w:val="24"/>
        </w:rPr>
        <w:t>monitoring of</w:t>
      </w:r>
      <w:r w:rsidRPr="386E2BBE">
        <w:rPr>
          <w:noProof/>
          <w:sz w:val="24"/>
          <w:szCs w:val="24"/>
        </w:rPr>
        <w:t xml:space="preserve"> grantees.  The annualized cost is funded by the Federal government.</w:t>
      </w:r>
    </w:p>
    <w:p w:rsidR="004B7209" w:rsidP="00467B95" w:rsidRDefault="004B7209" w14:paraId="31C2604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Pr="00607CCE" w:rsidR="0070762B" w:rsidP="0070762B" w:rsidRDefault="0070762B" w14:paraId="08F556D9" w14:textId="77777777">
      <w:pPr>
        <w:keepNext/>
        <w:tabs>
          <w:tab w:val="left" w:pos="480"/>
        </w:tabs>
        <w:ind w:left="480" w:hanging="480"/>
        <w:rPr>
          <w:b/>
          <w:bCs/>
          <w:sz w:val="24"/>
          <w:szCs w:val="24"/>
        </w:rPr>
      </w:pPr>
      <w:r w:rsidRPr="005F1A11">
        <w:rPr>
          <w:b/>
          <w:bCs/>
          <w:sz w:val="24"/>
          <w:szCs w:val="24"/>
        </w:rPr>
        <w:t>15.</w:t>
      </w:r>
      <w:r w:rsidRPr="005F1A11">
        <w:rPr>
          <w:b/>
          <w:bCs/>
          <w:sz w:val="24"/>
          <w:szCs w:val="24"/>
        </w:rPr>
        <w:tab/>
        <w:t xml:space="preserve">Explain any program changes or adjustments. </w:t>
      </w:r>
    </w:p>
    <w:p w:rsidR="0070762B" w:rsidP="0070762B" w:rsidRDefault="0070762B" w14:paraId="4711736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9E2065" w:rsidP="0070762B" w:rsidRDefault="009E2065" w14:paraId="03846B6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rPr>
      </w:pPr>
      <w:r w:rsidRPr="0058388A">
        <w:rPr>
          <w:sz w:val="22"/>
        </w:rPr>
        <w:t>Revisions:</w:t>
      </w:r>
    </w:p>
    <w:p w:rsidR="00B9119B" w:rsidP="002A248E" w:rsidRDefault="006203C5" w14:paraId="0A19A22B" w14:textId="60101A90">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Pr>
          <w:sz w:val="24"/>
          <w:szCs w:val="24"/>
        </w:rPr>
        <w:t>The</w:t>
      </w:r>
      <w:r w:rsidRPr="00467B95">
        <w:rPr>
          <w:color w:val="000000"/>
          <w:sz w:val="24"/>
          <w:szCs w:val="24"/>
        </w:rPr>
        <w:t xml:space="preserve"> projected labor burden </w:t>
      </w:r>
      <w:r>
        <w:rPr>
          <w:color w:val="000000"/>
          <w:sz w:val="24"/>
          <w:szCs w:val="24"/>
        </w:rPr>
        <w:t>was decreased for Core Activity du</w:t>
      </w:r>
      <w:r w:rsidRPr="00467B95">
        <w:rPr>
          <w:color w:val="000000"/>
          <w:sz w:val="24"/>
          <w:szCs w:val="24"/>
        </w:rPr>
        <w:t>e</w:t>
      </w:r>
      <w:r>
        <w:rPr>
          <w:color w:val="000000"/>
          <w:sz w:val="24"/>
          <w:szCs w:val="24"/>
        </w:rPr>
        <w:t xml:space="preserve"> to</w:t>
      </w:r>
      <w:r w:rsidRPr="00467B95">
        <w:rPr>
          <w:color w:val="000000"/>
          <w:sz w:val="24"/>
          <w:szCs w:val="24"/>
        </w:rPr>
        <w:t xml:space="preserve"> grantees becom</w:t>
      </w:r>
      <w:r>
        <w:rPr>
          <w:color w:val="000000"/>
          <w:sz w:val="24"/>
          <w:szCs w:val="24"/>
        </w:rPr>
        <w:t>ing</w:t>
      </w:r>
      <w:r w:rsidRPr="00467B95">
        <w:rPr>
          <w:color w:val="000000"/>
          <w:sz w:val="24"/>
          <w:szCs w:val="24"/>
        </w:rPr>
        <w:t xml:space="preserve"> familiar with navigating </w:t>
      </w:r>
      <w:r>
        <w:rPr>
          <w:color w:val="000000"/>
          <w:sz w:val="24"/>
          <w:szCs w:val="24"/>
        </w:rPr>
        <w:t>that aspect of the</w:t>
      </w:r>
      <w:r w:rsidRPr="00467B95">
        <w:rPr>
          <w:color w:val="000000"/>
          <w:sz w:val="24"/>
          <w:szCs w:val="24"/>
        </w:rPr>
        <w:t xml:space="preserve"> </w:t>
      </w:r>
      <w:r>
        <w:rPr>
          <w:color w:val="000000"/>
          <w:sz w:val="24"/>
          <w:szCs w:val="24"/>
        </w:rPr>
        <w:t>EPIC</w:t>
      </w:r>
      <w:r w:rsidRPr="00467B95">
        <w:rPr>
          <w:color w:val="000000"/>
          <w:sz w:val="24"/>
          <w:szCs w:val="24"/>
        </w:rPr>
        <w:t xml:space="preserve"> system and </w:t>
      </w:r>
      <w:r>
        <w:rPr>
          <w:color w:val="000000"/>
          <w:sz w:val="24"/>
          <w:szCs w:val="24"/>
        </w:rPr>
        <w:t>because</w:t>
      </w:r>
      <w:r w:rsidRPr="00467B95">
        <w:rPr>
          <w:color w:val="000000"/>
          <w:sz w:val="24"/>
          <w:szCs w:val="24"/>
        </w:rPr>
        <w:t xml:space="preserve"> submission</w:t>
      </w:r>
      <w:r>
        <w:rPr>
          <w:color w:val="000000"/>
          <w:sz w:val="24"/>
          <w:szCs w:val="24"/>
        </w:rPr>
        <w:t>s after the first reporting cycle for a grant</w:t>
      </w:r>
      <w:r w:rsidRPr="00467B95">
        <w:rPr>
          <w:color w:val="000000"/>
          <w:sz w:val="24"/>
          <w:szCs w:val="24"/>
        </w:rPr>
        <w:t xml:space="preserve"> will be an update to the initial submitted report and will require less labor to complete</w:t>
      </w:r>
      <w:r>
        <w:rPr>
          <w:color w:val="000000"/>
          <w:sz w:val="24"/>
          <w:szCs w:val="24"/>
        </w:rPr>
        <w:t xml:space="preserve">. </w:t>
      </w:r>
      <w:r w:rsidRPr="00B9119B" w:rsidR="009E2065">
        <w:rPr>
          <w:sz w:val="24"/>
          <w:szCs w:val="24"/>
        </w:rPr>
        <w:t>This reduced hours from</w:t>
      </w:r>
      <w:r w:rsidRPr="00B9119B" w:rsidR="00B9119B">
        <w:rPr>
          <w:sz w:val="24"/>
          <w:szCs w:val="24"/>
        </w:rPr>
        <w:t xml:space="preserve"> </w:t>
      </w:r>
      <w:r w:rsidR="00B9119B">
        <w:rPr>
          <w:sz w:val="24"/>
          <w:szCs w:val="24"/>
        </w:rPr>
        <w:t>the collection</w:t>
      </w:r>
      <w:r w:rsidR="0079173E">
        <w:rPr>
          <w:sz w:val="24"/>
          <w:szCs w:val="24"/>
        </w:rPr>
        <w:t xml:space="preserve"> </w:t>
      </w:r>
      <w:r w:rsidRPr="00FC2BDD">
        <w:rPr>
          <w:color w:val="2B579A"/>
          <w:sz w:val="24"/>
          <w:szCs w:val="24"/>
          <w:shd w:val="clear" w:color="auto" w:fill="E6E6E6"/>
        </w:rPr>
        <w:t>2,950</w:t>
      </w:r>
      <w:r>
        <w:rPr>
          <w:color w:val="FF0000"/>
          <w:sz w:val="24"/>
          <w:szCs w:val="24"/>
        </w:rPr>
        <w:t xml:space="preserve"> </w:t>
      </w:r>
      <w:r w:rsidR="0079173E">
        <w:rPr>
          <w:sz w:val="24"/>
          <w:szCs w:val="24"/>
        </w:rPr>
        <w:t>h</w:t>
      </w:r>
      <w:r w:rsidR="00AB7934">
        <w:rPr>
          <w:sz w:val="24"/>
          <w:szCs w:val="24"/>
        </w:rPr>
        <w:t>ou</w:t>
      </w:r>
      <w:r w:rsidR="0079173E">
        <w:rPr>
          <w:sz w:val="24"/>
          <w:szCs w:val="24"/>
        </w:rPr>
        <w:t>rs</w:t>
      </w:r>
      <w:r w:rsidR="00AB7934">
        <w:rPr>
          <w:sz w:val="24"/>
          <w:szCs w:val="24"/>
        </w:rPr>
        <w:t>.</w:t>
      </w:r>
    </w:p>
    <w:p w:rsidR="00D455F9" w:rsidP="00FC2BDD" w:rsidRDefault="00D455F9" w14:paraId="52F79933" w14:textId="4B25DBF4">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Pr>
          <w:sz w:val="24"/>
          <w:szCs w:val="24"/>
        </w:rPr>
        <w:t xml:space="preserve">P&amp;E Reports are no longer required annually, reducing the number of responses </w:t>
      </w:r>
      <w:r w:rsidR="00327044">
        <w:rPr>
          <w:sz w:val="24"/>
          <w:szCs w:val="24"/>
        </w:rPr>
        <w:t xml:space="preserve">and hours </w:t>
      </w:r>
      <w:r>
        <w:rPr>
          <w:sz w:val="24"/>
          <w:szCs w:val="24"/>
        </w:rPr>
        <w:t>by 7,0</w:t>
      </w:r>
      <w:r w:rsidR="0080244F">
        <w:rPr>
          <w:sz w:val="24"/>
          <w:szCs w:val="24"/>
        </w:rPr>
        <w:t>25</w:t>
      </w:r>
      <w:r>
        <w:rPr>
          <w:sz w:val="24"/>
          <w:szCs w:val="24"/>
        </w:rPr>
        <w:t>.</w:t>
      </w:r>
    </w:p>
    <w:p w:rsidR="00D90D28" w:rsidP="00FC2BDD" w:rsidRDefault="004515D6" w14:paraId="146F0B3D" w14:textId="74235EA4">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Pr>
          <w:sz w:val="24"/>
          <w:szCs w:val="24"/>
        </w:rPr>
        <w:t>RHF data will no longer be collected</w:t>
      </w:r>
      <w:r w:rsidR="002A248E">
        <w:rPr>
          <w:sz w:val="24"/>
          <w:szCs w:val="24"/>
        </w:rPr>
        <w:t xml:space="preserve"> as that program is being phased out of CFP</w:t>
      </w:r>
      <w:r w:rsidR="00327044">
        <w:rPr>
          <w:sz w:val="24"/>
          <w:szCs w:val="24"/>
        </w:rPr>
        <w:t>, reducing the number of collection hours by 25.</w:t>
      </w:r>
      <w:r>
        <w:rPr>
          <w:sz w:val="24"/>
          <w:szCs w:val="24"/>
        </w:rPr>
        <w:t xml:space="preserve"> </w:t>
      </w:r>
    </w:p>
    <w:p w:rsidR="002A248E" w:rsidP="00FC2BDD" w:rsidRDefault="001327AA" w14:paraId="19F09578" w14:textId="0BF2B331">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Pr>
          <w:sz w:val="24"/>
          <w:szCs w:val="24"/>
        </w:rPr>
        <w:t xml:space="preserve">EPIC now collects copies of documents previously submitted on paper covered by </w:t>
      </w:r>
      <w:r w:rsidR="00D97034">
        <w:rPr>
          <w:sz w:val="24"/>
          <w:szCs w:val="24"/>
        </w:rPr>
        <w:t>CFP, Annual Plan and ACC PRA</w:t>
      </w:r>
      <w:r w:rsidR="00327044">
        <w:rPr>
          <w:sz w:val="24"/>
          <w:szCs w:val="24"/>
        </w:rPr>
        <w:t xml:space="preserve"> adding collection hours of </w:t>
      </w:r>
      <w:r w:rsidR="00BD5EB5">
        <w:rPr>
          <w:sz w:val="24"/>
          <w:szCs w:val="24"/>
        </w:rPr>
        <w:t>2,</w:t>
      </w:r>
      <w:r w:rsidR="00145E88">
        <w:rPr>
          <w:sz w:val="24"/>
          <w:szCs w:val="24"/>
        </w:rPr>
        <w:t>80</w:t>
      </w:r>
      <w:r w:rsidR="00BD5EB5">
        <w:rPr>
          <w:sz w:val="24"/>
          <w:szCs w:val="24"/>
        </w:rPr>
        <w:t>0</w:t>
      </w:r>
      <w:r w:rsidR="00D97034">
        <w:rPr>
          <w:sz w:val="24"/>
          <w:szCs w:val="24"/>
        </w:rPr>
        <w:t xml:space="preserve">. </w:t>
      </w:r>
    </w:p>
    <w:p w:rsidRPr="002A248E" w:rsidR="002A248E" w:rsidP="00FC2BDD" w:rsidRDefault="00D97034" w14:paraId="7AB770C7" w14:textId="78D10AC8">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2A248E">
        <w:rPr>
          <w:sz w:val="24"/>
          <w:szCs w:val="24"/>
        </w:rPr>
        <w:t>EPIC has added a way for PHA to request to use additional capital resources via EPIC</w:t>
      </w:r>
      <w:r w:rsidR="00327044">
        <w:rPr>
          <w:sz w:val="24"/>
          <w:szCs w:val="24"/>
        </w:rPr>
        <w:t>, increasing collection hours of 7.5</w:t>
      </w:r>
      <w:r w:rsidRPr="002A248E">
        <w:rPr>
          <w:sz w:val="24"/>
          <w:szCs w:val="24"/>
        </w:rPr>
        <w:t xml:space="preserve">.  </w:t>
      </w:r>
    </w:p>
    <w:p w:rsidRPr="00D97034" w:rsidR="00765A58" w:rsidP="0061195E" w:rsidRDefault="00765A58" w14:paraId="77897FF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Pr="00607CCE" w:rsidR="0070762B" w:rsidP="0070762B" w:rsidRDefault="0070762B" w14:paraId="70FE01F6" w14:textId="77777777">
      <w:pPr>
        <w:tabs>
          <w:tab w:val="left" w:pos="0"/>
        </w:tabs>
        <w:rPr>
          <w:b/>
          <w:bCs/>
          <w:sz w:val="24"/>
          <w:szCs w:val="24"/>
        </w:rPr>
      </w:pPr>
      <w:r w:rsidRPr="005F1A11">
        <w:rPr>
          <w:b/>
          <w:bCs/>
          <w:sz w:val="24"/>
          <w:szCs w:val="24"/>
        </w:rPr>
        <w:t>16.</w:t>
      </w:r>
      <w:r w:rsidRPr="005F1A11">
        <w:rPr>
          <w:b/>
          <w:bCs/>
          <w:sz w:val="24"/>
          <w:szCs w:val="24"/>
        </w:rPr>
        <w:tab/>
        <w:t xml:space="preserve">If the information will be published, outline plans for tabulation and publication. </w:t>
      </w:r>
    </w:p>
    <w:p w:rsidR="0070762B" w:rsidP="0070762B" w:rsidRDefault="0070762B" w14:paraId="5B9E2A3C" w14:textId="77777777">
      <w:pPr>
        <w:tabs>
          <w:tab w:val="left" w:pos="0"/>
        </w:tabs>
        <w:rPr>
          <w:sz w:val="24"/>
          <w:szCs w:val="24"/>
        </w:rPr>
      </w:pPr>
    </w:p>
    <w:p w:rsidRPr="00607CCE" w:rsidR="0070762B" w:rsidP="0070762B" w:rsidRDefault="0070762B" w14:paraId="5DC720FA" w14:textId="4662671C">
      <w:pPr>
        <w:tabs>
          <w:tab w:val="left" w:pos="0"/>
        </w:tabs>
        <w:rPr>
          <w:sz w:val="24"/>
          <w:szCs w:val="24"/>
        </w:rPr>
      </w:pPr>
      <w:r>
        <w:rPr>
          <w:sz w:val="24"/>
          <w:szCs w:val="24"/>
        </w:rPr>
        <w:t xml:space="preserve">The data will be tabulated, summarized, and published in various internal and external reports (including annual performance reports), and press releases. </w:t>
      </w:r>
      <w:r w:rsidR="0099402D">
        <w:rPr>
          <w:sz w:val="24"/>
          <w:szCs w:val="24"/>
        </w:rPr>
        <w:t xml:space="preserve"> </w:t>
      </w:r>
      <w:r>
        <w:rPr>
          <w:sz w:val="24"/>
          <w:szCs w:val="24"/>
        </w:rPr>
        <w:t xml:space="preserve">The data may also be used by researchers </w:t>
      </w:r>
      <w:r w:rsidR="00EC4363">
        <w:rPr>
          <w:sz w:val="24"/>
          <w:szCs w:val="24"/>
        </w:rPr>
        <w:t>to produce</w:t>
      </w:r>
      <w:r>
        <w:rPr>
          <w:sz w:val="24"/>
          <w:szCs w:val="24"/>
        </w:rPr>
        <w:t xml:space="preserve"> scholarly articles.</w:t>
      </w:r>
    </w:p>
    <w:p w:rsidRPr="00010489" w:rsidR="0070762B" w:rsidP="0070762B" w:rsidRDefault="0070762B" w14:paraId="3B49073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Pr="00010489" w:rsidR="00010489" w:rsidP="00010489" w:rsidRDefault="00010489" w14:paraId="7BA68E23" w14:textId="77777777">
      <w:pPr>
        <w:pStyle w:val="BodyTextIndent"/>
        <w:tabs>
          <w:tab w:val="left" w:pos="480"/>
        </w:tabs>
        <w:ind w:left="480" w:hanging="480"/>
        <w:rPr>
          <w:sz w:val="24"/>
          <w:szCs w:val="24"/>
        </w:rPr>
      </w:pPr>
      <w:r w:rsidRPr="00010489">
        <w:rPr>
          <w:b/>
          <w:bCs/>
          <w:sz w:val="24"/>
          <w:szCs w:val="24"/>
        </w:rPr>
        <w:t>17.</w:t>
      </w:r>
      <w:r w:rsidRPr="00010489">
        <w:rPr>
          <w:b/>
          <w:bCs/>
          <w:sz w:val="24"/>
          <w:szCs w:val="24"/>
        </w:rPr>
        <w:tab/>
        <w:t xml:space="preserve">OMB Expiration Date </w:t>
      </w:r>
    </w:p>
    <w:p w:rsidRPr="00010489" w:rsidR="00010489" w:rsidP="00010489" w:rsidRDefault="00010489" w14:paraId="3FA7C7A8" w14:textId="77777777">
      <w:pPr>
        <w:pStyle w:val="BodyTextIndent"/>
        <w:tabs>
          <w:tab w:val="left" w:pos="0"/>
        </w:tabs>
        <w:ind w:left="0"/>
        <w:rPr>
          <w:sz w:val="24"/>
          <w:szCs w:val="24"/>
        </w:rPr>
      </w:pPr>
      <w:r w:rsidRPr="00010489">
        <w:rPr>
          <w:sz w:val="24"/>
          <w:szCs w:val="24"/>
        </w:rPr>
        <w:t xml:space="preserve">HUD is not seeking approval to avoid displaying the OMB expiration date. </w:t>
      </w:r>
    </w:p>
    <w:p w:rsidRPr="00010489" w:rsidR="00010489" w:rsidP="00010489" w:rsidRDefault="00010489" w14:paraId="22A34416" w14:textId="77777777">
      <w:pPr>
        <w:tabs>
          <w:tab w:val="left" w:pos="480"/>
        </w:tabs>
        <w:ind w:left="480" w:hanging="480"/>
        <w:rPr>
          <w:sz w:val="24"/>
          <w:szCs w:val="24"/>
        </w:rPr>
      </w:pPr>
    </w:p>
    <w:p w:rsidRPr="00010489" w:rsidR="00010489" w:rsidP="00010489" w:rsidRDefault="00010489" w14:paraId="6C77C17A" w14:textId="77777777">
      <w:pPr>
        <w:tabs>
          <w:tab w:val="left" w:pos="480"/>
        </w:tabs>
        <w:ind w:left="480" w:hanging="480"/>
        <w:rPr>
          <w:b/>
          <w:bCs/>
          <w:sz w:val="24"/>
          <w:szCs w:val="24"/>
        </w:rPr>
      </w:pPr>
      <w:r w:rsidRPr="00010489">
        <w:rPr>
          <w:b/>
          <w:bCs/>
          <w:sz w:val="24"/>
          <w:szCs w:val="24"/>
        </w:rPr>
        <w:t>18.</w:t>
      </w:r>
      <w:r w:rsidRPr="00010489">
        <w:rPr>
          <w:b/>
          <w:bCs/>
          <w:sz w:val="24"/>
          <w:szCs w:val="24"/>
        </w:rPr>
        <w:tab/>
        <w:t xml:space="preserve">Certification of Paperwork Reduction Act Submission   </w:t>
      </w:r>
    </w:p>
    <w:p w:rsidR="00010489" w:rsidP="00010489" w:rsidRDefault="00010489" w14:paraId="49465C15" w14:textId="77777777">
      <w:pPr>
        <w:tabs>
          <w:tab w:val="left" w:pos="0"/>
        </w:tabs>
        <w:rPr>
          <w:sz w:val="24"/>
          <w:szCs w:val="24"/>
        </w:rPr>
      </w:pPr>
    </w:p>
    <w:p w:rsidRPr="00010489" w:rsidR="00010489" w:rsidP="00010489" w:rsidRDefault="00010489" w14:paraId="2B4767B9" w14:textId="77777777">
      <w:pPr>
        <w:tabs>
          <w:tab w:val="left" w:pos="0"/>
        </w:tabs>
        <w:rPr>
          <w:sz w:val="24"/>
          <w:szCs w:val="24"/>
        </w:rPr>
      </w:pPr>
      <w:r w:rsidRPr="00010489">
        <w:rPr>
          <w:sz w:val="24"/>
          <w:szCs w:val="24"/>
        </w:rPr>
        <w:t>There is no exception to Item # 19 "Certification of Paperwork Reduction Act Submission.”</w:t>
      </w:r>
    </w:p>
    <w:p w:rsidRPr="00010489" w:rsidR="00010489" w:rsidP="00FC2BDD" w:rsidRDefault="00010489" w14:paraId="09886AE2" w14:textId="77777777">
      <w:pPr>
        <w:tabs>
          <w:tab w:val="left" w:pos="480"/>
        </w:tabs>
        <w:rPr>
          <w:sz w:val="24"/>
          <w:szCs w:val="24"/>
        </w:rPr>
      </w:pPr>
    </w:p>
    <w:p w:rsidRPr="00010489" w:rsidR="00010489" w:rsidP="00010489" w:rsidRDefault="00010489" w14:paraId="51792316" w14:textId="77777777">
      <w:pPr>
        <w:pBdr>
          <w:top w:val="single" w:color="auto" w:sz="4" w:space="1"/>
        </w:pBdr>
        <w:tabs>
          <w:tab w:val="left" w:pos="480"/>
        </w:tabs>
        <w:ind w:left="480" w:hanging="480"/>
        <w:rPr>
          <w:b/>
          <w:bCs/>
          <w:sz w:val="24"/>
          <w:szCs w:val="24"/>
        </w:rPr>
      </w:pPr>
      <w:r w:rsidRPr="00010489">
        <w:rPr>
          <w:b/>
          <w:bCs/>
          <w:sz w:val="24"/>
          <w:szCs w:val="24"/>
        </w:rPr>
        <w:t>B.</w:t>
      </w:r>
      <w:r w:rsidRPr="00010489">
        <w:rPr>
          <w:b/>
          <w:bCs/>
          <w:sz w:val="24"/>
          <w:szCs w:val="24"/>
        </w:rPr>
        <w:tab/>
        <w:t>Collections of Information Employing Statistical Methods.</w:t>
      </w:r>
    </w:p>
    <w:p w:rsidR="00010489" w:rsidP="00010489" w:rsidRDefault="00010489" w14:paraId="2F43EBAB" w14:textId="77777777">
      <w:pPr>
        <w:pStyle w:val="BodyText"/>
        <w:tabs>
          <w:tab w:val="left" w:pos="0"/>
        </w:tabs>
        <w:rPr>
          <w:szCs w:val="24"/>
        </w:rPr>
      </w:pPr>
    </w:p>
    <w:p w:rsidRPr="00010489" w:rsidR="00010489" w:rsidP="00010489" w:rsidRDefault="00010489" w14:paraId="5BB4CF71" w14:textId="77777777">
      <w:pPr>
        <w:pStyle w:val="BodyText"/>
        <w:tabs>
          <w:tab w:val="left" w:pos="0"/>
        </w:tabs>
        <w:rPr>
          <w:szCs w:val="24"/>
        </w:rPr>
      </w:pPr>
      <w:r w:rsidRPr="00010489">
        <w:rPr>
          <w:szCs w:val="24"/>
        </w:rPr>
        <w:t>The collection of information does not employ statistical methods.</w:t>
      </w:r>
    </w:p>
    <w:p w:rsidRPr="00010489" w:rsidR="0070762B" w:rsidP="0070762B" w:rsidRDefault="0070762B" w14:paraId="4287177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sectPr w:rsidRPr="00010489" w:rsidR="0070762B">
      <w:headerReference w:type="default" r:id="rId12"/>
      <w:footerReference w:type="default" r:id="rId13"/>
      <w:footerReference w:type="first" r:id="rId14"/>
      <w:pgSz w:w="12240" w:h="15840"/>
      <w:pgMar w:top="480" w:right="720" w:bottom="480" w:left="600" w:header="480" w:footer="480" w:gutter="0"/>
      <w:cols w:equalWidth="0" w:space="480">
        <w:col w:w="1080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399E4" w14:textId="77777777" w:rsidR="00BC7088" w:rsidRDefault="00BC7088">
      <w:r>
        <w:separator/>
      </w:r>
    </w:p>
  </w:endnote>
  <w:endnote w:type="continuationSeparator" w:id="0">
    <w:p w14:paraId="5F7C0173" w14:textId="77777777" w:rsidR="00BC7088" w:rsidRDefault="00BC7088">
      <w:r>
        <w:continuationSeparator/>
      </w:r>
    </w:p>
  </w:endnote>
  <w:endnote w:type="continuationNotice" w:id="1">
    <w:p w14:paraId="3568AE19" w14:textId="77777777" w:rsidR="00BC7088" w:rsidRDefault="00BC70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096E3" w14:textId="77777777" w:rsidR="0070307B" w:rsidRDefault="0070307B">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70307B" w14:paraId="15913B21" w14:textId="77777777">
      <w:tc>
        <w:tcPr>
          <w:tcW w:w="8388" w:type="dxa"/>
          <w:tcBorders>
            <w:top w:val="single" w:sz="6" w:space="0" w:color="auto"/>
            <w:left w:val="nil"/>
            <w:right w:val="single" w:sz="6" w:space="0" w:color="auto"/>
          </w:tcBorders>
        </w:tcPr>
        <w:p w14:paraId="06F5AECA" w14:textId="77777777" w:rsidR="0070307B" w:rsidRDefault="0070307B">
          <w:pPr>
            <w:pStyle w:val="Footer"/>
            <w:rPr>
              <w:rFonts w:ascii="Helvetica" w:hAnsi="Helvetica"/>
              <w:sz w:val="16"/>
            </w:rPr>
          </w:pPr>
          <w:r>
            <w:rPr>
              <w:rFonts w:ascii="Helvetica" w:hAnsi="Helvetica"/>
              <w:sz w:val="16"/>
            </w:rPr>
            <w:t>Signature of Senior Officer or Designee:</w:t>
          </w:r>
        </w:p>
        <w:p w14:paraId="1A3F20C6" w14:textId="77777777" w:rsidR="0070307B" w:rsidRDefault="0070307B">
          <w:pPr>
            <w:pStyle w:val="Footer"/>
            <w:rPr>
              <w:rFonts w:ascii="Helvetica" w:hAnsi="Helvetica"/>
              <w:sz w:val="16"/>
            </w:rPr>
          </w:pPr>
        </w:p>
        <w:p w14:paraId="02D917E9" w14:textId="77777777" w:rsidR="0070307B" w:rsidRDefault="0070307B">
          <w:pPr>
            <w:pStyle w:val="Footer"/>
            <w:rPr>
              <w:rFonts w:ascii="Helvetica" w:hAnsi="Helvetica"/>
              <w:sz w:val="16"/>
            </w:rPr>
          </w:pPr>
        </w:p>
        <w:p w14:paraId="5D770029" w14:textId="77777777" w:rsidR="0070307B" w:rsidRDefault="0070307B">
          <w:pPr>
            <w:pStyle w:val="Footer"/>
            <w:rPr>
              <w:rFonts w:ascii="Helvetica" w:hAnsi="Helvetica"/>
              <w:sz w:val="16"/>
            </w:rPr>
          </w:pPr>
          <w:r>
            <w:rPr>
              <w:rFonts w:ascii="Helvetica" w:hAnsi="Helvetica"/>
              <w:sz w:val="16"/>
            </w:rPr>
            <w:t>X</w:t>
          </w:r>
        </w:p>
        <w:p w14:paraId="394E1FC8" w14:textId="77777777" w:rsidR="0070307B" w:rsidRDefault="00C81ABE">
          <w:pPr>
            <w:pStyle w:val="Footer"/>
            <w:rPr>
              <w:rFonts w:ascii="Helvetica" w:hAnsi="Helvetica"/>
              <w:sz w:val="16"/>
            </w:rPr>
          </w:pPr>
          <w:r>
            <w:rPr>
              <w:rFonts w:ascii="Helvetica" w:hAnsi="Helvetica"/>
              <w:sz w:val="16"/>
            </w:rPr>
            <w:t>Colette Pollard, Departmental Records Management Officer,</w:t>
          </w:r>
        </w:p>
        <w:p w14:paraId="052601F1" w14:textId="77777777" w:rsidR="0070307B" w:rsidRDefault="0070307B">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14:paraId="1E253C91" w14:textId="77777777" w:rsidR="0070307B" w:rsidRDefault="0070307B">
          <w:pPr>
            <w:pStyle w:val="Footer"/>
            <w:rPr>
              <w:rFonts w:ascii="Helvetica" w:hAnsi="Helvetica"/>
              <w:sz w:val="16"/>
            </w:rPr>
          </w:pPr>
          <w:r>
            <w:rPr>
              <w:rFonts w:ascii="Helvetica" w:hAnsi="Helvetica"/>
              <w:sz w:val="16"/>
            </w:rPr>
            <w:t xml:space="preserve">Date: </w:t>
          </w:r>
        </w:p>
      </w:tc>
    </w:tr>
  </w:tbl>
  <w:p w14:paraId="7F961A28" w14:textId="77777777" w:rsidR="0070307B" w:rsidRDefault="0070307B">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6AC76" w14:textId="77777777" w:rsidR="00BC7088" w:rsidRDefault="00BC7088">
      <w:r>
        <w:separator/>
      </w:r>
    </w:p>
  </w:footnote>
  <w:footnote w:type="continuationSeparator" w:id="0">
    <w:p w14:paraId="3EB76CAB" w14:textId="77777777" w:rsidR="00BC7088" w:rsidRDefault="00BC7088">
      <w:r>
        <w:continuationSeparator/>
      </w:r>
    </w:p>
  </w:footnote>
  <w:footnote w:type="continuationNotice" w:id="1">
    <w:p w14:paraId="6AE72FC7" w14:textId="77777777" w:rsidR="00BC7088" w:rsidRDefault="00BC70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AD53D" w14:textId="77777777" w:rsidR="0070307B" w:rsidRDefault="007030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15:restartNumberingAfterBreak="0">
    <w:nsid w:val="0D7571CE"/>
    <w:multiLevelType w:val="hybridMultilevel"/>
    <w:tmpl w:val="A240D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15:restartNumberingAfterBreak="0">
    <w:nsid w:val="19BB483E"/>
    <w:multiLevelType w:val="hybridMultilevel"/>
    <w:tmpl w:val="EBF010A8"/>
    <w:lvl w:ilvl="0" w:tplc="53B007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32D56A4"/>
    <w:multiLevelType w:val="hybridMultilevel"/>
    <w:tmpl w:val="4682786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 w15:restartNumberingAfterBreak="0">
    <w:nsid w:val="47845056"/>
    <w:multiLevelType w:val="hybridMultilevel"/>
    <w:tmpl w:val="91144E50"/>
    <w:lvl w:ilvl="0" w:tplc="AA46AAAE">
      <w:start w:val="1"/>
      <w:numFmt w:val="decimal"/>
      <w:lvlText w:val="%1."/>
      <w:lvlJc w:val="left"/>
      <w:pPr>
        <w:ind w:left="630" w:hanging="360"/>
      </w:pPr>
      <w:rPr>
        <w:rFonts w:hint="default"/>
        <w:b/>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15:restartNumberingAfterBreak="0">
    <w:nsid w:val="4A4332D2"/>
    <w:multiLevelType w:val="hybridMultilevel"/>
    <w:tmpl w:val="C12414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9" w15:restartNumberingAfterBreak="0">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2ED5D6D"/>
    <w:multiLevelType w:val="hybridMultilevel"/>
    <w:tmpl w:val="B232B4E6"/>
    <w:lvl w:ilvl="0" w:tplc="8DBCE17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CBB1EEA"/>
    <w:multiLevelType w:val="hybridMultilevel"/>
    <w:tmpl w:val="3CFE5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3"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4"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1523057706">
    <w:abstractNumId w:val="3"/>
  </w:num>
  <w:num w:numId="2" w16cid:durableId="2004309833">
    <w:abstractNumId w:val="14"/>
  </w:num>
  <w:num w:numId="3" w16cid:durableId="526601723">
    <w:abstractNumId w:val="1"/>
  </w:num>
  <w:num w:numId="4" w16cid:durableId="189612260">
    <w:abstractNumId w:val="13"/>
  </w:num>
  <w:num w:numId="5" w16cid:durableId="2073194418">
    <w:abstractNumId w:val="12"/>
  </w:num>
  <w:num w:numId="6" w16cid:durableId="1382822079">
    <w:abstractNumId w:val="1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811315210">
    <w:abstractNumId w:val="8"/>
  </w:num>
  <w:num w:numId="8" w16cid:durableId="22298621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16cid:durableId="1521773816">
    <w:abstractNumId w:val="9"/>
  </w:num>
  <w:num w:numId="10" w16cid:durableId="649016868">
    <w:abstractNumId w:val="4"/>
  </w:num>
  <w:num w:numId="11" w16cid:durableId="1709453097">
    <w:abstractNumId w:val="10"/>
  </w:num>
  <w:num w:numId="12" w16cid:durableId="811404446">
    <w:abstractNumId w:val="6"/>
  </w:num>
  <w:num w:numId="13" w16cid:durableId="229654683">
    <w:abstractNumId w:val="5"/>
  </w:num>
  <w:num w:numId="14" w16cid:durableId="1316377291">
    <w:abstractNumId w:val="2"/>
  </w:num>
  <w:num w:numId="15" w16cid:durableId="757596736">
    <w:abstractNumId w:val="7"/>
  </w:num>
  <w:num w:numId="16" w16cid:durableId="77540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DF3"/>
    <w:rsid w:val="00010489"/>
    <w:rsid w:val="0001146D"/>
    <w:rsid w:val="000149A2"/>
    <w:rsid w:val="00015997"/>
    <w:rsid w:val="0002020F"/>
    <w:rsid w:val="00034ED0"/>
    <w:rsid w:val="00036D0A"/>
    <w:rsid w:val="00041462"/>
    <w:rsid w:val="00043CAA"/>
    <w:rsid w:val="00050B83"/>
    <w:rsid w:val="00065398"/>
    <w:rsid w:val="00066482"/>
    <w:rsid w:val="00067139"/>
    <w:rsid w:val="00072E4E"/>
    <w:rsid w:val="00083011"/>
    <w:rsid w:val="0008372B"/>
    <w:rsid w:val="00087C83"/>
    <w:rsid w:val="00090232"/>
    <w:rsid w:val="00095FFC"/>
    <w:rsid w:val="00097AB6"/>
    <w:rsid w:val="000A5827"/>
    <w:rsid w:val="000A6FA1"/>
    <w:rsid w:val="000B282B"/>
    <w:rsid w:val="000B548C"/>
    <w:rsid w:val="000C3B69"/>
    <w:rsid w:val="000D179B"/>
    <w:rsid w:val="000D68FF"/>
    <w:rsid w:val="000D6E3D"/>
    <w:rsid w:val="000D749E"/>
    <w:rsid w:val="000E103B"/>
    <w:rsid w:val="000E7886"/>
    <w:rsid w:val="000F4A4B"/>
    <w:rsid w:val="001012C2"/>
    <w:rsid w:val="00110971"/>
    <w:rsid w:val="001255B6"/>
    <w:rsid w:val="00125D32"/>
    <w:rsid w:val="00132005"/>
    <w:rsid w:val="00132037"/>
    <w:rsid w:val="001327AA"/>
    <w:rsid w:val="00133110"/>
    <w:rsid w:val="0014448C"/>
    <w:rsid w:val="00145E88"/>
    <w:rsid w:val="00165543"/>
    <w:rsid w:val="0018385C"/>
    <w:rsid w:val="00194232"/>
    <w:rsid w:val="001974C5"/>
    <w:rsid w:val="001A42F4"/>
    <w:rsid w:val="001B237A"/>
    <w:rsid w:val="001B29B3"/>
    <w:rsid w:val="001C2185"/>
    <w:rsid w:val="001C366F"/>
    <w:rsid w:val="001C592A"/>
    <w:rsid w:val="001D2E8E"/>
    <w:rsid w:val="001D6C96"/>
    <w:rsid w:val="001F7B86"/>
    <w:rsid w:val="002023C3"/>
    <w:rsid w:val="00202568"/>
    <w:rsid w:val="002051E0"/>
    <w:rsid w:val="00205C9C"/>
    <w:rsid w:val="00211C4E"/>
    <w:rsid w:val="00231137"/>
    <w:rsid w:val="0023512E"/>
    <w:rsid w:val="00241461"/>
    <w:rsid w:val="00241A8D"/>
    <w:rsid w:val="0024590D"/>
    <w:rsid w:val="00261883"/>
    <w:rsid w:val="0026430D"/>
    <w:rsid w:val="00267B99"/>
    <w:rsid w:val="00270F93"/>
    <w:rsid w:val="0027193E"/>
    <w:rsid w:val="002803E6"/>
    <w:rsid w:val="002860BC"/>
    <w:rsid w:val="00290C72"/>
    <w:rsid w:val="002934AA"/>
    <w:rsid w:val="002A248E"/>
    <w:rsid w:val="002A52BE"/>
    <w:rsid w:val="002A7E01"/>
    <w:rsid w:val="002C1B13"/>
    <w:rsid w:val="002C4022"/>
    <w:rsid w:val="002C7727"/>
    <w:rsid w:val="002D20D8"/>
    <w:rsid w:val="002D2287"/>
    <w:rsid w:val="002D47AF"/>
    <w:rsid w:val="002E68D5"/>
    <w:rsid w:val="002F2F09"/>
    <w:rsid w:val="00301E49"/>
    <w:rsid w:val="00302CF4"/>
    <w:rsid w:val="00307042"/>
    <w:rsid w:val="00307A39"/>
    <w:rsid w:val="00307B99"/>
    <w:rsid w:val="00312BA9"/>
    <w:rsid w:val="00321C45"/>
    <w:rsid w:val="003251DC"/>
    <w:rsid w:val="00327044"/>
    <w:rsid w:val="0033371C"/>
    <w:rsid w:val="0034298A"/>
    <w:rsid w:val="00345286"/>
    <w:rsid w:val="00357829"/>
    <w:rsid w:val="00361B38"/>
    <w:rsid w:val="003642C1"/>
    <w:rsid w:val="00377B80"/>
    <w:rsid w:val="00385D73"/>
    <w:rsid w:val="0038679D"/>
    <w:rsid w:val="00386E2C"/>
    <w:rsid w:val="003933B0"/>
    <w:rsid w:val="0039549B"/>
    <w:rsid w:val="00397A6F"/>
    <w:rsid w:val="003A0B3A"/>
    <w:rsid w:val="003A0C47"/>
    <w:rsid w:val="003A3B90"/>
    <w:rsid w:val="003B493C"/>
    <w:rsid w:val="003B7823"/>
    <w:rsid w:val="003C0474"/>
    <w:rsid w:val="003C75BC"/>
    <w:rsid w:val="003D3C43"/>
    <w:rsid w:val="003D5665"/>
    <w:rsid w:val="003D771D"/>
    <w:rsid w:val="003E2BD6"/>
    <w:rsid w:val="003F4ED5"/>
    <w:rsid w:val="00431DF4"/>
    <w:rsid w:val="00443387"/>
    <w:rsid w:val="004437A6"/>
    <w:rsid w:val="00443999"/>
    <w:rsid w:val="004515D6"/>
    <w:rsid w:val="004619D6"/>
    <w:rsid w:val="00463390"/>
    <w:rsid w:val="004666DC"/>
    <w:rsid w:val="00466CE6"/>
    <w:rsid w:val="00467B1B"/>
    <w:rsid w:val="00467B95"/>
    <w:rsid w:val="00472559"/>
    <w:rsid w:val="00480D03"/>
    <w:rsid w:val="00497EA8"/>
    <w:rsid w:val="004A16B5"/>
    <w:rsid w:val="004A7268"/>
    <w:rsid w:val="004A7CAB"/>
    <w:rsid w:val="004B7209"/>
    <w:rsid w:val="004C051D"/>
    <w:rsid w:val="004D735F"/>
    <w:rsid w:val="004E3B09"/>
    <w:rsid w:val="004E6634"/>
    <w:rsid w:val="004E6D0A"/>
    <w:rsid w:val="004E7F3A"/>
    <w:rsid w:val="004F5233"/>
    <w:rsid w:val="0050447A"/>
    <w:rsid w:val="005326E2"/>
    <w:rsid w:val="00532CC2"/>
    <w:rsid w:val="00534F51"/>
    <w:rsid w:val="005410D3"/>
    <w:rsid w:val="0054581C"/>
    <w:rsid w:val="00561E22"/>
    <w:rsid w:val="00563ED2"/>
    <w:rsid w:val="005677ED"/>
    <w:rsid w:val="00570C2D"/>
    <w:rsid w:val="00574167"/>
    <w:rsid w:val="00576901"/>
    <w:rsid w:val="00580D8E"/>
    <w:rsid w:val="00581AB6"/>
    <w:rsid w:val="005848DB"/>
    <w:rsid w:val="00594C6C"/>
    <w:rsid w:val="0059711C"/>
    <w:rsid w:val="005A25F6"/>
    <w:rsid w:val="005A60DB"/>
    <w:rsid w:val="005B16E4"/>
    <w:rsid w:val="005B4B57"/>
    <w:rsid w:val="005B5EBC"/>
    <w:rsid w:val="005C3C84"/>
    <w:rsid w:val="005C5E61"/>
    <w:rsid w:val="005C69FC"/>
    <w:rsid w:val="005D3443"/>
    <w:rsid w:val="005F08AE"/>
    <w:rsid w:val="005F0DAF"/>
    <w:rsid w:val="005F7AC9"/>
    <w:rsid w:val="0061195E"/>
    <w:rsid w:val="006203C5"/>
    <w:rsid w:val="00634B8A"/>
    <w:rsid w:val="006464F8"/>
    <w:rsid w:val="00666503"/>
    <w:rsid w:val="00667C9A"/>
    <w:rsid w:val="00674FAB"/>
    <w:rsid w:val="00682CDC"/>
    <w:rsid w:val="0068654A"/>
    <w:rsid w:val="006A0FB0"/>
    <w:rsid w:val="006A198C"/>
    <w:rsid w:val="006A7FF7"/>
    <w:rsid w:val="006C0DD0"/>
    <w:rsid w:val="006C0FD9"/>
    <w:rsid w:val="006C3CBC"/>
    <w:rsid w:val="006E324E"/>
    <w:rsid w:val="006E5CAA"/>
    <w:rsid w:val="0070223D"/>
    <w:rsid w:val="0070307B"/>
    <w:rsid w:val="0070762B"/>
    <w:rsid w:val="00712EE0"/>
    <w:rsid w:val="00713A6B"/>
    <w:rsid w:val="00736291"/>
    <w:rsid w:val="00737A6A"/>
    <w:rsid w:val="0074354E"/>
    <w:rsid w:val="0074705E"/>
    <w:rsid w:val="00755459"/>
    <w:rsid w:val="0075775A"/>
    <w:rsid w:val="00757BAE"/>
    <w:rsid w:val="00760BCC"/>
    <w:rsid w:val="00765A58"/>
    <w:rsid w:val="007715FE"/>
    <w:rsid w:val="00777690"/>
    <w:rsid w:val="0079173E"/>
    <w:rsid w:val="007924DE"/>
    <w:rsid w:val="007947C5"/>
    <w:rsid w:val="007A0E10"/>
    <w:rsid w:val="007A37D1"/>
    <w:rsid w:val="007A5301"/>
    <w:rsid w:val="007D1A9E"/>
    <w:rsid w:val="007D6739"/>
    <w:rsid w:val="007E576C"/>
    <w:rsid w:val="007F2E69"/>
    <w:rsid w:val="007F455A"/>
    <w:rsid w:val="0080004C"/>
    <w:rsid w:val="00801417"/>
    <w:rsid w:val="0080244F"/>
    <w:rsid w:val="00802886"/>
    <w:rsid w:val="00804706"/>
    <w:rsid w:val="00807D58"/>
    <w:rsid w:val="00823BDA"/>
    <w:rsid w:val="00830011"/>
    <w:rsid w:val="008313F9"/>
    <w:rsid w:val="008314DF"/>
    <w:rsid w:val="00834BEA"/>
    <w:rsid w:val="00834E5C"/>
    <w:rsid w:val="008401E4"/>
    <w:rsid w:val="00847830"/>
    <w:rsid w:val="008608F4"/>
    <w:rsid w:val="00860F77"/>
    <w:rsid w:val="00877954"/>
    <w:rsid w:val="00881786"/>
    <w:rsid w:val="00895A8F"/>
    <w:rsid w:val="00896D21"/>
    <w:rsid w:val="008B0058"/>
    <w:rsid w:val="008B0851"/>
    <w:rsid w:val="008D0634"/>
    <w:rsid w:val="008D0F21"/>
    <w:rsid w:val="008D1E8B"/>
    <w:rsid w:val="008D21A9"/>
    <w:rsid w:val="008D6A4B"/>
    <w:rsid w:val="008E2322"/>
    <w:rsid w:val="008E439E"/>
    <w:rsid w:val="008E488F"/>
    <w:rsid w:val="008E7B1E"/>
    <w:rsid w:val="008E7D86"/>
    <w:rsid w:val="008F4CB9"/>
    <w:rsid w:val="008F7C51"/>
    <w:rsid w:val="009026EF"/>
    <w:rsid w:val="0091505A"/>
    <w:rsid w:val="00915C67"/>
    <w:rsid w:val="00931060"/>
    <w:rsid w:val="009357C5"/>
    <w:rsid w:val="00936C1C"/>
    <w:rsid w:val="00952905"/>
    <w:rsid w:val="00956D47"/>
    <w:rsid w:val="0095797E"/>
    <w:rsid w:val="009628EF"/>
    <w:rsid w:val="00980DAF"/>
    <w:rsid w:val="009845B8"/>
    <w:rsid w:val="00985F4E"/>
    <w:rsid w:val="0099402D"/>
    <w:rsid w:val="009A3A1D"/>
    <w:rsid w:val="009A6D44"/>
    <w:rsid w:val="009A7672"/>
    <w:rsid w:val="009D09D9"/>
    <w:rsid w:val="009D2D40"/>
    <w:rsid w:val="009D6413"/>
    <w:rsid w:val="009E0C72"/>
    <w:rsid w:val="009E2065"/>
    <w:rsid w:val="009E41E8"/>
    <w:rsid w:val="009E6634"/>
    <w:rsid w:val="009F324E"/>
    <w:rsid w:val="009F6FC3"/>
    <w:rsid w:val="00A00A63"/>
    <w:rsid w:val="00A02934"/>
    <w:rsid w:val="00A20108"/>
    <w:rsid w:val="00A32ABE"/>
    <w:rsid w:val="00A33AEC"/>
    <w:rsid w:val="00A43F39"/>
    <w:rsid w:val="00A57BDE"/>
    <w:rsid w:val="00A62D40"/>
    <w:rsid w:val="00A6603D"/>
    <w:rsid w:val="00A81CDA"/>
    <w:rsid w:val="00A860C0"/>
    <w:rsid w:val="00A8693A"/>
    <w:rsid w:val="00AB1FAF"/>
    <w:rsid w:val="00AB60D7"/>
    <w:rsid w:val="00AB7934"/>
    <w:rsid w:val="00AC15FD"/>
    <w:rsid w:val="00AC2719"/>
    <w:rsid w:val="00AC72AC"/>
    <w:rsid w:val="00AC7FD4"/>
    <w:rsid w:val="00AD4075"/>
    <w:rsid w:val="00AE0090"/>
    <w:rsid w:val="00AE3951"/>
    <w:rsid w:val="00AF1FA7"/>
    <w:rsid w:val="00AF33C6"/>
    <w:rsid w:val="00AF4961"/>
    <w:rsid w:val="00AF5A8C"/>
    <w:rsid w:val="00B04240"/>
    <w:rsid w:val="00B045F8"/>
    <w:rsid w:val="00B0493A"/>
    <w:rsid w:val="00B06078"/>
    <w:rsid w:val="00B1327B"/>
    <w:rsid w:val="00B275BA"/>
    <w:rsid w:val="00B37C63"/>
    <w:rsid w:val="00B404D7"/>
    <w:rsid w:val="00B42E85"/>
    <w:rsid w:val="00B45688"/>
    <w:rsid w:val="00B50D83"/>
    <w:rsid w:val="00B556DA"/>
    <w:rsid w:val="00B55EBB"/>
    <w:rsid w:val="00B571A4"/>
    <w:rsid w:val="00B573D4"/>
    <w:rsid w:val="00B57F15"/>
    <w:rsid w:val="00B649B0"/>
    <w:rsid w:val="00B67DEA"/>
    <w:rsid w:val="00B9119B"/>
    <w:rsid w:val="00B92C76"/>
    <w:rsid w:val="00B968B4"/>
    <w:rsid w:val="00BB64E2"/>
    <w:rsid w:val="00BC21D9"/>
    <w:rsid w:val="00BC7088"/>
    <w:rsid w:val="00BD0DFF"/>
    <w:rsid w:val="00BD1F12"/>
    <w:rsid w:val="00BD4425"/>
    <w:rsid w:val="00BD5EB5"/>
    <w:rsid w:val="00BE6B0E"/>
    <w:rsid w:val="00BF075F"/>
    <w:rsid w:val="00C01C50"/>
    <w:rsid w:val="00C06735"/>
    <w:rsid w:val="00C25A3D"/>
    <w:rsid w:val="00C4476F"/>
    <w:rsid w:val="00C54A12"/>
    <w:rsid w:val="00C55469"/>
    <w:rsid w:val="00C555DF"/>
    <w:rsid w:val="00C56E4F"/>
    <w:rsid w:val="00C77B23"/>
    <w:rsid w:val="00C81ABE"/>
    <w:rsid w:val="00C83549"/>
    <w:rsid w:val="00CB383A"/>
    <w:rsid w:val="00CD7F42"/>
    <w:rsid w:val="00CE2964"/>
    <w:rsid w:val="00D01977"/>
    <w:rsid w:val="00D254E5"/>
    <w:rsid w:val="00D3472C"/>
    <w:rsid w:val="00D4003D"/>
    <w:rsid w:val="00D455F9"/>
    <w:rsid w:val="00D504B6"/>
    <w:rsid w:val="00D66200"/>
    <w:rsid w:val="00D72991"/>
    <w:rsid w:val="00D765FE"/>
    <w:rsid w:val="00D90D28"/>
    <w:rsid w:val="00D93870"/>
    <w:rsid w:val="00D95427"/>
    <w:rsid w:val="00D97034"/>
    <w:rsid w:val="00D97498"/>
    <w:rsid w:val="00DA698D"/>
    <w:rsid w:val="00DB27EF"/>
    <w:rsid w:val="00DB3677"/>
    <w:rsid w:val="00DB68BA"/>
    <w:rsid w:val="00DC011D"/>
    <w:rsid w:val="00DC6333"/>
    <w:rsid w:val="00DC670D"/>
    <w:rsid w:val="00DD1076"/>
    <w:rsid w:val="00E05B92"/>
    <w:rsid w:val="00E0662F"/>
    <w:rsid w:val="00E15251"/>
    <w:rsid w:val="00E21186"/>
    <w:rsid w:val="00E23449"/>
    <w:rsid w:val="00E25806"/>
    <w:rsid w:val="00E30110"/>
    <w:rsid w:val="00E34A03"/>
    <w:rsid w:val="00E57D4E"/>
    <w:rsid w:val="00E85629"/>
    <w:rsid w:val="00E875AE"/>
    <w:rsid w:val="00E90DF3"/>
    <w:rsid w:val="00E956E3"/>
    <w:rsid w:val="00EA0EFB"/>
    <w:rsid w:val="00EA14F0"/>
    <w:rsid w:val="00EA415B"/>
    <w:rsid w:val="00EB6522"/>
    <w:rsid w:val="00EC4363"/>
    <w:rsid w:val="00ED3C85"/>
    <w:rsid w:val="00ED5038"/>
    <w:rsid w:val="00EE6947"/>
    <w:rsid w:val="00EE69EE"/>
    <w:rsid w:val="00EE7F7E"/>
    <w:rsid w:val="00EF5AA3"/>
    <w:rsid w:val="00F1118C"/>
    <w:rsid w:val="00F12D66"/>
    <w:rsid w:val="00F239DE"/>
    <w:rsid w:val="00F25733"/>
    <w:rsid w:val="00F4004A"/>
    <w:rsid w:val="00F515B1"/>
    <w:rsid w:val="00F61F9C"/>
    <w:rsid w:val="00F621A7"/>
    <w:rsid w:val="00F80701"/>
    <w:rsid w:val="00F83085"/>
    <w:rsid w:val="00F92E11"/>
    <w:rsid w:val="00F949CE"/>
    <w:rsid w:val="00F97B6B"/>
    <w:rsid w:val="00FA216D"/>
    <w:rsid w:val="00FA7650"/>
    <w:rsid w:val="00FB2441"/>
    <w:rsid w:val="00FB5317"/>
    <w:rsid w:val="00FC0AD7"/>
    <w:rsid w:val="00FC2BDD"/>
    <w:rsid w:val="00FC4F02"/>
    <w:rsid w:val="00FD0F50"/>
    <w:rsid w:val="00FE0854"/>
    <w:rsid w:val="00FE2252"/>
    <w:rsid w:val="00FE586D"/>
    <w:rsid w:val="00FF6843"/>
    <w:rsid w:val="031A5800"/>
    <w:rsid w:val="0322C640"/>
    <w:rsid w:val="04A96733"/>
    <w:rsid w:val="0B5A2312"/>
    <w:rsid w:val="0DA642D2"/>
    <w:rsid w:val="10EFE8B4"/>
    <w:rsid w:val="14A744D2"/>
    <w:rsid w:val="1805902B"/>
    <w:rsid w:val="1896344D"/>
    <w:rsid w:val="196A9542"/>
    <w:rsid w:val="1C6AB262"/>
    <w:rsid w:val="1EC39538"/>
    <w:rsid w:val="2395085A"/>
    <w:rsid w:val="24086ABE"/>
    <w:rsid w:val="2BF36D42"/>
    <w:rsid w:val="2CC506A4"/>
    <w:rsid w:val="2E9358AA"/>
    <w:rsid w:val="2EEE9281"/>
    <w:rsid w:val="356E76F3"/>
    <w:rsid w:val="35EE850D"/>
    <w:rsid w:val="37B5ACC7"/>
    <w:rsid w:val="386E2BBE"/>
    <w:rsid w:val="38A3AF12"/>
    <w:rsid w:val="3CA7EEA4"/>
    <w:rsid w:val="3D2E54ED"/>
    <w:rsid w:val="3E1BD2D0"/>
    <w:rsid w:val="3ED2BE30"/>
    <w:rsid w:val="40A12C4E"/>
    <w:rsid w:val="40CF70AC"/>
    <w:rsid w:val="43532542"/>
    <w:rsid w:val="43A42236"/>
    <w:rsid w:val="44951845"/>
    <w:rsid w:val="4506F6E9"/>
    <w:rsid w:val="45E44BA6"/>
    <w:rsid w:val="4C2B9177"/>
    <w:rsid w:val="4C770A8A"/>
    <w:rsid w:val="4D5D8322"/>
    <w:rsid w:val="53982641"/>
    <w:rsid w:val="5626FE39"/>
    <w:rsid w:val="58DB79C5"/>
    <w:rsid w:val="598D9144"/>
    <w:rsid w:val="5AB53E07"/>
    <w:rsid w:val="5EA88951"/>
    <w:rsid w:val="61BB63C9"/>
    <w:rsid w:val="66749780"/>
    <w:rsid w:val="670EAB30"/>
    <w:rsid w:val="69BFB96E"/>
    <w:rsid w:val="6C46C669"/>
    <w:rsid w:val="7626C67D"/>
    <w:rsid w:val="7776FD3F"/>
    <w:rsid w:val="78F08663"/>
    <w:rsid w:val="7E13A829"/>
    <w:rsid w:val="7EC0B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C3A8AC"/>
  <w15:chartTrackingRefBased/>
  <w15:docId w15:val="{8AC3AB77-059F-42BA-97E0-F0F9DA837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rsid w:val="0001146D"/>
    <w:pPr>
      <w:keepNext/>
      <w:jc w:val="center"/>
      <w:outlineLvl w:val="0"/>
    </w:pPr>
    <w:rPr>
      <w:b/>
      <w:bCs/>
      <w:sz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OmniPage2">
    <w:name w:val="OmniPage #2"/>
    <w:basedOn w:val="Normal"/>
    <w:rsid w:val="00312BA9"/>
    <w:pPr>
      <w:tabs>
        <w:tab w:val="right" w:pos="2236"/>
      </w:tabs>
      <w:spacing w:line="268" w:lineRule="exact"/>
      <w:ind w:left="50" w:right="50"/>
    </w:pPr>
    <w:rPr>
      <w:noProof/>
    </w:rPr>
  </w:style>
  <w:style w:type="paragraph" w:styleId="BodyText">
    <w:name w:val="Body Text"/>
    <w:basedOn w:val="Normal"/>
    <w:link w:val="BodyTextChar"/>
    <w:rsid w:val="00312BA9"/>
    <w:rPr>
      <w:sz w:val="24"/>
      <w:lang w:val="x-none" w:eastAsia="x-none"/>
    </w:rPr>
  </w:style>
  <w:style w:type="character" w:customStyle="1" w:styleId="BodyTextChar">
    <w:name w:val="Body Text Char"/>
    <w:link w:val="BodyText"/>
    <w:rsid w:val="00312BA9"/>
    <w:rPr>
      <w:sz w:val="24"/>
    </w:rPr>
  </w:style>
  <w:style w:type="character" w:customStyle="1" w:styleId="Heading1Char">
    <w:name w:val="Heading 1 Char"/>
    <w:link w:val="Heading1"/>
    <w:rsid w:val="0001146D"/>
    <w:rPr>
      <w:b/>
      <w:bCs/>
      <w:sz w:val="24"/>
      <w:u w:val="single"/>
    </w:rPr>
  </w:style>
  <w:style w:type="paragraph" w:styleId="BodyTextIndent">
    <w:name w:val="Body Text Indent"/>
    <w:basedOn w:val="Normal"/>
    <w:link w:val="BodyTextIndentChar"/>
    <w:rsid w:val="002F2F09"/>
    <w:pPr>
      <w:spacing w:after="120"/>
      <w:ind w:left="360"/>
    </w:pPr>
  </w:style>
  <w:style w:type="character" w:customStyle="1" w:styleId="BodyTextIndentChar">
    <w:name w:val="Body Text Indent Char"/>
    <w:basedOn w:val="DefaultParagraphFont"/>
    <w:link w:val="BodyTextIndent"/>
    <w:rsid w:val="002F2F09"/>
  </w:style>
  <w:style w:type="paragraph" w:styleId="BodyText2">
    <w:name w:val="Body Text 2"/>
    <w:basedOn w:val="Normal"/>
    <w:link w:val="BodyText2Char"/>
    <w:rsid w:val="00467B95"/>
    <w:pPr>
      <w:spacing w:after="120" w:line="480" w:lineRule="auto"/>
    </w:pPr>
  </w:style>
  <w:style w:type="character" w:customStyle="1" w:styleId="BodyText2Char">
    <w:name w:val="Body Text 2 Char"/>
    <w:basedOn w:val="DefaultParagraphFont"/>
    <w:link w:val="BodyText2"/>
    <w:rsid w:val="00467B95"/>
  </w:style>
  <w:style w:type="paragraph" w:customStyle="1" w:styleId="Enclosure">
    <w:name w:val="Enclosure"/>
    <w:basedOn w:val="Normal"/>
    <w:rsid w:val="00467B95"/>
    <w:pPr>
      <w:overflowPunct/>
      <w:autoSpaceDE/>
      <w:autoSpaceDN/>
      <w:adjustRightInd/>
      <w:textAlignment w:val="auto"/>
    </w:pPr>
    <w:rPr>
      <w:rFonts w:ascii="Courier New" w:hAnsi="Courier New" w:cs="Courier New"/>
      <w:sz w:val="24"/>
      <w:szCs w:val="24"/>
    </w:rPr>
  </w:style>
  <w:style w:type="paragraph" w:customStyle="1" w:styleId="Paperwork">
    <w:name w:val="Paperwork"/>
    <w:basedOn w:val="Normal"/>
    <w:rsid w:val="00467B95"/>
    <w:pPr>
      <w:ind w:left="720" w:hanging="720"/>
    </w:pPr>
    <w:rPr>
      <w:sz w:val="24"/>
    </w:rPr>
  </w:style>
  <w:style w:type="table" w:styleId="TableGrid">
    <w:name w:val="Table Grid"/>
    <w:basedOn w:val="TableNormal"/>
    <w:rsid w:val="008E2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13F9"/>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styleId="CommentReference">
    <w:name w:val="annotation reference"/>
    <w:rsid w:val="004E6634"/>
    <w:rPr>
      <w:sz w:val="16"/>
      <w:szCs w:val="16"/>
    </w:rPr>
  </w:style>
  <w:style w:type="paragraph" w:styleId="CommentText">
    <w:name w:val="annotation text"/>
    <w:basedOn w:val="Normal"/>
    <w:link w:val="CommentTextChar"/>
    <w:rsid w:val="004E6634"/>
  </w:style>
  <w:style w:type="character" w:customStyle="1" w:styleId="CommentTextChar">
    <w:name w:val="Comment Text Char"/>
    <w:basedOn w:val="DefaultParagraphFont"/>
    <w:link w:val="CommentText"/>
    <w:rsid w:val="004E6634"/>
  </w:style>
  <w:style w:type="paragraph" w:styleId="CommentSubject">
    <w:name w:val="annotation subject"/>
    <w:basedOn w:val="CommentText"/>
    <w:next w:val="CommentText"/>
    <w:link w:val="CommentSubjectChar"/>
    <w:rsid w:val="004E6634"/>
    <w:rPr>
      <w:b/>
      <w:bCs/>
    </w:rPr>
  </w:style>
  <w:style w:type="character" w:customStyle="1" w:styleId="CommentSubjectChar">
    <w:name w:val="Comment Subject Char"/>
    <w:link w:val="CommentSubject"/>
    <w:rsid w:val="004E6634"/>
    <w:rPr>
      <w:b/>
      <w:bCs/>
    </w:rPr>
  </w:style>
  <w:style w:type="paragraph" w:styleId="BalloonText">
    <w:name w:val="Balloon Text"/>
    <w:basedOn w:val="Normal"/>
    <w:link w:val="BalloonTextChar"/>
    <w:rsid w:val="004E6634"/>
    <w:rPr>
      <w:rFonts w:ascii="Segoe UI" w:hAnsi="Segoe UI" w:cs="Segoe UI"/>
      <w:sz w:val="18"/>
      <w:szCs w:val="18"/>
    </w:rPr>
  </w:style>
  <w:style w:type="character" w:customStyle="1" w:styleId="BalloonTextChar">
    <w:name w:val="Balloon Text Char"/>
    <w:link w:val="BalloonText"/>
    <w:rsid w:val="004E6634"/>
    <w:rPr>
      <w:rFonts w:ascii="Segoe UI" w:hAnsi="Segoe UI" w:cs="Segoe UI"/>
      <w:sz w:val="18"/>
      <w:szCs w:val="18"/>
    </w:rPr>
  </w:style>
  <w:style w:type="paragraph" w:styleId="Revision">
    <w:name w:val="Revision"/>
    <w:hidden/>
    <w:uiPriority w:val="99"/>
    <w:semiHidden/>
    <w:rsid w:val="00BF075F"/>
  </w:style>
  <w:style w:type="character" w:styleId="Mention">
    <w:name w:val="Mention"/>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17478">
      <w:bodyDiv w:val="1"/>
      <w:marLeft w:val="0"/>
      <w:marRight w:val="0"/>
      <w:marTop w:val="0"/>
      <w:marBottom w:val="0"/>
      <w:divBdr>
        <w:top w:val="none" w:sz="0" w:space="0" w:color="auto"/>
        <w:left w:val="none" w:sz="0" w:space="0" w:color="auto"/>
        <w:bottom w:val="none" w:sz="0" w:space="0" w:color="auto"/>
        <w:right w:val="none" w:sz="0" w:space="0" w:color="auto"/>
      </w:divBdr>
    </w:div>
    <w:div w:id="169607345">
      <w:bodyDiv w:val="1"/>
      <w:marLeft w:val="0"/>
      <w:marRight w:val="0"/>
      <w:marTop w:val="0"/>
      <w:marBottom w:val="0"/>
      <w:divBdr>
        <w:top w:val="none" w:sz="0" w:space="0" w:color="auto"/>
        <w:left w:val="none" w:sz="0" w:space="0" w:color="auto"/>
        <w:bottom w:val="none" w:sz="0" w:space="0" w:color="auto"/>
        <w:right w:val="none" w:sz="0" w:space="0" w:color="auto"/>
      </w:divBdr>
    </w:div>
    <w:div w:id="235017131">
      <w:bodyDiv w:val="1"/>
      <w:marLeft w:val="0"/>
      <w:marRight w:val="0"/>
      <w:marTop w:val="0"/>
      <w:marBottom w:val="0"/>
      <w:divBdr>
        <w:top w:val="none" w:sz="0" w:space="0" w:color="auto"/>
        <w:left w:val="none" w:sz="0" w:space="0" w:color="auto"/>
        <w:bottom w:val="none" w:sz="0" w:space="0" w:color="auto"/>
        <w:right w:val="none" w:sz="0" w:space="0" w:color="auto"/>
      </w:divBdr>
    </w:div>
    <w:div w:id="759833396">
      <w:bodyDiv w:val="1"/>
      <w:marLeft w:val="0"/>
      <w:marRight w:val="0"/>
      <w:marTop w:val="0"/>
      <w:marBottom w:val="0"/>
      <w:divBdr>
        <w:top w:val="none" w:sz="0" w:space="0" w:color="auto"/>
        <w:left w:val="none" w:sz="0" w:space="0" w:color="auto"/>
        <w:bottom w:val="none" w:sz="0" w:space="0" w:color="auto"/>
        <w:right w:val="none" w:sz="0" w:space="0" w:color="auto"/>
      </w:divBdr>
    </w:div>
    <w:div w:id="1344742353">
      <w:bodyDiv w:val="1"/>
      <w:marLeft w:val="0"/>
      <w:marRight w:val="0"/>
      <w:marTop w:val="0"/>
      <w:marBottom w:val="0"/>
      <w:divBdr>
        <w:top w:val="none" w:sz="0" w:space="0" w:color="auto"/>
        <w:left w:val="none" w:sz="0" w:space="0" w:color="auto"/>
        <w:bottom w:val="none" w:sz="0" w:space="0" w:color="auto"/>
        <w:right w:val="none" w:sz="0" w:space="0" w:color="auto"/>
      </w:divBdr>
    </w:div>
    <w:div w:id="141289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21C3A297-A4AE-44B5-B8F7-12CDD8284B4C}">
    <t:Anchor>
      <t:Comment id="619980929"/>
    </t:Anchor>
    <t:History>
      <t:Event id="{785EA1D4-C025-4A48-A650-5014DE2A39F6}" time="2021-12-16T15:55:48.115Z">
        <t:Attribution userId="S::emily.haeckel@hud.gov::526580c9-cd81-41a9-90a4-fff196f3da5f" userProvider="AD" userName="Haeckel, Emily B"/>
        <t:Anchor>
          <t:Comment id="725323808"/>
        </t:Anchor>
        <t:Create/>
      </t:Event>
      <t:Event id="{4CBCBBC5-C581-4F14-909C-87A170B84453}" time="2021-12-16T15:55:48.115Z">
        <t:Attribution userId="S::emily.haeckel@hud.gov::526580c9-cd81-41a9-90a4-fff196f3da5f" userProvider="AD" userName="Haeckel, Emily B"/>
        <t:Anchor>
          <t:Comment id="725323808"/>
        </t:Anchor>
        <t:Assign userId="S::Robert.D.Dalzell@hud.gov::30d576dd-c4aa-478f-9dbc-b929a150c005" userProvider="AD" userName="Dalzell, Robert D"/>
      </t:Event>
      <t:Event id="{6FC882BB-9A9D-42C9-87F9-293DCCCCEA29}" time="2021-12-16T15:55:48.115Z">
        <t:Attribution userId="S::emily.haeckel@hud.gov::526580c9-cd81-41a9-90a4-fff196f3da5f" userProvider="AD" userName="Haeckel, Emily B"/>
        <t:Anchor>
          <t:Comment id="725323808"/>
        </t:Anchor>
        <t:SetTitle title="@Dalzell, Robert D I need you to respond."/>
      </t:Event>
    </t:History>
  </t:Task>
  <t:Task id="{E03E74FC-22F5-40A5-B131-69A771065E9C}">
    <t:Anchor>
      <t:Comment id="619979076"/>
    </t:Anchor>
    <t:History>
      <t:Event id="{EBCC818B-EEFB-484C-BA8D-C716D71052CE}" time="2021-12-16T15:56:02.854Z">
        <t:Attribution userId="S::emily.haeckel@hud.gov::526580c9-cd81-41a9-90a4-fff196f3da5f" userProvider="AD" userName="Haeckel, Emily B"/>
        <t:Anchor>
          <t:Comment id="875886114"/>
        </t:Anchor>
        <t:Create/>
      </t:Event>
      <t:Event id="{971E0A6A-423F-4C52-9724-179B8345A000}" time="2021-12-16T15:56:02.854Z">
        <t:Attribution userId="S::emily.haeckel@hud.gov::526580c9-cd81-41a9-90a4-fff196f3da5f" userProvider="AD" userName="Haeckel, Emily B"/>
        <t:Anchor>
          <t:Comment id="875886114"/>
        </t:Anchor>
        <t:Assign userId="S::Robert.D.Dalzell@hud.gov::30d576dd-c4aa-478f-9dbc-b929a150c005" userProvider="AD" userName="Dalzell, Robert D"/>
      </t:Event>
      <t:Event id="{6A42D55A-AC3E-4DC5-9D3C-961474F8D58B}" time="2021-12-16T15:56:02.854Z">
        <t:Attribution userId="S::emily.haeckel@hud.gov::526580c9-cd81-41a9-90a4-fff196f3da5f" userProvider="AD" userName="Haeckel, Emily B"/>
        <t:Anchor>
          <t:Comment id="875886114"/>
        </t:Anchor>
        <t:SetTitle title="@Dalzell, Robert D Need your respon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83260424ac9753249a30c1b7ba2dabc2">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20d557ef592bc9b9a391d30496e178f7"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learance xmlns="ae2a2941-2dbe-4eaa-9281-19e6e20101f1">2799</Clear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ACE0E-18A0-46A7-9A1F-BD93D5BDD9A7}">
  <ds:schemaRefs>
    <ds:schemaRef ds:uri="http://schemas.microsoft.com/sharepoint/events"/>
  </ds:schemaRefs>
</ds:datastoreItem>
</file>

<file path=customXml/itemProps2.xml><?xml version="1.0" encoding="utf-8"?>
<ds:datastoreItem xmlns:ds="http://schemas.openxmlformats.org/officeDocument/2006/customXml" ds:itemID="{11C74A5B-6FAA-4625-8866-9998B8767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57b6deb9-dc41-4ced-bf19-f2d6f59f6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CF4A14-B015-4E4C-854D-6BCE4D968A28}">
  <ds:schemaRefs>
    <ds:schemaRef ds:uri="http://schemas.microsoft.com/sharepoint/v3/contenttype/forms"/>
  </ds:schemaRefs>
</ds:datastoreItem>
</file>

<file path=customXml/itemProps4.xml><?xml version="1.0" encoding="utf-8"?>
<ds:datastoreItem xmlns:ds="http://schemas.openxmlformats.org/officeDocument/2006/customXml" ds:itemID="{4E09F948-E239-4D68-A93F-6E2A91C0A34A}">
  <ds:schemaRefs>
    <ds:schemaRef ds:uri="http://schemas.microsoft.com/office/2006/metadata/properties"/>
    <ds:schemaRef ds:uri="http://schemas.microsoft.com/office/infopath/2007/PartnerControls"/>
    <ds:schemaRef ds:uri="ae2a2941-2dbe-4eaa-9281-19e6e20101f1"/>
  </ds:schemaRefs>
</ds:datastoreItem>
</file>

<file path=customXml/itemProps5.xml><?xml version="1.0" encoding="utf-8"?>
<ds:datastoreItem xmlns:ds="http://schemas.openxmlformats.org/officeDocument/2006/customXml" ds:itemID="{F3140CD9-2D3B-46BE-8580-3869888EA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3387</Words>
  <Characters>18786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HUD</Company>
  <LinksUpToDate>false</LinksUpToDate>
  <CharactersWithSpaces>22129</CharactersWithSpaces>
  <SharedDoc>false</SharedDoc>
  <HLinks>
    <vt:vector size="12" baseType="variant">
      <vt:variant>
        <vt:i4>196666</vt:i4>
      </vt:variant>
      <vt:variant>
        <vt:i4>3</vt:i4>
      </vt:variant>
      <vt:variant>
        <vt:i4>0</vt:i4>
      </vt:variant>
      <vt:variant>
        <vt:i4>5</vt:i4>
      </vt:variant>
      <vt:variant>
        <vt:lpwstr>mailto:Robert.D.Dalzell@hud.gov</vt:lpwstr>
      </vt:variant>
      <vt:variant>
        <vt:lpwstr/>
      </vt:variant>
      <vt:variant>
        <vt:i4>196666</vt:i4>
      </vt:variant>
      <vt:variant>
        <vt:i4>0</vt:i4>
      </vt:variant>
      <vt:variant>
        <vt:i4>0</vt:i4>
      </vt:variant>
      <vt:variant>
        <vt:i4>5</vt:i4>
      </vt:variant>
      <vt:variant>
        <vt:lpwstr>mailto:Robert.D.Dalzell@hud.gov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EDDINS</dc:creator>
  <cp:keywords/>
  <dc:description/>
  <cp:lastModifiedBy>Smith, Dawn M</cp:lastModifiedBy>
  <cp:revision>2</cp:revision>
  <cp:lastPrinted>2022-02-03T20:16:00Z</cp:lastPrinted>
  <dcterms:created xsi:type="dcterms:W3CDTF">2022-06-28T18:45:00Z</dcterms:created>
  <dcterms:modified xsi:type="dcterms:W3CDTF">2022-06-28T18:45:00Z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0x010100A7BE27003353954888358C37D25A1389</vt:lpwstr>
  </property>
</Properties>
</file>