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321" w:rsidRDefault="00933321">
      <w:pPr>
        <w:jc w:val="center"/>
      </w:pPr>
    </w:p>
    <w:p w:rsidR="00933321" w:rsidRDefault="00933321">
      <w:pPr>
        <w:jc w:val="center"/>
      </w:pPr>
    </w:p>
    <w:p w:rsidR="00933321" w:rsidRDefault="00933321">
      <w:pPr>
        <w:jc w:val="center"/>
      </w:pPr>
      <w:r>
        <w:t>OMB SUPPORTING STATEMENT</w:t>
      </w:r>
    </w:p>
    <w:p w:rsidR="00933321" w:rsidRDefault="00933321"/>
    <w:p w:rsidRPr="00BD1BA6" w:rsidR="00BD1BA6" w:rsidP="00BD1BA6" w:rsidRDefault="00BD1BA6">
      <w:pPr>
        <w:rPr>
          <w:szCs w:val="24"/>
        </w:rPr>
      </w:pPr>
      <w:r w:rsidRPr="00BD1BA6">
        <w:rPr>
          <w:szCs w:val="24"/>
        </w:rPr>
        <w:t xml:space="preserve">SF 2803 -   </w:t>
      </w:r>
      <w:r w:rsidRPr="00BD1BA6">
        <w:rPr>
          <w:szCs w:val="24"/>
        </w:rPr>
        <w:tab/>
        <w:t>Application to Make Deposit or Redeposit (CSRS);</w:t>
      </w:r>
    </w:p>
    <w:p w:rsidRPr="00BD1BA6" w:rsidR="00BD1BA6" w:rsidP="00BD1BA6" w:rsidRDefault="00BD1BA6">
      <w:pPr>
        <w:rPr>
          <w:szCs w:val="24"/>
        </w:rPr>
      </w:pPr>
      <w:r w:rsidRPr="00BD1BA6">
        <w:rPr>
          <w:szCs w:val="24"/>
        </w:rPr>
        <w:t xml:space="preserve">SF 2803A -   </w:t>
      </w:r>
      <w:r w:rsidRPr="00BD1BA6">
        <w:rPr>
          <w:szCs w:val="24"/>
        </w:rPr>
        <w:tab/>
        <w:t xml:space="preserve">Application to Pay Military Deposit for Military Service Performed After </w:t>
      </w:r>
      <w:r w:rsidRPr="00BD1BA6">
        <w:rPr>
          <w:szCs w:val="24"/>
        </w:rPr>
        <w:br/>
        <w:t xml:space="preserve">                    </w:t>
      </w:r>
      <w:r w:rsidRPr="00BD1BA6">
        <w:rPr>
          <w:szCs w:val="24"/>
        </w:rPr>
        <w:tab/>
      </w:r>
      <w:r w:rsidRPr="00BD1BA6" w:rsidR="00B86570">
        <w:rPr>
          <w:szCs w:val="24"/>
        </w:rPr>
        <w:t>December 31</w:t>
      </w:r>
      <w:r w:rsidRPr="00BD1BA6">
        <w:rPr>
          <w:szCs w:val="24"/>
        </w:rPr>
        <w:t>, 1956 (CSRS);</w:t>
      </w:r>
    </w:p>
    <w:p w:rsidRPr="00BD1BA6" w:rsidR="00BD1BA6" w:rsidP="00BD1BA6" w:rsidRDefault="00BD1BA6">
      <w:pPr>
        <w:rPr>
          <w:szCs w:val="24"/>
        </w:rPr>
      </w:pPr>
      <w:r w:rsidRPr="00BD1BA6">
        <w:rPr>
          <w:szCs w:val="24"/>
        </w:rPr>
        <w:t xml:space="preserve">SF 3108 </w:t>
      </w:r>
      <w:proofErr w:type="gramStart"/>
      <w:r w:rsidRPr="00BD1BA6">
        <w:rPr>
          <w:szCs w:val="24"/>
        </w:rPr>
        <w:t xml:space="preserve">-  </w:t>
      </w:r>
      <w:r w:rsidRPr="00BD1BA6">
        <w:rPr>
          <w:szCs w:val="24"/>
        </w:rPr>
        <w:tab/>
      </w:r>
      <w:proofErr w:type="gramEnd"/>
      <w:r w:rsidRPr="00BD1BA6">
        <w:rPr>
          <w:szCs w:val="24"/>
        </w:rPr>
        <w:t>Application to Make Service Credit Payment for Civilian Service (FERS);</w:t>
      </w:r>
    </w:p>
    <w:p w:rsidR="00933321" w:rsidP="00BD1BA6" w:rsidRDefault="00BD1BA6">
      <w:r w:rsidRPr="00BD1BA6">
        <w:rPr>
          <w:szCs w:val="24"/>
        </w:rPr>
        <w:t xml:space="preserve">SF 3108A -   </w:t>
      </w:r>
      <w:r w:rsidRPr="00BD1BA6">
        <w:rPr>
          <w:szCs w:val="24"/>
        </w:rPr>
        <w:tab/>
        <w:t xml:space="preserve">Application to Pay Military Deposit for Military Service Performed After </w:t>
      </w:r>
      <w:r w:rsidRPr="00BD1BA6">
        <w:rPr>
          <w:szCs w:val="24"/>
        </w:rPr>
        <w:br/>
      </w:r>
      <w:r w:rsidRPr="00BD1BA6">
        <w:rPr>
          <w:szCs w:val="24"/>
        </w:rPr>
        <w:tab/>
      </w:r>
      <w:r w:rsidRPr="00BD1BA6">
        <w:rPr>
          <w:szCs w:val="24"/>
        </w:rPr>
        <w:tab/>
        <w:t>December 31, 1956 (FERS)</w:t>
      </w:r>
    </w:p>
    <w:p w:rsidR="00933321" w:rsidRDefault="00933321"/>
    <w:p w:rsidR="00933321" w:rsidRDefault="00933321">
      <w:pPr>
        <w:numPr>
          <w:ilvl w:val="0"/>
          <w:numId w:val="1"/>
        </w:numPr>
      </w:pPr>
      <w:r>
        <w:t>Justification</w:t>
      </w:r>
    </w:p>
    <w:p w:rsidR="00933321" w:rsidRDefault="00933321"/>
    <w:p w:rsidR="00E27B63" w:rsidP="00E27B63"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E27B63" w:rsidR="00E27B63">
        <w:t xml:space="preserve"> </w:t>
      </w:r>
      <w:r w:rsidRPr="00741061" w:rsidR="00E27B63">
        <w:t xml:space="preserve">Explain the circumstances that make the collection of information necessary. Identify </w:t>
      </w:r>
      <w:r w:rsidR="00E27B63">
        <w:t xml:space="preserve"> </w:t>
      </w:r>
    </w:p>
    <w:p w:rsidR="00E27B63" w:rsidP="00E27B63" w:rsidRDefault="00E27B63">
      <w:pPr>
        <w:shd w:val="pct25" w:color="auto" w:fill="auto"/>
        <w:tabs>
          <w:tab w:val="left" w:pos="-720"/>
        </w:tabs>
        <w:suppressAutoHyphens/>
        <w:ind w:left="360"/>
      </w:pPr>
      <w:r>
        <w:tab/>
        <w:t xml:space="preserve"> </w:t>
      </w:r>
      <w:r w:rsidRPr="00741061">
        <w:t>any legal or administrative requirements that necessitate the collection. Attach a copy</w:t>
      </w:r>
      <w:r>
        <w:br/>
        <w:t xml:space="preserve">      </w:t>
      </w:r>
      <w:r w:rsidRPr="00741061">
        <w:t xml:space="preserve"> of the appropriate section of each statute and regulation mandating or authorizing the </w:t>
      </w:r>
    </w:p>
    <w:p w:rsidRPr="00741061" w:rsidR="00EB14B8" w:rsidP="00E27B63" w:rsidRDefault="00E27B63">
      <w:pPr>
        <w:shd w:val="pct25" w:color="auto" w:fill="auto"/>
        <w:tabs>
          <w:tab w:val="left" w:pos="-720"/>
        </w:tabs>
        <w:suppressAutoHyphens/>
        <w:ind w:left="360"/>
      </w:pPr>
      <w:r>
        <w:t xml:space="preserve">       </w:t>
      </w:r>
      <w:r w:rsidRPr="00741061">
        <w:t xml:space="preserve">collection of information.  </w:t>
      </w:r>
    </w:p>
    <w:p w:rsidR="00EB14B8" w:rsidP="00EB14B8" w:rsidRDefault="00EB14B8">
      <w:pPr>
        <w:ind w:left="720"/>
      </w:pPr>
    </w:p>
    <w:p w:rsidRPr="00BD1BA6" w:rsidR="00BD1BA6" w:rsidP="00BD1BA6" w:rsidRDefault="00BD1BA6">
      <w:pPr>
        <w:ind w:left="720"/>
        <w:rPr>
          <w:szCs w:val="24"/>
        </w:rPr>
      </w:pPr>
      <w:r w:rsidRPr="00BD1BA6">
        <w:rPr>
          <w:szCs w:val="24"/>
        </w:rPr>
        <w:t>Title 5, U. S. Code, Chapter 83, Section 8334 and Chapter 84, Section 8411 provide that eligible employees and former employees may make payments in order to receive credit in their annuity computations for certain periods of service.  These include service that was not subject to retirement deductions when it was performed (deposit service) and service that was subject to retirement deductions which the employee or former employee later withdrew from the retirement fund (redeposit service).</w:t>
      </w:r>
    </w:p>
    <w:p w:rsidRPr="00BD1BA6" w:rsidR="00BD1BA6" w:rsidP="00BD1BA6" w:rsidRDefault="00BD1BA6">
      <w:pPr>
        <w:ind w:left="720" w:hanging="420"/>
        <w:rPr>
          <w:szCs w:val="24"/>
        </w:rPr>
      </w:pPr>
    </w:p>
    <w:p w:rsidR="00933321" w:rsidP="00BD1BA6" w:rsidRDefault="00BD1BA6">
      <w:pPr>
        <w:ind w:left="720"/>
      </w:pPr>
      <w:r w:rsidRPr="00BD1BA6">
        <w:rPr>
          <w:szCs w:val="24"/>
        </w:rPr>
        <w:t>SF 2803, SF 2803A, SF 3108 and SF 3108A are designed to collect enough information so that the Office of Personnel Management (OPM) can inform the applicant of the amount of deposit, redeposit, and interest the applicant must pay as of the date of the billing.</w:t>
      </w:r>
    </w:p>
    <w:p w:rsidR="00933321" w:rsidRDefault="00933321">
      <w:pPr>
        <w:ind w:left="360"/>
      </w:pPr>
    </w:p>
    <w:p w:rsidRPr="00741061" w:rsidR="00EB14B8" w:rsidP="00E27B63"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bookmarkStart w:name="_Hlk49347813" w:id="0"/>
      <w:r w:rsidRPr="00E27B63" w:rsidR="00E27B63">
        <w:t xml:space="preserve"> </w:t>
      </w:r>
      <w:r w:rsidRPr="00DF085B" w:rsidR="00E27B63">
        <w:t>Indicate how, by whom, and for what purpose the information is to be used. Except for a new collection, indicate the actual use the agency has made of the information received from the current collection.</w:t>
      </w:r>
      <w:bookmarkEnd w:id="0"/>
    </w:p>
    <w:p w:rsidR="00EB14B8" w:rsidP="00EB14B8" w:rsidRDefault="00EB14B8">
      <w:pPr>
        <w:ind w:left="720"/>
      </w:pPr>
    </w:p>
    <w:p w:rsidR="00A37239" w:rsidP="00A37239" w:rsidRDefault="00A37239">
      <w:pPr>
        <w:ind w:left="720"/>
      </w:pPr>
      <w:r>
        <w:t xml:space="preserve">The Office of Personnel Management (OPM) requests that OMB renew a </w:t>
      </w:r>
      <w:proofErr w:type="gramStart"/>
      <w:r>
        <w:t>previously-approved</w:t>
      </w:r>
      <w:proofErr w:type="gramEnd"/>
      <w:r>
        <w:t xml:space="preserve"> information collection with minor revisions, control number 3206-0</w:t>
      </w:r>
      <w:r w:rsidR="00EF37E7">
        <w:t>134</w:t>
      </w:r>
      <w:r>
        <w:t>.</w:t>
      </w:r>
    </w:p>
    <w:p w:rsidR="00E27B63" w:rsidP="00EB14B8" w:rsidRDefault="00583F62">
      <w:pPr>
        <w:ind w:left="720"/>
      </w:pPr>
      <w:r>
        <w:t>This information is collected by OPM from eligible employees and former employees who wish to make a deposit/redeposit before retirement. The information collected is necessary to identify the individual’s employing agency and the periods of service for which deposit/redeposit is to be made. The OPM Retirement Services Program office determines whether all conditions for deposit or redeposit are met and credits the proper account upon receipt of payment. Not collecting this information would violate entitlement rights provided by title 5, U.S. Code, Chapters 83 and 84</w:t>
      </w:r>
      <w:r w:rsidR="00E27B63">
        <w:t xml:space="preserve">. </w:t>
      </w:r>
    </w:p>
    <w:p w:rsidR="007D1502" w:rsidP="0066188C" w:rsidRDefault="007D1502"/>
    <w:p w:rsidRPr="00741061" w:rsidR="00EB14B8" w:rsidP="00E27B63" w:rsidRDefault="00EB14B8">
      <w:pPr>
        <w:pStyle w:val="ListParagraph"/>
        <w:widowControl w:val="0"/>
        <w:numPr>
          <w:ilvl w:val="0"/>
          <w:numId w:val="2"/>
        </w:numPr>
        <w:shd w:val="clear" w:color="auto" w:fill="BFBFBF" w:themeFill="background1" w:themeFillShade="BF"/>
        <w:autoSpaceDE w:val="0"/>
        <w:autoSpaceDN w:val="0"/>
        <w:adjustRightInd w:val="0"/>
        <w:spacing w:line="211" w:lineRule="atLeast"/>
        <w:contextualSpacing w:val="0"/>
      </w:pPr>
      <w:r w:rsidRPr="00741061">
        <w:fldChar w:fldCharType="begin"/>
      </w:r>
      <w:r w:rsidRPr="00741061">
        <w:instrText>ADVANCE \R 0.95</w:instrText>
      </w:r>
      <w:r w:rsidRPr="00741061">
        <w:fldChar w:fldCharType="end"/>
      </w:r>
      <w:bookmarkStart w:name="_Hlk49348032" w:id="1"/>
      <w:r w:rsidRPr="00E27B63" w:rsidR="00E27B63">
        <w:t xml:space="preserve"> </w:t>
      </w:r>
      <w:r w:rsidRPr="00DF085B" w:rsidR="00E27B63">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27B63">
        <w:t xml:space="preserve"> </w:t>
      </w:r>
      <w:r w:rsidRPr="00DF085B" w:rsidR="00E27B63">
        <w:t>Also describe any consideration of using information technology to reduce burden.</w:t>
      </w:r>
      <w:bookmarkEnd w:id="1"/>
      <w:r w:rsidR="00E27B63">
        <w:t xml:space="preserve"> </w:t>
      </w:r>
      <w:r w:rsidRPr="00741061">
        <w:tab/>
      </w:r>
    </w:p>
    <w:p w:rsidR="00EB14B8" w:rsidP="00EB14B8" w:rsidRDefault="00EB14B8">
      <w:pPr>
        <w:ind w:left="720"/>
      </w:pPr>
    </w:p>
    <w:p w:rsidR="00933321" w:rsidP="00EB14B8" w:rsidRDefault="00462684">
      <w:pPr>
        <w:ind w:left="720"/>
      </w:pPr>
      <w:r>
        <w:t>Use of improved information technology to reduce the burden is not possible because the applicants apply to pay based on their individual circumstances. However, these forms are available in a PDF fill-able format on our website and meet our GPEA requirements.</w:t>
      </w:r>
    </w:p>
    <w:p w:rsidR="00933321" w:rsidRDefault="00933321">
      <w:pPr>
        <w:ind w:left="360"/>
      </w:pPr>
    </w:p>
    <w:p w:rsidRPr="00741061" w:rsidR="009B7453" w:rsidP="009B7453"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pPr>
        <w:ind w:left="720"/>
      </w:pPr>
    </w:p>
    <w:p w:rsidR="00933321" w:rsidP="009B7453" w:rsidRDefault="000D6F89">
      <w:pPr>
        <w:ind w:left="720"/>
      </w:pPr>
      <w:r>
        <w:t>Applications are filed individually.  There is no duplication because the respondents initiate the collection.</w:t>
      </w:r>
    </w:p>
    <w:p w:rsidR="00E27B63" w:rsidP="00E27B63" w:rsidRDefault="00E27B63"/>
    <w:p w:rsidRPr="00741061" w:rsidR="00E27B63" w:rsidP="00E27B63" w:rsidRDefault="00E27B6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E27B63" w:rsidP="00E27B63" w:rsidRDefault="00E27B63">
      <w:pPr>
        <w:ind w:left="720"/>
      </w:pPr>
      <w:r w:rsidRPr="00741061">
        <w:tab/>
      </w:r>
    </w:p>
    <w:p w:rsidR="00E27B63" w:rsidP="00E27B63" w:rsidRDefault="00E27B63">
      <w:pPr>
        <w:ind w:left="720"/>
      </w:pPr>
      <w:r>
        <w:t>This information collection request has no impact on small businesses and organizations.</w:t>
      </w:r>
    </w:p>
    <w:p w:rsidR="00E27B63" w:rsidP="00E27B63" w:rsidRDefault="00E27B63"/>
    <w:p w:rsidRPr="00DF085B" w:rsidR="00E27B63" w:rsidP="00E27B63" w:rsidRDefault="00E27B63">
      <w:pPr>
        <w:pStyle w:val="ListParagraph"/>
        <w:numPr>
          <w:ilvl w:val="0"/>
          <w:numId w:val="2"/>
        </w:numPr>
        <w:shd w:val="pct25" w:color="auto" w:fill="auto"/>
        <w:tabs>
          <w:tab w:val="left" w:pos="-720"/>
        </w:tabs>
        <w:suppressAutoHyphens/>
      </w:pPr>
      <w:r w:rsidRPr="00DF085B">
        <w:t>Describe the consequence to Federal/DHS program or policy activities if the collection of information is not conducted, or is conducted less frequently, as well as any technical or legal obstacles to reducing burden.</w:t>
      </w:r>
    </w:p>
    <w:p w:rsidRPr="001130EC" w:rsidR="00E27B63" w:rsidP="00E27B63" w:rsidRDefault="00E27B63">
      <w:pPr>
        <w:widowControl w:val="0"/>
        <w:autoSpaceDE w:val="0"/>
        <w:autoSpaceDN w:val="0"/>
        <w:adjustRightInd w:val="0"/>
        <w:spacing w:line="220" w:lineRule="atLeast"/>
        <w:ind w:firstLine="720"/>
        <w:jc w:val="both"/>
      </w:pPr>
    </w:p>
    <w:p w:rsidR="00185F5C" w:rsidP="00185F5C" w:rsidRDefault="00185F5C">
      <w:pPr>
        <w:ind w:left="720"/>
      </w:pPr>
      <w:r>
        <w:t xml:space="preserve">Information is collected as needed to permit the respondents to pay for their service.  Less frequent collection would cause the applicant to pay more interest due to delayed billing. </w:t>
      </w:r>
      <w:r w:rsidRPr="002C1F76">
        <w:t>This information collection is consistent with the guidelines in 5 CFR 1320.6.</w:t>
      </w:r>
    </w:p>
    <w:p w:rsidRPr="001130EC" w:rsidR="00E27B63" w:rsidP="00E27B63" w:rsidRDefault="00E27B63">
      <w:pPr>
        <w:widowControl w:val="0"/>
        <w:autoSpaceDE w:val="0"/>
        <w:autoSpaceDN w:val="0"/>
        <w:adjustRightInd w:val="0"/>
        <w:spacing w:line="220" w:lineRule="atLeast"/>
        <w:jc w:val="both"/>
      </w:pPr>
    </w:p>
    <w:p w:rsidRPr="00DF085B" w:rsidR="00E27B63" w:rsidP="00E27B63" w:rsidRDefault="00E27B63">
      <w:pPr>
        <w:pStyle w:val="ListParagraph"/>
        <w:numPr>
          <w:ilvl w:val="0"/>
          <w:numId w:val="2"/>
        </w:numPr>
        <w:shd w:val="pct25" w:color="auto" w:fill="auto"/>
        <w:tabs>
          <w:tab w:val="left" w:pos="-720"/>
        </w:tabs>
        <w:suppressAutoHyphens/>
      </w:pPr>
      <w:r w:rsidRPr="00DF085B">
        <w:t xml:space="preserve">Explain any special circumstances that would cause an information collection to be conducted in a manner: </w:t>
      </w:r>
    </w:p>
    <w:p w:rsidRPr="00DF085B" w:rsidR="00E27B63" w:rsidP="00E27B63" w:rsidRDefault="00E27B63">
      <w:pPr>
        <w:pStyle w:val="ListParagraph"/>
        <w:shd w:val="pct25" w:color="auto" w:fill="auto"/>
        <w:tabs>
          <w:tab w:val="left" w:pos="-720"/>
        </w:tabs>
        <w:suppressAutoHyphens/>
      </w:pPr>
      <w:r w:rsidRPr="00DF085B">
        <w:t xml:space="preserve">• requiring respondents to report information to the agency more often than quarterly; </w:t>
      </w:r>
    </w:p>
    <w:p w:rsidRPr="00DF085B" w:rsidR="00E27B63" w:rsidP="00E27B63" w:rsidRDefault="00E27B63">
      <w:pPr>
        <w:pStyle w:val="ListParagraph"/>
        <w:shd w:val="pct25" w:color="auto" w:fill="auto"/>
        <w:tabs>
          <w:tab w:val="left" w:pos="-720"/>
        </w:tabs>
        <w:suppressAutoHyphens/>
      </w:pPr>
      <w:r w:rsidRPr="00DF085B">
        <w:t xml:space="preserve">•requiring respondents to prepare a written response to a collection of information in fewer than 30 days after receipt of it; </w:t>
      </w:r>
    </w:p>
    <w:p w:rsidRPr="00DF085B" w:rsidR="00E27B63" w:rsidP="00E27B63" w:rsidRDefault="00E27B63">
      <w:pPr>
        <w:pStyle w:val="ListParagraph"/>
        <w:shd w:val="pct25" w:color="auto" w:fill="auto"/>
        <w:tabs>
          <w:tab w:val="left" w:pos="-720"/>
        </w:tabs>
        <w:suppressAutoHyphens/>
      </w:pPr>
      <w:r w:rsidRPr="00DF085B">
        <w:t xml:space="preserve">•requiring respondents to submit more than an original and two copies of any document; </w:t>
      </w:r>
    </w:p>
    <w:p w:rsidRPr="00DF085B" w:rsidR="00E27B63" w:rsidP="00E27B63" w:rsidRDefault="00E27B63">
      <w:pPr>
        <w:pStyle w:val="ListParagraph"/>
        <w:shd w:val="pct25" w:color="auto" w:fill="auto"/>
        <w:tabs>
          <w:tab w:val="left" w:pos="-720"/>
        </w:tabs>
        <w:suppressAutoHyphens/>
      </w:pPr>
      <w:r w:rsidRPr="00DF085B">
        <w:t xml:space="preserve">• requiring respondents to retain records, other than health, medical, government contract, grant-in-aid, or tax records, for more than three years; </w:t>
      </w:r>
    </w:p>
    <w:p w:rsidRPr="00DF085B" w:rsidR="00E27B63" w:rsidP="00E27B63" w:rsidRDefault="00E27B63">
      <w:pPr>
        <w:pStyle w:val="ListParagraph"/>
        <w:shd w:val="pct25" w:color="auto" w:fill="auto"/>
        <w:tabs>
          <w:tab w:val="left" w:pos="-720"/>
        </w:tabs>
        <w:suppressAutoHyphens/>
      </w:pPr>
      <w:r w:rsidRPr="00DF085B">
        <w:t xml:space="preserve">• in connection with a statistical survey, that is not designed to produce valid and reliable results that can be generalized to the universe of study; </w:t>
      </w:r>
    </w:p>
    <w:p w:rsidRPr="00DF085B" w:rsidR="00E27B63" w:rsidP="00E27B63" w:rsidRDefault="00E27B63">
      <w:pPr>
        <w:pStyle w:val="ListParagraph"/>
        <w:shd w:val="pct25" w:color="auto" w:fill="auto"/>
        <w:tabs>
          <w:tab w:val="left" w:pos="-720"/>
        </w:tabs>
        <w:suppressAutoHyphens/>
      </w:pPr>
      <w:r w:rsidRPr="00DF085B">
        <w:t xml:space="preserve">• requiring the use of a statistical data classification that has not been reviewed and approved by OMB; </w:t>
      </w:r>
    </w:p>
    <w:p w:rsidRPr="00DF085B" w:rsidR="00E27B63" w:rsidP="00E27B63" w:rsidRDefault="00E27B63">
      <w:pPr>
        <w:pStyle w:val="ListParagraph"/>
        <w:shd w:val="pct25" w:color="auto" w:fill="auto"/>
        <w:tabs>
          <w:tab w:val="left" w:pos="-720"/>
        </w:tabs>
        <w:suppressAutoHyphens/>
      </w:pPr>
      <w:r w:rsidRPr="00DF085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F085B" w:rsidR="00E27B63" w:rsidP="00E27B63" w:rsidRDefault="00E27B63">
      <w:pPr>
        <w:pStyle w:val="ListParagraph"/>
        <w:shd w:val="pct25" w:color="auto" w:fill="auto"/>
        <w:tabs>
          <w:tab w:val="left" w:pos="-720"/>
        </w:tabs>
        <w:suppressAutoHyphens/>
      </w:pPr>
      <w:r w:rsidRPr="00DF085B">
        <w:t>• requiring respondents to submit proprietary trade secrets, or other confidential information unless the agency can demonstrate that it has instituted procedures to protect the information's confidentiality to the extent permitted by law.</w:t>
      </w:r>
    </w:p>
    <w:p w:rsidR="00E27B63" w:rsidP="00E27B63" w:rsidRDefault="00E27B63">
      <w:pPr>
        <w:widowControl w:val="0"/>
        <w:autoSpaceDE w:val="0"/>
        <w:autoSpaceDN w:val="0"/>
        <w:adjustRightInd w:val="0"/>
        <w:spacing w:line="268" w:lineRule="atLeast"/>
        <w:ind w:left="1440" w:hanging="720"/>
      </w:pPr>
    </w:p>
    <w:p w:rsidR="00E27B63" w:rsidP="00E27B63" w:rsidRDefault="00E27B63">
      <w:pPr>
        <w:widowControl w:val="0"/>
        <w:autoSpaceDE w:val="0"/>
        <w:autoSpaceDN w:val="0"/>
        <w:adjustRightInd w:val="0"/>
        <w:spacing w:line="268" w:lineRule="atLeast"/>
        <w:ind w:left="720"/>
      </w:pPr>
      <w:r w:rsidRPr="001130EC">
        <w:t>This information collection is consistent with the guidelines in 5 CFR 1320.6, except that the respondent must reply by the end of open season in order to effect the change at the beginning of the calendar year. Changes requested after open season ends cannot be implemented unless OPM has agreed to the delay.</w:t>
      </w:r>
    </w:p>
    <w:p w:rsidR="00E27B63" w:rsidP="00E27B63" w:rsidRDefault="00E27B63">
      <w:pPr>
        <w:widowControl w:val="0"/>
        <w:autoSpaceDE w:val="0"/>
        <w:autoSpaceDN w:val="0"/>
        <w:adjustRightInd w:val="0"/>
        <w:spacing w:line="268" w:lineRule="atLeast"/>
        <w:ind w:left="720"/>
      </w:pPr>
    </w:p>
    <w:p w:rsidRPr="00DF085B" w:rsidR="00E27B63" w:rsidP="00E27B63" w:rsidRDefault="00E27B63">
      <w:pPr>
        <w:pStyle w:val="ListParagraph"/>
        <w:numPr>
          <w:ilvl w:val="0"/>
          <w:numId w:val="2"/>
        </w:numPr>
        <w:shd w:val="pct25" w:color="auto" w:fill="auto"/>
        <w:tabs>
          <w:tab w:val="left" w:pos="-720"/>
        </w:tabs>
        <w:suppressAutoHyphens/>
      </w:pPr>
      <w:r w:rsidRPr="00DF085B">
        <w:t xml:space="preserve">Federal Register Notice: </w:t>
      </w:r>
      <w:r w:rsidRPr="00DF085B">
        <w:fldChar w:fldCharType="begin"/>
      </w:r>
      <w:r w:rsidRPr="00DF085B">
        <w:instrText>ADVANCE \R 0.95</w:instrText>
      </w:r>
      <w:r w:rsidRPr="00DF085B">
        <w:fldChar w:fldCharType="end"/>
      </w:r>
      <w:r w:rsidRPr="00DF085B">
        <w:t xml:space="preserve">Provide a copy and identify the date and page number of </w:t>
      </w:r>
      <w:proofErr w:type="gramStart"/>
      <w:r w:rsidRPr="00DF085B">
        <w:t>publication</w:t>
      </w:r>
      <w:proofErr w:type="gramEnd"/>
      <w:r w:rsidRPr="00DF085B">
        <w:t xml:space="preserve"> in the Federal Register of the agency’s notice soliciting comments on the information collection prior to submission to OMB</w:t>
      </w:r>
    </w:p>
    <w:p w:rsidRPr="008A0DCF" w:rsidR="00E27B63" w:rsidP="00E27B63" w:rsidRDefault="00E27B63">
      <w:pPr>
        <w:ind w:left="720"/>
      </w:pPr>
      <w:r w:rsidRPr="00DF085B">
        <w:br/>
      </w:r>
      <w:r w:rsidRPr="008A0DCF">
        <w:t xml:space="preserve">A </w:t>
      </w:r>
      <w:proofErr w:type="gramStart"/>
      <w:r w:rsidRPr="008A0DCF">
        <w:t>60 day</w:t>
      </w:r>
      <w:proofErr w:type="gramEnd"/>
      <w:r w:rsidRPr="008A0DCF">
        <w:t xml:space="preserve"> notice of proposed information collection was published in the </w:t>
      </w:r>
      <w:r w:rsidRPr="008A0DCF">
        <w:rPr>
          <w:i/>
        </w:rPr>
        <w:t>Federal Register</w:t>
      </w:r>
      <w:r w:rsidRPr="008A0DCF">
        <w:t xml:space="preserve"> on </w:t>
      </w:r>
      <w:r w:rsidR="00586080">
        <w:t>June</w:t>
      </w:r>
      <w:r w:rsidRPr="008A0DCF">
        <w:t xml:space="preserve"> </w:t>
      </w:r>
      <w:r>
        <w:t>1</w:t>
      </w:r>
      <w:r w:rsidR="00586080">
        <w:t>1</w:t>
      </w:r>
      <w:r w:rsidRPr="008A0DCF">
        <w:t xml:space="preserve">, 2020, Volume 85 FR </w:t>
      </w:r>
      <w:r w:rsidR="00586080">
        <w:t>35671</w:t>
      </w:r>
      <w:r w:rsidRPr="008A0DCF">
        <w:t>, giving persons outside the agency an</w:t>
      </w:r>
      <w:r w:rsidR="00586080">
        <w:t xml:space="preserve"> </w:t>
      </w:r>
      <w:r w:rsidRPr="008A0DCF">
        <w:t>opportunity to comment.  No comments were received.</w:t>
      </w:r>
    </w:p>
    <w:p w:rsidRPr="008A0DCF" w:rsidR="00E27B63" w:rsidP="00E27B63" w:rsidRDefault="00E27B63">
      <w:pPr>
        <w:ind w:left="720"/>
      </w:pPr>
    </w:p>
    <w:p w:rsidRPr="008A0DCF" w:rsidR="00E27B63" w:rsidP="00E27B63" w:rsidRDefault="00E27B63">
      <w:pPr>
        <w:pStyle w:val="ListParagraph"/>
        <w:numPr>
          <w:ilvl w:val="0"/>
          <w:numId w:val="2"/>
        </w:numPr>
        <w:shd w:val="pct25" w:color="auto" w:fill="auto"/>
        <w:tabs>
          <w:tab w:val="left" w:pos="-720"/>
        </w:tabs>
        <w:suppressAutoHyphens/>
        <w:ind w:right="-288"/>
      </w:pPr>
      <w:r w:rsidRPr="008A0DCF">
        <w:t>Explain any decision to provide any payment or gift to respondents, other than remuneration of contractors or grantees.</w:t>
      </w:r>
    </w:p>
    <w:p w:rsidRPr="008A0DCF" w:rsidR="00E27B63" w:rsidP="00E27B63" w:rsidRDefault="00E27B63">
      <w:pPr>
        <w:ind w:left="720"/>
      </w:pPr>
    </w:p>
    <w:p w:rsidRPr="008A0DCF" w:rsidR="00E27B63" w:rsidP="00E27B63" w:rsidRDefault="00E27B63">
      <w:pPr>
        <w:ind w:left="720"/>
      </w:pPr>
      <w:r w:rsidRPr="008A0DCF">
        <w:t>No payment or gift is provided to respondents, except any court-ordered benefits that are payable.</w:t>
      </w:r>
    </w:p>
    <w:p w:rsidRPr="008A0DCF" w:rsidR="00E27B63" w:rsidP="00E27B63" w:rsidRDefault="00E27B63">
      <w:pPr>
        <w:ind w:left="720"/>
      </w:pPr>
    </w:p>
    <w:p w:rsidRPr="008A0DCF" w:rsidR="00E27B63" w:rsidP="00E27B63" w:rsidRDefault="00E27B63">
      <w:pPr>
        <w:pStyle w:val="ListParagraph"/>
        <w:numPr>
          <w:ilvl w:val="0"/>
          <w:numId w:val="2"/>
        </w:numPr>
        <w:shd w:val="pct25" w:color="auto" w:fill="auto"/>
        <w:tabs>
          <w:tab w:val="clear" w:pos="720"/>
          <w:tab w:val="left" w:pos="-720"/>
          <w:tab w:val="num" w:pos="630"/>
        </w:tabs>
        <w:suppressAutoHyphens/>
        <w:ind w:left="630" w:right="-288"/>
      </w:pPr>
      <w:r w:rsidRPr="008A0DCF">
        <w:t xml:space="preserve">Describe any assurance of confidentiality provided to respondents and the basis for the assurance in statute, regulation, or agency policy.  </w:t>
      </w:r>
    </w:p>
    <w:p w:rsidRPr="008A0DCF" w:rsidR="00E27B63" w:rsidP="00E27B63" w:rsidRDefault="00E27B63">
      <w:pPr>
        <w:pStyle w:val="ListParagraph"/>
        <w:ind w:right="-288"/>
      </w:pPr>
    </w:p>
    <w:p w:rsidRPr="008A0DCF" w:rsidR="00E27B63" w:rsidP="00E27B63" w:rsidRDefault="00E27B63">
      <w:pPr>
        <w:ind w:left="720" w:right="-288"/>
      </w:pPr>
      <w:r w:rsidRPr="008A0DCF">
        <w:t xml:space="preserve">This information collection is protected by the Privacy Act of 1974 and OPM regulation </w:t>
      </w:r>
      <w:r w:rsidRPr="008A0DCF">
        <w:br/>
        <w:t xml:space="preserve">(5 CFR 831.106).  The routine uses of disclosure appear in the </w:t>
      </w:r>
      <w:r w:rsidRPr="008A0DCF">
        <w:rPr>
          <w:i/>
        </w:rPr>
        <w:t>Federal Register</w:t>
      </w:r>
      <w:r w:rsidRPr="008A0DCF">
        <w:t xml:space="preserve"> for </w:t>
      </w:r>
    </w:p>
    <w:p w:rsidRPr="008A0DCF" w:rsidR="00E27B63" w:rsidP="00E27B63" w:rsidRDefault="00E27B63">
      <w:pPr>
        <w:ind w:right="-288" w:firstLine="720"/>
      </w:pPr>
      <w:r w:rsidRPr="008A0DCF">
        <w:t xml:space="preserve">OPM/Central-1 (73 FR 15013, </w:t>
      </w:r>
      <w:r w:rsidRPr="008A0DCF">
        <w:rPr>
          <w:i/>
        </w:rPr>
        <w:t>et seq</w:t>
      </w:r>
      <w:r w:rsidRPr="008A0DCF">
        <w:t>., March 20, 2008).</w:t>
      </w:r>
    </w:p>
    <w:p w:rsidRPr="008A0DCF" w:rsidR="00E27B63" w:rsidP="00E27B63" w:rsidRDefault="00E27B63">
      <w:pPr>
        <w:ind w:right="-288" w:firstLine="720"/>
      </w:pPr>
    </w:p>
    <w:p w:rsidRPr="008A0DCF" w:rsidR="00E27B63" w:rsidP="00E27B63" w:rsidRDefault="00E27B63">
      <w:pPr>
        <w:pStyle w:val="ListParagraph"/>
        <w:numPr>
          <w:ilvl w:val="0"/>
          <w:numId w:val="2"/>
        </w:numPr>
        <w:shd w:val="pct25" w:color="auto" w:fill="auto"/>
        <w:tabs>
          <w:tab w:val="clear" w:pos="720"/>
          <w:tab w:val="left" w:pos="-720"/>
          <w:tab w:val="num" w:pos="630"/>
        </w:tabs>
        <w:suppressAutoHyphens/>
        <w:ind w:left="630"/>
      </w:pPr>
      <w:r w:rsidRPr="008A0DC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A0DCF" w:rsidR="00E27B63" w:rsidP="00E27B63" w:rsidRDefault="00E27B63">
      <w:pPr>
        <w:spacing w:before="240"/>
        <w:ind w:left="720"/>
      </w:pPr>
      <w:r w:rsidRPr="008A0DCF">
        <w:t xml:space="preserve">The information collection does not include questions of a sensitive nature, such as sexual behavior and attitudes, religious beliefs, and other matters that are commonly considered private. </w:t>
      </w:r>
    </w:p>
    <w:p w:rsidRPr="008A0DCF" w:rsidR="00E27B63" w:rsidP="00E27B63" w:rsidRDefault="00E27B63">
      <w:pPr>
        <w:ind w:right="-288" w:firstLine="720"/>
      </w:pPr>
    </w:p>
    <w:p w:rsidRPr="008A0DCF" w:rsidR="00E27B63" w:rsidP="00586080" w:rsidRDefault="00E27B63">
      <w:pPr>
        <w:pStyle w:val="ListParagraph"/>
        <w:numPr>
          <w:ilvl w:val="0"/>
          <w:numId w:val="2"/>
        </w:numPr>
        <w:shd w:val="pct25" w:color="auto" w:fill="FFFFFF"/>
        <w:tabs>
          <w:tab w:val="left" w:pos="-720"/>
        </w:tabs>
        <w:suppressAutoHyphens/>
      </w:pPr>
      <w:r w:rsidRPr="008A0DCF">
        <w:t xml:space="preserve">Provide estimates of the hour burden of the collection of information. The statement </w:t>
      </w:r>
      <w:r w:rsidR="00586080">
        <w:t xml:space="preserve">  </w:t>
      </w:r>
      <w:r w:rsidRPr="008A0DCF">
        <w:t>should:</w:t>
      </w:r>
    </w:p>
    <w:p w:rsidR="00586080" w:rsidP="00E27B63" w:rsidRDefault="00E27B63">
      <w:pPr>
        <w:pStyle w:val="ListParagraph"/>
        <w:shd w:val="pct25" w:color="auto" w:fill="auto"/>
        <w:tabs>
          <w:tab w:val="left" w:pos="-720"/>
        </w:tabs>
        <w:suppressAutoHyphens/>
        <w:ind w:left="360"/>
      </w:pPr>
      <w:r>
        <w:tab/>
      </w:r>
      <w:r w:rsidRPr="008A0DCF">
        <w:t xml:space="preserve">a.  Indicate the number of respondents, frequency of response, annual hour burden, and </w:t>
      </w:r>
    </w:p>
    <w:p w:rsidR="00586080" w:rsidP="00586080" w:rsidRDefault="00586080">
      <w:pPr>
        <w:pStyle w:val="ListParagraph"/>
        <w:shd w:val="pct25" w:color="auto" w:fill="auto"/>
        <w:tabs>
          <w:tab w:val="left" w:pos="-720"/>
        </w:tabs>
        <w:suppressAutoHyphens/>
        <w:ind w:left="360"/>
      </w:pPr>
      <w:r>
        <w:t xml:space="preserve">           </w:t>
      </w:r>
      <w:r w:rsidRPr="008A0DCF" w:rsidR="00E27B63">
        <w:t>an</w:t>
      </w:r>
      <w:r w:rsidR="00E27B63">
        <w:t xml:space="preserve"> </w:t>
      </w:r>
      <w:r w:rsidRPr="008A0DCF" w:rsidR="00E27B63">
        <w:t xml:space="preserve">explanation of how the burden was estimated. Unless directed to do so, agencies </w:t>
      </w:r>
      <w:r>
        <w:t xml:space="preserve">  </w:t>
      </w:r>
    </w:p>
    <w:p w:rsidR="00586080" w:rsidP="00586080" w:rsidRDefault="00586080">
      <w:pPr>
        <w:pStyle w:val="ListParagraph"/>
        <w:shd w:val="pct25" w:color="auto" w:fill="auto"/>
        <w:tabs>
          <w:tab w:val="left" w:pos="-720"/>
        </w:tabs>
        <w:suppressAutoHyphens/>
        <w:ind w:left="360"/>
      </w:pPr>
      <w:r>
        <w:t xml:space="preserve">           </w:t>
      </w:r>
      <w:r w:rsidRPr="008A0DCF" w:rsidR="00E27B63">
        <w:t xml:space="preserve">should not conduct special surveys to obtain information on which to base hour </w:t>
      </w:r>
      <w:r>
        <w:t xml:space="preserve"> </w:t>
      </w:r>
    </w:p>
    <w:p w:rsidR="00586080" w:rsidP="00586080" w:rsidRDefault="00586080">
      <w:pPr>
        <w:pStyle w:val="ListParagraph"/>
        <w:shd w:val="pct25" w:color="auto" w:fill="auto"/>
        <w:tabs>
          <w:tab w:val="left" w:pos="-720"/>
        </w:tabs>
        <w:suppressAutoHyphens/>
        <w:ind w:left="360"/>
      </w:pPr>
      <w:r>
        <w:t xml:space="preserve">           </w:t>
      </w:r>
      <w:r w:rsidRPr="008A0DCF" w:rsidR="00E27B63">
        <w:t xml:space="preserve">burden estimates. Consultation with a sample (fewer than 10) of potential respondents </w:t>
      </w:r>
    </w:p>
    <w:p w:rsidR="00586080" w:rsidP="00586080" w:rsidRDefault="00586080">
      <w:pPr>
        <w:pStyle w:val="ListParagraph"/>
        <w:shd w:val="pct25" w:color="auto" w:fill="auto"/>
        <w:tabs>
          <w:tab w:val="left" w:pos="-720"/>
        </w:tabs>
        <w:suppressAutoHyphens/>
        <w:ind w:left="360"/>
      </w:pPr>
      <w:r>
        <w:t xml:space="preserve">           </w:t>
      </w:r>
      <w:r w:rsidRPr="008A0DCF" w:rsidR="00E27B63">
        <w:t xml:space="preserve">is desired. If the hour burden on respondents is expected to vary widely because of </w:t>
      </w:r>
    </w:p>
    <w:p w:rsidR="00586080" w:rsidP="00586080" w:rsidRDefault="00586080">
      <w:pPr>
        <w:pStyle w:val="ListParagraph"/>
        <w:shd w:val="pct25" w:color="auto" w:fill="auto"/>
        <w:tabs>
          <w:tab w:val="left" w:pos="-720"/>
        </w:tabs>
        <w:suppressAutoHyphens/>
        <w:ind w:left="360"/>
      </w:pPr>
      <w:r>
        <w:t xml:space="preserve">          </w:t>
      </w:r>
      <w:r w:rsidRPr="008A0DCF" w:rsidR="00E27B63">
        <w:t xml:space="preserve">differences in activity, size, or complexity, show the range of estimated hour burden, </w:t>
      </w:r>
    </w:p>
    <w:p w:rsidR="00586080" w:rsidP="00586080" w:rsidRDefault="00586080">
      <w:pPr>
        <w:pStyle w:val="ListParagraph"/>
        <w:shd w:val="pct25" w:color="auto" w:fill="auto"/>
        <w:tabs>
          <w:tab w:val="left" w:pos="-720"/>
        </w:tabs>
        <w:suppressAutoHyphens/>
        <w:ind w:left="360"/>
      </w:pPr>
      <w:r>
        <w:t xml:space="preserve">          </w:t>
      </w:r>
      <w:r w:rsidRPr="008A0DCF" w:rsidR="00E27B63">
        <w:t xml:space="preserve">and explain the reasons for the variance. Generally, estimates should not include </w:t>
      </w:r>
    </w:p>
    <w:p w:rsidR="00E27B63" w:rsidP="00586080" w:rsidRDefault="00586080">
      <w:pPr>
        <w:pStyle w:val="ListParagraph"/>
        <w:shd w:val="pct25" w:color="auto" w:fill="auto"/>
        <w:tabs>
          <w:tab w:val="left" w:pos="-720"/>
        </w:tabs>
        <w:suppressAutoHyphens/>
        <w:ind w:left="360"/>
      </w:pPr>
      <w:r>
        <w:t xml:space="preserve">          </w:t>
      </w:r>
      <w:r w:rsidRPr="008A0DCF" w:rsidR="00E27B63">
        <w:t>burden hours for customary and usual business practices.</w:t>
      </w:r>
    </w:p>
    <w:p w:rsidR="00586080" w:rsidP="00E27B63" w:rsidRDefault="00E27B63">
      <w:pPr>
        <w:pStyle w:val="ListParagraph"/>
        <w:shd w:val="pct25" w:color="auto" w:fill="auto"/>
        <w:tabs>
          <w:tab w:val="left" w:pos="-720"/>
        </w:tabs>
        <w:suppressAutoHyphens/>
        <w:ind w:left="360"/>
      </w:pPr>
      <w:r>
        <w:t xml:space="preserve">     </w:t>
      </w:r>
      <w:r w:rsidRPr="008A0DCF">
        <w:t xml:space="preserve"> b.  If this request for approval covers more than one form, provide separate hour burden</w:t>
      </w:r>
      <w:r w:rsidR="00586080">
        <w:t xml:space="preserve"> </w:t>
      </w:r>
    </w:p>
    <w:p w:rsidR="00E27B63" w:rsidP="00E27B63" w:rsidRDefault="00586080">
      <w:pPr>
        <w:pStyle w:val="ListParagraph"/>
        <w:shd w:val="pct25" w:color="auto" w:fill="auto"/>
        <w:tabs>
          <w:tab w:val="left" w:pos="-720"/>
        </w:tabs>
        <w:suppressAutoHyphens/>
        <w:ind w:left="360"/>
      </w:pPr>
      <w:r>
        <w:t xml:space="preserve">  </w:t>
      </w:r>
      <w:r w:rsidRPr="008A0DCF" w:rsidR="00E27B63">
        <w:t xml:space="preserve"> </w:t>
      </w:r>
    </w:p>
    <w:p w:rsidR="00E27B63" w:rsidP="00E27B63" w:rsidRDefault="00E27B63">
      <w:pPr>
        <w:pStyle w:val="ListParagraph"/>
        <w:shd w:val="pct25" w:color="auto" w:fill="auto"/>
        <w:tabs>
          <w:tab w:val="left" w:pos="-720"/>
        </w:tabs>
        <w:suppressAutoHyphens/>
        <w:ind w:left="360"/>
      </w:pPr>
      <w:r>
        <w:t xml:space="preserve">      </w:t>
      </w:r>
      <w:r w:rsidR="00586080">
        <w:t xml:space="preserve">    </w:t>
      </w:r>
      <w:r w:rsidRPr="008A0DCF">
        <w:t xml:space="preserve">estimates for each form and aggregate the hour burdens in Item 13 of OMB Form 83-I. </w:t>
      </w:r>
    </w:p>
    <w:p w:rsidR="00586080" w:rsidP="00E27B63" w:rsidRDefault="00E27B63">
      <w:pPr>
        <w:pStyle w:val="ListParagraph"/>
        <w:shd w:val="pct25" w:color="auto" w:fill="auto"/>
        <w:tabs>
          <w:tab w:val="left" w:pos="-720"/>
        </w:tabs>
        <w:suppressAutoHyphens/>
        <w:ind w:left="360"/>
      </w:pPr>
      <w:r>
        <w:tab/>
      </w:r>
      <w:r w:rsidRPr="008A0DCF">
        <w:t xml:space="preserve">c.  Provide estimates of annualized cost to respondents for the hour burdens for </w:t>
      </w:r>
    </w:p>
    <w:p w:rsidR="00586080" w:rsidP="00586080" w:rsidRDefault="00586080">
      <w:pPr>
        <w:pStyle w:val="ListParagraph"/>
        <w:shd w:val="pct25" w:color="auto" w:fill="auto"/>
        <w:tabs>
          <w:tab w:val="left" w:pos="-720"/>
        </w:tabs>
        <w:suppressAutoHyphens/>
        <w:ind w:left="360"/>
      </w:pPr>
      <w:r>
        <w:t xml:space="preserve">           </w:t>
      </w:r>
      <w:r w:rsidRPr="008A0DCF" w:rsidR="00E27B63">
        <w:t xml:space="preserve">collections of information, identifying and using appropriate wage rate categories. The </w:t>
      </w:r>
      <w:r>
        <w:t xml:space="preserve"> </w:t>
      </w:r>
    </w:p>
    <w:p w:rsidR="00586080" w:rsidP="00586080" w:rsidRDefault="00586080">
      <w:pPr>
        <w:pStyle w:val="ListParagraph"/>
        <w:shd w:val="pct25" w:color="auto" w:fill="auto"/>
        <w:tabs>
          <w:tab w:val="left" w:pos="-720"/>
        </w:tabs>
        <w:suppressAutoHyphens/>
        <w:ind w:left="360"/>
      </w:pPr>
      <w:r>
        <w:t xml:space="preserve">           </w:t>
      </w:r>
      <w:r w:rsidRPr="008A0DCF" w:rsidR="00E27B63">
        <w:t xml:space="preserve">cost of contracting out or paying outside parties for information collection activities </w:t>
      </w:r>
    </w:p>
    <w:p w:rsidRPr="00741061" w:rsidR="00A10BE7" w:rsidP="00586080" w:rsidRDefault="00586080">
      <w:pPr>
        <w:pStyle w:val="ListParagraph"/>
        <w:shd w:val="pct25" w:color="auto" w:fill="auto"/>
        <w:tabs>
          <w:tab w:val="left" w:pos="-720"/>
        </w:tabs>
        <w:suppressAutoHyphens/>
        <w:ind w:left="360"/>
      </w:pPr>
      <w:r>
        <w:t xml:space="preserve">           </w:t>
      </w:r>
      <w:r w:rsidRPr="008A0DCF" w:rsidR="00E27B63">
        <w:t>should not be included here. Instead, this cost should be included in Item 14.</w:t>
      </w:r>
    </w:p>
    <w:p w:rsidR="00EE35E7" w:rsidP="00A10BE7" w:rsidRDefault="0077143B">
      <w:pPr>
        <w:spacing w:before="240"/>
        <w:ind w:left="720"/>
      </w:pPr>
      <w:r>
        <w:lastRenderedPageBreak/>
        <w:t xml:space="preserve">Approximately 150 responses from separated applicants are processed annually.  Of the 150 respondents, 75 are Civil Service Retirement System (SF 2803) and 75 are Federal Employees Retirement System (SF 3108). This information collection requires approximately 30 minutes filling out.  An estimated burden of 75 hours is required to complete this information collection. </w:t>
      </w:r>
      <w:r w:rsidRPr="00A10BE7" w:rsidR="00A10BE7">
        <w:t xml:space="preserve"> </w:t>
      </w:r>
      <w:r w:rsidR="00EE35E7">
        <w:br/>
      </w:r>
    </w:p>
    <w:tbl>
      <w:tblPr>
        <w:tblStyle w:val="TableGrid"/>
        <w:tblW w:w="0" w:type="auto"/>
        <w:tblInd w:w="720" w:type="dxa"/>
        <w:tblLook w:val="04A0" w:firstRow="1" w:lastRow="0" w:firstColumn="1" w:lastColumn="0" w:noHBand="0" w:noVBand="1"/>
      </w:tblPr>
      <w:tblGrid>
        <w:gridCol w:w="1117"/>
        <w:gridCol w:w="968"/>
        <w:gridCol w:w="1230"/>
        <w:gridCol w:w="1163"/>
        <w:gridCol w:w="1065"/>
        <w:gridCol w:w="940"/>
        <w:gridCol w:w="984"/>
        <w:gridCol w:w="1163"/>
      </w:tblGrid>
      <w:tr w:rsidR="00EF206F" w:rsidTr="004D7950">
        <w:trPr>
          <w:cantSplit/>
        </w:trPr>
        <w:tc>
          <w:tcPr>
            <w:tcW w:w="111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Name</w:t>
            </w:r>
          </w:p>
        </w:tc>
        <w:tc>
          <w:tcPr>
            <w:tcW w:w="968"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Respondents</w:t>
            </w:r>
          </w:p>
        </w:tc>
        <w:tc>
          <w:tcPr>
            <w:tcW w:w="1163"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Responses per Respondent</w:t>
            </w:r>
          </w:p>
        </w:tc>
        <w:tc>
          <w:tcPr>
            <w:tcW w:w="1065" w:type="dxa"/>
            <w:shd w:val="clear" w:color="auto" w:fill="D9D9D9" w:themeFill="background1" w:themeFillShade="D9"/>
          </w:tcPr>
          <w:p w:rsidRPr="008869F8" w:rsidR="00EE35E7" w:rsidP="002A25A7" w:rsidRDefault="00723DAF">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40"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84"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3"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EF206F" w:rsidTr="004D7950">
        <w:trPr>
          <w:cantSplit/>
        </w:trPr>
        <w:tc>
          <w:tcPr>
            <w:tcW w:w="1117" w:type="dxa"/>
          </w:tcPr>
          <w:p w:rsidR="00EF206F" w:rsidP="00EE35E7" w:rsidRDefault="00EF206F">
            <w:pPr>
              <w:spacing w:before="240"/>
              <w:rPr>
                <w:sz w:val="18"/>
                <w:szCs w:val="18"/>
              </w:rPr>
            </w:pPr>
            <w:r>
              <w:rPr>
                <w:sz w:val="18"/>
                <w:szCs w:val="18"/>
              </w:rPr>
              <w:t>Application to Make Deposit or Redeposit (CSRS)/</w:t>
            </w:r>
          </w:p>
          <w:p w:rsidRPr="008869F8" w:rsidR="00EE35E7" w:rsidP="00EE35E7" w:rsidRDefault="00EF206F">
            <w:pPr>
              <w:spacing w:before="240"/>
              <w:rPr>
                <w:sz w:val="18"/>
                <w:szCs w:val="18"/>
              </w:rPr>
            </w:pPr>
            <w:r>
              <w:rPr>
                <w:sz w:val="18"/>
                <w:szCs w:val="18"/>
              </w:rPr>
              <w:t>Application to Pay Military Deposit for Military Service Performed After 12/31/1956</w:t>
            </w:r>
          </w:p>
        </w:tc>
        <w:tc>
          <w:tcPr>
            <w:tcW w:w="968" w:type="dxa"/>
          </w:tcPr>
          <w:p w:rsidR="00EE35E7" w:rsidP="00EE35E7" w:rsidRDefault="00EF206F">
            <w:pPr>
              <w:spacing w:before="240"/>
              <w:rPr>
                <w:sz w:val="18"/>
                <w:szCs w:val="18"/>
              </w:rPr>
            </w:pPr>
            <w:r>
              <w:rPr>
                <w:sz w:val="18"/>
                <w:szCs w:val="18"/>
              </w:rPr>
              <w:t>SF 2803/</w:t>
            </w:r>
          </w:p>
          <w:p w:rsidR="00EF206F" w:rsidP="00EE35E7" w:rsidRDefault="00EF206F">
            <w:pPr>
              <w:spacing w:before="240"/>
              <w:rPr>
                <w:sz w:val="18"/>
                <w:szCs w:val="18"/>
              </w:rPr>
            </w:pPr>
          </w:p>
          <w:p w:rsidR="00EF206F" w:rsidP="00EE35E7" w:rsidRDefault="00EF206F">
            <w:pPr>
              <w:spacing w:before="240"/>
              <w:rPr>
                <w:sz w:val="18"/>
                <w:szCs w:val="18"/>
              </w:rPr>
            </w:pPr>
          </w:p>
          <w:p w:rsidRPr="008869F8" w:rsidR="00EF206F" w:rsidP="00EE35E7" w:rsidRDefault="00EF206F">
            <w:pPr>
              <w:spacing w:before="240"/>
              <w:rPr>
                <w:sz w:val="18"/>
                <w:szCs w:val="18"/>
              </w:rPr>
            </w:pPr>
            <w:r>
              <w:rPr>
                <w:sz w:val="18"/>
                <w:szCs w:val="18"/>
              </w:rPr>
              <w:t>SF 2803A</w:t>
            </w:r>
          </w:p>
        </w:tc>
        <w:tc>
          <w:tcPr>
            <w:tcW w:w="1230" w:type="dxa"/>
          </w:tcPr>
          <w:p w:rsidRPr="008869F8" w:rsidR="00EE35E7" w:rsidP="008869F8" w:rsidRDefault="00EF206F">
            <w:pPr>
              <w:spacing w:before="240"/>
              <w:jc w:val="right"/>
              <w:rPr>
                <w:sz w:val="18"/>
                <w:szCs w:val="18"/>
              </w:rPr>
            </w:pPr>
            <w:r>
              <w:rPr>
                <w:sz w:val="18"/>
                <w:szCs w:val="18"/>
              </w:rPr>
              <w:t>75</w:t>
            </w:r>
          </w:p>
        </w:tc>
        <w:tc>
          <w:tcPr>
            <w:tcW w:w="1163" w:type="dxa"/>
          </w:tcPr>
          <w:p w:rsidRPr="008869F8" w:rsidR="00EE35E7" w:rsidP="008869F8" w:rsidRDefault="008869F8">
            <w:pPr>
              <w:spacing w:before="240"/>
              <w:jc w:val="right"/>
              <w:rPr>
                <w:sz w:val="18"/>
                <w:szCs w:val="18"/>
              </w:rPr>
            </w:pPr>
            <w:r>
              <w:rPr>
                <w:sz w:val="18"/>
                <w:szCs w:val="18"/>
              </w:rPr>
              <w:t>1</w:t>
            </w:r>
          </w:p>
        </w:tc>
        <w:tc>
          <w:tcPr>
            <w:tcW w:w="1065" w:type="dxa"/>
          </w:tcPr>
          <w:p w:rsidRPr="008869F8" w:rsidR="00EE35E7" w:rsidP="008869F8" w:rsidRDefault="00E27B63">
            <w:pPr>
              <w:spacing w:before="240"/>
              <w:jc w:val="right"/>
              <w:rPr>
                <w:sz w:val="18"/>
                <w:szCs w:val="18"/>
              </w:rPr>
            </w:pPr>
            <w:r>
              <w:rPr>
                <w:sz w:val="18"/>
                <w:szCs w:val="18"/>
              </w:rPr>
              <w:t>.5</w:t>
            </w:r>
          </w:p>
        </w:tc>
        <w:tc>
          <w:tcPr>
            <w:tcW w:w="940" w:type="dxa"/>
          </w:tcPr>
          <w:p w:rsidRPr="008869F8" w:rsidR="00EE35E7" w:rsidP="008869F8" w:rsidRDefault="00EF206F">
            <w:pPr>
              <w:spacing w:before="240"/>
              <w:jc w:val="right"/>
              <w:rPr>
                <w:sz w:val="18"/>
                <w:szCs w:val="18"/>
              </w:rPr>
            </w:pPr>
            <w:r>
              <w:rPr>
                <w:sz w:val="18"/>
                <w:szCs w:val="18"/>
              </w:rPr>
              <w:t>37.5</w:t>
            </w:r>
          </w:p>
        </w:tc>
        <w:tc>
          <w:tcPr>
            <w:tcW w:w="984" w:type="dxa"/>
          </w:tcPr>
          <w:p w:rsidRPr="008869F8" w:rsidR="00EE35E7" w:rsidP="002A25A7" w:rsidRDefault="002A25A7">
            <w:pPr>
              <w:spacing w:before="240"/>
              <w:jc w:val="center"/>
              <w:rPr>
                <w:sz w:val="18"/>
                <w:szCs w:val="18"/>
              </w:rPr>
            </w:pPr>
            <w:r>
              <w:rPr>
                <w:sz w:val="18"/>
                <w:szCs w:val="18"/>
              </w:rPr>
              <w:t>$</w:t>
            </w:r>
            <w:r w:rsidR="006B4BBB">
              <w:rPr>
                <w:sz w:val="18"/>
                <w:szCs w:val="18"/>
              </w:rPr>
              <w:t>1</w:t>
            </w:r>
            <w:r w:rsidR="00433131">
              <w:rPr>
                <w:sz w:val="18"/>
                <w:szCs w:val="18"/>
              </w:rPr>
              <w:t>0</w:t>
            </w:r>
            <w:r w:rsidR="006B4BBB">
              <w:rPr>
                <w:sz w:val="18"/>
                <w:szCs w:val="18"/>
              </w:rPr>
              <w:t>.75</w:t>
            </w:r>
          </w:p>
        </w:tc>
        <w:tc>
          <w:tcPr>
            <w:tcW w:w="1163" w:type="dxa"/>
          </w:tcPr>
          <w:p w:rsidRPr="008869F8" w:rsidR="00EE35E7" w:rsidP="002A25A7" w:rsidRDefault="002A25A7">
            <w:pPr>
              <w:spacing w:before="240"/>
              <w:jc w:val="center"/>
              <w:rPr>
                <w:sz w:val="18"/>
                <w:szCs w:val="18"/>
              </w:rPr>
            </w:pPr>
            <w:r>
              <w:rPr>
                <w:sz w:val="18"/>
                <w:szCs w:val="18"/>
              </w:rPr>
              <w:t>$</w:t>
            </w:r>
            <w:r w:rsidR="008C11ED">
              <w:rPr>
                <w:sz w:val="18"/>
                <w:szCs w:val="18"/>
              </w:rPr>
              <w:t>1</w:t>
            </w:r>
            <w:r w:rsidR="004D7950">
              <w:rPr>
                <w:sz w:val="18"/>
                <w:szCs w:val="18"/>
              </w:rPr>
              <w:t>,</w:t>
            </w:r>
            <w:r w:rsidR="008C11ED">
              <w:rPr>
                <w:sz w:val="18"/>
                <w:szCs w:val="18"/>
              </w:rPr>
              <w:t>00</w:t>
            </w:r>
            <w:r w:rsidR="004D7950">
              <w:rPr>
                <w:sz w:val="18"/>
                <w:szCs w:val="18"/>
              </w:rPr>
              <w:t>7.81</w:t>
            </w:r>
          </w:p>
        </w:tc>
      </w:tr>
      <w:tr w:rsidR="00EF206F" w:rsidTr="004D7950">
        <w:trPr>
          <w:cantSplit/>
        </w:trPr>
        <w:tc>
          <w:tcPr>
            <w:tcW w:w="1117" w:type="dxa"/>
          </w:tcPr>
          <w:p w:rsidR="00EF206F" w:rsidP="00EE35E7" w:rsidRDefault="00EF206F">
            <w:pPr>
              <w:spacing w:before="240"/>
              <w:rPr>
                <w:sz w:val="18"/>
                <w:szCs w:val="18"/>
              </w:rPr>
            </w:pPr>
            <w:r>
              <w:rPr>
                <w:sz w:val="18"/>
                <w:szCs w:val="18"/>
              </w:rPr>
              <w:t>Application to Make Service Credit Payment for Civilian Service (FERS)/</w:t>
            </w:r>
          </w:p>
          <w:p w:rsidR="00EF206F" w:rsidP="00EE35E7" w:rsidRDefault="00EF206F">
            <w:pPr>
              <w:spacing w:before="240"/>
              <w:rPr>
                <w:sz w:val="18"/>
                <w:szCs w:val="18"/>
              </w:rPr>
            </w:pPr>
            <w:r>
              <w:rPr>
                <w:sz w:val="18"/>
                <w:szCs w:val="18"/>
              </w:rPr>
              <w:t>Application to Pay Military Deposit for Military Service Performed After 12/31/1956</w:t>
            </w:r>
          </w:p>
        </w:tc>
        <w:tc>
          <w:tcPr>
            <w:tcW w:w="968" w:type="dxa"/>
          </w:tcPr>
          <w:p w:rsidR="00EF206F" w:rsidP="00EE35E7" w:rsidRDefault="00EF206F">
            <w:pPr>
              <w:spacing w:before="240"/>
              <w:rPr>
                <w:sz w:val="18"/>
                <w:szCs w:val="18"/>
              </w:rPr>
            </w:pPr>
            <w:r>
              <w:rPr>
                <w:sz w:val="18"/>
                <w:szCs w:val="18"/>
              </w:rPr>
              <w:t>SF 3108</w:t>
            </w:r>
          </w:p>
          <w:p w:rsidR="00EF206F" w:rsidP="00EE35E7" w:rsidRDefault="00EF206F">
            <w:pPr>
              <w:spacing w:before="240"/>
              <w:rPr>
                <w:sz w:val="18"/>
                <w:szCs w:val="18"/>
              </w:rPr>
            </w:pPr>
          </w:p>
          <w:p w:rsidR="00EF206F" w:rsidP="00EE35E7" w:rsidRDefault="00EF206F">
            <w:pPr>
              <w:spacing w:before="240"/>
              <w:rPr>
                <w:sz w:val="18"/>
                <w:szCs w:val="18"/>
              </w:rPr>
            </w:pPr>
          </w:p>
          <w:p w:rsidR="00EF206F" w:rsidP="00EE35E7" w:rsidRDefault="00EF206F">
            <w:pPr>
              <w:spacing w:before="240"/>
              <w:rPr>
                <w:sz w:val="18"/>
                <w:szCs w:val="18"/>
              </w:rPr>
            </w:pPr>
          </w:p>
          <w:p w:rsidR="00EF206F" w:rsidP="00EE35E7" w:rsidRDefault="00EF206F">
            <w:pPr>
              <w:spacing w:before="240"/>
              <w:rPr>
                <w:sz w:val="18"/>
                <w:szCs w:val="18"/>
              </w:rPr>
            </w:pPr>
            <w:r>
              <w:rPr>
                <w:sz w:val="18"/>
                <w:szCs w:val="18"/>
              </w:rPr>
              <w:t>SF 3108A</w:t>
            </w:r>
          </w:p>
        </w:tc>
        <w:tc>
          <w:tcPr>
            <w:tcW w:w="1230" w:type="dxa"/>
          </w:tcPr>
          <w:p w:rsidR="00EF206F" w:rsidP="008869F8" w:rsidRDefault="00EF206F">
            <w:pPr>
              <w:spacing w:before="240"/>
              <w:jc w:val="right"/>
              <w:rPr>
                <w:sz w:val="18"/>
                <w:szCs w:val="18"/>
              </w:rPr>
            </w:pPr>
            <w:r>
              <w:rPr>
                <w:sz w:val="18"/>
                <w:szCs w:val="18"/>
              </w:rPr>
              <w:t>75</w:t>
            </w:r>
          </w:p>
        </w:tc>
        <w:tc>
          <w:tcPr>
            <w:tcW w:w="1163" w:type="dxa"/>
          </w:tcPr>
          <w:p w:rsidR="00EF206F" w:rsidP="008869F8" w:rsidRDefault="00EF206F">
            <w:pPr>
              <w:spacing w:before="240"/>
              <w:jc w:val="right"/>
              <w:rPr>
                <w:sz w:val="18"/>
                <w:szCs w:val="18"/>
              </w:rPr>
            </w:pPr>
            <w:r>
              <w:rPr>
                <w:sz w:val="18"/>
                <w:szCs w:val="18"/>
              </w:rPr>
              <w:t>1</w:t>
            </w:r>
          </w:p>
        </w:tc>
        <w:tc>
          <w:tcPr>
            <w:tcW w:w="1065" w:type="dxa"/>
          </w:tcPr>
          <w:p w:rsidR="00EF206F" w:rsidP="008869F8" w:rsidRDefault="00E27B63">
            <w:pPr>
              <w:spacing w:before="240"/>
              <w:jc w:val="right"/>
              <w:rPr>
                <w:sz w:val="18"/>
                <w:szCs w:val="18"/>
              </w:rPr>
            </w:pPr>
            <w:r>
              <w:rPr>
                <w:sz w:val="18"/>
                <w:szCs w:val="18"/>
              </w:rPr>
              <w:t>.5</w:t>
            </w:r>
          </w:p>
        </w:tc>
        <w:tc>
          <w:tcPr>
            <w:tcW w:w="940" w:type="dxa"/>
          </w:tcPr>
          <w:p w:rsidR="00EF206F" w:rsidP="008869F8" w:rsidRDefault="00EF206F">
            <w:pPr>
              <w:spacing w:before="240"/>
              <w:jc w:val="right"/>
              <w:rPr>
                <w:sz w:val="18"/>
                <w:szCs w:val="18"/>
              </w:rPr>
            </w:pPr>
            <w:r>
              <w:rPr>
                <w:sz w:val="18"/>
                <w:szCs w:val="18"/>
              </w:rPr>
              <w:t>37.5</w:t>
            </w:r>
          </w:p>
        </w:tc>
        <w:tc>
          <w:tcPr>
            <w:tcW w:w="984" w:type="dxa"/>
          </w:tcPr>
          <w:p w:rsidR="00EF206F" w:rsidP="002A25A7" w:rsidRDefault="00EF206F">
            <w:pPr>
              <w:spacing w:before="240"/>
              <w:jc w:val="center"/>
              <w:rPr>
                <w:sz w:val="18"/>
                <w:szCs w:val="18"/>
              </w:rPr>
            </w:pPr>
            <w:r>
              <w:rPr>
                <w:sz w:val="18"/>
                <w:szCs w:val="18"/>
              </w:rPr>
              <w:t>$</w:t>
            </w:r>
            <w:r w:rsidR="006B4BBB">
              <w:rPr>
                <w:sz w:val="18"/>
                <w:szCs w:val="18"/>
              </w:rPr>
              <w:t>1</w:t>
            </w:r>
            <w:r>
              <w:rPr>
                <w:sz w:val="18"/>
                <w:szCs w:val="18"/>
              </w:rPr>
              <w:t>0</w:t>
            </w:r>
            <w:r w:rsidR="006B4BBB">
              <w:rPr>
                <w:sz w:val="18"/>
                <w:szCs w:val="18"/>
              </w:rPr>
              <w:t>.75</w:t>
            </w:r>
          </w:p>
        </w:tc>
        <w:tc>
          <w:tcPr>
            <w:tcW w:w="1163" w:type="dxa"/>
          </w:tcPr>
          <w:p w:rsidR="00EF206F" w:rsidP="002A25A7" w:rsidRDefault="00EF206F">
            <w:pPr>
              <w:spacing w:before="240"/>
              <w:jc w:val="center"/>
              <w:rPr>
                <w:sz w:val="18"/>
                <w:szCs w:val="18"/>
              </w:rPr>
            </w:pPr>
            <w:r>
              <w:rPr>
                <w:sz w:val="18"/>
                <w:szCs w:val="18"/>
              </w:rPr>
              <w:t>$</w:t>
            </w:r>
            <w:r w:rsidR="004D7950">
              <w:rPr>
                <w:sz w:val="18"/>
                <w:szCs w:val="18"/>
              </w:rPr>
              <w:t>1,007.81</w:t>
            </w:r>
          </w:p>
        </w:tc>
      </w:tr>
    </w:tbl>
    <w:p w:rsidR="00EF206F" w:rsidP="00EF37E7" w:rsidRDefault="004D7950">
      <w:pPr>
        <w:spacing w:before="240"/>
        <w:ind w:left="720"/>
      </w:pPr>
      <w:r>
        <w:t>The Total Annual Respondent Cost is $2,015.62.</w:t>
      </w:r>
    </w:p>
    <w:p w:rsidR="00EF37E7" w:rsidP="00EF37E7" w:rsidRDefault="00EF37E7">
      <w:pPr>
        <w:spacing w:before="240"/>
        <w:ind w:left="720"/>
      </w:pPr>
    </w:p>
    <w:p w:rsidRPr="00741061" w:rsidR="00A10BE7" w:rsidP="00A10BE7" w:rsidRDefault="00A10BE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Pr="00741061" w:rsidR="00A10BE7" w:rsidP="00A10BE7" w:rsidRDefault="00A10BE7">
      <w:pPr>
        <w:pStyle w:val="ListParagraph"/>
        <w:shd w:val="pct25" w:color="auto" w:fill="auto"/>
        <w:tabs>
          <w:tab w:val="left" w:pos="-720"/>
        </w:tabs>
        <w:suppressAutoHyphens/>
      </w:pPr>
    </w:p>
    <w:p w:rsidRPr="00741061" w:rsidR="00A10BE7" w:rsidP="00A10BE7" w:rsidRDefault="00A10BE7">
      <w:pPr>
        <w:pStyle w:val="ListParagraph"/>
        <w:shd w:val="pct25" w:color="auto" w:fill="auto"/>
        <w:tabs>
          <w:tab w:val="left" w:pos="-720"/>
          <w:tab w:val="left" w:pos="810"/>
        </w:tabs>
        <w:suppressAutoHyphens/>
      </w:pPr>
      <w:r w:rsidRPr="00741061">
        <w:t>The cost estimate should be split into two components</w:t>
      </w:r>
      <w:proofErr w:type="gramStart"/>
      <w:r w:rsidRPr="00741061">
        <w:t>:  (</w:t>
      </w:r>
      <w:proofErr w:type="gramEnd"/>
      <w:r w:rsidRPr="00741061">
        <w:t xml:space="preserve">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w:t>
      </w:r>
      <w:r w:rsidRPr="00741061">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64767" w:rsidP="00964767" w:rsidRDefault="00964767">
      <w:pPr>
        <w:ind w:left="720"/>
      </w:pPr>
    </w:p>
    <w:p w:rsidR="00964767" w:rsidP="00964767" w:rsidRDefault="00933321">
      <w:pPr>
        <w:ind w:left="720"/>
      </w:pPr>
      <w:r>
        <w:t>There is no change in the respondent burden.</w:t>
      </w:r>
    </w:p>
    <w:p w:rsidR="00964767" w:rsidP="00964767" w:rsidRDefault="00964767">
      <w:pPr>
        <w:ind w:left="720"/>
      </w:pPr>
    </w:p>
    <w:p w:rsidR="00964767" w:rsidP="00964767" w:rsidRDefault="00964767">
      <w:pPr>
        <w:pStyle w:val="ListParagraph"/>
        <w:shd w:val="pct25" w:color="auto" w:fill="auto"/>
      </w:pPr>
      <w:r w:rsidRPr="00292796">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w:t>
      </w:r>
      <w:r>
        <w:t xml:space="preserve"> </w:t>
      </w:r>
      <w:r w:rsidRPr="00292796">
        <w:t>may also aggregate cost estimates for Items 12, 13, and 14 in a single table.</w:t>
      </w:r>
      <w:r w:rsidRPr="00292796">
        <w:tab/>
      </w:r>
    </w:p>
    <w:p w:rsidR="00964767" w:rsidP="00964767" w:rsidRDefault="00964767">
      <w:pPr>
        <w:ind w:left="720"/>
      </w:pPr>
    </w:p>
    <w:p w:rsidR="003F460E" w:rsidP="00964767" w:rsidRDefault="003F460E">
      <w:pPr>
        <w:ind w:left="720"/>
      </w:pPr>
      <w:r>
        <w:t>The annualized cost to the Federal government is $2,800.  This cost was determined by employee salary hours devoted to the program, forms cost, and overhead.</w:t>
      </w:r>
    </w:p>
    <w:p w:rsidR="00964767" w:rsidP="00964767" w:rsidRDefault="00964767">
      <w:pPr>
        <w:ind w:left="720"/>
      </w:pPr>
    </w:p>
    <w:p w:rsidRPr="00741061" w:rsidR="00A10BE7" w:rsidP="00A10BE7" w:rsidRDefault="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741061" w:rsidR="00A10BE7" w:rsidP="00A10BE7" w:rsidRDefault="00A10BE7">
      <w:pPr>
        <w:pStyle w:val="ListParagraph"/>
        <w:tabs>
          <w:tab w:val="left" w:pos="-720"/>
        </w:tabs>
        <w:suppressAutoHyphens/>
      </w:pPr>
    </w:p>
    <w:p w:rsidR="00A37239" w:rsidP="00A37239" w:rsidRDefault="00A37239">
      <w:pPr>
        <w:ind w:left="432" w:firstLine="288"/>
      </w:pPr>
      <w:r>
        <w:t xml:space="preserve">This information collection has been revised to update the following: (1) the display of </w:t>
      </w:r>
    </w:p>
    <w:p w:rsidR="00A37239" w:rsidP="00855BE7" w:rsidRDefault="00A37239">
      <w:pPr>
        <w:ind w:left="720"/>
      </w:pPr>
      <w:r>
        <w:t>the OMB control number, (2) the revision date</w:t>
      </w:r>
      <w:r w:rsidR="00855BE7">
        <w:t>,</w:t>
      </w:r>
      <w:r>
        <w:t xml:space="preserve"> (3)</w:t>
      </w:r>
      <w:r w:rsidR="00E214EE">
        <w:t xml:space="preserve"> </w:t>
      </w:r>
      <w:r w:rsidR="00EF37E7">
        <w:t>R</w:t>
      </w:r>
      <w:r w:rsidRPr="00E27B63" w:rsidR="00E214EE">
        <w:t>evised Privacy Act Statement</w:t>
      </w:r>
      <w:r w:rsidR="00EF37E7">
        <w:t>s</w:t>
      </w:r>
      <w:bookmarkStart w:name="_GoBack" w:id="2"/>
      <w:bookmarkEnd w:id="2"/>
      <w:r w:rsidRPr="00E27B63" w:rsidR="00E214EE">
        <w:t xml:space="preserve"> </w:t>
      </w:r>
      <w:r w:rsidR="00855BE7">
        <w:t>for</w:t>
      </w:r>
      <w:r w:rsidRPr="00E27B63" w:rsidR="00E214EE">
        <w:t xml:space="preserve"> SF 2803</w:t>
      </w:r>
      <w:r w:rsidR="00E214EE">
        <w:t xml:space="preserve">/SF 3108 (4) </w:t>
      </w:r>
      <w:r w:rsidRPr="00E27B63" w:rsidR="00E214EE">
        <w:t>Under Section B, questions regarding the type of retirement deduction and Social Security Number have been added.</w:t>
      </w:r>
      <w:r w:rsidR="00E214EE">
        <w:t xml:space="preserve"> (5) </w:t>
      </w:r>
      <w:r>
        <w:t xml:space="preserve">The Public Burden Statement meets the requirements of 5 CFR 1320.8(b)(3). </w:t>
      </w:r>
    </w:p>
    <w:p w:rsidR="00853CEA" w:rsidP="00853CEA" w:rsidRDefault="00853CEA">
      <w:pPr>
        <w:ind w:left="432" w:firstLine="288"/>
      </w:pPr>
    </w:p>
    <w:p w:rsidR="00A37239" w:rsidP="00E214EE" w:rsidRDefault="00E214EE">
      <w:pPr>
        <w:ind w:left="432"/>
      </w:pPr>
      <w:r>
        <w:t xml:space="preserve">    </w:t>
      </w:r>
      <w:r w:rsidR="00A37239">
        <w:t>There are no hour and cost burden changes.</w:t>
      </w:r>
    </w:p>
    <w:p w:rsidRPr="00741061" w:rsidR="00A10BE7" w:rsidP="00A10BE7" w:rsidRDefault="00A10BE7">
      <w:pPr>
        <w:pStyle w:val="ListParagraph"/>
        <w:tabs>
          <w:tab w:val="left" w:pos="-720"/>
        </w:tabs>
        <w:suppressAutoHyphens/>
      </w:pPr>
    </w:p>
    <w:p w:rsidRPr="00741061" w:rsidR="00A10BE7" w:rsidP="00A10BE7" w:rsidRDefault="00A10BE7">
      <w:pPr>
        <w:pStyle w:val="ListParagraph"/>
        <w:shd w:val="pct25" w:color="auto" w:fill="auto"/>
        <w:tabs>
          <w:tab w:val="left" w:pos="-720"/>
        </w:tabs>
        <w:suppressAutoHyphens/>
      </w:pPr>
      <w:r w:rsidRPr="00741061">
        <w:lastRenderedPageBreak/>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41061" w:rsidR="00A10BE7" w:rsidP="00A10BE7" w:rsidRDefault="00A10BE7">
      <w:pPr>
        <w:pStyle w:val="ListParagraph"/>
      </w:pPr>
    </w:p>
    <w:p w:rsidR="00A10BE7" w:rsidP="00A10BE7" w:rsidRDefault="00A10BE7">
      <w:pPr>
        <w:pStyle w:val="ListParagraph"/>
      </w:pPr>
      <w:r w:rsidRPr="00741061">
        <w:t>No information collected from the form will be published.</w:t>
      </w:r>
    </w:p>
    <w:p w:rsidRPr="00741061" w:rsidR="008D723B" w:rsidP="00A10BE7" w:rsidRDefault="008D723B">
      <w:pPr>
        <w:pStyle w:val="ListParagraph"/>
      </w:pPr>
    </w:p>
    <w:p w:rsidRPr="00741061" w:rsidR="00A10BE7" w:rsidP="00A10BE7" w:rsidRDefault="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6B4BBB" w:rsidP="006B4BBB" w:rsidRDefault="006B4BBB">
      <w:pPr>
        <w:ind w:left="720"/>
        <w:rPr>
          <w:szCs w:val="24"/>
        </w:rPr>
      </w:pPr>
    </w:p>
    <w:p w:rsidRPr="006B4BBB" w:rsidR="006B4BBB" w:rsidP="006B4BBB" w:rsidRDefault="006B4BBB">
      <w:pPr>
        <w:ind w:left="720"/>
        <w:rPr>
          <w:szCs w:val="24"/>
        </w:rPr>
      </w:pPr>
      <w:r w:rsidRPr="006B4BBB">
        <w:rPr>
          <w:szCs w:val="24"/>
        </w:rPr>
        <w:t xml:space="preserve">The Retirement Services program office is the lone processor of the data collected on these ICRs from approximately 2.8 million customers. The substance of each information </w:t>
      </w:r>
    </w:p>
    <w:p w:rsidRPr="006B4BBB" w:rsidR="006B4BBB" w:rsidP="006B4BBB" w:rsidRDefault="006B4BBB">
      <w:pPr>
        <w:ind w:left="720"/>
        <w:rPr>
          <w:szCs w:val="24"/>
        </w:rPr>
      </w:pPr>
      <w:r w:rsidRPr="006B4BBB">
        <w:rPr>
          <w:szCs w:val="24"/>
        </w:rPr>
        <w:t xml:space="preserve">collection does not substantively change at each OMB renewal cycle, but according to </w:t>
      </w:r>
    </w:p>
    <w:p w:rsidRPr="006B4BBB" w:rsidR="006B4BBB" w:rsidP="006B4BBB" w:rsidRDefault="006B4BBB">
      <w:pPr>
        <w:ind w:left="720"/>
        <w:rPr>
          <w:szCs w:val="24"/>
        </w:rPr>
      </w:pPr>
      <w:r w:rsidRPr="006B4BBB">
        <w:rPr>
          <w:szCs w:val="24"/>
        </w:rPr>
        <w:t>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w:t>
      </w:r>
      <w:r>
        <w:rPr>
          <w:szCs w:val="24"/>
        </w:rPr>
        <w:t xml:space="preserve"> </w:t>
      </w:r>
      <w:r w:rsidRPr="006B4BBB">
        <w:rPr>
          <w:szCs w:val="24"/>
        </w:rPr>
        <w:t>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w:t>
      </w:r>
      <w:r>
        <w:rPr>
          <w:szCs w:val="24"/>
        </w:rPr>
        <w:t>d</w:t>
      </w:r>
      <w:r w:rsidRPr="006B4BBB">
        <w:rPr>
          <w:szCs w:val="24"/>
        </w:rPr>
        <w:t xml:space="preserve">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pPr>
        <w:pStyle w:val="ListParagraph"/>
        <w:tabs>
          <w:tab w:val="left" w:pos="-720"/>
        </w:tabs>
        <w:suppressAutoHyphens/>
      </w:pPr>
    </w:p>
    <w:p w:rsidRPr="00741061" w:rsidR="00A10BE7" w:rsidP="00A10BE7" w:rsidRDefault="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P="00A10BE7" w:rsidRDefault="00A10BE7">
      <w:pPr>
        <w:spacing w:before="240"/>
        <w:ind w:left="720"/>
      </w:pPr>
      <w:r>
        <w:t>There are no exceptions to the certification statement.</w:t>
      </w:r>
    </w:p>
    <w:p w:rsidR="00A10BE7" w:rsidP="00A10BE7" w:rsidRDefault="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D6F89"/>
    <w:rsid w:val="00185F5C"/>
    <w:rsid w:val="002A25A7"/>
    <w:rsid w:val="002C1F76"/>
    <w:rsid w:val="002C52D2"/>
    <w:rsid w:val="002F6BAD"/>
    <w:rsid w:val="003016AB"/>
    <w:rsid w:val="00332AC9"/>
    <w:rsid w:val="003F0958"/>
    <w:rsid w:val="003F460E"/>
    <w:rsid w:val="00433131"/>
    <w:rsid w:val="00461DF9"/>
    <w:rsid w:val="00462684"/>
    <w:rsid w:val="004D7950"/>
    <w:rsid w:val="00513374"/>
    <w:rsid w:val="005472E4"/>
    <w:rsid w:val="00583F62"/>
    <w:rsid w:val="00586080"/>
    <w:rsid w:val="0066188C"/>
    <w:rsid w:val="00665692"/>
    <w:rsid w:val="006B4BBB"/>
    <w:rsid w:val="00704F4D"/>
    <w:rsid w:val="00723DAF"/>
    <w:rsid w:val="007323C2"/>
    <w:rsid w:val="00764F35"/>
    <w:rsid w:val="007678A9"/>
    <w:rsid w:val="0077143B"/>
    <w:rsid w:val="00785DBB"/>
    <w:rsid w:val="007D1502"/>
    <w:rsid w:val="007E0CA7"/>
    <w:rsid w:val="00853CEA"/>
    <w:rsid w:val="00855BE7"/>
    <w:rsid w:val="008869F8"/>
    <w:rsid w:val="008C11ED"/>
    <w:rsid w:val="008D723B"/>
    <w:rsid w:val="00933321"/>
    <w:rsid w:val="00964767"/>
    <w:rsid w:val="00993A7C"/>
    <w:rsid w:val="0099768D"/>
    <w:rsid w:val="009B7453"/>
    <w:rsid w:val="009F687E"/>
    <w:rsid w:val="00A10BE7"/>
    <w:rsid w:val="00A37239"/>
    <w:rsid w:val="00AF5686"/>
    <w:rsid w:val="00B86570"/>
    <w:rsid w:val="00BA1768"/>
    <w:rsid w:val="00BD1BA6"/>
    <w:rsid w:val="00BE2F13"/>
    <w:rsid w:val="00C34D5B"/>
    <w:rsid w:val="00C750B3"/>
    <w:rsid w:val="00E214EE"/>
    <w:rsid w:val="00E27B63"/>
    <w:rsid w:val="00E54E94"/>
    <w:rsid w:val="00EB14B8"/>
    <w:rsid w:val="00EE35E7"/>
    <w:rsid w:val="00EF206F"/>
    <w:rsid w:val="00EF37E7"/>
    <w:rsid w:val="00EF5963"/>
    <w:rsid w:val="00F03B3A"/>
    <w:rsid w:val="00F30321"/>
    <w:rsid w:val="00F60B26"/>
    <w:rsid w:val="00F9149F"/>
    <w:rsid w:val="00FA102C"/>
    <w:rsid w:val="00FC48AA"/>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719AD0A"/>
  <w15:docId w15:val="{8AAF1E6F-287C-4F42-9BC0-81E9569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2429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2</cp:revision>
  <cp:lastPrinted>2011-06-06T16:22:00Z</cp:lastPrinted>
  <dcterms:created xsi:type="dcterms:W3CDTF">2021-01-11T22:09:00Z</dcterms:created>
  <dcterms:modified xsi:type="dcterms:W3CDTF">2021-01-11T22:09:00Z</dcterms:modified>
</cp:coreProperties>
</file>