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231D8" w:rsidR="00D4252E" w:rsidP="00D4252E" w:rsidRDefault="0005295D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 w:rsidR="00D4252E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Pr="007231D8"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7231D8"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7231D8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231D8" w:rsidR="00522DBA" w:rsidP="00D4252E" w:rsidRDefault="00522DBA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hAnsi="Times New Roman" w:eastAsia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7231D8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A1703F" w:rsidP="5B64397A" w:rsidRDefault="5B64397A" w14:paraId="00246F64" w14:textId="786B6A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007231D8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201</w:t>
      </w:r>
      <w:r w:rsidRPr="007231D8" w:rsidR="001E65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independent estimates of population living in housing units on July 202</w:t>
      </w:r>
      <w:r w:rsidRPr="007231D8" w:rsidR="00D015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Pr="007231D8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Pr="007231D8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Pr="007231D8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2EF81118" w14:textId="70EA5B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occupied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housing unit estimates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based on the 201</w:t>
      </w:r>
      <w:r w:rsidRPr="007231D8" w:rsidR="001E65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estimates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 and</w:t>
      </w:r>
    </w:p>
    <w:p w:rsidRPr="007231D8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Pr="007231D8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13A51648" w14:textId="4935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 two-step </w:t>
      </w:r>
      <w:r w:rsidRPr="007231D8" w:rsidR="0097673D">
        <w:rPr>
          <w:rFonts w:ascii="Times New Roman" w:hAnsi="Times New Roman" w:cs="Times New Roman"/>
          <w:color w:val="000000"/>
          <w:sz w:val="24"/>
          <w:szCs w:val="24"/>
        </w:rPr>
        <w:t xml:space="preserve">iterative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raking procedure raking the demographics of the interviewed persons to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attainment/age/sex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distributions and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/age/sex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distributions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note that the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 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adjustments will be applied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as the first step In the raking procedure and the r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adjustment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 will be the second step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7231D8"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Pr="007231D8" w:rsidR="00C901F0" w:rsidP="00D4252E" w:rsidRDefault="00C901F0" w14:paraId="0655647A" w14:textId="548EBD1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Pr="007231D8" w:rsidR="00C901F0" w:rsidSect="007E4824">
      <w:headerReference w:type="default" r:id="rId10"/>
      <w:pgSz w:w="12240" w:h="16340"/>
      <w:pgMar w:top="1420" w:right="1212" w:bottom="888" w:left="13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F607" w14:textId="77777777" w:rsidR="00FC7DF6" w:rsidRDefault="00FC7DF6" w:rsidP="00D4252E">
      <w:pPr>
        <w:spacing w:after="0" w:line="240" w:lineRule="auto"/>
      </w:pPr>
      <w:r>
        <w:separator/>
      </w:r>
    </w:p>
  </w:endnote>
  <w:endnote w:type="continuationSeparator" w:id="0">
    <w:p w14:paraId="1C3AFA31" w14:textId="77777777" w:rsidR="00FC7DF6" w:rsidRDefault="00FC7DF6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E5EC" w14:textId="77777777" w:rsidR="00FC7DF6" w:rsidRDefault="00FC7DF6" w:rsidP="00D4252E">
      <w:pPr>
        <w:spacing w:after="0" w:line="240" w:lineRule="auto"/>
      </w:pPr>
      <w:r>
        <w:separator/>
      </w:r>
    </w:p>
  </w:footnote>
  <w:footnote w:type="continuationSeparator" w:id="0">
    <w:p w14:paraId="415BC22F" w14:textId="77777777" w:rsidR="00FC7DF6" w:rsidRDefault="00FC7DF6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5FAD" w14:textId="65A20A08" w:rsidR="002C6599" w:rsidRPr="002C6599" w:rsidRDefault="002C6599">
    <w:pPr>
      <w:pStyle w:val="Header"/>
      <w:rPr>
        <w:rFonts w:ascii="Times New Roman" w:hAnsi="Times New Roman" w:cs="Times New Roman"/>
        <w:sz w:val="24"/>
        <w:szCs w:val="24"/>
      </w:rPr>
    </w:pPr>
    <w:r w:rsidRPr="002C6599">
      <w:rPr>
        <w:rFonts w:ascii="Times New Roman" w:hAnsi="Times New Roman" w:cs="Times New Roman"/>
        <w:sz w:val="24"/>
        <w:szCs w:val="24"/>
      </w:rPr>
      <w:t>Household Pulse Survey Phase 3.</w:t>
    </w:r>
    <w:r w:rsidR="00E92849">
      <w:rPr>
        <w:rFonts w:ascii="Times New Roman" w:hAnsi="Times New Roman" w:cs="Times New Roman"/>
        <w:sz w:val="24"/>
        <w:szCs w:val="24"/>
      </w:rPr>
      <w:t>5</w:t>
    </w: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C6886"/>
    <w:rsid w:val="001E6508"/>
    <w:rsid w:val="00236328"/>
    <w:rsid w:val="00246636"/>
    <w:rsid w:val="002C6599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22DF6"/>
    <w:rsid w:val="007231D8"/>
    <w:rsid w:val="00774FFA"/>
    <w:rsid w:val="007866B5"/>
    <w:rsid w:val="007B61D3"/>
    <w:rsid w:val="007E327A"/>
    <w:rsid w:val="007F243E"/>
    <w:rsid w:val="00800C19"/>
    <w:rsid w:val="00815A38"/>
    <w:rsid w:val="008354A0"/>
    <w:rsid w:val="0087150D"/>
    <w:rsid w:val="00877453"/>
    <w:rsid w:val="00884F46"/>
    <w:rsid w:val="008B01E2"/>
    <w:rsid w:val="008B4107"/>
    <w:rsid w:val="00900663"/>
    <w:rsid w:val="00943637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015B8"/>
    <w:rsid w:val="00D4252E"/>
    <w:rsid w:val="00D44542"/>
    <w:rsid w:val="00D76F83"/>
    <w:rsid w:val="00D94E2B"/>
    <w:rsid w:val="00E20C01"/>
    <w:rsid w:val="00E522EC"/>
    <w:rsid w:val="00E92849"/>
    <w:rsid w:val="00EA299B"/>
    <w:rsid w:val="00F73449"/>
    <w:rsid w:val="00F845F3"/>
    <w:rsid w:val="00FC7DF6"/>
    <w:rsid w:val="5B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3AC8E-E037-4286-921F-A2A0F749C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C18F11-4857-4EE5-B6DB-52076518E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78825-44AD-4866-9FD5-AB539D0EA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Stephen G Kingsbury (CENSUS/ADDP FED)</cp:lastModifiedBy>
  <cp:revision>2</cp:revision>
  <dcterms:created xsi:type="dcterms:W3CDTF">2022-04-12T15:12:00Z</dcterms:created>
  <dcterms:modified xsi:type="dcterms:W3CDTF">2022-04-12T15:12:00Z</dcterms:modified>
</cp:coreProperties>
</file>