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2A81" w:rsidR="005367D0" w:rsidP="005367D0" w:rsidRDefault="005367D0" w14:paraId="2AC5B3EA"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Pr="00E12A81" w:rsidR="005367D0" w:rsidP="005367D0" w:rsidRDefault="005367D0" w14:paraId="7D93DA2B"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5367D0" w:rsidP="005367D0" w:rsidRDefault="000B2AA7" w14:paraId="2C258C5F" w14:textId="77777777">
      <w:pPr>
        <w:pStyle w:val="NoSpacing"/>
        <w:jc w:val="center"/>
        <w:rPr>
          <w:rFonts w:ascii="Calibri" w:hAnsi="Calibri" w:cs="Calibri"/>
          <w:b/>
          <w:sz w:val="24"/>
        </w:rPr>
      </w:pPr>
      <w:r>
        <w:rPr>
          <w:rFonts w:ascii="Calibri" w:hAnsi="Calibri" w:cs="Calibri"/>
          <w:b/>
          <w:sz w:val="24"/>
        </w:rPr>
        <w:t>U.S. Census Bureau</w:t>
      </w:r>
    </w:p>
    <w:p w:rsidRPr="000B2AA7" w:rsidR="005367D0" w:rsidP="005367D0" w:rsidRDefault="00E943C0" w14:paraId="3786EFF4" w14:textId="0099246C">
      <w:pPr>
        <w:pStyle w:val="NoSpacing"/>
        <w:jc w:val="center"/>
        <w:rPr>
          <w:rFonts w:ascii="Calibri" w:hAnsi="Calibri" w:cs="Calibri"/>
          <w:b/>
          <w:color w:val="FF0000"/>
          <w:sz w:val="24"/>
        </w:rPr>
      </w:pPr>
      <w:r>
        <w:rPr>
          <w:rFonts w:ascii="Calibri" w:hAnsi="Calibri" w:cs="Calibri"/>
          <w:b/>
          <w:sz w:val="24"/>
        </w:rPr>
        <w:t>Current Population Survey (CPS) School Enrollment Supplement</w:t>
      </w:r>
      <w:r w:rsidRPr="000B2AA7" w:rsidR="005367D0">
        <w:rPr>
          <w:rFonts w:ascii="Calibri" w:hAnsi="Calibri" w:cs="Calibri"/>
          <w:b/>
          <w:color w:val="FF0000"/>
          <w:sz w:val="24"/>
        </w:rPr>
        <w:t xml:space="preserve"> </w:t>
      </w:r>
    </w:p>
    <w:p w:rsidRPr="00E943C0" w:rsidR="005367D0" w:rsidP="005367D0" w:rsidRDefault="005367D0" w14:paraId="4EB03C81" w14:textId="7CE6447D">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E12A81">
        <w:rPr>
          <w:rFonts w:ascii="Calibri" w:hAnsi="Calibri" w:cs="Calibri"/>
          <w:b/>
          <w:sz w:val="24"/>
        </w:rPr>
        <w:t>-</w:t>
      </w:r>
      <w:r w:rsidR="00E943C0">
        <w:rPr>
          <w:rFonts w:ascii="Calibri" w:hAnsi="Calibri" w:cs="Calibri"/>
          <w:b/>
          <w:sz w:val="24"/>
        </w:rPr>
        <w:t>0464</w:t>
      </w:r>
    </w:p>
    <w:p w:rsidR="00B955B7" w:rsidP="00B955B7" w:rsidRDefault="00B955B7" w14:paraId="5A0E0B09" w14:textId="77777777">
      <w:pPr>
        <w:spacing w:before="80"/>
        <w:rPr>
          <w:rFonts w:ascii="Calibri" w:hAnsi="Calibri" w:cs="Calibri"/>
          <w:b/>
          <w:color w:val="FF0000"/>
          <w:sz w:val="24"/>
        </w:rPr>
      </w:pPr>
    </w:p>
    <w:p w:rsidRPr="00124446" w:rsidR="00B955B7" w:rsidP="00942196" w:rsidRDefault="00B955B7" w14:paraId="41D63740"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Pr="00124446" w:rsidR="00B955B7" w:rsidP="00942196" w:rsidRDefault="00B955B7" w14:paraId="26CC8B69" w14:textId="7777777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00E943C0" w:rsidP="00E943C0" w:rsidRDefault="00E943C0" w14:paraId="327F5B57"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00" w:firstLine="0"/>
        <w:rPr>
          <w:rFonts w:asciiTheme="minorHAnsi" w:hAnsiTheme="minorHAnsi"/>
          <w:color w:val="000000"/>
          <w:sz w:val="24"/>
          <w:szCs w:val="24"/>
        </w:rPr>
      </w:pPr>
    </w:p>
    <w:p w:rsidRPr="00E943C0" w:rsidR="00E943C0" w:rsidP="00E943C0" w:rsidRDefault="00E943C0" w14:paraId="4240A9B9" w14:textId="7A87C86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360" w:firstLine="90"/>
        <w:rPr>
          <w:rFonts w:asciiTheme="minorHAnsi" w:hAnsiTheme="minorHAnsi"/>
          <w:sz w:val="24"/>
          <w:szCs w:val="24"/>
        </w:rPr>
      </w:pPr>
      <w:r w:rsidRPr="00E943C0">
        <w:rPr>
          <w:rFonts w:asciiTheme="minorHAnsi" w:hAnsiTheme="minorHAnsi"/>
          <w:color w:val="000000"/>
          <w:sz w:val="24"/>
          <w:szCs w:val="24"/>
        </w:rPr>
        <w:t xml:space="preserve">We conduct the CPS School Enrollment Supplement in conjunction with the CPS, for which the universe is 126 million households.  From this universe, we select a sample of approximately 70,000 households each month, of which approximately 54,000 households are eligible for interview.  </w:t>
      </w:r>
      <w:r w:rsidRPr="00E943C0">
        <w:rPr>
          <w:rFonts w:asciiTheme="minorHAnsi" w:hAnsiTheme="minorHAnsi"/>
          <w:sz w:val="24"/>
          <w:szCs w:val="24"/>
        </w:rPr>
        <w:t>We ask the items in the October supplement, as appropriate, for members of these households.  We expect the response rate to be similar to that of October 20</w:t>
      </w:r>
      <w:r>
        <w:rPr>
          <w:rFonts w:asciiTheme="minorHAnsi" w:hAnsiTheme="minorHAnsi"/>
          <w:sz w:val="24"/>
          <w:szCs w:val="24"/>
        </w:rPr>
        <w:t>21</w:t>
      </w:r>
      <w:r w:rsidRPr="00E943C0">
        <w:rPr>
          <w:rFonts w:asciiTheme="minorHAnsi" w:hAnsiTheme="minorHAnsi"/>
          <w:sz w:val="24"/>
          <w:szCs w:val="24"/>
        </w:rPr>
        <w:t xml:space="preserve">, the most recent collection of school enrollment information.  </w:t>
      </w:r>
      <w:r w:rsidR="00D018A1">
        <w:rPr>
          <w:rFonts w:asciiTheme="minorHAnsi" w:hAnsiTheme="minorHAnsi"/>
          <w:sz w:val="24"/>
          <w:szCs w:val="24"/>
        </w:rPr>
        <w:t>To improve response rates in the future, the agency is planning to add an Internet mode option to its current</w:t>
      </w:r>
      <w:r w:rsidR="00776B92">
        <w:rPr>
          <w:rFonts w:asciiTheme="minorHAnsi" w:hAnsiTheme="minorHAnsi"/>
          <w:sz w:val="24"/>
          <w:szCs w:val="24"/>
        </w:rPr>
        <w:t xml:space="preserve"> computer-assisted interview mode.</w:t>
      </w:r>
      <w:r w:rsidR="00D018A1">
        <w:rPr>
          <w:rFonts w:asciiTheme="minorHAnsi" w:hAnsiTheme="minorHAnsi"/>
          <w:sz w:val="24"/>
          <w:szCs w:val="24"/>
        </w:rPr>
        <w:t xml:space="preserve"> </w:t>
      </w:r>
      <w:r w:rsidRPr="00E943C0">
        <w:rPr>
          <w:rFonts w:asciiTheme="minorHAnsi" w:hAnsiTheme="minorHAnsi"/>
          <w:sz w:val="24"/>
          <w:szCs w:val="24"/>
        </w:rPr>
        <w:t xml:space="preserve"> Historical response rates for the CPS when in conjunction with the CPS School Enrollment Supplement are given here:</w:t>
      </w:r>
    </w:p>
    <w:p w:rsidRPr="00E943C0" w:rsidR="00E943C0" w:rsidP="00E943C0" w:rsidRDefault="00E943C0" w14:paraId="45BBF520"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360" w:firstLine="90"/>
        <w:rPr>
          <w:rFonts w:asciiTheme="minorHAnsi" w:hAnsiTheme="minorHAnsi"/>
          <w:sz w:val="24"/>
          <w:szCs w:val="24"/>
        </w:rPr>
      </w:pPr>
      <w:r w:rsidRPr="00E943C0">
        <w:rPr>
          <w:rFonts w:asciiTheme="minorHAnsi" w:hAnsiTheme="minorHAnsi"/>
          <w:sz w:val="24"/>
          <w:szCs w:val="24"/>
        </w:rPr>
        <w:tab/>
      </w:r>
      <w:r w:rsidRPr="00E943C0">
        <w:rPr>
          <w:rFonts w:asciiTheme="minorHAnsi" w:hAnsiTheme="minorHAnsi"/>
          <w:sz w:val="24"/>
          <w:szCs w:val="24"/>
        </w:rPr>
        <w:tab/>
      </w:r>
      <w:r w:rsidRPr="00E943C0">
        <w:rPr>
          <w:rFonts w:asciiTheme="minorHAnsi" w:hAnsiTheme="minorHAnsi"/>
          <w:sz w:val="24"/>
          <w:szCs w:val="24"/>
        </w:rPr>
        <w:tab/>
      </w:r>
    </w:p>
    <w:p w:rsidRPr="00E943C0" w:rsidR="00E943C0" w:rsidP="00E943C0" w:rsidRDefault="00E943C0" w14:paraId="56B79B13"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360" w:firstLine="90"/>
        <w:rPr>
          <w:rFonts w:asciiTheme="minorHAnsi" w:hAnsiTheme="minorHAnsi"/>
          <w:sz w:val="24"/>
          <w:szCs w:val="24"/>
        </w:rPr>
      </w:pPr>
    </w:p>
    <w:tbl>
      <w:tblPr>
        <w:tblW w:w="0" w:type="auto"/>
        <w:jc w:val="center"/>
        <w:tblLayout w:type="fixed"/>
        <w:tblCellMar>
          <w:left w:w="62" w:type="dxa"/>
          <w:right w:w="62" w:type="dxa"/>
        </w:tblCellMar>
        <w:tblLook w:val="0000" w:firstRow="0" w:lastRow="0" w:firstColumn="0" w:lastColumn="0" w:noHBand="0" w:noVBand="0"/>
      </w:tblPr>
      <w:tblGrid>
        <w:gridCol w:w="1440"/>
        <w:gridCol w:w="1710"/>
      </w:tblGrid>
      <w:tr w:rsidRPr="00E943C0" w:rsidR="00E943C0" w:rsidTr="009A3C1B" w14:paraId="5495D51A" w14:textId="77777777">
        <w:trPr>
          <w:cantSplit/>
          <w:jc w:val="center"/>
        </w:trPr>
        <w:tc>
          <w:tcPr>
            <w:tcW w:w="1440" w:type="dxa"/>
            <w:tcBorders>
              <w:top w:val="double" w:color="000000" w:sz="8" w:space="0"/>
              <w:left w:val="double" w:color="000000" w:sz="8" w:space="0"/>
              <w:bottom w:val="double" w:color="000000" w:sz="8" w:space="0"/>
            </w:tcBorders>
            <w:vAlign w:val="center"/>
          </w:tcPr>
          <w:p w:rsidRPr="00E943C0" w:rsidR="00E943C0" w:rsidP="00E943C0" w:rsidRDefault="00E943C0" w14:paraId="5CC5088F" w14:textId="77777777">
            <w:pPr>
              <w:numPr>
                <w:ilvl w:val="12"/>
                <w:numId w:val="0"/>
              </w:numPr>
              <w:tabs>
                <w:tab w:val="left" w:pos="0"/>
                <w:tab w:val="left" w:pos="450"/>
                <w:tab w:val="left" w:pos="990"/>
                <w:tab w:val="left" w:pos="2160"/>
              </w:tabs>
              <w:spacing w:before="97" w:after="45"/>
              <w:ind w:left="360" w:firstLine="90"/>
              <w:jc w:val="center"/>
              <w:rPr>
                <w:rFonts w:asciiTheme="minorHAnsi" w:hAnsiTheme="minorHAnsi"/>
                <w:b/>
                <w:sz w:val="24"/>
                <w:szCs w:val="24"/>
              </w:rPr>
            </w:pPr>
            <w:r w:rsidRPr="00E943C0">
              <w:rPr>
                <w:rFonts w:asciiTheme="minorHAnsi" w:hAnsiTheme="minorHAnsi"/>
                <w:b/>
                <w:sz w:val="24"/>
                <w:szCs w:val="24"/>
              </w:rPr>
              <w:t>Supplement                                              Year</w:t>
            </w:r>
          </w:p>
        </w:tc>
        <w:tc>
          <w:tcPr>
            <w:tcW w:w="1710" w:type="dxa"/>
            <w:tcBorders>
              <w:top w:val="double" w:color="000000" w:sz="8" w:space="0"/>
              <w:left w:val="single" w:color="000000" w:sz="6" w:space="0"/>
              <w:bottom w:val="double" w:color="000000" w:sz="8" w:space="0"/>
              <w:right w:val="double" w:color="000000" w:sz="8" w:space="0"/>
            </w:tcBorders>
            <w:vAlign w:val="center"/>
          </w:tcPr>
          <w:p w:rsidRPr="00E943C0" w:rsidR="00E943C0" w:rsidP="00E943C0" w:rsidRDefault="00E943C0" w14:paraId="0DE63BEE" w14:textId="77777777">
            <w:pPr>
              <w:numPr>
                <w:ilvl w:val="12"/>
                <w:numId w:val="0"/>
              </w:numPr>
              <w:tabs>
                <w:tab w:val="left" w:pos="0"/>
                <w:tab w:val="left" w:pos="450"/>
                <w:tab w:val="left" w:pos="990"/>
              </w:tabs>
              <w:spacing w:before="97" w:after="45"/>
              <w:ind w:left="360" w:firstLine="90"/>
              <w:jc w:val="center"/>
              <w:rPr>
                <w:rFonts w:asciiTheme="minorHAnsi" w:hAnsiTheme="minorHAnsi"/>
                <w:b/>
                <w:sz w:val="24"/>
                <w:szCs w:val="24"/>
              </w:rPr>
            </w:pPr>
            <w:r w:rsidRPr="00E943C0">
              <w:rPr>
                <w:rFonts w:asciiTheme="minorHAnsi" w:hAnsiTheme="minorHAnsi"/>
                <w:b/>
                <w:sz w:val="24"/>
                <w:szCs w:val="24"/>
              </w:rPr>
              <w:t>Response               Rate</w:t>
            </w:r>
          </w:p>
        </w:tc>
      </w:tr>
      <w:tr w:rsidRPr="00E943C0" w:rsidR="00BD468B" w:rsidTr="00B600E5" w14:paraId="1683E264" w14:textId="77777777">
        <w:trPr>
          <w:cantSplit/>
          <w:jc w:val="center"/>
        </w:trPr>
        <w:tc>
          <w:tcPr>
            <w:tcW w:w="1440" w:type="dxa"/>
            <w:tcBorders>
              <w:top w:val="single" w:color="000000" w:sz="6" w:space="0"/>
              <w:left w:val="single" w:color="000000" w:sz="6" w:space="0"/>
              <w:bottom w:val="single" w:color="000000" w:sz="6" w:space="0"/>
            </w:tcBorders>
          </w:tcPr>
          <w:p w:rsidRPr="00E943C0" w:rsidR="00BD468B" w:rsidP="00E943C0" w:rsidRDefault="00BD468B" w14:paraId="131D36C4" w14:textId="7362BD60">
            <w:pPr>
              <w:numPr>
                <w:ilvl w:val="12"/>
                <w:numId w:val="0"/>
              </w:numPr>
              <w:tabs>
                <w:tab w:val="left" w:pos="0"/>
                <w:tab w:val="left" w:pos="450"/>
                <w:tab w:val="left" w:pos="990"/>
                <w:tab w:val="left" w:pos="2160"/>
              </w:tabs>
              <w:spacing w:before="97" w:after="45"/>
              <w:ind w:left="360" w:firstLine="90"/>
              <w:jc w:val="center"/>
              <w:rPr>
                <w:rFonts w:asciiTheme="minorHAnsi" w:hAnsiTheme="minorHAnsi"/>
                <w:sz w:val="24"/>
                <w:szCs w:val="24"/>
              </w:rPr>
            </w:pPr>
            <w:r w:rsidRPr="00E943C0">
              <w:rPr>
                <w:rFonts w:asciiTheme="minorHAnsi" w:hAnsiTheme="minorHAnsi"/>
                <w:sz w:val="24"/>
                <w:szCs w:val="24"/>
              </w:rPr>
              <w:t>2015</w:t>
            </w:r>
          </w:p>
        </w:tc>
        <w:tc>
          <w:tcPr>
            <w:tcW w:w="1710" w:type="dxa"/>
            <w:tcBorders>
              <w:top w:val="single" w:color="000000" w:sz="6" w:space="0"/>
              <w:left w:val="single" w:color="000000" w:sz="6" w:space="0"/>
              <w:bottom w:val="single" w:color="000000" w:sz="6" w:space="0"/>
              <w:right w:val="single" w:color="000000" w:sz="6" w:space="0"/>
            </w:tcBorders>
          </w:tcPr>
          <w:p w:rsidRPr="00E943C0" w:rsidR="00BD468B" w:rsidP="00E943C0" w:rsidRDefault="00BD468B" w14:paraId="62CABB64" w14:textId="596DA8BA">
            <w:pPr>
              <w:numPr>
                <w:ilvl w:val="12"/>
                <w:numId w:val="0"/>
              </w:numPr>
              <w:tabs>
                <w:tab w:val="left" w:pos="0"/>
                <w:tab w:val="left" w:pos="450"/>
                <w:tab w:val="left" w:pos="990"/>
              </w:tabs>
              <w:spacing w:before="97" w:after="45"/>
              <w:ind w:left="360" w:firstLine="90"/>
              <w:jc w:val="center"/>
              <w:rPr>
                <w:rFonts w:asciiTheme="minorHAnsi" w:hAnsiTheme="minorHAnsi"/>
                <w:sz w:val="24"/>
                <w:szCs w:val="24"/>
              </w:rPr>
            </w:pPr>
            <w:r w:rsidRPr="00E943C0">
              <w:rPr>
                <w:rFonts w:asciiTheme="minorHAnsi" w:hAnsiTheme="minorHAnsi"/>
                <w:sz w:val="24"/>
                <w:szCs w:val="24"/>
              </w:rPr>
              <w:t>87.1%</w:t>
            </w:r>
          </w:p>
        </w:tc>
      </w:tr>
      <w:tr w:rsidRPr="00E943C0" w:rsidR="00BD468B" w:rsidTr="00B600E5" w14:paraId="457CDC85" w14:textId="77777777">
        <w:trPr>
          <w:cantSplit/>
          <w:jc w:val="center"/>
        </w:trPr>
        <w:tc>
          <w:tcPr>
            <w:tcW w:w="1440" w:type="dxa"/>
            <w:tcBorders>
              <w:top w:val="single" w:color="000000" w:sz="6" w:space="0"/>
              <w:left w:val="single" w:color="000000" w:sz="6" w:space="0"/>
              <w:bottom w:val="single" w:color="000000" w:sz="6" w:space="0"/>
            </w:tcBorders>
          </w:tcPr>
          <w:p w:rsidRPr="00E943C0" w:rsidR="00BD468B" w:rsidP="00E943C0" w:rsidRDefault="00BD468B" w14:paraId="5C90E1DB" w14:textId="3B78E7F7">
            <w:pPr>
              <w:numPr>
                <w:ilvl w:val="12"/>
                <w:numId w:val="0"/>
              </w:numPr>
              <w:tabs>
                <w:tab w:val="left" w:pos="0"/>
                <w:tab w:val="left" w:pos="450"/>
                <w:tab w:val="left" w:pos="990"/>
                <w:tab w:val="left" w:pos="2160"/>
              </w:tabs>
              <w:spacing w:before="97" w:after="45"/>
              <w:ind w:left="360" w:firstLine="90"/>
              <w:jc w:val="center"/>
              <w:rPr>
                <w:rFonts w:asciiTheme="minorHAnsi" w:hAnsiTheme="minorHAnsi"/>
                <w:sz w:val="24"/>
                <w:szCs w:val="24"/>
              </w:rPr>
            </w:pPr>
            <w:r w:rsidRPr="00E943C0">
              <w:rPr>
                <w:rFonts w:asciiTheme="minorHAnsi" w:hAnsiTheme="minorHAnsi"/>
                <w:sz w:val="24"/>
                <w:szCs w:val="24"/>
              </w:rPr>
              <w:t>2016</w:t>
            </w:r>
          </w:p>
        </w:tc>
        <w:tc>
          <w:tcPr>
            <w:tcW w:w="1710" w:type="dxa"/>
            <w:tcBorders>
              <w:top w:val="single" w:color="000000" w:sz="6" w:space="0"/>
              <w:left w:val="single" w:color="000000" w:sz="6" w:space="0"/>
              <w:bottom w:val="single" w:color="000000" w:sz="6" w:space="0"/>
              <w:right w:val="single" w:color="000000" w:sz="6" w:space="0"/>
            </w:tcBorders>
          </w:tcPr>
          <w:p w:rsidRPr="00E943C0" w:rsidR="00BD468B" w:rsidP="00E943C0" w:rsidRDefault="00BD468B" w14:paraId="3D356BFF" w14:textId="5EEEBD23">
            <w:pPr>
              <w:numPr>
                <w:ilvl w:val="12"/>
                <w:numId w:val="0"/>
              </w:numPr>
              <w:tabs>
                <w:tab w:val="left" w:pos="0"/>
                <w:tab w:val="left" w:pos="450"/>
                <w:tab w:val="left" w:pos="990"/>
              </w:tabs>
              <w:spacing w:before="97" w:after="45"/>
              <w:ind w:left="360" w:firstLine="90"/>
              <w:jc w:val="center"/>
              <w:rPr>
                <w:rFonts w:asciiTheme="minorHAnsi" w:hAnsiTheme="minorHAnsi"/>
                <w:sz w:val="24"/>
                <w:szCs w:val="24"/>
              </w:rPr>
            </w:pPr>
            <w:r w:rsidRPr="00E943C0">
              <w:rPr>
                <w:rFonts w:asciiTheme="minorHAnsi" w:hAnsiTheme="minorHAnsi"/>
                <w:sz w:val="24"/>
                <w:szCs w:val="24"/>
              </w:rPr>
              <w:t>87.3%</w:t>
            </w:r>
          </w:p>
        </w:tc>
      </w:tr>
      <w:tr w:rsidRPr="00E943C0" w:rsidR="00BD468B" w:rsidTr="00B600E5" w14:paraId="23D7F5AF" w14:textId="77777777">
        <w:trPr>
          <w:cantSplit/>
          <w:jc w:val="center"/>
        </w:trPr>
        <w:tc>
          <w:tcPr>
            <w:tcW w:w="1440" w:type="dxa"/>
            <w:tcBorders>
              <w:top w:val="single" w:color="000000" w:sz="6" w:space="0"/>
              <w:left w:val="single" w:color="000000" w:sz="6" w:space="0"/>
              <w:bottom w:val="single" w:color="000000" w:sz="6" w:space="0"/>
            </w:tcBorders>
          </w:tcPr>
          <w:p w:rsidRPr="00E943C0" w:rsidR="00BD468B" w:rsidP="00E943C0" w:rsidRDefault="00BD468B" w14:paraId="6224ADB6" w14:textId="213E5AE5">
            <w:pPr>
              <w:numPr>
                <w:ilvl w:val="12"/>
                <w:numId w:val="0"/>
              </w:numPr>
              <w:tabs>
                <w:tab w:val="left" w:pos="0"/>
                <w:tab w:val="left" w:pos="450"/>
                <w:tab w:val="left" w:pos="990"/>
                <w:tab w:val="left" w:pos="2160"/>
              </w:tabs>
              <w:spacing w:before="97" w:after="45"/>
              <w:ind w:left="360" w:firstLine="90"/>
              <w:jc w:val="center"/>
              <w:rPr>
                <w:rFonts w:asciiTheme="minorHAnsi" w:hAnsiTheme="minorHAnsi"/>
                <w:sz w:val="24"/>
                <w:szCs w:val="24"/>
              </w:rPr>
            </w:pPr>
            <w:r w:rsidRPr="00E943C0">
              <w:rPr>
                <w:rFonts w:asciiTheme="minorHAnsi" w:hAnsiTheme="minorHAnsi"/>
                <w:sz w:val="24"/>
                <w:szCs w:val="24"/>
              </w:rPr>
              <w:t>2017</w:t>
            </w:r>
          </w:p>
        </w:tc>
        <w:tc>
          <w:tcPr>
            <w:tcW w:w="1710" w:type="dxa"/>
            <w:tcBorders>
              <w:top w:val="single" w:color="000000" w:sz="6" w:space="0"/>
              <w:left w:val="single" w:color="000000" w:sz="6" w:space="0"/>
              <w:bottom w:val="single" w:color="000000" w:sz="6" w:space="0"/>
              <w:right w:val="single" w:color="000000" w:sz="6" w:space="0"/>
            </w:tcBorders>
          </w:tcPr>
          <w:p w:rsidRPr="00E943C0" w:rsidR="00BD468B" w:rsidP="00E943C0" w:rsidRDefault="00BD468B" w14:paraId="3428FF53" w14:textId="07DAD231">
            <w:pPr>
              <w:numPr>
                <w:ilvl w:val="12"/>
                <w:numId w:val="0"/>
              </w:numPr>
              <w:tabs>
                <w:tab w:val="left" w:pos="0"/>
                <w:tab w:val="left" w:pos="450"/>
                <w:tab w:val="left" w:pos="990"/>
              </w:tabs>
              <w:spacing w:before="97" w:after="45"/>
              <w:ind w:left="360" w:firstLine="90"/>
              <w:jc w:val="center"/>
              <w:rPr>
                <w:rFonts w:asciiTheme="minorHAnsi" w:hAnsiTheme="minorHAnsi"/>
                <w:sz w:val="24"/>
                <w:szCs w:val="24"/>
              </w:rPr>
            </w:pPr>
            <w:r w:rsidRPr="00E943C0">
              <w:rPr>
                <w:rFonts w:asciiTheme="minorHAnsi" w:hAnsiTheme="minorHAnsi"/>
                <w:sz w:val="24"/>
                <w:szCs w:val="24"/>
              </w:rPr>
              <w:t>86.2%</w:t>
            </w:r>
          </w:p>
        </w:tc>
      </w:tr>
      <w:tr w:rsidRPr="00E943C0" w:rsidR="00BD468B" w:rsidTr="00B600E5" w14:paraId="7679A414" w14:textId="77777777">
        <w:trPr>
          <w:cantSplit/>
          <w:jc w:val="center"/>
        </w:trPr>
        <w:tc>
          <w:tcPr>
            <w:tcW w:w="1440" w:type="dxa"/>
            <w:tcBorders>
              <w:top w:val="single" w:color="000000" w:sz="6" w:space="0"/>
              <w:left w:val="single" w:color="000000" w:sz="6" w:space="0"/>
              <w:bottom w:val="single" w:color="000000" w:sz="6" w:space="0"/>
            </w:tcBorders>
          </w:tcPr>
          <w:p w:rsidRPr="00E943C0" w:rsidR="00BD468B" w:rsidP="00E943C0" w:rsidRDefault="00BD468B" w14:paraId="2EF90EF2" w14:textId="25DE0EA3">
            <w:pPr>
              <w:numPr>
                <w:ilvl w:val="12"/>
                <w:numId w:val="0"/>
              </w:numPr>
              <w:tabs>
                <w:tab w:val="left" w:pos="0"/>
                <w:tab w:val="left" w:pos="450"/>
                <w:tab w:val="left" w:pos="990"/>
                <w:tab w:val="left" w:pos="2160"/>
              </w:tabs>
              <w:spacing w:before="97" w:after="45"/>
              <w:ind w:left="360" w:firstLine="90"/>
              <w:jc w:val="center"/>
              <w:rPr>
                <w:rFonts w:asciiTheme="minorHAnsi" w:hAnsiTheme="minorHAnsi"/>
                <w:sz w:val="24"/>
                <w:szCs w:val="24"/>
              </w:rPr>
            </w:pPr>
            <w:r w:rsidRPr="00E943C0">
              <w:rPr>
                <w:rFonts w:asciiTheme="minorHAnsi" w:hAnsiTheme="minorHAnsi"/>
                <w:sz w:val="24"/>
                <w:szCs w:val="24"/>
              </w:rPr>
              <w:t>2018</w:t>
            </w:r>
          </w:p>
        </w:tc>
        <w:tc>
          <w:tcPr>
            <w:tcW w:w="1710" w:type="dxa"/>
            <w:tcBorders>
              <w:top w:val="single" w:color="000000" w:sz="6" w:space="0"/>
              <w:left w:val="single" w:color="000000" w:sz="6" w:space="0"/>
              <w:bottom w:val="single" w:color="000000" w:sz="6" w:space="0"/>
              <w:right w:val="single" w:color="000000" w:sz="6" w:space="0"/>
            </w:tcBorders>
          </w:tcPr>
          <w:p w:rsidRPr="00E943C0" w:rsidR="00BD468B" w:rsidP="00E943C0" w:rsidRDefault="00BD468B" w14:paraId="23BF219F" w14:textId="70E18076">
            <w:pPr>
              <w:numPr>
                <w:ilvl w:val="12"/>
                <w:numId w:val="0"/>
              </w:numPr>
              <w:tabs>
                <w:tab w:val="left" w:pos="0"/>
                <w:tab w:val="left" w:pos="450"/>
                <w:tab w:val="left" w:pos="990"/>
              </w:tabs>
              <w:spacing w:before="97" w:after="45"/>
              <w:ind w:left="360" w:firstLine="90"/>
              <w:jc w:val="center"/>
              <w:rPr>
                <w:rFonts w:asciiTheme="minorHAnsi" w:hAnsiTheme="minorHAnsi"/>
                <w:sz w:val="24"/>
                <w:szCs w:val="24"/>
              </w:rPr>
            </w:pPr>
            <w:r w:rsidRPr="00E943C0">
              <w:rPr>
                <w:rFonts w:asciiTheme="minorHAnsi" w:hAnsiTheme="minorHAnsi"/>
                <w:sz w:val="24"/>
                <w:szCs w:val="24"/>
              </w:rPr>
              <w:t>84.</w:t>
            </w:r>
            <w:r>
              <w:rPr>
                <w:rFonts w:asciiTheme="minorHAnsi" w:hAnsiTheme="minorHAnsi"/>
                <w:sz w:val="24"/>
                <w:szCs w:val="24"/>
              </w:rPr>
              <w:t>8</w:t>
            </w:r>
            <w:r w:rsidRPr="00E943C0">
              <w:rPr>
                <w:rFonts w:asciiTheme="minorHAnsi" w:hAnsiTheme="minorHAnsi"/>
                <w:sz w:val="24"/>
                <w:szCs w:val="24"/>
              </w:rPr>
              <w:t>%</w:t>
            </w:r>
          </w:p>
        </w:tc>
      </w:tr>
      <w:tr w:rsidRPr="00E943C0" w:rsidR="00BD468B" w:rsidTr="00B600E5" w14:paraId="69D77ED6" w14:textId="77777777">
        <w:trPr>
          <w:cantSplit/>
          <w:jc w:val="center"/>
        </w:trPr>
        <w:tc>
          <w:tcPr>
            <w:tcW w:w="1440" w:type="dxa"/>
            <w:tcBorders>
              <w:top w:val="single" w:color="000000" w:sz="6" w:space="0"/>
              <w:left w:val="single" w:color="000000" w:sz="6" w:space="0"/>
              <w:bottom w:val="single" w:color="000000" w:sz="6" w:space="0"/>
            </w:tcBorders>
          </w:tcPr>
          <w:p w:rsidRPr="00E943C0" w:rsidR="00BD468B" w:rsidP="00E943C0" w:rsidRDefault="00BD468B" w14:paraId="339892DF" w14:textId="11289249">
            <w:pPr>
              <w:numPr>
                <w:ilvl w:val="12"/>
                <w:numId w:val="0"/>
              </w:numPr>
              <w:tabs>
                <w:tab w:val="left" w:pos="0"/>
                <w:tab w:val="left" w:pos="450"/>
                <w:tab w:val="left" w:pos="990"/>
                <w:tab w:val="left" w:pos="2160"/>
              </w:tabs>
              <w:spacing w:before="97" w:after="45"/>
              <w:ind w:left="360" w:firstLine="90"/>
              <w:jc w:val="center"/>
              <w:rPr>
                <w:rFonts w:asciiTheme="minorHAnsi" w:hAnsiTheme="minorHAnsi"/>
                <w:sz w:val="24"/>
                <w:szCs w:val="24"/>
              </w:rPr>
            </w:pPr>
            <w:r>
              <w:rPr>
                <w:rFonts w:asciiTheme="minorHAnsi" w:hAnsiTheme="minorHAnsi"/>
                <w:sz w:val="24"/>
                <w:szCs w:val="24"/>
              </w:rPr>
              <w:t>2019</w:t>
            </w:r>
          </w:p>
        </w:tc>
        <w:tc>
          <w:tcPr>
            <w:tcW w:w="1710" w:type="dxa"/>
            <w:tcBorders>
              <w:top w:val="single" w:color="000000" w:sz="6" w:space="0"/>
              <w:left w:val="single" w:color="000000" w:sz="6" w:space="0"/>
              <w:bottom w:val="single" w:color="000000" w:sz="6" w:space="0"/>
              <w:right w:val="single" w:color="000000" w:sz="6" w:space="0"/>
            </w:tcBorders>
          </w:tcPr>
          <w:p w:rsidRPr="00E943C0" w:rsidR="00BD468B" w:rsidP="00E943C0" w:rsidRDefault="00BD468B" w14:paraId="7F47355F" w14:textId="5DDA7928">
            <w:pPr>
              <w:numPr>
                <w:ilvl w:val="12"/>
                <w:numId w:val="0"/>
              </w:numPr>
              <w:tabs>
                <w:tab w:val="left" w:pos="0"/>
                <w:tab w:val="left" w:pos="450"/>
                <w:tab w:val="left" w:pos="990"/>
              </w:tabs>
              <w:spacing w:before="97" w:after="45"/>
              <w:ind w:left="360" w:firstLine="90"/>
              <w:jc w:val="center"/>
              <w:rPr>
                <w:rFonts w:asciiTheme="minorHAnsi" w:hAnsiTheme="minorHAnsi"/>
                <w:sz w:val="24"/>
                <w:szCs w:val="24"/>
              </w:rPr>
            </w:pPr>
            <w:r>
              <w:rPr>
                <w:rFonts w:asciiTheme="minorHAnsi" w:hAnsiTheme="minorHAnsi"/>
                <w:sz w:val="24"/>
                <w:szCs w:val="24"/>
              </w:rPr>
              <w:t>83.2%</w:t>
            </w:r>
          </w:p>
        </w:tc>
      </w:tr>
      <w:tr w:rsidRPr="00E943C0" w:rsidR="00BD468B" w:rsidTr="00B600E5" w14:paraId="01742F00" w14:textId="77777777">
        <w:trPr>
          <w:cantSplit/>
          <w:jc w:val="center"/>
        </w:trPr>
        <w:tc>
          <w:tcPr>
            <w:tcW w:w="1440" w:type="dxa"/>
            <w:tcBorders>
              <w:top w:val="single" w:color="000000" w:sz="6" w:space="0"/>
              <w:left w:val="single" w:color="000000" w:sz="6" w:space="0"/>
              <w:bottom w:val="single" w:color="000000" w:sz="6" w:space="0"/>
            </w:tcBorders>
          </w:tcPr>
          <w:p w:rsidRPr="00E943C0" w:rsidR="00BD468B" w:rsidP="00E943C0" w:rsidRDefault="00BD468B" w14:paraId="0B29C55E" w14:textId="22C3B2BA">
            <w:pPr>
              <w:numPr>
                <w:ilvl w:val="12"/>
                <w:numId w:val="0"/>
              </w:numPr>
              <w:tabs>
                <w:tab w:val="left" w:pos="0"/>
                <w:tab w:val="left" w:pos="450"/>
                <w:tab w:val="left" w:pos="990"/>
                <w:tab w:val="left" w:pos="2160"/>
              </w:tabs>
              <w:spacing w:before="97" w:after="45"/>
              <w:ind w:left="360" w:firstLine="90"/>
              <w:jc w:val="center"/>
              <w:rPr>
                <w:rFonts w:asciiTheme="minorHAnsi" w:hAnsiTheme="minorHAnsi"/>
                <w:sz w:val="24"/>
                <w:szCs w:val="24"/>
              </w:rPr>
            </w:pPr>
            <w:r>
              <w:rPr>
                <w:rFonts w:asciiTheme="minorHAnsi" w:hAnsiTheme="minorHAnsi"/>
                <w:sz w:val="24"/>
                <w:szCs w:val="24"/>
              </w:rPr>
              <w:t>2020</w:t>
            </w:r>
          </w:p>
        </w:tc>
        <w:tc>
          <w:tcPr>
            <w:tcW w:w="1710" w:type="dxa"/>
            <w:tcBorders>
              <w:top w:val="single" w:color="000000" w:sz="6" w:space="0"/>
              <w:left w:val="single" w:color="000000" w:sz="6" w:space="0"/>
              <w:bottom w:val="single" w:color="000000" w:sz="6" w:space="0"/>
              <w:right w:val="single" w:color="000000" w:sz="6" w:space="0"/>
            </w:tcBorders>
          </w:tcPr>
          <w:p w:rsidRPr="00E943C0" w:rsidR="00BD468B" w:rsidP="00E943C0" w:rsidRDefault="00BD468B" w14:paraId="5C8550A8" w14:textId="01241D9A">
            <w:pPr>
              <w:numPr>
                <w:ilvl w:val="12"/>
                <w:numId w:val="0"/>
              </w:numPr>
              <w:tabs>
                <w:tab w:val="left" w:pos="0"/>
                <w:tab w:val="left" w:pos="450"/>
                <w:tab w:val="left" w:pos="990"/>
              </w:tabs>
              <w:spacing w:before="97" w:after="45"/>
              <w:ind w:left="360" w:firstLine="90"/>
              <w:jc w:val="center"/>
              <w:rPr>
                <w:rFonts w:asciiTheme="minorHAnsi" w:hAnsiTheme="minorHAnsi"/>
                <w:sz w:val="24"/>
                <w:szCs w:val="24"/>
              </w:rPr>
            </w:pPr>
            <w:r>
              <w:rPr>
                <w:rFonts w:asciiTheme="minorHAnsi" w:hAnsiTheme="minorHAnsi"/>
                <w:sz w:val="24"/>
                <w:szCs w:val="24"/>
              </w:rPr>
              <w:t>81.3%</w:t>
            </w:r>
          </w:p>
        </w:tc>
      </w:tr>
      <w:tr w:rsidRPr="00E943C0" w:rsidR="00BD468B" w:rsidTr="00B600E5" w14:paraId="0319D2B7" w14:textId="77777777">
        <w:trPr>
          <w:cantSplit/>
          <w:jc w:val="center"/>
        </w:trPr>
        <w:tc>
          <w:tcPr>
            <w:tcW w:w="1440" w:type="dxa"/>
            <w:tcBorders>
              <w:top w:val="single" w:color="000000" w:sz="6" w:space="0"/>
              <w:left w:val="single" w:color="000000" w:sz="6" w:space="0"/>
              <w:bottom w:val="single" w:color="000000" w:sz="6" w:space="0"/>
            </w:tcBorders>
          </w:tcPr>
          <w:p w:rsidRPr="00E943C0" w:rsidR="00BD468B" w:rsidP="00E943C0" w:rsidRDefault="00BD468B" w14:paraId="613BD10A" w14:textId="5847E6CA">
            <w:pPr>
              <w:numPr>
                <w:ilvl w:val="12"/>
                <w:numId w:val="0"/>
              </w:numPr>
              <w:tabs>
                <w:tab w:val="left" w:pos="0"/>
                <w:tab w:val="left" w:pos="450"/>
                <w:tab w:val="left" w:pos="990"/>
                <w:tab w:val="left" w:pos="2160"/>
              </w:tabs>
              <w:spacing w:before="97" w:after="45"/>
              <w:ind w:left="360" w:firstLine="90"/>
              <w:jc w:val="center"/>
              <w:rPr>
                <w:rFonts w:asciiTheme="minorHAnsi" w:hAnsiTheme="minorHAnsi"/>
                <w:sz w:val="24"/>
                <w:szCs w:val="24"/>
              </w:rPr>
            </w:pPr>
            <w:r>
              <w:rPr>
                <w:rFonts w:asciiTheme="minorHAnsi" w:hAnsiTheme="minorHAnsi"/>
                <w:sz w:val="24"/>
                <w:szCs w:val="24"/>
              </w:rPr>
              <w:t>2021</w:t>
            </w:r>
          </w:p>
        </w:tc>
        <w:tc>
          <w:tcPr>
            <w:tcW w:w="1710" w:type="dxa"/>
            <w:tcBorders>
              <w:top w:val="single" w:color="000000" w:sz="6" w:space="0"/>
              <w:left w:val="single" w:color="000000" w:sz="6" w:space="0"/>
              <w:bottom w:val="single" w:color="000000" w:sz="6" w:space="0"/>
              <w:right w:val="single" w:color="000000" w:sz="6" w:space="0"/>
            </w:tcBorders>
          </w:tcPr>
          <w:p w:rsidRPr="00E943C0" w:rsidR="00BD468B" w:rsidP="00E943C0" w:rsidRDefault="00BD468B" w14:paraId="4ECF55C2" w14:textId="05469199">
            <w:pPr>
              <w:numPr>
                <w:ilvl w:val="12"/>
                <w:numId w:val="0"/>
              </w:numPr>
              <w:tabs>
                <w:tab w:val="left" w:pos="0"/>
                <w:tab w:val="left" w:pos="450"/>
                <w:tab w:val="left" w:pos="990"/>
              </w:tabs>
              <w:spacing w:before="97" w:after="45"/>
              <w:ind w:left="360" w:firstLine="90"/>
              <w:jc w:val="center"/>
              <w:rPr>
                <w:rFonts w:asciiTheme="minorHAnsi" w:hAnsiTheme="minorHAnsi"/>
                <w:sz w:val="24"/>
                <w:szCs w:val="24"/>
              </w:rPr>
            </w:pPr>
            <w:r>
              <w:rPr>
                <w:rFonts w:asciiTheme="minorHAnsi" w:hAnsiTheme="minorHAnsi"/>
                <w:sz w:val="24"/>
                <w:szCs w:val="24"/>
              </w:rPr>
              <w:t>75.9</w:t>
            </w:r>
            <w:r w:rsidR="00D018A1">
              <w:rPr>
                <w:rFonts w:asciiTheme="minorHAnsi" w:hAnsiTheme="minorHAnsi"/>
                <w:sz w:val="24"/>
                <w:szCs w:val="24"/>
              </w:rPr>
              <w:t>%</w:t>
            </w:r>
          </w:p>
        </w:tc>
      </w:tr>
    </w:tbl>
    <w:p w:rsidRPr="00E943C0" w:rsidR="00942196" w:rsidP="00E943C0" w:rsidRDefault="00942196" w14:paraId="5DB4BE34" w14:textId="7B31D592">
      <w:pPr>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b/>
          <w:bCs/>
          <w:color w:val="0000FF"/>
        </w:rPr>
      </w:pPr>
    </w:p>
    <w:p w:rsidRPr="00A057FA" w:rsidR="00A057FA" w:rsidP="00A63C05" w:rsidRDefault="00A057FA" w14:paraId="79F1C600" w14:textId="77777777">
      <w:pPr>
        <w:spacing w:before="161"/>
        <w:ind w:left="400" w:right="362"/>
        <w:rPr>
          <w:rFonts w:ascii="Calibri" w:hAnsi="Calibri" w:cs="Calibri"/>
          <w:b/>
          <w:color w:val="FF0000"/>
          <w:sz w:val="24"/>
        </w:rPr>
      </w:pPr>
    </w:p>
    <w:p w:rsidRPr="00A63C05" w:rsidR="00B955B7" w:rsidP="00942196" w:rsidRDefault="00B955B7" w14:paraId="4B45EA88"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Pr="00442F57" w:rsidR="00B955B7" w:rsidP="00B955B7" w:rsidRDefault="00B955B7" w14:paraId="5443390C"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Pr="00442F57" w:rsidR="00B955B7" w:rsidP="00B955B7" w:rsidRDefault="00B955B7" w14:paraId="31F072CD"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Pr="00442F57" w:rsidR="00B955B7" w:rsidP="00B955B7" w:rsidRDefault="00B955B7" w14:paraId="7070FC75"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Pr="00442F57" w:rsidR="00B955B7" w:rsidP="00B955B7" w:rsidRDefault="00B955B7" w14:paraId="39921A7A"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Pr="00442F57" w:rsidR="00B955B7" w:rsidP="00B955B7" w:rsidRDefault="00B955B7" w14:paraId="350E8B78"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Pr="00776B92" w:rsidR="00A057FA" w:rsidP="00A057FA" w:rsidRDefault="00776B92" w14:paraId="21582AC0" w14:textId="1BCFE58C">
      <w:pPr>
        <w:spacing w:before="161"/>
        <w:ind w:left="400" w:right="362"/>
        <w:rPr>
          <w:rFonts w:cs="Calibri" w:asciiTheme="minorHAnsi" w:hAnsiTheme="minorHAnsi"/>
          <w:bCs/>
          <w:sz w:val="24"/>
          <w:szCs w:val="24"/>
        </w:rPr>
      </w:pPr>
      <w:r w:rsidRPr="00776B92">
        <w:rPr>
          <w:rFonts w:asciiTheme="minorHAnsi" w:hAnsiTheme="minorHAnsi"/>
          <w:sz w:val="24"/>
          <w:szCs w:val="24"/>
        </w:rPr>
        <w:t xml:space="preserve">The School Enrollment Supplement is a supplemental survey associated with the CPS in October.  Attachment E gives an overview of the CPS sample design, weighting methodology and response rates.  The statistical properties of these supplemental items will fall within those associated with the CPS.  </w:t>
      </w:r>
    </w:p>
    <w:p w:rsidRPr="00942196" w:rsidR="00942196" w:rsidP="00B955B7" w:rsidRDefault="00942196" w14:paraId="4E6CD0E1" w14:textId="77777777">
      <w:pPr>
        <w:pStyle w:val="BodyText"/>
        <w:spacing w:before="221" w:line="259" w:lineRule="auto"/>
        <w:ind w:right="340"/>
        <w:rPr>
          <w:rFonts w:ascii="Calibri" w:hAnsi="Calibri" w:cs="Calibri"/>
          <w:color w:val="0070C0"/>
        </w:rPr>
      </w:pPr>
    </w:p>
    <w:p w:rsidRPr="00124446" w:rsidR="00B955B7" w:rsidP="00942196" w:rsidRDefault="00B955B7" w14:paraId="3F962C5E"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Pr="00183D89" w:rsidR="00183D89" w:rsidP="00183D89" w:rsidRDefault="00183D89" w14:paraId="6201AED5" w14:textId="362AFDB1">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hanging="50"/>
        <w:rPr>
          <w:rFonts w:asciiTheme="minorHAnsi" w:hAnsiTheme="minorHAnsi"/>
          <w:sz w:val="24"/>
          <w:szCs w:val="24"/>
        </w:rPr>
      </w:pPr>
      <w:r w:rsidRPr="00183D89">
        <w:rPr>
          <w:rFonts w:asciiTheme="minorHAnsi" w:hAnsiTheme="minorHAnsi"/>
          <w:sz w:val="24"/>
          <w:szCs w:val="24"/>
        </w:rPr>
        <w:t>We maintain response rates and data accuracy for the CPS at high levels through interviewer instruction and training and close monitoring of data output.  (Refer to Item 5 of Attachment E for a discussion of the CPS nonresponse.)</w:t>
      </w:r>
    </w:p>
    <w:p w:rsidRPr="00183D89" w:rsidR="00A057FA" w:rsidP="00183D89" w:rsidRDefault="00183D89" w14:paraId="1286BE56" w14:textId="49FBF5B2">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00" w:firstLine="0"/>
        <w:rPr>
          <w:rFonts w:asciiTheme="minorHAnsi" w:hAnsiTheme="minorHAnsi"/>
          <w:sz w:val="24"/>
          <w:szCs w:val="24"/>
        </w:rPr>
      </w:pPr>
      <w:r w:rsidRPr="00183D89">
        <w:rPr>
          <w:rFonts w:asciiTheme="minorHAnsi" w:hAnsiTheme="minorHAnsi"/>
          <w:sz w:val="24"/>
          <w:szCs w:val="24"/>
        </w:rPr>
        <w:t xml:space="preserve">A full allocation for item nonresponse is done within the CPS School Enrollment Supplement for </w:t>
      </w:r>
      <w:r>
        <w:rPr>
          <w:rFonts w:asciiTheme="minorHAnsi" w:hAnsiTheme="minorHAnsi"/>
          <w:sz w:val="24"/>
          <w:szCs w:val="24"/>
        </w:rPr>
        <w:t xml:space="preserve">  </w:t>
      </w:r>
      <w:r w:rsidRPr="00183D89">
        <w:rPr>
          <w:rFonts w:asciiTheme="minorHAnsi" w:hAnsiTheme="minorHAnsi"/>
          <w:sz w:val="24"/>
          <w:szCs w:val="24"/>
        </w:rPr>
        <w:t>eligible people.  (Item nonresponse for the main items is not expected to exceed 20 percent.)</w:t>
      </w:r>
    </w:p>
    <w:p w:rsidRPr="00124446" w:rsidR="00A057FA" w:rsidP="00183D89" w:rsidRDefault="00A057FA" w14:paraId="08644989" w14:textId="77777777">
      <w:pPr>
        <w:pStyle w:val="BodyText"/>
        <w:spacing w:before="158" w:line="259" w:lineRule="auto"/>
        <w:ind w:left="0"/>
        <w:rPr>
          <w:rFonts w:ascii="Calibri" w:hAnsi="Calibri" w:cs="Calibri"/>
        </w:rPr>
      </w:pPr>
    </w:p>
    <w:p w:rsidRPr="00124446" w:rsidR="00B955B7" w:rsidP="00942196" w:rsidRDefault="00B955B7" w14:paraId="0A65C771"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A057FA" w:rsidP="00FB796E" w:rsidRDefault="00FB796E" w14:paraId="230FB6D8" w14:textId="67D74504">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hanging="50"/>
        <w:rPr>
          <w:rFonts w:asciiTheme="minorHAnsi" w:hAnsiTheme="minorHAnsi"/>
          <w:sz w:val="24"/>
          <w:szCs w:val="24"/>
        </w:rPr>
      </w:pPr>
      <w:r w:rsidRPr="00FB796E">
        <w:rPr>
          <w:rFonts w:asciiTheme="minorHAnsi" w:hAnsiTheme="minorHAnsi"/>
          <w:sz w:val="24"/>
          <w:szCs w:val="24"/>
        </w:rPr>
        <w:t>We do not require testing of procedures and methods since we have conducted this supplement for 6</w:t>
      </w:r>
      <w:r w:rsidRPr="00FB796E">
        <w:rPr>
          <w:rFonts w:asciiTheme="minorHAnsi" w:hAnsiTheme="minorHAnsi"/>
          <w:color w:val="000000"/>
          <w:sz w:val="24"/>
          <w:szCs w:val="24"/>
        </w:rPr>
        <w:t>0 years</w:t>
      </w:r>
      <w:r w:rsidRPr="00FB796E">
        <w:rPr>
          <w:rFonts w:asciiTheme="minorHAnsi" w:hAnsiTheme="minorHAnsi"/>
          <w:sz w:val="24"/>
          <w:szCs w:val="24"/>
        </w:rPr>
        <w:t xml:space="preserve">.  Attachment D </w:t>
      </w:r>
      <w:r w:rsidR="00392C3D">
        <w:rPr>
          <w:rFonts w:asciiTheme="minorHAnsi" w:hAnsiTheme="minorHAnsi"/>
          <w:sz w:val="24"/>
          <w:szCs w:val="24"/>
        </w:rPr>
        <w:t>(</w:t>
      </w:r>
      <w:r w:rsidR="00392C3D">
        <w:rPr>
          <w:rFonts w:ascii="Calibri" w:hAnsi="Calibri"/>
          <w:sz w:val="24"/>
          <w:szCs w:val="24"/>
        </w:rPr>
        <w:t>Source of the Data and Accuracy of the Estimates</w:t>
      </w:r>
      <w:r w:rsidRPr="00FB796E" w:rsidR="00392C3D">
        <w:rPr>
          <w:rFonts w:asciiTheme="minorHAnsi" w:hAnsiTheme="minorHAnsi"/>
          <w:sz w:val="24"/>
          <w:szCs w:val="24"/>
        </w:rPr>
        <w:t xml:space="preserve"> </w:t>
      </w:r>
      <w:r w:rsidR="00392C3D">
        <w:rPr>
          <w:rFonts w:asciiTheme="minorHAnsi" w:hAnsiTheme="minorHAnsi"/>
          <w:sz w:val="24"/>
          <w:szCs w:val="24"/>
        </w:rPr>
        <w:t xml:space="preserve">) </w:t>
      </w:r>
      <w:r w:rsidRPr="00FB796E">
        <w:rPr>
          <w:rFonts w:asciiTheme="minorHAnsi" w:hAnsiTheme="minorHAnsi"/>
          <w:sz w:val="24"/>
          <w:szCs w:val="24"/>
        </w:rPr>
        <w:t>discusses the reliability of estimates produced by the October 20</w:t>
      </w:r>
      <w:r>
        <w:rPr>
          <w:rFonts w:asciiTheme="minorHAnsi" w:hAnsiTheme="minorHAnsi"/>
          <w:sz w:val="24"/>
          <w:szCs w:val="24"/>
        </w:rPr>
        <w:t>20</w:t>
      </w:r>
      <w:r w:rsidRPr="00FB796E">
        <w:rPr>
          <w:rFonts w:asciiTheme="minorHAnsi" w:hAnsiTheme="minorHAnsi"/>
          <w:sz w:val="24"/>
          <w:szCs w:val="24"/>
        </w:rPr>
        <w:t xml:space="preserve"> School Enrollment Supplement.</w:t>
      </w:r>
    </w:p>
    <w:p w:rsidRPr="00FB796E" w:rsidR="003B309E" w:rsidP="00FB796E" w:rsidRDefault="003B309E" w14:paraId="30073D3C"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hanging="50"/>
        <w:rPr>
          <w:rFonts w:asciiTheme="minorHAnsi" w:hAnsiTheme="minorHAnsi"/>
          <w:sz w:val="24"/>
          <w:szCs w:val="24"/>
        </w:rPr>
      </w:pPr>
    </w:p>
    <w:p w:rsidRPr="00124446" w:rsidR="00942196" w:rsidP="00B955B7" w:rsidRDefault="00942196" w14:paraId="2CE6485F" w14:textId="77777777">
      <w:pPr>
        <w:pStyle w:val="BodyText"/>
        <w:spacing w:line="259" w:lineRule="auto"/>
        <w:ind w:right="407"/>
        <w:rPr>
          <w:rFonts w:ascii="Calibri" w:hAnsi="Calibri" w:cs="Calibri"/>
        </w:rPr>
      </w:pPr>
    </w:p>
    <w:p w:rsidRPr="00124446" w:rsidR="00B955B7" w:rsidP="00942196" w:rsidRDefault="00B955B7" w14:paraId="19733E6E"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lastRenderedPageBreak/>
        <w:t>Provide the name and telephone number of individuals consulted on statistical aspects of the design and the name of the agency unit, contractor(s), grantee(s), or other person(s) who will actually collect and/or analyze the information for the</w:t>
      </w:r>
      <w:r w:rsidRPr="00124446">
        <w:rPr>
          <w:rFonts w:ascii="Calibri" w:hAnsi="Calibri" w:cs="Calibri"/>
          <w:spacing w:val="-6"/>
        </w:rPr>
        <w:t xml:space="preserve"> </w:t>
      </w:r>
      <w:r w:rsidRPr="00124446">
        <w:rPr>
          <w:rFonts w:ascii="Calibri" w:hAnsi="Calibri" w:cs="Calibri"/>
        </w:rPr>
        <w:t>agency.</w:t>
      </w:r>
    </w:p>
    <w:p w:rsidR="00A057FA" w:rsidP="00A057FA" w:rsidRDefault="00A057FA" w14:paraId="1BC55D6E" w14:textId="72611091">
      <w:pPr>
        <w:spacing w:before="161"/>
        <w:ind w:left="400" w:right="362"/>
        <w:rPr>
          <w:rFonts w:ascii="Calibri" w:hAnsi="Calibri" w:cs="Calibri"/>
          <w:bCs/>
          <w:sz w:val="24"/>
        </w:rPr>
      </w:pPr>
    </w:p>
    <w:p w:rsidRPr="00FB796E" w:rsidR="00FB796E" w:rsidP="00FB796E" w:rsidRDefault="00FB796E" w14:paraId="0459B7E8"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FB796E">
        <w:rPr>
          <w:rFonts w:asciiTheme="minorHAnsi" w:hAnsiTheme="minorHAnsi"/>
          <w:sz w:val="24"/>
          <w:szCs w:val="24"/>
        </w:rPr>
        <w:t>The following individuals may be contacted on the statistical data collection and analysis operations:</w:t>
      </w:r>
    </w:p>
    <w:p w:rsidRPr="00FB796E" w:rsidR="00FB796E" w:rsidP="00FB796E" w:rsidRDefault="00FB796E" w14:paraId="00F0DEE8"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p>
    <w:p w:rsidRPr="00FB796E" w:rsidR="00FB796E" w:rsidP="00FB796E" w:rsidRDefault="00FB796E" w14:paraId="33A4106C" w14:textId="6CDF4878">
      <w:pPr>
        <w:numPr>
          <w:ilvl w:val="12"/>
          <w:numId w:val="0"/>
        </w:numPr>
        <w:tabs>
          <w:tab w:val="left" w:pos="360"/>
          <w:tab w:val="left" w:pos="480"/>
          <w:tab w:val="left" w:pos="1440"/>
          <w:tab w:val="left" w:pos="1920"/>
          <w:tab w:val="left" w:pos="2400"/>
          <w:tab w:val="left" w:pos="5850"/>
          <w:tab w:val="left" w:pos="9240"/>
        </w:tabs>
        <w:ind w:left="360"/>
        <w:rPr>
          <w:rFonts w:asciiTheme="minorHAnsi" w:hAnsiTheme="minorHAnsi"/>
          <w:sz w:val="24"/>
          <w:szCs w:val="24"/>
        </w:rPr>
      </w:pPr>
      <w:r w:rsidRPr="00FB796E">
        <w:rPr>
          <w:rFonts w:asciiTheme="minorHAnsi" w:hAnsiTheme="minorHAnsi"/>
          <w:sz w:val="24"/>
          <w:szCs w:val="24"/>
        </w:rPr>
        <w:tab/>
      </w:r>
      <w:r w:rsidRPr="00FB796E">
        <w:rPr>
          <w:rFonts w:asciiTheme="minorHAnsi" w:hAnsiTheme="minorHAnsi"/>
          <w:sz w:val="24"/>
          <w:szCs w:val="24"/>
          <w:u w:val="single"/>
        </w:rPr>
        <w:t>Statistical Design</w:t>
      </w:r>
      <w:r w:rsidRPr="00FB796E">
        <w:rPr>
          <w:rFonts w:asciiTheme="minorHAnsi" w:hAnsiTheme="minorHAnsi"/>
          <w:sz w:val="24"/>
          <w:szCs w:val="24"/>
        </w:rPr>
        <w:t xml:space="preserve">:                                                  </w:t>
      </w:r>
      <w:r w:rsidRPr="00FB796E">
        <w:rPr>
          <w:rFonts w:asciiTheme="minorHAnsi" w:hAnsiTheme="minorHAnsi"/>
          <w:sz w:val="24"/>
          <w:szCs w:val="24"/>
          <w:u w:val="single"/>
        </w:rPr>
        <w:t>Data Collection/Survey Design:</w:t>
      </w:r>
    </w:p>
    <w:p w:rsidRPr="00FB796E" w:rsidR="00FB796E" w:rsidP="00FB796E" w:rsidRDefault="00FB796E" w14:paraId="3816C42C"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p>
    <w:p w:rsidRPr="00FB796E" w:rsidR="00FB796E" w:rsidP="00FB796E" w:rsidRDefault="00FB796E" w14:paraId="5C708F28" w14:textId="29C51740">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FB796E">
        <w:rPr>
          <w:rFonts w:asciiTheme="minorHAnsi" w:hAnsiTheme="minorHAnsi"/>
          <w:sz w:val="24"/>
          <w:szCs w:val="24"/>
        </w:rPr>
        <w:tab/>
        <w:t>James Farber</w:t>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00403DDD">
        <w:rPr>
          <w:rFonts w:asciiTheme="minorHAnsi" w:hAnsiTheme="minorHAnsi"/>
          <w:sz w:val="24"/>
          <w:szCs w:val="24"/>
        </w:rPr>
        <w:t xml:space="preserve">Kyra M. </w:t>
      </w:r>
      <w:proofErr w:type="spellStart"/>
      <w:r w:rsidR="00403DDD">
        <w:rPr>
          <w:rFonts w:asciiTheme="minorHAnsi" w:hAnsiTheme="minorHAnsi"/>
          <w:sz w:val="24"/>
          <w:szCs w:val="24"/>
        </w:rPr>
        <w:t>Linse</w:t>
      </w:r>
      <w:proofErr w:type="spellEnd"/>
    </w:p>
    <w:p w:rsidRPr="00FB796E" w:rsidR="00FB796E" w:rsidP="00FB796E" w:rsidRDefault="00FB796E" w14:paraId="6530D87B" w14:textId="1515B51C">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FB796E">
        <w:rPr>
          <w:rFonts w:asciiTheme="minorHAnsi" w:hAnsiTheme="minorHAnsi"/>
          <w:sz w:val="24"/>
          <w:szCs w:val="24"/>
        </w:rPr>
        <w:tab/>
        <w:t>Demographic Statistical Methods Division</w:t>
      </w:r>
      <w:r w:rsidRPr="00FB796E">
        <w:rPr>
          <w:rFonts w:asciiTheme="minorHAnsi" w:hAnsiTheme="minorHAnsi"/>
          <w:sz w:val="24"/>
          <w:szCs w:val="24"/>
        </w:rPr>
        <w:tab/>
        <w:t>Office of the Associate Director for</w:t>
      </w:r>
    </w:p>
    <w:p w:rsidRPr="00FB796E" w:rsidR="00FB796E" w:rsidP="00FB796E" w:rsidRDefault="00FB796E" w14:paraId="1DEDD68E" w14:textId="7CD1B75A">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FB796E">
        <w:rPr>
          <w:rFonts w:asciiTheme="minorHAnsi" w:hAnsiTheme="minorHAnsi"/>
          <w:sz w:val="24"/>
          <w:szCs w:val="24"/>
        </w:rPr>
        <w:tab/>
        <w:t>U.S. Census Bureau</w:t>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t>Demographic Programs</w:t>
      </w:r>
    </w:p>
    <w:p w:rsidRPr="00FB796E" w:rsidR="00FB796E" w:rsidP="00FB796E" w:rsidRDefault="00FB796E" w14:paraId="484CC054" w14:textId="14740324">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FB796E">
        <w:rPr>
          <w:rFonts w:asciiTheme="minorHAnsi" w:hAnsiTheme="minorHAnsi"/>
          <w:sz w:val="24"/>
          <w:szCs w:val="24"/>
        </w:rPr>
        <w:tab/>
        <w:t>(301) 763- 1844</w:t>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t>Survey Operations</w:t>
      </w:r>
    </w:p>
    <w:p w:rsidRPr="00FB796E" w:rsidR="00FB796E" w:rsidP="00FB796E" w:rsidRDefault="00FB796E" w14:paraId="437B3FF1" w14:textId="12C5E9EF">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t>U.S. Census Bureau</w:t>
      </w:r>
    </w:p>
    <w:p w:rsidRPr="00FB796E" w:rsidR="00FB796E" w:rsidP="00FB796E" w:rsidRDefault="00FB796E" w14:paraId="6A50C9D4" w14:textId="12597F5E">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FB796E">
        <w:rPr>
          <w:rFonts w:asciiTheme="minorHAnsi" w:hAnsiTheme="minorHAnsi"/>
          <w:sz w:val="24"/>
          <w:szCs w:val="24"/>
        </w:rPr>
        <w:t xml:space="preserve">                                </w:t>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r>
      <w:r w:rsidRPr="00FB796E">
        <w:rPr>
          <w:rFonts w:asciiTheme="minorHAnsi" w:hAnsiTheme="minorHAnsi"/>
          <w:sz w:val="24"/>
          <w:szCs w:val="24"/>
        </w:rPr>
        <w:tab/>
        <w:t>(301) 763-</w:t>
      </w:r>
      <w:r w:rsidR="00403DDD">
        <w:rPr>
          <w:rFonts w:asciiTheme="minorHAnsi" w:hAnsiTheme="minorHAnsi"/>
          <w:sz w:val="24"/>
          <w:szCs w:val="24"/>
        </w:rPr>
        <w:t>9280</w:t>
      </w:r>
    </w:p>
    <w:p w:rsidRPr="00FB796E" w:rsidR="00FB796E" w:rsidP="00FB796E" w:rsidRDefault="00FB796E" w14:paraId="385BBC95" w14:textId="1E21A2D4">
      <w:pPr>
        <w:numPr>
          <w:ilvl w:val="12"/>
          <w:numId w:val="0"/>
        </w:numPr>
        <w:tabs>
          <w:tab w:val="left" w:pos="360"/>
          <w:tab w:val="left" w:pos="480"/>
          <w:tab w:val="left" w:pos="960"/>
          <w:tab w:val="left" w:pos="1170"/>
          <w:tab w:val="left" w:pos="1350"/>
          <w:tab w:val="left" w:pos="1440"/>
          <w:tab w:val="left" w:pos="1920"/>
          <w:tab w:val="left" w:pos="2400"/>
          <w:tab w:val="left" w:pos="5850"/>
          <w:tab w:val="left" w:pos="9240"/>
        </w:tabs>
        <w:ind w:left="360"/>
        <w:rPr>
          <w:rFonts w:asciiTheme="minorHAnsi" w:hAnsiTheme="minorHAnsi"/>
          <w:sz w:val="24"/>
          <w:szCs w:val="24"/>
        </w:rPr>
      </w:pPr>
      <w:r w:rsidRPr="00FB796E">
        <w:rPr>
          <w:rFonts w:asciiTheme="minorHAnsi" w:hAnsiTheme="minorHAnsi"/>
          <w:sz w:val="24"/>
          <w:szCs w:val="24"/>
        </w:rPr>
        <w:tab/>
      </w:r>
      <w:r w:rsidRPr="00FB796E">
        <w:rPr>
          <w:rFonts w:asciiTheme="minorHAnsi" w:hAnsiTheme="minorHAnsi"/>
          <w:sz w:val="24"/>
          <w:szCs w:val="24"/>
          <w:u w:val="single"/>
        </w:rPr>
        <w:t>Statistical Analysis:</w:t>
      </w:r>
      <w:r w:rsidRPr="00FB796E">
        <w:rPr>
          <w:rFonts w:asciiTheme="minorHAnsi" w:hAnsiTheme="minorHAnsi"/>
          <w:sz w:val="24"/>
          <w:szCs w:val="24"/>
        </w:rPr>
        <w:tab/>
      </w:r>
    </w:p>
    <w:p w:rsidRPr="00FB796E" w:rsidR="00FB796E" w:rsidP="00FB796E" w:rsidRDefault="00FB796E" w14:paraId="325E6F8E" w14:textId="77777777">
      <w:pPr>
        <w:numPr>
          <w:ilvl w:val="12"/>
          <w:numId w:val="0"/>
        </w:numPr>
        <w:tabs>
          <w:tab w:val="left" w:pos="360"/>
          <w:tab w:val="left" w:pos="480"/>
          <w:tab w:val="left" w:pos="960"/>
          <w:tab w:val="left" w:pos="1170"/>
          <w:tab w:val="left" w:pos="1350"/>
          <w:tab w:val="left" w:pos="1440"/>
          <w:tab w:val="left" w:pos="1920"/>
          <w:tab w:val="left" w:pos="2400"/>
          <w:tab w:val="left" w:pos="5850"/>
          <w:tab w:val="left" w:pos="9240"/>
        </w:tabs>
        <w:ind w:left="360"/>
        <w:rPr>
          <w:rFonts w:asciiTheme="minorHAnsi" w:hAnsiTheme="minorHAnsi"/>
          <w:sz w:val="24"/>
          <w:szCs w:val="24"/>
        </w:rPr>
      </w:pPr>
    </w:p>
    <w:p w:rsidRPr="00FB796E" w:rsidR="00FB796E" w:rsidP="00FB796E" w:rsidRDefault="00FB796E" w14:paraId="6BEA62BD" w14:textId="505EEA32">
      <w:pPr>
        <w:numPr>
          <w:ilvl w:val="12"/>
          <w:numId w:val="0"/>
        </w:numPr>
        <w:tabs>
          <w:tab w:val="left" w:pos="360"/>
          <w:tab w:val="left" w:pos="480"/>
          <w:tab w:val="left" w:pos="960"/>
          <w:tab w:val="left" w:pos="1170"/>
          <w:tab w:val="left" w:pos="1620"/>
          <w:tab w:val="left" w:pos="1890"/>
          <w:tab w:val="left" w:pos="2400"/>
          <w:tab w:val="left" w:pos="5850"/>
          <w:tab w:val="left" w:pos="9240"/>
        </w:tabs>
        <w:ind w:left="360"/>
        <w:rPr>
          <w:rFonts w:asciiTheme="minorHAnsi" w:hAnsiTheme="minorHAnsi"/>
          <w:sz w:val="24"/>
          <w:szCs w:val="24"/>
        </w:rPr>
      </w:pPr>
      <w:r w:rsidRPr="00FB796E">
        <w:rPr>
          <w:rFonts w:asciiTheme="minorHAnsi" w:hAnsiTheme="minorHAnsi"/>
          <w:sz w:val="24"/>
          <w:szCs w:val="24"/>
        </w:rPr>
        <w:t xml:space="preserve">  </w:t>
      </w:r>
      <w:r w:rsidRPr="00FB796E">
        <w:rPr>
          <w:rFonts w:asciiTheme="minorHAnsi" w:hAnsiTheme="minorHAnsi"/>
          <w:sz w:val="24"/>
          <w:szCs w:val="24"/>
        </w:rPr>
        <w:tab/>
      </w:r>
      <w:r w:rsidR="00403DDD">
        <w:rPr>
          <w:rFonts w:asciiTheme="minorHAnsi" w:hAnsiTheme="minorHAnsi"/>
          <w:sz w:val="24"/>
          <w:szCs w:val="24"/>
        </w:rPr>
        <w:t>Stephanie Galvin</w:t>
      </w:r>
      <w:r w:rsidRPr="00FB796E">
        <w:rPr>
          <w:rFonts w:asciiTheme="minorHAnsi" w:hAnsiTheme="minorHAnsi"/>
          <w:sz w:val="24"/>
          <w:szCs w:val="24"/>
        </w:rPr>
        <w:tab/>
      </w:r>
      <w:r w:rsidRPr="00FB796E">
        <w:rPr>
          <w:rFonts w:asciiTheme="minorHAnsi" w:hAnsiTheme="minorHAnsi"/>
          <w:sz w:val="24"/>
          <w:szCs w:val="24"/>
        </w:rPr>
        <w:tab/>
      </w:r>
    </w:p>
    <w:p w:rsidR="00FB796E" w:rsidP="00FB796E" w:rsidRDefault="00FB796E" w14:paraId="468ADC13" w14:textId="710E89FB">
      <w:pPr>
        <w:numPr>
          <w:ilvl w:val="12"/>
          <w:numId w:val="0"/>
        </w:numPr>
        <w:tabs>
          <w:tab w:val="left" w:pos="360"/>
          <w:tab w:val="left" w:pos="480"/>
          <w:tab w:val="left" w:pos="960"/>
          <w:tab w:val="left" w:pos="1440"/>
          <w:tab w:val="left" w:pos="1920"/>
          <w:tab w:val="left" w:pos="2400"/>
          <w:tab w:val="left" w:pos="5850"/>
          <w:tab w:val="left" w:pos="9240"/>
        </w:tabs>
        <w:ind w:left="360"/>
        <w:rPr>
          <w:rFonts w:asciiTheme="minorHAnsi" w:hAnsiTheme="minorHAnsi"/>
          <w:sz w:val="24"/>
          <w:szCs w:val="24"/>
        </w:rPr>
      </w:pPr>
      <w:r w:rsidRPr="00FB796E">
        <w:rPr>
          <w:rFonts w:asciiTheme="minorHAnsi" w:hAnsiTheme="minorHAnsi"/>
          <w:sz w:val="24"/>
          <w:szCs w:val="24"/>
        </w:rPr>
        <w:t xml:space="preserve">  </w:t>
      </w:r>
      <w:r w:rsidRPr="00FB796E">
        <w:rPr>
          <w:rFonts w:asciiTheme="minorHAnsi" w:hAnsiTheme="minorHAnsi"/>
          <w:sz w:val="24"/>
          <w:szCs w:val="24"/>
        </w:rPr>
        <w:tab/>
      </w:r>
      <w:r>
        <w:rPr>
          <w:rFonts w:asciiTheme="minorHAnsi" w:hAnsiTheme="minorHAnsi"/>
          <w:sz w:val="24"/>
          <w:szCs w:val="24"/>
        </w:rPr>
        <w:t>Socia</w:t>
      </w:r>
      <w:r w:rsidR="00403DDD">
        <w:rPr>
          <w:rFonts w:asciiTheme="minorHAnsi" w:hAnsiTheme="minorHAnsi"/>
          <w:sz w:val="24"/>
          <w:szCs w:val="24"/>
        </w:rPr>
        <w:t xml:space="preserve">l, Economic, and </w:t>
      </w:r>
      <w:r>
        <w:rPr>
          <w:rFonts w:asciiTheme="minorHAnsi" w:hAnsiTheme="minorHAnsi"/>
          <w:sz w:val="24"/>
          <w:szCs w:val="24"/>
        </w:rPr>
        <w:t>Hou</w:t>
      </w:r>
      <w:r w:rsidR="00403DDD">
        <w:rPr>
          <w:rFonts w:asciiTheme="minorHAnsi" w:hAnsiTheme="minorHAnsi"/>
          <w:sz w:val="24"/>
          <w:szCs w:val="24"/>
        </w:rPr>
        <w:t>sing</w:t>
      </w:r>
    </w:p>
    <w:p w:rsidRPr="00FB796E" w:rsidR="00FB796E" w:rsidP="00FB796E" w:rsidRDefault="00FB796E" w14:paraId="19DAE9CB" w14:textId="0E77E908">
      <w:pPr>
        <w:numPr>
          <w:ilvl w:val="12"/>
          <w:numId w:val="0"/>
        </w:numPr>
        <w:tabs>
          <w:tab w:val="left" w:pos="360"/>
          <w:tab w:val="left" w:pos="480"/>
          <w:tab w:val="left" w:pos="960"/>
          <w:tab w:val="left" w:pos="1440"/>
          <w:tab w:val="left" w:pos="1920"/>
          <w:tab w:val="left" w:pos="2400"/>
          <w:tab w:val="left" w:pos="5850"/>
          <w:tab w:val="left" w:pos="9240"/>
        </w:tabs>
        <w:ind w:left="360"/>
        <w:rPr>
          <w:rFonts w:asciiTheme="minorHAnsi" w:hAnsiTheme="minorHAnsi"/>
          <w:sz w:val="24"/>
          <w:szCs w:val="24"/>
        </w:rPr>
      </w:pPr>
      <w:r>
        <w:rPr>
          <w:rFonts w:asciiTheme="minorHAnsi" w:hAnsiTheme="minorHAnsi"/>
          <w:sz w:val="24"/>
          <w:szCs w:val="24"/>
        </w:rPr>
        <w:tab/>
        <w:t>Statistics Division</w:t>
      </w:r>
      <w:r w:rsidRPr="00FB796E">
        <w:rPr>
          <w:rFonts w:asciiTheme="minorHAnsi" w:hAnsiTheme="minorHAnsi"/>
          <w:sz w:val="24"/>
          <w:szCs w:val="24"/>
        </w:rPr>
        <w:tab/>
      </w:r>
    </w:p>
    <w:p w:rsidRPr="00FB796E" w:rsidR="00FB796E" w:rsidP="00FB796E" w:rsidRDefault="00FB796E" w14:paraId="7E47D168" w14:textId="162AEDDD">
      <w:pPr>
        <w:numPr>
          <w:ilvl w:val="12"/>
          <w:numId w:val="0"/>
        </w:numPr>
        <w:tabs>
          <w:tab w:val="left" w:pos="360"/>
          <w:tab w:val="left" w:pos="480"/>
          <w:tab w:val="left" w:pos="960"/>
          <w:tab w:val="left" w:pos="1440"/>
          <w:tab w:val="left" w:pos="1920"/>
          <w:tab w:val="left" w:pos="2400"/>
          <w:tab w:val="left" w:pos="5850"/>
          <w:tab w:val="left" w:pos="9240"/>
        </w:tabs>
        <w:ind w:left="360"/>
        <w:rPr>
          <w:rFonts w:asciiTheme="minorHAnsi" w:hAnsiTheme="minorHAnsi"/>
          <w:sz w:val="24"/>
          <w:szCs w:val="24"/>
        </w:rPr>
      </w:pPr>
      <w:r w:rsidRPr="00FB796E">
        <w:rPr>
          <w:rFonts w:asciiTheme="minorHAnsi" w:hAnsiTheme="minorHAnsi"/>
          <w:sz w:val="24"/>
          <w:szCs w:val="24"/>
        </w:rPr>
        <w:t xml:space="preserve">  </w:t>
      </w:r>
      <w:r w:rsidRPr="00FB796E">
        <w:rPr>
          <w:rFonts w:asciiTheme="minorHAnsi" w:hAnsiTheme="minorHAnsi"/>
          <w:sz w:val="24"/>
          <w:szCs w:val="24"/>
        </w:rPr>
        <w:tab/>
        <w:t>U.S. Census Bureau</w:t>
      </w:r>
      <w:r w:rsidRPr="00FB796E">
        <w:rPr>
          <w:rFonts w:asciiTheme="minorHAnsi" w:hAnsiTheme="minorHAnsi"/>
          <w:sz w:val="24"/>
          <w:szCs w:val="24"/>
        </w:rPr>
        <w:tab/>
      </w:r>
    </w:p>
    <w:p w:rsidR="00677C42" w:rsidP="00A42BEC" w:rsidRDefault="00FB796E" w14:paraId="34670349" w14:textId="238DAB09">
      <w:pPr>
        <w:numPr>
          <w:ilvl w:val="12"/>
          <w:numId w:val="0"/>
        </w:numPr>
        <w:tabs>
          <w:tab w:val="left" w:pos="360"/>
          <w:tab w:val="left" w:pos="480"/>
          <w:tab w:val="left" w:pos="960"/>
          <w:tab w:val="left" w:pos="1440"/>
          <w:tab w:val="left" w:pos="1920"/>
          <w:tab w:val="left" w:pos="2400"/>
          <w:tab w:val="left" w:pos="5850"/>
          <w:tab w:val="left" w:pos="9240"/>
        </w:tabs>
        <w:ind w:left="360"/>
        <w:rPr>
          <w:rFonts w:asciiTheme="minorHAnsi" w:hAnsiTheme="minorHAnsi"/>
          <w:sz w:val="24"/>
          <w:szCs w:val="24"/>
        </w:rPr>
      </w:pPr>
      <w:r>
        <w:rPr>
          <w:rFonts w:asciiTheme="minorHAnsi" w:hAnsiTheme="minorHAnsi"/>
          <w:sz w:val="24"/>
          <w:szCs w:val="24"/>
        </w:rPr>
        <w:tab/>
      </w:r>
      <w:r w:rsidRPr="00FB796E">
        <w:rPr>
          <w:rFonts w:asciiTheme="minorHAnsi" w:hAnsiTheme="minorHAnsi"/>
          <w:sz w:val="24"/>
          <w:szCs w:val="24"/>
        </w:rPr>
        <w:t>(301) 763-</w:t>
      </w:r>
      <w:r w:rsidR="00403DDD">
        <w:rPr>
          <w:rFonts w:asciiTheme="minorHAnsi" w:hAnsiTheme="minorHAnsi"/>
          <w:sz w:val="24"/>
          <w:szCs w:val="24"/>
        </w:rPr>
        <w:t>1581</w:t>
      </w:r>
      <w:r w:rsidRPr="002245E4" w:rsidR="002245E4">
        <w:rPr>
          <w:rFonts w:ascii="Calibri" w:hAnsi="Calibri"/>
          <w:sz w:val="24"/>
          <w:szCs w:val="24"/>
        </w:rPr>
        <w:t xml:space="preserve"> </w:t>
      </w:r>
    </w:p>
    <w:p w:rsidR="00A42BEC" w:rsidP="00A42BEC" w:rsidRDefault="00A42BEC" w14:paraId="2CB1499C" w14:textId="2861A13E">
      <w:pPr>
        <w:numPr>
          <w:ilvl w:val="12"/>
          <w:numId w:val="0"/>
        </w:numPr>
        <w:tabs>
          <w:tab w:val="left" w:pos="360"/>
          <w:tab w:val="left" w:pos="480"/>
          <w:tab w:val="left" w:pos="960"/>
          <w:tab w:val="left" w:pos="1440"/>
          <w:tab w:val="left" w:pos="1920"/>
          <w:tab w:val="left" w:pos="2400"/>
          <w:tab w:val="left" w:pos="5850"/>
          <w:tab w:val="left" w:pos="9240"/>
        </w:tabs>
        <w:ind w:left="360"/>
        <w:rPr>
          <w:rFonts w:asciiTheme="minorHAnsi" w:hAnsiTheme="minorHAnsi"/>
          <w:sz w:val="24"/>
          <w:szCs w:val="24"/>
        </w:rPr>
      </w:pPr>
    </w:p>
    <w:p w:rsidR="00A42BEC" w:rsidP="00A42BEC" w:rsidRDefault="00A42BEC" w14:paraId="44738A82" w14:textId="1F9585E7">
      <w:pPr>
        <w:numPr>
          <w:ilvl w:val="12"/>
          <w:numId w:val="0"/>
        </w:numPr>
        <w:tabs>
          <w:tab w:val="left" w:pos="360"/>
          <w:tab w:val="left" w:pos="480"/>
          <w:tab w:val="left" w:pos="960"/>
          <w:tab w:val="left" w:pos="1440"/>
          <w:tab w:val="left" w:pos="1920"/>
          <w:tab w:val="left" w:pos="2400"/>
          <w:tab w:val="left" w:pos="5850"/>
          <w:tab w:val="left" w:pos="9240"/>
        </w:tabs>
        <w:ind w:left="360"/>
        <w:rPr>
          <w:rFonts w:asciiTheme="minorHAnsi" w:hAnsiTheme="minorHAnsi"/>
          <w:sz w:val="24"/>
          <w:szCs w:val="24"/>
        </w:rPr>
      </w:pPr>
    </w:p>
    <w:p w:rsidRPr="00A42BEC" w:rsidR="00A42BEC" w:rsidP="00A42BEC" w:rsidRDefault="00A42BEC" w14:paraId="703B7C92" w14:textId="77777777">
      <w:pPr>
        <w:numPr>
          <w:ilvl w:val="12"/>
          <w:numId w:val="0"/>
        </w:numPr>
        <w:tabs>
          <w:tab w:val="left" w:pos="480"/>
          <w:tab w:val="left" w:pos="990"/>
          <w:tab w:val="left" w:pos="1440"/>
          <w:tab w:val="left" w:pos="1920"/>
          <w:tab w:val="left" w:pos="2400"/>
          <w:tab w:val="left" w:pos="5850"/>
          <w:tab w:val="left" w:pos="9240"/>
        </w:tabs>
        <w:rPr>
          <w:rFonts w:ascii="Calibri" w:hAnsi="Calibri"/>
          <w:b/>
          <w:sz w:val="24"/>
          <w:szCs w:val="24"/>
        </w:rPr>
      </w:pPr>
      <w:r w:rsidRPr="00A42BEC">
        <w:rPr>
          <w:rFonts w:ascii="Calibri" w:hAnsi="Calibri"/>
          <w:b/>
          <w:sz w:val="24"/>
          <w:szCs w:val="24"/>
        </w:rPr>
        <w:t>Attachments</w:t>
      </w:r>
    </w:p>
    <w:p w:rsidRPr="00A42BEC" w:rsidR="00A42BEC" w:rsidP="00A42BEC" w:rsidRDefault="00A42BEC" w14:paraId="3526DF15" w14:textId="77777777">
      <w:pPr>
        <w:numPr>
          <w:ilvl w:val="12"/>
          <w:numId w:val="0"/>
        </w:numPr>
        <w:tabs>
          <w:tab w:val="left" w:pos="480"/>
          <w:tab w:val="left" w:pos="990"/>
          <w:tab w:val="left" w:pos="1440"/>
          <w:tab w:val="left" w:pos="1920"/>
          <w:tab w:val="left" w:pos="2400"/>
          <w:tab w:val="left" w:pos="5850"/>
          <w:tab w:val="left" w:pos="9240"/>
        </w:tabs>
        <w:rPr>
          <w:rFonts w:ascii="Calibri" w:hAnsi="Calibri"/>
          <w:sz w:val="24"/>
          <w:szCs w:val="24"/>
        </w:rPr>
      </w:pPr>
    </w:p>
    <w:p w:rsidR="00A42BEC" w:rsidP="00A42BEC" w:rsidRDefault="00A42BEC" w14:paraId="2F48EDCA" w14:textId="347605CB">
      <w:pPr>
        <w:numPr>
          <w:ilvl w:val="12"/>
          <w:numId w:val="0"/>
        </w:numPr>
        <w:tabs>
          <w:tab w:val="left" w:pos="576"/>
          <w:tab w:val="left" w:pos="960"/>
          <w:tab w:val="left" w:pos="1440"/>
          <w:tab w:val="left" w:pos="1920"/>
          <w:tab w:val="left" w:pos="5856"/>
          <w:tab w:val="left" w:pos="9120"/>
        </w:tabs>
        <w:ind w:left="576" w:hanging="576"/>
        <w:rPr>
          <w:rFonts w:ascii="Calibri" w:hAnsi="Calibri"/>
          <w:sz w:val="24"/>
          <w:szCs w:val="24"/>
        </w:rPr>
      </w:pPr>
      <w:r w:rsidRPr="00A42BEC">
        <w:rPr>
          <w:rFonts w:ascii="Calibri" w:hAnsi="Calibri"/>
          <w:sz w:val="24"/>
          <w:szCs w:val="24"/>
        </w:rPr>
        <w:t>A.</w:t>
      </w:r>
      <w:r w:rsidRPr="00A42BEC">
        <w:rPr>
          <w:rFonts w:ascii="Calibri" w:hAnsi="Calibri"/>
          <w:sz w:val="24"/>
          <w:szCs w:val="24"/>
        </w:rPr>
        <w:tab/>
      </w:r>
      <w:r>
        <w:rPr>
          <w:rFonts w:ascii="Calibri" w:hAnsi="Calibri"/>
          <w:sz w:val="24"/>
          <w:szCs w:val="24"/>
        </w:rPr>
        <w:t xml:space="preserve">Items Booklet - </w:t>
      </w:r>
      <w:r w:rsidRPr="00A42BEC">
        <w:rPr>
          <w:rFonts w:ascii="Calibri" w:hAnsi="Calibri"/>
          <w:sz w:val="24"/>
          <w:szCs w:val="24"/>
        </w:rPr>
        <w:t>School Enrollment Supplement</w:t>
      </w:r>
    </w:p>
    <w:p w:rsidR="00A42BEC" w:rsidP="00A42BEC" w:rsidRDefault="00A42BEC" w14:paraId="2EC91444" w14:textId="6B486D85">
      <w:pPr>
        <w:numPr>
          <w:ilvl w:val="12"/>
          <w:numId w:val="0"/>
        </w:numPr>
        <w:tabs>
          <w:tab w:val="left" w:pos="576"/>
          <w:tab w:val="left" w:pos="960"/>
          <w:tab w:val="left" w:pos="1440"/>
          <w:tab w:val="left" w:pos="1920"/>
          <w:tab w:val="left" w:pos="5856"/>
          <w:tab w:val="left" w:pos="9120"/>
        </w:tabs>
        <w:ind w:left="576" w:hanging="576"/>
        <w:rPr>
          <w:rFonts w:ascii="Calibri" w:hAnsi="Calibri"/>
          <w:sz w:val="24"/>
          <w:szCs w:val="24"/>
        </w:rPr>
      </w:pPr>
    </w:p>
    <w:p w:rsidR="00A42BEC" w:rsidP="00A42BEC" w:rsidRDefault="00A42BEC" w14:paraId="549E680C" w14:textId="1C9CE384">
      <w:pPr>
        <w:numPr>
          <w:ilvl w:val="12"/>
          <w:numId w:val="0"/>
        </w:numPr>
        <w:tabs>
          <w:tab w:val="left" w:pos="576"/>
          <w:tab w:val="left" w:pos="960"/>
          <w:tab w:val="left" w:pos="1440"/>
          <w:tab w:val="left" w:pos="1920"/>
          <w:tab w:val="left" w:pos="5856"/>
          <w:tab w:val="left" w:pos="9120"/>
        </w:tabs>
        <w:ind w:left="576" w:hanging="576"/>
        <w:rPr>
          <w:rFonts w:ascii="Calibri" w:hAnsi="Calibri"/>
          <w:sz w:val="24"/>
          <w:szCs w:val="24"/>
        </w:rPr>
      </w:pPr>
      <w:r>
        <w:rPr>
          <w:rFonts w:ascii="Calibri" w:hAnsi="Calibri"/>
          <w:sz w:val="24"/>
          <w:szCs w:val="24"/>
        </w:rPr>
        <w:t>B.</w:t>
      </w:r>
      <w:r>
        <w:rPr>
          <w:rFonts w:ascii="Calibri" w:hAnsi="Calibri"/>
          <w:sz w:val="24"/>
          <w:szCs w:val="24"/>
        </w:rPr>
        <w:tab/>
      </w:r>
      <w:r w:rsidRPr="00A42BEC" w:rsidR="002245E4">
        <w:rPr>
          <w:rFonts w:ascii="Calibri" w:hAnsi="Calibri"/>
          <w:sz w:val="24"/>
          <w:szCs w:val="24"/>
        </w:rPr>
        <w:t>CPS Advance Letter (CPS-263</w:t>
      </w:r>
      <w:r w:rsidR="002245E4">
        <w:rPr>
          <w:rFonts w:ascii="Calibri" w:hAnsi="Calibri"/>
          <w:sz w:val="24"/>
          <w:szCs w:val="24"/>
        </w:rPr>
        <w:t>)</w:t>
      </w:r>
    </w:p>
    <w:p w:rsidR="002245E4" w:rsidP="00A42BEC" w:rsidRDefault="002245E4" w14:paraId="49D1083C" w14:textId="7335B1FF">
      <w:pPr>
        <w:numPr>
          <w:ilvl w:val="12"/>
          <w:numId w:val="0"/>
        </w:numPr>
        <w:tabs>
          <w:tab w:val="left" w:pos="576"/>
          <w:tab w:val="left" w:pos="960"/>
          <w:tab w:val="left" w:pos="1440"/>
          <w:tab w:val="left" w:pos="1920"/>
          <w:tab w:val="left" w:pos="5856"/>
          <w:tab w:val="left" w:pos="9120"/>
        </w:tabs>
        <w:ind w:left="576" w:hanging="576"/>
        <w:rPr>
          <w:rFonts w:ascii="Calibri" w:hAnsi="Calibri"/>
          <w:sz w:val="24"/>
          <w:szCs w:val="24"/>
        </w:rPr>
      </w:pPr>
    </w:p>
    <w:p w:rsidRPr="00A42BEC" w:rsidR="002245E4" w:rsidP="00A42BEC" w:rsidRDefault="002245E4" w14:paraId="6DFA796C" w14:textId="0F8FB5A4">
      <w:pPr>
        <w:numPr>
          <w:ilvl w:val="12"/>
          <w:numId w:val="0"/>
        </w:numPr>
        <w:tabs>
          <w:tab w:val="left" w:pos="576"/>
          <w:tab w:val="left" w:pos="960"/>
          <w:tab w:val="left" w:pos="1440"/>
          <w:tab w:val="left" w:pos="1920"/>
          <w:tab w:val="left" w:pos="5856"/>
          <w:tab w:val="left" w:pos="9120"/>
        </w:tabs>
        <w:ind w:left="576" w:hanging="576"/>
        <w:rPr>
          <w:rFonts w:ascii="Calibri" w:hAnsi="Calibri"/>
          <w:sz w:val="24"/>
          <w:szCs w:val="24"/>
        </w:rPr>
      </w:pPr>
      <w:r>
        <w:rPr>
          <w:rFonts w:ascii="Calibri" w:hAnsi="Calibri"/>
          <w:sz w:val="24"/>
          <w:szCs w:val="24"/>
        </w:rPr>
        <w:t>C.</w:t>
      </w:r>
      <w:r>
        <w:rPr>
          <w:rFonts w:ascii="Calibri" w:hAnsi="Calibri"/>
          <w:sz w:val="24"/>
          <w:szCs w:val="24"/>
        </w:rPr>
        <w:tab/>
      </w:r>
      <w:r w:rsidRPr="00A42BEC">
        <w:rPr>
          <w:rFonts w:ascii="Calibri" w:hAnsi="Calibri"/>
          <w:sz w:val="24"/>
          <w:szCs w:val="24"/>
        </w:rPr>
        <w:t xml:space="preserve">Brochure – </w:t>
      </w:r>
      <w:r w:rsidRPr="00A42BEC">
        <w:rPr>
          <w:rFonts w:ascii="Calibri" w:hAnsi="Calibri"/>
          <w:i/>
          <w:sz w:val="24"/>
          <w:szCs w:val="24"/>
        </w:rPr>
        <w:t>The U.S. Census Bureau Respects Your Privacy and Protects Your Personal Information</w:t>
      </w:r>
    </w:p>
    <w:p w:rsidRPr="00A42BEC" w:rsidR="00A42BEC" w:rsidP="00A42BEC" w:rsidRDefault="00A42BEC" w14:paraId="1BD72AF6" w14:textId="77777777">
      <w:pPr>
        <w:numPr>
          <w:ilvl w:val="12"/>
          <w:numId w:val="0"/>
        </w:numPr>
        <w:tabs>
          <w:tab w:val="left" w:pos="576"/>
          <w:tab w:val="left" w:pos="960"/>
          <w:tab w:val="left" w:pos="1440"/>
          <w:tab w:val="left" w:pos="1920"/>
          <w:tab w:val="left" w:pos="5856"/>
          <w:tab w:val="left" w:pos="9120"/>
        </w:tabs>
        <w:rPr>
          <w:rFonts w:ascii="Calibri" w:hAnsi="Calibri"/>
          <w:sz w:val="24"/>
          <w:szCs w:val="24"/>
        </w:rPr>
      </w:pPr>
    </w:p>
    <w:p w:rsidRPr="00A42BEC" w:rsidR="00A42BEC" w:rsidP="00A42BEC" w:rsidRDefault="002245E4" w14:paraId="2897EB45" w14:textId="5CF2C33D">
      <w:pPr>
        <w:numPr>
          <w:ilvl w:val="12"/>
          <w:numId w:val="0"/>
        </w:numPr>
        <w:tabs>
          <w:tab w:val="left" w:pos="576"/>
          <w:tab w:val="left" w:pos="960"/>
          <w:tab w:val="left" w:pos="1440"/>
          <w:tab w:val="left" w:pos="1920"/>
          <w:tab w:val="left" w:pos="5856"/>
          <w:tab w:val="left" w:pos="9120"/>
        </w:tabs>
        <w:ind w:left="576" w:hanging="576"/>
        <w:rPr>
          <w:rFonts w:ascii="Calibri" w:hAnsi="Calibri"/>
          <w:sz w:val="24"/>
          <w:szCs w:val="24"/>
        </w:rPr>
      </w:pPr>
      <w:r>
        <w:rPr>
          <w:rFonts w:ascii="Calibri" w:hAnsi="Calibri"/>
          <w:sz w:val="24"/>
          <w:szCs w:val="24"/>
        </w:rPr>
        <w:t>D</w:t>
      </w:r>
      <w:r w:rsidRPr="00A42BEC" w:rsidR="00A42BEC">
        <w:rPr>
          <w:rFonts w:ascii="Calibri" w:hAnsi="Calibri"/>
          <w:sz w:val="24"/>
          <w:szCs w:val="24"/>
        </w:rPr>
        <w:t xml:space="preserve">.  </w:t>
      </w:r>
      <w:r w:rsidRPr="00A42BEC" w:rsidR="00A42BEC">
        <w:rPr>
          <w:rFonts w:ascii="Calibri" w:hAnsi="Calibri"/>
          <w:sz w:val="24"/>
          <w:szCs w:val="24"/>
        </w:rPr>
        <w:tab/>
      </w:r>
      <w:r w:rsidR="00A42BEC">
        <w:rPr>
          <w:rFonts w:ascii="Calibri" w:hAnsi="Calibri"/>
          <w:sz w:val="24"/>
          <w:szCs w:val="24"/>
        </w:rPr>
        <w:t>Source of the Data and Accuracy of the Estimates</w:t>
      </w:r>
      <w:r w:rsidR="008657D9">
        <w:rPr>
          <w:rFonts w:ascii="Calibri" w:hAnsi="Calibri"/>
          <w:sz w:val="24"/>
          <w:szCs w:val="24"/>
        </w:rPr>
        <w:t>, October 2020</w:t>
      </w:r>
      <w:r w:rsidRPr="00A42BEC" w:rsidR="00A42BEC">
        <w:rPr>
          <w:rFonts w:ascii="Calibri" w:hAnsi="Calibri"/>
          <w:sz w:val="24"/>
          <w:szCs w:val="24"/>
        </w:rPr>
        <w:t xml:space="preserve">) </w:t>
      </w:r>
    </w:p>
    <w:p w:rsidRPr="00A42BEC" w:rsidR="00A42BEC" w:rsidP="00A42BEC" w:rsidRDefault="00A42BEC" w14:paraId="67298FFA" w14:textId="77777777">
      <w:pPr>
        <w:numPr>
          <w:ilvl w:val="12"/>
          <w:numId w:val="0"/>
        </w:numPr>
        <w:tabs>
          <w:tab w:val="left" w:pos="576"/>
          <w:tab w:val="left" w:pos="960"/>
          <w:tab w:val="left" w:pos="1440"/>
          <w:tab w:val="left" w:pos="1920"/>
          <w:tab w:val="left" w:pos="5856"/>
          <w:tab w:val="left" w:pos="9120"/>
        </w:tabs>
        <w:rPr>
          <w:rFonts w:ascii="Calibri" w:hAnsi="Calibri"/>
          <w:sz w:val="24"/>
          <w:szCs w:val="24"/>
        </w:rPr>
      </w:pPr>
    </w:p>
    <w:p w:rsidRPr="00392C3D" w:rsidR="00A42BEC" w:rsidP="00392C3D" w:rsidRDefault="002245E4" w14:paraId="649AD1B1" w14:textId="1011FAE9">
      <w:pPr>
        <w:numPr>
          <w:ilvl w:val="12"/>
          <w:numId w:val="0"/>
        </w:numPr>
        <w:tabs>
          <w:tab w:val="left" w:pos="576"/>
          <w:tab w:val="left" w:pos="960"/>
          <w:tab w:val="left" w:pos="1440"/>
          <w:tab w:val="left" w:pos="1920"/>
          <w:tab w:val="left" w:pos="5856"/>
          <w:tab w:val="left" w:pos="9120"/>
        </w:tabs>
        <w:ind w:left="576" w:hanging="576"/>
        <w:rPr>
          <w:rFonts w:ascii="Calibri" w:hAnsi="Calibri"/>
          <w:sz w:val="24"/>
          <w:szCs w:val="24"/>
        </w:rPr>
      </w:pPr>
      <w:r>
        <w:rPr>
          <w:rFonts w:ascii="Calibri" w:hAnsi="Calibri"/>
          <w:sz w:val="24"/>
          <w:szCs w:val="24"/>
        </w:rPr>
        <w:t>E</w:t>
      </w:r>
      <w:r w:rsidRPr="00A42BEC" w:rsidR="00A42BEC">
        <w:rPr>
          <w:rFonts w:ascii="Calibri" w:hAnsi="Calibri"/>
          <w:sz w:val="24"/>
          <w:szCs w:val="24"/>
        </w:rPr>
        <w:t>.</w:t>
      </w:r>
      <w:r w:rsidRPr="00A42BEC" w:rsidR="00A42BEC">
        <w:rPr>
          <w:rFonts w:ascii="Calibri" w:hAnsi="Calibri"/>
          <w:sz w:val="24"/>
          <w:szCs w:val="24"/>
        </w:rPr>
        <w:tab/>
      </w:r>
      <w:r w:rsidRPr="00A42BEC">
        <w:rPr>
          <w:rFonts w:ascii="Calibri" w:hAnsi="Calibri"/>
          <w:sz w:val="24"/>
          <w:szCs w:val="24"/>
        </w:rPr>
        <w:t>Overview of 2010 CPS Sample Design and Methodology</w:t>
      </w:r>
    </w:p>
    <w:p w:rsidR="008657D9" w:rsidP="00A42BEC" w:rsidRDefault="008657D9" w14:paraId="1B0A9BBE" w14:textId="0105755C">
      <w:pPr>
        <w:numPr>
          <w:ilvl w:val="12"/>
          <w:numId w:val="0"/>
        </w:numPr>
        <w:tabs>
          <w:tab w:val="left" w:pos="576"/>
          <w:tab w:val="left" w:pos="960"/>
          <w:tab w:val="left" w:pos="1440"/>
          <w:tab w:val="left" w:pos="1920"/>
          <w:tab w:val="left" w:pos="5856"/>
          <w:tab w:val="left" w:pos="9120"/>
        </w:tabs>
        <w:rPr>
          <w:rFonts w:ascii="Calibri" w:hAnsi="Calibri"/>
          <w:iCs/>
          <w:sz w:val="24"/>
          <w:szCs w:val="24"/>
        </w:rPr>
      </w:pPr>
    </w:p>
    <w:p w:rsidRPr="00A42BEC" w:rsidR="00A42BEC" w:rsidP="00360982" w:rsidRDefault="00A42BEC" w14:paraId="463EBF3E" w14:textId="77777777">
      <w:pPr>
        <w:numPr>
          <w:ilvl w:val="12"/>
          <w:numId w:val="0"/>
        </w:numPr>
        <w:tabs>
          <w:tab w:val="left" w:pos="360"/>
          <w:tab w:val="left" w:pos="480"/>
          <w:tab w:val="left" w:pos="960"/>
          <w:tab w:val="left" w:pos="1440"/>
          <w:tab w:val="left" w:pos="1920"/>
          <w:tab w:val="left" w:pos="2400"/>
          <w:tab w:val="left" w:pos="5850"/>
          <w:tab w:val="left" w:pos="9240"/>
        </w:tabs>
        <w:rPr>
          <w:rFonts w:asciiTheme="minorHAnsi" w:hAnsiTheme="minorHAnsi"/>
          <w:sz w:val="24"/>
          <w:szCs w:val="24"/>
        </w:rPr>
      </w:pPr>
    </w:p>
    <w:sectPr w:rsidRPr="00A42BEC" w:rsidR="00A42BEC" w:rsidSect="00942196">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B05EE" w14:textId="77777777" w:rsidR="00BC1E42" w:rsidRDefault="00BC1E42" w:rsidP="00BC1E42">
      <w:r>
        <w:separator/>
      </w:r>
    </w:p>
  </w:endnote>
  <w:endnote w:type="continuationSeparator" w:id="0">
    <w:p w14:paraId="4E775030" w14:textId="77777777" w:rsidR="00BC1E42" w:rsidRDefault="00BC1E42" w:rsidP="00BC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ED33" w14:textId="77777777" w:rsidR="00CE1A1A" w:rsidRDefault="00CE1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367147"/>
      <w:docPartObj>
        <w:docPartGallery w:val="Page Numbers (Bottom of Page)"/>
        <w:docPartUnique/>
      </w:docPartObj>
    </w:sdtPr>
    <w:sdtEndPr>
      <w:rPr>
        <w:noProof/>
      </w:rPr>
    </w:sdtEndPr>
    <w:sdtContent>
      <w:p w14:paraId="4EF2AB1E" w14:textId="77777777" w:rsidR="00B90413" w:rsidRDefault="00B90413">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14:paraId="4E9B7530" w14:textId="77777777" w:rsidR="00BC1E42" w:rsidRDefault="00BC1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FD9E" w14:textId="77777777" w:rsidR="00CE1A1A" w:rsidRDefault="00CE1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DD29" w14:textId="77777777" w:rsidR="00BC1E42" w:rsidRDefault="00BC1E42" w:rsidP="00BC1E42">
      <w:r>
        <w:separator/>
      </w:r>
    </w:p>
  </w:footnote>
  <w:footnote w:type="continuationSeparator" w:id="0">
    <w:p w14:paraId="4C804061" w14:textId="77777777" w:rsidR="00BC1E42" w:rsidRDefault="00BC1E42" w:rsidP="00BC1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8435" w14:textId="77777777" w:rsidR="00CE1A1A" w:rsidRDefault="00CE1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9CD7" w14:textId="003BDD28" w:rsidR="00CE1A1A" w:rsidRDefault="00CE1A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9A6B" w14:textId="77777777" w:rsidR="00CE1A1A" w:rsidRDefault="00CE1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534"/>
    <w:multiLevelType w:val="hybridMultilevel"/>
    <w:tmpl w:val="3006C630"/>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54724"/>
    <w:rsid w:val="000B2AA7"/>
    <w:rsid w:val="00130530"/>
    <w:rsid w:val="00183D89"/>
    <w:rsid w:val="002245E4"/>
    <w:rsid w:val="003555CC"/>
    <w:rsid w:val="00360982"/>
    <w:rsid w:val="00392C3D"/>
    <w:rsid w:val="003B309E"/>
    <w:rsid w:val="00403DDD"/>
    <w:rsid w:val="00442F57"/>
    <w:rsid w:val="005367D0"/>
    <w:rsid w:val="00615B02"/>
    <w:rsid w:val="00677C42"/>
    <w:rsid w:val="00776B92"/>
    <w:rsid w:val="007B36BA"/>
    <w:rsid w:val="00837B80"/>
    <w:rsid w:val="008657D9"/>
    <w:rsid w:val="00942196"/>
    <w:rsid w:val="00A057FA"/>
    <w:rsid w:val="00A42BEC"/>
    <w:rsid w:val="00A63C05"/>
    <w:rsid w:val="00B90413"/>
    <w:rsid w:val="00B955B7"/>
    <w:rsid w:val="00BB587A"/>
    <w:rsid w:val="00BC1E42"/>
    <w:rsid w:val="00BD468B"/>
    <w:rsid w:val="00CE1A1A"/>
    <w:rsid w:val="00D018A1"/>
    <w:rsid w:val="00E023A4"/>
    <w:rsid w:val="00E943C0"/>
    <w:rsid w:val="00EA52F9"/>
    <w:rsid w:val="00FB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318075"/>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RUT7PQCQP6TS-1120628556-191</_dlc_DocId>
    <_dlc_DocIdUrl xmlns="6e791d5b-3bd7-4d87-b80d-5e4c71e4c5f9">
      <Url>https://uscensus.sharepoint.com/sites/pco/PRAintranet/_layouts/15/DocIdRedir.aspx?ID=RUT7PQCQP6TS-1120628556-191</Url>
      <Description>RUT7PQCQP6TS-1120628556-191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CDF7C-A524-4C82-A864-B81CABA0B5DB}">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customXml/itemProps2.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3.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4.xml><?xml version="1.0" encoding="utf-8"?>
<ds:datastoreItem xmlns:ds="http://schemas.openxmlformats.org/officeDocument/2006/customXml" ds:itemID="{F1870581-78B0-426C-B609-3B4B52A9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5DCCEA-1416-48A5-B455-6A7E0F83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Tim J Marshall (CENSUS/ADDP FED)</cp:lastModifiedBy>
  <cp:revision>8</cp:revision>
  <dcterms:created xsi:type="dcterms:W3CDTF">2022-03-02T19:06:00Z</dcterms:created>
  <dcterms:modified xsi:type="dcterms:W3CDTF">2022-03-21T20:49:00Z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5a86410b-1247-43c2-ad4e-0d29e9645750</vt:lpwstr>
  </property>
</Properties>
</file>