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3FDEDA06"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635EEE1F"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4BE20236"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305154" w14:paraId="387BC17C" w14:textId="77777777">
      <w:pPr>
        <w:spacing w:line="259" w:lineRule="auto"/>
        <w:ind w:hanging="6"/>
        <w:jc w:val="center"/>
        <w:rPr>
          <w:rFonts w:ascii="Times New Roman" w:hAnsi="Times New Roman" w:cs="Times New Roman"/>
          <w:b/>
          <w:sz w:val="24"/>
          <w:szCs w:val="24"/>
        </w:rPr>
      </w:pPr>
      <w:proofErr w:type="spellStart"/>
      <w:r>
        <w:rPr>
          <w:rFonts w:ascii="Times New Roman" w:hAnsi="Times New Roman" w:cs="Times New Roman"/>
          <w:b/>
          <w:sz w:val="24"/>
          <w:szCs w:val="24"/>
        </w:rPr>
        <w:t>Groundfish</w:t>
      </w:r>
      <w:proofErr w:type="spellEnd"/>
      <w:r>
        <w:rPr>
          <w:rFonts w:ascii="Times New Roman" w:hAnsi="Times New Roman" w:cs="Times New Roman"/>
          <w:b/>
          <w:sz w:val="24"/>
          <w:szCs w:val="24"/>
        </w:rPr>
        <w:t xml:space="preserve"> Tagging Program</w:t>
      </w:r>
    </w:p>
    <w:p w:rsidRPr="00BD7237" w:rsidR="008E61C9" w:rsidP="00BD7237" w:rsidRDefault="001477A3" w14:paraId="7EBA9327"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305154">
        <w:rPr>
          <w:rFonts w:ascii="Times New Roman" w:hAnsi="Times New Roman" w:cs="Times New Roman"/>
          <w:b/>
          <w:sz w:val="24"/>
          <w:szCs w:val="24"/>
        </w:rPr>
        <w:t>0276</w:t>
      </w:r>
    </w:p>
    <w:p w:rsidRPr="00BD7237" w:rsidR="008E61C9" w:rsidP="00BD7237" w:rsidRDefault="001477A3" w14:paraId="56AC2897"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Pr="00AC7E86" w:rsidR="002B7272" w:rsidP="002B7272" w:rsidRDefault="002B7272" w14:paraId="259E1893" w14:textId="77777777">
      <w:pPr>
        <w:rPr>
          <w:rFonts w:ascii="Times New Roman" w:hAnsi="Times New Roman"/>
          <w:sz w:val="24"/>
          <w:szCs w:val="24"/>
        </w:rPr>
      </w:pPr>
      <w:r w:rsidRPr="00AC7E86">
        <w:rPr>
          <w:rFonts w:ascii="Times New Roman" w:hAnsi="Times New Roman"/>
          <w:sz w:val="24"/>
          <w:szCs w:val="24"/>
        </w:rPr>
        <w:t>Beginning with the passage of the Magnuson-Stevens Fishery Conservation and Management Act</w:t>
      </w:r>
      <w:r>
        <w:rPr>
          <w:rFonts w:ascii="Times New Roman" w:hAnsi="Times New Roman"/>
          <w:sz w:val="24"/>
          <w:szCs w:val="24"/>
        </w:rPr>
        <w:t xml:space="preserve"> (MSA)</w:t>
      </w:r>
      <w:r w:rsidRPr="00AC7E86">
        <w:rPr>
          <w:rFonts w:ascii="Times New Roman" w:hAnsi="Times New Roman"/>
          <w:sz w:val="24"/>
          <w:szCs w:val="24"/>
        </w:rPr>
        <w:t xml:space="preserve">, 16 U.S.C. 1801 </w:t>
      </w:r>
      <w:r w:rsidRPr="00AC7E86">
        <w:rPr>
          <w:rFonts w:ascii="Times New Roman" w:hAnsi="Times New Roman"/>
          <w:i/>
          <w:sz w:val="24"/>
          <w:szCs w:val="24"/>
        </w:rPr>
        <w:t>et seq</w:t>
      </w:r>
      <w:r w:rsidRPr="00AC7E86">
        <w:rPr>
          <w:rFonts w:ascii="Times New Roman" w:hAnsi="Times New Roman"/>
          <w:sz w:val="24"/>
          <w:szCs w:val="24"/>
        </w:rPr>
        <w:t xml:space="preserve">. (MSA) in 1976, the Secretary of Commerce (Secretary) has undertaken a set of objectives for the conservation and management of marine fishery resources.  Under this </w:t>
      </w:r>
      <w:r>
        <w:rPr>
          <w:rFonts w:ascii="Times New Roman" w:hAnsi="Times New Roman"/>
          <w:sz w:val="24"/>
          <w:szCs w:val="24"/>
        </w:rPr>
        <w:t>stewardship role of one of the n</w:t>
      </w:r>
      <w:r w:rsidRPr="00AC7E86">
        <w:rPr>
          <w:rFonts w:ascii="Times New Roman" w:hAnsi="Times New Roman"/>
          <w:sz w:val="24"/>
          <w:szCs w:val="24"/>
        </w:rPr>
        <w:t xml:space="preserve">ation's natural resources, the Secretary </w:t>
      </w:r>
      <w:proofErr w:type="gramStart"/>
      <w:r w:rsidRPr="00AC7E86">
        <w:rPr>
          <w:rFonts w:ascii="Times New Roman" w:hAnsi="Times New Roman"/>
          <w:sz w:val="24"/>
          <w:szCs w:val="24"/>
        </w:rPr>
        <w:t>was given</w:t>
      </w:r>
      <w:proofErr w:type="gramEnd"/>
      <w:r w:rsidRPr="00AC7E86">
        <w:rPr>
          <w:rFonts w:ascii="Times New Roman" w:hAnsi="Times New Roman"/>
          <w:sz w:val="24"/>
          <w:szCs w:val="24"/>
        </w:rPr>
        <w:t xml:space="preserve"> certain regulatory authorities to ensure the most beneficial uses of these resour</w:t>
      </w:r>
      <w:r>
        <w:rPr>
          <w:rFonts w:ascii="Times New Roman" w:hAnsi="Times New Roman"/>
          <w:sz w:val="24"/>
          <w:szCs w:val="24"/>
        </w:rPr>
        <w:t xml:space="preserve">ces through regional councils. </w:t>
      </w:r>
      <w:r w:rsidRPr="00AC7E86">
        <w:rPr>
          <w:rFonts w:ascii="Times New Roman" w:hAnsi="Times New Roman"/>
          <w:sz w:val="24"/>
          <w:szCs w:val="24"/>
        </w:rPr>
        <w:t xml:space="preserve">The North Pacific Fishery Management Council (Council) has prepared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Fishery Management Plans (FMPs) for fisheries in the exclusive economic zone (EEZ) off Alaska</w:t>
      </w:r>
      <w:r>
        <w:rPr>
          <w:rFonts w:ascii="Times New Roman" w:hAnsi="Times New Roman"/>
          <w:sz w:val="24"/>
          <w:szCs w:val="24"/>
        </w:rPr>
        <w:t xml:space="preserve">. </w:t>
      </w:r>
      <w:r w:rsidRPr="00AC7E86">
        <w:rPr>
          <w:rFonts w:ascii="Times New Roman" w:hAnsi="Times New Roman"/>
          <w:sz w:val="24"/>
          <w:szCs w:val="24"/>
        </w:rPr>
        <w:t xml:space="preserve">These </w:t>
      </w:r>
      <w:r>
        <w:rPr>
          <w:rFonts w:ascii="Times New Roman" w:hAnsi="Times New Roman"/>
          <w:sz w:val="24"/>
          <w:szCs w:val="24"/>
        </w:rPr>
        <w:t>FMPs</w:t>
      </w:r>
      <w:r w:rsidRPr="00AC7E86">
        <w:rPr>
          <w:rFonts w:ascii="Times New Roman" w:hAnsi="Times New Roman"/>
          <w:sz w:val="24"/>
          <w:szCs w:val="24"/>
        </w:rPr>
        <w:t xml:space="preserve"> </w:t>
      </w:r>
      <w:proofErr w:type="gramStart"/>
      <w:r w:rsidRPr="00AC7E86">
        <w:rPr>
          <w:rFonts w:ascii="Times New Roman" w:hAnsi="Times New Roman"/>
          <w:sz w:val="24"/>
          <w:szCs w:val="24"/>
        </w:rPr>
        <w:t>are implemented</w:t>
      </w:r>
      <w:proofErr w:type="gramEnd"/>
      <w:r w:rsidRPr="00AC7E86">
        <w:rPr>
          <w:rFonts w:ascii="Times New Roman" w:hAnsi="Times New Roman"/>
          <w:sz w:val="24"/>
          <w:szCs w:val="24"/>
        </w:rPr>
        <w:t xml:space="preserve"> by r</w:t>
      </w:r>
      <w:r>
        <w:rPr>
          <w:rFonts w:ascii="Times New Roman" w:hAnsi="Times New Roman"/>
          <w:sz w:val="24"/>
          <w:szCs w:val="24"/>
        </w:rPr>
        <w:t xml:space="preserve">egulations at 50 CFR part 679. </w:t>
      </w:r>
      <w:r w:rsidRPr="00AC7E86">
        <w:rPr>
          <w:rFonts w:ascii="Times New Roman" w:hAnsi="Times New Roman"/>
          <w:sz w:val="24"/>
          <w:szCs w:val="24"/>
        </w:rPr>
        <w:t>General regulations that also pertain to these fisheries appear in subpart H of 50 CFR part 600.</w:t>
      </w:r>
    </w:p>
    <w:p w:rsidRPr="00AC7E86" w:rsidR="002B7272" w:rsidP="002B7272" w:rsidRDefault="002B7272" w14:paraId="3D219293" w14:textId="77777777">
      <w:pPr>
        <w:rPr>
          <w:rFonts w:ascii="Times New Roman" w:hAnsi="Times New Roman"/>
          <w:sz w:val="24"/>
          <w:szCs w:val="24"/>
        </w:rPr>
      </w:pPr>
    </w:p>
    <w:p w:rsidR="002B7272" w:rsidP="002B7272" w:rsidRDefault="002B7272" w14:paraId="4C00DCB4" w14:textId="77777777">
      <w:pPr>
        <w:rPr>
          <w:rFonts w:ascii="Times New Roman" w:hAnsi="Times New Roman"/>
          <w:sz w:val="24"/>
          <w:szCs w:val="24"/>
        </w:rPr>
      </w:pPr>
      <w:r w:rsidRPr="00AC7E86">
        <w:rPr>
          <w:rFonts w:ascii="Times New Roman" w:hAnsi="Times New Roman"/>
          <w:sz w:val="24"/>
          <w:szCs w:val="24"/>
        </w:rPr>
        <w:t xml:space="preserve">The </w:t>
      </w:r>
      <w:r>
        <w:rPr>
          <w:rFonts w:ascii="Times New Roman" w:hAnsi="Times New Roman"/>
          <w:sz w:val="24"/>
          <w:szCs w:val="24"/>
        </w:rPr>
        <w:t>National Marine Fisheries Service (</w:t>
      </w:r>
      <w:r w:rsidRPr="00AC7E86">
        <w:rPr>
          <w:rFonts w:ascii="Times New Roman" w:hAnsi="Times New Roman"/>
          <w:sz w:val="24"/>
          <w:szCs w:val="24"/>
        </w:rPr>
        <w:t>NMFS</w:t>
      </w:r>
      <w:r>
        <w:rPr>
          <w:rFonts w:ascii="Times New Roman" w:hAnsi="Times New Roman"/>
          <w:sz w:val="24"/>
          <w:szCs w:val="24"/>
        </w:rPr>
        <w:t>)</w:t>
      </w:r>
      <w:r w:rsidRPr="00AC7E86">
        <w:rPr>
          <w:rFonts w:ascii="Times New Roman" w:hAnsi="Times New Roman"/>
          <w:sz w:val="24"/>
          <w:szCs w:val="24"/>
        </w:rPr>
        <w:t xml:space="preserv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Tagging Program provides scientists with information necessary for effective conservation, management, and scientific understanding of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fishery resources off Alaska</w:t>
      </w:r>
      <w:r>
        <w:rPr>
          <w:rFonts w:ascii="Times New Roman" w:hAnsi="Times New Roman"/>
          <w:sz w:val="24"/>
          <w:szCs w:val="24"/>
        </w:rPr>
        <w:t xml:space="preserve">. </w:t>
      </w:r>
      <w:r w:rsidRPr="00AC7E86">
        <w:rPr>
          <w:rFonts w:ascii="Times New Roman" w:hAnsi="Times New Roman"/>
          <w:sz w:val="24"/>
          <w:szCs w:val="24"/>
        </w:rPr>
        <w:t xml:space="preserve">The collection of information for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Tagging Program has been in operation since the e</w:t>
      </w:r>
      <w:r>
        <w:rPr>
          <w:rFonts w:ascii="Times New Roman" w:hAnsi="Times New Roman"/>
          <w:sz w:val="24"/>
          <w:szCs w:val="24"/>
        </w:rPr>
        <w:t xml:space="preserve">arly 1970s. </w:t>
      </w:r>
    </w:p>
    <w:p w:rsidRPr="00AC7E86" w:rsidR="002B7272" w:rsidP="002B7272" w:rsidRDefault="002B7272" w14:paraId="581FD449" w14:textId="77777777">
      <w:pPr>
        <w:rPr>
          <w:rFonts w:ascii="Times New Roman" w:hAnsi="Times New Roman"/>
          <w:sz w:val="24"/>
          <w:szCs w:val="24"/>
        </w:rPr>
      </w:pPr>
    </w:p>
    <w:p w:rsidRPr="00AC7E86" w:rsidR="002B7272" w:rsidP="002B7272" w:rsidRDefault="002B7272" w14:paraId="581FC7C4" w14:textId="77777777">
      <w:pPr>
        <w:rPr>
          <w:rFonts w:ascii="Times New Roman" w:hAnsi="Times New Roman"/>
          <w:sz w:val="24"/>
          <w:szCs w:val="24"/>
        </w:rPr>
      </w:pPr>
      <w:r>
        <w:rPr>
          <w:rFonts w:ascii="Times New Roman" w:hAnsi="Times New Roman"/>
          <w:sz w:val="24"/>
          <w:szCs w:val="24"/>
        </w:rPr>
        <w:t xml:space="preserve">This collection covers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Tagging Program </w:t>
      </w:r>
      <w:r>
        <w:rPr>
          <w:rFonts w:ascii="Times New Roman" w:hAnsi="Times New Roman"/>
          <w:sz w:val="24"/>
          <w:szCs w:val="24"/>
        </w:rPr>
        <w:t>along</w:t>
      </w:r>
      <w:r w:rsidRPr="00AC7E86">
        <w:rPr>
          <w:rFonts w:ascii="Times New Roman" w:hAnsi="Times New Roman"/>
          <w:sz w:val="24"/>
          <w:szCs w:val="24"/>
        </w:rPr>
        <w:t xml:space="preserve"> the north</w:t>
      </w:r>
      <w:r>
        <w:rPr>
          <w:rFonts w:ascii="Times New Roman" w:hAnsi="Times New Roman"/>
          <w:sz w:val="24"/>
          <w:szCs w:val="24"/>
        </w:rPr>
        <w:t xml:space="preserve">east Pacific coast and Alaska. </w:t>
      </w:r>
      <w:r w:rsidRPr="00AC7E86">
        <w:rPr>
          <w:rFonts w:ascii="Times New Roman" w:hAnsi="Times New Roman"/>
          <w:sz w:val="24"/>
          <w:szCs w:val="24"/>
        </w:rPr>
        <w:t xml:space="preserve">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tagging and tag recovery program is part of the fishery resource assessment that NMFS conducts under the </w:t>
      </w:r>
      <w:r>
        <w:rPr>
          <w:rFonts w:ascii="Times New Roman" w:hAnsi="Times New Roman"/>
          <w:sz w:val="24"/>
          <w:szCs w:val="24"/>
        </w:rPr>
        <w:t>MSA</w:t>
      </w:r>
      <w:r w:rsidRPr="00AC7E86">
        <w:rPr>
          <w:rFonts w:ascii="Times New Roman" w:hAnsi="Times New Roman"/>
          <w:sz w:val="24"/>
          <w:szCs w:val="24"/>
        </w:rPr>
        <w:t xml:space="preserve"> authority as codified in 16 U.</w:t>
      </w:r>
      <w:r>
        <w:rPr>
          <w:rFonts w:ascii="Times New Roman" w:hAnsi="Times New Roman"/>
          <w:sz w:val="24"/>
          <w:szCs w:val="24"/>
        </w:rPr>
        <w:t>S.C. 1854 (e) and 1801 (a</w:t>
      </w:r>
      <w:proofErr w:type="gramStart"/>
      <w:r>
        <w:rPr>
          <w:rFonts w:ascii="Times New Roman" w:hAnsi="Times New Roman"/>
          <w:sz w:val="24"/>
          <w:szCs w:val="24"/>
        </w:rPr>
        <w:t>)(</w:t>
      </w:r>
      <w:proofErr w:type="gramEnd"/>
      <w:r>
        <w:rPr>
          <w:rFonts w:ascii="Times New Roman" w:hAnsi="Times New Roman"/>
          <w:sz w:val="24"/>
          <w:szCs w:val="24"/>
        </w:rPr>
        <w:t xml:space="preserve">8). </w:t>
      </w:r>
      <w:r w:rsidRPr="00AC7E86">
        <w:rPr>
          <w:rFonts w:ascii="Times New Roman" w:hAnsi="Times New Roman"/>
          <w:sz w:val="24"/>
          <w:szCs w:val="24"/>
        </w:rPr>
        <w:t xml:space="preserve">The program is </w:t>
      </w:r>
      <w:r>
        <w:rPr>
          <w:rFonts w:ascii="Times New Roman" w:hAnsi="Times New Roman"/>
          <w:sz w:val="24"/>
          <w:szCs w:val="24"/>
        </w:rPr>
        <w:t>under</w:t>
      </w:r>
      <w:r w:rsidRPr="00AC7E86">
        <w:rPr>
          <w:rFonts w:ascii="Times New Roman" w:hAnsi="Times New Roman"/>
          <w:sz w:val="24"/>
          <w:szCs w:val="24"/>
        </w:rPr>
        <w:t xml:space="preserve"> </w:t>
      </w:r>
      <w:r>
        <w:rPr>
          <w:rFonts w:ascii="Times New Roman" w:hAnsi="Times New Roman"/>
          <w:sz w:val="24"/>
          <w:szCs w:val="24"/>
        </w:rPr>
        <w:t>the National Oceanic and Atmospheric Administration (</w:t>
      </w:r>
      <w:r w:rsidRPr="00AC7E86">
        <w:rPr>
          <w:rFonts w:ascii="Times New Roman" w:hAnsi="Times New Roman"/>
          <w:sz w:val="24"/>
          <w:szCs w:val="24"/>
        </w:rPr>
        <w:t>NOAA</w:t>
      </w:r>
      <w:r>
        <w:rPr>
          <w:rFonts w:ascii="Times New Roman" w:hAnsi="Times New Roman"/>
          <w:sz w:val="24"/>
          <w:szCs w:val="24"/>
        </w:rPr>
        <w:t>)</w:t>
      </w:r>
      <w:r w:rsidRPr="00AC7E86">
        <w:rPr>
          <w:rFonts w:ascii="Times New Roman" w:hAnsi="Times New Roman"/>
          <w:sz w:val="24"/>
          <w:szCs w:val="24"/>
        </w:rPr>
        <w:t xml:space="preserve"> Operations, Research, and Facilities </w:t>
      </w:r>
      <w:proofErr w:type="gramStart"/>
      <w:r w:rsidRPr="00AC7E86">
        <w:rPr>
          <w:rFonts w:ascii="Times New Roman" w:hAnsi="Times New Roman"/>
          <w:sz w:val="24"/>
          <w:szCs w:val="24"/>
        </w:rPr>
        <w:t>Appropriation which</w:t>
      </w:r>
      <w:proofErr w:type="gramEnd"/>
      <w:r w:rsidRPr="00AC7E86">
        <w:rPr>
          <w:rFonts w:ascii="Times New Roman" w:hAnsi="Times New Roman"/>
          <w:sz w:val="24"/>
          <w:szCs w:val="24"/>
        </w:rPr>
        <w:t xml:space="preserve"> is available for necessary expenses of activities authorized by law. </w:t>
      </w:r>
    </w:p>
    <w:p w:rsidRPr="00BD7237" w:rsidR="008E61C9" w:rsidP="00BD7237" w:rsidRDefault="001477A3" w14:paraId="563F7C79"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5C9718BA"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5154" w:rsidP="002B7272" w:rsidRDefault="00305154" w14:paraId="2B9C918E" w14:textId="77777777">
      <w:pPr>
        <w:ind w:left="131"/>
        <w:rPr>
          <w:rFonts w:ascii="Times New Roman" w:hAnsi="Times New Roman"/>
          <w:sz w:val="24"/>
          <w:szCs w:val="24"/>
        </w:rPr>
      </w:pPr>
    </w:p>
    <w:p w:rsidRPr="002B7272" w:rsidR="002B7272" w:rsidP="002B7272" w:rsidRDefault="002B7272" w14:paraId="3088C356" w14:textId="77777777">
      <w:pPr>
        <w:ind w:left="131"/>
        <w:rPr>
          <w:rFonts w:ascii="Times New Roman" w:hAnsi="Times New Roman"/>
          <w:sz w:val="24"/>
          <w:szCs w:val="24"/>
        </w:rPr>
      </w:pPr>
      <w:r w:rsidRPr="002B7272">
        <w:rPr>
          <w:rFonts w:ascii="Times New Roman" w:hAnsi="Times New Roman"/>
          <w:sz w:val="24"/>
          <w:szCs w:val="24"/>
        </w:rPr>
        <w:t xml:space="preserve">This collection involves the submission of tag recovery information from the public.  Each year, thousands of fish </w:t>
      </w:r>
      <w:proofErr w:type="gramStart"/>
      <w:r w:rsidRPr="002B7272">
        <w:rPr>
          <w:rFonts w:ascii="Times New Roman" w:hAnsi="Times New Roman"/>
          <w:sz w:val="24"/>
          <w:szCs w:val="24"/>
        </w:rPr>
        <w:t>are caught</w:t>
      </w:r>
      <w:proofErr w:type="gramEnd"/>
      <w:r w:rsidRPr="002B7272">
        <w:rPr>
          <w:rFonts w:ascii="Times New Roman" w:hAnsi="Times New Roman"/>
          <w:sz w:val="24"/>
          <w:szCs w:val="24"/>
        </w:rPr>
        <w:t xml:space="preserve"> during NMFS stock assessment surveys.  These fish </w:t>
      </w:r>
      <w:proofErr w:type="gramStart"/>
      <w:r w:rsidRPr="002B7272">
        <w:rPr>
          <w:rFonts w:ascii="Times New Roman" w:hAnsi="Times New Roman"/>
          <w:sz w:val="24"/>
          <w:szCs w:val="24"/>
        </w:rPr>
        <w:t>are weighed and measured,</w:t>
      </w:r>
      <w:proofErr w:type="gramEnd"/>
      <w:r w:rsidRPr="002B7272">
        <w:rPr>
          <w:rFonts w:ascii="Times New Roman" w:hAnsi="Times New Roman"/>
          <w:sz w:val="24"/>
          <w:szCs w:val="24"/>
        </w:rPr>
        <w:t xml:space="preserve"> and their sex is determined.  Fish that appear healthy and uninjured </w:t>
      </w:r>
      <w:proofErr w:type="gramStart"/>
      <w:r w:rsidRPr="002B7272">
        <w:rPr>
          <w:rFonts w:ascii="Times New Roman" w:hAnsi="Times New Roman"/>
          <w:sz w:val="24"/>
          <w:szCs w:val="24"/>
        </w:rPr>
        <w:t>are tagged</w:t>
      </w:r>
      <w:proofErr w:type="gramEnd"/>
      <w:r w:rsidRPr="002B7272">
        <w:rPr>
          <w:rFonts w:ascii="Times New Roman" w:hAnsi="Times New Roman"/>
          <w:sz w:val="24"/>
          <w:szCs w:val="24"/>
        </w:rPr>
        <w:t xml:space="preserve"> before being released back into the wild.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and seafood processors subsequently find the tagged fish.  By returning the tag to NMFS, along with information on when and where the fish was caught and the size and weight of the fish, these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and processors provide extremely valuable information to fishery scientists and managers.</w:t>
      </w:r>
    </w:p>
    <w:p w:rsidRPr="002B7272" w:rsidR="002B7272" w:rsidP="002B7272" w:rsidRDefault="002B7272" w14:paraId="09BA906A" w14:textId="77777777">
      <w:pPr>
        <w:ind w:left="131"/>
        <w:rPr>
          <w:rFonts w:ascii="Times New Roman" w:hAnsi="Times New Roman"/>
          <w:sz w:val="24"/>
          <w:szCs w:val="24"/>
        </w:rPr>
      </w:pPr>
    </w:p>
    <w:p w:rsidRPr="002B7272" w:rsidR="002B7272" w:rsidP="002B7272" w:rsidRDefault="002B7272" w14:paraId="5542E1A3" w14:textId="77777777">
      <w:pPr>
        <w:ind w:left="131"/>
        <w:rPr>
          <w:rFonts w:ascii="Times New Roman" w:hAnsi="Times New Roman"/>
          <w:sz w:val="24"/>
          <w:szCs w:val="24"/>
        </w:rPr>
      </w:pP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tagging programs in the northeastern Pacific Ocean and Alaska waters provide essential research data on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life histories and migration patterns that are necessary for implementing management regimes. To be most cost effective, tagging of sablefish and other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is usually accomplished on board NOAA and NMFS chartered survey vessels as one </w:t>
      </w:r>
      <w:proofErr w:type="gramStart"/>
      <w:r w:rsidRPr="002B7272">
        <w:rPr>
          <w:rFonts w:ascii="Times New Roman" w:hAnsi="Times New Roman"/>
          <w:sz w:val="24"/>
          <w:szCs w:val="24"/>
        </w:rPr>
        <w:t>of  many</w:t>
      </w:r>
      <w:proofErr w:type="gramEnd"/>
      <w:r w:rsidRPr="002B7272">
        <w:rPr>
          <w:rFonts w:ascii="Times New Roman" w:hAnsi="Times New Roman"/>
          <w:sz w:val="24"/>
          <w:szCs w:val="24"/>
        </w:rPr>
        <w:t xml:space="preserve"> data collection tasks performed during the surveys. Tagging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for subsequent tracking and recovery is an important tool for managing fishery resources and the information gathered has resulted in numerous scientific and management publications by NMFS personnel.</w:t>
      </w:r>
    </w:p>
    <w:p w:rsidRPr="002B7272" w:rsidR="002B7272" w:rsidP="002B7272" w:rsidRDefault="002B7272" w14:paraId="01D70DB9" w14:textId="77777777">
      <w:pPr>
        <w:ind w:left="131"/>
        <w:rPr>
          <w:rFonts w:ascii="Times New Roman" w:hAnsi="Times New Roman"/>
          <w:sz w:val="24"/>
          <w:szCs w:val="24"/>
        </w:rPr>
      </w:pPr>
    </w:p>
    <w:p w:rsidRPr="002B7272" w:rsidR="002B7272" w:rsidP="002B7272" w:rsidRDefault="002B7272" w14:paraId="32362E13" w14:textId="77777777">
      <w:pPr>
        <w:ind w:left="131"/>
        <w:rPr>
          <w:rFonts w:ascii="Times New Roman" w:hAnsi="Times New Roman"/>
          <w:sz w:val="24"/>
          <w:szCs w:val="24"/>
        </w:rPr>
      </w:pPr>
      <w:r w:rsidRPr="002B7272">
        <w:rPr>
          <w:rFonts w:ascii="Times New Roman" w:hAnsi="Times New Roman"/>
          <w:sz w:val="24"/>
          <w:szCs w:val="24"/>
        </w:rPr>
        <w:lastRenderedPageBreak/>
        <w:t xml:space="preserve">There are two general categories of tags.  Simple plastic tags (spaghetti tags) are external tags approximately two inches long printed with code numbers. When a tag </w:t>
      </w:r>
      <w:proofErr w:type="gramStart"/>
      <w:r w:rsidRPr="002B7272">
        <w:rPr>
          <w:rFonts w:ascii="Times New Roman" w:hAnsi="Times New Roman"/>
          <w:sz w:val="24"/>
          <w:szCs w:val="24"/>
        </w:rPr>
        <w:t>is returned</w:t>
      </w:r>
      <w:proofErr w:type="gramEnd"/>
      <w:r w:rsidRPr="002B7272">
        <w:rPr>
          <w:rFonts w:ascii="Times New Roman" w:hAnsi="Times New Roman"/>
          <w:sz w:val="24"/>
          <w:szCs w:val="24"/>
        </w:rPr>
        <w:t xml:space="preserve"> the tag number is correlated with databases of released, tagged fish to determine the net movement and growth rate of the tagged fish.  Archival tags are microchips with sensors encased in plastic cylinders that record the depth, temperature or other data, which </w:t>
      </w:r>
      <w:proofErr w:type="gramStart"/>
      <w:r w:rsidRPr="002B7272">
        <w:rPr>
          <w:rFonts w:ascii="Times New Roman" w:hAnsi="Times New Roman"/>
          <w:sz w:val="24"/>
          <w:szCs w:val="24"/>
        </w:rPr>
        <w:t>can be downloaded</w:t>
      </w:r>
      <w:proofErr w:type="gramEnd"/>
      <w:r w:rsidRPr="002B7272">
        <w:rPr>
          <w:rFonts w:ascii="Times New Roman" w:hAnsi="Times New Roman"/>
          <w:sz w:val="24"/>
          <w:szCs w:val="24"/>
        </w:rPr>
        <w:t xml:space="preserve"> electronically from the recovered tags.  See the information flyers posted with this submission for photos of each type of tag.  Flyers </w:t>
      </w:r>
      <w:proofErr w:type="gramStart"/>
      <w:r w:rsidRPr="002B7272">
        <w:rPr>
          <w:rFonts w:ascii="Times New Roman" w:hAnsi="Times New Roman"/>
          <w:sz w:val="24"/>
          <w:szCs w:val="24"/>
        </w:rPr>
        <w:t>are distributed</w:t>
      </w:r>
      <w:proofErr w:type="gramEnd"/>
      <w:r w:rsidRPr="002B7272">
        <w:rPr>
          <w:rFonts w:ascii="Times New Roman" w:hAnsi="Times New Roman"/>
          <w:sz w:val="24"/>
          <w:szCs w:val="24"/>
        </w:rPr>
        <w:t xml:space="preserve"> to inform fishers and processors of the program and to encourage them to be on the lookout for tagged fish.  Tag return information is collected </w:t>
      </w:r>
      <w:proofErr w:type="gramStart"/>
      <w:r w:rsidRPr="002B7272">
        <w:rPr>
          <w:rFonts w:ascii="Times New Roman" w:hAnsi="Times New Roman"/>
          <w:sz w:val="24"/>
          <w:szCs w:val="24"/>
        </w:rPr>
        <w:t>through the use of</w:t>
      </w:r>
      <w:proofErr w:type="gramEnd"/>
      <w:r w:rsidRPr="002B7272">
        <w:rPr>
          <w:rFonts w:ascii="Times New Roman" w:hAnsi="Times New Roman"/>
          <w:sz w:val="24"/>
          <w:szCs w:val="24"/>
        </w:rPr>
        <w:t xml:space="preserve"> either of two 4" x 6-1/2" forms sent directly to the fishing vessel’s captain, or are made available at the processing plants where fishermen unload their catches.  One form is specific to sablefish, the other to all other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species. Sablefish are the predominant species tagged.  Approximately three thousand </w:t>
      </w:r>
      <w:proofErr w:type="gramStart"/>
      <w:r w:rsidRPr="002B7272">
        <w:rPr>
          <w:rFonts w:ascii="Times New Roman" w:hAnsi="Times New Roman"/>
          <w:sz w:val="24"/>
          <w:szCs w:val="24"/>
        </w:rPr>
        <w:t>are tagged</w:t>
      </w:r>
      <w:proofErr w:type="gramEnd"/>
      <w:r w:rsidRPr="002B7272">
        <w:rPr>
          <w:rFonts w:ascii="Times New Roman" w:hAnsi="Times New Roman"/>
          <w:sz w:val="24"/>
          <w:szCs w:val="24"/>
        </w:rPr>
        <w:t xml:space="preserve"> annually as part of a long term and well-advertised program.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other than sablefish </w:t>
      </w:r>
      <w:proofErr w:type="gramStart"/>
      <w:r w:rsidRPr="002B7272">
        <w:rPr>
          <w:rFonts w:ascii="Times New Roman" w:hAnsi="Times New Roman"/>
          <w:sz w:val="24"/>
          <w:szCs w:val="24"/>
        </w:rPr>
        <w:t>are generally tagged</w:t>
      </w:r>
      <w:proofErr w:type="gramEnd"/>
      <w:r w:rsidRPr="002B7272">
        <w:rPr>
          <w:rFonts w:ascii="Times New Roman" w:hAnsi="Times New Roman"/>
          <w:sz w:val="24"/>
          <w:szCs w:val="24"/>
        </w:rPr>
        <w:t xml:space="preserve"> in fewer numbers.  They </w:t>
      </w:r>
      <w:proofErr w:type="gramStart"/>
      <w:r w:rsidRPr="002B7272">
        <w:rPr>
          <w:rFonts w:ascii="Times New Roman" w:hAnsi="Times New Roman"/>
          <w:sz w:val="24"/>
          <w:szCs w:val="24"/>
        </w:rPr>
        <w:t>are usually tagged</w:t>
      </w:r>
      <w:proofErr w:type="gramEnd"/>
      <w:r w:rsidRPr="002B7272">
        <w:rPr>
          <w:rFonts w:ascii="Times New Roman" w:hAnsi="Times New Roman"/>
          <w:sz w:val="24"/>
          <w:szCs w:val="24"/>
        </w:rPr>
        <w:t xml:space="preserve"> on a more opportunistic basis and for shorter duration projects.  Both types of tags </w:t>
      </w:r>
      <w:proofErr w:type="gramStart"/>
      <w:r w:rsidRPr="002B7272">
        <w:rPr>
          <w:rFonts w:ascii="Times New Roman" w:hAnsi="Times New Roman"/>
          <w:sz w:val="24"/>
          <w:szCs w:val="24"/>
        </w:rPr>
        <w:t>are used</w:t>
      </w:r>
      <w:proofErr w:type="gramEnd"/>
      <w:r w:rsidRPr="002B7272">
        <w:rPr>
          <w:rFonts w:ascii="Times New Roman" w:hAnsi="Times New Roman"/>
          <w:sz w:val="24"/>
          <w:szCs w:val="24"/>
        </w:rPr>
        <w:t xml:space="preserve"> with both sablefish and other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archival tags are quite expensive, so are used less frequently.  </w:t>
      </w:r>
      <w:proofErr w:type="gramStart"/>
      <w:r w:rsidRPr="002B7272">
        <w:rPr>
          <w:rFonts w:ascii="Times New Roman" w:hAnsi="Times New Roman"/>
          <w:sz w:val="24"/>
          <w:szCs w:val="24"/>
        </w:rPr>
        <w:t>A significant percentage of the tags are recovered by fishery agency staff and fishery observers</w:t>
      </w:r>
      <w:proofErr w:type="gramEnd"/>
      <w:r w:rsidRPr="002B7272">
        <w:rPr>
          <w:rFonts w:ascii="Times New Roman" w:hAnsi="Times New Roman"/>
          <w:sz w:val="24"/>
          <w:szCs w:val="24"/>
        </w:rPr>
        <w:t>, while the remainder are recovered by fishermen and processing workers (all responses are counted in this information collection).</w:t>
      </w:r>
    </w:p>
    <w:p w:rsidRPr="002B7272" w:rsidR="002B7272" w:rsidP="002B7272" w:rsidRDefault="002B7272" w14:paraId="63926DC3" w14:textId="77777777">
      <w:pPr>
        <w:ind w:left="131"/>
        <w:rPr>
          <w:rFonts w:ascii="Times New Roman" w:hAnsi="Times New Roman"/>
          <w:sz w:val="24"/>
          <w:szCs w:val="24"/>
        </w:rPr>
      </w:pPr>
    </w:p>
    <w:p w:rsidRPr="002B7272" w:rsidR="002B7272" w:rsidP="002B7272" w:rsidRDefault="002B7272" w14:paraId="0389C10A" w14:textId="77777777">
      <w:pPr>
        <w:ind w:left="131"/>
        <w:rPr>
          <w:rFonts w:ascii="Times New Roman" w:hAnsi="Times New Roman"/>
          <w:sz w:val="24"/>
          <w:szCs w:val="24"/>
        </w:rPr>
      </w:pPr>
      <w:r w:rsidRPr="002B7272">
        <w:rPr>
          <w:rFonts w:ascii="Times New Roman" w:hAnsi="Times New Roman"/>
          <w:sz w:val="24"/>
          <w:szCs w:val="24"/>
        </w:rPr>
        <w:t xml:space="preserve">Although the two forms are very similar, it is useful to have distinct forms.  The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program and the sablefish program </w:t>
      </w:r>
      <w:proofErr w:type="gramStart"/>
      <w:r w:rsidRPr="002B7272">
        <w:rPr>
          <w:rFonts w:ascii="Times New Roman" w:hAnsi="Times New Roman"/>
          <w:sz w:val="24"/>
          <w:szCs w:val="24"/>
        </w:rPr>
        <w:t>are run</w:t>
      </w:r>
      <w:proofErr w:type="gramEnd"/>
      <w:r w:rsidRPr="002B7272">
        <w:rPr>
          <w:rFonts w:ascii="Times New Roman" w:hAnsi="Times New Roman"/>
          <w:sz w:val="24"/>
          <w:szCs w:val="24"/>
        </w:rPr>
        <w:t xml:space="preserve"> from two separate facilities.  The tagged fish </w:t>
      </w:r>
      <w:proofErr w:type="gramStart"/>
      <w:r w:rsidRPr="002B7272">
        <w:rPr>
          <w:rFonts w:ascii="Times New Roman" w:hAnsi="Times New Roman"/>
          <w:sz w:val="24"/>
          <w:szCs w:val="24"/>
        </w:rPr>
        <w:t>are caught</w:t>
      </w:r>
      <w:proofErr w:type="gramEnd"/>
      <w:r w:rsidRPr="002B7272">
        <w:rPr>
          <w:rFonts w:ascii="Times New Roman" w:hAnsi="Times New Roman"/>
          <w:sz w:val="24"/>
          <w:szCs w:val="24"/>
        </w:rPr>
        <w:t xml:space="preserve"> in distinctly different fisheries.  The use of separate forms generally prevents the need to sort out responses in Seattle and forward some to Auke Bay. </w:t>
      </w:r>
    </w:p>
    <w:p w:rsidRPr="002B7272" w:rsidR="002B7272" w:rsidP="002B7272" w:rsidRDefault="002B7272" w14:paraId="56BF3F06" w14:textId="77777777">
      <w:pPr>
        <w:ind w:left="131"/>
        <w:rPr>
          <w:rFonts w:ascii="Times New Roman" w:hAnsi="Times New Roman"/>
          <w:sz w:val="24"/>
          <w:szCs w:val="24"/>
        </w:rPr>
      </w:pPr>
    </w:p>
    <w:p w:rsidRPr="002B7272" w:rsidR="002B7272" w:rsidP="002B7272" w:rsidRDefault="002B7272" w14:paraId="01E1B156" w14:textId="77777777">
      <w:pPr>
        <w:ind w:left="131"/>
        <w:rPr>
          <w:rFonts w:ascii="Times New Roman" w:hAnsi="Times New Roman"/>
          <w:sz w:val="24"/>
          <w:szCs w:val="24"/>
        </w:rPr>
      </w:pPr>
      <w:r w:rsidRPr="002B7272">
        <w:rPr>
          <w:rFonts w:ascii="Times New Roman" w:hAnsi="Times New Roman"/>
          <w:sz w:val="24"/>
          <w:szCs w:val="24"/>
        </w:rPr>
        <w:t xml:space="preserve">The tag recovery information collected from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observers, port samplers, various state and federal fishery agencies, and fish processors is received by the NMFS Alaska Fisheries Science Center in Seattle, Washington and its Auke Bay Laboratory in Juneau, Alaska.  In recent years, as many as 500 to 1000 tag recoveries </w:t>
      </w:r>
      <w:proofErr w:type="gramStart"/>
      <w:r w:rsidRPr="002B7272">
        <w:rPr>
          <w:rFonts w:ascii="Times New Roman" w:hAnsi="Times New Roman"/>
          <w:sz w:val="24"/>
          <w:szCs w:val="24"/>
        </w:rPr>
        <w:t>have been submitted</w:t>
      </w:r>
      <w:proofErr w:type="gramEnd"/>
      <w:r w:rsidRPr="002B7272">
        <w:rPr>
          <w:rFonts w:ascii="Times New Roman" w:hAnsi="Times New Roman"/>
          <w:sz w:val="24"/>
          <w:szCs w:val="24"/>
        </w:rPr>
        <w:t xml:space="preserve"> per year. The number of individuals returning tags varies widely.  Many fishers and processors associate the tagging programs with the NMFS observer program and utilize observers onboard fishing vessels and in processing plants to collect and return all tags from that particular vessel or plant.  The usual number of non-NOAA people participating ranges between 300 and 400 annually.</w:t>
      </w:r>
    </w:p>
    <w:p w:rsidRPr="002B7272" w:rsidR="002B7272" w:rsidP="002B7272" w:rsidRDefault="002B7272" w14:paraId="4A5CCFC9" w14:textId="77777777">
      <w:pPr>
        <w:ind w:left="131"/>
        <w:rPr>
          <w:rFonts w:ascii="Times New Roman" w:hAnsi="Times New Roman"/>
          <w:sz w:val="24"/>
          <w:szCs w:val="24"/>
        </w:rPr>
      </w:pPr>
    </w:p>
    <w:p w:rsidRPr="002B7272" w:rsidR="002B7272" w:rsidP="002B7272" w:rsidRDefault="002B7272" w14:paraId="659C3DEB" w14:textId="77777777">
      <w:pPr>
        <w:ind w:left="131"/>
        <w:rPr>
          <w:rFonts w:ascii="Times New Roman" w:hAnsi="Times New Roman"/>
          <w:sz w:val="24"/>
          <w:szCs w:val="24"/>
        </w:rPr>
      </w:pPr>
      <w:r w:rsidRPr="002B7272">
        <w:rPr>
          <w:rFonts w:ascii="Times New Roman" w:hAnsi="Times New Roman"/>
          <w:sz w:val="24"/>
          <w:szCs w:val="24"/>
        </w:rPr>
        <w:t xml:space="preserve">The standard tag recovery form </w:t>
      </w:r>
      <w:proofErr w:type="gramStart"/>
      <w:r w:rsidRPr="002B7272">
        <w:rPr>
          <w:rFonts w:ascii="Times New Roman" w:hAnsi="Times New Roman"/>
          <w:sz w:val="24"/>
          <w:szCs w:val="24"/>
        </w:rPr>
        <w:t>is attached</w:t>
      </w:r>
      <w:proofErr w:type="gramEnd"/>
      <w:r w:rsidRPr="002B7272">
        <w:rPr>
          <w:rFonts w:ascii="Times New Roman" w:hAnsi="Times New Roman"/>
          <w:sz w:val="24"/>
          <w:szCs w:val="24"/>
        </w:rPr>
        <w:t xml:space="preserve"> to a business reply envelope.  Individuals use this envelope to submit and record recovery information for each tag.  Typical information given by the respondent and collected is:  (1) tag number, (2) date of capture, (3) location, (4) size of fish, (5) sex, (6) depth of capture and (7) gear type.</w:t>
      </w:r>
    </w:p>
    <w:p w:rsidRPr="002B7272" w:rsidR="002B7272" w:rsidP="002B7272" w:rsidRDefault="002B7272" w14:paraId="3600406E" w14:textId="77777777">
      <w:pPr>
        <w:ind w:left="131"/>
        <w:rPr>
          <w:rFonts w:ascii="Times New Roman" w:hAnsi="Times New Roman"/>
          <w:sz w:val="24"/>
          <w:szCs w:val="24"/>
        </w:rPr>
      </w:pPr>
    </w:p>
    <w:p w:rsidRPr="002B7272" w:rsidR="002B7272" w:rsidP="002B7272" w:rsidRDefault="002B7272" w14:paraId="42B4908E" w14:textId="77777777">
      <w:pPr>
        <w:ind w:left="131"/>
        <w:rPr>
          <w:rFonts w:ascii="Times New Roman" w:hAnsi="Times New Roman"/>
          <w:sz w:val="24"/>
          <w:szCs w:val="24"/>
        </w:rPr>
      </w:pPr>
      <w:r w:rsidRPr="002B7272">
        <w:rPr>
          <w:rFonts w:ascii="Times New Roman" w:hAnsi="Times New Roman"/>
          <w:sz w:val="24"/>
          <w:szCs w:val="24"/>
        </w:rPr>
        <w:t xml:space="preserve">Submitting tag recovery information is voluntary and </w:t>
      </w:r>
      <w:proofErr w:type="gramStart"/>
      <w:r w:rsidRPr="002B7272">
        <w:rPr>
          <w:rFonts w:ascii="Times New Roman" w:hAnsi="Times New Roman"/>
          <w:sz w:val="24"/>
          <w:szCs w:val="24"/>
        </w:rPr>
        <w:t>can be accomplished</w:t>
      </w:r>
      <w:proofErr w:type="gramEnd"/>
      <w:r w:rsidRPr="002B7272">
        <w:rPr>
          <w:rFonts w:ascii="Times New Roman" w:hAnsi="Times New Roman"/>
          <w:sz w:val="24"/>
          <w:szCs w:val="24"/>
        </w:rPr>
        <w:t xml:space="preserve"> at any time.  Most tag recovery information is submitted directly after a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fishery closure because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are anxious to receive the release information.  Respondents receive information only on the tags they have recovered.  Recovery information needs to be as accurate as possible, and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are aware of this necessity.  Some individuals return recovered tags quickly, while others will accumulate many tags and return them on an annual or seasonal schedule.  Less frequent transmittal of data (less than annually) delays processing of the information.  Such a delay can make the information less valuable to the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and reduce the temporal significance of the data for prediction of stock abundance by management area.</w:t>
      </w:r>
    </w:p>
    <w:p w:rsidRPr="002B7272" w:rsidR="002B7272" w:rsidP="002B7272" w:rsidRDefault="002B7272" w14:paraId="241A7433" w14:textId="77777777">
      <w:pPr>
        <w:ind w:left="131"/>
        <w:rPr>
          <w:rFonts w:ascii="Times New Roman" w:hAnsi="Times New Roman"/>
          <w:sz w:val="24"/>
          <w:szCs w:val="24"/>
        </w:rPr>
      </w:pPr>
    </w:p>
    <w:p w:rsidRPr="002B7272" w:rsidR="002B7272" w:rsidP="002B7272" w:rsidRDefault="002B7272" w14:paraId="25E88F7D" w14:textId="77777777">
      <w:pPr>
        <w:ind w:left="131"/>
        <w:rPr>
          <w:rFonts w:ascii="Times New Roman" w:hAnsi="Times New Roman"/>
          <w:sz w:val="24"/>
          <w:szCs w:val="24"/>
        </w:rPr>
      </w:pPr>
      <w:r w:rsidRPr="002B7272">
        <w:rPr>
          <w:rFonts w:ascii="Times New Roman" w:hAnsi="Times New Roman"/>
          <w:sz w:val="24"/>
          <w:szCs w:val="24"/>
        </w:rPr>
        <w:t xml:space="preserve">Existing data sets </w:t>
      </w:r>
      <w:proofErr w:type="gramStart"/>
      <w:r w:rsidRPr="002B7272">
        <w:rPr>
          <w:rFonts w:ascii="Times New Roman" w:hAnsi="Times New Roman"/>
          <w:sz w:val="24"/>
          <w:szCs w:val="24"/>
        </w:rPr>
        <w:t>are used</w:t>
      </w:r>
      <w:proofErr w:type="gramEnd"/>
      <w:r w:rsidRPr="002B7272">
        <w:rPr>
          <w:rFonts w:ascii="Times New Roman" w:hAnsi="Times New Roman"/>
          <w:sz w:val="24"/>
          <w:szCs w:val="24"/>
        </w:rPr>
        <w:t xml:space="preserve"> to match recovery and release information for each tag submitted.  A letter generated by a series of computer programs and the existing tag release data set provides </w:t>
      </w:r>
      <w:proofErr w:type="gramStart"/>
      <w:r w:rsidRPr="002B7272">
        <w:rPr>
          <w:rFonts w:ascii="Times New Roman" w:hAnsi="Times New Roman"/>
          <w:sz w:val="24"/>
          <w:szCs w:val="24"/>
        </w:rPr>
        <w:t>fishermen</w:t>
      </w:r>
      <w:proofErr w:type="gramEnd"/>
      <w:r w:rsidRPr="002B7272">
        <w:rPr>
          <w:rFonts w:ascii="Times New Roman" w:hAnsi="Times New Roman"/>
          <w:sz w:val="24"/>
          <w:szCs w:val="24"/>
        </w:rPr>
        <w:t xml:space="preserve"> with release information for each tag recovery submitted, while providing researchers with information </w:t>
      </w:r>
      <w:r w:rsidRPr="002B7272">
        <w:rPr>
          <w:rFonts w:ascii="Times New Roman" w:hAnsi="Times New Roman"/>
          <w:sz w:val="24"/>
          <w:szCs w:val="24"/>
        </w:rPr>
        <w:lastRenderedPageBreak/>
        <w:t xml:space="preserve">necessary to manage the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fisheries.</w:t>
      </w:r>
    </w:p>
    <w:p w:rsidRPr="00BD7237" w:rsidR="008E61C9" w:rsidP="00BD7237" w:rsidRDefault="001477A3" w14:paraId="65D56269"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305154" w:rsidP="002B7272" w:rsidRDefault="00305154" w14:paraId="462D323B" w14:textId="77777777">
      <w:pPr>
        <w:rPr>
          <w:rFonts w:ascii="Times New Roman" w:hAnsi="Times New Roman"/>
          <w:sz w:val="24"/>
          <w:szCs w:val="24"/>
        </w:rPr>
      </w:pPr>
    </w:p>
    <w:p w:rsidRPr="00AC7E86" w:rsidR="002B7272" w:rsidP="002B7272" w:rsidRDefault="002B7272" w14:paraId="4EECE457" w14:textId="77777777">
      <w:pPr>
        <w:rPr>
          <w:rFonts w:ascii="Times New Roman" w:hAnsi="Times New Roman"/>
          <w:sz w:val="24"/>
          <w:szCs w:val="24"/>
        </w:rPr>
      </w:pPr>
      <w:r w:rsidRPr="00AC7E86">
        <w:rPr>
          <w:rFonts w:ascii="Times New Roman" w:hAnsi="Times New Roman"/>
          <w:sz w:val="24"/>
          <w:szCs w:val="24"/>
        </w:rPr>
        <w:t xml:space="preserve">Scientists of NMFS, the Alaska Department of Fish &amp; Game (ADF&amp;G), universities, and from Japan and Canada use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 identification number, recovery position, biological data from the tagged fish, (sex, length, weight), and recovery nation, depth, and gear information to study growth rates, mortality, recruitment, migration patterns, and differences by area, sex, size, and depth. </w:t>
      </w:r>
    </w:p>
    <w:p w:rsidRPr="00AC7E86" w:rsidR="002B7272" w:rsidP="002B7272" w:rsidRDefault="002B7272" w14:paraId="7100AE73" w14:textId="77777777">
      <w:pPr>
        <w:rPr>
          <w:rFonts w:ascii="Times New Roman" w:hAnsi="Times New Roman"/>
          <w:sz w:val="24"/>
          <w:szCs w:val="24"/>
        </w:rPr>
      </w:pPr>
    </w:p>
    <w:p w:rsidRPr="00AC7E86" w:rsidR="002B7272" w:rsidP="002B7272" w:rsidRDefault="002B7272" w14:paraId="4231719B" w14:textId="77777777">
      <w:pPr>
        <w:rPr>
          <w:rFonts w:ascii="Times New Roman" w:hAnsi="Times New Roman"/>
          <w:sz w:val="24"/>
          <w:szCs w:val="24"/>
        </w:rPr>
      </w:pPr>
      <w:r>
        <w:rPr>
          <w:rFonts w:ascii="Times New Roman" w:hAnsi="Times New Roman"/>
          <w:sz w:val="24"/>
          <w:szCs w:val="24"/>
        </w:rPr>
        <w:t xml:space="preserve">Each year between 15-20-% of the tagged fish are </w:t>
      </w:r>
      <w:proofErr w:type="gramStart"/>
      <w:r>
        <w:rPr>
          <w:rFonts w:ascii="Times New Roman" w:hAnsi="Times New Roman"/>
          <w:sz w:val="24"/>
          <w:szCs w:val="24"/>
        </w:rPr>
        <w:t>recovered</w:t>
      </w:r>
      <w:proofErr w:type="gramEnd"/>
      <w:r>
        <w:rPr>
          <w:rFonts w:ascii="Times New Roman" w:hAnsi="Times New Roman"/>
          <w:sz w:val="24"/>
          <w:szCs w:val="24"/>
        </w:rPr>
        <w:t xml:space="preserve"> and returned. </w:t>
      </w:r>
      <w:r w:rsidRPr="00AC7E86">
        <w:rPr>
          <w:rFonts w:ascii="Times New Roman" w:hAnsi="Times New Roman"/>
          <w:sz w:val="24"/>
          <w:szCs w:val="24"/>
        </w:rPr>
        <w:t xml:space="preserve">Data collected from the </w:t>
      </w:r>
      <w:proofErr w:type="spellStart"/>
      <w:r w:rsidRPr="00AC7E86">
        <w:rPr>
          <w:rFonts w:ascii="Times New Roman" w:hAnsi="Times New Roman"/>
          <w:sz w:val="24"/>
          <w:szCs w:val="24"/>
        </w:rPr>
        <w:t>groun</w:t>
      </w:r>
      <w:r>
        <w:rPr>
          <w:rFonts w:ascii="Times New Roman" w:hAnsi="Times New Roman"/>
          <w:sz w:val="24"/>
          <w:szCs w:val="24"/>
        </w:rPr>
        <w:t>dfish</w:t>
      </w:r>
      <w:proofErr w:type="spellEnd"/>
      <w:r>
        <w:rPr>
          <w:rFonts w:ascii="Times New Roman" w:hAnsi="Times New Roman"/>
          <w:sz w:val="24"/>
          <w:szCs w:val="24"/>
        </w:rPr>
        <w:t xml:space="preserve"> tagging program </w:t>
      </w:r>
      <w:proofErr w:type="gramStart"/>
      <w:r>
        <w:rPr>
          <w:rFonts w:ascii="Times New Roman" w:hAnsi="Times New Roman"/>
          <w:sz w:val="24"/>
          <w:szCs w:val="24"/>
        </w:rPr>
        <w:t>are used</w:t>
      </w:r>
      <w:proofErr w:type="gramEnd"/>
      <w:r>
        <w:rPr>
          <w:rFonts w:ascii="Times New Roman" w:hAnsi="Times New Roman"/>
          <w:sz w:val="24"/>
          <w:szCs w:val="24"/>
        </w:rPr>
        <w:t xml:space="preserve"> </w:t>
      </w:r>
      <w:r w:rsidRPr="00AC7E86">
        <w:rPr>
          <w:rFonts w:ascii="Times New Roman" w:hAnsi="Times New Roman"/>
          <w:sz w:val="24"/>
          <w:szCs w:val="24"/>
        </w:rPr>
        <w:t xml:space="preserve">in population dynamics models to effectively estimate population size and manage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resource.  Information gathered provides data on the rates of migration between the west coast, British Columbia, and Alaska and </w:t>
      </w:r>
      <w:r>
        <w:rPr>
          <w:rFonts w:ascii="Times New Roman" w:hAnsi="Times New Roman"/>
          <w:sz w:val="24"/>
          <w:szCs w:val="24"/>
        </w:rPr>
        <w:t>among Alaska management areas.</w:t>
      </w:r>
    </w:p>
    <w:p w:rsidRPr="00AC7E86" w:rsidR="002B7272" w:rsidP="002B7272" w:rsidRDefault="002B7272" w14:paraId="7DE01CA6" w14:textId="77777777">
      <w:pPr>
        <w:rPr>
          <w:rFonts w:ascii="Times New Roman" w:hAnsi="Times New Roman"/>
          <w:sz w:val="24"/>
          <w:szCs w:val="24"/>
        </w:rPr>
      </w:pPr>
    </w:p>
    <w:p w:rsidRPr="00AC7E86" w:rsidR="002B7272" w:rsidP="002B7272" w:rsidRDefault="002B7272" w14:paraId="19B8083D" w14:textId="77777777">
      <w:pPr>
        <w:rPr>
          <w:rFonts w:ascii="Times New Roman" w:hAnsi="Times New Roman"/>
          <w:sz w:val="24"/>
          <w:szCs w:val="24"/>
        </w:rPr>
      </w:pPr>
      <w:r w:rsidRPr="00AC7E86">
        <w:rPr>
          <w:rFonts w:ascii="Times New Roman" w:hAnsi="Times New Roman"/>
          <w:sz w:val="24"/>
          <w:szCs w:val="24"/>
        </w:rPr>
        <w:t xml:space="preserve">Persons consulted on </w:t>
      </w:r>
      <w:proofErr w:type="gramStart"/>
      <w:r w:rsidRPr="00AC7E86">
        <w:rPr>
          <w:rFonts w:ascii="Times New Roman" w:hAnsi="Times New Roman"/>
          <w:sz w:val="24"/>
          <w:szCs w:val="24"/>
        </w:rPr>
        <w:t xml:space="preserve">the information requirements of the </w:t>
      </w:r>
      <w:proofErr w:type="spellStart"/>
      <w:r w:rsidRPr="00AC7E86">
        <w:rPr>
          <w:rFonts w:ascii="Times New Roman" w:hAnsi="Times New Roman"/>
          <w:sz w:val="24"/>
          <w:szCs w:val="24"/>
        </w:rPr>
        <w:t>groundfish</w:t>
      </w:r>
      <w:proofErr w:type="spellEnd"/>
      <w:r w:rsidRPr="00AC7E86">
        <w:rPr>
          <w:rFonts w:ascii="Times New Roman" w:hAnsi="Times New Roman"/>
          <w:sz w:val="24"/>
          <w:szCs w:val="24"/>
        </w:rPr>
        <w:t xml:space="preserve"> tagging program during research cruises, at fishery meetings, and elsewhere over the years include</w:t>
      </w:r>
      <w:proofErr w:type="gramEnd"/>
      <w:r w:rsidRPr="00AC7E86">
        <w:rPr>
          <w:rFonts w:ascii="Times New Roman" w:hAnsi="Times New Roman"/>
          <w:sz w:val="24"/>
          <w:szCs w:val="24"/>
        </w:rPr>
        <w:t>:</w:t>
      </w:r>
    </w:p>
    <w:p w:rsidRPr="00AC7E86" w:rsidR="002B7272" w:rsidP="002B7272" w:rsidRDefault="002B7272" w14:paraId="4420D06B" w14:textId="77777777">
      <w:pPr>
        <w:rPr>
          <w:rFonts w:ascii="Times New Roman" w:hAnsi="Times New Roman"/>
          <w:sz w:val="24"/>
          <w:szCs w:val="24"/>
        </w:rPr>
      </w:pPr>
    </w:p>
    <w:p w:rsidRPr="00AC7E86" w:rsidR="002B7272" w:rsidP="002B7272" w:rsidRDefault="002B7272" w14:paraId="39E884EB" w14:textId="77777777">
      <w:pPr>
        <w:widowControl/>
        <w:numPr>
          <w:ilvl w:val="0"/>
          <w:numId w:val="15"/>
        </w:numPr>
        <w:autoSpaceDE/>
        <w:autoSpaceDN/>
        <w:rPr>
          <w:rFonts w:ascii="Times New Roman" w:hAnsi="Times New Roman"/>
          <w:sz w:val="24"/>
          <w:szCs w:val="24"/>
        </w:rPr>
      </w:pPr>
      <w:r>
        <w:rPr>
          <w:rFonts w:ascii="Times New Roman" w:hAnsi="Times New Roman"/>
          <w:sz w:val="24"/>
          <w:szCs w:val="24"/>
        </w:rPr>
        <w:t xml:space="preserve">Katy </w:t>
      </w:r>
      <w:proofErr w:type="spellStart"/>
      <w:r>
        <w:rPr>
          <w:rFonts w:ascii="Times New Roman" w:hAnsi="Times New Roman"/>
          <w:sz w:val="24"/>
          <w:szCs w:val="24"/>
        </w:rPr>
        <w:t>Echave</w:t>
      </w:r>
      <w:proofErr w:type="spellEnd"/>
      <w:r w:rsidRPr="00AC7E86">
        <w:rPr>
          <w:rFonts w:ascii="Times New Roman" w:hAnsi="Times New Roman"/>
          <w:sz w:val="24"/>
          <w:szCs w:val="24"/>
        </w:rPr>
        <w:t xml:space="preserve">, NMFS Alaska Fisheries and Science Center, </w:t>
      </w:r>
      <w:r>
        <w:rPr>
          <w:rFonts w:ascii="Times New Roman" w:hAnsi="Times New Roman"/>
          <w:sz w:val="24"/>
          <w:szCs w:val="24"/>
        </w:rPr>
        <w:t>(907) 789-6006</w:t>
      </w:r>
      <w:r w:rsidRPr="00AC7E86">
        <w:rPr>
          <w:rFonts w:ascii="Times New Roman" w:hAnsi="Times New Roman"/>
          <w:sz w:val="24"/>
          <w:szCs w:val="24"/>
        </w:rPr>
        <w:t xml:space="preserve">. </w:t>
      </w:r>
    </w:p>
    <w:p w:rsidRPr="00090AF7" w:rsidR="002B7272" w:rsidP="002B7272" w:rsidRDefault="002B7272" w14:paraId="2840025D" w14:textId="77777777">
      <w:pPr>
        <w:widowControl/>
        <w:numPr>
          <w:ilvl w:val="0"/>
          <w:numId w:val="15"/>
        </w:numPr>
        <w:autoSpaceDE/>
        <w:autoSpaceDN/>
        <w:rPr>
          <w:rFonts w:ascii="Times New Roman" w:hAnsi="Times New Roman"/>
          <w:sz w:val="24"/>
          <w:szCs w:val="24"/>
        </w:rPr>
      </w:pPr>
      <w:r>
        <w:rPr>
          <w:rFonts w:ascii="Times New Roman" w:hAnsi="Times New Roman"/>
          <w:sz w:val="24"/>
          <w:szCs w:val="24"/>
        </w:rPr>
        <w:t>Susanne McDermott, NMFS Alaska Fisheries Science Center</w:t>
      </w:r>
      <w:r w:rsidRPr="00AC7E86">
        <w:rPr>
          <w:rFonts w:ascii="Times New Roman" w:hAnsi="Times New Roman"/>
          <w:sz w:val="24"/>
          <w:szCs w:val="24"/>
        </w:rPr>
        <w:t xml:space="preserve">, </w:t>
      </w:r>
      <w:r w:rsidRPr="00090AF7">
        <w:rPr>
          <w:rFonts w:ascii="Times New Roman" w:hAnsi="Times New Roman"/>
          <w:sz w:val="24"/>
          <w:szCs w:val="24"/>
        </w:rPr>
        <w:t>(206) 526-</w:t>
      </w:r>
      <w:r>
        <w:rPr>
          <w:rFonts w:ascii="Times New Roman" w:hAnsi="Times New Roman"/>
          <w:sz w:val="24"/>
          <w:szCs w:val="24"/>
        </w:rPr>
        <w:t>4417</w:t>
      </w:r>
    </w:p>
    <w:p w:rsidRPr="00AC7E86" w:rsidR="002B7272" w:rsidP="002B7272" w:rsidRDefault="002B7272" w14:paraId="3AA77F34"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 xml:space="preserve">Takashi Sasaki, Far Seas Fisheries Research Laboratory, Japan, 0543-34-0715. </w:t>
      </w:r>
    </w:p>
    <w:p w:rsidRPr="00AC7E86" w:rsidR="002B7272" w:rsidP="002B7272" w:rsidRDefault="002B7272" w14:paraId="46C7CA6D"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 xml:space="preserve">Dave </w:t>
      </w:r>
      <w:proofErr w:type="spellStart"/>
      <w:r w:rsidRPr="00AC7E86">
        <w:rPr>
          <w:rFonts w:ascii="Times New Roman" w:hAnsi="Times New Roman"/>
          <w:sz w:val="24"/>
          <w:szCs w:val="24"/>
        </w:rPr>
        <w:t>Carlile</w:t>
      </w:r>
      <w:proofErr w:type="spellEnd"/>
      <w:r w:rsidRPr="00AC7E86">
        <w:rPr>
          <w:rFonts w:ascii="Times New Roman" w:hAnsi="Times New Roman"/>
          <w:sz w:val="24"/>
          <w:szCs w:val="24"/>
        </w:rPr>
        <w:t xml:space="preserve">, State of Alaska, Department of Fish &amp; Game, </w:t>
      </w:r>
      <w:r>
        <w:rPr>
          <w:rFonts w:ascii="Times New Roman" w:hAnsi="Times New Roman"/>
          <w:sz w:val="24"/>
          <w:szCs w:val="24"/>
        </w:rPr>
        <w:t xml:space="preserve">(907) </w:t>
      </w:r>
      <w:r w:rsidRPr="00AC7E86">
        <w:rPr>
          <w:rFonts w:ascii="Times New Roman" w:hAnsi="Times New Roman"/>
          <w:sz w:val="24"/>
          <w:szCs w:val="24"/>
        </w:rPr>
        <w:t xml:space="preserve">465-4216. </w:t>
      </w:r>
    </w:p>
    <w:p w:rsidRPr="00AC7E86" w:rsidR="002B7272" w:rsidP="002B7272" w:rsidRDefault="002B7272" w14:paraId="79AD9DF2"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Gordon A. McFarlane, F</w:t>
      </w:r>
      <w:r>
        <w:rPr>
          <w:rFonts w:ascii="Times New Roman" w:hAnsi="Times New Roman"/>
          <w:sz w:val="24"/>
          <w:szCs w:val="24"/>
        </w:rPr>
        <w:t xml:space="preserve">isheries and Oceans, Canada, (604) </w:t>
      </w:r>
      <w:r w:rsidRPr="00AC7E86">
        <w:rPr>
          <w:rFonts w:ascii="Times New Roman" w:hAnsi="Times New Roman"/>
          <w:sz w:val="24"/>
          <w:szCs w:val="24"/>
        </w:rPr>
        <w:t xml:space="preserve">756-7052. </w:t>
      </w:r>
    </w:p>
    <w:p w:rsidRPr="00AC7E86" w:rsidR="002B7272" w:rsidP="002B7272" w:rsidRDefault="002B7272" w14:paraId="149151C4"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 xml:space="preserve">Bob </w:t>
      </w:r>
      <w:proofErr w:type="spellStart"/>
      <w:r w:rsidRPr="00AC7E86">
        <w:rPr>
          <w:rFonts w:ascii="Times New Roman" w:hAnsi="Times New Roman"/>
          <w:sz w:val="24"/>
          <w:szCs w:val="24"/>
        </w:rPr>
        <w:t>Demory</w:t>
      </w:r>
      <w:proofErr w:type="spellEnd"/>
      <w:r w:rsidRPr="00AC7E86">
        <w:rPr>
          <w:rFonts w:ascii="Times New Roman" w:hAnsi="Times New Roman"/>
          <w:sz w:val="24"/>
          <w:szCs w:val="24"/>
        </w:rPr>
        <w:t xml:space="preserve">, State of Oregon, Department of Fish and Wildlife, </w:t>
      </w:r>
      <w:r>
        <w:rPr>
          <w:rFonts w:ascii="Times New Roman" w:hAnsi="Times New Roman"/>
          <w:sz w:val="24"/>
          <w:szCs w:val="24"/>
        </w:rPr>
        <w:t xml:space="preserve">(503) </w:t>
      </w:r>
      <w:r w:rsidRPr="00AC7E86">
        <w:rPr>
          <w:rFonts w:ascii="Times New Roman" w:hAnsi="Times New Roman"/>
          <w:sz w:val="24"/>
          <w:szCs w:val="24"/>
        </w:rPr>
        <w:t xml:space="preserve">867-4741. </w:t>
      </w:r>
    </w:p>
    <w:p w:rsidRPr="00AC7E86" w:rsidR="002B7272" w:rsidP="002B7272" w:rsidRDefault="002B7272" w14:paraId="25FA81A1"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Al Millikan, State of Washingt</w:t>
      </w:r>
      <w:r>
        <w:rPr>
          <w:rFonts w:ascii="Times New Roman" w:hAnsi="Times New Roman"/>
          <w:sz w:val="24"/>
          <w:szCs w:val="24"/>
        </w:rPr>
        <w:t xml:space="preserve">on, Department of Fisheries, (206) </w:t>
      </w:r>
      <w:r w:rsidRPr="00AC7E86">
        <w:rPr>
          <w:rFonts w:ascii="Times New Roman" w:hAnsi="Times New Roman"/>
          <w:sz w:val="24"/>
          <w:szCs w:val="24"/>
        </w:rPr>
        <w:t xml:space="preserve">545-6597. </w:t>
      </w:r>
    </w:p>
    <w:p w:rsidRPr="00AC7E86" w:rsidR="002B7272" w:rsidP="002B7272" w:rsidRDefault="002B7272" w14:paraId="164BC486" w14:textId="77777777">
      <w:pPr>
        <w:widowControl/>
        <w:numPr>
          <w:ilvl w:val="0"/>
          <w:numId w:val="15"/>
        </w:numPr>
        <w:autoSpaceDE/>
        <w:autoSpaceDN/>
        <w:rPr>
          <w:rFonts w:ascii="Times New Roman" w:hAnsi="Times New Roman"/>
          <w:sz w:val="24"/>
          <w:szCs w:val="24"/>
        </w:rPr>
      </w:pPr>
      <w:r w:rsidRPr="00AC7E86">
        <w:rPr>
          <w:rFonts w:ascii="Times New Roman" w:hAnsi="Times New Roman"/>
          <w:sz w:val="24"/>
          <w:szCs w:val="24"/>
        </w:rPr>
        <w:t xml:space="preserve">Jim Hardwick, State of California, Department of Fish and Game, </w:t>
      </w:r>
      <w:r>
        <w:rPr>
          <w:rFonts w:ascii="Times New Roman" w:hAnsi="Times New Roman"/>
          <w:sz w:val="24"/>
          <w:szCs w:val="24"/>
        </w:rPr>
        <w:t xml:space="preserve">(408) </w:t>
      </w:r>
      <w:r w:rsidRPr="00AC7E86">
        <w:rPr>
          <w:rFonts w:ascii="Times New Roman" w:hAnsi="Times New Roman"/>
          <w:sz w:val="24"/>
          <w:szCs w:val="24"/>
        </w:rPr>
        <w:t xml:space="preserve">649-2884. </w:t>
      </w:r>
    </w:p>
    <w:p w:rsidRPr="00AC7E86" w:rsidR="002B7272" w:rsidP="002B7272" w:rsidRDefault="002B7272" w14:paraId="73BF03A5" w14:textId="77777777">
      <w:pPr>
        <w:rPr>
          <w:rFonts w:ascii="Times New Roman" w:hAnsi="Times New Roman"/>
          <w:sz w:val="24"/>
          <w:szCs w:val="24"/>
        </w:rPr>
      </w:pPr>
    </w:p>
    <w:p w:rsidRPr="00AC7E86" w:rsidR="002B7272" w:rsidP="002B7272" w:rsidRDefault="002B7272" w14:paraId="01FBCF46" w14:textId="77777777">
      <w:pPr>
        <w:rPr>
          <w:rFonts w:ascii="Times New Roman" w:hAnsi="Times New Roman"/>
          <w:sz w:val="24"/>
          <w:szCs w:val="24"/>
        </w:rPr>
      </w:pPr>
      <w:r w:rsidRPr="00AC7E86">
        <w:rPr>
          <w:rFonts w:ascii="Times New Roman" w:hAnsi="Times New Roman"/>
          <w:sz w:val="24"/>
          <w:szCs w:val="24"/>
        </w:rPr>
        <w:t xml:space="preserve">It </w:t>
      </w:r>
      <w:proofErr w:type="gramStart"/>
      <w:r w:rsidRPr="00AC7E86">
        <w:rPr>
          <w:rFonts w:ascii="Times New Roman" w:hAnsi="Times New Roman"/>
          <w:sz w:val="24"/>
          <w:szCs w:val="24"/>
        </w:rPr>
        <w:t>is anticipated</w:t>
      </w:r>
      <w:proofErr w:type="gramEnd"/>
      <w:r w:rsidRPr="00AC7E86">
        <w:rPr>
          <w:rFonts w:ascii="Times New Roman" w:hAnsi="Times New Roman"/>
          <w:sz w:val="24"/>
          <w:szCs w:val="24"/>
        </w:rPr>
        <w:t xml:space="preserve">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Pr>
          <w:rFonts w:ascii="Times New Roman" w:hAnsi="Times New Roman"/>
          <w:sz w:val="24"/>
          <w:szCs w:val="24"/>
        </w:rPr>
        <w:t xml:space="preserve">to Question </w:t>
      </w:r>
      <w:r w:rsidRPr="00AC7E86">
        <w:rPr>
          <w:rFonts w:ascii="Times New Roman" w:hAnsi="Times New Roman"/>
          <w:sz w:val="24"/>
          <w:szCs w:val="24"/>
        </w:rPr>
        <w:t xml:space="preserve">10 of this Supporting Statement for more information on confidentiality and privacy. The information collection </w:t>
      </w:r>
      <w:proofErr w:type="gramStart"/>
      <w:r w:rsidRPr="00AC7E86">
        <w:rPr>
          <w:rFonts w:ascii="Times New Roman" w:hAnsi="Times New Roman"/>
          <w:sz w:val="24"/>
          <w:szCs w:val="24"/>
        </w:rPr>
        <w:t>is designed</w:t>
      </w:r>
      <w:proofErr w:type="gramEnd"/>
      <w:r w:rsidRPr="00AC7E86">
        <w:rPr>
          <w:rFonts w:ascii="Times New Roman" w:hAnsi="Times New Roman"/>
          <w:sz w:val="24"/>
          <w:szCs w:val="24"/>
        </w:rPr>
        <w:t xml:space="preserve"> to yield data that meet all applicable information quality guidelines. Prior to dissemination, the information </w:t>
      </w:r>
      <w:proofErr w:type="gramStart"/>
      <w:r w:rsidRPr="00AC7E86">
        <w:rPr>
          <w:rFonts w:ascii="Times New Roman" w:hAnsi="Times New Roman"/>
          <w:sz w:val="24"/>
          <w:szCs w:val="24"/>
        </w:rPr>
        <w:t>will be subjected</w:t>
      </w:r>
      <w:proofErr w:type="gramEnd"/>
      <w:r w:rsidRPr="00AC7E86">
        <w:rPr>
          <w:rFonts w:ascii="Times New Roman" w:hAnsi="Times New Roman"/>
          <w:sz w:val="24"/>
          <w:szCs w:val="24"/>
        </w:rPr>
        <w:t xml:space="preserve"> to quality control measures and a pre</w:t>
      </w:r>
      <w:r w:rsidRPr="00AC7E86">
        <w:rPr>
          <w:rFonts w:ascii="Times New Roman" w:hAnsi="Times New Roman"/>
          <w:sz w:val="24"/>
          <w:szCs w:val="24"/>
        </w:rPr>
        <w:noBreakHyphen/>
        <w:t>dissemination review pursuant to Section 515 of Public Law 106</w:t>
      </w:r>
      <w:r w:rsidRPr="00AC7E86">
        <w:rPr>
          <w:rFonts w:ascii="Times New Roman" w:hAnsi="Times New Roman"/>
          <w:sz w:val="24"/>
          <w:szCs w:val="24"/>
        </w:rPr>
        <w:noBreakHyphen/>
        <w:t>554.</w:t>
      </w:r>
    </w:p>
    <w:p w:rsidRPr="00BD7237" w:rsidR="008E61C9" w:rsidP="00BD7237" w:rsidRDefault="001477A3" w14:paraId="344B6D7F"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305154" w:rsidP="002B7272" w:rsidRDefault="00305154" w14:paraId="4CB47C67" w14:textId="77777777">
      <w:pPr>
        <w:ind w:left="131"/>
        <w:rPr>
          <w:rFonts w:ascii="Times New Roman" w:hAnsi="Times New Roman"/>
          <w:sz w:val="24"/>
          <w:szCs w:val="24"/>
        </w:rPr>
      </w:pPr>
    </w:p>
    <w:p w:rsidRPr="002B7272" w:rsidR="002B7272" w:rsidP="002B7272" w:rsidRDefault="002B7272" w14:paraId="43154F0A" w14:textId="77777777">
      <w:pPr>
        <w:ind w:left="131"/>
        <w:rPr>
          <w:rFonts w:ascii="Times New Roman" w:hAnsi="Times New Roman"/>
          <w:sz w:val="24"/>
          <w:szCs w:val="24"/>
        </w:rPr>
      </w:pPr>
      <w:r w:rsidRPr="002B7272">
        <w:rPr>
          <w:rFonts w:ascii="Times New Roman" w:hAnsi="Times New Roman"/>
          <w:sz w:val="24"/>
          <w:szCs w:val="24"/>
        </w:rPr>
        <w:t xml:space="preserve">Electronic archival tags represent advances in the collection of data, both in the quantity and specificity of the data </w:t>
      </w:r>
      <w:r>
        <w:rPr>
          <w:rFonts w:ascii="Times New Roman" w:hAnsi="Times New Roman"/>
          <w:sz w:val="24"/>
          <w:szCs w:val="24"/>
        </w:rPr>
        <w:t>collected from individual fish.</w:t>
      </w:r>
      <w:r w:rsidRPr="002B7272">
        <w:rPr>
          <w:rFonts w:ascii="Times New Roman" w:hAnsi="Times New Roman"/>
          <w:sz w:val="24"/>
          <w:szCs w:val="24"/>
        </w:rPr>
        <w:t xml:space="preserve"> However, the means by which respondents report tag informa</w:t>
      </w:r>
      <w:r>
        <w:rPr>
          <w:rFonts w:ascii="Times New Roman" w:hAnsi="Times New Roman"/>
          <w:sz w:val="24"/>
          <w:szCs w:val="24"/>
        </w:rPr>
        <w:t xml:space="preserve">tion </w:t>
      </w:r>
      <w:proofErr w:type="gramStart"/>
      <w:r>
        <w:rPr>
          <w:rFonts w:ascii="Times New Roman" w:hAnsi="Times New Roman"/>
          <w:sz w:val="24"/>
          <w:szCs w:val="24"/>
        </w:rPr>
        <w:t>will not become automated</w:t>
      </w:r>
      <w:proofErr w:type="gramEnd"/>
      <w:r>
        <w:rPr>
          <w:rFonts w:ascii="Times New Roman" w:hAnsi="Times New Roman"/>
          <w:sz w:val="24"/>
          <w:szCs w:val="24"/>
        </w:rPr>
        <w:t>.</w:t>
      </w:r>
      <w:r w:rsidRPr="002B7272">
        <w:rPr>
          <w:rFonts w:ascii="Times New Roman" w:hAnsi="Times New Roman"/>
          <w:sz w:val="24"/>
          <w:szCs w:val="24"/>
        </w:rPr>
        <w:t xml:space="preserve"> The necessity of obtaining the actual tag from each fish to verify the data collected makes it impractical to seek electronic or other automated methods of collecting tag information. A tag reporting mobile application </w:t>
      </w:r>
      <w:proofErr w:type="gramStart"/>
      <w:r w:rsidRPr="002B7272">
        <w:rPr>
          <w:rFonts w:ascii="Times New Roman" w:hAnsi="Times New Roman"/>
          <w:sz w:val="24"/>
          <w:szCs w:val="24"/>
        </w:rPr>
        <w:t>is being developed</w:t>
      </w:r>
      <w:proofErr w:type="gramEnd"/>
      <w:r w:rsidRPr="002B7272">
        <w:rPr>
          <w:rFonts w:ascii="Times New Roman" w:hAnsi="Times New Roman"/>
          <w:sz w:val="24"/>
          <w:szCs w:val="24"/>
        </w:rPr>
        <w:t>.</w:t>
      </w:r>
    </w:p>
    <w:p w:rsidRPr="00BD7237" w:rsidR="008E61C9" w:rsidP="00BD7237" w:rsidRDefault="001477A3" w14:paraId="2386016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efforts to identify duplication. Show specifically why any similar information already </w:t>
      </w:r>
      <w:r w:rsidRPr="00BD7237">
        <w:rPr>
          <w:rFonts w:ascii="Times New Roman" w:hAnsi="Times New Roman" w:cs="Times New Roman"/>
          <w:b/>
          <w:sz w:val="24"/>
          <w:szCs w:val="24"/>
        </w:rPr>
        <w:lastRenderedPageBreak/>
        <w:t>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305154" w:rsidP="002B7272" w:rsidRDefault="00305154" w14:paraId="66EFE2C4" w14:textId="77777777">
      <w:pPr>
        <w:ind w:left="131"/>
        <w:rPr>
          <w:rFonts w:ascii="Times New Roman" w:hAnsi="Times New Roman"/>
          <w:sz w:val="24"/>
          <w:szCs w:val="24"/>
        </w:rPr>
      </w:pPr>
    </w:p>
    <w:p w:rsidRPr="002B7272" w:rsidR="002B7272" w:rsidP="002B7272" w:rsidRDefault="002B7272" w14:paraId="1BDB7510" w14:textId="77777777">
      <w:pPr>
        <w:ind w:left="131"/>
        <w:rPr>
          <w:rFonts w:ascii="Times New Roman" w:hAnsi="Times New Roman"/>
          <w:sz w:val="24"/>
          <w:szCs w:val="24"/>
        </w:rPr>
      </w:pPr>
      <w:r w:rsidRPr="002B7272">
        <w:rPr>
          <w:rFonts w:ascii="Times New Roman" w:hAnsi="Times New Roman"/>
          <w:sz w:val="24"/>
          <w:szCs w:val="24"/>
        </w:rPr>
        <w:t xml:space="preserve">No other tagging information is available for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in outside waters off California, Oregon, Washington, and Alaska. Scientists from the U.S., Canada, and ADF&amp;G are collaborating to form a joint database of </w:t>
      </w:r>
      <w:proofErr w:type="spellStart"/>
      <w:r w:rsidRPr="002B7272">
        <w:rPr>
          <w:rFonts w:ascii="Times New Roman" w:hAnsi="Times New Roman"/>
          <w:sz w:val="24"/>
          <w:szCs w:val="24"/>
        </w:rPr>
        <w:t>groundfis</w:t>
      </w:r>
      <w:r>
        <w:rPr>
          <w:rFonts w:ascii="Times New Roman" w:hAnsi="Times New Roman"/>
          <w:sz w:val="24"/>
          <w:szCs w:val="24"/>
        </w:rPr>
        <w:t>h</w:t>
      </w:r>
      <w:proofErr w:type="spellEnd"/>
      <w:r>
        <w:rPr>
          <w:rFonts w:ascii="Times New Roman" w:hAnsi="Times New Roman"/>
          <w:sz w:val="24"/>
          <w:szCs w:val="24"/>
        </w:rPr>
        <w:t xml:space="preserve"> tag releases and recoveries. </w:t>
      </w:r>
      <w:r w:rsidRPr="002B7272">
        <w:rPr>
          <w:rFonts w:ascii="Times New Roman" w:hAnsi="Times New Roman"/>
          <w:sz w:val="24"/>
          <w:szCs w:val="24"/>
        </w:rPr>
        <w:t xml:space="preserve">Tags </w:t>
      </w:r>
      <w:proofErr w:type="gramStart"/>
      <w:r w:rsidRPr="002B7272">
        <w:rPr>
          <w:rFonts w:ascii="Times New Roman" w:hAnsi="Times New Roman"/>
          <w:sz w:val="24"/>
          <w:szCs w:val="24"/>
        </w:rPr>
        <w:t>can be sent</w:t>
      </w:r>
      <w:proofErr w:type="gramEnd"/>
      <w:r w:rsidRPr="002B7272">
        <w:rPr>
          <w:rFonts w:ascii="Times New Roman" w:hAnsi="Times New Roman"/>
          <w:sz w:val="24"/>
          <w:szCs w:val="24"/>
        </w:rPr>
        <w:t xml:space="preserve"> to any of the agencies, because tags will be forwarded to the ap</w:t>
      </w:r>
      <w:r>
        <w:rPr>
          <w:rFonts w:ascii="Times New Roman" w:hAnsi="Times New Roman"/>
          <w:sz w:val="24"/>
          <w:szCs w:val="24"/>
        </w:rPr>
        <w:t xml:space="preserve">propriate agency upon receipt. </w:t>
      </w:r>
      <w:r w:rsidRPr="002B7272">
        <w:rPr>
          <w:rFonts w:ascii="Times New Roman" w:hAnsi="Times New Roman"/>
          <w:sz w:val="24"/>
          <w:szCs w:val="24"/>
        </w:rPr>
        <w:t xml:space="preserve">Duplication of effort and superfluous data collection </w:t>
      </w:r>
      <w:proofErr w:type="gramStart"/>
      <w:r w:rsidRPr="002B7272">
        <w:rPr>
          <w:rFonts w:ascii="Times New Roman" w:hAnsi="Times New Roman"/>
          <w:sz w:val="24"/>
          <w:szCs w:val="24"/>
        </w:rPr>
        <w:t>is avoided</w:t>
      </w:r>
      <w:proofErr w:type="gramEnd"/>
      <w:r w:rsidRPr="002B7272">
        <w:rPr>
          <w:rFonts w:ascii="Times New Roman" w:hAnsi="Times New Roman"/>
          <w:sz w:val="24"/>
          <w:szCs w:val="24"/>
        </w:rPr>
        <w:t xml:space="preserve"> through this cooperation. Only the </w:t>
      </w:r>
      <w:proofErr w:type="spellStart"/>
      <w:r w:rsidRPr="002B7272">
        <w:rPr>
          <w:rFonts w:ascii="Times New Roman" w:hAnsi="Times New Roman"/>
          <w:sz w:val="24"/>
          <w:szCs w:val="24"/>
        </w:rPr>
        <w:t>recoverer</w:t>
      </w:r>
      <w:proofErr w:type="spellEnd"/>
      <w:r w:rsidRPr="002B7272">
        <w:rPr>
          <w:rFonts w:ascii="Times New Roman" w:hAnsi="Times New Roman"/>
          <w:sz w:val="24"/>
          <w:szCs w:val="24"/>
        </w:rPr>
        <w:t xml:space="preserve"> of the tagged </w:t>
      </w:r>
      <w:proofErr w:type="spellStart"/>
      <w:r w:rsidRPr="002B7272">
        <w:rPr>
          <w:rFonts w:ascii="Times New Roman" w:hAnsi="Times New Roman"/>
          <w:sz w:val="24"/>
          <w:szCs w:val="24"/>
        </w:rPr>
        <w:t>groundfish</w:t>
      </w:r>
      <w:proofErr w:type="spellEnd"/>
      <w:r w:rsidRPr="002B7272">
        <w:rPr>
          <w:rFonts w:ascii="Times New Roman" w:hAnsi="Times New Roman"/>
          <w:sz w:val="24"/>
          <w:szCs w:val="24"/>
        </w:rPr>
        <w:t xml:space="preserve"> can supply the information necessar</w:t>
      </w:r>
      <w:r>
        <w:rPr>
          <w:rFonts w:ascii="Times New Roman" w:hAnsi="Times New Roman"/>
          <w:sz w:val="24"/>
          <w:szCs w:val="24"/>
        </w:rPr>
        <w:t xml:space="preserve">y for analysis. </w:t>
      </w:r>
      <w:r w:rsidRPr="002B7272">
        <w:rPr>
          <w:rFonts w:ascii="Times New Roman" w:hAnsi="Times New Roman"/>
          <w:sz w:val="24"/>
          <w:szCs w:val="24"/>
        </w:rPr>
        <w:t>There is no other source for these data.</w:t>
      </w:r>
    </w:p>
    <w:p w:rsidRPr="00BD7237" w:rsidR="008E61C9" w:rsidP="00BD7237" w:rsidRDefault="001477A3" w14:paraId="4D26A3F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00305154" w:rsidP="00390D6B" w:rsidRDefault="00305154" w14:paraId="5E6CA9DF" w14:textId="77777777">
      <w:pPr>
        <w:ind w:left="131"/>
        <w:rPr>
          <w:rFonts w:ascii="Times New Roman" w:hAnsi="Times New Roman"/>
          <w:sz w:val="24"/>
          <w:szCs w:val="24"/>
        </w:rPr>
      </w:pPr>
    </w:p>
    <w:p w:rsidRPr="00390D6B" w:rsidR="00390D6B" w:rsidP="00390D6B" w:rsidRDefault="00390D6B" w14:paraId="09BDAEE0" w14:textId="77777777">
      <w:pPr>
        <w:ind w:left="131"/>
        <w:rPr>
          <w:rFonts w:ascii="Times New Roman" w:hAnsi="Times New Roman"/>
          <w:sz w:val="24"/>
          <w:szCs w:val="24"/>
        </w:rPr>
      </w:pPr>
      <w:r w:rsidRPr="00390D6B">
        <w:rPr>
          <w:rFonts w:ascii="Times New Roman" w:hAnsi="Times New Roman"/>
          <w:sz w:val="24"/>
          <w:szCs w:val="24"/>
        </w:rPr>
        <w:t xml:space="preserve">Individuals at processing plants, on fishing vessels, and state fishery agencies send tag recovery information as tagged fish </w:t>
      </w:r>
      <w:proofErr w:type="gramStart"/>
      <w:r w:rsidRPr="00390D6B">
        <w:rPr>
          <w:rFonts w:ascii="Times New Roman" w:hAnsi="Times New Roman"/>
          <w:sz w:val="24"/>
          <w:szCs w:val="24"/>
        </w:rPr>
        <w:t>are caught</w:t>
      </w:r>
      <w:proofErr w:type="gramEnd"/>
      <w:r w:rsidRPr="00390D6B">
        <w:rPr>
          <w:rFonts w:ascii="Times New Roman" w:hAnsi="Times New Roman"/>
          <w:sz w:val="24"/>
          <w:szCs w:val="24"/>
        </w:rPr>
        <w:t xml:space="preserve"> in state and federally managed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fisheries.  Both tag recovery forms require five minutes to complete and </w:t>
      </w:r>
      <w:proofErr w:type="gramStart"/>
      <w:r w:rsidRPr="00390D6B">
        <w:rPr>
          <w:rFonts w:ascii="Times New Roman" w:hAnsi="Times New Roman"/>
          <w:sz w:val="24"/>
          <w:szCs w:val="24"/>
        </w:rPr>
        <w:t>are designed</w:t>
      </w:r>
      <w:proofErr w:type="gramEnd"/>
      <w:r w:rsidRPr="00390D6B">
        <w:rPr>
          <w:rFonts w:ascii="Times New Roman" w:hAnsi="Times New Roman"/>
          <w:sz w:val="24"/>
          <w:szCs w:val="24"/>
        </w:rPr>
        <w:t xml:space="preserve"> to create minimal burden.  Many fishing vessels and processors in the fisheries associated with these tagging programs carry NMFS observers.  In the great majority of these instances, tagged fish </w:t>
      </w:r>
      <w:proofErr w:type="gramStart"/>
      <w:r w:rsidRPr="00390D6B">
        <w:rPr>
          <w:rFonts w:ascii="Times New Roman" w:hAnsi="Times New Roman"/>
          <w:sz w:val="24"/>
          <w:szCs w:val="24"/>
        </w:rPr>
        <w:t>will simply be handed</w:t>
      </w:r>
      <w:proofErr w:type="gramEnd"/>
      <w:r w:rsidRPr="00390D6B">
        <w:rPr>
          <w:rFonts w:ascii="Times New Roman" w:hAnsi="Times New Roman"/>
          <w:sz w:val="24"/>
          <w:szCs w:val="24"/>
        </w:rPr>
        <w:t xml:space="preserve"> to the observer for recovery of the tag and recording and forwarding of pertinent information thereby minimizing public burden.</w:t>
      </w:r>
    </w:p>
    <w:p w:rsidRPr="00BD7237" w:rsidR="008E61C9" w:rsidP="00BD7237" w:rsidRDefault="001477A3" w14:paraId="4CEA793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00305154" w:rsidP="00390D6B" w:rsidRDefault="00305154" w14:paraId="5A3891B6" w14:textId="77777777">
      <w:pPr>
        <w:ind w:left="131"/>
        <w:rPr>
          <w:rFonts w:ascii="Times New Roman" w:hAnsi="Times New Roman"/>
          <w:sz w:val="24"/>
          <w:szCs w:val="24"/>
        </w:rPr>
      </w:pPr>
    </w:p>
    <w:p w:rsidRPr="00390D6B" w:rsidR="00390D6B" w:rsidP="00390D6B" w:rsidRDefault="00390D6B" w14:paraId="473ADA71" w14:textId="77777777">
      <w:pPr>
        <w:ind w:left="131"/>
        <w:rPr>
          <w:rFonts w:ascii="Times New Roman" w:hAnsi="Times New Roman"/>
          <w:sz w:val="24"/>
          <w:szCs w:val="24"/>
        </w:rPr>
      </w:pPr>
      <w:r w:rsidRPr="00390D6B">
        <w:rPr>
          <w:rFonts w:ascii="Times New Roman" w:hAnsi="Times New Roman"/>
          <w:sz w:val="24"/>
          <w:szCs w:val="24"/>
        </w:rPr>
        <w:t xml:space="preserve">If the information </w:t>
      </w:r>
      <w:proofErr w:type="gramStart"/>
      <w:r w:rsidRPr="00390D6B">
        <w:rPr>
          <w:rFonts w:ascii="Times New Roman" w:hAnsi="Times New Roman"/>
          <w:sz w:val="24"/>
          <w:szCs w:val="24"/>
        </w:rPr>
        <w:t>were not collected</w:t>
      </w:r>
      <w:proofErr w:type="gramEnd"/>
      <w:r w:rsidRPr="00390D6B">
        <w:rPr>
          <w:rFonts w:ascii="Times New Roman" w:hAnsi="Times New Roman"/>
          <w:sz w:val="24"/>
          <w:szCs w:val="24"/>
        </w:rPr>
        <w:t xml:space="preserve">, management effectiveness of the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resource would be diminished. Tagging has provided estimates of a number of important biological parameters used in stock assessment models, models that </w:t>
      </w:r>
      <w:proofErr w:type="gramStart"/>
      <w:r w:rsidRPr="00390D6B">
        <w:rPr>
          <w:rFonts w:ascii="Times New Roman" w:hAnsi="Times New Roman"/>
          <w:sz w:val="24"/>
          <w:szCs w:val="24"/>
        </w:rPr>
        <w:t>are used</w:t>
      </w:r>
      <w:proofErr w:type="gramEnd"/>
      <w:r w:rsidRPr="00390D6B">
        <w:rPr>
          <w:rFonts w:ascii="Times New Roman" w:hAnsi="Times New Roman"/>
          <w:sz w:val="24"/>
          <w:szCs w:val="24"/>
        </w:rPr>
        <w:t xml:space="preserve"> to recommend harvest levels. Parameters include growth, fishing and natural mortality, and direction and rates of fish movement among management areas. The parameters </w:t>
      </w:r>
      <w:proofErr w:type="gramStart"/>
      <w:r w:rsidRPr="00390D6B">
        <w:rPr>
          <w:rFonts w:ascii="Times New Roman" w:hAnsi="Times New Roman"/>
          <w:sz w:val="24"/>
          <w:szCs w:val="24"/>
        </w:rPr>
        <w:t>are incorporated</w:t>
      </w:r>
      <w:proofErr w:type="gramEnd"/>
      <w:r w:rsidRPr="00390D6B">
        <w:rPr>
          <w:rFonts w:ascii="Times New Roman" w:hAnsi="Times New Roman"/>
          <w:sz w:val="24"/>
          <w:szCs w:val="24"/>
        </w:rPr>
        <w:t xml:space="preserve"> in population dynamics models such as stock reduction analysis, stock synthesis, and more advanced methods incorporating likelihood functions and non-linear optimization functions. The lack of adequate information derived from tagging would result in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stock assessments that are less accurate thereby decreasing the credibility of the fishery management process and increasing costs associated with under and over harvest of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resources.</w:t>
      </w:r>
    </w:p>
    <w:p w:rsidRPr="00305154" w:rsidR="00305154" w:rsidP="00305154" w:rsidRDefault="001477A3" w14:paraId="37DB0D6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5E17">
        <w:rPr>
          <w:rFonts w:ascii="Times New Roman" w:hAnsi="Times New Roman" w:cs="Times New Roman"/>
          <w:b/>
          <w:sz w:val="24"/>
          <w:szCs w:val="24"/>
        </w:rPr>
        <w:t xml:space="preserve">Explain any special circumstances that would cause an information collection to </w:t>
      </w:r>
      <w:proofErr w:type="gramStart"/>
      <w:r w:rsidRPr="005E5E17">
        <w:rPr>
          <w:rFonts w:ascii="Times New Roman" w:hAnsi="Times New Roman" w:cs="Times New Roman"/>
          <w:b/>
          <w:sz w:val="24"/>
          <w:szCs w:val="24"/>
        </w:rPr>
        <w:t>be conducted</w:t>
      </w:r>
      <w:proofErr w:type="gramEnd"/>
      <w:r w:rsidRPr="005E5E17">
        <w:rPr>
          <w:rFonts w:ascii="Times New Roman" w:hAnsi="Times New Roman" w:cs="Times New Roman"/>
          <w:b/>
          <w:sz w:val="24"/>
          <w:szCs w:val="24"/>
        </w:rPr>
        <w:t xml:space="preserve"> in a manner</w:t>
      </w:r>
      <w:r w:rsidR="00305154">
        <w:rPr>
          <w:rFonts w:ascii="Times New Roman" w:hAnsi="Times New Roman" w:cs="Times New Roman"/>
          <w:b/>
          <w:sz w:val="24"/>
          <w:szCs w:val="24"/>
        </w:rPr>
        <w:t xml:space="preserve"> inconsistent with OMB guidelines.</w:t>
      </w:r>
    </w:p>
    <w:p w:rsidR="00305154" w:rsidP="00305154" w:rsidRDefault="00305154" w14:paraId="699DCE8E" w14:textId="77777777">
      <w:pPr>
        <w:tabs>
          <w:tab w:val="left" w:pos="360"/>
        </w:tabs>
        <w:spacing w:before="80"/>
        <w:rPr>
          <w:rFonts w:ascii="Times New Roman" w:hAnsi="Times New Roman" w:cs="Times New Roman"/>
          <w:sz w:val="24"/>
          <w:szCs w:val="24"/>
        </w:rPr>
      </w:pPr>
      <w:r w:rsidRPr="00305154">
        <w:rPr>
          <w:rFonts w:ascii="Times New Roman" w:hAnsi="Times New Roman" w:cs="Times New Roman"/>
          <w:sz w:val="24"/>
          <w:szCs w:val="24"/>
        </w:rPr>
        <w:t xml:space="preserve">This collection </w:t>
      </w:r>
      <w:proofErr w:type="gramStart"/>
      <w:r w:rsidRPr="00305154">
        <w:rPr>
          <w:rFonts w:ascii="Times New Roman" w:hAnsi="Times New Roman" w:cs="Times New Roman"/>
          <w:sz w:val="24"/>
          <w:szCs w:val="24"/>
        </w:rPr>
        <w:t>will be conducted</w:t>
      </w:r>
      <w:proofErr w:type="gramEnd"/>
      <w:r w:rsidRPr="00305154">
        <w:rPr>
          <w:rFonts w:ascii="Times New Roman" w:hAnsi="Times New Roman" w:cs="Times New Roman"/>
          <w:sz w:val="24"/>
          <w:szCs w:val="24"/>
        </w:rPr>
        <w:t xml:space="preserve"> in a manner that is consistent with OMB guidelines.</w:t>
      </w:r>
    </w:p>
    <w:p w:rsidRPr="00305154" w:rsidR="00305154" w:rsidP="00305154" w:rsidRDefault="00305154" w14:paraId="660A08E2" w14:textId="77777777">
      <w:pPr>
        <w:tabs>
          <w:tab w:val="left" w:pos="360"/>
        </w:tabs>
        <w:spacing w:before="80"/>
        <w:rPr>
          <w:rFonts w:ascii="Times New Roman" w:hAnsi="Times New Roman" w:cs="Times New Roman"/>
          <w:sz w:val="24"/>
          <w:szCs w:val="24"/>
        </w:rPr>
      </w:pPr>
    </w:p>
    <w:p w:rsidRPr="00BD7237" w:rsidR="008E61C9" w:rsidP="00BD7237" w:rsidRDefault="001477A3" w14:paraId="2A03A42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A6B3F" w:rsidP="003A6B3F" w:rsidRDefault="00390D6B" w14:paraId="2EA5654B" w14:textId="181C5CFD">
      <w:pPr>
        <w:pStyle w:val="BodyText"/>
        <w:rPr>
          <w:rFonts w:ascii="Times New Roman" w:hAnsi="Times New Roman" w:cs="Times New Roman"/>
        </w:rPr>
      </w:pPr>
      <w:r w:rsidRPr="00DB3331">
        <w:rPr>
          <w:rFonts w:ascii="Times New Roman" w:hAnsi="Times New Roman" w:cs="Times New Roman"/>
          <w:lang w:val="x-none"/>
        </w:rPr>
        <w:t xml:space="preserve">A </w:t>
      </w:r>
      <w:r w:rsidRPr="00DB3331">
        <w:rPr>
          <w:rFonts w:ascii="Times New Roman" w:hAnsi="Times New Roman" w:cs="Times New Roman"/>
          <w:u w:val="single"/>
        </w:rPr>
        <w:t xml:space="preserve">Federal Register </w:t>
      </w:r>
      <w:r w:rsidRPr="00DB3331">
        <w:rPr>
          <w:rFonts w:ascii="Times New Roman" w:hAnsi="Times New Roman" w:cs="Times New Roman"/>
        </w:rPr>
        <w:t>N</w:t>
      </w:r>
      <w:proofErr w:type="spellStart"/>
      <w:r w:rsidRPr="00DB3331">
        <w:rPr>
          <w:rFonts w:ascii="Times New Roman" w:hAnsi="Times New Roman" w:cs="Times New Roman"/>
          <w:lang w:val="x-none"/>
        </w:rPr>
        <w:t>otice</w:t>
      </w:r>
      <w:proofErr w:type="spellEnd"/>
      <w:r w:rsidRPr="00DB3331">
        <w:rPr>
          <w:rFonts w:ascii="Times New Roman" w:hAnsi="Times New Roman" w:cs="Times New Roman"/>
          <w:lang w:val="x-none"/>
        </w:rPr>
        <w:t xml:space="preserve"> was </w:t>
      </w:r>
      <w:r w:rsidRPr="00DB3331">
        <w:rPr>
          <w:rFonts w:ascii="Times New Roman" w:hAnsi="Times New Roman" w:cs="Times New Roman"/>
        </w:rPr>
        <w:t xml:space="preserve">published on </w:t>
      </w:r>
      <w:r w:rsidRPr="00DB3331" w:rsidR="00DB3331">
        <w:rPr>
          <w:rFonts w:ascii="Times New Roman" w:hAnsi="Times New Roman" w:cs="Times New Roman"/>
        </w:rPr>
        <w:t>January 20, 2022</w:t>
      </w:r>
      <w:r w:rsidRPr="00DB3331">
        <w:rPr>
          <w:rFonts w:ascii="Times New Roman" w:hAnsi="Times New Roman" w:cs="Times New Roman"/>
        </w:rPr>
        <w:t xml:space="preserve"> (</w:t>
      </w:r>
      <w:r w:rsidR="003A6B3F">
        <w:rPr>
          <w:rFonts w:ascii="Times New Roman" w:hAnsi="Times New Roman" w:cs="Times New Roman"/>
        </w:rPr>
        <w:t>87 FR 3083</w:t>
      </w:r>
      <w:r w:rsidRPr="00DB3331">
        <w:rPr>
          <w:rFonts w:ascii="Times New Roman" w:hAnsi="Times New Roman" w:cs="Times New Roman"/>
        </w:rPr>
        <w:t>), soliciting public comments. No sub</w:t>
      </w:r>
      <w:r w:rsidR="003A6B3F">
        <w:rPr>
          <w:rFonts w:ascii="Times New Roman" w:hAnsi="Times New Roman" w:cs="Times New Roman"/>
        </w:rPr>
        <w:t xml:space="preserve">stantive comments </w:t>
      </w:r>
      <w:proofErr w:type="gramStart"/>
      <w:r w:rsidR="003A6B3F">
        <w:rPr>
          <w:rFonts w:ascii="Times New Roman" w:hAnsi="Times New Roman" w:cs="Times New Roman"/>
        </w:rPr>
        <w:t>were received</w:t>
      </w:r>
      <w:proofErr w:type="gramEnd"/>
      <w:r w:rsidR="003A6B3F">
        <w:rPr>
          <w:rFonts w:ascii="Times New Roman" w:hAnsi="Times New Roman" w:cs="Times New Roman"/>
        </w:rPr>
        <w:t>.</w:t>
      </w:r>
    </w:p>
    <w:p w:rsidRPr="003A6B3F" w:rsidR="003A6B3F" w:rsidP="003A6B3F" w:rsidRDefault="003A6B3F" w14:paraId="19DEE5BD" w14:textId="7BF20C78">
      <w:pPr>
        <w:pStyle w:val="BodyText"/>
        <w:rPr>
          <w:rFonts w:ascii="Times New Roman" w:hAnsi="Times New Roman" w:cs="Times New Roman"/>
        </w:rPr>
      </w:pPr>
      <w:r w:rsidRPr="003A6B3F">
        <w:rPr>
          <w:rFonts w:ascii="Times New Roman" w:hAnsi="Times New Roman" w:cs="Times New Roman"/>
        </w:rPr>
        <w:t xml:space="preserve">Additionally, </w:t>
      </w:r>
      <w:r w:rsidRPr="003A6B3F">
        <w:rPr>
          <w:rFonts w:ascii="Times New Roman" w:hAnsi="Times New Roman" w:cs="Times New Roman"/>
          <w:color w:val="000000"/>
        </w:rPr>
        <w:t xml:space="preserve">NMFS reached out to several </w:t>
      </w:r>
      <w:r>
        <w:rPr>
          <w:rFonts w:ascii="Times New Roman" w:hAnsi="Times New Roman" w:cs="Times New Roman"/>
          <w:color w:val="000000"/>
        </w:rPr>
        <w:t>respondents</w:t>
      </w:r>
      <w:r w:rsidRPr="003A6B3F">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3A6B3F">
        <w:rPr>
          <w:rFonts w:ascii="Times New Roman" w:hAnsi="Times New Roman" w:cs="Times New Roman"/>
          <w:color w:val="000000"/>
        </w:rPr>
        <w:t>were received</w:t>
      </w:r>
      <w:proofErr w:type="gramEnd"/>
      <w:r w:rsidRPr="003A6B3F">
        <w:rPr>
          <w:rFonts w:ascii="Times New Roman" w:hAnsi="Times New Roman" w:cs="Times New Roman"/>
          <w:color w:val="000000"/>
        </w:rPr>
        <w:t>.</w:t>
      </w:r>
    </w:p>
    <w:p w:rsidRPr="00BD7237" w:rsidR="008E61C9" w:rsidP="00BD7237" w:rsidRDefault="001477A3" w14:paraId="2E0A3FF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305154" w:rsidP="00390D6B" w:rsidRDefault="00305154" w14:paraId="5A452007" w14:textId="77777777">
      <w:pPr>
        <w:ind w:left="131"/>
        <w:rPr>
          <w:rFonts w:ascii="Times New Roman" w:hAnsi="Times New Roman"/>
          <w:sz w:val="24"/>
          <w:szCs w:val="24"/>
        </w:rPr>
      </w:pPr>
    </w:p>
    <w:p w:rsidR="00390D6B" w:rsidP="00390D6B" w:rsidRDefault="00390D6B" w14:paraId="28EA8DF4" w14:textId="77777777">
      <w:pPr>
        <w:ind w:left="131"/>
        <w:rPr>
          <w:rFonts w:ascii="Times New Roman" w:hAnsi="Times New Roman"/>
          <w:sz w:val="24"/>
          <w:szCs w:val="24"/>
        </w:rPr>
      </w:pPr>
      <w:r w:rsidRPr="00390D6B">
        <w:rPr>
          <w:rFonts w:ascii="Times New Roman" w:hAnsi="Times New Roman"/>
          <w:sz w:val="24"/>
          <w:szCs w:val="24"/>
        </w:rPr>
        <w:t xml:space="preserve">The various tagging efforts within the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tagging program offer a variety of rewards and incentives for participation ($5 cash, a ball cap, etc.).  Participants also receive the release information (date, position, depth, size) and data generated from each tag recovered (growth, miles traveled, and days at large).  The data associated with the recovered tags is of great interest to </w:t>
      </w:r>
      <w:proofErr w:type="gramStart"/>
      <w:r w:rsidRPr="00390D6B">
        <w:rPr>
          <w:rFonts w:ascii="Times New Roman" w:hAnsi="Times New Roman"/>
          <w:sz w:val="24"/>
          <w:szCs w:val="24"/>
        </w:rPr>
        <w:t>fishermen</w:t>
      </w:r>
      <w:proofErr w:type="gramEnd"/>
      <w:r w:rsidRPr="00390D6B">
        <w:rPr>
          <w:rFonts w:ascii="Times New Roman" w:hAnsi="Times New Roman"/>
          <w:sz w:val="24"/>
          <w:szCs w:val="24"/>
        </w:rPr>
        <w:t xml:space="preserve"> and may be as much of an incentive as the small rewards.  For sablefish, there is in addition an annual drawing of the recovered tag numbers; the </w:t>
      </w:r>
      <w:proofErr w:type="spellStart"/>
      <w:r w:rsidRPr="00390D6B">
        <w:rPr>
          <w:rFonts w:ascii="Times New Roman" w:hAnsi="Times New Roman"/>
          <w:sz w:val="24"/>
          <w:szCs w:val="24"/>
        </w:rPr>
        <w:t>recoverer</w:t>
      </w:r>
      <w:proofErr w:type="spellEnd"/>
      <w:r w:rsidRPr="00390D6B">
        <w:rPr>
          <w:rFonts w:ascii="Times New Roman" w:hAnsi="Times New Roman"/>
          <w:sz w:val="24"/>
          <w:szCs w:val="24"/>
        </w:rPr>
        <w:t xml:space="preserve"> of the winning tag number receives $1,000.  The sablefish information is currently more valuable, which is why an additional reward </w:t>
      </w:r>
      <w:proofErr w:type="gramStart"/>
      <w:r w:rsidRPr="00390D6B">
        <w:rPr>
          <w:rFonts w:ascii="Times New Roman" w:hAnsi="Times New Roman"/>
          <w:sz w:val="24"/>
          <w:szCs w:val="24"/>
        </w:rPr>
        <w:t>is offered</w:t>
      </w:r>
      <w:proofErr w:type="gramEnd"/>
      <w:r w:rsidRPr="00390D6B">
        <w:rPr>
          <w:rFonts w:ascii="Times New Roman" w:hAnsi="Times New Roman"/>
          <w:sz w:val="24"/>
          <w:szCs w:val="24"/>
        </w:rPr>
        <w:t xml:space="preserve"> for these tags.  Similarly, archival electronic tags earn the participant $200 for return of an undamaged electronic tag, reflecting the value of the data contained therein.</w:t>
      </w:r>
    </w:p>
    <w:p w:rsidRPr="00BD7237" w:rsidR="008E61C9" w:rsidP="00BD7237" w:rsidRDefault="001477A3" w14:paraId="4954823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p>
    <w:p w:rsidR="00305154" w:rsidP="00390D6B" w:rsidRDefault="00305154" w14:paraId="4A1430C7" w14:textId="77777777">
      <w:pPr>
        <w:ind w:left="131"/>
        <w:rPr>
          <w:rFonts w:ascii="Times New Roman" w:hAnsi="Times New Roman"/>
          <w:sz w:val="24"/>
          <w:szCs w:val="24"/>
          <w:lang w:val="x-none"/>
        </w:rPr>
      </w:pPr>
    </w:p>
    <w:p w:rsidRPr="00390D6B" w:rsidR="00390D6B" w:rsidP="00390D6B" w:rsidRDefault="00390D6B" w14:paraId="03A00FFF" w14:textId="77777777">
      <w:pPr>
        <w:ind w:left="131"/>
        <w:rPr>
          <w:rFonts w:ascii="Times New Roman" w:hAnsi="Times New Roman"/>
          <w:sz w:val="24"/>
          <w:szCs w:val="24"/>
        </w:rPr>
      </w:pPr>
      <w:r w:rsidRPr="00390D6B">
        <w:rPr>
          <w:rFonts w:ascii="Times New Roman" w:hAnsi="Times New Roman"/>
          <w:sz w:val="24"/>
          <w:szCs w:val="24"/>
          <w:lang w:val="x-none"/>
        </w:rPr>
        <w:t>The information collected is confidential under section 402(b) of the Magnuson-Stevens Act (16 U.S.C. 1881</w:t>
      </w:r>
      <w:r w:rsidRPr="00390D6B">
        <w:rPr>
          <w:rFonts w:ascii="Times New Roman" w:hAnsi="Times New Roman"/>
          <w:sz w:val="24"/>
          <w:szCs w:val="24"/>
        </w:rPr>
        <w:t xml:space="preserve">a).  It is also confidential under NOAA Administrative Order 216-100, which sets forth procedures to protect the confidentiality of fishery statistics.  Under guidance of NOAA General Counsel, Alaska Region, changes to Alaska state regulations </w:t>
      </w:r>
      <w:proofErr w:type="gramStart"/>
      <w:r w:rsidRPr="00390D6B">
        <w:rPr>
          <w:rFonts w:ascii="Times New Roman" w:hAnsi="Times New Roman"/>
          <w:sz w:val="24"/>
          <w:szCs w:val="24"/>
        </w:rPr>
        <w:t>have been implemented</w:t>
      </w:r>
      <w:proofErr w:type="gramEnd"/>
      <w:r w:rsidRPr="00390D6B">
        <w:rPr>
          <w:rFonts w:ascii="Times New Roman" w:hAnsi="Times New Roman"/>
          <w:sz w:val="24"/>
          <w:szCs w:val="24"/>
        </w:rPr>
        <w:t xml:space="preserve"> to allow the State access to fishery information collected from the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industry under Federal regulations, consistent with NOAA Administrative Order 216-100.</w:t>
      </w:r>
    </w:p>
    <w:p w:rsidRPr="00390D6B" w:rsidR="00390D6B" w:rsidP="0060711B" w:rsidRDefault="001477A3" w14:paraId="2E926AFA" w14:textId="77777777">
      <w:pPr>
        <w:pStyle w:val="ListParagraph"/>
        <w:numPr>
          <w:ilvl w:val="0"/>
          <w:numId w:val="7"/>
        </w:numPr>
        <w:tabs>
          <w:tab w:val="left" w:pos="360"/>
        </w:tabs>
        <w:spacing w:before="80"/>
        <w:rPr>
          <w:rFonts w:ascii="Times New Roman" w:hAnsi="Times New Roman"/>
          <w:sz w:val="24"/>
          <w:szCs w:val="24"/>
        </w:rPr>
      </w:pPr>
      <w:r w:rsidRPr="00390D6B">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390D6B">
        <w:rPr>
          <w:rFonts w:ascii="Times New Roman" w:hAnsi="Times New Roman" w:cs="Times New Roman"/>
          <w:b/>
          <w:sz w:val="24"/>
          <w:szCs w:val="24"/>
        </w:rPr>
        <w:t>are commonly considered</w:t>
      </w:r>
      <w:proofErr w:type="gramEnd"/>
      <w:r w:rsidRPr="00390D6B">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390D6B">
        <w:rPr>
          <w:rFonts w:ascii="Times New Roman" w:hAnsi="Times New Roman" w:cs="Times New Roman"/>
          <w:b/>
          <w:sz w:val="24"/>
          <w:szCs w:val="24"/>
        </w:rPr>
        <w:t>be given</w:t>
      </w:r>
      <w:proofErr w:type="gramEnd"/>
      <w:r w:rsidRPr="00390D6B">
        <w:rPr>
          <w:rFonts w:ascii="Times New Roman" w:hAnsi="Times New Roman" w:cs="Times New Roman"/>
          <w:b/>
          <w:sz w:val="24"/>
          <w:szCs w:val="24"/>
        </w:rPr>
        <w:t xml:space="preserve"> to persons from whom the information is requested, and any steps to be taken to obtain their consent.</w:t>
      </w:r>
    </w:p>
    <w:p w:rsidRPr="00390D6B" w:rsidR="00390D6B" w:rsidP="00390D6B" w:rsidRDefault="00390D6B" w14:paraId="421EBB48" w14:textId="77777777">
      <w:pPr>
        <w:tabs>
          <w:tab w:val="left" w:pos="360"/>
        </w:tabs>
        <w:spacing w:before="80"/>
        <w:ind w:left="131"/>
        <w:rPr>
          <w:rFonts w:ascii="Times New Roman" w:hAnsi="Times New Roman"/>
          <w:sz w:val="24"/>
          <w:szCs w:val="24"/>
        </w:rPr>
      </w:pPr>
      <w:r w:rsidRPr="00390D6B">
        <w:rPr>
          <w:rFonts w:ascii="Times New Roman" w:hAnsi="Times New Roman"/>
          <w:sz w:val="24"/>
          <w:szCs w:val="24"/>
        </w:rPr>
        <w:t>This information collection does not involve information of a sensitive nature.</w:t>
      </w:r>
    </w:p>
    <w:p w:rsidRPr="00BD7237" w:rsidR="008E61C9" w:rsidP="00BD7237" w:rsidRDefault="008E61C9" w14:paraId="3003976B" w14:textId="77777777">
      <w:pPr>
        <w:spacing w:line="259" w:lineRule="auto"/>
        <w:rPr>
          <w:rFonts w:ascii="Times New Roman" w:hAnsi="Times New Roman" w:cs="Times New Roman"/>
          <w:sz w:val="24"/>
          <w:szCs w:val="24"/>
        </w:rPr>
      </w:pPr>
    </w:p>
    <w:p w:rsidRPr="007D7441" w:rsidR="00305154" w:rsidP="007D7441" w:rsidRDefault="001477A3" w14:paraId="3DA4A1A3" w14:textId="7D815BE4">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305154" w:rsidR="00390D6B" w:rsidP="00305154" w:rsidRDefault="00390D6B" w14:paraId="6FD9CE8B" w14:textId="77777777">
      <w:pPr>
        <w:keepNext/>
        <w:rPr>
          <w:rFonts w:ascii="Times New Roman" w:hAnsi="Times New Roman"/>
          <w:sz w:val="24"/>
          <w:szCs w:val="24"/>
        </w:rPr>
      </w:pPr>
      <w:r w:rsidRPr="00305154">
        <w:rPr>
          <w:rFonts w:ascii="Times New Roman" w:hAnsi="Times New Roman"/>
          <w:sz w:val="24"/>
          <w:szCs w:val="24"/>
        </w:rPr>
        <w:t xml:space="preserve">The burden associated with a respondent returning a spaghetti tag is five minutes to complete the form.  Since a business reply envelope </w:t>
      </w:r>
      <w:proofErr w:type="gramStart"/>
      <w:r w:rsidRPr="00305154">
        <w:rPr>
          <w:rFonts w:ascii="Times New Roman" w:hAnsi="Times New Roman"/>
          <w:sz w:val="24"/>
          <w:szCs w:val="24"/>
        </w:rPr>
        <w:t>is provided</w:t>
      </w:r>
      <w:proofErr w:type="gramEnd"/>
      <w:r w:rsidRPr="00305154">
        <w:rPr>
          <w:rFonts w:ascii="Times New Roman" w:hAnsi="Times New Roman"/>
          <w:sz w:val="24"/>
          <w:szCs w:val="24"/>
        </w:rPr>
        <w:t xml:space="preserve"> to the participant, no other burden is associated.  There are two forms used with this tagging program.  The first, the tagged sablefish form, has most recently generated approximately 550 responses per year (about half from the public rather than observers or NMFS staff).  The second, the </w:t>
      </w:r>
      <w:proofErr w:type="spellStart"/>
      <w:r w:rsidRPr="00305154">
        <w:rPr>
          <w:rFonts w:ascii="Times New Roman" w:hAnsi="Times New Roman"/>
          <w:sz w:val="24"/>
          <w:szCs w:val="24"/>
        </w:rPr>
        <w:t>groundfish</w:t>
      </w:r>
      <w:proofErr w:type="spellEnd"/>
      <w:r w:rsidRPr="00305154">
        <w:rPr>
          <w:rFonts w:ascii="Times New Roman" w:hAnsi="Times New Roman"/>
          <w:sz w:val="24"/>
          <w:szCs w:val="24"/>
        </w:rPr>
        <w:t xml:space="preserve"> tagging form, has most recently generated approximately 450 responses per year. </w:t>
      </w:r>
    </w:p>
    <w:p w:rsidRPr="00305154" w:rsidR="00390D6B" w:rsidP="00305154" w:rsidRDefault="00390D6B" w14:paraId="11D58CA8" w14:textId="77777777">
      <w:pPr>
        <w:rPr>
          <w:rFonts w:ascii="Times New Roman" w:hAnsi="Times New Roman"/>
          <w:sz w:val="24"/>
          <w:szCs w:val="24"/>
        </w:rPr>
      </w:pPr>
    </w:p>
    <w:p w:rsidR="00B05821" w:rsidP="007D7441" w:rsidRDefault="00390D6B" w14:paraId="64419B91" w14:textId="24C4C8B8">
      <w:pPr>
        <w:rPr>
          <w:rFonts w:ascii="Times New Roman" w:hAnsi="Times New Roman"/>
          <w:sz w:val="24"/>
          <w:szCs w:val="24"/>
        </w:rPr>
      </w:pPr>
      <w:r w:rsidRPr="00305154">
        <w:rPr>
          <w:rFonts w:ascii="Times New Roman" w:hAnsi="Times New Roman"/>
          <w:sz w:val="24"/>
          <w:szCs w:val="24"/>
        </w:rPr>
        <w:t xml:space="preserve">Approximately 15 electronic tags are returned per </w:t>
      </w:r>
      <w:proofErr w:type="gramStart"/>
      <w:r w:rsidRPr="00305154">
        <w:rPr>
          <w:rFonts w:ascii="Times New Roman" w:hAnsi="Times New Roman"/>
          <w:sz w:val="24"/>
          <w:szCs w:val="24"/>
        </w:rPr>
        <w:t>year,</w:t>
      </w:r>
      <w:proofErr w:type="gramEnd"/>
      <w:r w:rsidRPr="00305154">
        <w:rPr>
          <w:rFonts w:ascii="Times New Roman" w:hAnsi="Times New Roman"/>
          <w:sz w:val="24"/>
          <w:szCs w:val="24"/>
        </w:rPr>
        <w:t xml:space="preserve"> however the vast majority of these are simply handed over to on-site NMFS observers, thereby incurring no burden.  It is estimated that approximately </w:t>
      </w:r>
      <w:proofErr w:type="gramStart"/>
      <w:r w:rsidRPr="00305154">
        <w:rPr>
          <w:rFonts w:ascii="Times New Roman" w:hAnsi="Times New Roman"/>
          <w:sz w:val="24"/>
          <w:szCs w:val="24"/>
        </w:rPr>
        <w:t>5</w:t>
      </w:r>
      <w:proofErr w:type="gramEnd"/>
      <w:r w:rsidRPr="00305154">
        <w:rPr>
          <w:rFonts w:ascii="Times New Roman" w:hAnsi="Times New Roman"/>
          <w:sz w:val="24"/>
          <w:szCs w:val="24"/>
        </w:rPr>
        <w:t xml:space="preserve"> respondents per year return these tags themselves.  The burden associated with a respondent returning an electronic archival tag is less than twenty minutes to remove</w:t>
      </w:r>
      <w:r w:rsidR="007D7441">
        <w:rPr>
          <w:rFonts w:ascii="Times New Roman" w:hAnsi="Times New Roman"/>
          <w:sz w:val="24"/>
          <w:szCs w:val="24"/>
        </w:rPr>
        <w:t xml:space="preserve"> the tag and record information</w:t>
      </w:r>
    </w:p>
    <w:tbl>
      <w:tblPr>
        <w:tblW w:w="10456" w:type="dxa"/>
        <w:tblLook w:val="04A0" w:firstRow="1" w:lastRow="0" w:firstColumn="1" w:lastColumn="0" w:noHBand="0" w:noVBand="1"/>
      </w:tblPr>
      <w:tblGrid>
        <w:gridCol w:w="1608"/>
        <w:gridCol w:w="1426"/>
        <w:gridCol w:w="1080"/>
        <w:gridCol w:w="1170"/>
        <w:gridCol w:w="1056"/>
        <w:gridCol w:w="982"/>
        <w:gridCol w:w="807"/>
        <w:gridCol w:w="1227"/>
        <w:gridCol w:w="1102"/>
      </w:tblGrid>
      <w:tr w:rsidRPr="00B05821" w:rsidR="00B05821" w:rsidTr="007D7441" w14:paraId="1AEDECBC" w14:textId="77777777">
        <w:trPr>
          <w:trHeight w:val="1096"/>
        </w:trPr>
        <w:tc>
          <w:tcPr>
            <w:tcW w:w="1608"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05821" w:rsidR="00B05821" w:rsidP="00B05821" w:rsidRDefault="00B05821" w14:paraId="43F9F546"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Information Collection</w:t>
            </w:r>
          </w:p>
        </w:tc>
        <w:tc>
          <w:tcPr>
            <w:tcW w:w="1426" w:type="dxa"/>
            <w:tcBorders>
              <w:top w:val="single" w:color="auto" w:sz="8" w:space="0"/>
              <w:left w:val="nil"/>
              <w:bottom w:val="single" w:color="auto" w:sz="8" w:space="0"/>
              <w:right w:val="single" w:color="000000" w:sz="8" w:space="0"/>
            </w:tcBorders>
            <w:shd w:val="clear" w:color="000000" w:fill="BDD7EE"/>
            <w:vAlign w:val="center"/>
            <w:hideMark/>
          </w:tcPr>
          <w:p w:rsidRPr="00B05821" w:rsidR="00B05821" w:rsidP="00B05821" w:rsidRDefault="00B05821" w14:paraId="674351F9"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Type of Respondent (e.g., Occupational Title)</w:t>
            </w:r>
          </w:p>
        </w:tc>
        <w:tc>
          <w:tcPr>
            <w:tcW w:w="1078" w:type="dxa"/>
            <w:tcBorders>
              <w:top w:val="single" w:color="auto" w:sz="8" w:space="0"/>
              <w:left w:val="nil"/>
              <w:bottom w:val="single" w:color="auto" w:sz="8" w:space="0"/>
              <w:right w:val="single" w:color="000000" w:sz="8" w:space="0"/>
            </w:tcBorders>
            <w:shd w:val="clear" w:color="000000" w:fill="BDD7EE"/>
            <w:vAlign w:val="center"/>
            <w:hideMark/>
          </w:tcPr>
          <w:p w:rsidRPr="00B05821" w:rsidR="00B05821" w:rsidP="00B05821" w:rsidRDefault="00B05821" w14:paraId="1CACAB9B"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of Respondents</w:t>
            </w:r>
            <w:r w:rsidRPr="00B05821">
              <w:rPr>
                <w:rFonts w:ascii="Calibri" w:hAnsi="Calibri" w:eastAsia="Times New Roman" w:cs="Calibri"/>
                <w:b/>
                <w:bCs/>
                <w:color w:val="000000"/>
                <w:sz w:val="16"/>
                <w:szCs w:val="16"/>
                <w:lang w:bidi="ar-SA"/>
              </w:rPr>
              <w:br/>
              <w:t>(a)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27400D3C"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Annual # of Responses / Respondent</w:t>
            </w:r>
            <w:r w:rsidRPr="00B05821">
              <w:rPr>
                <w:rFonts w:ascii="Calibri" w:hAnsi="Calibri" w:eastAsia="Times New Roman" w:cs="Calibri"/>
                <w:b/>
                <w:bCs/>
                <w:color w:val="000000"/>
                <w:sz w:val="16"/>
                <w:szCs w:val="16"/>
                <w:lang w:bidi="ar-SA"/>
              </w:rPr>
              <w:br/>
              <w:t>(b)</w:t>
            </w:r>
          </w:p>
        </w:tc>
        <w:tc>
          <w:tcPr>
            <w:tcW w:w="1056"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5F488BEA"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xml:space="preserve"> Total # of Annual Responses</w:t>
            </w:r>
            <w:r w:rsidRPr="00B05821">
              <w:rPr>
                <w:rFonts w:ascii="Calibri" w:hAnsi="Calibri" w:eastAsia="Times New Roman" w:cs="Calibri"/>
                <w:b/>
                <w:bCs/>
                <w:color w:val="000000"/>
                <w:sz w:val="16"/>
                <w:szCs w:val="16"/>
                <w:lang w:bidi="ar-SA"/>
              </w:rPr>
              <w:br/>
              <w:t>(c) = (a) x (b)</w:t>
            </w:r>
          </w:p>
        </w:tc>
        <w:tc>
          <w:tcPr>
            <w:tcW w:w="982"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7D2C7708"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xml:space="preserve">Burden </w:t>
            </w:r>
            <w:proofErr w:type="spellStart"/>
            <w:r w:rsidRPr="00B05821">
              <w:rPr>
                <w:rFonts w:ascii="Calibri" w:hAnsi="Calibri" w:eastAsia="Times New Roman" w:cs="Calibri"/>
                <w:b/>
                <w:bCs/>
                <w:color w:val="000000"/>
                <w:sz w:val="16"/>
                <w:szCs w:val="16"/>
                <w:lang w:bidi="ar-SA"/>
              </w:rPr>
              <w:t>Hrs</w:t>
            </w:r>
            <w:proofErr w:type="spellEnd"/>
            <w:r w:rsidRPr="00B05821">
              <w:rPr>
                <w:rFonts w:ascii="Calibri" w:hAnsi="Calibri" w:eastAsia="Times New Roman" w:cs="Calibri"/>
                <w:b/>
                <w:bCs/>
                <w:color w:val="000000"/>
                <w:sz w:val="16"/>
                <w:szCs w:val="16"/>
                <w:lang w:bidi="ar-SA"/>
              </w:rPr>
              <w:t xml:space="preserve"> / Response</w:t>
            </w:r>
            <w:r w:rsidRPr="00B05821">
              <w:rPr>
                <w:rFonts w:ascii="Calibri" w:hAnsi="Calibri" w:eastAsia="Times New Roman" w:cs="Calibri"/>
                <w:b/>
                <w:bCs/>
                <w:color w:val="000000"/>
                <w:sz w:val="16"/>
                <w:szCs w:val="16"/>
                <w:lang w:bidi="ar-SA"/>
              </w:rPr>
              <w:br/>
              <w:t>(d)</w:t>
            </w:r>
          </w:p>
        </w:tc>
        <w:tc>
          <w:tcPr>
            <w:tcW w:w="807"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2DDF64BE"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xml:space="preserve">Total Annual Burden </w:t>
            </w:r>
            <w:proofErr w:type="spellStart"/>
            <w:r w:rsidRPr="00B05821">
              <w:rPr>
                <w:rFonts w:ascii="Calibri" w:hAnsi="Calibri" w:eastAsia="Times New Roman" w:cs="Calibri"/>
                <w:b/>
                <w:bCs/>
                <w:color w:val="000000"/>
                <w:sz w:val="16"/>
                <w:szCs w:val="16"/>
                <w:lang w:bidi="ar-SA"/>
              </w:rPr>
              <w:t>Hrs</w:t>
            </w:r>
            <w:proofErr w:type="spellEnd"/>
            <w:r w:rsidRPr="00B05821">
              <w:rPr>
                <w:rFonts w:ascii="Calibri" w:hAnsi="Calibri" w:eastAsia="Times New Roman" w:cs="Calibri"/>
                <w:b/>
                <w:bCs/>
                <w:color w:val="000000"/>
                <w:sz w:val="16"/>
                <w:szCs w:val="16"/>
                <w:lang w:bidi="ar-SA"/>
              </w:rPr>
              <w:br/>
              <w:t>(e)  = (c) x (d)</w:t>
            </w:r>
          </w:p>
        </w:tc>
        <w:tc>
          <w:tcPr>
            <w:tcW w:w="1227"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6E28AA28"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Hourly Wage Rate  (for Type of Respondent)</w:t>
            </w:r>
            <w:r w:rsidRPr="00B05821">
              <w:rPr>
                <w:rFonts w:ascii="Calibri" w:hAnsi="Calibri" w:eastAsia="Times New Roman" w:cs="Calibri"/>
                <w:b/>
                <w:bCs/>
                <w:color w:val="000000"/>
                <w:sz w:val="16"/>
                <w:szCs w:val="16"/>
                <w:lang w:bidi="ar-SA"/>
              </w:rPr>
              <w:br/>
              <w:t>(f)</w:t>
            </w:r>
          </w:p>
        </w:tc>
        <w:tc>
          <w:tcPr>
            <w:tcW w:w="1102"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2914B845"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 Annual Wage Burden Costs</w:t>
            </w:r>
            <w:r w:rsidRPr="00B05821">
              <w:rPr>
                <w:rFonts w:ascii="Calibri" w:hAnsi="Calibri" w:eastAsia="Times New Roman" w:cs="Calibri"/>
                <w:b/>
                <w:bCs/>
                <w:color w:val="000000"/>
                <w:sz w:val="16"/>
                <w:szCs w:val="16"/>
                <w:lang w:bidi="ar-SA"/>
              </w:rPr>
              <w:br/>
              <w:t>(g) = (e) x (f)</w:t>
            </w:r>
          </w:p>
        </w:tc>
      </w:tr>
      <w:tr w:rsidRPr="00B05821" w:rsidR="003A6B43" w:rsidTr="00690D66" w14:paraId="52DCF25A" w14:textId="77777777">
        <w:trPr>
          <w:trHeight w:val="306"/>
        </w:trPr>
        <w:tc>
          <w:tcPr>
            <w:tcW w:w="1608" w:type="dxa"/>
            <w:tcBorders>
              <w:top w:val="nil"/>
              <w:left w:val="single" w:color="auto" w:sz="8" w:space="0"/>
              <w:bottom w:val="single" w:color="auto" w:sz="4" w:space="0"/>
              <w:right w:val="single" w:color="auto" w:sz="4" w:space="0"/>
            </w:tcBorders>
            <w:shd w:val="clear" w:color="auto" w:fill="auto"/>
            <w:vAlign w:val="center"/>
            <w:hideMark/>
          </w:tcPr>
          <w:p w:rsidRPr="00B05821" w:rsidR="003A6B43" w:rsidP="003A6B43" w:rsidRDefault="003A6B43" w14:paraId="349FAE95" w14:textId="66977160">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7D7441">
              <w:rPr>
                <w:rFonts w:ascii="Calibri" w:hAnsi="Calibri" w:eastAsia="Times New Roman" w:cs="Calibri"/>
                <w:color w:val="000000"/>
                <w:sz w:val="16"/>
                <w:szCs w:val="16"/>
                <w:lang w:bidi="ar-SA"/>
              </w:rPr>
              <w:t>Simple</w:t>
            </w:r>
            <w:r w:rsidR="0018228B">
              <w:rPr>
                <w:rFonts w:ascii="Calibri" w:hAnsi="Calibri" w:eastAsia="Times New Roman" w:cs="Calibri"/>
                <w:color w:val="000000"/>
                <w:sz w:val="16"/>
                <w:szCs w:val="16"/>
                <w:lang w:bidi="ar-SA"/>
              </w:rPr>
              <w:t xml:space="preserve"> </w:t>
            </w:r>
            <w:r>
              <w:rPr>
                <w:rFonts w:ascii="Calibri" w:hAnsi="Calibri" w:eastAsia="Times New Roman" w:cs="Calibri"/>
                <w:color w:val="000000"/>
                <w:sz w:val="16"/>
                <w:szCs w:val="16"/>
                <w:lang w:bidi="ar-SA"/>
              </w:rPr>
              <w:t>Tagged Sablefish Form</w:t>
            </w:r>
          </w:p>
        </w:tc>
        <w:tc>
          <w:tcPr>
            <w:tcW w:w="1426" w:type="dxa"/>
            <w:tcBorders>
              <w:top w:val="nil"/>
              <w:left w:val="nil"/>
              <w:bottom w:val="single" w:color="auto" w:sz="4" w:space="0"/>
              <w:right w:val="single" w:color="auto" w:sz="4" w:space="0"/>
            </w:tcBorders>
            <w:shd w:val="clear" w:color="auto" w:fill="auto"/>
            <w:vAlign w:val="bottom"/>
            <w:hideMark/>
          </w:tcPr>
          <w:p w:rsidRPr="00690D66" w:rsidR="003A6B43" w:rsidP="003A6B43" w:rsidRDefault="00690D66" w14:paraId="6CF94C23" w14:textId="780341F7">
            <w:pPr>
              <w:widowControl/>
              <w:autoSpaceDE/>
              <w:autoSpaceDN/>
              <w:jc w:val="center"/>
              <w:rPr>
                <w:rFonts w:ascii="Calibri" w:hAnsi="Calibri" w:eastAsia="Times New Roman" w:cs="Calibri"/>
                <w:color w:val="000000"/>
                <w:sz w:val="16"/>
                <w:szCs w:val="16"/>
                <w:lang w:bidi="ar-SA"/>
              </w:rPr>
            </w:pPr>
            <w:r w:rsidRPr="00690D66">
              <w:rPr>
                <w:rFonts w:ascii="Calibri" w:hAnsi="Calibri" w:eastAsia="Times New Roman" w:cs="Calibri"/>
                <w:color w:val="000000"/>
                <w:sz w:val="16"/>
                <w:szCs w:val="16"/>
                <w:lang w:bidi="ar-SA"/>
              </w:rPr>
              <w:t>Fisherperson</w:t>
            </w:r>
          </w:p>
        </w:tc>
        <w:tc>
          <w:tcPr>
            <w:tcW w:w="1078"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32EADBE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275</w:t>
            </w:r>
            <w:r w:rsidRPr="00B05821">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7702995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B05821">
              <w:rPr>
                <w:rFonts w:ascii="Calibri" w:hAnsi="Calibri" w:eastAsia="Times New Roman" w:cs="Calibri"/>
                <w:color w:val="000000"/>
                <w:sz w:val="16"/>
                <w:szCs w:val="16"/>
                <w:lang w:bidi="ar-SA"/>
              </w:rPr>
              <w:t> </w:t>
            </w:r>
          </w:p>
        </w:tc>
        <w:tc>
          <w:tcPr>
            <w:tcW w:w="1056"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39C24EF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550</w:t>
            </w:r>
            <w:r w:rsidRPr="00B05821">
              <w:rPr>
                <w:rFonts w:ascii="Calibri" w:hAnsi="Calibri" w:eastAsia="Times New Roman" w:cs="Calibri"/>
                <w:color w:val="000000"/>
                <w:sz w:val="16"/>
                <w:szCs w:val="16"/>
                <w:lang w:bidi="ar-SA"/>
              </w:rPr>
              <w:t> </w:t>
            </w:r>
          </w:p>
        </w:tc>
        <w:tc>
          <w:tcPr>
            <w:tcW w:w="982"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6E5C2CF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5min</w:t>
            </w:r>
            <w:r w:rsidRPr="00B05821">
              <w:rPr>
                <w:rFonts w:ascii="Calibri" w:hAnsi="Calibri" w:eastAsia="Times New Roman" w:cs="Calibri"/>
                <w:color w:val="000000"/>
                <w:sz w:val="16"/>
                <w:szCs w:val="16"/>
                <w:lang w:bidi="ar-SA"/>
              </w:rPr>
              <w:t> </w:t>
            </w:r>
          </w:p>
        </w:tc>
        <w:tc>
          <w:tcPr>
            <w:tcW w:w="807"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6136451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w:t>
            </w:r>
          </w:p>
        </w:tc>
        <w:tc>
          <w:tcPr>
            <w:tcW w:w="1227" w:type="dxa"/>
            <w:tcBorders>
              <w:top w:val="nil"/>
              <w:left w:val="nil"/>
              <w:bottom w:val="single" w:color="auto" w:sz="4" w:space="0"/>
              <w:right w:val="single" w:color="auto" w:sz="4" w:space="0"/>
            </w:tcBorders>
            <w:shd w:val="clear" w:color="auto" w:fill="auto"/>
            <w:noWrap/>
            <w:vAlign w:val="bottom"/>
            <w:hideMark/>
          </w:tcPr>
          <w:p w:rsidRPr="00B05821" w:rsidR="003A6B43" w:rsidP="003A6B43" w:rsidRDefault="00690D66" w14:paraId="7A056E46" w14:textId="42ADCE8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16.70</w:t>
            </w:r>
            <w:r w:rsidRPr="00B05821" w:rsidR="003A6B43">
              <w:rPr>
                <w:rFonts w:ascii="Calibri" w:hAnsi="Calibri" w:eastAsia="Times New Roman" w:cs="Calibri"/>
                <w:color w:val="000000"/>
                <w:sz w:val="16"/>
                <w:szCs w:val="16"/>
                <w:lang w:bidi="ar-SA"/>
              </w:rPr>
              <w:t> </w:t>
            </w:r>
          </w:p>
        </w:tc>
        <w:tc>
          <w:tcPr>
            <w:tcW w:w="1102" w:type="dxa"/>
            <w:tcBorders>
              <w:top w:val="nil"/>
              <w:left w:val="nil"/>
              <w:bottom w:val="single" w:color="auto" w:sz="4" w:space="0"/>
              <w:right w:val="single" w:color="auto" w:sz="8" w:space="0"/>
            </w:tcBorders>
            <w:shd w:val="clear" w:color="auto" w:fill="auto"/>
            <w:noWrap/>
            <w:vAlign w:val="bottom"/>
            <w:hideMark/>
          </w:tcPr>
          <w:p w:rsidRPr="00B05821" w:rsidR="003A6B43" w:rsidP="003A6B43" w:rsidRDefault="00690D66" w14:paraId="3D647B5A" w14:textId="25E6A9B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768.20</w:t>
            </w:r>
          </w:p>
        </w:tc>
      </w:tr>
      <w:tr w:rsidRPr="00B05821" w:rsidR="003A6B43" w:rsidTr="00690D66" w14:paraId="1BB1D27E" w14:textId="77777777">
        <w:trPr>
          <w:trHeight w:val="306"/>
        </w:trPr>
        <w:tc>
          <w:tcPr>
            <w:tcW w:w="1608" w:type="dxa"/>
            <w:tcBorders>
              <w:top w:val="nil"/>
              <w:left w:val="single" w:color="auto" w:sz="8" w:space="0"/>
              <w:bottom w:val="single" w:color="auto" w:sz="4" w:space="0"/>
              <w:right w:val="single" w:color="auto" w:sz="4" w:space="0"/>
            </w:tcBorders>
            <w:shd w:val="clear" w:color="auto" w:fill="auto"/>
            <w:vAlign w:val="center"/>
            <w:hideMark/>
          </w:tcPr>
          <w:p w:rsidRPr="00B05821" w:rsidR="003A6B43" w:rsidP="00B66B44" w:rsidRDefault="003A6B43" w14:paraId="014A4B8E" w14:textId="256AA1E6">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66B44">
              <w:rPr>
                <w:rFonts w:ascii="Calibri" w:hAnsi="Calibri" w:eastAsia="Times New Roman" w:cs="Calibri"/>
                <w:color w:val="000000"/>
                <w:sz w:val="16"/>
                <w:szCs w:val="16"/>
                <w:lang w:bidi="ar-SA"/>
              </w:rPr>
              <w:t>S</w:t>
            </w:r>
            <w:r w:rsidR="007D7441">
              <w:rPr>
                <w:rFonts w:ascii="Calibri" w:hAnsi="Calibri" w:eastAsia="Times New Roman" w:cs="Calibri"/>
                <w:color w:val="000000"/>
                <w:sz w:val="16"/>
                <w:szCs w:val="16"/>
                <w:lang w:bidi="ar-SA"/>
              </w:rPr>
              <w:t xml:space="preserve">imple </w:t>
            </w:r>
            <w:r>
              <w:rPr>
                <w:rFonts w:ascii="Calibri" w:hAnsi="Calibri" w:eastAsia="Times New Roman" w:cs="Calibri"/>
                <w:color w:val="000000"/>
                <w:sz w:val="16"/>
                <w:szCs w:val="16"/>
                <w:lang w:bidi="ar-SA"/>
              </w:rPr>
              <w:t xml:space="preserve">Tagged </w:t>
            </w:r>
            <w:proofErr w:type="spellStart"/>
            <w:r>
              <w:rPr>
                <w:rFonts w:ascii="Calibri" w:hAnsi="Calibri" w:eastAsia="Times New Roman" w:cs="Calibri"/>
                <w:color w:val="000000"/>
                <w:sz w:val="16"/>
                <w:szCs w:val="16"/>
                <w:lang w:bidi="ar-SA"/>
              </w:rPr>
              <w:t>Groundfish</w:t>
            </w:r>
            <w:proofErr w:type="spellEnd"/>
            <w:r>
              <w:rPr>
                <w:rFonts w:ascii="Calibri" w:hAnsi="Calibri" w:eastAsia="Times New Roman" w:cs="Calibri"/>
                <w:color w:val="000000"/>
                <w:sz w:val="16"/>
                <w:szCs w:val="16"/>
                <w:lang w:bidi="ar-SA"/>
              </w:rPr>
              <w:t xml:space="preserve"> Form</w:t>
            </w:r>
          </w:p>
        </w:tc>
        <w:tc>
          <w:tcPr>
            <w:tcW w:w="1426" w:type="dxa"/>
            <w:tcBorders>
              <w:top w:val="nil"/>
              <w:left w:val="nil"/>
              <w:bottom w:val="single" w:color="auto" w:sz="4" w:space="0"/>
              <w:right w:val="single" w:color="auto" w:sz="4" w:space="0"/>
            </w:tcBorders>
            <w:shd w:val="clear" w:color="auto" w:fill="auto"/>
            <w:vAlign w:val="bottom"/>
            <w:hideMark/>
          </w:tcPr>
          <w:p w:rsidRPr="00690D66" w:rsidR="003A6B43" w:rsidP="003A6B43" w:rsidRDefault="00690D66" w14:paraId="1A41266F" w14:textId="1248AC88">
            <w:pPr>
              <w:widowControl/>
              <w:autoSpaceDE/>
              <w:autoSpaceDN/>
              <w:jc w:val="center"/>
              <w:rPr>
                <w:rFonts w:ascii="Calibri" w:hAnsi="Calibri" w:eastAsia="Times New Roman" w:cs="Calibri"/>
                <w:color w:val="000000"/>
                <w:sz w:val="16"/>
                <w:szCs w:val="16"/>
                <w:lang w:bidi="ar-SA"/>
              </w:rPr>
            </w:pPr>
            <w:r w:rsidRPr="00690D66">
              <w:rPr>
                <w:rFonts w:ascii="Calibri" w:hAnsi="Calibri" w:eastAsia="Times New Roman" w:cs="Calibri"/>
                <w:color w:val="000000"/>
                <w:sz w:val="16"/>
                <w:szCs w:val="16"/>
                <w:lang w:bidi="ar-SA"/>
              </w:rPr>
              <w:t>Fisherperson</w:t>
            </w:r>
          </w:p>
        </w:tc>
        <w:tc>
          <w:tcPr>
            <w:tcW w:w="1078"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506C2B5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B05821">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60C89F9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B05821">
              <w:rPr>
                <w:rFonts w:ascii="Calibri" w:hAnsi="Calibri" w:eastAsia="Times New Roman" w:cs="Calibri"/>
                <w:color w:val="000000"/>
                <w:sz w:val="16"/>
                <w:szCs w:val="16"/>
                <w:lang w:bidi="ar-SA"/>
              </w:rPr>
              <w:t> </w:t>
            </w:r>
          </w:p>
        </w:tc>
        <w:tc>
          <w:tcPr>
            <w:tcW w:w="1056"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0B9F04F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450</w:t>
            </w:r>
            <w:r w:rsidRPr="00B05821">
              <w:rPr>
                <w:rFonts w:ascii="Calibri" w:hAnsi="Calibri" w:eastAsia="Times New Roman" w:cs="Calibri"/>
                <w:color w:val="000000"/>
                <w:sz w:val="16"/>
                <w:szCs w:val="16"/>
                <w:lang w:bidi="ar-SA"/>
              </w:rPr>
              <w:t> </w:t>
            </w:r>
          </w:p>
        </w:tc>
        <w:tc>
          <w:tcPr>
            <w:tcW w:w="982"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6E8EA93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5min</w:t>
            </w:r>
            <w:r w:rsidRPr="00B05821">
              <w:rPr>
                <w:rFonts w:ascii="Calibri" w:hAnsi="Calibri" w:eastAsia="Times New Roman" w:cs="Calibri"/>
                <w:color w:val="000000"/>
                <w:sz w:val="16"/>
                <w:szCs w:val="16"/>
                <w:lang w:bidi="ar-SA"/>
              </w:rPr>
              <w:t> </w:t>
            </w:r>
          </w:p>
        </w:tc>
        <w:tc>
          <w:tcPr>
            <w:tcW w:w="807"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71FF486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w:t>
            </w:r>
          </w:p>
        </w:tc>
        <w:tc>
          <w:tcPr>
            <w:tcW w:w="1227" w:type="dxa"/>
            <w:tcBorders>
              <w:top w:val="nil"/>
              <w:left w:val="nil"/>
              <w:bottom w:val="single" w:color="auto" w:sz="4" w:space="0"/>
              <w:right w:val="single" w:color="auto" w:sz="4" w:space="0"/>
            </w:tcBorders>
            <w:shd w:val="clear" w:color="auto" w:fill="auto"/>
            <w:noWrap/>
            <w:vAlign w:val="bottom"/>
            <w:hideMark/>
          </w:tcPr>
          <w:p w:rsidRPr="00B05821" w:rsidR="003A6B43" w:rsidP="003A6B43" w:rsidRDefault="00690D66" w14:paraId="69895695" w14:textId="032D035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16.70</w:t>
            </w:r>
            <w:r w:rsidRPr="00B05821">
              <w:rPr>
                <w:rFonts w:ascii="Calibri" w:hAnsi="Calibri" w:eastAsia="Times New Roman" w:cs="Calibri"/>
                <w:color w:val="000000"/>
                <w:sz w:val="16"/>
                <w:szCs w:val="16"/>
                <w:lang w:bidi="ar-SA"/>
              </w:rPr>
              <w:t> </w:t>
            </w:r>
          </w:p>
        </w:tc>
        <w:tc>
          <w:tcPr>
            <w:tcW w:w="1102" w:type="dxa"/>
            <w:tcBorders>
              <w:top w:val="nil"/>
              <w:left w:val="nil"/>
              <w:bottom w:val="single" w:color="auto" w:sz="4" w:space="0"/>
              <w:right w:val="single" w:color="auto" w:sz="8" w:space="0"/>
            </w:tcBorders>
            <w:shd w:val="clear" w:color="auto" w:fill="auto"/>
            <w:noWrap/>
            <w:vAlign w:val="bottom"/>
            <w:hideMark/>
          </w:tcPr>
          <w:p w:rsidRPr="00B05821" w:rsidR="003A6B43" w:rsidP="00690D66" w:rsidRDefault="00690D66" w14:paraId="54CB70C3" w14:textId="226EE26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634.60</w:t>
            </w:r>
            <w:r w:rsidRPr="00B05821" w:rsidR="003A6B43">
              <w:rPr>
                <w:rFonts w:ascii="Calibri" w:hAnsi="Calibri" w:eastAsia="Times New Roman" w:cs="Calibri"/>
                <w:color w:val="000000"/>
                <w:sz w:val="16"/>
                <w:szCs w:val="16"/>
                <w:lang w:bidi="ar-SA"/>
              </w:rPr>
              <w:t> </w:t>
            </w:r>
          </w:p>
        </w:tc>
      </w:tr>
      <w:tr w:rsidRPr="00B05821" w:rsidR="003A6B43" w:rsidTr="00690D66" w14:paraId="3CF9AA80" w14:textId="77777777">
        <w:trPr>
          <w:trHeight w:val="306"/>
        </w:trPr>
        <w:tc>
          <w:tcPr>
            <w:tcW w:w="1608" w:type="dxa"/>
            <w:tcBorders>
              <w:top w:val="nil"/>
              <w:left w:val="single" w:color="auto" w:sz="8" w:space="0"/>
              <w:bottom w:val="single" w:color="auto" w:sz="4" w:space="0"/>
              <w:right w:val="single" w:color="auto" w:sz="4" w:space="0"/>
            </w:tcBorders>
            <w:shd w:val="clear" w:color="auto" w:fill="auto"/>
            <w:vAlign w:val="center"/>
            <w:hideMark/>
          </w:tcPr>
          <w:p w:rsidRPr="00B05821" w:rsidR="003A6B43" w:rsidP="003A6B43" w:rsidRDefault="003A6B43" w14:paraId="0FE4E399"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lastRenderedPageBreak/>
              <w:t>Electronic Archival Tag Return</w:t>
            </w:r>
          </w:p>
        </w:tc>
        <w:tc>
          <w:tcPr>
            <w:tcW w:w="1426" w:type="dxa"/>
            <w:tcBorders>
              <w:top w:val="nil"/>
              <w:left w:val="nil"/>
              <w:bottom w:val="single" w:color="auto" w:sz="4" w:space="0"/>
              <w:right w:val="single" w:color="auto" w:sz="4" w:space="0"/>
            </w:tcBorders>
            <w:shd w:val="clear" w:color="auto" w:fill="auto"/>
            <w:vAlign w:val="bottom"/>
            <w:hideMark/>
          </w:tcPr>
          <w:p w:rsidRPr="00690D66" w:rsidR="003A6B43" w:rsidP="003A6B43" w:rsidRDefault="00690D66" w14:paraId="5AFC246B" w14:textId="3383F34D">
            <w:pPr>
              <w:widowControl/>
              <w:autoSpaceDE/>
              <w:autoSpaceDN/>
              <w:jc w:val="center"/>
              <w:rPr>
                <w:rFonts w:ascii="Calibri" w:hAnsi="Calibri" w:eastAsia="Times New Roman" w:cs="Calibri"/>
                <w:color w:val="000000"/>
                <w:sz w:val="16"/>
                <w:szCs w:val="16"/>
                <w:lang w:bidi="ar-SA"/>
              </w:rPr>
            </w:pPr>
            <w:r w:rsidRPr="00690D66">
              <w:rPr>
                <w:rFonts w:ascii="Calibri" w:hAnsi="Calibri" w:eastAsia="Times New Roman" w:cs="Calibri"/>
                <w:color w:val="000000"/>
                <w:sz w:val="16"/>
                <w:szCs w:val="16"/>
                <w:lang w:bidi="ar-SA"/>
              </w:rPr>
              <w:t>Fisherperson</w:t>
            </w:r>
          </w:p>
        </w:tc>
        <w:tc>
          <w:tcPr>
            <w:tcW w:w="1078"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160E13C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B05821">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3519C39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B05821">
              <w:rPr>
                <w:rFonts w:ascii="Calibri" w:hAnsi="Calibri" w:eastAsia="Times New Roman" w:cs="Calibri"/>
                <w:color w:val="000000"/>
                <w:sz w:val="16"/>
                <w:szCs w:val="16"/>
                <w:lang w:bidi="ar-SA"/>
              </w:rPr>
              <w:t> </w:t>
            </w:r>
          </w:p>
        </w:tc>
        <w:tc>
          <w:tcPr>
            <w:tcW w:w="1056"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38721D5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B05821">
              <w:rPr>
                <w:rFonts w:ascii="Calibri" w:hAnsi="Calibri" w:eastAsia="Times New Roman" w:cs="Calibri"/>
                <w:color w:val="000000"/>
                <w:sz w:val="16"/>
                <w:szCs w:val="16"/>
                <w:lang w:bidi="ar-SA"/>
              </w:rPr>
              <w:t> </w:t>
            </w:r>
          </w:p>
        </w:tc>
        <w:tc>
          <w:tcPr>
            <w:tcW w:w="982"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0CDCCBD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20min</w:t>
            </w:r>
            <w:r w:rsidRPr="00B05821">
              <w:rPr>
                <w:rFonts w:ascii="Calibri" w:hAnsi="Calibri" w:eastAsia="Times New Roman" w:cs="Calibri"/>
                <w:color w:val="000000"/>
                <w:sz w:val="16"/>
                <w:szCs w:val="16"/>
                <w:lang w:bidi="ar-SA"/>
              </w:rPr>
              <w:t> </w:t>
            </w:r>
          </w:p>
        </w:tc>
        <w:tc>
          <w:tcPr>
            <w:tcW w:w="807" w:type="dxa"/>
            <w:tcBorders>
              <w:top w:val="nil"/>
              <w:left w:val="nil"/>
              <w:bottom w:val="single" w:color="auto" w:sz="4" w:space="0"/>
              <w:right w:val="single" w:color="auto" w:sz="4" w:space="0"/>
            </w:tcBorders>
            <w:shd w:val="clear" w:color="auto" w:fill="auto"/>
            <w:vAlign w:val="bottom"/>
            <w:hideMark/>
          </w:tcPr>
          <w:p w:rsidRPr="00B05821" w:rsidR="003A6B43" w:rsidP="003A6B43" w:rsidRDefault="003A6B43" w14:paraId="0D845E7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B05821">
              <w:rPr>
                <w:rFonts w:ascii="Calibri" w:hAnsi="Calibri" w:eastAsia="Times New Roman" w:cs="Calibri"/>
                <w:color w:val="000000"/>
                <w:sz w:val="16"/>
                <w:szCs w:val="16"/>
                <w:lang w:bidi="ar-SA"/>
              </w:rPr>
              <w:t> </w:t>
            </w:r>
          </w:p>
        </w:tc>
        <w:tc>
          <w:tcPr>
            <w:tcW w:w="1227" w:type="dxa"/>
            <w:tcBorders>
              <w:top w:val="nil"/>
              <w:left w:val="nil"/>
              <w:bottom w:val="single" w:color="auto" w:sz="4" w:space="0"/>
              <w:right w:val="single" w:color="auto" w:sz="4" w:space="0"/>
            </w:tcBorders>
            <w:shd w:val="clear" w:color="auto" w:fill="auto"/>
            <w:noWrap/>
            <w:vAlign w:val="bottom"/>
            <w:hideMark/>
          </w:tcPr>
          <w:p w:rsidRPr="00B05821" w:rsidR="003A6B43" w:rsidP="003A6B43" w:rsidRDefault="00690D66" w14:paraId="2A286B33" w14:textId="15D2F34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16.70</w:t>
            </w:r>
            <w:r w:rsidRPr="00B05821">
              <w:rPr>
                <w:rFonts w:ascii="Calibri" w:hAnsi="Calibri" w:eastAsia="Times New Roman" w:cs="Calibri"/>
                <w:color w:val="000000"/>
                <w:sz w:val="16"/>
                <w:szCs w:val="16"/>
                <w:lang w:bidi="ar-SA"/>
              </w:rPr>
              <w:t> </w:t>
            </w:r>
          </w:p>
        </w:tc>
        <w:tc>
          <w:tcPr>
            <w:tcW w:w="1102" w:type="dxa"/>
            <w:tcBorders>
              <w:top w:val="nil"/>
              <w:left w:val="nil"/>
              <w:bottom w:val="single" w:color="auto" w:sz="4" w:space="0"/>
              <w:right w:val="single" w:color="auto" w:sz="8" w:space="0"/>
            </w:tcBorders>
            <w:shd w:val="clear" w:color="auto" w:fill="auto"/>
            <w:noWrap/>
            <w:vAlign w:val="bottom"/>
            <w:hideMark/>
          </w:tcPr>
          <w:p w:rsidRPr="00B05821" w:rsidR="003A6B43" w:rsidP="003A6B43" w:rsidRDefault="00690D66" w14:paraId="6BA53BF2" w14:textId="2749068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83.50</w:t>
            </w:r>
            <w:r w:rsidRPr="00B05821" w:rsidR="003A6B43">
              <w:rPr>
                <w:rFonts w:ascii="Calibri" w:hAnsi="Calibri" w:eastAsia="Times New Roman" w:cs="Calibri"/>
                <w:color w:val="000000"/>
                <w:sz w:val="16"/>
                <w:szCs w:val="16"/>
                <w:lang w:bidi="ar-SA"/>
              </w:rPr>
              <w:t> </w:t>
            </w:r>
          </w:p>
        </w:tc>
      </w:tr>
      <w:tr w:rsidRPr="00B05821" w:rsidR="003A6B43" w:rsidTr="007D7441" w14:paraId="13D24083" w14:textId="77777777">
        <w:trPr>
          <w:trHeight w:val="624"/>
        </w:trPr>
        <w:tc>
          <w:tcPr>
            <w:tcW w:w="1608" w:type="dxa"/>
            <w:tcBorders>
              <w:top w:val="nil"/>
              <w:left w:val="single" w:color="auto" w:sz="8" w:space="0"/>
              <w:bottom w:val="single" w:color="auto" w:sz="8" w:space="0"/>
              <w:right w:val="single" w:color="auto" w:sz="8" w:space="0"/>
            </w:tcBorders>
            <w:shd w:val="clear" w:color="000000" w:fill="DDEBF7"/>
            <w:noWrap/>
            <w:vAlign w:val="bottom"/>
            <w:hideMark/>
          </w:tcPr>
          <w:p w:rsidRPr="00B05821" w:rsidR="003A6B43" w:rsidP="003A6B43" w:rsidRDefault="003A6B43" w14:paraId="510EC671"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Totals</w:t>
            </w:r>
          </w:p>
        </w:tc>
        <w:tc>
          <w:tcPr>
            <w:tcW w:w="1426" w:type="dxa"/>
            <w:tcBorders>
              <w:top w:val="nil"/>
              <w:left w:val="nil"/>
              <w:bottom w:val="single" w:color="auto" w:sz="8" w:space="0"/>
              <w:right w:val="single" w:color="auto" w:sz="8" w:space="0"/>
            </w:tcBorders>
            <w:shd w:val="clear" w:color="000000" w:fill="000000"/>
            <w:noWrap/>
            <w:vAlign w:val="bottom"/>
            <w:hideMark/>
          </w:tcPr>
          <w:p w:rsidRPr="00B05821" w:rsidR="003A6B43" w:rsidP="003A6B43" w:rsidRDefault="003A6B43" w14:paraId="3EDFC401"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p>
        </w:tc>
        <w:tc>
          <w:tcPr>
            <w:tcW w:w="1078" w:type="dxa"/>
            <w:tcBorders>
              <w:top w:val="nil"/>
              <w:left w:val="nil"/>
              <w:bottom w:val="single" w:color="auto" w:sz="8" w:space="0"/>
              <w:right w:val="single" w:color="auto" w:sz="8" w:space="0"/>
            </w:tcBorders>
            <w:shd w:val="clear" w:color="000000" w:fill="000000"/>
            <w:noWrap/>
            <w:vAlign w:val="bottom"/>
            <w:hideMark/>
          </w:tcPr>
          <w:p w:rsidRPr="00B05821" w:rsidR="003A6B43" w:rsidP="003A6B43" w:rsidRDefault="003A6B43" w14:paraId="296F23DF"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B05821" w:rsidR="003A6B43" w:rsidP="003A6B43" w:rsidRDefault="003A6B43" w14:paraId="27BFDCC2"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p>
        </w:tc>
        <w:tc>
          <w:tcPr>
            <w:tcW w:w="1056" w:type="dxa"/>
            <w:tcBorders>
              <w:top w:val="nil"/>
              <w:left w:val="nil"/>
              <w:bottom w:val="single" w:color="auto" w:sz="8" w:space="0"/>
              <w:right w:val="single" w:color="auto" w:sz="8" w:space="0"/>
            </w:tcBorders>
            <w:shd w:val="clear" w:color="000000" w:fill="DDEBF7"/>
            <w:noWrap/>
            <w:vAlign w:val="bottom"/>
            <w:hideMark/>
          </w:tcPr>
          <w:p w:rsidRPr="00B05821" w:rsidR="003A6B43" w:rsidP="003A6B43" w:rsidRDefault="003A6B43" w14:paraId="0684C18B"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r>
              <w:rPr>
                <w:rFonts w:ascii="Calibri" w:hAnsi="Calibri" w:eastAsia="Times New Roman" w:cs="Calibri"/>
                <w:b/>
                <w:bCs/>
                <w:color w:val="000000"/>
                <w:lang w:bidi="ar-SA"/>
              </w:rPr>
              <w:t>1,015</w:t>
            </w:r>
          </w:p>
        </w:tc>
        <w:tc>
          <w:tcPr>
            <w:tcW w:w="982" w:type="dxa"/>
            <w:tcBorders>
              <w:top w:val="nil"/>
              <w:left w:val="nil"/>
              <w:bottom w:val="single" w:color="auto" w:sz="8" w:space="0"/>
              <w:right w:val="single" w:color="auto" w:sz="8" w:space="0"/>
            </w:tcBorders>
            <w:shd w:val="clear" w:color="000000" w:fill="000000"/>
            <w:noWrap/>
            <w:vAlign w:val="bottom"/>
            <w:hideMark/>
          </w:tcPr>
          <w:p w:rsidRPr="00B05821" w:rsidR="003A6B43" w:rsidP="003A6B43" w:rsidRDefault="003A6B43" w14:paraId="2E01946A"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p>
        </w:tc>
        <w:tc>
          <w:tcPr>
            <w:tcW w:w="807" w:type="dxa"/>
            <w:tcBorders>
              <w:top w:val="nil"/>
              <w:left w:val="nil"/>
              <w:bottom w:val="single" w:color="auto" w:sz="8" w:space="0"/>
              <w:right w:val="single" w:color="auto" w:sz="8" w:space="0"/>
            </w:tcBorders>
            <w:shd w:val="clear" w:color="000000" w:fill="DDEBF7"/>
            <w:noWrap/>
            <w:vAlign w:val="bottom"/>
            <w:hideMark/>
          </w:tcPr>
          <w:p w:rsidRPr="00B05821" w:rsidR="003A6B43" w:rsidP="003A6B43" w:rsidRDefault="003A6B43" w14:paraId="0DA772B7"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r>
              <w:rPr>
                <w:rFonts w:ascii="Calibri" w:hAnsi="Calibri" w:eastAsia="Times New Roman" w:cs="Calibri"/>
                <w:b/>
                <w:bCs/>
                <w:color w:val="000000"/>
                <w:lang w:bidi="ar-SA"/>
              </w:rPr>
              <w:t>89</w:t>
            </w:r>
          </w:p>
        </w:tc>
        <w:tc>
          <w:tcPr>
            <w:tcW w:w="1227" w:type="dxa"/>
            <w:tcBorders>
              <w:top w:val="nil"/>
              <w:left w:val="nil"/>
              <w:bottom w:val="single" w:color="auto" w:sz="8" w:space="0"/>
              <w:right w:val="single" w:color="auto" w:sz="8" w:space="0"/>
            </w:tcBorders>
            <w:shd w:val="clear" w:color="000000" w:fill="000000"/>
            <w:noWrap/>
            <w:vAlign w:val="bottom"/>
            <w:hideMark/>
          </w:tcPr>
          <w:p w:rsidRPr="00B05821" w:rsidR="003A6B43" w:rsidP="003A6B43" w:rsidRDefault="003A6B43" w14:paraId="6BE87F8A" w14:textId="77777777">
            <w:pPr>
              <w:widowControl/>
              <w:autoSpaceDE/>
              <w:autoSpaceDN/>
              <w:rPr>
                <w:rFonts w:ascii="Calibri" w:hAnsi="Calibri" w:eastAsia="Times New Roman" w:cs="Calibri"/>
                <w:b/>
                <w:bCs/>
                <w:color w:val="000000"/>
                <w:lang w:bidi="ar-SA"/>
              </w:rPr>
            </w:pPr>
            <w:r w:rsidRPr="00B05821">
              <w:rPr>
                <w:rFonts w:ascii="Calibri" w:hAnsi="Calibri" w:eastAsia="Times New Roman" w:cs="Calibri"/>
                <w:b/>
                <w:bCs/>
                <w:color w:val="000000"/>
                <w:lang w:bidi="ar-SA"/>
              </w:rPr>
              <w:t> </w:t>
            </w:r>
          </w:p>
        </w:tc>
        <w:tc>
          <w:tcPr>
            <w:tcW w:w="1102" w:type="dxa"/>
            <w:tcBorders>
              <w:top w:val="nil"/>
              <w:left w:val="nil"/>
              <w:bottom w:val="single" w:color="auto" w:sz="8" w:space="0"/>
              <w:right w:val="single" w:color="auto" w:sz="8" w:space="0"/>
            </w:tcBorders>
            <w:shd w:val="clear" w:color="000000" w:fill="DDEBF7"/>
            <w:noWrap/>
            <w:vAlign w:val="bottom"/>
            <w:hideMark/>
          </w:tcPr>
          <w:p w:rsidRPr="00B05821" w:rsidR="003A6B43" w:rsidP="003A6B43" w:rsidRDefault="00690D66" w14:paraId="5171BFA7" w14:textId="18C2B7AB">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1,486.30</w:t>
            </w:r>
          </w:p>
        </w:tc>
      </w:tr>
    </w:tbl>
    <w:p w:rsidRPr="00BD7237" w:rsidR="00B05821" w:rsidP="00B05821" w:rsidRDefault="00B05821" w14:paraId="0401A913" w14:textId="0C09CFF7">
      <w:pPr>
        <w:spacing w:line="259" w:lineRule="auto"/>
        <w:ind w:hanging="43"/>
        <w:jc w:val="center"/>
        <w:rPr>
          <w:rFonts w:ascii="Times New Roman" w:hAnsi="Times New Roman" w:cs="Times New Roman"/>
          <w:b/>
          <w:sz w:val="24"/>
          <w:szCs w:val="24"/>
        </w:rPr>
      </w:pPr>
      <w:r w:rsidRPr="00BD7237">
        <w:rPr>
          <w:rFonts w:ascii="Times New Roman" w:hAnsi="Times New Roman" w:cs="Times New Roman"/>
          <w:b/>
          <w:color w:val="FF0000"/>
          <w:sz w:val="24"/>
          <w:szCs w:val="24"/>
        </w:rPr>
        <w:t>*</w:t>
      </w:r>
      <w:r w:rsidRPr="00690D66" w:rsidR="00690D66">
        <w:rPr>
          <w:rFonts w:ascii="Times New Roman" w:hAnsi="Times New Roman" w:cs="Times New Roman"/>
          <w:b/>
          <w:color w:val="FF0000"/>
          <w:sz w:val="24"/>
          <w:szCs w:val="24"/>
        </w:rPr>
        <w:t>https://www.bls.gov/oes/current/oes450000.htm</w:t>
      </w:r>
      <w:r w:rsidR="00690D66">
        <w:rPr>
          <w:rFonts w:ascii="Times New Roman" w:hAnsi="Times New Roman" w:cs="Times New Roman"/>
          <w:b/>
          <w:color w:val="FF0000"/>
          <w:sz w:val="24"/>
          <w:szCs w:val="24"/>
        </w:rPr>
        <w:t xml:space="preserve"> from </w:t>
      </w:r>
      <w:r w:rsidRPr="00BD7237">
        <w:rPr>
          <w:rFonts w:ascii="Times New Roman" w:hAnsi="Times New Roman" w:cs="Times New Roman"/>
          <w:b/>
          <w:color w:val="FF0000"/>
          <w:sz w:val="24"/>
          <w:szCs w:val="24"/>
        </w:rPr>
        <w:t xml:space="preserve">BLS’s </w:t>
      </w:r>
      <w:r w:rsidRPr="00BD7237">
        <w:rPr>
          <w:rFonts w:ascii="Times New Roman" w:hAnsi="Times New Roman" w:cs="Times New Roman"/>
          <w:b/>
          <w:i/>
          <w:color w:val="FF0000"/>
          <w:sz w:val="24"/>
          <w:szCs w:val="24"/>
        </w:rPr>
        <w:t xml:space="preserve">Occupational Outlook Handbook </w:t>
      </w:r>
    </w:p>
    <w:p w:rsidRPr="00DF40B9" w:rsidR="00B05821" w:rsidP="00B05821" w:rsidRDefault="00B05821" w14:paraId="4EBFFC51" w14:textId="77777777">
      <w:pPr>
        <w:pStyle w:val="NoSpacing"/>
        <w:rPr>
          <w:rFonts w:ascii="Times New Roman" w:hAnsi="Times New Roman"/>
          <w:sz w:val="24"/>
          <w:szCs w:val="24"/>
        </w:rPr>
      </w:pPr>
    </w:p>
    <w:p w:rsidRPr="00BD7237" w:rsidR="008E61C9" w:rsidP="00BD7237" w:rsidRDefault="001477A3" w14:paraId="363F950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305154" w:rsidP="00390D6B" w:rsidRDefault="00305154" w14:paraId="40451312" w14:textId="77777777">
      <w:pPr>
        <w:tabs>
          <w:tab w:val="left" w:pos="720"/>
          <w:tab w:val="right" w:leader="dot" w:pos="10080"/>
        </w:tabs>
        <w:ind w:left="131"/>
        <w:rPr>
          <w:rFonts w:ascii="Times New Roman" w:hAnsi="Times New Roman"/>
          <w:sz w:val="24"/>
          <w:szCs w:val="24"/>
        </w:rPr>
      </w:pPr>
    </w:p>
    <w:p w:rsidRPr="00390D6B" w:rsidR="00390D6B" w:rsidP="00390D6B" w:rsidRDefault="00390D6B" w14:paraId="34F97819" w14:textId="140A439E">
      <w:pPr>
        <w:tabs>
          <w:tab w:val="left" w:pos="720"/>
          <w:tab w:val="right" w:leader="dot" w:pos="10080"/>
        </w:tabs>
        <w:ind w:left="131"/>
        <w:rPr>
          <w:rFonts w:ascii="Times New Roman" w:hAnsi="Times New Roman"/>
          <w:sz w:val="24"/>
          <w:szCs w:val="24"/>
        </w:rPr>
      </w:pPr>
      <w:r w:rsidRPr="00390D6B">
        <w:rPr>
          <w:rFonts w:ascii="Times New Roman" w:hAnsi="Times New Roman"/>
          <w:sz w:val="24"/>
          <w:szCs w:val="24"/>
        </w:rPr>
        <w:t xml:space="preserve">Return of spaghetti tags incurs no costs on the part of respondents other than their time, as they </w:t>
      </w:r>
      <w:proofErr w:type="gramStart"/>
      <w:r w:rsidRPr="00390D6B">
        <w:rPr>
          <w:rFonts w:ascii="Times New Roman" w:hAnsi="Times New Roman"/>
          <w:sz w:val="24"/>
          <w:szCs w:val="24"/>
        </w:rPr>
        <w:t>are supplied</w:t>
      </w:r>
      <w:proofErr w:type="gramEnd"/>
      <w:r w:rsidRPr="00390D6B">
        <w:rPr>
          <w:rFonts w:ascii="Times New Roman" w:hAnsi="Times New Roman"/>
          <w:sz w:val="24"/>
          <w:szCs w:val="24"/>
        </w:rPr>
        <w:t xml:space="preserve"> with postage-paid envelopes.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Tagging Program Respondents who return electronic archival tags incur no costs if they simply hand the tagged fish to a NMFS observer, in which case the observer assumes responsibility for collecting and forwarding information.  If </w:t>
      </w:r>
      <w:proofErr w:type="gramStart"/>
      <w:r w:rsidRPr="00390D6B">
        <w:rPr>
          <w:rFonts w:ascii="Times New Roman" w:hAnsi="Times New Roman"/>
          <w:sz w:val="24"/>
          <w:szCs w:val="24"/>
        </w:rPr>
        <w:t>a fisherman</w:t>
      </w:r>
      <w:proofErr w:type="gramEnd"/>
      <w:r w:rsidRPr="00390D6B">
        <w:rPr>
          <w:rFonts w:ascii="Times New Roman" w:hAnsi="Times New Roman"/>
          <w:sz w:val="24"/>
          <w:szCs w:val="24"/>
        </w:rPr>
        <w:t xml:space="preserve"> chooses to return an electronic tag himself he will incur the postage costs of mailing the tag (approximately $</w:t>
      </w:r>
      <w:r w:rsidR="00417862">
        <w:rPr>
          <w:rFonts w:ascii="Times New Roman" w:hAnsi="Times New Roman"/>
          <w:sz w:val="24"/>
          <w:szCs w:val="24"/>
        </w:rPr>
        <w:t>3</w:t>
      </w:r>
      <w:r w:rsidRPr="00390D6B">
        <w:rPr>
          <w:rFonts w:ascii="Times New Roman" w:hAnsi="Times New Roman"/>
          <w:sz w:val="24"/>
          <w:szCs w:val="24"/>
        </w:rPr>
        <w:t xml:space="preserve">.00 per tag): </w:t>
      </w:r>
      <w:r w:rsidRPr="00390D6B">
        <w:rPr>
          <w:rFonts w:ascii="Times New Roman" w:hAnsi="Times New Roman"/>
          <w:b/>
          <w:sz w:val="24"/>
          <w:szCs w:val="24"/>
        </w:rPr>
        <w:t>15 x $</w:t>
      </w:r>
      <w:r w:rsidR="00417862">
        <w:rPr>
          <w:rFonts w:ascii="Times New Roman" w:hAnsi="Times New Roman"/>
          <w:b/>
          <w:sz w:val="24"/>
          <w:szCs w:val="24"/>
        </w:rPr>
        <w:t>3</w:t>
      </w:r>
      <w:r w:rsidRPr="00390D6B">
        <w:rPr>
          <w:rFonts w:ascii="Times New Roman" w:hAnsi="Times New Roman"/>
          <w:b/>
          <w:sz w:val="24"/>
          <w:szCs w:val="24"/>
        </w:rPr>
        <w:t>.00 = $</w:t>
      </w:r>
      <w:r w:rsidR="00417862">
        <w:rPr>
          <w:rFonts w:ascii="Times New Roman" w:hAnsi="Times New Roman"/>
          <w:b/>
          <w:sz w:val="24"/>
          <w:szCs w:val="24"/>
        </w:rPr>
        <w:t>45</w:t>
      </w:r>
      <w:r w:rsidRPr="00390D6B">
        <w:rPr>
          <w:rFonts w:ascii="Times New Roman" w:hAnsi="Times New Roman"/>
          <w:b/>
          <w:sz w:val="24"/>
          <w:szCs w:val="24"/>
        </w:rPr>
        <w:t xml:space="preserve"> in recordkeeping/reporting costs.</w:t>
      </w:r>
      <w:r w:rsidRPr="00390D6B">
        <w:rPr>
          <w:rFonts w:ascii="Times New Roman" w:hAnsi="Times New Roman"/>
          <w:sz w:val="24"/>
          <w:szCs w:val="24"/>
        </w:rPr>
        <w:t xml:space="preserve"> In either case, the finder of the tag will receive a $200 reward.</w:t>
      </w:r>
    </w:p>
    <w:p w:rsidR="008E61C9" w:rsidP="00BD7237" w:rsidRDefault="008E61C9" w14:paraId="618139C3" w14:textId="77777777">
      <w:pPr>
        <w:pStyle w:val="BodyText"/>
        <w:spacing w:before="7"/>
        <w:ind w:left="0"/>
        <w:rPr>
          <w:rFonts w:ascii="Times New Roman" w:hAnsi="Times New Roman" w:cs="Times New Roman"/>
          <w:b/>
        </w:rPr>
      </w:pPr>
    </w:p>
    <w:tbl>
      <w:tblPr>
        <w:tblW w:w="8560" w:type="dxa"/>
        <w:tblLook w:val="04A0" w:firstRow="1" w:lastRow="0" w:firstColumn="1" w:lastColumn="0" w:noHBand="0" w:noVBand="1"/>
      </w:tblPr>
      <w:tblGrid>
        <w:gridCol w:w="2380"/>
        <w:gridCol w:w="1600"/>
        <w:gridCol w:w="1340"/>
        <w:gridCol w:w="1200"/>
        <w:gridCol w:w="1080"/>
        <w:gridCol w:w="960"/>
      </w:tblGrid>
      <w:tr w:rsidRPr="00B05821" w:rsidR="00B05821" w:rsidTr="00B05821" w14:paraId="12DBB9B2" w14:textId="77777777">
        <w:trPr>
          <w:trHeight w:val="828"/>
        </w:trPr>
        <w:tc>
          <w:tcPr>
            <w:tcW w:w="238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B05821" w:rsidR="00B05821" w:rsidP="00B05821" w:rsidRDefault="00B05821" w14:paraId="3591D026"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Information Collection</w:t>
            </w:r>
          </w:p>
        </w:tc>
        <w:tc>
          <w:tcPr>
            <w:tcW w:w="1600" w:type="dxa"/>
            <w:tcBorders>
              <w:top w:val="single" w:color="auto" w:sz="8" w:space="0"/>
              <w:left w:val="nil"/>
              <w:bottom w:val="single" w:color="auto" w:sz="8" w:space="0"/>
              <w:right w:val="single" w:color="000000" w:sz="8" w:space="0"/>
            </w:tcBorders>
            <w:shd w:val="clear" w:color="000000" w:fill="BDD7EE"/>
            <w:vAlign w:val="center"/>
            <w:hideMark/>
          </w:tcPr>
          <w:p w:rsidRPr="00B05821" w:rsidR="00B05821" w:rsidP="00B05821" w:rsidRDefault="00B05821" w14:paraId="35EB0145"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of Respondents</w:t>
            </w:r>
            <w:r w:rsidRPr="00B05821">
              <w:rPr>
                <w:rFonts w:ascii="Calibri" w:hAnsi="Calibri" w:eastAsia="Times New Roman" w:cs="Calibri"/>
                <w:b/>
                <w:bCs/>
                <w:color w:val="000000"/>
                <w:sz w:val="16"/>
                <w:szCs w:val="16"/>
                <w:lang w:bidi="ar-SA"/>
              </w:rPr>
              <w:br/>
              <w:t>(a)</w:t>
            </w:r>
          </w:p>
        </w:tc>
        <w:tc>
          <w:tcPr>
            <w:tcW w:w="1340"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139C8824"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Annual # of Responses / Respondent</w:t>
            </w:r>
            <w:r w:rsidRPr="00B05821">
              <w:rPr>
                <w:rFonts w:ascii="Calibri" w:hAnsi="Calibri" w:eastAsia="Times New Roman" w:cs="Calibri"/>
                <w:b/>
                <w:bCs/>
                <w:color w:val="000000"/>
                <w:sz w:val="16"/>
                <w:szCs w:val="16"/>
                <w:lang w:bidi="ar-SA"/>
              </w:rPr>
              <w:br/>
              <w:t>(b)</w:t>
            </w:r>
          </w:p>
        </w:tc>
        <w:tc>
          <w:tcPr>
            <w:tcW w:w="1200"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771F78E8"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xml:space="preserve"> Total # of Annual Responses</w:t>
            </w:r>
            <w:r w:rsidRPr="00B05821">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0D6E6674"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Cost Burden / Respondent</w:t>
            </w:r>
            <w:r w:rsidRPr="00B05821">
              <w:rPr>
                <w:rFonts w:ascii="Calibri" w:hAnsi="Calibri" w:eastAsia="Times New Roman" w:cs="Calibri"/>
                <w:b/>
                <w:bCs/>
                <w:color w:val="000000"/>
                <w:sz w:val="16"/>
                <w:szCs w:val="16"/>
                <w:lang w:bidi="ar-SA"/>
              </w:rPr>
              <w:br/>
              <w:t>(h)</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B05821" w:rsidR="00B05821" w:rsidP="00B05821" w:rsidRDefault="00B05821" w14:paraId="5F5D2184"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 Annual Cost Burden</w:t>
            </w:r>
            <w:r w:rsidRPr="00B05821">
              <w:rPr>
                <w:rFonts w:ascii="Calibri" w:hAnsi="Calibri" w:eastAsia="Times New Roman" w:cs="Calibri"/>
                <w:b/>
                <w:bCs/>
                <w:color w:val="000000"/>
                <w:sz w:val="16"/>
                <w:szCs w:val="16"/>
                <w:lang w:bidi="ar-SA"/>
              </w:rPr>
              <w:br/>
              <w:t>(</w:t>
            </w:r>
            <w:proofErr w:type="spellStart"/>
            <w:r w:rsidRPr="00B05821">
              <w:rPr>
                <w:rFonts w:ascii="Calibri" w:hAnsi="Calibri" w:eastAsia="Times New Roman" w:cs="Calibri"/>
                <w:b/>
                <w:bCs/>
                <w:color w:val="000000"/>
                <w:sz w:val="16"/>
                <w:szCs w:val="16"/>
                <w:lang w:bidi="ar-SA"/>
              </w:rPr>
              <w:t>i</w:t>
            </w:r>
            <w:proofErr w:type="spellEnd"/>
            <w:r w:rsidRPr="00B05821">
              <w:rPr>
                <w:rFonts w:ascii="Calibri" w:hAnsi="Calibri" w:eastAsia="Times New Roman" w:cs="Calibri"/>
                <w:b/>
                <w:bCs/>
                <w:color w:val="000000"/>
                <w:sz w:val="16"/>
                <w:szCs w:val="16"/>
                <w:lang w:bidi="ar-SA"/>
              </w:rPr>
              <w:t>) = (c) x (h)</w:t>
            </w:r>
          </w:p>
        </w:tc>
      </w:tr>
      <w:tr w:rsidRPr="00B05821" w:rsidR="00B05821" w:rsidTr="00B05821" w14:paraId="57733852" w14:textId="77777777">
        <w:trPr>
          <w:trHeight w:val="288"/>
        </w:trPr>
        <w:tc>
          <w:tcPr>
            <w:tcW w:w="2380" w:type="dxa"/>
            <w:tcBorders>
              <w:top w:val="nil"/>
              <w:left w:val="single" w:color="auto" w:sz="4" w:space="0"/>
              <w:bottom w:val="single" w:color="auto" w:sz="4" w:space="0"/>
              <w:right w:val="single" w:color="auto" w:sz="4" w:space="0"/>
            </w:tcBorders>
            <w:shd w:val="clear" w:color="auto" w:fill="auto"/>
            <w:vAlign w:val="center"/>
            <w:hideMark/>
          </w:tcPr>
          <w:p w:rsidRPr="00B05821" w:rsidR="00B05821" w:rsidP="00B05821" w:rsidRDefault="003A6B43" w14:paraId="126F94FE"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Electronic Archival Tag Return</w:t>
            </w:r>
          </w:p>
        </w:tc>
        <w:tc>
          <w:tcPr>
            <w:tcW w:w="1600" w:type="dxa"/>
            <w:tcBorders>
              <w:top w:val="nil"/>
              <w:left w:val="nil"/>
              <w:bottom w:val="single" w:color="auto" w:sz="4" w:space="0"/>
              <w:right w:val="single" w:color="auto" w:sz="4" w:space="0"/>
            </w:tcBorders>
            <w:shd w:val="clear" w:color="000000" w:fill="FFFFFF"/>
            <w:vAlign w:val="center"/>
            <w:hideMark/>
          </w:tcPr>
          <w:p w:rsidRPr="00B05821" w:rsidR="00B05821" w:rsidP="00B05821" w:rsidRDefault="003A6B43" w14:paraId="5DB3980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B05821" w:rsidR="00B05821">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FFFFFF"/>
            <w:vAlign w:val="center"/>
            <w:hideMark/>
          </w:tcPr>
          <w:p w:rsidRPr="00B05821" w:rsidR="00B05821" w:rsidP="00B05821" w:rsidRDefault="003A6B43" w14:paraId="4DDB665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B05821" w:rsidR="00B05821">
              <w:rPr>
                <w:rFonts w:ascii="Calibri" w:hAnsi="Calibri" w:eastAsia="Times New Roman" w:cs="Calibri"/>
                <w:color w:val="000000"/>
                <w:sz w:val="16"/>
                <w:szCs w:val="16"/>
                <w:lang w:bidi="ar-SA"/>
              </w:rPr>
              <w:t> </w:t>
            </w:r>
          </w:p>
        </w:tc>
        <w:tc>
          <w:tcPr>
            <w:tcW w:w="1200" w:type="dxa"/>
            <w:tcBorders>
              <w:top w:val="nil"/>
              <w:left w:val="nil"/>
              <w:bottom w:val="single" w:color="auto" w:sz="4" w:space="0"/>
              <w:right w:val="single" w:color="auto" w:sz="4" w:space="0"/>
            </w:tcBorders>
            <w:shd w:val="clear" w:color="000000" w:fill="FFFFFF"/>
            <w:vAlign w:val="center"/>
            <w:hideMark/>
          </w:tcPr>
          <w:p w:rsidRPr="00B05821" w:rsidR="00B05821" w:rsidP="00B05821" w:rsidRDefault="003A6B43" w14:paraId="74F2A4E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B05821" w:rsidR="00B05821">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000000" w:fill="FFFFFF"/>
            <w:vAlign w:val="center"/>
            <w:hideMark/>
          </w:tcPr>
          <w:p w:rsidRPr="00B05821" w:rsidR="00B05821" w:rsidP="00417862" w:rsidRDefault="003A6B43" w14:paraId="1BACDE5A" w14:textId="300DEB7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417862">
              <w:rPr>
                <w:rFonts w:ascii="Calibri" w:hAnsi="Calibri" w:eastAsia="Times New Roman" w:cs="Calibri"/>
                <w:color w:val="000000"/>
                <w:sz w:val="16"/>
                <w:szCs w:val="16"/>
                <w:lang w:bidi="ar-SA"/>
              </w:rPr>
              <w:t>3</w:t>
            </w:r>
            <w:r w:rsidRPr="00B05821" w:rsidR="00B05821">
              <w:rPr>
                <w:rFonts w:ascii="Calibri" w:hAnsi="Calibri" w:eastAsia="Times New Roman" w:cs="Calibri"/>
                <w:color w:val="000000"/>
                <w:sz w:val="16"/>
                <w:szCs w:val="16"/>
                <w:lang w:bidi="ar-SA"/>
              </w:rPr>
              <w:t> </w:t>
            </w:r>
          </w:p>
        </w:tc>
        <w:tc>
          <w:tcPr>
            <w:tcW w:w="960" w:type="dxa"/>
            <w:tcBorders>
              <w:top w:val="nil"/>
              <w:left w:val="nil"/>
              <w:bottom w:val="single" w:color="auto" w:sz="4" w:space="0"/>
              <w:right w:val="single" w:color="auto" w:sz="8" w:space="0"/>
            </w:tcBorders>
            <w:shd w:val="clear" w:color="000000" w:fill="FFFFFF"/>
            <w:vAlign w:val="center"/>
            <w:hideMark/>
          </w:tcPr>
          <w:p w:rsidRPr="00B05821" w:rsidR="00B05821" w:rsidP="00417862" w:rsidRDefault="003A6B43" w14:paraId="51DAF198" w14:textId="4ECD838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417862">
              <w:rPr>
                <w:rFonts w:ascii="Calibri" w:hAnsi="Calibri" w:eastAsia="Times New Roman" w:cs="Calibri"/>
                <w:color w:val="000000"/>
                <w:sz w:val="16"/>
                <w:szCs w:val="16"/>
                <w:lang w:bidi="ar-SA"/>
              </w:rPr>
              <w:t>45</w:t>
            </w:r>
            <w:r w:rsidRPr="00B05821" w:rsidR="00B05821">
              <w:rPr>
                <w:rFonts w:ascii="Calibri" w:hAnsi="Calibri" w:eastAsia="Times New Roman" w:cs="Calibri"/>
                <w:color w:val="000000"/>
                <w:sz w:val="16"/>
                <w:szCs w:val="16"/>
                <w:lang w:bidi="ar-SA"/>
              </w:rPr>
              <w:t> </w:t>
            </w:r>
          </w:p>
        </w:tc>
      </w:tr>
      <w:tr w:rsidRPr="00B05821" w:rsidR="00B05821" w:rsidTr="00B05821" w14:paraId="154BA2A0" w14:textId="77777777">
        <w:trPr>
          <w:trHeight w:val="300"/>
        </w:trPr>
        <w:tc>
          <w:tcPr>
            <w:tcW w:w="238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B05821" w:rsidR="00B05821" w:rsidP="00B05821" w:rsidRDefault="00B05821" w14:paraId="7A449566" w14:textId="77777777">
            <w:pPr>
              <w:widowControl/>
              <w:autoSpaceDE/>
              <w:autoSpaceDN/>
              <w:jc w:val="right"/>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TOTALS</w:t>
            </w:r>
          </w:p>
        </w:tc>
        <w:tc>
          <w:tcPr>
            <w:tcW w:w="1600" w:type="dxa"/>
            <w:tcBorders>
              <w:top w:val="single" w:color="auto" w:sz="8" w:space="0"/>
              <w:left w:val="nil"/>
              <w:bottom w:val="single" w:color="auto" w:sz="8" w:space="0"/>
              <w:right w:val="single" w:color="auto" w:sz="4" w:space="0"/>
            </w:tcBorders>
            <w:shd w:val="clear" w:color="000000" w:fill="DDEBF7"/>
            <w:vAlign w:val="center"/>
            <w:hideMark/>
          </w:tcPr>
          <w:p w:rsidRPr="00B05821" w:rsidR="00B05821" w:rsidP="00B05821" w:rsidRDefault="00417862" w14:paraId="342474AC" w14:textId="1FEB245E">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15</w:t>
            </w:r>
            <w:r w:rsidRPr="00B05821" w:rsidR="00B05821">
              <w:rPr>
                <w:rFonts w:ascii="Calibri" w:hAnsi="Calibri" w:eastAsia="Times New Roman" w:cs="Calibri"/>
                <w:b/>
                <w:bCs/>
                <w:color w:val="000000"/>
                <w:sz w:val="16"/>
                <w:szCs w:val="16"/>
                <w:lang w:bidi="ar-SA"/>
              </w:rPr>
              <w:t> </w:t>
            </w:r>
          </w:p>
        </w:tc>
        <w:tc>
          <w:tcPr>
            <w:tcW w:w="1340" w:type="dxa"/>
            <w:tcBorders>
              <w:top w:val="single" w:color="auto" w:sz="8" w:space="0"/>
              <w:left w:val="nil"/>
              <w:bottom w:val="single" w:color="auto" w:sz="8" w:space="0"/>
              <w:right w:val="single" w:color="auto" w:sz="4" w:space="0"/>
            </w:tcBorders>
            <w:shd w:val="clear" w:color="000000" w:fill="DDEBF7"/>
            <w:vAlign w:val="center"/>
            <w:hideMark/>
          </w:tcPr>
          <w:p w:rsidRPr="00B05821" w:rsidR="00B05821" w:rsidP="00B05821" w:rsidRDefault="00417862" w14:paraId="759CC5D2" w14:textId="72CF35F5">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w:t>
            </w:r>
          </w:p>
        </w:tc>
        <w:tc>
          <w:tcPr>
            <w:tcW w:w="1200" w:type="dxa"/>
            <w:tcBorders>
              <w:top w:val="single" w:color="auto" w:sz="8" w:space="0"/>
              <w:left w:val="nil"/>
              <w:bottom w:val="single" w:color="auto" w:sz="8" w:space="0"/>
              <w:right w:val="single" w:color="auto" w:sz="4" w:space="0"/>
            </w:tcBorders>
            <w:shd w:val="clear" w:color="000000" w:fill="DDEBF7"/>
            <w:vAlign w:val="center"/>
            <w:hideMark/>
          </w:tcPr>
          <w:p w:rsidRPr="00B05821" w:rsidR="00B05821" w:rsidP="00B05821" w:rsidRDefault="00417862" w14:paraId="1A5DF33E" w14:textId="03CB0C01">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15</w:t>
            </w:r>
          </w:p>
        </w:tc>
        <w:tc>
          <w:tcPr>
            <w:tcW w:w="1080" w:type="dxa"/>
            <w:tcBorders>
              <w:top w:val="single" w:color="auto" w:sz="8" w:space="0"/>
              <w:left w:val="nil"/>
              <w:bottom w:val="single" w:color="auto" w:sz="8" w:space="0"/>
              <w:right w:val="single" w:color="auto" w:sz="4" w:space="0"/>
            </w:tcBorders>
            <w:shd w:val="clear" w:color="000000" w:fill="DDEBF7"/>
            <w:vAlign w:val="center"/>
            <w:hideMark/>
          </w:tcPr>
          <w:p w:rsidRPr="00B05821" w:rsidR="00B05821" w:rsidP="00B05821" w:rsidRDefault="00417862" w14:paraId="21493F02" w14:textId="708F11DE">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B05821" w:rsidR="00B05821">
              <w:rPr>
                <w:rFonts w:ascii="Calibri" w:hAnsi="Calibri" w:eastAsia="Times New Roman" w:cs="Calibri"/>
                <w:b/>
                <w:bCs/>
                <w:color w:val="000000"/>
                <w:sz w:val="16"/>
                <w:szCs w:val="16"/>
                <w:lang w:bidi="ar-SA"/>
              </w:rPr>
              <w:t> </w:t>
            </w:r>
          </w:p>
        </w:tc>
        <w:tc>
          <w:tcPr>
            <w:tcW w:w="960" w:type="dxa"/>
            <w:tcBorders>
              <w:top w:val="single" w:color="auto" w:sz="8" w:space="0"/>
              <w:left w:val="nil"/>
              <w:bottom w:val="single" w:color="auto" w:sz="8" w:space="0"/>
              <w:right w:val="single" w:color="auto" w:sz="8" w:space="0"/>
            </w:tcBorders>
            <w:shd w:val="clear" w:color="000000" w:fill="DDEBF7"/>
            <w:vAlign w:val="center"/>
            <w:hideMark/>
          </w:tcPr>
          <w:p w:rsidRPr="00B05821" w:rsidR="00B05821" w:rsidP="00B05821" w:rsidRDefault="00417862" w14:paraId="1202ED05" w14:textId="784D691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$45</w:t>
            </w:r>
            <w:r w:rsidRPr="00B05821" w:rsidR="00B05821">
              <w:rPr>
                <w:rFonts w:ascii="Calibri" w:hAnsi="Calibri" w:eastAsia="Times New Roman" w:cs="Calibri"/>
                <w:b/>
                <w:bCs/>
                <w:color w:val="000000"/>
                <w:sz w:val="16"/>
                <w:szCs w:val="16"/>
                <w:lang w:bidi="ar-SA"/>
              </w:rPr>
              <w:t xml:space="preserve">   </w:t>
            </w:r>
          </w:p>
        </w:tc>
      </w:tr>
    </w:tbl>
    <w:p w:rsidR="00B05821" w:rsidP="00BD7237" w:rsidRDefault="00B05821" w14:paraId="11AA8462" w14:textId="77777777">
      <w:pPr>
        <w:pStyle w:val="BodyText"/>
        <w:spacing w:before="7"/>
        <w:ind w:left="0"/>
        <w:rPr>
          <w:rFonts w:ascii="Times New Roman" w:hAnsi="Times New Roman" w:cs="Times New Roman"/>
          <w:b/>
        </w:rPr>
      </w:pPr>
    </w:p>
    <w:p w:rsidRPr="00BD7237" w:rsidR="00B05821" w:rsidP="00BD7237" w:rsidRDefault="00B05821" w14:paraId="55A5562D" w14:textId="77777777">
      <w:pPr>
        <w:pStyle w:val="BodyText"/>
        <w:spacing w:before="7"/>
        <w:ind w:left="0"/>
        <w:rPr>
          <w:rFonts w:ascii="Times New Roman" w:hAnsi="Times New Roman" w:cs="Times New Roman"/>
          <w:b/>
        </w:rPr>
      </w:pPr>
    </w:p>
    <w:p w:rsidRPr="00BD7237" w:rsidR="008E61C9" w:rsidP="00BD7237" w:rsidRDefault="001477A3" w14:paraId="42E7ED7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05154" w:rsidP="00390D6B" w:rsidRDefault="00305154" w14:paraId="568EB8E3" w14:textId="77777777">
      <w:pPr>
        <w:tabs>
          <w:tab w:val="left" w:pos="720"/>
          <w:tab w:val="right" w:leader="dot" w:pos="10080"/>
        </w:tabs>
        <w:ind w:left="131"/>
        <w:rPr>
          <w:rFonts w:ascii="Times New Roman" w:hAnsi="Times New Roman"/>
          <w:sz w:val="24"/>
          <w:szCs w:val="24"/>
        </w:rPr>
      </w:pPr>
    </w:p>
    <w:p w:rsidR="00390D6B" w:rsidP="00390D6B" w:rsidRDefault="00390D6B" w14:paraId="3C57CC8F" w14:textId="77777777">
      <w:pPr>
        <w:tabs>
          <w:tab w:val="left" w:pos="720"/>
          <w:tab w:val="right" w:leader="dot" w:pos="10080"/>
        </w:tabs>
        <w:ind w:left="131"/>
        <w:rPr>
          <w:rFonts w:ascii="Times New Roman" w:hAnsi="Times New Roman"/>
          <w:sz w:val="24"/>
          <w:szCs w:val="24"/>
        </w:rPr>
      </w:pPr>
      <w:r w:rsidRPr="00390D6B">
        <w:rPr>
          <w:rFonts w:ascii="Times New Roman" w:hAnsi="Times New Roman"/>
          <w:sz w:val="24"/>
          <w:szCs w:val="24"/>
        </w:rPr>
        <w:t xml:space="preserve">The costs to the Federal government are unchanged and are about $16,000 a year in rewards and $2,000 a year in tags, paper supplies, and tagging equipment.  The </w:t>
      </w:r>
      <w:proofErr w:type="spellStart"/>
      <w:r w:rsidRPr="00390D6B">
        <w:rPr>
          <w:rFonts w:ascii="Times New Roman" w:hAnsi="Times New Roman"/>
          <w:sz w:val="24"/>
          <w:szCs w:val="24"/>
        </w:rPr>
        <w:t>groundfish</w:t>
      </w:r>
      <w:proofErr w:type="spellEnd"/>
      <w:r w:rsidRPr="00390D6B">
        <w:rPr>
          <w:rFonts w:ascii="Times New Roman" w:hAnsi="Times New Roman"/>
          <w:sz w:val="24"/>
          <w:szCs w:val="24"/>
        </w:rPr>
        <w:t xml:space="preserve"> tagging program requires an average of one full time employee to maintain the database and return release information to the respondents.  Minimal ship time costs are incurred because tagging is </w:t>
      </w:r>
      <w:proofErr w:type="gramStart"/>
      <w:r w:rsidRPr="00390D6B">
        <w:rPr>
          <w:rFonts w:ascii="Times New Roman" w:hAnsi="Times New Roman"/>
          <w:sz w:val="24"/>
          <w:szCs w:val="24"/>
        </w:rPr>
        <w:t>piggy-backed</w:t>
      </w:r>
      <w:proofErr w:type="gramEnd"/>
      <w:r w:rsidRPr="00390D6B">
        <w:rPr>
          <w:rFonts w:ascii="Times New Roman" w:hAnsi="Times New Roman"/>
          <w:sz w:val="24"/>
          <w:szCs w:val="24"/>
        </w:rPr>
        <w:t xml:space="preserve"> onto routine stock assessment survey operations.</w:t>
      </w:r>
    </w:p>
    <w:p w:rsidR="00B05821" w:rsidP="00390D6B" w:rsidRDefault="00B05821" w14:paraId="0F4F599A" w14:textId="77777777">
      <w:pPr>
        <w:tabs>
          <w:tab w:val="left" w:pos="720"/>
          <w:tab w:val="right" w:leader="dot" w:pos="10080"/>
        </w:tabs>
        <w:ind w:left="131"/>
        <w:rPr>
          <w:rFonts w:ascii="Times New Roman" w:hAnsi="Times New Roman"/>
          <w:sz w:val="24"/>
          <w:szCs w:val="24"/>
        </w:rPr>
      </w:pPr>
    </w:p>
    <w:tbl>
      <w:tblPr>
        <w:tblW w:w="7360" w:type="dxa"/>
        <w:tblLook w:val="04A0" w:firstRow="1" w:lastRow="0" w:firstColumn="1" w:lastColumn="0" w:noHBand="0" w:noVBand="1"/>
      </w:tblPr>
      <w:tblGrid>
        <w:gridCol w:w="1700"/>
        <w:gridCol w:w="1160"/>
        <w:gridCol w:w="1180"/>
        <w:gridCol w:w="1140"/>
        <w:gridCol w:w="1300"/>
        <w:gridCol w:w="1055"/>
      </w:tblGrid>
      <w:tr w:rsidRPr="00B05821" w:rsidR="00B05821" w:rsidTr="00B05821" w14:paraId="008BACF5" w14:textId="77777777">
        <w:trPr>
          <w:trHeight w:val="408"/>
        </w:trPr>
        <w:tc>
          <w:tcPr>
            <w:tcW w:w="1700" w:type="dxa"/>
            <w:tcBorders>
              <w:top w:val="single" w:color="auto" w:sz="8" w:space="0"/>
              <w:left w:val="single" w:color="auto" w:sz="8" w:space="0"/>
              <w:bottom w:val="nil"/>
              <w:right w:val="single" w:color="auto" w:sz="8" w:space="0"/>
            </w:tcBorders>
            <w:shd w:val="clear" w:color="000000" w:fill="BDD7EE"/>
            <w:vAlign w:val="center"/>
            <w:hideMark/>
          </w:tcPr>
          <w:p w:rsidRPr="00B05821" w:rsidR="00B05821" w:rsidP="00B05821" w:rsidRDefault="00B05821" w14:paraId="722D1FA4"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Cost Descriptions</w:t>
            </w:r>
          </w:p>
        </w:tc>
        <w:tc>
          <w:tcPr>
            <w:tcW w:w="1160" w:type="dxa"/>
            <w:tcBorders>
              <w:top w:val="single" w:color="auto" w:sz="8" w:space="0"/>
              <w:left w:val="nil"/>
              <w:bottom w:val="nil"/>
              <w:right w:val="single" w:color="auto" w:sz="8" w:space="0"/>
            </w:tcBorders>
            <w:shd w:val="clear" w:color="000000" w:fill="BDD7EE"/>
            <w:vAlign w:val="center"/>
            <w:hideMark/>
          </w:tcPr>
          <w:p w:rsidRPr="00B05821" w:rsidR="00B05821" w:rsidP="00B05821" w:rsidRDefault="00B05821" w14:paraId="4823C758"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Grade/Step</w:t>
            </w:r>
          </w:p>
        </w:tc>
        <w:tc>
          <w:tcPr>
            <w:tcW w:w="1180" w:type="dxa"/>
            <w:tcBorders>
              <w:top w:val="single" w:color="auto" w:sz="8" w:space="0"/>
              <w:left w:val="nil"/>
              <w:bottom w:val="nil"/>
              <w:right w:val="single" w:color="auto" w:sz="8" w:space="0"/>
            </w:tcBorders>
            <w:shd w:val="clear" w:color="000000" w:fill="BDD7EE"/>
            <w:vAlign w:val="center"/>
            <w:hideMark/>
          </w:tcPr>
          <w:p w:rsidRPr="00B05821" w:rsidR="00B05821" w:rsidP="00B05821" w:rsidRDefault="00B05821" w14:paraId="1FA3630C"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Loaded Salary /Cost</w:t>
            </w:r>
          </w:p>
        </w:tc>
        <w:tc>
          <w:tcPr>
            <w:tcW w:w="1140" w:type="dxa"/>
            <w:tcBorders>
              <w:top w:val="single" w:color="auto" w:sz="8" w:space="0"/>
              <w:left w:val="nil"/>
              <w:bottom w:val="nil"/>
              <w:right w:val="single" w:color="auto" w:sz="8" w:space="0"/>
            </w:tcBorders>
            <w:shd w:val="clear" w:color="000000" w:fill="BDD7EE"/>
            <w:vAlign w:val="center"/>
            <w:hideMark/>
          </w:tcPr>
          <w:p w:rsidRPr="00B05821" w:rsidR="00B05821" w:rsidP="00B05821" w:rsidRDefault="00B05821" w14:paraId="5A1B824C"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of Effort</w:t>
            </w:r>
          </w:p>
        </w:tc>
        <w:tc>
          <w:tcPr>
            <w:tcW w:w="1300" w:type="dxa"/>
            <w:tcBorders>
              <w:top w:val="single" w:color="auto" w:sz="8" w:space="0"/>
              <w:left w:val="nil"/>
              <w:bottom w:val="nil"/>
              <w:right w:val="single" w:color="auto" w:sz="8" w:space="0"/>
            </w:tcBorders>
            <w:shd w:val="clear" w:color="000000" w:fill="BDD7EE"/>
            <w:vAlign w:val="center"/>
            <w:hideMark/>
          </w:tcPr>
          <w:p w:rsidRPr="00B05821" w:rsidR="00B05821" w:rsidP="00B05821" w:rsidRDefault="00B05821" w14:paraId="6C628DA0"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Fringe (if Applicable)</w:t>
            </w:r>
          </w:p>
        </w:tc>
        <w:tc>
          <w:tcPr>
            <w:tcW w:w="880" w:type="dxa"/>
            <w:tcBorders>
              <w:top w:val="single" w:color="auto" w:sz="8" w:space="0"/>
              <w:left w:val="nil"/>
              <w:bottom w:val="nil"/>
              <w:right w:val="single" w:color="auto" w:sz="8" w:space="0"/>
            </w:tcBorders>
            <w:shd w:val="clear" w:color="000000" w:fill="BDD7EE"/>
            <w:vAlign w:val="center"/>
            <w:hideMark/>
          </w:tcPr>
          <w:p w:rsidRPr="00B05821" w:rsidR="00B05821" w:rsidP="00B05821" w:rsidRDefault="00B05821" w14:paraId="1BE0222C"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 Cost to Government</w:t>
            </w:r>
          </w:p>
        </w:tc>
      </w:tr>
      <w:tr w:rsidRPr="00B05821" w:rsidR="00B05821" w:rsidTr="006525CA" w14:paraId="6A036999" w14:textId="77777777">
        <w:trPr>
          <w:trHeight w:val="288"/>
        </w:trPr>
        <w:tc>
          <w:tcPr>
            <w:tcW w:w="17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B05821" w:rsidR="00B05821" w:rsidP="00B05821" w:rsidRDefault="00B05821" w14:paraId="0976E49C" w14:textId="77777777">
            <w:pPr>
              <w:widowControl/>
              <w:autoSpaceDE/>
              <w:autoSpaceDN/>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Federal Oversight</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B05821" w:rsidR="00B05821" w:rsidP="00B05821" w:rsidRDefault="00B05821" w14:paraId="312CF197" w14:textId="47D29F76">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525CA">
              <w:rPr>
                <w:rFonts w:ascii="Calibri" w:hAnsi="Calibri" w:eastAsia="Times New Roman" w:cs="Calibri"/>
                <w:color w:val="000000"/>
                <w:sz w:val="16"/>
                <w:szCs w:val="16"/>
                <w:lang w:bidi="ar-SA"/>
              </w:rPr>
              <w:t>GS 09/step 1</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B05821" w:rsidR="00B05821" w:rsidP="00B05821" w:rsidRDefault="00B05821" w14:paraId="243D06AF" w14:textId="76705E0A">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525CA">
              <w:rPr>
                <w:rFonts w:ascii="Calibri" w:hAnsi="Calibri" w:eastAsia="Times New Roman" w:cs="Calibri"/>
                <w:color w:val="000000"/>
                <w:sz w:val="16"/>
                <w:szCs w:val="16"/>
                <w:lang w:bidi="ar-SA"/>
              </w:rPr>
              <w:t>47</w:t>
            </w:r>
            <w:r w:rsidR="00C868A3">
              <w:rPr>
                <w:rFonts w:ascii="Calibri" w:hAnsi="Calibri" w:eastAsia="Times New Roman" w:cs="Calibri"/>
                <w:color w:val="000000"/>
                <w:sz w:val="16"/>
                <w:szCs w:val="16"/>
                <w:lang w:bidi="ar-SA"/>
              </w:rPr>
              <w:t>,</w:t>
            </w:r>
            <w:r w:rsidR="006525CA">
              <w:rPr>
                <w:rFonts w:ascii="Calibri" w:hAnsi="Calibri" w:eastAsia="Times New Roman" w:cs="Calibri"/>
                <w:color w:val="000000"/>
                <w:sz w:val="16"/>
                <w:szCs w:val="16"/>
                <w:lang w:bidi="ar-SA"/>
              </w:rPr>
              <w:t>097.00</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B05821" w:rsidR="00B05821" w:rsidP="00B05821" w:rsidRDefault="00B05821" w14:paraId="54363B15" w14:textId="4851F25A">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525CA">
              <w:rPr>
                <w:rFonts w:ascii="Calibri" w:hAnsi="Calibri" w:eastAsia="Times New Roman" w:cs="Calibri"/>
                <w:color w:val="000000"/>
                <w:sz w:val="16"/>
                <w:szCs w:val="16"/>
                <w:lang w:bidi="ar-SA"/>
              </w:rPr>
              <w:t>10%</w:t>
            </w:r>
          </w:p>
        </w:tc>
        <w:tc>
          <w:tcPr>
            <w:tcW w:w="1300" w:type="dxa"/>
            <w:tcBorders>
              <w:top w:val="single" w:color="auto" w:sz="4" w:space="0"/>
              <w:left w:val="nil"/>
              <w:bottom w:val="single" w:color="auto" w:sz="4" w:space="0"/>
              <w:right w:val="single" w:color="auto" w:sz="4" w:space="0"/>
            </w:tcBorders>
            <w:shd w:val="clear" w:color="000000" w:fill="808080"/>
            <w:noWrap/>
            <w:vAlign w:val="bottom"/>
            <w:hideMark/>
          </w:tcPr>
          <w:p w:rsidRPr="00B05821" w:rsidR="00B05821" w:rsidP="00B05821" w:rsidRDefault="00B05821" w14:paraId="3F856C1C"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single" w:color="auto" w:sz="4" w:space="0"/>
              <w:left w:val="nil"/>
              <w:bottom w:val="single" w:color="auto" w:sz="4" w:space="0"/>
              <w:right w:val="single" w:color="auto" w:sz="8" w:space="0"/>
            </w:tcBorders>
            <w:shd w:val="clear" w:color="auto" w:fill="auto"/>
            <w:noWrap/>
            <w:vAlign w:val="bottom"/>
            <w:hideMark/>
          </w:tcPr>
          <w:p w:rsidRPr="00B05821" w:rsidR="00B05821" w:rsidP="00B05821" w:rsidRDefault="00B05821" w14:paraId="7C91374C" w14:textId="0417CE38">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525CA">
              <w:rPr>
                <w:rFonts w:ascii="Calibri" w:hAnsi="Calibri" w:eastAsia="Times New Roman" w:cs="Calibri"/>
                <w:color w:val="000000"/>
                <w:sz w:val="16"/>
                <w:szCs w:val="16"/>
                <w:lang w:bidi="ar-SA"/>
              </w:rPr>
              <w:t>4,710.00</w:t>
            </w:r>
          </w:p>
        </w:tc>
      </w:tr>
      <w:tr w:rsidRPr="00B05821" w:rsidR="00B05821" w:rsidTr="00B05821" w14:paraId="025F29B4"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1FF710B0"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Other Federal Positions</w:t>
            </w:r>
          </w:p>
        </w:tc>
        <w:tc>
          <w:tcPr>
            <w:tcW w:w="116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6447FE50"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38F41CC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07FFDBDA"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7DA1F576"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4952A3B5"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08FE333C"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17CF94CB"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6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118BDE48"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3DDB32EB"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1D3D3525"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502C82C4"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56A1672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54C5AC7D"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1B003AE6"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6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72E04293"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2066E403"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2645FC1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65E3DBC2"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71729B88"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7C95F7A2" w14:textId="77777777">
        <w:trPr>
          <w:trHeight w:val="288"/>
        </w:trPr>
        <w:tc>
          <w:tcPr>
            <w:tcW w:w="1700" w:type="dxa"/>
            <w:tcBorders>
              <w:top w:val="nil"/>
              <w:left w:val="single" w:color="auto" w:sz="8" w:space="0"/>
              <w:bottom w:val="single" w:color="auto" w:sz="4" w:space="0"/>
              <w:right w:val="single" w:color="auto" w:sz="8" w:space="0"/>
            </w:tcBorders>
            <w:shd w:val="clear" w:color="auto" w:fill="auto"/>
            <w:vAlign w:val="bottom"/>
            <w:hideMark/>
          </w:tcPr>
          <w:p w:rsidRPr="00B05821" w:rsidR="00B05821" w:rsidP="00B05821" w:rsidRDefault="00B05821" w14:paraId="3E770975" w14:textId="77777777">
            <w:pPr>
              <w:widowControl/>
              <w:autoSpaceDE/>
              <w:autoSpaceDN/>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Contractor Cost</w:t>
            </w:r>
          </w:p>
        </w:tc>
        <w:tc>
          <w:tcPr>
            <w:tcW w:w="116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77B2A35E"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1B32537F"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74B9FCD6"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1E258572"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207D28E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57CE3749"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2049EF06"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6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4F6385AE"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380C4F82"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4B530C43"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4C0A3E9B"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4010991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16AD3528"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1D2BD83E"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6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36138B8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26DBAA8F"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542AE97E"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auto" w:fill="auto"/>
            <w:noWrap/>
            <w:vAlign w:val="bottom"/>
            <w:hideMark/>
          </w:tcPr>
          <w:p w:rsidRPr="00B05821" w:rsidR="00B05821" w:rsidP="00B05821" w:rsidRDefault="00B05821" w14:paraId="0D4C73CC"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4903179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79AAD372" w14:textId="77777777">
        <w:trPr>
          <w:trHeight w:val="288"/>
        </w:trPr>
        <w:tc>
          <w:tcPr>
            <w:tcW w:w="1700" w:type="dxa"/>
            <w:tcBorders>
              <w:top w:val="nil"/>
              <w:left w:val="single" w:color="auto" w:sz="8" w:space="0"/>
              <w:bottom w:val="single" w:color="auto" w:sz="4" w:space="0"/>
              <w:right w:val="single" w:color="auto" w:sz="8" w:space="0"/>
            </w:tcBorders>
            <w:shd w:val="clear" w:color="auto" w:fill="auto"/>
            <w:noWrap/>
            <w:vAlign w:val="bottom"/>
            <w:hideMark/>
          </w:tcPr>
          <w:p w:rsidRPr="00B05821" w:rsidR="00B05821" w:rsidP="00B05821" w:rsidRDefault="00B05821" w14:paraId="0DDCFA94" w14:textId="77777777">
            <w:pPr>
              <w:widowControl/>
              <w:autoSpaceDE/>
              <w:autoSpaceDN/>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Travel</w:t>
            </w:r>
          </w:p>
        </w:tc>
        <w:tc>
          <w:tcPr>
            <w:tcW w:w="116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7185B855"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31FD9A67"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69192F44"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06373958"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0F9F9F3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B05821" w14:paraId="175940FB" w14:textId="77777777">
        <w:trPr>
          <w:trHeight w:val="525"/>
        </w:trPr>
        <w:tc>
          <w:tcPr>
            <w:tcW w:w="1700" w:type="dxa"/>
            <w:tcBorders>
              <w:top w:val="nil"/>
              <w:left w:val="single" w:color="auto" w:sz="8" w:space="0"/>
              <w:bottom w:val="nil"/>
              <w:right w:val="single" w:color="auto" w:sz="8" w:space="0"/>
            </w:tcBorders>
            <w:shd w:val="clear" w:color="auto" w:fill="auto"/>
            <w:vAlign w:val="center"/>
            <w:hideMark/>
          </w:tcPr>
          <w:p w:rsidRPr="00B05821" w:rsidR="00B05821" w:rsidP="00B05821" w:rsidRDefault="00B05821" w14:paraId="297EA28B" w14:textId="77777777">
            <w:pPr>
              <w:widowControl/>
              <w:autoSpaceDE/>
              <w:autoSpaceDN/>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lastRenderedPageBreak/>
              <w:t xml:space="preserve">Other Costs: </w:t>
            </w:r>
          </w:p>
        </w:tc>
        <w:tc>
          <w:tcPr>
            <w:tcW w:w="116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7A2E7826"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63C438D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79C5BE2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4" w:space="0"/>
            </w:tcBorders>
            <w:shd w:val="clear" w:color="000000" w:fill="808080"/>
            <w:noWrap/>
            <w:vAlign w:val="bottom"/>
            <w:hideMark/>
          </w:tcPr>
          <w:p w:rsidRPr="00B05821" w:rsidR="00B05821" w:rsidP="00B05821" w:rsidRDefault="00B05821" w14:paraId="321D293A"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8" w:space="0"/>
            </w:tcBorders>
            <w:shd w:val="clear" w:color="auto" w:fill="auto"/>
            <w:noWrap/>
            <w:vAlign w:val="bottom"/>
            <w:hideMark/>
          </w:tcPr>
          <w:p w:rsidRPr="00B05821" w:rsidR="00B05821" w:rsidP="00B05821" w:rsidRDefault="00B05821" w14:paraId="23C35324" w14:textId="353538EF">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$18,000</w:t>
            </w:r>
          </w:p>
        </w:tc>
      </w:tr>
      <w:tr w:rsidRPr="00B05821" w:rsidR="00B05821" w:rsidTr="00B05821" w14:paraId="69555BCB" w14:textId="77777777">
        <w:trPr>
          <w:trHeight w:val="300"/>
        </w:trPr>
        <w:tc>
          <w:tcPr>
            <w:tcW w:w="17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05821" w:rsidR="00B05821" w:rsidP="00B05821" w:rsidRDefault="00B05821" w14:paraId="561E99CD" w14:textId="77777777">
            <w:pPr>
              <w:widowControl/>
              <w:autoSpaceDE/>
              <w:autoSpaceDN/>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w:t>
            </w:r>
          </w:p>
        </w:tc>
        <w:tc>
          <w:tcPr>
            <w:tcW w:w="1160" w:type="dxa"/>
            <w:tcBorders>
              <w:top w:val="single" w:color="auto" w:sz="8" w:space="0"/>
              <w:left w:val="nil"/>
              <w:bottom w:val="single" w:color="auto" w:sz="8" w:space="0"/>
              <w:right w:val="single" w:color="auto" w:sz="8" w:space="0"/>
            </w:tcBorders>
            <w:shd w:val="clear" w:color="000000" w:fill="808080"/>
            <w:noWrap/>
            <w:vAlign w:val="bottom"/>
            <w:hideMark/>
          </w:tcPr>
          <w:p w:rsidRPr="00B05821" w:rsidR="00B05821" w:rsidP="00B05821" w:rsidRDefault="00B05821" w14:paraId="6EFF254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80" w:type="dxa"/>
            <w:tcBorders>
              <w:top w:val="single" w:color="auto" w:sz="8" w:space="0"/>
              <w:left w:val="nil"/>
              <w:bottom w:val="single" w:color="auto" w:sz="8" w:space="0"/>
              <w:right w:val="single" w:color="auto" w:sz="8" w:space="0"/>
            </w:tcBorders>
            <w:shd w:val="clear" w:color="000000" w:fill="DDEBF7"/>
            <w:noWrap/>
            <w:vAlign w:val="bottom"/>
            <w:hideMark/>
          </w:tcPr>
          <w:p w:rsidRPr="00B05821" w:rsidR="00B05821" w:rsidP="00B05821" w:rsidRDefault="00B05821" w14:paraId="4D465D3A"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000000" w:fill="757171"/>
            <w:noWrap/>
            <w:vAlign w:val="bottom"/>
            <w:hideMark/>
          </w:tcPr>
          <w:p w:rsidRPr="00B05821" w:rsidR="00B05821" w:rsidP="00B05821" w:rsidRDefault="00B05821" w14:paraId="1F734FB7"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B05821" w:rsidR="00B05821" w:rsidP="00B05821" w:rsidRDefault="00B05821" w14:paraId="25C5EA8F"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c>
          <w:tcPr>
            <w:tcW w:w="880" w:type="dxa"/>
            <w:tcBorders>
              <w:top w:val="single" w:color="auto" w:sz="8" w:space="0"/>
              <w:left w:val="nil"/>
              <w:bottom w:val="single" w:color="auto" w:sz="8" w:space="0"/>
              <w:right w:val="single" w:color="auto" w:sz="8" w:space="0"/>
            </w:tcBorders>
            <w:shd w:val="clear" w:color="000000" w:fill="DDEBF7"/>
            <w:noWrap/>
            <w:vAlign w:val="bottom"/>
            <w:hideMark/>
          </w:tcPr>
          <w:p w:rsidRPr="00B05821" w:rsidR="00B05821" w:rsidP="00B05821" w:rsidRDefault="00B05821" w14:paraId="34C449F0" w14:textId="34BAFA0F">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525CA">
              <w:rPr>
                <w:rFonts w:ascii="Calibri" w:hAnsi="Calibri" w:eastAsia="Times New Roman" w:cs="Calibri"/>
                <w:color w:val="000000"/>
                <w:sz w:val="16"/>
                <w:szCs w:val="16"/>
                <w:lang w:bidi="ar-SA"/>
              </w:rPr>
              <w:t>22,710.00</w:t>
            </w:r>
          </w:p>
        </w:tc>
      </w:tr>
    </w:tbl>
    <w:p w:rsidRPr="00390D6B" w:rsidR="00B05821" w:rsidP="00390D6B" w:rsidRDefault="00B05821" w14:paraId="0AAF7243" w14:textId="77777777">
      <w:pPr>
        <w:tabs>
          <w:tab w:val="left" w:pos="720"/>
          <w:tab w:val="right" w:leader="dot" w:pos="10080"/>
        </w:tabs>
        <w:ind w:left="131"/>
        <w:rPr>
          <w:rFonts w:ascii="Times New Roman" w:hAnsi="Times New Roman"/>
          <w:sz w:val="24"/>
          <w:szCs w:val="24"/>
        </w:rPr>
      </w:pPr>
    </w:p>
    <w:p w:rsidRPr="00BD7237" w:rsidR="008E61C9" w:rsidP="00BD7237" w:rsidRDefault="001477A3" w14:paraId="07BF1CF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B05821" w:rsidP="00BD7237" w:rsidRDefault="00B05821" w14:paraId="130DDD49" w14:textId="5AE552C7">
      <w:pPr>
        <w:pStyle w:val="BodyText"/>
        <w:spacing w:before="7"/>
        <w:ind w:left="0"/>
        <w:rPr>
          <w:rFonts w:ascii="Times New Roman" w:hAnsi="Times New Roman" w:cs="Times New Roman"/>
        </w:rPr>
      </w:pPr>
      <w:bookmarkStart w:name="_GoBack" w:id="0"/>
      <w:bookmarkEnd w:id="0"/>
    </w:p>
    <w:tbl>
      <w:tblPr>
        <w:tblW w:w="10133" w:type="dxa"/>
        <w:tblLook w:val="04A0" w:firstRow="1" w:lastRow="0" w:firstColumn="1" w:lastColumn="0" w:noHBand="0" w:noVBand="1"/>
      </w:tblPr>
      <w:tblGrid>
        <w:gridCol w:w="1898"/>
        <w:gridCol w:w="774"/>
        <w:gridCol w:w="918"/>
        <w:gridCol w:w="810"/>
        <w:gridCol w:w="900"/>
        <w:gridCol w:w="990"/>
        <w:gridCol w:w="1170"/>
        <w:gridCol w:w="2673"/>
      </w:tblGrid>
      <w:tr w:rsidRPr="00B05821" w:rsidR="0060498A" w:rsidTr="0060498A" w14:paraId="42550CCB" w14:textId="77777777">
        <w:trPr>
          <w:trHeight w:val="322"/>
        </w:trPr>
        <w:tc>
          <w:tcPr>
            <w:tcW w:w="189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05821" w:rsidR="00B05821" w:rsidP="00B05821" w:rsidRDefault="00B05821" w14:paraId="15EEEAD3"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Information Collection</w:t>
            </w:r>
          </w:p>
        </w:tc>
        <w:tc>
          <w:tcPr>
            <w:tcW w:w="1692" w:type="dxa"/>
            <w:gridSpan w:val="2"/>
            <w:tcBorders>
              <w:top w:val="single" w:color="auto" w:sz="8" w:space="0"/>
              <w:left w:val="nil"/>
              <w:bottom w:val="single" w:color="auto" w:sz="8" w:space="0"/>
              <w:right w:val="single" w:color="000000" w:sz="8" w:space="0"/>
            </w:tcBorders>
            <w:shd w:val="clear" w:color="000000" w:fill="5B9BD5"/>
            <w:vAlign w:val="center"/>
            <w:hideMark/>
          </w:tcPr>
          <w:p w:rsidRPr="00B05821" w:rsidR="00B05821" w:rsidP="00B05821" w:rsidRDefault="00B05821" w14:paraId="09B36810"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Respondents</w:t>
            </w:r>
          </w:p>
        </w:tc>
        <w:tc>
          <w:tcPr>
            <w:tcW w:w="1710" w:type="dxa"/>
            <w:gridSpan w:val="2"/>
            <w:tcBorders>
              <w:top w:val="single" w:color="auto" w:sz="8" w:space="0"/>
              <w:left w:val="nil"/>
              <w:bottom w:val="single" w:color="auto" w:sz="8" w:space="0"/>
              <w:right w:val="single" w:color="000000" w:sz="8" w:space="0"/>
            </w:tcBorders>
            <w:shd w:val="clear" w:color="000000" w:fill="5B9BD5"/>
            <w:vAlign w:val="center"/>
            <w:hideMark/>
          </w:tcPr>
          <w:p w:rsidRPr="00B05821" w:rsidR="00B05821" w:rsidP="00B05821" w:rsidRDefault="00B05821" w14:paraId="42ABE542"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Responses</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B05821" w:rsidR="00B05821" w:rsidP="00B05821" w:rsidRDefault="00B05821" w14:paraId="5786FEB3"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Burden Hours</w:t>
            </w:r>
          </w:p>
        </w:tc>
        <w:tc>
          <w:tcPr>
            <w:tcW w:w="267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05821" w:rsidR="00B05821" w:rsidP="00B05821" w:rsidRDefault="00B05821" w14:paraId="70E5FE2E"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Reason for change or adjustment</w:t>
            </w:r>
          </w:p>
        </w:tc>
      </w:tr>
      <w:tr w:rsidRPr="00B05821" w:rsidR="00B05821" w:rsidTr="0060498A" w14:paraId="0DF3079F" w14:textId="77777777">
        <w:trPr>
          <w:trHeight w:val="670"/>
        </w:trPr>
        <w:tc>
          <w:tcPr>
            <w:tcW w:w="1898" w:type="dxa"/>
            <w:vMerge/>
            <w:tcBorders>
              <w:top w:val="single" w:color="auto" w:sz="8" w:space="0"/>
              <w:left w:val="single" w:color="auto" w:sz="8" w:space="0"/>
              <w:bottom w:val="single" w:color="000000" w:sz="8" w:space="0"/>
              <w:right w:val="single" w:color="auto" w:sz="8" w:space="0"/>
            </w:tcBorders>
            <w:vAlign w:val="center"/>
            <w:hideMark/>
          </w:tcPr>
          <w:p w:rsidRPr="00B05821" w:rsidR="00B05821" w:rsidP="00B05821" w:rsidRDefault="00B05821" w14:paraId="53D898BE" w14:textId="77777777">
            <w:pPr>
              <w:widowControl/>
              <w:autoSpaceDE/>
              <w:autoSpaceDN/>
              <w:rPr>
                <w:rFonts w:ascii="Calibri" w:hAnsi="Calibri" w:eastAsia="Times New Roman" w:cs="Calibri"/>
                <w:b/>
                <w:bCs/>
                <w:color w:val="000000"/>
                <w:sz w:val="16"/>
                <w:szCs w:val="16"/>
                <w:lang w:bidi="ar-SA"/>
              </w:rPr>
            </w:pPr>
          </w:p>
        </w:tc>
        <w:tc>
          <w:tcPr>
            <w:tcW w:w="774" w:type="dxa"/>
            <w:tcBorders>
              <w:top w:val="nil"/>
              <w:left w:val="nil"/>
              <w:bottom w:val="single" w:color="auto" w:sz="8" w:space="0"/>
              <w:right w:val="dashed" w:color="auto" w:sz="8" w:space="0"/>
            </w:tcBorders>
            <w:shd w:val="clear" w:color="000000" w:fill="FBE4D5"/>
            <w:vAlign w:val="center"/>
            <w:hideMark/>
          </w:tcPr>
          <w:p w:rsidRPr="00B05821" w:rsidR="00B05821" w:rsidP="00B05821" w:rsidRDefault="00B05821" w14:paraId="3768986D"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Current Renewal / Revision</w:t>
            </w:r>
          </w:p>
        </w:tc>
        <w:tc>
          <w:tcPr>
            <w:tcW w:w="918" w:type="dxa"/>
            <w:tcBorders>
              <w:top w:val="nil"/>
              <w:left w:val="nil"/>
              <w:bottom w:val="single" w:color="auto" w:sz="8" w:space="0"/>
              <w:right w:val="single" w:color="auto" w:sz="8" w:space="0"/>
            </w:tcBorders>
            <w:shd w:val="clear" w:color="000000" w:fill="FBE4D5"/>
            <w:vAlign w:val="center"/>
            <w:hideMark/>
          </w:tcPr>
          <w:p w:rsidRPr="00B05821" w:rsidR="00B05821" w:rsidP="00B05821" w:rsidRDefault="00B05821" w14:paraId="42AC5A8D"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Previous Renewal / Revision</w:t>
            </w:r>
          </w:p>
        </w:tc>
        <w:tc>
          <w:tcPr>
            <w:tcW w:w="810" w:type="dxa"/>
            <w:tcBorders>
              <w:top w:val="nil"/>
              <w:left w:val="nil"/>
              <w:bottom w:val="single" w:color="auto" w:sz="8" w:space="0"/>
              <w:right w:val="dashed" w:color="auto" w:sz="8" w:space="0"/>
            </w:tcBorders>
            <w:shd w:val="clear" w:color="000000" w:fill="FBE4D5"/>
            <w:vAlign w:val="center"/>
            <w:hideMark/>
          </w:tcPr>
          <w:p w:rsidRPr="00B05821" w:rsidR="00B05821" w:rsidP="00B05821" w:rsidRDefault="00B05821" w14:paraId="691A9B9A"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B05821" w:rsidR="00B05821" w:rsidP="00B05821" w:rsidRDefault="00B05821" w14:paraId="3CD04E9E"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B05821" w:rsidR="00B05821" w:rsidP="00B05821" w:rsidRDefault="00B05821" w14:paraId="1E64DDEA"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B05821" w:rsidR="00B05821" w:rsidP="00B05821" w:rsidRDefault="00B05821" w14:paraId="1EA21DAC"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Previous Renewal / Revision</w:t>
            </w:r>
          </w:p>
        </w:tc>
        <w:tc>
          <w:tcPr>
            <w:tcW w:w="2673" w:type="dxa"/>
            <w:vMerge/>
            <w:tcBorders>
              <w:top w:val="single" w:color="auto" w:sz="8" w:space="0"/>
              <w:left w:val="single" w:color="auto" w:sz="8" w:space="0"/>
              <w:bottom w:val="single" w:color="000000" w:sz="8" w:space="0"/>
              <w:right w:val="single" w:color="auto" w:sz="8" w:space="0"/>
            </w:tcBorders>
            <w:vAlign w:val="center"/>
            <w:hideMark/>
          </w:tcPr>
          <w:p w:rsidRPr="00B05821" w:rsidR="00B05821" w:rsidP="00B05821" w:rsidRDefault="00B05821" w14:paraId="4C5903C9" w14:textId="77777777">
            <w:pPr>
              <w:widowControl/>
              <w:autoSpaceDE/>
              <w:autoSpaceDN/>
              <w:rPr>
                <w:rFonts w:ascii="Calibri" w:hAnsi="Calibri" w:eastAsia="Times New Roman" w:cs="Calibri"/>
                <w:b/>
                <w:bCs/>
                <w:color w:val="000000"/>
                <w:sz w:val="16"/>
                <w:szCs w:val="16"/>
                <w:lang w:bidi="ar-SA"/>
              </w:rPr>
            </w:pPr>
          </w:p>
        </w:tc>
      </w:tr>
      <w:tr w:rsidRPr="00B05821" w:rsidR="00B05821" w:rsidTr="0060498A" w14:paraId="10F38431" w14:textId="77777777">
        <w:trPr>
          <w:trHeight w:val="322"/>
        </w:trPr>
        <w:tc>
          <w:tcPr>
            <w:tcW w:w="1898" w:type="dxa"/>
            <w:tcBorders>
              <w:top w:val="nil"/>
              <w:left w:val="single" w:color="auto" w:sz="8" w:space="0"/>
              <w:bottom w:val="single" w:color="auto" w:sz="8" w:space="0"/>
              <w:right w:val="single" w:color="auto" w:sz="8" w:space="0"/>
            </w:tcBorders>
            <w:shd w:val="clear" w:color="auto" w:fill="F2F2F2" w:themeFill="background1" w:themeFillShade="F2"/>
            <w:vAlign w:val="center"/>
            <w:hideMark/>
          </w:tcPr>
          <w:p w:rsidRPr="00B05821" w:rsidR="00B05821" w:rsidP="00B05821" w:rsidRDefault="00B05821" w14:paraId="3F780AD2"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roofErr w:type="spellStart"/>
            <w:r w:rsidR="00B17CBB">
              <w:rPr>
                <w:rFonts w:ascii="Calibri" w:hAnsi="Calibri" w:eastAsia="Times New Roman" w:cs="Calibri"/>
                <w:color w:val="000000"/>
                <w:sz w:val="16"/>
                <w:szCs w:val="16"/>
                <w:lang w:bidi="ar-SA"/>
              </w:rPr>
              <w:t>Groundfish</w:t>
            </w:r>
            <w:proofErr w:type="spellEnd"/>
            <w:r w:rsidR="00B17CBB">
              <w:rPr>
                <w:rFonts w:ascii="Calibri" w:hAnsi="Calibri" w:eastAsia="Times New Roman" w:cs="Calibri"/>
                <w:color w:val="000000"/>
                <w:sz w:val="16"/>
                <w:szCs w:val="16"/>
                <w:lang w:bidi="ar-SA"/>
              </w:rPr>
              <w:t xml:space="preserve"> Tagging Program – Simple Tags</w:t>
            </w:r>
          </w:p>
        </w:tc>
        <w:tc>
          <w:tcPr>
            <w:tcW w:w="774" w:type="dxa"/>
            <w:tcBorders>
              <w:top w:val="nil"/>
              <w:left w:val="nil"/>
              <w:bottom w:val="dotted" w:color="auto" w:sz="4" w:space="0"/>
              <w:right w:val="dashed" w:color="auto" w:sz="8" w:space="0"/>
            </w:tcBorders>
            <w:shd w:val="clear" w:color="auto" w:fill="F2F2F2" w:themeFill="background1" w:themeFillShade="F2"/>
            <w:vAlign w:val="center"/>
            <w:hideMark/>
          </w:tcPr>
          <w:p w:rsidRPr="00B05821" w:rsidR="00B05821" w:rsidP="00B05821" w:rsidRDefault="00B05821" w14:paraId="7B43ECA2"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w:t>
            </w:r>
          </w:p>
        </w:tc>
        <w:tc>
          <w:tcPr>
            <w:tcW w:w="918"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17CBB" w14:paraId="77D9F49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425</w:t>
            </w:r>
            <w:r w:rsidRPr="00B05821" w:rsidR="00B05821">
              <w:rPr>
                <w:rFonts w:ascii="Calibri" w:hAnsi="Calibri" w:eastAsia="Times New Roman" w:cs="Calibri"/>
                <w:color w:val="000000"/>
                <w:sz w:val="16"/>
                <w:szCs w:val="16"/>
                <w:lang w:bidi="ar-SA"/>
              </w:rPr>
              <w:t> </w:t>
            </w:r>
          </w:p>
        </w:tc>
        <w:tc>
          <w:tcPr>
            <w:tcW w:w="810" w:type="dxa"/>
            <w:tcBorders>
              <w:top w:val="nil"/>
              <w:left w:val="nil"/>
              <w:bottom w:val="dotted" w:color="auto" w:sz="4" w:space="0"/>
              <w:right w:val="dashed" w:color="auto" w:sz="8" w:space="0"/>
            </w:tcBorders>
            <w:shd w:val="clear" w:color="auto" w:fill="F2F2F2" w:themeFill="background1" w:themeFillShade="F2"/>
            <w:vAlign w:val="center"/>
            <w:hideMark/>
          </w:tcPr>
          <w:p w:rsidRPr="00B05821" w:rsidR="00B05821" w:rsidP="00B05821" w:rsidRDefault="00B17CBB" w14:paraId="7F893AD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05821">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17CBB" w14:paraId="4EA433C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1000</w:t>
            </w:r>
            <w:r w:rsidRPr="00B05821" w:rsidR="00B05821">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F2F2F2" w:themeFill="background1" w:themeFillShade="F2"/>
            <w:vAlign w:val="center"/>
            <w:hideMark/>
          </w:tcPr>
          <w:p w:rsidRPr="00B05821" w:rsidR="00B05821" w:rsidP="00B05821" w:rsidRDefault="00B17CBB" w14:paraId="0C63777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05821">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05821" w14:paraId="5EEAFB14"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83</w:t>
            </w:r>
          </w:p>
        </w:tc>
        <w:tc>
          <w:tcPr>
            <w:tcW w:w="2673"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05821" w14:paraId="77AF08DA"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Previous IC being split out into two new ICs (</w:t>
            </w:r>
            <w:proofErr w:type="spellStart"/>
            <w:r w:rsidR="00B17CBB">
              <w:rPr>
                <w:rFonts w:ascii="Calibri" w:hAnsi="Calibri" w:eastAsia="Times New Roman" w:cs="Calibri"/>
                <w:color w:val="000000"/>
                <w:sz w:val="16"/>
                <w:szCs w:val="16"/>
                <w:lang w:bidi="ar-SA"/>
              </w:rPr>
              <w:t>groundfish</w:t>
            </w:r>
            <w:proofErr w:type="spellEnd"/>
            <w:r w:rsidR="00B17CBB">
              <w:rPr>
                <w:rFonts w:ascii="Calibri" w:hAnsi="Calibri" w:eastAsia="Times New Roman" w:cs="Calibri"/>
                <w:color w:val="000000"/>
                <w:sz w:val="16"/>
                <w:szCs w:val="16"/>
                <w:lang w:bidi="ar-SA"/>
              </w:rPr>
              <w:t>/sablefish) in this renewal for increase administrative transparency</w:t>
            </w:r>
          </w:p>
        </w:tc>
      </w:tr>
      <w:tr w:rsidRPr="00B05821" w:rsidR="00B05821" w:rsidTr="0060498A" w14:paraId="0594BBB3" w14:textId="77777777">
        <w:trPr>
          <w:trHeight w:val="322"/>
        </w:trPr>
        <w:tc>
          <w:tcPr>
            <w:tcW w:w="1898" w:type="dxa"/>
            <w:tcBorders>
              <w:top w:val="nil"/>
              <w:left w:val="single" w:color="auto" w:sz="8" w:space="0"/>
              <w:bottom w:val="single" w:color="auto" w:sz="8" w:space="0"/>
              <w:right w:val="single" w:color="auto" w:sz="8" w:space="0"/>
            </w:tcBorders>
            <w:shd w:val="clear" w:color="auto" w:fill="auto"/>
            <w:vAlign w:val="center"/>
            <w:hideMark/>
          </w:tcPr>
          <w:p w:rsidRPr="00B05821" w:rsidR="00B05821" w:rsidP="00B05821" w:rsidRDefault="00B05821" w14:paraId="6922FBFA"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Tagged Sablefish Form</w:t>
            </w:r>
          </w:p>
        </w:tc>
        <w:tc>
          <w:tcPr>
            <w:tcW w:w="774"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9A10B3" w14:paraId="7E299E27" w14:textId="19BB129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275</w:t>
            </w:r>
            <w:r w:rsidRPr="00B05821" w:rsidR="00B05821">
              <w:rPr>
                <w:rFonts w:ascii="Calibri" w:hAnsi="Calibri" w:eastAsia="Times New Roman" w:cs="Calibri"/>
                <w:color w:val="000000"/>
                <w:sz w:val="16"/>
                <w:szCs w:val="16"/>
                <w:lang w:bidi="ar-SA"/>
              </w:rPr>
              <w:t> </w:t>
            </w:r>
          </w:p>
        </w:tc>
        <w:tc>
          <w:tcPr>
            <w:tcW w:w="918"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1DA5336F"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0498A">
              <w:rPr>
                <w:rFonts w:ascii="Calibri" w:hAnsi="Calibri" w:eastAsia="Times New Roman" w:cs="Calibri"/>
                <w:color w:val="000000"/>
                <w:sz w:val="16"/>
                <w:szCs w:val="16"/>
                <w:lang w:bidi="ar-SA"/>
              </w:rPr>
              <w:t>NA</w:t>
            </w:r>
          </w:p>
        </w:tc>
        <w:tc>
          <w:tcPr>
            <w:tcW w:w="81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9A10B3" w14:paraId="65B2E723" w14:textId="1C10102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550</w:t>
            </w:r>
            <w:r w:rsidRPr="00B05821" w:rsidR="00B05821">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60498A" w14:paraId="1B5A244D"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05821">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B05821" w14:paraId="6C2F57BD" w14:textId="4E6688C2">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46</w:t>
            </w:r>
          </w:p>
        </w:tc>
        <w:tc>
          <w:tcPr>
            <w:tcW w:w="117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60498A" w14:paraId="6F45EF95"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2673"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6905262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60498A" w14:paraId="22345814" w14:textId="77777777">
        <w:trPr>
          <w:trHeight w:val="322"/>
        </w:trPr>
        <w:tc>
          <w:tcPr>
            <w:tcW w:w="1898" w:type="dxa"/>
            <w:tcBorders>
              <w:top w:val="nil"/>
              <w:left w:val="single" w:color="auto" w:sz="8" w:space="0"/>
              <w:bottom w:val="single" w:color="auto" w:sz="8" w:space="0"/>
              <w:right w:val="single" w:color="auto" w:sz="8" w:space="0"/>
            </w:tcBorders>
            <w:shd w:val="clear" w:color="auto" w:fill="auto"/>
            <w:vAlign w:val="center"/>
            <w:hideMark/>
          </w:tcPr>
          <w:p w:rsidRPr="00B05821" w:rsidR="00B05821" w:rsidP="00B05821" w:rsidRDefault="00B05821" w14:paraId="35F1713C"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 xml:space="preserve">Tagged </w:t>
            </w:r>
            <w:proofErr w:type="spellStart"/>
            <w:r w:rsidR="00B17CBB">
              <w:rPr>
                <w:rFonts w:ascii="Calibri" w:hAnsi="Calibri" w:eastAsia="Times New Roman" w:cs="Calibri"/>
                <w:color w:val="000000"/>
                <w:sz w:val="16"/>
                <w:szCs w:val="16"/>
                <w:lang w:bidi="ar-SA"/>
              </w:rPr>
              <w:t>Groundfish</w:t>
            </w:r>
            <w:proofErr w:type="spellEnd"/>
            <w:r w:rsidR="00B17CBB">
              <w:rPr>
                <w:rFonts w:ascii="Calibri" w:hAnsi="Calibri" w:eastAsia="Times New Roman" w:cs="Calibri"/>
                <w:color w:val="000000"/>
                <w:sz w:val="16"/>
                <w:szCs w:val="16"/>
                <w:lang w:bidi="ar-SA"/>
              </w:rPr>
              <w:t xml:space="preserve"> Form</w:t>
            </w:r>
          </w:p>
        </w:tc>
        <w:tc>
          <w:tcPr>
            <w:tcW w:w="774"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9A10B3" w14:paraId="0A91CEE9" w14:textId="3D479F0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B05821" w:rsidR="00B05821">
              <w:rPr>
                <w:rFonts w:ascii="Calibri" w:hAnsi="Calibri" w:eastAsia="Times New Roman" w:cs="Calibri"/>
                <w:color w:val="000000"/>
                <w:sz w:val="16"/>
                <w:szCs w:val="16"/>
                <w:lang w:bidi="ar-SA"/>
              </w:rPr>
              <w:t> </w:t>
            </w:r>
          </w:p>
        </w:tc>
        <w:tc>
          <w:tcPr>
            <w:tcW w:w="918"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60498A" w14:paraId="16BB7865"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05821">
              <w:rPr>
                <w:rFonts w:ascii="Calibri" w:hAnsi="Calibri" w:eastAsia="Times New Roman" w:cs="Calibri"/>
                <w:color w:val="000000"/>
                <w:sz w:val="16"/>
                <w:szCs w:val="16"/>
                <w:lang w:bidi="ar-SA"/>
              </w:rPr>
              <w:t> </w:t>
            </w:r>
          </w:p>
        </w:tc>
        <w:tc>
          <w:tcPr>
            <w:tcW w:w="81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B05821" w14:paraId="31067390" w14:textId="7A7D1259">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450</w:t>
            </w:r>
          </w:p>
        </w:tc>
        <w:tc>
          <w:tcPr>
            <w:tcW w:w="90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60498A" w14:paraId="5F8C2FFB"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05821">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B05821" w14:paraId="201993C4" w14:textId="6C05106E">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38</w:t>
            </w:r>
          </w:p>
        </w:tc>
        <w:tc>
          <w:tcPr>
            <w:tcW w:w="117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60498A" w14:paraId="1046890B"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05821">
              <w:rPr>
                <w:rFonts w:ascii="Calibri" w:hAnsi="Calibri" w:eastAsia="Times New Roman" w:cs="Calibri"/>
                <w:color w:val="000000"/>
                <w:sz w:val="16"/>
                <w:szCs w:val="16"/>
                <w:lang w:bidi="ar-SA"/>
              </w:rPr>
              <w:t> </w:t>
            </w:r>
          </w:p>
        </w:tc>
        <w:tc>
          <w:tcPr>
            <w:tcW w:w="2673"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7D041F5E" w14:textId="77777777">
            <w:pPr>
              <w:widowControl/>
              <w:autoSpaceDE/>
              <w:autoSpaceDN/>
              <w:ind w:firstLine="160" w:firstLineChars="100"/>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05821" w:rsidTr="0060498A" w14:paraId="72A0F70B" w14:textId="77777777">
        <w:trPr>
          <w:trHeight w:val="322"/>
        </w:trPr>
        <w:tc>
          <w:tcPr>
            <w:tcW w:w="1898" w:type="dxa"/>
            <w:tcBorders>
              <w:top w:val="nil"/>
              <w:left w:val="single" w:color="auto" w:sz="8" w:space="0"/>
              <w:bottom w:val="single" w:color="auto" w:sz="8" w:space="0"/>
              <w:right w:val="single" w:color="auto" w:sz="8" w:space="0"/>
            </w:tcBorders>
            <w:shd w:val="clear" w:color="auto" w:fill="auto"/>
            <w:vAlign w:val="center"/>
            <w:hideMark/>
          </w:tcPr>
          <w:p w:rsidRPr="00B05821" w:rsidR="00B05821" w:rsidP="00B05821" w:rsidRDefault="0060498A" w14:paraId="4D23C5B7"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Electronic Archival Tag Return</w:t>
            </w:r>
          </w:p>
        </w:tc>
        <w:tc>
          <w:tcPr>
            <w:tcW w:w="774"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9A10B3" w14:paraId="7064DE23" w14:textId="07170D3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B05821" w:rsidR="00B05821">
              <w:rPr>
                <w:rFonts w:ascii="Calibri" w:hAnsi="Calibri" w:eastAsia="Times New Roman" w:cs="Calibri"/>
                <w:color w:val="000000"/>
                <w:sz w:val="16"/>
                <w:szCs w:val="16"/>
                <w:lang w:bidi="ar-SA"/>
              </w:rPr>
              <w:t> </w:t>
            </w:r>
          </w:p>
        </w:tc>
        <w:tc>
          <w:tcPr>
            <w:tcW w:w="918"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68AACAB1"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15</w:t>
            </w:r>
          </w:p>
        </w:tc>
        <w:tc>
          <w:tcPr>
            <w:tcW w:w="81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B05821" w14:paraId="7B2ECA61" w14:textId="3BA10E29">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15</w:t>
            </w:r>
          </w:p>
        </w:tc>
        <w:tc>
          <w:tcPr>
            <w:tcW w:w="90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4D16E286"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15</w:t>
            </w:r>
          </w:p>
        </w:tc>
        <w:tc>
          <w:tcPr>
            <w:tcW w:w="990" w:type="dxa"/>
            <w:tcBorders>
              <w:top w:val="nil"/>
              <w:left w:val="nil"/>
              <w:bottom w:val="dotted" w:color="auto" w:sz="4" w:space="0"/>
              <w:right w:val="dashed" w:color="auto" w:sz="8" w:space="0"/>
            </w:tcBorders>
            <w:shd w:val="clear" w:color="auto" w:fill="auto"/>
            <w:vAlign w:val="center"/>
            <w:hideMark/>
          </w:tcPr>
          <w:p w:rsidRPr="00B05821" w:rsidR="00B05821" w:rsidP="00B05821" w:rsidRDefault="00B05821" w14:paraId="01FD0F1E" w14:textId="19544426">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9A10B3">
              <w:rPr>
                <w:rFonts w:ascii="Calibri" w:hAnsi="Calibri" w:eastAsia="Times New Roman" w:cs="Calibri"/>
                <w:color w:val="000000"/>
                <w:sz w:val="16"/>
                <w:szCs w:val="16"/>
                <w:lang w:bidi="ar-SA"/>
              </w:rPr>
              <w:t>5</w:t>
            </w:r>
          </w:p>
        </w:tc>
        <w:tc>
          <w:tcPr>
            <w:tcW w:w="1170"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17CBB" w14:paraId="64399C9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B05821" w:rsidR="00B05821">
              <w:rPr>
                <w:rFonts w:ascii="Calibri" w:hAnsi="Calibri" w:eastAsia="Times New Roman" w:cs="Calibri"/>
                <w:color w:val="000000"/>
                <w:sz w:val="16"/>
                <w:szCs w:val="16"/>
                <w:lang w:bidi="ar-SA"/>
              </w:rPr>
              <w:t> </w:t>
            </w:r>
          </w:p>
        </w:tc>
        <w:tc>
          <w:tcPr>
            <w:tcW w:w="2673" w:type="dxa"/>
            <w:tcBorders>
              <w:top w:val="nil"/>
              <w:left w:val="nil"/>
              <w:bottom w:val="dotted" w:color="auto" w:sz="4" w:space="0"/>
              <w:right w:val="single" w:color="auto" w:sz="8" w:space="0"/>
            </w:tcBorders>
            <w:shd w:val="clear" w:color="auto" w:fill="auto"/>
            <w:vAlign w:val="center"/>
            <w:hideMark/>
          </w:tcPr>
          <w:p w:rsidRPr="00B05821" w:rsidR="00B05821" w:rsidP="00B05821" w:rsidRDefault="00B05821" w14:paraId="1139D4AF" w14:textId="77777777">
            <w:pPr>
              <w:widowControl/>
              <w:autoSpaceDE/>
              <w:autoSpaceDN/>
              <w:ind w:firstLine="160" w:firstLineChars="100"/>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60498A">
              <w:rPr>
                <w:rFonts w:ascii="Calibri" w:hAnsi="Calibri" w:eastAsia="Times New Roman" w:cs="Calibri"/>
                <w:color w:val="000000"/>
                <w:sz w:val="16"/>
                <w:szCs w:val="16"/>
                <w:lang w:bidi="ar-SA"/>
              </w:rPr>
              <w:t>Change of IC title from “</w:t>
            </w:r>
            <w:proofErr w:type="spellStart"/>
            <w:r w:rsidR="0060498A">
              <w:rPr>
                <w:rFonts w:ascii="Calibri" w:hAnsi="Calibri" w:eastAsia="Times New Roman" w:cs="Calibri"/>
                <w:color w:val="000000"/>
                <w:sz w:val="16"/>
                <w:szCs w:val="16"/>
                <w:lang w:bidi="ar-SA"/>
              </w:rPr>
              <w:t>Groundfish</w:t>
            </w:r>
            <w:proofErr w:type="spellEnd"/>
            <w:r w:rsidR="0060498A">
              <w:rPr>
                <w:rFonts w:ascii="Calibri" w:hAnsi="Calibri" w:eastAsia="Times New Roman" w:cs="Calibri"/>
                <w:color w:val="000000"/>
                <w:sz w:val="16"/>
                <w:szCs w:val="16"/>
                <w:lang w:bidi="ar-SA"/>
              </w:rPr>
              <w:t xml:space="preserve"> Tagging Program – Archival Tags” to “Electronic Archival Tag Return”</w:t>
            </w:r>
          </w:p>
        </w:tc>
      </w:tr>
      <w:tr w:rsidRPr="00B05821" w:rsidR="00B05821" w:rsidTr="0060498A" w14:paraId="235D1778" w14:textId="77777777">
        <w:trPr>
          <w:trHeight w:val="499"/>
        </w:trPr>
        <w:tc>
          <w:tcPr>
            <w:tcW w:w="1898" w:type="dxa"/>
            <w:tcBorders>
              <w:top w:val="nil"/>
              <w:left w:val="single" w:color="auto" w:sz="8" w:space="0"/>
              <w:bottom w:val="nil"/>
              <w:right w:val="single" w:color="auto" w:sz="8" w:space="0"/>
            </w:tcBorders>
            <w:shd w:val="clear" w:color="000000" w:fill="BDD6EE"/>
            <w:vAlign w:val="center"/>
            <w:hideMark/>
          </w:tcPr>
          <w:p w:rsidRPr="00B05821" w:rsidR="00B05821" w:rsidP="00B05821" w:rsidRDefault="00B05821" w14:paraId="043F6C76"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 for Collection</w:t>
            </w:r>
          </w:p>
        </w:tc>
        <w:tc>
          <w:tcPr>
            <w:tcW w:w="774" w:type="dxa"/>
            <w:tcBorders>
              <w:top w:val="nil"/>
              <w:left w:val="nil"/>
              <w:bottom w:val="nil"/>
              <w:right w:val="dashed" w:color="auto" w:sz="8" w:space="0"/>
            </w:tcBorders>
            <w:shd w:val="clear" w:color="000000" w:fill="BDD6EE"/>
            <w:vAlign w:val="center"/>
            <w:hideMark/>
          </w:tcPr>
          <w:p w:rsidRPr="00B05821" w:rsidR="00B05821" w:rsidP="00B05821" w:rsidRDefault="00B05821" w14:paraId="1030AAEF" w14:textId="7F9F69DA">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r w:rsidR="00263691">
              <w:rPr>
                <w:rFonts w:ascii="Calibri" w:hAnsi="Calibri" w:eastAsia="Times New Roman" w:cs="Calibri"/>
                <w:b/>
                <w:bCs/>
                <w:color w:val="000000"/>
                <w:sz w:val="16"/>
                <w:szCs w:val="16"/>
                <w:lang w:bidi="ar-SA"/>
              </w:rPr>
              <w:t>440</w:t>
            </w:r>
          </w:p>
        </w:tc>
        <w:tc>
          <w:tcPr>
            <w:tcW w:w="918" w:type="dxa"/>
            <w:tcBorders>
              <w:top w:val="nil"/>
              <w:left w:val="nil"/>
              <w:bottom w:val="nil"/>
              <w:right w:val="single" w:color="auto" w:sz="8" w:space="0"/>
            </w:tcBorders>
            <w:shd w:val="clear" w:color="000000" w:fill="BDD6EE"/>
            <w:vAlign w:val="center"/>
            <w:hideMark/>
          </w:tcPr>
          <w:p w:rsidRPr="00B05821" w:rsidR="00B05821" w:rsidP="00B05821" w:rsidRDefault="00263691" w14:paraId="361A51EA" w14:textId="623ECCC0">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440</w:t>
            </w:r>
            <w:r w:rsidRPr="00B05821" w:rsidR="00B05821">
              <w:rPr>
                <w:rFonts w:ascii="Calibri" w:hAnsi="Calibri" w:eastAsia="Times New Roman" w:cs="Calibri"/>
                <w:b/>
                <w:bCs/>
                <w:color w:val="000000"/>
                <w:sz w:val="16"/>
                <w:szCs w:val="16"/>
                <w:lang w:bidi="ar-SA"/>
              </w:rPr>
              <w:t> </w:t>
            </w:r>
          </w:p>
        </w:tc>
        <w:tc>
          <w:tcPr>
            <w:tcW w:w="810" w:type="dxa"/>
            <w:tcBorders>
              <w:top w:val="nil"/>
              <w:left w:val="nil"/>
              <w:bottom w:val="nil"/>
              <w:right w:val="dashed" w:color="auto" w:sz="8" w:space="0"/>
            </w:tcBorders>
            <w:shd w:val="clear" w:color="000000" w:fill="BDD6EE"/>
            <w:vAlign w:val="center"/>
            <w:hideMark/>
          </w:tcPr>
          <w:p w:rsidRPr="00B05821" w:rsidR="00B05821" w:rsidP="00B05821" w:rsidRDefault="00263691" w14:paraId="2AC5559A" w14:textId="18C5795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1,015</w:t>
            </w:r>
            <w:r w:rsidRPr="00B05821" w:rsidR="00B05821">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B05821" w:rsidR="00B05821" w:rsidP="00B05821" w:rsidRDefault="0060498A" w14:paraId="6F71B562"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1,015</w:t>
            </w:r>
            <w:r w:rsidRPr="00B05821" w:rsidR="00B05821">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B05821" w:rsidR="00B05821" w:rsidP="00B05821" w:rsidRDefault="00B05821" w14:paraId="78485288" w14:textId="1E0284B2">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r w:rsidR="00263691">
              <w:rPr>
                <w:rFonts w:ascii="Calibri" w:hAnsi="Calibri" w:eastAsia="Times New Roman" w:cs="Calibri"/>
                <w:b/>
                <w:bCs/>
                <w:color w:val="000000"/>
                <w:sz w:val="16"/>
                <w:szCs w:val="16"/>
                <w:lang w:bidi="ar-SA"/>
              </w:rPr>
              <w:t>89</w:t>
            </w:r>
          </w:p>
        </w:tc>
        <w:tc>
          <w:tcPr>
            <w:tcW w:w="1170" w:type="dxa"/>
            <w:tcBorders>
              <w:top w:val="nil"/>
              <w:left w:val="nil"/>
              <w:bottom w:val="nil"/>
              <w:right w:val="single" w:color="auto" w:sz="8" w:space="0"/>
            </w:tcBorders>
            <w:shd w:val="clear" w:color="000000" w:fill="BDD6EE"/>
            <w:vAlign w:val="center"/>
            <w:hideMark/>
          </w:tcPr>
          <w:p w:rsidRPr="00B05821" w:rsidR="00B05821" w:rsidP="00B05821" w:rsidRDefault="00B05821" w14:paraId="099314D6"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r w:rsidR="0060498A">
              <w:rPr>
                <w:rFonts w:ascii="Calibri" w:hAnsi="Calibri" w:eastAsia="Times New Roman" w:cs="Calibri"/>
                <w:b/>
                <w:bCs/>
                <w:color w:val="000000"/>
                <w:sz w:val="16"/>
                <w:szCs w:val="16"/>
                <w:lang w:bidi="ar-SA"/>
              </w:rPr>
              <w:t>88</w:t>
            </w:r>
          </w:p>
        </w:tc>
        <w:tc>
          <w:tcPr>
            <w:tcW w:w="2673" w:type="dxa"/>
            <w:tcBorders>
              <w:top w:val="nil"/>
              <w:left w:val="nil"/>
              <w:bottom w:val="nil"/>
              <w:right w:val="single" w:color="auto" w:sz="8" w:space="0"/>
            </w:tcBorders>
            <w:shd w:val="clear" w:color="000000" w:fill="000000"/>
            <w:vAlign w:val="center"/>
            <w:hideMark/>
          </w:tcPr>
          <w:p w:rsidRPr="00B05821" w:rsidR="00B05821" w:rsidP="00B05821" w:rsidRDefault="00B05821" w14:paraId="6A92F8BB"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p>
        </w:tc>
      </w:tr>
      <w:tr w:rsidRPr="00B05821" w:rsidR="0060498A" w:rsidTr="0060498A" w14:paraId="0A5F9BEC" w14:textId="77777777">
        <w:trPr>
          <w:trHeight w:val="322"/>
        </w:trPr>
        <w:tc>
          <w:tcPr>
            <w:tcW w:w="1898" w:type="dxa"/>
            <w:tcBorders>
              <w:top w:val="single" w:color="auto" w:sz="8" w:space="0"/>
              <w:left w:val="single" w:color="auto" w:sz="8" w:space="0"/>
              <w:bottom w:val="single" w:color="auto" w:sz="8" w:space="0"/>
              <w:right w:val="nil"/>
            </w:tcBorders>
            <w:shd w:val="clear" w:color="000000" w:fill="FCE4D6"/>
            <w:noWrap/>
            <w:vAlign w:val="bottom"/>
            <w:hideMark/>
          </w:tcPr>
          <w:p w:rsidRPr="00B05821" w:rsidR="00B05821" w:rsidP="00B05821" w:rsidRDefault="00B05821" w14:paraId="455A21E6"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Difference</w:t>
            </w:r>
          </w:p>
        </w:tc>
        <w:tc>
          <w:tcPr>
            <w:tcW w:w="169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5821" w:rsidR="00B05821" w:rsidP="00B05821" w:rsidRDefault="00B05821" w14:paraId="2DD33D16" w14:textId="06D1AF74">
            <w:pPr>
              <w:widowControl/>
              <w:autoSpaceDE/>
              <w:autoSpaceDN/>
              <w:jc w:val="center"/>
              <w:rPr>
                <w:rFonts w:ascii="Calibri" w:hAnsi="Calibri" w:eastAsia="Times New Roman" w:cs="Calibri"/>
                <w:color w:val="000000"/>
                <w:lang w:bidi="ar-SA"/>
              </w:rPr>
            </w:pPr>
            <w:r w:rsidRPr="00B05821">
              <w:rPr>
                <w:rFonts w:ascii="Calibri" w:hAnsi="Calibri" w:eastAsia="Times New Roman" w:cs="Calibri"/>
                <w:color w:val="000000"/>
                <w:lang w:bidi="ar-SA"/>
              </w:rPr>
              <w:t> </w:t>
            </w:r>
            <w:r w:rsidR="00B66B44">
              <w:rPr>
                <w:rFonts w:ascii="Calibri" w:hAnsi="Calibri" w:eastAsia="Times New Roman" w:cs="Calibri"/>
                <w:color w:val="000000"/>
                <w:lang w:bidi="ar-SA"/>
              </w:rPr>
              <w:t>0</w:t>
            </w:r>
          </w:p>
        </w:tc>
        <w:tc>
          <w:tcPr>
            <w:tcW w:w="171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B05821" w:rsidR="00B05821" w:rsidP="00B05821" w:rsidRDefault="00B66B44" w14:paraId="1BDB483D" w14:textId="35449FC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0</w:t>
            </w:r>
            <w:r w:rsidRPr="00B05821" w:rsidR="00B05821">
              <w:rPr>
                <w:rFonts w:ascii="Calibri" w:hAnsi="Calibri" w:eastAsia="Times New Roman" w:cs="Calibri"/>
                <w:color w:val="000000"/>
                <w:lang w:bidi="ar-SA"/>
              </w:rPr>
              <w:t> </w:t>
            </w:r>
          </w:p>
        </w:tc>
        <w:tc>
          <w:tcPr>
            <w:tcW w:w="216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B05821" w:rsidR="00B05821" w:rsidP="00B05821" w:rsidRDefault="00B05821" w14:paraId="466F1E6E" w14:textId="24B25655">
            <w:pPr>
              <w:widowControl/>
              <w:autoSpaceDE/>
              <w:autoSpaceDN/>
              <w:jc w:val="center"/>
              <w:rPr>
                <w:rFonts w:ascii="Calibri" w:hAnsi="Calibri" w:eastAsia="Times New Roman" w:cs="Calibri"/>
                <w:color w:val="000000"/>
                <w:lang w:bidi="ar-SA"/>
              </w:rPr>
            </w:pPr>
            <w:r w:rsidRPr="00B05821">
              <w:rPr>
                <w:rFonts w:ascii="Calibri" w:hAnsi="Calibri" w:eastAsia="Times New Roman" w:cs="Calibri"/>
                <w:color w:val="000000"/>
                <w:lang w:bidi="ar-SA"/>
              </w:rPr>
              <w:t> </w:t>
            </w:r>
            <w:r w:rsidR="00B66B44">
              <w:rPr>
                <w:rFonts w:ascii="Calibri" w:hAnsi="Calibri" w:eastAsia="Times New Roman" w:cs="Calibri"/>
                <w:color w:val="000000"/>
                <w:lang w:bidi="ar-SA"/>
              </w:rPr>
              <w:t>1</w:t>
            </w:r>
          </w:p>
        </w:tc>
        <w:tc>
          <w:tcPr>
            <w:tcW w:w="2673" w:type="dxa"/>
            <w:tcBorders>
              <w:top w:val="single" w:color="auto" w:sz="8" w:space="0"/>
              <w:left w:val="nil"/>
              <w:bottom w:val="single" w:color="auto" w:sz="8" w:space="0"/>
              <w:right w:val="single" w:color="auto" w:sz="8" w:space="0"/>
            </w:tcBorders>
            <w:shd w:val="clear" w:color="000000" w:fill="000000"/>
            <w:noWrap/>
            <w:vAlign w:val="bottom"/>
            <w:hideMark/>
          </w:tcPr>
          <w:p w:rsidRPr="00B05821" w:rsidR="00B05821" w:rsidP="00B05821" w:rsidRDefault="00B05821" w14:paraId="2FEF4CBC" w14:textId="77777777">
            <w:pPr>
              <w:widowControl/>
              <w:autoSpaceDE/>
              <w:autoSpaceDN/>
              <w:rPr>
                <w:rFonts w:ascii="Calibri" w:hAnsi="Calibri" w:eastAsia="Times New Roman" w:cs="Calibri"/>
                <w:color w:val="000000"/>
                <w:lang w:bidi="ar-SA"/>
              </w:rPr>
            </w:pPr>
            <w:r w:rsidRPr="00B05821">
              <w:rPr>
                <w:rFonts w:ascii="Calibri" w:hAnsi="Calibri" w:eastAsia="Times New Roman" w:cs="Calibri"/>
                <w:color w:val="000000"/>
                <w:lang w:bidi="ar-SA"/>
              </w:rPr>
              <w:t> </w:t>
            </w:r>
          </w:p>
        </w:tc>
      </w:tr>
    </w:tbl>
    <w:p w:rsidRPr="00390D6B" w:rsidR="00B05821" w:rsidP="00BD7237" w:rsidRDefault="00B05821" w14:paraId="10ED5520" w14:textId="77777777">
      <w:pPr>
        <w:pStyle w:val="BodyText"/>
        <w:spacing w:before="7"/>
        <w:ind w:left="0"/>
        <w:rPr>
          <w:rFonts w:ascii="Times New Roman" w:hAnsi="Times New Roman" w:cs="Times New Roman"/>
        </w:rPr>
      </w:pPr>
    </w:p>
    <w:tbl>
      <w:tblPr>
        <w:tblW w:w="10059" w:type="dxa"/>
        <w:tblLook w:val="04A0" w:firstRow="1" w:lastRow="0" w:firstColumn="1" w:lastColumn="0" w:noHBand="0" w:noVBand="1"/>
      </w:tblPr>
      <w:tblGrid>
        <w:gridCol w:w="2431"/>
        <w:gridCol w:w="1246"/>
        <w:gridCol w:w="1276"/>
        <w:gridCol w:w="1580"/>
        <w:gridCol w:w="1429"/>
        <w:gridCol w:w="2097"/>
      </w:tblGrid>
      <w:tr w:rsidRPr="00B05821" w:rsidR="00B05821" w:rsidTr="00B05821" w14:paraId="09A44A9C" w14:textId="77777777">
        <w:trPr>
          <w:trHeight w:val="290"/>
        </w:trPr>
        <w:tc>
          <w:tcPr>
            <w:tcW w:w="243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05821" w:rsidR="00B05821" w:rsidP="00B05821" w:rsidRDefault="00B05821" w14:paraId="7BE75C6D"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Information Collection</w:t>
            </w:r>
          </w:p>
        </w:tc>
        <w:tc>
          <w:tcPr>
            <w:tcW w:w="2522" w:type="dxa"/>
            <w:gridSpan w:val="2"/>
            <w:tcBorders>
              <w:top w:val="single" w:color="auto" w:sz="8" w:space="0"/>
              <w:left w:val="nil"/>
              <w:bottom w:val="single" w:color="auto" w:sz="8" w:space="0"/>
              <w:right w:val="single" w:color="000000" w:sz="8" w:space="0"/>
            </w:tcBorders>
            <w:shd w:val="clear" w:color="000000" w:fill="5B9BD5"/>
            <w:vAlign w:val="center"/>
            <w:hideMark/>
          </w:tcPr>
          <w:p w:rsidRPr="00B05821" w:rsidR="00B05821" w:rsidP="00B05821" w:rsidRDefault="00B05821" w14:paraId="75D1BD73"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Labor Costs</w:t>
            </w:r>
          </w:p>
        </w:tc>
        <w:tc>
          <w:tcPr>
            <w:tcW w:w="3009" w:type="dxa"/>
            <w:gridSpan w:val="2"/>
            <w:tcBorders>
              <w:top w:val="single" w:color="auto" w:sz="8" w:space="0"/>
              <w:left w:val="nil"/>
              <w:bottom w:val="single" w:color="auto" w:sz="8" w:space="0"/>
              <w:right w:val="single" w:color="000000" w:sz="8" w:space="0"/>
            </w:tcBorders>
            <w:shd w:val="clear" w:color="000000" w:fill="5B9BD5"/>
            <w:vAlign w:val="center"/>
            <w:hideMark/>
          </w:tcPr>
          <w:p w:rsidRPr="00B05821" w:rsidR="00B05821" w:rsidP="00B05821" w:rsidRDefault="00B05821" w14:paraId="0A5DEEB9"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Miscellaneous Costs</w:t>
            </w:r>
          </w:p>
        </w:tc>
        <w:tc>
          <w:tcPr>
            <w:tcW w:w="209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B05821" w:rsidR="00B05821" w:rsidP="00B05821" w:rsidRDefault="00B05821" w14:paraId="509BF21E"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Reason for change or adjustment</w:t>
            </w:r>
          </w:p>
        </w:tc>
      </w:tr>
      <w:tr w:rsidRPr="00B05821" w:rsidR="00B05821" w:rsidTr="00B17CBB" w14:paraId="4F319593" w14:textId="77777777">
        <w:trPr>
          <w:trHeight w:val="604"/>
        </w:trPr>
        <w:tc>
          <w:tcPr>
            <w:tcW w:w="2431" w:type="dxa"/>
            <w:vMerge/>
            <w:tcBorders>
              <w:top w:val="single" w:color="auto" w:sz="8" w:space="0"/>
              <w:left w:val="single" w:color="auto" w:sz="8" w:space="0"/>
              <w:bottom w:val="single" w:color="000000" w:sz="8" w:space="0"/>
              <w:right w:val="single" w:color="auto" w:sz="8" w:space="0"/>
            </w:tcBorders>
            <w:vAlign w:val="center"/>
            <w:hideMark/>
          </w:tcPr>
          <w:p w:rsidRPr="00B05821" w:rsidR="00B05821" w:rsidP="00B05821" w:rsidRDefault="00B05821" w14:paraId="7ECEF0C0" w14:textId="77777777">
            <w:pPr>
              <w:widowControl/>
              <w:autoSpaceDE/>
              <w:autoSpaceDN/>
              <w:rPr>
                <w:rFonts w:ascii="Calibri" w:hAnsi="Calibri" w:eastAsia="Times New Roman" w:cs="Calibri"/>
                <w:b/>
                <w:bCs/>
                <w:color w:val="000000"/>
                <w:sz w:val="16"/>
                <w:szCs w:val="16"/>
                <w:lang w:bidi="ar-SA"/>
              </w:rPr>
            </w:pPr>
          </w:p>
        </w:tc>
        <w:tc>
          <w:tcPr>
            <w:tcW w:w="1246" w:type="dxa"/>
            <w:tcBorders>
              <w:top w:val="nil"/>
              <w:left w:val="nil"/>
              <w:bottom w:val="single" w:color="auto" w:sz="8" w:space="0"/>
              <w:right w:val="dashed" w:color="auto" w:sz="8" w:space="0"/>
            </w:tcBorders>
            <w:shd w:val="clear" w:color="000000" w:fill="FBE4D5"/>
            <w:vAlign w:val="center"/>
            <w:hideMark/>
          </w:tcPr>
          <w:p w:rsidRPr="00B05821" w:rsidR="00B05821" w:rsidP="00B05821" w:rsidRDefault="00B05821" w14:paraId="63F6EAC9"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Current</w:t>
            </w:r>
          </w:p>
        </w:tc>
        <w:tc>
          <w:tcPr>
            <w:tcW w:w="1276" w:type="dxa"/>
            <w:tcBorders>
              <w:top w:val="nil"/>
              <w:left w:val="nil"/>
              <w:bottom w:val="single" w:color="auto" w:sz="8" w:space="0"/>
              <w:right w:val="single" w:color="auto" w:sz="8" w:space="0"/>
            </w:tcBorders>
            <w:shd w:val="clear" w:color="000000" w:fill="FBE4D5"/>
            <w:vAlign w:val="center"/>
            <w:hideMark/>
          </w:tcPr>
          <w:p w:rsidRPr="00B05821" w:rsidR="00B05821" w:rsidP="00B05821" w:rsidRDefault="00B05821" w14:paraId="129A16BC"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Previous</w:t>
            </w:r>
          </w:p>
        </w:tc>
        <w:tc>
          <w:tcPr>
            <w:tcW w:w="1580" w:type="dxa"/>
            <w:tcBorders>
              <w:top w:val="nil"/>
              <w:left w:val="nil"/>
              <w:bottom w:val="single" w:color="auto" w:sz="8" w:space="0"/>
              <w:right w:val="dashed" w:color="auto" w:sz="8" w:space="0"/>
            </w:tcBorders>
            <w:shd w:val="clear" w:color="000000" w:fill="FBE4D5"/>
            <w:vAlign w:val="center"/>
            <w:hideMark/>
          </w:tcPr>
          <w:p w:rsidRPr="00B05821" w:rsidR="00B05821" w:rsidP="00B05821" w:rsidRDefault="00B05821" w14:paraId="3C66EB7C"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Current</w:t>
            </w:r>
          </w:p>
        </w:tc>
        <w:tc>
          <w:tcPr>
            <w:tcW w:w="1429" w:type="dxa"/>
            <w:tcBorders>
              <w:top w:val="nil"/>
              <w:left w:val="nil"/>
              <w:bottom w:val="single" w:color="auto" w:sz="8" w:space="0"/>
              <w:right w:val="single" w:color="auto" w:sz="8" w:space="0"/>
            </w:tcBorders>
            <w:shd w:val="clear" w:color="000000" w:fill="FBE4D5"/>
            <w:vAlign w:val="center"/>
            <w:hideMark/>
          </w:tcPr>
          <w:p w:rsidRPr="00B05821" w:rsidR="00B05821" w:rsidP="00B05821" w:rsidRDefault="00B05821" w14:paraId="5364CEEF"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Previous</w:t>
            </w:r>
          </w:p>
        </w:tc>
        <w:tc>
          <w:tcPr>
            <w:tcW w:w="2097" w:type="dxa"/>
            <w:vMerge/>
            <w:tcBorders>
              <w:top w:val="single" w:color="auto" w:sz="8" w:space="0"/>
              <w:left w:val="single" w:color="auto" w:sz="8" w:space="0"/>
              <w:bottom w:val="single" w:color="000000" w:sz="8" w:space="0"/>
              <w:right w:val="single" w:color="auto" w:sz="8" w:space="0"/>
            </w:tcBorders>
            <w:vAlign w:val="center"/>
            <w:hideMark/>
          </w:tcPr>
          <w:p w:rsidRPr="00B05821" w:rsidR="00B05821" w:rsidP="00B05821" w:rsidRDefault="00B05821" w14:paraId="5D638D53" w14:textId="77777777">
            <w:pPr>
              <w:widowControl/>
              <w:autoSpaceDE/>
              <w:autoSpaceDN/>
              <w:rPr>
                <w:rFonts w:ascii="Calibri" w:hAnsi="Calibri" w:eastAsia="Times New Roman" w:cs="Calibri"/>
                <w:b/>
                <w:bCs/>
                <w:color w:val="000000"/>
                <w:sz w:val="16"/>
                <w:szCs w:val="16"/>
                <w:lang w:bidi="ar-SA"/>
              </w:rPr>
            </w:pPr>
          </w:p>
        </w:tc>
      </w:tr>
      <w:tr w:rsidRPr="00B05821" w:rsidR="00B17CBB" w:rsidTr="00B17CBB" w14:paraId="049BD32D" w14:textId="77777777">
        <w:trPr>
          <w:trHeight w:val="290"/>
        </w:trPr>
        <w:tc>
          <w:tcPr>
            <w:tcW w:w="2431" w:type="dxa"/>
            <w:tcBorders>
              <w:top w:val="nil"/>
              <w:left w:val="single" w:color="auto" w:sz="8" w:space="0"/>
              <w:bottom w:val="single" w:color="auto" w:sz="8" w:space="0"/>
              <w:right w:val="single" w:color="auto" w:sz="8" w:space="0"/>
            </w:tcBorders>
            <w:shd w:val="clear" w:color="auto" w:fill="F2F2F2" w:themeFill="background1" w:themeFillShade="F2"/>
            <w:vAlign w:val="center"/>
            <w:hideMark/>
          </w:tcPr>
          <w:p w:rsidRPr="00B05821" w:rsidR="00B05821" w:rsidP="00B05821" w:rsidRDefault="00B05821" w14:paraId="3C43FBDF"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roofErr w:type="spellStart"/>
            <w:r w:rsidR="00B17CBB">
              <w:rPr>
                <w:rFonts w:ascii="Calibri" w:hAnsi="Calibri" w:eastAsia="Times New Roman" w:cs="Calibri"/>
                <w:color w:val="000000"/>
                <w:sz w:val="16"/>
                <w:szCs w:val="16"/>
                <w:lang w:bidi="ar-SA"/>
              </w:rPr>
              <w:t>Groundfish</w:t>
            </w:r>
            <w:proofErr w:type="spellEnd"/>
            <w:r w:rsidR="00B17CBB">
              <w:rPr>
                <w:rFonts w:ascii="Calibri" w:hAnsi="Calibri" w:eastAsia="Times New Roman" w:cs="Calibri"/>
                <w:color w:val="000000"/>
                <w:sz w:val="16"/>
                <w:szCs w:val="16"/>
                <w:lang w:bidi="ar-SA"/>
              </w:rPr>
              <w:t xml:space="preserve"> Tagging Program – Simple Tags</w:t>
            </w:r>
          </w:p>
        </w:tc>
        <w:tc>
          <w:tcPr>
            <w:tcW w:w="1246" w:type="dxa"/>
            <w:tcBorders>
              <w:top w:val="nil"/>
              <w:left w:val="nil"/>
              <w:bottom w:val="dotted" w:color="auto" w:sz="4" w:space="0"/>
              <w:right w:val="dashed" w:color="auto" w:sz="8" w:space="0"/>
            </w:tcBorders>
            <w:shd w:val="clear" w:color="auto" w:fill="F2F2F2" w:themeFill="background1" w:themeFillShade="F2"/>
            <w:vAlign w:val="center"/>
            <w:hideMark/>
          </w:tcPr>
          <w:p w:rsidRPr="00B05821" w:rsidR="00B05821" w:rsidP="00B05821" w:rsidRDefault="00B17CBB" w14:paraId="17228131"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05821">
              <w:rPr>
                <w:rFonts w:ascii="Calibri" w:hAnsi="Calibri" w:eastAsia="Times New Roman" w:cs="Calibri"/>
                <w:color w:val="000000"/>
                <w:sz w:val="16"/>
                <w:szCs w:val="16"/>
                <w:lang w:bidi="ar-SA"/>
              </w:rPr>
              <w:t> </w:t>
            </w:r>
          </w:p>
        </w:tc>
        <w:tc>
          <w:tcPr>
            <w:tcW w:w="1276"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17CBB" w14:paraId="21C2ECD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B05821" w:rsidR="00B05821">
              <w:rPr>
                <w:rFonts w:ascii="Calibri" w:hAnsi="Calibri" w:eastAsia="Times New Roman" w:cs="Calibri"/>
                <w:color w:val="000000"/>
                <w:sz w:val="16"/>
                <w:szCs w:val="16"/>
                <w:lang w:bidi="ar-SA"/>
              </w:rPr>
              <w:t> </w:t>
            </w:r>
          </w:p>
        </w:tc>
        <w:tc>
          <w:tcPr>
            <w:tcW w:w="1580" w:type="dxa"/>
            <w:tcBorders>
              <w:top w:val="nil"/>
              <w:left w:val="nil"/>
              <w:bottom w:val="dotted" w:color="auto" w:sz="4" w:space="0"/>
              <w:right w:val="dashed" w:color="auto" w:sz="8" w:space="0"/>
            </w:tcBorders>
            <w:shd w:val="clear" w:color="auto" w:fill="F2F2F2" w:themeFill="background1" w:themeFillShade="F2"/>
            <w:vAlign w:val="center"/>
            <w:hideMark/>
          </w:tcPr>
          <w:p w:rsidRPr="00B05821" w:rsidR="00B05821" w:rsidP="00B05821" w:rsidRDefault="00B17CBB" w14:paraId="4E05159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05821">
              <w:rPr>
                <w:rFonts w:ascii="Calibri" w:hAnsi="Calibri" w:eastAsia="Times New Roman" w:cs="Calibri"/>
                <w:color w:val="000000"/>
                <w:sz w:val="16"/>
                <w:szCs w:val="16"/>
                <w:lang w:bidi="ar-SA"/>
              </w:rPr>
              <w:t> </w:t>
            </w:r>
          </w:p>
        </w:tc>
        <w:tc>
          <w:tcPr>
            <w:tcW w:w="1429"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17CBB" w14:paraId="341992F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B05821" w:rsidR="00B05821">
              <w:rPr>
                <w:rFonts w:ascii="Calibri" w:hAnsi="Calibri" w:eastAsia="Times New Roman" w:cs="Calibri"/>
                <w:color w:val="000000"/>
                <w:sz w:val="16"/>
                <w:szCs w:val="16"/>
                <w:lang w:bidi="ar-SA"/>
              </w:rPr>
              <w:t> </w:t>
            </w:r>
          </w:p>
        </w:tc>
        <w:tc>
          <w:tcPr>
            <w:tcW w:w="2097" w:type="dxa"/>
            <w:tcBorders>
              <w:top w:val="nil"/>
              <w:left w:val="nil"/>
              <w:bottom w:val="dotted" w:color="auto" w:sz="4" w:space="0"/>
              <w:right w:val="single" w:color="auto" w:sz="8" w:space="0"/>
            </w:tcBorders>
            <w:shd w:val="clear" w:color="auto" w:fill="F2F2F2" w:themeFill="background1" w:themeFillShade="F2"/>
            <w:vAlign w:val="center"/>
            <w:hideMark/>
          </w:tcPr>
          <w:p w:rsidRPr="00B05821" w:rsidR="00B05821" w:rsidP="00B05821" w:rsidRDefault="00B05821" w14:paraId="5427595B"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Pr="00B05821" w:rsidR="00B17CBB">
              <w:rPr>
                <w:rFonts w:ascii="Calibri" w:hAnsi="Calibri" w:eastAsia="Times New Roman" w:cs="Calibri"/>
                <w:color w:val="000000"/>
                <w:sz w:val="16"/>
                <w:szCs w:val="16"/>
                <w:lang w:bidi="ar-SA"/>
              </w:rPr>
              <w:t> </w:t>
            </w:r>
            <w:r w:rsidR="00B17CBB">
              <w:rPr>
                <w:rFonts w:ascii="Calibri" w:hAnsi="Calibri" w:eastAsia="Times New Roman" w:cs="Calibri"/>
                <w:color w:val="000000"/>
                <w:sz w:val="16"/>
                <w:szCs w:val="16"/>
                <w:lang w:bidi="ar-SA"/>
              </w:rPr>
              <w:t>Previous IC being split out into two new ICs (</w:t>
            </w:r>
            <w:proofErr w:type="spellStart"/>
            <w:r w:rsidR="00B17CBB">
              <w:rPr>
                <w:rFonts w:ascii="Calibri" w:hAnsi="Calibri" w:eastAsia="Times New Roman" w:cs="Calibri"/>
                <w:color w:val="000000"/>
                <w:sz w:val="16"/>
                <w:szCs w:val="16"/>
                <w:lang w:bidi="ar-SA"/>
              </w:rPr>
              <w:t>groundfish</w:t>
            </w:r>
            <w:proofErr w:type="spellEnd"/>
            <w:r w:rsidR="00B17CBB">
              <w:rPr>
                <w:rFonts w:ascii="Calibri" w:hAnsi="Calibri" w:eastAsia="Times New Roman" w:cs="Calibri"/>
                <w:color w:val="000000"/>
                <w:sz w:val="16"/>
                <w:szCs w:val="16"/>
                <w:lang w:bidi="ar-SA"/>
              </w:rPr>
              <w:t>/sablefish) in this renewal for increase administrative transparency</w:t>
            </w:r>
          </w:p>
        </w:tc>
      </w:tr>
      <w:tr w:rsidRPr="00B05821" w:rsidR="00B17CBB" w:rsidTr="00C868A3" w14:paraId="1588DB1E" w14:textId="77777777">
        <w:trPr>
          <w:trHeight w:val="290"/>
        </w:trPr>
        <w:tc>
          <w:tcPr>
            <w:tcW w:w="2431" w:type="dxa"/>
            <w:tcBorders>
              <w:top w:val="nil"/>
              <w:left w:val="single" w:color="auto" w:sz="8" w:space="0"/>
              <w:bottom w:val="single" w:color="auto" w:sz="8" w:space="0"/>
              <w:right w:val="single" w:color="auto" w:sz="8" w:space="0"/>
            </w:tcBorders>
            <w:shd w:val="clear" w:color="auto" w:fill="auto"/>
            <w:vAlign w:val="center"/>
            <w:hideMark/>
          </w:tcPr>
          <w:p w:rsidRPr="00B05821" w:rsidR="00B17CBB" w:rsidP="00B17CBB" w:rsidRDefault="00B17CBB" w14:paraId="69011407"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Tagged Sablefish Form</w:t>
            </w:r>
          </w:p>
        </w:tc>
        <w:tc>
          <w:tcPr>
            <w:tcW w:w="1246"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B17CBB" w14:paraId="696A3099" w14:textId="47CC8124">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C868A3">
              <w:rPr>
                <w:rFonts w:ascii="Calibri" w:hAnsi="Calibri" w:eastAsia="Times New Roman" w:cs="Calibri"/>
                <w:color w:val="000000"/>
                <w:sz w:val="16"/>
                <w:szCs w:val="16"/>
                <w:lang w:bidi="ar-SA"/>
              </w:rPr>
              <w:t>2,552.20</w:t>
            </w:r>
          </w:p>
        </w:tc>
        <w:tc>
          <w:tcPr>
            <w:tcW w:w="1276"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29D7588B"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Pr="00B05821" w:rsidR="0060498A">
              <w:rPr>
                <w:rFonts w:ascii="Calibri" w:hAnsi="Calibri" w:eastAsia="Times New Roman" w:cs="Calibri"/>
                <w:color w:val="000000"/>
                <w:sz w:val="16"/>
                <w:szCs w:val="16"/>
                <w:lang w:bidi="ar-SA"/>
              </w:rPr>
              <w:t> </w:t>
            </w:r>
            <w:r w:rsidR="0060498A">
              <w:rPr>
                <w:rFonts w:ascii="Calibri" w:hAnsi="Calibri" w:eastAsia="Times New Roman" w:cs="Calibri"/>
                <w:color w:val="000000"/>
                <w:sz w:val="16"/>
                <w:szCs w:val="16"/>
                <w:lang w:bidi="ar-SA"/>
              </w:rPr>
              <w:t>NA</w:t>
            </w:r>
          </w:p>
        </w:tc>
        <w:tc>
          <w:tcPr>
            <w:tcW w:w="1580"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263691" w14:paraId="456C82BF" w14:textId="69FDB7E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17CBB">
              <w:rPr>
                <w:rFonts w:ascii="Calibri" w:hAnsi="Calibri" w:eastAsia="Times New Roman" w:cs="Calibri"/>
                <w:color w:val="000000"/>
                <w:sz w:val="16"/>
                <w:szCs w:val="16"/>
                <w:lang w:bidi="ar-SA"/>
              </w:rPr>
              <w:t> </w:t>
            </w:r>
          </w:p>
        </w:tc>
        <w:tc>
          <w:tcPr>
            <w:tcW w:w="1429"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60498A" w14:paraId="6EE0A057"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17CBB">
              <w:rPr>
                <w:rFonts w:ascii="Calibri" w:hAnsi="Calibri" w:eastAsia="Times New Roman" w:cs="Calibri"/>
                <w:color w:val="000000"/>
                <w:sz w:val="16"/>
                <w:szCs w:val="16"/>
                <w:lang w:bidi="ar-SA"/>
              </w:rPr>
              <w:t> </w:t>
            </w:r>
          </w:p>
        </w:tc>
        <w:tc>
          <w:tcPr>
            <w:tcW w:w="2097"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3A742A55"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17CBB" w:rsidTr="00C868A3" w14:paraId="0F005A0B" w14:textId="77777777">
        <w:trPr>
          <w:trHeight w:val="290"/>
        </w:trPr>
        <w:tc>
          <w:tcPr>
            <w:tcW w:w="2431" w:type="dxa"/>
            <w:tcBorders>
              <w:top w:val="nil"/>
              <w:left w:val="single" w:color="auto" w:sz="8" w:space="0"/>
              <w:bottom w:val="single" w:color="auto" w:sz="8" w:space="0"/>
              <w:right w:val="single" w:color="auto" w:sz="8" w:space="0"/>
            </w:tcBorders>
            <w:shd w:val="clear" w:color="auto" w:fill="auto"/>
            <w:vAlign w:val="center"/>
            <w:hideMark/>
          </w:tcPr>
          <w:p w:rsidRPr="00B05821" w:rsidR="00B17CBB" w:rsidP="00B17CBB" w:rsidRDefault="00B17CBB" w14:paraId="3E4AD861"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Tagged </w:t>
            </w:r>
            <w:proofErr w:type="spellStart"/>
            <w:r>
              <w:rPr>
                <w:rFonts w:ascii="Calibri" w:hAnsi="Calibri" w:eastAsia="Times New Roman" w:cs="Calibri"/>
                <w:color w:val="000000"/>
                <w:sz w:val="16"/>
                <w:szCs w:val="16"/>
                <w:lang w:bidi="ar-SA"/>
              </w:rPr>
              <w:t>Groundfish</w:t>
            </w:r>
            <w:proofErr w:type="spellEnd"/>
            <w:r>
              <w:rPr>
                <w:rFonts w:ascii="Calibri" w:hAnsi="Calibri" w:eastAsia="Times New Roman" w:cs="Calibri"/>
                <w:color w:val="000000"/>
                <w:sz w:val="16"/>
                <w:szCs w:val="16"/>
                <w:lang w:bidi="ar-SA"/>
              </w:rPr>
              <w:t xml:space="preserve"> Form</w:t>
            </w:r>
          </w:p>
        </w:tc>
        <w:tc>
          <w:tcPr>
            <w:tcW w:w="1246"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B17CBB" w14:paraId="585BC9D8" w14:textId="0B8317BA">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C868A3">
              <w:rPr>
                <w:rFonts w:ascii="Calibri" w:hAnsi="Calibri" w:eastAsia="Times New Roman" w:cs="Calibri"/>
                <w:color w:val="000000"/>
                <w:sz w:val="16"/>
                <w:szCs w:val="16"/>
                <w:lang w:bidi="ar-SA"/>
              </w:rPr>
              <w:t>2,088.20</w:t>
            </w:r>
          </w:p>
        </w:tc>
        <w:tc>
          <w:tcPr>
            <w:tcW w:w="1276"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545B3DAE"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Pr="00B05821" w:rsidR="0060498A">
              <w:rPr>
                <w:rFonts w:ascii="Calibri" w:hAnsi="Calibri" w:eastAsia="Times New Roman" w:cs="Calibri"/>
                <w:color w:val="000000"/>
                <w:sz w:val="16"/>
                <w:szCs w:val="16"/>
                <w:lang w:bidi="ar-SA"/>
              </w:rPr>
              <w:t> </w:t>
            </w:r>
            <w:r w:rsidR="0060498A">
              <w:rPr>
                <w:rFonts w:ascii="Calibri" w:hAnsi="Calibri" w:eastAsia="Times New Roman" w:cs="Calibri"/>
                <w:color w:val="000000"/>
                <w:sz w:val="16"/>
                <w:szCs w:val="16"/>
                <w:lang w:bidi="ar-SA"/>
              </w:rPr>
              <w:t>NA</w:t>
            </w:r>
          </w:p>
        </w:tc>
        <w:tc>
          <w:tcPr>
            <w:tcW w:w="1580"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263691" w14:paraId="4B5A30B9" w14:textId="4584BBE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Pr="00B05821" w:rsidR="00B17CBB">
              <w:rPr>
                <w:rFonts w:ascii="Calibri" w:hAnsi="Calibri" w:eastAsia="Times New Roman" w:cs="Calibri"/>
                <w:color w:val="000000"/>
                <w:sz w:val="16"/>
                <w:szCs w:val="16"/>
                <w:lang w:bidi="ar-SA"/>
              </w:rPr>
              <w:t> </w:t>
            </w:r>
          </w:p>
        </w:tc>
        <w:tc>
          <w:tcPr>
            <w:tcW w:w="1429"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60498A" w14:paraId="5E0C145A"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17CBB">
              <w:rPr>
                <w:rFonts w:ascii="Calibri" w:hAnsi="Calibri" w:eastAsia="Times New Roman" w:cs="Calibri"/>
                <w:color w:val="000000"/>
                <w:sz w:val="16"/>
                <w:szCs w:val="16"/>
                <w:lang w:bidi="ar-SA"/>
              </w:rPr>
              <w:t> </w:t>
            </w:r>
          </w:p>
        </w:tc>
        <w:tc>
          <w:tcPr>
            <w:tcW w:w="2097"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1075B729"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p>
        </w:tc>
      </w:tr>
      <w:tr w:rsidRPr="00B05821" w:rsidR="00B17CBB" w:rsidTr="00C868A3" w14:paraId="2DA47382" w14:textId="77777777">
        <w:trPr>
          <w:trHeight w:val="290"/>
        </w:trPr>
        <w:tc>
          <w:tcPr>
            <w:tcW w:w="2431" w:type="dxa"/>
            <w:tcBorders>
              <w:top w:val="nil"/>
              <w:left w:val="single" w:color="auto" w:sz="8" w:space="0"/>
              <w:bottom w:val="single" w:color="auto" w:sz="8" w:space="0"/>
              <w:right w:val="single" w:color="auto" w:sz="8" w:space="0"/>
            </w:tcBorders>
            <w:shd w:val="clear" w:color="auto" w:fill="auto"/>
            <w:vAlign w:val="center"/>
            <w:hideMark/>
          </w:tcPr>
          <w:p w:rsidRPr="00B05821" w:rsidR="00B17CBB" w:rsidP="00B17CBB" w:rsidRDefault="00B17CBB" w14:paraId="1B8B09AD" w14:textId="77777777">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3A6B43">
              <w:rPr>
                <w:rFonts w:ascii="Calibri" w:hAnsi="Calibri" w:eastAsia="Times New Roman" w:cs="Calibri"/>
                <w:color w:val="000000"/>
                <w:sz w:val="16"/>
                <w:szCs w:val="16"/>
                <w:lang w:bidi="ar-SA"/>
              </w:rPr>
              <w:t>Electronic Archival Tag Return</w:t>
            </w:r>
          </w:p>
        </w:tc>
        <w:tc>
          <w:tcPr>
            <w:tcW w:w="1246"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B17CBB" w14:paraId="3FFEF5BC" w14:textId="014E6B33">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C868A3">
              <w:rPr>
                <w:rFonts w:ascii="Calibri" w:hAnsi="Calibri" w:eastAsia="Times New Roman" w:cs="Calibri"/>
                <w:color w:val="000000"/>
                <w:sz w:val="16"/>
                <w:szCs w:val="16"/>
                <w:lang w:bidi="ar-SA"/>
              </w:rPr>
              <w:t>69.60</w:t>
            </w:r>
          </w:p>
        </w:tc>
        <w:tc>
          <w:tcPr>
            <w:tcW w:w="1276"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60498A" w14:paraId="3325F681" w14:textId="77777777">
            <w:pPr>
              <w:widowControl/>
              <w:autoSpaceDE/>
              <w:autoSpaceDN/>
              <w:jc w:val="center"/>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B05821" w:rsidR="00B17CBB">
              <w:rPr>
                <w:rFonts w:ascii="Calibri" w:hAnsi="Calibri" w:eastAsia="Times New Roman" w:cs="Calibri"/>
                <w:color w:val="000000"/>
                <w:sz w:val="16"/>
                <w:szCs w:val="16"/>
                <w:lang w:bidi="ar-SA"/>
              </w:rPr>
              <w:t> </w:t>
            </w:r>
          </w:p>
        </w:tc>
        <w:tc>
          <w:tcPr>
            <w:tcW w:w="1580" w:type="dxa"/>
            <w:tcBorders>
              <w:top w:val="nil"/>
              <w:left w:val="nil"/>
              <w:bottom w:val="dotted" w:color="auto" w:sz="4" w:space="0"/>
              <w:right w:val="dashed" w:color="auto" w:sz="8" w:space="0"/>
            </w:tcBorders>
            <w:shd w:val="clear" w:color="auto" w:fill="auto"/>
            <w:vAlign w:val="center"/>
            <w:hideMark/>
          </w:tcPr>
          <w:p w:rsidRPr="00B05821" w:rsidR="00B17CBB" w:rsidP="00B17CBB" w:rsidRDefault="00E54348" w14:paraId="526E7819" w14:textId="798F274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w:t>
            </w:r>
          </w:p>
        </w:tc>
        <w:tc>
          <w:tcPr>
            <w:tcW w:w="1429"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73022AA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B05821">
              <w:rPr>
                <w:rFonts w:ascii="Calibri" w:hAnsi="Calibri" w:eastAsia="Times New Roman" w:cs="Calibri"/>
                <w:color w:val="000000"/>
                <w:sz w:val="16"/>
                <w:szCs w:val="16"/>
                <w:lang w:bidi="ar-SA"/>
              </w:rPr>
              <w:t> </w:t>
            </w:r>
          </w:p>
        </w:tc>
        <w:tc>
          <w:tcPr>
            <w:tcW w:w="2097" w:type="dxa"/>
            <w:tcBorders>
              <w:top w:val="nil"/>
              <w:left w:val="nil"/>
              <w:bottom w:val="dotted" w:color="auto" w:sz="4" w:space="0"/>
              <w:right w:val="single" w:color="auto" w:sz="8" w:space="0"/>
            </w:tcBorders>
            <w:shd w:val="clear" w:color="auto" w:fill="auto"/>
            <w:vAlign w:val="center"/>
            <w:hideMark/>
          </w:tcPr>
          <w:p w:rsidRPr="00B05821" w:rsidR="00B17CBB" w:rsidP="00B17CBB" w:rsidRDefault="00B17CBB" w14:paraId="352A2A45" w14:textId="141F6AD4">
            <w:pPr>
              <w:widowControl/>
              <w:autoSpaceDE/>
              <w:autoSpaceDN/>
              <w:rPr>
                <w:rFonts w:ascii="Calibri" w:hAnsi="Calibri" w:eastAsia="Times New Roman" w:cs="Calibri"/>
                <w:color w:val="000000"/>
                <w:sz w:val="16"/>
                <w:szCs w:val="16"/>
                <w:lang w:bidi="ar-SA"/>
              </w:rPr>
            </w:pPr>
            <w:r w:rsidRPr="00B05821">
              <w:rPr>
                <w:rFonts w:ascii="Calibri" w:hAnsi="Calibri" w:eastAsia="Times New Roman" w:cs="Calibri"/>
                <w:color w:val="000000"/>
                <w:sz w:val="16"/>
                <w:szCs w:val="16"/>
                <w:lang w:bidi="ar-SA"/>
              </w:rPr>
              <w:t> </w:t>
            </w:r>
            <w:r w:rsidR="00E54348">
              <w:rPr>
                <w:rFonts w:ascii="Calibri" w:hAnsi="Calibri" w:eastAsia="Times New Roman" w:cs="Calibri"/>
                <w:color w:val="000000"/>
                <w:sz w:val="16"/>
                <w:szCs w:val="16"/>
                <w:lang w:bidi="ar-SA"/>
              </w:rPr>
              <w:t>Increased postage costs.</w:t>
            </w:r>
          </w:p>
        </w:tc>
      </w:tr>
      <w:tr w:rsidRPr="00B05821" w:rsidR="00B17CBB" w:rsidTr="00B17CBB" w14:paraId="37623DC2" w14:textId="77777777">
        <w:trPr>
          <w:trHeight w:val="450"/>
        </w:trPr>
        <w:tc>
          <w:tcPr>
            <w:tcW w:w="2431" w:type="dxa"/>
            <w:tcBorders>
              <w:top w:val="nil"/>
              <w:left w:val="single" w:color="auto" w:sz="8" w:space="0"/>
              <w:bottom w:val="nil"/>
              <w:right w:val="single" w:color="auto" w:sz="8" w:space="0"/>
            </w:tcBorders>
            <w:shd w:val="clear" w:color="000000" w:fill="BDD6EE"/>
            <w:vAlign w:val="center"/>
            <w:hideMark/>
          </w:tcPr>
          <w:p w:rsidRPr="00B05821" w:rsidR="00B17CBB" w:rsidP="00B17CBB" w:rsidRDefault="00B17CBB" w14:paraId="30F9F6B7"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Total for Collection</w:t>
            </w:r>
          </w:p>
        </w:tc>
        <w:tc>
          <w:tcPr>
            <w:tcW w:w="1246" w:type="dxa"/>
            <w:tcBorders>
              <w:top w:val="nil"/>
              <w:left w:val="nil"/>
              <w:bottom w:val="nil"/>
              <w:right w:val="dashed" w:color="auto" w:sz="8" w:space="0"/>
            </w:tcBorders>
            <w:shd w:val="clear" w:color="000000" w:fill="BDD6EE"/>
            <w:vAlign w:val="center"/>
            <w:hideMark/>
          </w:tcPr>
          <w:p w:rsidRPr="00B05821" w:rsidR="00B17CBB" w:rsidP="00B17CBB" w:rsidRDefault="00B17CBB" w14:paraId="007A93C4" w14:textId="38CAEC40">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r w:rsidR="00C868A3">
              <w:rPr>
                <w:rFonts w:ascii="Calibri" w:hAnsi="Calibri" w:eastAsia="Times New Roman" w:cs="Calibri"/>
                <w:b/>
                <w:bCs/>
                <w:color w:val="000000"/>
                <w:sz w:val="16"/>
                <w:szCs w:val="16"/>
                <w:lang w:bidi="ar-SA"/>
              </w:rPr>
              <w:t>4,710</w:t>
            </w:r>
          </w:p>
        </w:tc>
        <w:tc>
          <w:tcPr>
            <w:tcW w:w="1276" w:type="dxa"/>
            <w:tcBorders>
              <w:top w:val="nil"/>
              <w:left w:val="nil"/>
              <w:bottom w:val="nil"/>
              <w:right w:val="single" w:color="auto" w:sz="8" w:space="0"/>
            </w:tcBorders>
            <w:shd w:val="clear" w:color="000000" w:fill="BDD6EE"/>
            <w:vAlign w:val="center"/>
            <w:hideMark/>
          </w:tcPr>
          <w:p w:rsidRPr="00B05821" w:rsidR="00B17CBB" w:rsidP="00B17CBB" w:rsidRDefault="0060498A" w14:paraId="79836C0A"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B05821" w:rsidR="00B17CBB">
              <w:rPr>
                <w:rFonts w:ascii="Calibri" w:hAnsi="Calibri" w:eastAsia="Times New Roman" w:cs="Calibri"/>
                <w:b/>
                <w:bCs/>
                <w:color w:val="000000"/>
                <w:sz w:val="16"/>
                <w:szCs w:val="16"/>
                <w:lang w:bidi="ar-SA"/>
              </w:rPr>
              <w:t> </w:t>
            </w:r>
          </w:p>
        </w:tc>
        <w:tc>
          <w:tcPr>
            <w:tcW w:w="1580" w:type="dxa"/>
            <w:tcBorders>
              <w:top w:val="nil"/>
              <w:left w:val="nil"/>
              <w:bottom w:val="nil"/>
              <w:right w:val="dashed" w:color="auto" w:sz="8" w:space="0"/>
            </w:tcBorders>
            <w:shd w:val="clear" w:color="000000" w:fill="BDD6EE"/>
            <w:vAlign w:val="center"/>
            <w:hideMark/>
          </w:tcPr>
          <w:p w:rsidRPr="00B05821" w:rsidR="00B17CBB" w:rsidP="00E54348" w:rsidRDefault="00B17CBB" w14:paraId="41D4B16C" w14:textId="7B8F57C4">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r w:rsidR="00E54348">
              <w:rPr>
                <w:rFonts w:ascii="Calibri" w:hAnsi="Calibri" w:eastAsia="Times New Roman" w:cs="Calibri"/>
                <w:b/>
                <w:bCs/>
                <w:color w:val="000000"/>
                <w:sz w:val="16"/>
                <w:szCs w:val="16"/>
                <w:lang w:bidi="ar-SA"/>
              </w:rPr>
              <w:t>45</w:t>
            </w:r>
          </w:p>
        </w:tc>
        <w:tc>
          <w:tcPr>
            <w:tcW w:w="1429" w:type="dxa"/>
            <w:tcBorders>
              <w:top w:val="nil"/>
              <w:left w:val="nil"/>
              <w:bottom w:val="nil"/>
              <w:right w:val="single" w:color="auto" w:sz="8" w:space="0"/>
            </w:tcBorders>
            <w:shd w:val="clear" w:color="000000" w:fill="BDD6EE"/>
            <w:vAlign w:val="center"/>
            <w:hideMark/>
          </w:tcPr>
          <w:p w:rsidRPr="00B05821" w:rsidR="00B17CBB" w:rsidP="00B17CBB" w:rsidRDefault="0060498A" w14:paraId="17A74FEF"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30</w:t>
            </w:r>
            <w:r w:rsidRPr="00B05821" w:rsidR="00B17CBB">
              <w:rPr>
                <w:rFonts w:ascii="Calibri" w:hAnsi="Calibri" w:eastAsia="Times New Roman" w:cs="Calibri"/>
                <w:b/>
                <w:bCs/>
                <w:color w:val="000000"/>
                <w:sz w:val="16"/>
                <w:szCs w:val="16"/>
                <w:lang w:bidi="ar-SA"/>
              </w:rPr>
              <w:t> </w:t>
            </w:r>
          </w:p>
        </w:tc>
        <w:tc>
          <w:tcPr>
            <w:tcW w:w="2097" w:type="dxa"/>
            <w:tcBorders>
              <w:top w:val="nil"/>
              <w:left w:val="nil"/>
              <w:bottom w:val="nil"/>
              <w:right w:val="single" w:color="auto" w:sz="8" w:space="0"/>
            </w:tcBorders>
            <w:shd w:val="clear" w:color="000000" w:fill="000000"/>
            <w:vAlign w:val="center"/>
            <w:hideMark/>
          </w:tcPr>
          <w:p w:rsidRPr="00B05821" w:rsidR="00B17CBB" w:rsidP="00B17CBB" w:rsidRDefault="00B17CBB" w14:paraId="08B2332F"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 </w:t>
            </w:r>
          </w:p>
        </w:tc>
      </w:tr>
      <w:tr w:rsidRPr="00B05821" w:rsidR="00B17CBB" w:rsidTr="00B05821" w14:paraId="77B4B644" w14:textId="77777777">
        <w:trPr>
          <w:trHeight w:val="290"/>
        </w:trPr>
        <w:tc>
          <w:tcPr>
            <w:tcW w:w="2431" w:type="dxa"/>
            <w:tcBorders>
              <w:top w:val="single" w:color="auto" w:sz="8" w:space="0"/>
              <w:left w:val="single" w:color="auto" w:sz="8" w:space="0"/>
              <w:bottom w:val="single" w:color="auto" w:sz="8" w:space="0"/>
              <w:right w:val="nil"/>
            </w:tcBorders>
            <w:shd w:val="clear" w:color="000000" w:fill="FCE4D6"/>
            <w:noWrap/>
            <w:vAlign w:val="bottom"/>
            <w:hideMark/>
          </w:tcPr>
          <w:p w:rsidRPr="00B05821" w:rsidR="00B17CBB" w:rsidP="00B17CBB" w:rsidRDefault="00B17CBB" w14:paraId="4EE81158" w14:textId="77777777">
            <w:pPr>
              <w:widowControl/>
              <w:autoSpaceDE/>
              <w:autoSpaceDN/>
              <w:jc w:val="center"/>
              <w:rPr>
                <w:rFonts w:ascii="Calibri" w:hAnsi="Calibri" w:eastAsia="Times New Roman" w:cs="Calibri"/>
                <w:b/>
                <w:bCs/>
                <w:color w:val="000000"/>
                <w:sz w:val="16"/>
                <w:szCs w:val="16"/>
                <w:lang w:bidi="ar-SA"/>
              </w:rPr>
            </w:pPr>
            <w:r w:rsidRPr="00B05821">
              <w:rPr>
                <w:rFonts w:ascii="Calibri" w:hAnsi="Calibri" w:eastAsia="Times New Roman" w:cs="Calibri"/>
                <w:b/>
                <w:bCs/>
                <w:color w:val="000000"/>
                <w:sz w:val="16"/>
                <w:szCs w:val="16"/>
                <w:lang w:bidi="ar-SA"/>
              </w:rPr>
              <w:t>Difference</w:t>
            </w:r>
          </w:p>
        </w:tc>
        <w:tc>
          <w:tcPr>
            <w:tcW w:w="252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B05821" w:rsidR="00B17CBB" w:rsidP="00B17CBB" w:rsidRDefault="00B66B44" w14:paraId="37EE3CF4" w14:textId="6F0D4D7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4,710</w:t>
            </w:r>
            <w:r w:rsidRPr="00B05821" w:rsidR="00B17CBB">
              <w:rPr>
                <w:rFonts w:ascii="Calibri" w:hAnsi="Calibri" w:eastAsia="Times New Roman" w:cs="Calibri"/>
                <w:color w:val="000000"/>
                <w:lang w:bidi="ar-SA"/>
              </w:rPr>
              <w:t> </w:t>
            </w:r>
          </w:p>
        </w:tc>
        <w:tc>
          <w:tcPr>
            <w:tcW w:w="300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B05821" w:rsidR="00B17CBB" w:rsidP="00B17CBB" w:rsidRDefault="00B66B44" w14:paraId="49A52A44" w14:textId="629D139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15</w:t>
            </w:r>
            <w:r w:rsidRPr="00B05821" w:rsidR="00B17CBB">
              <w:rPr>
                <w:rFonts w:ascii="Calibri" w:hAnsi="Calibri" w:eastAsia="Times New Roman" w:cs="Calibri"/>
                <w:color w:val="000000"/>
                <w:lang w:bidi="ar-SA"/>
              </w:rPr>
              <w:t> </w:t>
            </w:r>
          </w:p>
        </w:tc>
        <w:tc>
          <w:tcPr>
            <w:tcW w:w="2097" w:type="dxa"/>
            <w:tcBorders>
              <w:top w:val="single" w:color="auto" w:sz="8" w:space="0"/>
              <w:left w:val="nil"/>
              <w:bottom w:val="single" w:color="auto" w:sz="8" w:space="0"/>
              <w:right w:val="single" w:color="auto" w:sz="8" w:space="0"/>
            </w:tcBorders>
            <w:shd w:val="clear" w:color="000000" w:fill="000000"/>
            <w:noWrap/>
            <w:vAlign w:val="bottom"/>
            <w:hideMark/>
          </w:tcPr>
          <w:p w:rsidRPr="00B05821" w:rsidR="00B17CBB" w:rsidP="00B17CBB" w:rsidRDefault="00B17CBB" w14:paraId="6053536F" w14:textId="77777777">
            <w:pPr>
              <w:widowControl/>
              <w:autoSpaceDE/>
              <w:autoSpaceDN/>
              <w:rPr>
                <w:rFonts w:ascii="Calibri" w:hAnsi="Calibri" w:eastAsia="Times New Roman" w:cs="Calibri"/>
                <w:color w:val="000000"/>
                <w:lang w:bidi="ar-SA"/>
              </w:rPr>
            </w:pPr>
            <w:r w:rsidRPr="00B05821">
              <w:rPr>
                <w:rFonts w:ascii="Calibri" w:hAnsi="Calibri" w:eastAsia="Times New Roman" w:cs="Calibri"/>
                <w:color w:val="000000"/>
                <w:lang w:bidi="ar-SA"/>
              </w:rPr>
              <w:t> </w:t>
            </w:r>
          </w:p>
        </w:tc>
      </w:tr>
    </w:tbl>
    <w:p w:rsidR="00390D6B" w:rsidP="00BD7237" w:rsidRDefault="00390D6B" w14:paraId="6AC152F3" w14:textId="77777777">
      <w:pPr>
        <w:pStyle w:val="BodyText"/>
        <w:spacing w:before="7"/>
        <w:ind w:left="0"/>
        <w:rPr>
          <w:rFonts w:ascii="Times New Roman" w:hAnsi="Times New Roman" w:cs="Times New Roman"/>
          <w:b/>
        </w:rPr>
      </w:pPr>
    </w:p>
    <w:p w:rsidRPr="00BD7237" w:rsidR="00B05821" w:rsidP="00BD7237" w:rsidRDefault="00B05821" w14:paraId="1598250C" w14:textId="77777777">
      <w:pPr>
        <w:pStyle w:val="BodyText"/>
        <w:spacing w:before="7"/>
        <w:ind w:left="0"/>
        <w:rPr>
          <w:rFonts w:ascii="Times New Roman" w:hAnsi="Times New Roman" w:cs="Times New Roman"/>
          <w:b/>
        </w:rPr>
      </w:pPr>
    </w:p>
    <w:p w:rsidRPr="00BD7237" w:rsidR="008E61C9" w:rsidP="00BD7237" w:rsidRDefault="001477A3" w14:paraId="08D1FF0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390D6B" w:rsidP="00390D6B" w:rsidRDefault="00390D6B" w14:paraId="7B305AF8" w14:textId="77777777">
      <w:pPr>
        <w:tabs>
          <w:tab w:val="left" w:pos="720"/>
          <w:tab w:val="right" w:pos="6030"/>
          <w:tab w:val="right" w:pos="8010"/>
          <w:tab w:val="left" w:pos="12240"/>
        </w:tabs>
        <w:ind w:left="131"/>
        <w:rPr>
          <w:rFonts w:ascii="Times New Roman" w:hAnsi="Times New Roman"/>
          <w:sz w:val="24"/>
          <w:szCs w:val="24"/>
          <w:lang w:val="x-none"/>
        </w:rPr>
      </w:pPr>
    </w:p>
    <w:p w:rsidRPr="00390D6B" w:rsidR="00390D6B" w:rsidP="00390D6B" w:rsidRDefault="00390D6B" w14:paraId="091ED03C" w14:textId="77777777">
      <w:pPr>
        <w:tabs>
          <w:tab w:val="left" w:pos="720"/>
          <w:tab w:val="right" w:pos="6030"/>
          <w:tab w:val="right" w:pos="8010"/>
          <w:tab w:val="left" w:pos="12240"/>
        </w:tabs>
        <w:ind w:left="131"/>
        <w:rPr>
          <w:rFonts w:ascii="Times New Roman" w:hAnsi="Times New Roman"/>
          <w:i/>
          <w:sz w:val="24"/>
          <w:szCs w:val="24"/>
        </w:rPr>
      </w:pPr>
      <w:r w:rsidRPr="00390D6B">
        <w:rPr>
          <w:rFonts w:ascii="Times New Roman" w:hAnsi="Times New Roman"/>
          <w:sz w:val="24"/>
          <w:szCs w:val="24"/>
          <w:lang w:val="x-none"/>
        </w:rPr>
        <w:t xml:space="preserve">Results of the tagging program have been published on a regular basis in such publications as the </w:t>
      </w:r>
      <w:r w:rsidRPr="00390D6B">
        <w:rPr>
          <w:rFonts w:ascii="Times New Roman" w:hAnsi="Times New Roman"/>
          <w:sz w:val="24"/>
          <w:szCs w:val="24"/>
          <w:u w:val="single"/>
        </w:rPr>
        <w:t>Canadian Journal of Fisheries and Aquatic Sciences</w:t>
      </w:r>
      <w:r w:rsidRPr="00390D6B">
        <w:rPr>
          <w:rFonts w:ascii="Times New Roman" w:hAnsi="Times New Roman"/>
          <w:sz w:val="24"/>
          <w:szCs w:val="24"/>
        </w:rPr>
        <w:t xml:space="preserve">, </w:t>
      </w:r>
      <w:r w:rsidRPr="00390D6B">
        <w:rPr>
          <w:rFonts w:ascii="Times New Roman" w:hAnsi="Times New Roman"/>
          <w:sz w:val="24"/>
          <w:szCs w:val="24"/>
          <w:u w:val="single"/>
        </w:rPr>
        <w:t>Fishery Bulletin</w:t>
      </w:r>
      <w:r w:rsidRPr="00390D6B">
        <w:rPr>
          <w:rFonts w:ascii="Times New Roman" w:hAnsi="Times New Roman"/>
          <w:sz w:val="24"/>
          <w:szCs w:val="24"/>
          <w:lang w:val="x-none"/>
        </w:rPr>
        <w:t xml:space="preserve">, </w:t>
      </w:r>
      <w:r w:rsidRPr="00390D6B">
        <w:rPr>
          <w:rFonts w:ascii="Times New Roman" w:hAnsi="Times New Roman"/>
          <w:sz w:val="24"/>
          <w:szCs w:val="24"/>
          <w:u w:val="single"/>
        </w:rPr>
        <w:t>Fisheries Research</w:t>
      </w:r>
      <w:r w:rsidRPr="00390D6B">
        <w:rPr>
          <w:rFonts w:ascii="Times New Roman" w:hAnsi="Times New Roman"/>
          <w:sz w:val="24"/>
          <w:szCs w:val="24"/>
          <w:lang w:val="x-none"/>
        </w:rPr>
        <w:t xml:space="preserve">, the </w:t>
      </w:r>
      <w:r w:rsidRPr="00390D6B">
        <w:rPr>
          <w:rFonts w:ascii="Times New Roman" w:hAnsi="Times New Roman"/>
          <w:sz w:val="24"/>
          <w:szCs w:val="24"/>
          <w:u w:val="single"/>
        </w:rPr>
        <w:t>International Symposium on the Biology</w:t>
      </w:r>
      <w:r w:rsidRPr="00390D6B">
        <w:rPr>
          <w:rFonts w:ascii="Times New Roman" w:hAnsi="Times New Roman"/>
          <w:sz w:val="24"/>
          <w:szCs w:val="24"/>
          <w:u w:val="single"/>
          <w:lang w:val="x-none"/>
        </w:rPr>
        <w:t xml:space="preserve"> and </w:t>
      </w:r>
      <w:r w:rsidRPr="00390D6B">
        <w:rPr>
          <w:rFonts w:ascii="Times New Roman" w:hAnsi="Times New Roman"/>
          <w:sz w:val="24"/>
          <w:szCs w:val="24"/>
          <w:u w:val="single"/>
        </w:rPr>
        <w:t xml:space="preserve">Management of Sablefish in 1993, </w:t>
      </w:r>
      <w:r w:rsidRPr="00390D6B">
        <w:rPr>
          <w:rFonts w:ascii="Times New Roman" w:hAnsi="Times New Roman"/>
          <w:sz w:val="24"/>
          <w:szCs w:val="24"/>
        </w:rPr>
        <w:t>and the informal</w:t>
      </w:r>
      <w:r w:rsidRPr="00390D6B">
        <w:rPr>
          <w:rFonts w:ascii="Times New Roman" w:hAnsi="Times New Roman"/>
          <w:sz w:val="24"/>
          <w:szCs w:val="24"/>
          <w:u w:val="single"/>
        </w:rPr>
        <w:t xml:space="preserve"> </w:t>
      </w:r>
      <w:r w:rsidRPr="00390D6B">
        <w:rPr>
          <w:rFonts w:ascii="Times New Roman" w:hAnsi="Times New Roman"/>
          <w:sz w:val="24"/>
          <w:szCs w:val="24"/>
        </w:rPr>
        <w:t xml:space="preserve">annual newsletter, </w:t>
      </w:r>
      <w:proofErr w:type="spellStart"/>
      <w:r w:rsidRPr="00390D6B">
        <w:rPr>
          <w:rFonts w:ascii="Times New Roman" w:hAnsi="Times New Roman"/>
          <w:sz w:val="24"/>
          <w:szCs w:val="24"/>
          <w:u w:val="single"/>
        </w:rPr>
        <w:t>Blackcod</w:t>
      </w:r>
      <w:proofErr w:type="spellEnd"/>
      <w:r w:rsidRPr="00390D6B">
        <w:rPr>
          <w:rFonts w:ascii="Times New Roman" w:hAnsi="Times New Roman"/>
          <w:sz w:val="24"/>
          <w:szCs w:val="24"/>
          <w:u w:val="single"/>
        </w:rPr>
        <w:t xml:space="preserve"> Almanac</w:t>
      </w:r>
      <w:r w:rsidRPr="00390D6B">
        <w:rPr>
          <w:rFonts w:ascii="Times New Roman" w:hAnsi="Times New Roman"/>
          <w:sz w:val="24"/>
          <w:szCs w:val="24"/>
        </w:rPr>
        <w:t>,</w:t>
      </w:r>
      <w:r w:rsidRPr="00390D6B">
        <w:rPr>
          <w:rFonts w:ascii="Times New Roman" w:hAnsi="Times New Roman"/>
          <w:sz w:val="24"/>
          <w:szCs w:val="24"/>
          <w:u w:val="single"/>
        </w:rPr>
        <w:t xml:space="preserve"> </w:t>
      </w:r>
      <w:r w:rsidRPr="00390D6B">
        <w:rPr>
          <w:rFonts w:ascii="Times New Roman" w:hAnsi="Times New Roman"/>
          <w:sz w:val="24"/>
          <w:szCs w:val="24"/>
        </w:rPr>
        <w:t xml:space="preserve">distributed to members of industry.   A summary report of the </w:t>
      </w:r>
      <w:proofErr w:type="gramStart"/>
      <w:r w:rsidRPr="00390D6B">
        <w:rPr>
          <w:rFonts w:ascii="Times New Roman" w:hAnsi="Times New Roman"/>
          <w:sz w:val="24"/>
          <w:szCs w:val="24"/>
        </w:rPr>
        <w:t>sablefish tagging</w:t>
      </w:r>
      <w:proofErr w:type="gramEnd"/>
      <w:r w:rsidRPr="00390D6B">
        <w:rPr>
          <w:rFonts w:ascii="Times New Roman" w:hAnsi="Times New Roman"/>
          <w:sz w:val="24"/>
          <w:szCs w:val="24"/>
        </w:rPr>
        <w:t xml:space="preserve"> program,</w:t>
      </w:r>
      <w:r w:rsidRPr="00390D6B">
        <w:rPr>
          <w:rFonts w:ascii="Times New Roman" w:hAnsi="Times New Roman"/>
          <w:i/>
          <w:sz w:val="24"/>
          <w:szCs w:val="24"/>
        </w:rPr>
        <w:t xml:space="preserve"> Report to Industry on the Alaska</w:t>
      </w:r>
    </w:p>
    <w:p w:rsidRPr="00390D6B" w:rsidR="00390D6B" w:rsidP="00390D6B" w:rsidRDefault="00390D6B" w14:paraId="7E275640" w14:textId="77777777">
      <w:pPr>
        <w:tabs>
          <w:tab w:val="left" w:pos="720"/>
          <w:tab w:val="right" w:pos="6030"/>
          <w:tab w:val="right" w:pos="8010"/>
          <w:tab w:val="left" w:pos="12240"/>
        </w:tabs>
        <w:ind w:left="131"/>
        <w:rPr>
          <w:rFonts w:ascii="Times New Roman" w:hAnsi="Times New Roman"/>
          <w:sz w:val="24"/>
          <w:szCs w:val="24"/>
        </w:rPr>
      </w:pPr>
      <w:r w:rsidRPr="00390D6B">
        <w:rPr>
          <w:rFonts w:ascii="Times New Roman" w:hAnsi="Times New Roman"/>
          <w:i/>
          <w:sz w:val="24"/>
          <w:szCs w:val="24"/>
        </w:rPr>
        <w:t>Sablefish Tag Program, 1972-2012</w:t>
      </w:r>
      <w:r w:rsidRPr="00390D6B">
        <w:rPr>
          <w:rFonts w:ascii="Times New Roman" w:hAnsi="Times New Roman"/>
          <w:sz w:val="24"/>
          <w:szCs w:val="24"/>
        </w:rPr>
        <w:t xml:space="preserve"> is available on-line at </w:t>
      </w:r>
    </w:p>
    <w:p w:rsidRPr="00390D6B" w:rsidR="00390D6B" w:rsidP="00390D6B" w:rsidRDefault="00390D6B" w14:paraId="4624C7E4" w14:textId="77777777">
      <w:pPr>
        <w:tabs>
          <w:tab w:val="left" w:pos="720"/>
          <w:tab w:val="right" w:pos="6030"/>
          <w:tab w:val="right" w:pos="8010"/>
          <w:tab w:val="left" w:pos="12240"/>
        </w:tabs>
        <w:ind w:left="131"/>
        <w:jc w:val="center"/>
        <w:rPr>
          <w:rFonts w:ascii="Times New Roman" w:hAnsi="Times New Roman"/>
          <w:sz w:val="24"/>
          <w:szCs w:val="24"/>
        </w:rPr>
      </w:pPr>
      <w:r w:rsidRPr="00390D6B">
        <w:rPr>
          <w:rFonts w:ascii="Times New Roman" w:hAnsi="Times New Roman"/>
          <w:sz w:val="24"/>
          <w:szCs w:val="24"/>
        </w:rPr>
        <w:t xml:space="preserve"> </w:t>
      </w:r>
      <w:hyperlink w:history="1" r:id="rId7">
        <w:r w:rsidRPr="00390D6B">
          <w:rPr>
            <w:rStyle w:val="Hyperlink"/>
            <w:rFonts w:ascii="Times New Roman" w:hAnsi="Times New Roman"/>
            <w:sz w:val="24"/>
            <w:szCs w:val="24"/>
          </w:rPr>
          <w:t>https://www.afsc.noaa.gov/Publications/AFSC-TM/NOAA-TM-AFSC-254.pdf</w:t>
        </w:r>
      </w:hyperlink>
      <w:r w:rsidRPr="00390D6B">
        <w:rPr>
          <w:rFonts w:ascii="Times New Roman" w:hAnsi="Times New Roman"/>
          <w:sz w:val="24"/>
          <w:szCs w:val="24"/>
        </w:rPr>
        <w:t>.</w:t>
      </w:r>
    </w:p>
    <w:p w:rsidRPr="00BD7237" w:rsidR="008E61C9" w:rsidP="00BD7237" w:rsidRDefault="001477A3" w14:paraId="0C154C6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00305154" w:rsidP="00390D6B" w:rsidRDefault="00305154" w14:paraId="281FAA7C" w14:textId="7E968D59">
      <w:pPr>
        <w:tabs>
          <w:tab w:val="left" w:pos="720"/>
          <w:tab w:val="right" w:pos="6030"/>
          <w:tab w:val="right" w:pos="8010"/>
          <w:tab w:val="left" w:pos="12240"/>
        </w:tabs>
        <w:ind w:left="131"/>
        <w:rPr>
          <w:rFonts w:ascii="Times New Roman" w:hAnsi="Times New Roman"/>
          <w:sz w:val="24"/>
          <w:szCs w:val="24"/>
        </w:rPr>
      </w:pPr>
    </w:p>
    <w:p w:rsidR="008E61C9" w:rsidP="00F90645" w:rsidRDefault="005A360B" w14:paraId="55A89904" w14:textId="46068025">
      <w:pPr>
        <w:tabs>
          <w:tab w:val="left" w:pos="720"/>
          <w:tab w:val="right" w:pos="6030"/>
          <w:tab w:val="right" w:pos="8010"/>
          <w:tab w:val="left" w:pos="12240"/>
        </w:tabs>
        <w:ind w:left="131"/>
        <w:rPr>
          <w:rFonts w:ascii="Times New Roman" w:hAnsi="Times New Roman"/>
          <w:sz w:val="24"/>
          <w:szCs w:val="24"/>
        </w:rPr>
      </w:pPr>
      <w:r>
        <w:rPr>
          <w:rFonts w:ascii="Times New Roman" w:hAnsi="Times New Roman"/>
          <w:sz w:val="24"/>
          <w:szCs w:val="24"/>
        </w:rPr>
        <w:t xml:space="preserve">Although the information on the forms is certain not </w:t>
      </w:r>
      <w:r w:rsidR="00F90645">
        <w:rPr>
          <w:rFonts w:ascii="Times New Roman" w:hAnsi="Times New Roman"/>
          <w:sz w:val="24"/>
          <w:szCs w:val="24"/>
        </w:rPr>
        <w:t xml:space="preserve">to </w:t>
      </w:r>
      <w:r>
        <w:rPr>
          <w:rFonts w:ascii="Times New Roman" w:hAnsi="Times New Roman"/>
          <w:sz w:val="24"/>
          <w:szCs w:val="24"/>
        </w:rPr>
        <w:t xml:space="preserve">change during the length of this study, revised forms, with new OMB approval numbers and expiration dates </w:t>
      </w:r>
      <w:proofErr w:type="gramStart"/>
      <w:r>
        <w:rPr>
          <w:rFonts w:ascii="Times New Roman" w:hAnsi="Times New Roman"/>
          <w:sz w:val="24"/>
          <w:szCs w:val="24"/>
        </w:rPr>
        <w:t>will be created and handed out</w:t>
      </w:r>
      <w:proofErr w:type="gramEnd"/>
      <w:r>
        <w:rPr>
          <w:rFonts w:ascii="Times New Roman" w:hAnsi="Times New Roman"/>
          <w:sz w:val="24"/>
          <w:szCs w:val="24"/>
        </w:rPr>
        <w:t>.</w:t>
      </w:r>
      <w:r w:rsidRPr="005A360B">
        <w:rPr>
          <w:rFonts w:ascii="Times New Roman" w:hAnsi="Times New Roman"/>
          <w:sz w:val="24"/>
          <w:szCs w:val="24"/>
        </w:rPr>
        <w:t xml:space="preserve"> </w:t>
      </w:r>
      <w:r w:rsidR="00F90645">
        <w:rPr>
          <w:rFonts w:ascii="Times New Roman" w:hAnsi="Times New Roman"/>
          <w:sz w:val="24"/>
          <w:szCs w:val="24"/>
        </w:rPr>
        <w:t>Note: O</w:t>
      </w:r>
      <w:r>
        <w:rPr>
          <w:rFonts w:ascii="Times New Roman" w:hAnsi="Times New Roman"/>
          <w:sz w:val="24"/>
          <w:szCs w:val="24"/>
        </w:rPr>
        <w:t>ld forms</w:t>
      </w:r>
      <w:r w:rsidR="00F90645">
        <w:rPr>
          <w:rFonts w:ascii="Times New Roman" w:hAnsi="Times New Roman"/>
          <w:sz w:val="24"/>
          <w:szCs w:val="24"/>
        </w:rPr>
        <w:t>,</w:t>
      </w:r>
      <w:r>
        <w:rPr>
          <w:rFonts w:ascii="Times New Roman" w:hAnsi="Times New Roman"/>
          <w:sz w:val="24"/>
          <w:szCs w:val="24"/>
        </w:rPr>
        <w:t xml:space="preserve"> </w:t>
      </w:r>
      <w:r w:rsidR="00F90645">
        <w:rPr>
          <w:rFonts w:ascii="Times New Roman" w:hAnsi="Times New Roman"/>
          <w:sz w:val="24"/>
          <w:szCs w:val="24"/>
        </w:rPr>
        <w:t xml:space="preserve">with outdated information, </w:t>
      </w:r>
      <w:r>
        <w:rPr>
          <w:rFonts w:ascii="Times New Roman" w:hAnsi="Times New Roman"/>
          <w:sz w:val="24"/>
          <w:szCs w:val="24"/>
        </w:rPr>
        <w:t xml:space="preserve">may still circulate as </w:t>
      </w:r>
      <w:proofErr w:type="gramStart"/>
      <w:r>
        <w:rPr>
          <w:rFonts w:ascii="Times New Roman" w:hAnsi="Times New Roman"/>
          <w:sz w:val="24"/>
          <w:szCs w:val="24"/>
        </w:rPr>
        <w:t>fishermen</w:t>
      </w:r>
      <w:proofErr w:type="gramEnd"/>
      <w:r>
        <w:rPr>
          <w:rFonts w:ascii="Times New Roman" w:hAnsi="Times New Roman"/>
          <w:sz w:val="24"/>
          <w:szCs w:val="24"/>
        </w:rPr>
        <w:t xml:space="preserve"> and processors keep the same forms on hand for extended periods of time.</w:t>
      </w:r>
    </w:p>
    <w:p w:rsidRPr="00F90645" w:rsidR="00F90645" w:rsidP="00F90645" w:rsidRDefault="00F90645" w14:paraId="026EDFD1" w14:textId="77777777">
      <w:pPr>
        <w:tabs>
          <w:tab w:val="left" w:pos="720"/>
          <w:tab w:val="right" w:pos="6030"/>
          <w:tab w:val="right" w:pos="8010"/>
          <w:tab w:val="left" w:pos="12240"/>
        </w:tabs>
        <w:ind w:left="131"/>
        <w:rPr>
          <w:rFonts w:ascii="Times New Roman" w:hAnsi="Times New Roman"/>
          <w:sz w:val="24"/>
          <w:szCs w:val="24"/>
        </w:rPr>
      </w:pPr>
    </w:p>
    <w:p w:rsidRPr="00BD7237" w:rsidR="008E61C9" w:rsidP="00BD7237" w:rsidRDefault="001477A3" w14:paraId="4003221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305154" w:rsidR="008E61C9" w:rsidP="00390D6B" w:rsidRDefault="00305154" w14:paraId="533ECA6E" w14:textId="77777777">
      <w:pPr>
        <w:spacing w:before="124"/>
        <w:rPr>
          <w:rFonts w:ascii="Times New Roman" w:hAnsi="Times New Roman" w:cs="Times New Roman"/>
          <w:sz w:val="24"/>
          <w:szCs w:val="24"/>
        </w:rPr>
      </w:pPr>
      <w:r w:rsidRPr="00305154">
        <w:rPr>
          <w:rFonts w:ascii="Times New Roman" w:hAnsi="Times New Roman" w:cs="Times New Roman"/>
          <w:sz w:val="24"/>
          <w:szCs w:val="24"/>
        </w:rPr>
        <w:t xml:space="preserve">The agency certifies compliance with </w:t>
      </w:r>
      <w:hyperlink r:id="rId8">
        <w:r w:rsidRPr="00305154">
          <w:rPr>
            <w:rFonts w:ascii="Times New Roman" w:hAnsi="Times New Roman" w:cs="Times New Roman"/>
            <w:color w:val="0563C1"/>
            <w:sz w:val="24"/>
            <w:szCs w:val="24"/>
            <w:u w:val="thick" w:color="0563C1"/>
          </w:rPr>
          <w:t>5 CFR 1320.9</w:t>
        </w:r>
        <w:r w:rsidRPr="00305154">
          <w:rPr>
            <w:rFonts w:ascii="Times New Roman" w:hAnsi="Times New Roman" w:cs="Times New Roman"/>
            <w:color w:val="0563C1"/>
            <w:sz w:val="24"/>
            <w:szCs w:val="24"/>
          </w:rPr>
          <w:t xml:space="preserve"> </w:t>
        </w:r>
      </w:hyperlink>
      <w:r w:rsidRPr="00305154">
        <w:rPr>
          <w:rFonts w:ascii="Times New Roman" w:hAnsi="Times New Roman" w:cs="Times New Roman"/>
          <w:sz w:val="24"/>
          <w:szCs w:val="24"/>
        </w:rPr>
        <w:t xml:space="preserve">and the related provisions of </w:t>
      </w:r>
      <w:hyperlink r:id="rId9">
        <w:r w:rsidRPr="00305154">
          <w:rPr>
            <w:rFonts w:ascii="Times New Roman" w:hAnsi="Times New Roman" w:cs="Times New Roman"/>
            <w:color w:val="0563C1"/>
            <w:sz w:val="24"/>
            <w:szCs w:val="24"/>
            <w:u w:val="thick" w:color="0563C1"/>
          </w:rPr>
          <w:t>5</w:t>
        </w:r>
        <w:r w:rsidRPr="00305154">
          <w:rPr>
            <w:rFonts w:ascii="Times New Roman" w:hAnsi="Times New Roman" w:cs="Times New Roman"/>
            <w:color w:val="0563C1"/>
            <w:spacing w:val="-42"/>
            <w:sz w:val="24"/>
            <w:szCs w:val="24"/>
            <w:u w:val="thick" w:color="0563C1"/>
          </w:rPr>
          <w:t xml:space="preserve"> </w:t>
        </w:r>
        <w:r w:rsidRPr="00305154">
          <w:rPr>
            <w:rFonts w:ascii="Times New Roman" w:hAnsi="Times New Roman" w:cs="Times New Roman"/>
            <w:color w:val="0563C1"/>
            <w:sz w:val="24"/>
            <w:szCs w:val="24"/>
            <w:u w:val="thick" w:color="0563C1"/>
          </w:rPr>
          <w:t>CFR</w:t>
        </w:r>
      </w:hyperlink>
      <w:r w:rsidRPr="00305154">
        <w:rPr>
          <w:rFonts w:ascii="Times New Roman" w:hAnsi="Times New Roman" w:cs="Times New Roman"/>
          <w:color w:val="0563C1"/>
          <w:sz w:val="24"/>
          <w:szCs w:val="24"/>
        </w:rPr>
        <w:t xml:space="preserve"> </w:t>
      </w:r>
      <w:hyperlink r:id="rId10">
        <w:r w:rsidRPr="00305154">
          <w:rPr>
            <w:rFonts w:ascii="Times New Roman" w:hAnsi="Times New Roman" w:cs="Times New Roman"/>
            <w:color w:val="0563C1"/>
            <w:sz w:val="24"/>
            <w:szCs w:val="24"/>
            <w:u w:val="thick" w:color="0563C1"/>
          </w:rPr>
          <w:t>1320.8(b</w:t>
        </w:r>
        <w:proofErr w:type="gramStart"/>
        <w:r w:rsidRPr="00305154">
          <w:rPr>
            <w:rFonts w:ascii="Times New Roman" w:hAnsi="Times New Roman" w:cs="Times New Roman"/>
            <w:color w:val="0563C1"/>
            <w:sz w:val="24"/>
            <w:szCs w:val="24"/>
            <w:u w:val="thick" w:color="0563C1"/>
          </w:rPr>
          <w:t>)(</w:t>
        </w:r>
        <w:proofErr w:type="gramEnd"/>
        <w:r w:rsidRPr="00305154">
          <w:rPr>
            <w:rFonts w:ascii="Times New Roman" w:hAnsi="Times New Roman" w:cs="Times New Roman"/>
            <w:color w:val="0563C1"/>
            <w:sz w:val="24"/>
            <w:szCs w:val="24"/>
            <w:u w:val="thick" w:color="0563C1"/>
          </w:rPr>
          <w:t>3)</w:t>
        </w:r>
      </w:hyperlink>
      <w:r w:rsidRPr="00305154">
        <w:rPr>
          <w:rFonts w:ascii="Times New Roman" w:hAnsi="Times New Roman" w:cs="Times New Roman"/>
          <w:sz w:val="24"/>
          <w:szCs w:val="24"/>
        </w:rPr>
        <w:t>.</w:t>
      </w:r>
    </w:p>
    <w:sectPr w:rsidRPr="00305154" w:rsidR="008E61C9" w:rsidSect="00390D6B">
      <w:footerReference w:type="default" r:id="rId11"/>
      <w:type w:val="continuous"/>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9219" w14:textId="77777777" w:rsidR="007A24FD" w:rsidRDefault="007A24FD">
      <w:r>
        <w:separator/>
      </w:r>
    </w:p>
  </w:endnote>
  <w:endnote w:type="continuationSeparator" w:id="0">
    <w:p w14:paraId="17B32872" w14:textId="77777777" w:rsidR="007A24FD" w:rsidRDefault="007A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F062" w14:textId="77777777" w:rsidR="002B7272" w:rsidRDefault="002B7272">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A4DFC" w14:textId="77777777" w:rsidR="007A24FD" w:rsidRDefault="007A24FD">
      <w:r>
        <w:separator/>
      </w:r>
    </w:p>
  </w:footnote>
  <w:footnote w:type="continuationSeparator" w:id="0">
    <w:p w14:paraId="5D24F0C2" w14:textId="77777777" w:rsidR="007A24FD" w:rsidRDefault="007A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922B7E"/>
    <w:multiLevelType w:val="hybridMultilevel"/>
    <w:tmpl w:val="95D4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61827EAB"/>
    <w:multiLevelType w:val="hybridMultilevel"/>
    <w:tmpl w:val="70F021D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63015ADB"/>
    <w:multiLevelType w:val="hybridMultilevel"/>
    <w:tmpl w:val="B816BC80"/>
    <w:lvl w:ilvl="0" w:tplc="332809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3"/>
  </w:num>
  <w:num w:numId="3">
    <w:abstractNumId w:val="12"/>
  </w:num>
  <w:num w:numId="4">
    <w:abstractNumId w:val="4"/>
  </w:num>
  <w:num w:numId="5">
    <w:abstractNumId w:val="7"/>
  </w:num>
  <w:num w:numId="6">
    <w:abstractNumId w:val="8"/>
  </w:num>
  <w:num w:numId="7">
    <w:abstractNumId w:val="5"/>
  </w:num>
  <w:num w:numId="8">
    <w:abstractNumId w:val="1"/>
  </w:num>
  <w:num w:numId="9">
    <w:abstractNumId w:val="9"/>
  </w:num>
  <w:num w:numId="10">
    <w:abstractNumId w:val="15"/>
  </w:num>
  <w:num w:numId="11">
    <w:abstractNumId w:val="6"/>
  </w:num>
  <w:num w:numId="12">
    <w:abstractNumId w:val="11"/>
  </w:num>
  <w:num w:numId="13">
    <w:abstractNumId w:val="0"/>
  </w:num>
  <w:num w:numId="14">
    <w:abstractNumId w:val="16"/>
  </w:num>
  <w:num w:numId="15">
    <w:abstractNumId w:val="14"/>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B6A7B"/>
    <w:rsid w:val="000B6B4C"/>
    <w:rsid w:val="000F0BFB"/>
    <w:rsid w:val="00115034"/>
    <w:rsid w:val="001477A3"/>
    <w:rsid w:val="0018228B"/>
    <w:rsid w:val="0019270A"/>
    <w:rsid w:val="00263691"/>
    <w:rsid w:val="002B7272"/>
    <w:rsid w:val="00305154"/>
    <w:rsid w:val="00386C28"/>
    <w:rsid w:val="00390D6B"/>
    <w:rsid w:val="003A6B3F"/>
    <w:rsid w:val="003A6B43"/>
    <w:rsid w:val="00417862"/>
    <w:rsid w:val="004C4050"/>
    <w:rsid w:val="004F32E9"/>
    <w:rsid w:val="0050663C"/>
    <w:rsid w:val="005A360B"/>
    <w:rsid w:val="005D7524"/>
    <w:rsid w:val="005E5E17"/>
    <w:rsid w:val="0060498A"/>
    <w:rsid w:val="00633F85"/>
    <w:rsid w:val="006525CA"/>
    <w:rsid w:val="00690D66"/>
    <w:rsid w:val="007020F0"/>
    <w:rsid w:val="007A24FD"/>
    <w:rsid w:val="007D7441"/>
    <w:rsid w:val="0082262E"/>
    <w:rsid w:val="00860D01"/>
    <w:rsid w:val="008E61C9"/>
    <w:rsid w:val="00942E79"/>
    <w:rsid w:val="009A10B3"/>
    <w:rsid w:val="009B116F"/>
    <w:rsid w:val="009C713E"/>
    <w:rsid w:val="00AD1431"/>
    <w:rsid w:val="00AD441D"/>
    <w:rsid w:val="00B05821"/>
    <w:rsid w:val="00B17CBB"/>
    <w:rsid w:val="00B66B44"/>
    <w:rsid w:val="00BD7237"/>
    <w:rsid w:val="00C868A3"/>
    <w:rsid w:val="00CC3B4D"/>
    <w:rsid w:val="00D64DF9"/>
    <w:rsid w:val="00D93664"/>
    <w:rsid w:val="00DB3331"/>
    <w:rsid w:val="00DF0CE3"/>
    <w:rsid w:val="00E54348"/>
    <w:rsid w:val="00EA751F"/>
    <w:rsid w:val="00EA79E9"/>
    <w:rsid w:val="00F60F98"/>
    <w:rsid w:val="00F9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7E03C"/>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NoSpacing">
    <w:name w:val="No Spacing"/>
    <w:uiPriority w:val="1"/>
    <w:qFormat/>
    <w:rsid w:val="00390D6B"/>
    <w:pPr>
      <w:widowControl/>
      <w:autoSpaceDE/>
      <w:autoSpaceDN/>
    </w:pPr>
    <w:rPr>
      <w:rFonts w:ascii="Tms Rmn" w:eastAsia="Times New Roman" w:hAnsi="Tms Rmn" w:cs="Times New Roman"/>
      <w:sz w:val="20"/>
      <w:szCs w:val="20"/>
    </w:rPr>
  </w:style>
  <w:style w:type="character" w:styleId="Hyperlink">
    <w:name w:val="Hyperlink"/>
    <w:rsid w:val="00390D6B"/>
    <w:rPr>
      <w:color w:val="0000FF"/>
      <w:u w:val="single"/>
    </w:rPr>
  </w:style>
  <w:style w:type="paragraph" w:styleId="Header">
    <w:name w:val="header"/>
    <w:basedOn w:val="Normal"/>
    <w:link w:val="HeaderChar"/>
    <w:uiPriority w:val="99"/>
    <w:unhideWhenUsed/>
    <w:rsid w:val="00305154"/>
    <w:pPr>
      <w:tabs>
        <w:tab w:val="center" w:pos="4680"/>
        <w:tab w:val="right" w:pos="9360"/>
      </w:tabs>
    </w:pPr>
  </w:style>
  <w:style w:type="character" w:customStyle="1" w:styleId="HeaderChar">
    <w:name w:val="Header Char"/>
    <w:basedOn w:val="DefaultParagraphFont"/>
    <w:link w:val="Header"/>
    <w:uiPriority w:val="99"/>
    <w:rsid w:val="00305154"/>
    <w:rPr>
      <w:rFonts w:ascii="Arial" w:eastAsia="Arial" w:hAnsi="Arial" w:cs="Arial"/>
      <w:lang w:bidi="en-US"/>
    </w:rPr>
  </w:style>
  <w:style w:type="paragraph" w:styleId="Footer">
    <w:name w:val="footer"/>
    <w:basedOn w:val="Normal"/>
    <w:link w:val="FooterChar"/>
    <w:uiPriority w:val="99"/>
    <w:unhideWhenUsed/>
    <w:rsid w:val="00305154"/>
    <w:pPr>
      <w:tabs>
        <w:tab w:val="center" w:pos="4680"/>
        <w:tab w:val="right" w:pos="9360"/>
      </w:tabs>
    </w:pPr>
  </w:style>
  <w:style w:type="character" w:customStyle="1" w:styleId="FooterChar">
    <w:name w:val="Footer Char"/>
    <w:basedOn w:val="DefaultParagraphFont"/>
    <w:link w:val="Footer"/>
    <w:uiPriority w:val="99"/>
    <w:rsid w:val="00305154"/>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3A6B43"/>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3A6B43"/>
    <w:rPr>
      <w:rFonts w:ascii="Arial" w:eastAsia="Arial" w:hAnsi="Arial" w:cs="Arial"/>
      <w:b/>
      <w:bCs/>
      <w:color w:val="2E5395"/>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8901">
      <w:bodyDiv w:val="1"/>
      <w:marLeft w:val="0"/>
      <w:marRight w:val="0"/>
      <w:marTop w:val="0"/>
      <w:marBottom w:val="0"/>
      <w:divBdr>
        <w:top w:val="none" w:sz="0" w:space="0" w:color="auto"/>
        <w:left w:val="none" w:sz="0" w:space="0" w:color="auto"/>
        <w:bottom w:val="none" w:sz="0" w:space="0" w:color="auto"/>
        <w:right w:val="none" w:sz="0" w:space="0" w:color="auto"/>
      </w:divBdr>
    </w:div>
    <w:div w:id="603273271">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90865816">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406026885">
      <w:bodyDiv w:val="1"/>
      <w:marLeft w:val="0"/>
      <w:marRight w:val="0"/>
      <w:marTop w:val="0"/>
      <w:marBottom w:val="0"/>
      <w:divBdr>
        <w:top w:val="none" w:sz="0" w:space="0" w:color="auto"/>
        <w:left w:val="none" w:sz="0" w:space="0" w:color="auto"/>
        <w:bottom w:val="none" w:sz="0" w:space="0" w:color="auto"/>
        <w:right w:val="none" w:sz="0" w:space="0" w:color="auto"/>
      </w:divBdr>
    </w:div>
    <w:div w:id="1494563966">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sc.noaa.gov/Publications/AFSC-TM/NOAA-TM-AFSC-25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TotalTime>
  <Pages>1</Pages>
  <Words>3629</Words>
  <Characters>21126</Characters>
  <Application>Microsoft Office Word</Application>
  <DocSecurity>0</DocSecurity>
  <Lines>1173</Lines>
  <Paragraphs>669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23</cp:revision>
  <dcterms:created xsi:type="dcterms:W3CDTF">2021-12-30T00:18:00Z</dcterms:created>
  <dcterms:modified xsi:type="dcterms:W3CDTF">2022-04-21T20:31:00Z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