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237" w:rsidR="008E61C9" w:rsidP="00BD7237" w:rsidRDefault="001477A3" w14:paraId="00CD1062" w14:textId="583A09D9">
      <w:pPr>
        <w:pStyle w:val="Heading1"/>
        <w:ind w:left="0"/>
        <w:jc w:val="center"/>
        <w:rPr>
          <w:rFonts w:ascii="Times New Roman" w:hAnsi="Times New Roman" w:cs="Times New Roman"/>
        </w:rPr>
      </w:pPr>
      <w:r w:rsidRPr="00BD7237">
        <w:rPr>
          <w:rFonts w:ascii="Times New Roman" w:hAnsi="Times New Roman" w:cs="Times New Roman"/>
        </w:rPr>
        <w:t>SUPPORTING STATEMENT</w:t>
      </w:r>
    </w:p>
    <w:p w:rsidRPr="00BD7237" w:rsidR="00BD7237" w:rsidP="00BD7237" w:rsidRDefault="001477A3" w14:paraId="55FA4057" w14:textId="77777777">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U.S. Department of Commerce</w:t>
      </w:r>
    </w:p>
    <w:p w:rsidRPr="00BD7237" w:rsidR="008E61C9" w:rsidP="00BD7237" w:rsidRDefault="00BD7237" w14:paraId="7C83210B" w14:textId="77777777">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National Oceanic &amp; Atmospheric Administration</w:t>
      </w:r>
    </w:p>
    <w:p w:rsidRPr="00BD7237" w:rsidR="00BD7237" w:rsidP="00BD7237" w:rsidRDefault="00B964A3" w14:paraId="4D97ADB0" w14:textId="6E317E06">
      <w:pPr>
        <w:spacing w:line="259" w:lineRule="auto"/>
        <w:ind w:hanging="6"/>
        <w:jc w:val="center"/>
        <w:rPr>
          <w:rFonts w:ascii="Times New Roman" w:hAnsi="Times New Roman" w:cs="Times New Roman"/>
          <w:b/>
          <w:sz w:val="24"/>
          <w:szCs w:val="24"/>
        </w:rPr>
      </w:pPr>
      <w:r>
        <w:rPr>
          <w:rFonts w:ascii="Times New Roman" w:hAnsi="Times New Roman" w:cs="Times New Roman"/>
          <w:b/>
          <w:sz w:val="24"/>
          <w:szCs w:val="24"/>
        </w:rPr>
        <w:t>Southeast Region Vessel Monitoring System (VMS) and Related Requirements</w:t>
      </w:r>
    </w:p>
    <w:p w:rsidRPr="00BD7237" w:rsidR="008E61C9" w:rsidP="00BD7237" w:rsidRDefault="001477A3" w14:paraId="4EEF1B2B" w14:textId="768869F5">
      <w:pPr>
        <w:spacing w:line="259" w:lineRule="auto"/>
        <w:ind w:hanging="6"/>
        <w:jc w:val="center"/>
        <w:rPr>
          <w:rFonts w:ascii="Times New Roman" w:hAnsi="Times New Roman" w:cs="Times New Roman"/>
          <w:b/>
          <w:sz w:val="24"/>
          <w:szCs w:val="24"/>
        </w:rPr>
      </w:pPr>
      <w:r w:rsidRPr="00BD7237">
        <w:rPr>
          <w:rFonts w:ascii="Times New Roman" w:hAnsi="Times New Roman" w:cs="Times New Roman"/>
          <w:b/>
          <w:sz w:val="24"/>
          <w:szCs w:val="24"/>
        </w:rPr>
        <w:t>OMB Control No. 06</w:t>
      </w:r>
      <w:r w:rsidRPr="00BD7237" w:rsidR="00BD7237">
        <w:rPr>
          <w:rFonts w:ascii="Times New Roman" w:hAnsi="Times New Roman" w:cs="Times New Roman"/>
          <w:b/>
          <w:sz w:val="24"/>
          <w:szCs w:val="24"/>
        </w:rPr>
        <w:t>48</w:t>
      </w:r>
      <w:r w:rsidR="00B964A3">
        <w:rPr>
          <w:rFonts w:ascii="Times New Roman" w:hAnsi="Times New Roman" w:cs="Times New Roman"/>
          <w:b/>
          <w:sz w:val="24"/>
          <w:szCs w:val="24"/>
        </w:rPr>
        <w:t>-0544</w:t>
      </w:r>
    </w:p>
    <w:p w:rsidRPr="00BD7237" w:rsidR="008E61C9" w:rsidP="00BD7237" w:rsidRDefault="008E61C9" w14:paraId="45F21F7B" w14:textId="77777777">
      <w:pPr>
        <w:pStyle w:val="BodyText"/>
        <w:spacing w:before="1"/>
        <w:ind w:left="0"/>
        <w:jc w:val="center"/>
        <w:rPr>
          <w:rFonts w:ascii="Times New Roman" w:hAnsi="Times New Roman" w:cs="Times New Roman"/>
          <w:b/>
        </w:rPr>
      </w:pPr>
    </w:p>
    <w:p w:rsidRPr="00BD7237" w:rsidR="008E61C9" w:rsidP="00BD7237" w:rsidRDefault="001477A3" w14:paraId="0CCEED7E" w14:textId="77777777">
      <w:pPr>
        <w:pStyle w:val="Heading1"/>
        <w:spacing w:before="199"/>
        <w:ind w:left="0"/>
        <w:rPr>
          <w:rFonts w:ascii="Times New Roman" w:hAnsi="Times New Roman" w:cs="Times New Roman"/>
        </w:rPr>
      </w:pPr>
      <w:r w:rsidRPr="00BD7237">
        <w:rPr>
          <w:rFonts w:ascii="Times New Roman" w:hAnsi="Times New Roman" w:cs="Times New Roman"/>
        </w:rPr>
        <w:t>Abstract</w:t>
      </w:r>
    </w:p>
    <w:p w:rsidRPr="00B964A3" w:rsidR="005B6F4E" w:rsidP="00B039D7" w:rsidRDefault="00FF5540" w14:paraId="37A833A8" w14:textId="77777777">
      <w:pPr>
        <w:spacing w:before="120"/>
        <w:ind w:left="360"/>
        <w:rPr>
          <w:rFonts w:ascii="Times New Roman" w:hAnsi="Times New Roman" w:cs="Times New Roman"/>
          <w:color w:val="000000" w:themeColor="text1"/>
          <w:sz w:val="24"/>
          <w:szCs w:val="24"/>
        </w:rPr>
      </w:pPr>
      <w:r w:rsidRPr="00B964A3">
        <w:rPr>
          <w:rFonts w:ascii="Times New Roman" w:hAnsi="Times New Roman" w:cs="Times New Roman"/>
          <w:color w:val="000000" w:themeColor="text1"/>
          <w:sz w:val="24"/>
          <w:szCs w:val="24"/>
        </w:rPr>
        <w:t xml:space="preserve">The NMFS, Office of Law Enforcement, Southeast Enforcement Division is submitting this request for an extension of a currently approved information collection. </w:t>
      </w:r>
    </w:p>
    <w:p w:rsidRPr="00B964A3" w:rsidR="005B6F4E" w:rsidP="00B039D7" w:rsidRDefault="00FF5540" w14:paraId="7157A0AF" w14:textId="15273968">
      <w:pPr>
        <w:spacing w:before="120"/>
        <w:ind w:left="360"/>
        <w:rPr>
          <w:rFonts w:ascii="Times New Roman" w:hAnsi="Times New Roman" w:cs="Times New Roman"/>
          <w:color w:val="000000" w:themeColor="text1"/>
          <w:sz w:val="24"/>
          <w:szCs w:val="24"/>
        </w:rPr>
      </w:pPr>
      <w:r w:rsidRPr="00B964A3">
        <w:rPr>
          <w:rFonts w:ascii="Times New Roman" w:hAnsi="Times New Roman" w:cs="Times New Roman"/>
          <w:color w:val="000000" w:themeColor="text1"/>
          <w:sz w:val="24"/>
          <w:szCs w:val="24"/>
        </w:rPr>
        <w:t>The Magnuson-Stevens Fishery Conservation and Management Act authorizes the Gulf of Mexico Fishery</w:t>
      </w:r>
      <w:r w:rsidRPr="00B964A3" w:rsidR="005B6F4E">
        <w:rPr>
          <w:rFonts w:ascii="Times New Roman" w:hAnsi="Times New Roman" w:cs="Times New Roman"/>
          <w:color w:val="000000" w:themeColor="text1"/>
          <w:sz w:val="24"/>
          <w:szCs w:val="24"/>
        </w:rPr>
        <w:t xml:space="preserve"> </w:t>
      </w:r>
      <w:r w:rsidRPr="00B964A3">
        <w:rPr>
          <w:rFonts w:ascii="Times New Roman" w:hAnsi="Times New Roman" w:cs="Times New Roman"/>
          <w:color w:val="000000" w:themeColor="text1"/>
          <w:sz w:val="24"/>
          <w:szCs w:val="24"/>
        </w:rPr>
        <w:t>Management Council (Gulf Council) and South Atlantic Fishery Management Council (South Atlantic Council) to prepare and amend fishery management plans for any fishery in Federal waters under their respective jurisdictions. NMFS and the Gulf Council manage the reef fish fishery in the Gulf of Mexico (Gulf) under the Fishery Management Plan (FMP) for the Reef Fish Resources of the Gulf of Mexico. NMFS and the South Atlantic Council manage the</w:t>
      </w:r>
      <w:r w:rsidRPr="00B964A3" w:rsidR="005B6F4E">
        <w:rPr>
          <w:rFonts w:ascii="Times New Roman" w:hAnsi="Times New Roman" w:cs="Times New Roman"/>
          <w:color w:val="000000" w:themeColor="text1"/>
          <w:sz w:val="24"/>
          <w:szCs w:val="24"/>
        </w:rPr>
        <w:t xml:space="preserve"> </w:t>
      </w:r>
      <w:r w:rsidRPr="00B964A3">
        <w:rPr>
          <w:rFonts w:ascii="Times New Roman" w:hAnsi="Times New Roman" w:cs="Times New Roman"/>
          <w:color w:val="000000" w:themeColor="text1"/>
          <w:sz w:val="24"/>
          <w:szCs w:val="24"/>
        </w:rPr>
        <w:t xml:space="preserve">fishery for rock shrimp in the South Atlantic under the FMP for the Shrimp Fishery in the South Atlantic Region. </w:t>
      </w:r>
    </w:p>
    <w:p w:rsidRPr="00B964A3" w:rsidR="005B6F4E" w:rsidP="00B039D7" w:rsidRDefault="00FF5540" w14:paraId="43FCEA4B" w14:textId="07BDFE37">
      <w:pPr>
        <w:spacing w:before="120"/>
        <w:ind w:left="360"/>
        <w:rPr>
          <w:rFonts w:ascii="Times New Roman" w:hAnsi="Times New Roman" w:cs="Times New Roman"/>
          <w:color w:val="000000" w:themeColor="text1"/>
          <w:sz w:val="24"/>
          <w:szCs w:val="24"/>
        </w:rPr>
      </w:pPr>
      <w:r w:rsidRPr="00B964A3">
        <w:rPr>
          <w:rFonts w:ascii="Times New Roman" w:hAnsi="Times New Roman" w:cs="Times New Roman"/>
          <w:color w:val="000000" w:themeColor="text1"/>
          <w:sz w:val="24"/>
          <w:szCs w:val="24"/>
        </w:rPr>
        <w:t xml:space="preserve">The FMPs and the implementing regulations contain several specific management areas where fishing is </w:t>
      </w:r>
      <w:r w:rsidRPr="00B964A3" w:rsidR="005B6F4E">
        <w:rPr>
          <w:rFonts w:ascii="Times New Roman" w:hAnsi="Times New Roman" w:cs="Times New Roman"/>
          <w:color w:val="000000" w:themeColor="text1"/>
          <w:sz w:val="24"/>
          <w:szCs w:val="24"/>
        </w:rPr>
        <w:t xml:space="preserve">restricted; enforcement for which </w:t>
      </w:r>
      <w:proofErr w:type="gramStart"/>
      <w:r w:rsidRPr="00B964A3" w:rsidR="005B6F4E">
        <w:rPr>
          <w:rFonts w:ascii="Times New Roman" w:hAnsi="Times New Roman" w:cs="Times New Roman"/>
          <w:color w:val="000000" w:themeColor="text1"/>
          <w:sz w:val="24"/>
          <w:szCs w:val="24"/>
        </w:rPr>
        <w:t>is most effectively conducted</w:t>
      </w:r>
      <w:proofErr w:type="gramEnd"/>
      <w:r w:rsidRPr="00B964A3" w:rsidR="005B6F4E">
        <w:rPr>
          <w:rFonts w:ascii="Times New Roman" w:hAnsi="Times New Roman" w:cs="Times New Roman"/>
          <w:color w:val="000000" w:themeColor="text1"/>
          <w:sz w:val="24"/>
          <w:szCs w:val="24"/>
        </w:rPr>
        <w:t xml:space="preserve"> using VMS technology.  </w:t>
      </w:r>
    </w:p>
    <w:p w:rsidRPr="00B964A3" w:rsidR="00FF5540" w:rsidP="00B039D7" w:rsidRDefault="00FF5540" w14:paraId="559B71F7" w14:textId="003C96B4">
      <w:pPr>
        <w:spacing w:before="120"/>
        <w:ind w:left="360"/>
        <w:rPr>
          <w:rFonts w:ascii="Times New Roman" w:hAnsi="Times New Roman" w:cs="Times New Roman"/>
          <w:color w:val="000000" w:themeColor="text1"/>
          <w:sz w:val="24"/>
          <w:szCs w:val="24"/>
        </w:rPr>
      </w:pPr>
      <w:r w:rsidRPr="00B964A3">
        <w:rPr>
          <w:rFonts w:ascii="Times New Roman" w:hAnsi="Times New Roman" w:cs="Times New Roman"/>
          <w:color w:val="000000" w:themeColor="text1"/>
          <w:sz w:val="24"/>
          <w:szCs w:val="24"/>
        </w:rPr>
        <w:t>The information collected on the ‘‘Vessel Monitoring System Installation and Activation Certification for the Reef Fish Fishery of the Gulf of Mexico’’</w:t>
      </w:r>
      <w:r w:rsidRPr="00B964A3" w:rsidR="005B6F4E">
        <w:rPr>
          <w:rFonts w:ascii="Times New Roman" w:hAnsi="Times New Roman" w:cs="Times New Roman"/>
          <w:color w:val="000000" w:themeColor="text1"/>
          <w:sz w:val="24"/>
          <w:szCs w:val="24"/>
        </w:rPr>
        <w:t xml:space="preserve"> </w:t>
      </w:r>
      <w:r w:rsidRPr="00B964A3">
        <w:rPr>
          <w:rFonts w:ascii="Times New Roman" w:hAnsi="Times New Roman" w:cs="Times New Roman"/>
          <w:color w:val="000000" w:themeColor="text1"/>
          <w:sz w:val="24"/>
          <w:szCs w:val="24"/>
        </w:rPr>
        <w:t>form provides NMFS assurance that vessels are compliant with the requirements to install and activate an approved VMS unit. Information collected on the ‘‘Vessel Monitoring System Mobile Transceiver Unit (MTU) Power-Down Exemption Request for Vessels in the Gulf of Mexico</w:t>
      </w:r>
      <w:r w:rsidRPr="00B964A3" w:rsidR="005B6F4E">
        <w:rPr>
          <w:rFonts w:ascii="Times New Roman" w:hAnsi="Times New Roman" w:cs="Times New Roman"/>
          <w:color w:val="000000" w:themeColor="text1"/>
          <w:sz w:val="24"/>
          <w:szCs w:val="24"/>
        </w:rPr>
        <w:t xml:space="preserve"> </w:t>
      </w:r>
      <w:r w:rsidRPr="00B964A3">
        <w:rPr>
          <w:rFonts w:ascii="Times New Roman" w:hAnsi="Times New Roman" w:cs="Times New Roman"/>
          <w:color w:val="000000" w:themeColor="text1"/>
          <w:sz w:val="24"/>
          <w:szCs w:val="24"/>
        </w:rPr>
        <w:t>Reef Fish Fishery’’ form provides information that allows NMFS to exempt a vessel from the VMS reporting requirement</w:t>
      </w:r>
      <w:r w:rsidRPr="00B964A3" w:rsidR="005B6F4E">
        <w:rPr>
          <w:rFonts w:ascii="Times New Roman" w:hAnsi="Times New Roman" w:cs="Times New Roman"/>
          <w:color w:val="000000" w:themeColor="text1"/>
          <w:sz w:val="24"/>
          <w:szCs w:val="24"/>
        </w:rPr>
        <w:t xml:space="preserve"> </w:t>
      </w:r>
      <w:r w:rsidRPr="00B964A3">
        <w:rPr>
          <w:rFonts w:ascii="Times New Roman" w:hAnsi="Times New Roman" w:cs="Times New Roman"/>
          <w:color w:val="000000" w:themeColor="text1"/>
          <w:sz w:val="24"/>
          <w:szCs w:val="24"/>
        </w:rPr>
        <w:t>under specific criteria.</w:t>
      </w:r>
    </w:p>
    <w:p w:rsidRPr="00B964A3" w:rsidR="00D833E2" w:rsidP="00B039D7" w:rsidRDefault="00D833E2" w14:paraId="5281FA62" w14:textId="4FCD2D7D">
      <w:pPr>
        <w:spacing w:before="120"/>
        <w:ind w:left="360"/>
        <w:rPr>
          <w:rFonts w:ascii="Times New Roman" w:hAnsi="Times New Roman" w:cs="Times New Roman"/>
          <w:color w:val="000000" w:themeColor="text1"/>
          <w:sz w:val="24"/>
          <w:szCs w:val="24"/>
        </w:rPr>
      </w:pPr>
      <w:r w:rsidRPr="00B964A3">
        <w:rPr>
          <w:rFonts w:ascii="Times New Roman" w:hAnsi="Times New Roman" w:cs="Times New Roman"/>
          <w:color w:val="000000" w:themeColor="text1"/>
          <w:sz w:val="24"/>
          <w:szCs w:val="24"/>
        </w:rPr>
        <w:t xml:space="preserve">Information collected in fishing activity declarations </w:t>
      </w:r>
      <w:proofErr w:type="gramStart"/>
      <w:r w:rsidRPr="00B964A3">
        <w:rPr>
          <w:rFonts w:ascii="Times New Roman" w:hAnsi="Times New Roman" w:cs="Times New Roman"/>
          <w:color w:val="000000" w:themeColor="text1"/>
          <w:sz w:val="24"/>
          <w:szCs w:val="24"/>
        </w:rPr>
        <w:t>is used</w:t>
      </w:r>
      <w:proofErr w:type="gramEnd"/>
      <w:r w:rsidRPr="00B964A3">
        <w:rPr>
          <w:rFonts w:ascii="Times New Roman" w:hAnsi="Times New Roman" w:cs="Times New Roman"/>
          <w:color w:val="000000" w:themeColor="text1"/>
          <w:sz w:val="24"/>
          <w:szCs w:val="24"/>
        </w:rPr>
        <w:t xml:space="preserve"> to identify fishing activities, necessary for law enforcement operational planning, so law enforcement will know in real time, with what fishing activities the vessels are engaged.</w:t>
      </w:r>
    </w:p>
    <w:p w:rsidR="00D833E2" w:rsidP="00D833E2" w:rsidRDefault="00D833E2" w14:paraId="5B561BDB" w14:textId="77777777">
      <w:pPr>
        <w:widowControl/>
        <w:ind w:firstLine="720"/>
        <w:contextualSpacing/>
        <w:rPr>
          <w:color w:val="FFC000"/>
          <w:sz w:val="24"/>
          <w:szCs w:val="24"/>
        </w:rPr>
      </w:pPr>
    </w:p>
    <w:p w:rsidRPr="00B964A3" w:rsidR="008E61C9" w:rsidP="00B964A3" w:rsidRDefault="001477A3" w14:paraId="33B3C832" w14:textId="723C8DE7">
      <w:pPr>
        <w:pStyle w:val="ListParagraph"/>
        <w:widowControl/>
        <w:numPr>
          <w:ilvl w:val="0"/>
          <w:numId w:val="17"/>
        </w:numPr>
        <w:contextualSpacing/>
        <w:rPr>
          <w:rFonts w:ascii="Times New Roman" w:hAnsi="Times New Roman" w:cs="Times New Roman"/>
          <w:b/>
          <w:sz w:val="24"/>
          <w:szCs w:val="24"/>
        </w:rPr>
      </w:pPr>
      <w:r w:rsidRPr="00B964A3">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00189" w:rsidP="00B964A3" w:rsidRDefault="00500189" w14:paraId="739350E4" w14:textId="2D70DCDB">
      <w:pPr>
        <w:spacing w:before="120"/>
        <w:ind w:left="360"/>
        <w:rPr>
          <w:rFonts w:ascii="Times New Roman" w:hAnsi="Times New Roman" w:cs="Times New Roman"/>
          <w:color w:val="000000" w:themeColor="text1"/>
          <w:sz w:val="24"/>
          <w:szCs w:val="24"/>
        </w:rPr>
      </w:pPr>
      <w:r w:rsidRPr="00B964A3">
        <w:rPr>
          <w:rFonts w:ascii="Times New Roman" w:hAnsi="Times New Roman" w:cs="Times New Roman"/>
          <w:color w:val="000000" w:themeColor="text1"/>
          <w:sz w:val="24"/>
          <w:szCs w:val="24"/>
        </w:rPr>
        <w:t>The Magnuson-Stevens Fishery Conservation and Management Act (Magnuson-Stevens Act) authorizes the Gulf of Mexico Fishery Management Council (Gulf Council) and South Atlantic Fishery Management Council (South Atlantic Council) to prepare and amend fishery management plans (FMPs) for any fishery in federal waters under their respective jurisdictions. The National Marine Fisheries Service (NMFS) and the Gulf Council manage the reef fish fishery in the Gulf of Mexico (Gulf) under the Reef Fish FMP. NMFS and the South Atlantic Council manage the fishery for rock shrimp in the South Atlantic under the Shrimp FMP.</w:t>
      </w:r>
    </w:p>
    <w:p w:rsidRPr="00B964A3" w:rsidR="00B964A3" w:rsidP="00B964A3" w:rsidRDefault="00B964A3" w14:paraId="5DD586FD" w14:textId="77777777">
      <w:pPr>
        <w:spacing w:before="120"/>
        <w:ind w:left="360"/>
        <w:rPr>
          <w:rFonts w:ascii="Times New Roman" w:hAnsi="Times New Roman" w:cs="Times New Roman"/>
          <w:color w:val="000000" w:themeColor="text1"/>
          <w:sz w:val="24"/>
          <w:szCs w:val="24"/>
        </w:rPr>
      </w:pPr>
    </w:p>
    <w:p w:rsidR="00500189" w:rsidP="00B964A3" w:rsidRDefault="00500189" w14:paraId="2C29F535" w14:textId="1B35724B">
      <w:pPr>
        <w:spacing w:before="120"/>
        <w:ind w:left="360"/>
        <w:rPr>
          <w:rFonts w:ascii="Times New Roman" w:hAnsi="Times New Roman" w:cs="Times New Roman"/>
          <w:color w:val="000000" w:themeColor="text1"/>
          <w:sz w:val="24"/>
          <w:szCs w:val="24"/>
        </w:rPr>
      </w:pPr>
      <w:r w:rsidRPr="00B964A3">
        <w:rPr>
          <w:rFonts w:ascii="Times New Roman" w:hAnsi="Times New Roman" w:cs="Times New Roman"/>
          <w:color w:val="000000" w:themeColor="text1"/>
          <w:sz w:val="24"/>
          <w:szCs w:val="24"/>
        </w:rPr>
        <w:lastRenderedPageBreak/>
        <w:t xml:space="preserve">Owners and operators of federally permitted Gulf reef fish and South Atlantic rock shrimp vessels must have installed and use a functional, NMFS approved satellite-linked vessel monitoring system (VMS) unit on their vessels. NMFS requires specific types of data submissions and agency notifications through VMS. In addition, NMFS requires a functional VMS unit on the vessel to renew a Gulf reef fish permit. VMS regulations applicable to the Gulf reef fish fishery and South Atlantic rock shrimp fishery may be found at 50 CFR § 622.28 and </w:t>
      </w:r>
      <w:r w:rsidRPr="00B964A3" w:rsidR="000F7BDD">
        <w:rPr>
          <w:rFonts w:ascii="Times New Roman" w:hAnsi="Times New Roman" w:cs="Times New Roman"/>
          <w:color w:val="000000" w:themeColor="text1"/>
          <w:sz w:val="24"/>
          <w:szCs w:val="24"/>
        </w:rPr>
        <w:t>§</w:t>
      </w:r>
      <w:r w:rsidRPr="00B964A3">
        <w:rPr>
          <w:rFonts w:ascii="Times New Roman" w:hAnsi="Times New Roman" w:cs="Times New Roman"/>
          <w:color w:val="000000" w:themeColor="text1"/>
          <w:sz w:val="24"/>
          <w:szCs w:val="24"/>
        </w:rPr>
        <w:t>622.205, respectively.</w:t>
      </w:r>
    </w:p>
    <w:p w:rsidRPr="00B964A3" w:rsidR="00B964A3" w:rsidP="00B964A3" w:rsidRDefault="00B964A3" w14:paraId="6C6E729F" w14:textId="77777777">
      <w:pPr>
        <w:spacing w:before="120"/>
        <w:ind w:left="360"/>
        <w:rPr>
          <w:rFonts w:ascii="Times New Roman" w:hAnsi="Times New Roman" w:cs="Times New Roman"/>
          <w:color w:val="000000" w:themeColor="text1"/>
          <w:sz w:val="24"/>
          <w:szCs w:val="24"/>
        </w:rPr>
      </w:pPr>
    </w:p>
    <w:p w:rsidRPr="00B964A3" w:rsidR="00500189" w:rsidP="00B039D7" w:rsidRDefault="00500189" w14:paraId="60B0B769" w14:textId="61CC4F60">
      <w:pPr>
        <w:spacing w:before="120"/>
        <w:ind w:left="360"/>
        <w:rPr>
          <w:rFonts w:ascii="Times New Roman" w:hAnsi="Times New Roman" w:cs="Times New Roman"/>
          <w:color w:val="000000" w:themeColor="text1"/>
          <w:sz w:val="24"/>
          <w:szCs w:val="24"/>
        </w:rPr>
      </w:pPr>
      <w:r w:rsidRPr="00B964A3">
        <w:rPr>
          <w:rFonts w:ascii="Times New Roman" w:hAnsi="Times New Roman" w:cs="Times New Roman"/>
          <w:color w:val="000000" w:themeColor="text1"/>
          <w:sz w:val="24"/>
          <w:szCs w:val="24"/>
        </w:rPr>
        <w:t>The FMPs contain several area-specific regulations where fishing is restricted or prohibited in order to protect habitat or spawning aggregations, or to control fishing pressure</w:t>
      </w:r>
      <w:r w:rsidRPr="00B964A3" w:rsidR="001C134F">
        <w:rPr>
          <w:rFonts w:ascii="Times New Roman" w:hAnsi="Times New Roman" w:cs="Times New Roman"/>
          <w:color w:val="000000" w:themeColor="text1"/>
          <w:sz w:val="24"/>
          <w:szCs w:val="24"/>
        </w:rPr>
        <w:t xml:space="preserve">.  </w:t>
      </w:r>
      <w:r w:rsidRPr="00B964A3">
        <w:rPr>
          <w:rFonts w:ascii="Times New Roman" w:hAnsi="Times New Roman" w:cs="Times New Roman"/>
          <w:color w:val="000000" w:themeColor="text1"/>
          <w:sz w:val="24"/>
          <w:szCs w:val="24"/>
        </w:rPr>
        <w:t xml:space="preserve">Unlike size, bag, and trip limits, where the catch </w:t>
      </w:r>
      <w:proofErr w:type="gramStart"/>
      <w:r w:rsidRPr="00B964A3">
        <w:rPr>
          <w:rFonts w:ascii="Times New Roman" w:hAnsi="Times New Roman" w:cs="Times New Roman"/>
          <w:color w:val="000000" w:themeColor="text1"/>
          <w:sz w:val="24"/>
          <w:szCs w:val="24"/>
        </w:rPr>
        <w:t>can be monitored</w:t>
      </w:r>
      <w:proofErr w:type="gramEnd"/>
      <w:r w:rsidRPr="00B964A3">
        <w:rPr>
          <w:rFonts w:ascii="Times New Roman" w:hAnsi="Times New Roman" w:cs="Times New Roman"/>
          <w:color w:val="000000" w:themeColor="text1"/>
          <w:sz w:val="24"/>
          <w:szCs w:val="24"/>
        </w:rPr>
        <w:t xml:space="preserve"> on shore when a vessel returns to port, area restrictions require at-sea enforcement. However, at-sea enforcement of offshore area restrictions is difficult due to the distance from shore and the limited number of patrol vessels, resulting in a need to improve enforceability of area fishing restrictions through remote sensing methods. In addition, all fishing gears are subject to some area fishing restrictions. Because of the sizes of these areas and the distances from shore, the effectiveness of enforcement through over flights and at-sea interception is limited. An electronic VMS allows a more effective means to monitor vessels for intrusions into restricted areas.</w:t>
      </w:r>
      <w:r w:rsidRPr="00B964A3" w:rsidR="001C134F">
        <w:rPr>
          <w:rFonts w:ascii="Times New Roman" w:hAnsi="Times New Roman" w:cs="Times New Roman"/>
          <w:color w:val="000000" w:themeColor="text1"/>
          <w:sz w:val="24"/>
          <w:szCs w:val="24"/>
        </w:rPr>
        <w:t xml:space="preserve">  As a further aid to law enforcement officials, prior to departure for each trip, each vessel owner or operator must report their planned fishing activity, and the gear on board the vessel.</w:t>
      </w:r>
    </w:p>
    <w:p w:rsidRPr="00B964A3" w:rsidR="00500189" w:rsidP="00B039D7" w:rsidRDefault="00500189" w14:paraId="76792A15" w14:textId="77777777">
      <w:pPr>
        <w:spacing w:before="120"/>
        <w:ind w:left="360"/>
        <w:rPr>
          <w:rFonts w:ascii="Times New Roman" w:hAnsi="Times New Roman" w:cs="Times New Roman"/>
          <w:color w:val="000000" w:themeColor="text1"/>
          <w:sz w:val="24"/>
          <w:szCs w:val="24"/>
        </w:rPr>
      </w:pPr>
    </w:p>
    <w:p w:rsidRPr="00B964A3" w:rsidR="0096409B" w:rsidP="00B039D7" w:rsidRDefault="00500189" w14:paraId="63F1086B" w14:textId="25495773">
      <w:pPr>
        <w:spacing w:before="120"/>
        <w:ind w:left="360"/>
        <w:rPr>
          <w:rFonts w:ascii="Times New Roman" w:hAnsi="Times New Roman" w:cs="Times New Roman"/>
          <w:color w:val="000000" w:themeColor="text1"/>
          <w:sz w:val="24"/>
          <w:szCs w:val="24"/>
        </w:rPr>
      </w:pPr>
      <w:r w:rsidRPr="00B964A3">
        <w:rPr>
          <w:rFonts w:ascii="Times New Roman" w:hAnsi="Times New Roman" w:cs="Times New Roman"/>
          <w:color w:val="000000" w:themeColor="text1"/>
          <w:sz w:val="24"/>
          <w:szCs w:val="24"/>
        </w:rPr>
        <w:t xml:space="preserve">The VMS provides effort data and significantly aids in enforcement of areas closed to fishing. To fish for or possess Gulf reef fish or South Atlantic rock shrimp in or from the exclusive economic zone (EEZ), a vessel owner or operator subject to the requirements for a VMS must allow NMFS, the United States Coast Guard (USCG), and their authorized officers and designees, access to the vessel's position data obtained from the VMS. </w:t>
      </w:r>
      <w:r w:rsidRPr="00B964A3" w:rsidR="001C134F">
        <w:rPr>
          <w:rFonts w:ascii="Times New Roman" w:hAnsi="Times New Roman" w:cs="Times New Roman"/>
          <w:color w:val="000000" w:themeColor="text1"/>
          <w:sz w:val="24"/>
          <w:szCs w:val="24"/>
        </w:rPr>
        <w:t xml:space="preserve">Installation and Activation forms provide assurance to data integrity, and power down exemption data provides flexibility to industry while giving Law Enforcement tools to ensure data for fishing activity </w:t>
      </w:r>
      <w:proofErr w:type="gramStart"/>
      <w:r w:rsidRPr="00B964A3" w:rsidR="001C134F">
        <w:rPr>
          <w:rFonts w:ascii="Times New Roman" w:hAnsi="Times New Roman" w:cs="Times New Roman"/>
          <w:color w:val="000000" w:themeColor="text1"/>
          <w:sz w:val="24"/>
          <w:szCs w:val="24"/>
        </w:rPr>
        <w:t>is collected</w:t>
      </w:r>
      <w:proofErr w:type="gramEnd"/>
      <w:r w:rsidRPr="00B964A3">
        <w:rPr>
          <w:rFonts w:ascii="Times New Roman" w:hAnsi="Times New Roman" w:cs="Times New Roman"/>
          <w:color w:val="000000" w:themeColor="text1"/>
          <w:sz w:val="24"/>
          <w:szCs w:val="24"/>
        </w:rPr>
        <w:t xml:space="preserve"> </w:t>
      </w:r>
    </w:p>
    <w:p w:rsidRPr="00B964A3" w:rsidR="0096409B" w:rsidP="00B039D7" w:rsidRDefault="0096409B" w14:paraId="0663E4CD" w14:textId="77777777">
      <w:pPr>
        <w:spacing w:before="120"/>
        <w:ind w:left="360"/>
        <w:rPr>
          <w:rFonts w:ascii="Times New Roman" w:hAnsi="Times New Roman" w:cs="Times New Roman"/>
          <w:color w:val="000000" w:themeColor="text1"/>
          <w:sz w:val="24"/>
          <w:szCs w:val="24"/>
        </w:rPr>
      </w:pPr>
    </w:p>
    <w:p w:rsidRPr="00B964A3" w:rsidR="00C17799" w:rsidP="00B039D7" w:rsidRDefault="001C134F" w14:paraId="43F7A623" w14:textId="73987BED">
      <w:pPr>
        <w:spacing w:before="120"/>
        <w:ind w:left="360"/>
        <w:rPr>
          <w:rFonts w:ascii="Times New Roman" w:hAnsi="Times New Roman" w:cs="Times New Roman"/>
          <w:color w:val="000000" w:themeColor="text1"/>
          <w:sz w:val="24"/>
          <w:szCs w:val="24"/>
        </w:rPr>
      </w:pPr>
      <w:r w:rsidRPr="00B964A3">
        <w:rPr>
          <w:rFonts w:ascii="Times New Roman" w:hAnsi="Times New Roman" w:cs="Times New Roman"/>
          <w:color w:val="000000" w:themeColor="text1"/>
          <w:sz w:val="24"/>
          <w:szCs w:val="24"/>
        </w:rPr>
        <w:t xml:space="preserve">The requirements for these data collections </w:t>
      </w:r>
      <w:proofErr w:type="gramStart"/>
      <w:r w:rsidRPr="00B964A3">
        <w:rPr>
          <w:rFonts w:ascii="Times New Roman" w:hAnsi="Times New Roman" w:cs="Times New Roman"/>
          <w:color w:val="000000" w:themeColor="text1"/>
          <w:sz w:val="24"/>
          <w:szCs w:val="24"/>
        </w:rPr>
        <w:t>are specified</w:t>
      </w:r>
      <w:proofErr w:type="gramEnd"/>
      <w:r w:rsidRPr="00B964A3">
        <w:rPr>
          <w:rFonts w:ascii="Times New Roman" w:hAnsi="Times New Roman" w:cs="Times New Roman"/>
          <w:color w:val="000000" w:themeColor="text1"/>
          <w:sz w:val="24"/>
          <w:szCs w:val="24"/>
        </w:rPr>
        <w:t xml:space="preserve"> as follows: </w:t>
      </w:r>
    </w:p>
    <w:p w:rsidRPr="00B964A3" w:rsidR="001C134F" w:rsidP="000D644A" w:rsidRDefault="001C134F" w14:paraId="3BD71A33" w14:textId="2132ABD4">
      <w:pPr>
        <w:pStyle w:val="ListParagraph"/>
        <w:numPr>
          <w:ilvl w:val="0"/>
          <w:numId w:val="16"/>
        </w:numPr>
        <w:spacing w:before="120"/>
        <w:rPr>
          <w:rFonts w:ascii="Times New Roman" w:hAnsi="Times New Roman" w:cs="Times New Roman"/>
          <w:color w:val="000000" w:themeColor="text1"/>
          <w:sz w:val="24"/>
          <w:szCs w:val="24"/>
        </w:rPr>
      </w:pPr>
      <w:r w:rsidRPr="00B964A3">
        <w:rPr>
          <w:rFonts w:ascii="Times New Roman" w:hAnsi="Times New Roman" w:cs="Times New Roman"/>
          <w:color w:val="000000" w:themeColor="text1"/>
          <w:sz w:val="24"/>
          <w:szCs w:val="24"/>
        </w:rPr>
        <w:t xml:space="preserve">Position Data collection:  </w:t>
      </w:r>
      <w:r w:rsidRPr="00B964A3" w:rsidR="00B24656">
        <w:rPr>
          <w:rFonts w:ascii="Times New Roman" w:hAnsi="Times New Roman" w:cs="Times New Roman"/>
          <w:color w:val="000000" w:themeColor="text1"/>
          <w:sz w:val="24"/>
          <w:szCs w:val="24"/>
        </w:rPr>
        <w:t xml:space="preserve">VMS regulations applicable to the Gulf reef fish fishery  is listed in </w:t>
      </w:r>
      <w:r w:rsidRPr="00B964A3">
        <w:rPr>
          <w:rFonts w:ascii="Times New Roman" w:hAnsi="Times New Roman" w:cs="Times New Roman"/>
          <w:color w:val="000000" w:themeColor="text1"/>
          <w:sz w:val="24"/>
          <w:szCs w:val="24"/>
        </w:rPr>
        <w:t xml:space="preserve">50 CFR 622.28(b), </w:t>
      </w:r>
      <w:r w:rsidRPr="00B964A3" w:rsidR="00B24656">
        <w:rPr>
          <w:rFonts w:ascii="Times New Roman" w:hAnsi="Times New Roman" w:cs="Times New Roman"/>
          <w:color w:val="000000" w:themeColor="text1"/>
          <w:sz w:val="24"/>
          <w:szCs w:val="24"/>
        </w:rPr>
        <w:t xml:space="preserve">VMS regulations applicable to the South Atlantic rock shrimp fishery are listed here:  </w:t>
      </w:r>
      <w:hyperlink w:history="1" w:anchor="p-622.224(b)(1)(i)(C)" r:id="rId8">
        <w:r w:rsidRPr="00B964A3">
          <w:rPr>
            <w:rFonts w:ascii="Times New Roman" w:hAnsi="Times New Roman" w:cs="Times New Roman"/>
            <w:color w:val="000000" w:themeColor="text1"/>
            <w:sz w:val="24"/>
            <w:szCs w:val="24"/>
          </w:rPr>
          <w:t>50 CFR 622.224(b)(1)(</w:t>
        </w:r>
        <w:proofErr w:type="spellStart"/>
        <w:r w:rsidRPr="00B964A3">
          <w:rPr>
            <w:rFonts w:ascii="Times New Roman" w:hAnsi="Times New Roman" w:cs="Times New Roman"/>
            <w:color w:val="000000" w:themeColor="text1"/>
            <w:sz w:val="24"/>
            <w:szCs w:val="24"/>
          </w:rPr>
          <w:t>i</w:t>
        </w:r>
        <w:proofErr w:type="spellEnd"/>
        <w:r w:rsidRPr="00B964A3">
          <w:rPr>
            <w:rFonts w:ascii="Times New Roman" w:hAnsi="Times New Roman" w:cs="Times New Roman"/>
            <w:color w:val="000000" w:themeColor="text1"/>
            <w:sz w:val="24"/>
            <w:szCs w:val="24"/>
          </w:rPr>
          <w:t>)(C)</w:t>
        </w:r>
      </w:hyperlink>
      <w:r w:rsidRPr="00B964A3" w:rsidR="00B24656">
        <w:rPr>
          <w:rFonts w:ascii="Times New Roman" w:hAnsi="Times New Roman" w:cs="Times New Roman"/>
          <w:color w:val="000000" w:themeColor="text1"/>
          <w:sz w:val="24"/>
          <w:szCs w:val="24"/>
        </w:rPr>
        <w:t xml:space="preserve">, </w:t>
      </w:r>
      <w:hyperlink w:history="1" w:anchor="p-622.205(a)" r:id="rId9">
        <w:r w:rsidRPr="00B964A3" w:rsidR="00B24656">
          <w:rPr>
            <w:rFonts w:ascii="Times New Roman" w:hAnsi="Times New Roman" w:cs="Times New Roman"/>
            <w:color w:val="000000" w:themeColor="text1"/>
            <w:sz w:val="24"/>
            <w:szCs w:val="24"/>
          </w:rPr>
          <w:t>50 CFR 622.205(a)</w:t>
        </w:r>
      </w:hyperlink>
    </w:p>
    <w:p w:rsidRPr="00B964A3" w:rsidR="00C17799" w:rsidP="000D644A" w:rsidRDefault="00B754B8" w14:paraId="25F00D18" w14:textId="03B6C784">
      <w:pPr>
        <w:pStyle w:val="ListParagraph"/>
        <w:numPr>
          <w:ilvl w:val="0"/>
          <w:numId w:val="16"/>
        </w:numPr>
        <w:spacing w:before="120"/>
        <w:rPr>
          <w:rFonts w:ascii="Times New Roman" w:hAnsi="Times New Roman" w:cs="Times New Roman"/>
          <w:color w:val="000000" w:themeColor="text1"/>
          <w:sz w:val="24"/>
          <w:szCs w:val="24"/>
        </w:rPr>
      </w:pPr>
      <w:r w:rsidRPr="00B964A3">
        <w:rPr>
          <w:rFonts w:ascii="Times New Roman" w:hAnsi="Times New Roman" w:cs="Times New Roman"/>
          <w:color w:val="000000" w:themeColor="text1"/>
          <w:sz w:val="24"/>
          <w:szCs w:val="24"/>
        </w:rPr>
        <w:t xml:space="preserve">Collection of </w:t>
      </w:r>
      <w:r w:rsidRPr="00B964A3" w:rsidR="00C17799">
        <w:rPr>
          <w:rFonts w:ascii="Times New Roman" w:hAnsi="Times New Roman" w:cs="Times New Roman"/>
          <w:color w:val="000000" w:themeColor="text1"/>
          <w:sz w:val="24"/>
          <w:szCs w:val="24"/>
        </w:rPr>
        <w:t>fishing trip declaration data:</w:t>
      </w:r>
      <w:r w:rsidRPr="00B964A3" w:rsidR="001C134F">
        <w:rPr>
          <w:rFonts w:ascii="Times New Roman" w:hAnsi="Times New Roman" w:cs="Times New Roman"/>
          <w:color w:val="000000" w:themeColor="text1"/>
          <w:sz w:val="24"/>
          <w:szCs w:val="24"/>
        </w:rPr>
        <w:t xml:space="preserve"> </w:t>
      </w:r>
      <w:r w:rsidRPr="00B964A3" w:rsidR="00C17799">
        <w:rPr>
          <w:rFonts w:ascii="Times New Roman" w:hAnsi="Times New Roman" w:cs="Times New Roman"/>
          <w:color w:val="000000" w:themeColor="text1"/>
          <w:sz w:val="24"/>
          <w:szCs w:val="24"/>
        </w:rPr>
        <w:t xml:space="preserve">50 CFR </w:t>
      </w:r>
      <w:r w:rsidRPr="00B964A3" w:rsidR="001C134F">
        <w:rPr>
          <w:rFonts w:ascii="Times New Roman" w:hAnsi="Times New Roman" w:cs="Times New Roman"/>
          <w:color w:val="000000" w:themeColor="text1"/>
          <w:sz w:val="24"/>
          <w:szCs w:val="24"/>
        </w:rPr>
        <w:t xml:space="preserve">§§ </w:t>
      </w:r>
      <w:r w:rsidRPr="00B964A3" w:rsidR="00C17799">
        <w:rPr>
          <w:rFonts w:ascii="Times New Roman" w:hAnsi="Times New Roman" w:cs="Times New Roman"/>
          <w:color w:val="000000" w:themeColor="text1"/>
          <w:sz w:val="24"/>
          <w:szCs w:val="24"/>
        </w:rPr>
        <w:t>622.28</w:t>
      </w:r>
      <w:r w:rsidRPr="00B964A3" w:rsidR="001C134F">
        <w:rPr>
          <w:rFonts w:ascii="Times New Roman" w:hAnsi="Times New Roman" w:cs="Times New Roman"/>
          <w:color w:val="000000" w:themeColor="text1"/>
          <w:sz w:val="24"/>
          <w:szCs w:val="24"/>
        </w:rPr>
        <w:t>(e)</w:t>
      </w:r>
      <w:r w:rsidRPr="00B964A3" w:rsidR="00C17799">
        <w:rPr>
          <w:rFonts w:ascii="Times New Roman" w:hAnsi="Times New Roman" w:cs="Times New Roman"/>
          <w:color w:val="000000" w:themeColor="text1"/>
          <w:sz w:val="24"/>
          <w:szCs w:val="24"/>
        </w:rPr>
        <w:t xml:space="preserve"> </w:t>
      </w:r>
    </w:p>
    <w:p w:rsidRPr="00B964A3" w:rsidR="00C37247" w:rsidP="000D644A" w:rsidRDefault="000D644A" w14:paraId="352F4A2B" w14:textId="5E40BD1D">
      <w:pPr>
        <w:pStyle w:val="ListParagraph"/>
        <w:numPr>
          <w:ilvl w:val="0"/>
          <w:numId w:val="16"/>
        </w:numPr>
        <w:spacing w:before="120"/>
        <w:rPr>
          <w:rFonts w:ascii="Times New Roman" w:hAnsi="Times New Roman" w:cs="Times New Roman"/>
          <w:color w:val="000000" w:themeColor="text1"/>
          <w:sz w:val="24"/>
          <w:szCs w:val="24"/>
        </w:rPr>
      </w:pPr>
      <w:r w:rsidRPr="00B964A3">
        <w:rPr>
          <w:rFonts w:ascii="Times New Roman" w:hAnsi="Times New Roman" w:cs="Times New Roman"/>
          <w:color w:val="000000" w:themeColor="text1"/>
          <w:sz w:val="24"/>
          <w:szCs w:val="24"/>
        </w:rPr>
        <w:t>I</w:t>
      </w:r>
      <w:r w:rsidRPr="00B964A3" w:rsidR="00C17799">
        <w:rPr>
          <w:rFonts w:ascii="Times New Roman" w:hAnsi="Times New Roman" w:cs="Times New Roman"/>
          <w:color w:val="000000" w:themeColor="text1"/>
          <w:sz w:val="24"/>
          <w:szCs w:val="24"/>
        </w:rPr>
        <w:t>nstallation and Activation Certification:</w:t>
      </w:r>
      <w:r w:rsidRPr="00B964A3" w:rsidR="00C37247">
        <w:rPr>
          <w:rFonts w:ascii="Times New Roman" w:hAnsi="Times New Roman" w:cs="Times New Roman"/>
          <w:color w:val="000000" w:themeColor="text1"/>
          <w:sz w:val="24"/>
          <w:szCs w:val="24"/>
        </w:rPr>
        <w:t xml:space="preserve"> VMS regulations applicable to the Gulf reef fish fishery and South Atlantic rock shrimp fishery may be found at 50 CFR § </w:t>
      </w:r>
      <w:hyperlink w:history="1" w:anchor="p-622.28(a)" r:id="rId10">
        <w:r w:rsidRPr="00B964A3" w:rsidR="00C37247">
          <w:rPr>
            <w:rFonts w:ascii="Times New Roman" w:hAnsi="Times New Roman" w:cs="Times New Roman"/>
            <w:color w:val="000000" w:themeColor="text1"/>
            <w:sz w:val="24"/>
            <w:szCs w:val="24"/>
          </w:rPr>
          <w:t>622.28</w:t>
        </w:r>
      </w:hyperlink>
      <w:r w:rsidRPr="00B964A3" w:rsidR="00C37247">
        <w:rPr>
          <w:rFonts w:ascii="Times New Roman" w:hAnsi="Times New Roman" w:cs="Times New Roman"/>
          <w:color w:val="000000" w:themeColor="text1"/>
          <w:sz w:val="24"/>
          <w:szCs w:val="24"/>
        </w:rPr>
        <w:t xml:space="preserve"> and </w:t>
      </w:r>
      <w:r w:rsidRPr="00B964A3" w:rsidR="00233F57">
        <w:rPr>
          <w:rFonts w:ascii="Times New Roman" w:hAnsi="Times New Roman" w:cs="Times New Roman"/>
          <w:color w:val="000000" w:themeColor="text1"/>
          <w:sz w:val="24"/>
          <w:szCs w:val="24"/>
        </w:rPr>
        <w:t>§</w:t>
      </w:r>
      <w:hyperlink w:history="1" w:anchor="p-622.205(a)" r:id="rId11">
        <w:r w:rsidRPr="00B964A3" w:rsidR="00C37247">
          <w:rPr>
            <w:rFonts w:ascii="Times New Roman" w:hAnsi="Times New Roman" w:cs="Times New Roman"/>
            <w:color w:val="000000" w:themeColor="text1"/>
            <w:sz w:val="24"/>
            <w:szCs w:val="24"/>
          </w:rPr>
          <w:t>622.205</w:t>
        </w:r>
      </w:hyperlink>
      <w:r w:rsidRPr="00B964A3" w:rsidR="00C37247">
        <w:rPr>
          <w:rFonts w:ascii="Times New Roman" w:hAnsi="Times New Roman" w:cs="Times New Roman"/>
          <w:color w:val="000000" w:themeColor="text1"/>
          <w:sz w:val="24"/>
          <w:szCs w:val="24"/>
        </w:rPr>
        <w:t>, respectively.</w:t>
      </w:r>
    </w:p>
    <w:p w:rsidRPr="00B964A3" w:rsidR="00C17799" w:rsidP="000D644A" w:rsidRDefault="00C17799" w14:paraId="7480DA0F" w14:textId="5C272129">
      <w:pPr>
        <w:pStyle w:val="ListParagraph"/>
        <w:numPr>
          <w:ilvl w:val="0"/>
          <w:numId w:val="16"/>
        </w:numPr>
        <w:spacing w:before="120"/>
        <w:rPr>
          <w:rFonts w:ascii="Times New Roman" w:hAnsi="Times New Roman" w:cs="Times New Roman"/>
          <w:color w:val="000000" w:themeColor="text1"/>
          <w:sz w:val="24"/>
          <w:szCs w:val="24"/>
        </w:rPr>
      </w:pPr>
      <w:r w:rsidRPr="00B964A3">
        <w:rPr>
          <w:rFonts w:ascii="Times New Roman" w:hAnsi="Times New Roman" w:cs="Times New Roman"/>
          <w:color w:val="000000" w:themeColor="text1"/>
          <w:sz w:val="24"/>
          <w:szCs w:val="24"/>
        </w:rPr>
        <w:t>Power Down Exem</w:t>
      </w:r>
      <w:r w:rsidRPr="00B964A3" w:rsidR="00B24656">
        <w:rPr>
          <w:rFonts w:ascii="Times New Roman" w:hAnsi="Times New Roman" w:cs="Times New Roman"/>
          <w:color w:val="000000" w:themeColor="text1"/>
          <w:sz w:val="24"/>
          <w:szCs w:val="24"/>
        </w:rPr>
        <w:t>ption data:</w:t>
      </w:r>
      <w:r w:rsidRPr="00B964A3">
        <w:rPr>
          <w:rFonts w:ascii="Times New Roman" w:hAnsi="Times New Roman" w:cs="Times New Roman"/>
          <w:color w:val="000000" w:themeColor="text1"/>
          <w:sz w:val="24"/>
          <w:szCs w:val="24"/>
        </w:rPr>
        <w:t xml:space="preserve"> </w:t>
      </w:r>
      <w:r w:rsidRPr="00B964A3" w:rsidR="001C134F">
        <w:rPr>
          <w:rFonts w:ascii="Times New Roman" w:hAnsi="Times New Roman" w:cs="Times New Roman"/>
          <w:color w:val="000000" w:themeColor="text1"/>
          <w:sz w:val="24"/>
          <w:szCs w:val="24"/>
        </w:rPr>
        <w:t xml:space="preserve"> 50 CFR § 622.28(d)</w:t>
      </w:r>
    </w:p>
    <w:p w:rsidRPr="00FF5540" w:rsidR="00C37247" w:rsidP="00C37247" w:rsidRDefault="00C37247" w14:paraId="723D134F" w14:textId="77777777">
      <w:pPr>
        <w:contextualSpacing/>
        <w:rPr>
          <w:color w:val="FFC000"/>
          <w:sz w:val="24"/>
          <w:szCs w:val="24"/>
        </w:rPr>
      </w:pPr>
    </w:p>
    <w:p w:rsidR="008E61C9" w:rsidP="00B964A3" w:rsidRDefault="001477A3" w14:paraId="3978CD1A" w14:textId="54CA8F12">
      <w:pPr>
        <w:pStyle w:val="Heading1"/>
        <w:numPr>
          <w:ilvl w:val="0"/>
          <w:numId w:val="17"/>
        </w:numPr>
        <w:tabs>
          <w:tab w:val="left" w:pos="360"/>
        </w:tabs>
        <w:spacing w:before="197"/>
        <w:rPr>
          <w:rFonts w:ascii="Times New Roman" w:hAnsi="Times New Roman" w:cs="Times New Roman"/>
        </w:rPr>
      </w:pPr>
      <w:r w:rsidRPr="00BD7237">
        <w:rPr>
          <w:rFonts w:ascii="Times New Roman" w:hAnsi="Times New Roman" w:cs="Times New Roman"/>
          <w:bCs w:val="0"/>
        </w:rPr>
        <w:t xml:space="preserve">Indicate how, by whom, and for what purpose the information is to </w:t>
      </w:r>
      <w:proofErr w:type="gramStart"/>
      <w:r w:rsidRPr="00BD7237">
        <w:rPr>
          <w:rFonts w:ascii="Times New Roman" w:hAnsi="Times New Roman" w:cs="Times New Roman"/>
          <w:bCs w:val="0"/>
        </w:rPr>
        <w:t>be used</w:t>
      </w:r>
      <w:proofErr w:type="gramEnd"/>
      <w:r w:rsidRPr="00BD7237">
        <w:rPr>
          <w:rFonts w:ascii="Times New Roman" w:hAnsi="Times New Roman" w:cs="Times New Roman"/>
          <w:bCs w:val="0"/>
        </w:rPr>
        <w:t>. Except for a</w:t>
      </w:r>
      <w:r w:rsidRPr="00BD7237">
        <w:rPr>
          <w:rFonts w:ascii="Times New Roman" w:hAnsi="Times New Roman" w:cs="Times New Roman"/>
        </w:rPr>
        <w:t xml:space="preserve"> </w:t>
      </w:r>
      <w:r w:rsidRPr="00BD7237">
        <w:rPr>
          <w:rFonts w:ascii="Times New Roman" w:hAnsi="Times New Roman" w:cs="Times New Roman"/>
          <w:bCs w:val="0"/>
        </w:rPr>
        <w:t>new collection, indicate the actual use the agency has made of the information received from the</w:t>
      </w:r>
      <w:r w:rsidRPr="00BD7237">
        <w:rPr>
          <w:rFonts w:ascii="Times New Roman" w:hAnsi="Times New Roman" w:cs="Times New Roman"/>
        </w:rPr>
        <w:t xml:space="preserve"> current</w:t>
      </w:r>
      <w:r w:rsidRPr="00BD7237">
        <w:rPr>
          <w:rFonts w:ascii="Times New Roman" w:hAnsi="Times New Roman" w:cs="Times New Roman"/>
          <w:spacing w:val="-1"/>
        </w:rPr>
        <w:t xml:space="preserve"> </w:t>
      </w:r>
      <w:r w:rsidRPr="00BD7237">
        <w:rPr>
          <w:rFonts w:ascii="Times New Roman" w:hAnsi="Times New Roman" w:cs="Times New Roman"/>
        </w:rPr>
        <w:t>collection.</w:t>
      </w:r>
    </w:p>
    <w:p w:rsidRPr="00BD7237" w:rsidR="008E61C9" w:rsidP="00BD7237" w:rsidRDefault="001477A3" w14:paraId="3DD99F79" w14:textId="77777777">
      <w:pPr>
        <w:pStyle w:val="Heading1"/>
        <w:spacing w:before="161"/>
        <w:ind w:left="0"/>
        <w:rPr>
          <w:rFonts w:ascii="Times New Roman" w:hAnsi="Times New Roman" w:cs="Times New Roman"/>
        </w:rPr>
      </w:pPr>
      <w:r w:rsidRPr="00BD7237">
        <w:rPr>
          <w:rFonts w:ascii="Times New Roman" w:hAnsi="Times New Roman" w:cs="Times New Roman"/>
        </w:rPr>
        <w:t>Sample Table: Information Requirements and Needs and Uses of Information Collected</w:t>
      </w:r>
    </w:p>
    <w:p w:rsidRPr="00BD7237" w:rsidR="00F16F62" w:rsidP="00BD7237" w:rsidRDefault="00F16F62" w14:paraId="20802DE6" w14:textId="77777777">
      <w:pPr>
        <w:pStyle w:val="BodyText"/>
        <w:spacing w:before="7"/>
        <w:ind w:left="0"/>
        <w:rPr>
          <w:rFonts w:ascii="Times New Roman" w:hAnsi="Times New Roman" w:cs="Times New Roman"/>
          <w:b/>
        </w:rPr>
      </w:pPr>
    </w:p>
    <w:tbl>
      <w:tblPr>
        <w:tblpPr w:leftFromText="180" w:rightFromText="180" w:vertAnchor="text" w:horzAnchor="margin" w:tblpY="170"/>
        <w:tblW w:w="102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90"/>
        <w:gridCol w:w="2695"/>
        <w:gridCol w:w="630"/>
        <w:gridCol w:w="1350"/>
        <w:gridCol w:w="1440"/>
        <w:gridCol w:w="3150"/>
      </w:tblGrid>
      <w:tr w:rsidRPr="00B964A3" w:rsidR="00B964A3" w:rsidTr="00B964A3" w14:paraId="4AE8BF17" w14:textId="77777777">
        <w:trPr>
          <w:trHeight w:val="729"/>
        </w:trPr>
        <w:tc>
          <w:tcPr>
            <w:tcW w:w="990" w:type="dxa"/>
            <w:shd w:val="clear" w:color="auto" w:fill="auto"/>
          </w:tcPr>
          <w:p w:rsidRPr="00B964A3" w:rsidR="00B964A3" w:rsidP="00B964A3" w:rsidRDefault="00B964A3" w14:paraId="56234DAE" w14:textId="77777777">
            <w:pPr>
              <w:pStyle w:val="TableParagraph"/>
              <w:spacing w:before="11"/>
              <w:rPr>
                <w:rFonts w:ascii="Times New Roman" w:hAnsi="Times New Roman" w:cs="Times New Roman"/>
                <w:b/>
                <w:color w:val="000000" w:themeColor="text1"/>
                <w:sz w:val="20"/>
                <w:szCs w:val="20"/>
              </w:rPr>
            </w:pPr>
          </w:p>
          <w:p w:rsidRPr="00B964A3" w:rsidR="00B964A3" w:rsidP="00B964A3" w:rsidRDefault="00B964A3" w14:paraId="2367E1C8" w14:textId="77777777">
            <w:pPr>
              <w:pStyle w:val="TableParagraph"/>
              <w:jc w:val="center"/>
              <w:rPr>
                <w:rFonts w:ascii="Times New Roman" w:hAnsi="Times New Roman" w:cs="Times New Roman"/>
                <w:b/>
                <w:color w:val="000000" w:themeColor="text1"/>
                <w:sz w:val="20"/>
                <w:szCs w:val="20"/>
              </w:rPr>
            </w:pPr>
            <w:r w:rsidRPr="00B964A3">
              <w:rPr>
                <w:rFonts w:ascii="Times New Roman" w:hAnsi="Times New Roman" w:cs="Times New Roman"/>
                <w:b/>
                <w:color w:val="000000" w:themeColor="text1"/>
                <w:sz w:val="20"/>
                <w:szCs w:val="20"/>
              </w:rPr>
              <w:t>Item #</w:t>
            </w:r>
          </w:p>
        </w:tc>
        <w:tc>
          <w:tcPr>
            <w:tcW w:w="2695" w:type="dxa"/>
            <w:shd w:val="clear" w:color="auto" w:fill="auto"/>
          </w:tcPr>
          <w:p w:rsidRPr="00B964A3" w:rsidR="00B964A3" w:rsidP="00B964A3" w:rsidRDefault="00B964A3" w14:paraId="634D79C4" w14:textId="77777777">
            <w:pPr>
              <w:pStyle w:val="TableParagraph"/>
              <w:spacing w:before="11"/>
              <w:rPr>
                <w:rFonts w:ascii="Times New Roman" w:hAnsi="Times New Roman" w:cs="Times New Roman"/>
                <w:b/>
                <w:color w:val="000000" w:themeColor="text1"/>
                <w:sz w:val="20"/>
                <w:szCs w:val="20"/>
              </w:rPr>
            </w:pPr>
          </w:p>
          <w:p w:rsidRPr="00B964A3" w:rsidR="00B964A3" w:rsidP="00B964A3" w:rsidRDefault="00B964A3" w14:paraId="2E453251" w14:textId="77777777">
            <w:pPr>
              <w:pStyle w:val="TableParagraph"/>
              <w:ind w:left="3"/>
              <w:jc w:val="center"/>
              <w:rPr>
                <w:rFonts w:ascii="Times New Roman" w:hAnsi="Times New Roman" w:cs="Times New Roman"/>
                <w:b/>
                <w:color w:val="000000" w:themeColor="text1"/>
                <w:sz w:val="20"/>
                <w:szCs w:val="20"/>
              </w:rPr>
            </w:pPr>
            <w:r w:rsidRPr="00B964A3">
              <w:rPr>
                <w:rFonts w:ascii="Times New Roman" w:hAnsi="Times New Roman" w:cs="Times New Roman"/>
                <w:b/>
                <w:color w:val="000000" w:themeColor="text1"/>
                <w:sz w:val="20"/>
                <w:szCs w:val="20"/>
              </w:rPr>
              <w:t>Requirement</w:t>
            </w:r>
          </w:p>
        </w:tc>
        <w:tc>
          <w:tcPr>
            <w:tcW w:w="630" w:type="dxa"/>
            <w:shd w:val="clear" w:color="auto" w:fill="auto"/>
          </w:tcPr>
          <w:p w:rsidRPr="00B964A3" w:rsidR="00B964A3" w:rsidP="00B964A3" w:rsidRDefault="00B964A3" w14:paraId="2FA8064C" w14:textId="77777777">
            <w:pPr>
              <w:pStyle w:val="TableParagraph"/>
              <w:spacing w:before="11"/>
              <w:rPr>
                <w:rFonts w:ascii="Times New Roman" w:hAnsi="Times New Roman" w:cs="Times New Roman"/>
                <w:b/>
                <w:color w:val="000000" w:themeColor="text1"/>
                <w:sz w:val="20"/>
                <w:szCs w:val="20"/>
              </w:rPr>
            </w:pPr>
          </w:p>
          <w:p w:rsidRPr="00B964A3" w:rsidR="00B964A3" w:rsidP="00B964A3" w:rsidRDefault="00B964A3" w14:paraId="5C066647" w14:textId="77777777">
            <w:pPr>
              <w:pStyle w:val="TableParagraph"/>
              <w:jc w:val="center"/>
              <w:rPr>
                <w:rFonts w:ascii="Times New Roman" w:hAnsi="Times New Roman" w:cs="Times New Roman"/>
                <w:b/>
                <w:color w:val="000000" w:themeColor="text1"/>
                <w:sz w:val="20"/>
                <w:szCs w:val="20"/>
              </w:rPr>
            </w:pPr>
            <w:r w:rsidRPr="00B964A3">
              <w:rPr>
                <w:rFonts w:ascii="Times New Roman" w:hAnsi="Times New Roman" w:cs="Times New Roman"/>
                <w:b/>
                <w:color w:val="000000" w:themeColor="text1"/>
                <w:sz w:val="20"/>
                <w:szCs w:val="20"/>
              </w:rPr>
              <w:t>Statute</w:t>
            </w:r>
          </w:p>
        </w:tc>
        <w:tc>
          <w:tcPr>
            <w:tcW w:w="1350" w:type="dxa"/>
            <w:shd w:val="clear" w:color="auto" w:fill="auto"/>
          </w:tcPr>
          <w:p w:rsidRPr="00B964A3" w:rsidR="00B964A3" w:rsidP="00B964A3" w:rsidRDefault="00B964A3" w14:paraId="7C8E955F" w14:textId="77777777">
            <w:pPr>
              <w:pStyle w:val="TableParagraph"/>
              <w:spacing w:before="11"/>
              <w:rPr>
                <w:rFonts w:ascii="Times New Roman" w:hAnsi="Times New Roman" w:cs="Times New Roman"/>
                <w:b/>
                <w:color w:val="000000" w:themeColor="text1"/>
                <w:sz w:val="20"/>
                <w:szCs w:val="20"/>
              </w:rPr>
            </w:pPr>
          </w:p>
          <w:p w:rsidRPr="00B964A3" w:rsidR="00B964A3" w:rsidP="00B964A3" w:rsidRDefault="00B964A3" w14:paraId="050546B7" w14:textId="77777777">
            <w:pPr>
              <w:pStyle w:val="TableParagraph"/>
              <w:jc w:val="center"/>
              <w:rPr>
                <w:rFonts w:ascii="Times New Roman" w:hAnsi="Times New Roman" w:cs="Times New Roman"/>
                <w:b/>
                <w:color w:val="000000" w:themeColor="text1"/>
                <w:sz w:val="20"/>
                <w:szCs w:val="20"/>
              </w:rPr>
            </w:pPr>
            <w:r w:rsidRPr="00B964A3">
              <w:rPr>
                <w:rFonts w:ascii="Times New Roman" w:hAnsi="Times New Roman" w:cs="Times New Roman"/>
                <w:b/>
                <w:color w:val="000000" w:themeColor="text1"/>
                <w:sz w:val="20"/>
                <w:szCs w:val="20"/>
              </w:rPr>
              <w:t>Regulation</w:t>
            </w:r>
          </w:p>
        </w:tc>
        <w:tc>
          <w:tcPr>
            <w:tcW w:w="1440" w:type="dxa"/>
            <w:shd w:val="clear" w:color="auto" w:fill="auto"/>
          </w:tcPr>
          <w:p w:rsidRPr="00B964A3" w:rsidR="00B964A3" w:rsidP="00B964A3" w:rsidRDefault="00B964A3" w14:paraId="36768EDB" w14:textId="77777777">
            <w:pPr>
              <w:pStyle w:val="TableParagraph"/>
              <w:spacing w:before="11"/>
              <w:rPr>
                <w:rFonts w:ascii="Times New Roman" w:hAnsi="Times New Roman" w:cs="Times New Roman"/>
                <w:b/>
                <w:color w:val="000000" w:themeColor="text1"/>
                <w:sz w:val="20"/>
                <w:szCs w:val="20"/>
              </w:rPr>
            </w:pPr>
          </w:p>
          <w:p w:rsidRPr="00B964A3" w:rsidR="00B964A3" w:rsidP="00B964A3" w:rsidRDefault="00B964A3" w14:paraId="7D53401F" w14:textId="77777777">
            <w:pPr>
              <w:pStyle w:val="TableParagraph"/>
              <w:jc w:val="center"/>
              <w:rPr>
                <w:rFonts w:ascii="Times New Roman" w:hAnsi="Times New Roman" w:cs="Times New Roman"/>
                <w:b/>
                <w:color w:val="000000" w:themeColor="text1"/>
                <w:sz w:val="20"/>
                <w:szCs w:val="20"/>
              </w:rPr>
            </w:pPr>
            <w:r w:rsidRPr="00B964A3">
              <w:rPr>
                <w:rFonts w:ascii="Times New Roman" w:hAnsi="Times New Roman" w:cs="Times New Roman"/>
                <w:b/>
                <w:color w:val="000000" w:themeColor="text1"/>
                <w:sz w:val="20"/>
                <w:szCs w:val="20"/>
              </w:rPr>
              <w:t>Form #</w:t>
            </w:r>
          </w:p>
        </w:tc>
        <w:tc>
          <w:tcPr>
            <w:tcW w:w="3150" w:type="dxa"/>
            <w:shd w:val="clear" w:color="auto" w:fill="auto"/>
          </w:tcPr>
          <w:p w:rsidRPr="00B964A3" w:rsidR="00B964A3" w:rsidP="00B964A3" w:rsidRDefault="00B964A3" w14:paraId="7DCFD9EC" w14:textId="77777777">
            <w:pPr>
              <w:pStyle w:val="TableParagraph"/>
              <w:spacing w:before="11"/>
              <w:rPr>
                <w:rFonts w:ascii="Times New Roman" w:hAnsi="Times New Roman" w:cs="Times New Roman"/>
                <w:b/>
                <w:color w:val="000000" w:themeColor="text1"/>
                <w:sz w:val="20"/>
                <w:szCs w:val="20"/>
              </w:rPr>
            </w:pPr>
          </w:p>
          <w:p w:rsidRPr="00B964A3" w:rsidR="00B964A3" w:rsidP="00B964A3" w:rsidRDefault="00B964A3" w14:paraId="29E82BE5" w14:textId="77777777">
            <w:pPr>
              <w:pStyle w:val="TableParagraph"/>
              <w:rPr>
                <w:rFonts w:ascii="Times New Roman" w:hAnsi="Times New Roman" w:cs="Times New Roman"/>
                <w:b/>
                <w:color w:val="000000" w:themeColor="text1"/>
                <w:sz w:val="20"/>
                <w:szCs w:val="20"/>
              </w:rPr>
            </w:pPr>
            <w:r w:rsidRPr="00B964A3">
              <w:rPr>
                <w:rFonts w:ascii="Times New Roman" w:hAnsi="Times New Roman" w:cs="Times New Roman"/>
                <w:b/>
                <w:color w:val="000000" w:themeColor="text1"/>
                <w:sz w:val="20"/>
                <w:szCs w:val="20"/>
              </w:rPr>
              <w:t>Needs and Uses</w:t>
            </w:r>
          </w:p>
        </w:tc>
      </w:tr>
      <w:tr w:rsidRPr="00B964A3" w:rsidR="00B964A3" w:rsidTr="00B964A3" w14:paraId="53CE7881" w14:textId="77777777">
        <w:trPr>
          <w:trHeight w:val="726"/>
        </w:trPr>
        <w:tc>
          <w:tcPr>
            <w:tcW w:w="990" w:type="dxa"/>
            <w:shd w:val="clear" w:color="auto" w:fill="auto"/>
          </w:tcPr>
          <w:p w:rsidRPr="00B964A3" w:rsidR="00B964A3" w:rsidP="00B964A3" w:rsidRDefault="00B964A3" w14:paraId="5DF7B975" w14:textId="77777777">
            <w:pPr>
              <w:pStyle w:val="TableParagraph"/>
              <w:spacing w:before="9"/>
              <w:rPr>
                <w:rFonts w:ascii="Times New Roman" w:hAnsi="Times New Roman" w:cs="Times New Roman"/>
                <w:b/>
                <w:color w:val="000000" w:themeColor="text1"/>
                <w:sz w:val="20"/>
                <w:szCs w:val="20"/>
              </w:rPr>
            </w:pPr>
          </w:p>
          <w:p w:rsidRPr="00B964A3" w:rsidR="00B964A3" w:rsidP="00B964A3" w:rsidRDefault="00B964A3" w14:paraId="0392B11F" w14:textId="77777777">
            <w:pPr>
              <w:pStyle w:val="TableParagraph"/>
              <w:jc w:val="center"/>
              <w:rPr>
                <w:rFonts w:ascii="Times New Roman" w:hAnsi="Times New Roman" w:cs="Times New Roman"/>
                <w:color w:val="000000" w:themeColor="text1"/>
                <w:sz w:val="20"/>
                <w:szCs w:val="20"/>
              </w:rPr>
            </w:pPr>
            <w:r w:rsidRPr="00B964A3">
              <w:rPr>
                <w:rFonts w:ascii="Times New Roman" w:hAnsi="Times New Roman" w:cs="Times New Roman"/>
                <w:color w:val="000000" w:themeColor="text1"/>
                <w:w w:val="99"/>
                <w:sz w:val="20"/>
                <w:szCs w:val="20"/>
              </w:rPr>
              <w:t>1</w:t>
            </w:r>
          </w:p>
        </w:tc>
        <w:tc>
          <w:tcPr>
            <w:tcW w:w="2695" w:type="dxa"/>
            <w:shd w:val="clear" w:color="auto" w:fill="auto"/>
          </w:tcPr>
          <w:p w:rsidRPr="00B964A3" w:rsidR="00B964A3" w:rsidP="00B964A3" w:rsidRDefault="00B964A3" w14:paraId="2DA1B027" w14:textId="77777777">
            <w:pPr>
              <w:pStyle w:val="TableParagraph"/>
              <w:ind w:hanging="84"/>
              <w:rPr>
                <w:rFonts w:ascii="Times New Roman" w:hAnsi="Times New Roman" w:cs="Times New Roman"/>
                <w:color w:val="000000" w:themeColor="text1"/>
                <w:sz w:val="16"/>
                <w:szCs w:val="16"/>
              </w:rPr>
            </w:pPr>
          </w:p>
          <w:p w:rsidRPr="00B964A3" w:rsidR="00B964A3" w:rsidP="00B964A3" w:rsidRDefault="00B964A3" w14:paraId="2EEFA35B" w14:textId="77777777">
            <w:pPr>
              <w:pStyle w:val="CM1"/>
              <w:rPr>
                <w:bCs/>
                <w:color w:val="000000" w:themeColor="text1"/>
                <w:sz w:val="16"/>
                <w:szCs w:val="16"/>
              </w:rPr>
            </w:pPr>
            <w:r w:rsidRPr="00B964A3">
              <w:rPr>
                <w:bCs/>
                <w:color w:val="000000" w:themeColor="text1"/>
                <w:sz w:val="16"/>
                <w:szCs w:val="16"/>
              </w:rPr>
              <w:t xml:space="preserve">Vessel Monitoring System (VMS) Installation and Activation Certification </w:t>
            </w:r>
          </w:p>
          <w:p w:rsidRPr="00B964A3" w:rsidR="00B964A3" w:rsidP="00B964A3" w:rsidRDefault="00B964A3" w14:paraId="3A5AB612" w14:textId="77777777">
            <w:pPr>
              <w:pStyle w:val="CM1"/>
              <w:rPr>
                <w:color w:val="000000" w:themeColor="text1"/>
                <w:sz w:val="16"/>
                <w:szCs w:val="16"/>
              </w:rPr>
            </w:pPr>
            <w:r w:rsidRPr="00B964A3">
              <w:rPr>
                <w:bCs/>
                <w:color w:val="000000" w:themeColor="text1"/>
                <w:sz w:val="16"/>
                <w:szCs w:val="16"/>
              </w:rPr>
              <w:t xml:space="preserve">For the Reef Fish Fishery of the Gulf of Mexico </w:t>
            </w:r>
          </w:p>
        </w:tc>
        <w:tc>
          <w:tcPr>
            <w:tcW w:w="630" w:type="dxa"/>
            <w:shd w:val="clear" w:color="auto" w:fill="auto"/>
          </w:tcPr>
          <w:p w:rsidRPr="00B964A3" w:rsidR="00B964A3" w:rsidP="00B964A3" w:rsidRDefault="00B964A3" w14:paraId="4507AC7A" w14:textId="77777777">
            <w:pPr>
              <w:pStyle w:val="TableParagraph"/>
              <w:ind w:hanging="84"/>
              <w:rPr>
                <w:rFonts w:ascii="Times New Roman" w:hAnsi="Times New Roman" w:cs="Times New Roman"/>
                <w:color w:val="000000" w:themeColor="text1"/>
                <w:sz w:val="20"/>
                <w:szCs w:val="20"/>
              </w:rPr>
            </w:pPr>
          </w:p>
        </w:tc>
        <w:tc>
          <w:tcPr>
            <w:tcW w:w="1350" w:type="dxa"/>
            <w:shd w:val="clear" w:color="auto" w:fill="auto"/>
          </w:tcPr>
          <w:p w:rsidRPr="00B964A3" w:rsidR="00B964A3" w:rsidP="00B964A3" w:rsidRDefault="00B964A3" w14:paraId="5270994A" w14:textId="77777777">
            <w:pPr>
              <w:pStyle w:val="CM1"/>
              <w:rPr>
                <w:bCs/>
                <w:color w:val="000000" w:themeColor="text1"/>
                <w:sz w:val="16"/>
                <w:szCs w:val="16"/>
              </w:rPr>
            </w:pPr>
            <w:r w:rsidRPr="00B964A3">
              <w:rPr>
                <w:bCs/>
                <w:color w:val="000000" w:themeColor="text1"/>
                <w:sz w:val="16"/>
                <w:szCs w:val="16"/>
              </w:rPr>
              <w:t>50 CFR 622.28(f)</w:t>
            </w:r>
          </w:p>
        </w:tc>
        <w:tc>
          <w:tcPr>
            <w:tcW w:w="1440" w:type="dxa"/>
            <w:shd w:val="clear" w:color="auto" w:fill="auto"/>
          </w:tcPr>
          <w:p w:rsidRPr="00B964A3" w:rsidR="00B964A3" w:rsidP="00B964A3" w:rsidRDefault="00B964A3" w14:paraId="44B584F9" w14:textId="77777777">
            <w:pPr>
              <w:pStyle w:val="TableParagraph"/>
              <w:spacing w:before="9"/>
              <w:rPr>
                <w:rFonts w:ascii="Times New Roman" w:hAnsi="Times New Roman" w:cs="Times New Roman"/>
                <w:b/>
                <w:color w:val="000000" w:themeColor="text1"/>
                <w:sz w:val="20"/>
                <w:szCs w:val="20"/>
              </w:rPr>
            </w:pPr>
          </w:p>
          <w:p w:rsidRPr="00B964A3" w:rsidR="00B964A3" w:rsidP="00B964A3" w:rsidRDefault="00B964A3" w14:paraId="02BB1D2D" w14:textId="77777777">
            <w:pPr>
              <w:pStyle w:val="CM1"/>
              <w:rPr>
                <w:color w:val="000000" w:themeColor="text1"/>
                <w:sz w:val="20"/>
                <w:szCs w:val="20"/>
              </w:rPr>
            </w:pPr>
            <w:r w:rsidRPr="00B964A3">
              <w:rPr>
                <w:bCs/>
                <w:color w:val="000000" w:themeColor="text1"/>
                <w:sz w:val="16"/>
                <w:szCs w:val="16"/>
              </w:rPr>
              <w:t>OMB No 0648-0544</w:t>
            </w:r>
          </w:p>
        </w:tc>
        <w:tc>
          <w:tcPr>
            <w:tcW w:w="3150" w:type="dxa"/>
            <w:shd w:val="clear" w:color="auto" w:fill="auto"/>
          </w:tcPr>
          <w:p w:rsidRPr="00B964A3" w:rsidR="00B964A3" w:rsidP="00B964A3" w:rsidRDefault="00B964A3" w14:paraId="40B13E30" w14:textId="7D961967">
            <w:pPr>
              <w:pStyle w:val="CM1"/>
              <w:rPr>
                <w:bCs/>
                <w:color w:val="000000" w:themeColor="text1"/>
                <w:sz w:val="16"/>
                <w:szCs w:val="16"/>
              </w:rPr>
            </w:pPr>
            <w:r w:rsidRPr="00B964A3">
              <w:rPr>
                <w:bCs/>
                <w:color w:val="000000" w:themeColor="text1"/>
                <w:sz w:val="16"/>
                <w:szCs w:val="16"/>
              </w:rPr>
              <w:t>Used by the public to verify installation of their required unit.</w:t>
            </w:r>
          </w:p>
          <w:p w:rsidRPr="00B964A3" w:rsidR="00B964A3" w:rsidP="00B964A3" w:rsidRDefault="00B964A3" w14:paraId="6AAB970B" w14:textId="77777777">
            <w:pPr>
              <w:pStyle w:val="CM1"/>
              <w:rPr>
                <w:color w:val="000000" w:themeColor="text1"/>
                <w:sz w:val="20"/>
                <w:szCs w:val="20"/>
              </w:rPr>
            </w:pPr>
            <w:r w:rsidRPr="00B964A3">
              <w:rPr>
                <w:bCs/>
                <w:color w:val="000000" w:themeColor="text1"/>
                <w:sz w:val="16"/>
                <w:szCs w:val="16"/>
              </w:rPr>
              <w:t>Used by the NMFS to confirm that the unit was properly installed, necessary to ensure data reliability.</w:t>
            </w:r>
          </w:p>
        </w:tc>
      </w:tr>
      <w:tr w:rsidRPr="00B964A3" w:rsidR="00B964A3" w:rsidTr="00B964A3" w14:paraId="7FBA224F" w14:textId="77777777">
        <w:trPr>
          <w:trHeight w:val="769"/>
        </w:trPr>
        <w:tc>
          <w:tcPr>
            <w:tcW w:w="990" w:type="dxa"/>
            <w:shd w:val="clear" w:color="auto" w:fill="auto"/>
          </w:tcPr>
          <w:p w:rsidRPr="00B964A3" w:rsidR="00B964A3" w:rsidP="00B964A3" w:rsidRDefault="00B964A3" w14:paraId="32F1E234" w14:textId="77777777">
            <w:pPr>
              <w:pStyle w:val="TableParagraph"/>
              <w:spacing w:before="11"/>
              <w:rPr>
                <w:rFonts w:ascii="Times New Roman" w:hAnsi="Times New Roman" w:cs="Times New Roman"/>
                <w:b/>
                <w:color w:val="000000" w:themeColor="text1"/>
                <w:sz w:val="20"/>
                <w:szCs w:val="20"/>
              </w:rPr>
            </w:pPr>
          </w:p>
          <w:p w:rsidRPr="00B964A3" w:rsidR="00B964A3" w:rsidP="00B964A3" w:rsidRDefault="00B964A3" w14:paraId="047FA99B" w14:textId="77777777">
            <w:pPr>
              <w:pStyle w:val="TableParagraph"/>
              <w:jc w:val="center"/>
              <w:rPr>
                <w:rFonts w:ascii="Times New Roman" w:hAnsi="Times New Roman" w:cs="Times New Roman"/>
                <w:b/>
                <w:color w:val="000000" w:themeColor="text1"/>
                <w:sz w:val="20"/>
                <w:szCs w:val="20"/>
              </w:rPr>
            </w:pPr>
            <w:r w:rsidRPr="00B964A3">
              <w:rPr>
                <w:rFonts w:ascii="Times New Roman" w:hAnsi="Times New Roman" w:cs="Times New Roman"/>
                <w:b/>
                <w:color w:val="000000" w:themeColor="text1"/>
                <w:sz w:val="20"/>
                <w:szCs w:val="20"/>
              </w:rPr>
              <w:t>2</w:t>
            </w:r>
          </w:p>
        </w:tc>
        <w:tc>
          <w:tcPr>
            <w:tcW w:w="2695" w:type="dxa"/>
            <w:shd w:val="clear" w:color="auto" w:fill="auto"/>
          </w:tcPr>
          <w:p w:rsidRPr="00B964A3" w:rsidR="00B964A3" w:rsidP="00B964A3" w:rsidRDefault="00B964A3" w14:paraId="309A4214" w14:textId="77777777">
            <w:pPr>
              <w:pStyle w:val="CM1"/>
              <w:rPr>
                <w:bCs/>
                <w:color w:val="000000" w:themeColor="text1"/>
                <w:sz w:val="16"/>
                <w:szCs w:val="16"/>
              </w:rPr>
            </w:pPr>
            <w:r w:rsidRPr="00B964A3">
              <w:rPr>
                <w:bCs/>
                <w:color w:val="000000" w:themeColor="text1"/>
                <w:sz w:val="16"/>
                <w:szCs w:val="16"/>
              </w:rPr>
              <w:t>Vessel Monitoring System (VMS) Installation</w:t>
            </w:r>
            <w:r w:rsidRPr="00B964A3">
              <w:rPr>
                <w:b/>
                <w:bCs/>
                <w:color w:val="000000" w:themeColor="text1"/>
              </w:rPr>
              <w:t xml:space="preserve"> </w:t>
            </w:r>
            <w:r w:rsidRPr="00B964A3">
              <w:rPr>
                <w:bCs/>
                <w:color w:val="000000" w:themeColor="text1"/>
                <w:sz w:val="16"/>
                <w:szCs w:val="16"/>
              </w:rPr>
              <w:t xml:space="preserve">and Activation Certification </w:t>
            </w:r>
          </w:p>
          <w:p w:rsidRPr="00B964A3" w:rsidR="00B964A3" w:rsidP="00B964A3" w:rsidRDefault="00B964A3" w14:paraId="28E5B788" w14:textId="77777777">
            <w:pPr>
              <w:pStyle w:val="CM4"/>
              <w:spacing w:after="0"/>
              <w:rPr>
                <w:b/>
                <w:color w:val="000000" w:themeColor="text1"/>
                <w:sz w:val="20"/>
                <w:szCs w:val="20"/>
              </w:rPr>
            </w:pPr>
            <w:r w:rsidRPr="00B964A3">
              <w:rPr>
                <w:bCs/>
                <w:color w:val="000000" w:themeColor="text1"/>
                <w:sz w:val="16"/>
                <w:szCs w:val="16"/>
              </w:rPr>
              <w:t>For the South Atlantic Rock Shrimp Fishery</w:t>
            </w:r>
            <w:r w:rsidRPr="00B964A3">
              <w:rPr>
                <w:color w:val="000000" w:themeColor="text1"/>
              </w:rPr>
              <w:t xml:space="preserve"> </w:t>
            </w:r>
          </w:p>
        </w:tc>
        <w:tc>
          <w:tcPr>
            <w:tcW w:w="630" w:type="dxa"/>
            <w:shd w:val="clear" w:color="auto" w:fill="auto"/>
          </w:tcPr>
          <w:p w:rsidRPr="00B964A3" w:rsidR="00B964A3" w:rsidP="00B964A3" w:rsidRDefault="00B964A3" w14:paraId="0FBEB413" w14:textId="77777777">
            <w:pPr>
              <w:pStyle w:val="TableParagraph"/>
              <w:spacing w:before="11"/>
              <w:rPr>
                <w:rFonts w:ascii="Times New Roman" w:hAnsi="Times New Roman" w:cs="Times New Roman"/>
                <w:b/>
                <w:color w:val="000000" w:themeColor="text1"/>
                <w:sz w:val="20"/>
                <w:szCs w:val="20"/>
              </w:rPr>
            </w:pPr>
          </w:p>
          <w:p w:rsidRPr="00B964A3" w:rsidR="00B964A3" w:rsidP="00B964A3" w:rsidRDefault="00B964A3" w14:paraId="220F0450" w14:textId="77777777">
            <w:pPr>
              <w:pStyle w:val="TableParagraph"/>
              <w:jc w:val="center"/>
              <w:rPr>
                <w:rFonts w:ascii="Times New Roman" w:hAnsi="Times New Roman" w:cs="Times New Roman"/>
                <w:b/>
                <w:color w:val="000000" w:themeColor="text1"/>
                <w:sz w:val="20"/>
                <w:szCs w:val="20"/>
              </w:rPr>
            </w:pPr>
          </w:p>
        </w:tc>
        <w:tc>
          <w:tcPr>
            <w:tcW w:w="1350" w:type="dxa"/>
            <w:shd w:val="clear" w:color="auto" w:fill="auto"/>
          </w:tcPr>
          <w:p w:rsidRPr="00B964A3" w:rsidR="00B964A3" w:rsidP="00B964A3" w:rsidRDefault="00B964A3" w14:paraId="35252883" w14:textId="77777777">
            <w:pPr>
              <w:pStyle w:val="CM1"/>
              <w:rPr>
                <w:bCs/>
                <w:color w:val="000000" w:themeColor="text1"/>
                <w:sz w:val="16"/>
                <w:szCs w:val="16"/>
              </w:rPr>
            </w:pPr>
          </w:p>
          <w:p w:rsidRPr="00B964A3" w:rsidR="00B964A3" w:rsidP="00B964A3" w:rsidRDefault="00B964A3" w14:paraId="6D8FECF3" w14:textId="77777777">
            <w:pPr>
              <w:pStyle w:val="CM1"/>
              <w:rPr>
                <w:bCs/>
                <w:color w:val="000000" w:themeColor="text1"/>
                <w:sz w:val="16"/>
                <w:szCs w:val="16"/>
              </w:rPr>
            </w:pPr>
            <w:r w:rsidRPr="00B964A3">
              <w:rPr>
                <w:bCs/>
                <w:color w:val="000000" w:themeColor="text1"/>
                <w:sz w:val="16"/>
                <w:szCs w:val="16"/>
              </w:rPr>
              <w:t>50 CFR 622.205(b)</w:t>
            </w:r>
          </w:p>
        </w:tc>
        <w:tc>
          <w:tcPr>
            <w:tcW w:w="1440" w:type="dxa"/>
            <w:shd w:val="clear" w:color="auto" w:fill="auto"/>
          </w:tcPr>
          <w:p w:rsidRPr="00B964A3" w:rsidR="00B964A3" w:rsidP="00B964A3" w:rsidRDefault="00B964A3" w14:paraId="45820B6E" w14:textId="77777777">
            <w:pPr>
              <w:pStyle w:val="TableParagraph"/>
              <w:spacing w:before="11"/>
              <w:rPr>
                <w:rFonts w:ascii="Times New Roman" w:hAnsi="Times New Roman" w:cs="Times New Roman"/>
                <w:b/>
                <w:color w:val="000000" w:themeColor="text1"/>
                <w:sz w:val="20"/>
                <w:szCs w:val="20"/>
              </w:rPr>
            </w:pPr>
          </w:p>
          <w:p w:rsidRPr="00B964A3" w:rsidR="00B964A3" w:rsidP="00B964A3" w:rsidRDefault="00B964A3" w14:paraId="28FD5D32" w14:textId="77777777">
            <w:pPr>
              <w:pStyle w:val="TableParagraph"/>
              <w:jc w:val="center"/>
              <w:rPr>
                <w:rFonts w:ascii="Times New Roman" w:hAnsi="Times New Roman" w:cs="Times New Roman"/>
                <w:b/>
                <w:color w:val="000000" w:themeColor="text1"/>
                <w:sz w:val="20"/>
                <w:szCs w:val="20"/>
              </w:rPr>
            </w:pPr>
            <w:r w:rsidRPr="00B964A3">
              <w:rPr>
                <w:rFonts w:ascii="Times New Roman" w:hAnsi="Times New Roman" w:cs="Times New Roman"/>
                <w:bCs/>
                <w:color w:val="000000" w:themeColor="text1"/>
                <w:sz w:val="16"/>
                <w:szCs w:val="16"/>
              </w:rPr>
              <w:t>OMB No 0648-0544</w:t>
            </w:r>
          </w:p>
        </w:tc>
        <w:tc>
          <w:tcPr>
            <w:tcW w:w="3150" w:type="dxa"/>
            <w:shd w:val="clear" w:color="auto" w:fill="auto"/>
          </w:tcPr>
          <w:p w:rsidRPr="00B964A3" w:rsidR="00B964A3" w:rsidP="00B964A3" w:rsidRDefault="00B964A3" w14:paraId="1AECFFAA" w14:textId="77777777">
            <w:pPr>
              <w:pStyle w:val="CM1"/>
              <w:rPr>
                <w:bCs/>
                <w:color w:val="000000" w:themeColor="text1"/>
                <w:sz w:val="16"/>
                <w:szCs w:val="16"/>
              </w:rPr>
            </w:pPr>
            <w:r w:rsidRPr="00B964A3">
              <w:rPr>
                <w:bCs/>
                <w:color w:val="000000" w:themeColor="text1"/>
                <w:sz w:val="16"/>
                <w:szCs w:val="16"/>
              </w:rPr>
              <w:t>Used by the public to verify installation of their required unit.</w:t>
            </w:r>
          </w:p>
          <w:p w:rsidRPr="00B964A3" w:rsidR="00B964A3" w:rsidP="00B964A3" w:rsidRDefault="00B964A3" w14:paraId="1118CE97" w14:textId="77777777">
            <w:pPr>
              <w:pStyle w:val="TableParagraph"/>
              <w:rPr>
                <w:rFonts w:ascii="Times New Roman" w:hAnsi="Times New Roman" w:cs="Times New Roman"/>
                <w:b/>
                <w:color w:val="000000" w:themeColor="text1"/>
                <w:sz w:val="20"/>
                <w:szCs w:val="20"/>
              </w:rPr>
            </w:pPr>
            <w:r w:rsidRPr="00B964A3">
              <w:rPr>
                <w:bCs/>
                <w:color w:val="000000" w:themeColor="text1"/>
                <w:sz w:val="16"/>
                <w:szCs w:val="16"/>
              </w:rPr>
              <w:t>Used by the NMFS to confirm that the unit was properly installed, necessary to ensure data reliability.</w:t>
            </w:r>
          </w:p>
        </w:tc>
      </w:tr>
      <w:tr w:rsidRPr="00B964A3" w:rsidR="00B964A3" w:rsidTr="00B964A3" w14:paraId="24A7AF8A" w14:textId="77777777">
        <w:trPr>
          <w:trHeight w:val="769"/>
        </w:trPr>
        <w:tc>
          <w:tcPr>
            <w:tcW w:w="990" w:type="dxa"/>
            <w:shd w:val="clear" w:color="auto" w:fill="auto"/>
          </w:tcPr>
          <w:p w:rsidRPr="00B964A3" w:rsidR="00B964A3" w:rsidP="00B964A3" w:rsidRDefault="00B964A3" w14:paraId="22C33E64" w14:textId="77777777">
            <w:pPr>
              <w:pStyle w:val="TableParagraph"/>
              <w:spacing w:before="11"/>
              <w:ind w:left="-9" w:right="-179"/>
              <w:jc w:val="center"/>
              <w:rPr>
                <w:rFonts w:ascii="Times New Roman" w:hAnsi="Times New Roman" w:cs="Times New Roman"/>
                <w:b/>
                <w:color w:val="000000" w:themeColor="text1"/>
                <w:sz w:val="20"/>
                <w:szCs w:val="20"/>
              </w:rPr>
            </w:pPr>
            <w:r w:rsidRPr="00B964A3">
              <w:rPr>
                <w:rFonts w:ascii="Times New Roman" w:hAnsi="Times New Roman" w:cs="Times New Roman"/>
                <w:b/>
                <w:color w:val="000000" w:themeColor="text1"/>
                <w:sz w:val="20"/>
                <w:szCs w:val="20"/>
              </w:rPr>
              <w:t>3</w:t>
            </w:r>
          </w:p>
        </w:tc>
        <w:tc>
          <w:tcPr>
            <w:tcW w:w="2695" w:type="dxa"/>
            <w:shd w:val="clear" w:color="auto" w:fill="auto"/>
          </w:tcPr>
          <w:p w:rsidRPr="00B964A3" w:rsidR="00B964A3" w:rsidP="00B964A3" w:rsidRDefault="00B964A3" w14:paraId="373D4863" w14:textId="77777777">
            <w:pPr>
              <w:pStyle w:val="CM1"/>
              <w:rPr>
                <w:bCs/>
                <w:color w:val="000000" w:themeColor="text1"/>
                <w:sz w:val="16"/>
                <w:szCs w:val="16"/>
              </w:rPr>
            </w:pPr>
            <w:r w:rsidRPr="00B964A3">
              <w:rPr>
                <w:bCs/>
                <w:color w:val="000000" w:themeColor="text1"/>
                <w:sz w:val="16"/>
                <w:szCs w:val="16"/>
              </w:rPr>
              <w:t>The owner or operator of the vessel applies for and obtains a valid letter of exemption from NMFS OLE VMS personnel as specified in the NOAA Enforcement Vessel Monitoring System Requirements for the Reef Fish Fishery of the Gulf of Mexico.</w:t>
            </w:r>
          </w:p>
        </w:tc>
        <w:tc>
          <w:tcPr>
            <w:tcW w:w="630" w:type="dxa"/>
            <w:shd w:val="clear" w:color="auto" w:fill="auto"/>
          </w:tcPr>
          <w:p w:rsidRPr="00B964A3" w:rsidR="00B964A3" w:rsidP="00B964A3" w:rsidRDefault="00B964A3" w14:paraId="450ED16F" w14:textId="77777777">
            <w:pPr>
              <w:pStyle w:val="TableParagraph"/>
              <w:spacing w:before="11"/>
              <w:rPr>
                <w:rFonts w:ascii="Times New Roman" w:hAnsi="Times New Roman" w:cs="Times New Roman"/>
                <w:b/>
                <w:color w:val="000000" w:themeColor="text1"/>
                <w:sz w:val="20"/>
                <w:szCs w:val="20"/>
              </w:rPr>
            </w:pPr>
          </w:p>
        </w:tc>
        <w:tc>
          <w:tcPr>
            <w:tcW w:w="1350" w:type="dxa"/>
            <w:shd w:val="clear" w:color="auto" w:fill="auto"/>
          </w:tcPr>
          <w:p w:rsidRPr="00B964A3" w:rsidR="00B964A3" w:rsidP="00B964A3" w:rsidRDefault="00B964A3" w14:paraId="64857680" w14:textId="77777777">
            <w:pPr>
              <w:pStyle w:val="CM1"/>
              <w:rPr>
                <w:bCs/>
                <w:color w:val="000000" w:themeColor="text1"/>
                <w:sz w:val="16"/>
                <w:szCs w:val="16"/>
              </w:rPr>
            </w:pPr>
            <w:r w:rsidRPr="00B964A3">
              <w:rPr>
                <w:bCs/>
                <w:color w:val="000000" w:themeColor="text1"/>
                <w:sz w:val="16"/>
                <w:szCs w:val="16"/>
              </w:rPr>
              <w:t>50 CFR 622.374(b)(5)(iv)(D)</w:t>
            </w:r>
          </w:p>
        </w:tc>
        <w:tc>
          <w:tcPr>
            <w:tcW w:w="1440" w:type="dxa"/>
            <w:shd w:val="clear" w:color="auto" w:fill="auto"/>
          </w:tcPr>
          <w:p w:rsidRPr="00B964A3" w:rsidR="00B964A3" w:rsidP="00B964A3" w:rsidRDefault="00B964A3" w14:paraId="6F1FEAE8" w14:textId="77777777">
            <w:pPr>
              <w:pStyle w:val="TableParagraph"/>
              <w:spacing w:before="11"/>
              <w:rPr>
                <w:rFonts w:ascii="Times New Roman" w:hAnsi="Times New Roman" w:cs="Times New Roman"/>
                <w:b/>
                <w:color w:val="000000" w:themeColor="text1"/>
                <w:sz w:val="20"/>
                <w:szCs w:val="20"/>
              </w:rPr>
            </w:pPr>
            <w:r w:rsidRPr="00B964A3">
              <w:rPr>
                <w:rFonts w:ascii="Times New Roman" w:hAnsi="Times New Roman" w:cs="Times New Roman"/>
                <w:bCs/>
                <w:color w:val="000000" w:themeColor="text1"/>
                <w:sz w:val="16"/>
                <w:szCs w:val="16"/>
              </w:rPr>
              <w:t>OMB No 0648-0544</w:t>
            </w:r>
          </w:p>
        </w:tc>
        <w:tc>
          <w:tcPr>
            <w:tcW w:w="3150" w:type="dxa"/>
            <w:shd w:val="clear" w:color="auto" w:fill="auto"/>
          </w:tcPr>
          <w:p w:rsidRPr="00B964A3" w:rsidR="00B964A3" w:rsidP="00B964A3" w:rsidRDefault="00B964A3" w14:paraId="3683C164" w14:textId="77777777">
            <w:pPr>
              <w:pStyle w:val="CM1"/>
              <w:rPr>
                <w:bCs/>
                <w:color w:val="000000" w:themeColor="text1"/>
                <w:sz w:val="16"/>
                <w:szCs w:val="16"/>
              </w:rPr>
            </w:pPr>
            <w:r w:rsidRPr="00B964A3">
              <w:rPr>
                <w:bCs/>
                <w:color w:val="000000" w:themeColor="text1"/>
                <w:sz w:val="16"/>
                <w:szCs w:val="16"/>
              </w:rPr>
              <w:t>Used by the public to request authorization to turn off their VMS unit</w:t>
            </w:r>
          </w:p>
          <w:p w:rsidRPr="00B964A3" w:rsidR="00B964A3" w:rsidP="00B964A3" w:rsidRDefault="00B964A3" w14:paraId="779EDD96" w14:textId="77777777">
            <w:pPr>
              <w:pStyle w:val="CM1"/>
              <w:rPr>
                <w:b/>
                <w:color w:val="000000" w:themeColor="text1"/>
                <w:sz w:val="20"/>
                <w:szCs w:val="20"/>
              </w:rPr>
            </w:pPr>
            <w:r w:rsidRPr="00B964A3">
              <w:rPr>
                <w:bCs/>
                <w:color w:val="000000" w:themeColor="text1"/>
                <w:sz w:val="16"/>
                <w:szCs w:val="16"/>
              </w:rPr>
              <w:t xml:space="preserve">Used by NMFS to track vessels authorized to turn off their VMS units—without know who </w:t>
            </w:r>
            <w:proofErr w:type="gramStart"/>
            <w:r w:rsidRPr="00B964A3">
              <w:rPr>
                <w:bCs/>
                <w:color w:val="000000" w:themeColor="text1"/>
                <w:sz w:val="16"/>
                <w:szCs w:val="16"/>
              </w:rPr>
              <w:t>is authorized</w:t>
            </w:r>
            <w:proofErr w:type="gramEnd"/>
            <w:r w:rsidRPr="00B964A3">
              <w:rPr>
                <w:bCs/>
                <w:color w:val="000000" w:themeColor="text1"/>
                <w:sz w:val="16"/>
                <w:szCs w:val="16"/>
              </w:rPr>
              <w:t xml:space="preserve"> to turn off their unit, we cannot identify unauthorized </w:t>
            </w:r>
            <w:proofErr w:type="spellStart"/>
            <w:r w:rsidRPr="00B964A3">
              <w:rPr>
                <w:bCs/>
                <w:color w:val="000000" w:themeColor="text1"/>
                <w:sz w:val="16"/>
                <w:szCs w:val="16"/>
              </w:rPr>
              <w:t>powerdowns</w:t>
            </w:r>
            <w:proofErr w:type="spellEnd"/>
            <w:r w:rsidRPr="00B964A3">
              <w:rPr>
                <w:bCs/>
                <w:color w:val="000000" w:themeColor="text1"/>
                <w:sz w:val="16"/>
                <w:szCs w:val="16"/>
              </w:rPr>
              <w:t>.</w:t>
            </w:r>
          </w:p>
        </w:tc>
      </w:tr>
    </w:tbl>
    <w:p w:rsidR="00A02219" w:rsidP="00B964A3" w:rsidRDefault="00A02219" w14:paraId="26A05598" w14:textId="73940926">
      <w:pPr>
        <w:spacing w:before="120"/>
        <w:rPr>
          <w:color w:val="7F7F7F" w:themeColor="text1" w:themeTint="80"/>
          <w:sz w:val="24"/>
          <w:szCs w:val="24"/>
        </w:rPr>
      </w:pPr>
    </w:p>
    <w:p w:rsidRPr="00B964A3" w:rsidR="00914538" w:rsidP="00B039D7" w:rsidRDefault="00914538" w14:paraId="62BEE7D2" w14:textId="705276B1">
      <w:pPr>
        <w:spacing w:before="120"/>
        <w:ind w:left="360"/>
        <w:rPr>
          <w:rFonts w:ascii="Times New Roman" w:hAnsi="Times New Roman" w:cs="Times New Roman"/>
          <w:color w:val="000000" w:themeColor="text1"/>
          <w:sz w:val="24"/>
          <w:szCs w:val="24"/>
        </w:rPr>
      </w:pPr>
      <w:r w:rsidRPr="00B964A3">
        <w:rPr>
          <w:rFonts w:ascii="Times New Roman" w:hAnsi="Times New Roman" w:cs="Times New Roman"/>
          <w:color w:val="000000" w:themeColor="text1"/>
          <w:sz w:val="24"/>
          <w:szCs w:val="24"/>
        </w:rPr>
        <w:t xml:space="preserve">Use of VMS by commercial Reef Fish vessels and South Atlantic Rock Shrimp vessels provides several important functions.  </w:t>
      </w:r>
    </w:p>
    <w:p w:rsidRPr="00B964A3" w:rsidR="00EF7486" w:rsidP="00B039D7" w:rsidRDefault="00914538" w14:paraId="7B824EF0" w14:textId="5552FE7F">
      <w:pPr>
        <w:spacing w:before="120"/>
        <w:ind w:left="360"/>
        <w:rPr>
          <w:rFonts w:ascii="Times New Roman" w:hAnsi="Times New Roman" w:cs="Times New Roman"/>
          <w:color w:val="000000" w:themeColor="text1"/>
          <w:sz w:val="24"/>
          <w:szCs w:val="24"/>
        </w:rPr>
      </w:pPr>
      <w:r w:rsidRPr="00B964A3">
        <w:rPr>
          <w:rFonts w:ascii="Times New Roman" w:hAnsi="Times New Roman" w:cs="Times New Roman"/>
          <w:color w:val="000000" w:themeColor="text1"/>
          <w:sz w:val="24"/>
          <w:szCs w:val="24"/>
        </w:rPr>
        <w:t>Specifically, t</w:t>
      </w:r>
      <w:r w:rsidRPr="00B964A3" w:rsidR="00EF7486">
        <w:rPr>
          <w:rFonts w:ascii="Times New Roman" w:hAnsi="Times New Roman" w:cs="Times New Roman"/>
          <w:color w:val="000000" w:themeColor="text1"/>
          <w:sz w:val="24"/>
          <w:szCs w:val="24"/>
        </w:rPr>
        <w:t xml:space="preserve">he FMPs contain several area-specific regulations where fishing is restricted or prohibited in order to protect habitat or spawning aggregations, or to control fishing pressure. Unlike size, bag, and trip limits, where the catch </w:t>
      </w:r>
      <w:proofErr w:type="gramStart"/>
      <w:r w:rsidRPr="00B964A3" w:rsidR="00EF7486">
        <w:rPr>
          <w:rFonts w:ascii="Times New Roman" w:hAnsi="Times New Roman" w:cs="Times New Roman"/>
          <w:color w:val="000000" w:themeColor="text1"/>
          <w:sz w:val="24"/>
          <w:szCs w:val="24"/>
        </w:rPr>
        <w:t>can be monitored</w:t>
      </w:r>
      <w:proofErr w:type="gramEnd"/>
      <w:r w:rsidRPr="00B964A3" w:rsidR="00EF7486">
        <w:rPr>
          <w:rFonts w:ascii="Times New Roman" w:hAnsi="Times New Roman" w:cs="Times New Roman"/>
          <w:color w:val="000000" w:themeColor="text1"/>
          <w:sz w:val="24"/>
          <w:szCs w:val="24"/>
        </w:rPr>
        <w:t xml:space="preserve"> on shore when a vessel returns to port, area restrictions require at-sea enforcement. However, at-sea enforcement of offshore area restrictions is difficult due to the distance from shore and the limited number of patrol vessels, resulting in a need to improve enforceability of area fishing restrictions through remote sensing methods. In addition, all fishing gears are subject to some area fishing restrictions. Because of the sizes of these areas and the distances from shore, the effectiveness of enforcement through over flights and at-sea interception is limited. An electronic VMS allows a more effective means to monitor vessels for intrusions into restricted areas.</w:t>
      </w:r>
      <w:r w:rsidRPr="00B964A3">
        <w:rPr>
          <w:rFonts w:ascii="Times New Roman" w:hAnsi="Times New Roman" w:cs="Times New Roman"/>
          <w:color w:val="000000" w:themeColor="text1"/>
          <w:sz w:val="24"/>
          <w:szCs w:val="24"/>
        </w:rPr>
        <w:t xml:space="preserve"> Utilizing VMS provides effort data and significantly aids in enforcement of areas closed to fishing.</w:t>
      </w:r>
    </w:p>
    <w:p w:rsidRPr="00B964A3" w:rsidR="00EF7486" w:rsidP="00B039D7" w:rsidRDefault="00EF7486" w14:paraId="216BD085" w14:textId="050CC9C0">
      <w:pPr>
        <w:spacing w:before="120"/>
        <w:ind w:left="360"/>
        <w:rPr>
          <w:rFonts w:ascii="Times New Roman" w:hAnsi="Times New Roman" w:cs="Times New Roman"/>
          <w:color w:val="000000" w:themeColor="text1"/>
          <w:sz w:val="24"/>
          <w:szCs w:val="24"/>
        </w:rPr>
      </w:pPr>
      <w:r w:rsidRPr="00B964A3">
        <w:rPr>
          <w:rFonts w:ascii="Times New Roman" w:hAnsi="Times New Roman" w:cs="Times New Roman"/>
          <w:color w:val="000000" w:themeColor="text1"/>
          <w:sz w:val="24"/>
          <w:szCs w:val="24"/>
        </w:rPr>
        <w:t xml:space="preserve">Therefore, every federally permitted commercial Reef Fish vessel that is required to have a VMS unit must have that VMS unit on and properly functioning at all times, even when docked, and prior to each fishing trip, or during a trip if activity changes, a report of fishing activity must be submitted to NMFS VMS personnel. The units must be on 7 days a week, 24 hours a day and transmit once per hour unless the vessel has an approve </w:t>
      </w:r>
      <w:r w:rsidRPr="00B964A3" w:rsidR="00F1077A">
        <w:rPr>
          <w:rFonts w:ascii="Times New Roman" w:hAnsi="Times New Roman" w:cs="Times New Roman"/>
          <w:color w:val="000000" w:themeColor="text1"/>
          <w:sz w:val="24"/>
          <w:szCs w:val="24"/>
        </w:rPr>
        <w:t>power down</w:t>
      </w:r>
      <w:r w:rsidRPr="00B964A3">
        <w:rPr>
          <w:rFonts w:ascii="Times New Roman" w:hAnsi="Times New Roman" w:cs="Times New Roman"/>
          <w:color w:val="000000" w:themeColor="text1"/>
          <w:sz w:val="24"/>
          <w:szCs w:val="24"/>
        </w:rPr>
        <w:t xml:space="preserve"> exemption (PDE).  </w:t>
      </w:r>
    </w:p>
    <w:p w:rsidRPr="00B964A3" w:rsidR="00EF7486" w:rsidP="00B039D7" w:rsidRDefault="00EF7486" w14:paraId="574F85D1" w14:textId="77777777">
      <w:pPr>
        <w:spacing w:before="120"/>
        <w:ind w:left="360"/>
        <w:rPr>
          <w:rFonts w:ascii="Times New Roman" w:hAnsi="Times New Roman" w:cs="Times New Roman"/>
          <w:color w:val="000000" w:themeColor="text1"/>
          <w:sz w:val="24"/>
          <w:szCs w:val="24"/>
        </w:rPr>
      </w:pPr>
      <w:r w:rsidRPr="00B964A3">
        <w:rPr>
          <w:rFonts w:ascii="Times New Roman" w:hAnsi="Times New Roman" w:cs="Times New Roman"/>
          <w:color w:val="000000" w:themeColor="text1"/>
          <w:sz w:val="24"/>
          <w:szCs w:val="24"/>
        </w:rPr>
        <w:t xml:space="preserve">Similarly, vessels with a valid federal South Atlantic Rock Shrimp permit are required to have a properly on and functioning VMS unit whenever the vessel is on a trip in the South Atlantic.  The VMS must transmit once per hour unless the vessel has entered a NMFS defined area in which case the VMS unit reporting rate will be increased to once every 5 minutes. If the vessel departs the area, the VMS </w:t>
      </w:r>
      <w:proofErr w:type="gramStart"/>
      <w:r w:rsidRPr="00B964A3">
        <w:rPr>
          <w:rFonts w:ascii="Times New Roman" w:hAnsi="Times New Roman" w:cs="Times New Roman"/>
          <w:color w:val="000000" w:themeColor="text1"/>
          <w:sz w:val="24"/>
          <w:szCs w:val="24"/>
        </w:rPr>
        <w:t>unit reporting</w:t>
      </w:r>
      <w:proofErr w:type="gramEnd"/>
      <w:r w:rsidRPr="00B964A3">
        <w:rPr>
          <w:rFonts w:ascii="Times New Roman" w:hAnsi="Times New Roman" w:cs="Times New Roman"/>
          <w:color w:val="000000" w:themeColor="text1"/>
          <w:sz w:val="24"/>
          <w:szCs w:val="24"/>
        </w:rPr>
        <w:t xml:space="preserve"> rate will be resume transmitting once per hour.  </w:t>
      </w:r>
    </w:p>
    <w:p w:rsidRPr="00B964A3" w:rsidR="00EF7486" w:rsidP="00B039D7" w:rsidRDefault="00EF7486" w14:paraId="099975F4" w14:textId="775230EE">
      <w:pPr>
        <w:spacing w:before="120"/>
        <w:ind w:left="360"/>
        <w:rPr>
          <w:rFonts w:ascii="Times New Roman" w:hAnsi="Times New Roman" w:cs="Times New Roman"/>
          <w:color w:val="000000" w:themeColor="text1"/>
          <w:sz w:val="24"/>
          <w:szCs w:val="24"/>
        </w:rPr>
      </w:pPr>
      <w:r w:rsidRPr="00B964A3">
        <w:rPr>
          <w:rFonts w:ascii="Times New Roman" w:hAnsi="Times New Roman" w:cs="Times New Roman"/>
          <w:color w:val="000000" w:themeColor="text1"/>
          <w:sz w:val="24"/>
          <w:szCs w:val="24"/>
        </w:rPr>
        <w:t xml:space="preserve">As a further aid to law enforcement officials, prior to departure for each trip, each commercial </w:t>
      </w:r>
      <w:proofErr w:type="gramStart"/>
      <w:r w:rsidRPr="00B964A3">
        <w:rPr>
          <w:rFonts w:ascii="Times New Roman" w:hAnsi="Times New Roman" w:cs="Times New Roman"/>
          <w:color w:val="000000" w:themeColor="text1"/>
          <w:sz w:val="24"/>
          <w:szCs w:val="24"/>
        </w:rPr>
        <w:t>reef fish vessel owner</w:t>
      </w:r>
      <w:proofErr w:type="gramEnd"/>
      <w:r w:rsidRPr="00B964A3">
        <w:rPr>
          <w:rFonts w:ascii="Times New Roman" w:hAnsi="Times New Roman" w:cs="Times New Roman"/>
          <w:color w:val="000000" w:themeColor="text1"/>
          <w:sz w:val="24"/>
          <w:szCs w:val="24"/>
        </w:rPr>
        <w:t xml:space="preserve"> or operator must report their planned fishing activity, and the gear on board the vessel. Additionally, if fishing activity </w:t>
      </w:r>
      <w:proofErr w:type="gramStart"/>
      <w:r w:rsidRPr="00B964A3">
        <w:rPr>
          <w:rFonts w:ascii="Times New Roman" w:hAnsi="Times New Roman" w:cs="Times New Roman"/>
          <w:color w:val="000000" w:themeColor="text1"/>
          <w:sz w:val="24"/>
          <w:szCs w:val="24"/>
        </w:rPr>
        <w:t>is altered</w:t>
      </w:r>
      <w:proofErr w:type="gramEnd"/>
      <w:r w:rsidRPr="00B964A3">
        <w:rPr>
          <w:rFonts w:ascii="Times New Roman" w:hAnsi="Times New Roman" w:cs="Times New Roman"/>
          <w:color w:val="000000" w:themeColor="text1"/>
          <w:sz w:val="24"/>
          <w:szCs w:val="24"/>
        </w:rPr>
        <w:t xml:space="preserve"> during a trip, notification of the changes must be given to law enforcement. Reporting of changes to fishing activity </w:t>
      </w:r>
      <w:proofErr w:type="gramStart"/>
      <w:r w:rsidRPr="00B964A3">
        <w:rPr>
          <w:rFonts w:ascii="Times New Roman" w:hAnsi="Times New Roman" w:cs="Times New Roman"/>
          <w:color w:val="000000" w:themeColor="text1"/>
          <w:sz w:val="24"/>
          <w:szCs w:val="24"/>
        </w:rPr>
        <w:t>can be reported</w:t>
      </w:r>
      <w:proofErr w:type="gramEnd"/>
      <w:r w:rsidRPr="00B964A3">
        <w:rPr>
          <w:rFonts w:ascii="Times New Roman" w:hAnsi="Times New Roman" w:cs="Times New Roman"/>
          <w:color w:val="000000" w:themeColor="text1"/>
          <w:sz w:val="24"/>
          <w:szCs w:val="24"/>
        </w:rPr>
        <w:t xml:space="preserve"> either via VMS or through a NMFS call-in system at (888) 219-9228.</w:t>
      </w:r>
    </w:p>
    <w:p w:rsidRPr="00B964A3" w:rsidR="00EF7486" w:rsidP="00B039D7" w:rsidRDefault="00EF7486" w14:paraId="3AE740C8" w14:textId="06B658D9">
      <w:pPr>
        <w:spacing w:before="120"/>
        <w:ind w:left="360"/>
        <w:rPr>
          <w:rFonts w:ascii="Times New Roman" w:hAnsi="Times New Roman" w:cs="Times New Roman"/>
          <w:color w:val="000000" w:themeColor="text1"/>
          <w:sz w:val="24"/>
          <w:szCs w:val="24"/>
        </w:rPr>
      </w:pPr>
      <w:r w:rsidRPr="00B964A3">
        <w:rPr>
          <w:rFonts w:ascii="Times New Roman" w:hAnsi="Times New Roman" w:cs="Times New Roman"/>
          <w:color w:val="000000" w:themeColor="text1"/>
          <w:sz w:val="24"/>
          <w:szCs w:val="24"/>
        </w:rPr>
        <w:lastRenderedPageBreak/>
        <w:t xml:space="preserve">Two other requirements are </w:t>
      </w:r>
      <w:r w:rsidRPr="00B964A3" w:rsidR="00F1077A">
        <w:rPr>
          <w:rFonts w:ascii="Times New Roman" w:hAnsi="Times New Roman" w:cs="Times New Roman"/>
          <w:color w:val="000000" w:themeColor="text1"/>
          <w:sz w:val="24"/>
          <w:szCs w:val="24"/>
        </w:rPr>
        <w:t xml:space="preserve">the </w:t>
      </w:r>
      <w:r w:rsidRPr="00B964A3">
        <w:rPr>
          <w:rFonts w:ascii="Times New Roman" w:hAnsi="Times New Roman" w:cs="Times New Roman"/>
          <w:color w:val="000000" w:themeColor="text1"/>
          <w:sz w:val="24"/>
          <w:szCs w:val="24"/>
        </w:rPr>
        <w:t xml:space="preserve">completion and submission of the statement certifying compliance with the installation and activation checklist, and for Gulf reef fish vessels only, a </w:t>
      </w:r>
      <w:r w:rsidRPr="00B964A3" w:rsidR="00F1077A">
        <w:rPr>
          <w:rFonts w:ascii="Times New Roman" w:hAnsi="Times New Roman" w:cs="Times New Roman"/>
          <w:color w:val="000000" w:themeColor="text1"/>
          <w:sz w:val="24"/>
          <w:szCs w:val="24"/>
        </w:rPr>
        <w:t>PDE</w:t>
      </w:r>
      <w:r w:rsidRPr="00B964A3">
        <w:rPr>
          <w:rFonts w:ascii="Times New Roman" w:hAnsi="Times New Roman" w:cs="Times New Roman"/>
          <w:color w:val="000000" w:themeColor="text1"/>
          <w:sz w:val="24"/>
          <w:szCs w:val="24"/>
        </w:rPr>
        <w:t xml:space="preserve"> request for when boats are out of the water, (e.g., for maintenance or repairs in dry dock).</w:t>
      </w:r>
    </w:p>
    <w:p w:rsidRPr="00B964A3" w:rsidR="00EF7486" w:rsidP="00B039D7" w:rsidRDefault="00EF7486" w14:paraId="0E7D65E2" w14:textId="0E4AC52C">
      <w:pPr>
        <w:spacing w:before="120"/>
        <w:ind w:left="360"/>
        <w:rPr>
          <w:rFonts w:ascii="Times New Roman" w:hAnsi="Times New Roman" w:cs="Times New Roman"/>
          <w:color w:val="000000" w:themeColor="text1"/>
          <w:sz w:val="24"/>
          <w:szCs w:val="24"/>
        </w:rPr>
      </w:pPr>
      <w:r w:rsidRPr="00B964A3">
        <w:rPr>
          <w:rFonts w:ascii="Times New Roman" w:hAnsi="Times New Roman" w:cs="Times New Roman"/>
          <w:color w:val="000000" w:themeColor="text1"/>
          <w:sz w:val="24"/>
          <w:szCs w:val="24"/>
        </w:rPr>
        <w:t xml:space="preserve">The installation and activation checklist is required from each commercial Reef Fish and South Atlantic Rock Shrimp vessel that obtain a VMS unit, at the time the VMS unit </w:t>
      </w:r>
      <w:proofErr w:type="gramStart"/>
      <w:r w:rsidRPr="00B964A3">
        <w:rPr>
          <w:rFonts w:ascii="Times New Roman" w:hAnsi="Times New Roman" w:cs="Times New Roman"/>
          <w:color w:val="000000" w:themeColor="text1"/>
          <w:sz w:val="24"/>
          <w:szCs w:val="24"/>
        </w:rPr>
        <w:t>is installed</w:t>
      </w:r>
      <w:proofErr w:type="gramEnd"/>
      <w:r w:rsidRPr="00B964A3">
        <w:rPr>
          <w:rFonts w:ascii="Times New Roman" w:hAnsi="Times New Roman" w:cs="Times New Roman"/>
          <w:color w:val="000000" w:themeColor="text1"/>
          <w:sz w:val="24"/>
          <w:szCs w:val="24"/>
        </w:rPr>
        <w:t xml:space="preserve">.  </w:t>
      </w:r>
      <w:r w:rsidRPr="00B964A3" w:rsidR="00914538">
        <w:rPr>
          <w:rFonts w:ascii="Times New Roman" w:hAnsi="Times New Roman" w:cs="Times New Roman"/>
          <w:color w:val="000000" w:themeColor="text1"/>
          <w:sz w:val="24"/>
          <w:szCs w:val="24"/>
        </w:rPr>
        <w:t xml:space="preserve">This form provides assurance to NMFS Law Enforcement that the unit was properly installed on the vessel, </w:t>
      </w:r>
      <w:r w:rsidRPr="00B964A3">
        <w:rPr>
          <w:rFonts w:ascii="Times New Roman" w:hAnsi="Times New Roman" w:cs="Times New Roman"/>
          <w:color w:val="000000" w:themeColor="text1"/>
          <w:sz w:val="24"/>
          <w:szCs w:val="24"/>
        </w:rPr>
        <w:t xml:space="preserve">Only a VMS unit that NMFS has approved for use in the for Gulf reef fish and South Atlantic rock shrimp fisheries may be used, and the VMS unit must be properly registered and activated with an approved communications provider for the vessel. Additionally, a qualified marine electrician must install the VMS hardware. When installing and activating the NMFS-approved VMS unit, the vessel owner or operator must: (1) follow procedures indicated on the VMS Installation and Activation Certification checklist for the applicable fishery; (2) submit a statement certifying compliance with the checklist, as prescribed on the checklist; and (3) submit a vendor-completed installation certification checklist. These materials are available from and </w:t>
      </w:r>
      <w:proofErr w:type="gramStart"/>
      <w:r w:rsidRPr="00B964A3">
        <w:rPr>
          <w:rFonts w:ascii="Times New Roman" w:hAnsi="Times New Roman" w:cs="Times New Roman"/>
          <w:color w:val="000000" w:themeColor="text1"/>
          <w:sz w:val="24"/>
          <w:szCs w:val="24"/>
        </w:rPr>
        <w:t>must be submitted</w:t>
      </w:r>
      <w:proofErr w:type="gramEnd"/>
      <w:r w:rsidRPr="00B964A3">
        <w:rPr>
          <w:rFonts w:ascii="Times New Roman" w:hAnsi="Times New Roman" w:cs="Times New Roman"/>
          <w:color w:val="000000" w:themeColor="text1"/>
          <w:sz w:val="24"/>
          <w:szCs w:val="24"/>
        </w:rPr>
        <w:t xml:space="preserve"> to the NOAA Office of Law Enforcement (OLE), Southeast Region, St. Petersburg, FL 33701; phone (800) 758-4833 or (727) 824-5347.</w:t>
      </w:r>
    </w:p>
    <w:p w:rsidRPr="00B964A3" w:rsidR="00EF7486" w:rsidP="00B039D7" w:rsidRDefault="00EF7486" w14:paraId="31E9CCD6" w14:textId="2F4AA3BE">
      <w:pPr>
        <w:spacing w:before="120"/>
        <w:ind w:left="360"/>
        <w:rPr>
          <w:rFonts w:ascii="Times New Roman" w:hAnsi="Times New Roman" w:cs="Times New Roman"/>
          <w:color w:val="000000" w:themeColor="text1"/>
          <w:sz w:val="24"/>
          <w:szCs w:val="24"/>
        </w:rPr>
      </w:pPr>
      <w:r w:rsidRPr="00B964A3">
        <w:rPr>
          <w:rFonts w:ascii="Times New Roman" w:hAnsi="Times New Roman" w:cs="Times New Roman"/>
          <w:color w:val="000000" w:themeColor="text1"/>
          <w:sz w:val="24"/>
          <w:szCs w:val="24"/>
        </w:rPr>
        <w:t xml:space="preserve">The </w:t>
      </w:r>
      <w:r w:rsidRPr="00B964A3" w:rsidR="00F1077A">
        <w:rPr>
          <w:rFonts w:ascii="Times New Roman" w:hAnsi="Times New Roman" w:cs="Times New Roman"/>
          <w:color w:val="000000" w:themeColor="text1"/>
          <w:sz w:val="24"/>
          <w:szCs w:val="24"/>
        </w:rPr>
        <w:t>PDE</w:t>
      </w:r>
      <w:r w:rsidRPr="00B964A3">
        <w:rPr>
          <w:rFonts w:ascii="Times New Roman" w:hAnsi="Times New Roman" w:cs="Times New Roman"/>
          <w:color w:val="000000" w:themeColor="text1"/>
          <w:sz w:val="24"/>
          <w:szCs w:val="24"/>
        </w:rPr>
        <w:t xml:space="preserve"> request is required only from commercial Reef fish vessels wishing to turn off their VMS.  The form is available via online application or hardcopy form.  To submit a PDE request on line, vessel</w:t>
      </w:r>
      <w:r w:rsidRPr="00B964A3" w:rsidR="00F1077A">
        <w:rPr>
          <w:rFonts w:ascii="Times New Roman" w:hAnsi="Times New Roman" w:cs="Times New Roman"/>
          <w:color w:val="000000" w:themeColor="text1"/>
          <w:sz w:val="24"/>
          <w:szCs w:val="24"/>
        </w:rPr>
        <w:t xml:space="preserve"> owners</w:t>
      </w:r>
      <w:r w:rsidRPr="00B964A3">
        <w:rPr>
          <w:rFonts w:ascii="Times New Roman" w:hAnsi="Times New Roman" w:cs="Times New Roman"/>
          <w:color w:val="000000" w:themeColor="text1"/>
          <w:sz w:val="24"/>
          <w:szCs w:val="24"/>
        </w:rPr>
        <w:t xml:space="preserve"> access this website:  </w:t>
      </w:r>
      <w:hyperlink w:history="1" r:id="rId12">
        <w:r w:rsidRPr="00B964A3">
          <w:rPr>
            <w:rFonts w:ascii="Times New Roman" w:hAnsi="Times New Roman" w:cs="Times New Roman"/>
            <w:color w:val="000000" w:themeColor="text1"/>
            <w:sz w:val="24"/>
            <w:szCs w:val="24"/>
          </w:rPr>
          <w:t>https://grunt.sefsc.noaa.gov/apex/fer/r/fer_forms/power-down-request</w:t>
        </w:r>
      </w:hyperlink>
      <w:r w:rsidRPr="00B964A3">
        <w:rPr>
          <w:rFonts w:ascii="Times New Roman" w:hAnsi="Times New Roman" w:cs="Times New Roman"/>
          <w:color w:val="000000" w:themeColor="text1"/>
          <w:sz w:val="24"/>
          <w:szCs w:val="24"/>
        </w:rPr>
        <w:t>.  Alternatively, vessel owners may request a paper form the NOAA Office of Law Enforcement (OLE), Southeast Region, St. Petersburg, FL 33701</w:t>
      </w:r>
      <w:proofErr w:type="gramStart"/>
      <w:r w:rsidRPr="00B964A3">
        <w:rPr>
          <w:rFonts w:ascii="Times New Roman" w:hAnsi="Times New Roman" w:cs="Times New Roman"/>
          <w:color w:val="000000" w:themeColor="text1"/>
          <w:sz w:val="24"/>
          <w:szCs w:val="24"/>
        </w:rPr>
        <w:t>;</w:t>
      </w:r>
      <w:proofErr w:type="gramEnd"/>
      <w:r w:rsidRPr="00B964A3">
        <w:rPr>
          <w:rFonts w:ascii="Times New Roman" w:hAnsi="Times New Roman" w:cs="Times New Roman"/>
          <w:color w:val="000000" w:themeColor="text1"/>
          <w:sz w:val="24"/>
          <w:szCs w:val="24"/>
        </w:rPr>
        <w:t xml:space="preserve"> phone (800) 758-4833 or (727) 824-5347.</w:t>
      </w:r>
    </w:p>
    <w:p w:rsidRPr="00B964A3" w:rsidR="00956A91" w:rsidP="00B039D7" w:rsidRDefault="00EF7486" w14:paraId="29515B35" w14:textId="7865E01A">
      <w:pPr>
        <w:spacing w:before="120"/>
        <w:ind w:left="360"/>
        <w:rPr>
          <w:rFonts w:ascii="Times New Roman" w:hAnsi="Times New Roman" w:cs="Times New Roman"/>
          <w:color w:val="000000" w:themeColor="text1"/>
          <w:sz w:val="24"/>
          <w:szCs w:val="24"/>
        </w:rPr>
      </w:pPr>
      <w:r w:rsidRPr="00B964A3">
        <w:rPr>
          <w:rFonts w:ascii="Times New Roman" w:hAnsi="Times New Roman" w:cs="Times New Roman"/>
          <w:color w:val="000000" w:themeColor="text1"/>
          <w:sz w:val="24"/>
          <w:szCs w:val="24"/>
        </w:rPr>
        <w:t xml:space="preserve">The information collected on the ‘‘Vessel Monitoring System Installation and Activation Certification for the Reef Fish Fishery of the Gulf of Mexico’’ form provides NMFS assurance that vessels are compliant with the requirements to install and activate an approved VMS unit. </w:t>
      </w:r>
      <w:r w:rsidRPr="00B964A3" w:rsidR="00956A91">
        <w:rPr>
          <w:rFonts w:ascii="Times New Roman" w:hAnsi="Times New Roman" w:cs="Times New Roman"/>
          <w:color w:val="000000" w:themeColor="text1"/>
          <w:sz w:val="24"/>
          <w:szCs w:val="24"/>
        </w:rPr>
        <w:t xml:space="preserve">Assurance that the unit </w:t>
      </w:r>
      <w:proofErr w:type="gramStart"/>
      <w:r w:rsidRPr="00B964A3" w:rsidR="00956A91">
        <w:rPr>
          <w:rFonts w:ascii="Times New Roman" w:hAnsi="Times New Roman" w:cs="Times New Roman"/>
          <w:color w:val="000000" w:themeColor="text1"/>
          <w:sz w:val="24"/>
          <w:szCs w:val="24"/>
        </w:rPr>
        <w:t>was properly installed</w:t>
      </w:r>
      <w:proofErr w:type="gramEnd"/>
      <w:r w:rsidRPr="00B964A3" w:rsidR="00956A91">
        <w:rPr>
          <w:rFonts w:ascii="Times New Roman" w:hAnsi="Times New Roman" w:cs="Times New Roman"/>
          <w:color w:val="000000" w:themeColor="text1"/>
          <w:sz w:val="24"/>
          <w:szCs w:val="24"/>
        </w:rPr>
        <w:t xml:space="preserve"> is nec</w:t>
      </w:r>
      <w:r w:rsidRPr="00B964A3" w:rsidR="00766C8A">
        <w:rPr>
          <w:rFonts w:ascii="Times New Roman" w:hAnsi="Times New Roman" w:cs="Times New Roman"/>
          <w:color w:val="000000" w:themeColor="text1"/>
          <w:sz w:val="24"/>
          <w:szCs w:val="24"/>
        </w:rPr>
        <w:t>essary</w:t>
      </w:r>
      <w:r w:rsidRPr="00B964A3" w:rsidR="00956A91">
        <w:rPr>
          <w:rFonts w:ascii="Times New Roman" w:hAnsi="Times New Roman" w:cs="Times New Roman"/>
          <w:color w:val="000000" w:themeColor="text1"/>
          <w:sz w:val="24"/>
          <w:szCs w:val="24"/>
        </w:rPr>
        <w:t xml:space="preserve"> for </w:t>
      </w:r>
      <w:r w:rsidRPr="00B964A3" w:rsidR="00F1077A">
        <w:rPr>
          <w:rFonts w:ascii="Times New Roman" w:hAnsi="Times New Roman" w:cs="Times New Roman"/>
          <w:color w:val="000000" w:themeColor="text1"/>
          <w:sz w:val="24"/>
          <w:szCs w:val="24"/>
        </w:rPr>
        <w:t>us to consider the data reliable enough to use for law enforcement case prosecution</w:t>
      </w:r>
      <w:r w:rsidRPr="00B964A3" w:rsidR="00956A91">
        <w:rPr>
          <w:rFonts w:ascii="Times New Roman" w:hAnsi="Times New Roman" w:cs="Times New Roman"/>
          <w:color w:val="000000" w:themeColor="text1"/>
          <w:sz w:val="24"/>
          <w:szCs w:val="24"/>
        </w:rPr>
        <w:t xml:space="preserve">.  </w:t>
      </w:r>
    </w:p>
    <w:p w:rsidRPr="00B964A3" w:rsidR="00EF7486" w:rsidP="00B039D7" w:rsidRDefault="00EF7486" w14:paraId="26192A14" w14:textId="7041C77E">
      <w:pPr>
        <w:spacing w:before="120"/>
        <w:ind w:left="360"/>
        <w:rPr>
          <w:rFonts w:ascii="Times New Roman" w:hAnsi="Times New Roman" w:cs="Times New Roman"/>
          <w:color w:val="000000" w:themeColor="text1"/>
          <w:sz w:val="24"/>
          <w:szCs w:val="24"/>
        </w:rPr>
      </w:pPr>
      <w:r w:rsidRPr="00B964A3">
        <w:rPr>
          <w:rFonts w:ascii="Times New Roman" w:hAnsi="Times New Roman" w:cs="Times New Roman"/>
          <w:color w:val="000000" w:themeColor="text1"/>
          <w:sz w:val="24"/>
          <w:szCs w:val="24"/>
        </w:rPr>
        <w:t>Information collected on the ‘Vessel Monitoring System Mobile Transceiver Unit (MTU) Power-Down Exemption Request for Vessels in the Gulf of Mexico Reef Fish Fishery’’ form provides information that allows NMFS to exempt a vessel from their VMS reporting requirement under specific criteria.</w:t>
      </w:r>
    </w:p>
    <w:p w:rsidRPr="00B964A3" w:rsidR="00EF7486" w:rsidP="00B039D7" w:rsidRDefault="00EF7486" w14:paraId="1A62D3CC" w14:textId="77777777">
      <w:pPr>
        <w:spacing w:before="120"/>
        <w:ind w:left="360"/>
        <w:rPr>
          <w:rFonts w:ascii="Times New Roman" w:hAnsi="Times New Roman" w:cs="Times New Roman"/>
          <w:color w:val="000000" w:themeColor="text1"/>
          <w:sz w:val="24"/>
          <w:szCs w:val="24"/>
        </w:rPr>
      </w:pPr>
      <w:r w:rsidRPr="00B964A3">
        <w:rPr>
          <w:rFonts w:ascii="Times New Roman" w:hAnsi="Times New Roman" w:cs="Times New Roman"/>
          <w:color w:val="000000" w:themeColor="text1"/>
          <w:sz w:val="24"/>
          <w:szCs w:val="24"/>
        </w:rPr>
        <w:t xml:space="preserve">NMFS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w:t>
      </w:r>
      <w:proofErr w:type="gramStart"/>
      <w:r w:rsidRPr="00B964A3">
        <w:rPr>
          <w:rFonts w:ascii="Times New Roman" w:hAnsi="Times New Roman" w:cs="Times New Roman"/>
          <w:color w:val="000000" w:themeColor="text1"/>
          <w:sz w:val="24"/>
          <w:szCs w:val="24"/>
        </w:rPr>
        <w:t>is designed</w:t>
      </w:r>
      <w:proofErr w:type="gramEnd"/>
      <w:r w:rsidRPr="00B964A3">
        <w:rPr>
          <w:rFonts w:ascii="Times New Roman" w:hAnsi="Times New Roman" w:cs="Times New Roman"/>
          <w:color w:val="000000" w:themeColor="text1"/>
          <w:sz w:val="24"/>
          <w:szCs w:val="24"/>
        </w:rPr>
        <w:t xml:space="preserve"> to yield data that meet all applicable information quality guidelines. Although the information collected </w:t>
      </w:r>
      <w:proofErr w:type="gramStart"/>
      <w:r w:rsidRPr="00B964A3">
        <w:rPr>
          <w:rFonts w:ascii="Times New Roman" w:hAnsi="Times New Roman" w:cs="Times New Roman"/>
          <w:color w:val="000000" w:themeColor="text1"/>
          <w:sz w:val="24"/>
          <w:szCs w:val="24"/>
        </w:rPr>
        <w:t>is not expected to be disseminated</w:t>
      </w:r>
      <w:proofErr w:type="gramEnd"/>
      <w:r w:rsidRPr="00B964A3">
        <w:rPr>
          <w:rFonts w:ascii="Times New Roman" w:hAnsi="Times New Roman" w:cs="Times New Roman"/>
          <w:color w:val="000000" w:themeColor="text1"/>
          <w:sz w:val="24"/>
          <w:szCs w:val="24"/>
        </w:rPr>
        <w:t xml:space="preserve"> directly to the public, results may be used in scientific, management, technical or general informational publications. Should NMFS decide to disseminate the information, it will be subject to the quality control measures and pre-dissemination review pursuant to </w:t>
      </w:r>
      <w:hyperlink w:history="1" r:id="rId13">
        <w:r w:rsidRPr="00B964A3">
          <w:rPr>
            <w:rFonts w:ascii="Times New Roman" w:hAnsi="Times New Roman" w:cs="Times New Roman"/>
            <w:color w:val="000000" w:themeColor="text1"/>
            <w:sz w:val="24"/>
            <w:szCs w:val="24"/>
          </w:rPr>
          <w:t>Section 515 of Public Law 106-554</w:t>
        </w:r>
      </w:hyperlink>
      <w:r w:rsidRPr="00B964A3">
        <w:rPr>
          <w:rFonts w:ascii="Times New Roman" w:hAnsi="Times New Roman" w:cs="Times New Roman"/>
          <w:color w:val="000000" w:themeColor="text1"/>
          <w:sz w:val="24"/>
          <w:szCs w:val="24"/>
        </w:rPr>
        <w:t>.</w:t>
      </w:r>
    </w:p>
    <w:p w:rsidRPr="00EF7486" w:rsidR="00EF7486" w:rsidP="00EF7486" w:rsidRDefault="00EF7486" w14:paraId="5628ED09" w14:textId="77777777">
      <w:pPr>
        <w:tabs>
          <w:tab w:val="left" w:pos="360"/>
        </w:tabs>
        <w:spacing w:before="199"/>
        <w:rPr>
          <w:rFonts w:ascii="Times New Roman" w:hAnsi="Times New Roman" w:cs="Times New Roman"/>
          <w:b/>
          <w:sz w:val="24"/>
          <w:szCs w:val="24"/>
        </w:rPr>
      </w:pPr>
    </w:p>
    <w:p w:rsidRPr="00BD7237" w:rsidR="008E61C9" w:rsidP="00B964A3" w:rsidRDefault="001477A3" w14:paraId="000600DD" w14:textId="0BC9C220">
      <w:pPr>
        <w:pStyle w:val="ListParagraph"/>
        <w:numPr>
          <w:ilvl w:val="0"/>
          <w:numId w:val="17"/>
        </w:numPr>
        <w:tabs>
          <w:tab w:val="left" w:pos="360"/>
        </w:tabs>
        <w:spacing w:before="199"/>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Describe whether, and to what extent, the collection of information involves the use of automated, electronic, mechanical, or other technological collection techniques or other forms of </w:t>
      </w:r>
      <w:r w:rsidRPr="00BD7237">
        <w:rPr>
          <w:rFonts w:ascii="Times New Roman" w:hAnsi="Times New Roman" w:cs="Times New Roman"/>
          <w:b/>
          <w:sz w:val="24"/>
          <w:szCs w:val="24"/>
        </w:rPr>
        <w:lastRenderedPageBreak/>
        <w:t>information technology, e.g. permitting electronic submission of responses, and the basis for the decision for adopting this means of collection. Also, describe any consideration of using information technology to reduce</w:t>
      </w:r>
      <w:r w:rsidRPr="00BD7237">
        <w:rPr>
          <w:rFonts w:ascii="Times New Roman" w:hAnsi="Times New Roman" w:cs="Times New Roman"/>
          <w:b/>
          <w:spacing w:val="-6"/>
          <w:sz w:val="24"/>
          <w:szCs w:val="24"/>
        </w:rPr>
        <w:t xml:space="preserve"> </w:t>
      </w:r>
      <w:r w:rsidRPr="00BD7237">
        <w:rPr>
          <w:rFonts w:ascii="Times New Roman" w:hAnsi="Times New Roman" w:cs="Times New Roman"/>
          <w:b/>
          <w:sz w:val="24"/>
          <w:szCs w:val="24"/>
        </w:rPr>
        <w:t>burden.</w:t>
      </w:r>
    </w:p>
    <w:p w:rsidRPr="00B964A3" w:rsidR="00233F57" w:rsidP="00B039D7" w:rsidRDefault="00233F57" w14:paraId="52B0A276" w14:textId="7C3E1A68">
      <w:pPr>
        <w:spacing w:before="120"/>
        <w:ind w:left="360"/>
        <w:rPr>
          <w:rFonts w:ascii="Times New Roman" w:hAnsi="Times New Roman" w:cs="Times New Roman"/>
          <w:color w:val="000000" w:themeColor="text1"/>
          <w:sz w:val="24"/>
          <w:szCs w:val="24"/>
          <w:u w:val="single"/>
        </w:rPr>
      </w:pPr>
      <w:r w:rsidRPr="00B964A3">
        <w:rPr>
          <w:rFonts w:ascii="Times New Roman" w:hAnsi="Times New Roman" w:cs="Times New Roman"/>
          <w:color w:val="000000" w:themeColor="text1"/>
          <w:sz w:val="24"/>
          <w:szCs w:val="24"/>
          <w:u w:val="single"/>
        </w:rPr>
        <w:softHyphen/>
        <w:t>Position Reports</w:t>
      </w:r>
    </w:p>
    <w:p w:rsidRPr="00B964A3" w:rsidR="002B35E4" w:rsidP="00B039D7" w:rsidRDefault="002B35E4" w14:paraId="450D6601" w14:textId="4ABD13E2">
      <w:pPr>
        <w:spacing w:before="120"/>
        <w:ind w:left="360"/>
        <w:rPr>
          <w:rFonts w:ascii="Times New Roman" w:hAnsi="Times New Roman" w:cs="Times New Roman"/>
          <w:color w:val="000000" w:themeColor="text1"/>
          <w:sz w:val="24"/>
          <w:szCs w:val="24"/>
        </w:rPr>
      </w:pPr>
      <w:r w:rsidRPr="00B964A3">
        <w:rPr>
          <w:rFonts w:ascii="Times New Roman" w:hAnsi="Times New Roman" w:cs="Times New Roman"/>
          <w:color w:val="000000" w:themeColor="text1"/>
          <w:sz w:val="24"/>
          <w:szCs w:val="24"/>
        </w:rPr>
        <w:t>The VMS transmits all position reports electronically and</w:t>
      </w:r>
      <w:r w:rsidRPr="00B964A3" w:rsidR="00F1077A">
        <w:rPr>
          <w:rFonts w:ascii="Times New Roman" w:hAnsi="Times New Roman" w:cs="Times New Roman"/>
          <w:color w:val="000000" w:themeColor="text1"/>
          <w:sz w:val="24"/>
          <w:szCs w:val="24"/>
        </w:rPr>
        <w:t>,</w:t>
      </w:r>
      <w:r w:rsidRPr="00B964A3">
        <w:rPr>
          <w:rFonts w:ascii="Times New Roman" w:hAnsi="Times New Roman" w:cs="Times New Roman"/>
          <w:color w:val="000000" w:themeColor="text1"/>
          <w:sz w:val="24"/>
          <w:szCs w:val="24"/>
        </w:rPr>
        <w:t xml:space="preserve"> when the unit </w:t>
      </w:r>
      <w:proofErr w:type="gramStart"/>
      <w:r w:rsidRPr="00B964A3">
        <w:rPr>
          <w:rFonts w:ascii="Times New Roman" w:hAnsi="Times New Roman" w:cs="Times New Roman"/>
          <w:color w:val="000000" w:themeColor="text1"/>
          <w:sz w:val="24"/>
          <w:szCs w:val="24"/>
        </w:rPr>
        <w:t>is powered</w:t>
      </w:r>
      <w:proofErr w:type="gramEnd"/>
      <w:r w:rsidRPr="00B964A3">
        <w:rPr>
          <w:rFonts w:ascii="Times New Roman" w:hAnsi="Times New Roman" w:cs="Times New Roman"/>
          <w:color w:val="000000" w:themeColor="text1"/>
          <w:sz w:val="24"/>
          <w:szCs w:val="24"/>
        </w:rPr>
        <w:t xml:space="preserve"> up, </w:t>
      </w:r>
      <w:r w:rsidRPr="00B964A3" w:rsidR="008076D1">
        <w:rPr>
          <w:rFonts w:ascii="Times New Roman" w:hAnsi="Times New Roman" w:cs="Times New Roman"/>
          <w:color w:val="000000" w:themeColor="text1"/>
          <w:sz w:val="24"/>
          <w:szCs w:val="24"/>
        </w:rPr>
        <w:t xml:space="preserve">submitted </w:t>
      </w:r>
      <w:r w:rsidRPr="00B964A3">
        <w:rPr>
          <w:rFonts w:ascii="Times New Roman" w:hAnsi="Times New Roman" w:cs="Times New Roman"/>
          <w:color w:val="000000" w:themeColor="text1"/>
          <w:sz w:val="24"/>
          <w:szCs w:val="24"/>
        </w:rPr>
        <w:t xml:space="preserve">automatically.  </w:t>
      </w:r>
    </w:p>
    <w:p w:rsidRPr="00B964A3" w:rsidR="00100544" w:rsidP="00B039D7" w:rsidRDefault="00100544" w14:paraId="11A32786" w14:textId="5D2BDC79">
      <w:pPr>
        <w:spacing w:before="120"/>
        <w:ind w:left="360"/>
        <w:rPr>
          <w:rFonts w:ascii="Times New Roman" w:hAnsi="Times New Roman" w:cs="Times New Roman"/>
          <w:color w:val="000000" w:themeColor="text1"/>
          <w:sz w:val="24"/>
          <w:szCs w:val="24"/>
        </w:rPr>
      </w:pPr>
      <w:r w:rsidRPr="00B964A3">
        <w:rPr>
          <w:rFonts w:ascii="Times New Roman" w:hAnsi="Times New Roman" w:cs="Times New Roman"/>
          <w:color w:val="000000" w:themeColor="text1"/>
          <w:sz w:val="24"/>
          <w:szCs w:val="24"/>
        </w:rPr>
        <w:t xml:space="preserve">Positon data </w:t>
      </w:r>
      <w:proofErr w:type="gramStart"/>
      <w:r w:rsidRPr="00B964A3">
        <w:rPr>
          <w:rFonts w:ascii="Times New Roman" w:hAnsi="Times New Roman" w:cs="Times New Roman"/>
          <w:color w:val="000000" w:themeColor="text1"/>
          <w:sz w:val="24"/>
          <w:szCs w:val="24"/>
        </w:rPr>
        <w:t>is sent</w:t>
      </w:r>
      <w:proofErr w:type="gramEnd"/>
      <w:r w:rsidRPr="00B964A3">
        <w:rPr>
          <w:rFonts w:ascii="Times New Roman" w:hAnsi="Times New Roman" w:cs="Times New Roman"/>
          <w:color w:val="000000" w:themeColor="text1"/>
          <w:sz w:val="24"/>
          <w:szCs w:val="24"/>
        </w:rPr>
        <w:t xml:space="preserve"> automatically by the VMS units at a frequency of one transmission per an hour</w:t>
      </w:r>
      <w:r w:rsidRPr="00B964A3" w:rsidR="005E20B1">
        <w:rPr>
          <w:rFonts w:ascii="Times New Roman" w:hAnsi="Times New Roman" w:cs="Times New Roman"/>
          <w:color w:val="000000" w:themeColor="text1"/>
          <w:sz w:val="24"/>
          <w:szCs w:val="24"/>
        </w:rPr>
        <w:t>,</w:t>
      </w:r>
      <w:r w:rsidRPr="00B964A3">
        <w:rPr>
          <w:rFonts w:ascii="Times New Roman" w:hAnsi="Times New Roman" w:cs="Times New Roman"/>
          <w:color w:val="000000" w:themeColor="text1"/>
          <w:sz w:val="24"/>
          <w:szCs w:val="24"/>
        </w:rPr>
        <w:t xml:space="preserve"> unless the vessel has entered a NMFS-defined buffer zone of one nautical mile around areas with fishing restrictions. Specifically, a vessel with a valid commercial vessel permit for rock </w:t>
      </w:r>
      <w:hyperlink w:history="1" r:id="rId14">
        <w:r w:rsidRPr="00B964A3">
          <w:rPr>
            <w:rFonts w:ascii="Times New Roman" w:hAnsi="Times New Roman" w:cs="Times New Roman"/>
            <w:color w:val="000000" w:themeColor="text1"/>
            <w:sz w:val="24"/>
            <w:szCs w:val="24"/>
          </w:rPr>
          <w:t>shrimp</w:t>
        </w:r>
      </w:hyperlink>
      <w:r w:rsidRPr="00B964A3">
        <w:rPr>
          <w:rFonts w:ascii="Times New Roman" w:hAnsi="Times New Roman" w:cs="Times New Roman"/>
          <w:color w:val="000000" w:themeColor="text1"/>
          <w:sz w:val="24"/>
          <w:szCs w:val="24"/>
        </w:rPr>
        <w:t> that possesses rock </w:t>
      </w:r>
      <w:hyperlink w:history="1" r:id="rId15">
        <w:r w:rsidRPr="00B964A3">
          <w:rPr>
            <w:rFonts w:ascii="Times New Roman" w:hAnsi="Times New Roman" w:cs="Times New Roman"/>
            <w:color w:val="000000" w:themeColor="text1"/>
            <w:sz w:val="24"/>
            <w:szCs w:val="24"/>
          </w:rPr>
          <w:t>shrimp</w:t>
        </w:r>
      </w:hyperlink>
      <w:r w:rsidRPr="00B964A3">
        <w:rPr>
          <w:rFonts w:ascii="Times New Roman" w:hAnsi="Times New Roman" w:cs="Times New Roman"/>
          <w:color w:val="000000" w:themeColor="text1"/>
          <w:sz w:val="24"/>
          <w:szCs w:val="24"/>
        </w:rPr>
        <w:t xml:space="preserve"> that transits </w:t>
      </w:r>
      <w:proofErr w:type="spellStart"/>
      <w:r w:rsidRPr="00B964A3">
        <w:rPr>
          <w:rFonts w:ascii="Times New Roman" w:hAnsi="Times New Roman" w:cs="Times New Roman"/>
          <w:color w:val="000000" w:themeColor="text1"/>
          <w:sz w:val="24"/>
          <w:szCs w:val="24"/>
        </w:rPr>
        <w:t>Oculina</w:t>
      </w:r>
      <w:proofErr w:type="spellEnd"/>
      <w:r w:rsidRPr="00B964A3">
        <w:rPr>
          <w:rFonts w:ascii="Times New Roman" w:hAnsi="Times New Roman" w:cs="Times New Roman"/>
          <w:color w:val="000000" w:themeColor="text1"/>
          <w:sz w:val="24"/>
          <w:szCs w:val="24"/>
        </w:rPr>
        <w:t xml:space="preserve"> Bank </w:t>
      </w:r>
      <w:hyperlink w:history="1" r:id="rId16">
        <w:r w:rsidRPr="00B964A3">
          <w:rPr>
            <w:rFonts w:ascii="Times New Roman" w:hAnsi="Times New Roman" w:cs="Times New Roman"/>
            <w:color w:val="000000" w:themeColor="text1"/>
            <w:sz w:val="24"/>
            <w:szCs w:val="24"/>
          </w:rPr>
          <w:t>HAPC</w:t>
        </w:r>
      </w:hyperlink>
      <w:r w:rsidRPr="00B964A3">
        <w:rPr>
          <w:rFonts w:ascii="Times New Roman" w:hAnsi="Times New Roman" w:cs="Times New Roman"/>
          <w:color w:val="000000" w:themeColor="text1"/>
          <w:sz w:val="24"/>
          <w:szCs w:val="24"/>
        </w:rPr>
        <w:t xml:space="preserve"> will increase the position reporting frequency to once every 5 minutes.  This report increase happens automatically</w:t>
      </w:r>
      <w:r w:rsidRPr="00B964A3" w:rsidR="005E20B1">
        <w:rPr>
          <w:rFonts w:ascii="Times New Roman" w:hAnsi="Times New Roman" w:cs="Times New Roman"/>
          <w:color w:val="000000" w:themeColor="text1"/>
          <w:sz w:val="24"/>
          <w:szCs w:val="24"/>
        </w:rPr>
        <w:t xml:space="preserve">, and </w:t>
      </w:r>
      <w:proofErr w:type="gramStart"/>
      <w:r w:rsidRPr="00B964A3" w:rsidR="005E20B1">
        <w:rPr>
          <w:rFonts w:ascii="Times New Roman" w:hAnsi="Times New Roman" w:cs="Times New Roman"/>
          <w:color w:val="000000" w:themeColor="text1"/>
          <w:sz w:val="24"/>
          <w:szCs w:val="24"/>
        </w:rPr>
        <w:t>is designed</w:t>
      </w:r>
      <w:proofErr w:type="gramEnd"/>
      <w:r w:rsidRPr="00B964A3" w:rsidR="005E20B1">
        <w:rPr>
          <w:rFonts w:ascii="Times New Roman" w:hAnsi="Times New Roman" w:cs="Times New Roman"/>
          <w:color w:val="000000" w:themeColor="text1"/>
          <w:sz w:val="24"/>
          <w:szCs w:val="24"/>
        </w:rPr>
        <w:t xml:space="preserve"> to provide law enforcement with data necessary to enforce HAPC restrictions.</w:t>
      </w:r>
    </w:p>
    <w:p w:rsidRPr="00B964A3" w:rsidR="00100544" w:rsidP="002B35E4" w:rsidRDefault="00100544" w14:paraId="41F723CF" w14:textId="77777777">
      <w:pPr>
        <w:spacing w:before="161"/>
        <w:rPr>
          <w:rFonts w:ascii="Times New Roman" w:hAnsi="Times New Roman" w:cs="Times New Roman"/>
          <w:color w:val="000000" w:themeColor="text1"/>
          <w:sz w:val="24"/>
          <w:szCs w:val="24"/>
        </w:rPr>
      </w:pPr>
    </w:p>
    <w:p w:rsidRPr="00B964A3" w:rsidR="00233F57" w:rsidP="00B039D7" w:rsidRDefault="00233F57" w14:paraId="1E3F3CA4" w14:textId="6F9A63AC">
      <w:pPr>
        <w:spacing w:before="120"/>
        <w:ind w:left="360"/>
        <w:rPr>
          <w:rFonts w:ascii="Times New Roman" w:hAnsi="Times New Roman" w:cs="Times New Roman"/>
          <w:color w:val="000000" w:themeColor="text1"/>
          <w:sz w:val="24"/>
          <w:szCs w:val="24"/>
          <w:u w:val="single"/>
        </w:rPr>
      </w:pPr>
      <w:r w:rsidRPr="00B964A3">
        <w:rPr>
          <w:rFonts w:ascii="Times New Roman" w:hAnsi="Times New Roman" w:cs="Times New Roman"/>
          <w:color w:val="000000" w:themeColor="text1"/>
          <w:sz w:val="24"/>
          <w:szCs w:val="24"/>
          <w:u w:val="single"/>
        </w:rPr>
        <w:t xml:space="preserve">Installation and Activation </w:t>
      </w:r>
    </w:p>
    <w:p w:rsidRPr="00B964A3" w:rsidR="002B35E4" w:rsidP="00B039D7" w:rsidRDefault="002B35E4" w14:paraId="09B062AE" w14:textId="6A2EFB3B">
      <w:pPr>
        <w:spacing w:before="120"/>
        <w:ind w:left="360"/>
        <w:rPr>
          <w:rFonts w:ascii="Times New Roman" w:hAnsi="Times New Roman" w:cs="Times New Roman"/>
          <w:color w:val="000000" w:themeColor="text1"/>
          <w:sz w:val="24"/>
          <w:szCs w:val="24"/>
        </w:rPr>
      </w:pPr>
      <w:r w:rsidRPr="00B964A3">
        <w:rPr>
          <w:rFonts w:ascii="Times New Roman" w:hAnsi="Times New Roman" w:cs="Times New Roman"/>
          <w:color w:val="000000" w:themeColor="text1"/>
          <w:sz w:val="24"/>
          <w:szCs w:val="24"/>
        </w:rPr>
        <w:t xml:space="preserve">The Installation and Activation Checklist and Power </w:t>
      </w:r>
      <w:proofErr w:type="gramStart"/>
      <w:r w:rsidRPr="00B964A3">
        <w:rPr>
          <w:rFonts w:ascii="Times New Roman" w:hAnsi="Times New Roman" w:cs="Times New Roman"/>
          <w:color w:val="000000" w:themeColor="text1"/>
          <w:sz w:val="24"/>
          <w:szCs w:val="24"/>
        </w:rPr>
        <w:t>Down</w:t>
      </w:r>
      <w:proofErr w:type="gramEnd"/>
      <w:r w:rsidRPr="00B964A3">
        <w:rPr>
          <w:rFonts w:ascii="Times New Roman" w:hAnsi="Times New Roman" w:cs="Times New Roman"/>
          <w:color w:val="000000" w:themeColor="text1"/>
          <w:sz w:val="24"/>
          <w:szCs w:val="24"/>
        </w:rPr>
        <w:t xml:space="preserve"> Exemption Request form</w:t>
      </w:r>
      <w:r w:rsidRPr="00B964A3" w:rsidR="00D606C4">
        <w:rPr>
          <w:rFonts w:ascii="Times New Roman" w:hAnsi="Times New Roman" w:cs="Times New Roman"/>
          <w:color w:val="000000" w:themeColor="text1"/>
          <w:sz w:val="24"/>
          <w:szCs w:val="24"/>
        </w:rPr>
        <w:t>s</w:t>
      </w:r>
      <w:r w:rsidRPr="00B964A3">
        <w:rPr>
          <w:rFonts w:ascii="Times New Roman" w:hAnsi="Times New Roman" w:cs="Times New Roman"/>
          <w:color w:val="000000" w:themeColor="text1"/>
          <w:sz w:val="24"/>
          <w:szCs w:val="24"/>
        </w:rPr>
        <w:t xml:space="preserve"> are available from NOAA OLE, Southeast Region by calling (800) 758-4833 to request the forms be sent by mail or email.</w:t>
      </w:r>
      <w:r w:rsidRPr="00B964A3" w:rsidR="008076D1">
        <w:rPr>
          <w:rFonts w:ascii="Times New Roman" w:hAnsi="Times New Roman" w:cs="Times New Roman"/>
          <w:color w:val="000000" w:themeColor="text1"/>
          <w:sz w:val="24"/>
          <w:szCs w:val="24"/>
        </w:rPr>
        <w:t xml:space="preserve">  </w:t>
      </w:r>
    </w:p>
    <w:p w:rsidRPr="00B964A3" w:rsidR="002B35E4" w:rsidP="00B039D7" w:rsidRDefault="002B35E4" w14:paraId="4EC66748" w14:textId="5F9A8D2D">
      <w:pPr>
        <w:spacing w:before="120"/>
        <w:ind w:left="360"/>
        <w:rPr>
          <w:rFonts w:ascii="Times New Roman" w:hAnsi="Times New Roman" w:cs="Times New Roman"/>
          <w:color w:val="000000" w:themeColor="text1"/>
          <w:sz w:val="24"/>
          <w:szCs w:val="24"/>
        </w:rPr>
      </w:pPr>
      <w:r w:rsidRPr="00B964A3">
        <w:rPr>
          <w:rFonts w:ascii="Times New Roman" w:hAnsi="Times New Roman" w:cs="Times New Roman"/>
          <w:color w:val="000000" w:themeColor="text1"/>
          <w:sz w:val="24"/>
          <w:szCs w:val="24"/>
        </w:rPr>
        <w:t xml:space="preserve">The agency </w:t>
      </w:r>
      <w:r w:rsidRPr="00B964A3" w:rsidR="00233F57">
        <w:rPr>
          <w:rFonts w:ascii="Times New Roman" w:hAnsi="Times New Roman" w:cs="Times New Roman"/>
          <w:color w:val="000000" w:themeColor="text1"/>
          <w:sz w:val="24"/>
          <w:szCs w:val="24"/>
        </w:rPr>
        <w:t xml:space="preserve">is </w:t>
      </w:r>
      <w:r w:rsidRPr="00B964A3" w:rsidR="00766C8A">
        <w:rPr>
          <w:rFonts w:ascii="Times New Roman" w:hAnsi="Times New Roman" w:cs="Times New Roman"/>
          <w:color w:val="000000" w:themeColor="text1"/>
          <w:sz w:val="24"/>
          <w:szCs w:val="24"/>
        </w:rPr>
        <w:t>looking into options to create an online form for the installation and activation certification, but current budge</w:t>
      </w:r>
      <w:r w:rsidRPr="00B964A3" w:rsidR="00D606C4">
        <w:rPr>
          <w:rFonts w:ascii="Times New Roman" w:hAnsi="Times New Roman" w:cs="Times New Roman"/>
          <w:color w:val="000000" w:themeColor="text1"/>
          <w:sz w:val="24"/>
          <w:szCs w:val="24"/>
        </w:rPr>
        <w:t>t</w:t>
      </w:r>
      <w:r w:rsidRPr="00B964A3" w:rsidR="00766C8A">
        <w:rPr>
          <w:rFonts w:ascii="Times New Roman" w:hAnsi="Times New Roman" w:cs="Times New Roman"/>
          <w:color w:val="000000" w:themeColor="text1"/>
          <w:sz w:val="24"/>
          <w:szCs w:val="24"/>
        </w:rPr>
        <w:t xml:space="preserve"> levels prohibit such development.  </w:t>
      </w:r>
    </w:p>
    <w:p w:rsidRPr="00B964A3" w:rsidR="00233F57" w:rsidP="00B039D7" w:rsidRDefault="00233F57" w14:paraId="0D509892" w14:textId="2B13A19B">
      <w:pPr>
        <w:spacing w:before="120"/>
        <w:ind w:left="360"/>
        <w:rPr>
          <w:rFonts w:ascii="Times New Roman" w:hAnsi="Times New Roman" w:cs="Times New Roman"/>
          <w:color w:val="000000" w:themeColor="text1"/>
          <w:sz w:val="24"/>
          <w:szCs w:val="24"/>
          <w:u w:val="single"/>
        </w:rPr>
      </w:pPr>
      <w:r w:rsidRPr="00B964A3">
        <w:rPr>
          <w:rFonts w:ascii="Times New Roman" w:hAnsi="Times New Roman" w:cs="Times New Roman"/>
          <w:color w:val="000000" w:themeColor="text1"/>
          <w:sz w:val="24"/>
          <w:szCs w:val="24"/>
          <w:u w:val="single"/>
        </w:rPr>
        <w:t xml:space="preserve">Power </w:t>
      </w:r>
      <w:proofErr w:type="gramStart"/>
      <w:r w:rsidRPr="00B964A3">
        <w:rPr>
          <w:rFonts w:ascii="Times New Roman" w:hAnsi="Times New Roman" w:cs="Times New Roman"/>
          <w:color w:val="000000" w:themeColor="text1"/>
          <w:sz w:val="24"/>
          <w:szCs w:val="24"/>
          <w:u w:val="single"/>
        </w:rPr>
        <w:t>Down</w:t>
      </w:r>
      <w:proofErr w:type="gramEnd"/>
      <w:r w:rsidRPr="00B964A3">
        <w:rPr>
          <w:rFonts w:ascii="Times New Roman" w:hAnsi="Times New Roman" w:cs="Times New Roman"/>
          <w:color w:val="000000" w:themeColor="text1"/>
          <w:sz w:val="24"/>
          <w:szCs w:val="24"/>
          <w:u w:val="single"/>
        </w:rPr>
        <w:t xml:space="preserve"> Exemption Requests</w:t>
      </w:r>
    </w:p>
    <w:p w:rsidRPr="00B964A3" w:rsidR="00233F57" w:rsidP="00B039D7" w:rsidRDefault="00233F57" w14:paraId="0A7B4F5E" w14:textId="01BB2B38">
      <w:pPr>
        <w:spacing w:before="120"/>
        <w:ind w:left="360"/>
        <w:rPr>
          <w:rFonts w:ascii="Times New Roman" w:hAnsi="Times New Roman" w:cs="Times New Roman"/>
          <w:color w:val="000000" w:themeColor="text1"/>
          <w:sz w:val="24"/>
          <w:szCs w:val="24"/>
        </w:rPr>
      </w:pPr>
      <w:r w:rsidRPr="00B964A3">
        <w:rPr>
          <w:rFonts w:ascii="Times New Roman" w:hAnsi="Times New Roman" w:cs="Times New Roman"/>
          <w:color w:val="000000" w:themeColor="text1"/>
          <w:sz w:val="24"/>
          <w:szCs w:val="24"/>
        </w:rPr>
        <w:t xml:space="preserve">The Power </w:t>
      </w:r>
      <w:proofErr w:type="gramStart"/>
      <w:r w:rsidRPr="00B964A3">
        <w:rPr>
          <w:rFonts w:ascii="Times New Roman" w:hAnsi="Times New Roman" w:cs="Times New Roman"/>
          <w:color w:val="000000" w:themeColor="text1"/>
          <w:sz w:val="24"/>
          <w:szCs w:val="24"/>
        </w:rPr>
        <w:t>Down</w:t>
      </w:r>
      <w:proofErr w:type="gramEnd"/>
      <w:r w:rsidRPr="00B964A3">
        <w:rPr>
          <w:rFonts w:ascii="Times New Roman" w:hAnsi="Times New Roman" w:cs="Times New Roman"/>
          <w:color w:val="000000" w:themeColor="text1"/>
          <w:sz w:val="24"/>
          <w:szCs w:val="24"/>
        </w:rPr>
        <w:t xml:space="preserve"> Exemption may be submitted online through </w:t>
      </w:r>
      <w:hyperlink w:history="1" r:id="rId17">
        <w:r w:rsidRPr="00B964A3">
          <w:rPr>
            <w:rFonts w:ascii="Times New Roman" w:hAnsi="Times New Roman" w:cs="Times New Roman"/>
            <w:color w:val="000000" w:themeColor="text1"/>
            <w:sz w:val="24"/>
            <w:szCs w:val="24"/>
          </w:rPr>
          <w:t>https://grunt.sefsc.noaa.gov/apex/fer/r/fer_forms/power-down-request</w:t>
        </w:r>
      </w:hyperlink>
      <w:r w:rsidRPr="00B964A3">
        <w:rPr>
          <w:rFonts w:ascii="Times New Roman" w:hAnsi="Times New Roman" w:cs="Times New Roman"/>
          <w:color w:val="000000" w:themeColor="text1"/>
          <w:sz w:val="24"/>
          <w:szCs w:val="24"/>
        </w:rPr>
        <w:t>, or sent via email.</w:t>
      </w:r>
    </w:p>
    <w:p w:rsidRPr="00B964A3" w:rsidR="00233F57" w:rsidP="002B35E4" w:rsidRDefault="00233F57" w14:paraId="2B2B8ED4" w14:textId="1D3EA303">
      <w:pPr>
        <w:spacing w:before="161"/>
        <w:rPr>
          <w:rFonts w:ascii="Times New Roman" w:hAnsi="Times New Roman" w:cs="Times New Roman"/>
          <w:bCs/>
          <w:color w:val="000000" w:themeColor="text1"/>
          <w:sz w:val="24"/>
          <w:szCs w:val="24"/>
        </w:rPr>
      </w:pPr>
    </w:p>
    <w:p w:rsidRPr="00B964A3" w:rsidR="00233F57" w:rsidP="00B039D7" w:rsidRDefault="00233F57" w14:paraId="07006A4F" w14:textId="0BE37746">
      <w:pPr>
        <w:spacing w:before="120"/>
        <w:ind w:left="360"/>
        <w:rPr>
          <w:rFonts w:ascii="Times New Roman" w:hAnsi="Times New Roman" w:cs="Times New Roman"/>
          <w:color w:val="000000" w:themeColor="text1"/>
          <w:sz w:val="24"/>
          <w:szCs w:val="24"/>
          <w:u w:val="single"/>
        </w:rPr>
      </w:pPr>
      <w:r w:rsidRPr="00B964A3">
        <w:rPr>
          <w:rFonts w:ascii="Times New Roman" w:hAnsi="Times New Roman" w:cs="Times New Roman"/>
          <w:color w:val="000000" w:themeColor="text1"/>
          <w:sz w:val="24"/>
          <w:szCs w:val="24"/>
          <w:u w:val="single"/>
        </w:rPr>
        <w:t>Trip Declarations</w:t>
      </w:r>
    </w:p>
    <w:p w:rsidRPr="00B964A3" w:rsidR="002B35E4" w:rsidP="00B039D7" w:rsidRDefault="003123AF" w14:paraId="1FED8234" w14:textId="6497A79D">
      <w:pPr>
        <w:spacing w:before="120"/>
        <w:ind w:left="360"/>
        <w:rPr>
          <w:rFonts w:ascii="Times New Roman" w:hAnsi="Times New Roman" w:cs="Times New Roman"/>
          <w:color w:val="000000" w:themeColor="text1"/>
          <w:sz w:val="24"/>
          <w:szCs w:val="24"/>
        </w:rPr>
      </w:pPr>
      <w:r w:rsidRPr="00B964A3">
        <w:rPr>
          <w:rFonts w:ascii="Times New Roman" w:hAnsi="Times New Roman" w:cs="Times New Roman"/>
          <w:color w:val="000000" w:themeColor="text1"/>
          <w:sz w:val="24"/>
          <w:szCs w:val="24"/>
        </w:rPr>
        <w:t xml:space="preserve">In order for a vessel to fish for or possess Gulf reef fish or South Atlantic rock shrimp in or from the exclusive economic zone (EEZ), prior to departure for each trip, each vessel owner or operator must report their planned fishing activity, and the gear on board the vessel. </w:t>
      </w:r>
      <w:proofErr w:type="gramStart"/>
      <w:r w:rsidRPr="00B964A3">
        <w:rPr>
          <w:rFonts w:ascii="Times New Roman" w:hAnsi="Times New Roman" w:cs="Times New Roman"/>
          <w:color w:val="000000" w:themeColor="text1"/>
          <w:sz w:val="24"/>
          <w:szCs w:val="24"/>
        </w:rPr>
        <w:t>Fishermen</w:t>
      </w:r>
      <w:proofErr w:type="gramEnd"/>
      <w:r w:rsidRPr="00B964A3">
        <w:rPr>
          <w:rFonts w:ascii="Times New Roman" w:hAnsi="Times New Roman" w:cs="Times New Roman"/>
          <w:color w:val="000000" w:themeColor="text1"/>
          <w:sz w:val="24"/>
          <w:szCs w:val="24"/>
        </w:rPr>
        <w:t xml:space="preserve"> may report changes to fishing activity either via VMS </w:t>
      </w:r>
      <w:r w:rsidRPr="00B964A3" w:rsidR="001E6EFF">
        <w:rPr>
          <w:rFonts w:ascii="Times New Roman" w:hAnsi="Times New Roman" w:cs="Times New Roman"/>
          <w:color w:val="000000" w:themeColor="text1"/>
          <w:sz w:val="24"/>
          <w:szCs w:val="24"/>
        </w:rPr>
        <w:t xml:space="preserve">form </w:t>
      </w:r>
      <w:r w:rsidRPr="00B964A3">
        <w:rPr>
          <w:rFonts w:ascii="Times New Roman" w:hAnsi="Times New Roman" w:cs="Times New Roman"/>
          <w:color w:val="000000" w:themeColor="text1"/>
          <w:sz w:val="24"/>
          <w:szCs w:val="24"/>
        </w:rPr>
        <w:t>or through a NMFS call-in system at (888) 219-9228.</w:t>
      </w:r>
    </w:p>
    <w:p w:rsidRPr="00BD7237" w:rsidR="003123AF" w:rsidP="00BD7237" w:rsidRDefault="003123AF" w14:paraId="407C1792" w14:textId="77777777">
      <w:pPr>
        <w:spacing w:before="161"/>
        <w:rPr>
          <w:rFonts w:ascii="Times New Roman" w:hAnsi="Times New Roman" w:cs="Times New Roman"/>
          <w:b/>
          <w:sz w:val="24"/>
          <w:szCs w:val="24"/>
        </w:rPr>
      </w:pPr>
    </w:p>
    <w:p w:rsidRPr="00BD7237" w:rsidR="008E61C9" w:rsidP="00B964A3" w:rsidRDefault="001477A3" w14:paraId="22126695" w14:textId="77777777">
      <w:pPr>
        <w:pStyle w:val="ListParagraph"/>
        <w:numPr>
          <w:ilvl w:val="0"/>
          <w:numId w:val="1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BD7237">
        <w:rPr>
          <w:rFonts w:ascii="Times New Roman" w:hAnsi="Times New Roman" w:cs="Times New Roman"/>
          <w:b/>
          <w:spacing w:val="-42"/>
          <w:sz w:val="24"/>
          <w:szCs w:val="24"/>
        </w:rPr>
        <w:t xml:space="preserve"> </w:t>
      </w:r>
      <w:r w:rsidRPr="00BD7237">
        <w:rPr>
          <w:rFonts w:ascii="Times New Roman" w:hAnsi="Times New Roman" w:cs="Times New Roman"/>
          <w:b/>
          <w:sz w:val="24"/>
          <w:szCs w:val="24"/>
        </w:rPr>
        <w:t>2</w:t>
      </w:r>
    </w:p>
    <w:p w:rsidRPr="00B964A3" w:rsidR="00047ED9" w:rsidP="00B039D7" w:rsidRDefault="00047ED9" w14:paraId="59518578" w14:textId="2687BCDA">
      <w:pPr>
        <w:spacing w:before="120"/>
        <w:ind w:left="360"/>
        <w:rPr>
          <w:rFonts w:ascii="Times New Roman" w:hAnsi="Times New Roman" w:cs="Times New Roman"/>
          <w:color w:val="000000" w:themeColor="text1"/>
          <w:sz w:val="24"/>
          <w:szCs w:val="24"/>
        </w:rPr>
      </w:pPr>
      <w:r w:rsidRPr="00B964A3">
        <w:rPr>
          <w:rFonts w:ascii="Times New Roman" w:hAnsi="Times New Roman" w:cs="Times New Roman"/>
          <w:color w:val="000000" w:themeColor="text1"/>
          <w:sz w:val="24"/>
          <w:szCs w:val="24"/>
        </w:rPr>
        <w:t xml:space="preserve">Position data collected by VMS </w:t>
      </w:r>
      <w:r w:rsidRPr="00B964A3" w:rsidR="001E6EFF">
        <w:rPr>
          <w:rFonts w:ascii="Times New Roman" w:hAnsi="Times New Roman" w:cs="Times New Roman"/>
          <w:color w:val="000000" w:themeColor="text1"/>
          <w:sz w:val="24"/>
          <w:szCs w:val="24"/>
        </w:rPr>
        <w:t xml:space="preserve">units, </w:t>
      </w:r>
      <w:r w:rsidRPr="00B964A3">
        <w:rPr>
          <w:rFonts w:ascii="Times New Roman" w:hAnsi="Times New Roman" w:cs="Times New Roman"/>
          <w:color w:val="000000" w:themeColor="text1"/>
          <w:sz w:val="24"/>
          <w:szCs w:val="24"/>
        </w:rPr>
        <w:t>power</w:t>
      </w:r>
      <w:r w:rsidRPr="00B964A3" w:rsidR="00F1077A">
        <w:rPr>
          <w:rFonts w:ascii="Times New Roman" w:hAnsi="Times New Roman" w:cs="Times New Roman"/>
          <w:color w:val="000000" w:themeColor="text1"/>
          <w:sz w:val="24"/>
          <w:szCs w:val="24"/>
        </w:rPr>
        <w:t xml:space="preserve"> </w:t>
      </w:r>
      <w:r w:rsidRPr="00B964A3">
        <w:rPr>
          <w:rFonts w:ascii="Times New Roman" w:hAnsi="Times New Roman" w:cs="Times New Roman"/>
          <w:color w:val="000000" w:themeColor="text1"/>
          <w:sz w:val="24"/>
          <w:szCs w:val="24"/>
        </w:rPr>
        <w:t xml:space="preserve">down exemption </w:t>
      </w:r>
      <w:r w:rsidRPr="00B964A3" w:rsidR="00BF5461">
        <w:rPr>
          <w:rFonts w:ascii="Times New Roman" w:hAnsi="Times New Roman" w:cs="Times New Roman"/>
          <w:color w:val="000000" w:themeColor="text1"/>
          <w:sz w:val="24"/>
          <w:szCs w:val="24"/>
        </w:rPr>
        <w:t>requests</w:t>
      </w:r>
      <w:r w:rsidRPr="00B964A3" w:rsidR="001E6EFF">
        <w:rPr>
          <w:rFonts w:ascii="Times New Roman" w:hAnsi="Times New Roman" w:cs="Times New Roman"/>
          <w:color w:val="000000" w:themeColor="text1"/>
          <w:sz w:val="24"/>
          <w:szCs w:val="24"/>
        </w:rPr>
        <w:t>,</w:t>
      </w:r>
      <w:r w:rsidRPr="00B964A3" w:rsidR="00BF5461">
        <w:rPr>
          <w:rFonts w:ascii="Times New Roman" w:hAnsi="Times New Roman" w:cs="Times New Roman"/>
          <w:color w:val="000000" w:themeColor="text1"/>
          <w:sz w:val="24"/>
          <w:szCs w:val="24"/>
        </w:rPr>
        <w:t xml:space="preserve"> </w:t>
      </w:r>
      <w:r w:rsidRPr="00B964A3">
        <w:rPr>
          <w:rFonts w:ascii="Times New Roman" w:hAnsi="Times New Roman" w:cs="Times New Roman"/>
          <w:color w:val="000000" w:themeColor="text1"/>
          <w:sz w:val="24"/>
          <w:szCs w:val="24"/>
        </w:rPr>
        <w:t>installation and activation certification documentation</w:t>
      </w:r>
      <w:r w:rsidRPr="00B964A3" w:rsidR="001E6EFF">
        <w:rPr>
          <w:rFonts w:ascii="Times New Roman" w:hAnsi="Times New Roman" w:cs="Times New Roman"/>
          <w:color w:val="000000" w:themeColor="text1"/>
          <w:sz w:val="24"/>
          <w:szCs w:val="24"/>
        </w:rPr>
        <w:t>, and trip declarations</w:t>
      </w:r>
      <w:r w:rsidRPr="00B964A3">
        <w:rPr>
          <w:rFonts w:ascii="Times New Roman" w:hAnsi="Times New Roman" w:cs="Times New Roman"/>
          <w:color w:val="000000" w:themeColor="text1"/>
          <w:sz w:val="24"/>
          <w:szCs w:val="24"/>
        </w:rPr>
        <w:t xml:space="preserve"> </w:t>
      </w:r>
      <w:proofErr w:type="gramStart"/>
      <w:r w:rsidRPr="00B964A3">
        <w:rPr>
          <w:rFonts w:ascii="Times New Roman" w:hAnsi="Times New Roman" w:cs="Times New Roman"/>
          <w:color w:val="000000" w:themeColor="text1"/>
          <w:sz w:val="24"/>
          <w:szCs w:val="24"/>
        </w:rPr>
        <w:t>are not collected</w:t>
      </w:r>
      <w:proofErr w:type="gramEnd"/>
      <w:r w:rsidRPr="00B964A3">
        <w:rPr>
          <w:rFonts w:ascii="Times New Roman" w:hAnsi="Times New Roman" w:cs="Times New Roman"/>
          <w:color w:val="000000" w:themeColor="text1"/>
          <w:sz w:val="24"/>
          <w:szCs w:val="24"/>
        </w:rPr>
        <w:t xml:space="preserve"> by any other government dataset.</w:t>
      </w:r>
    </w:p>
    <w:p w:rsidR="00047ED9" w:rsidP="00BD7237" w:rsidRDefault="00047ED9" w14:paraId="79D08E40" w14:textId="77777777">
      <w:pPr>
        <w:pStyle w:val="BodyText"/>
        <w:ind w:left="0"/>
        <w:rPr>
          <w:rFonts w:ascii="Times New Roman" w:hAnsi="Times New Roman" w:cs="Times New Roman" w:eastAsiaTheme="minorHAnsi"/>
          <w:color w:val="1F497D" w:themeColor="text2"/>
          <w:lang w:bidi="ar-SA"/>
        </w:rPr>
      </w:pPr>
    </w:p>
    <w:p w:rsidRPr="00BD7237" w:rsidR="008E61C9" w:rsidP="00B964A3" w:rsidRDefault="001477A3" w14:paraId="71E2875D" w14:textId="77777777">
      <w:pPr>
        <w:pStyle w:val="ListParagraph"/>
        <w:numPr>
          <w:ilvl w:val="0"/>
          <w:numId w:val="1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If the collection of information </w:t>
      </w:r>
      <w:proofErr w:type="gramStart"/>
      <w:r w:rsidRPr="00BD7237">
        <w:rPr>
          <w:rFonts w:ascii="Times New Roman" w:hAnsi="Times New Roman" w:cs="Times New Roman"/>
          <w:b/>
          <w:sz w:val="24"/>
          <w:szCs w:val="24"/>
        </w:rPr>
        <w:t>impacts</w:t>
      </w:r>
      <w:proofErr w:type="gramEnd"/>
      <w:r w:rsidRPr="00BD7237">
        <w:rPr>
          <w:rFonts w:ascii="Times New Roman" w:hAnsi="Times New Roman" w:cs="Times New Roman"/>
          <w:b/>
          <w:sz w:val="24"/>
          <w:szCs w:val="24"/>
        </w:rPr>
        <w:t xml:space="preserve"> small businesses or other small entities, describe any methods used to minimize burden.</w:t>
      </w:r>
    </w:p>
    <w:p w:rsidRPr="00B964A3" w:rsidR="00383417" w:rsidP="00B039D7" w:rsidRDefault="00383417" w14:paraId="5244ECF4" w14:textId="77777777">
      <w:pPr>
        <w:spacing w:before="120"/>
        <w:ind w:left="360"/>
        <w:rPr>
          <w:rFonts w:ascii="Times New Roman" w:hAnsi="Times New Roman" w:cs="Times New Roman"/>
          <w:color w:val="000000" w:themeColor="text1"/>
          <w:sz w:val="24"/>
          <w:szCs w:val="24"/>
        </w:rPr>
      </w:pPr>
      <w:r w:rsidRPr="00B964A3">
        <w:rPr>
          <w:rFonts w:ascii="Times New Roman" w:hAnsi="Times New Roman" w:cs="Times New Roman"/>
          <w:color w:val="000000" w:themeColor="text1"/>
          <w:sz w:val="24"/>
          <w:szCs w:val="24"/>
        </w:rPr>
        <w:t xml:space="preserve">Because all respondents </w:t>
      </w:r>
      <w:proofErr w:type="gramStart"/>
      <w:r w:rsidRPr="00B964A3">
        <w:rPr>
          <w:rFonts w:ascii="Times New Roman" w:hAnsi="Times New Roman" w:cs="Times New Roman"/>
          <w:color w:val="000000" w:themeColor="text1"/>
          <w:sz w:val="24"/>
          <w:szCs w:val="24"/>
        </w:rPr>
        <w:t>are considered</w:t>
      </w:r>
      <w:proofErr w:type="gramEnd"/>
      <w:r w:rsidRPr="00B964A3">
        <w:rPr>
          <w:rFonts w:ascii="Times New Roman" w:hAnsi="Times New Roman" w:cs="Times New Roman"/>
          <w:color w:val="000000" w:themeColor="text1"/>
          <w:sz w:val="24"/>
          <w:szCs w:val="24"/>
        </w:rPr>
        <w:t xml:space="preserve"> small businesses, separate requirements based on size of business have not been developed. NMFS only requests the minimum data to meet the current and future needs of fisheries management and permitting programs from all applicants.</w:t>
      </w:r>
    </w:p>
    <w:p w:rsidRPr="00BD7237" w:rsidR="00383417" w:rsidP="00BD7237" w:rsidRDefault="00383417" w14:paraId="39432CD9" w14:textId="77777777">
      <w:pPr>
        <w:pStyle w:val="BodyText"/>
        <w:spacing w:before="160"/>
        <w:ind w:left="0"/>
        <w:rPr>
          <w:rFonts w:ascii="Times New Roman" w:hAnsi="Times New Roman" w:cs="Times New Roman"/>
        </w:rPr>
      </w:pPr>
    </w:p>
    <w:p w:rsidRPr="00BD7237" w:rsidR="008E61C9" w:rsidP="00B964A3" w:rsidRDefault="001477A3" w14:paraId="611C635C" w14:textId="77777777">
      <w:pPr>
        <w:pStyle w:val="ListParagraph"/>
        <w:numPr>
          <w:ilvl w:val="0"/>
          <w:numId w:val="1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Describe the consequence to Federal program or policy activities if the collection </w:t>
      </w:r>
      <w:proofErr w:type="gramStart"/>
      <w:r w:rsidRPr="00BD7237">
        <w:rPr>
          <w:rFonts w:ascii="Times New Roman" w:hAnsi="Times New Roman" w:cs="Times New Roman"/>
          <w:b/>
          <w:sz w:val="24"/>
          <w:szCs w:val="24"/>
        </w:rPr>
        <w:t>is not conducted</w:t>
      </w:r>
      <w:proofErr w:type="gramEnd"/>
      <w:r w:rsidRPr="00BD7237">
        <w:rPr>
          <w:rFonts w:ascii="Times New Roman" w:hAnsi="Times New Roman" w:cs="Times New Roman"/>
          <w:b/>
          <w:sz w:val="24"/>
          <w:szCs w:val="24"/>
        </w:rPr>
        <w:t xml:space="preserve"> or is conducted less frequently, as well as any technical or legal obstacles to reducing burden.</w:t>
      </w:r>
    </w:p>
    <w:p w:rsidRPr="00B964A3" w:rsidR="00383417" w:rsidP="00B039D7" w:rsidRDefault="00383417" w14:paraId="2CE9B87B" w14:textId="4187A32A">
      <w:pPr>
        <w:spacing w:before="120"/>
        <w:ind w:left="360"/>
        <w:rPr>
          <w:rFonts w:ascii="Times New Roman" w:hAnsi="Times New Roman" w:cs="Times New Roman"/>
          <w:color w:val="000000" w:themeColor="text1"/>
          <w:sz w:val="24"/>
          <w:szCs w:val="24"/>
        </w:rPr>
      </w:pPr>
      <w:r w:rsidRPr="00B964A3">
        <w:rPr>
          <w:rFonts w:ascii="Times New Roman" w:hAnsi="Times New Roman" w:cs="Times New Roman"/>
          <w:color w:val="000000" w:themeColor="text1"/>
          <w:sz w:val="24"/>
          <w:szCs w:val="24"/>
        </w:rPr>
        <w:t xml:space="preserve">The VMS units provide </w:t>
      </w:r>
      <w:r w:rsidRPr="00B964A3" w:rsidR="005E20B1">
        <w:rPr>
          <w:rFonts w:ascii="Times New Roman" w:hAnsi="Times New Roman" w:cs="Times New Roman"/>
          <w:color w:val="000000" w:themeColor="text1"/>
          <w:sz w:val="24"/>
          <w:szCs w:val="24"/>
        </w:rPr>
        <w:t>vessel characteristic, fishing activity</w:t>
      </w:r>
      <w:r w:rsidRPr="00B964A3">
        <w:rPr>
          <w:rFonts w:ascii="Times New Roman" w:hAnsi="Times New Roman" w:cs="Times New Roman"/>
          <w:color w:val="000000" w:themeColor="text1"/>
          <w:sz w:val="24"/>
          <w:szCs w:val="24"/>
        </w:rPr>
        <w:t xml:space="preserve"> data and enforcement information to increase compliance in the fisheries. The approved VMS provides automatic recording of positions at hourly intervals, and more frequently under certain circumstances, as described in the response to Question 2. A less frequent recording of positions would provide ineffective monitoring and not achieve the Gulf Council and South Atlantic Councils’ intended benefits. Additionally, reporting of fishing activity aids law enforcement in identifying violations of area fishing restrictions depending on the </w:t>
      </w:r>
      <w:proofErr w:type="gramStart"/>
      <w:r w:rsidRPr="00B964A3">
        <w:rPr>
          <w:rFonts w:ascii="Times New Roman" w:hAnsi="Times New Roman" w:cs="Times New Roman"/>
          <w:color w:val="000000" w:themeColor="text1"/>
          <w:sz w:val="24"/>
          <w:szCs w:val="24"/>
        </w:rPr>
        <w:t>fishermen’s</w:t>
      </w:r>
      <w:proofErr w:type="gramEnd"/>
      <w:r w:rsidRPr="00B964A3">
        <w:rPr>
          <w:rFonts w:ascii="Times New Roman" w:hAnsi="Times New Roman" w:cs="Times New Roman"/>
          <w:color w:val="000000" w:themeColor="text1"/>
          <w:sz w:val="24"/>
          <w:szCs w:val="24"/>
        </w:rPr>
        <w:t xml:space="preserve"> declaration of vessel activity. </w:t>
      </w:r>
    </w:p>
    <w:p w:rsidRPr="00B964A3" w:rsidR="00851411" w:rsidP="00B039D7" w:rsidRDefault="00851411" w14:paraId="6ECA6A77" w14:textId="754B0D24">
      <w:pPr>
        <w:spacing w:before="120"/>
        <w:ind w:left="360"/>
        <w:rPr>
          <w:rFonts w:ascii="Times New Roman" w:hAnsi="Times New Roman" w:cs="Times New Roman"/>
          <w:color w:val="000000" w:themeColor="text1"/>
          <w:sz w:val="24"/>
          <w:szCs w:val="24"/>
        </w:rPr>
      </w:pPr>
      <w:proofErr w:type="gramStart"/>
      <w:r w:rsidRPr="00B964A3">
        <w:rPr>
          <w:rFonts w:ascii="Times New Roman" w:hAnsi="Times New Roman" w:cs="Times New Roman"/>
          <w:color w:val="000000" w:themeColor="text1"/>
          <w:sz w:val="24"/>
          <w:szCs w:val="24"/>
        </w:rPr>
        <w:t xml:space="preserve">If Power Down Exemptions requests are not collected that will mean either that there are no allowable situations in which a VMS may be turned off, which would be a significant burden and inconvenience to the industry; or that VMS units can be powered down without submitting a request, which would mean that NMFS has </w:t>
      </w:r>
      <w:r w:rsidRPr="00B964A3" w:rsidR="005E20B1">
        <w:rPr>
          <w:rFonts w:ascii="Times New Roman" w:hAnsi="Times New Roman" w:cs="Times New Roman"/>
          <w:color w:val="000000" w:themeColor="text1"/>
          <w:sz w:val="24"/>
          <w:szCs w:val="24"/>
        </w:rPr>
        <w:t>n</w:t>
      </w:r>
      <w:r w:rsidRPr="00B964A3">
        <w:rPr>
          <w:rFonts w:ascii="Times New Roman" w:hAnsi="Times New Roman" w:cs="Times New Roman"/>
          <w:color w:val="000000" w:themeColor="text1"/>
          <w:sz w:val="24"/>
          <w:szCs w:val="24"/>
        </w:rPr>
        <w:t>o way to identify unauthorized power downs, making the overall data collection required to support the fishery management ineffective.</w:t>
      </w:r>
      <w:proofErr w:type="gramEnd"/>
      <w:r w:rsidRPr="00B964A3">
        <w:rPr>
          <w:rFonts w:ascii="Times New Roman" w:hAnsi="Times New Roman" w:cs="Times New Roman"/>
          <w:color w:val="000000" w:themeColor="text1"/>
          <w:sz w:val="24"/>
          <w:szCs w:val="24"/>
        </w:rPr>
        <w:t xml:space="preserve">  </w:t>
      </w:r>
    </w:p>
    <w:p w:rsidRPr="00B964A3" w:rsidR="00851411" w:rsidP="00B039D7" w:rsidRDefault="00851411" w14:paraId="0FAE02A4" w14:textId="4ABCEA45">
      <w:pPr>
        <w:spacing w:before="120"/>
        <w:ind w:left="360"/>
        <w:rPr>
          <w:rFonts w:ascii="Times New Roman" w:hAnsi="Times New Roman" w:cs="Times New Roman"/>
          <w:color w:val="000000" w:themeColor="text1"/>
          <w:sz w:val="24"/>
          <w:szCs w:val="24"/>
        </w:rPr>
      </w:pPr>
      <w:r w:rsidRPr="00B964A3">
        <w:rPr>
          <w:rFonts w:ascii="Times New Roman" w:hAnsi="Times New Roman" w:cs="Times New Roman"/>
          <w:color w:val="000000" w:themeColor="text1"/>
          <w:sz w:val="24"/>
          <w:szCs w:val="24"/>
        </w:rPr>
        <w:t xml:space="preserve">If the Agency does not obtain Installation and Activation Certification </w:t>
      </w:r>
      <w:proofErr w:type="gramStart"/>
      <w:r w:rsidRPr="00B964A3">
        <w:rPr>
          <w:rFonts w:ascii="Times New Roman" w:hAnsi="Times New Roman" w:cs="Times New Roman"/>
          <w:color w:val="000000" w:themeColor="text1"/>
          <w:sz w:val="24"/>
          <w:szCs w:val="24"/>
        </w:rPr>
        <w:t>forms</w:t>
      </w:r>
      <w:proofErr w:type="gramEnd"/>
      <w:r w:rsidRPr="00B964A3">
        <w:rPr>
          <w:rFonts w:ascii="Times New Roman" w:hAnsi="Times New Roman" w:cs="Times New Roman"/>
          <w:color w:val="000000" w:themeColor="text1"/>
          <w:sz w:val="24"/>
          <w:szCs w:val="24"/>
        </w:rPr>
        <w:t xml:space="preserve"> the reliability/accountability of the VMS data will be diminished, jeopardizing the ability to use the data for enforcement activities.</w:t>
      </w:r>
    </w:p>
    <w:p w:rsidR="00851411" w:rsidP="00383417" w:rsidRDefault="00851411" w14:paraId="531A944E" w14:textId="782BACBB">
      <w:pPr>
        <w:contextualSpacing/>
        <w:rPr>
          <w:color w:val="F79646" w:themeColor="accent6"/>
          <w:sz w:val="24"/>
          <w:szCs w:val="24"/>
        </w:rPr>
      </w:pPr>
    </w:p>
    <w:p w:rsidRPr="00BD7237" w:rsidR="00383417" w:rsidP="00BD7237" w:rsidRDefault="00383417" w14:paraId="1D571FED" w14:textId="7809A698">
      <w:pPr>
        <w:pStyle w:val="BodyText"/>
        <w:spacing w:before="115"/>
        <w:ind w:left="0"/>
        <w:rPr>
          <w:rFonts w:ascii="Times New Roman" w:hAnsi="Times New Roman" w:cs="Times New Roman"/>
        </w:rPr>
      </w:pPr>
    </w:p>
    <w:p w:rsidRPr="00B039D7" w:rsidR="008E61C9" w:rsidP="00B964A3" w:rsidRDefault="001477A3" w14:paraId="32708763" w14:textId="2A503EBA">
      <w:pPr>
        <w:pStyle w:val="ListParagraph"/>
        <w:numPr>
          <w:ilvl w:val="0"/>
          <w:numId w:val="17"/>
        </w:numPr>
        <w:tabs>
          <w:tab w:val="left" w:pos="360"/>
        </w:tabs>
        <w:spacing w:before="80"/>
        <w:ind w:left="0" w:firstLine="0"/>
        <w:rPr>
          <w:rFonts w:ascii="Times New Roman" w:hAnsi="Times New Roman" w:cs="Times New Roman"/>
          <w:b/>
          <w:sz w:val="24"/>
          <w:szCs w:val="24"/>
        </w:rPr>
      </w:pPr>
      <w:r w:rsidRPr="00B039D7">
        <w:rPr>
          <w:rFonts w:ascii="Times New Roman" w:hAnsi="Times New Roman" w:cs="Times New Roman"/>
          <w:b/>
          <w:sz w:val="24"/>
          <w:szCs w:val="24"/>
        </w:rPr>
        <w:t xml:space="preserve">Explain any special circumstances that would cause an information collection to </w:t>
      </w:r>
      <w:proofErr w:type="gramStart"/>
      <w:r w:rsidRPr="00B039D7">
        <w:rPr>
          <w:rFonts w:ascii="Times New Roman" w:hAnsi="Times New Roman" w:cs="Times New Roman"/>
          <w:b/>
          <w:sz w:val="24"/>
          <w:szCs w:val="24"/>
        </w:rPr>
        <w:t>be conducted</w:t>
      </w:r>
      <w:proofErr w:type="gramEnd"/>
      <w:r w:rsidRPr="00B039D7">
        <w:rPr>
          <w:rFonts w:ascii="Times New Roman" w:hAnsi="Times New Roman" w:cs="Times New Roman"/>
          <w:b/>
          <w:sz w:val="24"/>
          <w:szCs w:val="24"/>
        </w:rPr>
        <w:t xml:space="preserve"> in a manner</w:t>
      </w:r>
      <w:r w:rsidR="006B3D1A">
        <w:rPr>
          <w:rFonts w:ascii="Times New Roman" w:hAnsi="Times New Roman" w:cs="Times New Roman"/>
          <w:b/>
          <w:sz w:val="24"/>
          <w:szCs w:val="24"/>
        </w:rPr>
        <w:t xml:space="preserve"> inconsistent with OMB guidelines.</w:t>
      </w:r>
    </w:p>
    <w:p w:rsidRPr="006B3D1A" w:rsidR="000C0A2A" w:rsidP="00B039D7" w:rsidRDefault="000C0A2A" w14:paraId="603D4421" w14:textId="3155FA45">
      <w:pPr>
        <w:spacing w:before="120"/>
        <w:ind w:left="360"/>
        <w:rPr>
          <w:rFonts w:ascii="Times New Roman" w:hAnsi="Times New Roman" w:cs="Times New Roman"/>
          <w:color w:val="000000" w:themeColor="text1"/>
          <w:sz w:val="24"/>
          <w:szCs w:val="24"/>
        </w:rPr>
      </w:pPr>
      <w:r w:rsidRPr="006B3D1A">
        <w:rPr>
          <w:rFonts w:ascii="Times New Roman" w:hAnsi="Times New Roman" w:cs="Times New Roman"/>
          <w:color w:val="000000" w:themeColor="text1"/>
          <w:sz w:val="24"/>
          <w:szCs w:val="24"/>
        </w:rPr>
        <w:t xml:space="preserve">VMS position data </w:t>
      </w:r>
      <w:proofErr w:type="gramStart"/>
      <w:r w:rsidRPr="006B3D1A">
        <w:rPr>
          <w:rFonts w:ascii="Times New Roman" w:hAnsi="Times New Roman" w:cs="Times New Roman"/>
          <w:color w:val="000000" w:themeColor="text1"/>
          <w:sz w:val="24"/>
          <w:szCs w:val="24"/>
        </w:rPr>
        <w:t>is collected</w:t>
      </w:r>
      <w:proofErr w:type="gramEnd"/>
      <w:r w:rsidRPr="006B3D1A">
        <w:rPr>
          <w:rFonts w:ascii="Times New Roman" w:hAnsi="Times New Roman" w:cs="Times New Roman"/>
          <w:color w:val="000000" w:themeColor="text1"/>
          <w:sz w:val="24"/>
          <w:szCs w:val="24"/>
        </w:rPr>
        <w:t xml:space="preserve"> automatically, every hour, unless otherwise exempted.  Collection on a quarterly basis would negate the real-time reporting necessary for enforcement operations.</w:t>
      </w:r>
    </w:p>
    <w:p w:rsidRPr="006B3D1A" w:rsidR="000C0A2A" w:rsidP="00B039D7" w:rsidRDefault="000C0A2A" w14:paraId="515511FF" w14:textId="228260E6">
      <w:pPr>
        <w:spacing w:before="120"/>
        <w:ind w:left="360"/>
        <w:rPr>
          <w:rFonts w:ascii="Times New Roman" w:hAnsi="Times New Roman" w:cs="Times New Roman"/>
          <w:color w:val="000000" w:themeColor="text1"/>
          <w:sz w:val="24"/>
          <w:szCs w:val="24"/>
        </w:rPr>
      </w:pPr>
      <w:proofErr w:type="spellStart"/>
      <w:r w:rsidRPr="006B3D1A">
        <w:rPr>
          <w:rFonts w:ascii="Times New Roman" w:hAnsi="Times New Roman" w:cs="Times New Roman"/>
          <w:color w:val="000000" w:themeColor="text1"/>
          <w:sz w:val="24"/>
          <w:szCs w:val="24"/>
        </w:rPr>
        <w:t>Powerdown</w:t>
      </w:r>
      <w:proofErr w:type="spellEnd"/>
      <w:r w:rsidRPr="006B3D1A">
        <w:rPr>
          <w:rFonts w:ascii="Times New Roman" w:hAnsi="Times New Roman" w:cs="Times New Roman"/>
          <w:color w:val="000000" w:themeColor="text1"/>
          <w:sz w:val="24"/>
          <w:szCs w:val="24"/>
        </w:rPr>
        <w:t xml:space="preserve"> Exemption data is also a real-time collection, designed to allow vessels to be exempt from the hourly position data. Requiring vessels to forecast their power down needs months </w:t>
      </w:r>
      <w:r w:rsidRPr="006B3D1A" w:rsidR="005E20B1">
        <w:rPr>
          <w:rFonts w:ascii="Times New Roman" w:hAnsi="Times New Roman" w:cs="Times New Roman"/>
          <w:color w:val="000000" w:themeColor="text1"/>
          <w:sz w:val="24"/>
          <w:szCs w:val="24"/>
        </w:rPr>
        <w:t>in advance</w:t>
      </w:r>
      <w:r w:rsidRPr="006B3D1A">
        <w:rPr>
          <w:rFonts w:ascii="Times New Roman" w:hAnsi="Times New Roman" w:cs="Times New Roman"/>
          <w:color w:val="000000" w:themeColor="text1"/>
          <w:sz w:val="24"/>
          <w:szCs w:val="24"/>
        </w:rPr>
        <w:t xml:space="preserve"> for a quarterly submission would significantly reduce the flexibility these exemptions provide to the industry.</w:t>
      </w:r>
    </w:p>
    <w:p w:rsidRPr="00425997" w:rsidR="00BC09DC" w:rsidP="00BC09DC" w:rsidRDefault="00BC09DC" w14:paraId="6D59B4A7" w14:textId="6BDE76A4">
      <w:pPr>
        <w:widowControl/>
        <w:contextualSpacing/>
        <w:rPr>
          <w:color w:val="000000"/>
          <w:sz w:val="24"/>
          <w:szCs w:val="24"/>
        </w:rPr>
      </w:pPr>
    </w:p>
    <w:p w:rsidRPr="00A02219" w:rsidR="008E61C9" w:rsidP="00B964A3" w:rsidRDefault="001477A3" w14:paraId="57C84E55" w14:textId="77777777">
      <w:pPr>
        <w:pStyle w:val="ListParagraph"/>
        <w:numPr>
          <w:ilvl w:val="0"/>
          <w:numId w:val="17"/>
        </w:numPr>
        <w:tabs>
          <w:tab w:val="left" w:pos="360"/>
        </w:tabs>
        <w:spacing w:before="80"/>
        <w:ind w:left="0" w:firstLine="0"/>
        <w:rPr>
          <w:rFonts w:ascii="Times New Roman" w:hAnsi="Times New Roman" w:cs="Times New Roman"/>
          <w:b/>
          <w:sz w:val="24"/>
          <w:szCs w:val="24"/>
        </w:rPr>
      </w:pPr>
      <w:r w:rsidRPr="00A02219">
        <w:rPr>
          <w:rFonts w:ascii="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F7843" w:rsidP="004F7843" w:rsidRDefault="004F7843" w14:paraId="579982DD" w14:textId="77777777">
      <w:pPr>
        <w:contextualSpacing/>
        <w:rPr>
          <w:color w:val="000000"/>
          <w:sz w:val="24"/>
          <w:szCs w:val="24"/>
        </w:rPr>
      </w:pPr>
    </w:p>
    <w:p w:rsidRPr="00A63449" w:rsidR="004F7843" w:rsidP="000D644A" w:rsidRDefault="004F7843" w14:paraId="778BEC84" w14:textId="24AF1B24">
      <w:pPr>
        <w:spacing w:before="120"/>
        <w:ind w:left="360"/>
        <w:rPr>
          <w:rFonts w:ascii="Times New Roman" w:hAnsi="Times New Roman" w:cs="Times New Roman"/>
          <w:color w:val="000000" w:themeColor="text1"/>
          <w:sz w:val="24"/>
          <w:szCs w:val="24"/>
        </w:rPr>
      </w:pPr>
      <w:r w:rsidRPr="00A63449">
        <w:rPr>
          <w:rFonts w:ascii="Times New Roman" w:hAnsi="Times New Roman" w:cs="Times New Roman"/>
          <w:color w:val="000000" w:themeColor="text1"/>
          <w:sz w:val="24"/>
          <w:szCs w:val="24"/>
        </w:rPr>
        <w:t>NMFS published a notice in the Federal Register on January 12, 2022 (87 FR 1725), to solicit public comments on the continuation of this collection of information. NMFS did not receive any public comments on the notice.</w:t>
      </w:r>
    </w:p>
    <w:p w:rsidRPr="00980CF3" w:rsidR="00F96D99" w:rsidP="00980CF3" w:rsidRDefault="00980CF3" w14:paraId="6F274AAA" w14:textId="1B37CAFC">
      <w:pPr>
        <w:pStyle w:val="BodyText"/>
        <w:spacing w:before="159"/>
        <w:ind w:left="0" w:firstLine="360"/>
        <w:rPr>
          <w:rFonts w:ascii="Times New Roman" w:hAnsi="Times New Roman" w:cs="Times New Roman"/>
          <w:color w:val="000000"/>
        </w:rPr>
      </w:pPr>
      <w:r w:rsidRPr="00980CF3">
        <w:rPr>
          <w:rFonts w:ascii="Times New Roman" w:hAnsi="Times New Roman" w:cs="Times New Roman"/>
          <w:color w:val="000000"/>
        </w:rPr>
        <w:t xml:space="preserve"> NMFS reached out to </w:t>
      </w:r>
      <w:r>
        <w:rPr>
          <w:rFonts w:ascii="Times New Roman" w:hAnsi="Times New Roman" w:cs="Times New Roman"/>
          <w:color w:val="000000"/>
        </w:rPr>
        <w:t>stakeholders</w:t>
      </w:r>
      <w:r w:rsidRPr="00980CF3">
        <w:rPr>
          <w:rFonts w:ascii="Times New Roman" w:hAnsi="Times New Roman" w:cs="Times New Roman"/>
          <w:color w:val="000000"/>
        </w:rPr>
        <w:t xml:space="preserve"> in an effort to obtain their views on the availability of data, frequency of collection, the clarity of instructions and recordkeeping, disclosure, or reporting format (if any), and on the data elements to be recorded, disclosed, or reported.  No responses </w:t>
      </w:r>
      <w:proofErr w:type="gramStart"/>
      <w:r w:rsidRPr="00980CF3">
        <w:rPr>
          <w:rFonts w:ascii="Times New Roman" w:hAnsi="Times New Roman" w:cs="Times New Roman"/>
          <w:color w:val="000000"/>
        </w:rPr>
        <w:t>were received</w:t>
      </w:r>
      <w:proofErr w:type="gramEnd"/>
      <w:r w:rsidRPr="00980CF3">
        <w:rPr>
          <w:rFonts w:ascii="Times New Roman" w:hAnsi="Times New Roman" w:cs="Times New Roman"/>
          <w:color w:val="000000"/>
        </w:rPr>
        <w:t>.</w:t>
      </w:r>
    </w:p>
    <w:p w:rsidRPr="00BD7237" w:rsidR="008E61C9" w:rsidP="00B964A3" w:rsidRDefault="001477A3" w14:paraId="2720FF9B" w14:textId="77777777">
      <w:pPr>
        <w:pStyle w:val="ListParagraph"/>
        <w:numPr>
          <w:ilvl w:val="0"/>
          <w:numId w:val="1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lastRenderedPageBreak/>
        <w:t xml:space="preserve">Explain any decision to provide any payment or gift to respondents, other than </w:t>
      </w:r>
      <w:r w:rsidRPr="00BD7237" w:rsidR="00D64DF9">
        <w:rPr>
          <w:rFonts w:ascii="Times New Roman" w:hAnsi="Times New Roman" w:cs="Times New Roman"/>
          <w:b/>
          <w:sz w:val="24"/>
          <w:szCs w:val="24"/>
        </w:rPr>
        <w:t>remuneration</w:t>
      </w:r>
      <w:r w:rsidRPr="00BD7237">
        <w:rPr>
          <w:rFonts w:ascii="Times New Roman" w:hAnsi="Times New Roman" w:cs="Times New Roman"/>
          <w:b/>
          <w:sz w:val="24"/>
          <w:szCs w:val="24"/>
        </w:rPr>
        <w:t xml:space="preserve"> of contractors or grantees.</w:t>
      </w:r>
    </w:p>
    <w:p w:rsidRPr="00A63449" w:rsidR="00383417" w:rsidP="000D644A" w:rsidRDefault="00383417" w14:paraId="01482AC5" w14:textId="77777777">
      <w:pPr>
        <w:spacing w:before="120"/>
        <w:ind w:left="360"/>
        <w:rPr>
          <w:rFonts w:ascii="Times New Roman" w:hAnsi="Times New Roman" w:cs="Times New Roman"/>
          <w:color w:val="000000" w:themeColor="text1"/>
          <w:sz w:val="24"/>
          <w:szCs w:val="24"/>
        </w:rPr>
      </w:pPr>
      <w:r w:rsidRPr="00A63449">
        <w:rPr>
          <w:rFonts w:ascii="Times New Roman" w:hAnsi="Times New Roman" w:cs="Times New Roman"/>
          <w:color w:val="000000" w:themeColor="text1"/>
          <w:sz w:val="24"/>
          <w:szCs w:val="24"/>
        </w:rPr>
        <w:t>There are no payments or other remunerations to respondents.</w:t>
      </w:r>
    </w:p>
    <w:p w:rsidRPr="00BD7237" w:rsidR="008E61C9" w:rsidP="00B964A3" w:rsidRDefault="001477A3" w14:paraId="5C5DE87A" w14:textId="77777777">
      <w:pPr>
        <w:pStyle w:val="ListParagraph"/>
        <w:numPr>
          <w:ilvl w:val="0"/>
          <w:numId w:val="1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any assurance of confidentiality provided to respondents and the basis for the assurance in statute, regulation, or agency policy</w:t>
      </w:r>
      <w:r w:rsidRPr="00A02219">
        <w:rPr>
          <w:rFonts w:ascii="Times New Roman" w:hAnsi="Times New Roman" w:cs="Times New Roman"/>
          <w:b/>
          <w:sz w:val="24"/>
          <w:szCs w:val="24"/>
        </w:rPr>
        <w:t xml:space="preserve">. If the collection requires a systems of records notice (SORN) or privacy impact assessment (PIA), those </w:t>
      </w:r>
      <w:proofErr w:type="gramStart"/>
      <w:r w:rsidRPr="00A02219">
        <w:rPr>
          <w:rFonts w:ascii="Times New Roman" w:hAnsi="Times New Roman" w:cs="Times New Roman"/>
          <w:b/>
          <w:sz w:val="24"/>
          <w:szCs w:val="24"/>
        </w:rPr>
        <w:t>should be cited and described here</w:t>
      </w:r>
      <w:proofErr w:type="gramEnd"/>
      <w:r w:rsidRPr="00A02219">
        <w:rPr>
          <w:rFonts w:ascii="Times New Roman" w:hAnsi="Times New Roman" w:cs="Times New Roman"/>
          <w:b/>
          <w:sz w:val="24"/>
          <w:szCs w:val="24"/>
        </w:rPr>
        <w:t>.</w:t>
      </w:r>
    </w:p>
    <w:p w:rsidR="000D644A" w:rsidP="00383417" w:rsidRDefault="000D644A" w14:paraId="2B7D5DCF" w14:textId="77777777">
      <w:pPr>
        <w:widowControl/>
        <w:contextualSpacing/>
        <w:rPr>
          <w:color w:val="7F7F7F" w:themeColor="text1" w:themeTint="80"/>
          <w:sz w:val="24"/>
          <w:szCs w:val="24"/>
        </w:rPr>
      </w:pPr>
    </w:p>
    <w:p w:rsidRPr="00A63449" w:rsidR="00383417" w:rsidP="000D644A" w:rsidRDefault="00383417" w14:paraId="3F90B1C9" w14:textId="6F8063B1">
      <w:pPr>
        <w:spacing w:before="120"/>
        <w:ind w:left="360"/>
        <w:rPr>
          <w:rFonts w:ascii="Times New Roman" w:hAnsi="Times New Roman" w:cs="Times New Roman"/>
          <w:color w:val="000000" w:themeColor="text1"/>
          <w:sz w:val="24"/>
          <w:szCs w:val="24"/>
        </w:rPr>
      </w:pPr>
      <w:r w:rsidRPr="00A63449">
        <w:rPr>
          <w:rFonts w:ascii="Times New Roman" w:hAnsi="Times New Roman" w:cs="Times New Roman"/>
          <w:color w:val="000000" w:themeColor="text1"/>
          <w:sz w:val="24"/>
          <w:szCs w:val="24"/>
        </w:rPr>
        <w:t xml:space="preserve">As stated on the forms, all data that </w:t>
      </w:r>
      <w:proofErr w:type="gramStart"/>
      <w:r w:rsidRPr="00A63449">
        <w:rPr>
          <w:rFonts w:ascii="Times New Roman" w:hAnsi="Times New Roman" w:cs="Times New Roman"/>
          <w:color w:val="000000" w:themeColor="text1"/>
          <w:sz w:val="24"/>
          <w:szCs w:val="24"/>
        </w:rPr>
        <w:t>are submitted</w:t>
      </w:r>
      <w:proofErr w:type="gramEnd"/>
      <w:r w:rsidRPr="00A63449">
        <w:rPr>
          <w:rFonts w:ascii="Times New Roman" w:hAnsi="Times New Roman" w:cs="Times New Roman"/>
          <w:color w:val="000000" w:themeColor="text1"/>
          <w:sz w:val="24"/>
          <w:szCs w:val="24"/>
        </w:rPr>
        <w:t xml:space="preserve"> are treated as confidential in accordance with the Magnuson-Stevens Act (16 U.S.C. 1881a, et seq.) and </w:t>
      </w:r>
      <w:hyperlink w:history="1" r:id="rId18">
        <w:r w:rsidRPr="00A63449">
          <w:rPr>
            <w:rFonts w:ascii="Times New Roman" w:hAnsi="Times New Roman" w:cs="Times New Roman"/>
            <w:color w:val="000000" w:themeColor="text1"/>
            <w:sz w:val="24"/>
            <w:szCs w:val="24"/>
          </w:rPr>
          <w:t>NOAA Administrative Order 216-100</w:t>
        </w:r>
      </w:hyperlink>
      <w:r w:rsidRPr="00A63449">
        <w:rPr>
          <w:rFonts w:ascii="Times New Roman" w:hAnsi="Times New Roman" w:cs="Times New Roman"/>
          <w:color w:val="000000" w:themeColor="text1"/>
          <w:sz w:val="24"/>
          <w:szCs w:val="24"/>
        </w:rPr>
        <w:t>.</w:t>
      </w:r>
    </w:p>
    <w:p w:rsidRPr="00BD7237" w:rsidR="00383417" w:rsidP="00BD7237" w:rsidRDefault="00383417" w14:paraId="2D013886" w14:textId="77777777">
      <w:pPr>
        <w:pStyle w:val="BodyText"/>
        <w:spacing w:before="158"/>
        <w:ind w:left="0"/>
        <w:rPr>
          <w:rFonts w:ascii="Times New Roman" w:hAnsi="Times New Roman" w:cs="Times New Roman"/>
        </w:rPr>
      </w:pPr>
    </w:p>
    <w:p w:rsidRPr="00BD7237" w:rsidR="008E61C9" w:rsidP="00B964A3" w:rsidRDefault="001477A3" w14:paraId="22E2319E" w14:textId="77777777">
      <w:pPr>
        <w:pStyle w:val="ListParagraph"/>
        <w:numPr>
          <w:ilvl w:val="0"/>
          <w:numId w:val="1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Provide additional justification for any questions of a sensitive nature, such as sexual behavior or attitudes, religious beliefs, and other matters that </w:t>
      </w:r>
      <w:proofErr w:type="gramStart"/>
      <w:r w:rsidRPr="00BD7237">
        <w:rPr>
          <w:rFonts w:ascii="Times New Roman" w:hAnsi="Times New Roman" w:cs="Times New Roman"/>
          <w:b/>
          <w:sz w:val="24"/>
          <w:szCs w:val="24"/>
        </w:rPr>
        <w:t>are commonly considered</w:t>
      </w:r>
      <w:proofErr w:type="gramEnd"/>
      <w:r w:rsidRPr="00BD7237">
        <w:rPr>
          <w:rFonts w:ascii="Times New Roman" w:hAnsi="Times New Roman" w:cs="Times New Roman"/>
          <w:b/>
          <w:sz w:val="24"/>
          <w:szCs w:val="24"/>
        </w:rPr>
        <w:t xml:space="preserve"> private. This justification should include the reasons why the agency considers the questions necessary, the specific uses to be made of the information, the explanation to </w:t>
      </w:r>
      <w:proofErr w:type="gramStart"/>
      <w:r w:rsidRPr="00BD7237">
        <w:rPr>
          <w:rFonts w:ascii="Times New Roman" w:hAnsi="Times New Roman" w:cs="Times New Roman"/>
          <w:b/>
          <w:sz w:val="24"/>
          <w:szCs w:val="24"/>
        </w:rPr>
        <w:t>be given</w:t>
      </w:r>
      <w:proofErr w:type="gramEnd"/>
      <w:r w:rsidRPr="00BD7237">
        <w:rPr>
          <w:rFonts w:ascii="Times New Roman" w:hAnsi="Times New Roman" w:cs="Times New Roman"/>
          <w:b/>
          <w:sz w:val="24"/>
          <w:szCs w:val="24"/>
        </w:rPr>
        <w:t xml:space="preserve"> to persons from whom the information is requested, and any steps to be taken to obtain their consent.</w:t>
      </w:r>
    </w:p>
    <w:p w:rsidRPr="00A63449" w:rsidR="00383417" w:rsidP="000D644A" w:rsidRDefault="00383417" w14:paraId="2093FF3D" w14:textId="77777777">
      <w:pPr>
        <w:spacing w:before="120"/>
        <w:ind w:left="360"/>
        <w:rPr>
          <w:rFonts w:ascii="Times New Roman" w:hAnsi="Times New Roman" w:cs="Times New Roman"/>
          <w:color w:val="000000" w:themeColor="text1"/>
          <w:sz w:val="24"/>
          <w:szCs w:val="24"/>
        </w:rPr>
      </w:pPr>
      <w:r w:rsidRPr="00A63449">
        <w:rPr>
          <w:rFonts w:ascii="Times New Roman" w:hAnsi="Times New Roman" w:cs="Times New Roman"/>
          <w:color w:val="000000" w:themeColor="text1"/>
          <w:sz w:val="24"/>
          <w:szCs w:val="24"/>
        </w:rPr>
        <w:t>There are no questions of a sensitive nature.</w:t>
      </w:r>
    </w:p>
    <w:p w:rsidRPr="00BD7237" w:rsidR="008E61C9" w:rsidP="00BD7237" w:rsidRDefault="008E61C9" w14:paraId="68B39037" w14:textId="77777777">
      <w:pPr>
        <w:spacing w:line="259" w:lineRule="auto"/>
        <w:rPr>
          <w:rFonts w:ascii="Times New Roman" w:hAnsi="Times New Roman" w:cs="Times New Roman"/>
          <w:sz w:val="24"/>
          <w:szCs w:val="24"/>
        </w:rPr>
      </w:pPr>
    </w:p>
    <w:p w:rsidRPr="00A02219" w:rsidR="008E61C9" w:rsidP="00B964A3" w:rsidRDefault="001477A3" w14:paraId="4BB06BA4" w14:textId="77777777">
      <w:pPr>
        <w:pStyle w:val="ListParagraph"/>
        <w:numPr>
          <w:ilvl w:val="0"/>
          <w:numId w:val="17"/>
        </w:numPr>
        <w:tabs>
          <w:tab w:val="left" w:pos="360"/>
        </w:tabs>
        <w:spacing w:before="80"/>
        <w:ind w:left="0" w:firstLine="0"/>
        <w:rPr>
          <w:rFonts w:ascii="Times New Roman" w:hAnsi="Times New Roman" w:cs="Times New Roman"/>
          <w:b/>
          <w:sz w:val="24"/>
          <w:szCs w:val="24"/>
        </w:rPr>
      </w:pPr>
      <w:r w:rsidRPr="00A02219">
        <w:rPr>
          <w:rFonts w:ascii="Times New Roman" w:hAnsi="Times New Roman" w:cs="Times New Roman"/>
          <w:b/>
          <w:sz w:val="24"/>
          <w:szCs w:val="24"/>
        </w:rPr>
        <w:t>Provide estimates of the hour burden of the collection of information.</w:t>
      </w:r>
    </w:p>
    <w:tbl>
      <w:tblPr>
        <w:tblpPr w:leftFromText="180" w:rightFromText="180" w:vertAnchor="text" w:horzAnchor="margin" w:tblpY="183"/>
        <w:tblW w:w="10703" w:type="dxa"/>
        <w:tblLook w:val="04A0" w:firstRow="1" w:lastRow="0" w:firstColumn="1" w:lastColumn="0" w:noHBand="0" w:noVBand="1"/>
      </w:tblPr>
      <w:tblGrid>
        <w:gridCol w:w="1170"/>
        <w:gridCol w:w="1693"/>
        <w:gridCol w:w="1447"/>
        <w:gridCol w:w="1080"/>
        <w:gridCol w:w="917"/>
        <w:gridCol w:w="990"/>
        <w:gridCol w:w="990"/>
        <w:gridCol w:w="1066"/>
        <w:gridCol w:w="1350"/>
      </w:tblGrid>
      <w:tr w:rsidRPr="00D64DF9" w:rsidR="00A63449" w:rsidTr="00A63449" w14:paraId="13F69F51" w14:textId="77777777">
        <w:trPr>
          <w:trHeight w:val="1365"/>
        </w:trPr>
        <w:tc>
          <w:tcPr>
            <w:tcW w:w="1170"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D64DF9" w:rsidR="00A63449" w:rsidP="00A63449" w:rsidRDefault="00A63449" w14:paraId="3F01B162"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Information Collection</w:t>
            </w:r>
          </w:p>
        </w:tc>
        <w:tc>
          <w:tcPr>
            <w:tcW w:w="1693" w:type="dxa"/>
            <w:tcBorders>
              <w:top w:val="single" w:color="auto" w:sz="8" w:space="0"/>
              <w:left w:val="nil"/>
              <w:bottom w:val="single" w:color="auto" w:sz="8" w:space="0"/>
              <w:right w:val="single" w:color="000000" w:sz="8" w:space="0"/>
            </w:tcBorders>
            <w:shd w:val="clear" w:color="000000" w:fill="BDD7EE"/>
            <w:vAlign w:val="center"/>
            <w:hideMark/>
          </w:tcPr>
          <w:p w:rsidRPr="00D64DF9" w:rsidR="00A63449" w:rsidP="00A63449" w:rsidRDefault="00A63449" w14:paraId="3EFEE1AE"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Type of Respondent (e.g., Occupational Title)</w:t>
            </w:r>
          </w:p>
        </w:tc>
        <w:tc>
          <w:tcPr>
            <w:tcW w:w="1447" w:type="dxa"/>
            <w:tcBorders>
              <w:top w:val="single" w:color="auto" w:sz="8" w:space="0"/>
              <w:left w:val="nil"/>
              <w:bottom w:val="single" w:color="auto" w:sz="8" w:space="0"/>
              <w:right w:val="single" w:color="000000" w:sz="8" w:space="0"/>
            </w:tcBorders>
            <w:shd w:val="clear" w:color="000000" w:fill="BDD7EE"/>
            <w:vAlign w:val="center"/>
            <w:hideMark/>
          </w:tcPr>
          <w:p w:rsidRPr="00D64DF9" w:rsidR="00A63449" w:rsidP="00A63449" w:rsidRDefault="00A63449" w14:paraId="5324AB53"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of Respondents/year</w:t>
            </w:r>
            <w:r w:rsidRPr="00D64DF9">
              <w:rPr>
                <w:rFonts w:ascii="Calibri" w:hAnsi="Calibri" w:eastAsia="Times New Roman" w:cs="Calibri"/>
                <w:b/>
                <w:bCs/>
                <w:color w:val="000000"/>
                <w:sz w:val="16"/>
                <w:szCs w:val="16"/>
                <w:lang w:bidi="ar-SA"/>
              </w:rPr>
              <w:br/>
              <w:t>(a)</w:t>
            </w:r>
          </w:p>
        </w:tc>
        <w:tc>
          <w:tcPr>
            <w:tcW w:w="1080" w:type="dxa"/>
            <w:tcBorders>
              <w:top w:val="single" w:color="auto" w:sz="8" w:space="0"/>
              <w:left w:val="nil"/>
              <w:bottom w:val="single" w:color="auto" w:sz="8" w:space="0"/>
              <w:right w:val="single" w:color="auto" w:sz="8" w:space="0"/>
            </w:tcBorders>
            <w:shd w:val="clear" w:color="000000" w:fill="BDD7EE"/>
            <w:vAlign w:val="center"/>
            <w:hideMark/>
          </w:tcPr>
          <w:p w:rsidRPr="00D64DF9" w:rsidR="00A63449" w:rsidP="00A63449" w:rsidRDefault="00A63449" w14:paraId="40CD6432"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Annual # of Responses / Respondent</w:t>
            </w:r>
            <w:r w:rsidRPr="00D64DF9">
              <w:rPr>
                <w:rFonts w:ascii="Calibri" w:hAnsi="Calibri" w:eastAsia="Times New Roman" w:cs="Calibri"/>
                <w:b/>
                <w:bCs/>
                <w:color w:val="000000"/>
                <w:sz w:val="16"/>
                <w:szCs w:val="16"/>
                <w:lang w:bidi="ar-SA"/>
              </w:rPr>
              <w:br/>
              <w:t>(b)</w:t>
            </w:r>
          </w:p>
        </w:tc>
        <w:tc>
          <w:tcPr>
            <w:tcW w:w="917" w:type="dxa"/>
            <w:tcBorders>
              <w:top w:val="single" w:color="auto" w:sz="8" w:space="0"/>
              <w:left w:val="nil"/>
              <w:bottom w:val="single" w:color="auto" w:sz="8" w:space="0"/>
              <w:right w:val="single" w:color="auto" w:sz="8" w:space="0"/>
            </w:tcBorders>
            <w:shd w:val="clear" w:color="000000" w:fill="BDD7EE"/>
            <w:vAlign w:val="center"/>
            <w:hideMark/>
          </w:tcPr>
          <w:p w:rsidRPr="00D64DF9" w:rsidR="00A63449" w:rsidP="00A63449" w:rsidRDefault="00A63449" w14:paraId="2289B239"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xml:space="preserve"> Total # of Annual Responses</w:t>
            </w:r>
            <w:r w:rsidRPr="00D64DF9">
              <w:rPr>
                <w:rFonts w:ascii="Calibri" w:hAnsi="Calibri" w:eastAsia="Times New Roman" w:cs="Calibri"/>
                <w:b/>
                <w:bCs/>
                <w:color w:val="000000"/>
                <w:sz w:val="16"/>
                <w:szCs w:val="16"/>
                <w:lang w:bidi="ar-SA"/>
              </w:rPr>
              <w:br/>
              <w:t>(c) = (a) x (b)</w:t>
            </w:r>
          </w:p>
        </w:tc>
        <w:tc>
          <w:tcPr>
            <w:tcW w:w="990" w:type="dxa"/>
            <w:tcBorders>
              <w:top w:val="single" w:color="auto" w:sz="8" w:space="0"/>
              <w:left w:val="nil"/>
              <w:bottom w:val="single" w:color="auto" w:sz="8" w:space="0"/>
              <w:right w:val="single" w:color="auto" w:sz="8" w:space="0"/>
            </w:tcBorders>
            <w:shd w:val="clear" w:color="000000" w:fill="BDD7EE"/>
            <w:vAlign w:val="center"/>
            <w:hideMark/>
          </w:tcPr>
          <w:p w:rsidRPr="00D64DF9" w:rsidR="00A63449" w:rsidP="00A63449" w:rsidRDefault="00A63449" w14:paraId="1787094E"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xml:space="preserve">Burden </w:t>
            </w:r>
            <w:proofErr w:type="spellStart"/>
            <w:r w:rsidRPr="00D64DF9">
              <w:rPr>
                <w:rFonts w:ascii="Calibri" w:hAnsi="Calibri" w:eastAsia="Times New Roman" w:cs="Calibri"/>
                <w:b/>
                <w:bCs/>
                <w:color w:val="000000"/>
                <w:sz w:val="16"/>
                <w:szCs w:val="16"/>
                <w:lang w:bidi="ar-SA"/>
              </w:rPr>
              <w:t>Hrs</w:t>
            </w:r>
            <w:proofErr w:type="spellEnd"/>
            <w:r w:rsidRPr="00D64DF9">
              <w:rPr>
                <w:rFonts w:ascii="Calibri" w:hAnsi="Calibri" w:eastAsia="Times New Roman" w:cs="Calibri"/>
                <w:b/>
                <w:bCs/>
                <w:color w:val="000000"/>
                <w:sz w:val="16"/>
                <w:szCs w:val="16"/>
                <w:lang w:bidi="ar-SA"/>
              </w:rPr>
              <w:t xml:space="preserve"> / Response</w:t>
            </w:r>
            <w:r w:rsidRPr="00D64DF9">
              <w:rPr>
                <w:rFonts w:ascii="Calibri" w:hAnsi="Calibri" w:eastAsia="Times New Roman" w:cs="Calibri"/>
                <w:b/>
                <w:bCs/>
                <w:color w:val="000000"/>
                <w:sz w:val="16"/>
                <w:szCs w:val="16"/>
                <w:lang w:bidi="ar-SA"/>
              </w:rPr>
              <w:br/>
              <w:t>(d)</w:t>
            </w:r>
          </w:p>
        </w:tc>
        <w:tc>
          <w:tcPr>
            <w:tcW w:w="990" w:type="dxa"/>
            <w:tcBorders>
              <w:top w:val="single" w:color="auto" w:sz="8" w:space="0"/>
              <w:left w:val="nil"/>
              <w:bottom w:val="single" w:color="auto" w:sz="8" w:space="0"/>
              <w:right w:val="single" w:color="auto" w:sz="8" w:space="0"/>
            </w:tcBorders>
            <w:shd w:val="clear" w:color="000000" w:fill="BDD7EE"/>
            <w:vAlign w:val="center"/>
            <w:hideMark/>
          </w:tcPr>
          <w:p w:rsidRPr="00D64DF9" w:rsidR="00A63449" w:rsidP="00A63449" w:rsidRDefault="00A63449" w14:paraId="327CAB96"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xml:space="preserve">Total Annual Burden </w:t>
            </w:r>
            <w:proofErr w:type="spellStart"/>
            <w:r w:rsidRPr="00D64DF9">
              <w:rPr>
                <w:rFonts w:ascii="Calibri" w:hAnsi="Calibri" w:eastAsia="Times New Roman" w:cs="Calibri"/>
                <w:b/>
                <w:bCs/>
                <w:color w:val="000000"/>
                <w:sz w:val="16"/>
                <w:szCs w:val="16"/>
                <w:lang w:bidi="ar-SA"/>
              </w:rPr>
              <w:t>Hrs</w:t>
            </w:r>
            <w:proofErr w:type="spellEnd"/>
            <w:r w:rsidRPr="00D64DF9">
              <w:rPr>
                <w:rFonts w:ascii="Calibri" w:hAnsi="Calibri" w:eastAsia="Times New Roman" w:cs="Calibri"/>
                <w:b/>
                <w:bCs/>
                <w:color w:val="000000"/>
                <w:sz w:val="16"/>
                <w:szCs w:val="16"/>
                <w:lang w:bidi="ar-SA"/>
              </w:rPr>
              <w:br/>
              <w:t>(e)  = (c) x (d)</w:t>
            </w:r>
          </w:p>
        </w:tc>
        <w:tc>
          <w:tcPr>
            <w:tcW w:w="1066" w:type="dxa"/>
            <w:tcBorders>
              <w:top w:val="single" w:color="auto" w:sz="8" w:space="0"/>
              <w:left w:val="nil"/>
              <w:bottom w:val="single" w:color="auto" w:sz="8" w:space="0"/>
              <w:right w:val="single" w:color="auto" w:sz="8" w:space="0"/>
            </w:tcBorders>
            <w:shd w:val="clear" w:color="000000" w:fill="BDD7EE"/>
            <w:vAlign w:val="center"/>
            <w:hideMark/>
          </w:tcPr>
          <w:p w:rsidRPr="00D64DF9" w:rsidR="00A63449" w:rsidP="00A63449" w:rsidRDefault="00A63449" w14:paraId="73CF6072"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Hourly Wage Rate  (for Type of Respondent)</w:t>
            </w:r>
            <w:r w:rsidRPr="00D64DF9">
              <w:rPr>
                <w:rFonts w:ascii="Calibri" w:hAnsi="Calibri" w:eastAsia="Times New Roman" w:cs="Calibri"/>
                <w:b/>
                <w:bCs/>
                <w:color w:val="000000"/>
                <w:sz w:val="16"/>
                <w:szCs w:val="16"/>
                <w:lang w:bidi="ar-SA"/>
              </w:rPr>
              <w:br/>
              <w:t>(f)</w:t>
            </w:r>
          </w:p>
        </w:tc>
        <w:tc>
          <w:tcPr>
            <w:tcW w:w="1350" w:type="dxa"/>
            <w:tcBorders>
              <w:top w:val="single" w:color="auto" w:sz="8" w:space="0"/>
              <w:left w:val="nil"/>
              <w:bottom w:val="single" w:color="auto" w:sz="8" w:space="0"/>
              <w:right w:val="single" w:color="auto" w:sz="8" w:space="0"/>
            </w:tcBorders>
            <w:shd w:val="clear" w:color="000000" w:fill="BDD7EE"/>
            <w:vAlign w:val="center"/>
            <w:hideMark/>
          </w:tcPr>
          <w:p w:rsidRPr="00D64DF9" w:rsidR="00A63449" w:rsidP="00A63449" w:rsidRDefault="00A63449" w14:paraId="75B3F623"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Total Annual Wage Burden Costs</w:t>
            </w:r>
            <w:r w:rsidRPr="00D64DF9">
              <w:rPr>
                <w:rFonts w:ascii="Calibri" w:hAnsi="Calibri" w:eastAsia="Times New Roman" w:cs="Calibri"/>
                <w:b/>
                <w:bCs/>
                <w:color w:val="000000"/>
                <w:sz w:val="16"/>
                <w:szCs w:val="16"/>
                <w:lang w:bidi="ar-SA"/>
              </w:rPr>
              <w:br/>
              <w:t>(g) = (e) x (f)</w:t>
            </w:r>
          </w:p>
        </w:tc>
      </w:tr>
      <w:tr w:rsidRPr="00D64DF9" w:rsidR="00A63449" w:rsidTr="00A63449" w14:paraId="5AF168C8" w14:textId="77777777">
        <w:trPr>
          <w:trHeight w:val="300"/>
        </w:trPr>
        <w:tc>
          <w:tcPr>
            <w:tcW w:w="1170" w:type="dxa"/>
            <w:tcBorders>
              <w:top w:val="nil"/>
              <w:left w:val="single" w:color="auto" w:sz="8" w:space="0"/>
              <w:bottom w:val="single" w:color="auto" w:sz="4" w:space="0"/>
              <w:right w:val="single" w:color="auto" w:sz="4" w:space="0"/>
            </w:tcBorders>
            <w:shd w:val="clear" w:color="auto" w:fill="auto"/>
            <w:vAlign w:val="bottom"/>
            <w:hideMark/>
          </w:tcPr>
          <w:p w:rsidRPr="00D64DF9" w:rsidR="00A63449" w:rsidP="00A63449" w:rsidRDefault="00A63449" w14:paraId="774AB0FA" w14:textId="77777777">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Annual VMS maintenance</w:t>
            </w:r>
          </w:p>
        </w:tc>
        <w:tc>
          <w:tcPr>
            <w:tcW w:w="1693" w:type="dxa"/>
            <w:tcBorders>
              <w:top w:val="nil"/>
              <w:left w:val="nil"/>
              <w:bottom w:val="single" w:color="auto" w:sz="4" w:space="0"/>
              <w:right w:val="single" w:color="auto" w:sz="4" w:space="0"/>
            </w:tcBorders>
            <w:shd w:val="clear" w:color="auto" w:fill="auto"/>
            <w:vAlign w:val="bottom"/>
            <w:hideMark/>
          </w:tcPr>
          <w:p w:rsidRPr="00D64DF9" w:rsidR="00A63449" w:rsidP="00A63449" w:rsidRDefault="00A63449" w14:paraId="07745CC3"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Gulf of Mexico Reef fish and South Atlantic Rock Shrimp permit holders</w:t>
            </w:r>
            <w:r w:rsidRPr="00D64DF9">
              <w:rPr>
                <w:rFonts w:ascii="Calibri" w:hAnsi="Calibri" w:eastAsia="Times New Roman" w:cs="Calibri"/>
                <w:color w:val="000000"/>
                <w:sz w:val="16"/>
                <w:szCs w:val="16"/>
                <w:lang w:bidi="ar-SA"/>
              </w:rPr>
              <w:t> </w:t>
            </w:r>
          </w:p>
        </w:tc>
        <w:tc>
          <w:tcPr>
            <w:tcW w:w="1447" w:type="dxa"/>
            <w:tcBorders>
              <w:top w:val="nil"/>
              <w:left w:val="nil"/>
              <w:bottom w:val="single" w:color="auto" w:sz="4" w:space="0"/>
              <w:right w:val="single" w:color="auto" w:sz="4" w:space="0"/>
            </w:tcBorders>
            <w:shd w:val="clear" w:color="auto" w:fill="auto"/>
            <w:vAlign w:val="bottom"/>
            <w:hideMark/>
          </w:tcPr>
          <w:p w:rsidRPr="00D64DF9" w:rsidR="00A63449" w:rsidP="00A63449" w:rsidRDefault="00A63449" w14:paraId="161754B9"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901</w:t>
            </w:r>
            <w:r w:rsidRPr="00D64DF9">
              <w:rPr>
                <w:rFonts w:ascii="Calibri" w:hAnsi="Calibri" w:eastAsia="Times New Roman" w:cs="Calibri"/>
                <w:color w:val="000000"/>
                <w:sz w:val="16"/>
                <w:szCs w:val="16"/>
                <w:lang w:bidi="ar-SA"/>
              </w:rPr>
              <w:t> </w:t>
            </w:r>
          </w:p>
        </w:tc>
        <w:tc>
          <w:tcPr>
            <w:tcW w:w="1080" w:type="dxa"/>
            <w:tcBorders>
              <w:top w:val="nil"/>
              <w:left w:val="nil"/>
              <w:bottom w:val="single" w:color="auto" w:sz="4" w:space="0"/>
              <w:right w:val="single" w:color="auto" w:sz="4" w:space="0"/>
            </w:tcBorders>
            <w:shd w:val="clear" w:color="auto" w:fill="auto"/>
            <w:vAlign w:val="bottom"/>
            <w:hideMark/>
          </w:tcPr>
          <w:p w:rsidRPr="00D64DF9" w:rsidR="00A63449" w:rsidP="00A63449" w:rsidRDefault="00A63449" w14:paraId="1819F34F"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D64DF9">
              <w:rPr>
                <w:rFonts w:ascii="Calibri" w:hAnsi="Calibri" w:eastAsia="Times New Roman" w:cs="Calibri"/>
                <w:color w:val="000000"/>
                <w:sz w:val="16"/>
                <w:szCs w:val="16"/>
                <w:lang w:bidi="ar-SA"/>
              </w:rPr>
              <w:t> </w:t>
            </w:r>
          </w:p>
        </w:tc>
        <w:tc>
          <w:tcPr>
            <w:tcW w:w="917" w:type="dxa"/>
            <w:tcBorders>
              <w:top w:val="nil"/>
              <w:left w:val="nil"/>
              <w:bottom w:val="single" w:color="auto" w:sz="4" w:space="0"/>
              <w:right w:val="single" w:color="auto" w:sz="4" w:space="0"/>
            </w:tcBorders>
            <w:shd w:val="clear" w:color="auto" w:fill="auto"/>
            <w:vAlign w:val="bottom"/>
            <w:hideMark/>
          </w:tcPr>
          <w:p w:rsidRPr="00D64DF9" w:rsidR="00A63449" w:rsidP="00A63449" w:rsidRDefault="00A63449" w14:paraId="3697D6B8"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901</w:t>
            </w:r>
            <w:r w:rsidRPr="00D64DF9">
              <w:rPr>
                <w:rFonts w:ascii="Calibri" w:hAnsi="Calibri" w:eastAsia="Times New Roman" w:cs="Calibri"/>
                <w:color w:val="000000"/>
                <w:sz w:val="16"/>
                <w:szCs w:val="16"/>
                <w:lang w:bidi="ar-SA"/>
              </w:rPr>
              <w:t> </w:t>
            </w:r>
          </w:p>
        </w:tc>
        <w:tc>
          <w:tcPr>
            <w:tcW w:w="990" w:type="dxa"/>
            <w:tcBorders>
              <w:top w:val="nil"/>
              <w:left w:val="nil"/>
              <w:bottom w:val="single" w:color="auto" w:sz="4" w:space="0"/>
              <w:right w:val="single" w:color="auto" w:sz="4" w:space="0"/>
            </w:tcBorders>
            <w:shd w:val="clear" w:color="auto" w:fill="auto"/>
            <w:vAlign w:val="bottom"/>
            <w:hideMark/>
          </w:tcPr>
          <w:p w:rsidRPr="00D64DF9" w:rsidR="00A63449" w:rsidP="00A63449" w:rsidRDefault="00A63449" w14:paraId="7A153372"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 hours</w:t>
            </w:r>
            <w:r w:rsidRPr="00D64DF9">
              <w:rPr>
                <w:rFonts w:ascii="Calibri" w:hAnsi="Calibri" w:eastAsia="Times New Roman" w:cs="Calibri"/>
                <w:color w:val="000000"/>
                <w:sz w:val="16"/>
                <w:szCs w:val="16"/>
                <w:lang w:bidi="ar-SA"/>
              </w:rPr>
              <w:t> </w:t>
            </w:r>
          </w:p>
        </w:tc>
        <w:tc>
          <w:tcPr>
            <w:tcW w:w="990" w:type="dxa"/>
            <w:tcBorders>
              <w:top w:val="nil"/>
              <w:left w:val="nil"/>
              <w:bottom w:val="single" w:color="auto" w:sz="4" w:space="0"/>
              <w:right w:val="single" w:color="auto" w:sz="4" w:space="0"/>
            </w:tcBorders>
            <w:shd w:val="clear" w:color="auto" w:fill="auto"/>
            <w:vAlign w:val="bottom"/>
            <w:hideMark/>
          </w:tcPr>
          <w:p w:rsidRPr="00D64DF9" w:rsidR="00A63449" w:rsidP="00A63449" w:rsidRDefault="00A63449" w14:paraId="1A639E1E"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1802</w:t>
            </w:r>
            <w:r w:rsidRPr="00D64DF9">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hours</w:t>
            </w:r>
          </w:p>
        </w:tc>
        <w:tc>
          <w:tcPr>
            <w:tcW w:w="1066" w:type="dxa"/>
            <w:tcBorders>
              <w:top w:val="nil"/>
              <w:left w:val="nil"/>
              <w:bottom w:val="single" w:color="auto" w:sz="4" w:space="0"/>
              <w:right w:val="single" w:color="auto" w:sz="4" w:space="0"/>
            </w:tcBorders>
            <w:shd w:val="clear" w:color="auto" w:fill="auto"/>
            <w:noWrap/>
            <w:vAlign w:val="bottom"/>
            <w:hideMark/>
          </w:tcPr>
          <w:p w:rsidRPr="00D64DF9" w:rsidR="00A63449" w:rsidP="00A63449" w:rsidRDefault="00A63449" w14:paraId="7AB5A88E"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$26.16</w:t>
            </w:r>
            <w:r w:rsidRPr="00D64DF9">
              <w:rPr>
                <w:rFonts w:ascii="Calibri" w:hAnsi="Calibri" w:eastAsia="Times New Roman" w:cs="Calibri"/>
                <w:color w:val="000000"/>
                <w:sz w:val="16"/>
                <w:szCs w:val="16"/>
                <w:lang w:bidi="ar-SA"/>
              </w:rPr>
              <w:t> </w:t>
            </w:r>
          </w:p>
        </w:tc>
        <w:tc>
          <w:tcPr>
            <w:tcW w:w="1350" w:type="dxa"/>
            <w:tcBorders>
              <w:top w:val="nil"/>
              <w:left w:val="nil"/>
              <w:bottom w:val="single" w:color="auto" w:sz="4" w:space="0"/>
              <w:right w:val="single" w:color="auto" w:sz="8" w:space="0"/>
            </w:tcBorders>
            <w:shd w:val="clear" w:color="auto" w:fill="auto"/>
            <w:noWrap/>
            <w:vAlign w:val="bottom"/>
            <w:hideMark/>
          </w:tcPr>
          <w:p w:rsidRPr="00D64DF9" w:rsidR="00A63449" w:rsidP="00A63449" w:rsidRDefault="00A63449" w14:paraId="2610509D"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$47,140.32</w:t>
            </w:r>
            <w:r w:rsidRPr="00D64DF9">
              <w:rPr>
                <w:rFonts w:ascii="Calibri" w:hAnsi="Calibri" w:eastAsia="Times New Roman" w:cs="Calibri"/>
                <w:color w:val="000000"/>
                <w:sz w:val="16"/>
                <w:szCs w:val="16"/>
                <w:lang w:bidi="ar-SA"/>
              </w:rPr>
              <w:t> </w:t>
            </w:r>
          </w:p>
        </w:tc>
      </w:tr>
      <w:tr w:rsidRPr="00D64DF9" w:rsidR="00A63449" w:rsidTr="00A63449" w14:paraId="2C7EA0BC" w14:textId="77777777">
        <w:trPr>
          <w:trHeight w:val="300"/>
        </w:trPr>
        <w:tc>
          <w:tcPr>
            <w:tcW w:w="1170" w:type="dxa"/>
            <w:tcBorders>
              <w:top w:val="nil"/>
              <w:left w:val="single" w:color="auto" w:sz="8" w:space="0"/>
              <w:bottom w:val="single" w:color="auto" w:sz="4" w:space="0"/>
              <w:right w:val="single" w:color="auto" w:sz="4" w:space="0"/>
            </w:tcBorders>
            <w:shd w:val="clear" w:color="auto" w:fill="auto"/>
            <w:vAlign w:val="bottom"/>
            <w:hideMark/>
          </w:tcPr>
          <w:p w:rsidRPr="00D64DF9" w:rsidR="00A63449" w:rsidP="00A63449" w:rsidRDefault="00A63449" w14:paraId="7A4DA103" w14:textId="77777777">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Installation and Activation / Checklist</w:t>
            </w:r>
          </w:p>
        </w:tc>
        <w:tc>
          <w:tcPr>
            <w:tcW w:w="1693" w:type="dxa"/>
            <w:tcBorders>
              <w:top w:val="nil"/>
              <w:left w:val="nil"/>
              <w:bottom w:val="single" w:color="auto" w:sz="4" w:space="0"/>
              <w:right w:val="single" w:color="auto" w:sz="4" w:space="0"/>
            </w:tcBorders>
            <w:shd w:val="clear" w:color="auto" w:fill="auto"/>
            <w:vAlign w:val="bottom"/>
            <w:hideMark/>
          </w:tcPr>
          <w:p w:rsidRPr="00D64DF9" w:rsidR="00A63449" w:rsidP="00A63449" w:rsidRDefault="00A63449" w14:paraId="0F26E08F" w14:textId="77777777">
            <w:pPr>
              <w:widowControl/>
              <w:autoSpaceDE/>
              <w:autoSpaceDN/>
              <w:jc w:val="center"/>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Gulf of Mexico Reef fish and South Atlantic Rock Shrimp permit holders</w:t>
            </w:r>
            <w:r w:rsidRPr="00D64DF9">
              <w:rPr>
                <w:rFonts w:ascii="Calibri" w:hAnsi="Calibri" w:eastAsia="Times New Roman" w:cs="Calibri"/>
                <w:color w:val="000000"/>
                <w:sz w:val="16"/>
                <w:szCs w:val="16"/>
                <w:lang w:bidi="ar-SA"/>
              </w:rPr>
              <w:t> </w:t>
            </w:r>
          </w:p>
        </w:tc>
        <w:tc>
          <w:tcPr>
            <w:tcW w:w="1447" w:type="dxa"/>
            <w:tcBorders>
              <w:top w:val="nil"/>
              <w:left w:val="nil"/>
              <w:bottom w:val="single" w:color="auto" w:sz="4" w:space="0"/>
              <w:right w:val="single" w:color="auto" w:sz="4" w:space="0"/>
            </w:tcBorders>
            <w:shd w:val="clear" w:color="auto" w:fill="auto"/>
            <w:vAlign w:val="bottom"/>
            <w:hideMark/>
          </w:tcPr>
          <w:p w:rsidRPr="00D64DF9" w:rsidR="00A63449" w:rsidP="00A63449" w:rsidRDefault="00A63449" w14:paraId="61819A26"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145</w:t>
            </w:r>
            <w:r w:rsidRPr="00D64DF9">
              <w:rPr>
                <w:rFonts w:ascii="Calibri" w:hAnsi="Calibri" w:eastAsia="Times New Roman" w:cs="Calibri"/>
                <w:color w:val="000000"/>
                <w:sz w:val="16"/>
                <w:szCs w:val="16"/>
                <w:lang w:bidi="ar-SA"/>
              </w:rPr>
              <w:t> </w:t>
            </w:r>
          </w:p>
        </w:tc>
        <w:tc>
          <w:tcPr>
            <w:tcW w:w="1080" w:type="dxa"/>
            <w:tcBorders>
              <w:top w:val="nil"/>
              <w:left w:val="nil"/>
              <w:bottom w:val="single" w:color="auto" w:sz="4" w:space="0"/>
              <w:right w:val="single" w:color="auto" w:sz="4" w:space="0"/>
            </w:tcBorders>
            <w:shd w:val="clear" w:color="auto" w:fill="auto"/>
            <w:vAlign w:val="bottom"/>
            <w:hideMark/>
          </w:tcPr>
          <w:p w:rsidRPr="00D64DF9" w:rsidR="00A63449" w:rsidP="00A63449" w:rsidRDefault="00A63449" w14:paraId="44039998"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D64DF9">
              <w:rPr>
                <w:rFonts w:ascii="Calibri" w:hAnsi="Calibri" w:eastAsia="Times New Roman" w:cs="Calibri"/>
                <w:color w:val="000000"/>
                <w:sz w:val="16"/>
                <w:szCs w:val="16"/>
                <w:lang w:bidi="ar-SA"/>
              </w:rPr>
              <w:t> </w:t>
            </w:r>
          </w:p>
        </w:tc>
        <w:tc>
          <w:tcPr>
            <w:tcW w:w="917" w:type="dxa"/>
            <w:tcBorders>
              <w:top w:val="nil"/>
              <w:left w:val="nil"/>
              <w:bottom w:val="single" w:color="auto" w:sz="4" w:space="0"/>
              <w:right w:val="single" w:color="auto" w:sz="4" w:space="0"/>
            </w:tcBorders>
            <w:shd w:val="clear" w:color="auto" w:fill="auto"/>
            <w:vAlign w:val="bottom"/>
            <w:hideMark/>
          </w:tcPr>
          <w:p w:rsidRPr="00D64DF9" w:rsidR="00A63449" w:rsidP="00A63449" w:rsidRDefault="00A63449" w14:paraId="59282460"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145</w:t>
            </w:r>
            <w:r w:rsidRPr="00D64DF9">
              <w:rPr>
                <w:rFonts w:ascii="Calibri" w:hAnsi="Calibri" w:eastAsia="Times New Roman" w:cs="Calibri"/>
                <w:color w:val="000000"/>
                <w:sz w:val="16"/>
                <w:szCs w:val="16"/>
                <w:lang w:bidi="ar-SA"/>
              </w:rPr>
              <w:t> </w:t>
            </w:r>
          </w:p>
        </w:tc>
        <w:tc>
          <w:tcPr>
            <w:tcW w:w="990" w:type="dxa"/>
            <w:tcBorders>
              <w:top w:val="nil"/>
              <w:left w:val="nil"/>
              <w:bottom w:val="single" w:color="auto" w:sz="4" w:space="0"/>
              <w:right w:val="single" w:color="auto" w:sz="4" w:space="0"/>
            </w:tcBorders>
            <w:shd w:val="clear" w:color="auto" w:fill="auto"/>
            <w:vAlign w:val="bottom"/>
            <w:hideMark/>
          </w:tcPr>
          <w:p w:rsidRPr="00D64DF9" w:rsidR="00A63449" w:rsidP="00A63449" w:rsidRDefault="00A63449" w14:paraId="74084DA4"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See calculation below</w:t>
            </w:r>
            <w:r w:rsidRPr="00D64DF9">
              <w:rPr>
                <w:rFonts w:ascii="Calibri" w:hAnsi="Calibri" w:eastAsia="Times New Roman" w:cs="Calibri"/>
                <w:color w:val="000000"/>
                <w:sz w:val="16"/>
                <w:szCs w:val="16"/>
                <w:lang w:bidi="ar-SA"/>
              </w:rPr>
              <w:t> </w:t>
            </w:r>
          </w:p>
        </w:tc>
        <w:tc>
          <w:tcPr>
            <w:tcW w:w="990" w:type="dxa"/>
            <w:tcBorders>
              <w:top w:val="nil"/>
              <w:left w:val="nil"/>
              <w:bottom w:val="single" w:color="auto" w:sz="4" w:space="0"/>
              <w:right w:val="single" w:color="auto" w:sz="4" w:space="0"/>
            </w:tcBorders>
            <w:shd w:val="clear" w:color="auto" w:fill="auto"/>
            <w:vAlign w:val="bottom"/>
            <w:hideMark/>
          </w:tcPr>
          <w:p w:rsidRPr="00D64DF9" w:rsidR="00A63449" w:rsidP="00A63449" w:rsidRDefault="00A63449" w14:paraId="7D977374" w14:textId="77777777">
            <w:pPr>
              <w:widowControl/>
              <w:autoSpaceDE/>
              <w:autoSpaceDN/>
              <w:jc w:val="right"/>
              <w:rPr>
                <w:rFonts w:ascii="Calibri" w:hAnsi="Calibri" w:eastAsia="Times New Roman" w:cs="Calibri"/>
                <w:color w:val="000000"/>
                <w:sz w:val="16"/>
                <w:szCs w:val="16"/>
                <w:lang w:bidi="ar-SA"/>
              </w:rPr>
            </w:pPr>
            <w:r w:rsidRPr="00260C70">
              <w:rPr>
                <w:rFonts w:ascii="Calibri" w:hAnsi="Calibri" w:eastAsia="Times New Roman" w:cs="Calibri"/>
                <w:color w:val="000000"/>
                <w:sz w:val="16"/>
                <w:szCs w:val="16"/>
                <w:lang w:bidi="ar-SA"/>
              </w:rPr>
              <w:t>593.3</w:t>
            </w:r>
            <w:r>
              <w:rPr>
                <w:rFonts w:ascii="Calibri" w:hAnsi="Calibri" w:eastAsia="Times New Roman" w:cs="Calibri"/>
                <w:color w:val="000000"/>
                <w:sz w:val="16"/>
                <w:szCs w:val="16"/>
                <w:lang w:bidi="ar-SA"/>
              </w:rPr>
              <w:t xml:space="preserve"> hours</w:t>
            </w:r>
          </w:p>
        </w:tc>
        <w:tc>
          <w:tcPr>
            <w:tcW w:w="1066" w:type="dxa"/>
            <w:tcBorders>
              <w:top w:val="nil"/>
              <w:left w:val="nil"/>
              <w:bottom w:val="single" w:color="auto" w:sz="4" w:space="0"/>
              <w:right w:val="single" w:color="auto" w:sz="4" w:space="0"/>
            </w:tcBorders>
            <w:shd w:val="clear" w:color="auto" w:fill="auto"/>
            <w:noWrap/>
            <w:vAlign w:val="bottom"/>
            <w:hideMark/>
          </w:tcPr>
          <w:p w:rsidRPr="00D64DF9" w:rsidR="00A63449" w:rsidP="00A63449" w:rsidRDefault="00A63449" w14:paraId="3635121E"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$26.16</w:t>
            </w:r>
            <w:r w:rsidRPr="00D64DF9">
              <w:rPr>
                <w:rFonts w:ascii="Calibri" w:hAnsi="Calibri" w:eastAsia="Times New Roman" w:cs="Calibri"/>
                <w:color w:val="000000"/>
                <w:sz w:val="16"/>
                <w:szCs w:val="16"/>
                <w:lang w:bidi="ar-SA"/>
              </w:rPr>
              <w:t>  </w:t>
            </w:r>
          </w:p>
        </w:tc>
        <w:tc>
          <w:tcPr>
            <w:tcW w:w="1350" w:type="dxa"/>
            <w:tcBorders>
              <w:top w:val="nil"/>
              <w:left w:val="nil"/>
              <w:bottom w:val="single" w:color="auto" w:sz="4" w:space="0"/>
              <w:right w:val="single" w:color="auto" w:sz="8" w:space="0"/>
            </w:tcBorders>
            <w:shd w:val="clear" w:color="auto" w:fill="auto"/>
            <w:noWrap/>
            <w:vAlign w:val="bottom"/>
            <w:hideMark/>
          </w:tcPr>
          <w:p w:rsidRPr="00D64DF9" w:rsidR="00A63449" w:rsidP="00A63449" w:rsidRDefault="00A63449" w14:paraId="2D04CECF"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$15,520.73</w:t>
            </w:r>
            <w:r w:rsidRPr="00D64DF9">
              <w:rPr>
                <w:rFonts w:ascii="Calibri" w:hAnsi="Calibri" w:eastAsia="Times New Roman" w:cs="Calibri"/>
                <w:color w:val="000000"/>
                <w:sz w:val="16"/>
                <w:szCs w:val="16"/>
                <w:lang w:bidi="ar-SA"/>
              </w:rPr>
              <w:t> </w:t>
            </w:r>
          </w:p>
        </w:tc>
      </w:tr>
      <w:tr w:rsidRPr="00D64DF9" w:rsidR="00A63449" w:rsidTr="00A63449" w14:paraId="41497877" w14:textId="77777777">
        <w:trPr>
          <w:trHeight w:val="300"/>
        </w:trPr>
        <w:tc>
          <w:tcPr>
            <w:tcW w:w="1170" w:type="dxa"/>
            <w:tcBorders>
              <w:top w:val="nil"/>
              <w:left w:val="single" w:color="auto" w:sz="8" w:space="0"/>
              <w:bottom w:val="single" w:color="auto" w:sz="4" w:space="0"/>
              <w:right w:val="single" w:color="auto" w:sz="4" w:space="0"/>
            </w:tcBorders>
            <w:shd w:val="clear" w:color="auto" w:fill="auto"/>
            <w:vAlign w:val="bottom"/>
            <w:hideMark/>
          </w:tcPr>
          <w:p w:rsidRPr="00D64DF9" w:rsidR="00A63449" w:rsidP="00A63449" w:rsidRDefault="00A63449" w14:paraId="10E9155B" w14:textId="77777777">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Power Down Exemption Requests</w:t>
            </w:r>
          </w:p>
        </w:tc>
        <w:tc>
          <w:tcPr>
            <w:tcW w:w="1693" w:type="dxa"/>
            <w:tcBorders>
              <w:top w:val="nil"/>
              <w:left w:val="nil"/>
              <w:bottom w:val="single" w:color="auto" w:sz="4" w:space="0"/>
              <w:right w:val="single" w:color="auto" w:sz="4" w:space="0"/>
            </w:tcBorders>
            <w:shd w:val="clear" w:color="auto" w:fill="auto"/>
            <w:vAlign w:val="bottom"/>
            <w:hideMark/>
          </w:tcPr>
          <w:p w:rsidRPr="00D64DF9" w:rsidR="00A63449" w:rsidP="00A63449" w:rsidRDefault="00A63449" w14:paraId="58E4FB5B"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Gulf of Mexico Reef fish permit holders</w:t>
            </w:r>
            <w:r w:rsidRPr="00D64DF9">
              <w:rPr>
                <w:rFonts w:ascii="Calibri" w:hAnsi="Calibri" w:eastAsia="Times New Roman" w:cs="Calibri"/>
                <w:color w:val="000000"/>
                <w:sz w:val="16"/>
                <w:szCs w:val="16"/>
                <w:lang w:bidi="ar-SA"/>
              </w:rPr>
              <w:t>  </w:t>
            </w:r>
          </w:p>
        </w:tc>
        <w:tc>
          <w:tcPr>
            <w:tcW w:w="1447" w:type="dxa"/>
            <w:tcBorders>
              <w:top w:val="nil"/>
              <w:left w:val="nil"/>
              <w:bottom w:val="single" w:color="auto" w:sz="4" w:space="0"/>
              <w:right w:val="single" w:color="auto" w:sz="4" w:space="0"/>
            </w:tcBorders>
            <w:shd w:val="clear" w:color="auto" w:fill="auto"/>
            <w:vAlign w:val="bottom"/>
            <w:hideMark/>
          </w:tcPr>
          <w:p w:rsidRPr="00D64DF9" w:rsidR="00A63449" w:rsidP="00A63449" w:rsidRDefault="00A63449" w14:paraId="638BADD8"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150</w:t>
            </w:r>
            <w:r w:rsidRPr="00D64DF9">
              <w:rPr>
                <w:rFonts w:ascii="Calibri" w:hAnsi="Calibri" w:eastAsia="Times New Roman" w:cs="Calibri"/>
                <w:color w:val="000000"/>
                <w:sz w:val="16"/>
                <w:szCs w:val="16"/>
                <w:lang w:bidi="ar-SA"/>
              </w:rPr>
              <w:t> </w:t>
            </w:r>
          </w:p>
        </w:tc>
        <w:tc>
          <w:tcPr>
            <w:tcW w:w="1080" w:type="dxa"/>
            <w:tcBorders>
              <w:top w:val="nil"/>
              <w:left w:val="nil"/>
              <w:bottom w:val="single" w:color="auto" w:sz="4" w:space="0"/>
              <w:right w:val="single" w:color="auto" w:sz="4" w:space="0"/>
            </w:tcBorders>
            <w:shd w:val="clear" w:color="auto" w:fill="auto"/>
            <w:vAlign w:val="bottom"/>
            <w:hideMark/>
          </w:tcPr>
          <w:p w:rsidRPr="00D64DF9" w:rsidR="00A63449" w:rsidP="00A63449" w:rsidRDefault="00A63449" w14:paraId="009924DE"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D64DF9">
              <w:rPr>
                <w:rFonts w:ascii="Calibri" w:hAnsi="Calibri" w:eastAsia="Times New Roman" w:cs="Calibri"/>
                <w:color w:val="000000"/>
                <w:sz w:val="16"/>
                <w:szCs w:val="16"/>
                <w:lang w:bidi="ar-SA"/>
              </w:rPr>
              <w:t> </w:t>
            </w:r>
          </w:p>
        </w:tc>
        <w:tc>
          <w:tcPr>
            <w:tcW w:w="917" w:type="dxa"/>
            <w:tcBorders>
              <w:top w:val="nil"/>
              <w:left w:val="nil"/>
              <w:bottom w:val="single" w:color="auto" w:sz="4" w:space="0"/>
              <w:right w:val="single" w:color="auto" w:sz="4" w:space="0"/>
            </w:tcBorders>
            <w:shd w:val="clear" w:color="auto" w:fill="auto"/>
            <w:vAlign w:val="bottom"/>
            <w:hideMark/>
          </w:tcPr>
          <w:p w:rsidRPr="00D64DF9" w:rsidR="00A63449" w:rsidP="00A63449" w:rsidRDefault="00A63449" w14:paraId="0E28139F"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150</w:t>
            </w:r>
            <w:r w:rsidRPr="00D64DF9">
              <w:rPr>
                <w:rFonts w:ascii="Calibri" w:hAnsi="Calibri" w:eastAsia="Times New Roman" w:cs="Calibri"/>
                <w:color w:val="000000"/>
                <w:sz w:val="16"/>
                <w:szCs w:val="16"/>
                <w:lang w:bidi="ar-SA"/>
              </w:rPr>
              <w:t> </w:t>
            </w:r>
          </w:p>
        </w:tc>
        <w:tc>
          <w:tcPr>
            <w:tcW w:w="990" w:type="dxa"/>
            <w:tcBorders>
              <w:top w:val="nil"/>
              <w:left w:val="nil"/>
              <w:bottom w:val="single" w:color="auto" w:sz="4" w:space="0"/>
              <w:right w:val="single" w:color="auto" w:sz="4" w:space="0"/>
            </w:tcBorders>
            <w:shd w:val="clear" w:color="auto" w:fill="auto"/>
            <w:vAlign w:val="bottom"/>
            <w:hideMark/>
          </w:tcPr>
          <w:p w:rsidRPr="00D64DF9" w:rsidR="00A63449" w:rsidP="00A63449" w:rsidRDefault="00A63449" w14:paraId="32856C5E"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 min</w:t>
            </w:r>
            <w:r w:rsidRPr="00D64DF9">
              <w:rPr>
                <w:rFonts w:ascii="Calibri" w:hAnsi="Calibri" w:eastAsia="Times New Roman" w:cs="Calibri"/>
                <w:color w:val="000000"/>
                <w:sz w:val="16"/>
                <w:szCs w:val="16"/>
                <w:lang w:bidi="ar-SA"/>
              </w:rPr>
              <w:t> </w:t>
            </w:r>
          </w:p>
        </w:tc>
        <w:tc>
          <w:tcPr>
            <w:tcW w:w="990" w:type="dxa"/>
            <w:tcBorders>
              <w:top w:val="nil"/>
              <w:left w:val="nil"/>
              <w:bottom w:val="single" w:color="auto" w:sz="4" w:space="0"/>
              <w:right w:val="single" w:color="auto" w:sz="4" w:space="0"/>
            </w:tcBorders>
            <w:shd w:val="clear" w:color="auto" w:fill="auto"/>
            <w:vAlign w:val="bottom"/>
            <w:hideMark/>
          </w:tcPr>
          <w:p w:rsidRPr="00D64DF9" w:rsidR="00A63449" w:rsidP="00A63449" w:rsidRDefault="00A63449" w14:paraId="439B1A91"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12.5 hours</w:t>
            </w:r>
            <w:r w:rsidRPr="00D64DF9">
              <w:rPr>
                <w:rFonts w:ascii="Calibri" w:hAnsi="Calibri" w:eastAsia="Times New Roman" w:cs="Calibri"/>
                <w:color w:val="000000"/>
                <w:sz w:val="16"/>
                <w:szCs w:val="16"/>
                <w:lang w:bidi="ar-SA"/>
              </w:rPr>
              <w:t> </w:t>
            </w:r>
          </w:p>
        </w:tc>
        <w:tc>
          <w:tcPr>
            <w:tcW w:w="1066" w:type="dxa"/>
            <w:tcBorders>
              <w:top w:val="nil"/>
              <w:left w:val="nil"/>
              <w:bottom w:val="single" w:color="auto" w:sz="4" w:space="0"/>
              <w:right w:val="single" w:color="auto" w:sz="4" w:space="0"/>
            </w:tcBorders>
            <w:shd w:val="clear" w:color="auto" w:fill="auto"/>
            <w:noWrap/>
            <w:vAlign w:val="bottom"/>
            <w:hideMark/>
          </w:tcPr>
          <w:p w:rsidRPr="00D64DF9" w:rsidR="00A63449" w:rsidP="00A63449" w:rsidRDefault="00A63449" w14:paraId="305708A7"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$26.16</w:t>
            </w:r>
            <w:r w:rsidRPr="00D64DF9">
              <w:rPr>
                <w:rFonts w:ascii="Calibri" w:hAnsi="Calibri" w:eastAsia="Times New Roman" w:cs="Calibri"/>
                <w:color w:val="000000"/>
                <w:sz w:val="16"/>
                <w:szCs w:val="16"/>
                <w:lang w:bidi="ar-SA"/>
              </w:rPr>
              <w:t>  </w:t>
            </w:r>
          </w:p>
        </w:tc>
        <w:tc>
          <w:tcPr>
            <w:tcW w:w="1350" w:type="dxa"/>
            <w:tcBorders>
              <w:top w:val="nil"/>
              <w:left w:val="nil"/>
              <w:bottom w:val="single" w:color="auto" w:sz="4" w:space="0"/>
              <w:right w:val="single" w:color="auto" w:sz="8" w:space="0"/>
            </w:tcBorders>
            <w:shd w:val="clear" w:color="auto" w:fill="auto"/>
            <w:noWrap/>
            <w:vAlign w:val="bottom"/>
            <w:hideMark/>
          </w:tcPr>
          <w:p w:rsidRPr="00D64DF9" w:rsidR="00A63449" w:rsidP="00A63449" w:rsidRDefault="00A63449" w14:paraId="15F3B3E8"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$327.00</w:t>
            </w:r>
            <w:r w:rsidRPr="00D64DF9">
              <w:rPr>
                <w:rFonts w:ascii="Calibri" w:hAnsi="Calibri" w:eastAsia="Times New Roman" w:cs="Calibri"/>
                <w:color w:val="000000"/>
                <w:sz w:val="16"/>
                <w:szCs w:val="16"/>
                <w:lang w:bidi="ar-SA"/>
              </w:rPr>
              <w:t> </w:t>
            </w:r>
          </w:p>
        </w:tc>
      </w:tr>
      <w:tr w:rsidRPr="00D64DF9" w:rsidR="00A63449" w:rsidTr="00A63449" w14:paraId="7EBD8A17" w14:textId="77777777">
        <w:trPr>
          <w:trHeight w:val="300"/>
        </w:trPr>
        <w:tc>
          <w:tcPr>
            <w:tcW w:w="1170" w:type="dxa"/>
            <w:tcBorders>
              <w:top w:val="nil"/>
              <w:left w:val="single" w:color="auto" w:sz="8" w:space="0"/>
              <w:bottom w:val="single" w:color="auto" w:sz="4" w:space="0"/>
              <w:right w:val="single" w:color="auto" w:sz="4" w:space="0"/>
            </w:tcBorders>
            <w:shd w:val="clear" w:color="auto" w:fill="auto"/>
            <w:vAlign w:val="bottom"/>
            <w:hideMark/>
          </w:tcPr>
          <w:p w:rsidRPr="00D64DF9" w:rsidR="00A63449" w:rsidP="00A63449" w:rsidRDefault="00A63449" w14:paraId="3A9F3503" w14:textId="77777777">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Trip Declarations</w:t>
            </w:r>
          </w:p>
        </w:tc>
        <w:tc>
          <w:tcPr>
            <w:tcW w:w="1693" w:type="dxa"/>
            <w:tcBorders>
              <w:top w:val="nil"/>
              <w:left w:val="nil"/>
              <w:bottom w:val="single" w:color="auto" w:sz="4" w:space="0"/>
              <w:right w:val="single" w:color="auto" w:sz="4" w:space="0"/>
            </w:tcBorders>
            <w:shd w:val="clear" w:color="auto" w:fill="auto"/>
            <w:vAlign w:val="bottom"/>
            <w:hideMark/>
          </w:tcPr>
          <w:p w:rsidRPr="00D64DF9" w:rsidR="00A63449" w:rsidP="00A63449" w:rsidRDefault="00A63449" w14:paraId="08C18E62"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Gulf of Mexico Reef fish permit holders</w:t>
            </w:r>
            <w:r w:rsidRPr="00D64DF9">
              <w:rPr>
                <w:rFonts w:ascii="Calibri" w:hAnsi="Calibri" w:eastAsia="Times New Roman" w:cs="Calibri"/>
                <w:color w:val="000000"/>
                <w:sz w:val="16"/>
                <w:szCs w:val="16"/>
                <w:lang w:bidi="ar-SA"/>
              </w:rPr>
              <w:t>   </w:t>
            </w:r>
          </w:p>
        </w:tc>
        <w:tc>
          <w:tcPr>
            <w:tcW w:w="1447" w:type="dxa"/>
            <w:tcBorders>
              <w:top w:val="nil"/>
              <w:left w:val="nil"/>
              <w:bottom w:val="single" w:color="auto" w:sz="4" w:space="0"/>
              <w:right w:val="single" w:color="auto" w:sz="4" w:space="0"/>
            </w:tcBorders>
            <w:shd w:val="clear" w:color="auto" w:fill="auto"/>
            <w:vAlign w:val="bottom"/>
            <w:hideMark/>
          </w:tcPr>
          <w:p w:rsidRPr="00D64DF9" w:rsidR="00A63449" w:rsidP="00A63449" w:rsidRDefault="00A63449" w14:paraId="047FF45C"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824</w:t>
            </w:r>
            <w:r w:rsidRPr="00D64DF9">
              <w:rPr>
                <w:rFonts w:ascii="Calibri" w:hAnsi="Calibri" w:eastAsia="Times New Roman" w:cs="Calibri"/>
                <w:color w:val="000000"/>
                <w:sz w:val="16"/>
                <w:szCs w:val="16"/>
                <w:lang w:bidi="ar-SA"/>
              </w:rPr>
              <w:t> </w:t>
            </w:r>
          </w:p>
        </w:tc>
        <w:tc>
          <w:tcPr>
            <w:tcW w:w="1080" w:type="dxa"/>
            <w:tcBorders>
              <w:top w:val="nil"/>
              <w:left w:val="nil"/>
              <w:bottom w:val="single" w:color="auto" w:sz="4" w:space="0"/>
              <w:right w:val="single" w:color="auto" w:sz="4" w:space="0"/>
            </w:tcBorders>
            <w:shd w:val="clear" w:color="auto" w:fill="auto"/>
            <w:vAlign w:val="bottom"/>
            <w:hideMark/>
          </w:tcPr>
          <w:p w:rsidRPr="00D64DF9" w:rsidR="00A63449" w:rsidP="00A63449" w:rsidRDefault="00A63449" w14:paraId="3BCE2E16"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16</w:t>
            </w:r>
          </w:p>
        </w:tc>
        <w:tc>
          <w:tcPr>
            <w:tcW w:w="917" w:type="dxa"/>
            <w:tcBorders>
              <w:top w:val="nil"/>
              <w:left w:val="nil"/>
              <w:bottom w:val="single" w:color="auto" w:sz="4" w:space="0"/>
              <w:right w:val="single" w:color="auto" w:sz="4" w:space="0"/>
            </w:tcBorders>
            <w:shd w:val="clear" w:color="auto" w:fill="auto"/>
            <w:vAlign w:val="bottom"/>
            <w:hideMark/>
          </w:tcPr>
          <w:p w:rsidRPr="00D64DF9" w:rsidR="00A63449" w:rsidP="00A63449" w:rsidRDefault="00A63449" w14:paraId="6FCAD276"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13,184</w:t>
            </w:r>
          </w:p>
        </w:tc>
        <w:tc>
          <w:tcPr>
            <w:tcW w:w="990" w:type="dxa"/>
            <w:tcBorders>
              <w:top w:val="nil"/>
              <w:left w:val="nil"/>
              <w:bottom w:val="single" w:color="auto" w:sz="4" w:space="0"/>
              <w:right w:val="single" w:color="auto" w:sz="4" w:space="0"/>
            </w:tcBorders>
            <w:shd w:val="clear" w:color="auto" w:fill="auto"/>
            <w:vAlign w:val="bottom"/>
            <w:hideMark/>
          </w:tcPr>
          <w:p w:rsidRPr="00D64DF9" w:rsidR="00A63449" w:rsidP="00A63449" w:rsidRDefault="00A63449" w14:paraId="52F8FC37"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 min</w:t>
            </w:r>
            <w:r w:rsidRPr="00D64DF9">
              <w:rPr>
                <w:rFonts w:ascii="Calibri" w:hAnsi="Calibri" w:eastAsia="Times New Roman" w:cs="Calibri"/>
                <w:color w:val="000000"/>
                <w:sz w:val="16"/>
                <w:szCs w:val="16"/>
                <w:lang w:bidi="ar-SA"/>
              </w:rPr>
              <w:t> </w:t>
            </w:r>
          </w:p>
        </w:tc>
        <w:tc>
          <w:tcPr>
            <w:tcW w:w="990" w:type="dxa"/>
            <w:tcBorders>
              <w:top w:val="nil"/>
              <w:left w:val="nil"/>
              <w:bottom w:val="single" w:color="auto" w:sz="4" w:space="0"/>
              <w:right w:val="single" w:color="auto" w:sz="4" w:space="0"/>
            </w:tcBorders>
            <w:shd w:val="clear" w:color="auto" w:fill="auto"/>
            <w:vAlign w:val="bottom"/>
            <w:hideMark/>
          </w:tcPr>
          <w:p w:rsidRPr="00D64DF9" w:rsidR="00A63449" w:rsidP="00A63449" w:rsidRDefault="00A63449" w14:paraId="34F0B3DB"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219.7 hours</w:t>
            </w:r>
            <w:r w:rsidRPr="00D64DF9">
              <w:rPr>
                <w:rFonts w:ascii="Calibri" w:hAnsi="Calibri" w:eastAsia="Times New Roman" w:cs="Calibri"/>
                <w:color w:val="000000"/>
                <w:sz w:val="16"/>
                <w:szCs w:val="16"/>
                <w:lang w:bidi="ar-SA"/>
              </w:rPr>
              <w:t> </w:t>
            </w:r>
          </w:p>
        </w:tc>
        <w:tc>
          <w:tcPr>
            <w:tcW w:w="1066" w:type="dxa"/>
            <w:tcBorders>
              <w:top w:val="nil"/>
              <w:left w:val="nil"/>
              <w:bottom w:val="single" w:color="auto" w:sz="4" w:space="0"/>
              <w:right w:val="single" w:color="auto" w:sz="4" w:space="0"/>
            </w:tcBorders>
            <w:shd w:val="clear" w:color="auto" w:fill="auto"/>
            <w:noWrap/>
            <w:vAlign w:val="bottom"/>
            <w:hideMark/>
          </w:tcPr>
          <w:p w:rsidRPr="00D64DF9" w:rsidR="00A63449" w:rsidP="00A63449" w:rsidRDefault="00A63449" w14:paraId="1130A54A"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$26.16</w:t>
            </w:r>
            <w:r w:rsidRPr="00D64DF9">
              <w:rPr>
                <w:rFonts w:ascii="Calibri" w:hAnsi="Calibri" w:eastAsia="Times New Roman" w:cs="Calibri"/>
                <w:color w:val="000000"/>
                <w:sz w:val="16"/>
                <w:szCs w:val="16"/>
                <w:lang w:bidi="ar-SA"/>
              </w:rPr>
              <w:t>  </w:t>
            </w:r>
          </w:p>
        </w:tc>
        <w:tc>
          <w:tcPr>
            <w:tcW w:w="1350" w:type="dxa"/>
            <w:tcBorders>
              <w:top w:val="nil"/>
              <w:left w:val="nil"/>
              <w:bottom w:val="single" w:color="auto" w:sz="4" w:space="0"/>
              <w:right w:val="single" w:color="auto" w:sz="8" w:space="0"/>
            </w:tcBorders>
            <w:shd w:val="clear" w:color="auto" w:fill="auto"/>
            <w:noWrap/>
            <w:vAlign w:val="bottom"/>
            <w:hideMark/>
          </w:tcPr>
          <w:p w:rsidRPr="00D64DF9" w:rsidR="00A63449" w:rsidP="00A63449" w:rsidRDefault="00A63449" w14:paraId="1241BB5D"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$5,747.35</w:t>
            </w:r>
            <w:r w:rsidRPr="00D64DF9">
              <w:rPr>
                <w:rFonts w:ascii="Calibri" w:hAnsi="Calibri" w:eastAsia="Times New Roman" w:cs="Calibri"/>
                <w:color w:val="000000"/>
                <w:sz w:val="16"/>
                <w:szCs w:val="16"/>
                <w:lang w:bidi="ar-SA"/>
              </w:rPr>
              <w:t> </w:t>
            </w:r>
          </w:p>
        </w:tc>
      </w:tr>
      <w:tr w:rsidRPr="00D64DF9" w:rsidR="00A63449" w:rsidTr="00A63449" w14:paraId="766AE156" w14:textId="77777777">
        <w:trPr>
          <w:trHeight w:val="615"/>
        </w:trPr>
        <w:tc>
          <w:tcPr>
            <w:tcW w:w="1170" w:type="dxa"/>
            <w:tcBorders>
              <w:top w:val="nil"/>
              <w:left w:val="single" w:color="auto" w:sz="8" w:space="0"/>
              <w:bottom w:val="single" w:color="auto" w:sz="8" w:space="0"/>
              <w:right w:val="single" w:color="auto" w:sz="8" w:space="0"/>
            </w:tcBorders>
            <w:shd w:val="clear" w:color="000000" w:fill="DDEBF7"/>
            <w:noWrap/>
            <w:vAlign w:val="bottom"/>
            <w:hideMark/>
          </w:tcPr>
          <w:p w:rsidRPr="00D64DF9" w:rsidR="00A63449" w:rsidP="00A63449" w:rsidRDefault="00A63449" w14:paraId="27A700B4"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Totals</w:t>
            </w:r>
          </w:p>
        </w:tc>
        <w:tc>
          <w:tcPr>
            <w:tcW w:w="1693" w:type="dxa"/>
            <w:tcBorders>
              <w:top w:val="nil"/>
              <w:left w:val="nil"/>
              <w:bottom w:val="single" w:color="auto" w:sz="8" w:space="0"/>
              <w:right w:val="single" w:color="auto" w:sz="8" w:space="0"/>
            </w:tcBorders>
            <w:shd w:val="clear" w:color="000000" w:fill="000000"/>
            <w:noWrap/>
            <w:vAlign w:val="bottom"/>
            <w:hideMark/>
          </w:tcPr>
          <w:p w:rsidRPr="00D64DF9" w:rsidR="00A63449" w:rsidP="00A63449" w:rsidRDefault="00A63449" w14:paraId="4CD2C6F1"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447" w:type="dxa"/>
            <w:tcBorders>
              <w:top w:val="nil"/>
              <w:left w:val="nil"/>
              <w:bottom w:val="single" w:color="auto" w:sz="8" w:space="0"/>
              <w:right w:val="single" w:color="auto" w:sz="8" w:space="0"/>
            </w:tcBorders>
            <w:shd w:val="clear" w:color="000000" w:fill="000000"/>
            <w:noWrap/>
            <w:vAlign w:val="bottom"/>
            <w:hideMark/>
          </w:tcPr>
          <w:p w:rsidRPr="00D64DF9" w:rsidR="00A63449" w:rsidP="00A63449" w:rsidRDefault="00A63449" w14:paraId="4D26E550"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080" w:type="dxa"/>
            <w:tcBorders>
              <w:top w:val="nil"/>
              <w:left w:val="nil"/>
              <w:bottom w:val="single" w:color="auto" w:sz="8" w:space="0"/>
              <w:right w:val="single" w:color="auto" w:sz="8" w:space="0"/>
            </w:tcBorders>
            <w:shd w:val="clear" w:color="000000" w:fill="000000"/>
            <w:noWrap/>
            <w:vAlign w:val="bottom"/>
            <w:hideMark/>
          </w:tcPr>
          <w:p w:rsidRPr="00D64DF9" w:rsidR="00A63449" w:rsidP="00A63449" w:rsidRDefault="00A63449" w14:paraId="68381F21"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917" w:type="dxa"/>
            <w:tcBorders>
              <w:top w:val="nil"/>
              <w:left w:val="nil"/>
              <w:bottom w:val="single" w:color="auto" w:sz="8" w:space="0"/>
              <w:right w:val="single" w:color="auto" w:sz="8" w:space="0"/>
            </w:tcBorders>
            <w:shd w:val="clear" w:color="000000" w:fill="DDEBF7"/>
            <w:noWrap/>
            <w:vAlign w:val="bottom"/>
            <w:hideMark/>
          </w:tcPr>
          <w:p w:rsidRPr="00D64DF9" w:rsidR="00A63449" w:rsidP="00A63449" w:rsidRDefault="00A63449" w14:paraId="4C0F1280" w14:textId="77777777">
            <w:pPr>
              <w:widowControl/>
              <w:autoSpaceDE/>
              <w:autoSpaceDN/>
              <w:rPr>
                <w:rFonts w:ascii="Calibri" w:hAnsi="Calibri" w:eastAsia="Times New Roman" w:cs="Calibri"/>
                <w:b/>
                <w:bCs/>
                <w:color w:val="000000"/>
                <w:lang w:bidi="ar-SA"/>
              </w:rPr>
            </w:pPr>
            <w:r>
              <w:rPr>
                <w:rFonts w:ascii="Calibri" w:hAnsi="Calibri" w:eastAsia="Times New Roman" w:cs="Calibri"/>
                <w:b/>
                <w:bCs/>
                <w:color w:val="000000"/>
                <w:lang w:bidi="ar-SA"/>
              </w:rPr>
              <w:t>14,380</w:t>
            </w:r>
          </w:p>
        </w:tc>
        <w:tc>
          <w:tcPr>
            <w:tcW w:w="990" w:type="dxa"/>
            <w:tcBorders>
              <w:top w:val="nil"/>
              <w:left w:val="nil"/>
              <w:bottom w:val="single" w:color="auto" w:sz="8" w:space="0"/>
              <w:right w:val="single" w:color="auto" w:sz="8" w:space="0"/>
            </w:tcBorders>
            <w:shd w:val="clear" w:color="000000" w:fill="000000"/>
            <w:noWrap/>
            <w:vAlign w:val="bottom"/>
            <w:hideMark/>
          </w:tcPr>
          <w:p w:rsidRPr="00D64DF9" w:rsidR="00A63449" w:rsidP="00A63449" w:rsidRDefault="00A63449" w14:paraId="79458659"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990" w:type="dxa"/>
            <w:tcBorders>
              <w:top w:val="nil"/>
              <w:left w:val="nil"/>
              <w:bottom w:val="single" w:color="auto" w:sz="8" w:space="0"/>
              <w:right w:val="single" w:color="auto" w:sz="8" w:space="0"/>
            </w:tcBorders>
            <w:shd w:val="clear" w:color="000000" w:fill="DDEBF7"/>
            <w:noWrap/>
            <w:vAlign w:val="bottom"/>
            <w:hideMark/>
          </w:tcPr>
          <w:p w:rsidRPr="00D64DF9" w:rsidR="00A63449" w:rsidP="00A63449" w:rsidRDefault="00A63449" w14:paraId="7B3FF9F7"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r>
              <w:rPr>
                <w:rFonts w:ascii="Calibri" w:hAnsi="Calibri" w:eastAsia="Times New Roman" w:cs="Calibri"/>
                <w:b/>
                <w:bCs/>
                <w:color w:val="000000"/>
                <w:lang w:bidi="ar-SA"/>
              </w:rPr>
              <w:t>2,627.5</w:t>
            </w:r>
          </w:p>
        </w:tc>
        <w:tc>
          <w:tcPr>
            <w:tcW w:w="1066" w:type="dxa"/>
            <w:tcBorders>
              <w:top w:val="nil"/>
              <w:left w:val="nil"/>
              <w:bottom w:val="single" w:color="auto" w:sz="8" w:space="0"/>
              <w:right w:val="single" w:color="auto" w:sz="8" w:space="0"/>
            </w:tcBorders>
            <w:shd w:val="clear" w:color="000000" w:fill="000000"/>
            <w:noWrap/>
            <w:vAlign w:val="bottom"/>
            <w:hideMark/>
          </w:tcPr>
          <w:p w:rsidRPr="00D64DF9" w:rsidR="00A63449" w:rsidP="00A63449" w:rsidRDefault="00A63449" w14:paraId="60657FD3"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350" w:type="dxa"/>
            <w:tcBorders>
              <w:top w:val="nil"/>
              <w:left w:val="nil"/>
              <w:bottom w:val="single" w:color="auto" w:sz="8" w:space="0"/>
              <w:right w:val="single" w:color="auto" w:sz="8" w:space="0"/>
            </w:tcBorders>
            <w:shd w:val="clear" w:color="000000" w:fill="DDEBF7"/>
            <w:noWrap/>
            <w:vAlign w:val="bottom"/>
            <w:hideMark/>
          </w:tcPr>
          <w:p w:rsidRPr="00D64DF9" w:rsidR="00A63449" w:rsidP="00A63449" w:rsidRDefault="00A63449" w14:paraId="30E5AEAD"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r>
              <w:rPr>
                <w:rFonts w:ascii="Calibri" w:hAnsi="Calibri" w:eastAsia="Times New Roman" w:cs="Calibri"/>
                <w:b/>
                <w:bCs/>
                <w:color w:val="000000"/>
                <w:lang w:bidi="ar-SA"/>
              </w:rPr>
              <w:t>$68,702.4</w:t>
            </w:r>
          </w:p>
        </w:tc>
      </w:tr>
    </w:tbl>
    <w:p w:rsidR="008E61C9" w:rsidP="00A63449" w:rsidRDefault="008E61C9" w14:paraId="063CE13E" w14:textId="428DE53C">
      <w:pPr>
        <w:spacing w:line="259" w:lineRule="auto"/>
        <w:rPr>
          <w:rFonts w:ascii="Times New Roman" w:hAnsi="Times New Roman" w:cs="Times New Roman"/>
          <w:sz w:val="24"/>
          <w:szCs w:val="24"/>
        </w:rPr>
      </w:pPr>
    </w:p>
    <w:p w:rsidRPr="00A63449" w:rsidR="001559D6" w:rsidP="000D644A" w:rsidRDefault="001559D6" w14:paraId="7200BFDF" w14:textId="5C4AC7E7">
      <w:pPr>
        <w:spacing w:before="120"/>
        <w:ind w:left="360"/>
        <w:rPr>
          <w:rFonts w:ascii="Times New Roman" w:hAnsi="Times New Roman" w:cs="Times New Roman"/>
          <w:color w:val="000000" w:themeColor="text1"/>
          <w:sz w:val="24"/>
          <w:szCs w:val="24"/>
        </w:rPr>
      </w:pPr>
      <w:r w:rsidRPr="00A63449">
        <w:rPr>
          <w:rFonts w:ascii="Times New Roman" w:hAnsi="Times New Roman" w:cs="Times New Roman"/>
          <w:color w:val="000000" w:themeColor="text1"/>
          <w:sz w:val="24"/>
          <w:szCs w:val="24"/>
        </w:rPr>
        <w:t xml:space="preserve">As of March 2022, NMFS has issued 824 Gulf </w:t>
      </w:r>
      <w:r w:rsidRPr="00A63449" w:rsidR="00DC3B3B">
        <w:rPr>
          <w:rFonts w:ascii="Times New Roman" w:hAnsi="Times New Roman" w:cs="Times New Roman"/>
          <w:color w:val="000000" w:themeColor="text1"/>
          <w:sz w:val="24"/>
          <w:szCs w:val="24"/>
        </w:rPr>
        <w:t>of Mexico R</w:t>
      </w:r>
      <w:r w:rsidRPr="00A63449">
        <w:rPr>
          <w:rFonts w:ascii="Times New Roman" w:hAnsi="Times New Roman" w:cs="Times New Roman"/>
          <w:color w:val="000000" w:themeColor="text1"/>
          <w:sz w:val="24"/>
          <w:szCs w:val="24"/>
        </w:rPr>
        <w:t xml:space="preserve">eef </w:t>
      </w:r>
      <w:r w:rsidRPr="00A63449" w:rsidR="00DC3B3B">
        <w:rPr>
          <w:rFonts w:ascii="Times New Roman" w:hAnsi="Times New Roman" w:cs="Times New Roman"/>
          <w:color w:val="000000" w:themeColor="text1"/>
          <w:sz w:val="24"/>
          <w:szCs w:val="24"/>
        </w:rPr>
        <w:t>F</w:t>
      </w:r>
      <w:r w:rsidRPr="00A63449">
        <w:rPr>
          <w:rFonts w:ascii="Times New Roman" w:hAnsi="Times New Roman" w:cs="Times New Roman"/>
          <w:color w:val="000000" w:themeColor="text1"/>
          <w:sz w:val="24"/>
          <w:szCs w:val="24"/>
        </w:rPr>
        <w:t>ish permits and 77 permits for South Atlantic Rock Shrimp</w:t>
      </w:r>
      <w:r w:rsidRPr="00A63449" w:rsidR="00BB7214">
        <w:rPr>
          <w:rFonts w:ascii="Times New Roman" w:hAnsi="Times New Roman" w:cs="Times New Roman"/>
          <w:color w:val="000000" w:themeColor="text1"/>
          <w:sz w:val="24"/>
          <w:szCs w:val="24"/>
        </w:rPr>
        <w:t xml:space="preserve"> (South Atlantic EEZ)</w:t>
      </w:r>
      <w:r w:rsidRPr="00A63449">
        <w:rPr>
          <w:rFonts w:ascii="Times New Roman" w:hAnsi="Times New Roman" w:cs="Times New Roman"/>
          <w:color w:val="000000" w:themeColor="text1"/>
          <w:sz w:val="24"/>
          <w:szCs w:val="24"/>
        </w:rPr>
        <w:t xml:space="preserve">, totaling 901 permitted vessels. The number of permitted vessels </w:t>
      </w:r>
      <w:proofErr w:type="gramStart"/>
      <w:r w:rsidRPr="00A63449">
        <w:rPr>
          <w:rFonts w:ascii="Times New Roman" w:hAnsi="Times New Roman" w:cs="Times New Roman"/>
          <w:color w:val="000000" w:themeColor="text1"/>
          <w:sz w:val="24"/>
          <w:szCs w:val="24"/>
        </w:rPr>
        <w:t>is assumed</w:t>
      </w:r>
      <w:proofErr w:type="gramEnd"/>
      <w:r w:rsidRPr="00A63449">
        <w:rPr>
          <w:rFonts w:ascii="Times New Roman" w:hAnsi="Times New Roman" w:cs="Times New Roman"/>
          <w:color w:val="000000" w:themeColor="text1"/>
          <w:sz w:val="24"/>
          <w:szCs w:val="24"/>
        </w:rPr>
        <w:t xml:space="preserve"> to also be the total number of respondents (901).</w:t>
      </w:r>
    </w:p>
    <w:p w:rsidRPr="00A63449" w:rsidR="00A02219" w:rsidP="000D644A" w:rsidRDefault="00A02219" w14:paraId="732CCBE0" w14:textId="7659FF2C">
      <w:pPr>
        <w:spacing w:before="120"/>
        <w:ind w:left="360"/>
        <w:rPr>
          <w:rFonts w:ascii="Times New Roman" w:hAnsi="Times New Roman" w:cs="Times New Roman"/>
          <w:color w:val="000000" w:themeColor="text1"/>
          <w:sz w:val="24"/>
          <w:szCs w:val="24"/>
        </w:rPr>
      </w:pPr>
      <w:r w:rsidRPr="00A63449">
        <w:rPr>
          <w:rFonts w:ascii="Times New Roman" w:hAnsi="Times New Roman" w:cs="Times New Roman"/>
          <w:color w:val="000000" w:themeColor="text1"/>
          <w:sz w:val="24"/>
          <w:szCs w:val="24"/>
        </w:rPr>
        <w:t xml:space="preserve">The hourly wage rate </w:t>
      </w:r>
      <w:proofErr w:type="gramStart"/>
      <w:r w:rsidRPr="00A63449">
        <w:rPr>
          <w:rFonts w:ascii="Times New Roman" w:hAnsi="Times New Roman" w:cs="Times New Roman"/>
          <w:color w:val="000000" w:themeColor="text1"/>
          <w:sz w:val="24"/>
          <w:szCs w:val="24"/>
        </w:rPr>
        <w:t>was obtained</w:t>
      </w:r>
      <w:proofErr w:type="gramEnd"/>
      <w:r w:rsidRPr="00A63449">
        <w:rPr>
          <w:rFonts w:ascii="Times New Roman" w:hAnsi="Times New Roman" w:cs="Times New Roman"/>
          <w:color w:val="000000" w:themeColor="text1"/>
          <w:sz w:val="24"/>
          <w:szCs w:val="24"/>
        </w:rPr>
        <w:t xml:space="preserve"> from </w:t>
      </w:r>
      <w:hyperlink w:tgtFrame="_blank" w:history="1" w:anchor="st" r:id="rId19">
        <w:r w:rsidRPr="00A63449">
          <w:rPr>
            <w:rStyle w:val="Hyperlink"/>
            <w:rFonts w:ascii="Times New Roman" w:hAnsi="Times New Roman" w:cs="Times New Roman"/>
            <w:color w:val="000000" w:themeColor="text1"/>
            <w:sz w:val="24"/>
            <w:szCs w:val="24"/>
            <w:shd w:val="clear" w:color="auto" w:fill="FFFFFF"/>
          </w:rPr>
          <w:t>https://www.bls.gov/oes/current/oes451011.htm#st</w:t>
        </w:r>
      </w:hyperlink>
      <w:r w:rsidRPr="00A63449">
        <w:rPr>
          <w:rFonts w:ascii="Times New Roman" w:hAnsi="Times New Roman" w:cs="Times New Roman"/>
          <w:color w:val="000000" w:themeColor="text1"/>
          <w:sz w:val="24"/>
          <w:szCs w:val="24"/>
        </w:rPr>
        <w:t>.  Note that fishing is lumped with farming and forestry.  BLS does not produce estimates specific to fishing, and certainly not to specific fisheries or sectors thereof. </w:t>
      </w:r>
    </w:p>
    <w:p w:rsidRPr="00A63449" w:rsidR="001559D6" w:rsidP="000D644A" w:rsidRDefault="001559D6" w14:paraId="21CDBE55" w14:textId="77777777">
      <w:pPr>
        <w:spacing w:before="120"/>
        <w:ind w:left="360"/>
        <w:rPr>
          <w:rFonts w:ascii="Times New Roman" w:hAnsi="Times New Roman" w:cs="Times New Roman"/>
          <w:color w:val="000000" w:themeColor="text1"/>
          <w:sz w:val="24"/>
          <w:szCs w:val="24"/>
        </w:rPr>
      </w:pPr>
    </w:p>
    <w:p w:rsidRPr="00A63449" w:rsidR="00474497" w:rsidP="000D644A" w:rsidRDefault="00474497" w14:paraId="4F94A999" w14:textId="6AF4B696">
      <w:pPr>
        <w:spacing w:before="120"/>
        <w:ind w:left="360"/>
        <w:rPr>
          <w:rFonts w:ascii="Times New Roman" w:hAnsi="Times New Roman" w:cs="Times New Roman"/>
          <w:color w:val="000000" w:themeColor="text1"/>
          <w:sz w:val="24"/>
          <w:szCs w:val="24"/>
          <w:u w:val="single"/>
        </w:rPr>
      </w:pPr>
      <w:r w:rsidRPr="00A63449">
        <w:rPr>
          <w:rFonts w:ascii="Times New Roman" w:hAnsi="Times New Roman" w:cs="Times New Roman"/>
          <w:color w:val="000000" w:themeColor="text1"/>
          <w:sz w:val="24"/>
          <w:szCs w:val="24"/>
          <w:u w:val="single"/>
        </w:rPr>
        <w:t>Annual Maintenance</w:t>
      </w:r>
    </w:p>
    <w:p w:rsidRPr="00A63449" w:rsidR="001559D6" w:rsidP="000D644A" w:rsidRDefault="001559D6" w14:paraId="6D0B8124" w14:textId="75761F1E">
      <w:pPr>
        <w:spacing w:before="120"/>
        <w:ind w:left="360"/>
        <w:rPr>
          <w:rFonts w:ascii="Times New Roman" w:hAnsi="Times New Roman" w:cs="Times New Roman"/>
          <w:color w:val="000000" w:themeColor="text1"/>
          <w:sz w:val="24"/>
          <w:szCs w:val="24"/>
        </w:rPr>
      </w:pPr>
      <w:r w:rsidRPr="00A63449">
        <w:rPr>
          <w:rFonts w:ascii="Times New Roman" w:hAnsi="Times New Roman" w:cs="Times New Roman"/>
          <w:color w:val="000000" w:themeColor="text1"/>
          <w:sz w:val="24"/>
          <w:szCs w:val="24"/>
        </w:rPr>
        <w:t xml:space="preserve">The owners and operators of up to 901 vessels </w:t>
      </w:r>
      <w:proofErr w:type="gramStart"/>
      <w:r w:rsidRPr="00A63449">
        <w:rPr>
          <w:rFonts w:ascii="Times New Roman" w:hAnsi="Times New Roman" w:cs="Times New Roman"/>
          <w:color w:val="000000" w:themeColor="text1"/>
          <w:sz w:val="24"/>
          <w:szCs w:val="24"/>
        </w:rPr>
        <w:t>will be affected</w:t>
      </w:r>
      <w:proofErr w:type="gramEnd"/>
      <w:r w:rsidRPr="00A63449">
        <w:rPr>
          <w:rFonts w:ascii="Times New Roman" w:hAnsi="Times New Roman" w:cs="Times New Roman"/>
          <w:color w:val="000000" w:themeColor="text1"/>
          <w:sz w:val="24"/>
          <w:szCs w:val="24"/>
        </w:rPr>
        <w:t xml:space="preserve"> by this information collection, and NMFS estimates that all of these vessels would have the burden of up to 2 hours for annual maintenance to their VMS. NMFS estimates a time burden of 1,802 hours for maintenance annually.</w:t>
      </w:r>
    </w:p>
    <w:p w:rsidRPr="00A63449" w:rsidR="001559D6" w:rsidP="000D644A" w:rsidRDefault="001559D6" w14:paraId="6D66401B" w14:textId="77777777">
      <w:pPr>
        <w:spacing w:before="120"/>
        <w:ind w:left="360"/>
        <w:rPr>
          <w:rFonts w:ascii="Times New Roman" w:hAnsi="Times New Roman" w:cs="Times New Roman"/>
          <w:color w:val="000000" w:themeColor="text1"/>
          <w:sz w:val="24"/>
          <w:szCs w:val="24"/>
        </w:rPr>
      </w:pPr>
    </w:p>
    <w:p w:rsidRPr="00A63449" w:rsidR="00474497" w:rsidP="000D644A" w:rsidRDefault="00474497" w14:paraId="7915985C" w14:textId="6B503AA4">
      <w:pPr>
        <w:spacing w:before="120"/>
        <w:ind w:left="360"/>
        <w:rPr>
          <w:rFonts w:ascii="Times New Roman" w:hAnsi="Times New Roman" w:cs="Times New Roman"/>
          <w:color w:val="000000" w:themeColor="text1"/>
          <w:sz w:val="24"/>
          <w:szCs w:val="24"/>
          <w:u w:val="single"/>
        </w:rPr>
      </w:pPr>
      <w:r w:rsidRPr="00A63449">
        <w:rPr>
          <w:rFonts w:ascii="Times New Roman" w:hAnsi="Times New Roman" w:cs="Times New Roman"/>
          <w:color w:val="000000" w:themeColor="text1"/>
          <w:sz w:val="24"/>
          <w:szCs w:val="24"/>
          <w:u w:val="single"/>
        </w:rPr>
        <w:t xml:space="preserve">Power </w:t>
      </w:r>
      <w:proofErr w:type="gramStart"/>
      <w:r w:rsidRPr="00A63449">
        <w:rPr>
          <w:rFonts w:ascii="Times New Roman" w:hAnsi="Times New Roman" w:cs="Times New Roman"/>
          <w:color w:val="000000" w:themeColor="text1"/>
          <w:sz w:val="24"/>
          <w:szCs w:val="24"/>
          <w:u w:val="single"/>
        </w:rPr>
        <w:t>Down</w:t>
      </w:r>
      <w:proofErr w:type="gramEnd"/>
      <w:r w:rsidRPr="00A63449">
        <w:rPr>
          <w:rFonts w:ascii="Times New Roman" w:hAnsi="Times New Roman" w:cs="Times New Roman"/>
          <w:color w:val="000000" w:themeColor="text1"/>
          <w:sz w:val="24"/>
          <w:szCs w:val="24"/>
          <w:u w:val="single"/>
        </w:rPr>
        <w:t xml:space="preserve"> Exemption Requests</w:t>
      </w:r>
    </w:p>
    <w:p w:rsidRPr="00A63449" w:rsidR="001559D6" w:rsidP="000D644A" w:rsidRDefault="001559D6" w14:paraId="06B639BB" w14:textId="6F6B9E27">
      <w:pPr>
        <w:spacing w:before="120"/>
        <w:ind w:left="360"/>
        <w:rPr>
          <w:rFonts w:ascii="Times New Roman" w:hAnsi="Times New Roman" w:cs="Times New Roman"/>
          <w:color w:val="000000" w:themeColor="text1"/>
          <w:sz w:val="24"/>
          <w:szCs w:val="24"/>
        </w:rPr>
      </w:pPr>
      <w:r w:rsidRPr="00A63449">
        <w:rPr>
          <w:rFonts w:ascii="Times New Roman" w:hAnsi="Times New Roman" w:cs="Times New Roman"/>
          <w:color w:val="000000" w:themeColor="text1"/>
          <w:sz w:val="24"/>
          <w:szCs w:val="24"/>
        </w:rPr>
        <w:t xml:space="preserve">In addition, NMFS estimates that approximately 150 VMS power-down exemption requests </w:t>
      </w:r>
      <w:proofErr w:type="gramStart"/>
      <w:r w:rsidRPr="00A63449">
        <w:rPr>
          <w:rFonts w:ascii="Times New Roman" w:hAnsi="Times New Roman" w:cs="Times New Roman"/>
          <w:color w:val="000000" w:themeColor="text1"/>
          <w:sz w:val="24"/>
          <w:szCs w:val="24"/>
        </w:rPr>
        <w:t>will be made</w:t>
      </w:r>
      <w:proofErr w:type="gramEnd"/>
      <w:r w:rsidRPr="00A63449">
        <w:rPr>
          <w:rFonts w:ascii="Times New Roman" w:hAnsi="Times New Roman" w:cs="Times New Roman"/>
          <w:color w:val="000000" w:themeColor="text1"/>
          <w:sz w:val="24"/>
          <w:szCs w:val="24"/>
        </w:rPr>
        <w:t xml:space="preserve"> annually by owners and operators of Gulf reef fish vessels, which will require 5 minutes of burden time per response. This estimate </w:t>
      </w:r>
      <w:proofErr w:type="gramStart"/>
      <w:r w:rsidRPr="00A63449">
        <w:rPr>
          <w:rFonts w:ascii="Times New Roman" w:hAnsi="Times New Roman" w:cs="Times New Roman"/>
          <w:color w:val="000000" w:themeColor="text1"/>
          <w:sz w:val="24"/>
          <w:szCs w:val="24"/>
        </w:rPr>
        <w:t>is based</w:t>
      </w:r>
      <w:proofErr w:type="gramEnd"/>
      <w:r w:rsidRPr="00A63449">
        <w:rPr>
          <w:rFonts w:ascii="Times New Roman" w:hAnsi="Times New Roman" w:cs="Times New Roman"/>
          <w:color w:val="000000" w:themeColor="text1"/>
          <w:sz w:val="24"/>
          <w:szCs w:val="24"/>
        </w:rPr>
        <w:t xml:space="preserve"> on the number of power-down requests made in calendar year 2021, with the context of increased programmatic outreach about the importance or power-down exemption requests.  The VMS power-down exemption is not available to South Atlantic rock shrimp </w:t>
      </w:r>
      <w:proofErr w:type="gramStart"/>
      <w:r w:rsidRPr="00A63449">
        <w:rPr>
          <w:rFonts w:ascii="Times New Roman" w:hAnsi="Times New Roman" w:cs="Times New Roman"/>
          <w:color w:val="000000" w:themeColor="text1"/>
          <w:sz w:val="24"/>
          <w:szCs w:val="24"/>
        </w:rPr>
        <w:t>fishermen</w:t>
      </w:r>
      <w:proofErr w:type="gramEnd"/>
      <w:r w:rsidRPr="00A63449">
        <w:rPr>
          <w:rFonts w:ascii="Times New Roman" w:hAnsi="Times New Roman" w:cs="Times New Roman"/>
          <w:color w:val="000000" w:themeColor="text1"/>
          <w:sz w:val="24"/>
          <w:szCs w:val="24"/>
        </w:rPr>
        <w:t xml:space="preserve">. The annual total time burden to request VMS power-down exemptions </w:t>
      </w:r>
      <w:proofErr w:type="gramStart"/>
      <w:r w:rsidRPr="00A63449">
        <w:rPr>
          <w:rFonts w:ascii="Times New Roman" w:hAnsi="Times New Roman" w:cs="Times New Roman"/>
          <w:color w:val="000000" w:themeColor="text1"/>
          <w:sz w:val="24"/>
          <w:szCs w:val="24"/>
        </w:rPr>
        <w:t>is estimated</w:t>
      </w:r>
      <w:proofErr w:type="gramEnd"/>
      <w:r w:rsidRPr="00A63449">
        <w:rPr>
          <w:rFonts w:ascii="Times New Roman" w:hAnsi="Times New Roman" w:cs="Times New Roman"/>
          <w:color w:val="000000" w:themeColor="text1"/>
          <w:sz w:val="24"/>
          <w:szCs w:val="24"/>
        </w:rPr>
        <w:t xml:space="preserve"> </w:t>
      </w:r>
      <w:r w:rsidRPr="00A63449" w:rsidR="00573F05">
        <w:rPr>
          <w:rFonts w:ascii="Times New Roman" w:hAnsi="Times New Roman" w:cs="Times New Roman"/>
          <w:color w:val="000000" w:themeColor="text1"/>
          <w:sz w:val="24"/>
          <w:szCs w:val="24"/>
        </w:rPr>
        <w:t>to be</w:t>
      </w:r>
      <w:r w:rsidRPr="00A63449">
        <w:rPr>
          <w:rFonts w:ascii="Times New Roman" w:hAnsi="Times New Roman" w:cs="Times New Roman"/>
          <w:color w:val="000000" w:themeColor="text1"/>
          <w:sz w:val="24"/>
          <w:szCs w:val="24"/>
        </w:rPr>
        <w:t xml:space="preserve"> approximately 12.5 hours.</w:t>
      </w:r>
    </w:p>
    <w:p w:rsidRPr="00A63449" w:rsidR="001559D6" w:rsidP="000D644A" w:rsidRDefault="001559D6" w14:paraId="17D18065" w14:textId="77777777">
      <w:pPr>
        <w:spacing w:before="120"/>
        <w:ind w:left="360"/>
        <w:rPr>
          <w:rFonts w:ascii="Times New Roman" w:hAnsi="Times New Roman" w:cs="Times New Roman"/>
          <w:color w:val="000000" w:themeColor="text1"/>
          <w:sz w:val="24"/>
          <w:szCs w:val="24"/>
        </w:rPr>
      </w:pPr>
    </w:p>
    <w:p w:rsidRPr="00A63449" w:rsidR="00474497" w:rsidP="000D644A" w:rsidRDefault="00474497" w14:paraId="562606CC" w14:textId="77777777">
      <w:pPr>
        <w:spacing w:before="120"/>
        <w:ind w:left="360"/>
        <w:rPr>
          <w:rFonts w:ascii="Times New Roman" w:hAnsi="Times New Roman" w:cs="Times New Roman"/>
          <w:color w:val="000000" w:themeColor="text1"/>
          <w:sz w:val="24"/>
          <w:szCs w:val="24"/>
          <w:u w:val="single"/>
        </w:rPr>
      </w:pPr>
      <w:r w:rsidRPr="00A63449">
        <w:rPr>
          <w:rFonts w:ascii="Times New Roman" w:hAnsi="Times New Roman" w:cs="Times New Roman"/>
          <w:color w:val="000000" w:themeColor="text1"/>
          <w:sz w:val="24"/>
          <w:szCs w:val="24"/>
          <w:u w:val="single"/>
        </w:rPr>
        <w:t>Trip Declarations</w:t>
      </w:r>
    </w:p>
    <w:p w:rsidRPr="00A63449" w:rsidR="001559D6" w:rsidP="000D644A" w:rsidRDefault="001559D6" w14:paraId="5B3764C7" w14:textId="531A93C8">
      <w:pPr>
        <w:spacing w:before="120"/>
        <w:ind w:left="360"/>
        <w:rPr>
          <w:rFonts w:ascii="Times New Roman" w:hAnsi="Times New Roman" w:cs="Times New Roman"/>
          <w:color w:val="000000" w:themeColor="text1"/>
          <w:sz w:val="24"/>
          <w:szCs w:val="24"/>
        </w:rPr>
      </w:pPr>
      <w:r w:rsidRPr="00A63449">
        <w:rPr>
          <w:rFonts w:ascii="Times New Roman" w:hAnsi="Times New Roman" w:cs="Times New Roman"/>
          <w:color w:val="000000" w:themeColor="text1"/>
          <w:sz w:val="24"/>
          <w:szCs w:val="24"/>
        </w:rPr>
        <w:t xml:space="preserve">Owners and operators of vessels with Gulf reef fish permits are required to notify NMFS at the beginning and end of trips. </w:t>
      </w:r>
      <w:r w:rsidRPr="00A63449" w:rsidR="00A72AB6">
        <w:rPr>
          <w:rFonts w:ascii="Times New Roman" w:hAnsi="Times New Roman" w:cs="Times New Roman"/>
          <w:color w:val="000000" w:themeColor="text1"/>
          <w:sz w:val="24"/>
          <w:szCs w:val="24"/>
        </w:rPr>
        <w:t xml:space="preserve">In </w:t>
      </w:r>
      <w:proofErr w:type="gramStart"/>
      <w:r w:rsidRPr="00A63449" w:rsidR="00A72AB6">
        <w:rPr>
          <w:rFonts w:ascii="Times New Roman" w:hAnsi="Times New Roman" w:cs="Times New Roman"/>
          <w:color w:val="000000" w:themeColor="text1"/>
          <w:sz w:val="24"/>
          <w:szCs w:val="24"/>
        </w:rPr>
        <w:t>2021</w:t>
      </w:r>
      <w:proofErr w:type="gramEnd"/>
      <w:r w:rsidRPr="00A63449" w:rsidR="00A72AB6">
        <w:rPr>
          <w:rFonts w:ascii="Times New Roman" w:hAnsi="Times New Roman" w:cs="Times New Roman"/>
          <w:color w:val="000000" w:themeColor="text1"/>
          <w:sz w:val="24"/>
          <w:szCs w:val="24"/>
        </w:rPr>
        <w:t xml:space="preserve"> vessels that submitted Trip Declarations submitted an average of 16 declarations. </w:t>
      </w:r>
      <w:r w:rsidRPr="00A63449">
        <w:rPr>
          <w:rFonts w:ascii="Times New Roman" w:hAnsi="Times New Roman" w:cs="Times New Roman"/>
          <w:color w:val="000000" w:themeColor="text1"/>
          <w:sz w:val="24"/>
          <w:szCs w:val="24"/>
        </w:rPr>
        <w:t xml:space="preserve">NMFS estimates that approximately </w:t>
      </w:r>
      <w:r w:rsidRPr="00A63449" w:rsidR="00A72AB6">
        <w:rPr>
          <w:rFonts w:ascii="Times New Roman" w:hAnsi="Times New Roman" w:cs="Times New Roman"/>
          <w:color w:val="000000" w:themeColor="text1"/>
          <w:sz w:val="24"/>
          <w:szCs w:val="24"/>
        </w:rPr>
        <w:t>13,184</w:t>
      </w:r>
      <w:r w:rsidRPr="00A63449">
        <w:rPr>
          <w:rFonts w:ascii="Times New Roman" w:hAnsi="Times New Roman" w:cs="Times New Roman"/>
          <w:color w:val="000000" w:themeColor="text1"/>
          <w:sz w:val="24"/>
          <w:szCs w:val="24"/>
        </w:rPr>
        <w:t xml:space="preserve"> trip </w:t>
      </w:r>
      <w:r w:rsidRPr="00A63449" w:rsidR="00A72AB6">
        <w:rPr>
          <w:rFonts w:ascii="Times New Roman" w:hAnsi="Times New Roman" w:cs="Times New Roman"/>
          <w:color w:val="000000" w:themeColor="text1"/>
          <w:sz w:val="24"/>
          <w:szCs w:val="24"/>
        </w:rPr>
        <w:t>declarations</w:t>
      </w:r>
      <w:r w:rsidRPr="00A63449">
        <w:rPr>
          <w:rFonts w:ascii="Times New Roman" w:hAnsi="Times New Roman" w:cs="Times New Roman"/>
          <w:color w:val="000000" w:themeColor="text1"/>
          <w:sz w:val="24"/>
          <w:szCs w:val="24"/>
        </w:rPr>
        <w:t xml:space="preserve"> using the VMS unit </w:t>
      </w:r>
      <w:proofErr w:type="gramStart"/>
      <w:r w:rsidRPr="00A63449" w:rsidR="00A72AB6">
        <w:rPr>
          <w:rFonts w:ascii="Times New Roman" w:hAnsi="Times New Roman" w:cs="Times New Roman"/>
          <w:color w:val="000000" w:themeColor="text1"/>
          <w:sz w:val="24"/>
          <w:szCs w:val="24"/>
        </w:rPr>
        <w:t xml:space="preserve">will </w:t>
      </w:r>
      <w:r w:rsidRPr="00A63449">
        <w:rPr>
          <w:rFonts w:ascii="Times New Roman" w:hAnsi="Times New Roman" w:cs="Times New Roman"/>
          <w:color w:val="000000" w:themeColor="text1"/>
          <w:sz w:val="24"/>
          <w:szCs w:val="24"/>
        </w:rPr>
        <w:t>be made</w:t>
      </w:r>
      <w:proofErr w:type="gramEnd"/>
      <w:r w:rsidRPr="00A63449">
        <w:rPr>
          <w:rFonts w:ascii="Times New Roman" w:hAnsi="Times New Roman" w:cs="Times New Roman"/>
          <w:color w:val="000000" w:themeColor="text1"/>
          <w:sz w:val="24"/>
          <w:szCs w:val="24"/>
        </w:rPr>
        <w:t xml:space="preserve"> annually by 8</w:t>
      </w:r>
      <w:r w:rsidRPr="00A63449" w:rsidR="003367D8">
        <w:rPr>
          <w:rFonts w:ascii="Times New Roman" w:hAnsi="Times New Roman" w:cs="Times New Roman"/>
          <w:color w:val="000000" w:themeColor="text1"/>
          <w:sz w:val="24"/>
          <w:szCs w:val="24"/>
        </w:rPr>
        <w:t>24</w:t>
      </w:r>
      <w:r w:rsidRPr="00A63449">
        <w:rPr>
          <w:rFonts w:ascii="Times New Roman" w:hAnsi="Times New Roman" w:cs="Times New Roman"/>
          <w:color w:val="000000" w:themeColor="text1"/>
          <w:sz w:val="24"/>
          <w:szCs w:val="24"/>
        </w:rPr>
        <w:t xml:space="preserve"> vessels with Gulf reef fish permits. NMFS estimates that each trip </w:t>
      </w:r>
      <w:r w:rsidRPr="00A63449" w:rsidR="00A72AB6">
        <w:rPr>
          <w:rFonts w:ascii="Times New Roman" w:hAnsi="Times New Roman" w:cs="Times New Roman"/>
          <w:color w:val="000000" w:themeColor="text1"/>
          <w:sz w:val="24"/>
          <w:szCs w:val="24"/>
        </w:rPr>
        <w:t>declaration</w:t>
      </w:r>
      <w:r w:rsidRPr="00A63449">
        <w:rPr>
          <w:rFonts w:ascii="Times New Roman" w:hAnsi="Times New Roman" w:cs="Times New Roman"/>
          <w:color w:val="000000" w:themeColor="text1"/>
          <w:sz w:val="24"/>
          <w:szCs w:val="24"/>
        </w:rPr>
        <w:t xml:space="preserve"> results in a burden of 1 minute to report fishing activity for vessels in the Gulf reef fish fishery. Therefore, the total burden time for trip </w:t>
      </w:r>
      <w:r w:rsidRPr="00A63449" w:rsidR="00A72AB6">
        <w:rPr>
          <w:rFonts w:ascii="Times New Roman" w:hAnsi="Times New Roman" w:cs="Times New Roman"/>
          <w:color w:val="000000" w:themeColor="text1"/>
          <w:sz w:val="24"/>
          <w:szCs w:val="24"/>
        </w:rPr>
        <w:t>declarations</w:t>
      </w:r>
      <w:r w:rsidRPr="00A63449">
        <w:rPr>
          <w:rFonts w:ascii="Times New Roman" w:hAnsi="Times New Roman" w:cs="Times New Roman"/>
          <w:color w:val="000000" w:themeColor="text1"/>
          <w:sz w:val="24"/>
          <w:szCs w:val="24"/>
        </w:rPr>
        <w:t xml:space="preserve"> </w:t>
      </w:r>
      <w:proofErr w:type="gramStart"/>
      <w:r w:rsidRPr="00A63449">
        <w:rPr>
          <w:rFonts w:ascii="Times New Roman" w:hAnsi="Times New Roman" w:cs="Times New Roman"/>
          <w:color w:val="000000" w:themeColor="text1"/>
          <w:sz w:val="24"/>
          <w:szCs w:val="24"/>
        </w:rPr>
        <w:t>is estimated</w:t>
      </w:r>
      <w:proofErr w:type="gramEnd"/>
      <w:r w:rsidRPr="00A63449">
        <w:rPr>
          <w:rFonts w:ascii="Times New Roman" w:hAnsi="Times New Roman" w:cs="Times New Roman"/>
          <w:color w:val="000000" w:themeColor="text1"/>
          <w:sz w:val="24"/>
          <w:szCs w:val="24"/>
        </w:rPr>
        <w:t xml:space="preserve"> </w:t>
      </w:r>
      <w:r w:rsidRPr="00A63449" w:rsidR="00573F05">
        <w:rPr>
          <w:rFonts w:ascii="Times New Roman" w:hAnsi="Times New Roman" w:cs="Times New Roman"/>
          <w:color w:val="000000" w:themeColor="text1"/>
          <w:sz w:val="24"/>
          <w:szCs w:val="24"/>
        </w:rPr>
        <w:t xml:space="preserve">to be </w:t>
      </w:r>
      <w:r w:rsidRPr="00A63449" w:rsidR="00A72AB6">
        <w:rPr>
          <w:rFonts w:ascii="Times New Roman" w:hAnsi="Times New Roman" w:cs="Times New Roman"/>
          <w:color w:val="000000" w:themeColor="text1"/>
          <w:sz w:val="24"/>
          <w:szCs w:val="24"/>
        </w:rPr>
        <w:t>219.7</w:t>
      </w:r>
      <w:r w:rsidRPr="00A63449">
        <w:rPr>
          <w:rFonts w:ascii="Times New Roman" w:hAnsi="Times New Roman" w:cs="Times New Roman"/>
          <w:color w:val="000000" w:themeColor="text1"/>
          <w:sz w:val="24"/>
          <w:szCs w:val="24"/>
        </w:rPr>
        <w:t xml:space="preserve"> hours annually. NMFS does not require trip notifications by owners and operators of South Atlantic rock shrimp vessels.</w:t>
      </w:r>
    </w:p>
    <w:p w:rsidRPr="00A63449" w:rsidR="001559D6" w:rsidP="000D644A" w:rsidRDefault="001559D6" w14:paraId="77220812" w14:textId="77777777">
      <w:pPr>
        <w:spacing w:before="120"/>
        <w:ind w:left="360"/>
        <w:rPr>
          <w:rFonts w:ascii="Times New Roman" w:hAnsi="Times New Roman" w:cs="Times New Roman"/>
          <w:color w:val="000000" w:themeColor="text1"/>
          <w:sz w:val="24"/>
          <w:szCs w:val="24"/>
        </w:rPr>
      </w:pPr>
    </w:p>
    <w:p w:rsidRPr="00A63449" w:rsidR="00474497" w:rsidP="000D644A" w:rsidRDefault="00474497" w14:paraId="50ABA135" w14:textId="6344337F">
      <w:pPr>
        <w:spacing w:before="120"/>
        <w:ind w:left="360"/>
        <w:rPr>
          <w:rFonts w:ascii="Times New Roman" w:hAnsi="Times New Roman" w:cs="Times New Roman"/>
          <w:color w:val="000000" w:themeColor="text1"/>
          <w:sz w:val="24"/>
          <w:szCs w:val="24"/>
          <w:u w:val="single"/>
        </w:rPr>
      </w:pPr>
      <w:r w:rsidRPr="00A63449">
        <w:rPr>
          <w:rFonts w:ascii="Times New Roman" w:hAnsi="Times New Roman" w:cs="Times New Roman"/>
          <w:color w:val="000000" w:themeColor="text1"/>
          <w:sz w:val="24"/>
          <w:szCs w:val="24"/>
          <w:u w:val="single"/>
        </w:rPr>
        <w:t>Installation and Activation Certification and checklists</w:t>
      </w:r>
    </w:p>
    <w:p w:rsidRPr="00A63449" w:rsidR="00993986" w:rsidP="000D644A" w:rsidRDefault="00260C70" w14:paraId="29E8FF6E" w14:textId="1C4C0D55">
      <w:pPr>
        <w:spacing w:before="120"/>
        <w:ind w:left="360"/>
        <w:rPr>
          <w:rFonts w:ascii="Times New Roman" w:hAnsi="Times New Roman" w:cs="Times New Roman"/>
          <w:color w:val="000000" w:themeColor="text1"/>
          <w:sz w:val="24"/>
          <w:szCs w:val="24"/>
        </w:rPr>
      </w:pPr>
      <w:r w:rsidRPr="00A63449">
        <w:rPr>
          <w:rFonts w:ascii="Times New Roman" w:hAnsi="Times New Roman" w:cs="Times New Roman"/>
          <w:color w:val="000000" w:themeColor="text1"/>
          <w:sz w:val="24"/>
          <w:szCs w:val="24"/>
        </w:rPr>
        <w:t>Gulf of Mexico Reef Fish and South Atlantic rock shrimp fisheries are in a limited entry program, which means that NMFS does not issue any new permits. New entrants in the fishery must obtain a permit from an existing permit holder, and transfer it to their vessel</w:t>
      </w:r>
      <w:r w:rsidRPr="00A63449" w:rsidR="00573F05">
        <w:rPr>
          <w:rFonts w:ascii="Times New Roman" w:hAnsi="Times New Roman" w:cs="Times New Roman"/>
          <w:color w:val="000000" w:themeColor="text1"/>
          <w:sz w:val="24"/>
          <w:szCs w:val="24"/>
        </w:rPr>
        <w:t>. These transfers fall into two categories</w:t>
      </w:r>
      <w:proofErr w:type="gramStart"/>
      <w:r w:rsidRPr="00A63449" w:rsidR="00573F05">
        <w:rPr>
          <w:rFonts w:ascii="Times New Roman" w:hAnsi="Times New Roman" w:cs="Times New Roman"/>
          <w:color w:val="000000" w:themeColor="text1"/>
          <w:sz w:val="24"/>
          <w:szCs w:val="24"/>
        </w:rPr>
        <w:t>;</w:t>
      </w:r>
      <w:proofErr w:type="gramEnd"/>
      <w:r w:rsidRPr="00A63449" w:rsidR="00573F05">
        <w:rPr>
          <w:rFonts w:ascii="Times New Roman" w:hAnsi="Times New Roman" w:cs="Times New Roman"/>
          <w:color w:val="000000" w:themeColor="text1"/>
          <w:sz w:val="24"/>
          <w:szCs w:val="24"/>
        </w:rPr>
        <w:t xml:space="preserve"> transfer of a permit from one vessel to another vessel, and transfer of a permit to a new owner of the same vessel.  For both types of transfer, </w:t>
      </w:r>
      <w:r w:rsidRPr="00A63449" w:rsidR="00F761E7">
        <w:rPr>
          <w:rFonts w:ascii="Times New Roman" w:hAnsi="Times New Roman" w:cs="Times New Roman"/>
          <w:color w:val="000000" w:themeColor="text1"/>
          <w:sz w:val="24"/>
          <w:szCs w:val="24"/>
        </w:rPr>
        <w:t xml:space="preserve">the </w:t>
      </w:r>
      <w:r w:rsidRPr="00A63449">
        <w:rPr>
          <w:rFonts w:ascii="Times New Roman" w:hAnsi="Times New Roman" w:cs="Times New Roman"/>
          <w:color w:val="000000" w:themeColor="text1"/>
          <w:sz w:val="24"/>
          <w:szCs w:val="24"/>
        </w:rPr>
        <w:t xml:space="preserve">owner of the </w:t>
      </w:r>
      <w:r w:rsidRPr="00A63449" w:rsidR="00F761E7">
        <w:rPr>
          <w:rFonts w:ascii="Times New Roman" w:hAnsi="Times New Roman" w:cs="Times New Roman"/>
          <w:color w:val="000000" w:themeColor="text1"/>
          <w:sz w:val="24"/>
          <w:szCs w:val="24"/>
        </w:rPr>
        <w:t xml:space="preserve">vessel receiving </w:t>
      </w:r>
      <w:r w:rsidRPr="00A63449" w:rsidR="00573F05">
        <w:rPr>
          <w:rFonts w:ascii="Times New Roman" w:hAnsi="Times New Roman" w:cs="Times New Roman"/>
          <w:color w:val="000000" w:themeColor="text1"/>
          <w:sz w:val="24"/>
          <w:szCs w:val="24"/>
        </w:rPr>
        <w:t xml:space="preserve">a Gulf of Mexico Reef fish and/or South Atlantic rock shrimp permit </w:t>
      </w:r>
      <w:r w:rsidRPr="00A63449" w:rsidR="00F761E7">
        <w:rPr>
          <w:rFonts w:ascii="Times New Roman" w:hAnsi="Times New Roman" w:cs="Times New Roman"/>
          <w:color w:val="000000" w:themeColor="text1"/>
          <w:sz w:val="24"/>
          <w:szCs w:val="24"/>
        </w:rPr>
        <w:t xml:space="preserve">must </w:t>
      </w:r>
      <w:r w:rsidRPr="00A63449" w:rsidR="00573F05">
        <w:rPr>
          <w:rFonts w:ascii="Times New Roman" w:hAnsi="Times New Roman" w:cs="Times New Roman"/>
          <w:color w:val="000000" w:themeColor="text1"/>
          <w:sz w:val="24"/>
          <w:szCs w:val="24"/>
        </w:rPr>
        <w:t>submit</w:t>
      </w:r>
      <w:r w:rsidRPr="00A63449">
        <w:rPr>
          <w:rFonts w:ascii="Times New Roman" w:hAnsi="Times New Roman" w:cs="Times New Roman"/>
          <w:color w:val="000000" w:themeColor="text1"/>
          <w:sz w:val="24"/>
          <w:szCs w:val="24"/>
        </w:rPr>
        <w:t xml:space="preserve"> </w:t>
      </w:r>
      <w:r w:rsidRPr="00A63449" w:rsidR="00A359E5">
        <w:rPr>
          <w:rFonts w:ascii="Times New Roman" w:hAnsi="Times New Roman" w:cs="Times New Roman"/>
          <w:color w:val="000000" w:themeColor="text1"/>
          <w:sz w:val="24"/>
          <w:szCs w:val="24"/>
        </w:rPr>
        <w:t>a</w:t>
      </w:r>
      <w:r w:rsidRPr="00A63449" w:rsidR="00234A9F">
        <w:rPr>
          <w:rFonts w:ascii="Times New Roman" w:hAnsi="Times New Roman" w:cs="Times New Roman"/>
          <w:color w:val="000000" w:themeColor="text1"/>
          <w:sz w:val="24"/>
          <w:szCs w:val="24"/>
        </w:rPr>
        <w:t xml:space="preserve"> VMS Installation and Activation Certification checklist for the applicable </w:t>
      </w:r>
      <w:r w:rsidRPr="00A63449" w:rsidR="00F761E7">
        <w:rPr>
          <w:rFonts w:ascii="Times New Roman" w:hAnsi="Times New Roman" w:cs="Times New Roman"/>
          <w:color w:val="000000" w:themeColor="text1"/>
          <w:sz w:val="24"/>
          <w:szCs w:val="24"/>
        </w:rPr>
        <w:t>fishery</w:t>
      </w:r>
      <w:r w:rsidRPr="00A63449" w:rsidR="00573F05">
        <w:rPr>
          <w:rFonts w:ascii="Times New Roman" w:hAnsi="Times New Roman" w:cs="Times New Roman"/>
          <w:color w:val="000000" w:themeColor="text1"/>
          <w:sz w:val="24"/>
          <w:szCs w:val="24"/>
        </w:rPr>
        <w:t>, and the VMS unit must be properly registered and activated with an approved communications provider for the VMS unit</w:t>
      </w:r>
      <w:r w:rsidRPr="00A63449" w:rsidR="00234A9F">
        <w:rPr>
          <w:rFonts w:ascii="Times New Roman" w:hAnsi="Times New Roman" w:cs="Times New Roman"/>
          <w:color w:val="000000" w:themeColor="text1"/>
          <w:sz w:val="24"/>
          <w:szCs w:val="24"/>
        </w:rPr>
        <w:t xml:space="preserve">.  </w:t>
      </w:r>
      <w:r w:rsidRPr="00A63449" w:rsidR="001559D6">
        <w:rPr>
          <w:rFonts w:ascii="Times New Roman" w:hAnsi="Times New Roman" w:cs="Times New Roman"/>
          <w:color w:val="000000" w:themeColor="text1"/>
          <w:sz w:val="24"/>
          <w:szCs w:val="24"/>
        </w:rPr>
        <w:t xml:space="preserve">Additionally, </w:t>
      </w:r>
      <w:r w:rsidRPr="00A63449" w:rsidR="00234A9F">
        <w:rPr>
          <w:rFonts w:ascii="Times New Roman" w:hAnsi="Times New Roman" w:cs="Times New Roman"/>
          <w:color w:val="000000" w:themeColor="text1"/>
          <w:sz w:val="24"/>
          <w:szCs w:val="24"/>
        </w:rPr>
        <w:t xml:space="preserve">if the </w:t>
      </w:r>
      <w:r w:rsidRPr="00A63449" w:rsidR="00573F05">
        <w:rPr>
          <w:rFonts w:ascii="Times New Roman" w:hAnsi="Times New Roman" w:cs="Times New Roman"/>
          <w:color w:val="000000" w:themeColor="text1"/>
          <w:sz w:val="24"/>
          <w:szCs w:val="24"/>
        </w:rPr>
        <w:t xml:space="preserve">permit it transferred to a new vessel that </w:t>
      </w:r>
      <w:r w:rsidRPr="00A63449" w:rsidR="00234A9F">
        <w:rPr>
          <w:rFonts w:ascii="Times New Roman" w:hAnsi="Times New Roman" w:cs="Times New Roman"/>
          <w:color w:val="000000" w:themeColor="text1"/>
          <w:sz w:val="24"/>
          <w:szCs w:val="24"/>
        </w:rPr>
        <w:t xml:space="preserve">does not already have a VMS unit installed, </w:t>
      </w:r>
      <w:r w:rsidRPr="00A63449" w:rsidR="001559D6">
        <w:rPr>
          <w:rFonts w:ascii="Times New Roman" w:hAnsi="Times New Roman" w:cs="Times New Roman"/>
          <w:color w:val="000000" w:themeColor="text1"/>
          <w:sz w:val="24"/>
          <w:szCs w:val="24"/>
        </w:rPr>
        <w:t xml:space="preserve">a qualified marine electrician must install </w:t>
      </w:r>
      <w:r w:rsidRPr="00A63449" w:rsidR="00A359E5">
        <w:rPr>
          <w:rFonts w:ascii="Times New Roman" w:hAnsi="Times New Roman" w:cs="Times New Roman"/>
          <w:color w:val="000000" w:themeColor="text1"/>
          <w:sz w:val="24"/>
          <w:szCs w:val="24"/>
        </w:rPr>
        <w:t xml:space="preserve">a </w:t>
      </w:r>
      <w:r w:rsidRPr="00A63449" w:rsidR="00F761E7">
        <w:rPr>
          <w:rFonts w:ascii="Times New Roman" w:hAnsi="Times New Roman" w:cs="Times New Roman"/>
          <w:color w:val="000000" w:themeColor="text1"/>
          <w:sz w:val="24"/>
          <w:szCs w:val="24"/>
        </w:rPr>
        <w:t>VMS unit</w:t>
      </w:r>
      <w:r w:rsidRPr="00A63449" w:rsidR="00234A9F">
        <w:rPr>
          <w:rFonts w:ascii="Times New Roman" w:hAnsi="Times New Roman" w:cs="Times New Roman"/>
          <w:color w:val="000000" w:themeColor="text1"/>
          <w:sz w:val="24"/>
          <w:szCs w:val="24"/>
        </w:rPr>
        <w:t xml:space="preserve"> on the vessel</w:t>
      </w:r>
      <w:r w:rsidRPr="00A63449" w:rsidR="001559D6">
        <w:rPr>
          <w:rFonts w:ascii="Times New Roman" w:hAnsi="Times New Roman" w:cs="Times New Roman"/>
          <w:color w:val="000000" w:themeColor="text1"/>
          <w:sz w:val="24"/>
          <w:szCs w:val="24"/>
        </w:rPr>
        <w:t>.</w:t>
      </w:r>
    </w:p>
    <w:p w:rsidRPr="00A63449" w:rsidR="00527657" w:rsidP="000D644A" w:rsidRDefault="00527657" w14:paraId="2CA8411C" w14:textId="77777777">
      <w:pPr>
        <w:spacing w:before="120"/>
        <w:ind w:left="360"/>
        <w:rPr>
          <w:rFonts w:ascii="Times New Roman" w:hAnsi="Times New Roman" w:cs="Times New Roman"/>
          <w:color w:val="000000" w:themeColor="text1"/>
          <w:sz w:val="24"/>
          <w:szCs w:val="24"/>
        </w:rPr>
      </w:pPr>
    </w:p>
    <w:p w:rsidRPr="00A63449" w:rsidR="00993986" w:rsidP="001559D6" w:rsidRDefault="00993986" w14:paraId="4A93CBAA" w14:textId="77777777">
      <w:pPr>
        <w:contextualSpacing/>
        <w:rPr>
          <w:rFonts w:ascii="Times New Roman" w:hAnsi="Times New Roman" w:cs="Times New Roman"/>
          <w:color w:val="000000" w:themeColor="text1"/>
          <w:sz w:val="24"/>
          <w:szCs w:val="24"/>
        </w:rPr>
      </w:pPr>
    </w:p>
    <w:tbl>
      <w:tblPr>
        <w:tblW w:w="4500" w:type="dxa"/>
        <w:tblInd w:w="450" w:type="dxa"/>
        <w:tblLook w:val="04A0" w:firstRow="1" w:lastRow="0" w:firstColumn="1" w:lastColumn="0" w:noHBand="0" w:noVBand="1"/>
      </w:tblPr>
      <w:tblGrid>
        <w:gridCol w:w="2430"/>
        <w:gridCol w:w="900"/>
        <w:gridCol w:w="1170"/>
      </w:tblGrid>
      <w:tr w:rsidRPr="00A63449" w:rsidR="00F761E7" w:rsidTr="00527657" w14:paraId="51EE41F2" w14:textId="77777777">
        <w:trPr>
          <w:trHeight w:val="300"/>
        </w:trPr>
        <w:tc>
          <w:tcPr>
            <w:tcW w:w="2430" w:type="dxa"/>
            <w:tcBorders>
              <w:top w:val="nil"/>
              <w:left w:val="nil"/>
              <w:bottom w:val="single" w:color="9BC2E6" w:sz="4" w:space="0"/>
              <w:right w:val="nil"/>
            </w:tcBorders>
            <w:shd w:val="clear" w:color="DDEBF7" w:fill="DDEBF7"/>
            <w:noWrap/>
            <w:vAlign w:val="bottom"/>
          </w:tcPr>
          <w:p w:rsidRPr="00A63449" w:rsidR="00F761E7" w:rsidP="00527657" w:rsidRDefault="00F761E7" w14:paraId="4D64649F" w14:textId="77777777">
            <w:pPr>
              <w:widowControl/>
              <w:autoSpaceDE/>
              <w:autoSpaceDN/>
              <w:ind w:left="248" w:hanging="270"/>
              <w:rPr>
                <w:rFonts w:ascii="Times New Roman" w:hAnsi="Times New Roman" w:eastAsia="Times New Roman" w:cs="Times New Roman"/>
                <w:b/>
                <w:bCs/>
                <w:color w:val="000000" w:themeColor="text1"/>
                <w:sz w:val="24"/>
                <w:szCs w:val="24"/>
                <w:lang w:bidi="ar-SA"/>
              </w:rPr>
            </w:pPr>
            <w:r w:rsidRPr="00A63449">
              <w:rPr>
                <w:rFonts w:ascii="Times New Roman" w:hAnsi="Times New Roman" w:eastAsia="Times New Roman" w:cs="Times New Roman"/>
                <w:b/>
                <w:bCs/>
                <w:color w:val="000000" w:themeColor="text1"/>
                <w:sz w:val="24"/>
                <w:szCs w:val="24"/>
                <w:lang w:bidi="ar-SA"/>
              </w:rPr>
              <w:t>Transfer types</w:t>
            </w:r>
          </w:p>
        </w:tc>
        <w:tc>
          <w:tcPr>
            <w:tcW w:w="900" w:type="dxa"/>
            <w:tcBorders>
              <w:top w:val="nil"/>
              <w:left w:val="nil"/>
              <w:bottom w:val="single" w:color="9BC2E6" w:sz="4" w:space="0"/>
              <w:right w:val="nil"/>
            </w:tcBorders>
            <w:shd w:val="clear" w:color="DDEBF7" w:fill="DDEBF7"/>
            <w:noWrap/>
            <w:vAlign w:val="bottom"/>
          </w:tcPr>
          <w:p w:rsidRPr="00A63449" w:rsidR="00F761E7" w:rsidP="00A02219" w:rsidRDefault="00F761E7" w14:paraId="1F75038D" w14:textId="77777777">
            <w:pPr>
              <w:widowControl/>
              <w:autoSpaceDE/>
              <w:autoSpaceDN/>
              <w:jc w:val="right"/>
              <w:rPr>
                <w:rFonts w:ascii="Times New Roman" w:hAnsi="Times New Roman" w:eastAsia="Times New Roman" w:cs="Times New Roman"/>
                <w:b/>
                <w:bCs/>
                <w:color w:val="000000" w:themeColor="text1"/>
                <w:sz w:val="24"/>
                <w:szCs w:val="24"/>
                <w:lang w:bidi="ar-SA"/>
              </w:rPr>
            </w:pPr>
            <w:r w:rsidRPr="00A63449">
              <w:rPr>
                <w:rFonts w:ascii="Times New Roman" w:hAnsi="Times New Roman" w:eastAsia="Times New Roman" w:cs="Times New Roman"/>
                <w:b/>
                <w:bCs/>
                <w:color w:val="000000" w:themeColor="text1"/>
                <w:sz w:val="24"/>
                <w:szCs w:val="24"/>
                <w:lang w:bidi="ar-SA"/>
              </w:rPr>
              <w:t>2020</w:t>
            </w:r>
          </w:p>
        </w:tc>
        <w:tc>
          <w:tcPr>
            <w:tcW w:w="1170" w:type="dxa"/>
            <w:tcBorders>
              <w:top w:val="nil"/>
              <w:left w:val="nil"/>
              <w:bottom w:val="single" w:color="9BC2E6" w:sz="4" w:space="0"/>
              <w:right w:val="nil"/>
            </w:tcBorders>
            <w:shd w:val="clear" w:color="DDEBF7" w:fill="DDEBF7"/>
            <w:noWrap/>
            <w:vAlign w:val="bottom"/>
          </w:tcPr>
          <w:p w:rsidRPr="00A63449" w:rsidR="00F761E7" w:rsidP="00A02219" w:rsidRDefault="00F761E7" w14:paraId="6715FF41" w14:textId="77777777">
            <w:pPr>
              <w:widowControl/>
              <w:autoSpaceDE/>
              <w:autoSpaceDN/>
              <w:jc w:val="right"/>
              <w:rPr>
                <w:rFonts w:ascii="Times New Roman" w:hAnsi="Times New Roman" w:eastAsia="Times New Roman" w:cs="Times New Roman"/>
                <w:b/>
                <w:bCs/>
                <w:color w:val="000000" w:themeColor="text1"/>
                <w:sz w:val="24"/>
                <w:szCs w:val="24"/>
                <w:lang w:bidi="ar-SA"/>
              </w:rPr>
            </w:pPr>
            <w:r w:rsidRPr="00A63449">
              <w:rPr>
                <w:rFonts w:ascii="Times New Roman" w:hAnsi="Times New Roman" w:eastAsia="Times New Roman" w:cs="Times New Roman"/>
                <w:b/>
                <w:bCs/>
                <w:color w:val="000000" w:themeColor="text1"/>
                <w:sz w:val="24"/>
                <w:szCs w:val="24"/>
                <w:lang w:bidi="ar-SA"/>
              </w:rPr>
              <w:t>2021</w:t>
            </w:r>
          </w:p>
        </w:tc>
      </w:tr>
      <w:tr w:rsidRPr="00A63449" w:rsidR="00F761E7" w:rsidTr="00527657" w14:paraId="5CAAD44D" w14:textId="77777777">
        <w:trPr>
          <w:trHeight w:val="300"/>
        </w:trPr>
        <w:tc>
          <w:tcPr>
            <w:tcW w:w="2430" w:type="dxa"/>
            <w:tcBorders>
              <w:top w:val="nil"/>
              <w:left w:val="nil"/>
              <w:bottom w:val="single" w:color="9BC2E6" w:sz="4" w:space="0"/>
              <w:right w:val="nil"/>
            </w:tcBorders>
            <w:shd w:val="clear" w:color="auto" w:fill="auto"/>
            <w:noWrap/>
            <w:vAlign w:val="bottom"/>
            <w:hideMark/>
          </w:tcPr>
          <w:p w:rsidRPr="00A63449" w:rsidR="00F761E7" w:rsidP="00A02219" w:rsidRDefault="00F761E7" w14:paraId="3C64B8E1" w14:textId="77777777">
            <w:pPr>
              <w:widowControl/>
              <w:autoSpaceDE/>
              <w:autoSpaceDN/>
              <w:rPr>
                <w:rFonts w:ascii="Times New Roman" w:hAnsi="Times New Roman" w:eastAsia="Times New Roman" w:cs="Times New Roman"/>
                <w:b/>
                <w:bCs/>
                <w:color w:val="000000" w:themeColor="text1"/>
                <w:sz w:val="24"/>
                <w:szCs w:val="24"/>
                <w:lang w:bidi="ar-SA"/>
              </w:rPr>
            </w:pPr>
            <w:r w:rsidRPr="00A63449">
              <w:rPr>
                <w:rFonts w:ascii="Times New Roman" w:hAnsi="Times New Roman" w:eastAsia="Times New Roman" w:cs="Times New Roman"/>
                <w:b/>
                <w:bCs/>
                <w:color w:val="000000" w:themeColor="text1"/>
                <w:sz w:val="24"/>
                <w:szCs w:val="24"/>
                <w:lang w:bidi="ar-SA"/>
              </w:rPr>
              <w:t>New Vessel</w:t>
            </w:r>
          </w:p>
        </w:tc>
        <w:tc>
          <w:tcPr>
            <w:tcW w:w="900" w:type="dxa"/>
            <w:tcBorders>
              <w:top w:val="nil"/>
              <w:left w:val="nil"/>
              <w:bottom w:val="single" w:color="9BC2E6" w:sz="4" w:space="0"/>
              <w:right w:val="nil"/>
            </w:tcBorders>
            <w:shd w:val="clear" w:color="auto" w:fill="auto"/>
            <w:noWrap/>
            <w:vAlign w:val="bottom"/>
            <w:hideMark/>
          </w:tcPr>
          <w:p w:rsidRPr="00A63449" w:rsidR="00F761E7" w:rsidP="00A02219" w:rsidRDefault="00F761E7" w14:paraId="7F157304" w14:textId="77777777">
            <w:pPr>
              <w:widowControl/>
              <w:autoSpaceDE/>
              <w:autoSpaceDN/>
              <w:jc w:val="right"/>
              <w:rPr>
                <w:rFonts w:ascii="Times New Roman" w:hAnsi="Times New Roman" w:eastAsia="Times New Roman" w:cs="Times New Roman"/>
                <w:b/>
                <w:bCs/>
                <w:color w:val="000000" w:themeColor="text1"/>
                <w:sz w:val="24"/>
                <w:szCs w:val="24"/>
                <w:lang w:bidi="ar-SA"/>
              </w:rPr>
            </w:pPr>
            <w:r w:rsidRPr="00A63449">
              <w:rPr>
                <w:rFonts w:ascii="Times New Roman" w:hAnsi="Times New Roman" w:eastAsia="Times New Roman" w:cs="Times New Roman"/>
                <w:b/>
                <w:bCs/>
                <w:color w:val="000000" w:themeColor="text1"/>
                <w:sz w:val="24"/>
                <w:szCs w:val="24"/>
                <w:lang w:bidi="ar-SA"/>
              </w:rPr>
              <w:t>102</w:t>
            </w:r>
          </w:p>
        </w:tc>
        <w:tc>
          <w:tcPr>
            <w:tcW w:w="1170" w:type="dxa"/>
            <w:tcBorders>
              <w:top w:val="nil"/>
              <w:left w:val="nil"/>
              <w:bottom w:val="single" w:color="9BC2E6" w:sz="4" w:space="0"/>
              <w:right w:val="nil"/>
            </w:tcBorders>
            <w:shd w:val="clear" w:color="auto" w:fill="auto"/>
            <w:noWrap/>
            <w:vAlign w:val="bottom"/>
            <w:hideMark/>
          </w:tcPr>
          <w:p w:rsidRPr="00A63449" w:rsidR="00F761E7" w:rsidP="00A02219" w:rsidRDefault="00F761E7" w14:paraId="74EA5424" w14:textId="77777777">
            <w:pPr>
              <w:widowControl/>
              <w:autoSpaceDE/>
              <w:autoSpaceDN/>
              <w:jc w:val="right"/>
              <w:rPr>
                <w:rFonts w:ascii="Times New Roman" w:hAnsi="Times New Roman" w:eastAsia="Times New Roman" w:cs="Times New Roman"/>
                <w:b/>
                <w:bCs/>
                <w:color w:val="000000" w:themeColor="text1"/>
                <w:sz w:val="24"/>
                <w:szCs w:val="24"/>
                <w:lang w:bidi="ar-SA"/>
              </w:rPr>
            </w:pPr>
            <w:r w:rsidRPr="00A63449">
              <w:rPr>
                <w:rFonts w:ascii="Times New Roman" w:hAnsi="Times New Roman" w:eastAsia="Times New Roman" w:cs="Times New Roman"/>
                <w:b/>
                <w:bCs/>
                <w:color w:val="000000" w:themeColor="text1"/>
                <w:sz w:val="24"/>
                <w:szCs w:val="24"/>
                <w:lang w:bidi="ar-SA"/>
              </w:rPr>
              <w:t>116</w:t>
            </w:r>
          </w:p>
        </w:tc>
      </w:tr>
      <w:tr w:rsidRPr="00A63449" w:rsidR="00F761E7" w:rsidTr="00527657" w14:paraId="5C197B5D" w14:textId="77777777">
        <w:trPr>
          <w:trHeight w:val="300"/>
        </w:trPr>
        <w:tc>
          <w:tcPr>
            <w:tcW w:w="2430" w:type="dxa"/>
            <w:tcBorders>
              <w:top w:val="nil"/>
              <w:left w:val="nil"/>
              <w:bottom w:val="nil"/>
              <w:right w:val="nil"/>
            </w:tcBorders>
            <w:shd w:val="clear" w:color="auto" w:fill="auto"/>
            <w:noWrap/>
            <w:vAlign w:val="bottom"/>
            <w:hideMark/>
          </w:tcPr>
          <w:p w:rsidRPr="00A63449" w:rsidR="00F761E7" w:rsidP="00A02219" w:rsidRDefault="00F761E7" w14:paraId="209F651E" w14:textId="77777777">
            <w:pPr>
              <w:widowControl/>
              <w:autoSpaceDE/>
              <w:autoSpaceDN/>
              <w:ind w:firstLine="240" w:firstLineChars="100"/>
              <w:rPr>
                <w:rFonts w:ascii="Times New Roman" w:hAnsi="Times New Roman" w:eastAsia="Times New Roman" w:cs="Times New Roman"/>
                <w:color w:val="000000" w:themeColor="text1"/>
                <w:sz w:val="24"/>
                <w:szCs w:val="24"/>
                <w:lang w:bidi="ar-SA"/>
              </w:rPr>
            </w:pPr>
            <w:r w:rsidRPr="00A63449">
              <w:rPr>
                <w:rFonts w:ascii="Times New Roman" w:hAnsi="Times New Roman" w:eastAsia="Times New Roman" w:cs="Times New Roman"/>
                <w:color w:val="000000" w:themeColor="text1"/>
                <w:sz w:val="24"/>
                <w:szCs w:val="24"/>
                <w:lang w:bidi="ar-SA"/>
              </w:rPr>
              <w:t>Gulf Reef</w:t>
            </w:r>
          </w:p>
        </w:tc>
        <w:tc>
          <w:tcPr>
            <w:tcW w:w="900" w:type="dxa"/>
            <w:tcBorders>
              <w:top w:val="nil"/>
              <w:left w:val="nil"/>
              <w:bottom w:val="nil"/>
              <w:right w:val="nil"/>
            </w:tcBorders>
            <w:shd w:val="clear" w:color="auto" w:fill="auto"/>
            <w:noWrap/>
            <w:vAlign w:val="bottom"/>
            <w:hideMark/>
          </w:tcPr>
          <w:p w:rsidRPr="00A63449" w:rsidR="00F761E7" w:rsidP="00A02219" w:rsidRDefault="00F761E7" w14:paraId="1DF6ECE4" w14:textId="77777777">
            <w:pPr>
              <w:widowControl/>
              <w:autoSpaceDE/>
              <w:autoSpaceDN/>
              <w:jc w:val="right"/>
              <w:rPr>
                <w:rFonts w:ascii="Times New Roman" w:hAnsi="Times New Roman" w:eastAsia="Times New Roman" w:cs="Times New Roman"/>
                <w:color w:val="000000" w:themeColor="text1"/>
                <w:sz w:val="24"/>
                <w:szCs w:val="24"/>
                <w:lang w:bidi="ar-SA"/>
              </w:rPr>
            </w:pPr>
            <w:r w:rsidRPr="00A63449">
              <w:rPr>
                <w:rFonts w:ascii="Times New Roman" w:hAnsi="Times New Roman" w:eastAsia="Times New Roman" w:cs="Times New Roman"/>
                <w:color w:val="000000" w:themeColor="text1"/>
                <w:sz w:val="24"/>
                <w:szCs w:val="24"/>
                <w:lang w:bidi="ar-SA"/>
              </w:rPr>
              <w:t>97</w:t>
            </w:r>
          </w:p>
        </w:tc>
        <w:tc>
          <w:tcPr>
            <w:tcW w:w="1170" w:type="dxa"/>
            <w:tcBorders>
              <w:top w:val="nil"/>
              <w:left w:val="nil"/>
              <w:bottom w:val="nil"/>
              <w:right w:val="nil"/>
            </w:tcBorders>
            <w:shd w:val="clear" w:color="auto" w:fill="auto"/>
            <w:noWrap/>
            <w:vAlign w:val="bottom"/>
            <w:hideMark/>
          </w:tcPr>
          <w:p w:rsidRPr="00A63449" w:rsidR="00F761E7" w:rsidP="00A02219" w:rsidRDefault="00F761E7" w14:paraId="24EABB20" w14:textId="77777777">
            <w:pPr>
              <w:widowControl/>
              <w:autoSpaceDE/>
              <w:autoSpaceDN/>
              <w:jc w:val="right"/>
              <w:rPr>
                <w:rFonts w:ascii="Times New Roman" w:hAnsi="Times New Roman" w:eastAsia="Times New Roman" w:cs="Times New Roman"/>
                <w:color w:val="000000" w:themeColor="text1"/>
                <w:sz w:val="24"/>
                <w:szCs w:val="24"/>
                <w:lang w:bidi="ar-SA"/>
              </w:rPr>
            </w:pPr>
            <w:r w:rsidRPr="00A63449">
              <w:rPr>
                <w:rFonts w:ascii="Times New Roman" w:hAnsi="Times New Roman" w:eastAsia="Times New Roman" w:cs="Times New Roman"/>
                <w:color w:val="000000" w:themeColor="text1"/>
                <w:sz w:val="24"/>
                <w:szCs w:val="24"/>
                <w:lang w:bidi="ar-SA"/>
              </w:rPr>
              <w:t>111</w:t>
            </w:r>
          </w:p>
        </w:tc>
      </w:tr>
      <w:tr w:rsidRPr="00A63449" w:rsidR="00F761E7" w:rsidTr="00527657" w14:paraId="61D8903C" w14:textId="77777777">
        <w:trPr>
          <w:trHeight w:val="300"/>
        </w:trPr>
        <w:tc>
          <w:tcPr>
            <w:tcW w:w="2430" w:type="dxa"/>
            <w:tcBorders>
              <w:top w:val="nil"/>
              <w:left w:val="nil"/>
              <w:bottom w:val="nil"/>
              <w:right w:val="nil"/>
            </w:tcBorders>
            <w:shd w:val="clear" w:color="auto" w:fill="auto"/>
            <w:noWrap/>
            <w:vAlign w:val="bottom"/>
            <w:hideMark/>
          </w:tcPr>
          <w:p w:rsidRPr="00A63449" w:rsidR="00F761E7" w:rsidP="00527657" w:rsidRDefault="00F761E7" w14:paraId="589E763A" w14:textId="3ABD6DC4">
            <w:pPr>
              <w:widowControl/>
              <w:autoSpaceDE/>
              <w:autoSpaceDN/>
              <w:ind w:firstLine="240" w:firstLineChars="100"/>
              <w:rPr>
                <w:rFonts w:ascii="Times New Roman" w:hAnsi="Times New Roman" w:eastAsia="Times New Roman" w:cs="Times New Roman"/>
                <w:color w:val="000000" w:themeColor="text1"/>
                <w:sz w:val="24"/>
                <w:szCs w:val="24"/>
                <w:lang w:bidi="ar-SA"/>
              </w:rPr>
            </w:pPr>
            <w:r w:rsidRPr="00A63449">
              <w:rPr>
                <w:rFonts w:ascii="Times New Roman" w:hAnsi="Times New Roman" w:eastAsia="Times New Roman" w:cs="Times New Roman"/>
                <w:color w:val="000000" w:themeColor="text1"/>
                <w:sz w:val="24"/>
                <w:szCs w:val="24"/>
                <w:lang w:bidi="ar-SA"/>
              </w:rPr>
              <w:lastRenderedPageBreak/>
              <w:t>Rock Shrimp</w:t>
            </w:r>
            <w:r w:rsidRPr="00A63449" w:rsidR="00527657">
              <w:rPr>
                <w:rFonts w:ascii="Times New Roman" w:hAnsi="Times New Roman" w:eastAsia="Times New Roman" w:cs="Times New Roman"/>
                <w:color w:val="000000" w:themeColor="text1"/>
                <w:sz w:val="24"/>
                <w:szCs w:val="24"/>
                <w:lang w:bidi="ar-SA"/>
              </w:rPr>
              <w:t xml:space="preserve"> </w:t>
            </w:r>
          </w:p>
        </w:tc>
        <w:tc>
          <w:tcPr>
            <w:tcW w:w="900" w:type="dxa"/>
            <w:tcBorders>
              <w:top w:val="nil"/>
              <w:left w:val="nil"/>
              <w:bottom w:val="nil"/>
              <w:right w:val="nil"/>
            </w:tcBorders>
            <w:shd w:val="clear" w:color="auto" w:fill="auto"/>
            <w:noWrap/>
            <w:vAlign w:val="bottom"/>
            <w:hideMark/>
          </w:tcPr>
          <w:p w:rsidRPr="00A63449" w:rsidR="00F761E7" w:rsidP="00A02219" w:rsidRDefault="00F761E7" w14:paraId="522A67EF" w14:textId="77777777">
            <w:pPr>
              <w:widowControl/>
              <w:autoSpaceDE/>
              <w:autoSpaceDN/>
              <w:jc w:val="right"/>
              <w:rPr>
                <w:rFonts w:ascii="Times New Roman" w:hAnsi="Times New Roman" w:eastAsia="Times New Roman" w:cs="Times New Roman"/>
                <w:color w:val="000000" w:themeColor="text1"/>
                <w:sz w:val="24"/>
                <w:szCs w:val="24"/>
                <w:lang w:bidi="ar-SA"/>
              </w:rPr>
            </w:pPr>
            <w:r w:rsidRPr="00A63449">
              <w:rPr>
                <w:rFonts w:ascii="Times New Roman" w:hAnsi="Times New Roman" w:eastAsia="Times New Roman" w:cs="Times New Roman"/>
                <w:color w:val="000000" w:themeColor="text1"/>
                <w:sz w:val="24"/>
                <w:szCs w:val="24"/>
                <w:lang w:bidi="ar-SA"/>
              </w:rPr>
              <w:t>5</w:t>
            </w:r>
          </w:p>
        </w:tc>
        <w:tc>
          <w:tcPr>
            <w:tcW w:w="1170" w:type="dxa"/>
            <w:tcBorders>
              <w:top w:val="nil"/>
              <w:left w:val="nil"/>
              <w:bottom w:val="nil"/>
              <w:right w:val="nil"/>
            </w:tcBorders>
            <w:shd w:val="clear" w:color="auto" w:fill="auto"/>
            <w:noWrap/>
            <w:vAlign w:val="bottom"/>
            <w:hideMark/>
          </w:tcPr>
          <w:p w:rsidRPr="00A63449" w:rsidR="00F761E7" w:rsidP="00A02219" w:rsidRDefault="00F761E7" w14:paraId="3FE225FF" w14:textId="77777777">
            <w:pPr>
              <w:widowControl/>
              <w:autoSpaceDE/>
              <w:autoSpaceDN/>
              <w:jc w:val="right"/>
              <w:rPr>
                <w:rFonts w:ascii="Times New Roman" w:hAnsi="Times New Roman" w:eastAsia="Times New Roman" w:cs="Times New Roman"/>
                <w:color w:val="000000" w:themeColor="text1"/>
                <w:sz w:val="24"/>
                <w:szCs w:val="24"/>
                <w:lang w:bidi="ar-SA"/>
              </w:rPr>
            </w:pPr>
            <w:r w:rsidRPr="00A63449">
              <w:rPr>
                <w:rFonts w:ascii="Times New Roman" w:hAnsi="Times New Roman" w:eastAsia="Times New Roman" w:cs="Times New Roman"/>
                <w:color w:val="000000" w:themeColor="text1"/>
                <w:sz w:val="24"/>
                <w:szCs w:val="24"/>
                <w:lang w:bidi="ar-SA"/>
              </w:rPr>
              <w:t>5</w:t>
            </w:r>
          </w:p>
        </w:tc>
      </w:tr>
      <w:tr w:rsidRPr="00A63449" w:rsidR="00F761E7" w:rsidTr="00527657" w14:paraId="1433D4FF" w14:textId="77777777">
        <w:trPr>
          <w:trHeight w:val="300"/>
        </w:trPr>
        <w:tc>
          <w:tcPr>
            <w:tcW w:w="2430" w:type="dxa"/>
            <w:tcBorders>
              <w:top w:val="nil"/>
              <w:left w:val="nil"/>
              <w:bottom w:val="single" w:color="9BC2E6" w:sz="4" w:space="0"/>
              <w:right w:val="nil"/>
            </w:tcBorders>
            <w:shd w:val="clear" w:color="auto" w:fill="auto"/>
            <w:noWrap/>
            <w:vAlign w:val="bottom"/>
            <w:hideMark/>
          </w:tcPr>
          <w:p w:rsidRPr="00A63449" w:rsidR="00F761E7" w:rsidP="00A02219" w:rsidRDefault="00F761E7" w14:paraId="4C223D84" w14:textId="77777777">
            <w:pPr>
              <w:widowControl/>
              <w:autoSpaceDE/>
              <w:autoSpaceDN/>
              <w:rPr>
                <w:rFonts w:ascii="Times New Roman" w:hAnsi="Times New Roman" w:eastAsia="Times New Roman" w:cs="Times New Roman"/>
                <w:b/>
                <w:bCs/>
                <w:color w:val="000000" w:themeColor="text1"/>
                <w:sz w:val="24"/>
                <w:szCs w:val="24"/>
                <w:lang w:bidi="ar-SA"/>
              </w:rPr>
            </w:pPr>
            <w:r w:rsidRPr="00A63449">
              <w:rPr>
                <w:rFonts w:ascii="Times New Roman" w:hAnsi="Times New Roman" w:eastAsia="Times New Roman" w:cs="Times New Roman"/>
                <w:b/>
                <w:bCs/>
                <w:color w:val="000000" w:themeColor="text1"/>
                <w:sz w:val="24"/>
                <w:szCs w:val="24"/>
                <w:lang w:bidi="ar-SA"/>
              </w:rPr>
              <w:t>Same Vessel</w:t>
            </w:r>
          </w:p>
        </w:tc>
        <w:tc>
          <w:tcPr>
            <w:tcW w:w="900" w:type="dxa"/>
            <w:tcBorders>
              <w:top w:val="nil"/>
              <w:left w:val="nil"/>
              <w:bottom w:val="single" w:color="9BC2E6" w:sz="4" w:space="0"/>
              <w:right w:val="nil"/>
            </w:tcBorders>
            <w:shd w:val="clear" w:color="auto" w:fill="auto"/>
            <w:noWrap/>
            <w:vAlign w:val="bottom"/>
            <w:hideMark/>
          </w:tcPr>
          <w:p w:rsidRPr="00A63449" w:rsidR="00F761E7" w:rsidP="00A02219" w:rsidRDefault="00F761E7" w14:paraId="589EC41F" w14:textId="77777777">
            <w:pPr>
              <w:widowControl/>
              <w:autoSpaceDE/>
              <w:autoSpaceDN/>
              <w:jc w:val="right"/>
              <w:rPr>
                <w:rFonts w:ascii="Times New Roman" w:hAnsi="Times New Roman" w:eastAsia="Times New Roman" w:cs="Times New Roman"/>
                <w:b/>
                <w:bCs/>
                <w:color w:val="000000" w:themeColor="text1"/>
                <w:sz w:val="24"/>
                <w:szCs w:val="24"/>
                <w:lang w:bidi="ar-SA"/>
              </w:rPr>
            </w:pPr>
            <w:r w:rsidRPr="00A63449">
              <w:rPr>
                <w:rFonts w:ascii="Times New Roman" w:hAnsi="Times New Roman" w:eastAsia="Times New Roman" w:cs="Times New Roman"/>
                <w:b/>
                <w:bCs/>
                <w:color w:val="000000" w:themeColor="text1"/>
                <w:sz w:val="24"/>
                <w:szCs w:val="24"/>
                <w:lang w:bidi="ar-SA"/>
              </w:rPr>
              <w:t>35</w:t>
            </w:r>
          </w:p>
        </w:tc>
        <w:tc>
          <w:tcPr>
            <w:tcW w:w="1170" w:type="dxa"/>
            <w:tcBorders>
              <w:top w:val="nil"/>
              <w:left w:val="nil"/>
              <w:bottom w:val="single" w:color="9BC2E6" w:sz="4" w:space="0"/>
              <w:right w:val="nil"/>
            </w:tcBorders>
            <w:shd w:val="clear" w:color="auto" w:fill="auto"/>
            <w:noWrap/>
            <w:vAlign w:val="bottom"/>
            <w:hideMark/>
          </w:tcPr>
          <w:p w:rsidRPr="00A63449" w:rsidR="00F761E7" w:rsidP="00A02219" w:rsidRDefault="00F761E7" w14:paraId="5DD6CAED" w14:textId="77777777">
            <w:pPr>
              <w:widowControl/>
              <w:autoSpaceDE/>
              <w:autoSpaceDN/>
              <w:jc w:val="right"/>
              <w:rPr>
                <w:rFonts w:ascii="Times New Roman" w:hAnsi="Times New Roman" w:eastAsia="Times New Roman" w:cs="Times New Roman"/>
                <w:b/>
                <w:bCs/>
                <w:color w:val="000000" w:themeColor="text1"/>
                <w:sz w:val="24"/>
                <w:szCs w:val="24"/>
                <w:lang w:bidi="ar-SA"/>
              </w:rPr>
            </w:pPr>
            <w:r w:rsidRPr="00A63449">
              <w:rPr>
                <w:rFonts w:ascii="Times New Roman" w:hAnsi="Times New Roman" w:eastAsia="Times New Roman" w:cs="Times New Roman"/>
                <w:b/>
                <w:bCs/>
                <w:color w:val="000000" w:themeColor="text1"/>
                <w:sz w:val="24"/>
                <w:szCs w:val="24"/>
                <w:lang w:bidi="ar-SA"/>
              </w:rPr>
              <w:t>32</w:t>
            </w:r>
          </w:p>
        </w:tc>
      </w:tr>
      <w:tr w:rsidRPr="00A63449" w:rsidR="00F761E7" w:rsidTr="00527657" w14:paraId="2D59F853" w14:textId="77777777">
        <w:trPr>
          <w:trHeight w:val="300"/>
        </w:trPr>
        <w:tc>
          <w:tcPr>
            <w:tcW w:w="2430" w:type="dxa"/>
            <w:tcBorders>
              <w:top w:val="nil"/>
              <w:left w:val="nil"/>
              <w:bottom w:val="nil"/>
              <w:right w:val="nil"/>
            </w:tcBorders>
            <w:shd w:val="clear" w:color="auto" w:fill="auto"/>
            <w:noWrap/>
            <w:vAlign w:val="bottom"/>
            <w:hideMark/>
          </w:tcPr>
          <w:p w:rsidRPr="00A63449" w:rsidR="00F761E7" w:rsidP="00A02219" w:rsidRDefault="00F761E7" w14:paraId="237EE785" w14:textId="77777777">
            <w:pPr>
              <w:widowControl/>
              <w:autoSpaceDE/>
              <w:autoSpaceDN/>
              <w:ind w:firstLine="240" w:firstLineChars="100"/>
              <w:rPr>
                <w:rFonts w:ascii="Times New Roman" w:hAnsi="Times New Roman" w:eastAsia="Times New Roman" w:cs="Times New Roman"/>
                <w:color w:val="000000" w:themeColor="text1"/>
                <w:sz w:val="24"/>
                <w:szCs w:val="24"/>
                <w:lang w:bidi="ar-SA"/>
              </w:rPr>
            </w:pPr>
            <w:r w:rsidRPr="00A63449">
              <w:rPr>
                <w:rFonts w:ascii="Times New Roman" w:hAnsi="Times New Roman" w:eastAsia="Times New Roman" w:cs="Times New Roman"/>
                <w:color w:val="000000" w:themeColor="text1"/>
                <w:sz w:val="24"/>
                <w:szCs w:val="24"/>
                <w:lang w:bidi="ar-SA"/>
              </w:rPr>
              <w:t>Gulf Reef</w:t>
            </w:r>
          </w:p>
        </w:tc>
        <w:tc>
          <w:tcPr>
            <w:tcW w:w="900" w:type="dxa"/>
            <w:tcBorders>
              <w:top w:val="nil"/>
              <w:left w:val="nil"/>
              <w:bottom w:val="nil"/>
              <w:right w:val="nil"/>
            </w:tcBorders>
            <w:shd w:val="clear" w:color="auto" w:fill="auto"/>
            <w:noWrap/>
            <w:vAlign w:val="bottom"/>
            <w:hideMark/>
          </w:tcPr>
          <w:p w:rsidRPr="00A63449" w:rsidR="00F761E7" w:rsidP="00A02219" w:rsidRDefault="00F761E7" w14:paraId="5684AB96" w14:textId="77777777">
            <w:pPr>
              <w:widowControl/>
              <w:autoSpaceDE/>
              <w:autoSpaceDN/>
              <w:jc w:val="right"/>
              <w:rPr>
                <w:rFonts w:ascii="Times New Roman" w:hAnsi="Times New Roman" w:eastAsia="Times New Roman" w:cs="Times New Roman"/>
                <w:color w:val="000000" w:themeColor="text1"/>
                <w:sz w:val="24"/>
                <w:szCs w:val="24"/>
                <w:lang w:bidi="ar-SA"/>
              </w:rPr>
            </w:pPr>
            <w:r w:rsidRPr="00A63449">
              <w:rPr>
                <w:rFonts w:ascii="Times New Roman" w:hAnsi="Times New Roman" w:eastAsia="Times New Roman" w:cs="Times New Roman"/>
                <w:color w:val="000000" w:themeColor="text1"/>
                <w:sz w:val="24"/>
                <w:szCs w:val="24"/>
                <w:lang w:bidi="ar-SA"/>
              </w:rPr>
              <w:t>33</w:t>
            </w:r>
          </w:p>
        </w:tc>
        <w:tc>
          <w:tcPr>
            <w:tcW w:w="1170" w:type="dxa"/>
            <w:tcBorders>
              <w:top w:val="nil"/>
              <w:left w:val="nil"/>
              <w:bottom w:val="nil"/>
              <w:right w:val="nil"/>
            </w:tcBorders>
            <w:shd w:val="clear" w:color="auto" w:fill="auto"/>
            <w:noWrap/>
            <w:vAlign w:val="bottom"/>
            <w:hideMark/>
          </w:tcPr>
          <w:p w:rsidRPr="00A63449" w:rsidR="00F761E7" w:rsidP="00A02219" w:rsidRDefault="00F761E7" w14:paraId="3AB78444" w14:textId="77777777">
            <w:pPr>
              <w:widowControl/>
              <w:autoSpaceDE/>
              <w:autoSpaceDN/>
              <w:jc w:val="right"/>
              <w:rPr>
                <w:rFonts w:ascii="Times New Roman" w:hAnsi="Times New Roman" w:eastAsia="Times New Roman" w:cs="Times New Roman"/>
                <w:color w:val="000000" w:themeColor="text1"/>
                <w:sz w:val="24"/>
                <w:szCs w:val="24"/>
                <w:lang w:bidi="ar-SA"/>
              </w:rPr>
            </w:pPr>
            <w:r w:rsidRPr="00A63449">
              <w:rPr>
                <w:rFonts w:ascii="Times New Roman" w:hAnsi="Times New Roman" w:eastAsia="Times New Roman" w:cs="Times New Roman"/>
                <w:color w:val="000000" w:themeColor="text1"/>
                <w:sz w:val="24"/>
                <w:szCs w:val="24"/>
                <w:lang w:bidi="ar-SA"/>
              </w:rPr>
              <w:t>30</w:t>
            </w:r>
          </w:p>
        </w:tc>
      </w:tr>
      <w:tr w:rsidRPr="00A63449" w:rsidR="00F761E7" w:rsidTr="00527657" w14:paraId="54F6F74B" w14:textId="77777777">
        <w:trPr>
          <w:trHeight w:val="300"/>
        </w:trPr>
        <w:tc>
          <w:tcPr>
            <w:tcW w:w="2430" w:type="dxa"/>
            <w:tcBorders>
              <w:top w:val="nil"/>
              <w:left w:val="nil"/>
              <w:bottom w:val="nil"/>
              <w:right w:val="nil"/>
            </w:tcBorders>
            <w:shd w:val="clear" w:color="auto" w:fill="auto"/>
            <w:noWrap/>
            <w:vAlign w:val="bottom"/>
            <w:hideMark/>
          </w:tcPr>
          <w:p w:rsidRPr="00A63449" w:rsidR="00F761E7" w:rsidP="00527657" w:rsidRDefault="00F761E7" w14:paraId="6F9856E6" w14:textId="574E2880">
            <w:pPr>
              <w:widowControl/>
              <w:autoSpaceDE/>
              <w:autoSpaceDN/>
              <w:ind w:firstLine="240" w:firstLineChars="100"/>
              <w:rPr>
                <w:rFonts w:ascii="Times New Roman" w:hAnsi="Times New Roman" w:eastAsia="Times New Roman" w:cs="Times New Roman"/>
                <w:color w:val="000000" w:themeColor="text1"/>
                <w:sz w:val="24"/>
                <w:szCs w:val="24"/>
                <w:lang w:bidi="ar-SA"/>
              </w:rPr>
            </w:pPr>
            <w:r w:rsidRPr="00A63449">
              <w:rPr>
                <w:rFonts w:ascii="Times New Roman" w:hAnsi="Times New Roman" w:eastAsia="Times New Roman" w:cs="Times New Roman"/>
                <w:color w:val="000000" w:themeColor="text1"/>
                <w:sz w:val="24"/>
                <w:szCs w:val="24"/>
                <w:lang w:bidi="ar-SA"/>
              </w:rPr>
              <w:t>Rock Shrimp</w:t>
            </w:r>
            <w:r w:rsidRPr="00A63449" w:rsidR="00527657">
              <w:rPr>
                <w:rFonts w:ascii="Times New Roman" w:hAnsi="Times New Roman" w:eastAsia="Times New Roman" w:cs="Times New Roman"/>
                <w:color w:val="000000" w:themeColor="text1"/>
                <w:sz w:val="24"/>
                <w:szCs w:val="24"/>
                <w:lang w:bidi="ar-SA"/>
              </w:rPr>
              <w:t xml:space="preserve"> </w:t>
            </w:r>
          </w:p>
        </w:tc>
        <w:tc>
          <w:tcPr>
            <w:tcW w:w="900" w:type="dxa"/>
            <w:tcBorders>
              <w:top w:val="nil"/>
              <w:left w:val="nil"/>
              <w:bottom w:val="nil"/>
              <w:right w:val="nil"/>
            </w:tcBorders>
            <w:shd w:val="clear" w:color="auto" w:fill="auto"/>
            <w:noWrap/>
            <w:vAlign w:val="bottom"/>
            <w:hideMark/>
          </w:tcPr>
          <w:p w:rsidRPr="00A63449" w:rsidR="00F761E7" w:rsidP="00A02219" w:rsidRDefault="00F761E7" w14:paraId="424AB216" w14:textId="77777777">
            <w:pPr>
              <w:widowControl/>
              <w:autoSpaceDE/>
              <w:autoSpaceDN/>
              <w:jc w:val="right"/>
              <w:rPr>
                <w:rFonts w:ascii="Times New Roman" w:hAnsi="Times New Roman" w:eastAsia="Times New Roman" w:cs="Times New Roman"/>
                <w:color w:val="000000" w:themeColor="text1"/>
                <w:sz w:val="24"/>
                <w:szCs w:val="24"/>
                <w:lang w:bidi="ar-SA"/>
              </w:rPr>
            </w:pPr>
            <w:r w:rsidRPr="00A63449">
              <w:rPr>
                <w:rFonts w:ascii="Times New Roman" w:hAnsi="Times New Roman" w:eastAsia="Times New Roman" w:cs="Times New Roman"/>
                <w:color w:val="000000" w:themeColor="text1"/>
                <w:sz w:val="24"/>
                <w:szCs w:val="24"/>
                <w:lang w:bidi="ar-SA"/>
              </w:rPr>
              <w:t>2</w:t>
            </w:r>
          </w:p>
        </w:tc>
        <w:tc>
          <w:tcPr>
            <w:tcW w:w="1170" w:type="dxa"/>
            <w:tcBorders>
              <w:top w:val="nil"/>
              <w:left w:val="nil"/>
              <w:bottom w:val="nil"/>
              <w:right w:val="nil"/>
            </w:tcBorders>
            <w:shd w:val="clear" w:color="auto" w:fill="auto"/>
            <w:noWrap/>
            <w:vAlign w:val="bottom"/>
            <w:hideMark/>
          </w:tcPr>
          <w:p w:rsidRPr="00A63449" w:rsidR="00F761E7" w:rsidP="00A02219" w:rsidRDefault="00F761E7" w14:paraId="469ECBA3" w14:textId="77777777">
            <w:pPr>
              <w:widowControl/>
              <w:autoSpaceDE/>
              <w:autoSpaceDN/>
              <w:jc w:val="right"/>
              <w:rPr>
                <w:rFonts w:ascii="Times New Roman" w:hAnsi="Times New Roman" w:eastAsia="Times New Roman" w:cs="Times New Roman"/>
                <w:color w:val="000000" w:themeColor="text1"/>
                <w:sz w:val="24"/>
                <w:szCs w:val="24"/>
                <w:lang w:bidi="ar-SA"/>
              </w:rPr>
            </w:pPr>
            <w:r w:rsidRPr="00A63449">
              <w:rPr>
                <w:rFonts w:ascii="Times New Roman" w:hAnsi="Times New Roman" w:eastAsia="Times New Roman" w:cs="Times New Roman"/>
                <w:color w:val="000000" w:themeColor="text1"/>
                <w:sz w:val="24"/>
                <w:szCs w:val="24"/>
                <w:lang w:bidi="ar-SA"/>
              </w:rPr>
              <w:t>2</w:t>
            </w:r>
          </w:p>
        </w:tc>
      </w:tr>
      <w:tr w:rsidRPr="00A63449" w:rsidR="00F761E7" w:rsidTr="00527657" w14:paraId="606A266F" w14:textId="77777777">
        <w:trPr>
          <w:trHeight w:val="300"/>
        </w:trPr>
        <w:tc>
          <w:tcPr>
            <w:tcW w:w="2430" w:type="dxa"/>
            <w:tcBorders>
              <w:top w:val="single" w:color="9BC2E6" w:sz="4" w:space="0"/>
              <w:left w:val="nil"/>
              <w:bottom w:val="nil"/>
              <w:right w:val="nil"/>
            </w:tcBorders>
            <w:shd w:val="clear" w:color="DDEBF7" w:fill="DDEBF7"/>
            <w:noWrap/>
            <w:vAlign w:val="bottom"/>
            <w:hideMark/>
          </w:tcPr>
          <w:p w:rsidRPr="00A63449" w:rsidR="00F761E7" w:rsidP="00A02219" w:rsidRDefault="00F761E7" w14:paraId="2179D23D" w14:textId="77777777">
            <w:pPr>
              <w:widowControl/>
              <w:autoSpaceDE/>
              <w:autoSpaceDN/>
              <w:rPr>
                <w:rFonts w:ascii="Times New Roman" w:hAnsi="Times New Roman" w:eastAsia="Times New Roman" w:cs="Times New Roman"/>
                <w:b/>
                <w:bCs/>
                <w:color w:val="000000" w:themeColor="text1"/>
                <w:sz w:val="24"/>
                <w:szCs w:val="24"/>
                <w:lang w:bidi="ar-SA"/>
              </w:rPr>
            </w:pPr>
            <w:r w:rsidRPr="00A63449">
              <w:rPr>
                <w:rFonts w:ascii="Times New Roman" w:hAnsi="Times New Roman" w:eastAsia="Times New Roman" w:cs="Times New Roman"/>
                <w:b/>
                <w:bCs/>
                <w:color w:val="000000" w:themeColor="text1"/>
                <w:sz w:val="24"/>
                <w:szCs w:val="24"/>
                <w:lang w:bidi="ar-SA"/>
              </w:rPr>
              <w:t>Grand Total</w:t>
            </w:r>
          </w:p>
        </w:tc>
        <w:tc>
          <w:tcPr>
            <w:tcW w:w="900" w:type="dxa"/>
            <w:tcBorders>
              <w:top w:val="single" w:color="9BC2E6" w:sz="4" w:space="0"/>
              <w:left w:val="nil"/>
              <w:bottom w:val="nil"/>
              <w:right w:val="nil"/>
            </w:tcBorders>
            <w:shd w:val="clear" w:color="DDEBF7" w:fill="DDEBF7"/>
            <w:noWrap/>
            <w:vAlign w:val="bottom"/>
            <w:hideMark/>
          </w:tcPr>
          <w:p w:rsidRPr="00A63449" w:rsidR="00F761E7" w:rsidP="00A02219" w:rsidRDefault="00F761E7" w14:paraId="59832767" w14:textId="77777777">
            <w:pPr>
              <w:widowControl/>
              <w:autoSpaceDE/>
              <w:autoSpaceDN/>
              <w:jc w:val="right"/>
              <w:rPr>
                <w:rFonts w:ascii="Times New Roman" w:hAnsi="Times New Roman" w:eastAsia="Times New Roman" w:cs="Times New Roman"/>
                <w:b/>
                <w:bCs/>
                <w:color w:val="000000" w:themeColor="text1"/>
                <w:sz w:val="24"/>
                <w:szCs w:val="24"/>
                <w:lang w:bidi="ar-SA"/>
              </w:rPr>
            </w:pPr>
            <w:r w:rsidRPr="00A63449">
              <w:rPr>
                <w:rFonts w:ascii="Times New Roman" w:hAnsi="Times New Roman" w:eastAsia="Times New Roman" w:cs="Times New Roman"/>
                <w:b/>
                <w:bCs/>
                <w:color w:val="000000" w:themeColor="text1"/>
                <w:sz w:val="24"/>
                <w:szCs w:val="24"/>
                <w:lang w:bidi="ar-SA"/>
              </w:rPr>
              <w:t>137</w:t>
            </w:r>
          </w:p>
        </w:tc>
        <w:tc>
          <w:tcPr>
            <w:tcW w:w="1170" w:type="dxa"/>
            <w:tcBorders>
              <w:top w:val="single" w:color="9BC2E6" w:sz="4" w:space="0"/>
              <w:left w:val="nil"/>
              <w:bottom w:val="nil"/>
              <w:right w:val="nil"/>
            </w:tcBorders>
            <w:shd w:val="clear" w:color="DDEBF7" w:fill="DDEBF7"/>
            <w:noWrap/>
            <w:vAlign w:val="bottom"/>
            <w:hideMark/>
          </w:tcPr>
          <w:p w:rsidRPr="00A63449" w:rsidR="00F761E7" w:rsidP="00A02219" w:rsidRDefault="00F761E7" w14:paraId="178B91EE" w14:textId="77777777">
            <w:pPr>
              <w:widowControl/>
              <w:autoSpaceDE/>
              <w:autoSpaceDN/>
              <w:jc w:val="right"/>
              <w:rPr>
                <w:rFonts w:ascii="Times New Roman" w:hAnsi="Times New Roman" w:eastAsia="Times New Roman" w:cs="Times New Roman"/>
                <w:b/>
                <w:bCs/>
                <w:color w:val="000000" w:themeColor="text1"/>
                <w:sz w:val="24"/>
                <w:szCs w:val="24"/>
                <w:lang w:bidi="ar-SA"/>
              </w:rPr>
            </w:pPr>
            <w:r w:rsidRPr="00A63449">
              <w:rPr>
                <w:rFonts w:ascii="Times New Roman" w:hAnsi="Times New Roman" w:eastAsia="Times New Roman" w:cs="Times New Roman"/>
                <w:b/>
                <w:bCs/>
                <w:color w:val="000000" w:themeColor="text1"/>
                <w:sz w:val="24"/>
                <w:szCs w:val="24"/>
                <w:lang w:bidi="ar-SA"/>
              </w:rPr>
              <w:t>148</w:t>
            </w:r>
          </w:p>
        </w:tc>
      </w:tr>
    </w:tbl>
    <w:p w:rsidRPr="00A63449" w:rsidR="00F761E7" w:rsidP="001559D6" w:rsidRDefault="00F761E7" w14:paraId="203C25F5" w14:textId="77777777">
      <w:pPr>
        <w:contextualSpacing/>
        <w:rPr>
          <w:rFonts w:ascii="Times New Roman" w:hAnsi="Times New Roman" w:cs="Times New Roman"/>
          <w:color w:val="000000" w:themeColor="text1"/>
          <w:sz w:val="24"/>
          <w:szCs w:val="24"/>
        </w:rPr>
      </w:pPr>
    </w:p>
    <w:p w:rsidRPr="00A63449" w:rsidR="00573F05" w:rsidP="000D644A" w:rsidRDefault="00573F05" w14:paraId="385F0B79" w14:textId="45C94631">
      <w:pPr>
        <w:spacing w:before="120"/>
        <w:ind w:left="360"/>
        <w:rPr>
          <w:rFonts w:ascii="Times New Roman" w:hAnsi="Times New Roman" w:cs="Times New Roman"/>
          <w:color w:val="000000" w:themeColor="text1"/>
          <w:sz w:val="24"/>
          <w:szCs w:val="24"/>
        </w:rPr>
      </w:pPr>
      <w:r w:rsidRPr="00A63449">
        <w:rPr>
          <w:rFonts w:ascii="Times New Roman" w:hAnsi="Times New Roman" w:cs="Times New Roman"/>
          <w:color w:val="000000" w:themeColor="text1"/>
          <w:sz w:val="24"/>
          <w:szCs w:val="24"/>
        </w:rPr>
        <w:t xml:space="preserve">Based on the number and type of transfer transactions in the last several years, NMFS estimates that 145 permit Gulf of Mexico Reef Fish permit or South Atlantic Rock Shrimp permit transfer will occur in both fisheries. The time burden and cost burden is described in detail below. </w:t>
      </w:r>
    </w:p>
    <w:p w:rsidRPr="00A63449" w:rsidR="0001349E" w:rsidP="000D644A" w:rsidRDefault="0001349E" w14:paraId="6F577B35" w14:textId="29D2E230">
      <w:pPr>
        <w:spacing w:before="120"/>
        <w:ind w:left="360"/>
        <w:rPr>
          <w:rFonts w:ascii="Times New Roman" w:hAnsi="Times New Roman" w:cs="Times New Roman"/>
          <w:color w:val="000000" w:themeColor="text1"/>
          <w:sz w:val="24"/>
          <w:szCs w:val="24"/>
        </w:rPr>
      </w:pPr>
      <w:r w:rsidRPr="00A63449">
        <w:rPr>
          <w:rFonts w:ascii="Times New Roman" w:hAnsi="Times New Roman" w:cs="Times New Roman"/>
          <w:color w:val="000000" w:themeColor="text1"/>
          <w:sz w:val="24"/>
          <w:szCs w:val="24"/>
        </w:rPr>
        <w:t xml:space="preserve">All transfers of Gulf of Mexico Reef Fish permit or South Atlantic Rock Shrimp permit will require submission of an Installation and Activation certification document.  The </w:t>
      </w:r>
      <w:r w:rsidRPr="00A63449" w:rsidR="00A359E5">
        <w:rPr>
          <w:rFonts w:ascii="Times New Roman" w:hAnsi="Times New Roman" w:cs="Times New Roman"/>
          <w:color w:val="000000" w:themeColor="text1"/>
          <w:sz w:val="24"/>
          <w:szCs w:val="24"/>
        </w:rPr>
        <w:t xml:space="preserve">estimated time </w:t>
      </w:r>
      <w:r w:rsidRPr="00A63449">
        <w:rPr>
          <w:rFonts w:ascii="Times New Roman" w:hAnsi="Times New Roman" w:cs="Times New Roman"/>
          <w:color w:val="000000" w:themeColor="text1"/>
          <w:sz w:val="24"/>
          <w:szCs w:val="24"/>
        </w:rPr>
        <w:t>burden for this activity is 20 minutes</w:t>
      </w:r>
      <w:r w:rsidRPr="00A63449" w:rsidR="00A359E5">
        <w:rPr>
          <w:rFonts w:ascii="Times New Roman" w:hAnsi="Times New Roman" w:cs="Times New Roman"/>
          <w:color w:val="000000" w:themeColor="text1"/>
          <w:sz w:val="24"/>
          <w:szCs w:val="24"/>
        </w:rPr>
        <w:t xml:space="preserve"> per response</w:t>
      </w:r>
      <w:r w:rsidRPr="00A63449">
        <w:rPr>
          <w:rFonts w:ascii="Times New Roman" w:hAnsi="Times New Roman" w:cs="Times New Roman"/>
          <w:color w:val="000000" w:themeColor="text1"/>
          <w:sz w:val="24"/>
          <w:szCs w:val="24"/>
        </w:rPr>
        <w:t xml:space="preserve">.  Therefore, the time burden for this activity is </w:t>
      </w:r>
      <w:r w:rsidRPr="00A63449" w:rsidR="00F761E7">
        <w:rPr>
          <w:rFonts w:ascii="Times New Roman" w:hAnsi="Times New Roman" w:cs="Times New Roman"/>
          <w:color w:val="000000" w:themeColor="text1"/>
          <w:sz w:val="24"/>
          <w:szCs w:val="24"/>
        </w:rPr>
        <w:t>48.3</w:t>
      </w:r>
      <w:r w:rsidRPr="00A63449">
        <w:rPr>
          <w:rFonts w:ascii="Times New Roman" w:hAnsi="Times New Roman" w:cs="Times New Roman"/>
          <w:color w:val="000000" w:themeColor="text1"/>
          <w:sz w:val="24"/>
          <w:szCs w:val="24"/>
        </w:rPr>
        <w:t xml:space="preserve"> hours (14</w:t>
      </w:r>
      <w:r w:rsidRPr="00A63449" w:rsidR="00F761E7">
        <w:rPr>
          <w:rFonts w:ascii="Times New Roman" w:hAnsi="Times New Roman" w:cs="Times New Roman"/>
          <w:color w:val="000000" w:themeColor="text1"/>
          <w:sz w:val="24"/>
          <w:szCs w:val="24"/>
        </w:rPr>
        <w:t>5</w:t>
      </w:r>
      <w:r w:rsidRPr="00A63449" w:rsidR="00A359E5">
        <w:rPr>
          <w:rFonts w:ascii="Times New Roman" w:hAnsi="Times New Roman" w:cs="Times New Roman"/>
          <w:color w:val="000000" w:themeColor="text1"/>
          <w:sz w:val="24"/>
          <w:szCs w:val="24"/>
        </w:rPr>
        <w:t xml:space="preserve"> responses</w:t>
      </w:r>
      <w:r w:rsidRPr="00A63449">
        <w:rPr>
          <w:rFonts w:ascii="Times New Roman" w:hAnsi="Times New Roman" w:cs="Times New Roman"/>
          <w:color w:val="000000" w:themeColor="text1"/>
          <w:sz w:val="24"/>
          <w:szCs w:val="24"/>
        </w:rPr>
        <w:t xml:space="preserve"> x 20minutes</w:t>
      </w:r>
      <w:r w:rsidRPr="00A63449" w:rsidR="00A359E5">
        <w:rPr>
          <w:rFonts w:ascii="Times New Roman" w:hAnsi="Times New Roman" w:cs="Times New Roman"/>
          <w:color w:val="000000" w:themeColor="text1"/>
          <w:sz w:val="24"/>
          <w:szCs w:val="24"/>
        </w:rPr>
        <w:t>/ response</w:t>
      </w:r>
      <w:r w:rsidRPr="00A63449">
        <w:rPr>
          <w:rFonts w:ascii="Times New Roman" w:hAnsi="Times New Roman" w:cs="Times New Roman"/>
          <w:color w:val="000000" w:themeColor="text1"/>
          <w:sz w:val="24"/>
          <w:szCs w:val="24"/>
        </w:rPr>
        <w:t xml:space="preserve">). </w:t>
      </w:r>
    </w:p>
    <w:p w:rsidRPr="00A63449" w:rsidR="00A359E5" w:rsidP="000D644A" w:rsidRDefault="00A359E5" w14:paraId="60B38DFF" w14:textId="32984939">
      <w:pPr>
        <w:spacing w:before="120"/>
        <w:ind w:left="360"/>
        <w:rPr>
          <w:rFonts w:ascii="Times New Roman" w:hAnsi="Times New Roman" w:cs="Times New Roman"/>
          <w:color w:val="000000" w:themeColor="text1"/>
          <w:sz w:val="24"/>
          <w:szCs w:val="24"/>
        </w:rPr>
      </w:pPr>
      <w:r w:rsidRPr="00A63449">
        <w:rPr>
          <w:rFonts w:ascii="Times New Roman" w:hAnsi="Times New Roman" w:cs="Times New Roman"/>
          <w:color w:val="000000" w:themeColor="text1"/>
          <w:sz w:val="24"/>
          <w:szCs w:val="24"/>
        </w:rPr>
        <w:t xml:space="preserve">Additionally, NMFS estimates that 75% (109) will involve transfer of a permit from one vessel to another vessel, which will presumably require the installation of a VMS unit.  The time burden for purchase, setup, and installation oversight </w:t>
      </w:r>
      <w:proofErr w:type="gramStart"/>
      <w:r w:rsidRPr="00A63449">
        <w:rPr>
          <w:rFonts w:ascii="Times New Roman" w:hAnsi="Times New Roman" w:cs="Times New Roman"/>
          <w:color w:val="000000" w:themeColor="text1"/>
          <w:sz w:val="24"/>
          <w:szCs w:val="24"/>
        </w:rPr>
        <w:t>is estimated</w:t>
      </w:r>
      <w:proofErr w:type="gramEnd"/>
      <w:r w:rsidRPr="00A63449">
        <w:rPr>
          <w:rFonts w:ascii="Times New Roman" w:hAnsi="Times New Roman" w:cs="Times New Roman"/>
          <w:color w:val="000000" w:themeColor="text1"/>
          <w:sz w:val="24"/>
          <w:szCs w:val="24"/>
        </w:rPr>
        <w:t xml:space="preserve"> at 5 hours per unit.  Therefore, the time burden for this activity is 545 hours (109 responses x 5 hours/ response).</w:t>
      </w:r>
    </w:p>
    <w:p w:rsidRPr="00A63449" w:rsidR="001559D6" w:rsidP="00527657" w:rsidRDefault="00A359E5" w14:paraId="0AD9FFD4" w14:textId="19F3C8E3">
      <w:pPr>
        <w:spacing w:before="120"/>
        <w:ind w:left="270"/>
        <w:rPr>
          <w:rFonts w:ascii="Times New Roman" w:hAnsi="Times New Roman" w:cs="Times New Roman"/>
          <w:color w:val="000000" w:themeColor="text1"/>
          <w:sz w:val="24"/>
          <w:szCs w:val="24"/>
        </w:rPr>
      </w:pPr>
      <w:r w:rsidRPr="00A63449">
        <w:rPr>
          <w:rFonts w:ascii="Times New Roman" w:hAnsi="Times New Roman" w:cs="Times New Roman"/>
          <w:color w:val="000000" w:themeColor="text1"/>
          <w:sz w:val="24"/>
          <w:szCs w:val="24"/>
        </w:rPr>
        <w:t>The total time burden associated with the installation and activation of VMS units is 593.3 hours (48.3 hours + 545 hours)</w:t>
      </w:r>
    </w:p>
    <w:p w:rsidRPr="00A63449" w:rsidR="001559D6" w:rsidP="001559D6" w:rsidRDefault="001559D6" w14:paraId="6838265B" w14:textId="77777777">
      <w:pPr>
        <w:contextualSpacing/>
        <w:rPr>
          <w:rFonts w:ascii="Times New Roman" w:hAnsi="Times New Roman" w:cs="Times New Roman"/>
          <w:color w:val="000000" w:themeColor="text1"/>
          <w:sz w:val="24"/>
          <w:szCs w:val="24"/>
        </w:rPr>
      </w:pPr>
    </w:p>
    <w:p w:rsidRPr="00A63449" w:rsidR="001559D6" w:rsidP="00527657" w:rsidRDefault="001559D6" w14:paraId="4D244FB1" w14:textId="77777777">
      <w:pPr>
        <w:ind w:left="270"/>
        <w:contextualSpacing/>
        <w:rPr>
          <w:rFonts w:ascii="Times New Roman" w:hAnsi="Times New Roman" w:cs="Times New Roman"/>
          <w:color w:val="000000" w:themeColor="text1"/>
          <w:sz w:val="24"/>
          <w:szCs w:val="24"/>
        </w:rPr>
      </w:pPr>
      <w:r w:rsidRPr="00A63449">
        <w:rPr>
          <w:rFonts w:ascii="Times New Roman" w:hAnsi="Times New Roman" w:cs="Times New Roman"/>
          <w:b/>
          <w:color w:val="000000" w:themeColor="text1"/>
          <w:sz w:val="24"/>
          <w:szCs w:val="24"/>
        </w:rPr>
        <w:t xml:space="preserve">ANNUAL RESPONSES AND TIME BURDEN </w:t>
      </w:r>
    </w:p>
    <w:p w:rsidRPr="00A63449" w:rsidR="001559D6" w:rsidP="00527657" w:rsidRDefault="001559D6" w14:paraId="051222F4" w14:textId="67EEB36B">
      <w:pPr>
        <w:pStyle w:val="ListParagraph"/>
        <w:widowControl/>
        <w:numPr>
          <w:ilvl w:val="0"/>
          <w:numId w:val="15"/>
        </w:numPr>
        <w:shd w:val="clear" w:color="auto" w:fill="FFFFFF"/>
        <w:autoSpaceDE/>
        <w:autoSpaceDN/>
        <w:spacing w:before="0"/>
        <w:ind w:left="720" w:hanging="450"/>
        <w:rPr>
          <w:rFonts w:ascii="Times New Roman" w:hAnsi="Times New Roman" w:cs="Times New Roman"/>
          <w:color w:val="000000" w:themeColor="text1"/>
          <w:sz w:val="24"/>
          <w:szCs w:val="24"/>
        </w:rPr>
      </w:pPr>
      <w:r w:rsidRPr="00A63449">
        <w:rPr>
          <w:rFonts w:ascii="Times New Roman" w:hAnsi="Times New Roman" w:cs="Times New Roman"/>
          <w:color w:val="000000" w:themeColor="text1"/>
          <w:sz w:val="24"/>
          <w:szCs w:val="24"/>
        </w:rPr>
        <w:t>9</w:t>
      </w:r>
      <w:r w:rsidRPr="00A63449" w:rsidR="006A22F2">
        <w:rPr>
          <w:rFonts w:ascii="Times New Roman" w:hAnsi="Times New Roman" w:cs="Times New Roman"/>
          <w:color w:val="000000" w:themeColor="text1"/>
          <w:sz w:val="24"/>
          <w:szCs w:val="24"/>
        </w:rPr>
        <w:t>01</w:t>
      </w:r>
      <w:r w:rsidRPr="00A63449">
        <w:rPr>
          <w:rFonts w:ascii="Times New Roman" w:hAnsi="Times New Roman" w:cs="Times New Roman"/>
          <w:color w:val="000000" w:themeColor="text1"/>
          <w:sz w:val="24"/>
          <w:szCs w:val="24"/>
        </w:rPr>
        <w:t xml:space="preserve"> vessels with VMS units x 2 hours per year maintenance = 9</w:t>
      </w:r>
      <w:r w:rsidRPr="00A63449" w:rsidR="006A22F2">
        <w:rPr>
          <w:rFonts w:ascii="Times New Roman" w:hAnsi="Times New Roman" w:cs="Times New Roman"/>
          <w:color w:val="000000" w:themeColor="text1"/>
          <w:sz w:val="24"/>
          <w:szCs w:val="24"/>
        </w:rPr>
        <w:t>01</w:t>
      </w:r>
      <w:r w:rsidRPr="00A63449">
        <w:rPr>
          <w:rFonts w:ascii="Times New Roman" w:hAnsi="Times New Roman" w:cs="Times New Roman"/>
          <w:color w:val="000000" w:themeColor="text1"/>
          <w:sz w:val="24"/>
          <w:szCs w:val="24"/>
        </w:rPr>
        <w:t xml:space="preserve"> responses and 1,8</w:t>
      </w:r>
      <w:r w:rsidRPr="00A63449" w:rsidR="006A22F2">
        <w:rPr>
          <w:rFonts w:ascii="Times New Roman" w:hAnsi="Times New Roman" w:cs="Times New Roman"/>
          <w:color w:val="000000" w:themeColor="text1"/>
          <w:sz w:val="24"/>
          <w:szCs w:val="24"/>
        </w:rPr>
        <w:t>02</w:t>
      </w:r>
      <w:r w:rsidRPr="00A63449">
        <w:rPr>
          <w:rFonts w:ascii="Times New Roman" w:hAnsi="Times New Roman" w:cs="Times New Roman"/>
          <w:color w:val="000000" w:themeColor="text1"/>
          <w:sz w:val="24"/>
          <w:szCs w:val="24"/>
        </w:rPr>
        <w:t xml:space="preserve"> hours</w:t>
      </w:r>
    </w:p>
    <w:p w:rsidRPr="00A63449" w:rsidR="001559D6" w:rsidP="00527657" w:rsidRDefault="00D96E9F" w14:paraId="23D3A277" w14:textId="17152066">
      <w:pPr>
        <w:numPr>
          <w:ilvl w:val="0"/>
          <w:numId w:val="15"/>
        </w:numPr>
        <w:adjustRightInd w:val="0"/>
        <w:ind w:left="720" w:hanging="450"/>
        <w:contextualSpacing/>
        <w:rPr>
          <w:rFonts w:ascii="Times New Roman" w:hAnsi="Times New Roman" w:cs="Times New Roman"/>
          <w:color w:val="000000" w:themeColor="text1"/>
          <w:sz w:val="24"/>
          <w:szCs w:val="24"/>
        </w:rPr>
      </w:pPr>
      <w:r w:rsidRPr="00A63449">
        <w:rPr>
          <w:rFonts w:ascii="Times New Roman" w:hAnsi="Times New Roman" w:cs="Times New Roman"/>
          <w:color w:val="000000" w:themeColor="text1"/>
          <w:sz w:val="24"/>
          <w:szCs w:val="24"/>
        </w:rPr>
        <w:t>(</w:t>
      </w:r>
      <w:r w:rsidRPr="00A63449" w:rsidR="006A22F2">
        <w:rPr>
          <w:rFonts w:ascii="Times New Roman" w:hAnsi="Times New Roman" w:cs="Times New Roman"/>
          <w:color w:val="000000" w:themeColor="text1"/>
          <w:sz w:val="24"/>
          <w:szCs w:val="24"/>
        </w:rPr>
        <w:t>150</w:t>
      </w:r>
      <w:r w:rsidRPr="00A63449" w:rsidR="001559D6">
        <w:rPr>
          <w:rFonts w:ascii="Times New Roman" w:hAnsi="Times New Roman" w:cs="Times New Roman"/>
          <w:color w:val="000000" w:themeColor="text1"/>
          <w:sz w:val="24"/>
          <w:szCs w:val="24"/>
        </w:rPr>
        <w:t xml:space="preserve"> power-down exemption requests</w:t>
      </w:r>
      <w:r w:rsidRPr="00A63449">
        <w:rPr>
          <w:rFonts w:ascii="Times New Roman" w:hAnsi="Times New Roman" w:cs="Times New Roman"/>
          <w:color w:val="000000" w:themeColor="text1"/>
          <w:sz w:val="24"/>
          <w:szCs w:val="24"/>
        </w:rPr>
        <w:t xml:space="preserve"> per year</w:t>
      </w:r>
      <w:r w:rsidRPr="00A63449" w:rsidR="001559D6">
        <w:rPr>
          <w:rFonts w:ascii="Times New Roman" w:hAnsi="Times New Roman" w:cs="Times New Roman"/>
          <w:color w:val="000000" w:themeColor="text1"/>
          <w:sz w:val="24"/>
          <w:szCs w:val="24"/>
        </w:rPr>
        <w:t xml:space="preserve"> x 5 minutes</w:t>
      </w:r>
      <w:r w:rsidRPr="00A63449">
        <w:rPr>
          <w:rFonts w:ascii="Times New Roman" w:hAnsi="Times New Roman" w:cs="Times New Roman"/>
          <w:color w:val="000000" w:themeColor="text1"/>
          <w:sz w:val="24"/>
          <w:szCs w:val="24"/>
        </w:rPr>
        <w:t xml:space="preserve"> per request)</w:t>
      </w:r>
      <w:r w:rsidRPr="00A63449" w:rsidR="001559D6">
        <w:rPr>
          <w:rFonts w:ascii="Times New Roman" w:hAnsi="Times New Roman" w:cs="Times New Roman"/>
          <w:color w:val="000000" w:themeColor="text1"/>
          <w:sz w:val="24"/>
          <w:szCs w:val="24"/>
        </w:rPr>
        <w:t xml:space="preserve"> = </w:t>
      </w:r>
      <w:r w:rsidRPr="00A63449" w:rsidR="006A22F2">
        <w:rPr>
          <w:rFonts w:ascii="Times New Roman" w:hAnsi="Times New Roman" w:cs="Times New Roman"/>
          <w:color w:val="000000" w:themeColor="text1"/>
          <w:sz w:val="24"/>
          <w:szCs w:val="24"/>
        </w:rPr>
        <w:t>150</w:t>
      </w:r>
      <w:r w:rsidRPr="00A63449" w:rsidR="001559D6">
        <w:rPr>
          <w:rFonts w:ascii="Times New Roman" w:hAnsi="Times New Roman" w:cs="Times New Roman"/>
          <w:color w:val="000000" w:themeColor="text1"/>
          <w:sz w:val="24"/>
          <w:szCs w:val="24"/>
        </w:rPr>
        <w:t xml:space="preserve"> responses and </w:t>
      </w:r>
      <w:r w:rsidRPr="00A63449" w:rsidR="006A22F2">
        <w:rPr>
          <w:rFonts w:ascii="Times New Roman" w:hAnsi="Times New Roman" w:cs="Times New Roman"/>
          <w:color w:val="000000" w:themeColor="text1"/>
          <w:sz w:val="24"/>
          <w:szCs w:val="24"/>
        </w:rPr>
        <w:t>12.5</w:t>
      </w:r>
      <w:r w:rsidRPr="00A63449" w:rsidR="001559D6">
        <w:rPr>
          <w:rFonts w:ascii="Times New Roman" w:hAnsi="Times New Roman" w:cs="Times New Roman"/>
          <w:color w:val="000000" w:themeColor="text1"/>
          <w:sz w:val="24"/>
          <w:szCs w:val="24"/>
        </w:rPr>
        <w:t xml:space="preserve"> hours </w:t>
      </w:r>
    </w:p>
    <w:p w:rsidRPr="00A63449" w:rsidR="001559D6" w:rsidP="00527657" w:rsidRDefault="00D96E9F" w14:paraId="090C6F13" w14:textId="68AD60C8">
      <w:pPr>
        <w:numPr>
          <w:ilvl w:val="0"/>
          <w:numId w:val="15"/>
        </w:numPr>
        <w:adjustRightInd w:val="0"/>
        <w:ind w:left="0" w:firstLine="270"/>
        <w:contextualSpacing/>
        <w:rPr>
          <w:rFonts w:ascii="Times New Roman" w:hAnsi="Times New Roman" w:cs="Times New Roman"/>
          <w:color w:val="000000" w:themeColor="text1"/>
          <w:sz w:val="24"/>
          <w:szCs w:val="24"/>
        </w:rPr>
      </w:pPr>
      <w:r w:rsidRPr="00A63449">
        <w:rPr>
          <w:rFonts w:ascii="Times New Roman" w:hAnsi="Times New Roman" w:cs="Times New Roman"/>
          <w:color w:val="000000" w:themeColor="text1"/>
          <w:sz w:val="24"/>
          <w:szCs w:val="24"/>
        </w:rPr>
        <w:t xml:space="preserve">(13,184 </w:t>
      </w:r>
      <w:r w:rsidRPr="00A63449" w:rsidR="001559D6">
        <w:rPr>
          <w:rFonts w:ascii="Times New Roman" w:hAnsi="Times New Roman" w:cs="Times New Roman"/>
          <w:color w:val="000000" w:themeColor="text1"/>
          <w:sz w:val="24"/>
          <w:szCs w:val="24"/>
        </w:rPr>
        <w:t>trip notifications to report fishing activity x 1 minute</w:t>
      </w:r>
      <w:r w:rsidRPr="00A63449">
        <w:rPr>
          <w:rFonts w:ascii="Times New Roman" w:hAnsi="Times New Roman" w:cs="Times New Roman"/>
          <w:color w:val="000000" w:themeColor="text1"/>
          <w:sz w:val="24"/>
          <w:szCs w:val="24"/>
        </w:rPr>
        <w:t>)</w:t>
      </w:r>
      <w:r w:rsidRPr="00A63449" w:rsidR="001559D6">
        <w:rPr>
          <w:rFonts w:ascii="Times New Roman" w:hAnsi="Times New Roman" w:cs="Times New Roman"/>
          <w:color w:val="000000" w:themeColor="text1"/>
          <w:sz w:val="24"/>
          <w:szCs w:val="24"/>
        </w:rPr>
        <w:t xml:space="preserve">/60 minutes = </w:t>
      </w:r>
      <w:r w:rsidRPr="00A63449">
        <w:rPr>
          <w:rFonts w:ascii="Times New Roman" w:hAnsi="Times New Roman" w:cs="Times New Roman"/>
          <w:color w:val="000000" w:themeColor="text1"/>
          <w:sz w:val="24"/>
          <w:szCs w:val="24"/>
        </w:rPr>
        <w:t xml:space="preserve">13,184 </w:t>
      </w:r>
      <w:r w:rsidRPr="00A63449" w:rsidR="001559D6">
        <w:rPr>
          <w:rFonts w:ascii="Times New Roman" w:hAnsi="Times New Roman" w:cs="Times New Roman"/>
          <w:color w:val="000000" w:themeColor="text1"/>
          <w:sz w:val="24"/>
          <w:szCs w:val="24"/>
        </w:rPr>
        <w:t xml:space="preserve">responses and </w:t>
      </w:r>
      <w:r w:rsidRPr="00A63449" w:rsidR="00F801C3">
        <w:rPr>
          <w:rFonts w:ascii="Times New Roman" w:hAnsi="Times New Roman" w:cs="Times New Roman"/>
          <w:color w:val="000000" w:themeColor="text1"/>
          <w:sz w:val="24"/>
          <w:szCs w:val="24"/>
        </w:rPr>
        <w:t>219</w:t>
      </w:r>
      <w:r w:rsidRPr="00A63449" w:rsidR="006A22F2">
        <w:rPr>
          <w:rFonts w:ascii="Times New Roman" w:hAnsi="Times New Roman" w:cs="Times New Roman"/>
          <w:color w:val="000000" w:themeColor="text1"/>
          <w:sz w:val="24"/>
          <w:szCs w:val="24"/>
        </w:rPr>
        <w:t>.7</w:t>
      </w:r>
      <w:r w:rsidRPr="00A63449" w:rsidR="001559D6">
        <w:rPr>
          <w:rFonts w:ascii="Times New Roman" w:hAnsi="Times New Roman" w:cs="Times New Roman"/>
          <w:color w:val="000000" w:themeColor="text1"/>
          <w:sz w:val="24"/>
          <w:szCs w:val="24"/>
        </w:rPr>
        <w:t xml:space="preserve"> hours</w:t>
      </w:r>
    </w:p>
    <w:p w:rsidRPr="00A63449" w:rsidR="001559D6" w:rsidP="00527657" w:rsidRDefault="00C4146A" w14:paraId="3D0DD616" w14:textId="464783C9">
      <w:pPr>
        <w:numPr>
          <w:ilvl w:val="0"/>
          <w:numId w:val="15"/>
        </w:numPr>
        <w:adjustRightInd w:val="0"/>
        <w:ind w:left="0" w:firstLine="270"/>
        <w:contextualSpacing/>
        <w:rPr>
          <w:rFonts w:ascii="Times New Roman" w:hAnsi="Times New Roman" w:cs="Times New Roman"/>
          <w:color w:val="000000" w:themeColor="text1"/>
          <w:sz w:val="24"/>
          <w:szCs w:val="24"/>
        </w:rPr>
      </w:pPr>
      <w:r w:rsidRPr="00A63449">
        <w:rPr>
          <w:rFonts w:ascii="Times New Roman" w:hAnsi="Times New Roman" w:cs="Times New Roman"/>
          <w:color w:val="000000" w:themeColor="text1"/>
          <w:sz w:val="24"/>
          <w:szCs w:val="24"/>
        </w:rPr>
        <w:t xml:space="preserve">Installation and </w:t>
      </w:r>
      <w:r w:rsidRPr="00A63449" w:rsidR="000D644A">
        <w:rPr>
          <w:rFonts w:ascii="Times New Roman" w:hAnsi="Times New Roman" w:cs="Times New Roman"/>
          <w:color w:val="000000" w:themeColor="text1"/>
          <w:sz w:val="24"/>
          <w:szCs w:val="24"/>
        </w:rPr>
        <w:t>A</w:t>
      </w:r>
      <w:r w:rsidRPr="00A63449">
        <w:rPr>
          <w:rFonts w:ascii="Times New Roman" w:hAnsi="Times New Roman" w:cs="Times New Roman"/>
          <w:color w:val="000000" w:themeColor="text1"/>
          <w:sz w:val="24"/>
          <w:szCs w:val="24"/>
        </w:rPr>
        <w:t xml:space="preserve">ctivation </w:t>
      </w:r>
      <w:r w:rsidRPr="00A63449" w:rsidR="000D644A">
        <w:rPr>
          <w:rFonts w:ascii="Times New Roman" w:hAnsi="Times New Roman" w:cs="Times New Roman"/>
          <w:color w:val="000000" w:themeColor="text1"/>
          <w:sz w:val="24"/>
          <w:szCs w:val="24"/>
        </w:rPr>
        <w:t>C</w:t>
      </w:r>
      <w:r w:rsidRPr="00A63449">
        <w:rPr>
          <w:rFonts w:ascii="Times New Roman" w:hAnsi="Times New Roman" w:cs="Times New Roman"/>
          <w:color w:val="000000" w:themeColor="text1"/>
          <w:sz w:val="24"/>
          <w:szCs w:val="24"/>
        </w:rPr>
        <w:t>ertification</w:t>
      </w:r>
      <w:r w:rsidRPr="00A63449" w:rsidR="001559D6">
        <w:rPr>
          <w:rFonts w:ascii="Times New Roman" w:hAnsi="Times New Roman" w:cs="Times New Roman"/>
          <w:color w:val="000000" w:themeColor="text1"/>
          <w:sz w:val="24"/>
          <w:szCs w:val="24"/>
        </w:rPr>
        <w:t xml:space="preserve"> burden hours: </w:t>
      </w:r>
      <w:r w:rsidRPr="00A63449" w:rsidR="006A22F2">
        <w:rPr>
          <w:rFonts w:ascii="Times New Roman" w:hAnsi="Times New Roman" w:cs="Times New Roman"/>
          <w:color w:val="000000" w:themeColor="text1"/>
          <w:sz w:val="24"/>
          <w:szCs w:val="24"/>
        </w:rPr>
        <w:t>145</w:t>
      </w:r>
      <w:r w:rsidRPr="00A63449" w:rsidR="001559D6">
        <w:rPr>
          <w:rFonts w:ascii="Times New Roman" w:hAnsi="Times New Roman" w:cs="Times New Roman"/>
          <w:color w:val="000000" w:themeColor="text1"/>
          <w:sz w:val="24"/>
          <w:szCs w:val="24"/>
        </w:rPr>
        <w:t xml:space="preserve"> responses (checklists) and </w:t>
      </w:r>
      <w:r w:rsidRPr="00A63449" w:rsidR="00565822">
        <w:rPr>
          <w:rFonts w:ascii="Times New Roman" w:hAnsi="Times New Roman" w:cs="Times New Roman"/>
          <w:color w:val="000000" w:themeColor="text1"/>
          <w:sz w:val="24"/>
          <w:szCs w:val="24"/>
        </w:rPr>
        <w:t>5</w:t>
      </w:r>
      <w:r w:rsidRPr="00A63449" w:rsidR="00A359E5">
        <w:rPr>
          <w:rFonts w:ascii="Times New Roman" w:hAnsi="Times New Roman" w:cs="Times New Roman"/>
          <w:color w:val="000000" w:themeColor="text1"/>
          <w:sz w:val="24"/>
          <w:szCs w:val="24"/>
        </w:rPr>
        <w:t>93</w:t>
      </w:r>
      <w:r w:rsidRPr="00A63449" w:rsidR="00565822">
        <w:rPr>
          <w:rFonts w:ascii="Times New Roman" w:hAnsi="Times New Roman" w:cs="Times New Roman"/>
          <w:color w:val="000000" w:themeColor="text1"/>
          <w:sz w:val="24"/>
          <w:szCs w:val="24"/>
        </w:rPr>
        <w:t>.3</w:t>
      </w:r>
      <w:r w:rsidRPr="00A63449" w:rsidR="001559D6">
        <w:rPr>
          <w:rFonts w:ascii="Times New Roman" w:hAnsi="Times New Roman" w:cs="Times New Roman"/>
          <w:color w:val="000000" w:themeColor="text1"/>
          <w:sz w:val="24"/>
          <w:szCs w:val="24"/>
        </w:rPr>
        <w:t xml:space="preserve"> hours</w:t>
      </w:r>
      <w:r w:rsidRPr="00A63449" w:rsidR="00A359E5">
        <w:rPr>
          <w:rFonts w:ascii="Times New Roman" w:hAnsi="Times New Roman" w:cs="Times New Roman"/>
          <w:color w:val="000000" w:themeColor="text1"/>
          <w:sz w:val="24"/>
          <w:szCs w:val="24"/>
        </w:rPr>
        <w:t>.</w:t>
      </w:r>
      <w:r w:rsidRPr="00A63449" w:rsidR="001559D6">
        <w:rPr>
          <w:rFonts w:ascii="Times New Roman" w:hAnsi="Times New Roman" w:cs="Times New Roman"/>
          <w:color w:val="000000" w:themeColor="text1"/>
          <w:sz w:val="24"/>
          <w:szCs w:val="24"/>
        </w:rPr>
        <w:t xml:space="preserve"> </w:t>
      </w:r>
    </w:p>
    <w:p w:rsidRPr="00A63449" w:rsidR="001559D6" w:rsidP="001559D6" w:rsidRDefault="001559D6" w14:paraId="56DAEDF2" w14:textId="77777777">
      <w:pPr>
        <w:contextualSpacing/>
        <w:rPr>
          <w:rFonts w:ascii="Times New Roman" w:hAnsi="Times New Roman" w:cs="Times New Roman"/>
          <w:color w:val="000000" w:themeColor="text1"/>
          <w:sz w:val="24"/>
          <w:szCs w:val="24"/>
        </w:rPr>
      </w:pPr>
    </w:p>
    <w:p w:rsidRPr="00A63449" w:rsidR="001559D6" w:rsidP="00527657" w:rsidRDefault="001559D6" w14:paraId="27E74298" w14:textId="208AC02E">
      <w:pPr>
        <w:ind w:left="270"/>
        <w:contextualSpacing/>
        <w:rPr>
          <w:rFonts w:ascii="Times New Roman" w:hAnsi="Times New Roman" w:cs="Times New Roman"/>
          <w:b/>
          <w:color w:val="000000" w:themeColor="text1"/>
          <w:sz w:val="24"/>
          <w:szCs w:val="24"/>
        </w:rPr>
      </w:pPr>
      <w:r w:rsidRPr="00A63449">
        <w:rPr>
          <w:rFonts w:ascii="Times New Roman" w:hAnsi="Times New Roman" w:cs="Times New Roman"/>
          <w:b/>
          <w:color w:val="000000" w:themeColor="text1"/>
          <w:sz w:val="24"/>
          <w:szCs w:val="24"/>
        </w:rPr>
        <w:t>Total estimated annual respondents: 9</w:t>
      </w:r>
      <w:r w:rsidRPr="00A63449" w:rsidR="006A22F2">
        <w:rPr>
          <w:rFonts w:ascii="Times New Roman" w:hAnsi="Times New Roman" w:cs="Times New Roman"/>
          <w:b/>
          <w:color w:val="000000" w:themeColor="text1"/>
          <w:sz w:val="24"/>
          <w:szCs w:val="24"/>
        </w:rPr>
        <w:t>01</w:t>
      </w:r>
    </w:p>
    <w:p w:rsidRPr="00A63449" w:rsidR="001559D6" w:rsidP="00527657" w:rsidRDefault="001559D6" w14:paraId="6DF28759" w14:textId="77777777">
      <w:pPr>
        <w:ind w:left="270"/>
        <w:contextualSpacing/>
        <w:rPr>
          <w:rFonts w:ascii="Times New Roman" w:hAnsi="Times New Roman" w:cs="Times New Roman"/>
          <w:b/>
          <w:color w:val="000000" w:themeColor="text1"/>
          <w:sz w:val="24"/>
          <w:szCs w:val="24"/>
        </w:rPr>
      </w:pPr>
    </w:p>
    <w:p w:rsidRPr="00A63449" w:rsidR="001559D6" w:rsidP="00527657" w:rsidRDefault="001559D6" w14:paraId="0C3F6223" w14:textId="4EFF5B88">
      <w:pPr>
        <w:ind w:left="270"/>
        <w:contextualSpacing/>
        <w:rPr>
          <w:rFonts w:ascii="Times New Roman" w:hAnsi="Times New Roman" w:cs="Times New Roman"/>
          <w:b/>
          <w:color w:val="000000" w:themeColor="text1"/>
          <w:sz w:val="24"/>
          <w:szCs w:val="24"/>
        </w:rPr>
      </w:pPr>
      <w:r w:rsidRPr="00A63449">
        <w:rPr>
          <w:rFonts w:ascii="Times New Roman" w:hAnsi="Times New Roman" w:cs="Times New Roman"/>
          <w:b/>
          <w:color w:val="000000" w:themeColor="text1"/>
          <w:sz w:val="24"/>
          <w:szCs w:val="24"/>
        </w:rPr>
        <w:t xml:space="preserve">Total estimated annual responses: </w:t>
      </w:r>
      <w:r w:rsidRPr="00A63449" w:rsidR="00F801C3">
        <w:rPr>
          <w:rFonts w:ascii="Times New Roman" w:hAnsi="Times New Roman" w:cs="Times New Roman"/>
          <w:b/>
          <w:color w:val="000000" w:themeColor="text1"/>
          <w:sz w:val="24"/>
          <w:szCs w:val="24"/>
        </w:rPr>
        <w:t>14,380</w:t>
      </w:r>
      <w:r w:rsidRPr="00A63449">
        <w:rPr>
          <w:rFonts w:ascii="Times New Roman" w:hAnsi="Times New Roman" w:cs="Times New Roman"/>
          <w:color w:val="000000" w:themeColor="text1"/>
          <w:sz w:val="24"/>
          <w:szCs w:val="24"/>
        </w:rPr>
        <w:t xml:space="preserve"> (9</w:t>
      </w:r>
      <w:r w:rsidRPr="00A63449" w:rsidR="006A22F2">
        <w:rPr>
          <w:rFonts w:ascii="Times New Roman" w:hAnsi="Times New Roman" w:cs="Times New Roman"/>
          <w:color w:val="000000" w:themeColor="text1"/>
          <w:sz w:val="24"/>
          <w:szCs w:val="24"/>
        </w:rPr>
        <w:t>01</w:t>
      </w:r>
      <w:r w:rsidRPr="00A63449">
        <w:rPr>
          <w:rFonts w:ascii="Times New Roman" w:hAnsi="Times New Roman" w:cs="Times New Roman"/>
          <w:color w:val="000000" w:themeColor="text1"/>
          <w:sz w:val="24"/>
          <w:szCs w:val="24"/>
        </w:rPr>
        <w:t xml:space="preserve"> + </w:t>
      </w:r>
      <w:r w:rsidRPr="00A63449" w:rsidR="006A22F2">
        <w:rPr>
          <w:rFonts w:ascii="Times New Roman" w:hAnsi="Times New Roman" w:cs="Times New Roman"/>
          <w:color w:val="000000" w:themeColor="text1"/>
          <w:sz w:val="24"/>
          <w:szCs w:val="24"/>
        </w:rPr>
        <w:t xml:space="preserve">150 </w:t>
      </w:r>
      <w:r w:rsidRPr="00A63449">
        <w:rPr>
          <w:rFonts w:ascii="Times New Roman" w:hAnsi="Times New Roman" w:cs="Times New Roman"/>
          <w:color w:val="000000" w:themeColor="text1"/>
          <w:sz w:val="24"/>
          <w:szCs w:val="24"/>
        </w:rPr>
        <w:t xml:space="preserve">+ </w:t>
      </w:r>
      <w:r w:rsidRPr="00A63449" w:rsidR="00F801C3">
        <w:rPr>
          <w:rFonts w:ascii="Times New Roman" w:hAnsi="Times New Roman" w:cs="Times New Roman"/>
          <w:color w:val="000000" w:themeColor="text1"/>
          <w:sz w:val="24"/>
          <w:szCs w:val="24"/>
        </w:rPr>
        <w:t xml:space="preserve">13,184 </w:t>
      </w:r>
      <w:r w:rsidRPr="00A63449">
        <w:rPr>
          <w:rFonts w:ascii="Times New Roman" w:hAnsi="Times New Roman" w:cs="Times New Roman"/>
          <w:color w:val="000000" w:themeColor="text1"/>
          <w:sz w:val="24"/>
          <w:szCs w:val="24"/>
        </w:rPr>
        <w:t xml:space="preserve">+ </w:t>
      </w:r>
      <w:r w:rsidRPr="00A63449" w:rsidR="006A22F2">
        <w:rPr>
          <w:rFonts w:ascii="Times New Roman" w:hAnsi="Times New Roman" w:cs="Times New Roman"/>
          <w:color w:val="000000" w:themeColor="text1"/>
          <w:sz w:val="24"/>
          <w:szCs w:val="24"/>
        </w:rPr>
        <w:t>145</w:t>
      </w:r>
      <w:r w:rsidRPr="00A63449">
        <w:rPr>
          <w:rFonts w:ascii="Times New Roman" w:hAnsi="Times New Roman" w:cs="Times New Roman"/>
          <w:color w:val="000000" w:themeColor="text1"/>
          <w:sz w:val="24"/>
          <w:szCs w:val="24"/>
        </w:rPr>
        <w:t>)</w:t>
      </w:r>
    </w:p>
    <w:p w:rsidRPr="00A63449" w:rsidR="001559D6" w:rsidP="00527657" w:rsidRDefault="001559D6" w14:paraId="76A4957B" w14:textId="77777777">
      <w:pPr>
        <w:ind w:left="270"/>
        <w:contextualSpacing/>
        <w:rPr>
          <w:rFonts w:ascii="Times New Roman" w:hAnsi="Times New Roman" w:cs="Times New Roman"/>
          <w:b/>
          <w:color w:val="000000" w:themeColor="text1"/>
          <w:sz w:val="24"/>
          <w:szCs w:val="24"/>
        </w:rPr>
      </w:pPr>
    </w:p>
    <w:p w:rsidRPr="00A63449" w:rsidR="001559D6" w:rsidP="00527657" w:rsidRDefault="001559D6" w14:paraId="23077570" w14:textId="03D58CCD">
      <w:pPr>
        <w:ind w:left="270"/>
        <w:contextualSpacing/>
        <w:rPr>
          <w:rFonts w:ascii="Times New Roman" w:hAnsi="Times New Roman" w:cs="Times New Roman"/>
          <w:color w:val="000000" w:themeColor="text1"/>
          <w:sz w:val="24"/>
          <w:szCs w:val="24"/>
        </w:rPr>
      </w:pPr>
      <w:r w:rsidRPr="00A63449">
        <w:rPr>
          <w:rFonts w:ascii="Times New Roman" w:hAnsi="Times New Roman" w:cs="Times New Roman"/>
          <w:b/>
          <w:color w:val="000000" w:themeColor="text1"/>
          <w:sz w:val="24"/>
          <w:szCs w:val="24"/>
        </w:rPr>
        <w:t xml:space="preserve">Total estimated annual burden hours: </w:t>
      </w:r>
      <w:r w:rsidRPr="00A63449" w:rsidR="00F801C3">
        <w:rPr>
          <w:rFonts w:ascii="Times New Roman" w:hAnsi="Times New Roman" w:cs="Times New Roman"/>
          <w:b/>
          <w:color w:val="000000" w:themeColor="text1"/>
          <w:sz w:val="24"/>
          <w:szCs w:val="24"/>
        </w:rPr>
        <w:t>2,</w:t>
      </w:r>
      <w:r w:rsidRPr="00A63449" w:rsidR="00D96E9F">
        <w:rPr>
          <w:rFonts w:ascii="Times New Roman" w:hAnsi="Times New Roman" w:cs="Times New Roman"/>
          <w:b/>
          <w:color w:val="000000" w:themeColor="text1"/>
          <w:sz w:val="24"/>
          <w:szCs w:val="24"/>
        </w:rPr>
        <w:t>627.5</w:t>
      </w:r>
      <w:r w:rsidRPr="00A63449">
        <w:rPr>
          <w:rFonts w:ascii="Times New Roman" w:hAnsi="Times New Roman" w:cs="Times New Roman"/>
          <w:b/>
          <w:color w:val="000000" w:themeColor="text1"/>
          <w:sz w:val="24"/>
          <w:szCs w:val="24"/>
        </w:rPr>
        <w:t xml:space="preserve"> </w:t>
      </w:r>
      <w:r w:rsidRPr="00A63449">
        <w:rPr>
          <w:rFonts w:ascii="Times New Roman" w:hAnsi="Times New Roman" w:cs="Times New Roman"/>
          <w:color w:val="000000" w:themeColor="text1"/>
          <w:sz w:val="24"/>
          <w:szCs w:val="24"/>
        </w:rPr>
        <w:t>(</w:t>
      </w:r>
      <w:r w:rsidRPr="00A63449" w:rsidR="00810619">
        <w:rPr>
          <w:rFonts w:ascii="Times New Roman" w:hAnsi="Times New Roman" w:cs="Times New Roman"/>
          <w:color w:val="000000" w:themeColor="text1"/>
          <w:sz w:val="24"/>
          <w:szCs w:val="24"/>
        </w:rPr>
        <w:t>1</w:t>
      </w:r>
      <w:r w:rsidRPr="00A63449" w:rsidR="00F801C3">
        <w:rPr>
          <w:rFonts w:ascii="Times New Roman" w:hAnsi="Times New Roman" w:cs="Times New Roman"/>
          <w:color w:val="000000" w:themeColor="text1"/>
          <w:sz w:val="24"/>
          <w:szCs w:val="24"/>
        </w:rPr>
        <w:t>,</w:t>
      </w:r>
      <w:r w:rsidRPr="00A63449" w:rsidR="00810619">
        <w:rPr>
          <w:rFonts w:ascii="Times New Roman" w:hAnsi="Times New Roman" w:cs="Times New Roman"/>
          <w:color w:val="000000" w:themeColor="text1"/>
          <w:sz w:val="24"/>
          <w:szCs w:val="24"/>
        </w:rPr>
        <w:t>802</w:t>
      </w:r>
      <w:r w:rsidRPr="00A63449">
        <w:rPr>
          <w:rFonts w:ascii="Times New Roman" w:hAnsi="Times New Roman" w:cs="Times New Roman"/>
          <w:color w:val="000000" w:themeColor="text1"/>
          <w:sz w:val="24"/>
          <w:szCs w:val="24"/>
        </w:rPr>
        <w:t xml:space="preserve"> + </w:t>
      </w:r>
      <w:r w:rsidRPr="00A63449" w:rsidR="00810619">
        <w:rPr>
          <w:rFonts w:ascii="Times New Roman" w:hAnsi="Times New Roman" w:cs="Times New Roman"/>
          <w:color w:val="000000" w:themeColor="text1"/>
          <w:sz w:val="24"/>
          <w:szCs w:val="24"/>
        </w:rPr>
        <w:t>12.5</w:t>
      </w:r>
      <w:r w:rsidRPr="00A63449">
        <w:rPr>
          <w:rFonts w:ascii="Times New Roman" w:hAnsi="Times New Roman" w:cs="Times New Roman"/>
          <w:color w:val="000000" w:themeColor="text1"/>
          <w:sz w:val="24"/>
          <w:szCs w:val="24"/>
        </w:rPr>
        <w:t xml:space="preserve"> + </w:t>
      </w:r>
      <w:r w:rsidRPr="00A63449" w:rsidR="00D96E9F">
        <w:rPr>
          <w:rFonts w:ascii="Times New Roman" w:hAnsi="Times New Roman" w:cs="Times New Roman"/>
          <w:color w:val="000000" w:themeColor="text1"/>
          <w:sz w:val="24"/>
          <w:szCs w:val="24"/>
        </w:rPr>
        <w:t>219</w:t>
      </w:r>
      <w:r w:rsidRPr="00A63449" w:rsidR="00565822">
        <w:rPr>
          <w:rFonts w:ascii="Times New Roman" w:hAnsi="Times New Roman" w:cs="Times New Roman"/>
          <w:color w:val="000000" w:themeColor="text1"/>
          <w:sz w:val="24"/>
          <w:szCs w:val="24"/>
        </w:rPr>
        <w:t>.7</w:t>
      </w:r>
      <w:r w:rsidRPr="00A63449">
        <w:rPr>
          <w:rFonts w:ascii="Times New Roman" w:hAnsi="Times New Roman" w:cs="Times New Roman"/>
          <w:color w:val="000000" w:themeColor="text1"/>
          <w:sz w:val="24"/>
          <w:szCs w:val="24"/>
        </w:rPr>
        <w:t xml:space="preserve"> + </w:t>
      </w:r>
      <w:r w:rsidRPr="00A63449" w:rsidR="00565822">
        <w:rPr>
          <w:rFonts w:ascii="Times New Roman" w:hAnsi="Times New Roman" w:cs="Times New Roman"/>
          <w:color w:val="000000" w:themeColor="text1"/>
          <w:sz w:val="24"/>
          <w:szCs w:val="24"/>
        </w:rPr>
        <w:t>5</w:t>
      </w:r>
      <w:r w:rsidRPr="00A63449" w:rsidR="00573F05">
        <w:rPr>
          <w:rFonts w:ascii="Times New Roman" w:hAnsi="Times New Roman" w:cs="Times New Roman"/>
          <w:color w:val="000000" w:themeColor="text1"/>
          <w:sz w:val="24"/>
          <w:szCs w:val="24"/>
        </w:rPr>
        <w:t>93</w:t>
      </w:r>
      <w:r w:rsidRPr="00A63449" w:rsidR="00565822">
        <w:rPr>
          <w:rFonts w:ascii="Times New Roman" w:hAnsi="Times New Roman" w:cs="Times New Roman"/>
          <w:color w:val="000000" w:themeColor="text1"/>
          <w:sz w:val="24"/>
          <w:szCs w:val="24"/>
        </w:rPr>
        <w:t>.3</w:t>
      </w:r>
      <w:r w:rsidRPr="00A63449">
        <w:rPr>
          <w:rFonts w:ascii="Times New Roman" w:hAnsi="Times New Roman" w:cs="Times New Roman"/>
          <w:color w:val="000000" w:themeColor="text1"/>
          <w:sz w:val="24"/>
          <w:szCs w:val="24"/>
        </w:rPr>
        <w:t>)</w:t>
      </w:r>
    </w:p>
    <w:p w:rsidR="001559D6" w:rsidP="001559D6" w:rsidRDefault="001559D6" w14:paraId="32F8F5AA" w14:textId="41FDCBA5">
      <w:pPr>
        <w:spacing w:line="259" w:lineRule="auto"/>
        <w:rPr>
          <w:rFonts w:ascii="Times New Roman" w:hAnsi="Times New Roman" w:cs="Times New Roman"/>
          <w:sz w:val="24"/>
          <w:szCs w:val="24"/>
        </w:rPr>
      </w:pPr>
    </w:p>
    <w:p w:rsidRPr="00BD7237" w:rsidR="001559D6" w:rsidP="001559D6" w:rsidRDefault="001559D6" w14:paraId="407A4B37" w14:textId="77777777">
      <w:pPr>
        <w:spacing w:line="259" w:lineRule="auto"/>
        <w:rPr>
          <w:rFonts w:ascii="Times New Roman" w:hAnsi="Times New Roman" w:cs="Times New Roman"/>
          <w:sz w:val="24"/>
          <w:szCs w:val="24"/>
        </w:rPr>
        <w:sectPr w:rsidRPr="00BD7237" w:rsidR="001559D6" w:rsidSect="00B964A3">
          <w:footerReference w:type="default" r:id="rId20"/>
          <w:pgSz w:w="12240" w:h="15840"/>
          <w:pgMar w:top="1200" w:right="1080" w:bottom="1530" w:left="1080" w:header="0" w:footer="1014" w:gutter="0"/>
          <w:cols w:space="720"/>
          <w:docGrid w:linePitch="299"/>
        </w:sectPr>
      </w:pPr>
    </w:p>
    <w:p w:rsidRPr="000D644A" w:rsidR="008E61C9" w:rsidP="00B964A3" w:rsidRDefault="001477A3" w14:paraId="6899AC9C" w14:textId="77777777">
      <w:pPr>
        <w:pStyle w:val="ListParagraph"/>
        <w:numPr>
          <w:ilvl w:val="0"/>
          <w:numId w:val="17"/>
        </w:numPr>
        <w:tabs>
          <w:tab w:val="left" w:pos="360"/>
        </w:tabs>
        <w:spacing w:before="80"/>
        <w:ind w:left="0" w:firstLine="0"/>
        <w:rPr>
          <w:rFonts w:ascii="Times New Roman" w:hAnsi="Times New Roman" w:cs="Times New Roman"/>
          <w:b/>
          <w:sz w:val="24"/>
          <w:szCs w:val="24"/>
        </w:rPr>
      </w:pPr>
      <w:r w:rsidRPr="000D644A">
        <w:rPr>
          <w:rFonts w:ascii="Times New Roman" w:hAnsi="Times New Roman" w:cs="Times New Roman"/>
          <w:b/>
          <w:sz w:val="24"/>
          <w:szCs w:val="24"/>
        </w:rPr>
        <w:lastRenderedPageBreak/>
        <w:t>Provide an estimate for the total annual cost burden to respondents or record keepers resulting from the collection of information. (Do not include the cost of any hour burden already reflected on the burden worksheet).</w:t>
      </w:r>
    </w:p>
    <w:p w:rsidRPr="00A63449" w:rsidR="004D61AF" w:rsidP="00D036CA" w:rsidRDefault="003D4291" w14:paraId="22536D72" w14:textId="77777777">
      <w:pPr>
        <w:spacing w:before="100" w:beforeAutospacing="1"/>
        <w:ind w:left="288"/>
        <w:rPr>
          <w:rFonts w:ascii="Times New Roman" w:hAnsi="Times New Roman" w:cs="Times New Roman"/>
          <w:color w:val="000000" w:themeColor="text1"/>
          <w:sz w:val="24"/>
          <w:szCs w:val="24"/>
          <w:u w:val="single"/>
        </w:rPr>
      </w:pPr>
      <w:r w:rsidRPr="00A63449">
        <w:rPr>
          <w:rFonts w:ascii="Times New Roman" w:hAnsi="Times New Roman" w:cs="Times New Roman"/>
          <w:color w:val="000000" w:themeColor="text1"/>
          <w:sz w:val="24"/>
          <w:szCs w:val="24"/>
          <w:u w:val="single"/>
        </w:rPr>
        <w:t xml:space="preserve">Total capital and start-up cost </w:t>
      </w:r>
    </w:p>
    <w:p w:rsidRPr="00A63449" w:rsidR="002234AC" w:rsidP="000D644A" w:rsidRDefault="00A27601" w14:paraId="76C2F6B5" w14:textId="2C21A8BF">
      <w:pPr>
        <w:spacing w:before="120"/>
        <w:ind w:left="360"/>
        <w:rPr>
          <w:rFonts w:ascii="Times New Roman" w:hAnsi="Times New Roman" w:cs="Times New Roman"/>
          <w:color w:val="000000" w:themeColor="text1"/>
          <w:sz w:val="24"/>
          <w:szCs w:val="24"/>
        </w:rPr>
      </w:pPr>
      <w:r w:rsidRPr="00A63449">
        <w:rPr>
          <w:rFonts w:ascii="Times New Roman" w:hAnsi="Times New Roman" w:cs="Times New Roman"/>
          <w:color w:val="000000" w:themeColor="text1"/>
          <w:sz w:val="24"/>
          <w:szCs w:val="24"/>
        </w:rPr>
        <w:t xml:space="preserve">The initial purchase price a VMS unit varies by vendor.  VMS </w:t>
      </w:r>
      <w:r w:rsidRPr="00A63449" w:rsidR="002234AC">
        <w:rPr>
          <w:rFonts w:ascii="Times New Roman" w:hAnsi="Times New Roman" w:cs="Times New Roman"/>
          <w:color w:val="000000" w:themeColor="text1"/>
          <w:sz w:val="24"/>
          <w:szCs w:val="24"/>
        </w:rPr>
        <w:t>v</w:t>
      </w:r>
      <w:r w:rsidRPr="00A63449">
        <w:rPr>
          <w:rFonts w:ascii="Times New Roman" w:hAnsi="Times New Roman" w:cs="Times New Roman"/>
          <w:color w:val="000000" w:themeColor="text1"/>
          <w:sz w:val="24"/>
          <w:szCs w:val="24"/>
        </w:rPr>
        <w:t xml:space="preserve">endors </w:t>
      </w:r>
      <w:proofErr w:type="gramStart"/>
      <w:r w:rsidRPr="00A63449">
        <w:rPr>
          <w:rFonts w:ascii="Times New Roman" w:hAnsi="Times New Roman" w:cs="Times New Roman"/>
          <w:color w:val="000000" w:themeColor="text1"/>
          <w:sz w:val="24"/>
          <w:szCs w:val="24"/>
        </w:rPr>
        <w:t>were contacted</w:t>
      </w:r>
      <w:proofErr w:type="gramEnd"/>
      <w:r w:rsidRPr="00A63449">
        <w:rPr>
          <w:rFonts w:ascii="Times New Roman" w:hAnsi="Times New Roman" w:cs="Times New Roman"/>
          <w:color w:val="000000" w:themeColor="text1"/>
          <w:sz w:val="24"/>
          <w:szCs w:val="24"/>
        </w:rPr>
        <w:t xml:space="preserve"> as part of this analysis, with responses received from most, but not all.  The purchase price for a VMS unit from the vendors who responded ranged from $1,995 to $3,195.  The estimated average price of new VMS unit as $2,764</w:t>
      </w:r>
      <w:r w:rsidRPr="00A63449" w:rsidR="003D4291">
        <w:rPr>
          <w:rFonts w:ascii="Times New Roman" w:hAnsi="Times New Roman" w:cs="Times New Roman"/>
          <w:color w:val="000000" w:themeColor="text1"/>
          <w:sz w:val="24"/>
          <w:szCs w:val="24"/>
        </w:rPr>
        <w:t>, which annualized over an at least ten year life span, represents a $276.4 annual cost</w:t>
      </w:r>
      <w:r w:rsidRPr="00A63449">
        <w:rPr>
          <w:rFonts w:ascii="Times New Roman" w:hAnsi="Times New Roman" w:cs="Times New Roman"/>
          <w:color w:val="000000" w:themeColor="text1"/>
          <w:sz w:val="24"/>
          <w:szCs w:val="24"/>
        </w:rPr>
        <w:t xml:space="preserve">.  </w:t>
      </w:r>
      <w:r w:rsidRPr="00A63449" w:rsidR="003D4291">
        <w:rPr>
          <w:rFonts w:ascii="Times New Roman" w:hAnsi="Times New Roman" w:cs="Times New Roman"/>
          <w:color w:val="000000" w:themeColor="text1"/>
          <w:sz w:val="24"/>
          <w:szCs w:val="24"/>
        </w:rPr>
        <w:t xml:space="preserve">*Not included in this total is the opportunity for the vessel owner to </w:t>
      </w:r>
      <w:proofErr w:type="gramStart"/>
      <w:r w:rsidRPr="00A63449" w:rsidR="003D4291">
        <w:rPr>
          <w:rFonts w:ascii="Times New Roman" w:hAnsi="Times New Roman" w:cs="Times New Roman"/>
          <w:color w:val="000000" w:themeColor="text1"/>
          <w:sz w:val="24"/>
          <w:szCs w:val="24"/>
        </w:rPr>
        <w:t>be reimbursed</w:t>
      </w:r>
      <w:proofErr w:type="gramEnd"/>
      <w:r w:rsidRPr="00A63449" w:rsidR="003D4291">
        <w:rPr>
          <w:rFonts w:ascii="Times New Roman" w:hAnsi="Times New Roman" w:cs="Times New Roman"/>
          <w:color w:val="000000" w:themeColor="text1"/>
          <w:sz w:val="24"/>
          <w:szCs w:val="24"/>
        </w:rPr>
        <w:t xml:space="preserve"> for up to $3,100 for the initial purchase of a VMS unit.  This reimbursement program </w:t>
      </w:r>
      <w:proofErr w:type="gramStart"/>
      <w:r w:rsidRPr="00A63449" w:rsidR="003D4291">
        <w:rPr>
          <w:rFonts w:ascii="Times New Roman" w:hAnsi="Times New Roman" w:cs="Times New Roman"/>
          <w:color w:val="000000" w:themeColor="text1"/>
          <w:sz w:val="24"/>
          <w:szCs w:val="24"/>
        </w:rPr>
        <w:t>is managed</w:t>
      </w:r>
      <w:proofErr w:type="gramEnd"/>
      <w:r w:rsidRPr="00A63449" w:rsidR="003D4291">
        <w:rPr>
          <w:rFonts w:ascii="Times New Roman" w:hAnsi="Times New Roman" w:cs="Times New Roman"/>
          <w:color w:val="000000" w:themeColor="text1"/>
          <w:sz w:val="24"/>
          <w:szCs w:val="24"/>
        </w:rPr>
        <w:t xml:space="preserve"> out of the Pacific States Marine Fisheries </w:t>
      </w:r>
      <w:r w:rsidRPr="00A63449" w:rsidR="004D61AF">
        <w:rPr>
          <w:rFonts w:ascii="Times New Roman" w:hAnsi="Times New Roman" w:cs="Times New Roman"/>
          <w:color w:val="000000" w:themeColor="text1"/>
          <w:sz w:val="24"/>
          <w:szCs w:val="24"/>
        </w:rPr>
        <w:t xml:space="preserve">Commission at </w:t>
      </w:r>
      <w:hyperlink w:history="1" r:id="rId21">
        <w:r w:rsidRPr="00A63449" w:rsidR="004D61AF">
          <w:rPr>
            <w:rFonts w:ascii="Times New Roman" w:hAnsi="Times New Roman" w:cs="Times New Roman"/>
            <w:color w:val="000000" w:themeColor="text1"/>
            <w:sz w:val="24"/>
            <w:szCs w:val="24"/>
          </w:rPr>
          <w:t>https://www.psmfc.org/program/vessel-monitoring-system-reimbursement-program-vms</w:t>
        </w:r>
      </w:hyperlink>
      <w:r w:rsidRPr="00A63449" w:rsidR="003D4291">
        <w:rPr>
          <w:rFonts w:ascii="Times New Roman" w:hAnsi="Times New Roman" w:cs="Times New Roman"/>
          <w:color w:val="000000" w:themeColor="text1"/>
          <w:sz w:val="24"/>
          <w:szCs w:val="24"/>
        </w:rPr>
        <w:t xml:space="preserve">.  Funds are subject to availability, but the program has heretofore been able to reimburse all eligible vessel owners </w:t>
      </w:r>
      <w:r w:rsidRPr="00A63449" w:rsidR="004D61AF">
        <w:rPr>
          <w:rFonts w:ascii="Times New Roman" w:hAnsi="Times New Roman" w:cs="Times New Roman"/>
          <w:color w:val="000000" w:themeColor="text1"/>
          <w:sz w:val="24"/>
          <w:szCs w:val="24"/>
        </w:rPr>
        <w:t xml:space="preserve">who requested reimbursement </w:t>
      </w:r>
      <w:r w:rsidRPr="00A63449" w:rsidR="003D4291">
        <w:rPr>
          <w:rFonts w:ascii="Times New Roman" w:hAnsi="Times New Roman" w:cs="Times New Roman"/>
          <w:color w:val="000000" w:themeColor="text1"/>
          <w:sz w:val="24"/>
          <w:szCs w:val="24"/>
        </w:rPr>
        <w:t>for</w:t>
      </w:r>
      <w:r w:rsidRPr="00A63449" w:rsidR="004D61AF">
        <w:rPr>
          <w:rFonts w:ascii="Times New Roman" w:hAnsi="Times New Roman" w:cs="Times New Roman"/>
          <w:color w:val="000000" w:themeColor="text1"/>
          <w:sz w:val="24"/>
          <w:szCs w:val="24"/>
        </w:rPr>
        <w:t xml:space="preserve"> their first-time purchase of an applicable VMS unit.</w:t>
      </w:r>
      <w:r w:rsidRPr="00A63449" w:rsidR="003D4291">
        <w:rPr>
          <w:rFonts w:ascii="Times New Roman" w:hAnsi="Times New Roman" w:cs="Times New Roman"/>
          <w:color w:val="000000" w:themeColor="text1"/>
          <w:sz w:val="24"/>
          <w:szCs w:val="24"/>
        </w:rPr>
        <w:t xml:space="preserve"> </w:t>
      </w:r>
      <w:r w:rsidRPr="00A63449" w:rsidR="004D61AF">
        <w:rPr>
          <w:rFonts w:ascii="Times New Roman" w:hAnsi="Times New Roman" w:cs="Times New Roman"/>
          <w:color w:val="000000" w:themeColor="text1"/>
          <w:sz w:val="24"/>
          <w:szCs w:val="24"/>
        </w:rPr>
        <w:t xml:space="preserve">If this reimbursement opportunity is considered, the annualized purchase cost </w:t>
      </w:r>
      <w:proofErr w:type="gramStart"/>
      <w:r w:rsidRPr="00A63449" w:rsidR="004D61AF">
        <w:rPr>
          <w:rFonts w:ascii="Times New Roman" w:hAnsi="Times New Roman" w:cs="Times New Roman"/>
          <w:color w:val="000000" w:themeColor="text1"/>
          <w:sz w:val="24"/>
          <w:szCs w:val="24"/>
        </w:rPr>
        <w:t>is decreased</w:t>
      </w:r>
      <w:proofErr w:type="gramEnd"/>
      <w:r w:rsidRPr="00A63449" w:rsidR="004D61AF">
        <w:rPr>
          <w:rFonts w:ascii="Times New Roman" w:hAnsi="Times New Roman" w:cs="Times New Roman"/>
          <w:color w:val="000000" w:themeColor="text1"/>
          <w:sz w:val="24"/>
          <w:szCs w:val="24"/>
        </w:rPr>
        <w:t xml:space="preserve"> to between $0 and $20, depending on which unit is purchase.</w:t>
      </w:r>
    </w:p>
    <w:p w:rsidRPr="00A63449" w:rsidR="003D4291" w:rsidP="000D644A" w:rsidRDefault="00A27601" w14:paraId="45363F25" w14:textId="534E13CD">
      <w:pPr>
        <w:spacing w:before="120"/>
        <w:ind w:left="360"/>
        <w:rPr>
          <w:rFonts w:ascii="Times New Roman" w:hAnsi="Times New Roman" w:cs="Times New Roman"/>
          <w:color w:val="000000" w:themeColor="text1"/>
          <w:sz w:val="24"/>
          <w:szCs w:val="24"/>
        </w:rPr>
      </w:pPr>
      <w:r w:rsidRPr="00A63449">
        <w:rPr>
          <w:rFonts w:ascii="Times New Roman" w:hAnsi="Times New Roman" w:cs="Times New Roman"/>
          <w:color w:val="000000" w:themeColor="text1"/>
          <w:sz w:val="24"/>
          <w:szCs w:val="24"/>
        </w:rPr>
        <w:t>The requirement to hire a qualified marine electrician to install a VMS constitutes a startup cost.  The installation costs estimated by the vendors ranged from $350 to $400, with an average estimated cost of $375</w:t>
      </w:r>
      <w:r w:rsidRPr="00A63449" w:rsidR="003D4291">
        <w:rPr>
          <w:rFonts w:ascii="Times New Roman" w:hAnsi="Times New Roman" w:cs="Times New Roman"/>
          <w:color w:val="000000" w:themeColor="text1"/>
          <w:sz w:val="24"/>
          <w:szCs w:val="24"/>
        </w:rPr>
        <w:t xml:space="preserve">, which annualized over an at least ten year life span represents a $37.5 annual cost.  </w:t>
      </w:r>
    </w:p>
    <w:p w:rsidRPr="00A63449" w:rsidR="003D4291" w:rsidP="000D644A" w:rsidRDefault="004D61AF" w14:paraId="42D66678" w14:textId="6771F78E">
      <w:pPr>
        <w:spacing w:before="120"/>
        <w:ind w:left="360"/>
        <w:rPr>
          <w:rFonts w:ascii="Times New Roman" w:hAnsi="Times New Roman" w:cs="Times New Roman"/>
          <w:color w:val="000000" w:themeColor="text1"/>
          <w:sz w:val="24"/>
          <w:szCs w:val="24"/>
          <w:u w:val="single"/>
        </w:rPr>
      </w:pPr>
      <w:r w:rsidRPr="00A63449">
        <w:rPr>
          <w:rFonts w:ascii="Times New Roman" w:hAnsi="Times New Roman" w:cs="Times New Roman"/>
          <w:color w:val="000000" w:themeColor="text1"/>
          <w:sz w:val="24"/>
          <w:szCs w:val="24"/>
          <w:u w:val="single"/>
        </w:rPr>
        <w:t>T</w:t>
      </w:r>
      <w:r w:rsidRPr="00A63449" w:rsidR="003D4291">
        <w:rPr>
          <w:rFonts w:ascii="Times New Roman" w:hAnsi="Times New Roman" w:cs="Times New Roman"/>
          <w:color w:val="000000" w:themeColor="text1"/>
          <w:sz w:val="24"/>
          <w:szCs w:val="24"/>
          <w:u w:val="single"/>
        </w:rPr>
        <w:t xml:space="preserve">otal </w:t>
      </w:r>
      <w:proofErr w:type="gramStart"/>
      <w:r w:rsidRPr="00A63449" w:rsidR="003D4291">
        <w:rPr>
          <w:rFonts w:ascii="Times New Roman" w:hAnsi="Times New Roman" w:cs="Times New Roman"/>
          <w:color w:val="000000" w:themeColor="text1"/>
          <w:sz w:val="24"/>
          <w:szCs w:val="24"/>
          <w:u w:val="single"/>
        </w:rPr>
        <w:t>operation and maintenance</w:t>
      </w:r>
      <w:proofErr w:type="gramEnd"/>
      <w:r w:rsidRPr="00A63449" w:rsidR="003D4291">
        <w:rPr>
          <w:rFonts w:ascii="Times New Roman" w:hAnsi="Times New Roman" w:cs="Times New Roman"/>
          <w:color w:val="000000" w:themeColor="text1"/>
          <w:sz w:val="24"/>
          <w:szCs w:val="24"/>
          <w:u w:val="single"/>
        </w:rPr>
        <w:t xml:space="preserve"> and purchase of services component</w:t>
      </w:r>
    </w:p>
    <w:p w:rsidR="00D53C1C" w:rsidP="00D53C1C" w:rsidRDefault="00D53C1C" w14:paraId="3748861A" w14:textId="77777777">
      <w:pPr>
        <w:spacing w:before="120"/>
        <w:ind w:left="360"/>
        <w:rPr>
          <w:rFonts w:ascii="Times New Roman" w:hAnsi="Times New Roman" w:cs="Times New Roman"/>
          <w:color w:val="000000" w:themeColor="text1"/>
          <w:sz w:val="24"/>
          <w:szCs w:val="24"/>
        </w:rPr>
      </w:pPr>
      <w:r w:rsidRPr="00A63449">
        <w:rPr>
          <w:rFonts w:ascii="Times New Roman" w:hAnsi="Times New Roman" w:cs="Times New Roman"/>
          <w:color w:val="000000" w:themeColor="text1"/>
          <w:sz w:val="24"/>
          <w:szCs w:val="24"/>
        </w:rPr>
        <w:t xml:space="preserve">The recurring monthly </w:t>
      </w:r>
      <w:r>
        <w:rPr>
          <w:rFonts w:ascii="Times New Roman" w:hAnsi="Times New Roman" w:cs="Times New Roman"/>
          <w:color w:val="000000" w:themeColor="text1"/>
          <w:sz w:val="24"/>
          <w:szCs w:val="24"/>
        </w:rPr>
        <w:t>operation</w:t>
      </w:r>
      <w:r w:rsidRPr="00A63449">
        <w:rPr>
          <w:rFonts w:ascii="Times New Roman" w:hAnsi="Times New Roman" w:cs="Times New Roman"/>
          <w:color w:val="000000" w:themeColor="text1"/>
          <w:sz w:val="24"/>
          <w:szCs w:val="24"/>
        </w:rPr>
        <w:t xml:space="preserve"> costs </w:t>
      </w:r>
      <w:r>
        <w:rPr>
          <w:rFonts w:ascii="Times New Roman" w:hAnsi="Times New Roman" w:cs="Times New Roman"/>
          <w:color w:val="000000" w:themeColor="text1"/>
          <w:sz w:val="24"/>
          <w:szCs w:val="24"/>
        </w:rPr>
        <w:t xml:space="preserve">associated with submitting 24 positions per day </w:t>
      </w:r>
      <w:r w:rsidRPr="00A63449">
        <w:rPr>
          <w:rFonts w:ascii="Times New Roman" w:hAnsi="Times New Roman" w:cs="Times New Roman"/>
          <w:color w:val="000000" w:themeColor="text1"/>
          <w:sz w:val="24"/>
          <w:szCs w:val="24"/>
        </w:rPr>
        <w:t xml:space="preserve">ranged from $36 to $54, with $45 as an estimated average cost per month, or $520 annually ($45 x 12 months). </w:t>
      </w:r>
      <w:r>
        <w:rPr>
          <w:rFonts w:ascii="Times New Roman" w:hAnsi="Times New Roman" w:cs="Times New Roman"/>
          <w:color w:val="000000" w:themeColor="text1"/>
          <w:sz w:val="24"/>
          <w:szCs w:val="24"/>
        </w:rPr>
        <w:t xml:space="preserve"> The annual number of responses per respondent </w:t>
      </w:r>
      <w:proofErr w:type="gramStart"/>
      <w:r>
        <w:rPr>
          <w:rFonts w:ascii="Times New Roman" w:hAnsi="Times New Roman" w:cs="Times New Roman"/>
          <w:color w:val="000000" w:themeColor="text1"/>
          <w:sz w:val="24"/>
          <w:szCs w:val="24"/>
        </w:rPr>
        <w:t>is estimated</w:t>
      </w:r>
      <w:proofErr w:type="gramEnd"/>
      <w:r>
        <w:rPr>
          <w:rFonts w:ascii="Times New Roman" w:hAnsi="Times New Roman" w:cs="Times New Roman"/>
          <w:color w:val="000000" w:themeColor="text1"/>
          <w:sz w:val="24"/>
          <w:szCs w:val="24"/>
        </w:rPr>
        <w:t xml:space="preserve"> at 8,760 (24 positions per day x 365 days per year).   </w:t>
      </w:r>
    </w:p>
    <w:p w:rsidRPr="00EA769E" w:rsidR="00D53C1C" w:rsidP="00D53C1C" w:rsidRDefault="00D53C1C" w14:paraId="744D566E" w14:textId="77777777">
      <w:pPr>
        <w:spacing w:before="120"/>
        <w:ind w:left="360"/>
        <w:rPr>
          <w:rFonts w:ascii="Times New Roman" w:hAnsi="Times New Roman" w:cs="Times New Roman"/>
          <w:color w:val="000000" w:themeColor="text1"/>
          <w:sz w:val="24"/>
          <w:szCs w:val="24"/>
          <w:u w:val="single"/>
        </w:rPr>
      </w:pPr>
      <w:r w:rsidRPr="00EA769E">
        <w:rPr>
          <w:rFonts w:ascii="Times New Roman" w:hAnsi="Times New Roman" w:cs="Times New Roman"/>
          <w:color w:val="000000" w:themeColor="text1"/>
          <w:sz w:val="24"/>
          <w:szCs w:val="24"/>
          <w:u w:val="single"/>
        </w:rPr>
        <w:t>Trip Declaration costs</w:t>
      </w:r>
    </w:p>
    <w:p w:rsidRPr="00A63449" w:rsidR="00D53C1C" w:rsidP="00D53C1C" w:rsidRDefault="00D53C1C" w14:paraId="55F9A2A2" w14:textId="77777777">
      <w:pPr>
        <w:spacing w:before="120"/>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Trip declarations are required from Commercial Gulf of Mexico Reef Fish vessels only (824 vessels).  Some vendors include the cost of trip declarations as part of their monthly operation.  Other vendors charge as much as an additional $10 for </w:t>
      </w:r>
      <w:proofErr w:type="gramStart"/>
      <w:r>
        <w:rPr>
          <w:rFonts w:ascii="Times New Roman" w:hAnsi="Times New Roman" w:cs="Times New Roman"/>
          <w:color w:val="000000" w:themeColor="text1"/>
          <w:sz w:val="24"/>
          <w:szCs w:val="24"/>
        </w:rPr>
        <w:t>6</w:t>
      </w:r>
      <w:proofErr w:type="gramEnd"/>
      <w:r>
        <w:rPr>
          <w:rFonts w:ascii="Times New Roman" w:hAnsi="Times New Roman" w:cs="Times New Roman"/>
          <w:color w:val="000000" w:themeColor="text1"/>
          <w:sz w:val="24"/>
          <w:szCs w:val="24"/>
        </w:rPr>
        <w:t xml:space="preserve"> declarations in a month.  NMFS estimates the average cost per trip declaration to be $0.30.    Estimates for the industry are an average of 16 trip declarations per vessel per year, resulting in an average additional cost of $4.80 per vessel per year for trip declarations.</w:t>
      </w:r>
    </w:p>
    <w:p w:rsidRPr="00A63449" w:rsidR="00D53C1C" w:rsidP="00D53C1C" w:rsidRDefault="00D53C1C" w14:paraId="64E1179C" w14:textId="77777777">
      <w:pPr>
        <w:spacing w:before="120"/>
        <w:ind w:left="360"/>
        <w:rPr>
          <w:rFonts w:ascii="Times New Roman" w:hAnsi="Times New Roman" w:cs="Times New Roman"/>
          <w:color w:val="000000" w:themeColor="text1"/>
          <w:sz w:val="24"/>
          <w:szCs w:val="24"/>
        </w:rPr>
      </w:pPr>
      <w:r w:rsidRPr="00A63449">
        <w:rPr>
          <w:rFonts w:ascii="Times New Roman" w:hAnsi="Times New Roman" w:cs="Times New Roman"/>
          <w:color w:val="000000" w:themeColor="text1"/>
          <w:sz w:val="24"/>
          <w:szCs w:val="24"/>
        </w:rPr>
        <w:t>No additional record keeping is required for these activities.</w:t>
      </w:r>
    </w:p>
    <w:p w:rsidRPr="00A27601" w:rsidR="00A27601" w:rsidP="009502CA" w:rsidRDefault="00A27601" w14:paraId="37F565A3" w14:textId="71B25440">
      <w:pPr>
        <w:spacing w:before="120"/>
        <w:rPr>
          <w:rFonts w:ascii="Times New Roman" w:hAnsi="Times New Roman" w:cs="Times New Roman"/>
          <w:sz w:val="24"/>
          <w:szCs w:val="24"/>
        </w:rPr>
      </w:pPr>
    </w:p>
    <w:p w:rsidR="008E61C9" w:rsidP="00BD7237" w:rsidRDefault="008E61C9" w14:paraId="645CB451" w14:textId="77777777">
      <w:pPr>
        <w:pStyle w:val="BodyText"/>
        <w:spacing w:before="1"/>
        <w:ind w:left="0"/>
        <w:rPr>
          <w:rFonts w:ascii="Times New Roman" w:hAnsi="Times New Roman" w:cs="Times New Roman"/>
          <w:b/>
        </w:rPr>
      </w:pPr>
    </w:p>
    <w:tbl>
      <w:tblPr>
        <w:tblW w:w="10275" w:type="dxa"/>
        <w:tblInd w:w="-25" w:type="dxa"/>
        <w:tblLook w:val="04A0" w:firstRow="1" w:lastRow="0" w:firstColumn="1" w:lastColumn="0" w:noHBand="0" w:noVBand="1"/>
      </w:tblPr>
      <w:tblGrid>
        <w:gridCol w:w="2791"/>
        <w:gridCol w:w="1441"/>
        <w:gridCol w:w="1453"/>
        <w:gridCol w:w="1620"/>
        <w:gridCol w:w="1440"/>
        <w:gridCol w:w="1530"/>
      </w:tblGrid>
      <w:tr w:rsidRPr="00115034" w:rsidR="00115034" w:rsidTr="001477A3" w14:paraId="010001F7" w14:textId="77777777">
        <w:trPr>
          <w:trHeight w:val="915"/>
        </w:trPr>
        <w:tc>
          <w:tcPr>
            <w:tcW w:w="2791"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115034" w:rsidR="00115034" w:rsidP="00115034" w:rsidRDefault="00115034" w14:paraId="537E7D70" w14:textId="77777777">
            <w:pPr>
              <w:widowControl/>
              <w:autoSpaceDE/>
              <w:autoSpaceDN/>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Information Collection</w:t>
            </w:r>
          </w:p>
        </w:tc>
        <w:tc>
          <w:tcPr>
            <w:tcW w:w="1441" w:type="dxa"/>
            <w:tcBorders>
              <w:top w:val="single" w:color="auto" w:sz="8" w:space="0"/>
              <w:left w:val="nil"/>
              <w:bottom w:val="single" w:color="auto" w:sz="8" w:space="0"/>
              <w:right w:val="single" w:color="000000" w:sz="8" w:space="0"/>
            </w:tcBorders>
            <w:shd w:val="clear" w:color="000000" w:fill="BDD7EE"/>
            <w:vAlign w:val="center"/>
            <w:hideMark/>
          </w:tcPr>
          <w:p w:rsidRPr="00115034" w:rsidR="00115034" w:rsidP="00115034" w:rsidRDefault="00115034" w14:paraId="369F0EC0" w14:textId="77777777">
            <w:pPr>
              <w:widowControl/>
              <w:autoSpaceDE/>
              <w:autoSpaceDN/>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 of Respondents</w:t>
            </w:r>
            <w:r>
              <w:rPr>
                <w:rFonts w:ascii="Calibri" w:hAnsi="Calibri" w:eastAsia="Times New Roman" w:cs="Calibri"/>
                <w:b/>
                <w:bCs/>
                <w:color w:val="000000"/>
                <w:sz w:val="16"/>
                <w:szCs w:val="16"/>
                <w:lang w:bidi="ar-SA"/>
              </w:rPr>
              <w:t>/year</w:t>
            </w:r>
            <w:r w:rsidRPr="00115034">
              <w:rPr>
                <w:rFonts w:ascii="Calibri" w:hAnsi="Calibri" w:eastAsia="Times New Roman" w:cs="Calibri"/>
                <w:b/>
                <w:bCs/>
                <w:color w:val="000000"/>
                <w:sz w:val="16"/>
                <w:szCs w:val="16"/>
                <w:lang w:bidi="ar-SA"/>
              </w:rPr>
              <w:br/>
              <w:t>(a)</w:t>
            </w:r>
          </w:p>
        </w:tc>
        <w:tc>
          <w:tcPr>
            <w:tcW w:w="1453"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115034" w:rsidRDefault="00115034" w14:paraId="0F05A628" w14:textId="77777777">
            <w:pPr>
              <w:widowControl/>
              <w:autoSpaceDE/>
              <w:autoSpaceDN/>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Annual # of Responses / Respondent</w:t>
            </w:r>
            <w:r w:rsidRPr="00115034">
              <w:rPr>
                <w:rFonts w:ascii="Calibri" w:hAnsi="Calibri" w:eastAsia="Times New Roman" w:cs="Calibri"/>
                <w:b/>
                <w:bCs/>
                <w:color w:val="000000"/>
                <w:sz w:val="16"/>
                <w:szCs w:val="16"/>
                <w:lang w:bidi="ar-SA"/>
              </w:rPr>
              <w:br/>
              <w:t>(b)</w:t>
            </w:r>
          </w:p>
        </w:tc>
        <w:tc>
          <w:tcPr>
            <w:tcW w:w="1620"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115034" w:rsidRDefault="00115034" w14:paraId="66C40E2B" w14:textId="77777777">
            <w:pPr>
              <w:widowControl/>
              <w:autoSpaceDE/>
              <w:autoSpaceDN/>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 xml:space="preserve"> Total # of Annual Responses</w:t>
            </w:r>
            <w:r w:rsidRPr="00115034">
              <w:rPr>
                <w:rFonts w:ascii="Calibri" w:hAnsi="Calibri" w:eastAsia="Times New Roman" w:cs="Calibri"/>
                <w:b/>
                <w:bCs/>
                <w:color w:val="000000"/>
                <w:sz w:val="16"/>
                <w:szCs w:val="16"/>
                <w:lang w:bidi="ar-SA"/>
              </w:rPr>
              <w:br/>
              <w:t>(c) = (a) x (b)</w:t>
            </w:r>
          </w:p>
        </w:tc>
        <w:tc>
          <w:tcPr>
            <w:tcW w:w="1440"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115034" w:rsidRDefault="00115034" w14:paraId="0A6065F6" w14:textId="77777777">
            <w:pPr>
              <w:widowControl/>
              <w:autoSpaceDE/>
              <w:autoSpaceDN/>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Cost Burden / Respondent</w:t>
            </w:r>
            <w:r w:rsidRPr="00115034">
              <w:rPr>
                <w:rFonts w:ascii="Calibri" w:hAnsi="Calibri" w:eastAsia="Times New Roman" w:cs="Calibri"/>
                <w:b/>
                <w:bCs/>
                <w:color w:val="000000"/>
                <w:sz w:val="16"/>
                <w:szCs w:val="16"/>
                <w:lang w:bidi="ar-SA"/>
              </w:rPr>
              <w:br/>
              <w:t>(h)</w:t>
            </w:r>
          </w:p>
        </w:tc>
        <w:tc>
          <w:tcPr>
            <w:tcW w:w="1530"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115034" w:rsidRDefault="00115034" w14:paraId="2F3435C8" w14:textId="77777777">
            <w:pPr>
              <w:widowControl/>
              <w:autoSpaceDE/>
              <w:autoSpaceDN/>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Total Annual Cost Burden</w:t>
            </w:r>
            <w:r w:rsidRPr="00115034">
              <w:rPr>
                <w:rFonts w:ascii="Calibri" w:hAnsi="Calibri" w:eastAsia="Times New Roman" w:cs="Calibri"/>
                <w:b/>
                <w:bCs/>
                <w:color w:val="000000"/>
                <w:sz w:val="16"/>
                <w:szCs w:val="16"/>
                <w:lang w:bidi="ar-SA"/>
              </w:rPr>
              <w:br/>
              <w:t>(</w:t>
            </w:r>
            <w:proofErr w:type="spellStart"/>
            <w:r w:rsidRPr="00115034">
              <w:rPr>
                <w:rFonts w:ascii="Calibri" w:hAnsi="Calibri" w:eastAsia="Times New Roman" w:cs="Calibri"/>
                <w:b/>
                <w:bCs/>
                <w:color w:val="000000"/>
                <w:sz w:val="16"/>
                <w:szCs w:val="16"/>
                <w:lang w:bidi="ar-SA"/>
              </w:rPr>
              <w:t>i</w:t>
            </w:r>
            <w:proofErr w:type="spellEnd"/>
            <w:r w:rsidRPr="00115034">
              <w:rPr>
                <w:rFonts w:ascii="Calibri" w:hAnsi="Calibri" w:eastAsia="Times New Roman" w:cs="Calibri"/>
                <w:b/>
                <w:bCs/>
                <w:color w:val="000000"/>
                <w:sz w:val="16"/>
                <w:szCs w:val="16"/>
                <w:lang w:bidi="ar-SA"/>
              </w:rPr>
              <w:t>) = (c) x (h)</w:t>
            </w:r>
          </w:p>
        </w:tc>
      </w:tr>
      <w:tr w:rsidRPr="00115034" w:rsidR="009502CA" w:rsidTr="003C6516" w14:paraId="72846516" w14:textId="77777777">
        <w:trPr>
          <w:trHeight w:val="300"/>
        </w:trPr>
        <w:tc>
          <w:tcPr>
            <w:tcW w:w="2791" w:type="dxa"/>
            <w:tcBorders>
              <w:top w:val="nil"/>
              <w:left w:val="single" w:color="auto" w:sz="4" w:space="0"/>
              <w:bottom w:val="single" w:color="auto" w:sz="4" w:space="0"/>
              <w:right w:val="single" w:color="auto" w:sz="4" w:space="0"/>
            </w:tcBorders>
            <w:shd w:val="clear" w:color="auto" w:fill="auto"/>
            <w:vAlign w:val="bottom"/>
            <w:hideMark/>
          </w:tcPr>
          <w:p w:rsidRPr="00115034" w:rsidR="009502CA" w:rsidP="009502CA" w:rsidRDefault="009502CA" w14:paraId="78581F11" w14:textId="061F69DF">
            <w:pPr>
              <w:pStyle w:val="CM4"/>
              <w:spacing w:after="0"/>
              <w:rPr>
                <w:rFonts w:ascii="Calibri" w:hAnsi="Calibri" w:cs="Calibri"/>
                <w:color w:val="000000"/>
                <w:sz w:val="16"/>
                <w:szCs w:val="16"/>
              </w:rPr>
            </w:pPr>
            <w:r w:rsidRPr="00D64DF9">
              <w:rPr>
                <w:rFonts w:ascii="Calibri" w:hAnsi="Calibri" w:cs="Calibri"/>
                <w:color w:val="000000"/>
                <w:sz w:val="16"/>
                <w:szCs w:val="16"/>
              </w:rPr>
              <w:t> </w:t>
            </w:r>
            <w:r>
              <w:rPr>
                <w:rFonts w:ascii="Calibri" w:hAnsi="Calibri" w:cs="Calibri"/>
                <w:color w:val="000000"/>
                <w:sz w:val="16"/>
                <w:szCs w:val="16"/>
              </w:rPr>
              <w:t>Annual VMS maintenance</w:t>
            </w:r>
          </w:p>
        </w:tc>
        <w:tc>
          <w:tcPr>
            <w:tcW w:w="1441" w:type="dxa"/>
            <w:tcBorders>
              <w:top w:val="nil"/>
              <w:left w:val="nil"/>
              <w:bottom w:val="single" w:color="auto" w:sz="4" w:space="0"/>
              <w:right w:val="single" w:color="auto" w:sz="4" w:space="0"/>
            </w:tcBorders>
            <w:shd w:val="clear" w:color="000000" w:fill="FFFFFF"/>
            <w:vAlign w:val="bottom"/>
            <w:hideMark/>
          </w:tcPr>
          <w:p w:rsidRPr="00115034" w:rsidR="009502CA" w:rsidP="009502CA" w:rsidRDefault="009502CA" w14:paraId="67ACD42C" w14:textId="76A94929">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901</w:t>
            </w:r>
            <w:r w:rsidRPr="00D64DF9">
              <w:rPr>
                <w:rFonts w:ascii="Calibri" w:hAnsi="Calibri" w:eastAsia="Times New Roman" w:cs="Calibri"/>
                <w:color w:val="000000"/>
                <w:sz w:val="16"/>
                <w:szCs w:val="16"/>
                <w:lang w:bidi="ar-SA"/>
              </w:rPr>
              <w:t> </w:t>
            </w:r>
          </w:p>
        </w:tc>
        <w:tc>
          <w:tcPr>
            <w:tcW w:w="1453" w:type="dxa"/>
            <w:tcBorders>
              <w:top w:val="nil"/>
              <w:left w:val="nil"/>
              <w:bottom w:val="single" w:color="auto" w:sz="4" w:space="0"/>
              <w:right w:val="single" w:color="auto" w:sz="4" w:space="0"/>
            </w:tcBorders>
            <w:shd w:val="clear" w:color="000000" w:fill="FFFFFF"/>
            <w:vAlign w:val="bottom"/>
            <w:hideMark/>
          </w:tcPr>
          <w:p w:rsidRPr="00115034" w:rsidR="009502CA" w:rsidP="009502CA" w:rsidRDefault="009502CA" w14:paraId="6C54913F" w14:textId="287EAF9A">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D64DF9">
              <w:rPr>
                <w:rFonts w:ascii="Calibri" w:hAnsi="Calibri" w:eastAsia="Times New Roman" w:cs="Calibri"/>
                <w:color w:val="000000"/>
                <w:sz w:val="16"/>
                <w:szCs w:val="16"/>
                <w:lang w:bidi="ar-SA"/>
              </w:rPr>
              <w:t> </w:t>
            </w:r>
          </w:p>
        </w:tc>
        <w:tc>
          <w:tcPr>
            <w:tcW w:w="1620" w:type="dxa"/>
            <w:tcBorders>
              <w:top w:val="nil"/>
              <w:left w:val="nil"/>
              <w:bottom w:val="single" w:color="auto" w:sz="4" w:space="0"/>
              <w:right w:val="single" w:color="auto" w:sz="4" w:space="0"/>
            </w:tcBorders>
            <w:shd w:val="clear" w:color="000000" w:fill="FFFFFF"/>
            <w:vAlign w:val="bottom"/>
            <w:hideMark/>
          </w:tcPr>
          <w:p w:rsidRPr="00115034" w:rsidR="009502CA" w:rsidP="009502CA" w:rsidRDefault="009502CA" w14:paraId="035501FF" w14:textId="2DEE4944">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901</w:t>
            </w:r>
            <w:r w:rsidRPr="00D64DF9">
              <w:rPr>
                <w:rFonts w:ascii="Calibri" w:hAnsi="Calibri" w:eastAsia="Times New Roman" w:cs="Calibri"/>
                <w:color w:val="000000"/>
                <w:sz w:val="16"/>
                <w:szCs w:val="16"/>
                <w:lang w:bidi="ar-SA"/>
              </w:rPr>
              <w:t> </w:t>
            </w:r>
          </w:p>
        </w:tc>
        <w:tc>
          <w:tcPr>
            <w:tcW w:w="1440" w:type="dxa"/>
            <w:tcBorders>
              <w:top w:val="nil"/>
              <w:left w:val="nil"/>
              <w:bottom w:val="single" w:color="auto" w:sz="4" w:space="0"/>
              <w:right w:val="single" w:color="auto" w:sz="4" w:space="0"/>
            </w:tcBorders>
            <w:shd w:val="clear" w:color="000000" w:fill="FFFFFF"/>
            <w:vAlign w:val="center"/>
            <w:hideMark/>
          </w:tcPr>
          <w:p w:rsidRPr="00115034" w:rsidR="009502CA" w:rsidP="009502CA" w:rsidRDefault="009502CA" w14:paraId="6F3A3A86" w14:textId="671E5D0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$520</w:t>
            </w:r>
            <w:r w:rsidRPr="00115034">
              <w:rPr>
                <w:rFonts w:ascii="Calibri" w:hAnsi="Calibri" w:eastAsia="Times New Roman" w:cs="Calibri"/>
                <w:color w:val="000000"/>
                <w:sz w:val="16"/>
                <w:szCs w:val="16"/>
                <w:lang w:bidi="ar-SA"/>
              </w:rPr>
              <w:t> </w:t>
            </w:r>
          </w:p>
        </w:tc>
        <w:tc>
          <w:tcPr>
            <w:tcW w:w="1530" w:type="dxa"/>
            <w:tcBorders>
              <w:top w:val="nil"/>
              <w:left w:val="nil"/>
              <w:bottom w:val="single" w:color="auto" w:sz="4" w:space="0"/>
              <w:right w:val="single" w:color="auto" w:sz="8" w:space="0"/>
            </w:tcBorders>
            <w:shd w:val="clear" w:color="000000" w:fill="FFFFFF"/>
            <w:vAlign w:val="center"/>
            <w:hideMark/>
          </w:tcPr>
          <w:p w:rsidRPr="00115034" w:rsidR="009502CA" w:rsidP="009502CA" w:rsidRDefault="00477FA3" w14:paraId="27E40AF0" w14:textId="6B55B222">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468,520</w:t>
            </w:r>
            <w:r w:rsidRPr="00115034" w:rsidR="009502CA">
              <w:rPr>
                <w:rFonts w:ascii="Calibri" w:hAnsi="Calibri" w:eastAsia="Times New Roman" w:cs="Calibri"/>
                <w:color w:val="000000"/>
                <w:sz w:val="16"/>
                <w:szCs w:val="16"/>
                <w:lang w:bidi="ar-SA"/>
              </w:rPr>
              <w:t> </w:t>
            </w:r>
          </w:p>
        </w:tc>
      </w:tr>
      <w:tr w:rsidRPr="00115034" w:rsidR="009502CA" w:rsidTr="003C6516" w14:paraId="37692249" w14:textId="77777777">
        <w:trPr>
          <w:trHeight w:val="300"/>
        </w:trPr>
        <w:tc>
          <w:tcPr>
            <w:tcW w:w="2791" w:type="dxa"/>
            <w:tcBorders>
              <w:top w:val="nil"/>
              <w:left w:val="single" w:color="auto" w:sz="4" w:space="0"/>
              <w:bottom w:val="single" w:color="auto" w:sz="4" w:space="0"/>
              <w:right w:val="single" w:color="auto" w:sz="4" w:space="0"/>
            </w:tcBorders>
            <w:shd w:val="clear" w:color="auto" w:fill="auto"/>
            <w:vAlign w:val="bottom"/>
            <w:hideMark/>
          </w:tcPr>
          <w:p w:rsidRPr="00115034" w:rsidR="009502CA" w:rsidP="009502CA" w:rsidRDefault="009502CA" w14:paraId="5C26FD45" w14:textId="27BCB884">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Installation and Activation / Checklist</w:t>
            </w:r>
          </w:p>
        </w:tc>
        <w:tc>
          <w:tcPr>
            <w:tcW w:w="1441" w:type="dxa"/>
            <w:tcBorders>
              <w:top w:val="nil"/>
              <w:left w:val="nil"/>
              <w:bottom w:val="single" w:color="auto" w:sz="4" w:space="0"/>
              <w:right w:val="single" w:color="auto" w:sz="4" w:space="0"/>
            </w:tcBorders>
            <w:shd w:val="clear" w:color="000000" w:fill="FFFFFF"/>
            <w:vAlign w:val="bottom"/>
            <w:hideMark/>
          </w:tcPr>
          <w:p w:rsidRPr="00115034" w:rsidR="009502CA" w:rsidP="009502CA" w:rsidRDefault="009502CA" w14:paraId="5ECF18B4" w14:textId="666EE619">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145</w:t>
            </w:r>
            <w:r w:rsidRPr="00D64DF9">
              <w:rPr>
                <w:rFonts w:ascii="Calibri" w:hAnsi="Calibri" w:eastAsia="Times New Roman" w:cs="Calibri"/>
                <w:color w:val="000000"/>
                <w:sz w:val="16"/>
                <w:szCs w:val="16"/>
                <w:lang w:bidi="ar-SA"/>
              </w:rPr>
              <w:t> </w:t>
            </w:r>
          </w:p>
        </w:tc>
        <w:tc>
          <w:tcPr>
            <w:tcW w:w="1453" w:type="dxa"/>
            <w:tcBorders>
              <w:top w:val="nil"/>
              <w:left w:val="nil"/>
              <w:bottom w:val="single" w:color="auto" w:sz="4" w:space="0"/>
              <w:right w:val="single" w:color="auto" w:sz="4" w:space="0"/>
            </w:tcBorders>
            <w:shd w:val="clear" w:color="000000" w:fill="FFFFFF"/>
            <w:vAlign w:val="bottom"/>
            <w:hideMark/>
          </w:tcPr>
          <w:p w:rsidRPr="00115034" w:rsidR="009502CA" w:rsidP="009502CA" w:rsidRDefault="009502CA" w14:paraId="49F3AD06" w14:textId="4D834100">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D64DF9">
              <w:rPr>
                <w:rFonts w:ascii="Calibri" w:hAnsi="Calibri" w:eastAsia="Times New Roman" w:cs="Calibri"/>
                <w:color w:val="000000"/>
                <w:sz w:val="16"/>
                <w:szCs w:val="16"/>
                <w:lang w:bidi="ar-SA"/>
              </w:rPr>
              <w:t> </w:t>
            </w:r>
          </w:p>
        </w:tc>
        <w:tc>
          <w:tcPr>
            <w:tcW w:w="1620" w:type="dxa"/>
            <w:tcBorders>
              <w:top w:val="nil"/>
              <w:left w:val="nil"/>
              <w:bottom w:val="single" w:color="auto" w:sz="4" w:space="0"/>
              <w:right w:val="single" w:color="auto" w:sz="4" w:space="0"/>
            </w:tcBorders>
            <w:shd w:val="clear" w:color="000000" w:fill="FFFFFF"/>
            <w:vAlign w:val="bottom"/>
            <w:hideMark/>
          </w:tcPr>
          <w:p w:rsidRPr="00115034" w:rsidR="009502CA" w:rsidP="009502CA" w:rsidRDefault="009502CA" w14:paraId="24418DC8" w14:textId="198622DE">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145</w:t>
            </w:r>
            <w:r w:rsidRPr="00D64DF9">
              <w:rPr>
                <w:rFonts w:ascii="Calibri" w:hAnsi="Calibri" w:eastAsia="Times New Roman" w:cs="Calibri"/>
                <w:color w:val="000000"/>
                <w:sz w:val="16"/>
                <w:szCs w:val="16"/>
                <w:lang w:bidi="ar-SA"/>
              </w:rPr>
              <w:t> </w:t>
            </w:r>
          </w:p>
        </w:tc>
        <w:tc>
          <w:tcPr>
            <w:tcW w:w="1440" w:type="dxa"/>
            <w:tcBorders>
              <w:top w:val="nil"/>
              <w:left w:val="nil"/>
              <w:bottom w:val="single" w:color="auto" w:sz="4" w:space="0"/>
              <w:right w:val="single" w:color="auto" w:sz="4" w:space="0"/>
            </w:tcBorders>
            <w:shd w:val="clear" w:color="000000" w:fill="FFFFFF"/>
            <w:vAlign w:val="center"/>
            <w:hideMark/>
          </w:tcPr>
          <w:p w:rsidRPr="00115034" w:rsidR="009502CA" w:rsidP="009502CA" w:rsidRDefault="009502CA" w14:paraId="01E8F9E4" w14:textId="04CD50EC">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$313.9</w:t>
            </w:r>
            <w:r w:rsidRPr="00115034">
              <w:rPr>
                <w:rFonts w:ascii="Calibri" w:hAnsi="Calibri" w:eastAsia="Times New Roman" w:cs="Calibri"/>
                <w:color w:val="000000"/>
                <w:sz w:val="16"/>
                <w:szCs w:val="16"/>
                <w:lang w:bidi="ar-SA"/>
              </w:rPr>
              <w:t> </w:t>
            </w:r>
          </w:p>
        </w:tc>
        <w:tc>
          <w:tcPr>
            <w:tcW w:w="1530" w:type="dxa"/>
            <w:tcBorders>
              <w:top w:val="nil"/>
              <w:left w:val="nil"/>
              <w:bottom w:val="single" w:color="auto" w:sz="4" w:space="0"/>
              <w:right w:val="single" w:color="auto" w:sz="8" w:space="0"/>
            </w:tcBorders>
            <w:shd w:val="clear" w:color="000000" w:fill="FFFFFF"/>
            <w:vAlign w:val="center"/>
            <w:hideMark/>
          </w:tcPr>
          <w:p w:rsidRPr="00115034" w:rsidR="009502CA" w:rsidP="009502CA" w:rsidRDefault="00477FA3" w14:paraId="61C75733" w14:textId="26D344BD">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45,515.5</w:t>
            </w:r>
            <w:r w:rsidR="00D53C1C">
              <w:rPr>
                <w:rFonts w:ascii="Calibri" w:hAnsi="Calibri" w:eastAsia="Times New Roman" w:cs="Calibri"/>
                <w:color w:val="000000"/>
                <w:sz w:val="16"/>
                <w:szCs w:val="16"/>
                <w:lang w:bidi="ar-SA"/>
              </w:rPr>
              <w:t>0</w:t>
            </w:r>
          </w:p>
        </w:tc>
      </w:tr>
      <w:tr w:rsidRPr="00115034" w:rsidR="009502CA" w:rsidTr="003C6516" w14:paraId="1627B5CB" w14:textId="77777777">
        <w:trPr>
          <w:trHeight w:val="300"/>
        </w:trPr>
        <w:tc>
          <w:tcPr>
            <w:tcW w:w="2791" w:type="dxa"/>
            <w:tcBorders>
              <w:top w:val="nil"/>
              <w:left w:val="single" w:color="auto" w:sz="4" w:space="0"/>
              <w:bottom w:val="single" w:color="auto" w:sz="4" w:space="0"/>
              <w:right w:val="single" w:color="auto" w:sz="4" w:space="0"/>
            </w:tcBorders>
            <w:shd w:val="clear" w:color="auto" w:fill="auto"/>
            <w:vAlign w:val="bottom"/>
            <w:hideMark/>
          </w:tcPr>
          <w:p w:rsidRPr="00115034" w:rsidR="009502CA" w:rsidP="009502CA" w:rsidRDefault="009502CA" w14:paraId="5755246F" w14:textId="1CB6B502">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Power Down Exemption Requests</w:t>
            </w:r>
          </w:p>
        </w:tc>
        <w:tc>
          <w:tcPr>
            <w:tcW w:w="1441" w:type="dxa"/>
            <w:tcBorders>
              <w:top w:val="nil"/>
              <w:left w:val="nil"/>
              <w:bottom w:val="single" w:color="auto" w:sz="4" w:space="0"/>
              <w:right w:val="single" w:color="auto" w:sz="4" w:space="0"/>
            </w:tcBorders>
            <w:shd w:val="clear" w:color="000000" w:fill="FFFFFF"/>
            <w:vAlign w:val="bottom"/>
            <w:hideMark/>
          </w:tcPr>
          <w:p w:rsidRPr="00115034" w:rsidR="009502CA" w:rsidP="009502CA" w:rsidRDefault="009502CA" w14:paraId="78638EF6" w14:textId="51C6EDF1">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150</w:t>
            </w:r>
            <w:r w:rsidRPr="00D64DF9">
              <w:rPr>
                <w:rFonts w:ascii="Calibri" w:hAnsi="Calibri" w:eastAsia="Times New Roman" w:cs="Calibri"/>
                <w:color w:val="000000"/>
                <w:sz w:val="16"/>
                <w:szCs w:val="16"/>
                <w:lang w:bidi="ar-SA"/>
              </w:rPr>
              <w:t> </w:t>
            </w:r>
          </w:p>
        </w:tc>
        <w:tc>
          <w:tcPr>
            <w:tcW w:w="1453" w:type="dxa"/>
            <w:tcBorders>
              <w:top w:val="nil"/>
              <w:left w:val="nil"/>
              <w:bottom w:val="single" w:color="auto" w:sz="4" w:space="0"/>
              <w:right w:val="single" w:color="auto" w:sz="4" w:space="0"/>
            </w:tcBorders>
            <w:shd w:val="clear" w:color="000000" w:fill="FFFFFF"/>
            <w:vAlign w:val="bottom"/>
            <w:hideMark/>
          </w:tcPr>
          <w:p w:rsidRPr="00115034" w:rsidR="009502CA" w:rsidP="009502CA" w:rsidRDefault="009502CA" w14:paraId="1E706F00" w14:textId="3C756D81">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D64DF9">
              <w:rPr>
                <w:rFonts w:ascii="Calibri" w:hAnsi="Calibri" w:eastAsia="Times New Roman" w:cs="Calibri"/>
                <w:color w:val="000000"/>
                <w:sz w:val="16"/>
                <w:szCs w:val="16"/>
                <w:lang w:bidi="ar-SA"/>
              </w:rPr>
              <w:t> </w:t>
            </w:r>
          </w:p>
        </w:tc>
        <w:tc>
          <w:tcPr>
            <w:tcW w:w="1620" w:type="dxa"/>
            <w:tcBorders>
              <w:top w:val="nil"/>
              <w:left w:val="nil"/>
              <w:bottom w:val="single" w:color="auto" w:sz="4" w:space="0"/>
              <w:right w:val="single" w:color="auto" w:sz="4" w:space="0"/>
            </w:tcBorders>
            <w:shd w:val="clear" w:color="000000" w:fill="FFFFFF"/>
            <w:vAlign w:val="bottom"/>
            <w:hideMark/>
          </w:tcPr>
          <w:p w:rsidRPr="00115034" w:rsidR="009502CA" w:rsidP="009502CA" w:rsidRDefault="009502CA" w14:paraId="5A5F21C0" w14:textId="3A2CCC7E">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150</w:t>
            </w:r>
            <w:r w:rsidRPr="00D64DF9">
              <w:rPr>
                <w:rFonts w:ascii="Calibri" w:hAnsi="Calibri" w:eastAsia="Times New Roman" w:cs="Calibri"/>
                <w:color w:val="000000"/>
                <w:sz w:val="16"/>
                <w:szCs w:val="16"/>
                <w:lang w:bidi="ar-SA"/>
              </w:rPr>
              <w:t> </w:t>
            </w:r>
          </w:p>
        </w:tc>
        <w:tc>
          <w:tcPr>
            <w:tcW w:w="1440" w:type="dxa"/>
            <w:tcBorders>
              <w:top w:val="nil"/>
              <w:left w:val="nil"/>
              <w:bottom w:val="single" w:color="auto" w:sz="4" w:space="0"/>
              <w:right w:val="single" w:color="auto" w:sz="4" w:space="0"/>
            </w:tcBorders>
            <w:shd w:val="clear" w:color="000000" w:fill="FFFFFF"/>
            <w:vAlign w:val="center"/>
            <w:hideMark/>
          </w:tcPr>
          <w:p w:rsidRPr="00115034" w:rsidR="009502CA" w:rsidP="009502CA" w:rsidRDefault="00980CF3" w14:paraId="0E9E98EC" w14:textId="4672D86C">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r w:rsidRPr="00115034" w:rsidR="009502CA">
              <w:rPr>
                <w:rFonts w:ascii="Calibri" w:hAnsi="Calibri" w:eastAsia="Times New Roman" w:cs="Calibri"/>
                <w:color w:val="000000"/>
                <w:sz w:val="16"/>
                <w:szCs w:val="16"/>
                <w:lang w:bidi="ar-SA"/>
              </w:rPr>
              <w:t> </w:t>
            </w:r>
          </w:p>
        </w:tc>
        <w:tc>
          <w:tcPr>
            <w:tcW w:w="1530" w:type="dxa"/>
            <w:tcBorders>
              <w:top w:val="nil"/>
              <w:left w:val="nil"/>
              <w:bottom w:val="single" w:color="auto" w:sz="4" w:space="0"/>
              <w:right w:val="single" w:color="auto" w:sz="8" w:space="0"/>
            </w:tcBorders>
            <w:shd w:val="clear" w:color="000000" w:fill="FFFFFF"/>
            <w:vAlign w:val="center"/>
            <w:hideMark/>
          </w:tcPr>
          <w:p w:rsidRPr="00115034" w:rsidR="009502CA" w:rsidP="009502CA" w:rsidRDefault="00980CF3" w14:paraId="755D44DD" w14:textId="3EE58DE3">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r w:rsidRPr="00115034" w:rsidR="009502CA">
              <w:rPr>
                <w:rFonts w:ascii="Calibri" w:hAnsi="Calibri" w:eastAsia="Times New Roman" w:cs="Calibri"/>
                <w:color w:val="000000"/>
                <w:sz w:val="16"/>
                <w:szCs w:val="16"/>
                <w:lang w:bidi="ar-SA"/>
              </w:rPr>
              <w:t> </w:t>
            </w:r>
          </w:p>
        </w:tc>
      </w:tr>
      <w:tr w:rsidRPr="00115034" w:rsidR="009502CA" w:rsidTr="003C6516" w14:paraId="6C354F1C" w14:textId="77777777">
        <w:trPr>
          <w:trHeight w:val="300"/>
        </w:trPr>
        <w:tc>
          <w:tcPr>
            <w:tcW w:w="2791" w:type="dxa"/>
            <w:tcBorders>
              <w:top w:val="nil"/>
              <w:left w:val="single" w:color="auto" w:sz="4" w:space="0"/>
              <w:bottom w:val="nil"/>
              <w:right w:val="single" w:color="auto" w:sz="4" w:space="0"/>
            </w:tcBorders>
            <w:shd w:val="clear" w:color="auto" w:fill="auto"/>
            <w:vAlign w:val="bottom"/>
            <w:hideMark/>
          </w:tcPr>
          <w:p w:rsidRPr="00115034" w:rsidR="009502CA" w:rsidP="009502CA" w:rsidRDefault="009502CA" w14:paraId="0C75E89E" w14:textId="57ABF082">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Trip Declarations</w:t>
            </w:r>
          </w:p>
        </w:tc>
        <w:tc>
          <w:tcPr>
            <w:tcW w:w="1441" w:type="dxa"/>
            <w:tcBorders>
              <w:top w:val="nil"/>
              <w:left w:val="nil"/>
              <w:bottom w:val="nil"/>
              <w:right w:val="single" w:color="auto" w:sz="4" w:space="0"/>
            </w:tcBorders>
            <w:shd w:val="clear" w:color="000000" w:fill="FFFFFF"/>
            <w:vAlign w:val="bottom"/>
            <w:hideMark/>
          </w:tcPr>
          <w:p w:rsidRPr="00115034" w:rsidR="009502CA" w:rsidP="009502CA" w:rsidRDefault="009502CA" w14:paraId="2269ADE6" w14:textId="28F758A0">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824</w:t>
            </w:r>
            <w:r w:rsidRPr="00D64DF9">
              <w:rPr>
                <w:rFonts w:ascii="Calibri" w:hAnsi="Calibri" w:eastAsia="Times New Roman" w:cs="Calibri"/>
                <w:color w:val="000000"/>
                <w:sz w:val="16"/>
                <w:szCs w:val="16"/>
                <w:lang w:bidi="ar-SA"/>
              </w:rPr>
              <w:t> </w:t>
            </w:r>
          </w:p>
        </w:tc>
        <w:tc>
          <w:tcPr>
            <w:tcW w:w="1453" w:type="dxa"/>
            <w:tcBorders>
              <w:top w:val="nil"/>
              <w:left w:val="nil"/>
              <w:bottom w:val="nil"/>
              <w:right w:val="single" w:color="auto" w:sz="4" w:space="0"/>
            </w:tcBorders>
            <w:shd w:val="clear" w:color="000000" w:fill="FFFFFF"/>
            <w:vAlign w:val="bottom"/>
            <w:hideMark/>
          </w:tcPr>
          <w:p w:rsidRPr="00115034" w:rsidR="009502CA" w:rsidP="009502CA" w:rsidRDefault="009502CA" w14:paraId="4B410262" w14:textId="1F6EF11F">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16</w:t>
            </w:r>
          </w:p>
        </w:tc>
        <w:tc>
          <w:tcPr>
            <w:tcW w:w="1620" w:type="dxa"/>
            <w:tcBorders>
              <w:top w:val="nil"/>
              <w:left w:val="nil"/>
              <w:bottom w:val="nil"/>
              <w:right w:val="single" w:color="auto" w:sz="4" w:space="0"/>
            </w:tcBorders>
            <w:shd w:val="clear" w:color="000000" w:fill="FFFFFF"/>
            <w:vAlign w:val="bottom"/>
            <w:hideMark/>
          </w:tcPr>
          <w:p w:rsidRPr="00115034" w:rsidR="009502CA" w:rsidP="009502CA" w:rsidRDefault="009502CA" w14:paraId="18053B6D" w14:textId="6D625DB8">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13,184</w:t>
            </w:r>
          </w:p>
        </w:tc>
        <w:tc>
          <w:tcPr>
            <w:tcW w:w="1440" w:type="dxa"/>
            <w:tcBorders>
              <w:top w:val="nil"/>
              <w:left w:val="nil"/>
              <w:bottom w:val="nil"/>
              <w:right w:val="single" w:color="auto" w:sz="4" w:space="0"/>
            </w:tcBorders>
            <w:shd w:val="clear" w:color="000000" w:fill="FFFFFF"/>
            <w:vAlign w:val="center"/>
            <w:hideMark/>
          </w:tcPr>
          <w:p w:rsidRPr="00115034" w:rsidR="009502CA" w:rsidP="009502CA" w:rsidRDefault="00D53C1C" w14:paraId="1BC58590" w14:textId="6CD2D23A">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$4.80</w:t>
            </w:r>
            <w:r w:rsidRPr="00115034" w:rsidR="009502CA">
              <w:rPr>
                <w:rFonts w:ascii="Calibri" w:hAnsi="Calibri" w:eastAsia="Times New Roman" w:cs="Calibri"/>
                <w:color w:val="000000"/>
                <w:sz w:val="16"/>
                <w:szCs w:val="16"/>
                <w:lang w:bidi="ar-SA"/>
              </w:rPr>
              <w:t> </w:t>
            </w:r>
            <w:r w:rsidR="008B21EA">
              <w:rPr>
                <w:rFonts w:ascii="Calibri" w:hAnsi="Calibri" w:eastAsia="Times New Roman" w:cs="Calibri"/>
                <w:color w:val="000000"/>
                <w:sz w:val="16"/>
                <w:szCs w:val="16"/>
                <w:lang w:bidi="ar-SA"/>
              </w:rPr>
              <w:t>/vessel</w:t>
            </w:r>
          </w:p>
        </w:tc>
        <w:tc>
          <w:tcPr>
            <w:tcW w:w="1530" w:type="dxa"/>
            <w:tcBorders>
              <w:top w:val="nil"/>
              <w:left w:val="nil"/>
              <w:bottom w:val="nil"/>
              <w:right w:val="single" w:color="auto" w:sz="8" w:space="0"/>
            </w:tcBorders>
            <w:shd w:val="clear" w:color="000000" w:fill="FFFFFF"/>
            <w:vAlign w:val="center"/>
            <w:hideMark/>
          </w:tcPr>
          <w:p w:rsidRPr="00115034" w:rsidR="009502CA" w:rsidP="009502CA" w:rsidRDefault="00D53C1C" w14:paraId="03A1AB4D" w14:textId="1E51941F">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$3,955.20</w:t>
            </w:r>
            <w:r w:rsidRPr="00115034" w:rsidR="009502CA">
              <w:rPr>
                <w:rFonts w:ascii="Calibri" w:hAnsi="Calibri" w:eastAsia="Times New Roman" w:cs="Calibri"/>
                <w:color w:val="000000"/>
                <w:sz w:val="16"/>
                <w:szCs w:val="16"/>
                <w:lang w:bidi="ar-SA"/>
              </w:rPr>
              <w:t> </w:t>
            </w:r>
          </w:p>
        </w:tc>
      </w:tr>
      <w:tr w:rsidRPr="00115034" w:rsidR="009502CA" w:rsidTr="001477A3" w14:paraId="582B3761" w14:textId="77777777">
        <w:trPr>
          <w:trHeight w:val="315"/>
        </w:trPr>
        <w:tc>
          <w:tcPr>
            <w:tcW w:w="2791" w:type="dxa"/>
            <w:tcBorders>
              <w:top w:val="single" w:color="auto" w:sz="8" w:space="0"/>
              <w:left w:val="single" w:color="auto" w:sz="8" w:space="0"/>
              <w:bottom w:val="single" w:color="auto" w:sz="8" w:space="0"/>
              <w:right w:val="single" w:color="auto" w:sz="4" w:space="0"/>
            </w:tcBorders>
            <w:shd w:val="clear" w:color="000000" w:fill="DDEBF7"/>
            <w:vAlign w:val="center"/>
            <w:hideMark/>
          </w:tcPr>
          <w:p w:rsidRPr="00115034" w:rsidR="009502CA" w:rsidP="009502CA" w:rsidRDefault="009502CA" w14:paraId="254A78F1" w14:textId="77777777">
            <w:pPr>
              <w:widowControl/>
              <w:autoSpaceDE/>
              <w:autoSpaceDN/>
              <w:jc w:val="right"/>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TOTALS</w:t>
            </w:r>
          </w:p>
        </w:tc>
        <w:tc>
          <w:tcPr>
            <w:tcW w:w="1441" w:type="dxa"/>
            <w:tcBorders>
              <w:top w:val="single" w:color="auto" w:sz="8" w:space="0"/>
              <w:left w:val="nil"/>
              <w:bottom w:val="single" w:color="auto" w:sz="8" w:space="0"/>
              <w:right w:val="single" w:color="auto" w:sz="4" w:space="0"/>
            </w:tcBorders>
            <w:shd w:val="clear" w:color="000000" w:fill="DDEBF7"/>
            <w:vAlign w:val="center"/>
            <w:hideMark/>
          </w:tcPr>
          <w:p w:rsidRPr="00115034" w:rsidR="009502CA" w:rsidP="009502CA" w:rsidRDefault="009502CA" w14:paraId="350E6B93" w14:textId="77777777">
            <w:pPr>
              <w:widowControl/>
              <w:autoSpaceDE/>
              <w:autoSpaceDN/>
              <w:jc w:val="right"/>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 </w:t>
            </w:r>
          </w:p>
        </w:tc>
        <w:tc>
          <w:tcPr>
            <w:tcW w:w="1453" w:type="dxa"/>
            <w:tcBorders>
              <w:top w:val="single" w:color="auto" w:sz="8" w:space="0"/>
              <w:left w:val="nil"/>
              <w:bottom w:val="single" w:color="auto" w:sz="8" w:space="0"/>
              <w:right w:val="single" w:color="auto" w:sz="4" w:space="0"/>
            </w:tcBorders>
            <w:shd w:val="clear" w:color="000000" w:fill="DDEBF7"/>
            <w:vAlign w:val="center"/>
            <w:hideMark/>
          </w:tcPr>
          <w:p w:rsidRPr="00115034" w:rsidR="009502CA" w:rsidP="009502CA" w:rsidRDefault="009502CA" w14:paraId="0541BED2" w14:textId="77777777">
            <w:pPr>
              <w:widowControl/>
              <w:autoSpaceDE/>
              <w:autoSpaceDN/>
              <w:jc w:val="right"/>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 </w:t>
            </w:r>
          </w:p>
        </w:tc>
        <w:tc>
          <w:tcPr>
            <w:tcW w:w="1620" w:type="dxa"/>
            <w:tcBorders>
              <w:top w:val="single" w:color="auto" w:sz="8" w:space="0"/>
              <w:left w:val="nil"/>
              <w:bottom w:val="single" w:color="auto" w:sz="8" w:space="0"/>
              <w:right w:val="single" w:color="auto" w:sz="4" w:space="0"/>
            </w:tcBorders>
            <w:shd w:val="clear" w:color="000000" w:fill="DDEBF7"/>
            <w:vAlign w:val="center"/>
            <w:hideMark/>
          </w:tcPr>
          <w:p w:rsidRPr="00115034" w:rsidR="009502CA" w:rsidP="009502CA" w:rsidRDefault="009502CA" w14:paraId="46423EA7" w14:textId="77777777">
            <w:pPr>
              <w:widowControl/>
              <w:autoSpaceDE/>
              <w:autoSpaceDN/>
              <w:jc w:val="right"/>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 xml:space="preserve">   </w:t>
            </w:r>
          </w:p>
        </w:tc>
        <w:tc>
          <w:tcPr>
            <w:tcW w:w="1440" w:type="dxa"/>
            <w:tcBorders>
              <w:top w:val="single" w:color="auto" w:sz="8" w:space="0"/>
              <w:left w:val="nil"/>
              <w:bottom w:val="single" w:color="auto" w:sz="8" w:space="0"/>
              <w:right w:val="single" w:color="auto" w:sz="4" w:space="0"/>
            </w:tcBorders>
            <w:shd w:val="clear" w:color="000000" w:fill="DDEBF7"/>
            <w:vAlign w:val="center"/>
            <w:hideMark/>
          </w:tcPr>
          <w:p w:rsidRPr="00115034" w:rsidR="009502CA" w:rsidP="009502CA" w:rsidRDefault="009502CA" w14:paraId="766A67A1" w14:textId="77777777">
            <w:pPr>
              <w:widowControl/>
              <w:autoSpaceDE/>
              <w:autoSpaceDN/>
              <w:jc w:val="right"/>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 </w:t>
            </w:r>
          </w:p>
        </w:tc>
        <w:tc>
          <w:tcPr>
            <w:tcW w:w="1530" w:type="dxa"/>
            <w:tcBorders>
              <w:top w:val="single" w:color="auto" w:sz="8" w:space="0"/>
              <w:left w:val="nil"/>
              <w:bottom w:val="single" w:color="auto" w:sz="8" w:space="0"/>
              <w:right w:val="single" w:color="auto" w:sz="8" w:space="0"/>
            </w:tcBorders>
            <w:shd w:val="clear" w:color="000000" w:fill="DDEBF7"/>
            <w:vAlign w:val="center"/>
            <w:hideMark/>
          </w:tcPr>
          <w:p w:rsidRPr="00115034" w:rsidR="009502CA" w:rsidP="009502CA" w:rsidRDefault="000F5D33" w14:paraId="6B1678F5" w14:textId="725C7197">
            <w:pPr>
              <w:widowControl/>
              <w:autoSpaceDE/>
              <w:autoSpaceDN/>
              <w:jc w:val="right"/>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517,991</w:t>
            </w:r>
            <w:r w:rsidRPr="00115034" w:rsidR="009502CA">
              <w:rPr>
                <w:rFonts w:ascii="Calibri" w:hAnsi="Calibri" w:eastAsia="Times New Roman" w:cs="Calibri"/>
                <w:b/>
                <w:bCs/>
                <w:color w:val="000000"/>
                <w:sz w:val="16"/>
                <w:szCs w:val="16"/>
                <w:lang w:bidi="ar-SA"/>
              </w:rPr>
              <w:t xml:space="preserve">  </w:t>
            </w:r>
          </w:p>
        </w:tc>
      </w:tr>
    </w:tbl>
    <w:p w:rsidRPr="00BD7237" w:rsidR="00115034" w:rsidP="00BD7237" w:rsidRDefault="00115034" w14:paraId="0CF85F21" w14:textId="77777777">
      <w:pPr>
        <w:pStyle w:val="BodyText"/>
        <w:spacing w:before="1"/>
        <w:ind w:left="0"/>
        <w:rPr>
          <w:rFonts w:ascii="Times New Roman" w:hAnsi="Times New Roman" w:cs="Times New Roman"/>
          <w:b/>
        </w:rPr>
      </w:pPr>
    </w:p>
    <w:p w:rsidRPr="00BD7237" w:rsidR="008E61C9" w:rsidP="00BD7237" w:rsidRDefault="008E61C9" w14:paraId="7F10F90B" w14:textId="77777777">
      <w:pPr>
        <w:pStyle w:val="BodyText"/>
        <w:spacing w:before="7"/>
        <w:ind w:left="0"/>
        <w:rPr>
          <w:rFonts w:ascii="Times New Roman" w:hAnsi="Times New Roman" w:cs="Times New Roman"/>
          <w:b/>
        </w:rPr>
      </w:pPr>
    </w:p>
    <w:p w:rsidRPr="000D644A" w:rsidR="008E61C9" w:rsidP="00B964A3" w:rsidRDefault="001477A3" w14:paraId="492F14D4" w14:textId="77777777">
      <w:pPr>
        <w:pStyle w:val="ListParagraph"/>
        <w:numPr>
          <w:ilvl w:val="0"/>
          <w:numId w:val="17"/>
        </w:numPr>
        <w:tabs>
          <w:tab w:val="left" w:pos="360"/>
        </w:tabs>
        <w:spacing w:before="80"/>
        <w:ind w:left="0" w:firstLine="0"/>
        <w:rPr>
          <w:rFonts w:ascii="Times New Roman" w:hAnsi="Times New Roman" w:cs="Times New Roman"/>
          <w:b/>
          <w:sz w:val="24"/>
          <w:szCs w:val="24"/>
        </w:rPr>
      </w:pPr>
      <w:r w:rsidRPr="000D644A">
        <w:rPr>
          <w:rFonts w:ascii="Times New Roman" w:hAnsi="Times New Roman" w:cs="Times New Roman"/>
          <w:b/>
          <w:sz w:val="24"/>
          <w:szCs w:val="24"/>
        </w:rPr>
        <w:t xml:space="preserve">Provide estimates of annualized cost to the Federal government. Also, provide a description of </w:t>
      </w:r>
      <w:r w:rsidRPr="000D644A">
        <w:rPr>
          <w:rFonts w:ascii="Times New Roman" w:hAnsi="Times New Roman" w:cs="Times New Roman"/>
          <w:b/>
          <w:sz w:val="24"/>
          <w:szCs w:val="24"/>
        </w:rPr>
        <w:lastRenderedPageBreak/>
        <w:t>the method used to estimate cost, which should include quantification of hours, operational expenses (such as equipment, overhead, printing, and support staff), and any other expense that would not have been incurred without this collection of information.</w:t>
      </w:r>
    </w:p>
    <w:p w:rsidR="008E61C9" w:rsidP="00BD7237" w:rsidRDefault="008E61C9" w14:paraId="7D5ABE8D" w14:textId="77777777">
      <w:pPr>
        <w:pStyle w:val="BodyText"/>
        <w:spacing w:before="9" w:after="1"/>
        <w:ind w:left="0"/>
        <w:rPr>
          <w:rFonts w:ascii="Times New Roman" w:hAnsi="Times New Roman" w:cs="Times New Roman"/>
          <w:b/>
        </w:rPr>
      </w:pPr>
    </w:p>
    <w:tbl>
      <w:tblPr>
        <w:tblW w:w="8240" w:type="dxa"/>
        <w:tblInd w:w="-25" w:type="dxa"/>
        <w:tblLook w:val="04A0" w:firstRow="1" w:lastRow="0" w:firstColumn="1" w:lastColumn="0" w:noHBand="0" w:noVBand="1"/>
      </w:tblPr>
      <w:tblGrid>
        <w:gridCol w:w="2280"/>
        <w:gridCol w:w="1120"/>
        <w:gridCol w:w="1140"/>
        <w:gridCol w:w="1120"/>
        <w:gridCol w:w="1280"/>
        <w:gridCol w:w="1300"/>
      </w:tblGrid>
      <w:tr w:rsidRPr="00DF0CE3" w:rsidR="00DF0CE3" w:rsidTr="00DF0CE3" w14:paraId="382006BE" w14:textId="77777777">
        <w:trPr>
          <w:trHeight w:val="450"/>
        </w:trPr>
        <w:tc>
          <w:tcPr>
            <w:tcW w:w="2280" w:type="dxa"/>
            <w:tcBorders>
              <w:top w:val="single" w:color="auto" w:sz="8" w:space="0"/>
              <w:left w:val="single" w:color="auto" w:sz="8" w:space="0"/>
              <w:bottom w:val="nil"/>
              <w:right w:val="single" w:color="auto" w:sz="8" w:space="0"/>
            </w:tcBorders>
            <w:shd w:val="clear" w:color="000000" w:fill="BDD7EE"/>
            <w:vAlign w:val="center"/>
            <w:hideMark/>
          </w:tcPr>
          <w:p w:rsidRPr="00DF0CE3" w:rsidR="00DF0CE3" w:rsidP="00DF0CE3" w:rsidRDefault="00DF0CE3" w14:paraId="1D4D0FAD"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Cost Descriptions</w:t>
            </w:r>
          </w:p>
        </w:tc>
        <w:tc>
          <w:tcPr>
            <w:tcW w:w="112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14:paraId="305F1B6B"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Grade/Step</w:t>
            </w:r>
          </w:p>
        </w:tc>
        <w:tc>
          <w:tcPr>
            <w:tcW w:w="114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14:paraId="4BAB9ADB"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Loaded Salary /Cost</w:t>
            </w:r>
          </w:p>
        </w:tc>
        <w:tc>
          <w:tcPr>
            <w:tcW w:w="112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14:paraId="1160AC3D"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of Effort</w:t>
            </w:r>
          </w:p>
        </w:tc>
        <w:tc>
          <w:tcPr>
            <w:tcW w:w="128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14:paraId="44BC4A1F"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Fringe (if Applicable)</w:t>
            </w:r>
          </w:p>
        </w:tc>
        <w:tc>
          <w:tcPr>
            <w:tcW w:w="130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14:paraId="06745651"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Total Cost to Government</w:t>
            </w:r>
          </w:p>
        </w:tc>
      </w:tr>
      <w:tr w:rsidRPr="00DF0CE3" w:rsidR="00DF0CE3" w:rsidTr="00DF0CE3" w14:paraId="62F282E3" w14:textId="77777777">
        <w:trPr>
          <w:trHeight w:val="465"/>
        </w:trPr>
        <w:tc>
          <w:tcPr>
            <w:tcW w:w="228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DF0CE3" w:rsidR="00DF0CE3" w:rsidP="00DF0CE3" w:rsidRDefault="00DF0CE3" w14:paraId="3FAF6C08" w14:textId="77777777">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Federal Oversight</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DF0CE3" w:rsidR="00DF0CE3" w:rsidP="00DF0CE3" w:rsidRDefault="00DF0CE3" w14:paraId="47D053E9" w14:textId="0B42E0AB">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0D644A">
              <w:rPr>
                <w:rFonts w:ascii="Calibri" w:hAnsi="Calibri" w:eastAsia="Times New Roman" w:cs="Calibri"/>
                <w:color w:val="000000"/>
                <w:sz w:val="16"/>
                <w:szCs w:val="16"/>
                <w:lang w:bidi="ar-SA"/>
              </w:rPr>
              <w:t>ZA-3001-IV</w:t>
            </w:r>
          </w:p>
        </w:tc>
        <w:tc>
          <w:tcPr>
            <w:tcW w:w="1140" w:type="dxa"/>
            <w:tcBorders>
              <w:top w:val="single" w:color="auto" w:sz="4" w:space="0"/>
              <w:left w:val="nil"/>
              <w:bottom w:val="single" w:color="auto" w:sz="4" w:space="0"/>
              <w:right w:val="single" w:color="auto" w:sz="4" w:space="0"/>
            </w:tcBorders>
            <w:shd w:val="clear" w:color="auto" w:fill="auto"/>
            <w:noWrap/>
            <w:vAlign w:val="bottom"/>
            <w:hideMark/>
          </w:tcPr>
          <w:p w:rsidRPr="00DF0CE3" w:rsidR="00DF0CE3" w:rsidP="00B75A85" w:rsidRDefault="00DF0CE3" w14:paraId="1E2FE5CB" w14:textId="2C0DF04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Pr="00DF0CE3" w:rsidR="000D644A">
              <w:rPr>
                <w:rFonts w:ascii="Calibri" w:hAnsi="Calibri" w:eastAsia="Times New Roman" w:cs="Calibri"/>
                <w:color w:val="000000"/>
                <w:sz w:val="16"/>
                <w:szCs w:val="16"/>
                <w:lang w:bidi="ar-SA"/>
              </w:rPr>
              <w:t> </w:t>
            </w:r>
            <w:r w:rsidR="000D644A">
              <w:rPr>
                <w:rFonts w:ascii="Calibri" w:hAnsi="Calibri" w:eastAsia="Times New Roman" w:cs="Calibri"/>
                <w:color w:val="000000"/>
                <w:sz w:val="16"/>
                <w:szCs w:val="16"/>
                <w:lang w:bidi="ar-SA"/>
              </w:rPr>
              <w:t>225</w:t>
            </w:r>
            <w:r w:rsidR="00B75A85">
              <w:rPr>
                <w:rFonts w:ascii="Calibri" w:hAnsi="Calibri" w:eastAsia="Times New Roman" w:cs="Calibri"/>
                <w:color w:val="000000"/>
                <w:sz w:val="16"/>
                <w:szCs w:val="16"/>
                <w:lang w:bidi="ar-SA"/>
              </w:rPr>
              <w:t>,000</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DF0CE3" w:rsidR="00DF0CE3" w:rsidP="00DF0CE3" w:rsidRDefault="00DF0CE3" w14:paraId="2E8F4F8D" w14:textId="5E2EF3B0">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0D644A">
              <w:rPr>
                <w:rFonts w:ascii="Calibri" w:hAnsi="Calibri" w:eastAsia="Times New Roman" w:cs="Calibri"/>
                <w:color w:val="000000"/>
                <w:sz w:val="16"/>
                <w:szCs w:val="16"/>
                <w:lang w:bidi="ar-SA"/>
              </w:rPr>
              <w:t>50%</w:t>
            </w:r>
          </w:p>
        </w:tc>
        <w:tc>
          <w:tcPr>
            <w:tcW w:w="1280" w:type="dxa"/>
            <w:tcBorders>
              <w:top w:val="single" w:color="auto" w:sz="4" w:space="0"/>
              <w:left w:val="nil"/>
              <w:bottom w:val="single" w:color="auto" w:sz="4" w:space="0"/>
              <w:right w:val="single" w:color="auto" w:sz="4" w:space="0"/>
            </w:tcBorders>
            <w:shd w:val="clear" w:color="000000" w:fill="808080"/>
            <w:noWrap/>
            <w:vAlign w:val="bottom"/>
            <w:hideMark/>
          </w:tcPr>
          <w:p w:rsidRPr="00DF0CE3" w:rsidR="00DF0CE3" w:rsidP="00DF0CE3" w:rsidRDefault="00DF0CE3" w14:paraId="4AEB8D8B"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single" w:color="auto" w:sz="4" w:space="0"/>
              <w:left w:val="nil"/>
              <w:bottom w:val="single" w:color="auto" w:sz="4" w:space="0"/>
              <w:right w:val="single" w:color="auto" w:sz="8" w:space="0"/>
            </w:tcBorders>
            <w:shd w:val="clear" w:color="auto" w:fill="auto"/>
            <w:noWrap/>
            <w:vAlign w:val="bottom"/>
            <w:hideMark/>
          </w:tcPr>
          <w:p w:rsidRPr="00DF0CE3" w:rsidR="00DF0CE3" w:rsidP="00B75A85" w:rsidRDefault="00DF0CE3" w14:paraId="49A1E59D" w14:textId="3A897FE1">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Pr="00DF0CE3" w:rsidR="000D644A">
              <w:rPr>
                <w:rFonts w:ascii="Calibri" w:hAnsi="Calibri" w:eastAsia="Times New Roman" w:cs="Calibri"/>
                <w:color w:val="000000"/>
                <w:sz w:val="16"/>
                <w:szCs w:val="16"/>
                <w:lang w:bidi="ar-SA"/>
              </w:rPr>
              <w:t> </w:t>
            </w:r>
            <w:r w:rsidR="000D644A">
              <w:rPr>
                <w:rFonts w:ascii="Calibri" w:hAnsi="Calibri" w:eastAsia="Times New Roman" w:cs="Calibri"/>
                <w:color w:val="000000"/>
                <w:sz w:val="16"/>
                <w:szCs w:val="16"/>
                <w:lang w:bidi="ar-SA"/>
              </w:rPr>
              <w:t>112</w:t>
            </w:r>
            <w:r w:rsidR="00B75A85">
              <w:rPr>
                <w:rFonts w:ascii="Calibri" w:hAnsi="Calibri" w:eastAsia="Times New Roman" w:cs="Calibri"/>
                <w:color w:val="000000"/>
                <w:sz w:val="16"/>
                <w:szCs w:val="16"/>
                <w:lang w:bidi="ar-SA"/>
              </w:rPr>
              <w:t>,500</w:t>
            </w:r>
          </w:p>
        </w:tc>
      </w:tr>
      <w:tr w:rsidRPr="00DF0CE3" w:rsidR="00DF0CE3" w:rsidTr="00DF0CE3" w14:paraId="6CE475EB"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DF0CE3" w:rsidP="00DF0CE3" w:rsidRDefault="00DF0CE3" w14:paraId="0C9429EA" w14:textId="65C7CB8D">
            <w:pPr>
              <w:widowControl/>
              <w:autoSpaceDE/>
              <w:autoSpaceDN/>
              <w:rPr>
                <w:rFonts w:ascii="Calibri" w:hAnsi="Calibri" w:eastAsia="Times New Roman" w:cs="Calibri"/>
                <w:color w:val="000000"/>
                <w:sz w:val="16"/>
                <w:szCs w:val="16"/>
                <w:lang w:bidi="ar-SA"/>
              </w:rPr>
            </w:pP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5534D0" w:rsidRDefault="005534D0" w14:paraId="2B18BB9E" w14:textId="7A94C38B">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3x ZS-1802 Band V Interval 2</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DF0CE3" w:rsidP="00B75A85" w:rsidRDefault="00DF0CE3" w14:paraId="6EE26C6B" w14:textId="61F24451">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5534D0">
              <w:rPr>
                <w:rFonts w:ascii="Calibri" w:hAnsi="Calibri" w:eastAsia="Times New Roman" w:cs="Calibri"/>
                <w:color w:val="000000"/>
                <w:sz w:val="16"/>
                <w:szCs w:val="16"/>
                <w:lang w:bidi="ar-SA"/>
              </w:rPr>
              <w:t>297</w:t>
            </w:r>
            <w:r w:rsidR="00B75A85">
              <w:rPr>
                <w:rFonts w:ascii="Calibri" w:hAnsi="Calibri" w:eastAsia="Times New Roman" w:cs="Calibri"/>
                <w:color w:val="000000"/>
                <w:sz w:val="16"/>
                <w:szCs w:val="16"/>
                <w:lang w:bidi="ar-SA"/>
              </w:rPr>
              <w:t>,000</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7F6644C5" w14:textId="5D6504A0">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5534D0">
              <w:rPr>
                <w:rFonts w:ascii="Calibri" w:hAnsi="Calibri" w:eastAsia="Times New Roman" w:cs="Calibri"/>
                <w:color w:val="000000"/>
                <w:sz w:val="16"/>
                <w:szCs w:val="16"/>
                <w:lang w:bidi="ar-SA"/>
              </w:rPr>
              <w:t>100%</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11693C2B"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B75A85" w:rsidRDefault="00DF0CE3" w14:paraId="0D36082E" w14:textId="1A3DD4E0">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5534D0">
              <w:rPr>
                <w:rFonts w:ascii="Calibri" w:hAnsi="Calibri" w:eastAsia="Times New Roman" w:cs="Calibri"/>
                <w:color w:val="000000"/>
                <w:sz w:val="16"/>
                <w:szCs w:val="16"/>
                <w:lang w:bidi="ar-SA"/>
              </w:rPr>
              <w:t>297</w:t>
            </w:r>
            <w:r w:rsidR="00B75A85">
              <w:rPr>
                <w:rFonts w:ascii="Calibri" w:hAnsi="Calibri" w:eastAsia="Times New Roman" w:cs="Calibri"/>
                <w:color w:val="000000"/>
                <w:sz w:val="16"/>
                <w:szCs w:val="16"/>
                <w:lang w:bidi="ar-SA"/>
              </w:rPr>
              <w:t>,000</w:t>
            </w:r>
          </w:p>
        </w:tc>
      </w:tr>
      <w:tr w:rsidRPr="00DF0CE3" w:rsidR="00DF0CE3" w:rsidTr="00DF0CE3" w14:paraId="3145F987"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DF0CE3" w:rsidP="00DF0CE3" w:rsidRDefault="00DF0CE3" w14:paraId="138CB4D4" w14:textId="64BC2CF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Pr="00DF0CE3" w:rsidR="000D644A">
              <w:rPr>
                <w:rFonts w:ascii="Calibri" w:hAnsi="Calibri" w:eastAsia="Times New Roman" w:cs="Calibri"/>
                <w:color w:val="000000"/>
                <w:sz w:val="16"/>
                <w:szCs w:val="16"/>
                <w:lang w:bidi="ar-SA"/>
              </w:rPr>
              <w:t>Other Federal Positions</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0D644A" w:rsidRDefault="00DF0CE3" w14:paraId="1801F79E" w14:textId="0654968E">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1E8530A2" w14:textId="5A337EA6">
            <w:pPr>
              <w:widowControl/>
              <w:autoSpaceDE/>
              <w:autoSpaceDN/>
              <w:rPr>
                <w:rFonts w:ascii="Calibri" w:hAnsi="Calibri" w:eastAsia="Times New Roman" w:cs="Calibri"/>
                <w:color w:val="000000"/>
                <w:sz w:val="16"/>
                <w:szCs w:val="16"/>
                <w:lang w:bidi="ar-SA"/>
              </w:rPr>
            </w:pP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76A76E38" w14:textId="7840B226">
            <w:pPr>
              <w:widowControl/>
              <w:autoSpaceDE/>
              <w:autoSpaceDN/>
              <w:rPr>
                <w:rFonts w:ascii="Calibri" w:hAnsi="Calibri" w:eastAsia="Times New Roman" w:cs="Calibri"/>
                <w:color w:val="000000"/>
                <w:sz w:val="16"/>
                <w:szCs w:val="16"/>
                <w:lang w:bidi="ar-SA"/>
              </w:rPr>
            </w:pP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103C6377"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14:paraId="77C08F4A" w14:textId="67FA6932">
            <w:pPr>
              <w:widowControl/>
              <w:autoSpaceDE/>
              <w:autoSpaceDN/>
              <w:rPr>
                <w:rFonts w:ascii="Calibri" w:hAnsi="Calibri" w:eastAsia="Times New Roman" w:cs="Calibri"/>
                <w:color w:val="000000"/>
                <w:sz w:val="16"/>
                <w:szCs w:val="16"/>
                <w:lang w:bidi="ar-SA"/>
              </w:rPr>
            </w:pPr>
          </w:p>
        </w:tc>
      </w:tr>
      <w:tr w:rsidRPr="00DF0CE3" w:rsidR="00DF0CE3" w:rsidTr="00DF0CE3" w14:paraId="3FB953B7"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DF0CE3" w:rsidP="00DF0CE3" w:rsidRDefault="00DF0CE3" w14:paraId="64827C65"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7CEB0C0C"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603A3500"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34101898"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688C3FA8"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14:paraId="6772F1F6"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r>
      <w:tr w:rsidRPr="00DF0CE3" w:rsidR="00DF0CE3" w:rsidTr="00DF0CE3" w14:paraId="095BF3D7" w14:textId="77777777">
        <w:trPr>
          <w:trHeight w:val="465"/>
        </w:trPr>
        <w:tc>
          <w:tcPr>
            <w:tcW w:w="2280" w:type="dxa"/>
            <w:tcBorders>
              <w:top w:val="nil"/>
              <w:left w:val="single" w:color="auto" w:sz="8" w:space="0"/>
              <w:bottom w:val="single" w:color="auto" w:sz="4" w:space="0"/>
              <w:right w:val="single" w:color="auto" w:sz="8" w:space="0"/>
            </w:tcBorders>
            <w:shd w:val="clear" w:color="auto" w:fill="auto"/>
            <w:vAlign w:val="bottom"/>
            <w:hideMark/>
          </w:tcPr>
          <w:p w:rsidRPr="00DF0CE3" w:rsidR="00DF0CE3" w:rsidP="00DF0CE3" w:rsidRDefault="00DF0CE3" w14:paraId="43CD7C28" w14:textId="77777777">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Contractor Cost</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3D20DADB"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3078D29C"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2634765A"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28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45AD1FB4"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14:paraId="1DA62165"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r>
      <w:tr w:rsidRPr="00DF0CE3" w:rsidR="00DF0CE3" w:rsidTr="00DF0CE3" w14:paraId="321BC84D"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DF0CE3" w:rsidP="00DF0CE3" w:rsidRDefault="00DF0CE3" w14:paraId="27A631E9"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2DD570F7"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705B8BD8"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0310CEB0"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28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36D5FB19"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14:paraId="4A0EBAA9"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r>
      <w:tr w:rsidRPr="00DF0CE3" w:rsidR="00DF0CE3" w:rsidTr="00DF0CE3" w14:paraId="24747F7D"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DF0CE3" w:rsidP="00DF0CE3" w:rsidRDefault="00DF0CE3" w14:paraId="6EE002D1"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22D90BC1"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7BA4C074"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7A781E12"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28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6D268329"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14:paraId="7982A803"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r>
      <w:tr w:rsidRPr="00DF0CE3" w:rsidR="00DF0CE3" w:rsidTr="00DF0CE3" w14:paraId="588D0368"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DF0CE3" w:rsidP="00DF0CE3" w:rsidRDefault="00DF0CE3" w14:paraId="244BB6C1" w14:textId="77777777">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Travel</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07AEC383"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568F314F"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4E6390CB"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5CB6A791"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14:paraId="66474E20" w14:textId="063AF651">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B75A85">
              <w:rPr>
                <w:rFonts w:ascii="Calibri" w:hAnsi="Calibri" w:eastAsia="Times New Roman" w:cs="Calibri"/>
                <w:color w:val="000000"/>
                <w:sz w:val="16"/>
                <w:szCs w:val="16"/>
                <w:lang w:bidi="ar-SA"/>
              </w:rPr>
              <w:t>7,000</w:t>
            </w:r>
          </w:p>
        </w:tc>
      </w:tr>
      <w:tr w:rsidRPr="00DF0CE3" w:rsidR="00DF0CE3" w:rsidTr="00DF0CE3" w14:paraId="7E182117" w14:textId="77777777">
        <w:trPr>
          <w:trHeight w:val="525"/>
        </w:trPr>
        <w:tc>
          <w:tcPr>
            <w:tcW w:w="2280" w:type="dxa"/>
            <w:tcBorders>
              <w:top w:val="nil"/>
              <w:left w:val="single" w:color="auto" w:sz="8" w:space="0"/>
              <w:bottom w:val="nil"/>
              <w:right w:val="single" w:color="auto" w:sz="8" w:space="0"/>
            </w:tcBorders>
            <w:shd w:val="clear" w:color="auto" w:fill="auto"/>
            <w:vAlign w:val="center"/>
            <w:hideMark/>
          </w:tcPr>
          <w:p w:rsidRPr="00DF0CE3" w:rsidR="00DF0CE3" w:rsidP="00DF0CE3" w:rsidRDefault="00DF0CE3" w14:paraId="34C88832" w14:textId="77777777">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xml:space="preserve">Other Costs: </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0C1DB0B9"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6A11526A"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3593A8F7"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7CC5DA40"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14:paraId="4D52D73D"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r>
      <w:tr w:rsidRPr="00DF0CE3" w:rsidR="00DF0CE3" w:rsidTr="001477A3" w14:paraId="63AB8B48" w14:textId="77777777">
        <w:trPr>
          <w:trHeight w:val="315"/>
        </w:trPr>
        <w:tc>
          <w:tcPr>
            <w:tcW w:w="228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DF0CE3" w:rsidR="00DF0CE3" w:rsidP="00DF0CE3" w:rsidRDefault="00DF0CE3" w14:paraId="7EBA58B3" w14:textId="77777777">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TOTAL</w:t>
            </w:r>
          </w:p>
        </w:tc>
        <w:tc>
          <w:tcPr>
            <w:tcW w:w="1120" w:type="dxa"/>
            <w:tcBorders>
              <w:top w:val="single" w:color="auto" w:sz="8" w:space="0"/>
              <w:left w:val="nil"/>
              <w:bottom w:val="single" w:color="auto" w:sz="8" w:space="0"/>
              <w:right w:val="single" w:color="auto" w:sz="8" w:space="0"/>
            </w:tcBorders>
            <w:shd w:val="clear" w:color="000000" w:fill="808080"/>
            <w:noWrap/>
            <w:vAlign w:val="bottom"/>
            <w:hideMark/>
          </w:tcPr>
          <w:p w:rsidRPr="00DF0CE3" w:rsidR="00DF0CE3" w:rsidP="00DF0CE3" w:rsidRDefault="00DF0CE3" w14:paraId="4DE9DA37"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40" w:type="dxa"/>
            <w:tcBorders>
              <w:top w:val="single" w:color="auto" w:sz="8" w:space="0"/>
              <w:left w:val="nil"/>
              <w:bottom w:val="single" w:color="auto" w:sz="8" w:space="0"/>
              <w:right w:val="single" w:color="auto" w:sz="8" w:space="0"/>
            </w:tcBorders>
            <w:shd w:val="clear" w:color="auto" w:fill="808080" w:themeFill="background1" w:themeFillShade="80"/>
            <w:noWrap/>
            <w:vAlign w:val="bottom"/>
            <w:hideMark/>
          </w:tcPr>
          <w:p w:rsidRPr="00DF0CE3" w:rsidR="00DF0CE3" w:rsidP="00DF0CE3" w:rsidRDefault="00DF0CE3" w14:paraId="1F654E51"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single" w:color="auto" w:sz="8" w:space="0"/>
              <w:left w:val="nil"/>
              <w:bottom w:val="single" w:color="auto" w:sz="8" w:space="0"/>
              <w:right w:val="single" w:color="auto" w:sz="8" w:space="0"/>
            </w:tcBorders>
            <w:shd w:val="clear" w:color="000000" w:fill="757171"/>
            <w:noWrap/>
            <w:vAlign w:val="bottom"/>
            <w:hideMark/>
          </w:tcPr>
          <w:p w:rsidRPr="00DF0CE3" w:rsidR="00DF0CE3" w:rsidP="00DF0CE3" w:rsidRDefault="00DF0CE3" w14:paraId="0C7A4734"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280" w:type="dxa"/>
            <w:tcBorders>
              <w:top w:val="single" w:color="auto" w:sz="8" w:space="0"/>
              <w:left w:val="nil"/>
              <w:bottom w:val="single" w:color="auto" w:sz="8" w:space="0"/>
              <w:right w:val="single" w:color="auto" w:sz="8" w:space="0"/>
            </w:tcBorders>
            <w:shd w:val="clear" w:color="000000" w:fill="DDEBF7"/>
            <w:noWrap/>
            <w:vAlign w:val="bottom"/>
            <w:hideMark/>
          </w:tcPr>
          <w:p w:rsidRPr="00DF0CE3" w:rsidR="00DF0CE3" w:rsidP="00DF0CE3" w:rsidRDefault="00DF0CE3" w14:paraId="4A0A5E32"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single" w:color="auto" w:sz="8" w:space="0"/>
              <w:left w:val="nil"/>
              <w:bottom w:val="single" w:color="auto" w:sz="8" w:space="0"/>
              <w:right w:val="single" w:color="auto" w:sz="8" w:space="0"/>
            </w:tcBorders>
            <w:shd w:val="clear" w:color="000000" w:fill="DDEBF7"/>
            <w:noWrap/>
            <w:vAlign w:val="bottom"/>
            <w:hideMark/>
          </w:tcPr>
          <w:p w:rsidRPr="00DF0CE3" w:rsidR="00DF0CE3" w:rsidP="00DF0CE3" w:rsidRDefault="00DF0CE3" w14:paraId="0ACC88DF" w14:textId="44BFCC05">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1B2DAF">
              <w:rPr>
                <w:rFonts w:ascii="Calibri" w:hAnsi="Calibri" w:eastAsia="Times New Roman" w:cs="Calibri"/>
                <w:color w:val="000000"/>
                <w:sz w:val="16"/>
                <w:szCs w:val="16"/>
                <w:lang w:bidi="ar-SA"/>
              </w:rPr>
              <w:t>4</w:t>
            </w:r>
            <w:r w:rsidR="00B75A85">
              <w:rPr>
                <w:rFonts w:ascii="Calibri" w:hAnsi="Calibri" w:eastAsia="Times New Roman" w:cs="Calibri"/>
                <w:color w:val="000000"/>
                <w:sz w:val="16"/>
                <w:szCs w:val="16"/>
                <w:lang w:bidi="ar-SA"/>
              </w:rPr>
              <w:t>16,500</w:t>
            </w:r>
          </w:p>
        </w:tc>
      </w:tr>
    </w:tbl>
    <w:p w:rsidRPr="00BD7237" w:rsidR="00DF0CE3" w:rsidP="00BD7237" w:rsidRDefault="00DF0CE3" w14:paraId="470B32CE" w14:textId="77777777">
      <w:pPr>
        <w:pStyle w:val="BodyText"/>
        <w:spacing w:before="9" w:after="1"/>
        <w:ind w:left="0"/>
        <w:rPr>
          <w:rFonts w:ascii="Times New Roman" w:hAnsi="Times New Roman" w:cs="Times New Roman"/>
          <w:b/>
        </w:rPr>
      </w:pPr>
    </w:p>
    <w:p w:rsidRPr="00BD7237" w:rsidR="008E61C9" w:rsidP="00B964A3" w:rsidRDefault="001477A3" w14:paraId="13A8E706" w14:textId="77777777">
      <w:pPr>
        <w:pStyle w:val="ListParagraph"/>
        <w:numPr>
          <w:ilvl w:val="0"/>
          <w:numId w:val="1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reasons for any program changes or adjustments reported in ROCIS.</w:t>
      </w:r>
    </w:p>
    <w:p w:rsidR="008E61C9" w:rsidP="00BD7237" w:rsidRDefault="008E61C9" w14:paraId="7CF3C37A" w14:textId="77777777">
      <w:pPr>
        <w:pStyle w:val="BodyText"/>
        <w:spacing w:before="7"/>
        <w:ind w:left="0"/>
        <w:rPr>
          <w:rFonts w:ascii="Times New Roman" w:hAnsi="Times New Roman" w:cs="Times New Roman"/>
          <w:b/>
        </w:rPr>
      </w:pPr>
    </w:p>
    <w:tbl>
      <w:tblPr>
        <w:tblW w:w="11475" w:type="dxa"/>
        <w:tblInd w:w="-460" w:type="dxa"/>
        <w:tblLook w:val="04A0" w:firstRow="1" w:lastRow="0" w:firstColumn="1" w:lastColumn="0" w:noHBand="0" w:noVBand="1"/>
      </w:tblPr>
      <w:tblGrid>
        <w:gridCol w:w="2415"/>
        <w:gridCol w:w="915"/>
        <w:gridCol w:w="1080"/>
        <w:gridCol w:w="990"/>
        <w:gridCol w:w="1080"/>
        <w:gridCol w:w="1080"/>
        <w:gridCol w:w="1170"/>
        <w:gridCol w:w="2745"/>
      </w:tblGrid>
      <w:tr w:rsidRPr="00DF0CE3" w:rsidR="00DF0CE3" w:rsidTr="00DF0CE3" w14:paraId="02C8BB20" w14:textId="77777777">
        <w:trPr>
          <w:trHeight w:val="315"/>
        </w:trPr>
        <w:tc>
          <w:tcPr>
            <w:tcW w:w="241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14:paraId="2E9F17E2"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Information Collection</w:t>
            </w:r>
          </w:p>
        </w:tc>
        <w:tc>
          <w:tcPr>
            <w:tcW w:w="1995"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14:paraId="2863F69F"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Respondents</w:t>
            </w:r>
          </w:p>
        </w:tc>
        <w:tc>
          <w:tcPr>
            <w:tcW w:w="207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14:paraId="1DF8EA1C"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Responses</w:t>
            </w:r>
          </w:p>
        </w:tc>
        <w:tc>
          <w:tcPr>
            <w:tcW w:w="225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14:paraId="7139FE6C"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Burden Hours</w:t>
            </w:r>
          </w:p>
        </w:tc>
        <w:tc>
          <w:tcPr>
            <w:tcW w:w="274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14:paraId="58E275A9"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Reason for change or adjustment</w:t>
            </w:r>
          </w:p>
        </w:tc>
      </w:tr>
      <w:tr w:rsidRPr="00DF0CE3" w:rsidR="00DF0CE3" w:rsidTr="00DF0CE3" w14:paraId="31191C12" w14:textId="77777777">
        <w:trPr>
          <w:trHeight w:val="690"/>
        </w:trPr>
        <w:tc>
          <w:tcPr>
            <w:tcW w:w="2415"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14:paraId="69BF6F39" w14:textId="77777777">
            <w:pPr>
              <w:widowControl/>
              <w:autoSpaceDE/>
              <w:autoSpaceDN/>
              <w:rPr>
                <w:rFonts w:ascii="Calibri" w:hAnsi="Calibri" w:eastAsia="Times New Roman" w:cs="Calibri"/>
                <w:b/>
                <w:bCs/>
                <w:color w:val="000000"/>
                <w:sz w:val="16"/>
                <w:szCs w:val="16"/>
                <w:lang w:bidi="ar-SA"/>
              </w:rPr>
            </w:pPr>
          </w:p>
        </w:tc>
        <w:tc>
          <w:tcPr>
            <w:tcW w:w="915"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14:paraId="701ACB2D"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 Renewal / Revision</w:t>
            </w:r>
          </w:p>
        </w:tc>
        <w:tc>
          <w:tcPr>
            <w:tcW w:w="1080"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14:paraId="4EF17CA6"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 Renewal / Revision</w:t>
            </w:r>
          </w:p>
        </w:tc>
        <w:tc>
          <w:tcPr>
            <w:tcW w:w="990"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14:paraId="2147DD86"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 Renewal / Revision</w:t>
            </w:r>
          </w:p>
        </w:tc>
        <w:tc>
          <w:tcPr>
            <w:tcW w:w="1080"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14:paraId="5D0A22C3"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 Renewal / Revision</w:t>
            </w:r>
          </w:p>
        </w:tc>
        <w:tc>
          <w:tcPr>
            <w:tcW w:w="1080"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14:paraId="68E47ECF"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 Renewal / Revision</w:t>
            </w:r>
          </w:p>
        </w:tc>
        <w:tc>
          <w:tcPr>
            <w:tcW w:w="1170"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14:paraId="20E1C197"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 Renewal / Revision</w:t>
            </w:r>
          </w:p>
        </w:tc>
        <w:tc>
          <w:tcPr>
            <w:tcW w:w="2745"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14:paraId="0FCC7109" w14:textId="77777777">
            <w:pPr>
              <w:widowControl/>
              <w:autoSpaceDE/>
              <w:autoSpaceDN/>
              <w:rPr>
                <w:rFonts w:ascii="Calibri" w:hAnsi="Calibri" w:eastAsia="Times New Roman" w:cs="Calibri"/>
                <w:b/>
                <w:bCs/>
                <w:color w:val="000000"/>
                <w:sz w:val="16"/>
                <w:szCs w:val="16"/>
                <w:lang w:bidi="ar-SA"/>
              </w:rPr>
            </w:pPr>
          </w:p>
        </w:tc>
      </w:tr>
      <w:tr w:rsidRPr="00DF0CE3" w:rsidR="00F769E2" w:rsidTr="00B75A85" w14:paraId="64FDC069"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bottom"/>
            <w:hideMark/>
          </w:tcPr>
          <w:p w:rsidRPr="00DF0CE3" w:rsidR="00F769E2" w:rsidP="00F769E2" w:rsidRDefault="00F769E2" w14:paraId="2B56A20D" w14:textId="4D9B799B">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Annual VMS maintenance</w:t>
            </w:r>
          </w:p>
        </w:tc>
        <w:tc>
          <w:tcPr>
            <w:tcW w:w="915" w:type="dxa"/>
            <w:tcBorders>
              <w:top w:val="nil"/>
              <w:left w:val="nil"/>
              <w:bottom w:val="dotted" w:color="auto" w:sz="4" w:space="0"/>
              <w:right w:val="dashed" w:color="auto" w:sz="8" w:space="0"/>
            </w:tcBorders>
            <w:shd w:val="clear" w:color="auto" w:fill="auto"/>
            <w:vAlign w:val="center"/>
            <w:hideMark/>
          </w:tcPr>
          <w:p w:rsidRPr="00DF0CE3" w:rsidR="00F769E2" w:rsidP="00F769E2" w:rsidRDefault="00F769E2" w14:paraId="35939973" w14:textId="727AC61A">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901</w:t>
            </w:r>
            <w:r w:rsidRPr="00DF0CE3">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single" w:color="auto" w:sz="8" w:space="0"/>
            </w:tcBorders>
            <w:shd w:val="clear" w:color="auto" w:fill="auto"/>
            <w:vAlign w:val="center"/>
            <w:hideMark/>
          </w:tcPr>
          <w:p w:rsidRPr="00DF0CE3" w:rsidR="00F769E2" w:rsidP="00F769E2" w:rsidRDefault="00966088" w14:paraId="7A72AA9D" w14:textId="0DDC50EF">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120</w:t>
            </w:r>
          </w:p>
        </w:tc>
        <w:tc>
          <w:tcPr>
            <w:tcW w:w="990" w:type="dxa"/>
            <w:tcBorders>
              <w:top w:val="nil"/>
              <w:left w:val="nil"/>
              <w:bottom w:val="dotted" w:color="auto" w:sz="4" w:space="0"/>
              <w:right w:val="dashed" w:color="auto" w:sz="8" w:space="0"/>
            </w:tcBorders>
            <w:shd w:val="clear" w:color="auto" w:fill="auto"/>
            <w:vAlign w:val="center"/>
            <w:hideMark/>
          </w:tcPr>
          <w:p w:rsidRPr="00DF0CE3" w:rsidR="00F769E2" w:rsidP="00F769E2" w:rsidRDefault="00F769E2" w14:paraId="1C084113" w14:textId="11F2961B">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CF7768">
              <w:rPr>
                <w:rFonts w:ascii="Calibri" w:hAnsi="Calibri" w:eastAsia="Times New Roman" w:cs="Calibri"/>
                <w:color w:val="000000"/>
                <w:sz w:val="16"/>
                <w:szCs w:val="16"/>
                <w:lang w:bidi="ar-SA"/>
              </w:rPr>
              <w:t>901</w:t>
            </w:r>
          </w:p>
        </w:tc>
        <w:tc>
          <w:tcPr>
            <w:tcW w:w="1080" w:type="dxa"/>
            <w:tcBorders>
              <w:top w:val="nil"/>
              <w:left w:val="nil"/>
              <w:bottom w:val="dotted" w:color="auto" w:sz="4" w:space="0"/>
              <w:right w:val="single" w:color="auto" w:sz="8" w:space="0"/>
            </w:tcBorders>
            <w:shd w:val="clear" w:color="auto" w:fill="auto"/>
            <w:vAlign w:val="center"/>
            <w:hideMark/>
          </w:tcPr>
          <w:p w:rsidRPr="00DF0CE3" w:rsidR="00F769E2" w:rsidP="00F769E2" w:rsidRDefault="00966088" w14:paraId="03B52915" w14:textId="6094A0A0">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120</w:t>
            </w:r>
          </w:p>
        </w:tc>
        <w:tc>
          <w:tcPr>
            <w:tcW w:w="1080" w:type="dxa"/>
            <w:tcBorders>
              <w:top w:val="nil"/>
              <w:left w:val="nil"/>
              <w:bottom w:val="dotted" w:color="auto" w:sz="4" w:space="0"/>
              <w:right w:val="dashed" w:color="auto" w:sz="8" w:space="0"/>
            </w:tcBorders>
            <w:shd w:val="clear" w:color="auto" w:fill="auto"/>
            <w:vAlign w:val="center"/>
            <w:hideMark/>
          </w:tcPr>
          <w:p w:rsidRPr="00DF0CE3" w:rsidR="00F769E2" w:rsidP="00F769E2" w:rsidRDefault="00F769E2" w14:paraId="57F5C06D" w14:textId="56D42F10">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CF7768">
              <w:rPr>
                <w:rFonts w:ascii="Calibri" w:hAnsi="Calibri" w:eastAsia="Times New Roman" w:cs="Calibri"/>
                <w:color w:val="000000"/>
                <w:sz w:val="16"/>
                <w:szCs w:val="16"/>
                <w:lang w:bidi="ar-SA"/>
              </w:rPr>
              <w:t>1802</w:t>
            </w:r>
          </w:p>
        </w:tc>
        <w:tc>
          <w:tcPr>
            <w:tcW w:w="1170" w:type="dxa"/>
            <w:tcBorders>
              <w:top w:val="nil"/>
              <w:left w:val="nil"/>
              <w:bottom w:val="dotted" w:color="auto" w:sz="4" w:space="0"/>
              <w:right w:val="single" w:color="auto" w:sz="8" w:space="0"/>
            </w:tcBorders>
            <w:shd w:val="clear" w:color="auto" w:fill="auto"/>
            <w:vAlign w:val="center"/>
            <w:hideMark/>
          </w:tcPr>
          <w:p w:rsidRPr="00DF0CE3" w:rsidR="00F769E2" w:rsidP="00F769E2" w:rsidRDefault="00966088" w14:paraId="09E3FF7A" w14:textId="35D8723D">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641</w:t>
            </w:r>
          </w:p>
        </w:tc>
        <w:tc>
          <w:tcPr>
            <w:tcW w:w="2745" w:type="dxa"/>
            <w:tcBorders>
              <w:top w:val="nil"/>
              <w:left w:val="nil"/>
              <w:bottom w:val="dotted" w:color="auto" w:sz="4" w:space="0"/>
              <w:right w:val="single" w:color="auto" w:sz="8" w:space="0"/>
            </w:tcBorders>
            <w:shd w:val="clear" w:color="auto" w:fill="auto"/>
            <w:vAlign w:val="center"/>
            <w:hideMark/>
          </w:tcPr>
          <w:p w:rsidRPr="00DF0CE3" w:rsidR="00F769E2" w:rsidP="00B75A85" w:rsidRDefault="00F769E2" w14:paraId="0ACC91B0" w14:textId="2046C2D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B75A85">
              <w:rPr>
                <w:rFonts w:ascii="Calibri" w:hAnsi="Calibri" w:eastAsia="Times New Roman" w:cs="Calibri"/>
                <w:color w:val="000000"/>
                <w:sz w:val="16"/>
                <w:szCs w:val="16"/>
                <w:lang w:bidi="ar-SA"/>
              </w:rPr>
              <w:t>Administrative correction for increased clarity - VMS maintenance burden previously included in trip declarations IC, now moved.</w:t>
            </w:r>
          </w:p>
        </w:tc>
      </w:tr>
      <w:tr w:rsidRPr="00DF0CE3" w:rsidR="00F769E2" w:rsidTr="00B75A85" w14:paraId="5166F896"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bottom"/>
            <w:hideMark/>
          </w:tcPr>
          <w:p w:rsidRPr="00DF0CE3" w:rsidR="00F769E2" w:rsidP="00F769E2" w:rsidRDefault="00F769E2" w14:paraId="75CB742D" w14:textId="532D6A37">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Installation and Activation / Checklist</w:t>
            </w:r>
          </w:p>
        </w:tc>
        <w:tc>
          <w:tcPr>
            <w:tcW w:w="915" w:type="dxa"/>
            <w:tcBorders>
              <w:top w:val="nil"/>
              <w:left w:val="nil"/>
              <w:bottom w:val="dotted" w:color="auto" w:sz="4" w:space="0"/>
              <w:right w:val="dashed" w:color="auto" w:sz="8" w:space="0"/>
            </w:tcBorders>
            <w:shd w:val="clear" w:color="auto" w:fill="auto"/>
            <w:vAlign w:val="center"/>
            <w:hideMark/>
          </w:tcPr>
          <w:p w:rsidRPr="00DF0CE3" w:rsidR="00F769E2" w:rsidP="00F769E2" w:rsidRDefault="00F761E7" w14:paraId="1934E21A" w14:textId="14DC944E">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145</w:t>
            </w:r>
            <w:r w:rsidRPr="00DF0CE3" w:rsidR="00F769E2">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single" w:color="auto" w:sz="8" w:space="0"/>
            </w:tcBorders>
            <w:shd w:val="clear" w:color="auto" w:fill="auto"/>
            <w:vAlign w:val="center"/>
            <w:hideMark/>
          </w:tcPr>
          <w:p w:rsidRPr="00DF0CE3" w:rsidR="00F769E2" w:rsidP="00F769E2" w:rsidRDefault="00966088" w14:paraId="1CD2CDBF" w14:textId="3B8F7061">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46</w:t>
            </w:r>
          </w:p>
        </w:tc>
        <w:tc>
          <w:tcPr>
            <w:tcW w:w="990" w:type="dxa"/>
            <w:tcBorders>
              <w:top w:val="nil"/>
              <w:left w:val="nil"/>
              <w:bottom w:val="dotted" w:color="auto" w:sz="4" w:space="0"/>
              <w:right w:val="dashed" w:color="auto" w:sz="8" w:space="0"/>
            </w:tcBorders>
            <w:shd w:val="clear" w:color="auto" w:fill="auto"/>
            <w:vAlign w:val="center"/>
            <w:hideMark/>
          </w:tcPr>
          <w:p w:rsidRPr="00DF0CE3" w:rsidR="00F769E2" w:rsidP="00F769E2" w:rsidRDefault="00F801C3" w14:paraId="5E2BEB1B" w14:textId="63C23BF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145</w:t>
            </w:r>
            <w:r w:rsidRPr="00DF0CE3" w:rsidR="00F769E2">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single" w:color="auto" w:sz="8" w:space="0"/>
            </w:tcBorders>
            <w:shd w:val="clear" w:color="auto" w:fill="auto"/>
            <w:vAlign w:val="center"/>
            <w:hideMark/>
          </w:tcPr>
          <w:p w:rsidRPr="00DF0CE3" w:rsidR="00F769E2" w:rsidP="00F769E2" w:rsidRDefault="00966088" w14:paraId="55E75907" w14:textId="517ECDF2">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46</w:t>
            </w:r>
          </w:p>
        </w:tc>
        <w:tc>
          <w:tcPr>
            <w:tcW w:w="1080" w:type="dxa"/>
            <w:tcBorders>
              <w:top w:val="nil"/>
              <w:left w:val="nil"/>
              <w:bottom w:val="dotted" w:color="auto" w:sz="4" w:space="0"/>
              <w:right w:val="dashed" w:color="auto" w:sz="8" w:space="0"/>
            </w:tcBorders>
            <w:shd w:val="clear" w:color="auto" w:fill="auto"/>
            <w:vAlign w:val="center"/>
            <w:hideMark/>
          </w:tcPr>
          <w:p w:rsidRPr="00DF0CE3" w:rsidR="00F769E2" w:rsidP="00F769E2" w:rsidRDefault="00F801C3" w14:paraId="274F42CD" w14:textId="54704F0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593.3</w:t>
            </w:r>
            <w:r w:rsidRPr="00DF0CE3" w:rsidR="00F769E2">
              <w:rPr>
                <w:rFonts w:ascii="Calibri" w:hAnsi="Calibri" w:eastAsia="Times New Roman" w:cs="Calibri"/>
                <w:color w:val="000000"/>
                <w:sz w:val="16"/>
                <w:szCs w:val="16"/>
                <w:lang w:bidi="ar-SA"/>
              </w:rPr>
              <w:t> </w:t>
            </w:r>
          </w:p>
        </w:tc>
        <w:tc>
          <w:tcPr>
            <w:tcW w:w="1170" w:type="dxa"/>
            <w:tcBorders>
              <w:top w:val="nil"/>
              <w:left w:val="nil"/>
              <w:bottom w:val="dotted" w:color="auto" w:sz="4" w:space="0"/>
              <w:right w:val="single" w:color="auto" w:sz="8" w:space="0"/>
            </w:tcBorders>
            <w:shd w:val="clear" w:color="auto" w:fill="auto"/>
            <w:vAlign w:val="center"/>
            <w:hideMark/>
          </w:tcPr>
          <w:p w:rsidRPr="00DF0CE3" w:rsidR="00F769E2" w:rsidP="00F769E2" w:rsidRDefault="00966088" w14:paraId="26C28379" w14:textId="06F7663E">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15</w:t>
            </w:r>
          </w:p>
        </w:tc>
        <w:tc>
          <w:tcPr>
            <w:tcW w:w="2745" w:type="dxa"/>
            <w:tcBorders>
              <w:top w:val="nil"/>
              <w:left w:val="nil"/>
              <w:bottom w:val="dotted" w:color="auto" w:sz="4" w:space="0"/>
              <w:right w:val="single" w:color="auto" w:sz="8" w:space="0"/>
            </w:tcBorders>
            <w:shd w:val="clear" w:color="auto" w:fill="auto"/>
            <w:vAlign w:val="center"/>
            <w:hideMark/>
          </w:tcPr>
          <w:p w:rsidRPr="00DF0CE3" w:rsidR="00F769E2" w:rsidP="00B75A85" w:rsidRDefault="00F769E2" w14:paraId="0F3A7A00" w14:textId="19605919">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B75A85">
              <w:rPr>
                <w:rFonts w:ascii="Calibri" w:hAnsi="Calibri" w:eastAsia="Times New Roman" w:cs="Calibri"/>
                <w:color w:val="000000"/>
                <w:sz w:val="16"/>
                <w:szCs w:val="16"/>
                <w:lang w:bidi="ar-SA"/>
              </w:rPr>
              <w:t>Administrative correction for increased clarity - Previous burden for checklists included in the VMS IC, now moved to this IC as well as VMS purchase/install.</w:t>
            </w:r>
          </w:p>
        </w:tc>
      </w:tr>
      <w:tr w:rsidRPr="00DF0CE3" w:rsidR="00F769E2" w:rsidTr="00CF7768" w14:paraId="011E1FD6"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bottom"/>
            <w:hideMark/>
          </w:tcPr>
          <w:p w:rsidRPr="00DF0CE3" w:rsidR="00F769E2" w:rsidP="00F769E2" w:rsidRDefault="00F769E2" w14:paraId="765B813C" w14:textId="7E4F68C9">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Power Down Exemption Requests</w:t>
            </w:r>
          </w:p>
        </w:tc>
        <w:tc>
          <w:tcPr>
            <w:tcW w:w="915" w:type="dxa"/>
            <w:tcBorders>
              <w:top w:val="nil"/>
              <w:left w:val="nil"/>
              <w:bottom w:val="dotted" w:color="auto" w:sz="4" w:space="0"/>
              <w:right w:val="dashed" w:color="auto" w:sz="8" w:space="0"/>
            </w:tcBorders>
            <w:shd w:val="clear" w:color="auto" w:fill="auto"/>
            <w:vAlign w:val="center"/>
            <w:hideMark/>
          </w:tcPr>
          <w:p w:rsidRPr="00DF0CE3" w:rsidR="00F769E2" w:rsidP="00F769E2" w:rsidRDefault="00FF7F4B" w14:paraId="2F79C678" w14:textId="342149E8">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150</w:t>
            </w:r>
            <w:r w:rsidRPr="00DF0CE3" w:rsidR="00F769E2">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single" w:color="auto" w:sz="8" w:space="0"/>
            </w:tcBorders>
            <w:shd w:val="clear" w:color="auto" w:fill="auto"/>
            <w:vAlign w:val="center"/>
            <w:hideMark/>
          </w:tcPr>
          <w:p w:rsidRPr="00DF0CE3" w:rsidR="00F769E2" w:rsidP="00F769E2" w:rsidRDefault="00F769E2" w14:paraId="6DBFC42E" w14:textId="020425AF">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85</w:t>
            </w:r>
            <w:r w:rsidRPr="00DF0CE3">
              <w:rPr>
                <w:rFonts w:ascii="Calibri" w:hAnsi="Calibri" w:eastAsia="Times New Roman" w:cs="Calibri"/>
                <w:color w:val="000000"/>
                <w:sz w:val="16"/>
                <w:szCs w:val="16"/>
                <w:lang w:bidi="ar-SA"/>
              </w:rPr>
              <w:t> </w:t>
            </w:r>
          </w:p>
        </w:tc>
        <w:tc>
          <w:tcPr>
            <w:tcW w:w="990" w:type="dxa"/>
            <w:tcBorders>
              <w:top w:val="nil"/>
              <w:left w:val="nil"/>
              <w:bottom w:val="dotted" w:color="auto" w:sz="4" w:space="0"/>
              <w:right w:val="dashed" w:color="auto" w:sz="8" w:space="0"/>
            </w:tcBorders>
            <w:shd w:val="clear" w:color="auto" w:fill="auto"/>
            <w:vAlign w:val="center"/>
            <w:hideMark/>
          </w:tcPr>
          <w:p w:rsidRPr="00DF0CE3" w:rsidR="00F769E2" w:rsidP="00F769E2" w:rsidRDefault="00FF7F4B" w14:paraId="70D609B3" w14:textId="3B5730FD">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150</w:t>
            </w:r>
            <w:r w:rsidRPr="00DF0CE3" w:rsidR="00F769E2">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single" w:color="auto" w:sz="8" w:space="0"/>
            </w:tcBorders>
            <w:shd w:val="clear" w:color="auto" w:fill="auto"/>
            <w:vAlign w:val="center"/>
            <w:hideMark/>
          </w:tcPr>
          <w:p w:rsidRPr="00DF0CE3" w:rsidR="00F769E2" w:rsidP="00F769E2" w:rsidRDefault="00F769E2" w14:paraId="5E3F14EE" w14:textId="297F3F15">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85</w:t>
            </w:r>
          </w:p>
        </w:tc>
        <w:tc>
          <w:tcPr>
            <w:tcW w:w="1080" w:type="dxa"/>
            <w:tcBorders>
              <w:top w:val="nil"/>
              <w:left w:val="nil"/>
              <w:bottom w:val="dotted" w:color="auto" w:sz="4" w:space="0"/>
              <w:right w:val="dashed" w:color="auto" w:sz="8" w:space="0"/>
            </w:tcBorders>
            <w:shd w:val="clear" w:color="auto" w:fill="auto"/>
            <w:vAlign w:val="center"/>
            <w:hideMark/>
          </w:tcPr>
          <w:p w:rsidRPr="00DF0CE3" w:rsidR="00F769E2" w:rsidP="00F769E2" w:rsidRDefault="00F769E2" w14:paraId="3512E6DF" w14:textId="53BF4615">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FF7F4B">
              <w:rPr>
                <w:rFonts w:ascii="Calibri" w:hAnsi="Calibri" w:eastAsia="Times New Roman" w:cs="Calibri"/>
                <w:color w:val="000000"/>
                <w:sz w:val="16"/>
                <w:szCs w:val="16"/>
                <w:lang w:bidi="ar-SA"/>
              </w:rPr>
              <w:t>12.5</w:t>
            </w:r>
          </w:p>
        </w:tc>
        <w:tc>
          <w:tcPr>
            <w:tcW w:w="1170" w:type="dxa"/>
            <w:tcBorders>
              <w:top w:val="nil"/>
              <w:left w:val="nil"/>
              <w:bottom w:val="dotted" w:color="auto" w:sz="4" w:space="0"/>
              <w:right w:val="single" w:color="auto" w:sz="8" w:space="0"/>
            </w:tcBorders>
            <w:shd w:val="clear" w:color="auto" w:fill="auto"/>
            <w:vAlign w:val="center"/>
            <w:hideMark/>
          </w:tcPr>
          <w:p w:rsidRPr="00DF0CE3" w:rsidR="00F769E2" w:rsidP="00F769E2" w:rsidRDefault="00F769E2" w14:paraId="312FCEE1" w14:textId="481FB7DA">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7</w:t>
            </w:r>
            <w:r w:rsidRPr="00DF0CE3">
              <w:rPr>
                <w:rFonts w:ascii="Calibri" w:hAnsi="Calibri" w:eastAsia="Times New Roman" w:cs="Calibri"/>
                <w:color w:val="000000"/>
                <w:sz w:val="16"/>
                <w:szCs w:val="16"/>
                <w:lang w:bidi="ar-SA"/>
              </w:rPr>
              <w:t> </w:t>
            </w:r>
          </w:p>
        </w:tc>
        <w:tc>
          <w:tcPr>
            <w:tcW w:w="2745" w:type="dxa"/>
            <w:tcBorders>
              <w:top w:val="nil"/>
              <w:left w:val="nil"/>
              <w:bottom w:val="dotted" w:color="auto" w:sz="4" w:space="0"/>
              <w:right w:val="single" w:color="auto" w:sz="8" w:space="0"/>
            </w:tcBorders>
            <w:shd w:val="clear" w:color="auto" w:fill="auto"/>
            <w:vAlign w:val="center"/>
            <w:hideMark/>
          </w:tcPr>
          <w:p w:rsidRPr="00DF0CE3" w:rsidR="00F769E2" w:rsidP="00F769E2" w:rsidRDefault="00B75A85" w14:paraId="12206DB9" w14:textId="01DE9E76">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 xml:space="preserve"> See note</w:t>
            </w:r>
            <w:r w:rsidR="00F769E2">
              <w:rPr>
                <w:rFonts w:ascii="Calibri" w:hAnsi="Calibri" w:eastAsia="Times New Roman" w:cs="Calibri"/>
                <w:color w:val="000000"/>
                <w:sz w:val="16"/>
                <w:szCs w:val="16"/>
                <w:lang w:bidi="ar-SA"/>
              </w:rPr>
              <w:t xml:space="preserve"> below</w:t>
            </w:r>
          </w:p>
        </w:tc>
      </w:tr>
      <w:tr w:rsidRPr="00DF0CE3" w:rsidR="00F769E2" w:rsidTr="00B75A85" w14:paraId="730D5CD4"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bottom"/>
            <w:hideMark/>
          </w:tcPr>
          <w:p w:rsidRPr="00DF0CE3" w:rsidR="00F769E2" w:rsidP="00F769E2" w:rsidRDefault="00F769E2" w14:paraId="7BB80F1C" w14:textId="455A7D5E">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Trip Declarations</w:t>
            </w:r>
          </w:p>
        </w:tc>
        <w:tc>
          <w:tcPr>
            <w:tcW w:w="915" w:type="dxa"/>
            <w:tcBorders>
              <w:top w:val="nil"/>
              <w:left w:val="nil"/>
              <w:bottom w:val="dotted" w:color="auto" w:sz="4" w:space="0"/>
              <w:right w:val="dashed" w:color="auto" w:sz="8" w:space="0"/>
            </w:tcBorders>
            <w:shd w:val="clear" w:color="auto" w:fill="auto"/>
            <w:vAlign w:val="center"/>
            <w:hideMark/>
          </w:tcPr>
          <w:p w:rsidRPr="00DF0CE3" w:rsidR="00F769E2" w:rsidP="00F769E2" w:rsidRDefault="00FF7F4B" w14:paraId="5F28921E" w14:textId="74EE2272">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824</w:t>
            </w:r>
            <w:r w:rsidRPr="00DF0CE3" w:rsidR="00F769E2">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single" w:color="auto" w:sz="8" w:space="0"/>
            </w:tcBorders>
            <w:shd w:val="clear" w:color="auto" w:fill="auto"/>
            <w:vAlign w:val="center"/>
            <w:hideMark/>
          </w:tcPr>
          <w:p w:rsidRPr="00DF0CE3" w:rsidR="00F769E2" w:rsidP="00F769E2" w:rsidRDefault="00966088" w14:paraId="327A7253" w14:textId="09CB3F8C">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945</w:t>
            </w:r>
          </w:p>
        </w:tc>
        <w:tc>
          <w:tcPr>
            <w:tcW w:w="990" w:type="dxa"/>
            <w:tcBorders>
              <w:top w:val="nil"/>
              <w:left w:val="nil"/>
              <w:bottom w:val="dotted" w:color="auto" w:sz="4" w:space="0"/>
              <w:right w:val="dashed" w:color="auto" w:sz="8" w:space="0"/>
            </w:tcBorders>
            <w:shd w:val="clear" w:color="auto" w:fill="auto"/>
            <w:vAlign w:val="center"/>
            <w:hideMark/>
          </w:tcPr>
          <w:p w:rsidRPr="00DF0CE3" w:rsidR="00F769E2" w:rsidP="003B79C4" w:rsidRDefault="00F769E2" w14:paraId="1E80A36F" w14:textId="07B3AF8A">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3B79C4">
              <w:rPr>
                <w:rFonts w:ascii="Calibri" w:hAnsi="Calibri" w:eastAsia="Times New Roman" w:cs="Calibri"/>
                <w:color w:val="000000"/>
                <w:sz w:val="16"/>
                <w:szCs w:val="16"/>
                <w:lang w:bidi="ar-SA"/>
              </w:rPr>
              <w:t>13,184</w:t>
            </w:r>
          </w:p>
        </w:tc>
        <w:tc>
          <w:tcPr>
            <w:tcW w:w="1080" w:type="dxa"/>
            <w:tcBorders>
              <w:top w:val="nil"/>
              <w:left w:val="nil"/>
              <w:bottom w:val="dotted" w:color="auto" w:sz="4" w:space="0"/>
              <w:right w:val="single" w:color="auto" w:sz="8" w:space="0"/>
            </w:tcBorders>
            <w:shd w:val="clear" w:color="auto" w:fill="auto"/>
            <w:vAlign w:val="center"/>
            <w:hideMark/>
          </w:tcPr>
          <w:p w:rsidRPr="00DF0CE3" w:rsidR="00F769E2" w:rsidP="00966088" w:rsidRDefault="00F769E2" w14:paraId="480AA587" w14:textId="424029EA">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966088">
              <w:rPr>
                <w:rFonts w:ascii="Calibri" w:hAnsi="Calibri" w:eastAsia="Times New Roman" w:cs="Calibri"/>
                <w:color w:val="000000"/>
                <w:sz w:val="16"/>
                <w:szCs w:val="16"/>
                <w:lang w:bidi="ar-SA"/>
              </w:rPr>
              <w:t>13,945</w:t>
            </w:r>
          </w:p>
        </w:tc>
        <w:tc>
          <w:tcPr>
            <w:tcW w:w="1080" w:type="dxa"/>
            <w:tcBorders>
              <w:top w:val="nil"/>
              <w:left w:val="nil"/>
              <w:bottom w:val="dotted" w:color="auto" w:sz="4" w:space="0"/>
              <w:right w:val="dashed" w:color="auto" w:sz="8" w:space="0"/>
            </w:tcBorders>
            <w:shd w:val="clear" w:color="auto" w:fill="auto"/>
            <w:vAlign w:val="center"/>
            <w:hideMark/>
          </w:tcPr>
          <w:p w:rsidRPr="00DF0CE3" w:rsidR="00F769E2" w:rsidP="00F769E2" w:rsidRDefault="003B79C4" w14:paraId="5B7CFB77" w14:textId="03FC90CA">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220</w:t>
            </w:r>
          </w:p>
        </w:tc>
        <w:tc>
          <w:tcPr>
            <w:tcW w:w="1170" w:type="dxa"/>
            <w:tcBorders>
              <w:top w:val="nil"/>
              <w:left w:val="nil"/>
              <w:bottom w:val="dotted" w:color="auto" w:sz="4" w:space="0"/>
              <w:right w:val="single" w:color="auto" w:sz="8" w:space="0"/>
            </w:tcBorders>
            <w:shd w:val="clear" w:color="auto" w:fill="auto"/>
            <w:vAlign w:val="center"/>
            <w:hideMark/>
          </w:tcPr>
          <w:p w:rsidRPr="00DF0CE3" w:rsidR="00F769E2" w:rsidP="00F769E2" w:rsidRDefault="00966088" w14:paraId="64C7F2BF" w14:textId="092F892C">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2,107</w:t>
            </w:r>
          </w:p>
        </w:tc>
        <w:tc>
          <w:tcPr>
            <w:tcW w:w="2745" w:type="dxa"/>
            <w:tcBorders>
              <w:top w:val="nil"/>
              <w:left w:val="nil"/>
              <w:bottom w:val="dotted" w:color="auto" w:sz="4" w:space="0"/>
              <w:right w:val="single" w:color="auto" w:sz="8" w:space="0"/>
            </w:tcBorders>
            <w:shd w:val="clear" w:color="auto" w:fill="auto"/>
            <w:vAlign w:val="center"/>
            <w:hideMark/>
          </w:tcPr>
          <w:p w:rsidRPr="00DF0CE3" w:rsidR="00F769E2" w:rsidP="00B75A85" w:rsidRDefault="00F769E2" w14:paraId="65B88684" w14:textId="55AD72C5">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B75A85">
              <w:rPr>
                <w:rFonts w:ascii="Calibri" w:hAnsi="Calibri" w:eastAsia="Times New Roman" w:cs="Calibri"/>
                <w:color w:val="000000"/>
                <w:sz w:val="16"/>
                <w:szCs w:val="16"/>
                <w:lang w:bidi="ar-SA"/>
              </w:rPr>
              <w:t xml:space="preserve">Administrative correction for increased clarity - </w:t>
            </w:r>
            <w:r w:rsidR="003B79C4">
              <w:rPr>
                <w:rFonts w:ascii="Calibri" w:hAnsi="Calibri" w:eastAsia="Times New Roman" w:cs="Calibri"/>
                <w:color w:val="000000"/>
                <w:sz w:val="16"/>
                <w:szCs w:val="16"/>
                <w:lang w:bidi="ar-SA"/>
              </w:rPr>
              <w:t xml:space="preserve">Responses and burden hours previously included VMS </w:t>
            </w:r>
            <w:r w:rsidR="00B75A85">
              <w:rPr>
                <w:rFonts w:ascii="Calibri" w:hAnsi="Calibri" w:eastAsia="Times New Roman" w:cs="Calibri"/>
                <w:color w:val="000000"/>
                <w:sz w:val="16"/>
                <w:szCs w:val="16"/>
                <w:lang w:bidi="ar-SA"/>
              </w:rPr>
              <w:t>maintenance burden, which has been moved to the VMS Maintenance IC</w:t>
            </w:r>
          </w:p>
        </w:tc>
      </w:tr>
      <w:tr w:rsidRPr="00DF0CE3" w:rsidR="00DF0CE3" w:rsidTr="00DF0CE3" w14:paraId="20B06174" w14:textId="77777777">
        <w:trPr>
          <w:trHeight w:val="465"/>
        </w:trPr>
        <w:tc>
          <w:tcPr>
            <w:tcW w:w="2415" w:type="dxa"/>
            <w:tcBorders>
              <w:top w:val="nil"/>
              <w:left w:val="single" w:color="auto" w:sz="8" w:space="0"/>
              <w:bottom w:val="nil"/>
              <w:right w:val="single" w:color="auto" w:sz="8" w:space="0"/>
            </w:tcBorders>
            <w:shd w:val="clear" w:color="000000" w:fill="BDD6EE"/>
            <w:vAlign w:val="center"/>
            <w:hideMark/>
          </w:tcPr>
          <w:p w:rsidRPr="00DF0CE3" w:rsidR="00DF0CE3" w:rsidP="00DF0CE3" w:rsidRDefault="00DF0CE3" w14:paraId="62AF19EA"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Total for Collection</w:t>
            </w:r>
          </w:p>
        </w:tc>
        <w:tc>
          <w:tcPr>
            <w:tcW w:w="915" w:type="dxa"/>
            <w:tcBorders>
              <w:top w:val="nil"/>
              <w:left w:val="nil"/>
              <w:bottom w:val="nil"/>
              <w:right w:val="dashed" w:color="auto" w:sz="8" w:space="0"/>
            </w:tcBorders>
            <w:shd w:val="clear" w:color="000000" w:fill="BDD6EE"/>
            <w:vAlign w:val="center"/>
            <w:hideMark/>
          </w:tcPr>
          <w:p w:rsidRPr="00DF0CE3" w:rsidR="00DF0CE3" w:rsidP="00DF0CE3" w:rsidRDefault="009502CA" w14:paraId="72820B3C" w14:textId="64FC3882">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901</w:t>
            </w:r>
            <w:r w:rsidRPr="00DF0CE3" w:rsidR="00DF0CE3">
              <w:rPr>
                <w:rFonts w:ascii="Calibri" w:hAnsi="Calibri" w:eastAsia="Times New Roman" w:cs="Calibri"/>
                <w:b/>
                <w:bCs/>
                <w:color w:val="000000"/>
                <w:sz w:val="16"/>
                <w:szCs w:val="16"/>
                <w:lang w:bidi="ar-SA"/>
              </w:rPr>
              <w:t> </w:t>
            </w:r>
          </w:p>
        </w:tc>
        <w:tc>
          <w:tcPr>
            <w:tcW w:w="1080" w:type="dxa"/>
            <w:tcBorders>
              <w:top w:val="nil"/>
              <w:left w:val="nil"/>
              <w:bottom w:val="nil"/>
              <w:right w:val="single" w:color="auto" w:sz="8" w:space="0"/>
            </w:tcBorders>
            <w:shd w:val="clear" w:color="000000" w:fill="BDD6EE"/>
            <w:vAlign w:val="center"/>
            <w:hideMark/>
          </w:tcPr>
          <w:p w:rsidRPr="00DF0CE3" w:rsidR="00DF0CE3" w:rsidP="00DF0CE3" w:rsidRDefault="009502CA" w14:paraId="01F5E5DA" w14:textId="7616BFAA">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945</w:t>
            </w:r>
            <w:r w:rsidRPr="00DF0CE3" w:rsidR="00DF0CE3">
              <w:rPr>
                <w:rFonts w:ascii="Calibri" w:hAnsi="Calibri" w:eastAsia="Times New Roman" w:cs="Calibri"/>
                <w:b/>
                <w:bCs/>
                <w:color w:val="000000"/>
                <w:sz w:val="16"/>
                <w:szCs w:val="16"/>
                <w:lang w:bidi="ar-SA"/>
              </w:rPr>
              <w:t> </w:t>
            </w:r>
          </w:p>
        </w:tc>
        <w:tc>
          <w:tcPr>
            <w:tcW w:w="990" w:type="dxa"/>
            <w:tcBorders>
              <w:top w:val="nil"/>
              <w:left w:val="nil"/>
              <w:bottom w:val="nil"/>
              <w:right w:val="dashed" w:color="auto" w:sz="8" w:space="0"/>
            </w:tcBorders>
            <w:shd w:val="clear" w:color="000000" w:fill="BDD6EE"/>
            <w:vAlign w:val="center"/>
            <w:hideMark/>
          </w:tcPr>
          <w:p w:rsidRPr="00DF0CE3" w:rsidR="00DF0CE3" w:rsidP="00DF0CE3" w:rsidRDefault="009502CA" w14:paraId="517F82C8" w14:textId="43AFB61C">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14,380</w:t>
            </w:r>
            <w:r w:rsidRPr="00DF0CE3" w:rsidR="00DF0CE3">
              <w:rPr>
                <w:rFonts w:ascii="Calibri" w:hAnsi="Calibri" w:eastAsia="Times New Roman" w:cs="Calibri"/>
                <w:b/>
                <w:bCs/>
                <w:color w:val="000000"/>
                <w:sz w:val="16"/>
                <w:szCs w:val="16"/>
                <w:lang w:bidi="ar-SA"/>
              </w:rPr>
              <w:t> </w:t>
            </w:r>
          </w:p>
        </w:tc>
        <w:tc>
          <w:tcPr>
            <w:tcW w:w="1080" w:type="dxa"/>
            <w:tcBorders>
              <w:top w:val="nil"/>
              <w:left w:val="nil"/>
              <w:bottom w:val="nil"/>
              <w:right w:val="single" w:color="auto" w:sz="8" w:space="0"/>
            </w:tcBorders>
            <w:shd w:val="clear" w:color="000000" w:fill="BDD6EE"/>
            <w:vAlign w:val="center"/>
            <w:hideMark/>
          </w:tcPr>
          <w:p w:rsidRPr="00DF0CE3" w:rsidR="00DF0CE3" w:rsidP="00DF0CE3" w:rsidRDefault="009502CA" w14:paraId="23C92168" w14:textId="6091FA14">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14,196</w:t>
            </w:r>
            <w:r w:rsidRPr="00DF0CE3" w:rsidR="00DF0CE3">
              <w:rPr>
                <w:rFonts w:ascii="Calibri" w:hAnsi="Calibri" w:eastAsia="Times New Roman" w:cs="Calibri"/>
                <w:b/>
                <w:bCs/>
                <w:color w:val="000000"/>
                <w:sz w:val="16"/>
                <w:szCs w:val="16"/>
                <w:lang w:bidi="ar-SA"/>
              </w:rPr>
              <w:t> </w:t>
            </w:r>
          </w:p>
        </w:tc>
        <w:tc>
          <w:tcPr>
            <w:tcW w:w="1080" w:type="dxa"/>
            <w:tcBorders>
              <w:top w:val="nil"/>
              <w:left w:val="nil"/>
              <w:bottom w:val="nil"/>
              <w:right w:val="dashed" w:color="auto" w:sz="8" w:space="0"/>
            </w:tcBorders>
            <w:shd w:val="clear" w:color="000000" w:fill="BDD6EE"/>
            <w:vAlign w:val="center"/>
            <w:hideMark/>
          </w:tcPr>
          <w:p w:rsidRPr="00DF0CE3" w:rsidR="00DF0CE3" w:rsidP="00DF0CE3" w:rsidRDefault="009502CA" w14:paraId="761348BA" w14:textId="2E65CC8A">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2,628</w:t>
            </w:r>
            <w:r w:rsidRPr="00DF0CE3" w:rsidR="00DF0CE3">
              <w:rPr>
                <w:rFonts w:ascii="Calibri" w:hAnsi="Calibri" w:eastAsia="Times New Roman" w:cs="Calibri"/>
                <w:b/>
                <w:bCs/>
                <w:color w:val="000000"/>
                <w:sz w:val="16"/>
                <w:szCs w:val="16"/>
                <w:lang w:bidi="ar-SA"/>
              </w:rPr>
              <w:t> </w:t>
            </w:r>
          </w:p>
        </w:tc>
        <w:tc>
          <w:tcPr>
            <w:tcW w:w="1170" w:type="dxa"/>
            <w:tcBorders>
              <w:top w:val="nil"/>
              <w:left w:val="nil"/>
              <w:bottom w:val="nil"/>
              <w:right w:val="single" w:color="auto" w:sz="8" w:space="0"/>
            </w:tcBorders>
            <w:shd w:val="clear" w:color="000000" w:fill="BDD6EE"/>
            <w:vAlign w:val="center"/>
            <w:hideMark/>
          </w:tcPr>
          <w:p w:rsidRPr="00DF0CE3" w:rsidR="00DF0CE3" w:rsidP="00DF0CE3" w:rsidRDefault="009502CA" w14:paraId="5CD9FF61" w14:textId="67834B0A">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2,770</w:t>
            </w:r>
            <w:r w:rsidRPr="00DF0CE3" w:rsidR="00DF0CE3">
              <w:rPr>
                <w:rFonts w:ascii="Calibri" w:hAnsi="Calibri" w:eastAsia="Times New Roman" w:cs="Calibri"/>
                <w:b/>
                <w:bCs/>
                <w:color w:val="000000"/>
                <w:sz w:val="16"/>
                <w:szCs w:val="16"/>
                <w:lang w:bidi="ar-SA"/>
              </w:rPr>
              <w:t> </w:t>
            </w:r>
          </w:p>
        </w:tc>
        <w:tc>
          <w:tcPr>
            <w:tcW w:w="2745" w:type="dxa"/>
            <w:tcBorders>
              <w:top w:val="nil"/>
              <w:left w:val="nil"/>
              <w:bottom w:val="nil"/>
              <w:right w:val="single" w:color="auto" w:sz="8" w:space="0"/>
            </w:tcBorders>
            <w:shd w:val="clear" w:color="000000" w:fill="000000"/>
            <w:vAlign w:val="center"/>
            <w:hideMark/>
          </w:tcPr>
          <w:p w:rsidRPr="00DF0CE3" w:rsidR="00DF0CE3" w:rsidP="00DF0CE3" w:rsidRDefault="00DF0CE3" w14:paraId="3227172A"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w:t>
            </w:r>
          </w:p>
        </w:tc>
      </w:tr>
      <w:tr w:rsidRPr="00DF0CE3" w:rsidR="00DF0CE3" w:rsidTr="00DF0CE3" w14:paraId="19F9DB84" w14:textId="77777777">
        <w:trPr>
          <w:trHeight w:val="315"/>
        </w:trPr>
        <w:tc>
          <w:tcPr>
            <w:tcW w:w="2415" w:type="dxa"/>
            <w:tcBorders>
              <w:top w:val="single" w:color="auto" w:sz="8" w:space="0"/>
              <w:left w:val="single" w:color="auto" w:sz="8" w:space="0"/>
              <w:bottom w:val="single" w:color="auto" w:sz="8" w:space="0"/>
              <w:right w:val="nil"/>
            </w:tcBorders>
            <w:shd w:val="clear" w:color="000000" w:fill="FCE4D6"/>
            <w:noWrap/>
            <w:vAlign w:val="bottom"/>
            <w:hideMark/>
          </w:tcPr>
          <w:p w:rsidRPr="00DF0CE3" w:rsidR="00DF0CE3" w:rsidP="00DF0CE3" w:rsidRDefault="00DF0CE3" w14:paraId="299765A6"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Difference</w:t>
            </w:r>
          </w:p>
        </w:tc>
        <w:tc>
          <w:tcPr>
            <w:tcW w:w="1995"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DF0CE3" w:rsidR="00DF0CE3" w:rsidP="00DF0CE3" w:rsidRDefault="00DF0CE3" w14:paraId="30236839" w14:textId="2D84955E">
            <w:pPr>
              <w:widowControl/>
              <w:autoSpaceDE/>
              <w:autoSpaceDN/>
              <w:jc w:val="center"/>
              <w:rPr>
                <w:rFonts w:ascii="Calibri" w:hAnsi="Calibri" w:eastAsia="Times New Roman" w:cs="Calibri"/>
                <w:color w:val="000000"/>
                <w:lang w:bidi="ar-SA"/>
              </w:rPr>
            </w:pPr>
            <w:r w:rsidRPr="00DF0CE3">
              <w:rPr>
                <w:rFonts w:ascii="Calibri" w:hAnsi="Calibri" w:eastAsia="Times New Roman" w:cs="Calibri"/>
                <w:color w:val="000000"/>
                <w:lang w:bidi="ar-SA"/>
              </w:rPr>
              <w:t> </w:t>
            </w:r>
            <w:r w:rsidR="009502CA">
              <w:rPr>
                <w:rFonts w:ascii="Calibri" w:hAnsi="Calibri" w:eastAsia="Times New Roman" w:cs="Calibri"/>
                <w:color w:val="000000"/>
                <w:lang w:bidi="ar-SA"/>
              </w:rPr>
              <w:t>-44</w:t>
            </w:r>
          </w:p>
        </w:tc>
        <w:tc>
          <w:tcPr>
            <w:tcW w:w="2070"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DF0CE3" w:rsidR="00DF0CE3" w:rsidP="00DF0CE3" w:rsidRDefault="008B21EA" w14:paraId="59622128" w14:textId="297D47E8">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184</w:t>
            </w:r>
            <w:bookmarkStart w:name="_GoBack" w:id="0"/>
            <w:bookmarkEnd w:id="0"/>
            <w:r w:rsidRPr="00DF0CE3" w:rsidR="00DF0CE3">
              <w:rPr>
                <w:rFonts w:ascii="Calibri" w:hAnsi="Calibri" w:eastAsia="Times New Roman" w:cs="Calibri"/>
                <w:color w:val="000000"/>
                <w:lang w:bidi="ar-SA"/>
              </w:rPr>
              <w:t> </w:t>
            </w:r>
          </w:p>
        </w:tc>
        <w:tc>
          <w:tcPr>
            <w:tcW w:w="2250"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Pr="00DF0CE3" w:rsidR="00DF0CE3" w:rsidP="00DF0CE3" w:rsidRDefault="009502CA" w14:paraId="249EDC31" w14:textId="2B99EF00">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-142</w:t>
            </w:r>
            <w:r w:rsidRPr="00DF0CE3" w:rsidR="00DF0CE3">
              <w:rPr>
                <w:rFonts w:ascii="Calibri" w:hAnsi="Calibri" w:eastAsia="Times New Roman" w:cs="Calibri"/>
                <w:color w:val="000000"/>
                <w:lang w:bidi="ar-SA"/>
              </w:rPr>
              <w:t> </w:t>
            </w:r>
          </w:p>
        </w:tc>
        <w:tc>
          <w:tcPr>
            <w:tcW w:w="2745" w:type="dxa"/>
            <w:tcBorders>
              <w:top w:val="single" w:color="auto" w:sz="8" w:space="0"/>
              <w:left w:val="nil"/>
              <w:bottom w:val="single" w:color="auto" w:sz="8" w:space="0"/>
              <w:right w:val="single" w:color="auto" w:sz="8" w:space="0"/>
            </w:tcBorders>
            <w:shd w:val="clear" w:color="000000" w:fill="000000"/>
            <w:noWrap/>
            <w:vAlign w:val="bottom"/>
            <w:hideMark/>
          </w:tcPr>
          <w:p w:rsidRPr="00DF0CE3" w:rsidR="00DF0CE3" w:rsidP="00DF0CE3" w:rsidRDefault="00DF0CE3" w14:paraId="7D720369" w14:textId="77777777">
            <w:pPr>
              <w:widowControl/>
              <w:autoSpaceDE/>
              <w:autoSpaceDN/>
              <w:rPr>
                <w:rFonts w:ascii="Calibri" w:hAnsi="Calibri" w:eastAsia="Times New Roman" w:cs="Calibri"/>
                <w:color w:val="000000"/>
                <w:lang w:bidi="ar-SA"/>
              </w:rPr>
            </w:pPr>
            <w:r w:rsidRPr="00DF0CE3">
              <w:rPr>
                <w:rFonts w:ascii="Calibri" w:hAnsi="Calibri" w:eastAsia="Times New Roman" w:cs="Calibri"/>
                <w:color w:val="000000"/>
                <w:lang w:bidi="ar-SA"/>
              </w:rPr>
              <w:t> </w:t>
            </w:r>
          </w:p>
        </w:tc>
      </w:tr>
    </w:tbl>
    <w:p w:rsidR="00DF0CE3" w:rsidP="00BD7237" w:rsidRDefault="00DF0CE3" w14:paraId="216720E9" w14:textId="77777777">
      <w:pPr>
        <w:pStyle w:val="BodyText"/>
        <w:spacing w:before="7"/>
        <w:ind w:left="0"/>
        <w:rPr>
          <w:rFonts w:ascii="Times New Roman" w:hAnsi="Times New Roman" w:cs="Times New Roman"/>
          <w:b/>
        </w:rPr>
      </w:pPr>
    </w:p>
    <w:p w:rsidRPr="00A63449" w:rsidR="00CF7768" w:rsidP="000D644A" w:rsidRDefault="00B75A85" w14:paraId="46DAB0A5" w14:textId="1A56D55F">
      <w:pPr>
        <w:spacing w:before="120"/>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Note:</w:t>
      </w:r>
      <w:r w:rsidRPr="00A63449" w:rsidR="00CF7768">
        <w:rPr>
          <w:rFonts w:ascii="Times New Roman" w:hAnsi="Times New Roman" w:cs="Times New Roman"/>
          <w:color w:val="000000" w:themeColor="text1"/>
          <w:sz w:val="24"/>
          <w:szCs w:val="24"/>
        </w:rPr>
        <w:t xml:space="preserve">  The increase in annual Power </w:t>
      </w:r>
      <w:proofErr w:type="gramStart"/>
      <w:r w:rsidRPr="00A63449" w:rsidR="00CF7768">
        <w:rPr>
          <w:rFonts w:ascii="Times New Roman" w:hAnsi="Times New Roman" w:cs="Times New Roman"/>
          <w:color w:val="000000" w:themeColor="text1"/>
          <w:sz w:val="24"/>
          <w:szCs w:val="24"/>
        </w:rPr>
        <w:t>Down</w:t>
      </w:r>
      <w:proofErr w:type="gramEnd"/>
      <w:r w:rsidRPr="00A63449" w:rsidR="00CF7768">
        <w:rPr>
          <w:rFonts w:ascii="Times New Roman" w:hAnsi="Times New Roman" w:cs="Times New Roman"/>
          <w:color w:val="000000" w:themeColor="text1"/>
          <w:sz w:val="24"/>
          <w:szCs w:val="24"/>
        </w:rPr>
        <w:t xml:space="preserve"> Exemption requests is thought to be an consequence of increased NMFS outreach to participants, </w:t>
      </w:r>
      <w:r w:rsidRPr="00A63449" w:rsidR="00565822">
        <w:rPr>
          <w:rFonts w:ascii="Times New Roman" w:hAnsi="Times New Roman" w:cs="Times New Roman"/>
          <w:color w:val="000000" w:themeColor="text1"/>
          <w:sz w:val="24"/>
          <w:szCs w:val="24"/>
        </w:rPr>
        <w:t xml:space="preserve">advising </w:t>
      </w:r>
      <w:r w:rsidRPr="00A63449" w:rsidR="00CF7768">
        <w:rPr>
          <w:rFonts w:ascii="Times New Roman" w:hAnsi="Times New Roman" w:cs="Times New Roman"/>
          <w:color w:val="000000" w:themeColor="text1"/>
          <w:sz w:val="24"/>
          <w:szCs w:val="24"/>
        </w:rPr>
        <w:t>of the requirement to submit a Power Down Exemption request before turning o</w:t>
      </w:r>
      <w:r w:rsidRPr="00A63449" w:rsidR="00FF7F4B">
        <w:rPr>
          <w:rFonts w:ascii="Times New Roman" w:hAnsi="Times New Roman" w:cs="Times New Roman"/>
          <w:color w:val="000000" w:themeColor="text1"/>
          <w:sz w:val="24"/>
          <w:szCs w:val="24"/>
        </w:rPr>
        <w:t xml:space="preserve">ff their VMS unit. </w:t>
      </w:r>
    </w:p>
    <w:p w:rsidR="00FF7F4B" w:rsidP="00F769E2" w:rsidRDefault="00FF7F4B" w14:paraId="1E0DC86B" w14:textId="588EACE5">
      <w:pPr>
        <w:pStyle w:val="BodyText"/>
        <w:spacing w:line="259" w:lineRule="auto"/>
        <w:ind w:left="0"/>
        <w:rPr>
          <w:rFonts w:ascii="Times New Roman" w:hAnsi="Times New Roman" w:cs="Times New Roman"/>
          <w:color w:val="F79646" w:themeColor="accent6"/>
        </w:rPr>
      </w:pPr>
    </w:p>
    <w:p w:rsidR="00DF0CE3" w:rsidP="00BD7237" w:rsidRDefault="00DF0CE3" w14:paraId="1B6E5C95" w14:textId="77777777">
      <w:pPr>
        <w:pStyle w:val="BodyText"/>
        <w:spacing w:before="7"/>
        <w:ind w:left="0"/>
        <w:rPr>
          <w:rFonts w:ascii="Times New Roman" w:hAnsi="Times New Roman" w:cs="Times New Roman"/>
          <w:b/>
        </w:rPr>
      </w:pPr>
    </w:p>
    <w:tbl>
      <w:tblPr>
        <w:tblW w:w="9962" w:type="dxa"/>
        <w:tblInd w:w="-25" w:type="dxa"/>
        <w:tblLook w:val="04A0" w:firstRow="1" w:lastRow="0" w:firstColumn="1" w:lastColumn="0" w:noHBand="0" w:noVBand="1"/>
      </w:tblPr>
      <w:tblGrid>
        <w:gridCol w:w="2175"/>
        <w:gridCol w:w="1162"/>
        <w:gridCol w:w="775"/>
        <w:gridCol w:w="1080"/>
        <w:gridCol w:w="1170"/>
        <w:gridCol w:w="3600"/>
      </w:tblGrid>
      <w:tr w:rsidRPr="00DF0CE3" w:rsidR="00DF0CE3" w:rsidTr="00B75A85" w14:paraId="3C4D42E2" w14:textId="77777777">
        <w:trPr>
          <w:trHeight w:val="315"/>
        </w:trPr>
        <w:tc>
          <w:tcPr>
            <w:tcW w:w="217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14:paraId="73E27733"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Information Collection</w:t>
            </w:r>
          </w:p>
        </w:tc>
        <w:tc>
          <w:tcPr>
            <w:tcW w:w="1937"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14:paraId="5203CCC6"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Labor Costs</w:t>
            </w:r>
          </w:p>
        </w:tc>
        <w:tc>
          <w:tcPr>
            <w:tcW w:w="225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14:paraId="76D39B79"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Miscellaneous Costs</w:t>
            </w:r>
          </w:p>
        </w:tc>
        <w:tc>
          <w:tcPr>
            <w:tcW w:w="360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14:paraId="2F005F1A"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Reason for change or adjustment</w:t>
            </w:r>
          </w:p>
        </w:tc>
      </w:tr>
      <w:tr w:rsidRPr="00DF0CE3" w:rsidR="00DF0CE3" w:rsidTr="00B75A85" w14:paraId="585C4304" w14:textId="77777777">
        <w:trPr>
          <w:trHeight w:val="690"/>
        </w:trPr>
        <w:tc>
          <w:tcPr>
            <w:tcW w:w="2175"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14:paraId="7B0BBB27" w14:textId="77777777">
            <w:pPr>
              <w:widowControl/>
              <w:autoSpaceDE/>
              <w:autoSpaceDN/>
              <w:rPr>
                <w:rFonts w:ascii="Calibri" w:hAnsi="Calibri" w:eastAsia="Times New Roman" w:cs="Calibri"/>
                <w:b/>
                <w:bCs/>
                <w:color w:val="000000"/>
                <w:sz w:val="16"/>
                <w:szCs w:val="16"/>
                <w:lang w:bidi="ar-SA"/>
              </w:rPr>
            </w:pPr>
          </w:p>
        </w:tc>
        <w:tc>
          <w:tcPr>
            <w:tcW w:w="1162"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14:paraId="0C17CC52"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w:t>
            </w:r>
          </w:p>
        </w:tc>
        <w:tc>
          <w:tcPr>
            <w:tcW w:w="775"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14:paraId="080610BA"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w:t>
            </w:r>
          </w:p>
        </w:tc>
        <w:tc>
          <w:tcPr>
            <w:tcW w:w="1080"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14:paraId="6BBC661E"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w:t>
            </w:r>
          </w:p>
        </w:tc>
        <w:tc>
          <w:tcPr>
            <w:tcW w:w="1170"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14:paraId="35A66FBB"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w:t>
            </w:r>
          </w:p>
        </w:tc>
        <w:tc>
          <w:tcPr>
            <w:tcW w:w="3600"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14:paraId="4D1922E3" w14:textId="77777777">
            <w:pPr>
              <w:widowControl/>
              <w:autoSpaceDE/>
              <w:autoSpaceDN/>
              <w:rPr>
                <w:rFonts w:ascii="Calibri" w:hAnsi="Calibri" w:eastAsia="Times New Roman" w:cs="Calibri"/>
                <w:b/>
                <w:bCs/>
                <w:color w:val="000000"/>
                <w:sz w:val="16"/>
                <w:szCs w:val="16"/>
                <w:lang w:bidi="ar-SA"/>
              </w:rPr>
            </w:pPr>
          </w:p>
        </w:tc>
      </w:tr>
      <w:tr w:rsidRPr="00DF0CE3" w:rsidR="001251BA" w:rsidTr="00B75A85" w14:paraId="24EEC603" w14:textId="77777777">
        <w:trPr>
          <w:trHeight w:val="315"/>
        </w:trPr>
        <w:tc>
          <w:tcPr>
            <w:tcW w:w="2175" w:type="dxa"/>
            <w:tcBorders>
              <w:top w:val="nil"/>
              <w:left w:val="single" w:color="auto" w:sz="8" w:space="0"/>
              <w:bottom w:val="single" w:color="auto" w:sz="8" w:space="0"/>
              <w:right w:val="single" w:color="auto" w:sz="8" w:space="0"/>
            </w:tcBorders>
            <w:shd w:val="clear" w:color="auto" w:fill="auto"/>
            <w:vAlign w:val="bottom"/>
            <w:hideMark/>
          </w:tcPr>
          <w:p w:rsidRPr="00DF0CE3" w:rsidR="001251BA" w:rsidP="001251BA" w:rsidRDefault="001251BA" w14:paraId="6683E783" w14:textId="599399D0">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Annual VMS maintenance</w:t>
            </w:r>
          </w:p>
        </w:tc>
        <w:tc>
          <w:tcPr>
            <w:tcW w:w="1162" w:type="dxa"/>
            <w:tcBorders>
              <w:top w:val="nil"/>
              <w:left w:val="nil"/>
              <w:bottom w:val="dotted" w:color="auto" w:sz="4" w:space="0"/>
              <w:right w:val="dashed" w:color="auto" w:sz="8" w:space="0"/>
            </w:tcBorders>
            <w:shd w:val="clear" w:color="auto" w:fill="auto"/>
            <w:vAlign w:val="bottom"/>
            <w:hideMark/>
          </w:tcPr>
          <w:p w:rsidRPr="00DF0CE3" w:rsidR="001251BA" w:rsidP="001251BA" w:rsidRDefault="001251BA" w14:paraId="6D557E7A" w14:textId="0DBEAC7E">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$47,140.32</w:t>
            </w:r>
            <w:r w:rsidRPr="00D64DF9">
              <w:rPr>
                <w:rFonts w:ascii="Calibri" w:hAnsi="Calibri" w:eastAsia="Times New Roman" w:cs="Calibri"/>
                <w:color w:val="000000"/>
                <w:sz w:val="16"/>
                <w:szCs w:val="16"/>
                <w:lang w:bidi="ar-SA"/>
              </w:rPr>
              <w:t> </w:t>
            </w:r>
          </w:p>
        </w:tc>
        <w:tc>
          <w:tcPr>
            <w:tcW w:w="775" w:type="dxa"/>
            <w:tcBorders>
              <w:top w:val="nil"/>
              <w:left w:val="nil"/>
              <w:bottom w:val="dotted" w:color="auto" w:sz="4" w:space="0"/>
              <w:right w:val="single" w:color="auto" w:sz="8" w:space="0"/>
            </w:tcBorders>
            <w:shd w:val="clear" w:color="auto" w:fill="auto"/>
            <w:vAlign w:val="center"/>
            <w:hideMark/>
          </w:tcPr>
          <w:p w:rsidRPr="00DF0CE3" w:rsidR="001251BA" w:rsidP="001251BA" w:rsidRDefault="001251BA" w14:paraId="03E21220" w14:textId="3D045679">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r w:rsidRPr="00DF0CE3">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dashed" w:color="auto" w:sz="8" w:space="0"/>
            </w:tcBorders>
            <w:shd w:val="clear" w:color="auto" w:fill="auto"/>
            <w:vAlign w:val="center"/>
            <w:hideMark/>
          </w:tcPr>
          <w:p w:rsidRPr="00DF0CE3" w:rsidR="001251BA" w:rsidP="001251BA" w:rsidRDefault="001251BA" w14:paraId="12DDF639" w14:textId="4CDBEEC4">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468,520</w:t>
            </w:r>
            <w:r w:rsidRPr="00115034">
              <w:rPr>
                <w:rFonts w:ascii="Calibri" w:hAnsi="Calibri" w:eastAsia="Times New Roman" w:cs="Calibri"/>
                <w:color w:val="000000"/>
                <w:sz w:val="16"/>
                <w:szCs w:val="16"/>
                <w:lang w:bidi="ar-SA"/>
              </w:rPr>
              <w:t> </w:t>
            </w:r>
          </w:p>
        </w:tc>
        <w:tc>
          <w:tcPr>
            <w:tcW w:w="1170" w:type="dxa"/>
            <w:tcBorders>
              <w:top w:val="nil"/>
              <w:left w:val="nil"/>
              <w:bottom w:val="dotted" w:color="auto" w:sz="4" w:space="0"/>
              <w:right w:val="single" w:color="auto" w:sz="8" w:space="0"/>
            </w:tcBorders>
            <w:shd w:val="clear" w:color="auto" w:fill="auto"/>
            <w:vAlign w:val="center"/>
            <w:hideMark/>
          </w:tcPr>
          <w:p w:rsidRPr="00DF0CE3" w:rsidR="001251BA" w:rsidP="001251BA" w:rsidRDefault="001251BA" w14:paraId="683B9CB5" w14:textId="0836BEF2">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219,060</w:t>
            </w:r>
            <w:r w:rsidRPr="00DF0CE3">
              <w:rPr>
                <w:rFonts w:ascii="Calibri" w:hAnsi="Calibri" w:eastAsia="Times New Roman" w:cs="Calibri"/>
                <w:color w:val="000000"/>
                <w:sz w:val="16"/>
                <w:szCs w:val="16"/>
                <w:lang w:bidi="ar-SA"/>
              </w:rPr>
              <w:t> </w:t>
            </w:r>
          </w:p>
        </w:tc>
        <w:tc>
          <w:tcPr>
            <w:tcW w:w="3600" w:type="dxa"/>
            <w:vMerge w:val="restart"/>
            <w:tcBorders>
              <w:top w:val="nil"/>
              <w:left w:val="nil"/>
              <w:right w:val="single" w:color="auto" w:sz="8" w:space="0"/>
            </w:tcBorders>
            <w:shd w:val="clear" w:color="auto" w:fill="auto"/>
            <w:vAlign w:val="center"/>
            <w:hideMark/>
          </w:tcPr>
          <w:p w:rsidRPr="00DF0CE3" w:rsidR="001251BA" w:rsidP="001251BA" w:rsidRDefault="001251BA" w14:paraId="5A5C2E6E" w14:textId="59C4B0C5">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See previous table for explanation of burden shifts between ICs in this collection since previous IC</w:t>
            </w:r>
          </w:p>
          <w:p w:rsidRPr="00DF0CE3" w:rsidR="001251BA" w:rsidP="001251BA" w:rsidRDefault="001251BA" w14:paraId="1D6E141F"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p w:rsidR="001251BA" w:rsidP="001251BA" w:rsidRDefault="001251BA" w14:paraId="75BA7E0F"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 xml:space="preserve">In practice, all </w:t>
            </w:r>
            <w:r w:rsidR="000F5D33">
              <w:rPr>
                <w:rFonts w:ascii="Calibri" w:hAnsi="Calibri" w:eastAsia="Times New Roman" w:cs="Calibri"/>
                <w:color w:val="000000"/>
                <w:sz w:val="16"/>
                <w:szCs w:val="16"/>
                <w:lang w:bidi="ar-SA"/>
              </w:rPr>
              <w:t xml:space="preserve">power down exemption request </w:t>
            </w:r>
            <w:r>
              <w:rPr>
                <w:rFonts w:ascii="Calibri" w:hAnsi="Calibri" w:eastAsia="Times New Roman" w:cs="Calibri"/>
                <w:color w:val="000000"/>
                <w:sz w:val="16"/>
                <w:szCs w:val="16"/>
                <w:lang w:bidi="ar-SA"/>
              </w:rPr>
              <w:t>submission is done online</w:t>
            </w:r>
          </w:p>
          <w:p w:rsidR="000F5D33" w:rsidP="001251BA" w:rsidRDefault="000F5D33" w14:paraId="5306CECB" w14:textId="77777777">
            <w:pPr>
              <w:widowControl/>
              <w:autoSpaceDE/>
              <w:autoSpaceDN/>
              <w:rPr>
                <w:rFonts w:ascii="Calibri" w:hAnsi="Calibri" w:eastAsia="Times New Roman" w:cs="Calibri"/>
                <w:color w:val="000000"/>
                <w:sz w:val="16"/>
                <w:szCs w:val="16"/>
                <w:lang w:bidi="ar-SA"/>
              </w:rPr>
            </w:pPr>
          </w:p>
          <w:p w:rsidRPr="00DF0CE3" w:rsidR="000F5D33" w:rsidP="001251BA" w:rsidRDefault="000F5D33" w14:paraId="51F7A7D7" w14:textId="2B029C71">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Reduction of anticipated monthly communication costs from $75 to $45/month (based on averages) and reduct</w:t>
            </w:r>
            <w:r w:rsidR="008B21EA">
              <w:rPr>
                <w:rFonts w:ascii="Calibri" w:hAnsi="Calibri" w:eastAsia="Times New Roman" w:cs="Calibri"/>
                <w:color w:val="000000"/>
                <w:sz w:val="16"/>
                <w:szCs w:val="16"/>
                <w:lang w:bidi="ar-SA"/>
              </w:rPr>
              <w:t>ion in annualized capital start-</w:t>
            </w:r>
            <w:r>
              <w:rPr>
                <w:rFonts w:ascii="Calibri" w:hAnsi="Calibri" w:eastAsia="Times New Roman" w:cs="Calibri"/>
                <w:color w:val="000000"/>
                <w:sz w:val="16"/>
                <w:szCs w:val="16"/>
                <w:lang w:bidi="ar-SA"/>
              </w:rPr>
              <w:t>up costs due to reimbursement costs accounts for the large reduction in annual VMS costs (most of which was previously captured in trip declarations)</w:t>
            </w:r>
          </w:p>
        </w:tc>
      </w:tr>
      <w:tr w:rsidRPr="00DF0CE3" w:rsidR="001251BA" w:rsidTr="00B75A85" w14:paraId="507EC5B1" w14:textId="77777777">
        <w:trPr>
          <w:trHeight w:val="315"/>
        </w:trPr>
        <w:tc>
          <w:tcPr>
            <w:tcW w:w="2175" w:type="dxa"/>
            <w:tcBorders>
              <w:top w:val="nil"/>
              <w:left w:val="single" w:color="auto" w:sz="8" w:space="0"/>
              <w:bottom w:val="single" w:color="auto" w:sz="8" w:space="0"/>
              <w:right w:val="single" w:color="auto" w:sz="8" w:space="0"/>
            </w:tcBorders>
            <w:shd w:val="clear" w:color="auto" w:fill="auto"/>
            <w:vAlign w:val="bottom"/>
            <w:hideMark/>
          </w:tcPr>
          <w:p w:rsidRPr="00DF0CE3" w:rsidR="001251BA" w:rsidP="001251BA" w:rsidRDefault="001251BA" w14:paraId="772F31EF" w14:textId="783A015E">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Installation and Activation / Checklist</w:t>
            </w:r>
          </w:p>
        </w:tc>
        <w:tc>
          <w:tcPr>
            <w:tcW w:w="1162" w:type="dxa"/>
            <w:tcBorders>
              <w:top w:val="nil"/>
              <w:left w:val="nil"/>
              <w:bottom w:val="dotted" w:color="auto" w:sz="4" w:space="0"/>
              <w:right w:val="dashed" w:color="auto" w:sz="8" w:space="0"/>
            </w:tcBorders>
            <w:shd w:val="clear" w:color="auto" w:fill="auto"/>
            <w:vAlign w:val="bottom"/>
            <w:hideMark/>
          </w:tcPr>
          <w:p w:rsidRPr="00DF0CE3" w:rsidR="001251BA" w:rsidP="001251BA" w:rsidRDefault="001251BA" w14:paraId="689B9DA6" w14:textId="0AD4451D">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$15,520.73</w:t>
            </w:r>
            <w:r w:rsidRPr="00D64DF9">
              <w:rPr>
                <w:rFonts w:ascii="Calibri" w:hAnsi="Calibri" w:eastAsia="Times New Roman" w:cs="Calibri"/>
                <w:color w:val="000000"/>
                <w:sz w:val="16"/>
                <w:szCs w:val="16"/>
                <w:lang w:bidi="ar-SA"/>
              </w:rPr>
              <w:t> </w:t>
            </w:r>
          </w:p>
        </w:tc>
        <w:tc>
          <w:tcPr>
            <w:tcW w:w="775" w:type="dxa"/>
            <w:tcBorders>
              <w:top w:val="nil"/>
              <w:left w:val="nil"/>
              <w:bottom w:val="dotted" w:color="auto" w:sz="4" w:space="0"/>
              <w:right w:val="single" w:color="auto" w:sz="8" w:space="0"/>
            </w:tcBorders>
            <w:shd w:val="clear" w:color="auto" w:fill="auto"/>
            <w:vAlign w:val="center"/>
            <w:hideMark/>
          </w:tcPr>
          <w:p w:rsidRPr="00DF0CE3" w:rsidR="001251BA" w:rsidP="001251BA" w:rsidRDefault="001251BA" w14:paraId="34FBE503" w14:textId="516F3CFE">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r w:rsidRPr="00DF0CE3">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dashed" w:color="auto" w:sz="8" w:space="0"/>
            </w:tcBorders>
            <w:shd w:val="clear" w:color="auto" w:fill="auto"/>
            <w:vAlign w:val="center"/>
            <w:hideMark/>
          </w:tcPr>
          <w:p w:rsidRPr="00DF0CE3" w:rsidR="001251BA" w:rsidP="001251BA" w:rsidRDefault="001251BA" w14:paraId="3E8D79A9" w14:textId="08B1D9FD">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45,515.50</w:t>
            </w:r>
          </w:p>
        </w:tc>
        <w:tc>
          <w:tcPr>
            <w:tcW w:w="1170" w:type="dxa"/>
            <w:tcBorders>
              <w:top w:val="nil"/>
              <w:left w:val="nil"/>
              <w:bottom w:val="dotted" w:color="auto" w:sz="4" w:space="0"/>
              <w:right w:val="single" w:color="auto" w:sz="8" w:space="0"/>
            </w:tcBorders>
            <w:shd w:val="clear" w:color="auto" w:fill="auto"/>
            <w:vAlign w:val="center"/>
            <w:hideMark/>
          </w:tcPr>
          <w:p w:rsidRPr="00DF0CE3" w:rsidR="001251BA" w:rsidP="001251BA" w:rsidRDefault="001251BA" w14:paraId="54810C81" w14:textId="6E2E6EF6">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23</w:t>
            </w:r>
            <w:r w:rsidRPr="00DF0CE3">
              <w:rPr>
                <w:rFonts w:ascii="Calibri" w:hAnsi="Calibri" w:eastAsia="Times New Roman" w:cs="Calibri"/>
                <w:color w:val="000000"/>
                <w:sz w:val="16"/>
                <w:szCs w:val="16"/>
                <w:lang w:bidi="ar-SA"/>
              </w:rPr>
              <w:t> </w:t>
            </w:r>
          </w:p>
        </w:tc>
        <w:tc>
          <w:tcPr>
            <w:tcW w:w="3600" w:type="dxa"/>
            <w:vMerge/>
            <w:tcBorders>
              <w:left w:val="nil"/>
              <w:right w:val="single" w:color="auto" w:sz="8" w:space="0"/>
            </w:tcBorders>
            <w:shd w:val="clear" w:color="auto" w:fill="auto"/>
            <w:vAlign w:val="center"/>
            <w:hideMark/>
          </w:tcPr>
          <w:p w:rsidRPr="00DF0CE3" w:rsidR="001251BA" w:rsidP="001251BA" w:rsidRDefault="001251BA" w14:paraId="75C98EF8" w14:textId="4EE740F9">
            <w:pPr>
              <w:widowControl/>
              <w:autoSpaceDE/>
              <w:autoSpaceDN/>
              <w:rPr>
                <w:rFonts w:ascii="Calibri" w:hAnsi="Calibri" w:eastAsia="Times New Roman" w:cs="Calibri"/>
                <w:color w:val="000000"/>
                <w:sz w:val="16"/>
                <w:szCs w:val="16"/>
                <w:lang w:bidi="ar-SA"/>
              </w:rPr>
            </w:pPr>
          </w:p>
        </w:tc>
      </w:tr>
      <w:tr w:rsidRPr="00DF0CE3" w:rsidR="001251BA" w:rsidTr="00B75A85" w14:paraId="7B2ACA41" w14:textId="77777777">
        <w:trPr>
          <w:trHeight w:val="315"/>
        </w:trPr>
        <w:tc>
          <w:tcPr>
            <w:tcW w:w="2175" w:type="dxa"/>
            <w:tcBorders>
              <w:top w:val="nil"/>
              <w:left w:val="single" w:color="auto" w:sz="8" w:space="0"/>
              <w:bottom w:val="single" w:color="auto" w:sz="8" w:space="0"/>
              <w:right w:val="single" w:color="auto" w:sz="8" w:space="0"/>
            </w:tcBorders>
            <w:shd w:val="clear" w:color="auto" w:fill="auto"/>
            <w:vAlign w:val="bottom"/>
            <w:hideMark/>
          </w:tcPr>
          <w:p w:rsidRPr="00DF0CE3" w:rsidR="001251BA" w:rsidP="001251BA" w:rsidRDefault="001251BA" w14:paraId="2A72EC0C" w14:textId="720CA38A">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Power Down Exemption Requests</w:t>
            </w:r>
          </w:p>
        </w:tc>
        <w:tc>
          <w:tcPr>
            <w:tcW w:w="1162" w:type="dxa"/>
            <w:tcBorders>
              <w:top w:val="nil"/>
              <w:left w:val="nil"/>
              <w:bottom w:val="dotted" w:color="auto" w:sz="4" w:space="0"/>
              <w:right w:val="dashed" w:color="auto" w:sz="8" w:space="0"/>
            </w:tcBorders>
            <w:shd w:val="clear" w:color="auto" w:fill="auto"/>
            <w:vAlign w:val="bottom"/>
            <w:hideMark/>
          </w:tcPr>
          <w:p w:rsidRPr="00DF0CE3" w:rsidR="001251BA" w:rsidP="001251BA" w:rsidRDefault="001251BA" w14:paraId="15D64C8C" w14:textId="2AC44C36">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$327.00</w:t>
            </w:r>
            <w:r w:rsidRPr="00D64DF9">
              <w:rPr>
                <w:rFonts w:ascii="Calibri" w:hAnsi="Calibri" w:eastAsia="Times New Roman" w:cs="Calibri"/>
                <w:color w:val="000000"/>
                <w:sz w:val="16"/>
                <w:szCs w:val="16"/>
                <w:lang w:bidi="ar-SA"/>
              </w:rPr>
              <w:t> </w:t>
            </w:r>
          </w:p>
        </w:tc>
        <w:tc>
          <w:tcPr>
            <w:tcW w:w="775" w:type="dxa"/>
            <w:tcBorders>
              <w:top w:val="nil"/>
              <w:left w:val="nil"/>
              <w:bottom w:val="dotted" w:color="auto" w:sz="4" w:space="0"/>
              <w:right w:val="single" w:color="auto" w:sz="8" w:space="0"/>
            </w:tcBorders>
            <w:shd w:val="clear" w:color="auto" w:fill="auto"/>
            <w:vAlign w:val="center"/>
            <w:hideMark/>
          </w:tcPr>
          <w:p w:rsidRPr="00DF0CE3" w:rsidR="001251BA" w:rsidP="001251BA" w:rsidRDefault="001251BA" w14:paraId="59435593" w14:textId="3383B8A9">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r w:rsidRPr="00DF0CE3">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dashed" w:color="auto" w:sz="8" w:space="0"/>
            </w:tcBorders>
            <w:shd w:val="clear" w:color="auto" w:fill="auto"/>
            <w:vAlign w:val="center"/>
            <w:hideMark/>
          </w:tcPr>
          <w:p w:rsidRPr="00DF0CE3" w:rsidR="001251BA" w:rsidP="001251BA" w:rsidRDefault="001251BA" w14:paraId="0736C385" w14:textId="0865A8FA">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r w:rsidRPr="00115034">
              <w:rPr>
                <w:rFonts w:ascii="Calibri" w:hAnsi="Calibri" w:eastAsia="Times New Roman" w:cs="Calibri"/>
                <w:color w:val="000000"/>
                <w:sz w:val="16"/>
                <w:szCs w:val="16"/>
                <w:lang w:bidi="ar-SA"/>
              </w:rPr>
              <w:t> </w:t>
            </w:r>
          </w:p>
        </w:tc>
        <w:tc>
          <w:tcPr>
            <w:tcW w:w="1170" w:type="dxa"/>
            <w:tcBorders>
              <w:top w:val="nil"/>
              <w:left w:val="nil"/>
              <w:bottom w:val="dotted" w:color="auto" w:sz="4" w:space="0"/>
              <w:right w:val="single" w:color="auto" w:sz="8" w:space="0"/>
            </w:tcBorders>
            <w:shd w:val="clear" w:color="auto" w:fill="auto"/>
            <w:vAlign w:val="center"/>
            <w:hideMark/>
          </w:tcPr>
          <w:p w:rsidRPr="00DF0CE3" w:rsidR="001251BA" w:rsidP="001251BA" w:rsidRDefault="001251BA" w14:paraId="5AF773FF" w14:textId="3F1455A6">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43</w:t>
            </w:r>
          </w:p>
        </w:tc>
        <w:tc>
          <w:tcPr>
            <w:tcW w:w="3600" w:type="dxa"/>
            <w:vMerge/>
            <w:tcBorders>
              <w:left w:val="nil"/>
              <w:right w:val="single" w:color="auto" w:sz="8" w:space="0"/>
            </w:tcBorders>
            <w:shd w:val="clear" w:color="auto" w:fill="auto"/>
            <w:vAlign w:val="center"/>
            <w:hideMark/>
          </w:tcPr>
          <w:p w:rsidRPr="00DF0CE3" w:rsidR="001251BA" w:rsidP="001251BA" w:rsidRDefault="001251BA" w14:paraId="6229DDB1" w14:textId="04C60D01">
            <w:pPr>
              <w:widowControl/>
              <w:autoSpaceDE/>
              <w:autoSpaceDN/>
              <w:rPr>
                <w:rFonts w:ascii="Calibri" w:hAnsi="Calibri" w:eastAsia="Times New Roman" w:cs="Calibri"/>
                <w:color w:val="000000"/>
                <w:sz w:val="16"/>
                <w:szCs w:val="16"/>
                <w:lang w:bidi="ar-SA"/>
              </w:rPr>
            </w:pPr>
          </w:p>
        </w:tc>
      </w:tr>
      <w:tr w:rsidRPr="00DF0CE3" w:rsidR="001251BA" w:rsidTr="00B75A85" w14:paraId="0DB2B960" w14:textId="77777777">
        <w:trPr>
          <w:trHeight w:val="315"/>
        </w:trPr>
        <w:tc>
          <w:tcPr>
            <w:tcW w:w="2175" w:type="dxa"/>
            <w:tcBorders>
              <w:top w:val="nil"/>
              <w:left w:val="single" w:color="auto" w:sz="8" w:space="0"/>
              <w:bottom w:val="single" w:color="auto" w:sz="8" w:space="0"/>
              <w:right w:val="single" w:color="auto" w:sz="8" w:space="0"/>
            </w:tcBorders>
            <w:shd w:val="clear" w:color="auto" w:fill="auto"/>
            <w:vAlign w:val="bottom"/>
            <w:hideMark/>
          </w:tcPr>
          <w:p w:rsidRPr="00DF0CE3" w:rsidR="001251BA" w:rsidP="001251BA" w:rsidRDefault="001251BA" w14:paraId="339E2297" w14:textId="70172C79">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Trip Declarations</w:t>
            </w:r>
          </w:p>
        </w:tc>
        <w:tc>
          <w:tcPr>
            <w:tcW w:w="1162" w:type="dxa"/>
            <w:tcBorders>
              <w:top w:val="nil"/>
              <w:left w:val="nil"/>
              <w:bottom w:val="dotted" w:color="auto" w:sz="4" w:space="0"/>
              <w:right w:val="dashed" w:color="auto" w:sz="8" w:space="0"/>
            </w:tcBorders>
            <w:shd w:val="clear" w:color="auto" w:fill="auto"/>
            <w:vAlign w:val="bottom"/>
            <w:hideMark/>
          </w:tcPr>
          <w:p w:rsidRPr="00DF0CE3" w:rsidR="001251BA" w:rsidP="001251BA" w:rsidRDefault="001251BA" w14:paraId="54A1C1D0" w14:textId="4000E718">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$5,747.35</w:t>
            </w:r>
            <w:r w:rsidRPr="00D64DF9">
              <w:rPr>
                <w:rFonts w:ascii="Calibri" w:hAnsi="Calibri" w:eastAsia="Times New Roman" w:cs="Calibri"/>
                <w:color w:val="000000"/>
                <w:sz w:val="16"/>
                <w:szCs w:val="16"/>
                <w:lang w:bidi="ar-SA"/>
              </w:rPr>
              <w:t> </w:t>
            </w:r>
          </w:p>
        </w:tc>
        <w:tc>
          <w:tcPr>
            <w:tcW w:w="775" w:type="dxa"/>
            <w:tcBorders>
              <w:top w:val="nil"/>
              <w:left w:val="nil"/>
              <w:bottom w:val="dotted" w:color="auto" w:sz="4" w:space="0"/>
              <w:right w:val="single" w:color="auto" w:sz="8" w:space="0"/>
            </w:tcBorders>
            <w:shd w:val="clear" w:color="auto" w:fill="auto"/>
            <w:vAlign w:val="center"/>
            <w:hideMark/>
          </w:tcPr>
          <w:p w:rsidRPr="00DF0CE3" w:rsidR="001251BA" w:rsidP="001251BA" w:rsidRDefault="001251BA" w14:paraId="5C9522ED" w14:textId="5F5003CF">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NA</w:t>
            </w:r>
          </w:p>
        </w:tc>
        <w:tc>
          <w:tcPr>
            <w:tcW w:w="1080" w:type="dxa"/>
            <w:tcBorders>
              <w:top w:val="nil"/>
              <w:left w:val="nil"/>
              <w:bottom w:val="dotted" w:color="auto" w:sz="4" w:space="0"/>
              <w:right w:val="dashed" w:color="auto" w:sz="8" w:space="0"/>
            </w:tcBorders>
            <w:shd w:val="clear" w:color="auto" w:fill="auto"/>
            <w:vAlign w:val="center"/>
            <w:hideMark/>
          </w:tcPr>
          <w:p w:rsidRPr="00DF0CE3" w:rsidR="001251BA" w:rsidP="001251BA" w:rsidRDefault="001251BA" w14:paraId="6069BA2F" w14:textId="5C881163">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3,955.20</w:t>
            </w:r>
            <w:r w:rsidRPr="00115034">
              <w:rPr>
                <w:rFonts w:ascii="Calibri" w:hAnsi="Calibri" w:eastAsia="Times New Roman" w:cs="Calibri"/>
                <w:color w:val="000000"/>
                <w:sz w:val="16"/>
                <w:szCs w:val="16"/>
                <w:lang w:bidi="ar-SA"/>
              </w:rPr>
              <w:t> </w:t>
            </w:r>
          </w:p>
        </w:tc>
        <w:tc>
          <w:tcPr>
            <w:tcW w:w="1170" w:type="dxa"/>
            <w:tcBorders>
              <w:top w:val="nil"/>
              <w:left w:val="nil"/>
              <w:bottom w:val="dotted" w:color="auto" w:sz="4" w:space="0"/>
              <w:right w:val="single" w:color="auto" w:sz="8" w:space="0"/>
            </w:tcBorders>
            <w:shd w:val="clear" w:color="auto" w:fill="auto"/>
            <w:vAlign w:val="center"/>
            <w:hideMark/>
          </w:tcPr>
          <w:p w:rsidRPr="00DF0CE3" w:rsidR="001251BA" w:rsidP="001251BA" w:rsidRDefault="001251BA" w14:paraId="53187FFB" w14:textId="6E0EBEAF">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1,323,000</w:t>
            </w:r>
            <w:r w:rsidRPr="00DF0CE3">
              <w:rPr>
                <w:rFonts w:ascii="Calibri" w:hAnsi="Calibri" w:eastAsia="Times New Roman" w:cs="Calibri"/>
                <w:color w:val="000000"/>
                <w:sz w:val="16"/>
                <w:szCs w:val="16"/>
                <w:lang w:bidi="ar-SA"/>
              </w:rPr>
              <w:t> </w:t>
            </w:r>
          </w:p>
        </w:tc>
        <w:tc>
          <w:tcPr>
            <w:tcW w:w="3600" w:type="dxa"/>
            <w:vMerge/>
            <w:tcBorders>
              <w:left w:val="nil"/>
              <w:bottom w:val="dotted" w:color="auto" w:sz="4" w:space="0"/>
              <w:right w:val="single" w:color="auto" w:sz="8" w:space="0"/>
            </w:tcBorders>
            <w:shd w:val="clear" w:color="auto" w:fill="auto"/>
            <w:vAlign w:val="center"/>
            <w:hideMark/>
          </w:tcPr>
          <w:p w:rsidRPr="00DF0CE3" w:rsidR="001251BA" w:rsidP="001251BA" w:rsidRDefault="001251BA" w14:paraId="6DF29107" w14:textId="392F616F">
            <w:pPr>
              <w:widowControl/>
              <w:autoSpaceDE/>
              <w:autoSpaceDN/>
              <w:rPr>
                <w:rFonts w:ascii="Calibri" w:hAnsi="Calibri" w:eastAsia="Times New Roman" w:cs="Calibri"/>
                <w:color w:val="000000"/>
                <w:sz w:val="16"/>
                <w:szCs w:val="16"/>
                <w:lang w:bidi="ar-SA"/>
              </w:rPr>
            </w:pPr>
          </w:p>
        </w:tc>
      </w:tr>
      <w:tr w:rsidRPr="00DF0CE3" w:rsidR="001251BA" w:rsidTr="00B75A85" w14:paraId="16467AC5" w14:textId="77777777">
        <w:trPr>
          <w:trHeight w:val="465"/>
        </w:trPr>
        <w:tc>
          <w:tcPr>
            <w:tcW w:w="2175" w:type="dxa"/>
            <w:tcBorders>
              <w:top w:val="nil"/>
              <w:left w:val="single" w:color="auto" w:sz="8" w:space="0"/>
              <w:bottom w:val="nil"/>
              <w:right w:val="single" w:color="auto" w:sz="8" w:space="0"/>
            </w:tcBorders>
            <w:shd w:val="clear" w:color="000000" w:fill="BDD6EE"/>
            <w:vAlign w:val="center"/>
            <w:hideMark/>
          </w:tcPr>
          <w:p w:rsidRPr="00DF0CE3" w:rsidR="001251BA" w:rsidP="001251BA" w:rsidRDefault="001251BA" w14:paraId="1C7E46DC"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Total for Collection</w:t>
            </w:r>
          </w:p>
        </w:tc>
        <w:tc>
          <w:tcPr>
            <w:tcW w:w="1162" w:type="dxa"/>
            <w:tcBorders>
              <w:top w:val="nil"/>
              <w:left w:val="nil"/>
              <w:bottom w:val="nil"/>
              <w:right w:val="dashed" w:color="auto" w:sz="8" w:space="0"/>
            </w:tcBorders>
            <w:shd w:val="clear" w:color="000000" w:fill="BDD6EE"/>
            <w:vAlign w:val="bottom"/>
            <w:hideMark/>
          </w:tcPr>
          <w:p w:rsidRPr="008B21EA" w:rsidR="001251BA" w:rsidP="001251BA" w:rsidRDefault="001251BA" w14:paraId="33711521" w14:textId="229627A9">
            <w:pPr>
              <w:widowControl/>
              <w:autoSpaceDE/>
              <w:autoSpaceDN/>
              <w:jc w:val="center"/>
              <w:rPr>
                <w:rFonts w:ascii="Calibri" w:hAnsi="Calibri" w:eastAsia="Times New Roman" w:cs="Calibri"/>
                <w:bCs/>
                <w:color w:val="000000"/>
                <w:sz w:val="16"/>
                <w:szCs w:val="16"/>
                <w:lang w:bidi="ar-SA"/>
              </w:rPr>
            </w:pPr>
            <w:r w:rsidRPr="00D64DF9">
              <w:rPr>
                <w:rFonts w:ascii="Calibri" w:hAnsi="Calibri" w:eastAsia="Times New Roman" w:cs="Calibri"/>
                <w:b/>
                <w:bCs/>
                <w:color w:val="000000"/>
                <w:lang w:bidi="ar-SA"/>
              </w:rPr>
              <w:t> </w:t>
            </w:r>
            <w:r w:rsidRPr="008B21EA">
              <w:rPr>
                <w:rFonts w:ascii="Calibri" w:hAnsi="Calibri" w:eastAsia="Times New Roman" w:cs="Calibri"/>
                <w:bCs/>
                <w:color w:val="000000"/>
                <w:lang w:bidi="ar-SA"/>
              </w:rPr>
              <w:t>$68,702.4</w:t>
            </w:r>
          </w:p>
        </w:tc>
        <w:tc>
          <w:tcPr>
            <w:tcW w:w="775" w:type="dxa"/>
            <w:tcBorders>
              <w:top w:val="nil"/>
              <w:left w:val="nil"/>
              <w:bottom w:val="nil"/>
              <w:right w:val="single" w:color="auto" w:sz="8" w:space="0"/>
            </w:tcBorders>
            <w:shd w:val="clear" w:color="000000" w:fill="BDD6EE"/>
            <w:vAlign w:val="center"/>
            <w:hideMark/>
          </w:tcPr>
          <w:p w:rsidRPr="00B75A85" w:rsidR="001251BA" w:rsidP="001251BA" w:rsidRDefault="001251BA" w14:paraId="1444571A" w14:textId="1BAF02EE">
            <w:pPr>
              <w:widowControl/>
              <w:autoSpaceDE/>
              <w:autoSpaceDN/>
              <w:jc w:val="center"/>
              <w:rPr>
                <w:rFonts w:ascii="Calibri" w:hAnsi="Calibri" w:eastAsia="Times New Roman" w:cs="Calibri"/>
                <w:b/>
                <w:bCs/>
                <w:color w:val="000000"/>
                <w:sz w:val="16"/>
                <w:szCs w:val="16"/>
                <w:lang w:bidi="ar-SA"/>
              </w:rPr>
            </w:pPr>
            <w:r w:rsidRPr="00B75A85">
              <w:rPr>
                <w:rFonts w:ascii="Calibri" w:hAnsi="Calibri" w:eastAsia="Times New Roman" w:cs="Calibri"/>
                <w:b/>
                <w:color w:val="000000"/>
                <w:sz w:val="16"/>
                <w:szCs w:val="16"/>
                <w:lang w:bidi="ar-SA"/>
              </w:rPr>
              <w:t>NA</w:t>
            </w:r>
            <w:r w:rsidRPr="00B75A85">
              <w:rPr>
                <w:rFonts w:ascii="Calibri" w:hAnsi="Calibri" w:eastAsia="Times New Roman" w:cs="Calibri"/>
                <w:b/>
                <w:bCs/>
                <w:color w:val="000000"/>
                <w:sz w:val="16"/>
                <w:szCs w:val="16"/>
                <w:lang w:bidi="ar-SA"/>
              </w:rPr>
              <w:t> </w:t>
            </w:r>
          </w:p>
        </w:tc>
        <w:tc>
          <w:tcPr>
            <w:tcW w:w="1080" w:type="dxa"/>
            <w:tcBorders>
              <w:top w:val="nil"/>
              <w:left w:val="nil"/>
              <w:bottom w:val="nil"/>
              <w:right w:val="dashed" w:color="auto" w:sz="8" w:space="0"/>
            </w:tcBorders>
            <w:shd w:val="clear" w:color="000000" w:fill="BDD6EE"/>
            <w:vAlign w:val="center"/>
            <w:hideMark/>
          </w:tcPr>
          <w:p w:rsidRPr="00DF0CE3" w:rsidR="001251BA" w:rsidP="001251BA" w:rsidRDefault="000F5D33" w14:paraId="1CCE3832" w14:textId="201C663B">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517,991</w:t>
            </w:r>
            <w:r w:rsidRPr="00DF0CE3" w:rsidR="001251BA">
              <w:rPr>
                <w:rFonts w:ascii="Calibri" w:hAnsi="Calibri" w:eastAsia="Times New Roman" w:cs="Calibri"/>
                <w:b/>
                <w:bCs/>
                <w:color w:val="000000"/>
                <w:sz w:val="16"/>
                <w:szCs w:val="16"/>
                <w:lang w:bidi="ar-SA"/>
              </w:rPr>
              <w:t> </w:t>
            </w:r>
          </w:p>
        </w:tc>
        <w:tc>
          <w:tcPr>
            <w:tcW w:w="1170" w:type="dxa"/>
            <w:tcBorders>
              <w:top w:val="nil"/>
              <w:left w:val="nil"/>
              <w:bottom w:val="nil"/>
              <w:right w:val="single" w:color="auto" w:sz="8" w:space="0"/>
            </w:tcBorders>
            <w:shd w:val="clear" w:color="000000" w:fill="BDD6EE"/>
            <w:vAlign w:val="center"/>
            <w:hideMark/>
          </w:tcPr>
          <w:p w:rsidRPr="00DF0CE3" w:rsidR="001251BA" w:rsidP="001251BA" w:rsidRDefault="001251BA" w14:paraId="2E4E8F09" w14:textId="05D1C640">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1,542,126</w:t>
            </w:r>
            <w:r w:rsidRPr="00DF0CE3">
              <w:rPr>
                <w:rFonts w:ascii="Calibri" w:hAnsi="Calibri" w:eastAsia="Times New Roman" w:cs="Calibri"/>
                <w:b/>
                <w:bCs/>
                <w:color w:val="000000"/>
                <w:sz w:val="16"/>
                <w:szCs w:val="16"/>
                <w:lang w:bidi="ar-SA"/>
              </w:rPr>
              <w:t> </w:t>
            </w:r>
          </w:p>
        </w:tc>
        <w:tc>
          <w:tcPr>
            <w:tcW w:w="3600" w:type="dxa"/>
            <w:tcBorders>
              <w:top w:val="nil"/>
              <w:left w:val="nil"/>
              <w:bottom w:val="nil"/>
              <w:right w:val="single" w:color="auto" w:sz="8" w:space="0"/>
            </w:tcBorders>
            <w:shd w:val="clear" w:color="000000" w:fill="000000"/>
            <w:vAlign w:val="center"/>
            <w:hideMark/>
          </w:tcPr>
          <w:p w:rsidRPr="00DF0CE3" w:rsidR="001251BA" w:rsidP="001251BA" w:rsidRDefault="001251BA" w14:paraId="16D220F1"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w:t>
            </w:r>
          </w:p>
        </w:tc>
      </w:tr>
      <w:tr w:rsidRPr="00DF0CE3" w:rsidR="001251BA" w:rsidTr="00B75A85" w14:paraId="1543B666" w14:textId="77777777">
        <w:trPr>
          <w:trHeight w:val="315"/>
        </w:trPr>
        <w:tc>
          <w:tcPr>
            <w:tcW w:w="2175" w:type="dxa"/>
            <w:tcBorders>
              <w:top w:val="single" w:color="auto" w:sz="8" w:space="0"/>
              <w:left w:val="single" w:color="auto" w:sz="8" w:space="0"/>
              <w:bottom w:val="single" w:color="auto" w:sz="8" w:space="0"/>
              <w:right w:val="nil"/>
            </w:tcBorders>
            <w:shd w:val="clear" w:color="000000" w:fill="FCE4D6"/>
            <w:noWrap/>
            <w:vAlign w:val="bottom"/>
            <w:hideMark/>
          </w:tcPr>
          <w:p w:rsidRPr="00DF0CE3" w:rsidR="001251BA" w:rsidP="001251BA" w:rsidRDefault="001251BA" w14:paraId="28E09A67"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Difference</w:t>
            </w:r>
          </w:p>
        </w:tc>
        <w:tc>
          <w:tcPr>
            <w:tcW w:w="1937"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DF0CE3" w:rsidR="001251BA" w:rsidP="008B21EA" w:rsidRDefault="001251BA" w14:paraId="4B903C28" w14:textId="53117598">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$68,702</w:t>
            </w:r>
          </w:p>
        </w:tc>
        <w:tc>
          <w:tcPr>
            <w:tcW w:w="2250"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DF0CE3" w:rsidR="001251BA" w:rsidP="001251BA" w:rsidRDefault="000F5D33" w14:paraId="7760A318" w14:textId="41E83A43">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-1,024,</w:t>
            </w:r>
            <w:r w:rsidRPr="00DF0CE3" w:rsidR="001251BA">
              <w:rPr>
                <w:rFonts w:ascii="Calibri" w:hAnsi="Calibri" w:eastAsia="Times New Roman" w:cs="Calibri"/>
                <w:color w:val="000000"/>
                <w:lang w:bidi="ar-SA"/>
              </w:rPr>
              <w:t> </w:t>
            </w:r>
            <w:r>
              <w:rPr>
                <w:rFonts w:ascii="Calibri" w:hAnsi="Calibri" w:eastAsia="Times New Roman" w:cs="Calibri"/>
                <w:color w:val="000000"/>
                <w:lang w:bidi="ar-SA"/>
              </w:rPr>
              <w:t>135</w:t>
            </w:r>
          </w:p>
        </w:tc>
        <w:tc>
          <w:tcPr>
            <w:tcW w:w="3600" w:type="dxa"/>
            <w:tcBorders>
              <w:top w:val="single" w:color="auto" w:sz="8" w:space="0"/>
              <w:left w:val="nil"/>
              <w:bottom w:val="single" w:color="auto" w:sz="8" w:space="0"/>
              <w:right w:val="single" w:color="auto" w:sz="8" w:space="0"/>
            </w:tcBorders>
            <w:shd w:val="clear" w:color="000000" w:fill="000000"/>
            <w:noWrap/>
            <w:vAlign w:val="bottom"/>
            <w:hideMark/>
          </w:tcPr>
          <w:p w:rsidRPr="00DF0CE3" w:rsidR="001251BA" w:rsidP="001251BA" w:rsidRDefault="001251BA" w14:paraId="515DC462" w14:textId="77777777">
            <w:pPr>
              <w:widowControl/>
              <w:autoSpaceDE/>
              <w:autoSpaceDN/>
              <w:rPr>
                <w:rFonts w:ascii="Calibri" w:hAnsi="Calibri" w:eastAsia="Times New Roman" w:cs="Calibri"/>
                <w:color w:val="000000"/>
                <w:lang w:bidi="ar-SA"/>
              </w:rPr>
            </w:pPr>
            <w:r w:rsidRPr="00DF0CE3">
              <w:rPr>
                <w:rFonts w:ascii="Calibri" w:hAnsi="Calibri" w:eastAsia="Times New Roman" w:cs="Calibri"/>
                <w:color w:val="000000"/>
                <w:lang w:bidi="ar-SA"/>
              </w:rPr>
              <w:t> </w:t>
            </w:r>
          </w:p>
        </w:tc>
      </w:tr>
    </w:tbl>
    <w:p w:rsidR="00DF0CE3" w:rsidP="00BD7237" w:rsidRDefault="00DF0CE3" w14:paraId="61B935E1" w14:textId="77777777">
      <w:pPr>
        <w:pStyle w:val="BodyText"/>
        <w:spacing w:before="7"/>
        <w:ind w:left="0"/>
        <w:rPr>
          <w:rFonts w:ascii="Times New Roman" w:hAnsi="Times New Roman" w:cs="Times New Roman"/>
          <w:b/>
        </w:rPr>
      </w:pPr>
    </w:p>
    <w:p w:rsidRPr="00BD7237" w:rsidR="00DF0CE3" w:rsidP="00BD7237" w:rsidRDefault="00DF0CE3" w14:paraId="1954D5E0" w14:textId="77777777">
      <w:pPr>
        <w:pStyle w:val="BodyText"/>
        <w:spacing w:before="7"/>
        <w:ind w:left="0"/>
        <w:rPr>
          <w:rFonts w:ascii="Times New Roman" w:hAnsi="Times New Roman" w:cs="Times New Roman"/>
          <w:b/>
        </w:rPr>
      </w:pPr>
    </w:p>
    <w:p w:rsidR="008E61C9" w:rsidP="00B964A3" w:rsidRDefault="001477A3" w14:paraId="669DC3BF" w14:textId="77777777">
      <w:pPr>
        <w:pStyle w:val="ListParagraph"/>
        <w:numPr>
          <w:ilvl w:val="0"/>
          <w:numId w:val="1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For collections of information whose results </w:t>
      </w:r>
      <w:proofErr w:type="gramStart"/>
      <w:r w:rsidRPr="00BD7237">
        <w:rPr>
          <w:rFonts w:ascii="Times New Roman" w:hAnsi="Times New Roman" w:cs="Times New Roman"/>
          <w:b/>
          <w:sz w:val="24"/>
          <w:szCs w:val="24"/>
        </w:rPr>
        <w:t>will be published</w:t>
      </w:r>
      <w:proofErr w:type="gramEnd"/>
      <w:r w:rsidRPr="00BD7237">
        <w:rPr>
          <w:rFonts w:ascii="Times New Roman" w:hAnsi="Times New Roman" w:cs="Times New Roman"/>
          <w:b/>
          <w:sz w:val="24"/>
          <w:szCs w:val="24"/>
        </w:rPr>
        <w:t xml:space="preserve">, outline plans for tabulation and publication. Address any complex analytical techniques that </w:t>
      </w:r>
      <w:proofErr w:type="gramStart"/>
      <w:r w:rsidRPr="00BD7237">
        <w:rPr>
          <w:rFonts w:ascii="Times New Roman" w:hAnsi="Times New Roman" w:cs="Times New Roman"/>
          <w:b/>
          <w:sz w:val="24"/>
          <w:szCs w:val="24"/>
        </w:rPr>
        <w:t>will be used</w:t>
      </w:r>
      <w:proofErr w:type="gramEnd"/>
      <w:r w:rsidRPr="00BD7237">
        <w:rPr>
          <w:rFonts w:ascii="Times New Roman" w:hAnsi="Times New Roman" w:cs="Times New Roman"/>
          <w:b/>
          <w:sz w:val="24"/>
          <w:szCs w:val="24"/>
        </w:rPr>
        <w:t>. Provide the time schedule for the entire project, including beginning and ending dates of the collection of information, completion of report, publication dates, and other actions.</w:t>
      </w:r>
    </w:p>
    <w:p w:rsidR="00804A03" w:rsidP="00804A03" w:rsidRDefault="00804A03" w14:paraId="4D6B5A44" w14:textId="77777777">
      <w:pPr>
        <w:widowControl/>
        <w:ind w:left="131"/>
        <w:contextualSpacing/>
        <w:rPr>
          <w:color w:val="F79646" w:themeColor="accent6"/>
          <w:sz w:val="24"/>
          <w:szCs w:val="24"/>
        </w:rPr>
      </w:pPr>
    </w:p>
    <w:p w:rsidRPr="00A63449" w:rsidR="00804A03" w:rsidP="000D644A" w:rsidRDefault="00804A03" w14:paraId="2A72C16A" w14:textId="77777777">
      <w:pPr>
        <w:spacing w:before="120"/>
        <w:ind w:left="360"/>
        <w:rPr>
          <w:rFonts w:ascii="Times New Roman" w:hAnsi="Times New Roman" w:cs="Times New Roman"/>
          <w:color w:val="000000" w:themeColor="text1"/>
          <w:sz w:val="24"/>
          <w:szCs w:val="24"/>
        </w:rPr>
      </w:pPr>
      <w:r w:rsidRPr="00A63449">
        <w:rPr>
          <w:rFonts w:ascii="Times New Roman" w:hAnsi="Times New Roman" w:cs="Times New Roman"/>
          <w:color w:val="000000" w:themeColor="text1"/>
          <w:sz w:val="24"/>
          <w:szCs w:val="24"/>
        </w:rPr>
        <w:t xml:space="preserve">The results from this collection </w:t>
      </w:r>
      <w:proofErr w:type="gramStart"/>
      <w:r w:rsidRPr="00A63449">
        <w:rPr>
          <w:rFonts w:ascii="Times New Roman" w:hAnsi="Times New Roman" w:cs="Times New Roman"/>
          <w:color w:val="000000" w:themeColor="text1"/>
          <w:sz w:val="24"/>
          <w:szCs w:val="24"/>
        </w:rPr>
        <w:t>are not planned</w:t>
      </w:r>
      <w:proofErr w:type="gramEnd"/>
      <w:r w:rsidRPr="00A63449">
        <w:rPr>
          <w:rFonts w:ascii="Times New Roman" w:hAnsi="Times New Roman" w:cs="Times New Roman"/>
          <w:color w:val="000000" w:themeColor="text1"/>
          <w:sz w:val="24"/>
          <w:szCs w:val="24"/>
        </w:rPr>
        <w:t xml:space="preserve"> for statistical publication.</w:t>
      </w:r>
    </w:p>
    <w:p w:rsidRPr="00804A03" w:rsidR="00804A03" w:rsidP="00804A03" w:rsidRDefault="00804A03" w14:paraId="0F72C9C4" w14:textId="77777777">
      <w:pPr>
        <w:tabs>
          <w:tab w:val="left" w:pos="360"/>
        </w:tabs>
        <w:spacing w:before="80"/>
        <w:rPr>
          <w:rFonts w:ascii="Times New Roman" w:hAnsi="Times New Roman" w:cs="Times New Roman"/>
          <w:b/>
          <w:sz w:val="24"/>
          <w:szCs w:val="24"/>
        </w:rPr>
      </w:pPr>
    </w:p>
    <w:p w:rsidRPr="00BD7237" w:rsidR="008E61C9" w:rsidP="00B964A3" w:rsidRDefault="001477A3" w14:paraId="0EA8DF80" w14:textId="77777777">
      <w:pPr>
        <w:pStyle w:val="ListParagraph"/>
        <w:numPr>
          <w:ilvl w:val="0"/>
          <w:numId w:val="1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If seeking approval </w:t>
      </w:r>
      <w:proofErr w:type="gramStart"/>
      <w:r w:rsidRPr="00BD7237">
        <w:rPr>
          <w:rFonts w:ascii="Times New Roman" w:hAnsi="Times New Roman" w:cs="Times New Roman"/>
          <w:b/>
          <w:sz w:val="24"/>
          <w:szCs w:val="24"/>
        </w:rPr>
        <w:t>to not display</w:t>
      </w:r>
      <w:proofErr w:type="gramEnd"/>
      <w:r w:rsidRPr="00BD7237">
        <w:rPr>
          <w:rFonts w:ascii="Times New Roman" w:hAnsi="Times New Roman" w:cs="Times New Roman"/>
          <w:b/>
          <w:sz w:val="24"/>
          <w:szCs w:val="24"/>
        </w:rPr>
        <w:t xml:space="preserve"> the expiration date for OMB approval of the information collection, explain the reasons that display would be inappropriate.</w:t>
      </w:r>
    </w:p>
    <w:p w:rsidRPr="00A63449" w:rsidR="00804A03" w:rsidP="000D644A" w:rsidRDefault="00A63449" w14:paraId="7C4F79FC" w14:textId="5A01084D">
      <w:pPr>
        <w:spacing w:before="120"/>
        <w:ind w:left="360"/>
        <w:rPr>
          <w:rFonts w:ascii="Times New Roman" w:hAnsi="Times New Roman" w:cs="Times New Roman"/>
          <w:color w:val="000000" w:themeColor="text1"/>
          <w:sz w:val="24"/>
          <w:szCs w:val="24"/>
        </w:rPr>
      </w:pPr>
      <w:r w:rsidRPr="00A63449">
        <w:rPr>
          <w:rFonts w:ascii="Times New Roman" w:hAnsi="Times New Roman" w:cs="Times New Roman"/>
          <w:color w:val="000000" w:themeColor="text1"/>
          <w:sz w:val="24"/>
          <w:szCs w:val="24"/>
        </w:rPr>
        <w:t xml:space="preserve">The expiration date </w:t>
      </w:r>
      <w:proofErr w:type="gramStart"/>
      <w:r w:rsidRPr="00A63449">
        <w:rPr>
          <w:rFonts w:ascii="Times New Roman" w:hAnsi="Times New Roman" w:cs="Times New Roman"/>
          <w:color w:val="000000" w:themeColor="text1"/>
          <w:sz w:val="24"/>
          <w:szCs w:val="24"/>
        </w:rPr>
        <w:t>will be displayed</w:t>
      </w:r>
      <w:proofErr w:type="gramEnd"/>
      <w:r w:rsidRPr="00A63449">
        <w:rPr>
          <w:rFonts w:ascii="Times New Roman" w:hAnsi="Times New Roman" w:cs="Times New Roman"/>
          <w:color w:val="000000" w:themeColor="text1"/>
          <w:sz w:val="24"/>
          <w:szCs w:val="24"/>
        </w:rPr>
        <w:t xml:space="preserve"> on </w:t>
      </w:r>
      <w:r w:rsidR="009502CA">
        <w:rPr>
          <w:rFonts w:ascii="Times New Roman" w:hAnsi="Times New Roman" w:cs="Times New Roman"/>
          <w:color w:val="000000" w:themeColor="text1"/>
          <w:sz w:val="24"/>
          <w:szCs w:val="24"/>
        </w:rPr>
        <w:t>the power down form – other ICs do not have forms associated.</w:t>
      </w:r>
    </w:p>
    <w:p w:rsidRPr="00BD7237" w:rsidR="008E61C9" w:rsidP="00BD7237" w:rsidRDefault="008E61C9" w14:paraId="135B8EAB" w14:textId="77777777">
      <w:pPr>
        <w:spacing w:before="161"/>
        <w:rPr>
          <w:rFonts w:ascii="Times New Roman" w:hAnsi="Times New Roman" w:cs="Times New Roman"/>
          <w:i/>
          <w:sz w:val="24"/>
          <w:szCs w:val="24"/>
        </w:rPr>
      </w:pPr>
    </w:p>
    <w:p w:rsidRPr="00A63449" w:rsidR="00F36C45" w:rsidP="00A63449" w:rsidRDefault="001477A3" w14:paraId="0588FF9F" w14:textId="15A164D3">
      <w:pPr>
        <w:pStyle w:val="ListParagraph"/>
        <w:numPr>
          <w:ilvl w:val="0"/>
          <w:numId w:val="1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each exception to the certification statement identified in “Certification for Paperwork Reduction Act Submissions."</w:t>
      </w:r>
    </w:p>
    <w:p w:rsidRPr="00A63449" w:rsidR="00F36C45" w:rsidP="00D036CA" w:rsidRDefault="00D036CA" w14:paraId="73C3334D" w14:textId="690544BC">
      <w:pPr>
        <w:spacing w:before="120"/>
        <w:ind w:left="360"/>
        <w:rPr>
          <w:rFonts w:ascii="Times New Roman" w:hAnsi="Times New Roman" w:cs="Times New Roman"/>
          <w:color w:val="000000" w:themeColor="text1"/>
          <w:sz w:val="24"/>
          <w:szCs w:val="24"/>
        </w:rPr>
      </w:pPr>
      <w:r w:rsidRPr="00A63449">
        <w:rPr>
          <w:rFonts w:ascii="Times New Roman" w:hAnsi="Times New Roman" w:cs="Times New Roman"/>
          <w:color w:val="000000" w:themeColor="text1"/>
          <w:sz w:val="24"/>
          <w:szCs w:val="24"/>
        </w:rPr>
        <w:t xml:space="preserve">The agency certifies compliance with </w:t>
      </w:r>
      <w:hyperlink r:id="rId22">
        <w:r w:rsidRPr="00A63449">
          <w:rPr>
            <w:rFonts w:ascii="Times New Roman" w:hAnsi="Times New Roman" w:cs="Times New Roman"/>
            <w:color w:val="000000" w:themeColor="text1"/>
            <w:sz w:val="24"/>
            <w:szCs w:val="24"/>
          </w:rPr>
          <w:t xml:space="preserve">5 CFR 1320.9 </w:t>
        </w:r>
      </w:hyperlink>
      <w:r w:rsidRPr="00A63449">
        <w:rPr>
          <w:rFonts w:ascii="Times New Roman" w:hAnsi="Times New Roman" w:cs="Times New Roman"/>
          <w:color w:val="000000" w:themeColor="text1"/>
          <w:sz w:val="24"/>
          <w:szCs w:val="24"/>
        </w:rPr>
        <w:t xml:space="preserve">and the related provisions of </w:t>
      </w:r>
      <w:hyperlink r:id="rId23">
        <w:r w:rsidRPr="00A63449">
          <w:rPr>
            <w:rFonts w:ascii="Times New Roman" w:hAnsi="Times New Roman" w:cs="Times New Roman"/>
            <w:color w:val="000000" w:themeColor="text1"/>
            <w:sz w:val="24"/>
            <w:szCs w:val="24"/>
          </w:rPr>
          <w:t>5 CFR</w:t>
        </w:r>
      </w:hyperlink>
      <w:r w:rsidRPr="00A63449">
        <w:rPr>
          <w:rFonts w:ascii="Times New Roman" w:hAnsi="Times New Roman" w:cs="Times New Roman"/>
          <w:color w:val="000000" w:themeColor="text1"/>
          <w:sz w:val="24"/>
          <w:szCs w:val="24"/>
        </w:rPr>
        <w:t xml:space="preserve"> </w:t>
      </w:r>
      <w:hyperlink r:id="rId24">
        <w:r w:rsidRPr="00A63449">
          <w:rPr>
            <w:rFonts w:ascii="Times New Roman" w:hAnsi="Times New Roman" w:cs="Times New Roman"/>
            <w:color w:val="000000" w:themeColor="text1"/>
            <w:sz w:val="24"/>
            <w:szCs w:val="24"/>
          </w:rPr>
          <w:t>1320.8(b</w:t>
        </w:r>
        <w:proofErr w:type="gramStart"/>
        <w:r w:rsidRPr="00A63449">
          <w:rPr>
            <w:rFonts w:ascii="Times New Roman" w:hAnsi="Times New Roman" w:cs="Times New Roman"/>
            <w:color w:val="000000" w:themeColor="text1"/>
            <w:sz w:val="24"/>
            <w:szCs w:val="24"/>
          </w:rPr>
          <w:t>)(</w:t>
        </w:r>
        <w:proofErr w:type="gramEnd"/>
        <w:r w:rsidRPr="00A63449">
          <w:rPr>
            <w:rFonts w:ascii="Times New Roman" w:hAnsi="Times New Roman" w:cs="Times New Roman"/>
            <w:color w:val="000000" w:themeColor="text1"/>
            <w:sz w:val="24"/>
            <w:szCs w:val="24"/>
          </w:rPr>
          <w:t>3)</w:t>
        </w:r>
      </w:hyperlink>
      <w:r w:rsidRPr="00A63449">
        <w:rPr>
          <w:rFonts w:ascii="Times New Roman" w:hAnsi="Times New Roman" w:cs="Times New Roman"/>
          <w:color w:val="000000" w:themeColor="text1"/>
          <w:sz w:val="24"/>
          <w:szCs w:val="24"/>
        </w:rPr>
        <w:t>.</w:t>
      </w:r>
    </w:p>
    <w:sectPr w:rsidRPr="00A63449" w:rsidR="00F36C45" w:rsidSect="00BD7237">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2F6C3" w14:textId="77777777" w:rsidR="00911F0E" w:rsidRDefault="00911F0E">
      <w:r>
        <w:separator/>
      </w:r>
    </w:p>
  </w:endnote>
  <w:endnote w:type="continuationSeparator" w:id="0">
    <w:p w14:paraId="4BBA98F7" w14:textId="77777777" w:rsidR="00911F0E" w:rsidRDefault="00911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2E371" w14:textId="03F7E700" w:rsidR="001251BA" w:rsidRDefault="001251BA">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B9F29" w14:textId="77777777" w:rsidR="00911F0E" w:rsidRDefault="00911F0E">
      <w:r>
        <w:separator/>
      </w:r>
    </w:p>
  </w:footnote>
  <w:footnote w:type="continuationSeparator" w:id="0">
    <w:p w14:paraId="5132CB05" w14:textId="77777777" w:rsidR="00911F0E" w:rsidRDefault="00911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56DC4"/>
    <w:multiLevelType w:val="hybridMultilevel"/>
    <w:tmpl w:val="0476A430"/>
    <w:lvl w:ilvl="0" w:tplc="C472E8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CE4FA6"/>
    <w:multiLevelType w:val="hybridMultilevel"/>
    <w:tmpl w:val="B27CC73A"/>
    <w:lvl w:ilvl="0" w:tplc="04090001">
      <w:start w:val="1"/>
      <w:numFmt w:val="bullet"/>
      <w:lvlText w:val=""/>
      <w:lvlJc w:val="left"/>
      <w:pPr>
        <w:ind w:left="1120" w:hanging="360"/>
      </w:pPr>
      <w:rPr>
        <w:rFonts w:ascii="Symbol" w:hAnsi="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2"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3" w15:restartNumberingAfterBreak="0">
    <w:nsid w:val="12C12666"/>
    <w:multiLevelType w:val="hybridMultilevel"/>
    <w:tmpl w:val="8CF2943A"/>
    <w:lvl w:ilvl="0" w:tplc="DB04E978">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22D6F672">
      <w:numFmt w:val="bullet"/>
      <w:lvlText w:val="•"/>
      <w:lvlJc w:val="left"/>
      <w:pPr>
        <w:ind w:left="2806" w:hanging="720"/>
      </w:pPr>
      <w:rPr>
        <w:rFonts w:hint="default"/>
        <w:lang w:val="en-US" w:eastAsia="en-US" w:bidi="en-US"/>
      </w:rPr>
    </w:lvl>
    <w:lvl w:ilvl="2" w:tplc="027A5012">
      <w:numFmt w:val="bullet"/>
      <w:lvlText w:val="•"/>
      <w:lvlJc w:val="left"/>
      <w:pPr>
        <w:ind w:left="3772" w:hanging="720"/>
      </w:pPr>
      <w:rPr>
        <w:rFonts w:hint="default"/>
        <w:lang w:val="en-US" w:eastAsia="en-US" w:bidi="en-US"/>
      </w:rPr>
    </w:lvl>
    <w:lvl w:ilvl="3" w:tplc="5C325C86">
      <w:numFmt w:val="bullet"/>
      <w:lvlText w:val="•"/>
      <w:lvlJc w:val="left"/>
      <w:pPr>
        <w:ind w:left="4738" w:hanging="720"/>
      </w:pPr>
      <w:rPr>
        <w:rFonts w:hint="default"/>
        <w:lang w:val="en-US" w:eastAsia="en-US" w:bidi="en-US"/>
      </w:rPr>
    </w:lvl>
    <w:lvl w:ilvl="4" w:tplc="E26CD314">
      <w:numFmt w:val="bullet"/>
      <w:lvlText w:val="•"/>
      <w:lvlJc w:val="left"/>
      <w:pPr>
        <w:ind w:left="5704" w:hanging="720"/>
      </w:pPr>
      <w:rPr>
        <w:rFonts w:hint="default"/>
        <w:lang w:val="en-US" w:eastAsia="en-US" w:bidi="en-US"/>
      </w:rPr>
    </w:lvl>
    <w:lvl w:ilvl="5" w:tplc="632041A6">
      <w:numFmt w:val="bullet"/>
      <w:lvlText w:val="•"/>
      <w:lvlJc w:val="left"/>
      <w:pPr>
        <w:ind w:left="6670" w:hanging="720"/>
      </w:pPr>
      <w:rPr>
        <w:rFonts w:hint="default"/>
        <w:lang w:val="en-US" w:eastAsia="en-US" w:bidi="en-US"/>
      </w:rPr>
    </w:lvl>
    <w:lvl w:ilvl="6" w:tplc="C8D2BB54">
      <w:numFmt w:val="bullet"/>
      <w:lvlText w:val="•"/>
      <w:lvlJc w:val="left"/>
      <w:pPr>
        <w:ind w:left="7636" w:hanging="720"/>
      </w:pPr>
      <w:rPr>
        <w:rFonts w:hint="default"/>
        <w:lang w:val="en-US" w:eastAsia="en-US" w:bidi="en-US"/>
      </w:rPr>
    </w:lvl>
    <w:lvl w:ilvl="7" w:tplc="13002994">
      <w:numFmt w:val="bullet"/>
      <w:lvlText w:val="•"/>
      <w:lvlJc w:val="left"/>
      <w:pPr>
        <w:ind w:left="8602" w:hanging="720"/>
      </w:pPr>
      <w:rPr>
        <w:rFonts w:hint="default"/>
        <w:lang w:val="en-US" w:eastAsia="en-US" w:bidi="en-US"/>
      </w:rPr>
    </w:lvl>
    <w:lvl w:ilvl="8" w:tplc="74F0B776">
      <w:numFmt w:val="bullet"/>
      <w:lvlText w:val="•"/>
      <w:lvlJc w:val="left"/>
      <w:pPr>
        <w:ind w:left="9568" w:hanging="720"/>
      </w:pPr>
      <w:rPr>
        <w:rFonts w:hint="default"/>
        <w:lang w:val="en-US" w:eastAsia="en-US" w:bidi="en-US"/>
      </w:rPr>
    </w:lvl>
  </w:abstractNum>
  <w:abstractNum w:abstractNumId="4"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5" w15:restartNumberingAfterBreak="0">
    <w:nsid w:val="181C23E5"/>
    <w:multiLevelType w:val="hybridMultilevel"/>
    <w:tmpl w:val="58F04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7" w15:restartNumberingAfterBreak="0">
    <w:nsid w:val="257408CE"/>
    <w:multiLevelType w:val="hybridMultilevel"/>
    <w:tmpl w:val="E312CB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93513C8"/>
    <w:multiLevelType w:val="hybridMultilevel"/>
    <w:tmpl w:val="0B946AE4"/>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9"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10" w15:restartNumberingAfterBreak="0">
    <w:nsid w:val="39565BF7"/>
    <w:multiLevelType w:val="hybridMultilevel"/>
    <w:tmpl w:val="9CE6BFAA"/>
    <w:lvl w:ilvl="0" w:tplc="94D42816">
      <w:numFmt w:val="bullet"/>
      <w:lvlText w:val=""/>
      <w:lvlJc w:val="left"/>
      <w:pPr>
        <w:ind w:left="760" w:hanging="360"/>
      </w:pPr>
      <w:rPr>
        <w:rFonts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1"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2"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13" w15:restartNumberingAfterBreak="0">
    <w:nsid w:val="5EC56B4C"/>
    <w:multiLevelType w:val="hybridMultilevel"/>
    <w:tmpl w:val="1528DEE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4" w15:restartNumberingAfterBreak="0">
    <w:nsid w:val="5EF763BF"/>
    <w:multiLevelType w:val="hybridMultilevel"/>
    <w:tmpl w:val="E34A2E2C"/>
    <w:lvl w:ilvl="0" w:tplc="C09EE85E">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5" w15:restartNumberingAfterBreak="0">
    <w:nsid w:val="75725DCB"/>
    <w:multiLevelType w:val="hybridMultilevel"/>
    <w:tmpl w:val="FC981D16"/>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6" w15:restartNumberingAfterBreak="0">
    <w:nsid w:val="7F274247"/>
    <w:multiLevelType w:val="hybridMultilevel"/>
    <w:tmpl w:val="B41298D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12"/>
  </w:num>
  <w:num w:numId="2">
    <w:abstractNumId w:val="3"/>
  </w:num>
  <w:num w:numId="3">
    <w:abstractNumId w:val="14"/>
  </w:num>
  <w:num w:numId="4">
    <w:abstractNumId w:val="4"/>
  </w:num>
  <w:num w:numId="5">
    <w:abstractNumId w:val="9"/>
  </w:num>
  <w:num w:numId="6">
    <w:abstractNumId w:val="10"/>
  </w:num>
  <w:num w:numId="7">
    <w:abstractNumId w:val="6"/>
  </w:num>
  <w:num w:numId="8">
    <w:abstractNumId w:val="2"/>
  </w:num>
  <w:num w:numId="9">
    <w:abstractNumId w:val="11"/>
  </w:num>
  <w:num w:numId="10">
    <w:abstractNumId w:val="15"/>
  </w:num>
  <w:num w:numId="11">
    <w:abstractNumId w:val="8"/>
  </w:num>
  <w:num w:numId="12">
    <w:abstractNumId w:val="13"/>
  </w:num>
  <w:num w:numId="13">
    <w:abstractNumId w:val="1"/>
  </w:num>
  <w:num w:numId="14">
    <w:abstractNumId w:val="16"/>
  </w:num>
  <w:num w:numId="15">
    <w:abstractNumId w:val="0"/>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02CDA"/>
    <w:rsid w:val="0001349E"/>
    <w:rsid w:val="00040D90"/>
    <w:rsid w:val="00044953"/>
    <w:rsid w:val="00047ED9"/>
    <w:rsid w:val="000638D8"/>
    <w:rsid w:val="00092CB1"/>
    <w:rsid w:val="000C0A2A"/>
    <w:rsid w:val="000D644A"/>
    <w:rsid w:val="000D7AAE"/>
    <w:rsid w:val="000F0BFB"/>
    <w:rsid w:val="000F5D33"/>
    <w:rsid w:val="000F7BDD"/>
    <w:rsid w:val="00100544"/>
    <w:rsid w:val="00115034"/>
    <w:rsid w:val="001251BA"/>
    <w:rsid w:val="001477A3"/>
    <w:rsid w:val="001559D6"/>
    <w:rsid w:val="001A0DC2"/>
    <w:rsid w:val="001B2DAF"/>
    <w:rsid w:val="001C134F"/>
    <w:rsid w:val="001D2556"/>
    <w:rsid w:val="001E6EFF"/>
    <w:rsid w:val="001F4AE0"/>
    <w:rsid w:val="002234AC"/>
    <w:rsid w:val="00231219"/>
    <w:rsid w:val="00233F57"/>
    <w:rsid w:val="00234A9F"/>
    <w:rsid w:val="00237855"/>
    <w:rsid w:val="00260C70"/>
    <w:rsid w:val="002A297F"/>
    <w:rsid w:val="002B35E4"/>
    <w:rsid w:val="003123AF"/>
    <w:rsid w:val="00335631"/>
    <w:rsid w:val="003367D8"/>
    <w:rsid w:val="0034378A"/>
    <w:rsid w:val="00363B1F"/>
    <w:rsid w:val="00383417"/>
    <w:rsid w:val="003B79C4"/>
    <w:rsid w:val="003C6516"/>
    <w:rsid w:val="003D4291"/>
    <w:rsid w:val="003E69B4"/>
    <w:rsid w:val="00436496"/>
    <w:rsid w:val="00437CF8"/>
    <w:rsid w:val="00473F73"/>
    <w:rsid w:val="00474497"/>
    <w:rsid w:val="004760C1"/>
    <w:rsid w:val="00477FA3"/>
    <w:rsid w:val="004C4050"/>
    <w:rsid w:val="004D61AF"/>
    <w:rsid w:val="004F32E9"/>
    <w:rsid w:val="004F7843"/>
    <w:rsid w:val="00500189"/>
    <w:rsid w:val="0050663C"/>
    <w:rsid w:val="00527657"/>
    <w:rsid w:val="005534D0"/>
    <w:rsid w:val="00565822"/>
    <w:rsid w:val="00573F05"/>
    <w:rsid w:val="005B6F4E"/>
    <w:rsid w:val="005E20B1"/>
    <w:rsid w:val="00602190"/>
    <w:rsid w:val="006125D8"/>
    <w:rsid w:val="006204C8"/>
    <w:rsid w:val="006A22F2"/>
    <w:rsid w:val="006B3D1A"/>
    <w:rsid w:val="00766C8A"/>
    <w:rsid w:val="00781E89"/>
    <w:rsid w:val="007849F8"/>
    <w:rsid w:val="007977FF"/>
    <w:rsid w:val="007D2AF8"/>
    <w:rsid w:val="00804A03"/>
    <w:rsid w:val="008076D1"/>
    <w:rsid w:val="00810619"/>
    <w:rsid w:val="0082262E"/>
    <w:rsid w:val="00822D25"/>
    <w:rsid w:val="00851411"/>
    <w:rsid w:val="00856122"/>
    <w:rsid w:val="00865571"/>
    <w:rsid w:val="008924D8"/>
    <w:rsid w:val="008B21EA"/>
    <w:rsid w:val="008E61C9"/>
    <w:rsid w:val="00911F0E"/>
    <w:rsid w:val="00914538"/>
    <w:rsid w:val="009502CA"/>
    <w:rsid w:val="00956A91"/>
    <w:rsid w:val="0096409B"/>
    <w:rsid w:val="00966088"/>
    <w:rsid w:val="00980CF3"/>
    <w:rsid w:val="00993986"/>
    <w:rsid w:val="009B116F"/>
    <w:rsid w:val="009B1F0E"/>
    <w:rsid w:val="009C713E"/>
    <w:rsid w:val="00A02219"/>
    <w:rsid w:val="00A2508B"/>
    <w:rsid w:val="00A27601"/>
    <w:rsid w:val="00A359E5"/>
    <w:rsid w:val="00A63449"/>
    <w:rsid w:val="00A65756"/>
    <w:rsid w:val="00A72AB6"/>
    <w:rsid w:val="00AD1431"/>
    <w:rsid w:val="00AD441D"/>
    <w:rsid w:val="00AD7BE1"/>
    <w:rsid w:val="00AE364D"/>
    <w:rsid w:val="00AE3B9C"/>
    <w:rsid w:val="00B039D7"/>
    <w:rsid w:val="00B24656"/>
    <w:rsid w:val="00B613C6"/>
    <w:rsid w:val="00B73C8E"/>
    <w:rsid w:val="00B754B8"/>
    <w:rsid w:val="00B75A85"/>
    <w:rsid w:val="00B964A3"/>
    <w:rsid w:val="00BA7502"/>
    <w:rsid w:val="00BB7214"/>
    <w:rsid w:val="00BC09DC"/>
    <w:rsid w:val="00BD7237"/>
    <w:rsid w:val="00BF5461"/>
    <w:rsid w:val="00C12B18"/>
    <w:rsid w:val="00C13CFA"/>
    <w:rsid w:val="00C17799"/>
    <w:rsid w:val="00C26ED8"/>
    <w:rsid w:val="00C37247"/>
    <w:rsid w:val="00C37C01"/>
    <w:rsid w:val="00C4146A"/>
    <w:rsid w:val="00C741E9"/>
    <w:rsid w:val="00C86D4B"/>
    <w:rsid w:val="00CC3B4D"/>
    <w:rsid w:val="00CF7768"/>
    <w:rsid w:val="00D036CA"/>
    <w:rsid w:val="00D53C1C"/>
    <w:rsid w:val="00D606C4"/>
    <w:rsid w:val="00D64DF9"/>
    <w:rsid w:val="00D833E2"/>
    <w:rsid w:val="00D96E9F"/>
    <w:rsid w:val="00DC3B3B"/>
    <w:rsid w:val="00DF0CE3"/>
    <w:rsid w:val="00E8419E"/>
    <w:rsid w:val="00EA79E9"/>
    <w:rsid w:val="00EF305F"/>
    <w:rsid w:val="00EF7486"/>
    <w:rsid w:val="00F1077A"/>
    <w:rsid w:val="00F16F62"/>
    <w:rsid w:val="00F17F1F"/>
    <w:rsid w:val="00F36C45"/>
    <w:rsid w:val="00F60F98"/>
    <w:rsid w:val="00F7532B"/>
    <w:rsid w:val="00F761E7"/>
    <w:rsid w:val="00F769E2"/>
    <w:rsid w:val="00F77AB5"/>
    <w:rsid w:val="00F801C3"/>
    <w:rsid w:val="00F96D99"/>
    <w:rsid w:val="00FC32B7"/>
    <w:rsid w:val="00FD0E6B"/>
    <w:rsid w:val="00FF5540"/>
    <w:rsid w:val="00FF7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4E5A7E"/>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34"/>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lang w:bidi="ar-SA"/>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character" w:styleId="Hyperlink">
    <w:name w:val="Hyperlink"/>
    <w:rsid w:val="00AE3B9C"/>
    <w:rPr>
      <w:color w:val="0000FF"/>
      <w:u w:val="single"/>
    </w:rPr>
  </w:style>
  <w:style w:type="paragraph" w:customStyle="1" w:styleId="CM1">
    <w:name w:val="CM1"/>
    <w:basedOn w:val="Normal"/>
    <w:next w:val="Normal"/>
    <w:uiPriority w:val="99"/>
    <w:rsid w:val="00C86D4B"/>
    <w:pPr>
      <w:adjustRightInd w:val="0"/>
    </w:pPr>
    <w:rPr>
      <w:rFonts w:ascii="Times New Roman" w:eastAsia="Times New Roman" w:hAnsi="Times New Roman" w:cs="Times New Roman"/>
      <w:sz w:val="24"/>
      <w:szCs w:val="24"/>
      <w:lang w:bidi="ar-SA"/>
    </w:rPr>
  </w:style>
  <w:style w:type="paragraph" w:customStyle="1" w:styleId="CM4">
    <w:name w:val="CM4"/>
    <w:basedOn w:val="Normal"/>
    <w:next w:val="Normal"/>
    <w:uiPriority w:val="99"/>
    <w:rsid w:val="00C86D4B"/>
    <w:pPr>
      <w:adjustRightInd w:val="0"/>
      <w:spacing w:after="260"/>
    </w:pPr>
    <w:rPr>
      <w:rFonts w:ascii="Times New Roman" w:eastAsia="Times New Roman" w:hAnsi="Times New Roman" w:cs="Times New Roman"/>
      <w:sz w:val="24"/>
      <w:szCs w:val="24"/>
      <w:lang w:bidi="ar-SA"/>
    </w:rPr>
  </w:style>
  <w:style w:type="paragraph" w:styleId="CommentSubject">
    <w:name w:val="annotation subject"/>
    <w:basedOn w:val="CommentText"/>
    <w:next w:val="CommentText"/>
    <w:link w:val="CommentSubjectChar"/>
    <w:uiPriority w:val="99"/>
    <w:semiHidden/>
    <w:unhideWhenUsed/>
    <w:rsid w:val="00804A03"/>
    <w:pPr>
      <w:widowControl w:val="0"/>
      <w:autoSpaceDE w:val="0"/>
      <w:autoSpaceDN w:val="0"/>
      <w:spacing w:after="0"/>
      <w:ind w:left="0" w:firstLine="0"/>
    </w:pPr>
    <w:rPr>
      <w:b/>
      <w:bCs/>
      <w:color w:val="auto"/>
      <w:lang w:bidi="en-US"/>
    </w:rPr>
  </w:style>
  <w:style w:type="character" w:customStyle="1" w:styleId="CommentSubjectChar">
    <w:name w:val="Comment Subject Char"/>
    <w:basedOn w:val="CommentTextChar"/>
    <w:link w:val="CommentSubject"/>
    <w:uiPriority w:val="99"/>
    <w:semiHidden/>
    <w:rsid w:val="00804A03"/>
    <w:rPr>
      <w:rFonts w:ascii="Arial" w:eastAsia="Arial" w:hAnsi="Arial" w:cs="Arial"/>
      <w:b/>
      <w:bCs/>
      <w:color w:val="2E5395"/>
      <w:sz w:val="20"/>
      <w:szCs w:val="20"/>
      <w:lang w:bidi="en-US"/>
    </w:rPr>
  </w:style>
  <w:style w:type="paragraph" w:customStyle="1" w:styleId="indent-1">
    <w:name w:val="indent-1"/>
    <w:basedOn w:val="Normal"/>
    <w:rsid w:val="00C1779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C17799"/>
    <w:rPr>
      <w:i/>
      <w:iCs/>
    </w:rPr>
  </w:style>
  <w:style w:type="paragraph" w:customStyle="1" w:styleId="indent-2">
    <w:name w:val="indent-2"/>
    <w:basedOn w:val="Normal"/>
    <w:rsid w:val="00C1779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paragraph-hierarchy">
    <w:name w:val="paragraph-hierarchy"/>
    <w:basedOn w:val="DefaultParagraphFont"/>
    <w:rsid w:val="00C17799"/>
  </w:style>
  <w:style w:type="character" w:customStyle="1" w:styleId="paren">
    <w:name w:val="paren"/>
    <w:basedOn w:val="DefaultParagraphFont"/>
    <w:rsid w:val="00C17799"/>
  </w:style>
  <w:style w:type="character" w:styleId="FollowedHyperlink">
    <w:name w:val="FollowedHyperlink"/>
    <w:basedOn w:val="DefaultParagraphFont"/>
    <w:uiPriority w:val="99"/>
    <w:semiHidden/>
    <w:unhideWhenUsed/>
    <w:rsid w:val="00B24656"/>
    <w:rPr>
      <w:color w:val="800080" w:themeColor="followedHyperlink"/>
      <w:u w:val="single"/>
    </w:rPr>
  </w:style>
  <w:style w:type="paragraph" w:styleId="Revision">
    <w:name w:val="Revision"/>
    <w:hidden/>
    <w:uiPriority w:val="99"/>
    <w:semiHidden/>
    <w:rsid w:val="00A02219"/>
    <w:pPr>
      <w:widowControl/>
      <w:autoSpaceDE/>
      <w:autoSpaceDN/>
    </w:pPr>
    <w:rPr>
      <w:rFonts w:ascii="Arial" w:eastAsia="Arial" w:hAnsi="Arial" w:cs="Arial"/>
      <w:lang w:bidi="en-US"/>
    </w:rPr>
  </w:style>
  <w:style w:type="paragraph" w:styleId="Header">
    <w:name w:val="header"/>
    <w:basedOn w:val="Normal"/>
    <w:link w:val="HeaderChar"/>
    <w:uiPriority w:val="99"/>
    <w:unhideWhenUsed/>
    <w:rsid w:val="00B964A3"/>
    <w:pPr>
      <w:tabs>
        <w:tab w:val="center" w:pos="4680"/>
        <w:tab w:val="right" w:pos="9360"/>
      </w:tabs>
    </w:pPr>
  </w:style>
  <w:style w:type="character" w:customStyle="1" w:styleId="HeaderChar">
    <w:name w:val="Header Char"/>
    <w:basedOn w:val="DefaultParagraphFont"/>
    <w:link w:val="Header"/>
    <w:uiPriority w:val="99"/>
    <w:rsid w:val="00B964A3"/>
    <w:rPr>
      <w:rFonts w:ascii="Arial" w:eastAsia="Arial" w:hAnsi="Arial" w:cs="Arial"/>
      <w:lang w:bidi="en-US"/>
    </w:rPr>
  </w:style>
  <w:style w:type="paragraph" w:styleId="Footer">
    <w:name w:val="footer"/>
    <w:basedOn w:val="Normal"/>
    <w:link w:val="FooterChar"/>
    <w:uiPriority w:val="99"/>
    <w:unhideWhenUsed/>
    <w:rsid w:val="00B964A3"/>
    <w:pPr>
      <w:tabs>
        <w:tab w:val="center" w:pos="4680"/>
        <w:tab w:val="right" w:pos="9360"/>
      </w:tabs>
    </w:pPr>
  </w:style>
  <w:style w:type="character" w:customStyle="1" w:styleId="FooterChar">
    <w:name w:val="Footer Char"/>
    <w:basedOn w:val="DefaultParagraphFont"/>
    <w:link w:val="Footer"/>
    <w:uiPriority w:val="99"/>
    <w:rsid w:val="00B964A3"/>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968401">
      <w:bodyDiv w:val="1"/>
      <w:marLeft w:val="0"/>
      <w:marRight w:val="0"/>
      <w:marTop w:val="0"/>
      <w:marBottom w:val="0"/>
      <w:divBdr>
        <w:top w:val="none" w:sz="0" w:space="0" w:color="auto"/>
        <w:left w:val="none" w:sz="0" w:space="0" w:color="auto"/>
        <w:bottom w:val="none" w:sz="0" w:space="0" w:color="auto"/>
        <w:right w:val="none" w:sz="0" w:space="0" w:color="auto"/>
      </w:divBdr>
    </w:div>
    <w:div w:id="664356057">
      <w:bodyDiv w:val="1"/>
      <w:marLeft w:val="0"/>
      <w:marRight w:val="0"/>
      <w:marTop w:val="0"/>
      <w:marBottom w:val="0"/>
      <w:divBdr>
        <w:top w:val="none" w:sz="0" w:space="0" w:color="auto"/>
        <w:left w:val="none" w:sz="0" w:space="0" w:color="auto"/>
        <w:bottom w:val="none" w:sz="0" w:space="0" w:color="auto"/>
        <w:right w:val="none" w:sz="0" w:space="0" w:color="auto"/>
      </w:divBdr>
    </w:div>
    <w:div w:id="698354668">
      <w:bodyDiv w:val="1"/>
      <w:marLeft w:val="0"/>
      <w:marRight w:val="0"/>
      <w:marTop w:val="0"/>
      <w:marBottom w:val="0"/>
      <w:divBdr>
        <w:top w:val="none" w:sz="0" w:space="0" w:color="auto"/>
        <w:left w:val="none" w:sz="0" w:space="0" w:color="auto"/>
        <w:bottom w:val="none" w:sz="0" w:space="0" w:color="auto"/>
        <w:right w:val="none" w:sz="0" w:space="0" w:color="auto"/>
      </w:divBdr>
    </w:div>
    <w:div w:id="758984804">
      <w:bodyDiv w:val="1"/>
      <w:marLeft w:val="0"/>
      <w:marRight w:val="0"/>
      <w:marTop w:val="0"/>
      <w:marBottom w:val="0"/>
      <w:divBdr>
        <w:top w:val="none" w:sz="0" w:space="0" w:color="auto"/>
        <w:left w:val="none" w:sz="0" w:space="0" w:color="auto"/>
        <w:bottom w:val="none" w:sz="0" w:space="0" w:color="auto"/>
        <w:right w:val="none" w:sz="0" w:space="0" w:color="auto"/>
      </w:divBdr>
      <w:divsChild>
        <w:div w:id="1229026427">
          <w:marLeft w:val="0"/>
          <w:marRight w:val="0"/>
          <w:marTop w:val="0"/>
          <w:marBottom w:val="0"/>
          <w:divBdr>
            <w:top w:val="none" w:sz="0" w:space="0" w:color="auto"/>
            <w:left w:val="none" w:sz="0" w:space="0" w:color="auto"/>
            <w:bottom w:val="none" w:sz="0" w:space="0" w:color="auto"/>
            <w:right w:val="none" w:sz="0" w:space="0" w:color="auto"/>
          </w:divBdr>
        </w:div>
        <w:div w:id="959382464">
          <w:marLeft w:val="0"/>
          <w:marRight w:val="0"/>
          <w:marTop w:val="0"/>
          <w:marBottom w:val="0"/>
          <w:divBdr>
            <w:top w:val="none" w:sz="0" w:space="0" w:color="auto"/>
            <w:left w:val="none" w:sz="0" w:space="0" w:color="auto"/>
            <w:bottom w:val="none" w:sz="0" w:space="0" w:color="auto"/>
            <w:right w:val="none" w:sz="0" w:space="0" w:color="auto"/>
          </w:divBdr>
        </w:div>
        <w:div w:id="2021734168">
          <w:marLeft w:val="0"/>
          <w:marRight w:val="0"/>
          <w:marTop w:val="0"/>
          <w:marBottom w:val="0"/>
          <w:divBdr>
            <w:top w:val="none" w:sz="0" w:space="0" w:color="auto"/>
            <w:left w:val="none" w:sz="0" w:space="0" w:color="auto"/>
            <w:bottom w:val="none" w:sz="0" w:space="0" w:color="auto"/>
            <w:right w:val="none" w:sz="0" w:space="0" w:color="auto"/>
          </w:divBdr>
        </w:div>
        <w:div w:id="421727261">
          <w:marLeft w:val="0"/>
          <w:marRight w:val="0"/>
          <w:marTop w:val="0"/>
          <w:marBottom w:val="0"/>
          <w:divBdr>
            <w:top w:val="none" w:sz="0" w:space="0" w:color="auto"/>
            <w:left w:val="none" w:sz="0" w:space="0" w:color="auto"/>
            <w:bottom w:val="none" w:sz="0" w:space="0" w:color="auto"/>
            <w:right w:val="none" w:sz="0" w:space="0" w:color="auto"/>
          </w:divBdr>
        </w:div>
      </w:divsChild>
    </w:div>
    <w:div w:id="815610042">
      <w:bodyDiv w:val="1"/>
      <w:marLeft w:val="0"/>
      <w:marRight w:val="0"/>
      <w:marTop w:val="0"/>
      <w:marBottom w:val="0"/>
      <w:divBdr>
        <w:top w:val="none" w:sz="0" w:space="0" w:color="auto"/>
        <w:left w:val="none" w:sz="0" w:space="0" w:color="auto"/>
        <w:bottom w:val="none" w:sz="0" w:space="0" w:color="auto"/>
        <w:right w:val="none" w:sz="0" w:space="0" w:color="auto"/>
      </w:divBdr>
    </w:div>
    <w:div w:id="1297636507">
      <w:bodyDiv w:val="1"/>
      <w:marLeft w:val="0"/>
      <w:marRight w:val="0"/>
      <w:marTop w:val="0"/>
      <w:marBottom w:val="0"/>
      <w:divBdr>
        <w:top w:val="none" w:sz="0" w:space="0" w:color="auto"/>
        <w:left w:val="none" w:sz="0" w:space="0" w:color="auto"/>
        <w:bottom w:val="none" w:sz="0" w:space="0" w:color="auto"/>
        <w:right w:val="none" w:sz="0" w:space="0" w:color="auto"/>
      </w:divBdr>
    </w:div>
    <w:div w:id="1332755115">
      <w:bodyDiv w:val="1"/>
      <w:marLeft w:val="0"/>
      <w:marRight w:val="0"/>
      <w:marTop w:val="0"/>
      <w:marBottom w:val="0"/>
      <w:divBdr>
        <w:top w:val="none" w:sz="0" w:space="0" w:color="auto"/>
        <w:left w:val="none" w:sz="0" w:space="0" w:color="auto"/>
        <w:bottom w:val="none" w:sz="0" w:space="0" w:color="auto"/>
        <w:right w:val="none" w:sz="0" w:space="0" w:color="auto"/>
      </w:divBdr>
    </w:div>
    <w:div w:id="1670788048">
      <w:bodyDiv w:val="1"/>
      <w:marLeft w:val="0"/>
      <w:marRight w:val="0"/>
      <w:marTop w:val="0"/>
      <w:marBottom w:val="0"/>
      <w:divBdr>
        <w:top w:val="none" w:sz="0" w:space="0" w:color="auto"/>
        <w:left w:val="none" w:sz="0" w:space="0" w:color="auto"/>
        <w:bottom w:val="none" w:sz="0" w:space="0" w:color="auto"/>
        <w:right w:val="none" w:sz="0" w:space="0" w:color="auto"/>
      </w:divBdr>
    </w:div>
    <w:div w:id="19392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50/chapter-VI/part-622" TargetMode="External"/><Relationship Id="rId13" Type="http://schemas.openxmlformats.org/officeDocument/2006/relationships/hyperlink" Target="http://www.fws.gov/informationquality/section515.html" TargetMode="External"/><Relationship Id="rId18" Type="http://schemas.openxmlformats.org/officeDocument/2006/relationships/hyperlink" Target="http://www.corporateservices.noaa.gov/ames/administrative_orders/chapter_216/216-100.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psmfc.org/program/vessel-monitoring-system-reimbursement-program-vms" TargetMode="External"/><Relationship Id="rId7" Type="http://schemas.openxmlformats.org/officeDocument/2006/relationships/endnotes" Target="endnotes.xml"/><Relationship Id="rId12" Type="http://schemas.openxmlformats.org/officeDocument/2006/relationships/hyperlink" Target="https://grunt.sefsc.noaa.gov/apex/fer/r/fer_forms/power-down-request" TargetMode="External"/><Relationship Id="rId17" Type="http://schemas.openxmlformats.org/officeDocument/2006/relationships/hyperlink" Target="https://grunt.sefsc.noaa.gov/apex/fer/r/fer_forms/power-down-reques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aw.cornell.edu/definitions/index.php?width=840&amp;height=800&amp;iframe=true&amp;def_id=91bdcc3f58c98ec84d5f5b9824e12456&amp;term_occur=999&amp;term_src=Title:50:Chapter:VI:Part:622:Subpart:K:622.22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urrent/title-50/chapter-VI/part-622" TargetMode="External"/><Relationship Id="rId24" Type="http://schemas.openxmlformats.org/officeDocument/2006/relationships/hyperlink" Target="http://www.gpo.gov/fdsys/pkg/CFR-2014-title5-vol3/pdf/CFR-2014-title5-vol3-sec1320-8.pdf" TargetMode="External"/><Relationship Id="rId5" Type="http://schemas.openxmlformats.org/officeDocument/2006/relationships/webSettings" Target="webSettings.xml"/><Relationship Id="rId15" Type="http://schemas.openxmlformats.org/officeDocument/2006/relationships/hyperlink" Target="https://www.law.cornell.edu/definitions/index.php?width=840&amp;height=800&amp;iframe=true&amp;def_id=08dd105108861e7266c1ed8eb879630e&amp;term_occur=999&amp;term_src=Title:50:Chapter:VI:Part:622:Subpart:K:622.224" TargetMode="External"/><Relationship Id="rId23" Type="http://schemas.openxmlformats.org/officeDocument/2006/relationships/hyperlink" Target="http://www.gpo.gov/fdsys/pkg/CFR-2014-title5-vol3/pdf/CFR-2014-title5-vol3-sec1320-8.pdf" TargetMode="External"/><Relationship Id="rId10" Type="http://schemas.openxmlformats.org/officeDocument/2006/relationships/hyperlink" Target="https://www.ecfr.gov/current/title-50/chapter-VI/part-622" TargetMode="External"/><Relationship Id="rId19" Type="http://schemas.openxmlformats.org/officeDocument/2006/relationships/hyperlink" Target="https://www.bls.gov/oes/current/oes451011.htm" TargetMode="External"/><Relationship Id="rId4" Type="http://schemas.openxmlformats.org/officeDocument/2006/relationships/settings" Target="settings.xml"/><Relationship Id="rId9" Type="http://schemas.openxmlformats.org/officeDocument/2006/relationships/hyperlink" Target="https://www.ecfr.gov/current/title-50/chapter-VI/part-622" TargetMode="External"/><Relationship Id="rId14" Type="http://schemas.openxmlformats.org/officeDocument/2006/relationships/hyperlink" Target="https://www.law.cornell.edu/definitions/index.php?width=840&amp;height=800&amp;iframe=true&amp;def_id=08dd105108861e7266c1ed8eb879630e&amp;term_occur=999&amp;term_src=Title:50:Chapter:VI:Part:622:Subpart:K:622.224" TargetMode="External"/><Relationship Id="rId22" Type="http://schemas.openxmlformats.org/officeDocument/2006/relationships/hyperlink" Target="http://www.gpo.gov/fdsys/pkg/CFR-2014-title5-vol3/pdf/CFR-2014-title5-vol3-sec132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E973B-F289-45E8-A04A-D0B9554CD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3372</TotalTime>
  <Pages>1</Pages>
  <Words>5326</Words>
  <Characters>30362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35617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Janet.Peery</cp:lastModifiedBy>
  <cp:revision>7</cp:revision>
  <dcterms:created xsi:type="dcterms:W3CDTF">2022-04-08T20:45:00Z</dcterms:created>
  <dcterms:modified xsi:type="dcterms:W3CDTF">2022-04-28T14:18:00Z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