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10A7" w:rsidR="006710A7" w:rsidP="0030133E" w:rsidRDefault="006710A7" w14:paraId="45726695" w14:textId="77777777">
      <w:pPr>
        <w:tabs>
          <w:tab w:val="left" w:pos="5220"/>
        </w:tabs>
        <w:spacing w:after="200" w:line="276" w:lineRule="auto"/>
        <w:jc w:val="center"/>
        <w:rPr>
          <w:rFonts w:ascii="Cambria" w:hAnsi="Cambria" w:eastAsia="Calibri"/>
          <w:sz w:val="28"/>
          <w:szCs w:val="22"/>
          <w:u w:val="single"/>
        </w:rPr>
      </w:pPr>
      <w:r w:rsidRPr="006710A7">
        <w:rPr>
          <w:rFonts w:ascii="Cambria" w:hAnsi="Cambria" w:eastAsia="Calibri"/>
          <w:sz w:val="28"/>
          <w:szCs w:val="22"/>
          <w:u w:val="single"/>
        </w:rPr>
        <w:t>SUPPORTING STATEMENT - PART A</w:t>
      </w:r>
    </w:p>
    <w:p w:rsidRPr="006710A7" w:rsidR="00080024" w:rsidP="00F4701B" w:rsidRDefault="006710A7" w14:paraId="48372EB4" w14:textId="66F1D5BF">
      <w:pPr>
        <w:spacing w:after="200" w:line="276" w:lineRule="auto"/>
        <w:jc w:val="center"/>
        <w:rPr>
          <w:rFonts w:ascii="Cambria" w:hAnsi="Cambria" w:eastAsia="Calibri"/>
          <w:szCs w:val="22"/>
        </w:rPr>
      </w:pPr>
      <w:r w:rsidRPr="006710A7">
        <w:rPr>
          <w:rFonts w:ascii="Cambria" w:hAnsi="Cambria" w:eastAsia="Calibri"/>
          <w:szCs w:val="22"/>
        </w:rPr>
        <w:t xml:space="preserve">Research </w:t>
      </w:r>
      <w:r w:rsidR="006E14DF">
        <w:rPr>
          <w:rFonts w:ascii="Cambria" w:hAnsi="Cambria" w:eastAsia="Calibri"/>
          <w:szCs w:val="22"/>
        </w:rPr>
        <w:t xml:space="preserve">Performance </w:t>
      </w:r>
      <w:r w:rsidRPr="006710A7">
        <w:rPr>
          <w:rFonts w:ascii="Cambria" w:hAnsi="Cambria" w:eastAsia="Calibri"/>
          <w:szCs w:val="22"/>
        </w:rPr>
        <w:t xml:space="preserve">Progress </w:t>
      </w:r>
      <w:r w:rsidR="00660FE1">
        <w:rPr>
          <w:rFonts w:ascii="Cambria" w:hAnsi="Cambria" w:eastAsia="Calibri"/>
          <w:szCs w:val="22"/>
        </w:rPr>
        <w:t>Report (RPPR) – 0704-0527</w:t>
      </w:r>
    </w:p>
    <w:p w:rsidRPr="006710A7" w:rsidR="006710A7" w:rsidP="006710A7" w:rsidRDefault="006710A7" w14:paraId="6B65940A" w14:textId="77777777">
      <w:pPr>
        <w:rPr>
          <w:rFonts w:ascii="Cambria" w:hAnsi="Cambria" w:eastAsia="Calibri"/>
          <w:szCs w:val="22"/>
          <w:u w:val="single"/>
        </w:rPr>
      </w:pPr>
      <w:r w:rsidRPr="006710A7">
        <w:rPr>
          <w:rFonts w:ascii="Cambria" w:hAnsi="Cambria" w:eastAsia="Calibri"/>
          <w:szCs w:val="22"/>
        </w:rPr>
        <w:t xml:space="preserve">1. </w:t>
      </w:r>
      <w:r w:rsidRPr="006710A7">
        <w:rPr>
          <w:rFonts w:ascii="Cambria" w:hAnsi="Cambria" w:eastAsia="Calibri"/>
          <w:szCs w:val="22"/>
        </w:rPr>
        <w:tab/>
      </w:r>
      <w:r w:rsidRPr="006710A7">
        <w:rPr>
          <w:rFonts w:ascii="Cambria" w:hAnsi="Cambria" w:eastAsia="Calibri"/>
          <w:szCs w:val="22"/>
          <w:u w:val="single"/>
        </w:rPr>
        <w:t>Need for the Information Collection</w:t>
      </w:r>
    </w:p>
    <w:p w:rsidR="006710A7" w:rsidP="006710A7" w:rsidRDefault="006710A7" w14:paraId="32ED3719" w14:textId="77777777">
      <w:pPr>
        <w:rPr>
          <w:rFonts w:ascii="Cambria" w:hAnsi="Cambria" w:eastAsia="Calibri"/>
          <w:szCs w:val="22"/>
        </w:rPr>
      </w:pPr>
      <w:r w:rsidRPr="006710A7">
        <w:rPr>
          <w:rFonts w:ascii="Cambria" w:hAnsi="Cambria" w:eastAsia="Calibri"/>
          <w:szCs w:val="22"/>
        </w:rPr>
        <w:t xml:space="preserve">Department of Defense (DoD) grantees are generally required to submit interim and final progress reports and other post-award documents associated with monitoring, oversight, and closeout of an award. However, the various DoD components awarding grants have different reporting requirements, such as frequency and uses of information technology. This submission represents a consolidation of various post-award reporting requirements into a unified data collection. While all interim reports required by DoD components for research activities will share a common Department-established RPPR-based template, initial electronic implementations of RPPR-compliant reporting requirements will be determined on a component-level basis until a DoD-wide electronic reporting system can be established. </w:t>
      </w:r>
    </w:p>
    <w:p w:rsidRPr="006710A7" w:rsidR="00080024" w:rsidP="006710A7" w:rsidRDefault="00080024" w14:paraId="51679079" w14:textId="77777777">
      <w:pPr>
        <w:rPr>
          <w:rFonts w:ascii="Cambria" w:hAnsi="Cambria" w:eastAsia="Calibri"/>
          <w:szCs w:val="22"/>
        </w:rPr>
      </w:pPr>
    </w:p>
    <w:p w:rsidRPr="006710A7" w:rsidR="006710A7" w:rsidP="006710A7" w:rsidRDefault="006710A7" w14:paraId="0D1E5C5C" w14:textId="77777777">
      <w:pPr>
        <w:rPr>
          <w:rFonts w:ascii="Cambria" w:hAnsi="Cambria" w:eastAsia="Calibri"/>
          <w:szCs w:val="22"/>
        </w:rPr>
      </w:pPr>
      <w:r w:rsidRPr="006710A7">
        <w:rPr>
          <w:rFonts w:ascii="Cambria" w:hAnsi="Cambria" w:eastAsia="Calibri"/>
          <w:szCs w:val="22"/>
        </w:rPr>
        <w:t>The RPPR resulted from an initiative of the Research Business Models (RBM), an Interagency Working Group of the Social, Behavioral, &amp; Economic Research Subcommittee of the Committee on Science (</w:t>
      </w:r>
      <w:proofErr w:type="spellStart"/>
      <w:r w:rsidRPr="006710A7">
        <w:rPr>
          <w:rFonts w:ascii="Cambria" w:hAnsi="Cambria" w:eastAsia="Calibri"/>
          <w:szCs w:val="22"/>
        </w:rPr>
        <w:t>CoS</w:t>
      </w:r>
      <w:proofErr w:type="spellEnd"/>
      <w:r w:rsidRPr="006710A7">
        <w:rPr>
          <w:rFonts w:ascii="Cambria" w:hAnsi="Cambria" w:eastAsia="Calibri"/>
          <w:szCs w:val="22"/>
        </w:rPr>
        <w:t>), a committee of the National Science and Technology Council (NSTC). One of the RBM subcommittee’s priority areas is to create greater consistency in the administration of Federal research awards. Given the increasing complexity of interdisciplinary and interagency research, it is important for Federal agencies to manage awards in a similar fashion. To assure compliance with 2 CFR 200.301, the RPPR is to be used by agencies that support research and research-related activities for use in submission of progress reports. It is intended to replace other performance reporting formats currently in use by agencies. This report format is used for both the interim and final progress reports.</w:t>
      </w:r>
    </w:p>
    <w:p w:rsidR="00080024" w:rsidP="006710A7" w:rsidRDefault="006710A7" w14:paraId="60C9E633" w14:textId="77777777">
      <w:pPr>
        <w:rPr>
          <w:rFonts w:ascii="Cambria" w:hAnsi="Cambria" w:eastAsia="Calibri"/>
          <w:szCs w:val="22"/>
        </w:rPr>
      </w:pPr>
      <w:r w:rsidRPr="006710A7">
        <w:rPr>
          <w:rFonts w:ascii="Cambria" w:hAnsi="Cambria" w:eastAsia="Calibri"/>
          <w:szCs w:val="22"/>
        </w:rPr>
        <w:tab/>
      </w:r>
    </w:p>
    <w:p w:rsidRPr="006710A7" w:rsidR="006710A7" w:rsidP="006710A7" w:rsidRDefault="006710A7" w14:paraId="3C9115E2" w14:textId="77777777">
      <w:pPr>
        <w:rPr>
          <w:rFonts w:ascii="Cambria" w:hAnsi="Cambria" w:eastAsia="Calibri"/>
          <w:szCs w:val="22"/>
        </w:rPr>
      </w:pPr>
      <w:r w:rsidRPr="006710A7">
        <w:rPr>
          <w:rFonts w:ascii="Cambria" w:hAnsi="Cambria" w:eastAsia="Calibri"/>
          <w:szCs w:val="22"/>
        </w:rPr>
        <w:t xml:space="preserve">DoD components are authorized to issue discretionary awards under 10 U.S.C. 2358: Research and development projects. Awards are identified in the Catalogue of Federal Domestic Assistance. Components utilize a project period system to fund awards; i.e., projects that will continue for more than one year are programmatically funded in annual budget period increments. To receive funding in each subsequent budget period, grantees are required to submit an interim progress report which is reviewed by agency program and administrative officials within the framework of: the approved research project, the recommended level of support, progress reported, and the availability of funds. </w:t>
      </w:r>
    </w:p>
    <w:p w:rsidR="00080024" w:rsidP="00080024" w:rsidRDefault="00080024" w14:paraId="25015366" w14:textId="77777777">
      <w:pPr>
        <w:rPr>
          <w:rFonts w:ascii="Cambria" w:hAnsi="Cambria" w:eastAsia="Calibri"/>
          <w:szCs w:val="22"/>
        </w:rPr>
      </w:pPr>
    </w:p>
    <w:p w:rsidRPr="006710A7" w:rsidR="006710A7" w:rsidP="00080024" w:rsidRDefault="006710A7" w14:paraId="3EE930CB" w14:textId="77777777">
      <w:pPr>
        <w:rPr>
          <w:rFonts w:ascii="Cambria" w:hAnsi="Cambria" w:eastAsia="Calibri"/>
          <w:szCs w:val="22"/>
        </w:rPr>
      </w:pPr>
      <w:r w:rsidRPr="006710A7">
        <w:rPr>
          <w:rFonts w:ascii="Cambria" w:hAnsi="Cambria" w:eastAsia="Calibri"/>
          <w:szCs w:val="22"/>
        </w:rPr>
        <w:t xml:space="preserve">Implementation of the RPPR, in accordance with the 21 April 2010 memo from OMB/OSTP titled “Policy on Research Performance Progress Report,” establishing a uniform format for use in submission of required annual or other interim performance reporting on grant and cooperative agreement awards, will ultimately replace existing collections of this nature. The DoD Implementation Plan, updated in January 2011, is available on the RPPR website.  </w:t>
      </w:r>
    </w:p>
    <w:p w:rsidRPr="006710A7" w:rsidR="006710A7" w:rsidP="006710A7" w:rsidRDefault="006710A7" w14:paraId="1301B331" w14:textId="77777777">
      <w:pPr>
        <w:rPr>
          <w:rFonts w:ascii="Cambria" w:hAnsi="Cambria" w:eastAsia="Calibri"/>
          <w:szCs w:val="22"/>
        </w:rPr>
      </w:pPr>
    </w:p>
    <w:p w:rsidRPr="006710A7" w:rsidR="006710A7" w:rsidP="006710A7" w:rsidRDefault="006710A7" w14:paraId="4344114D" w14:textId="77777777">
      <w:pPr>
        <w:rPr>
          <w:rFonts w:ascii="Cambria" w:hAnsi="Cambria" w:eastAsia="Calibri"/>
          <w:szCs w:val="22"/>
        </w:rPr>
      </w:pPr>
      <w:r w:rsidRPr="006710A7">
        <w:rPr>
          <w:rFonts w:ascii="Cambria" w:hAnsi="Cambria" w:eastAsia="Calibri"/>
          <w:szCs w:val="22"/>
        </w:rPr>
        <w:t>2.</w:t>
      </w:r>
      <w:r w:rsidRPr="006710A7">
        <w:rPr>
          <w:rFonts w:ascii="Cambria" w:hAnsi="Cambria" w:eastAsia="Calibri"/>
          <w:szCs w:val="22"/>
        </w:rPr>
        <w:tab/>
      </w:r>
      <w:r w:rsidRPr="006710A7">
        <w:rPr>
          <w:rFonts w:ascii="Cambria" w:hAnsi="Cambria" w:eastAsia="Calibri"/>
          <w:szCs w:val="22"/>
          <w:u w:val="single"/>
        </w:rPr>
        <w:t>Use of the Information</w:t>
      </w:r>
    </w:p>
    <w:p w:rsidRPr="006710A7" w:rsidR="006710A7" w:rsidP="006710A7" w:rsidRDefault="006710A7" w14:paraId="2558A126" w14:textId="77777777">
      <w:pPr>
        <w:rPr>
          <w:rFonts w:ascii="Cambria" w:hAnsi="Cambria" w:eastAsia="Calibri"/>
          <w:szCs w:val="22"/>
        </w:rPr>
      </w:pPr>
      <w:r w:rsidRPr="006710A7">
        <w:rPr>
          <w:rFonts w:ascii="Cambria" w:hAnsi="Cambria" w:eastAsia="Calibri"/>
          <w:szCs w:val="22"/>
        </w:rPr>
        <w:t xml:space="preserve">The RPPR directly benefits award recipients by making it easier for them to administer Federal grant and cooperative agreement programs through standardization of the type of </w:t>
      </w:r>
      <w:r w:rsidRPr="006710A7">
        <w:rPr>
          <w:rFonts w:ascii="Cambria" w:hAnsi="Cambria" w:eastAsia="Calibri"/>
          <w:szCs w:val="22"/>
        </w:rPr>
        <w:lastRenderedPageBreak/>
        <w:t xml:space="preserve">information required in performance reports and thereby reducing their administrative effort and costs. The RPPR will also make it easier to compare the outputs, outcomes, etc. of research and research-related programs across the government. The final version of the RPPR form to be used by Federal agencies may be viewed at: </w:t>
      </w:r>
      <w:hyperlink w:history="1" r:id="rId11">
        <w:r w:rsidRPr="006710A7">
          <w:rPr>
            <w:rFonts w:ascii="Cambria" w:hAnsi="Cambria" w:eastAsia="Calibri"/>
            <w:color w:val="0000FF"/>
            <w:szCs w:val="22"/>
            <w:u w:val="single"/>
          </w:rPr>
          <w:t>http://www.nsf.gov/bfa/dias/policy/rppr/index.jsp</w:t>
        </w:r>
      </w:hyperlink>
      <w:r w:rsidRPr="006710A7">
        <w:rPr>
          <w:rFonts w:ascii="Cambria" w:hAnsi="Cambria" w:eastAsia="Calibri"/>
          <w:szCs w:val="22"/>
        </w:rPr>
        <w:t xml:space="preserve">. Instructions for submission of the report are included in the terms and conditions of the award documents. </w:t>
      </w:r>
      <w:r w:rsidR="00435B4A">
        <w:rPr>
          <w:rFonts w:ascii="Cambria" w:hAnsi="Cambria" w:eastAsia="Calibri"/>
          <w:szCs w:val="22"/>
        </w:rPr>
        <w:t xml:space="preserve"> Criteria for disability are found at </w:t>
      </w:r>
      <w:r w:rsidR="00435B4A">
        <w:t>https://www.nsf.gov/bfa/dias/policy/rppr/.</w:t>
      </w:r>
    </w:p>
    <w:p w:rsidR="00080024" w:rsidP="006710A7" w:rsidRDefault="00080024" w14:paraId="542AF10A" w14:textId="77777777">
      <w:pPr>
        <w:rPr>
          <w:rFonts w:ascii="Cambria" w:hAnsi="Cambria" w:eastAsia="Calibri"/>
          <w:szCs w:val="22"/>
        </w:rPr>
      </w:pPr>
    </w:p>
    <w:p w:rsidRPr="006710A7" w:rsidR="006710A7" w:rsidP="006710A7" w:rsidRDefault="006710A7" w14:paraId="0E6DFC5B" w14:textId="77777777">
      <w:pPr>
        <w:rPr>
          <w:rFonts w:ascii="Cambria" w:hAnsi="Cambria" w:eastAsia="Calibri"/>
          <w:szCs w:val="22"/>
        </w:rPr>
      </w:pPr>
      <w:r w:rsidRPr="006710A7">
        <w:rPr>
          <w:rFonts w:ascii="Cambria" w:hAnsi="Cambria" w:eastAsia="Calibri"/>
          <w:szCs w:val="22"/>
        </w:rPr>
        <w:t xml:space="preserve">Information collected from the award recipients as part of the interim progress reports is used by DoD staff to: (a) monitor Federal awards and ensure compliance with applicable terms and conditions of award regulations, policies, and procedures; (b) evaluate progress in accordance with goals, aims, and objectives set forth in competing applications; (c) evaluate grantee plans for the next budget period and any significant changes; (d) manage scientific programs; (e) plan future scientific initiatives; (f) determine funding for the next budget segment; and (g) report to Congress, the public, and other Federal agencies. </w:t>
      </w:r>
    </w:p>
    <w:p w:rsidR="00080024" w:rsidP="006710A7" w:rsidRDefault="00080024" w14:paraId="2C76DBDE" w14:textId="77777777">
      <w:pPr>
        <w:rPr>
          <w:rFonts w:ascii="Cambria" w:hAnsi="Cambria" w:eastAsia="Calibri"/>
          <w:szCs w:val="22"/>
        </w:rPr>
      </w:pPr>
    </w:p>
    <w:p w:rsidRPr="006710A7" w:rsidR="00184BE8" w:rsidP="006710A7" w:rsidRDefault="006710A7" w14:paraId="66DD9EF3" w14:textId="77777777">
      <w:pPr>
        <w:rPr>
          <w:rFonts w:ascii="Cambria" w:hAnsi="Cambria" w:eastAsia="Calibri"/>
          <w:szCs w:val="22"/>
        </w:rPr>
      </w:pPr>
      <w:r w:rsidRPr="006710A7">
        <w:rPr>
          <w:rFonts w:ascii="Cambria" w:hAnsi="Cambria" w:eastAsia="Calibri"/>
          <w:szCs w:val="22"/>
        </w:rPr>
        <w:t xml:space="preserve">Information collected through the final project report is used by DoD staff to: (a) evaluate the work accomplished to determine if the grantee satisfactorily met the objectives of the program; (b) identify any publications, inventions, property disposition, and other required elements to close out the grant in a timely manner; and (c) complete reports to Congress, the public, and other Federal agencies. </w:t>
      </w:r>
    </w:p>
    <w:p w:rsidR="00080024" w:rsidP="00080024" w:rsidRDefault="00080024" w14:paraId="5F27BF2B" w14:textId="77777777">
      <w:pPr>
        <w:rPr>
          <w:rFonts w:eastAsia="Calibri"/>
        </w:rPr>
      </w:pPr>
    </w:p>
    <w:p w:rsidRPr="00F4701B" w:rsidR="00435B4A" w:rsidP="00080024" w:rsidRDefault="006710A7" w14:paraId="12DDCE3C" w14:textId="77777777">
      <w:pPr>
        <w:rPr>
          <w:rFonts w:ascii="Cambria" w:hAnsi="Cambria"/>
        </w:rPr>
      </w:pPr>
      <w:r w:rsidRPr="00F4701B">
        <w:rPr>
          <w:rFonts w:ascii="Cambria" w:hAnsi="Cambria" w:eastAsia="Calibri"/>
        </w:rPr>
        <w:t>The format of the RPPR provides a standardized data set for reporting to be adopted by all DoD components supporting research</w:t>
      </w:r>
      <w:r w:rsidRPr="00F4701B" w:rsidR="00184BE8">
        <w:rPr>
          <w:rFonts w:ascii="Cambria" w:hAnsi="Cambria" w:eastAsia="Calibri"/>
        </w:rPr>
        <w:t xml:space="preserve"> or research-related activities</w:t>
      </w:r>
      <w:r w:rsidRPr="00F4701B" w:rsidR="00184BE8">
        <w:rPr>
          <w:rFonts w:ascii="Cambria" w:hAnsi="Cambria"/>
        </w:rPr>
        <w:t xml:space="preserve">. Each DoD component determines the grants administration and components may use different methods for collecting the report. These range from an email to the program office to a central address for submitting the forms.  The terms of each award will describe how to submit the report. Each DoD component additionally determines the instructions for submissions and how the collection is processed once it is returned by the respondent. </w:t>
      </w:r>
    </w:p>
    <w:p w:rsidR="00AB0A0A" w:rsidP="006710A7" w:rsidRDefault="00AB0A0A" w14:paraId="623D7FB4" w14:textId="77777777">
      <w:pPr>
        <w:rPr>
          <w:rFonts w:ascii="Cambria" w:hAnsi="Cambria" w:eastAsia="Calibri"/>
          <w:szCs w:val="22"/>
        </w:rPr>
      </w:pPr>
    </w:p>
    <w:p w:rsidRPr="006710A7" w:rsidR="006710A7" w:rsidP="006710A7" w:rsidRDefault="006710A7" w14:paraId="6C590729" w14:textId="77777777">
      <w:pPr>
        <w:rPr>
          <w:rFonts w:ascii="Cambria" w:hAnsi="Cambria" w:eastAsia="Calibri"/>
          <w:szCs w:val="22"/>
          <w:u w:val="single"/>
        </w:rPr>
      </w:pPr>
      <w:r w:rsidRPr="006710A7">
        <w:rPr>
          <w:rFonts w:ascii="Cambria" w:hAnsi="Cambria" w:eastAsia="Calibri"/>
          <w:szCs w:val="22"/>
        </w:rPr>
        <w:t xml:space="preserve">3. </w:t>
      </w:r>
      <w:r w:rsidRPr="006710A7">
        <w:rPr>
          <w:rFonts w:ascii="Cambria" w:hAnsi="Cambria" w:eastAsia="Calibri"/>
          <w:szCs w:val="22"/>
        </w:rPr>
        <w:tab/>
      </w:r>
      <w:r w:rsidRPr="006710A7">
        <w:rPr>
          <w:rFonts w:ascii="Cambria" w:hAnsi="Cambria" w:eastAsia="Calibri"/>
          <w:szCs w:val="22"/>
          <w:u w:val="single"/>
        </w:rPr>
        <w:t>Use of Information Technology</w:t>
      </w:r>
    </w:p>
    <w:p w:rsidRPr="006710A7" w:rsidR="006710A7" w:rsidP="006710A7" w:rsidRDefault="006710A7" w14:paraId="2E74A9E1" w14:textId="77777777">
      <w:pPr>
        <w:rPr>
          <w:rFonts w:ascii="Cambria" w:hAnsi="Cambria" w:eastAsia="Calibri"/>
          <w:szCs w:val="22"/>
        </w:rPr>
      </w:pPr>
      <w:r w:rsidRPr="006710A7">
        <w:rPr>
          <w:rFonts w:ascii="Cambria" w:hAnsi="Cambria" w:eastAsia="Calibri"/>
          <w:szCs w:val="22"/>
        </w:rPr>
        <w:t>With full implementation of the electronic RPPR, all paper progress reports to DoD will be eliminated. Additionally, the electronic RPPR reduces burden on the respondent when submitting the final project report, as goals of the project, personnel, and other data elements are pre-populated based on the initial progress report (with the option to modify these data elements).</w:t>
      </w:r>
    </w:p>
    <w:p w:rsidRPr="006710A7" w:rsidR="006710A7" w:rsidP="006710A7" w:rsidRDefault="006710A7" w14:paraId="4CA5EB7D" w14:textId="77777777">
      <w:pPr>
        <w:rPr>
          <w:rFonts w:ascii="Cambria" w:hAnsi="Cambria" w:eastAsia="Calibri"/>
          <w:szCs w:val="22"/>
        </w:rPr>
      </w:pPr>
    </w:p>
    <w:p w:rsidRPr="006710A7" w:rsidR="006710A7" w:rsidP="006710A7" w:rsidRDefault="006710A7" w14:paraId="1447F095" w14:textId="77777777">
      <w:pPr>
        <w:rPr>
          <w:rFonts w:ascii="Cambria" w:hAnsi="Cambria" w:eastAsia="Calibri"/>
          <w:szCs w:val="22"/>
          <w:u w:val="single"/>
        </w:rPr>
      </w:pPr>
      <w:r w:rsidRPr="006710A7">
        <w:rPr>
          <w:rFonts w:ascii="Cambria" w:hAnsi="Cambria" w:eastAsia="Calibri"/>
          <w:szCs w:val="22"/>
        </w:rPr>
        <w:t xml:space="preserve">4. </w:t>
      </w:r>
      <w:r w:rsidRPr="006710A7">
        <w:rPr>
          <w:rFonts w:ascii="Cambria" w:hAnsi="Cambria" w:eastAsia="Calibri"/>
          <w:szCs w:val="22"/>
        </w:rPr>
        <w:tab/>
      </w:r>
      <w:r w:rsidRPr="006710A7">
        <w:rPr>
          <w:rFonts w:ascii="Cambria" w:hAnsi="Cambria" w:eastAsia="Calibri"/>
          <w:szCs w:val="22"/>
          <w:u w:val="single"/>
        </w:rPr>
        <w:t>Non-duplication</w:t>
      </w:r>
    </w:p>
    <w:p w:rsidRPr="006710A7" w:rsidR="006710A7" w:rsidP="00080024" w:rsidRDefault="006710A7" w14:paraId="26E53343" w14:textId="77777777">
      <w:pPr>
        <w:rPr>
          <w:rFonts w:ascii="Cambria" w:hAnsi="Cambria" w:eastAsia="Calibri"/>
          <w:i/>
          <w:szCs w:val="22"/>
        </w:rPr>
      </w:pPr>
      <w:r w:rsidRPr="006710A7">
        <w:rPr>
          <w:rFonts w:ascii="Cambria" w:hAnsi="Cambria" w:eastAsia="Calibri"/>
          <w:szCs w:val="22"/>
        </w:rPr>
        <w:t xml:space="preserve">The information obtained through this collection is unique and is not already available for use or adaptation from another cleared source. </w:t>
      </w:r>
    </w:p>
    <w:p w:rsidRPr="006710A7" w:rsidR="006710A7" w:rsidP="006710A7" w:rsidRDefault="006710A7" w14:paraId="41EC4E7B" w14:textId="77777777">
      <w:pPr>
        <w:rPr>
          <w:rFonts w:ascii="Cambria" w:hAnsi="Cambria" w:eastAsia="Calibri"/>
          <w:i/>
          <w:szCs w:val="22"/>
        </w:rPr>
      </w:pPr>
    </w:p>
    <w:p w:rsidRPr="006710A7" w:rsidR="006710A7" w:rsidP="006710A7" w:rsidRDefault="006710A7" w14:paraId="218BA6EB" w14:textId="77777777">
      <w:pPr>
        <w:rPr>
          <w:rFonts w:ascii="Cambria" w:hAnsi="Cambria" w:eastAsia="Calibri"/>
          <w:szCs w:val="22"/>
        </w:rPr>
      </w:pPr>
      <w:r w:rsidRPr="006710A7">
        <w:rPr>
          <w:rFonts w:ascii="Cambria" w:hAnsi="Cambria" w:eastAsia="Calibri"/>
          <w:szCs w:val="22"/>
        </w:rPr>
        <w:t xml:space="preserve">5. </w:t>
      </w:r>
      <w:r w:rsidRPr="006710A7">
        <w:rPr>
          <w:rFonts w:ascii="Cambria" w:hAnsi="Cambria" w:eastAsia="Calibri"/>
          <w:szCs w:val="22"/>
        </w:rPr>
        <w:tab/>
      </w:r>
      <w:r w:rsidRPr="006710A7">
        <w:rPr>
          <w:rFonts w:ascii="Cambria" w:hAnsi="Cambria" w:eastAsia="Calibri"/>
          <w:szCs w:val="22"/>
          <w:u w:val="single"/>
        </w:rPr>
        <w:t>Burden on Small Businesses</w:t>
      </w:r>
      <w:r w:rsidRPr="006710A7">
        <w:rPr>
          <w:rFonts w:ascii="Cambria" w:hAnsi="Cambria" w:eastAsia="Calibri"/>
          <w:szCs w:val="22"/>
        </w:rPr>
        <w:t xml:space="preserve"> </w:t>
      </w:r>
    </w:p>
    <w:p w:rsidRPr="006710A7" w:rsidR="006710A7" w:rsidP="00080024" w:rsidRDefault="006710A7" w14:paraId="058F3DDF" w14:textId="77777777">
      <w:pPr>
        <w:rPr>
          <w:rFonts w:ascii="Cambria" w:hAnsi="Cambria" w:eastAsia="Calibri"/>
          <w:i/>
          <w:szCs w:val="22"/>
        </w:rPr>
      </w:pPr>
      <w:r w:rsidRPr="006710A7">
        <w:rPr>
          <w:rFonts w:ascii="Cambria" w:hAnsi="Cambria" w:eastAsia="Calibri"/>
          <w:szCs w:val="22"/>
        </w:rPr>
        <w:t xml:space="preserve">The procedures for small businesses and other small entities are the same as for other grantees. Interim progress reporting of </w:t>
      </w:r>
      <w:r w:rsidR="00C23F64">
        <w:rPr>
          <w:rFonts w:ascii="Cambria" w:hAnsi="Cambria" w:eastAsia="Calibri"/>
          <w:szCs w:val="22"/>
        </w:rPr>
        <w:t>Small Business Innovation Research/Small Business Technology Transfer(</w:t>
      </w:r>
      <w:r w:rsidRPr="006710A7">
        <w:rPr>
          <w:rFonts w:ascii="Cambria" w:hAnsi="Cambria" w:eastAsia="Calibri"/>
          <w:szCs w:val="22"/>
        </w:rPr>
        <w:t>SBIR/STTR</w:t>
      </w:r>
      <w:r w:rsidR="00C23F64">
        <w:rPr>
          <w:rFonts w:ascii="Cambria" w:hAnsi="Cambria" w:eastAsia="Calibri"/>
          <w:szCs w:val="22"/>
        </w:rPr>
        <w:t>)</w:t>
      </w:r>
      <w:r w:rsidRPr="006710A7">
        <w:rPr>
          <w:rFonts w:ascii="Cambria" w:hAnsi="Cambria" w:eastAsia="Calibri"/>
          <w:szCs w:val="22"/>
        </w:rPr>
        <w:t xml:space="preserve"> awards will transition to the RPPR with minor adjustments as appropriate. A SBIR/STTR Phase II Final Progress Report format is </w:t>
      </w:r>
      <w:r w:rsidRPr="006710A7">
        <w:rPr>
          <w:rFonts w:ascii="Cambria" w:hAnsi="Cambria" w:eastAsia="Calibri"/>
          <w:szCs w:val="22"/>
        </w:rPr>
        <w:lastRenderedPageBreak/>
        <w:t>provided to facilitate DoD reporting to Congress and the Small Business Administration (SBA) on the commercialization activities of DoD SBIR/STR awards. As such, this information collection does not impose a significant economic impact on a substantial number of small businesses or entities.</w:t>
      </w:r>
    </w:p>
    <w:p w:rsidRPr="006710A7" w:rsidR="006710A7" w:rsidP="006710A7" w:rsidRDefault="006710A7" w14:paraId="634545D6" w14:textId="77777777">
      <w:pPr>
        <w:rPr>
          <w:rFonts w:ascii="Cambria" w:hAnsi="Cambria" w:eastAsia="Calibri"/>
          <w:i/>
          <w:szCs w:val="22"/>
        </w:rPr>
      </w:pPr>
    </w:p>
    <w:p w:rsidRPr="006710A7" w:rsidR="006710A7" w:rsidP="006710A7" w:rsidRDefault="006710A7" w14:paraId="73951AED" w14:textId="77777777">
      <w:pPr>
        <w:rPr>
          <w:rFonts w:ascii="Cambria" w:hAnsi="Cambria" w:eastAsia="Calibri"/>
          <w:szCs w:val="22"/>
          <w:u w:val="single"/>
        </w:rPr>
      </w:pPr>
      <w:r w:rsidRPr="006710A7">
        <w:rPr>
          <w:rFonts w:ascii="Cambria" w:hAnsi="Cambria" w:eastAsia="Calibri"/>
          <w:szCs w:val="22"/>
        </w:rPr>
        <w:t>6.</w:t>
      </w:r>
      <w:r w:rsidRPr="006710A7">
        <w:rPr>
          <w:rFonts w:ascii="Cambria" w:hAnsi="Cambria" w:eastAsia="Calibri"/>
          <w:szCs w:val="22"/>
        </w:rPr>
        <w:tab/>
        <w:t xml:space="preserve"> </w:t>
      </w:r>
      <w:r w:rsidRPr="006710A7">
        <w:rPr>
          <w:rFonts w:ascii="Cambria" w:hAnsi="Cambria" w:eastAsia="Calibri"/>
          <w:szCs w:val="22"/>
          <w:u w:val="single"/>
        </w:rPr>
        <w:t>Less Frequent Collection</w:t>
      </w:r>
    </w:p>
    <w:p w:rsidRPr="006710A7" w:rsidR="006710A7" w:rsidP="00080024" w:rsidRDefault="006710A7" w14:paraId="3A36DD6D" w14:textId="77777777">
      <w:pPr>
        <w:rPr>
          <w:rFonts w:ascii="Cambria" w:hAnsi="Cambria" w:eastAsia="Calibri"/>
          <w:i/>
          <w:szCs w:val="22"/>
        </w:rPr>
      </w:pPr>
      <w:r w:rsidRPr="006710A7">
        <w:rPr>
          <w:rFonts w:ascii="Cambria" w:hAnsi="Cambria" w:eastAsia="Calibri"/>
          <w:szCs w:val="22"/>
        </w:rPr>
        <w:t xml:space="preserve">Information in the RPPR is collected at crucial points in the post-award process. Interim progress reporting is required in frequencies specified by each DoD component to fund subsequent budget periods and to document payback activities in accordance with legislatively mandated timelines. Close-out documents are required by agencies within 90 days of the end of a project. Thus, it is not possible to collect this information less frequently. </w:t>
      </w:r>
    </w:p>
    <w:p w:rsidRPr="006710A7" w:rsidR="006710A7" w:rsidP="006710A7" w:rsidRDefault="006710A7" w14:paraId="65D964A7" w14:textId="77777777">
      <w:pPr>
        <w:rPr>
          <w:rFonts w:ascii="Cambria" w:hAnsi="Cambria" w:eastAsia="Calibri"/>
          <w:i/>
          <w:szCs w:val="22"/>
        </w:rPr>
      </w:pPr>
    </w:p>
    <w:p w:rsidRPr="006710A7" w:rsidR="006710A7" w:rsidP="006710A7" w:rsidRDefault="006710A7" w14:paraId="5FF75480" w14:textId="77777777">
      <w:pPr>
        <w:rPr>
          <w:rFonts w:ascii="Cambria" w:hAnsi="Cambria" w:eastAsia="Calibri"/>
          <w:szCs w:val="22"/>
          <w:u w:val="single"/>
        </w:rPr>
      </w:pPr>
      <w:r w:rsidRPr="00080024">
        <w:rPr>
          <w:rFonts w:ascii="Cambria" w:hAnsi="Cambria" w:eastAsia="Calibri"/>
          <w:szCs w:val="22"/>
        </w:rPr>
        <w:t>7.</w:t>
      </w:r>
      <w:r w:rsidRPr="006710A7">
        <w:rPr>
          <w:rFonts w:ascii="Cambria" w:hAnsi="Cambria" w:eastAsia="Calibri"/>
          <w:i/>
          <w:szCs w:val="22"/>
        </w:rPr>
        <w:t xml:space="preserve"> </w:t>
      </w:r>
      <w:r w:rsidRPr="006710A7">
        <w:rPr>
          <w:rFonts w:ascii="Cambria" w:hAnsi="Cambria" w:eastAsia="Calibri"/>
          <w:i/>
          <w:szCs w:val="22"/>
        </w:rPr>
        <w:tab/>
      </w:r>
      <w:r w:rsidRPr="006710A7">
        <w:rPr>
          <w:rFonts w:ascii="Cambria" w:hAnsi="Cambria" w:eastAsia="Calibri"/>
          <w:szCs w:val="22"/>
          <w:u w:val="single"/>
        </w:rPr>
        <w:t>Paperwork Reduction Act Guidelines</w:t>
      </w:r>
    </w:p>
    <w:p w:rsidRPr="006710A7" w:rsidR="006710A7" w:rsidP="006710A7" w:rsidRDefault="006710A7" w14:paraId="2E7199AD" w14:textId="77777777">
      <w:pPr>
        <w:rPr>
          <w:rFonts w:ascii="Cambria" w:hAnsi="Cambria" w:eastAsia="Calibri"/>
          <w:szCs w:val="22"/>
        </w:rPr>
      </w:pPr>
      <w:r w:rsidRPr="006710A7">
        <w:rPr>
          <w:rFonts w:ascii="Cambria" w:hAnsi="Cambria" w:eastAsia="Calibri"/>
          <w:szCs w:val="22"/>
        </w:rPr>
        <w:t>This collection of information does not require collection to be conducted in a manner inconsistent with the guidelines delineated in 5 CFR 1320.5(d)(2).</w:t>
      </w:r>
    </w:p>
    <w:p w:rsidRPr="006710A7" w:rsidR="006710A7" w:rsidP="006710A7" w:rsidRDefault="006710A7" w14:paraId="57216042" w14:textId="77777777">
      <w:pPr>
        <w:spacing w:before="100" w:beforeAutospacing="1" w:after="100" w:afterAutospacing="1" w:line="288" w:lineRule="atLeast"/>
        <w:rPr>
          <w:rFonts w:ascii="Cambria" w:hAnsi="Cambria" w:eastAsia="Calibri"/>
          <w:szCs w:val="22"/>
          <w:u w:val="single"/>
        </w:rPr>
      </w:pPr>
      <w:r w:rsidRPr="006710A7">
        <w:rPr>
          <w:rFonts w:ascii="Cambria" w:hAnsi="Cambria" w:eastAsia="Calibri"/>
          <w:szCs w:val="22"/>
        </w:rPr>
        <w:t xml:space="preserve">8. </w:t>
      </w:r>
      <w:r w:rsidRPr="006710A7">
        <w:rPr>
          <w:rFonts w:ascii="Cambria" w:hAnsi="Cambria" w:eastAsia="Calibri"/>
          <w:szCs w:val="22"/>
        </w:rPr>
        <w:tab/>
      </w:r>
      <w:r w:rsidRPr="006710A7">
        <w:rPr>
          <w:rFonts w:ascii="Cambria" w:hAnsi="Cambria" w:eastAsia="Calibri"/>
          <w:szCs w:val="22"/>
          <w:u w:val="single"/>
        </w:rPr>
        <w:t>Consultation and Public Comments</w:t>
      </w:r>
    </w:p>
    <w:p w:rsidRPr="006710A7" w:rsidR="006710A7" w:rsidP="00080024" w:rsidRDefault="006710A7" w14:paraId="367698B9" w14:textId="77777777">
      <w:pPr>
        <w:spacing w:before="100" w:beforeAutospacing="1" w:after="100" w:afterAutospacing="1" w:line="288" w:lineRule="atLeast"/>
        <w:rPr>
          <w:rFonts w:ascii="Cambria" w:hAnsi="Cambria" w:eastAsia="Calibri"/>
          <w:szCs w:val="22"/>
        </w:rPr>
      </w:pPr>
      <w:r w:rsidRPr="006710A7">
        <w:rPr>
          <w:rFonts w:ascii="Cambria" w:hAnsi="Cambria" w:eastAsia="Calibri"/>
          <w:szCs w:val="22"/>
        </w:rPr>
        <w:t>Part A: PUBLIC NOTICE</w:t>
      </w:r>
    </w:p>
    <w:p w:rsidRPr="00080024" w:rsidR="00080024" w:rsidP="00080024" w:rsidRDefault="00080024" w14:paraId="7ECDB563" w14:textId="77777777">
      <w:pPr>
        <w:spacing w:before="100" w:beforeAutospacing="1" w:after="100" w:afterAutospacing="1" w:line="288" w:lineRule="atLeast"/>
        <w:rPr>
          <w:rFonts w:ascii="Cambria" w:hAnsi="Cambria" w:eastAsia="Calibri"/>
          <w:szCs w:val="22"/>
        </w:rPr>
      </w:pPr>
      <w:r w:rsidRPr="00080024">
        <w:rPr>
          <w:rFonts w:ascii="Cambria" w:hAnsi="Cambria" w:eastAsia="Calibri"/>
          <w:szCs w:val="22"/>
        </w:rPr>
        <w:t xml:space="preserve">A 60-Day Federal Register Notice (FRN) for the collection published on </w:t>
      </w:r>
      <w:r>
        <w:rPr>
          <w:rFonts w:ascii="Cambria" w:hAnsi="Cambria" w:eastAsia="Calibri"/>
          <w:szCs w:val="22"/>
        </w:rPr>
        <w:t>Wednesday, February 23, 2022</w:t>
      </w:r>
      <w:r w:rsidRPr="00080024">
        <w:rPr>
          <w:rFonts w:ascii="Cambria" w:hAnsi="Cambria" w:eastAsia="Calibri"/>
          <w:szCs w:val="22"/>
        </w:rPr>
        <w:t xml:space="preserve">.  The 60-Day FRN citation is 87 FR 10178. </w:t>
      </w:r>
    </w:p>
    <w:p w:rsidRPr="00080024" w:rsidR="00080024" w:rsidP="00080024" w:rsidRDefault="00080024" w14:paraId="34B4A268" w14:textId="289E6912">
      <w:pPr>
        <w:spacing w:before="100" w:beforeAutospacing="1" w:after="100" w:afterAutospacing="1" w:line="288" w:lineRule="atLeast"/>
        <w:rPr>
          <w:rFonts w:ascii="Cambria" w:hAnsi="Cambria" w:eastAsia="Calibri"/>
          <w:szCs w:val="22"/>
        </w:rPr>
      </w:pPr>
      <w:r w:rsidRPr="00F4701B">
        <w:rPr>
          <w:rFonts w:ascii="Cambria" w:hAnsi="Cambria" w:eastAsia="Calibri"/>
          <w:szCs w:val="22"/>
        </w:rPr>
        <w:t>No comments were received during the 60-Day Comment Period.</w:t>
      </w:r>
      <w:r w:rsidRPr="00080024">
        <w:rPr>
          <w:rFonts w:ascii="Cambria" w:hAnsi="Cambria" w:eastAsia="Calibri"/>
          <w:szCs w:val="22"/>
        </w:rPr>
        <w:t xml:space="preserve"> </w:t>
      </w:r>
    </w:p>
    <w:p w:rsidRPr="00F4701B" w:rsidR="008547ED" w:rsidP="00080024" w:rsidRDefault="00080024" w14:paraId="4893E81B" w14:textId="038A54C2">
      <w:pPr>
        <w:spacing w:before="100" w:beforeAutospacing="1" w:line="288" w:lineRule="atLeast"/>
        <w:rPr>
          <w:rFonts w:ascii="Cambria" w:hAnsi="Cambria" w:eastAsia="Calibri"/>
          <w:sz w:val="28"/>
          <w:szCs w:val="22"/>
        </w:rPr>
      </w:pPr>
      <w:r w:rsidRPr="00F4701B">
        <w:rPr>
          <w:rFonts w:ascii="Cambria" w:hAnsi="Cambria" w:eastAsia="Calibri"/>
          <w:szCs w:val="22"/>
        </w:rPr>
        <w:t xml:space="preserve">A 30-Day Federal Register Notice for the collection published on </w:t>
      </w:r>
      <w:r w:rsidRPr="00F4701B" w:rsidR="00F4701B">
        <w:rPr>
          <w:rFonts w:ascii="Cambria" w:hAnsi="Cambria" w:eastAsia="Calibri"/>
          <w:szCs w:val="22"/>
        </w:rPr>
        <w:t>Monday, April 25, 2022</w:t>
      </w:r>
      <w:r w:rsidRPr="00F4701B">
        <w:rPr>
          <w:rFonts w:ascii="Cambria" w:hAnsi="Cambria" w:eastAsia="Calibri"/>
          <w:szCs w:val="22"/>
        </w:rPr>
        <w:t xml:space="preserve">.  The 30-Day FRN citation is </w:t>
      </w:r>
      <w:r w:rsidRPr="00EC72FA" w:rsidR="00EC72FA">
        <w:rPr>
          <w:rFonts w:ascii="Cambria" w:hAnsi="Cambria" w:eastAsia="Calibri"/>
          <w:szCs w:val="22"/>
        </w:rPr>
        <w:t>87 FR 24286</w:t>
      </w:r>
      <w:r w:rsidRPr="00F4701B">
        <w:rPr>
          <w:rFonts w:ascii="Cambria" w:hAnsi="Cambria" w:eastAsia="Calibri"/>
          <w:szCs w:val="22"/>
        </w:rPr>
        <w:t>.</w:t>
      </w:r>
    </w:p>
    <w:p w:rsidRPr="006710A7" w:rsidR="006710A7" w:rsidP="00080024" w:rsidRDefault="006710A7" w14:paraId="6D3C2FBE" w14:textId="77777777">
      <w:pPr>
        <w:spacing w:before="100" w:beforeAutospacing="1" w:after="100" w:afterAutospacing="1" w:line="288" w:lineRule="atLeast"/>
        <w:rPr>
          <w:rFonts w:ascii="Cambria" w:hAnsi="Cambria" w:eastAsia="Calibri"/>
          <w:szCs w:val="22"/>
        </w:rPr>
      </w:pPr>
      <w:r w:rsidRPr="006710A7">
        <w:rPr>
          <w:rFonts w:ascii="Cambria" w:hAnsi="Cambria" w:eastAsia="Calibri"/>
          <w:szCs w:val="22"/>
        </w:rPr>
        <w:t>Part B: CONSULTATION</w:t>
      </w:r>
      <w:bookmarkStart w:name="_GoBack" w:id="0"/>
      <w:bookmarkEnd w:id="0"/>
    </w:p>
    <w:p w:rsidRPr="006710A7" w:rsidR="006710A7" w:rsidP="00080024" w:rsidRDefault="006710A7" w14:paraId="3900875B" w14:textId="77777777">
      <w:pPr>
        <w:spacing w:after="100" w:afterAutospacing="1" w:line="288" w:lineRule="atLeast"/>
        <w:rPr>
          <w:rFonts w:ascii="Cambria" w:hAnsi="Cambria" w:eastAsia="Calibri"/>
          <w:szCs w:val="22"/>
        </w:rPr>
      </w:pPr>
      <w:r w:rsidRPr="006710A7">
        <w:rPr>
          <w:rFonts w:ascii="Cambria" w:hAnsi="Cambria" w:eastAsia="Calibri"/>
          <w:szCs w:val="22"/>
        </w:rPr>
        <w:t xml:space="preserve">No additional consultation apart from soliciting public comments </w:t>
      </w:r>
      <w:r w:rsidRPr="00080024" w:rsidR="00080024">
        <w:rPr>
          <w:rFonts w:ascii="Cambria" w:hAnsi="Cambria" w:eastAsia="Calibri"/>
          <w:szCs w:val="22"/>
        </w:rPr>
        <w:t>through the Federal Register wa</w:t>
      </w:r>
      <w:r w:rsidR="00080024">
        <w:rPr>
          <w:rFonts w:ascii="Cambria" w:hAnsi="Cambria" w:eastAsia="Calibri"/>
          <w:szCs w:val="22"/>
        </w:rPr>
        <w:t>s conducted for this submission</w:t>
      </w:r>
      <w:r w:rsidRPr="006710A7">
        <w:rPr>
          <w:rFonts w:ascii="Cambria" w:hAnsi="Cambria" w:eastAsia="Calibri"/>
          <w:szCs w:val="22"/>
        </w:rPr>
        <w:t xml:space="preserve">. </w:t>
      </w:r>
    </w:p>
    <w:p w:rsidRPr="006710A7" w:rsidR="006710A7" w:rsidP="006710A7" w:rsidRDefault="006710A7" w14:paraId="6455874C" w14:textId="77777777">
      <w:pPr>
        <w:rPr>
          <w:rFonts w:ascii="Cambria" w:hAnsi="Cambria" w:eastAsia="Calibri"/>
          <w:szCs w:val="22"/>
          <w:u w:val="single"/>
        </w:rPr>
      </w:pPr>
      <w:r w:rsidRPr="006710A7">
        <w:rPr>
          <w:rFonts w:ascii="Cambria" w:hAnsi="Cambria" w:eastAsia="Calibri"/>
          <w:szCs w:val="22"/>
        </w:rPr>
        <w:t xml:space="preserve">9. </w:t>
      </w:r>
      <w:r w:rsidRPr="006710A7">
        <w:rPr>
          <w:rFonts w:ascii="Cambria" w:hAnsi="Cambria" w:eastAsia="Calibri"/>
          <w:szCs w:val="22"/>
        </w:rPr>
        <w:tab/>
      </w:r>
      <w:r w:rsidRPr="006710A7">
        <w:rPr>
          <w:rFonts w:ascii="Cambria" w:hAnsi="Cambria" w:eastAsia="Calibri"/>
          <w:szCs w:val="22"/>
          <w:u w:val="single"/>
        </w:rPr>
        <w:t>Gifts or Payment</w:t>
      </w:r>
    </w:p>
    <w:p w:rsidRPr="006710A7" w:rsidR="006710A7" w:rsidP="00080024" w:rsidRDefault="006710A7" w14:paraId="40345543" w14:textId="77777777">
      <w:pPr>
        <w:rPr>
          <w:rFonts w:ascii="Cambria" w:hAnsi="Cambria" w:eastAsia="Calibri"/>
          <w:i/>
          <w:szCs w:val="22"/>
        </w:rPr>
      </w:pPr>
      <w:r w:rsidRPr="006710A7">
        <w:rPr>
          <w:rFonts w:ascii="Cambria" w:hAnsi="Cambria" w:eastAsia="Calibri"/>
          <w:szCs w:val="22"/>
        </w:rPr>
        <w:t>No payments or gifts are being offered to respondents as an incentive to participate in the collection.</w:t>
      </w:r>
      <w:r w:rsidRPr="006710A7">
        <w:rPr>
          <w:rFonts w:ascii="Cambria" w:hAnsi="Cambria" w:eastAsia="Calibri"/>
          <w:i/>
          <w:szCs w:val="22"/>
        </w:rPr>
        <w:t xml:space="preserve"> </w:t>
      </w:r>
    </w:p>
    <w:p w:rsidRPr="006710A7" w:rsidR="006710A7" w:rsidP="006710A7" w:rsidRDefault="006710A7" w14:paraId="32B7BF56" w14:textId="77777777">
      <w:pPr>
        <w:rPr>
          <w:rFonts w:ascii="Cambria" w:hAnsi="Cambria" w:eastAsia="Calibri"/>
          <w:szCs w:val="22"/>
        </w:rPr>
      </w:pPr>
    </w:p>
    <w:p w:rsidRPr="006710A7" w:rsidR="006710A7" w:rsidP="006710A7" w:rsidRDefault="006710A7" w14:paraId="4E341178" w14:textId="77777777">
      <w:pPr>
        <w:rPr>
          <w:rFonts w:ascii="Cambria" w:hAnsi="Cambria" w:eastAsia="Calibri"/>
          <w:szCs w:val="22"/>
          <w:u w:val="single"/>
        </w:rPr>
      </w:pPr>
      <w:r w:rsidRPr="006710A7">
        <w:rPr>
          <w:rFonts w:ascii="Cambria" w:hAnsi="Cambria" w:eastAsia="Calibri"/>
          <w:szCs w:val="22"/>
        </w:rPr>
        <w:t xml:space="preserve">10. </w:t>
      </w:r>
      <w:r w:rsidRPr="006710A7">
        <w:rPr>
          <w:rFonts w:ascii="Cambria" w:hAnsi="Cambria" w:eastAsia="Calibri"/>
          <w:szCs w:val="22"/>
        </w:rPr>
        <w:tab/>
      </w:r>
      <w:r w:rsidRPr="006710A7">
        <w:rPr>
          <w:rFonts w:ascii="Cambria" w:hAnsi="Cambria" w:eastAsia="Calibri"/>
          <w:szCs w:val="22"/>
          <w:u w:val="single"/>
        </w:rPr>
        <w:t>Confidentiality</w:t>
      </w:r>
    </w:p>
    <w:p w:rsidRPr="008A5DAD" w:rsidR="006710A7" w:rsidP="00080024" w:rsidRDefault="006710A7" w14:paraId="3E8F1085" w14:textId="77777777">
      <w:pPr>
        <w:rPr>
          <w:rFonts w:ascii="Cambria" w:hAnsi="Cambria" w:eastAsia="Calibri"/>
          <w:szCs w:val="22"/>
        </w:rPr>
      </w:pPr>
      <w:r w:rsidRPr="008A5DAD">
        <w:rPr>
          <w:rFonts w:ascii="Cambria" w:hAnsi="Cambria" w:eastAsia="Calibri"/>
          <w:szCs w:val="22"/>
        </w:rPr>
        <w:t xml:space="preserve">A Privacy Act Statement is not required for this collection because we are not requesting individuals to furnish personal information for a system of records. </w:t>
      </w:r>
    </w:p>
    <w:p w:rsidRPr="008A5DAD" w:rsidR="00080024" w:rsidP="00080024" w:rsidRDefault="00080024" w14:paraId="117995B0" w14:textId="77777777">
      <w:pPr>
        <w:rPr>
          <w:rFonts w:ascii="Cambria" w:hAnsi="Cambria" w:eastAsia="Calibri"/>
          <w:szCs w:val="22"/>
        </w:rPr>
      </w:pPr>
    </w:p>
    <w:p w:rsidRPr="008A5DAD" w:rsidR="006710A7" w:rsidP="00080024" w:rsidRDefault="006710A7" w14:paraId="00702C7A" w14:textId="77777777">
      <w:pPr>
        <w:rPr>
          <w:rFonts w:ascii="Cambria" w:hAnsi="Cambria" w:eastAsia="Calibri"/>
          <w:szCs w:val="22"/>
        </w:rPr>
      </w:pPr>
      <w:r w:rsidRPr="008A5DAD">
        <w:rPr>
          <w:rFonts w:ascii="Cambria" w:hAnsi="Cambria" w:eastAsia="Calibri"/>
          <w:szCs w:val="22"/>
        </w:rPr>
        <w:t xml:space="preserve">A System of Record Notice (SORN) is not required for this collection because records are not retrievable by PII. </w:t>
      </w:r>
    </w:p>
    <w:p w:rsidRPr="008A5DAD" w:rsidR="00080024" w:rsidP="00080024" w:rsidRDefault="00080024" w14:paraId="6A66E5E3" w14:textId="77777777">
      <w:pPr>
        <w:rPr>
          <w:rFonts w:ascii="Cambria" w:hAnsi="Cambria" w:eastAsia="Calibri"/>
          <w:szCs w:val="22"/>
        </w:rPr>
      </w:pPr>
    </w:p>
    <w:p w:rsidRPr="008A5DAD" w:rsidR="006710A7" w:rsidP="00080024" w:rsidRDefault="006710A7" w14:paraId="088E1DB2" w14:textId="77777777">
      <w:pPr>
        <w:rPr>
          <w:rFonts w:ascii="Cambria" w:hAnsi="Cambria" w:eastAsia="Calibri"/>
          <w:szCs w:val="22"/>
        </w:rPr>
      </w:pPr>
      <w:r w:rsidRPr="008A5DAD">
        <w:rPr>
          <w:rFonts w:ascii="Cambria" w:hAnsi="Cambria" w:eastAsia="Calibri"/>
          <w:szCs w:val="22"/>
        </w:rPr>
        <w:lastRenderedPageBreak/>
        <w:t xml:space="preserve">A Privacy Impact Assessment (PIA) is not required for this collection because PII is not being collected electronically. </w:t>
      </w:r>
    </w:p>
    <w:p w:rsidRPr="008A5DAD" w:rsidR="00080024" w:rsidP="00080024" w:rsidRDefault="00080024" w14:paraId="4F15E7A4" w14:textId="77777777">
      <w:pPr>
        <w:rPr>
          <w:rFonts w:ascii="Cambria" w:hAnsi="Cambria" w:eastAsia="Calibri"/>
          <w:szCs w:val="22"/>
        </w:rPr>
      </w:pPr>
    </w:p>
    <w:p w:rsidRPr="008A5DAD" w:rsidR="00802850" w:rsidP="00080024" w:rsidRDefault="00802850" w14:paraId="16645E57" w14:textId="77777777">
      <w:pPr>
        <w:rPr>
          <w:rFonts w:ascii="Cambria" w:hAnsi="Cambria" w:eastAsia="Calibri"/>
          <w:szCs w:val="22"/>
        </w:rPr>
      </w:pPr>
      <w:r w:rsidRPr="008A5DAD">
        <w:rPr>
          <w:rFonts w:ascii="Cambria" w:hAnsi="Cambria" w:eastAsia="Calibri"/>
          <w:szCs w:val="22"/>
        </w:rPr>
        <w:t>Records will be kept in accordance with 2 CFR 200, Uniform Administration Requirements</w:t>
      </w:r>
      <w:r w:rsidRPr="008A5DAD" w:rsidR="003939A5">
        <w:rPr>
          <w:rFonts w:ascii="Cambria" w:hAnsi="Cambria" w:eastAsia="Calibri"/>
          <w:szCs w:val="22"/>
        </w:rPr>
        <w:t>, Cost Principles, and Audit Requirements for Federal Awards, as implemented by the Department of Defense.</w:t>
      </w:r>
      <w:r w:rsidRPr="008A5DAD" w:rsidR="00261CAC">
        <w:rPr>
          <w:rFonts w:ascii="Cambria" w:hAnsi="Cambria" w:eastAsia="Calibri"/>
          <w:szCs w:val="22"/>
        </w:rPr>
        <w:t xml:space="preserve"> The retention schedule will vary in accordance with the regulation depending on the type of activity, construction or non-construction, and final disposition, such as litigation concerns.</w:t>
      </w:r>
    </w:p>
    <w:p w:rsidRPr="008A5DAD" w:rsidR="006710A7" w:rsidP="006710A7" w:rsidRDefault="006710A7" w14:paraId="2383E854" w14:textId="77777777">
      <w:pPr>
        <w:rPr>
          <w:rFonts w:ascii="Cambria" w:hAnsi="Cambria" w:eastAsia="Calibri"/>
          <w:i/>
          <w:szCs w:val="22"/>
        </w:rPr>
      </w:pPr>
    </w:p>
    <w:p w:rsidRPr="008A5DAD" w:rsidR="006710A7" w:rsidP="006710A7" w:rsidRDefault="006710A7" w14:paraId="1674A540" w14:textId="77777777">
      <w:pPr>
        <w:rPr>
          <w:rFonts w:ascii="Cambria" w:hAnsi="Cambria" w:eastAsia="Calibri"/>
          <w:szCs w:val="22"/>
        </w:rPr>
      </w:pPr>
      <w:r w:rsidRPr="008A5DAD">
        <w:rPr>
          <w:rFonts w:ascii="Cambria" w:hAnsi="Cambria" w:eastAsia="Calibri"/>
          <w:szCs w:val="22"/>
        </w:rPr>
        <w:t xml:space="preserve">11. </w:t>
      </w:r>
      <w:r w:rsidRPr="008A5DAD">
        <w:rPr>
          <w:rFonts w:ascii="Cambria" w:hAnsi="Cambria" w:eastAsia="Calibri"/>
          <w:szCs w:val="22"/>
        </w:rPr>
        <w:tab/>
      </w:r>
      <w:r w:rsidRPr="008A5DAD">
        <w:rPr>
          <w:rFonts w:ascii="Cambria" w:hAnsi="Cambria" w:eastAsia="Calibri"/>
          <w:szCs w:val="22"/>
          <w:u w:val="single"/>
        </w:rPr>
        <w:t>Sensitive Questions</w:t>
      </w:r>
    </w:p>
    <w:p w:rsidRPr="008A5DAD" w:rsidR="006710A7" w:rsidP="00080024" w:rsidRDefault="006710A7" w14:paraId="13F44DB6" w14:textId="77777777">
      <w:pPr>
        <w:rPr>
          <w:rFonts w:ascii="Cambria" w:hAnsi="Cambria" w:eastAsia="Calibri"/>
          <w:szCs w:val="22"/>
        </w:rPr>
      </w:pPr>
      <w:r w:rsidRPr="008A5DAD">
        <w:rPr>
          <w:rFonts w:ascii="Cambria" w:hAnsi="Cambria" w:eastAsia="Calibri"/>
          <w:szCs w:val="22"/>
        </w:rPr>
        <w:t xml:space="preserve">No questions considered sensitive are being asked in this collection. </w:t>
      </w:r>
    </w:p>
    <w:p w:rsidRPr="008A5DAD" w:rsidR="006710A7" w:rsidP="006710A7" w:rsidRDefault="006710A7" w14:paraId="1E560135" w14:textId="77777777">
      <w:pPr>
        <w:rPr>
          <w:rFonts w:ascii="Cambria" w:hAnsi="Cambria" w:eastAsia="Calibri"/>
          <w:szCs w:val="22"/>
        </w:rPr>
      </w:pPr>
    </w:p>
    <w:p w:rsidRPr="008A5DAD" w:rsidR="006710A7" w:rsidP="006710A7" w:rsidRDefault="006710A7" w14:paraId="647909AC" w14:textId="77777777">
      <w:pPr>
        <w:rPr>
          <w:rFonts w:ascii="Cambria" w:hAnsi="Cambria" w:eastAsia="Calibri"/>
          <w:szCs w:val="22"/>
          <w:u w:val="single"/>
        </w:rPr>
      </w:pPr>
      <w:r w:rsidRPr="008A5DAD">
        <w:rPr>
          <w:rFonts w:ascii="Cambria" w:hAnsi="Cambria" w:eastAsia="Calibri"/>
          <w:szCs w:val="22"/>
        </w:rPr>
        <w:t xml:space="preserve">12. </w:t>
      </w:r>
      <w:r w:rsidRPr="008A5DAD">
        <w:rPr>
          <w:rFonts w:ascii="Cambria" w:hAnsi="Cambria" w:eastAsia="Calibri"/>
          <w:szCs w:val="22"/>
        </w:rPr>
        <w:tab/>
      </w:r>
      <w:r w:rsidRPr="008A5DAD">
        <w:rPr>
          <w:rFonts w:ascii="Cambria" w:hAnsi="Cambria" w:eastAsia="Calibri"/>
          <w:szCs w:val="22"/>
          <w:u w:val="single"/>
        </w:rPr>
        <w:t>Respondent Burden and its Labor Costs</w:t>
      </w:r>
    </w:p>
    <w:p w:rsidRPr="00080024" w:rsidR="00080024" w:rsidP="00080024" w:rsidRDefault="00080024" w14:paraId="1274E6E6" w14:textId="77777777">
      <w:pPr>
        <w:spacing w:before="100" w:beforeAutospacing="1" w:line="288" w:lineRule="atLeast"/>
        <w:rPr>
          <w:rFonts w:ascii="Cambria" w:hAnsi="Cambria" w:eastAsia="Calibri"/>
          <w:szCs w:val="22"/>
        </w:rPr>
      </w:pPr>
      <w:r w:rsidRPr="00080024">
        <w:rPr>
          <w:rFonts w:ascii="Cambria" w:hAnsi="Cambria" w:eastAsia="Calibri"/>
          <w:szCs w:val="22"/>
        </w:rPr>
        <w:t>Part A: ESTIMATION OF RESPONDENT BURDEN</w:t>
      </w:r>
    </w:p>
    <w:p w:rsidRPr="00080024" w:rsidR="00080024" w:rsidP="00080024" w:rsidRDefault="00080024" w14:paraId="29CAD01C" w14:textId="77777777">
      <w:pPr>
        <w:rPr>
          <w:rFonts w:ascii="Cambria" w:hAnsi="Cambria" w:eastAsia="Calibri"/>
          <w:i/>
          <w:szCs w:val="22"/>
        </w:rPr>
      </w:pPr>
    </w:p>
    <w:p w:rsidRPr="00080024" w:rsidR="00080024" w:rsidP="001025FA" w:rsidRDefault="00080024" w14:paraId="649E91BE" w14:textId="77777777">
      <w:pPr>
        <w:numPr>
          <w:ilvl w:val="0"/>
          <w:numId w:val="10"/>
        </w:numPr>
        <w:contextualSpacing/>
        <w:rPr>
          <w:rFonts w:ascii="Cambria" w:hAnsi="Cambria" w:eastAsia="Calibri"/>
          <w:szCs w:val="22"/>
        </w:rPr>
      </w:pPr>
      <w:r w:rsidRPr="00080024">
        <w:rPr>
          <w:rFonts w:ascii="Cambria" w:hAnsi="Cambria" w:eastAsia="Calibri"/>
          <w:szCs w:val="22"/>
        </w:rPr>
        <w:t>Collection Instrument(s)</w:t>
      </w:r>
    </w:p>
    <w:p w:rsidRPr="00080024" w:rsidR="00080024" w:rsidP="001025FA" w:rsidRDefault="008A5DAD" w14:paraId="324A227B" w14:textId="5EFF0B58">
      <w:pPr>
        <w:ind w:left="720"/>
        <w:contextualSpacing/>
        <w:rPr>
          <w:rFonts w:ascii="Cambria" w:hAnsi="Cambria" w:eastAsia="Calibri"/>
          <w:szCs w:val="22"/>
        </w:rPr>
      </w:pPr>
      <w:r w:rsidRPr="008A5DAD">
        <w:rPr>
          <w:rFonts w:ascii="Cambria" w:hAnsi="Cambria" w:eastAsia="Calibri"/>
          <w:szCs w:val="22"/>
        </w:rPr>
        <w:t xml:space="preserve">Research </w:t>
      </w:r>
      <w:r w:rsidR="006E14DF">
        <w:rPr>
          <w:rFonts w:ascii="Cambria" w:hAnsi="Cambria" w:eastAsia="Calibri"/>
          <w:szCs w:val="22"/>
        </w:rPr>
        <w:t>Performance</w:t>
      </w:r>
      <w:r w:rsidRPr="008A5DAD" w:rsidR="006E14DF">
        <w:rPr>
          <w:rFonts w:ascii="Cambria" w:hAnsi="Cambria" w:eastAsia="Calibri"/>
          <w:szCs w:val="22"/>
        </w:rPr>
        <w:t xml:space="preserve"> </w:t>
      </w:r>
      <w:r w:rsidRPr="008A5DAD">
        <w:rPr>
          <w:rFonts w:ascii="Cambria" w:hAnsi="Cambria" w:eastAsia="Calibri"/>
          <w:szCs w:val="22"/>
        </w:rPr>
        <w:t>Progress Report (RPPR)</w:t>
      </w:r>
      <w:r w:rsidRPr="00080024" w:rsidR="00080024">
        <w:rPr>
          <w:rFonts w:ascii="Cambria" w:hAnsi="Cambria" w:eastAsia="Calibri"/>
          <w:szCs w:val="22"/>
        </w:rPr>
        <w:t xml:space="preserve"> </w:t>
      </w:r>
    </w:p>
    <w:p w:rsidRPr="00080024" w:rsidR="00080024" w:rsidP="001025FA" w:rsidRDefault="00080024" w14:paraId="61199735" w14:textId="77777777">
      <w:pPr>
        <w:numPr>
          <w:ilvl w:val="0"/>
          <w:numId w:val="11"/>
        </w:numPr>
        <w:contextualSpacing/>
        <w:rPr>
          <w:rFonts w:ascii="Cambria" w:hAnsi="Cambria" w:eastAsia="Calibri"/>
          <w:szCs w:val="22"/>
        </w:rPr>
      </w:pPr>
      <w:r w:rsidRPr="00080024">
        <w:rPr>
          <w:rFonts w:ascii="Cambria" w:hAnsi="Cambria" w:eastAsia="Calibri"/>
          <w:szCs w:val="22"/>
        </w:rPr>
        <w:t xml:space="preserve">Number of Respondents: </w:t>
      </w:r>
      <w:r w:rsidRPr="008A5DAD" w:rsidR="001025FA">
        <w:rPr>
          <w:rFonts w:ascii="Cambria" w:hAnsi="Cambria" w:eastAsia="Calibri"/>
          <w:szCs w:val="22"/>
        </w:rPr>
        <w:t>2,000</w:t>
      </w:r>
    </w:p>
    <w:p w:rsidRPr="00080024" w:rsidR="00080024" w:rsidP="001025FA" w:rsidRDefault="00080024" w14:paraId="2DCAB3E2" w14:textId="77777777">
      <w:pPr>
        <w:numPr>
          <w:ilvl w:val="0"/>
          <w:numId w:val="11"/>
        </w:numPr>
        <w:contextualSpacing/>
        <w:rPr>
          <w:rFonts w:ascii="Cambria" w:hAnsi="Cambria" w:eastAsia="Calibri"/>
          <w:szCs w:val="22"/>
        </w:rPr>
      </w:pPr>
      <w:r w:rsidRPr="00080024">
        <w:rPr>
          <w:rFonts w:ascii="Cambria" w:hAnsi="Cambria" w:eastAsia="Calibri"/>
          <w:szCs w:val="22"/>
        </w:rPr>
        <w:t xml:space="preserve">Number of Responses Per Respondent: </w:t>
      </w:r>
      <w:r w:rsidRPr="008A5DAD" w:rsidR="001025FA">
        <w:rPr>
          <w:rFonts w:ascii="Cambria" w:hAnsi="Cambria" w:eastAsia="Calibri"/>
          <w:szCs w:val="22"/>
        </w:rPr>
        <w:t>2</w:t>
      </w:r>
    </w:p>
    <w:p w:rsidRPr="00080024" w:rsidR="00080024" w:rsidP="001025FA" w:rsidRDefault="00080024" w14:paraId="5463A098" w14:textId="77777777">
      <w:pPr>
        <w:numPr>
          <w:ilvl w:val="0"/>
          <w:numId w:val="11"/>
        </w:numPr>
        <w:contextualSpacing/>
        <w:rPr>
          <w:rFonts w:ascii="Cambria" w:hAnsi="Cambria" w:eastAsia="Calibri"/>
          <w:szCs w:val="22"/>
        </w:rPr>
      </w:pPr>
      <w:r w:rsidRPr="00080024">
        <w:rPr>
          <w:rFonts w:ascii="Cambria" w:hAnsi="Cambria" w:eastAsia="Calibri"/>
          <w:szCs w:val="22"/>
        </w:rPr>
        <w:t xml:space="preserve">Number of Total Annual Responses: </w:t>
      </w:r>
      <w:r w:rsidRPr="008A5DAD" w:rsidR="001025FA">
        <w:rPr>
          <w:rFonts w:ascii="Cambria" w:hAnsi="Cambria" w:eastAsia="Calibri"/>
          <w:szCs w:val="22"/>
        </w:rPr>
        <w:t>4,000</w:t>
      </w:r>
    </w:p>
    <w:p w:rsidRPr="00080024" w:rsidR="00080024" w:rsidP="001025FA" w:rsidRDefault="00080024" w14:paraId="0D14C99A" w14:textId="77777777">
      <w:pPr>
        <w:numPr>
          <w:ilvl w:val="0"/>
          <w:numId w:val="11"/>
        </w:numPr>
        <w:contextualSpacing/>
        <w:rPr>
          <w:rFonts w:ascii="Cambria" w:hAnsi="Cambria" w:eastAsia="Calibri"/>
          <w:szCs w:val="22"/>
        </w:rPr>
      </w:pPr>
      <w:r w:rsidRPr="00080024">
        <w:rPr>
          <w:rFonts w:ascii="Cambria" w:hAnsi="Cambria" w:eastAsia="Calibri"/>
          <w:szCs w:val="22"/>
        </w:rPr>
        <w:t xml:space="preserve">Response Time: </w:t>
      </w:r>
      <w:r w:rsidRPr="008A5DAD" w:rsidR="001025FA">
        <w:rPr>
          <w:rFonts w:ascii="Cambria" w:hAnsi="Cambria" w:eastAsia="Calibri"/>
          <w:szCs w:val="22"/>
        </w:rPr>
        <w:t>6 hours</w:t>
      </w:r>
    </w:p>
    <w:p w:rsidRPr="00080024" w:rsidR="00080024" w:rsidP="001025FA" w:rsidRDefault="00080024" w14:paraId="7186DF60" w14:textId="77777777">
      <w:pPr>
        <w:numPr>
          <w:ilvl w:val="0"/>
          <w:numId w:val="11"/>
        </w:numPr>
        <w:contextualSpacing/>
        <w:rPr>
          <w:rFonts w:ascii="Cambria" w:hAnsi="Cambria" w:eastAsia="Calibri"/>
          <w:szCs w:val="22"/>
        </w:rPr>
      </w:pPr>
      <w:r w:rsidRPr="00080024">
        <w:rPr>
          <w:rFonts w:ascii="Cambria" w:hAnsi="Cambria" w:eastAsia="Calibri"/>
          <w:szCs w:val="22"/>
        </w:rPr>
        <w:t xml:space="preserve">Respondent Burden Hours: </w:t>
      </w:r>
      <w:r w:rsidRPr="008A5DAD" w:rsidR="001025FA">
        <w:rPr>
          <w:rFonts w:ascii="Cambria" w:hAnsi="Cambria" w:eastAsia="Calibri"/>
          <w:szCs w:val="22"/>
        </w:rPr>
        <w:t>24,000</w:t>
      </w:r>
      <w:r w:rsidRPr="00080024">
        <w:rPr>
          <w:rFonts w:ascii="Cambria" w:hAnsi="Cambria" w:eastAsia="Calibri"/>
          <w:szCs w:val="22"/>
        </w:rPr>
        <w:t xml:space="preserve"> hours </w:t>
      </w:r>
    </w:p>
    <w:p w:rsidRPr="00080024" w:rsidR="00080024" w:rsidP="001025FA" w:rsidRDefault="00080024" w14:paraId="5E345C2F" w14:textId="77777777">
      <w:pPr>
        <w:ind w:left="1440"/>
        <w:contextualSpacing/>
        <w:rPr>
          <w:rFonts w:ascii="Cambria" w:hAnsi="Cambria" w:eastAsia="Calibri"/>
          <w:szCs w:val="22"/>
        </w:rPr>
      </w:pPr>
    </w:p>
    <w:p w:rsidRPr="00080024" w:rsidR="00080024" w:rsidP="001025FA" w:rsidRDefault="00080024" w14:paraId="19C17016" w14:textId="77777777">
      <w:pPr>
        <w:numPr>
          <w:ilvl w:val="0"/>
          <w:numId w:val="10"/>
        </w:numPr>
        <w:contextualSpacing/>
        <w:rPr>
          <w:rFonts w:ascii="Cambria" w:hAnsi="Cambria" w:eastAsia="Calibri"/>
          <w:szCs w:val="22"/>
        </w:rPr>
      </w:pPr>
      <w:r w:rsidRPr="00080024">
        <w:rPr>
          <w:rFonts w:ascii="Cambria" w:hAnsi="Cambria" w:eastAsia="Calibri"/>
          <w:szCs w:val="22"/>
        </w:rPr>
        <w:t xml:space="preserve">Total Submission Burden </w:t>
      </w:r>
    </w:p>
    <w:p w:rsidRPr="00080024" w:rsidR="00080024" w:rsidP="001025FA" w:rsidRDefault="00080024" w14:paraId="2CF5BCE2" w14:textId="77777777">
      <w:pPr>
        <w:numPr>
          <w:ilvl w:val="1"/>
          <w:numId w:val="10"/>
        </w:numPr>
        <w:contextualSpacing/>
        <w:rPr>
          <w:rFonts w:ascii="Cambria" w:hAnsi="Cambria" w:eastAsia="Calibri"/>
          <w:szCs w:val="22"/>
        </w:rPr>
      </w:pPr>
      <w:r w:rsidRPr="00080024">
        <w:rPr>
          <w:rFonts w:ascii="Cambria" w:hAnsi="Cambria" w:eastAsia="Calibri"/>
          <w:szCs w:val="22"/>
        </w:rPr>
        <w:t xml:space="preserve">Total Number of Respondents: </w:t>
      </w:r>
      <w:r w:rsidRPr="008A5DAD" w:rsidR="001025FA">
        <w:rPr>
          <w:rFonts w:ascii="Cambria" w:hAnsi="Cambria" w:eastAsia="Calibri"/>
          <w:szCs w:val="22"/>
        </w:rPr>
        <w:t>2,000</w:t>
      </w:r>
    </w:p>
    <w:p w:rsidRPr="00080024" w:rsidR="00080024" w:rsidP="001025FA" w:rsidRDefault="00080024" w14:paraId="6A5BE91D" w14:textId="77777777">
      <w:pPr>
        <w:numPr>
          <w:ilvl w:val="1"/>
          <w:numId w:val="10"/>
        </w:numPr>
        <w:contextualSpacing/>
        <w:rPr>
          <w:rFonts w:ascii="Cambria" w:hAnsi="Cambria" w:eastAsia="Calibri"/>
          <w:szCs w:val="22"/>
        </w:rPr>
      </w:pPr>
      <w:r w:rsidRPr="00080024">
        <w:rPr>
          <w:rFonts w:ascii="Cambria" w:hAnsi="Cambria" w:eastAsia="Calibri"/>
          <w:szCs w:val="22"/>
        </w:rPr>
        <w:t xml:space="preserve">Total Number of Annual Responses: </w:t>
      </w:r>
      <w:r w:rsidRPr="008A5DAD" w:rsidR="001025FA">
        <w:rPr>
          <w:rFonts w:ascii="Cambria" w:hAnsi="Cambria" w:eastAsia="Calibri"/>
          <w:szCs w:val="22"/>
        </w:rPr>
        <w:t>4,000</w:t>
      </w:r>
    </w:p>
    <w:p w:rsidRPr="00080024" w:rsidR="00080024" w:rsidP="001025FA" w:rsidRDefault="00080024" w14:paraId="630AF485" w14:textId="77777777">
      <w:pPr>
        <w:numPr>
          <w:ilvl w:val="1"/>
          <w:numId w:val="10"/>
        </w:numPr>
        <w:contextualSpacing/>
        <w:rPr>
          <w:rFonts w:ascii="Cambria" w:hAnsi="Cambria" w:eastAsia="Calibri"/>
          <w:szCs w:val="22"/>
        </w:rPr>
      </w:pPr>
      <w:r w:rsidRPr="00080024">
        <w:rPr>
          <w:rFonts w:ascii="Cambria" w:hAnsi="Cambria" w:eastAsia="Calibri"/>
          <w:szCs w:val="22"/>
        </w:rPr>
        <w:t xml:space="preserve">Total Respondent Burden Hours: </w:t>
      </w:r>
      <w:r w:rsidRPr="008A5DAD" w:rsidR="001025FA">
        <w:rPr>
          <w:rFonts w:ascii="Cambria" w:hAnsi="Cambria" w:eastAsia="Calibri"/>
          <w:szCs w:val="22"/>
        </w:rPr>
        <w:t>24,000</w:t>
      </w:r>
      <w:r w:rsidRPr="00080024">
        <w:rPr>
          <w:rFonts w:ascii="Cambria" w:hAnsi="Cambria" w:eastAsia="Calibri"/>
          <w:szCs w:val="22"/>
        </w:rPr>
        <w:t xml:space="preserve"> hours</w:t>
      </w:r>
    </w:p>
    <w:p w:rsidRPr="00080024" w:rsidR="00080024" w:rsidP="00080024" w:rsidRDefault="00080024" w14:paraId="36537D3D" w14:textId="77777777">
      <w:pPr>
        <w:rPr>
          <w:rFonts w:ascii="Cambria" w:hAnsi="Cambria" w:eastAsia="Calibri"/>
          <w:szCs w:val="22"/>
        </w:rPr>
      </w:pPr>
    </w:p>
    <w:p w:rsidRPr="00080024" w:rsidR="00080024" w:rsidP="00080024" w:rsidRDefault="00080024" w14:paraId="3BF86EB8" w14:textId="77777777">
      <w:pPr>
        <w:rPr>
          <w:rFonts w:ascii="Cambria" w:hAnsi="Cambria" w:eastAsia="Calibri"/>
          <w:szCs w:val="22"/>
        </w:rPr>
      </w:pPr>
      <w:r w:rsidRPr="00080024">
        <w:rPr>
          <w:rFonts w:ascii="Cambria" w:hAnsi="Cambria" w:eastAsia="Calibri"/>
          <w:szCs w:val="22"/>
        </w:rPr>
        <w:t>Part B: LABOR COST OF RESPONDENT BURDEN</w:t>
      </w:r>
    </w:p>
    <w:p w:rsidRPr="00080024" w:rsidR="00080024" w:rsidP="00080024" w:rsidRDefault="00080024" w14:paraId="44BC4F5A" w14:textId="77777777">
      <w:pPr>
        <w:ind w:left="720"/>
        <w:contextualSpacing/>
        <w:rPr>
          <w:rFonts w:ascii="Cambria" w:hAnsi="Cambria" w:eastAsia="Calibri"/>
          <w:szCs w:val="22"/>
        </w:rPr>
      </w:pPr>
    </w:p>
    <w:p w:rsidRPr="00080024" w:rsidR="00080024" w:rsidP="001025FA" w:rsidRDefault="00080024" w14:paraId="073D069E" w14:textId="77777777">
      <w:pPr>
        <w:numPr>
          <w:ilvl w:val="0"/>
          <w:numId w:val="12"/>
        </w:numPr>
        <w:rPr>
          <w:rFonts w:ascii="Cambria" w:hAnsi="Cambria" w:eastAsia="Calibri"/>
          <w:szCs w:val="22"/>
        </w:rPr>
      </w:pPr>
      <w:r w:rsidRPr="00080024">
        <w:rPr>
          <w:rFonts w:ascii="Cambria" w:hAnsi="Cambria" w:eastAsia="Calibri"/>
          <w:szCs w:val="22"/>
        </w:rPr>
        <w:t>Collection Instrument(s)</w:t>
      </w:r>
    </w:p>
    <w:p w:rsidRPr="00080024" w:rsidR="00080024" w:rsidP="001025FA" w:rsidRDefault="008A5DAD" w14:paraId="4B33837C" w14:textId="45A221C0">
      <w:pPr>
        <w:ind w:left="720"/>
        <w:rPr>
          <w:rFonts w:ascii="Cambria" w:hAnsi="Cambria" w:eastAsia="Calibri"/>
          <w:szCs w:val="22"/>
        </w:rPr>
      </w:pPr>
      <w:r w:rsidRPr="008A5DAD">
        <w:rPr>
          <w:rFonts w:ascii="Cambria" w:hAnsi="Cambria" w:eastAsia="Calibri"/>
          <w:szCs w:val="22"/>
        </w:rPr>
        <w:t xml:space="preserve">Research </w:t>
      </w:r>
      <w:r w:rsidR="006E14DF">
        <w:rPr>
          <w:rFonts w:ascii="Cambria" w:hAnsi="Cambria" w:eastAsia="Calibri"/>
          <w:szCs w:val="22"/>
        </w:rPr>
        <w:t>Performance</w:t>
      </w:r>
      <w:r w:rsidRPr="008A5DAD" w:rsidR="006E14DF">
        <w:rPr>
          <w:rFonts w:ascii="Cambria" w:hAnsi="Cambria" w:eastAsia="Calibri"/>
          <w:szCs w:val="22"/>
        </w:rPr>
        <w:t xml:space="preserve"> </w:t>
      </w:r>
      <w:r w:rsidRPr="008A5DAD">
        <w:rPr>
          <w:rFonts w:ascii="Cambria" w:hAnsi="Cambria" w:eastAsia="Calibri"/>
          <w:szCs w:val="22"/>
        </w:rPr>
        <w:t>Progress Report (RPPR)</w:t>
      </w:r>
      <w:r w:rsidRPr="00080024" w:rsidR="00080024">
        <w:rPr>
          <w:rFonts w:ascii="Cambria" w:hAnsi="Cambria" w:eastAsia="Calibri"/>
          <w:szCs w:val="22"/>
        </w:rPr>
        <w:t xml:space="preserve"> </w:t>
      </w:r>
    </w:p>
    <w:p w:rsidRPr="00080024" w:rsidR="00080024" w:rsidP="001025FA" w:rsidRDefault="00080024" w14:paraId="12480CB5" w14:textId="77777777">
      <w:pPr>
        <w:numPr>
          <w:ilvl w:val="0"/>
          <w:numId w:val="13"/>
        </w:numPr>
        <w:rPr>
          <w:rFonts w:ascii="Cambria" w:hAnsi="Cambria" w:eastAsia="Calibri"/>
          <w:szCs w:val="22"/>
        </w:rPr>
      </w:pPr>
      <w:r w:rsidRPr="00080024">
        <w:rPr>
          <w:rFonts w:ascii="Cambria" w:hAnsi="Cambria" w:eastAsia="Calibri"/>
          <w:szCs w:val="22"/>
        </w:rPr>
        <w:t xml:space="preserve">Number of Total Annual Responses: </w:t>
      </w:r>
      <w:r w:rsidRPr="008A5DAD" w:rsidR="001025FA">
        <w:rPr>
          <w:rFonts w:ascii="Cambria" w:hAnsi="Cambria" w:eastAsia="Calibri"/>
          <w:szCs w:val="22"/>
        </w:rPr>
        <w:t>4,000</w:t>
      </w:r>
    </w:p>
    <w:p w:rsidRPr="00080024" w:rsidR="00080024" w:rsidP="001025FA" w:rsidRDefault="00080024" w14:paraId="711C3B5E" w14:textId="77777777">
      <w:pPr>
        <w:numPr>
          <w:ilvl w:val="0"/>
          <w:numId w:val="13"/>
        </w:numPr>
        <w:rPr>
          <w:rFonts w:ascii="Cambria" w:hAnsi="Cambria" w:eastAsia="Calibri"/>
          <w:szCs w:val="22"/>
        </w:rPr>
      </w:pPr>
      <w:r w:rsidRPr="00080024">
        <w:rPr>
          <w:rFonts w:ascii="Cambria" w:hAnsi="Cambria" w:eastAsia="Calibri"/>
          <w:szCs w:val="22"/>
        </w:rPr>
        <w:t xml:space="preserve">Response Time: </w:t>
      </w:r>
      <w:r w:rsidRPr="008A5DAD" w:rsidR="001025FA">
        <w:rPr>
          <w:rFonts w:ascii="Cambria" w:hAnsi="Cambria" w:eastAsia="Calibri"/>
          <w:szCs w:val="22"/>
        </w:rPr>
        <w:t>6 hours</w:t>
      </w:r>
    </w:p>
    <w:p w:rsidRPr="00080024" w:rsidR="00080024" w:rsidP="001025FA" w:rsidRDefault="00080024" w14:paraId="631E6727" w14:textId="77777777">
      <w:pPr>
        <w:numPr>
          <w:ilvl w:val="0"/>
          <w:numId w:val="13"/>
        </w:numPr>
        <w:rPr>
          <w:rFonts w:ascii="Cambria" w:hAnsi="Cambria" w:eastAsia="Calibri"/>
          <w:szCs w:val="22"/>
        </w:rPr>
      </w:pPr>
      <w:r w:rsidRPr="00080024">
        <w:rPr>
          <w:rFonts w:ascii="Cambria" w:hAnsi="Cambria" w:eastAsia="Calibri"/>
          <w:szCs w:val="22"/>
        </w:rPr>
        <w:t xml:space="preserve">Respondent Hourly Wage: </w:t>
      </w:r>
      <w:r w:rsidRPr="008A5DAD" w:rsidR="001025FA">
        <w:rPr>
          <w:rFonts w:ascii="Cambria" w:hAnsi="Cambria" w:eastAsia="Calibri"/>
          <w:szCs w:val="22"/>
        </w:rPr>
        <w:t>$42.00</w:t>
      </w:r>
    </w:p>
    <w:p w:rsidRPr="00080024" w:rsidR="00080024" w:rsidP="001025FA" w:rsidRDefault="00080024" w14:paraId="2068337D" w14:textId="77777777">
      <w:pPr>
        <w:numPr>
          <w:ilvl w:val="0"/>
          <w:numId w:val="13"/>
        </w:numPr>
        <w:rPr>
          <w:rFonts w:ascii="Cambria" w:hAnsi="Cambria" w:eastAsia="Calibri"/>
          <w:szCs w:val="22"/>
        </w:rPr>
      </w:pPr>
      <w:r w:rsidRPr="00080024">
        <w:rPr>
          <w:rFonts w:ascii="Cambria" w:hAnsi="Cambria" w:eastAsia="Calibri"/>
          <w:szCs w:val="22"/>
        </w:rPr>
        <w:t xml:space="preserve">Labor Burden per Response: </w:t>
      </w:r>
      <w:r w:rsidRPr="008A5DAD" w:rsidR="001025FA">
        <w:rPr>
          <w:rFonts w:ascii="Cambria" w:hAnsi="Cambria" w:eastAsia="Calibri"/>
          <w:szCs w:val="22"/>
        </w:rPr>
        <w:t>$252.00</w:t>
      </w:r>
    </w:p>
    <w:p w:rsidRPr="00080024" w:rsidR="00080024" w:rsidP="001025FA" w:rsidRDefault="00080024" w14:paraId="588C0099" w14:textId="77777777">
      <w:pPr>
        <w:numPr>
          <w:ilvl w:val="0"/>
          <w:numId w:val="13"/>
        </w:numPr>
        <w:rPr>
          <w:rFonts w:ascii="Cambria" w:hAnsi="Cambria" w:eastAsia="Calibri"/>
          <w:szCs w:val="22"/>
        </w:rPr>
      </w:pPr>
      <w:r w:rsidRPr="00080024">
        <w:rPr>
          <w:rFonts w:ascii="Cambria" w:hAnsi="Cambria" w:eastAsia="Calibri"/>
          <w:szCs w:val="22"/>
        </w:rPr>
        <w:t xml:space="preserve">Total Labor Burden: </w:t>
      </w:r>
      <w:r w:rsidRPr="008A5DAD" w:rsidR="001025FA">
        <w:rPr>
          <w:rFonts w:ascii="Cambria" w:hAnsi="Cambria" w:eastAsia="Calibri"/>
          <w:szCs w:val="22"/>
        </w:rPr>
        <w:t>$1,008,000.00</w:t>
      </w:r>
    </w:p>
    <w:p w:rsidRPr="00080024" w:rsidR="00080024" w:rsidP="001025FA" w:rsidRDefault="00080024" w14:paraId="0DFFE4A5" w14:textId="77777777">
      <w:pPr>
        <w:ind w:left="1440"/>
        <w:rPr>
          <w:rFonts w:ascii="Cambria" w:hAnsi="Cambria" w:eastAsia="Calibri"/>
          <w:szCs w:val="22"/>
        </w:rPr>
      </w:pPr>
    </w:p>
    <w:p w:rsidRPr="00080024" w:rsidR="00080024" w:rsidP="001025FA" w:rsidRDefault="00080024" w14:paraId="2CF35978" w14:textId="77777777">
      <w:pPr>
        <w:numPr>
          <w:ilvl w:val="0"/>
          <w:numId w:val="12"/>
        </w:numPr>
        <w:rPr>
          <w:rFonts w:ascii="Cambria" w:hAnsi="Cambria" w:eastAsia="Calibri"/>
          <w:szCs w:val="22"/>
        </w:rPr>
      </w:pPr>
      <w:r w:rsidRPr="00080024">
        <w:rPr>
          <w:rFonts w:ascii="Cambria" w:hAnsi="Cambria" w:eastAsia="Calibri"/>
          <w:szCs w:val="22"/>
        </w:rPr>
        <w:t xml:space="preserve">Overall Labor Burden </w:t>
      </w:r>
    </w:p>
    <w:p w:rsidRPr="00080024" w:rsidR="00080024" w:rsidP="001025FA" w:rsidRDefault="00080024" w14:paraId="0EBC2E08" w14:textId="77777777">
      <w:pPr>
        <w:numPr>
          <w:ilvl w:val="1"/>
          <w:numId w:val="12"/>
        </w:numPr>
        <w:rPr>
          <w:rFonts w:ascii="Cambria" w:hAnsi="Cambria" w:eastAsia="Calibri"/>
          <w:szCs w:val="22"/>
        </w:rPr>
      </w:pPr>
      <w:r w:rsidRPr="00080024">
        <w:rPr>
          <w:rFonts w:ascii="Cambria" w:hAnsi="Cambria" w:eastAsia="Calibri"/>
          <w:szCs w:val="22"/>
        </w:rPr>
        <w:t xml:space="preserve">Total Number of Annual Responses: </w:t>
      </w:r>
      <w:r w:rsidRPr="008A5DAD" w:rsidR="001025FA">
        <w:rPr>
          <w:rFonts w:ascii="Cambria" w:hAnsi="Cambria" w:eastAsia="Calibri"/>
          <w:szCs w:val="22"/>
        </w:rPr>
        <w:t>4,000</w:t>
      </w:r>
    </w:p>
    <w:p w:rsidRPr="00080024" w:rsidR="00080024" w:rsidP="001025FA" w:rsidRDefault="00080024" w14:paraId="643EAFC9" w14:textId="77777777">
      <w:pPr>
        <w:numPr>
          <w:ilvl w:val="1"/>
          <w:numId w:val="12"/>
        </w:numPr>
        <w:rPr>
          <w:rFonts w:ascii="Cambria" w:hAnsi="Cambria" w:eastAsia="Calibri"/>
          <w:szCs w:val="22"/>
        </w:rPr>
      </w:pPr>
      <w:r w:rsidRPr="00080024">
        <w:rPr>
          <w:rFonts w:ascii="Cambria" w:hAnsi="Cambria" w:eastAsia="Calibri"/>
          <w:szCs w:val="22"/>
        </w:rPr>
        <w:t xml:space="preserve">Total Labor Burden: </w:t>
      </w:r>
      <w:r w:rsidRPr="008A5DAD" w:rsidR="001025FA">
        <w:rPr>
          <w:rFonts w:ascii="Cambria" w:hAnsi="Cambria" w:eastAsia="Calibri"/>
          <w:szCs w:val="22"/>
        </w:rPr>
        <w:t>$1,008,000.00</w:t>
      </w:r>
    </w:p>
    <w:p w:rsidRPr="00080024" w:rsidR="00080024" w:rsidP="00080024" w:rsidRDefault="00080024" w14:paraId="53EAABC7" w14:textId="77777777">
      <w:pPr>
        <w:rPr>
          <w:rFonts w:ascii="Cambria" w:hAnsi="Cambria" w:eastAsia="Calibri"/>
          <w:szCs w:val="22"/>
        </w:rPr>
      </w:pPr>
    </w:p>
    <w:p w:rsidRPr="008A5DAD" w:rsidR="00080024" w:rsidP="00080024" w:rsidRDefault="001025FA" w14:paraId="6CCCD180" w14:textId="77777777">
      <w:pPr>
        <w:rPr>
          <w:rFonts w:ascii="Cambria" w:hAnsi="Cambria" w:eastAsia="Calibri"/>
          <w:szCs w:val="22"/>
        </w:rPr>
      </w:pPr>
      <w:r w:rsidRPr="008A5DAD">
        <w:rPr>
          <w:rFonts w:ascii="Cambria" w:hAnsi="Cambria" w:eastAsia="Calibri"/>
          <w:szCs w:val="22"/>
        </w:rPr>
        <w:t xml:space="preserve">The respondent hourly wage was determined by using the Bureau of Labor Statistics website: </w:t>
      </w:r>
      <w:hyperlink w:history="1" r:id="rId12">
        <w:r w:rsidRPr="008A5DAD">
          <w:rPr>
            <w:rFonts w:ascii="Cambria" w:hAnsi="Cambria" w:eastAsia="Calibri"/>
            <w:color w:val="0000FF"/>
            <w:szCs w:val="22"/>
            <w:u w:val="single"/>
          </w:rPr>
          <w:t>https://www.bls.gov/oes/current/oes_nat.htm</w:t>
        </w:r>
      </w:hyperlink>
      <w:r w:rsidRPr="008A5DAD">
        <w:rPr>
          <w:rFonts w:ascii="Cambria" w:hAnsi="Cambria" w:eastAsia="Calibri"/>
          <w:szCs w:val="22"/>
        </w:rPr>
        <w:t>.</w:t>
      </w:r>
    </w:p>
    <w:p w:rsidRPr="00080024" w:rsidR="001025FA" w:rsidP="00080024" w:rsidRDefault="001025FA" w14:paraId="088DFE09" w14:textId="77777777">
      <w:pPr>
        <w:rPr>
          <w:rFonts w:ascii="Cambria" w:hAnsi="Cambria" w:eastAsia="Calibri"/>
          <w:szCs w:val="22"/>
        </w:rPr>
      </w:pPr>
    </w:p>
    <w:p w:rsidRPr="00080024" w:rsidR="00080024" w:rsidP="00080024" w:rsidRDefault="00080024" w14:paraId="4A574D5A" w14:textId="77777777">
      <w:pPr>
        <w:rPr>
          <w:rFonts w:ascii="Cambria" w:hAnsi="Cambria" w:eastAsia="Calibri"/>
          <w:szCs w:val="22"/>
        </w:rPr>
      </w:pPr>
      <w:r w:rsidRPr="00080024">
        <w:rPr>
          <w:rFonts w:ascii="Cambria" w:hAnsi="Cambria" w:eastAsia="Calibri"/>
          <w:szCs w:val="22"/>
        </w:rPr>
        <w:lastRenderedPageBreak/>
        <w:t>13.</w:t>
      </w:r>
      <w:r w:rsidRPr="00080024">
        <w:rPr>
          <w:rFonts w:ascii="Cambria" w:hAnsi="Cambria" w:eastAsia="Calibri"/>
          <w:szCs w:val="22"/>
        </w:rPr>
        <w:tab/>
      </w:r>
      <w:r w:rsidRPr="00080024">
        <w:rPr>
          <w:rFonts w:ascii="Cambria" w:hAnsi="Cambria" w:eastAsia="Calibri"/>
          <w:szCs w:val="22"/>
          <w:u w:val="single"/>
        </w:rPr>
        <w:t>Respondent Costs Other Than Burden Hour Costs</w:t>
      </w:r>
    </w:p>
    <w:p w:rsidRPr="00080024" w:rsidR="00080024" w:rsidP="00080024" w:rsidRDefault="00080024" w14:paraId="123F4460" w14:textId="77777777">
      <w:pPr>
        <w:rPr>
          <w:rFonts w:ascii="Cambria" w:hAnsi="Cambria" w:eastAsia="Calibri"/>
          <w:szCs w:val="22"/>
        </w:rPr>
      </w:pPr>
      <w:r w:rsidRPr="00080024">
        <w:rPr>
          <w:rFonts w:ascii="Cambria" w:hAnsi="Cambria" w:eastAsia="Calibri"/>
          <w:szCs w:val="22"/>
        </w:rPr>
        <w:t xml:space="preserve">There are no annualized costs to respondents other than the labor burden costs addressed in Section 12 of this document to complete this collection. </w:t>
      </w:r>
    </w:p>
    <w:p w:rsidRPr="00080024" w:rsidR="00080024" w:rsidP="00080024" w:rsidRDefault="00080024" w14:paraId="202EBFB7" w14:textId="77777777">
      <w:pPr>
        <w:rPr>
          <w:rFonts w:ascii="Cambria" w:hAnsi="Cambria" w:eastAsia="Calibri"/>
          <w:szCs w:val="22"/>
        </w:rPr>
      </w:pPr>
    </w:p>
    <w:p w:rsidRPr="00080024" w:rsidR="00080024" w:rsidP="00080024" w:rsidRDefault="00080024" w14:paraId="3C7D82BB" w14:textId="77777777">
      <w:pPr>
        <w:rPr>
          <w:rFonts w:ascii="Cambria" w:hAnsi="Cambria" w:eastAsia="Calibri"/>
          <w:szCs w:val="22"/>
        </w:rPr>
      </w:pPr>
      <w:r w:rsidRPr="00080024">
        <w:rPr>
          <w:rFonts w:ascii="Cambria" w:hAnsi="Cambria" w:eastAsia="Calibri"/>
          <w:szCs w:val="22"/>
        </w:rPr>
        <w:t xml:space="preserve">14. </w:t>
      </w:r>
      <w:r w:rsidRPr="00080024">
        <w:rPr>
          <w:rFonts w:ascii="Cambria" w:hAnsi="Cambria" w:eastAsia="Calibri"/>
          <w:szCs w:val="22"/>
        </w:rPr>
        <w:tab/>
      </w:r>
      <w:r w:rsidRPr="00080024">
        <w:rPr>
          <w:rFonts w:ascii="Cambria" w:hAnsi="Cambria" w:eastAsia="Calibri"/>
          <w:szCs w:val="22"/>
          <w:u w:val="single"/>
        </w:rPr>
        <w:t>Cost to the Federal Government</w:t>
      </w:r>
    </w:p>
    <w:p w:rsidRPr="00080024" w:rsidR="00080024" w:rsidP="00080024" w:rsidRDefault="00080024" w14:paraId="360D2311" w14:textId="77777777">
      <w:pPr>
        <w:rPr>
          <w:rFonts w:ascii="Cambria" w:hAnsi="Cambria" w:eastAsia="Calibri"/>
          <w:szCs w:val="22"/>
        </w:rPr>
      </w:pPr>
    </w:p>
    <w:p w:rsidRPr="00080024" w:rsidR="00080024" w:rsidP="00080024" w:rsidRDefault="00080024" w14:paraId="31070291" w14:textId="77777777">
      <w:pPr>
        <w:rPr>
          <w:rFonts w:ascii="Cambria" w:hAnsi="Cambria" w:eastAsia="Calibri"/>
          <w:szCs w:val="22"/>
        </w:rPr>
      </w:pPr>
      <w:r w:rsidRPr="00080024">
        <w:rPr>
          <w:rFonts w:ascii="Cambria" w:hAnsi="Cambria" w:eastAsia="Calibri"/>
          <w:szCs w:val="22"/>
        </w:rPr>
        <w:t>Part A: LABOR COST TO THE FEDERAL GOVERNMENT</w:t>
      </w:r>
      <w:r w:rsidRPr="00080024">
        <w:rPr>
          <w:rFonts w:ascii="Cambria" w:hAnsi="Cambria" w:eastAsia="Calibri"/>
          <w:i/>
          <w:szCs w:val="22"/>
        </w:rPr>
        <w:t xml:space="preserve"> </w:t>
      </w:r>
    </w:p>
    <w:p w:rsidRPr="00080024" w:rsidR="00080024" w:rsidP="00080024" w:rsidRDefault="00080024" w14:paraId="74FA41C6" w14:textId="77777777">
      <w:pPr>
        <w:ind w:left="720"/>
        <w:contextualSpacing/>
        <w:rPr>
          <w:rFonts w:ascii="Cambria" w:hAnsi="Cambria" w:eastAsia="Calibri"/>
          <w:szCs w:val="22"/>
        </w:rPr>
      </w:pPr>
    </w:p>
    <w:p w:rsidRPr="00080024" w:rsidR="00080024" w:rsidP="001025FA" w:rsidRDefault="00080024" w14:paraId="3FBA459C" w14:textId="77777777">
      <w:pPr>
        <w:numPr>
          <w:ilvl w:val="0"/>
          <w:numId w:val="14"/>
        </w:numPr>
        <w:contextualSpacing/>
        <w:rPr>
          <w:rFonts w:ascii="Cambria" w:hAnsi="Cambria" w:eastAsia="Calibri"/>
          <w:szCs w:val="22"/>
        </w:rPr>
      </w:pPr>
      <w:r w:rsidRPr="00080024">
        <w:rPr>
          <w:rFonts w:ascii="Cambria" w:hAnsi="Cambria" w:eastAsia="Calibri"/>
          <w:szCs w:val="22"/>
        </w:rPr>
        <w:t>Collection Instrument(s)</w:t>
      </w:r>
    </w:p>
    <w:p w:rsidRPr="00080024" w:rsidR="00080024" w:rsidP="001025FA" w:rsidRDefault="008A5DAD" w14:paraId="680D5519" w14:textId="0F4B6ECF">
      <w:pPr>
        <w:ind w:left="720"/>
        <w:contextualSpacing/>
        <w:rPr>
          <w:rFonts w:ascii="Cambria" w:hAnsi="Cambria" w:eastAsia="Calibri"/>
          <w:szCs w:val="22"/>
        </w:rPr>
      </w:pPr>
      <w:r w:rsidRPr="008A5DAD">
        <w:rPr>
          <w:rFonts w:ascii="Cambria" w:hAnsi="Cambria" w:eastAsia="Calibri"/>
          <w:szCs w:val="22"/>
        </w:rPr>
        <w:t xml:space="preserve">Research </w:t>
      </w:r>
      <w:r w:rsidR="006E14DF">
        <w:rPr>
          <w:rFonts w:ascii="Cambria" w:hAnsi="Cambria" w:eastAsia="Calibri"/>
          <w:szCs w:val="22"/>
        </w:rPr>
        <w:t>Performance</w:t>
      </w:r>
      <w:r w:rsidRPr="008A5DAD" w:rsidR="006E14DF">
        <w:rPr>
          <w:rFonts w:ascii="Cambria" w:hAnsi="Cambria" w:eastAsia="Calibri"/>
          <w:szCs w:val="22"/>
        </w:rPr>
        <w:t xml:space="preserve"> </w:t>
      </w:r>
      <w:r w:rsidRPr="008A5DAD">
        <w:rPr>
          <w:rFonts w:ascii="Cambria" w:hAnsi="Cambria" w:eastAsia="Calibri"/>
          <w:szCs w:val="22"/>
        </w:rPr>
        <w:t>Progress Report (RPPR)</w:t>
      </w:r>
      <w:r w:rsidRPr="00080024" w:rsidR="00080024">
        <w:rPr>
          <w:rFonts w:ascii="Cambria" w:hAnsi="Cambria" w:eastAsia="Calibri"/>
          <w:szCs w:val="22"/>
        </w:rPr>
        <w:t xml:space="preserve"> </w:t>
      </w:r>
    </w:p>
    <w:p w:rsidRPr="00080024" w:rsidR="00080024" w:rsidP="001025FA" w:rsidRDefault="00080024" w14:paraId="6286A1B5" w14:textId="77777777">
      <w:pPr>
        <w:numPr>
          <w:ilvl w:val="0"/>
          <w:numId w:val="15"/>
        </w:numPr>
        <w:contextualSpacing/>
        <w:rPr>
          <w:rFonts w:ascii="Cambria" w:hAnsi="Cambria" w:eastAsia="Calibri"/>
          <w:szCs w:val="22"/>
        </w:rPr>
      </w:pPr>
      <w:r w:rsidRPr="00080024">
        <w:rPr>
          <w:rFonts w:ascii="Cambria" w:hAnsi="Cambria" w:eastAsia="Calibri"/>
          <w:szCs w:val="22"/>
        </w:rPr>
        <w:t xml:space="preserve">Number of Total Annual Responses: </w:t>
      </w:r>
      <w:r w:rsidRPr="008A5DAD" w:rsidR="001025FA">
        <w:rPr>
          <w:rFonts w:ascii="Cambria" w:hAnsi="Cambria" w:eastAsia="Calibri"/>
          <w:szCs w:val="22"/>
        </w:rPr>
        <w:t>4,000</w:t>
      </w:r>
    </w:p>
    <w:p w:rsidRPr="00080024" w:rsidR="00080024" w:rsidP="001025FA" w:rsidRDefault="00080024" w14:paraId="61F67FBC" w14:textId="77777777">
      <w:pPr>
        <w:numPr>
          <w:ilvl w:val="0"/>
          <w:numId w:val="15"/>
        </w:numPr>
        <w:contextualSpacing/>
        <w:rPr>
          <w:rFonts w:ascii="Cambria" w:hAnsi="Cambria" w:eastAsia="Calibri"/>
          <w:szCs w:val="22"/>
        </w:rPr>
      </w:pPr>
      <w:r w:rsidRPr="00080024">
        <w:rPr>
          <w:rFonts w:ascii="Cambria" w:hAnsi="Cambria" w:eastAsia="Calibri"/>
          <w:szCs w:val="22"/>
        </w:rPr>
        <w:t xml:space="preserve">Processing Time per Response: </w:t>
      </w:r>
      <w:r w:rsidRPr="008A5DAD" w:rsidR="001025FA">
        <w:rPr>
          <w:rFonts w:ascii="Cambria" w:hAnsi="Cambria" w:eastAsia="Calibri"/>
          <w:szCs w:val="22"/>
        </w:rPr>
        <w:t>5.5</w:t>
      </w:r>
      <w:r w:rsidRPr="00080024">
        <w:rPr>
          <w:rFonts w:ascii="Cambria" w:hAnsi="Cambria" w:eastAsia="Calibri"/>
          <w:szCs w:val="22"/>
        </w:rPr>
        <w:t xml:space="preserve"> hours</w:t>
      </w:r>
    </w:p>
    <w:p w:rsidRPr="00080024" w:rsidR="00080024" w:rsidP="001025FA" w:rsidRDefault="00080024" w14:paraId="488F271D" w14:textId="77777777">
      <w:pPr>
        <w:numPr>
          <w:ilvl w:val="0"/>
          <w:numId w:val="15"/>
        </w:numPr>
        <w:contextualSpacing/>
        <w:rPr>
          <w:rFonts w:ascii="Cambria" w:hAnsi="Cambria" w:eastAsia="Calibri"/>
          <w:szCs w:val="22"/>
        </w:rPr>
      </w:pPr>
      <w:r w:rsidRPr="00080024">
        <w:rPr>
          <w:rFonts w:ascii="Cambria" w:hAnsi="Cambria" w:eastAsia="Calibri"/>
          <w:szCs w:val="22"/>
        </w:rPr>
        <w:t>Hourly Wage of</w:t>
      </w:r>
      <w:r w:rsidRPr="008A5DAD" w:rsidR="001025FA">
        <w:rPr>
          <w:rFonts w:ascii="Cambria" w:hAnsi="Cambria" w:eastAsia="Calibri"/>
          <w:szCs w:val="22"/>
        </w:rPr>
        <w:t xml:space="preserve"> Worker(s) Processing Responses</w:t>
      </w:r>
      <w:r w:rsidRPr="00080024">
        <w:rPr>
          <w:rFonts w:ascii="Cambria" w:hAnsi="Cambria" w:eastAsia="Calibri"/>
          <w:szCs w:val="22"/>
        </w:rPr>
        <w:t>: $</w:t>
      </w:r>
      <w:r w:rsidRPr="008A5DAD" w:rsidR="001025FA">
        <w:rPr>
          <w:rFonts w:ascii="Cambria" w:hAnsi="Cambria" w:eastAsia="Calibri"/>
          <w:szCs w:val="22"/>
        </w:rPr>
        <w:t>31.91</w:t>
      </w:r>
    </w:p>
    <w:p w:rsidRPr="00080024" w:rsidR="00080024" w:rsidP="001025FA" w:rsidRDefault="00080024" w14:paraId="36DC58E1" w14:textId="77777777">
      <w:pPr>
        <w:numPr>
          <w:ilvl w:val="0"/>
          <w:numId w:val="15"/>
        </w:numPr>
        <w:contextualSpacing/>
        <w:rPr>
          <w:rFonts w:ascii="Cambria" w:hAnsi="Cambria" w:eastAsia="Calibri"/>
          <w:szCs w:val="22"/>
        </w:rPr>
      </w:pPr>
      <w:r w:rsidRPr="00080024">
        <w:rPr>
          <w:rFonts w:ascii="Cambria" w:hAnsi="Cambria" w:eastAsia="Calibri"/>
          <w:szCs w:val="22"/>
        </w:rPr>
        <w:t>Cost to Process Each Response: $</w:t>
      </w:r>
      <w:r w:rsidRPr="008A5DAD" w:rsidR="001025FA">
        <w:rPr>
          <w:rFonts w:ascii="Cambria" w:hAnsi="Cambria" w:eastAsia="Calibri"/>
          <w:szCs w:val="22"/>
        </w:rPr>
        <w:t>175.51</w:t>
      </w:r>
    </w:p>
    <w:p w:rsidRPr="00080024" w:rsidR="00080024" w:rsidP="001025FA" w:rsidRDefault="00080024" w14:paraId="3E4A854F" w14:textId="77777777">
      <w:pPr>
        <w:numPr>
          <w:ilvl w:val="0"/>
          <w:numId w:val="15"/>
        </w:numPr>
        <w:contextualSpacing/>
        <w:rPr>
          <w:rFonts w:ascii="Cambria" w:hAnsi="Cambria" w:eastAsia="Calibri"/>
          <w:szCs w:val="22"/>
        </w:rPr>
      </w:pPr>
      <w:r w:rsidRPr="00080024">
        <w:rPr>
          <w:rFonts w:ascii="Cambria" w:hAnsi="Cambria" w:eastAsia="Calibri"/>
          <w:szCs w:val="22"/>
        </w:rPr>
        <w:t>Total Cost to Process Responses: $</w:t>
      </w:r>
      <w:r w:rsidRPr="008A5DAD" w:rsidR="008A5DAD">
        <w:rPr>
          <w:rFonts w:ascii="Cambria" w:hAnsi="Cambria" w:eastAsia="Calibri"/>
          <w:szCs w:val="22"/>
        </w:rPr>
        <w:t>702,020.00</w:t>
      </w:r>
    </w:p>
    <w:p w:rsidRPr="00080024" w:rsidR="00080024" w:rsidP="001025FA" w:rsidRDefault="00080024" w14:paraId="4BE8EBCF" w14:textId="77777777">
      <w:pPr>
        <w:ind w:left="1440"/>
        <w:contextualSpacing/>
        <w:rPr>
          <w:rFonts w:ascii="Cambria" w:hAnsi="Cambria" w:eastAsia="Calibri"/>
          <w:szCs w:val="22"/>
        </w:rPr>
      </w:pPr>
    </w:p>
    <w:p w:rsidRPr="00080024" w:rsidR="00080024" w:rsidP="001025FA" w:rsidRDefault="00080024" w14:paraId="41AB424F" w14:textId="77777777">
      <w:pPr>
        <w:numPr>
          <w:ilvl w:val="0"/>
          <w:numId w:val="14"/>
        </w:numPr>
        <w:contextualSpacing/>
        <w:rPr>
          <w:rFonts w:ascii="Cambria" w:hAnsi="Cambria" w:eastAsia="Calibri"/>
          <w:szCs w:val="22"/>
        </w:rPr>
      </w:pPr>
      <w:r w:rsidRPr="00080024">
        <w:rPr>
          <w:rFonts w:ascii="Cambria" w:hAnsi="Cambria" w:eastAsia="Calibri"/>
          <w:szCs w:val="22"/>
        </w:rPr>
        <w:t>Overall Labor Burden to the Federal Government</w:t>
      </w:r>
    </w:p>
    <w:p w:rsidRPr="00080024" w:rsidR="00080024" w:rsidP="001025FA" w:rsidRDefault="00080024" w14:paraId="621BAFEE" w14:textId="77777777">
      <w:pPr>
        <w:numPr>
          <w:ilvl w:val="1"/>
          <w:numId w:val="14"/>
        </w:numPr>
        <w:contextualSpacing/>
        <w:rPr>
          <w:rFonts w:ascii="Cambria" w:hAnsi="Cambria" w:eastAsia="Calibri"/>
          <w:szCs w:val="22"/>
        </w:rPr>
      </w:pPr>
      <w:r w:rsidRPr="00080024">
        <w:rPr>
          <w:rFonts w:ascii="Cambria" w:hAnsi="Cambria" w:eastAsia="Calibri"/>
          <w:szCs w:val="22"/>
        </w:rPr>
        <w:t xml:space="preserve">Total Number of Annual Responses: </w:t>
      </w:r>
      <w:r w:rsidRPr="008A5DAD" w:rsidR="008A5DAD">
        <w:rPr>
          <w:rFonts w:ascii="Cambria" w:hAnsi="Cambria" w:eastAsia="Calibri"/>
          <w:szCs w:val="22"/>
        </w:rPr>
        <w:t>4,000</w:t>
      </w:r>
    </w:p>
    <w:p w:rsidRPr="00080024" w:rsidR="00080024" w:rsidP="001025FA" w:rsidRDefault="001025FA" w14:paraId="5B39387E" w14:textId="77777777">
      <w:pPr>
        <w:numPr>
          <w:ilvl w:val="1"/>
          <w:numId w:val="14"/>
        </w:numPr>
        <w:contextualSpacing/>
        <w:rPr>
          <w:rFonts w:ascii="Cambria" w:hAnsi="Cambria" w:eastAsia="Calibri"/>
          <w:szCs w:val="22"/>
        </w:rPr>
      </w:pPr>
      <w:r w:rsidRPr="008A5DAD">
        <w:rPr>
          <w:rFonts w:ascii="Cambria" w:hAnsi="Cambria" w:eastAsia="Calibri"/>
          <w:szCs w:val="22"/>
        </w:rPr>
        <w:t>Total Labor Burden</w:t>
      </w:r>
      <w:r w:rsidRPr="00080024" w:rsidR="00080024">
        <w:rPr>
          <w:rFonts w:ascii="Cambria" w:hAnsi="Cambria" w:eastAsia="Calibri"/>
          <w:szCs w:val="22"/>
        </w:rPr>
        <w:t>:</w:t>
      </w:r>
      <w:r w:rsidRPr="00080024" w:rsidR="00080024">
        <w:rPr>
          <w:rFonts w:ascii="Cambria" w:hAnsi="Cambria" w:eastAsia="Calibri"/>
          <w:i/>
          <w:szCs w:val="22"/>
        </w:rPr>
        <w:t xml:space="preserve"> </w:t>
      </w:r>
      <w:r w:rsidRPr="008A5DAD" w:rsidR="008A5DAD">
        <w:rPr>
          <w:rFonts w:ascii="Cambria" w:hAnsi="Cambria" w:eastAsia="Calibri"/>
          <w:szCs w:val="22"/>
        </w:rPr>
        <w:t>$702,020.00</w:t>
      </w:r>
    </w:p>
    <w:p w:rsidRPr="00080024" w:rsidR="00080024" w:rsidP="00080024" w:rsidRDefault="00080024" w14:paraId="3D391D5B" w14:textId="77777777">
      <w:pPr>
        <w:rPr>
          <w:rFonts w:ascii="Cambria" w:hAnsi="Cambria" w:eastAsia="Calibri"/>
          <w:szCs w:val="22"/>
        </w:rPr>
      </w:pPr>
    </w:p>
    <w:p w:rsidRPr="00080024" w:rsidR="00080024" w:rsidP="00080024" w:rsidRDefault="00080024" w14:paraId="5327EEE5" w14:textId="77777777">
      <w:pPr>
        <w:rPr>
          <w:rFonts w:ascii="Cambria" w:hAnsi="Cambria" w:eastAsia="Calibri"/>
          <w:szCs w:val="22"/>
        </w:rPr>
      </w:pPr>
      <w:r w:rsidRPr="00080024">
        <w:rPr>
          <w:rFonts w:ascii="Cambria" w:hAnsi="Cambria" w:eastAsia="Calibri"/>
          <w:szCs w:val="22"/>
        </w:rPr>
        <w:t>Part B: OPERATIONAL AND MAINTENANCE COSTS</w:t>
      </w:r>
      <w:r w:rsidRPr="00080024">
        <w:rPr>
          <w:rFonts w:ascii="Cambria" w:hAnsi="Cambria" w:eastAsia="Calibri"/>
          <w:i/>
          <w:szCs w:val="22"/>
        </w:rPr>
        <w:t xml:space="preserve"> </w:t>
      </w:r>
    </w:p>
    <w:p w:rsidRPr="00080024" w:rsidR="00080024" w:rsidP="00080024" w:rsidRDefault="00080024" w14:paraId="3E04A1EE" w14:textId="77777777">
      <w:pPr>
        <w:rPr>
          <w:rFonts w:ascii="Cambria" w:hAnsi="Cambria" w:eastAsia="Calibri"/>
          <w:szCs w:val="22"/>
        </w:rPr>
      </w:pPr>
    </w:p>
    <w:p w:rsidRPr="00080024" w:rsidR="00080024" w:rsidP="008A5DAD" w:rsidRDefault="00080024" w14:paraId="52C50006" w14:textId="77777777">
      <w:pPr>
        <w:numPr>
          <w:ilvl w:val="0"/>
          <w:numId w:val="16"/>
        </w:numPr>
        <w:contextualSpacing/>
        <w:rPr>
          <w:rFonts w:ascii="Cambria" w:hAnsi="Cambria" w:eastAsia="Calibri"/>
          <w:i/>
          <w:szCs w:val="22"/>
        </w:rPr>
      </w:pPr>
      <w:r w:rsidRPr="00080024">
        <w:rPr>
          <w:rFonts w:ascii="Cambria" w:hAnsi="Cambria" w:eastAsia="Calibri"/>
          <w:szCs w:val="22"/>
        </w:rPr>
        <w:t>Cost Categories</w:t>
      </w:r>
    </w:p>
    <w:p w:rsidRPr="00080024" w:rsidR="00080024" w:rsidP="008A5DAD" w:rsidRDefault="00080024" w14:paraId="6A9EDAD7" w14:textId="77777777">
      <w:pPr>
        <w:numPr>
          <w:ilvl w:val="1"/>
          <w:numId w:val="16"/>
        </w:numPr>
        <w:contextualSpacing/>
        <w:rPr>
          <w:rFonts w:ascii="Cambria" w:hAnsi="Cambria" w:eastAsia="Calibri"/>
          <w:i/>
          <w:szCs w:val="22"/>
        </w:rPr>
      </w:pPr>
      <w:r w:rsidRPr="00080024">
        <w:rPr>
          <w:rFonts w:ascii="Cambria" w:hAnsi="Cambria" w:eastAsia="Calibri"/>
          <w:szCs w:val="22"/>
        </w:rPr>
        <w:t>Equipment: $</w:t>
      </w:r>
      <w:r w:rsidR="008A5DAD">
        <w:rPr>
          <w:rFonts w:ascii="Cambria" w:hAnsi="Cambria" w:eastAsia="Calibri"/>
          <w:szCs w:val="22"/>
        </w:rPr>
        <w:t>0</w:t>
      </w:r>
    </w:p>
    <w:p w:rsidRPr="00080024" w:rsidR="00080024" w:rsidP="008A5DAD" w:rsidRDefault="00080024" w14:paraId="6B3E6330" w14:textId="77777777">
      <w:pPr>
        <w:numPr>
          <w:ilvl w:val="1"/>
          <w:numId w:val="16"/>
        </w:numPr>
        <w:contextualSpacing/>
        <w:rPr>
          <w:rFonts w:ascii="Cambria" w:hAnsi="Cambria" w:eastAsia="Calibri"/>
          <w:i/>
          <w:szCs w:val="22"/>
        </w:rPr>
      </w:pPr>
      <w:r w:rsidRPr="00080024">
        <w:rPr>
          <w:rFonts w:ascii="Cambria" w:hAnsi="Cambria" w:eastAsia="Calibri"/>
          <w:szCs w:val="22"/>
        </w:rPr>
        <w:t>Printing: $</w:t>
      </w:r>
      <w:r w:rsidR="008A5DAD">
        <w:rPr>
          <w:rFonts w:ascii="Cambria" w:hAnsi="Cambria" w:eastAsia="Calibri"/>
          <w:szCs w:val="22"/>
        </w:rPr>
        <w:t>0</w:t>
      </w:r>
    </w:p>
    <w:p w:rsidRPr="00080024" w:rsidR="00080024" w:rsidP="008A5DAD" w:rsidRDefault="00080024" w14:paraId="537016A8" w14:textId="77777777">
      <w:pPr>
        <w:numPr>
          <w:ilvl w:val="1"/>
          <w:numId w:val="16"/>
        </w:numPr>
        <w:contextualSpacing/>
        <w:rPr>
          <w:rFonts w:ascii="Cambria" w:hAnsi="Cambria" w:eastAsia="Calibri"/>
          <w:i/>
          <w:szCs w:val="22"/>
        </w:rPr>
      </w:pPr>
      <w:r w:rsidRPr="00080024">
        <w:rPr>
          <w:rFonts w:ascii="Cambria" w:hAnsi="Cambria" w:eastAsia="Calibri"/>
          <w:szCs w:val="22"/>
        </w:rPr>
        <w:t>Postage: $</w:t>
      </w:r>
      <w:r w:rsidR="008A5DAD">
        <w:rPr>
          <w:rFonts w:ascii="Cambria" w:hAnsi="Cambria" w:eastAsia="Calibri"/>
          <w:szCs w:val="22"/>
        </w:rPr>
        <w:t>0</w:t>
      </w:r>
    </w:p>
    <w:p w:rsidRPr="00080024" w:rsidR="00080024" w:rsidP="008A5DAD" w:rsidRDefault="00080024" w14:paraId="0E220C5E" w14:textId="77777777">
      <w:pPr>
        <w:numPr>
          <w:ilvl w:val="1"/>
          <w:numId w:val="16"/>
        </w:numPr>
        <w:contextualSpacing/>
        <w:rPr>
          <w:rFonts w:ascii="Cambria" w:hAnsi="Cambria" w:eastAsia="Calibri"/>
          <w:i/>
          <w:szCs w:val="22"/>
        </w:rPr>
      </w:pPr>
      <w:r w:rsidRPr="00080024">
        <w:rPr>
          <w:rFonts w:ascii="Cambria" w:hAnsi="Cambria" w:eastAsia="Calibri"/>
          <w:szCs w:val="22"/>
        </w:rPr>
        <w:t>Software Purchases: $</w:t>
      </w:r>
      <w:r w:rsidR="008A5DAD">
        <w:rPr>
          <w:rFonts w:ascii="Cambria" w:hAnsi="Cambria" w:eastAsia="Calibri"/>
          <w:szCs w:val="22"/>
        </w:rPr>
        <w:t>0</w:t>
      </w:r>
    </w:p>
    <w:p w:rsidRPr="00080024" w:rsidR="00080024" w:rsidP="008A5DAD" w:rsidRDefault="00080024" w14:paraId="4B4123C0" w14:textId="77777777">
      <w:pPr>
        <w:numPr>
          <w:ilvl w:val="1"/>
          <w:numId w:val="16"/>
        </w:numPr>
        <w:contextualSpacing/>
        <w:rPr>
          <w:rFonts w:ascii="Cambria" w:hAnsi="Cambria" w:eastAsia="Calibri"/>
          <w:i/>
          <w:szCs w:val="22"/>
        </w:rPr>
      </w:pPr>
      <w:r w:rsidRPr="00080024">
        <w:rPr>
          <w:rFonts w:ascii="Cambria" w:hAnsi="Cambria" w:eastAsia="Calibri"/>
          <w:szCs w:val="22"/>
        </w:rPr>
        <w:t>Licensing Costs: $</w:t>
      </w:r>
      <w:r w:rsidR="008A5DAD">
        <w:rPr>
          <w:rFonts w:ascii="Cambria" w:hAnsi="Cambria" w:eastAsia="Calibri"/>
          <w:szCs w:val="22"/>
        </w:rPr>
        <w:t>0</w:t>
      </w:r>
    </w:p>
    <w:p w:rsidRPr="00080024" w:rsidR="00080024" w:rsidP="008A5DAD" w:rsidRDefault="00080024" w14:paraId="1D056008" w14:textId="77777777">
      <w:pPr>
        <w:numPr>
          <w:ilvl w:val="1"/>
          <w:numId w:val="16"/>
        </w:numPr>
        <w:contextualSpacing/>
        <w:rPr>
          <w:rFonts w:ascii="Cambria" w:hAnsi="Cambria" w:eastAsia="Calibri"/>
          <w:i/>
          <w:szCs w:val="22"/>
        </w:rPr>
      </w:pPr>
      <w:r w:rsidRPr="00080024">
        <w:rPr>
          <w:rFonts w:ascii="Cambria" w:hAnsi="Cambria" w:eastAsia="Calibri"/>
          <w:szCs w:val="22"/>
        </w:rPr>
        <w:t>Other: $</w:t>
      </w:r>
      <w:r w:rsidR="008A5DAD">
        <w:rPr>
          <w:rFonts w:ascii="Cambria" w:hAnsi="Cambria" w:eastAsia="Calibri"/>
          <w:szCs w:val="22"/>
        </w:rPr>
        <w:t>0</w:t>
      </w:r>
    </w:p>
    <w:p w:rsidRPr="00080024" w:rsidR="00080024" w:rsidP="008A5DAD" w:rsidRDefault="00080024" w14:paraId="7241E03B" w14:textId="77777777">
      <w:pPr>
        <w:ind w:left="1440"/>
        <w:contextualSpacing/>
        <w:rPr>
          <w:rFonts w:ascii="Cambria" w:hAnsi="Cambria" w:eastAsia="Calibri"/>
          <w:i/>
          <w:szCs w:val="22"/>
        </w:rPr>
      </w:pPr>
    </w:p>
    <w:p w:rsidRPr="00080024" w:rsidR="00080024" w:rsidP="008A5DAD" w:rsidRDefault="00080024" w14:paraId="644422A7" w14:textId="77777777">
      <w:pPr>
        <w:numPr>
          <w:ilvl w:val="0"/>
          <w:numId w:val="16"/>
        </w:numPr>
        <w:contextualSpacing/>
        <w:rPr>
          <w:rFonts w:ascii="Cambria" w:hAnsi="Cambria" w:eastAsia="Calibri"/>
          <w:i/>
          <w:szCs w:val="22"/>
        </w:rPr>
      </w:pPr>
      <w:r w:rsidRPr="00080024">
        <w:rPr>
          <w:rFonts w:ascii="Cambria" w:hAnsi="Cambria" w:eastAsia="Calibri"/>
          <w:szCs w:val="22"/>
        </w:rPr>
        <w:t>Total Operational and Maintenance Cost: $</w:t>
      </w:r>
      <w:r w:rsidR="008A5DAD">
        <w:rPr>
          <w:rFonts w:ascii="Cambria" w:hAnsi="Cambria" w:eastAsia="Calibri"/>
          <w:szCs w:val="22"/>
        </w:rPr>
        <w:t>0</w:t>
      </w:r>
    </w:p>
    <w:p w:rsidRPr="00080024" w:rsidR="00080024" w:rsidP="008A5DAD" w:rsidRDefault="00080024" w14:paraId="24F25E2D" w14:textId="77777777">
      <w:pPr>
        <w:rPr>
          <w:rFonts w:ascii="Cambria" w:hAnsi="Cambria" w:eastAsia="Calibri"/>
          <w:i/>
          <w:szCs w:val="22"/>
        </w:rPr>
      </w:pPr>
    </w:p>
    <w:p w:rsidRPr="00080024" w:rsidR="00080024" w:rsidP="008A5DAD" w:rsidRDefault="00080024" w14:paraId="0113A158" w14:textId="77777777">
      <w:pPr>
        <w:rPr>
          <w:rFonts w:ascii="Cambria" w:hAnsi="Cambria" w:eastAsia="Calibri"/>
          <w:szCs w:val="22"/>
        </w:rPr>
      </w:pPr>
      <w:r w:rsidRPr="00080024">
        <w:rPr>
          <w:rFonts w:ascii="Cambria" w:hAnsi="Cambria" w:eastAsia="Calibri"/>
          <w:szCs w:val="22"/>
        </w:rPr>
        <w:t>Part C: TOTAL COST TO THE FEDERAL GOVERNMENT</w:t>
      </w:r>
    </w:p>
    <w:p w:rsidRPr="00080024" w:rsidR="00080024" w:rsidP="008A5DAD" w:rsidRDefault="00080024" w14:paraId="69215AE6" w14:textId="77777777">
      <w:pPr>
        <w:rPr>
          <w:rFonts w:ascii="Cambria" w:hAnsi="Cambria" w:eastAsia="Calibri"/>
          <w:szCs w:val="22"/>
        </w:rPr>
      </w:pPr>
    </w:p>
    <w:p w:rsidRPr="00080024" w:rsidR="00080024" w:rsidP="008A5DAD" w:rsidRDefault="00080024" w14:paraId="3FA910A8" w14:textId="77777777">
      <w:pPr>
        <w:numPr>
          <w:ilvl w:val="0"/>
          <w:numId w:val="17"/>
        </w:numPr>
        <w:contextualSpacing/>
        <w:rPr>
          <w:rFonts w:ascii="Cambria" w:hAnsi="Cambria" w:eastAsia="Calibri"/>
          <w:szCs w:val="22"/>
        </w:rPr>
      </w:pPr>
      <w:r w:rsidRPr="00080024">
        <w:rPr>
          <w:rFonts w:ascii="Cambria" w:hAnsi="Cambria" w:eastAsia="Calibri"/>
          <w:szCs w:val="22"/>
        </w:rPr>
        <w:t>Total Labor Cost to the Federal Government: $</w:t>
      </w:r>
      <w:r w:rsidR="008A5DAD">
        <w:rPr>
          <w:rFonts w:ascii="Cambria" w:hAnsi="Cambria" w:eastAsia="Calibri"/>
          <w:szCs w:val="22"/>
        </w:rPr>
        <w:t>702,020.00</w:t>
      </w:r>
    </w:p>
    <w:p w:rsidRPr="00080024" w:rsidR="00080024" w:rsidP="008A5DAD" w:rsidRDefault="00080024" w14:paraId="53F0DFF0" w14:textId="77777777">
      <w:pPr>
        <w:ind w:left="720"/>
        <w:contextualSpacing/>
        <w:rPr>
          <w:rFonts w:ascii="Cambria" w:hAnsi="Cambria" w:eastAsia="Calibri"/>
          <w:szCs w:val="22"/>
        </w:rPr>
      </w:pPr>
    </w:p>
    <w:p w:rsidR="001025FA" w:rsidP="008A5DAD" w:rsidRDefault="00080024" w14:paraId="5ACBCB09" w14:textId="77777777">
      <w:pPr>
        <w:numPr>
          <w:ilvl w:val="0"/>
          <w:numId w:val="17"/>
        </w:numPr>
        <w:contextualSpacing/>
        <w:rPr>
          <w:rFonts w:ascii="Cambria" w:hAnsi="Cambria" w:eastAsia="Calibri"/>
          <w:szCs w:val="22"/>
        </w:rPr>
      </w:pPr>
      <w:r w:rsidRPr="00080024">
        <w:rPr>
          <w:rFonts w:ascii="Cambria" w:hAnsi="Cambria" w:eastAsia="Calibri"/>
          <w:szCs w:val="22"/>
        </w:rPr>
        <w:t>Total Operational and Maintenance Costs: $</w:t>
      </w:r>
      <w:r w:rsidR="008A5DAD">
        <w:rPr>
          <w:rFonts w:ascii="Cambria" w:hAnsi="Cambria" w:eastAsia="Calibri"/>
          <w:szCs w:val="22"/>
        </w:rPr>
        <w:t>0</w:t>
      </w:r>
    </w:p>
    <w:p w:rsidRPr="001025FA" w:rsidR="001025FA" w:rsidP="008A5DAD" w:rsidRDefault="001025FA" w14:paraId="5738F1BC" w14:textId="77777777">
      <w:pPr>
        <w:ind w:left="360"/>
        <w:rPr>
          <w:rFonts w:ascii="Cambria" w:hAnsi="Cambria" w:eastAsia="Calibri"/>
          <w:szCs w:val="22"/>
        </w:rPr>
      </w:pPr>
    </w:p>
    <w:p w:rsidRPr="008A5DAD" w:rsidR="006710A7" w:rsidP="008A5DAD" w:rsidRDefault="00080024" w14:paraId="3E9E8E7E" w14:textId="77777777">
      <w:pPr>
        <w:numPr>
          <w:ilvl w:val="0"/>
          <w:numId w:val="17"/>
        </w:numPr>
        <w:contextualSpacing/>
        <w:rPr>
          <w:rFonts w:ascii="Cambria" w:hAnsi="Cambria" w:eastAsia="Calibri"/>
          <w:szCs w:val="22"/>
        </w:rPr>
      </w:pPr>
      <w:r w:rsidRPr="001025FA">
        <w:rPr>
          <w:rFonts w:ascii="Cambria" w:hAnsi="Cambria" w:eastAsia="Calibri"/>
          <w:szCs w:val="22"/>
        </w:rPr>
        <w:t>Total Cost to the Federal Government: $</w:t>
      </w:r>
      <w:r w:rsidR="008A5DAD">
        <w:rPr>
          <w:rFonts w:ascii="Cambria" w:hAnsi="Cambria" w:eastAsia="Calibri"/>
          <w:szCs w:val="22"/>
        </w:rPr>
        <w:t>702,020.00</w:t>
      </w:r>
    </w:p>
    <w:p w:rsidRPr="006710A7" w:rsidR="006710A7" w:rsidP="006710A7" w:rsidRDefault="006710A7" w14:paraId="63CD3F67" w14:textId="77777777">
      <w:pPr>
        <w:rPr>
          <w:rFonts w:ascii="Cambria" w:hAnsi="Cambria" w:eastAsia="Calibri"/>
          <w:szCs w:val="22"/>
        </w:rPr>
      </w:pPr>
    </w:p>
    <w:p w:rsidRPr="006710A7" w:rsidR="006710A7" w:rsidP="006710A7" w:rsidRDefault="006710A7" w14:paraId="54064522" w14:textId="77777777">
      <w:pPr>
        <w:rPr>
          <w:rFonts w:ascii="Cambria" w:hAnsi="Cambria" w:eastAsia="Calibri"/>
          <w:szCs w:val="22"/>
          <w:u w:val="single"/>
        </w:rPr>
      </w:pPr>
      <w:r w:rsidRPr="006710A7">
        <w:rPr>
          <w:rFonts w:ascii="Cambria" w:hAnsi="Cambria" w:eastAsia="Calibri"/>
          <w:szCs w:val="22"/>
        </w:rPr>
        <w:t xml:space="preserve">15. </w:t>
      </w:r>
      <w:r w:rsidRPr="006710A7">
        <w:rPr>
          <w:rFonts w:ascii="Cambria" w:hAnsi="Cambria" w:eastAsia="Calibri"/>
          <w:szCs w:val="22"/>
        </w:rPr>
        <w:tab/>
      </w:r>
      <w:r w:rsidRPr="006710A7">
        <w:rPr>
          <w:rFonts w:ascii="Cambria" w:hAnsi="Cambria" w:eastAsia="Calibri"/>
          <w:szCs w:val="22"/>
          <w:u w:val="single"/>
        </w:rPr>
        <w:t>Reasons for Change in Burden</w:t>
      </w:r>
    </w:p>
    <w:p w:rsidRPr="006710A7" w:rsidR="006710A7" w:rsidP="006710A7" w:rsidRDefault="006710A7" w14:paraId="0F9706B7" w14:textId="6A0741C2">
      <w:pPr>
        <w:rPr>
          <w:rFonts w:ascii="Cambria" w:hAnsi="Cambria" w:eastAsia="Calibri"/>
          <w:szCs w:val="22"/>
        </w:rPr>
      </w:pPr>
      <w:r w:rsidRPr="006710A7">
        <w:rPr>
          <w:rFonts w:ascii="Cambria" w:hAnsi="Cambria" w:eastAsia="Calibri"/>
          <w:szCs w:val="22"/>
        </w:rPr>
        <w:t>This is a</w:t>
      </w:r>
      <w:r w:rsidR="00EE1A26">
        <w:rPr>
          <w:rFonts w:ascii="Cambria" w:hAnsi="Cambria" w:eastAsia="Calibri"/>
          <w:szCs w:val="22"/>
        </w:rPr>
        <w:t>n e</w:t>
      </w:r>
      <w:r w:rsidRPr="00EE1A26" w:rsidR="00EE1A26">
        <w:rPr>
          <w:rFonts w:ascii="Cambria" w:hAnsi="Cambria" w:eastAsia="Calibri"/>
          <w:szCs w:val="22"/>
        </w:rPr>
        <w:t>xtension without change of a currently approved collection</w:t>
      </w:r>
      <w:r w:rsidRPr="006710A7">
        <w:rPr>
          <w:rFonts w:ascii="Cambria" w:hAnsi="Cambria" w:eastAsia="Calibri"/>
          <w:szCs w:val="22"/>
        </w:rPr>
        <w:t xml:space="preserve">. </w:t>
      </w:r>
    </w:p>
    <w:p w:rsidRPr="006710A7" w:rsidR="006710A7" w:rsidP="006710A7" w:rsidRDefault="006710A7" w14:paraId="2FE95A65" w14:textId="77777777">
      <w:pPr>
        <w:rPr>
          <w:rFonts w:ascii="Cambria" w:hAnsi="Cambria" w:eastAsia="Calibri"/>
          <w:szCs w:val="22"/>
        </w:rPr>
      </w:pPr>
    </w:p>
    <w:p w:rsidRPr="006710A7" w:rsidR="006710A7" w:rsidP="006710A7" w:rsidRDefault="006710A7" w14:paraId="263DAC36" w14:textId="77777777">
      <w:pPr>
        <w:rPr>
          <w:rFonts w:ascii="Cambria" w:hAnsi="Cambria" w:eastAsia="Calibri"/>
          <w:szCs w:val="22"/>
        </w:rPr>
      </w:pPr>
      <w:r w:rsidRPr="006710A7">
        <w:rPr>
          <w:rFonts w:ascii="Cambria" w:hAnsi="Cambria" w:eastAsia="Calibri"/>
          <w:szCs w:val="22"/>
        </w:rPr>
        <w:t xml:space="preserve">16. </w:t>
      </w:r>
      <w:r w:rsidRPr="006710A7">
        <w:rPr>
          <w:rFonts w:ascii="Cambria" w:hAnsi="Cambria" w:eastAsia="Calibri"/>
          <w:szCs w:val="22"/>
        </w:rPr>
        <w:tab/>
      </w:r>
      <w:r w:rsidRPr="006710A7">
        <w:rPr>
          <w:rFonts w:ascii="Cambria" w:hAnsi="Cambria" w:eastAsia="Calibri"/>
          <w:szCs w:val="22"/>
          <w:u w:val="single"/>
        </w:rPr>
        <w:t>Publication of Results</w:t>
      </w:r>
      <w:r w:rsidRPr="006710A7">
        <w:rPr>
          <w:rFonts w:ascii="Cambria" w:hAnsi="Cambria" w:eastAsia="Calibri"/>
          <w:szCs w:val="22"/>
        </w:rPr>
        <w:t xml:space="preserve"> </w:t>
      </w:r>
    </w:p>
    <w:p w:rsidRPr="006710A7" w:rsidR="006710A7" w:rsidP="008A5DAD" w:rsidRDefault="006710A7" w14:paraId="27044D17" w14:textId="77777777">
      <w:pPr>
        <w:rPr>
          <w:rFonts w:ascii="Cambria" w:hAnsi="Cambria" w:eastAsia="Calibri"/>
          <w:szCs w:val="22"/>
        </w:rPr>
      </w:pPr>
      <w:r w:rsidRPr="006710A7">
        <w:rPr>
          <w:rFonts w:ascii="Cambria" w:hAnsi="Cambria" w:eastAsia="Calibri"/>
          <w:szCs w:val="22"/>
        </w:rPr>
        <w:t xml:space="preserve">The results of this information collection will not be published. </w:t>
      </w:r>
    </w:p>
    <w:p w:rsidRPr="006710A7" w:rsidR="006710A7" w:rsidP="006710A7" w:rsidRDefault="006710A7" w14:paraId="6B0E2B0B" w14:textId="77777777">
      <w:pPr>
        <w:rPr>
          <w:rFonts w:ascii="Cambria" w:hAnsi="Cambria" w:eastAsia="Calibri"/>
          <w:szCs w:val="22"/>
        </w:rPr>
      </w:pPr>
    </w:p>
    <w:p w:rsidRPr="006710A7" w:rsidR="006710A7" w:rsidP="006710A7" w:rsidRDefault="006710A7" w14:paraId="19962DF9" w14:textId="77777777">
      <w:pPr>
        <w:rPr>
          <w:rFonts w:ascii="Cambria" w:hAnsi="Cambria" w:eastAsia="Calibri"/>
          <w:szCs w:val="22"/>
        </w:rPr>
      </w:pPr>
      <w:r w:rsidRPr="006710A7">
        <w:rPr>
          <w:rFonts w:ascii="Cambria" w:hAnsi="Cambria" w:eastAsia="Calibri"/>
          <w:szCs w:val="22"/>
        </w:rPr>
        <w:lastRenderedPageBreak/>
        <w:t xml:space="preserve">17. </w:t>
      </w:r>
      <w:r w:rsidRPr="006710A7">
        <w:rPr>
          <w:rFonts w:ascii="Cambria" w:hAnsi="Cambria" w:eastAsia="Calibri"/>
          <w:szCs w:val="22"/>
        </w:rPr>
        <w:tab/>
      </w:r>
      <w:r w:rsidRPr="006710A7">
        <w:rPr>
          <w:rFonts w:ascii="Cambria" w:hAnsi="Cambria" w:eastAsia="Calibri"/>
          <w:szCs w:val="22"/>
          <w:u w:val="single"/>
        </w:rPr>
        <w:t>Non-Display of OMB Expiration Date</w:t>
      </w:r>
    </w:p>
    <w:p w:rsidRPr="006710A7" w:rsidR="006710A7" w:rsidP="008A5DAD" w:rsidRDefault="006710A7" w14:paraId="316E6F5E" w14:textId="77777777">
      <w:pPr>
        <w:rPr>
          <w:rFonts w:ascii="Cambria" w:hAnsi="Cambria" w:eastAsia="Calibri"/>
          <w:szCs w:val="22"/>
        </w:rPr>
      </w:pPr>
      <w:r w:rsidRPr="006710A7">
        <w:rPr>
          <w:rFonts w:ascii="Cambria" w:hAnsi="Cambria" w:eastAsia="Calibri"/>
          <w:szCs w:val="22"/>
        </w:rPr>
        <w:t xml:space="preserve">We are seeking approval to omit the display of the expiration date of the OMB approval on the collection instrument to obviate the need to revise or modify electronic systems solely for date changes; however, the expiration date is noted in all instructions. </w:t>
      </w:r>
    </w:p>
    <w:p w:rsidRPr="006710A7" w:rsidR="006710A7" w:rsidP="006710A7" w:rsidRDefault="006710A7" w14:paraId="74B32EAE" w14:textId="77777777">
      <w:pPr>
        <w:rPr>
          <w:rFonts w:ascii="Cambria" w:hAnsi="Cambria" w:eastAsia="Calibri"/>
          <w:szCs w:val="22"/>
        </w:rPr>
      </w:pPr>
    </w:p>
    <w:p w:rsidRPr="006710A7" w:rsidR="006710A7" w:rsidP="006710A7" w:rsidRDefault="006710A7" w14:paraId="1912B8A2" w14:textId="77777777">
      <w:pPr>
        <w:rPr>
          <w:rFonts w:ascii="Cambria" w:hAnsi="Cambria" w:eastAsia="Calibri"/>
          <w:szCs w:val="22"/>
          <w:u w:val="single"/>
        </w:rPr>
      </w:pPr>
      <w:r w:rsidRPr="006710A7">
        <w:rPr>
          <w:rFonts w:ascii="Cambria" w:hAnsi="Cambria" w:eastAsia="Calibri"/>
          <w:szCs w:val="22"/>
        </w:rPr>
        <w:t xml:space="preserve">18. </w:t>
      </w:r>
      <w:r w:rsidRPr="006710A7">
        <w:rPr>
          <w:rFonts w:ascii="Cambria" w:hAnsi="Cambria" w:eastAsia="Calibri"/>
          <w:szCs w:val="22"/>
        </w:rPr>
        <w:tab/>
      </w:r>
      <w:r w:rsidRPr="006710A7">
        <w:rPr>
          <w:rFonts w:ascii="Cambria" w:hAnsi="Cambria" w:eastAsia="Calibri"/>
          <w:szCs w:val="22"/>
          <w:u w:val="single"/>
        </w:rPr>
        <w:t>Exceptions to “Certification for Paperwork Reduction Submissions”</w:t>
      </w:r>
    </w:p>
    <w:p w:rsidRPr="006710A7" w:rsidR="006710A7" w:rsidP="008A5DAD" w:rsidRDefault="006710A7" w14:paraId="7E41D638" w14:textId="77777777">
      <w:pPr>
        <w:rPr>
          <w:rFonts w:ascii="Cambria" w:hAnsi="Cambria" w:eastAsia="Calibri"/>
          <w:szCs w:val="22"/>
        </w:rPr>
      </w:pPr>
      <w:r w:rsidRPr="006710A7">
        <w:rPr>
          <w:rFonts w:ascii="Cambria" w:hAnsi="Cambria" w:eastAsia="Calibri"/>
          <w:szCs w:val="22"/>
        </w:rPr>
        <w:t xml:space="preserve">We are not requesting any exemptions to the provisions stated in 5 CFR 1320.9. </w:t>
      </w:r>
    </w:p>
    <w:p w:rsidRPr="006710A7" w:rsidR="006710A7" w:rsidP="000F5D9E" w:rsidRDefault="006710A7" w14:paraId="3EC42B77" w14:textId="77777777">
      <w:pPr>
        <w:spacing w:after="200" w:line="276" w:lineRule="auto"/>
        <w:rPr>
          <w:rFonts w:ascii="Calibri" w:hAnsi="Calibri" w:eastAsia="Calibri"/>
          <w:sz w:val="22"/>
          <w:szCs w:val="22"/>
        </w:rPr>
      </w:pPr>
    </w:p>
    <w:p w:rsidRPr="006710A7" w:rsidR="00A93CBF" w:rsidP="006710A7" w:rsidRDefault="00A93CBF" w14:paraId="06C4374C" w14:textId="77777777"/>
    <w:sectPr w:rsidRPr="006710A7" w:rsidR="00A93CBF" w:rsidSect="00F144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A001C" w14:textId="77777777" w:rsidR="00711C83" w:rsidRDefault="00711C83" w:rsidP="00D74D55">
      <w:r>
        <w:separator/>
      </w:r>
    </w:p>
  </w:endnote>
  <w:endnote w:type="continuationSeparator" w:id="0">
    <w:p w14:paraId="4484CA55" w14:textId="77777777" w:rsidR="00711C83" w:rsidRDefault="00711C83"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BCD5" w14:textId="4B9C587C" w:rsidR="00D74D55" w:rsidRDefault="00D74D55">
    <w:pPr>
      <w:pStyle w:val="Footer"/>
      <w:jc w:val="center"/>
    </w:pPr>
    <w:r>
      <w:fldChar w:fldCharType="begin"/>
    </w:r>
    <w:r>
      <w:instrText xml:space="preserve"> PAGE   \* MERGEFORMAT </w:instrText>
    </w:r>
    <w:r>
      <w:fldChar w:fldCharType="separate"/>
    </w:r>
    <w:r w:rsidR="00EC72FA">
      <w:rPr>
        <w:noProof/>
      </w:rPr>
      <w:t>6</w:t>
    </w:r>
    <w:r>
      <w:fldChar w:fldCharType="end"/>
    </w:r>
  </w:p>
  <w:p w14:paraId="2845048F"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A0187" w14:textId="77777777" w:rsidR="00711C83" w:rsidRDefault="00711C83" w:rsidP="00D74D55">
      <w:r>
        <w:separator/>
      </w:r>
    </w:p>
  </w:footnote>
  <w:footnote w:type="continuationSeparator" w:id="0">
    <w:p w14:paraId="1B379450" w14:textId="77777777" w:rsidR="00711C83" w:rsidRDefault="00711C83"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4DBF"/>
    <w:multiLevelType w:val="hybridMultilevel"/>
    <w:tmpl w:val="9D92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510C"/>
    <w:multiLevelType w:val="hybridMultilevel"/>
    <w:tmpl w:val="2098C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2359B"/>
    <w:multiLevelType w:val="hybridMultilevel"/>
    <w:tmpl w:val="304AD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510A0A"/>
    <w:multiLevelType w:val="hybridMultilevel"/>
    <w:tmpl w:val="FD9A8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8B52DE"/>
    <w:multiLevelType w:val="hybridMultilevel"/>
    <w:tmpl w:val="EED06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3"/>
  </w:num>
  <w:num w:numId="4">
    <w:abstractNumId w:val="4"/>
  </w:num>
  <w:num w:numId="5">
    <w:abstractNumId w:val="11"/>
  </w:num>
  <w:num w:numId="6">
    <w:abstractNumId w:val="1"/>
  </w:num>
  <w:num w:numId="7">
    <w:abstractNumId w:val="0"/>
  </w:num>
  <w:num w:numId="8">
    <w:abstractNumId w:val="5"/>
  </w:num>
  <w:num w:numId="9">
    <w:abstractNumId w:val="15"/>
  </w:num>
  <w:num w:numId="10">
    <w:abstractNumId w:val="16"/>
  </w:num>
  <w:num w:numId="11">
    <w:abstractNumId w:val="10"/>
  </w:num>
  <w:num w:numId="12">
    <w:abstractNumId w:val="9"/>
  </w:num>
  <w:num w:numId="13">
    <w:abstractNumId w:val="12"/>
  </w:num>
  <w:num w:numId="14">
    <w:abstractNumId w:val="8"/>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33AD3"/>
    <w:rsid w:val="00060028"/>
    <w:rsid w:val="00061F0A"/>
    <w:rsid w:val="00080024"/>
    <w:rsid w:val="000921E7"/>
    <w:rsid w:val="000A2459"/>
    <w:rsid w:val="000F554D"/>
    <w:rsid w:val="000F5D9E"/>
    <w:rsid w:val="001025FA"/>
    <w:rsid w:val="00106C49"/>
    <w:rsid w:val="00184BE8"/>
    <w:rsid w:val="00186408"/>
    <w:rsid w:val="00190E5C"/>
    <w:rsid w:val="001E2071"/>
    <w:rsid w:val="00200B7A"/>
    <w:rsid w:val="00221E93"/>
    <w:rsid w:val="00247CE5"/>
    <w:rsid w:val="00261CAC"/>
    <w:rsid w:val="002834E6"/>
    <w:rsid w:val="0028392D"/>
    <w:rsid w:val="00285F55"/>
    <w:rsid w:val="002A2D12"/>
    <w:rsid w:val="002D3227"/>
    <w:rsid w:val="0030008B"/>
    <w:rsid w:val="0030133E"/>
    <w:rsid w:val="003156FA"/>
    <w:rsid w:val="003568E0"/>
    <w:rsid w:val="003939A5"/>
    <w:rsid w:val="003C11EA"/>
    <w:rsid w:val="004019F6"/>
    <w:rsid w:val="00435B4A"/>
    <w:rsid w:val="00462633"/>
    <w:rsid w:val="00463E57"/>
    <w:rsid w:val="004717C5"/>
    <w:rsid w:val="004749AE"/>
    <w:rsid w:val="00493C24"/>
    <w:rsid w:val="004C7516"/>
    <w:rsid w:val="0050717D"/>
    <w:rsid w:val="00510960"/>
    <w:rsid w:val="00515CB9"/>
    <w:rsid w:val="00556239"/>
    <w:rsid w:val="005C11DE"/>
    <w:rsid w:val="005D6518"/>
    <w:rsid w:val="005E0A0F"/>
    <w:rsid w:val="005E2AA2"/>
    <w:rsid w:val="005E707E"/>
    <w:rsid w:val="00631743"/>
    <w:rsid w:val="00660FE1"/>
    <w:rsid w:val="006710A7"/>
    <w:rsid w:val="006B2B17"/>
    <w:rsid w:val="006E14DF"/>
    <w:rsid w:val="00711C83"/>
    <w:rsid w:val="00711FCE"/>
    <w:rsid w:val="00734CD7"/>
    <w:rsid w:val="00765890"/>
    <w:rsid w:val="007705B3"/>
    <w:rsid w:val="0079132F"/>
    <w:rsid w:val="007B35AE"/>
    <w:rsid w:val="007F2302"/>
    <w:rsid w:val="008002AC"/>
    <w:rsid w:val="00802850"/>
    <w:rsid w:val="00815B33"/>
    <w:rsid w:val="00817BE3"/>
    <w:rsid w:val="0082627B"/>
    <w:rsid w:val="00826A46"/>
    <w:rsid w:val="008376E1"/>
    <w:rsid w:val="008547ED"/>
    <w:rsid w:val="00867DD2"/>
    <w:rsid w:val="008A5DAD"/>
    <w:rsid w:val="008B056A"/>
    <w:rsid w:val="008E2805"/>
    <w:rsid w:val="0090017C"/>
    <w:rsid w:val="00901C10"/>
    <w:rsid w:val="00964632"/>
    <w:rsid w:val="00982DE5"/>
    <w:rsid w:val="009C2174"/>
    <w:rsid w:val="009C423E"/>
    <w:rsid w:val="00A165D1"/>
    <w:rsid w:val="00A418E9"/>
    <w:rsid w:val="00A567B9"/>
    <w:rsid w:val="00A86145"/>
    <w:rsid w:val="00A93CBF"/>
    <w:rsid w:val="00AA0FE5"/>
    <w:rsid w:val="00AB0A0A"/>
    <w:rsid w:val="00AB0C58"/>
    <w:rsid w:val="00AC11D3"/>
    <w:rsid w:val="00AF66E0"/>
    <w:rsid w:val="00B84B17"/>
    <w:rsid w:val="00BB55B6"/>
    <w:rsid w:val="00C07A62"/>
    <w:rsid w:val="00C23F64"/>
    <w:rsid w:val="00C246BA"/>
    <w:rsid w:val="00C34D08"/>
    <w:rsid w:val="00C66AC8"/>
    <w:rsid w:val="00C66D8C"/>
    <w:rsid w:val="00C703B3"/>
    <w:rsid w:val="00C95E04"/>
    <w:rsid w:val="00D101B7"/>
    <w:rsid w:val="00D4145C"/>
    <w:rsid w:val="00D46148"/>
    <w:rsid w:val="00D64E94"/>
    <w:rsid w:val="00D74D55"/>
    <w:rsid w:val="00D819DF"/>
    <w:rsid w:val="00D82A3E"/>
    <w:rsid w:val="00DB0F4D"/>
    <w:rsid w:val="00DC7C8B"/>
    <w:rsid w:val="00E11F3C"/>
    <w:rsid w:val="00E15673"/>
    <w:rsid w:val="00E37C10"/>
    <w:rsid w:val="00E84FAC"/>
    <w:rsid w:val="00E922D2"/>
    <w:rsid w:val="00E96935"/>
    <w:rsid w:val="00EC30B2"/>
    <w:rsid w:val="00EC6C57"/>
    <w:rsid w:val="00EC72FA"/>
    <w:rsid w:val="00EE1A26"/>
    <w:rsid w:val="00EF6635"/>
    <w:rsid w:val="00F1447C"/>
    <w:rsid w:val="00F14694"/>
    <w:rsid w:val="00F16914"/>
    <w:rsid w:val="00F36D34"/>
    <w:rsid w:val="00F4172F"/>
    <w:rsid w:val="00F4701B"/>
    <w:rsid w:val="00F508E6"/>
    <w:rsid w:val="00F92085"/>
    <w:rsid w:val="00F92ACC"/>
    <w:rsid w:val="00F96D68"/>
    <w:rsid w:val="00FA0168"/>
    <w:rsid w:val="00FB386A"/>
    <w:rsid w:val="00FD30A0"/>
    <w:rsid w:val="00FD4539"/>
    <w:rsid w:val="00FE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6B80E"/>
  <w15:chartTrackingRefBased/>
  <w15:docId w15:val="{338688A0-3004-4EE3-9382-C6EDBFBC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Hyperlink">
    <w:name w:val="Hyperlink"/>
    <w:uiPriority w:val="99"/>
    <w:unhideWhenUsed/>
    <w:rsid w:val="005E707E"/>
    <w:rPr>
      <w:color w:val="0000FF"/>
      <w:u w:val="single"/>
    </w:rPr>
  </w:style>
  <w:style w:type="paragraph" w:styleId="BalloonText">
    <w:name w:val="Balloon Text"/>
    <w:basedOn w:val="Normal"/>
    <w:link w:val="BalloonTextChar"/>
    <w:uiPriority w:val="99"/>
    <w:semiHidden/>
    <w:unhideWhenUsed/>
    <w:rsid w:val="00A165D1"/>
    <w:rPr>
      <w:rFonts w:ascii="Tahoma" w:hAnsi="Tahoma" w:cs="Tahoma"/>
      <w:sz w:val="16"/>
      <w:szCs w:val="16"/>
    </w:rPr>
  </w:style>
  <w:style w:type="character" w:customStyle="1" w:styleId="BalloonTextChar">
    <w:name w:val="Balloon Text Char"/>
    <w:link w:val="BalloonText"/>
    <w:uiPriority w:val="99"/>
    <w:semiHidden/>
    <w:rsid w:val="00A165D1"/>
    <w:rPr>
      <w:rFonts w:ascii="Tahoma" w:eastAsia="Times New Roman" w:hAnsi="Tahoma" w:cs="Tahoma"/>
      <w:sz w:val="16"/>
      <w:szCs w:val="16"/>
    </w:rPr>
  </w:style>
  <w:style w:type="character" w:styleId="CommentReference">
    <w:name w:val="annotation reference"/>
    <w:uiPriority w:val="99"/>
    <w:semiHidden/>
    <w:unhideWhenUsed/>
    <w:rsid w:val="00061F0A"/>
    <w:rPr>
      <w:sz w:val="16"/>
      <w:szCs w:val="16"/>
    </w:rPr>
  </w:style>
  <w:style w:type="paragraph" w:styleId="CommentText">
    <w:name w:val="annotation text"/>
    <w:basedOn w:val="Normal"/>
    <w:link w:val="CommentTextChar"/>
    <w:uiPriority w:val="99"/>
    <w:unhideWhenUsed/>
    <w:rsid w:val="00061F0A"/>
    <w:rPr>
      <w:sz w:val="20"/>
      <w:szCs w:val="20"/>
    </w:rPr>
  </w:style>
  <w:style w:type="character" w:customStyle="1" w:styleId="CommentTextChar">
    <w:name w:val="Comment Text Char"/>
    <w:link w:val="CommentText"/>
    <w:uiPriority w:val="99"/>
    <w:rsid w:val="00061F0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61F0A"/>
    <w:rPr>
      <w:b/>
      <w:bCs/>
    </w:rPr>
  </w:style>
  <w:style w:type="character" w:customStyle="1" w:styleId="CommentSubjectChar">
    <w:name w:val="Comment Subject Char"/>
    <w:link w:val="CommentSubject"/>
    <w:uiPriority w:val="99"/>
    <w:semiHidden/>
    <w:rsid w:val="00061F0A"/>
    <w:rPr>
      <w:rFonts w:ascii="Times New Roman" w:eastAsia="Times New Roman" w:hAnsi="Times New Roman"/>
      <w:b/>
      <w:bCs/>
    </w:rPr>
  </w:style>
  <w:style w:type="character" w:styleId="FollowedHyperlink">
    <w:name w:val="FollowedHyperlink"/>
    <w:uiPriority w:val="99"/>
    <w:semiHidden/>
    <w:unhideWhenUsed/>
    <w:rsid w:val="00061F0A"/>
    <w:rPr>
      <w:color w:val="800080"/>
      <w:u w:val="single"/>
    </w:rPr>
  </w:style>
  <w:style w:type="table" w:styleId="TableGrid">
    <w:name w:val="Table Grid"/>
    <w:basedOn w:val="TableNormal"/>
    <w:uiPriority w:val="59"/>
    <w:rsid w:val="007B3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7382">
      <w:bodyDiv w:val="1"/>
      <w:marLeft w:val="0"/>
      <w:marRight w:val="0"/>
      <w:marTop w:val="0"/>
      <w:marBottom w:val="0"/>
      <w:divBdr>
        <w:top w:val="none" w:sz="0" w:space="0" w:color="auto"/>
        <w:left w:val="none" w:sz="0" w:space="0" w:color="auto"/>
        <w:bottom w:val="none" w:sz="0" w:space="0" w:color="auto"/>
        <w:right w:val="none" w:sz="0" w:space="0" w:color="auto"/>
      </w:divBdr>
      <w:divsChild>
        <w:div w:id="127862621">
          <w:marLeft w:val="0"/>
          <w:marRight w:val="0"/>
          <w:marTop w:val="0"/>
          <w:marBottom w:val="0"/>
          <w:divBdr>
            <w:top w:val="none" w:sz="0" w:space="0" w:color="auto"/>
            <w:left w:val="none" w:sz="0" w:space="0" w:color="auto"/>
            <w:bottom w:val="none" w:sz="0" w:space="0" w:color="auto"/>
            <w:right w:val="none" w:sz="0" w:space="0" w:color="auto"/>
          </w:divBdr>
        </w:div>
        <w:div w:id="702905575">
          <w:marLeft w:val="0"/>
          <w:marRight w:val="0"/>
          <w:marTop w:val="0"/>
          <w:marBottom w:val="0"/>
          <w:divBdr>
            <w:top w:val="none" w:sz="0" w:space="0" w:color="auto"/>
            <w:left w:val="none" w:sz="0" w:space="0" w:color="auto"/>
            <w:bottom w:val="none" w:sz="0" w:space="0" w:color="auto"/>
            <w:right w:val="none" w:sz="0" w:space="0" w:color="auto"/>
          </w:divBdr>
        </w:div>
        <w:div w:id="830295551">
          <w:marLeft w:val="0"/>
          <w:marRight w:val="0"/>
          <w:marTop w:val="0"/>
          <w:marBottom w:val="0"/>
          <w:divBdr>
            <w:top w:val="none" w:sz="0" w:space="0" w:color="auto"/>
            <w:left w:val="none" w:sz="0" w:space="0" w:color="auto"/>
            <w:bottom w:val="none" w:sz="0" w:space="0" w:color="auto"/>
            <w:right w:val="none" w:sz="0" w:space="0" w:color="auto"/>
          </w:divBdr>
        </w:div>
        <w:div w:id="1149664752">
          <w:marLeft w:val="0"/>
          <w:marRight w:val="0"/>
          <w:marTop w:val="0"/>
          <w:marBottom w:val="0"/>
          <w:divBdr>
            <w:top w:val="none" w:sz="0" w:space="0" w:color="auto"/>
            <w:left w:val="none" w:sz="0" w:space="0" w:color="auto"/>
            <w:bottom w:val="none" w:sz="0" w:space="0" w:color="auto"/>
            <w:right w:val="none" w:sz="0" w:space="0" w:color="auto"/>
          </w:divBdr>
        </w:div>
        <w:div w:id="1217738365">
          <w:marLeft w:val="0"/>
          <w:marRight w:val="0"/>
          <w:marTop w:val="0"/>
          <w:marBottom w:val="0"/>
          <w:divBdr>
            <w:top w:val="none" w:sz="0" w:space="0" w:color="auto"/>
            <w:left w:val="none" w:sz="0" w:space="0" w:color="auto"/>
            <w:bottom w:val="none" w:sz="0" w:space="0" w:color="auto"/>
            <w:right w:val="none" w:sz="0" w:space="0" w:color="auto"/>
          </w:divBdr>
        </w:div>
        <w:div w:id="1520705108">
          <w:marLeft w:val="0"/>
          <w:marRight w:val="0"/>
          <w:marTop w:val="0"/>
          <w:marBottom w:val="0"/>
          <w:divBdr>
            <w:top w:val="none" w:sz="0" w:space="0" w:color="auto"/>
            <w:left w:val="none" w:sz="0" w:space="0" w:color="auto"/>
            <w:bottom w:val="none" w:sz="0" w:space="0" w:color="auto"/>
            <w:right w:val="none" w:sz="0" w:space="0" w:color="auto"/>
          </w:divBdr>
        </w:div>
        <w:div w:id="1542277614">
          <w:marLeft w:val="0"/>
          <w:marRight w:val="0"/>
          <w:marTop w:val="0"/>
          <w:marBottom w:val="0"/>
          <w:divBdr>
            <w:top w:val="none" w:sz="0" w:space="0" w:color="auto"/>
            <w:left w:val="none" w:sz="0" w:space="0" w:color="auto"/>
            <w:bottom w:val="none" w:sz="0" w:space="0" w:color="auto"/>
            <w:right w:val="none" w:sz="0" w:space="0" w:color="auto"/>
          </w:divBdr>
        </w:div>
        <w:div w:id="1612980317">
          <w:marLeft w:val="0"/>
          <w:marRight w:val="0"/>
          <w:marTop w:val="0"/>
          <w:marBottom w:val="0"/>
          <w:divBdr>
            <w:top w:val="none" w:sz="0" w:space="0" w:color="auto"/>
            <w:left w:val="none" w:sz="0" w:space="0" w:color="auto"/>
            <w:bottom w:val="none" w:sz="0" w:space="0" w:color="auto"/>
            <w:right w:val="none" w:sz="0" w:space="0" w:color="auto"/>
          </w:divBdr>
        </w:div>
        <w:div w:id="2014212489">
          <w:marLeft w:val="0"/>
          <w:marRight w:val="0"/>
          <w:marTop w:val="0"/>
          <w:marBottom w:val="0"/>
          <w:divBdr>
            <w:top w:val="none" w:sz="0" w:space="0" w:color="auto"/>
            <w:left w:val="none" w:sz="0" w:space="0" w:color="auto"/>
            <w:bottom w:val="none" w:sz="0" w:space="0" w:color="auto"/>
            <w:right w:val="none" w:sz="0" w:space="0" w:color="auto"/>
          </w:divBdr>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bfa/dias/policy/rppr/index.j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CRM Navigation URL"><![CDATA[https://crm.osd.mil/CATMS1/main.aspx?etn=ava_tasker&extraqs=id%3d%257bdf27d16b-e44e-e811-80fd-005056940641%257d%26&pagetype=entityrecord, https://crm.osd.mil/CATMS1/main.aspx?etn=ava_tasker&extraqs=id%3d%257bdf27d16b-e44e-e811-80fd-005056940641%257d%26&pagetype=entityrecord]]></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E73043B0BB904080BE052BA74BDAD2" ma:contentTypeVersion="" ma:contentTypeDescription="Create a new document." ma:contentTypeScope="" ma:versionID="54c50bd5dcb4dad4ef09d65feb8a91f3">
  <xsd:schema xmlns:xsd="http://www.w3.org/2001/XMLSchema" xmlns:xs="http://www.w3.org/2001/XMLSchema" xmlns:p="http://schemas.microsoft.com/office/2006/metadata/properties" xmlns:ns2="17F844AA-91C9-4879-94C9-0C9DAC8F54B1" targetNamespace="http://schemas.microsoft.com/office/2006/metadata/properties" ma:root="true" ma:fieldsID="d412df3c2f5d8030964a84b157aeb815" ns2:_="">
    <xsd:import namespace="17F844AA-91C9-4879-94C9-0C9DAC8F54B1"/>
    <xsd:element name="properties">
      <xsd:complexType>
        <xsd:sequence>
          <xsd:element name="documentManagement">
            <xsd:complexType>
              <xsd:all>
                <xsd:element ref="ns2:CRM_x0020_Navigation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844AA-91C9-4879-94C9-0C9DAC8F54B1" elementFormDefault="qualified">
    <xsd:import namespace="http://schemas.microsoft.com/office/2006/documentManagement/types"/>
    <xsd:import namespace="http://schemas.microsoft.com/office/infopath/2007/PartnerControls"/>
    <xsd:element name="CRM_x0020_Navigation_x0020_URL" ma:index="8" nillable="true" ma:displayName="CRM Navigation URL" ma:default="https://crm.osd.mil/CATMS1/main.aspx?etn=ava_tasker&amp;extraqs=id%3d%257bdf27d16b-e44e-e811-80fd-005056940641%257d%26&amp;pagetype=entityrecord" ma:format="Hyperlink" ma:internalName="CRM_x0020_Navigation_x0020_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M_x0020_Navigation_x0020_URL xmlns="17F844AA-91C9-4879-94C9-0C9DAC8F54B1">
      <Url>https://crm.osd.mil/CATMS1/main.aspx?etn=ava_tasker&amp;extraqs=id%3d%257bdf27d16b-e44e-e811-80fd-005056940641%257d%26&amp;pagetype=entityrecord</Url>
      <Description>https://crm.osd.mil/CATMS1/main.aspx?etn=ava_tasker&amp;extraqs=id%3d%257bdf27d16b-e44e-e811-80fd-005056940641%257d%26&amp;pa</Description>
    </CRM_x0020_Navigation_x0020_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E3B92-7A65-42C5-8944-5F059B305DD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3FA02CD-0C4B-46DD-9D06-229F38CC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844AA-91C9-4879-94C9-0C9DAC8F5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A7636-7FB5-4E6D-845C-74E3660104ED}">
  <ds:schemaRefs>
    <ds:schemaRef ds:uri="http://purl.org/dc/elements/1.1/"/>
    <ds:schemaRef ds:uri="http://schemas.microsoft.com/office/2006/metadata/properties"/>
    <ds:schemaRef ds:uri="http://schemas.microsoft.com/office/2006/documentManagement/types"/>
    <ds:schemaRef ds:uri="http://purl.org/dc/terms/"/>
    <ds:schemaRef ds:uri="17F844AA-91C9-4879-94C9-0C9DAC8F54B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E305A60-AC44-473C-9865-EDE9B9026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11650</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2031699</vt:i4>
      </vt:variant>
      <vt:variant>
        <vt:i4>0</vt:i4>
      </vt:variant>
      <vt:variant>
        <vt:i4>0</vt:i4>
      </vt:variant>
      <vt:variant>
        <vt:i4>5</vt:i4>
      </vt:variant>
      <vt:variant>
        <vt:lpwstr>http://www.nsf.gov/bfa/dias/policy/rppr/index.jsp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Schuff, Nicholas A CTR WHS ESD</cp:lastModifiedBy>
  <cp:revision>7</cp:revision>
  <cp:lastPrinted>2017-10-05T16:16:00Z</cp:lastPrinted>
  <dcterms:created xsi:type="dcterms:W3CDTF">2022-03-29T18:02:00Z</dcterms:created>
  <dcterms:modified xsi:type="dcterms:W3CDTF">2022-04-25T14:14:00Z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TH3QXZ4CCXAT-18-2456</vt:lpwstr>
  </property>
  <property fmtid="{D5CDD505-2E9C-101B-9397-08002B2CF9AE}" pid="3" name="_dlc_DocIdItemGuid">
    <vt:lpwstr>1c71d97c-dcea-4007-ab52-270e8754daac</vt:lpwstr>
  </property>
  <property fmtid="{D5CDD505-2E9C-101B-9397-08002B2CF9AE}" pid="4" name="_dlc_DocIdUrl">
    <vt:lpwstr>https://apps.sp.pentagon.mil/sites/dodiic/_layouts/DocIdRedir.aspx?ID=TH3QXZ4CCXAT-18-2456, TH3QXZ4CCXAT-18-2456</vt:lpwstr>
  </property>
  <property fmtid="{D5CDD505-2E9C-101B-9397-08002B2CF9AE}" pid="5" name="DocumentTypes">
    <vt:lpwstr>Supporting Statements Part A</vt:lpwstr>
  </property>
</Properties>
</file>