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465A" w:rsidP="00357C8A" w14:paraId="7268E0CE" w14:textId="77777777">
      <w:pPr>
        <w:jc w:val="center"/>
      </w:pPr>
    </w:p>
    <w:p w:rsidR="00357C8A" w:rsidP="000B02D5" w14:paraId="6A281AFA" w14:textId="17D22297">
      <w:pPr>
        <w:jc w:val="center"/>
        <w:rPr>
          <w:rFonts w:eastAsia="Calibri"/>
        </w:rPr>
      </w:pPr>
      <w:r w:rsidRPr="00357C8A">
        <w:rPr>
          <w:rFonts w:eastAsia="Calibri"/>
        </w:rPr>
        <w:t>United States Food and Drug Administration</w:t>
      </w:r>
    </w:p>
    <w:p w:rsidR="00433FDA" w:rsidP="000B02D5" w14:paraId="7385C029" w14:textId="6D29E5C5">
      <w:pPr>
        <w:jc w:val="center"/>
        <w:rPr>
          <w:rFonts w:eastAsia="Calibri"/>
        </w:rPr>
      </w:pPr>
    </w:p>
    <w:p w:rsidR="00433FDA" w:rsidP="000B02D5" w14:paraId="7B60A096" w14:textId="3556F0EA">
      <w:pPr>
        <w:jc w:val="center"/>
        <w:rPr>
          <w:rFonts w:eastAsia="Calibri"/>
        </w:rPr>
      </w:pPr>
      <w:r>
        <w:rPr>
          <w:rFonts w:eastAsia="Calibri"/>
        </w:rPr>
        <w:t>Center for Tobacco Products</w:t>
      </w:r>
    </w:p>
    <w:p w:rsidR="00357C8A" w:rsidP="00357C8A" w14:paraId="1F9FC61C" w14:textId="77777777">
      <w:pPr>
        <w:jc w:val="center"/>
        <w:rPr>
          <w:rFonts w:eastAsia="Calibri"/>
        </w:rPr>
      </w:pPr>
    </w:p>
    <w:p w:rsidR="00357C8A" w:rsidP="00357C8A" w14:paraId="76B92F88" w14:textId="303283AA">
      <w:pPr>
        <w:jc w:val="center"/>
        <w:rPr>
          <w:rFonts w:eastAsia="Calibri"/>
        </w:rPr>
      </w:pPr>
      <w:r w:rsidRPr="000B02D5">
        <w:rPr>
          <w:rFonts w:eastAsia="Calibri"/>
        </w:rPr>
        <w:t>Warning Plans for Smokeless Tobacco Products</w:t>
      </w:r>
    </w:p>
    <w:p w:rsidR="000B02D5" w:rsidP="00357C8A" w14:paraId="1CF1D41F" w14:textId="77777777">
      <w:pPr>
        <w:jc w:val="center"/>
        <w:rPr>
          <w:rFonts w:eastAsia="Calibri"/>
        </w:rPr>
      </w:pPr>
    </w:p>
    <w:p w:rsidR="00357C8A" w:rsidP="00357C8A" w14:paraId="39617A3B" w14:textId="49741B4C">
      <w:pPr>
        <w:jc w:val="center"/>
        <w:rPr>
          <w:rFonts w:eastAsia="Calibri"/>
        </w:rPr>
      </w:pPr>
      <w:r w:rsidRPr="00357C8A">
        <w:rPr>
          <w:rFonts w:eastAsia="Calibri"/>
        </w:rPr>
        <w:t>OMB Control No. 0910-</w:t>
      </w:r>
      <w:r w:rsidR="000B02D5">
        <w:rPr>
          <w:rFonts w:eastAsia="Calibri"/>
        </w:rPr>
        <w:t>0671</w:t>
      </w:r>
    </w:p>
    <w:p w:rsidR="00357C8A" w:rsidP="00357C8A" w14:paraId="6B9AECCB" w14:textId="77777777">
      <w:pPr>
        <w:jc w:val="center"/>
        <w:rPr>
          <w:rFonts w:eastAsia="Calibri"/>
        </w:rPr>
      </w:pPr>
    </w:p>
    <w:p w:rsidR="00357C8A" w:rsidP="00357C8A" w14:paraId="317B0CE7" w14:textId="77777777">
      <w:pPr>
        <w:jc w:val="center"/>
        <w:rPr>
          <w:rFonts w:eastAsia="Calibri"/>
        </w:rPr>
      </w:pPr>
      <w:r w:rsidRPr="00357C8A">
        <w:rPr>
          <w:rFonts w:eastAsia="Calibri"/>
        </w:rPr>
        <w:t>SUPPORTING STATEMENT</w:t>
      </w:r>
    </w:p>
    <w:p w:rsidR="009B4DF2" w:rsidP="00357C8A" w14:paraId="58AAB5C9" w14:textId="77777777">
      <w:pPr>
        <w:jc w:val="center"/>
        <w:rPr>
          <w:rFonts w:eastAsia="Calibri"/>
        </w:rPr>
      </w:pPr>
    </w:p>
    <w:p w:rsidR="009B4DF2" w:rsidRPr="00357C8A" w:rsidP="009B4DF2" w14:paraId="280CBEE1" w14:textId="40096D10">
      <w:pPr>
        <w:rPr>
          <w:rFonts w:eastAsia="Calibri"/>
        </w:rPr>
      </w:pPr>
      <w:r w:rsidRPr="009122AE">
        <w:rPr>
          <w:rFonts w:eastAsia="Calibri"/>
          <w:u w:val="single"/>
        </w:rPr>
        <w:t>Terms of Clearance</w:t>
      </w:r>
      <w:r>
        <w:rPr>
          <w:rFonts w:eastAsia="Calibri"/>
        </w:rPr>
        <w:t xml:space="preserve">: </w:t>
      </w:r>
      <w:r w:rsidR="000B02D5">
        <w:rPr>
          <w:rFonts w:eastAsia="Calibri"/>
        </w:rPr>
        <w:t>None</w:t>
      </w:r>
    </w:p>
    <w:p w:rsidR="00357C8A" w:rsidRPr="00357C8A" w:rsidP="00357C8A" w14:paraId="0C0395EF" w14:textId="77777777">
      <w:pPr>
        <w:rPr>
          <w:rFonts w:eastAsia="Calibri"/>
          <w:b/>
        </w:rPr>
      </w:pPr>
    </w:p>
    <w:p w:rsidR="00357C8A" w:rsidP="000D79CC" w14:paraId="009B9D49" w14:textId="77777777">
      <w:pPr>
        <w:rPr>
          <w:rFonts w:eastAsia="Calibri"/>
        </w:rPr>
      </w:pPr>
      <w:r w:rsidRPr="00357C8A">
        <w:rPr>
          <w:rFonts w:eastAsia="Calibri"/>
          <w:b/>
        </w:rPr>
        <w:t>Part A:  Justification</w:t>
      </w:r>
      <w:r w:rsidRPr="00357C8A">
        <w:rPr>
          <w:rFonts w:eastAsia="Calibri"/>
        </w:rPr>
        <w:t>:</w:t>
      </w:r>
    </w:p>
    <w:p w:rsidR="000D79CC" w:rsidRPr="00357C8A" w:rsidP="000D79CC" w14:paraId="6CEDBA7B" w14:textId="77777777">
      <w:pPr>
        <w:rPr>
          <w:rFonts w:eastAsia="Calibri"/>
        </w:rPr>
      </w:pPr>
    </w:p>
    <w:p w:rsidR="00357C8A" w:rsidRPr="00357C8A" w:rsidP="006705EA" w14:paraId="7717ED07"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A13BFD" w:rsidP="000B02D5" w14:paraId="10512638" w14:textId="34194DD6">
      <w:pPr>
        <w:ind w:left="360"/>
        <w:rPr>
          <w:rFonts w:eastAsia="Calibri"/>
        </w:rPr>
      </w:pPr>
      <w:r w:rsidRPr="005C71CA">
        <w:rPr>
          <w:rFonts w:eastAsia="Calibri"/>
        </w:rPr>
        <w:t xml:space="preserve">This information collection supports Food and Drug Administration (FDA, </w:t>
      </w:r>
      <w:r w:rsidRPr="005C71CA">
        <w:rPr>
          <w:rFonts w:eastAsia="Calibri"/>
        </w:rPr>
        <w:t>us</w:t>
      </w:r>
      <w:r w:rsidRPr="005C71CA">
        <w:rPr>
          <w:rFonts w:eastAsia="Calibri"/>
        </w:rPr>
        <w:t xml:space="preserve"> or we) guidance.</w:t>
      </w:r>
      <w:r>
        <w:rPr>
          <w:rFonts w:eastAsia="Calibri"/>
        </w:rPr>
        <w:t xml:space="preserve"> </w:t>
      </w:r>
      <w:r w:rsidRPr="00A13BFD">
        <w:rPr>
          <w:rFonts w:eastAsia="Calibri"/>
        </w:rPr>
        <w:t xml:space="preserve">Tobacco products are governed by chapter IX of the Federal Food, Drug, and Cosmetic Act (sections 900 through 920) (21 U.S.C. 387 through 21 U.S.C. 387t).  </w:t>
      </w:r>
    </w:p>
    <w:p w:rsidR="00A13BFD" w:rsidP="000B02D5" w14:paraId="296893E8" w14:textId="77777777">
      <w:pPr>
        <w:ind w:left="360"/>
        <w:rPr>
          <w:rFonts w:eastAsia="Calibri"/>
        </w:rPr>
      </w:pPr>
    </w:p>
    <w:p w:rsidR="00423272" w:rsidP="000B02D5" w14:paraId="0388E53E" w14:textId="4E00011F">
      <w:pPr>
        <w:ind w:left="360"/>
        <w:rPr>
          <w:rFonts w:eastAsia="Calibri"/>
        </w:rPr>
      </w:pPr>
      <w:r w:rsidRPr="00A13BFD">
        <w:rPr>
          <w:rFonts w:eastAsia="Calibri"/>
        </w:rPr>
        <w:t xml:space="preserve">Section 3 of the Comprehensive Smokeless Tobacco Health Education Act of 1986 (the Smokeless Tobacco Act) (15 U.S.C. 4402) </w:t>
      </w:r>
      <w:r w:rsidR="00DE57E8">
        <w:t>as amended by section 204 of the Tobacco Control Act,</w:t>
      </w:r>
      <w:r w:rsidRPr="00A13BFD" w:rsidR="00DE57E8">
        <w:rPr>
          <w:rFonts w:eastAsia="Calibri"/>
        </w:rPr>
        <w:t xml:space="preserve"> </w:t>
      </w:r>
      <w:r w:rsidRPr="00A13BFD">
        <w:rPr>
          <w:rFonts w:eastAsia="Calibri"/>
        </w:rPr>
        <w:t>requires, among other things, that all smokeless tobacco product packages and advertisements bear one of four required warning statements.  Section (b)(3)(A) of 15 U.S.C. 4402 requires that the warnings be displayed on packaging and advertising for each brand of smokeless tobacco "in accordance with a plan submitted by the tobacco product manufacturer, importer, distributor, or retailer" to, and approved by, FDA.</w:t>
      </w:r>
    </w:p>
    <w:p w:rsidR="00A13BFD" w:rsidP="000B02D5" w14:paraId="031AA115" w14:textId="2BFEF3BD">
      <w:pPr>
        <w:ind w:left="360"/>
        <w:rPr>
          <w:rFonts w:eastAsia="Calibri"/>
        </w:rPr>
      </w:pPr>
    </w:p>
    <w:p w:rsidR="00AB2E62" w:rsidP="000B02D5" w14:paraId="650AB6EC" w14:textId="4969A842">
      <w:pPr>
        <w:ind w:left="360"/>
        <w:rPr>
          <w:rFonts w:eastAsia="Calibri"/>
        </w:rPr>
      </w:pPr>
      <w:r w:rsidRPr="00A13BFD">
        <w:rPr>
          <w:rFonts w:eastAsia="Calibri"/>
        </w:rPr>
        <w:t xml:space="preserve">To implement these statutory requirements, warning plans are reviewed by FDA, upon submission by respondents.  FDA published </w:t>
      </w:r>
      <w:r w:rsidR="00BE489B">
        <w:rPr>
          <w:rFonts w:eastAsia="Calibri"/>
        </w:rPr>
        <w:t xml:space="preserve">draft </w:t>
      </w:r>
      <w:r w:rsidRPr="00A13BFD">
        <w:rPr>
          <w:rFonts w:eastAsia="Calibri"/>
        </w:rPr>
        <w:t xml:space="preserve">guidance </w:t>
      </w:r>
      <w:r>
        <w:rPr>
          <w:rFonts w:eastAsia="Calibri"/>
        </w:rPr>
        <w:t>entitled “</w:t>
      </w:r>
      <w:r w:rsidRPr="00A13BFD">
        <w:rPr>
          <w:rFonts w:eastAsia="Calibri"/>
        </w:rPr>
        <w:t>Submission of Warning Plans for Cigarettes and Smokeless Tobacco Products</w:t>
      </w:r>
      <w:r>
        <w:rPr>
          <w:rFonts w:eastAsia="Calibri"/>
        </w:rPr>
        <w:t xml:space="preserve">” </w:t>
      </w:r>
      <w:r w:rsidRPr="00A13BFD">
        <w:rPr>
          <w:rFonts w:eastAsia="Calibri"/>
        </w:rPr>
        <w:t>on September 9, 2011, which describes the information and format to be submitted for smokeless plans (</w:t>
      </w:r>
      <w:hyperlink r:id="rId7" w:history="1">
        <w:r w:rsidRPr="00871C41">
          <w:rPr>
            <w:rStyle w:val="Hyperlink"/>
            <w:rFonts w:eastAsia="Calibri"/>
          </w:rPr>
          <w:t>https://www.fda.gov/regulatory-information/search-fda-guidance-documents/submission-warning-plans-cigarettes-and-smokeless-tobacco-products</w:t>
        </w:r>
      </w:hyperlink>
      <w:r w:rsidRPr="00A13BFD">
        <w:rPr>
          <w:rFonts w:eastAsia="Calibri"/>
        </w:rPr>
        <w:t>).</w:t>
      </w:r>
      <w:r>
        <w:rPr>
          <w:rFonts w:eastAsia="Calibri"/>
        </w:rPr>
        <w:t xml:space="preserve"> </w:t>
      </w:r>
    </w:p>
    <w:p w:rsidR="00AB2E62" w:rsidP="000B02D5" w14:paraId="2DA5C269" w14:textId="77777777">
      <w:pPr>
        <w:ind w:left="360"/>
        <w:rPr>
          <w:rFonts w:eastAsia="Calibri"/>
        </w:rPr>
      </w:pPr>
    </w:p>
    <w:p w:rsidR="00A13BFD" w:rsidP="000B02D5" w14:paraId="6ED965EF" w14:textId="67186349">
      <w:pPr>
        <w:ind w:left="360"/>
        <w:rPr>
          <w:rFonts w:eastAsia="Calibri"/>
        </w:rPr>
      </w:pPr>
      <w:r w:rsidRPr="00A13BFD">
        <w:rPr>
          <w:rFonts w:eastAsia="Calibri"/>
        </w:rPr>
        <w:t>Submitters may also visit a webpage that describes the smokeless tobacco labeling and warning statement requirements (</w:t>
      </w:r>
      <w:hyperlink r:id="rId8" w:history="1">
        <w:r w:rsidRPr="00871C41">
          <w:rPr>
            <w:rStyle w:val="Hyperlink"/>
            <w:rFonts w:eastAsia="Calibri"/>
          </w:rPr>
          <w:t>https://www.fda.gov/tobacco-products/labeling-and-warning-statements-tobacco-products/smokeless-tobacco-labeling-and-warning-statement-requirements</w:t>
        </w:r>
      </w:hyperlink>
      <w:r w:rsidRPr="00A13BFD">
        <w:rPr>
          <w:rFonts w:eastAsia="Calibri"/>
        </w:rPr>
        <w:t>).</w:t>
      </w:r>
      <w:r>
        <w:rPr>
          <w:rFonts w:eastAsia="Calibri"/>
        </w:rPr>
        <w:t xml:space="preserve"> </w:t>
      </w:r>
      <w:r w:rsidRPr="00A13BFD">
        <w:rPr>
          <w:rFonts w:eastAsia="Calibri"/>
        </w:rPr>
        <w:t>Additionally, FDA considers a submission to be a supplement if the submitter is seeking approval of a change to an FDA-approved warning plan.</w:t>
      </w:r>
    </w:p>
    <w:p w:rsidR="00423272" w:rsidP="00423272" w14:paraId="35CF2569" w14:textId="77777777">
      <w:pPr>
        <w:rPr>
          <w:rFonts w:eastAsia="Calibri"/>
        </w:rPr>
      </w:pPr>
    </w:p>
    <w:p w:rsidR="00423272" w:rsidP="000B02D5" w14:paraId="66DAF539" w14:textId="273CA992">
      <w:pPr>
        <w:ind w:left="360"/>
        <w:rPr>
          <w:rFonts w:eastAsia="Calibri"/>
        </w:rPr>
      </w:pPr>
      <w:r w:rsidRPr="005C71CA">
        <w:rPr>
          <w:rFonts w:eastAsia="Calibri"/>
        </w:rPr>
        <w:t xml:space="preserve">We therefore request extension of OMB approval of </w:t>
      </w:r>
      <w:r w:rsidR="000B02D5">
        <w:rPr>
          <w:rFonts w:eastAsia="Calibri"/>
        </w:rPr>
        <w:t xml:space="preserve">information collection </w:t>
      </w:r>
      <w:r w:rsidRPr="005C71CA">
        <w:rPr>
          <w:rFonts w:eastAsia="Calibri"/>
        </w:rPr>
        <w:t>provisions as discussed in this supporting statement</w:t>
      </w:r>
      <w:r w:rsidR="00AB2E62">
        <w:rPr>
          <w:rFonts w:eastAsia="Calibri"/>
        </w:rPr>
        <w:t>.</w:t>
      </w:r>
    </w:p>
    <w:p w:rsidR="00AB2E62" w:rsidRPr="00423272" w:rsidP="000B02D5" w14:paraId="4FF03966" w14:textId="77777777">
      <w:pPr>
        <w:ind w:left="360"/>
        <w:rPr>
          <w:rFonts w:eastAsia="Calibri"/>
          <w:i/>
        </w:rPr>
      </w:pPr>
    </w:p>
    <w:p w:rsidR="00357C8A" w:rsidRPr="00AB2E62" w:rsidP="00AB2E62" w14:paraId="56C90CA5" w14:textId="44CF54A6">
      <w:pPr>
        <w:pStyle w:val="ListParagraph"/>
        <w:numPr>
          <w:ilvl w:val="0"/>
          <w:numId w:val="6"/>
        </w:numPr>
        <w:spacing w:after="200"/>
        <w:rPr>
          <w:rFonts w:eastAsia="Calibri"/>
          <w:u w:val="single"/>
        </w:rPr>
      </w:pPr>
      <w:r w:rsidRPr="00AB2E62">
        <w:rPr>
          <w:rFonts w:eastAsia="Calibri"/>
          <w:u w:val="single"/>
        </w:rPr>
        <w:t xml:space="preserve">Purpose and Use of the Information Collection </w:t>
      </w:r>
    </w:p>
    <w:p w:rsidR="00AB2E62" w:rsidP="00AB2E62" w14:paraId="486655C9" w14:textId="04607AF8">
      <w:pPr>
        <w:ind w:left="360"/>
      </w:pPr>
      <w:r w:rsidRPr="00221EBF">
        <w:t>This information collectio</w:t>
      </w:r>
      <w:r>
        <w:t xml:space="preserve">n for </w:t>
      </w:r>
      <w:r w:rsidRPr="00221EBF">
        <w:t xml:space="preserve">the submission to FDA of warning plans for smokeless tobacco products--is statutorily mandated.  The warning plans will be reviewed by FDA, as required by the Smokeless Tobacco Act, to determine whether the companies’ plans for the equal </w:t>
      </w:r>
      <w:r w:rsidRPr="00221EBF">
        <w:t>distribution and display of warning statements on packaging and the quarterly rotation of warning statements in advertising for each brand of smokeless tobacco products comply with section 3 of the Smokeless Tobacco Act, as amended.</w:t>
      </w:r>
    </w:p>
    <w:p w:rsidR="00AB2E62" w:rsidP="00AB2E62" w14:paraId="18F5E8D9" w14:textId="77777777">
      <w:pPr>
        <w:ind w:left="720"/>
      </w:pPr>
    </w:p>
    <w:p w:rsidR="00AB2E62" w:rsidP="00AB2E62" w14:paraId="2CF284BB" w14:textId="045A2DA0">
      <w:pPr>
        <w:ind w:left="360"/>
      </w:pPr>
      <w:r w:rsidRPr="007F0A08">
        <w:t xml:space="preserve">This collection of information is </w:t>
      </w:r>
      <w:r>
        <w:t>being collected from p</w:t>
      </w:r>
      <w:r w:rsidRPr="007F0A08">
        <w:t xml:space="preserve">rivate </w:t>
      </w:r>
      <w:r>
        <w:t>s</w:t>
      </w:r>
      <w:r w:rsidRPr="007F0A08">
        <w:t>ector for</w:t>
      </w:r>
      <w:r>
        <w:t>-</w:t>
      </w:r>
      <w:r w:rsidRPr="007F0A08">
        <w:t>profit businesses</w:t>
      </w:r>
      <w:r>
        <w:t>.</w:t>
      </w:r>
    </w:p>
    <w:p w:rsidR="00AB2E62" w:rsidRPr="007F0A08" w:rsidP="00AB2E62" w14:paraId="12950914" w14:textId="77777777">
      <w:pPr>
        <w:ind w:left="360"/>
      </w:pPr>
    </w:p>
    <w:p w:rsidR="00357C8A" w:rsidRPr="00357C8A" w:rsidP="006705EA" w14:paraId="23DE8BA1"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AB64D4" w:rsidP="00AB64D4" w14:paraId="495F74FE" w14:textId="5221D08E">
      <w:pPr>
        <w:ind w:left="360"/>
      </w:pPr>
      <w:r w:rsidRPr="63511B40">
        <w:t xml:space="preserve">Warning plans can be submitted either electronically or in paper format. </w:t>
      </w:r>
      <w:r w:rsidRPr="007F0A08">
        <w:t xml:space="preserve">FDA estimates 90 percent </w:t>
      </w:r>
      <w:r>
        <w:t xml:space="preserve">of the expected respondents to this collection of information </w:t>
      </w:r>
      <w:r w:rsidRPr="007F0A08">
        <w:t xml:space="preserve">will submit </w:t>
      </w:r>
      <w:r>
        <w:t xml:space="preserve">their warning plans </w:t>
      </w:r>
      <w:r w:rsidRPr="007F0A08">
        <w:t>electronically.</w:t>
      </w:r>
      <w:r w:rsidRPr="00AB64D4">
        <w:t xml:space="preserve"> </w:t>
      </w:r>
    </w:p>
    <w:p w:rsidR="00AB64D4" w:rsidP="00AB64D4" w14:paraId="2D830D75" w14:textId="77777777">
      <w:pPr>
        <w:ind w:left="360"/>
      </w:pPr>
    </w:p>
    <w:p w:rsidR="00AB64D4" w:rsidP="00AB64D4" w14:paraId="04D049B9" w14:textId="04B3C013">
      <w:pPr>
        <w:ind w:left="360"/>
      </w:pPr>
      <w:r w:rsidRPr="001F4390">
        <w:rPr>
          <w:rFonts w:eastAsia="Calibri"/>
        </w:rPr>
        <w:t xml:space="preserve">Electronic submission of information is completed via the FDA’s Electronic Submissions Gateway (ESG) </w:t>
      </w:r>
      <w:r w:rsidR="00880936">
        <w:rPr>
          <w:rFonts w:eastAsia="Calibri"/>
        </w:rPr>
        <w:t xml:space="preserve">or Center for Tobacco Products (CTP) Portal </w:t>
      </w:r>
      <w:r w:rsidRPr="001F4390">
        <w:rPr>
          <w:rFonts w:eastAsia="Calibri"/>
        </w:rPr>
        <w:t xml:space="preserve">using FDA’s </w:t>
      </w:r>
      <w:r w:rsidRPr="001F4390">
        <w:rPr>
          <w:rFonts w:eastAsia="Calibri"/>
        </w:rPr>
        <w:t>eSubmitter</w:t>
      </w:r>
      <w:r w:rsidRPr="001F4390">
        <w:rPr>
          <w:rFonts w:eastAsia="Calibri"/>
        </w:rPr>
        <w:t xml:space="preserve"> tool</w:t>
      </w:r>
      <w:r>
        <w:t xml:space="preserve">. </w:t>
      </w:r>
      <w:r w:rsidR="00880936">
        <w:t xml:space="preserve">The </w:t>
      </w:r>
      <w:r w:rsidRPr="00FB7705" w:rsidR="00880936">
        <w:t xml:space="preserve">Center for Tobacco Products (CTP) Portal, available at </w:t>
      </w:r>
      <w:hyperlink r:id="rId9" w:tgtFrame="_blank" w:history="1">
        <w:r w:rsidRPr="00E036B6" w:rsidR="00880936">
          <w:rPr>
            <w:rStyle w:val="Hyperlink"/>
          </w:rPr>
          <w:t>https://ctpportal.fda.gov/​ctpportal/​login.jsp</w:t>
        </w:r>
      </w:hyperlink>
      <w:r w:rsidRPr="00A646D4" w:rsidR="00880936">
        <w:t xml:space="preserve">, </w:t>
      </w:r>
      <w:r w:rsidRPr="00FB7705" w:rsidR="00880936">
        <w:t>provides a secure online system for electronically submitting documents and receiving messages from CTP.</w:t>
      </w:r>
      <w:r w:rsidR="00880936">
        <w:t xml:space="preserve"> </w:t>
      </w:r>
      <w:r w:rsidRPr="00446B9F">
        <w:t>The FDA ESG system requires users to apply for a free account before submitting data, a process which can take</w:t>
      </w:r>
      <w:r>
        <w:t xml:space="preserve"> </w:t>
      </w:r>
      <w:r w:rsidRPr="00446B9F">
        <w:t>one to three weeks</w:t>
      </w:r>
      <w:r>
        <w:t xml:space="preserve"> to complete</w:t>
      </w:r>
      <w:r w:rsidRPr="00446B9F">
        <w:t>.</w:t>
      </w:r>
      <w:r>
        <w:t xml:space="preserve">  </w:t>
      </w:r>
      <w:r w:rsidRPr="00446B9F" w:rsidR="00880936">
        <w:t>Instructions on obtaining an ESG account are available at</w:t>
      </w:r>
      <w:r w:rsidR="00880936">
        <w:t xml:space="preserve"> </w:t>
      </w:r>
      <w:hyperlink r:id="rId10" w:history="1">
        <w:r w:rsidR="00880936">
          <w:rPr>
            <w:rStyle w:val="Hyperlink"/>
          </w:rPr>
          <w:t>https://www.fda.gov/industry/electronic-submissions-gateway/create-esg-account</w:t>
        </w:r>
      </w:hyperlink>
      <w:r w:rsidR="00880936">
        <w:t xml:space="preserve">.  </w:t>
      </w:r>
      <w:r w:rsidRPr="00446B9F">
        <w:t xml:space="preserve">Once approved, the user can send all submissions to CTP using the </w:t>
      </w:r>
      <w:r w:rsidRPr="00446B9F">
        <w:t>eSubmitter</w:t>
      </w:r>
      <w:r w:rsidRPr="00446B9F">
        <w:t xml:space="preserve"> tool and FDA</w:t>
      </w:r>
      <w:r>
        <w:t xml:space="preserve"> </w:t>
      </w:r>
      <w:r w:rsidRPr="00446B9F">
        <w:t>ESG</w:t>
      </w:r>
      <w:r w:rsidR="00880936">
        <w:t xml:space="preserve"> or CTP Portal</w:t>
      </w:r>
      <w:r w:rsidRPr="00446B9F">
        <w:t>.</w:t>
      </w:r>
      <w:r>
        <w:t xml:space="preserve">  </w:t>
      </w:r>
      <w:r w:rsidRPr="00446B9F">
        <w:t>Alternatively,</w:t>
      </w:r>
      <w:r>
        <w:t xml:space="preserve"> respondents can mail submissions to FDA, as instructed in the guidance document.</w:t>
      </w:r>
    </w:p>
    <w:p w:rsidR="00AB64D4" w:rsidRPr="007F0A08" w:rsidP="00AB64D4" w14:paraId="3970EAB4" w14:textId="45A8F4E8">
      <w:pPr>
        <w:ind w:left="360"/>
      </w:pPr>
    </w:p>
    <w:p w:rsidR="00357C8A" w:rsidRPr="00357C8A" w:rsidP="006705EA" w14:paraId="55E2AB3A"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AB64D4" w:rsidP="00AB64D4" w14:paraId="03FD7B8F" w14:textId="252C767C">
      <w:pPr>
        <w:spacing w:after="200"/>
        <w:ind w:left="360"/>
      </w:pPr>
      <w:r w:rsidRPr="005C71CA">
        <w:t>We are unaware of duplicative information collection.</w:t>
      </w:r>
    </w:p>
    <w:p w:rsidR="00357C8A" w:rsidRPr="00357C8A" w:rsidP="006705EA" w14:paraId="2E79C20A"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BE489B" w:rsidRPr="00CE31CF" w:rsidP="00BE489B" w14:paraId="26FCE5CE" w14:textId="72E242F6">
      <w:pPr>
        <w:pStyle w:val="BodyText2"/>
        <w:ind w:left="360"/>
        <w:rPr>
          <w:szCs w:val="24"/>
        </w:rPr>
      </w:pPr>
      <w:r w:rsidRPr="00CE31CF">
        <w:rPr>
          <w:szCs w:val="24"/>
        </w:rPr>
        <w:t xml:space="preserve">The requirement for submission of warning plans does not fall disproportionately upon small businesses.  The Smokeless Tobacco Act requires the submission of this information from manufacturers, distributors, importers, and retailers that manufacture, package, sell, offer to sell, </w:t>
      </w:r>
      <w:r w:rsidRPr="00CE31CF">
        <w:rPr>
          <w:szCs w:val="24"/>
        </w:rPr>
        <w:t>distribute</w:t>
      </w:r>
      <w:r w:rsidRPr="00CE31CF">
        <w:rPr>
          <w:szCs w:val="24"/>
        </w:rPr>
        <w:t xml:space="preserve"> or import for sale or distribution smokeless tobacco products within the United States.  Retailers may be exempt from this requirement under certain circumstances.</w:t>
      </w:r>
    </w:p>
    <w:p w:rsidR="00BE489B" w:rsidRPr="00CE31CF" w:rsidP="00BE489B" w14:paraId="4F08CF3A" w14:textId="77777777">
      <w:pPr>
        <w:pStyle w:val="BodyText2"/>
        <w:ind w:left="1080"/>
        <w:rPr>
          <w:szCs w:val="24"/>
        </w:rPr>
      </w:pPr>
    </w:p>
    <w:p w:rsidR="00357C8A" w:rsidP="00BE489B" w14:paraId="1015D01A" w14:textId="1579247F">
      <w:pPr>
        <w:pStyle w:val="BodyText2"/>
        <w:ind w:left="360"/>
        <w:rPr>
          <w:szCs w:val="24"/>
        </w:rPr>
      </w:pPr>
      <w:r w:rsidRPr="00CE31CF">
        <w:rPr>
          <w:szCs w:val="24"/>
        </w:rPr>
        <w:t xml:space="preserve">CTP has issued </w:t>
      </w:r>
      <w:r>
        <w:rPr>
          <w:szCs w:val="24"/>
        </w:rPr>
        <w:t xml:space="preserve">draft </w:t>
      </w:r>
      <w:r w:rsidRPr="00CE31CF">
        <w:rPr>
          <w:szCs w:val="24"/>
        </w:rPr>
        <w:t>guidance to assist small businesses and other persons required to submit warning plans under the Smokeless Tobacco Act.</w:t>
      </w:r>
    </w:p>
    <w:p w:rsidR="00BE489B" w:rsidRPr="00BE489B" w:rsidP="00BE489B" w14:paraId="6379E5DD" w14:textId="77777777">
      <w:pPr>
        <w:pStyle w:val="BodyText2"/>
        <w:ind w:left="360"/>
      </w:pPr>
    </w:p>
    <w:p w:rsidR="00357C8A" w:rsidRPr="00357C8A" w:rsidP="006705EA" w14:paraId="55FE4ECC"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P="00BE489B" w14:paraId="1821CBD7" w14:textId="00177823">
      <w:pPr>
        <w:ind w:left="360"/>
      </w:pPr>
      <w:r w:rsidRPr="00CE31CF">
        <w:t>Submission of warning plans for smokeless tobacco products to FDA is required so FDA can review and ensure the plan complies with the requirements set forth in the Smokeless Tobacco Act.</w:t>
      </w:r>
      <w:r>
        <w:t xml:space="preserve"> The consequence of collecting this collection of information less frequently could result in a product being misbranded or adulterated.</w:t>
      </w:r>
    </w:p>
    <w:p w:rsidR="00BE489B" w:rsidRPr="00BE489B" w:rsidP="00BE489B" w14:paraId="66DF6275" w14:textId="77777777">
      <w:pPr>
        <w:ind w:left="720"/>
      </w:pPr>
    </w:p>
    <w:p w:rsidR="00357C8A" w:rsidRPr="00357C8A" w:rsidP="006705EA" w14:paraId="0421D53D"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BE489B" w:rsidP="00BE489B" w14:paraId="67042078" w14:textId="1F68743D">
      <w:pPr>
        <w:ind w:left="360"/>
      </w:pPr>
      <w:r>
        <w:t>There are no special circumstances for this collection of information.</w:t>
      </w:r>
    </w:p>
    <w:p w:rsidR="00DE57E8" w:rsidP="00BE489B" w14:paraId="0540115F" w14:textId="05E71606">
      <w:pPr>
        <w:ind w:left="360"/>
      </w:pPr>
    </w:p>
    <w:p w:rsidR="00DE57E8" w:rsidP="00BE489B" w14:paraId="0D44939D" w14:textId="1ADFA0B0">
      <w:pPr>
        <w:ind w:left="360"/>
      </w:pPr>
    </w:p>
    <w:p w:rsidR="00DE57E8" w:rsidP="00BE489B" w14:paraId="102451B0" w14:textId="77777777">
      <w:pPr>
        <w:ind w:left="360"/>
      </w:pPr>
    </w:p>
    <w:p w:rsidR="00357C8A" w:rsidRPr="00357C8A" w:rsidP="0022425B" w14:paraId="20FE381D" w14:textId="245E8EE9">
      <w:pPr>
        <w:spacing w:after="200"/>
        <w:rPr>
          <w:rFonts w:eastAsia="Calibri"/>
        </w:rPr>
      </w:pPr>
    </w:p>
    <w:p w:rsidR="00357C8A" w:rsidRPr="00357C8A" w:rsidP="006705EA" w14:paraId="53BB77CB"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BE489B" w:rsidP="00BE489B" w14:paraId="157BF42D" w14:textId="4AE346AE">
      <w:pPr>
        <w:ind w:left="360"/>
      </w:pPr>
      <w:r w:rsidRPr="00A33598">
        <w:t xml:space="preserve">In the Federal Register of </w:t>
      </w:r>
      <w:r>
        <w:t>May</w:t>
      </w:r>
      <w:r w:rsidRPr="00A33598">
        <w:t xml:space="preserve"> </w:t>
      </w:r>
      <w:r>
        <w:t>09</w:t>
      </w:r>
      <w:r w:rsidRPr="00A33598">
        <w:t>, 20</w:t>
      </w:r>
      <w:r>
        <w:t>22</w:t>
      </w:r>
      <w:r w:rsidRPr="00A33598">
        <w:t xml:space="preserve"> (</w:t>
      </w:r>
      <w:r>
        <w:t>87 FR 27644</w:t>
      </w:r>
      <w:r w:rsidRPr="00A33598">
        <w:t xml:space="preserve">), FDA published a 60-day notice requesting public comment on the proposed collection of information. </w:t>
      </w:r>
      <w:r w:rsidR="00FE62D4">
        <w:t>Two</w:t>
      </w:r>
      <w:r>
        <w:t xml:space="preserve"> comment</w:t>
      </w:r>
      <w:r w:rsidR="00DE57E8">
        <w:t>s</w:t>
      </w:r>
      <w:r>
        <w:t xml:space="preserve"> that w</w:t>
      </w:r>
      <w:r w:rsidR="00DE57E8">
        <w:t>ere</w:t>
      </w:r>
      <w:r>
        <w:t xml:space="preserve"> not PRA related w</w:t>
      </w:r>
      <w:r w:rsidR="00DE57E8">
        <w:t>ere</w:t>
      </w:r>
      <w:r>
        <w:t xml:space="preserve"> received. </w:t>
      </w:r>
    </w:p>
    <w:p w:rsidR="00792947" w:rsidRPr="00357C8A" w:rsidP="00BE489B" w14:paraId="58243D30" w14:textId="4F5320EA">
      <w:pPr>
        <w:ind w:left="360"/>
        <w:rPr>
          <w:rFonts w:eastAsia="Calibri"/>
        </w:rPr>
      </w:pPr>
    </w:p>
    <w:p w:rsidR="00357C8A" w:rsidRPr="00357C8A" w:rsidP="006705EA" w14:paraId="65C8BF15"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773E37" w:rsidP="00773E37" w14:paraId="70D6ADD0" w14:textId="60510A01">
      <w:pPr>
        <w:spacing w:after="200"/>
        <w:ind w:left="360"/>
        <w:rPr>
          <w:rFonts w:eastAsia="Calibri"/>
          <w:i/>
        </w:rPr>
      </w:pPr>
      <w:r w:rsidRPr="002074FE">
        <w:rPr>
          <w:rFonts w:eastAsia="Calibri"/>
        </w:rPr>
        <w:t>There are no incentives, payments or gifts associated with this information collection.</w:t>
      </w:r>
    </w:p>
    <w:p w:rsidR="00357C8A" w:rsidRPr="00357C8A" w:rsidP="006705EA" w14:paraId="76D6F926"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773E37" w:rsidRPr="00773E37" w:rsidP="00773E37" w14:paraId="22DBC52C" w14:textId="77777777">
      <w:pPr>
        <w:ind w:left="360"/>
        <w:rPr>
          <w:rFonts w:eastAsia="Calibri"/>
        </w:rPr>
      </w:pPr>
      <w:r w:rsidRPr="00773E37">
        <w:rPr>
          <w:rFonts w:eastAsia="Calibri"/>
        </w:rPr>
        <w:t xml:space="preserve">Among the laws governing the disclosure of reports submitted under sections 910 and 905 of the FD&amp;C Act are the Freedom of Information Act (FOIA) (5 U.S.C. 552) and FDA’s implementing regulations.  Under FOIA, the public has broad access to agency records, unless the records (or a part of the records) are protected from disclosure by any of the law’s nine exemptions.  </w:t>
      </w:r>
    </w:p>
    <w:p w:rsidR="00773E37" w:rsidRPr="00773E37" w:rsidP="00773E37" w14:paraId="6427E60D" w14:textId="77777777">
      <w:pPr>
        <w:ind w:left="360"/>
        <w:rPr>
          <w:rFonts w:eastAsia="Calibri"/>
        </w:rPr>
      </w:pPr>
    </w:p>
    <w:p w:rsidR="00357C8A" w:rsidP="00773E37" w14:paraId="4273C3DF" w14:textId="6FF1D413">
      <w:pPr>
        <w:ind w:left="360"/>
        <w:rPr>
          <w:rFonts w:eastAsia="Calibri"/>
          <w:color w:val="FF0000"/>
        </w:rPr>
      </w:pPr>
      <w:r w:rsidRPr="6E2974B4">
        <w:rPr>
          <w:rFonts w:eastAsia="Calibri"/>
        </w:rPr>
        <w:t xml:space="preserve">CTP also identified privacy compliance requirements and coordinated with FDA’s Privacy Officer to ensure responsible offices in CTP satisfy all in accordance with law and policy. CTP received HHS approval on the privacy impact assessment (PIA) </w:t>
      </w:r>
      <w:r w:rsidRPr="6E2974B4" w:rsidR="6E2974B4">
        <w:rPr>
          <w:rFonts w:eastAsia="Calibri"/>
        </w:rPr>
        <w:t>underneath PIA ID: 2060831</w:t>
      </w:r>
      <w:r w:rsidRPr="6E2974B4">
        <w:rPr>
          <w:rFonts w:eastAsia="Calibri"/>
        </w:rPr>
        <w:t>.</w:t>
      </w:r>
    </w:p>
    <w:p w:rsidR="001075D3" w:rsidRPr="001075D3" w:rsidP="001075D3" w14:paraId="6E2E1269" w14:textId="1CB33E6D">
      <w:pPr>
        <w:ind w:left="720"/>
      </w:pPr>
    </w:p>
    <w:p w:rsidR="00357C8A" w:rsidRPr="00357C8A" w:rsidP="006705EA" w14:paraId="788527A0"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773E37" w:rsidP="00773E37" w14:paraId="780CC686" w14:textId="151C7DF3">
      <w:pPr>
        <w:spacing w:after="200"/>
        <w:ind w:left="360"/>
        <w:rPr>
          <w:rFonts w:eastAsia="Calibri"/>
          <w:iCs/>
        </w:rPr>
      </w:pPr>
      <w:r w:rsidRPr="00773E37">
        <w:rPr>
          <w:rFonts w:eastAsia="Calibri"/>
          <w:iCs/>
        </w:rPr>
        <w:t>The collection of information does not involve sensitive questions</w:t>
      </w:r>
      <w:r w:rsidRPr="00773E37" w:rsidR="00773E37">
        <w:rPr>
          <w:rFonts w:eastAsia="Calibri"/>
          <w:iCs/>
        </w:rPr>
        <w:t>.</w:t>
      </w:r>
    </w:p>
    <w:p w:rsidR="00357C8A" w:rsidRPr="00357C8A" w:rsidP="006705EA" w14:paraId="1D28F9F8" w14:textId="77777777">
      <w:pPr>
        <w:numPr>
          <w:ilvl w:val="0"/>
          <w:numId w:val="6"/>
        </w:numPr>
        <w:spacing w:after="200" w:line="276" w:lineRule="auto"/>
        <w:rPr>
          <w:rFonts w:eastAsia="Calibri"/>
          <w:u w:val="single"/>
        </w:rPr>
      </w:pPr>
      <w:r w:rsidRPr="1B3247AD">
        <w:rPr>
          <w:rFonts w:eastAsia="Calibri"/>
          <w:u w:val="single"/>
        </w:rPr>
        <w:t>Estimates of Annualized Burden Hours and Cost</w:t>
      </w:r>
    </w:p>
    <w:p w:rsidR="00357C8A" w:rsidP="0022425B" w14:paraId="480A592A" w14:textId="2A6737D7">
      <w:pPr>
        <w:spacing w:after="200"/>
        <w:ind w:left="360"/>
        <w:rPr>
          <w:rFonts w:eastAsia="Calibri"/>
        </w:rPr>
      </w:pPr>
      <w:r w:rsidRPr="005C71CA">
        <w:rPr>
          <w:rFonts w:eastAsia="Calibri"/>
        </w:rPr>
        <w:t>12a.  Annualized Hour Burden Estimate</w:t>
      </w:r>
    </w:p>
    <w:p w:rsidR="00A403FD" w:rsidP="00A403FD" w14:paraId="2FD01336" w14:textId="6AAD112F">
      <w:pPr>
        <w:spacing w:line="480" w:lineRule="auto"/>
        <w:ind w:firstLine="720"/>
        <w:contextualSpacing/>
      </w:pPr>
      <w:r>
        <w:t>We estimate the burden of this collection of information as follows:</w:t>
      </w:r>
    </w:p>
    <w:p w:rsidR="003D05F1" w:rsidP="00A403FD" w14:paraId="31437924" w14:textId="58EBAE82">
      <w:pPr>
        <w:spacing w:line="480" w:lineRule="auto"/>
        <w:ind w:firstLine="720"/>
        <w:contextualSpacing/>
      </w:pPr>
      <w:r w:rsidRPr="007E273F">
        <w:t xml:space="preserve">In the burden hour table below, we calculate a total of </w:t>
      </w:r>
      <w:r>
        <w:t xml:space="preserve">5 </w:t>
      </w:r>
      <w:r w:rsidRPr="007E273F">
        <w:t>respondents</w:t>
      </w:r>
      <w:r>
        <w:t>.</w:t>
      </w: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tblPr>
      <w:tblGrid>
        <w:gridCol w:w="11"/>
        <w:gridCol w:w="1713"/>
        <w:gridCol w:w="1785"/>
        <w:gridCol w:w="1724"/>
        <w:gridCol w:w="1360"/>
        <w:gridCol w:w="1515"/>
        <w:gridCol w:w="1048"/>
        <w:gridCol w:w="72"/>
      </w:tblGrid>
      <w:tr w14:paraId="626D179B" w14:textId="77777777" w:rsidTr="003C78CA">
        <w:tblPrEx>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tblPrEx>
        <w:trPr>
          <w:gridBefore w:val="1"/>
          <w:wBefore w:w="11" w:type="dxa"/>
          <w:cantSplit/>
          <w:trHeight w:val="20"/>
        </w:trPr>
        <w:tc>
          <w:tcPr>
            <w:tcW w:w="4994" w:type="pct"/>
            <w:gridSpan w:val="7"/>
            <w:tcBorders>
              <w:top w:val="nil"/>
              <w:left w:val="nil"/>
              <w:bottom w:val="single" w:sz="4" w:space="0" w:color="auto"/>
              <w:right w:val="nil"/>
            </w:tcBorders>
            <w:vAlign w:val="center"/>
            <w:hideMark/>
          </w:tcPr>
          <w:p w:rsidR="00A403FD" w:rsidP="003C78CA" w14:paraId="5C7DD54F" w14:textId="77777777">
            <w:pPr>
              <w:jc w:val="center"/>
            </w:pPr>
            <w:r>
              <w:t>Table 1.--Estimated Annual Reporting Burden</w:t>
            </w:r>
            <w:r w:rsidRPr="51212472">
              <w:rPr>
                <w:vertAlign w:val="superscript"/>
              </w:rPr>
              <w:t>1</w:t>
            </w:r>
          </w:p>
        </w:tc>
      </w:tr>
      <w:tr w14:paraId="3441EAA6" w14:textId="77777777" w:rsidTr="003C78CA">
        <w:tblPrEx>
          <w:tblW w:w="4855" w:type="pct"/>
          <w:tblLook w:val="01E0"/>
        </w:tblPrEx>
        <w:trPr>
          <w:gridAfter w:val="1"/>
          <w:wAfter w:w="39" w:type="dxa"/>
          <w:cantSplit/>
          <w:trHeight w:val="21"/>
          <w:tblHeader/>
        </w:trPr>
        <w:tc>
          <w:tcPr>
            <w:tcW w:w="934" w:type="pct"/>
            <w:gridSpan w:val="2"/>
            <w:shd w:val="clear" w:color="auto" w:fill="auto"/>
            <w:vAlign w:val="center"/>
          </w:tcPr>
          <w:p w:rsidR="00C217D7" w:rsidRPr="00A403FD" w:rsidP="003C78CA" w14:paraId="0E2F8255" w14:textId="470076C0">
            <w:pPr>
              <w:contextualSpacing/>
              <w:rPr>
                <w:sz w:val="20"/>
                <w:szCs w:val="20"/>
              </w:rPr>
            </w:pPr>
            <w:r w:rsidRPr="00A403FD">
              <w:rPr>
                <w:sz w:val="20"/>
                <w:szCs w:val="20"/>
              </w:rPr>
              <w:t>Activity</w:t>
            </w:r>
          </w:p>
        </w:tc>
        <w:tc>
          <w:tcPr>
            <w:tcW w:w="967" w:type="pct"/>
            <w:shd w:val="clear" w:color="auto" w:fill="auto"/>
            <w:vAlign w:val="center"/>
          </w:tcPr>
          <w:p w:rsidR="00A403FD" w:rsidRPr="00A403FD" w:rsidP="003C78CA" w14:paraId="4FA7B55E" w14:textId="77777777">
            <w:pPr>
              <w:contextualSpacing/>
              <w:jc w:val="center"/>
              <w:rPr>
                <w:sz w:val="20"/>
                <w:szCs w:val="20"/>
              </w:rPr>
            </w:pPr>
            <w:r w:rsidRPr="00A403FD">
              <w:rPr>
                <w:sz w:val="20"/>
                <w:szCs w:val="20"/>
              </w:rPr>
              <w:t>Numbers of Respondents</w:t>
            </w:r>
          </w:p>
        </w:tc>
        <w:tc>
          <w:tcPr>
            <w:tcW w:w="934" w:type="pct"/>
            <w:shd w:val="clear" w:color="auto" w:fill="auto"/>
            <w:vAlign w:val="center"/>
          </w:tcPr>
          <w:p w:rsidR="00A403FD" w:rsidRPr="00A403FD" w:rsidP="003C78CA" w14:paraId="6FE5C3B8" w14:textId="77777777">
            <w:pPr>
              <w:contextualSpacing/>
              <w:jc w:val="center"/>
              <w:rPr>
                <w:sz w:val="20"/>
                <w:szCs w:val="20"/>
              </w:rPr>
            </w:pPr>
            <w:r w:rsidRPr="00A403FD">
              <w:rPr>
                <w:bCs/>
                <w:sz w:val="20"/>
                <w:szCs w:val="20"/>
              </w:rPr>
              <w:t>Numbers of Responses per Respondent</w:t>
            </w:r>
          </w:p>
        </w:tc>
        <w:tc>
          <w:tcPr>
            <w:tcW w:w="737" w:type="pct"/>
            <w:shd w:val="clear" w:color="auto" w:fill="auto"/>
            <w:vAlign w:val="center"/>
          </w:tcPr>
          <w:p w:rsidR="00A403FD" w:rsidRPr="00A403FD" w:rsidP="003C78CA" w14:paraId="5C924B40" w14:textId="77777777">
            <w:pPr>
              <w:contextualSpacing/>
              <w:jc w:val="center"/>
              <w:rPr>
                <w:sz w:val="20"/>
                <w:szCs w:val="20"/>
              </w:rPr>
            </w:pPr>
            <w:r w:rsidRPr="00A403FD">
              <w:rPr>
                <w:sz w:val="20"/>
                <w:szCs w:val="20"/>
              </w:rPr>
              <w:t>Total Annual Responses</w:t>
            </w:r>
          </w:p>
        </w:tc>
        <w:tc>
          <w:tcPr>
            <w:tcW w:w="821" w:type="pct"/>
            <w:shd w:val="clear" w:color="auto" w:fill="auto"/>
            <w:vAlign w:val="center"/>
          </w:tcPr>
          <w:p w:rsidR="00A403FD" w:rsidRPr="00A403FD" w:rsidP="003C78CA" w14:paraId="735DB52E" w14:textId="77777777">
            <w:pPr>
              <w:contextualSpacing/>
              <w:jc w:val="center"/>
              <w:rPr>
                <w:sz w:val="20"/>
                <w:szCs w:val="20"/>
              </w:rPr>
            </w:pPr>
            <w:r w:rsidRPr="00A403FD">
              <w:rPr>
                <w:bCs/>
                <w:sz w:val="20"/>
                <w:szCs w:val="20"/>
              </w:rPr>
              <w:t>Average Burden per Response</w:t>
            </w:r>
          </w:p>
        </w:tc>
        <w:tc>
          <w:tcPr>
            <w:tcW w:w="568" w:type="pct"/>
            <w:shd w:val="clear" w:color="auto" w:fill="auto"/>
            <w:vAlign w:val="center"/>
          </w:tcPr>
          <w:p w:rsidR="00A403FD" w:rsidRPr="00A403FD" w:rsidP="003C78CA" w14:paraId="6CFCAB3B" w14:textId="77777777">
            <w:pPr>
              <w:contextualSpacing/>
              <w:jc w:val="center"/>
              <w:rPr>
                <w:sz w:val="20"/>
                <w:szCs w:val="20"/>
              </w:rPr>
            </w:pPr>
            <w:r w:rsidRPr="00A403FD">
              <w:rPr>
                <w:sz w:val="20"/>
                <w:szCs w:val="20"/>
              </w:rPr>
              <w:t>Total Hours</w:t>
            </w:r>
          </w:p>
        </w:tc>
      </w:tr>
      <w:tr w14:paraId="7C3E6262" w14:textId="77777777" w:rsidTr="003C78CA">
        <w:tblPrEx>
          <w:tblW w:w="4855" w:type="pct"/>
          <w:tblLook w:val="01E0"/>
        </w:tblPrEx>
        <w:trPr>
          <w:gridAfter w:val="1"/>
          <w:wAfter w:w="39" w:type="dxa"/>
          <w:cantSplit/>
          <w:trHeight w:val="21"/>
        </w:trPr>
        <w:tc>
          <w:tcPr>
            <w:tcW w:w="934" w:type="pct"/>
            <w:gridSpan w:val="2"/>
            <w:shd w:val="clear" w:color="auto" w:fill="auto"/>
            <w:vAlign w:val="center"/>
          </w:tcPr>
          <w:p w:rsidR="00A403FD" w:rsidRPr="00A403FD" w:rsidP="003C78CA" w14:paraId="5FD3B1A7" w14:textId="46DB4117">
            <w:pPr>
              <w:contextualSpacing/>
              <w:rPr>
                <w:sz w:val="20"/>
                <w:szCs w:val="20"/>
              </w:rPr>
            </w:pPr>
            <w:r w:rsidRPr="00A403FD">
              <w:rPr>
                <w:sz w:val="20"/>
                <w:szCs w:val="20"/>
              </w:rPr>
              <w:t>Submission of initial rotational plans for health warning statements</w:t>
            </w:r>
          </w:p>
        </w:tc>
        <w:tc>
          <w:tcPr>
            <w:tcW w:w="967" w:type="pct"/>
            <w:shd w:val="clear" w:color="auto" w:fill="auto"/>
            <w:vAlign w:val="center"/>
          </w:tcPr>
          <w:p w:rsidR="00A403FD" w:rsidRPr="00A403FD" w:rsidP="003C78CA" w14:paraId="57533B38" w14:textId="77777777">
            <w:pPr>
              <w:spacing w:line="259" w:lineRule="auto"/>
              <w:jc w:val="center"/>
              <w:rPr>
                <w:sz w:val="20"/>
                <w:szCs w:val="20"/>
              </w:rPr>
            </w:pPr>
            <w:r w:rsidRPr="00A403FD">
              <w:rPr>
                <w:sz w:val="20"/>
                <w:szCs w:val="20"/>
              </w:rPr>
              <w:t>1</w:t>
            </w:r>
          </w:p>
        </w:tc>
        <w:tc>
          <w:tcPr>
            <w:tcW w:w="934" w:type="pct"/>
            <w:shd w:val="clear" w:color="auto" w:fill="auto"/>
            <w:vAlign w:val="center"/>
          </w:tcPr>
          <w:p w:rsidR="00A403FD" w:rsidRPr="00A403FD" w:rsidP="003C78CA" w14:paraId="2F13AE3C" w14:textId="77777777">
            <w:pPr>
              <w:contextualSpacing/>
              <w:jc w:val="center"/>
              <w:rPr>
                <w:sz w:val="20"/>
                <w:szCs w:val="20"/>
              </w:rPr>
            </w:pPr>
            <w:r w:rsidRPr="00A403FD">
              <w:rPr>
                <w:sz w:val="20"/>
                <w:szCs w:val="20"/>
              </w:rPr>
              <w:t>1</w:t>
            </w:r>
          </w:p>
        </w:tc>
        <w:tc>
          <w:tcPr>
            <w:tcW w:w="737" w:type="pct"/>
            <w:shd w:val="clear" w:color="auto" w:fill="auto"/>
            <w:vAlign w:val="center"/>
          </w:tcPr>
          <w:p w:rsidR="00A403FD" w:rsidRPr="00A403FD" w:rsidP="003C78CA" w14:paraId="210FF3F0" w14:textId="77777777">
            <w:pPr>
              <w:spacing w:line="259" w:lineRule="auto"/>
              <w:jc w:val="center"/>
              <w:rPr>
                <w:sz w:val="20"/>
                <w:szCs w:val="20"/>
              </w:rPr>
            </w:pPr>
            <w:r w:rsidRPr="00A403FD">
              <w:rPr>
                <w:sz w:val="20"/>
                <w:szCs w:val="20"/>
              </w:rPr>
              <w:t>1</w:t>
            </w:r>
          </w:p>
        </w:tc>
        <w:tc>
          <w:tcPr>
            <w:tcW w:w="821" w:type="pct"/>
            <w:shd w:val="clear" w:color="auto" w:fill="auto"/>
            <w:vAlign w:val="center"/>
          </w:tcPr>
          <w:p w:rsidR="00A403FD" w:rsidRPr="00A403FD" w:rsidP="003C78CA" w14:paraId="7C0E043E" w14:textId="77777777">
            <w:pPr>
              <w:contextualSpacing/>
              <w:jc w:val="center"/>
              <w:rPr>
                <w:sz w:val="20"/>
                <w:szCs w:val="20"/>
              </w:rPr>
            </w:pPr>
            <w:r w:rsidRPr="00A403FD">
              <w:rPr>
                <w:sz w:val="20"/>
                <w:szCs w:val="20"/>
              </w:rPr>
              <w:t>60</w:t>
            </w:r>
          </w:p>
        </w:tc>
        <w:tc>
          <w:tcPr>
            <w:tcW w:w="568" w:type="pct"/>
            <w:shd w:val="clear" w:color="auto" w:fill="auto"/>
            <w:vAlign w:val="center"/>
          </w:tcPr>
          <w:p w:rsidR="00A403FD" w:rsidRPr="00A403FD" w:rsidP="003C78CA" w14:paraId="40C5B85B" w14:textId="77777777">
            <w:pPr>
              <w:spacing w:line="259" w:lineRule="auto"/>
              <w:jc w:val="center"/>
              <w:rPr>
                <w:sz w:val="20"/>
                <w:szCs w:val="20"/>
              </w:rPr>
            </w:pPr>
            <w:r w:rsidRPr="00A403FD">
              <w:rPr>
                <w:sz w:val="20"/>
                <w:szCs w:val="20"/>
              </w:rPr>
              <w:t>60</w:t>
            </w:r>
          </w:p>
        </w:tc>
      </w:tr>
      <w:tr w14:paraId="614E612D" w14:textId="77777777" w:rsidTr="003C78CA">
        <w:tblPrEx>
          <w:tblW w:w="4855" w:type="pct"/>
          <w:tblLook w:val="01E0"/>
        </w:tblPrEx>
        <w:trPr>
          <w:gridAfter w:val="1"/>
          <w:wAfter w:w="39" w:type="dxa"/>
          <w:cantSplit/>
          <w:trHeight w:val="21"/>
        </w:trPr>
        <w:tc>
          <w:tcPr>
            <w:tcW w:w="934" w:type="pct"/>
            <w:gridSpan w:val="2"/>
            <w:shd w:val="clear" w:color="auto" w:fill="auto"/>
            <w:vAlign w:val="center"/>
          </w:tcPr>
          <w:p w:rsidR="00A403FD" w:rsidRPr="00A403FD" w:rsidP="003C78CA" w14:paraId="005135F4" w14:textId="645CDA35">
            <w:pPr>
              <w:contextualSpacing/>
              <w:rPr>
                <w:sz w:val="20"/>
                <w:szCs w:val="20"/>
              </w:rPr>
            </w:pPr>
            <w:r w:rsidRPr="00A403FD">
              <w:rPr>
                <w:sz w:val="20"/>
                <w:szCs w:val="20"/>
              </w:rPr>
              <w:t>Supplement to approved plan</w:t>
            </w:r>
          </w:p>
        </w:tc>
        <w:tc>
          <w:tcPr>
            <w:tcW w:w="967" w:type="pct"/>
            <w:shd w:val="clear" w:color="auto" w:fill="auto"/>
            <w:vAlign w:val="center"/>
          </w:tcPr>
          <w:p w:rsidR="00A403FD" w:rsidRPr="00A403FD" w:rsidP="003C78CA" w14:paraId="468F77EE" w14:textId="77777777">
            <w:pPr>
              <w:spacing w:line="259" w:lineRule="auto"/>
              <w:jc w:val="center"/>
              <w:rPr>
                <w:sz w:val="20"/>
                <w:szCs w:val="20"/>
              </w:rPr>
            </w:pPr>
            <w:r w:rsidRPr="00A403FD">
              <w:rPr>
                <w:sz w:val="20"/>
                <w:szCs w:val="20"/>
              </w:rPr>
              <w:t>4</w:t>
            </w:r>
          </w:p>
        </w:tc>
        <w:tc>
          <w:tcPr>
            <w:tcW w:w="934" w:type="pct"/>
            <w:shd w:val="clear" w:color="auto" w:fill="auto"/>
            <w:vAlign w:val="center"/>
          </w:tcPr>
          <w:p w:rsidR="00A403FD" w:rsidRPr="00A403FD" w:rsidP="003C78CA" w14:paraId="08F8B856" w14:textId="77777777">
            <w:pPr>
              <w:contextualSpacing/>
              <w:jc w:val="center"/>
              <w:rPr>
                <w:sz w:val="20"/>
                <w:szCs w:val="20"/>
              </w:rPr>
            </w:pPr>
            <w:r w:rsidRPr="00A403FD">
              <w:rPr>
                <w:sz w:val="20"/>
                <w:szCs w:val="20"/>
              </w:rPr>
              <w:t>1</w:t>
            </w:r>
          </w:p>
        </w:tc>
        <w:tc>
          <w:tcPr>
            <w:tcW w:w="737" w:type="pct"/>
            <w:shd w:val="clear" w:color="auto" w:fill="auto"/>
            <w:vAlign w:val="center"/>
          </w:tcPr>
          <w:p w:rsidR="00A403FD" w:rsidRPr="00A403FD" w:rsidP="003C78CA" w14:paraId="48C4790F" w14:textId="77777777">
            <w:pPr>
              <w:spacing w:line="259" w:lineRule="auto"/>
              <w:jc w:val="center"/>
              <w:rPr>
                <w:sz w:val="20"/>
                <w:szCs w:val="20"/>
              </w:rPr>
            </w:pPr>
            <w:r w:rsidRPr="00A403FD">
              <w:rPr>
                <w:sz w:val="20"/>
                <w:szCs w:val="20"/>
              </w:rPr>
              <w:t>4</w:t>
            </w:r>
          </w:p>
        </w:tc>
        <w:tc>
          <w:tcPr>
            <w:tcW w:w="821" w:type="pct"/>
            <w:shd w:val="clear" w:color="auto" w:fill="auto"/>
            <w:vAlign w:val="center"/>
          </w:tcPr>
          <w:p w:rsidR="00A403FD" w:rsidRPr="00A403FD" w:rsidP="003C78CA" w14:paraId="346508AB" w14:textId="77777777">
            <w:pPr>
              <w:contextualSpacing/>
              <w:jc w:val="center"/>
              <w:rPr>
                <w:sz w:val="20"/>
                <w:szCs w:val="20"/>
              </w:rPr>
            </w:pPr>
            <w:r w:rsidRPr="00A403FD">
              <w:rPr>
                <w:sz w:val="20"/>
                <w:szCs w:val="20"/>
              </w:rPr>
              <w:t>30</w:t>
            </w:r>
          </w:p>
        </w:tc>
        <w:tc>
          <w:tcPr>
            <w:tcW w:w="568" w:type="pct"/>
            <w:shd w:val="clear" w:color="auto" w:fill="auto"/>
            <w:vAlign w:val="center"/>
          </w:tcPr>
          <w:p w:rsidR="00A403FD" w:rsidRPr="00A403FD" w:rsidP="003C78CA" w14:paraId="230A6842" w14:textId="77777777">
            <w:pPr>
              <w:spacing w:line="259" w:lineRule="auto"/>
              <w:jc w:val="center"/>
              <w:rPr>
                <w:sz w:val="20"/>
                <w:szCs w:val="20"/>
              </w:rPr>
            </w:pPr>
            <w:r w:rsidRPr="00A403FD">
              <w:rPr>
                <w:sz w:val="20"/>
                <w:szCs w:val="20"/>
              </w:rPr>
              <w:t>120</w:t>
            </w:r>
          </w:p>
        </w:tc>
      </w:tr>
      <w:tr w14:paraId="1487A75C" w14:textId="77777777" w:rsidTr="003D05F1">
        <w:tblPrEx>
          <w:tblW w:w="4855" w:type="pct"/>
          <w:tblLook w:val="01E0"/>
        </w:tblPrEx>
        <w:trPr>
          <w:gridAfter w:val="1"/>
          <w:wAfter w:w="39" w:type="dxa"/>
          <w:cantSplit/>
          <w:trHeight w:val="458"/>
        </w:trPr>
        <w:tc>
          <w:tcPr>
            <w:tcW w:w="4393" w:type="pct"/>
            <w:gridSpan w:val="6"/>
            <w:shd w:val="clear" w:color="auto" w:fill="auto"/>
            <w:vAlign w:val="center"/>
          </w:tcPr>
          <w:p w:rsidR="003D05F1" w:rsidRPr="00A403FD" w:rsidP="003D05F1" w14:paraId="570E661D" w14:textId="66C4C3C1">
            <w:pPr>
              <w:contextualSpacing/>
              <w:rPr>
                <w:sz w:val="20"/>
                <w:szCs w:val="20"/>
              </w:rPr>
            </w:pPr>
            <w:r w:rsidRPr="00A403FD">
              <w:rPr>
                <w:sz w:val="20"/>
                <w:szCs w:val="20"/>
              </w:rPr>
              <w:t>Total</w:t>
            </w:r>
          </w:p>
        </w:tc>
        <w:tc>
          <w:tcPr>
            <w:tcW w:w="568" w:type="pct"/>
            <w:shd w:val="clear" w:color="auto" w:fill="auto"/>
            <w:vAlign w:val="center"/>
          </w:tcPr>
          <w:p w:rsidR="003D05F1" w:rsidRPr="00A403FD" w:rsidP="003C78CA" w14:paraId="5E704804" w14:textId="77777777">
            <w:pPr>
              <w:spacing w:line="259" w:lineRule="auto"/>
              <w:jc w:val="center"/>
              <w:rPr>
                <w:sz w:val="20"/>
                <w:szCs w:val="20"/>
              </w:rPr>
            </w:pPr>
            <w:r w:rsidRPr="00A403FD">
              <w:rPr>
                <w:sz w:val="20"/>
                <w:szCs w:val="20"/>
              </w:rPr>
              <w:t>180</w:t>
            </w:r>
          </w:p>
        </w:tc>
      </w:tr>
    </w:tbl>
    <w:p w:rsidR="00A403FD" w:rsidRPr="00A403FD" w:rsidP="00A403FD" w14:paraId="332C2919" w14:textId="77777777">
      <w:pPr>
        <w:ind w:left="360"/>
        <w:rPr>
          <w:sz w:val="18"/>
          <w:szCs w:val="18"/>
        </w:rPr>
      </w:pPr>
      <w:r w:rsidRPr="00A403FD">
        <w:rPr>
          <w:sz w:val="18"/>
          <w:szCs w:val="18"/>
          <w:vertAlign w:val="superscript"/>
        </w:rPr>
        <w:t>1</w:t>
      </w:r>
      <w:r w:rsidRPr="00A403FD">
        <w:rPr>
          <w:sz w:val="18"/>
          <w:szCs w:val="18"/>
        </w:rPr>
        <w:t xml:space="preserve"> There are no capital costs or operating and maintenance costs associated with this collection of information.</w:t>
      </w:r>
    </w:p>
    <w:p w:rsidR="00A403FD" w:rsidRPr="005C71CA" w:rsidP="0022425B" w14:paraId="54D5F976" w14:textId="77777777">
      <w:pPr>
        <w:spacing w:after="200"/>
        <w:ind w:left="360"/>
        <w:rPr>
          <w:rFonts w:eastAsia="Calibri"/>
        </w:rPr>
      </w:pPr>
    </w:p>
    <w:p w:rsidR="00A403FD" w:rsidP="00DC371B" w14:paraId="5C6A60D3" w14:textId="21AFA008">
      <w:pPr>
        <w:spacing w:after="200"/>
        <w:ind w:left="360"/>
        <w:rPr>
          <w:rFonts w:eastAsia="Calibri"/>
        </w:rPr>
      </w:pPr>
      <w:r w:rsidRPr="00A403FD">
        <w:rPr>
          <w:rFonts w:eastAsia="Calibri"/>
        </w:rPr>
        <w:t>Based on our experience with the information collection over the past three years, we retain our estimate of 60 hours to complete an initial rotational plan. We estimate half this time for preparing and submitting a supplement to an approved plan (30 hours).</w:t>
      </w:r>
    </w:p>
    <w:p w:rsidR="00A403FD" w:rsidP="00A403FD" w14:paraId="75BE8D23" w14:textId="4DD23099">
      <w:pPr>
        <w:pStyle w:val="BodyText2"/>
        <w:ind w:left="360"/>
      </w:pPr>
      <w:r w:rsidRPr="51212472">
        <w:rPr>
          <w:szCs w:val="24"/>
        </w:rPr>
        <w:t>FDA estimates a total of 1 respondent will submit a new original warning plan yearly and take 60 hours to complete a rotational warning plan for a total of 60 burden hours.  In addition, FDA estimates a total of 4 respondents will submit a supplement to an approved warning plan at 30 hours per response for a total of 120 hours</w:t>
      </w:r>
      <w:r>
        <w:t>.</w:t>
      </w:r>
      <w:r w:rsidRPr="00A403FD">
        <w:t xml:space="preserve"> </w:t>
      </w:r>
      <w:r w:rsidRPr="005A6E7B">
        <w:t xml:space="preserve">The total burden for this collection is estimated to be </w:t>
      </w:r>
      <w:r>
        <w:t>180</w:t>
      </w:r>
      <w:r w:rsidRPr="005A6E7B">
        <w:t xml:space="preserve"> hours.</w:t>
      </w:r>
    </w:p>
    <w:p w:rsidR="00A403FD" w:rsidP="00DC371B" w14:paraId="699B27A6" w14:textId="2A3973A6">
      <w:pPr>
        <w:spacing w:after="200"/>
        <w:ind w:left="360"/>
        <w:rPr>
          <w:rFonts w:eastAsia="Calibri"/>
        </w:rPr>
      </w:pPr>
    </w:p>
    <w:p w:rsidR="00357C8A" w:rsidP="00DC371B" w14:paraId="7AEC9A72" w14:textId="75757577">
      <w:pPr>
        <w:spacing w:after="200"/>
        <w:ind w:left="360"/>
        <w:rPr>
          <w:rFonts w:eastAsia="Calibri"/>
        </w:rPr>
      </w:pPr>
      <w:r w:rsidRPr="005C71CA">
        <w:rPr>
          <w:rFonts w:eastAsia="Calibri"/>
        </w:rPr>
        <w:t>12b.  Annualized Cost Burden Estimate</w:t>
      </w:r>
    </w:p>
    <w:p w:rsidR="00DD2B6C" w:rsidP="00DD2B6C" w14:paraId="4107DA6C" w14:textId="1B33D5B8">
      <w:pPr>
        <w:pStyle w:val="BodyText2"/>
        <w:ind w:left="720"/>
      </w:pPr>
      <w:r w:rsidRPr="008F5E7C">
        <w:t>The estimated annual reporting cost to respondents for submitting rotational warning plans is $</w:t>
      </w:r>
      <w:r w:rsidRPr="0052556F">
        <w:t>19,</w:t>
      </w:r>
      <w:r w:rsidR="00430DB3">
        <w:t>926</w:t>
      </w:r>
      <w:r w:rsidRPr="008F5E7C">
        <w:t xml:space="preserve">.  This estimate assumes that </w:t>
      </w:r>
      <w:r w:rsidR="001B040B">
        <w:t xml:space="preserve">tobacco manufacturing </w:t>
      </w:r>
      <w:r w:rsidRPr="008F5E7C">
        <w:t xml:space="preserve">management will account for 80 percent of the estimated </w:t>
      </w:r>
      <w:r>
        <w:t>180</w:t>
      </w:r>
      <w:r w:rsidRPr="008F5E7C">
        <w:t xml:space="preserve"> hours required to draft initial plans, at an </w:t>
      </w:r>
      <w:r>
        <w:t>average wage</w:t>
      </w:r>
      <w:r w:rsidRPr="008F5E7C">
        <w:t xml:space="preserve"> of $</w:t>
      </w:r>
      <w:r>
        <w:t>63.</w:t>
      </w:r>
      <w:r w:rsidR="00430DB3">
        <w:t>81</w:t>
      </w:r>
      <w:r w:rsidRPr="008F5E7C" w:rsidR="00430DB3">
        <w:t xml:space="preserve"> </w:t>
      </w:r>
      <w:r w:rsidRPr="008F5E7C">
        <w:t xml:space="preserve">per hour, and that </w:t>
      </w:r>
      <w:r>
        <w:t>office/administrative</w:t>
      </w:r>
      <w:r w:rsidRPr="008F5E7C">
        <w:t xml:space="preserve"> support will account for the remaining time (20 percent) at an </w:t>
      </w:r>
      <w:r>
        <w:t>average wage</w:t>
      </w:r>
      <w:r w:rsidRPr="008F5E7C">
        <w:t xml:space="preserve"> of $</w:t>
      </w:r>
      <w:r>
        <w:t xml:space="preserve">21.51 (Department of Labor’s Bureau of Labor Statistics for Tobacco Manufacturers (May 2021: </w:t>
      </w:r>
      <w:hyperlink r:id="rId11" w:history="1">
        <w:r w:rsidRPr="00871C41">
          <w:rPr>
            <w:rStyle w:val="Hyperlink"/>
          </w:rPr>
          <w:t>https://www.bls.gov/oes/current/naics4_312200.htm</w:t>
        </w:r>
      </w:hyperlink>
      <w:r>
        <w:t xml:space="preserve">). </w:t>
      </w:r>
      <w:r w:rsidRPr="00612C9C">
        <w:t>We double this to account for benefits and overhead, yielding an hourly</w:t>
      </w:r>
      <w:r>
        <w:t xml:space="preserve"> wage</w:t>
      </w:r>
      <w:r w:rsidRPr="00612C9C">
        <w:t xml:space="preserve"> </w:t>
      </w:r>
      <w:r>
        <w:t>rate</w:t>
      </w:r>
      <w:r w:rsidRPr="00612C9C">
        <w:t xml:space="preserve"> of $</w:t>
      </w:r>
      <w:r>
        <w:t>12</w:t>
      </w:r>
      <w:r w:rsidR="00430DB3">
        <w:t>7</w:t>
      </w:r>
      <w:r>
        <w:t>.</w:t>
      </w:r>
      <w:r w:rsidR="00430DB3">
        <w:t>6</w:t>
      </w:r>
      <w:r>
        <w:t>2 for management and $43.02 for office/administrative support</w:t>
      </w:r>
      <w:r w:rsidRPr="00612C9C">
        <w:t>.</w:t>
      </w:r>
    </w:p>
    <w:p w:rsidR="00DD2B6C" w:rsidP="00DD2B6C" w14:paraId="65532F02" w14:textId="77777777">
      <w:pPr>
        <w:pStyle w:val="BodyText2"/>
        <w:ind w:left="720"/>
      </w:pPr>
    </w:p>
    <w:p w:rsidR="00DD2B6C" w:rsidP="00DD2B6C" w14:paraId="433F4E65" w14:textId="4277FE6F">
      <w:pPr>
        <w:pStyle w:val="BodyText2"/>
        <w:ind w:left="720"/>
      </w:pPr>
      <w:r>
        <w:t>[Management time (180 hours x 0.80 x $</w:t>
      </w:r>
      <w:r w:rsidR="00430DB3">
        <w:t>127</w:t>
      </w:r>
      <w:r>
        <w:t>.</w:t>
      </w:r>
      <w:r w:rsidR="00430DB3">
        <w:t>6</w:t>
      </w:r>
      <w:r>
        <w:t>2 = $18,</w:t>
      </w:r>
      <w:r w:rsidR="00430DB3">
        <w:t>377.28</w:t>
      </w:r>
      <w:r>
        <w:t xml:space="preserve">) + </w:t>
      </w:r>
      <w:r w:rsidR="001B040B">
        <w:t>office/administrative</w:t>
      </w:r>
      <w:r>
        <w:t xml:space="preserve"> time (180 hours x 0.20 x $43.02 = $1,548.72) = $19,</w:t>
      </w:r>
      <w:r w:rsidR="00430DB3">
        <w:t>926</w:t>
      </w:r>
      <w:r>
        <w:t>.]</w:t>
      </w:r>
    </w:p>
    <w:p w:rsidR="00DD2B6C" w:rsidP="00DD2B6C" w14:paraId="6EAF5D64" w14:textId="77777777">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394"/>
        <w:gridCol w:w="1926"/>
      </w:tblGrid>
      <w:tr w14:paraId="3BEF728C" w14:textId="77777777" w:rsidTr="003C78CA">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60" w:type="dxa"/>
            <w:shd w:val="clear" w:color="auto" w:fill="auto"/>
          </w:tcPr>
          <w:p w:rsidR="00DD2B6C" w:rsidRPr="00E37C36" w:rsidP="003C78CA" w14:paraId="589ECA53" w14:textId="77777777">
            <w:pPr>
              <w:jc w:val="center"/>
              <w:rPr>
                <w:sz w:val="20"/>
                <w:szCs w:val="20"/>
              </w:rPr>
            </w:pPr>
            <w:r w:rsidRPr="00E37C36">
              <w:rPr>
                <w:sz w:val="20"/>
                <w:szCs w:val="20"/>
              </w:rPr>
              <w:t>Respondent</w:t>
            </w:r>
          </w:p>
        </w:tc>
        <w:tc>
          <w:tcPr>
            <w:tcW w:w="1800" w:type="dxa"/>
            <w:shd w:val="clear" w:color="auto" w:fill="auto"/>
            <w:vAlign w:val="center"/>
          </w:tcPr>
          <w:p w:rsidR="00DD2B6C" w:rsidRPr="00E37C36" w:rsidP="003C78CA" w14:paraId="5EC4BBE0" w14:textId="77777777">
            <w:pPr>
              <w:jc w:val="center"/>
              <w:rPr>
                <w:sz w:val="20"/>
                <w:szCs w:val="20"/>
              </w:rPr>
            </w:pPr>
            <w:r w:rsidRPr="00E37C36">
              <w:rPr>
                <w:sz w:val="20"/>
                <w:szCs w:val="20"/>
              </w:rPr>
              <w:t>Total burden hours</w:t>
            </w:r>
          </w:p>
        </w:tc>
        <w:tc>
          <w:tcPr>
            <w:tcW w:w="2394" w:type="dxa"/>
            <w:shd w:val="clear" w:color="auto" w:fill="auto"/>
            <w:vAlign w:val="center"/>
          </w:tcPr>
          <w:p w:rsidR="00DD2B6C" w:rsidRPr="00E37C36" w:rsidP="003C78CA" w14:paraId="3C686587" w14:textId="008FE62C">
            <w:pPr>
              <w:jc w:val="center"/>
              <w:rPr>
                <w:sz w:val="20"/>
                <w:szCs w:val="20"/>
              </w:rPr>
            </w:pPr>
            <w:r w:rsidRPr="00E37C36">
              <w:rPr>
                <w:sz w:val="20"/>
                <w:szCs w:val="20"/>
              </w:rPr>
              <w:t xml:space="preserve">Hourly wage </w:t>
            </w:r>
            <w:r w:rsidR="001B040B">
              <w:rPr>
                <w:sz w:val="20"/>
                <w:szCs w:val="20"/>
              </w:rPr>
              <w:t>rate</w:t>
            </w:r>
          </w:p>
        </w:tc>
        <w:tc>
          <w:tcPr>
            <w:tcW w:w="1926" w:type="dxa"/>
            <w:shd w:val="clear" w:color="auto" w:fill="auto"/>
            <w:vAlign w:val="center"/>
          </w:tcPr>
          <w:p w:rsidR="00DD2B6C" w:rsidRPr="00E37C36" w:rsidP="003C78CA" w14:paraId="0C0BCE21" w14:textId="77777777">
            <w:pPr>
              <w:jc w:val="center"/>
              <w:rPr>
                <w:sz w:val="20"/>
                <w:szCs w:val="20"/>
              </w:rPr>
            </w:pPr>
            <w:r w:rsidRPr="00E37C36">
              <w:rPr>
                <w:sz w:val="20"/>
                <w:szCs w:val="20"/>
              </w:rPr>
              <w:t>Total costs</w:t>
            </w:r>
          </w:p>
        </w:tc>
      </w:tr>
      <w:tr w14:paraId="0FA26017" w14:textId="77777777" w:rsidTr="003C78CA">
        <w:tblPrEx>
          <w:tblW w:w="0" w:type="auto"/>
          <w:tblInd w:w="828" w:type="dxa"/>
          <w:tblLook w:val="01E0"/>
        </w:tblPrEx>
        <w:tc>
          <w:tcPr>
            <w:tcW w:w="2160" w:type="dxa"/>
            <w:shd w:val="clear" w:color="auto" w:fill="auto"/>
          </w:tcPr>
          <w:p w:rsidR="00DD2B6C" w:rsidRPr="00E37C36" w:rsidP="003C78CA" w14:paraId="6C0A454A" w14:textId="56605365">
            <w:pPr>
              <w:tabs>
                <w:tab w:val="left" w:pos="540"/>
                <w:tab w:val="left" w:pos="630"/>
              </w:tabs>
              <w:rPr>
                <w:sz w:val="20"/>
                <w:szCs w:val="20"/>
              </w:rPr>
            </w:pPr>
            <w:r w:rsidRPr="00E37C36">
              <w:rPr>
                <w:sz w:val="20"/>
                <w:szCs w:val="20"/>
              </w:rPr>
              <w:t xml:space="preserve">Tobacco industry: management </w:t>
            </w:r>
          </w:p>
        </w:tc>
        <w:tc>
          <w:tcPr>
            <w:tcW w:w="1800" w:type="dxa"/>
            <w:shd w:val="clear" w:color="auto" w:fill="auto"/>
            <w:vAlign w:val="center"/>
          </w:tcPr>
          <w:p w:rsidR="00DD2B6C" w:rsidRPr="00E37C36" w:rsidP="003C78CA" w14:paraId="61111F51" w14:textId="77777777">
            <w:pPr>
              <w:jc w:val="center"/>
              <w:rPr>
                <w:sz w:val="20"/>
                <w:szCs w:val="20"/>
              </w:rPr>
            </w:pPr>
            <w:r>
              <w:rPr>
                <w:sz w:val="20"/>
                <w:szCs w:val="20"/>
              </w:rPr>
              <w:t>144</w:t>
            </w:r>
          </w:p>
        </w:tc>
        <w:tc>
          <w:tcPr>
            <w:tcW w:w="2394" w:type="dxa"/>
            <w:shd w:val="clear" w:color="auto" w:fill="auto"/>
            <w:vAlign w:val="center"/>
          </w:tcPr>
          <w:p w:rsidR="00DD2B6C" w:rsidRPr="00E37C36" w:rsidP="003C78CA" w14:paraId="68EB54F1" w14:textId="1068C23E">
            <w:pPr>
              <w:jc w:val="center"/>
              <w:rPr>
                <w:sz w:val="20"/>
                <w:szCs w:val="20"/>
              </w:rPr>
            </w:pPr>
            <w:r w:rsidRPr="00E37C36">
              <w:rPr>
                <w:sz w:val="20"/>
                <w:szCs w:val="20"/>
              </w:rPr>
              <w:t>$</w:t>
            </w:r>
            <w:r>
              <w:rPr>
                <w:sz w:val="20"/>
                <w:szCs w:val="20"/>
              </w:rPr>
              <w:t>12</w:t>
            </w:r>
            <w:r w:rsidR="00430DB3">
              <w:rPr>
                <w:sz w:val="20"/>
                <w:szCs w:val="20"/>
              </w:rPr>
              <w:t>7.6</w:t>
            </w:r>
            <w:r>
              <w:rPr>
                <w:sz w:val="20"/>
                <w:szCs w:val="20"/>
              </w:rPr>
              <w:t>2</w:t>
            </w:r>
          </w:p>
        </w:tc>
        <w:tc>
          <w:tcPr>
            <w:tcW w:w="1926" w:type="dxa"/>
            <w:shd w:val="clear" w:color="auto" w:fill="auto"/>
            <w:vAlign w:val="center"/>
          </w:tcPr>
          <w:p w:rsidR="00DD2B6C" w:rsidRPr="00E37C36" w:rsidP="003C78CA" w14:paraId="27269EAF" w14:textId="1DF076CD">
            <w:pPr>
              <w:jc w:val="center"/>
              <w:rPr>
                <w:sz w:val="20"/>
                <w:szCs w:val="20"/>
              </w:rPr>
            </w:pPr>
            <w:r w:rsidRPr="00E37C36">
              <w:rPr>
                <w:sz w:val="20"/>
                <w:szCs w:val="20"/>
              </w:rPr>
              <w:t>$</w:t>
            </w:r>
            <w:r>
              <w:t xml:space="preserve"> </w:t>
            </w:r>
            <w:r w:rsidRPr="007565FC">
              <w:rPr>
                <w:sz w:val="20"/>
                <w:szCs w:val="20"/>
              </w:rPr>
              <w:t>18,</w:t>
            </w:r>
            <w:r w:rsidR="00430DB3">
              <w:rPr>
                <w:sz w:val="20"/>
                <w:szCs w:val="20"/>
              </w:rPr>
              <w:t>377.28</w:t>
            </w:r>
          </w:p>
        </w:tc>
      </w:tr>
      <w:tr w14:paraId="40034F64" w14:textId="77777777" w:rsidTr="003C78CA">
        <w:tblPrEx>
          <w:tblW w:w="0" w:type="auto"/>
          <w:tblInd w:w="828" w:type="dxa"/>
          <w:tblLook w:val="01E0"/>
        </w:tblPrEx>
        <w:tc>
          <w:tcPr>
            <w:tcW w:w="2160" w:type="dxa"/>
            <w:shd w:val="clear" w:color="auto" w:fill="auto"/>
          </w:tcPr>
          <w:p w:rsidR="00DD2B6C" w:rsidRPr="00E37C36" w:rsidP="003C78CA" w14:paraId="634D14E4" w14:textId="77777777">
            <w:pPr>
              <w:rPr>
                <w:sz w:val="20"/>
                <w:szCs w:val="20"/>
              </w:rPr>
            </w:pPr>
            <w:r w:rsidRPr="00E37C36">
              <w:rPr>
                <w:sz w:val="20"/>
                <w:szCs w:val="20"/>
              </w:rPr>
              <w:t>Tobacco industry:</w:t>
            </w:r>
          </w:p>
          <w:p w:rsidR="00DD2B6C" w:rsidRPr="00E37C36" w:rsidP="003C78CA" w14:paraId="1F27540F" w14:textId="163F36F5">
            <w:pPr>
              <w:rPr>
                <w:sz w:val="20"/>
                <w:szCs w:val="20"/>
              </w:rPr>
            </w:pPr>
            <w:r w:rsidRPr="001B040B">
              <w:rPr>
                <w:sz w:val="20"/>
                <w:szCs w:val="20"/>
              </w:rPr>
              <w:t>office/administrative</w:t>
            </w:r>
          </w:p>
        </w:tc>
        <w:tc>
          <w:tcPr>
            <w:tcW w:w="1800" w:type="dxa"/>
            <w:shd w:val="clear" w:color="auto" w:fill="auto"/>
            <w:vAlign w:val="center"/>
          </w:tcPr>
          <w:p w:rsidR="00DD2B6C" w:rsidRPr="00E37C36" w:rsidP="003C78CA" w14:paraId="42D08623" w14:textId="77777777">
            <w:pPr>
              <w:tabs>
                <w:tab w:val="left" w:pos="540"/>
                <w:tab w:val="left" w:pos="630"/>
              </w:tabs>
              <w:jc w:val="center"/>
              <w:rPr>
                <w:sz w:val="20"/>
                <w:szCs w:val="20"/>
              </w:rPr>
            </w:pPr>
            <w:r>
              <w:rPr>
                <w:sz w:val="20"/>
                <w:szCs w:val="20"/>
              </w:rPr>
              <w:t>36</w:t>
            </w:r>
          </w:p>
        </w:tc>
        <w:tc>
          <w:tcPr>
            <w:tcW w:w="2394" w:type="dxa"/>
            <w:shd w:val="clear" w:color="auto" w:fill="auto"/>
            <w:vAlign w:val="center"/>
          </w:tcPr>
          <w:p w:rsidR="00DD2B6C" w:rsidRPr="00E37C36" w:rsidP="003C78CA" w14:paraId="54B6B984" w14:textId="77777777">
            <w:pPr>
              <w:tabs>
                <w:tab w:val="left" w:pos="540"/>
                <w:tab w:val="left" w:pos="630"/>
              </w:tabs>
              <w:jc w:val="center"/>
              <w:rPr>
                <w:sz w:val="20"/>
                <w:szCs w:val="20"/>
              </w:rPr>
            </w:pPr>
            <w:r w:rsidRPr="00E37C36">
              <w:rPr>
                <w:sz w:val="20"/>
                <w:szCs w:val="20"/>
              </w:rPr>
              <w:t>$</w:t>
            </w:r>
            <w:r>
              <w:rPr>
                <w:sz w:val="20"/>
                <w:szCs w:val="20"/>
              </w:rPr>
              <w:t>43.02</w:t>
            </w:r>
          </w:p>
        </w:tc>
        <w:tc>
          <w:tcPr>
            <w:tcW w:w="1926" w:type="dxa"/>
            <w:shd w:val="clear" w:color="auto" w:fill="auto"/>
            <w:vAlign w:val="center"/>
          </w:tcPr>
          <w:p w:rsidR="00DD2B6C" w:rsidRPr="00E37C36" w:rsidP="003C78CA" w14:paraId="00F7DDC4" w14:textId="77777777">
            <w:pPr>
              <w:tabs>
                <w:tab w:val="left" w:pos="540"/>
                <w:tab w:val="left" w:pos="630"/>
              </w:tabs>
              <w:jc w:val="center"/>
              <w:rPr>
                <w:sz w:val="20"/>
                <w:szCs w:val="20"/>
              </w:rPr>
            </w:pPr>
            <w:r w:rsidRPr="00E37C36">
              <w:rPr>
                <w:sz w:val="20"/>
                <w:szCs w:val="20"/>
              </w:rPr>
              <w:t>$</w:t>
            </w:r>
            <w:r>
              <w:t xml:space="preserve"> </w:t>
            </w:r>
            <w:r w:rsidRPr="007565FC">
              <w:rPr>
                <w:sz w:val="20"/>
                <w:szCs w:val="20"/>
              </w:rPr>
              <w:t>1,548.72</w:t>
            </w:r>
          </w:p>
        </w:tc>
      </w:tr>
      <w:tr w14:paraId="531C60F5" w14:textId="77777777" w:rsidTr="003C78CA">
        <w:tblPrEx>
          <w:tblW w:w="0" w:type="auto"/>
          <w:tblInd w:w="828" w:type="dxa"/>
          <w:tblLook w:val="01E0"/>
        </w:tblPrEx>
        <w:tc>
          <w:tcPr>
            <w:tcW w:w="6354" w:type="dxa"/>
            <w:gridSpan w:val="3"/>
            <w:shd w:val="clear" w:color="auto" w:fill="auto"/>
          </w:tcPr>
          <w:p w:rsidR="00DD2B6C" w:rsidRPr="0052556F" w:rsidP="003C78CA" w14:paraId="5A098918" w14:textId="77777777">
            <w:pPr>
              <w:rPr>
                <w:sz w:val="20"/>
                <w:szCs w:val="20"/>
              </w:rPr>
            </w:pPr>
            <w:r w:rsidRPr="0052556F">
              <w:rPr>
                <w:sz w:val="20"/>
                <w:szCs w:val="20"/>
              </w:rPr>
              <w:t>Total</w:t>
            </w:r>
          </w:p>
        </w:tc>
        <w:tc>
          <w:tcPr>
            <w:tcW w:w="1926" w:type="dxa"/>
            <w:shd w:val="clear" w:color="auto" w:fill="auto"/>
            <w:vAlign w:val="center"/>
          </w:tcPr>
          <w:p w:rsidR="00DD2B6C" w:rsidRPr="0052556F" w:rsidP="003C78CA" w14:paraId="3ADD33E3" w14:textId="2D0A6BBE">
            <w:pPr>
              <w:tabs>
                <w:tab w:val="left" w:pos="540"/>
                <w:tab w:val="left" w:pos="630"/>
              </w:tabs>
              <w:jc w:val="center"/>
              <w:rPr>
                <w:sz w:val="20"/>
                <w:szCs w:val="20"/>
              </w:rPr>
            </w:pPr>
            <w:r w:rsidRPr="0052556F">
              <w:rPr>
                <w:sz w:val="20"/>
                <w:szCs w:val="20"/>
              </w:rPr>
              <w:t>$ 19,</w:t>
            </w:r>
            <w:r w:rsidR="00430DB3">
              <w:rPr>
                <w:sz w:val="20"/>
                <w:szCs w:val="20"/>
              </w:rPr>
              <w:t>926</w:t>
            </w:r>
          </w:p>
        </w:tc>
      </w:tr>
    </w:tbl>
    <w:p w:rsidR="00DD2B6C" w:rsidRPr="0052556F" w:rsidP="00DD2B6C" w14:paraId="02C07A83" w14:textId="77777777">
      <w:pPr>
        <w:pStyle w:val="BodyText2"/>
        <w:rPr>
          <w:sz w:val="20"/>
        </w:rPr>
      </w:pPr>
    </w:p>
    <w:p w:rsidR="00357C8A" w:rsidRPr="00357C8A" w:rsidP="00357C8A" w14:paraId="18D06A9C" w14:textId="77777777">
      <w:pPr>
        <w:rPr>
          <w:rFonts w:eastAsia="Calibri"/>
        </w:rPr>
      </w:pPr>
    </w:p>
    <w:p w:rsidR="00357C8A" w:rsidRPr="00357C8A" w:rsidP="006705EA" w14:paraId="0E96AC1B"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A403FD" w:rsidRPr="00A403FD" w:rsidP="00A403FD" w14:paraId="5F2F3713" w14:textId="5B60EF42">
      <w:pPr>
        <w:pStyle w:val="Default"/>
        <w:ind w:left="360"/>
      </w:pPr>
      <w:r w:rsidRPr="00A403FD">
        <w:t>There are no other annual cost burdens to respondents or record keepers resulting from the collection of information.</w:t>
      </w:r>
    </w:p>
    <w:p w:rsidR="00A403FD" w:rsidP="00A403FD" w14:paraId="3A37361C" w14:textId="77777777">
      <w:pPr>
        <w:pStyle w:val="Default"/>
        <w:ind w:left="360"/>
        <w:rPr>
          <w:sz w:val="23"/>
          <w:szCs w:val="23"/>
        </w:rPr>
      </w:pPr>
    </w:p>
    <w:p w:rsidR="00357C8A" w:rsidRPr="00357C8A" w:rsidP="006705EA" w14:paraId="1415A5C2" w14:textId="77777777">
      <w:pPr>
        <w:numPr>
          <w:ilvl w:val="0"/>
          <w:numId w:val="6"/>
        </w:numPr>
        <w:spacing w:after="200" w:line="276" w:lineRule="auto"/>
        <w:rPr>
          <w:rFonts w:eastAsia="Calibri"/>
          <w:u w:val="single"/>
        </w:rPr>
      </w:pPr>
      <w:r w:rsidRPr="24BD946A">
        <w:rPr>
          <w:rFonts w:eastAsia="Calibri"/>
          <w:u w:val="single"/>
        </w:rPr>
        <w:t>Annualized Cost to the Federal Government</w:t>
      </w:r>
    </w:p>
    <w:p w:rsidR="00A403FD" w:rsidRPr="00357C8A" w:rsidP="00A403FD" w14:paraId="1FD436C0" w14:textId="38BD922C">
      <w:pPr>
        <w:spacing w:after="200"/>
        <w:ind w:left="360"/>
        <w:rPr>
          <w:rFonts w:eastAsia="Calibri"/>
        </w:rPr>
      </w:pPr>
      <w:r w:rsidRPr="24BD946A">
        <w:rPr>
          <w:rFonts w:eastAsia="Calibri"/>
        </w:rPr>
        <w:t xml:space="preserve">Our estimated cost to the Federal government reflects the allocation of 50 percent of a full-time equivalent (FTE) employee </w:t>
      </w:r>
      <w:r>
        <w:t>to administering the requirements</w:t>
      </w:r>
      <w:r w:rsidRPr="24BD946A">
        <w:rPr>
          <w:rFonts w:eastAsia="Calibri"/>
        </w:rPr>
        <w:t xml:space="preserve">. Using as a basis salary and wage data for the Washington DC-Metropolitan area found at </w:t>
      </w:r>
      <w:hyperlink r:id="rId12" w:history="1">
        <w:r w:rsidRPr="00AA66C0" w:rsidR="00DE57E8">
          <w:rPr>
            <w:rStyle w:val="Hyperlink"/>
            <w:rFonts w:eastAsia="Calibri"/>
          </w:rPr>
          <w:t>https://www.opm.gov</w:t>
        </w:r>
      </w:hyperlink>
      <w:r w:rsidR="00DE57E8">
        <w:rPr>
          <w:rFonts w:eastAsia="Calibri"/>
        </w:rPr>
        <w:t xml:space="preserve"> </w:t>
      </w:r>
      <w:r w:rsidRPr="24BD946A">
        <w:rPr>
          <w:rFonts w:eastAsia="Calibri"/>
        </w:rPr>
        <w:t xml:space="preserve">for a GS-13/4 employee, we calculate a total cost of $58,752.50 ($117,505 x .50). </w:t>
      </w:r>
    </w:p>
    <w:p w:rsidR="00357C8A" w:rsidP="006705EA" w14:paraId="094AE91B" w14:textId="217722AC">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357C8A" w:rsidP="008E215A" w14:paraId="72569160" w14:textId="2E6F1CE0">
      <w:pPr>
        <w:spacing w:after="200"/>
        <w:ind w:left="360"/>
        <w:rPr>
          <w:rFonts w:eastAsia="Calibri"/>
        </w:rPr>
      </w:pPr>
      <w:r w:rsidRPr="000D4357">
        <w:rPr>
          <w:rFonts w:eastAsia="Calibri"/>
        </w:rPr>
        <w:t>We have adjusted our burden estimate, which has resulted in a decrease to the currently approved burden.</w:t>
      </w:r>
      <w:r>
        <w:rPr>
          <w:rFonts w:eastAsia="Calibri"/>
        </w:rPr>
        <w:t xml:space="preserve"> </w:t>
      </w:r>
      <w:r w:rsidRPr="000D4357">
        <w:rPr>
          <w:rFonts w:eastAsia="Calibri"/>
        </w:rPr>
        <w:t xml:space="preserve">The total estimated burden for this information collection is </w:t>
      </w:r>
      <w:r w:rsidR="003658FF">
        <w:rPr>
          <w:rFonts w:eastAsia="Calibri"/>
        </w:rPr>
        <w:t>180</w:t>
      </w:r>
      <w:r w:rsidRPr="000D4357">
        <w:rPr>
          <w:rFonts w:eastAsia="Calibri"/>
        </w:rPr>
        <w:t xml:space="preserve"> </w:t>
      </w:r>
      <w:r w:rsidR="003658FF">
        <w:rPr>
          <w:rFonts w:eastAsia="Calibri"/>
        </w:rPr>
        <w:t>burden</w:t>
      </w:r>
      <w:r w:rsidRPr="000D4357">
        <w:rPr>
          <w:rFonts w:eastAsia="Calibri"/>
        </w:rPr>
        <w:t xml:space="preserve"> hours, and </w:t>
      </w:r>
      <w:r w:rsidR="003658FF">
        <w:rPr>
          <w:rFonts w:eastAsia="Calibri"/>
        </w:rPr>
        <w:t>5</w:t>
      </w:r>
      <w:r w:rsidRPr="000D4357">
        <w:rPr>
          <w:rFonts w:eastAsia="Calibri"/>
        </w:rPr>
        <w:t xml:space="preserve"> annual responses.  Our estimated burden for the information collection reflects an overall decrease of</w:t>
      </w:r>
      <w:r w:rsidR="003658FF">
        <w:rPr>
          <w:rFonts w:eastAsia="Calibri"/>
        </w:rPr>
        <w:t xml:space="preserve"> 360</w:t>
      </w:r>
      <w:r w:rsidRPr="000D4357">
        <w:rPr>
          <w:rFonts w:eastAsia="Calibri"/>
        </w:rPr>
        <w:t xml:space="preserve"> hours and a corresponding decrease of </w:t>
      </w:r>
      <w:r w:rsidR="003658FF">
        <w:rPr>
          <w:rFonts w:eastAsia="Calibri"/>
        </w:rPr>
        <w:t>9</w:t>
      </w:r>
      <w:r w:rsidRPr="000D4357">
        <w:rPr>
          <w:rFonts w:eastAsia="Calibri"/>
        </w:rPr>
        <w:t xml:space="preserve"> responses. </w:t>
      </w:r>
      <w:r w:rsidRPr="003658FF" w:rsidR="003658FF">
        <w:rPr>
          <w:rFonts w:eastAsia="Calibri"/>
        </w:rPr>
        <w:t>After receiving the initial influx of original warnings plans, FDA does not expect to receive as many original</w:t>
      </w:r>
      <w:r w:rsidR="00DE57E8">
        <w:rPr>
          <w:rFonts w:eastAsia="Calibri"/>
        </w:rPr>
        <w:t xml:space="preserve"> </w:t>
      </w:r>
      <w:r w:rsidRPr="003658FF" w:rsidR="003658FF">
        <w:rPr>
          <w:rFonts w:eastAsia="Calibri"/>
        </w:rPr>
        <w:t>warning</w:t>
      </w:r>
      <w:r w:rsidRPr="003658FF" w:rsidR="003658FF">
        <w:rPr>
          <w:rFonts w:eastAsia="Calibri"/>
        </w:rPr>
        <w:t xml:space="preserve"> plans annually. We expect that a few supplements will continue to be received as new products are marketed or as warning plans are revised. </w:t>
      </w:r>
      <w:r w:rsidRPr="000D4357">
        <w:rPr>
          <w:rFonts w:eastAsia="Calibri"/>
        </w:rPr>
        <w:t xml:space="preserve"> </w:t>
      </w:r>
    </w:p>
    <w:p w:rsidR="00357C8A" w:rsidRPr="00357C8A" w:rsidP="006705EA" w14:paraId="5F136B1E"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P="008E215A" w14:paraId="185B1A67" w14:textId="33EC0C87">
      <w:pPr>
        <w:spacing w:after="200"/>
        <w:ind w:left="360"/>
        <w:rPr>
          <w:rFonts w:eastAsia="Calibri"/>
        </w:rPr>
      </w:pPr>
      <w:r w:rsidRPr="005C71CA">
        <w:rPr>
          <w:rFonts w:eastAsia="Calibri"/>
        </w:rPr>
        <w:t>This information collected will not be published or tabulated</w:t>
      </w:r>
      <w:r w:rsidR="008E215A">
        <w:rPr>
          <w:rFonts w:eastAsia="Calibri"/>
        </w:rPr>
        <w:t>.</w:t>
      </w:r>
    </w:p>
    <w:p w:rsidR="00357C8A" w:rsidRPr="00357C8A" w:rsidP="006705EA" w14:paraId="6952452E"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357C8A" w:rsidP="008E215A" w14:paraId="3F575A58" w14:textId="6AF5EA97">
      <w:pPr>
        <w:spacing w:after="200"/>
        <w:ind w:left="360"/>
        <w:rPr>
          <w:rFonts w:eastAsia="Calibri"/>
          <w:color w:val="FF0000"/>
        </w:rPr>
      </w:pPr>
      <w:r w:rsidRPr="008E215A">
        <w:rPr>
          <w:rFonts w:eastAsia="Calibri"/>
        </w:rPr>
        <w:t>FDA is not requesting an exemption for display of the OMB expiration date and is also not seeking OMB approval to exclude the expiration date for this information collection.</w:t>
      </w:r>
      <w:r w:rsidRPr="00357C8A">
        <w:rPr>
          <w:rFonts w:eastAsia="Calibri"/>
          <w:color w:val="FF0000"/>
        </w:rPr>
        <w:t xml:space="preserve"> </w:t>
      </w:r>
    </w:p>
    <w:p w:rsidR="00357C8A" w:rsidRPr="00357C8A" w:rsidP="006705EA" w14:paraId="1531AEF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E59A8" w:rsidP="000B02D5" w14:paraId="32F11A19" w14:textId="1A261423">
      <w:pPr>
        <w:spacing w:after="200"/>
        <w:ind w:left="360"/>
        <w:rPr>
          <w:rFonts w:eastAsia="Calibri"/>
        </w:rPr>
      </w:pPr>
      <w:r w:rsidRPr="007E59A8">
        <w:rPr>
          <w:rFonts w:eastAsia="Calibri"/>
        </w:rPr>
        <w:t>There are no exceptions to the certification</w:t>
      </w:r>
      <w:r>
        <w:rPr>
          <w:rFonts w:eastAsia="Calibri"/>
        </w:rPr>
        <w:t>.</w:t>
      </w:r>
    </w:p>
    <w:sectPr w:rsidSect="005C71CA">
      <w:footerReference w:type="even" r:id="rId13"/>
      <w:footerReference w:type="default" r:id="rId14"/>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724C83C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7C6835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341FC8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4250008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567B5"/>
    <w:multiLevelType w:val="hybridMultilevel"/>
    <w:tmpl w:val="963E486E"/>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1E3"/>
    <w:rsid w:val="000254EB"/>
    <w:rsid w:val="00031A2C"/>
    <w:rsid w:val="00042B93"/>
    <w:rsid w:val="00043C7F"/>
    <w:rsid w:val="000467A8"/>
    <w:rsid w:val="0006570F"/>
    <w:rsid w:val="00075DE8"/>
    <w:rsid w:val="00087439"/>
    <w:rsid w:val="000B02D5"/>
    <w:rsid w:val="000C1260"/>
    <w:rsid w:val="000C560C"/>
    <w:rsid w:val="000D080B"/>
    <w:rsid w:val="000D4357"/>
    <w:rsid w:val="000D48FD"/>
    <w:rsid w:val="000D79CC"/>
    <w:rsid w:val="000E1C64"/>
    <w:rsid w:val="000F7119"/>
    <w:rsid w:val="00100739"/>
    <w:rsid w:val="0010493E"/>
    <w:rsid w:val="001075D3"/>
    <w:rsid w:val="00107885"/>
    <w:rsid w:val="0011102E"/>
    <w:rsid w:val="00114FC4"/>
    <w:rsid w:val="00115510"/>
    <w:rsid w:val="0012329C"/>
    <w:rsid w:val="00134FA7"/>
    <w:rsid w:val="00137950"/>
    <w:rsid w:val="00152F29"/>
    <w:rsid w:val="00174D54"/>
    <w:rsid w:val="0017702C"/>
    <w:rsid w:val="00185270"/>
    <w:rsid w:val="001A3B5A"/>
    <w:rsid w:val="001A458C"/>
    <w:rsid w:val="001B040B"/>
    <w:rsid w:val="001B7CE9"/>
    <w:rsid w:val="001D495A"/>
    <w:rsid w:val="001E244C"/>
    <w:rsid w:val="001F1437"/>
    <w:rsid w:val="001F4390"/>
    <w:rsid w:val="00206799"/>
    <w:rsid w:val="002074FE"/>
    <w:rsid w:val="002155A6"/>
    <w:rsid w:val="00221EBF"/>
    <w:rsid w:val="0022425B"/>
    <w:rsid w:val="002259EF"/>
    <w:rsid w:val="00231FF0"/>
    <w:rsid w:val="00242ED1"/>
    <w:rsid w:val="002444BB"/>
    <w:rsid w:val="00251AE4"/>
    <w:rsid w:val="00254069"/>
    <w:rsid w:val="00263423"/>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113FF"/>
    <w:rsid w:val="00312622"/>
    <w:rsid w:val="0032277F"/>
    <w:rsid w:val="00336B69"/>
    <w:rsid w:val="0034302B"/>
    <w:rsid w:val="00350523"/>
    <w:rsid w:val="0035189D"/>
    <w:rsid w:val="003534F6"/>
    <w:rsid w:val="00355B62"/>
    <w:rsid w:val="00357C8A"/>
    <w:rsid w:val="003658FF"/>
    <w:rsid w:val="003740BC"/>
    <w:rsid w:val="0037456B"/>
    <w:rsid w:val="003801A3"/>
    <w:rsid w:val="00383D90"/>
    <w:rsid w:val="003870AE"/>
    <w:rsid w:val="003A1A27"/>
    <w:rsid w:val="003A50CC"/>
    <w:rsid w:val="003B42B3"/>
    <w:rsid w:val="003B6384"/>
    <w:rsid w:val="003C0FE2"/>
    <w:rsid w:val="003C4EBB"/>
    <w:rsid w:val="003C78CA"/>
    <w:rsid w:val="003D05F1"/>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30DB3"/>
    <w:rsid w:val="00433FDA"/>
    <w:rsid w:val="00442A3C"/>
    <w:rsid w:val="00443969"/>
    <w:rsid w:val="00446B9F"/>
    <w:rsid w:val="00447D74"/>
    <w:rsid w:val="00450A74"/>
    <w:rsid w:val="004546BF"/>
    <w:rsid w:val="00465350"/>
    <w:rsid w:val="00476B91"/>
    <w:rsid w:val="004846BF"/>
    <w:rsid w:val="00494912"/>
    <w:rsid w:val="004A5323"/>
    <w:rsid w:val="004A5A99"/>
    <w:rsid w:val="004C6979"/>
    <w:rsid w:val="004D13A2"/>
    <w:rsid w:val="004D3E7A"/>
    <w:rsid w:val="004F594B"/>
    <w:rsid w:val="004F61E1"/>
    <w:rsid w:val="005026F8"/>
    <w:rsid w:val="0052556F"/>
    <w:rsid w:val="0053380B"/>
    <w:rsid w:val="005359AE"/>
    <w:rsid w:val="00543194"/>
    <w:rsid w:val="00544138"/>
    <w:rsid w:val="00554E34"/>
    <w:rsid w:val="00584583"/>
    <w:rsid w:val="00590E90"/>
    <w:rsid w:val="00590EEB"/>
    <w:rsid w:val="005A4099"/>
    <w:rsid w:val="005A6E7B"/>
    <w:rsid w:val="005C38B2"/>
    <w:rsid w:val="005C5029"/>
    <w:rsid w:val="005C55C2"/>
    <w:rsid w:val="005C71CA"/>
    <w:rsid w:val="005C745C"/>
    <w:rsid w:val="005D4DF5"/>
    <w:rsid w:val="005E0DA8"/>
    <w:rsid w:val="005E42BA"/>
    <w:rsid w:val="00611D6B"/>
    <w:rsid w:val="00612C9C"/>
    <w:rsid w:val="00625CFD"/>
    <w:rsid w:val="006326EC"/>
    <w:rsid w:val="00663A42"/>
    <w:rsid w:val="006641C7"/>
    <w:rsid w:val="006705EA"/>
    <w:rsid w:val="00670BE2"/>
    <w:rsid w:val="006916D9"/>
    <w:rsid w:val="006A0E05"/>
    <w:rsid w:val="006A26C6"/>
    <w:rsid w:val="006A465A"/>
    <w:rsid w:val="006A7D5D"/>
    <w:rsid w:val="006D0C12"/>
    <w:rsid w:val="006D5D57"/>
    <w:rsid w:val="006E2538"/>
    <w:rsid w:val="006E302F"/>
    <w:rsid w:val="006F4D6D"/>
    <w:rsid w:val="00705086"/>
    <w:rsid w:val="00722001"/>
    <w:rsid w:val="00744525"/>
    <w:rsid w:val="00751E66"/>
    <w:rsid w:val="00754497"/>
    <w:rsid w:val="00754CDE"/>
    <w:rsid w:val="007565FC"/>
    <w:rsid w:val="00773201"/>
    <w:rsid w:val="00773E37"/>
    <w:rsid w:val="00787C39"/>
    <w:rsid w:val="00792947"/>
    <w:rsid w:val="00795DF3"/>
    <w:rsid w:val="007A373C"/>
    <w:rsid w:val="007B225C"/>
    <w:rsid w:val="007C75B1"/>
    <w:rsid w:val="007D3DFC"/>
    <w:rsid w:val="007E273F"/>
    <w:rsid w:val="007E2F07"/>
    <w:rsid w:val="007E59A8"/>
    <w:rsid w:val="007F0A08"/>
    <w:rsid w:val="0080776D"/>
    <w:rsid w:val="00810145"/>
    <w:rsid w:val="008108FA"/>
    <w:rsid w:val="00810FF1"/>
    <w:rsid w:val="00822336"/>
    <w:rsid w:val="00823DFA"/>
    <w:rsid w:val="00824DE0"/>
    <w:rsid w:val="00842DB7"/>
    <w:rsid w:val="00843752"/>
    <w:rsid w:val="0084379B"/>
    <w:rsid w:val="0084479F"/>
    <w:rsid w:val="0085725E"/>
    <w:rsid w:val="00871C41"/>
    <w:rsid w:val="00873D4F"/>
    <w:rsid w:val="0087509F"/>
    <w:rsid w:val="00880936"/>
    <w:rsid w:val="00885B09"/>
    <w:rsid w:val="00892400"/>
    <w:rsid w:val="008A209D"/>
    <w:rsid w:val="008A22BB"/>
    <w:rsid w:val="008B035D"/>
    <w:rsid w:val="008B0E29"/>
    <w:rsid w:val="008B0EFA"/>
    <w:rsid w:val="008B30AB"/>
    <w:rsid w:val="008C3BB8"/>
    <w:rsid w:val="008C4B65"/>
    <w:rsid w:val="008E215A"/>
    <w:rsid w:val="008E5F55"/>
    <w:rsid w:val="008F5E7C"/>
    <w:rsid w:val="009009E7"/>
    <w:rsid w:val="00905DEF"/>
    <w:rsid w:val="00906056"/>
    <w:rsid w:val="009122AE"/>
    <w:rsid w:val="00913B43"/>
    <w:rsid w:val="00925EA2"/>
    <w:rsid w:val="00930203"/>
    <w:rsid w:val="009311D2"/>
    <w:rsid w:val="009311E6"/>
    <w:rsid w:val="00931275"/>
    <w:rsid w:val="00936AC7"/>
    <w:rsid w:val="00947761"/>
    <w:rsid w:val="00953B64"/>
    <w:rsid w:val="009646A7"/>
    <w:rsid w:val="00970A88"/>
    <w:rsid w:val="009715B6"/>
    <w:rsid w:val="009818A1"/>
    <w:rsid w:val="009A1674"/>
    <w:rsid w:val="009B38BE"/>
    <w:rsid w:val="009B4DF2"/>
    <w:rsid w:val="009C1FF7"/>
    <w:rsid w:val="009C684F"/>
    <w:rsid w:val="009D074C"/>
    <w:rsid w:val="009D6E73"/>
    <w:rsid w:val="009F1F1D"/>
    <w:rsid w:val="009F2B4F"/>
    <w:rsid w:val="009F3C63"/>
    <w:rsid w:val="009F66B5"/>
    <w:rsid w:val="00A02F10"/>
    <w:rsid w:val="00A1060C"/>
    <w:rsid w:val="00A13BFD"/>
    <w:rsid w:val="00A16221"/>
    <w:rsid w:val="00A20A7D"/>
    <w:rsid w:val="00A33598"/>
    <w:rsid w:val="00A35D42"/>
    <w:rsid w:val="00A403FD"/>
    <w:rsid w:val="00A46CCF"/>
    <w:rsid w:val="00A506DE"/>
    <w:rsid w:val="00A53451"/>
    <w:rsid w:val="00A646D4"/>
    <w:rsid w:val="00A70426"/>
    <w:rsid w:val="00A707CC"/>
    <w:rsid w:val="00A71410"/>
    <w:rsid w:val="00A91E9A"/>
    <w:rsid w:val="00A93ED9"/>
    <w:rsid w:val="00A96221"/>
    <w:rsid w:val="00AA66C0"/>
    <w:rsid w:val="00AB2E62"/>
    <w:rsid w:val="00AB64D4"/>
    <w:rsid w:val="00AC2DBB"/>
    <w:rsid w:val="00AC6A99"/>
    <w:rsid w:val="00AD6048"/>
    <w:rsid w:val="00AF0A45"/>
    <w:rsid w:val="00B055EF"/>
    <w:rsid w:val="00B06B5B"/>
    <w:rsid w:val="00B23769"/>
    <w:rsid w:val="00B41789"/>
    <w:rsid w:val="00B81808"/>
    <w:rsid w:val="00B86DFA"/>
    <w:rsid w:val="00B936D0"/>
    <w:rsid w:val="00BB15FB"/>
    <w:rsid w:val="00BD3D5B"/>
    <w:rsid w:val="00BE3600"/>
    <w:rsid w:val="00BE489B"/>
    <w:rsid w:val="00C01F6F"/>
    <w:rsid w:val="00C041EA"/>
    <w:rsid w:val="00C12F5D"/>
    <w:rsid w:val="00C13BBD"/>
    <w:rsid w:val="00C149AB"/>
    <w:rsid w:val="00C16929"/>
    <w:rsid w:val="00C20690"/>
    <w:rsid w:val="00C217D7"/>
    <w:rsid w:val="00C36020"/>
    <w:rsid w:val="00C40694"/>
    <w:rsid w:val="00C40A0D"/>
    <w:rsid w:val="00C479BF"/>
    <w:rsid w:val="00C5124B"/>
    <w:rsid w:val="00C70542"/>
    <w:rsid w:val="00C70F3E"/>
    <w:rsid w:val="00C75CBF"/>
    <w:rsid w:val="00CC2894"/>
    <w:rsid w:val="00CD77C3"/>
    <w:rsid w:val="00CE112C"/>
    <w:rsid w:val="00CE31CF"/>
    <w:rsid w:val="00CF55D4"/>
    <w:rsid w:val="00D0402C"/>
    <w:rsid w:val="00D0541A"/>
    <w:rsid w:val="00D608DA"/>
    <w:rsid w:val="00D730BF"/>
    <w:rsid w:val="00D852F4"/>
    <w:rsid w:val="00DB1110"/>
    <w:rsid w:val="00DB3730"/>
    <w:rsid w:val="00DC371B"/>
    <w:rsid w:val="00DC3788"/>
    <w:rsid w:val="00DC76C7"/>
    <w:rsid w:val="00DD09F5"/>
    <w:rsid w:val="00DD0E02"/>
    <w:rsid w:val="00DD2B6C"/>
    <w:rsid w:val="00DD4201"/>
    <w:rsid w:val="00DD5E9F"/>
    <w:rsid w:val="00DE5711"/>
    <w:rsid w:val="00DE57E8"/>
    <w:rsid w:val="00E00EA0"/>
    <w:rsid w:val="00E021CB"/>
    <w:rsid w:val="00E036B6"/>
    <w:rsid w:val="00E138F1"/>
    <w:rsid w:val="00E2309D"/>
    <w:rsid w:val="00E26758"/>
    <w:rsid w:val="00E37C36"/>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C1868"/>
    <w:rsid w:val="00EC6222"/>
    <w:rsid w:val="00EE6468"/>
    <w:rsid w:val="00F1299B"/>
    <w:rsid w:val="00F207A4"/>
    <w:rsid w:val="00F25173"/>
    <w:rsid w:val="00F355AC"/>
    <w:rsid w:val="00F40CF7"/>
    <w:rsid w:val="00F44194"/>
    <w:rsid w:val="00F71A5A"/>
    <w:rsid w:val="00F73A1A"/>
    <w:rsid w:val="00F769E0"/>
    <w:rsid w:val="00FA4A46"/>
    <w:rsid w:val="00FA75FE"/>
    <w:rsid w:val="00FB1032"/>
    <w:rsid w:val="00FB147B"/>
    <w:rsid w:val="00FB39BC"/>
    <w:rsid w:val="00FB6A53"/>
    <w:rsid w:val="00FB7705"/>
    <w:rsid w:val="00FC11CA"/>
    <w:rsid w:val="00FC6BDE"/>
    <w:rsid w:val="00FE0C2C"/>
    <w:rsid w:val="00FE62D4"/>
    <w:rsid w:val="00FF6138"/>
    <w:rsid w:val="08C1155B"/>
    <w:rsid w:val="1B3247AD"/>
    <w:rsid w:val="24BD946A"/>
    <w:rsid w:val="369ABFAF"/>
    <w:rsid w:val="51212472"/>
    <w:rsid w:val="63511B40"/>
    <w:rsid w:val="675D8109"/>
    <w:rsid w:val="6E2974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7B0C91"/>
  <w15:chartTrackingRefBased/>
  <w15:docId w15:val="{3B2121DF-B647-412C-BB17-F1B6DE19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customStyle="1" w:styleId="BodyText2Char">
    <w:name w:val="Body Text 2 Char"/>
    <w:basedOn w:val="DefaultParagraphFont"/>
    <w:link w:val="BodyText2"/>
    <w:rsid w:val="00BE489B"/>
    <w:rPr>
      <w:sz w:val="24"/>
    </w:rPr>
  </w:style>
  <w:style w:type="character" w:styleId="CommentReference">
    <w:name w:val="annotation reference"/>
    <w:basedOn w:val="DefaultParagraphFont"/>
    <w:rsid w:val="009715B6"/>
    <w:rPr>
      <w:sz w:val="16"/>
      <w:szCs w:val="16"/>
    </w:rPr>
  </w:style>
  <w:style w:type="paragraph" w:styleId="CommentText">
    <w:name w:val="annotation text"/>
    <w:basedOn w:val="Normal"/>
    <w:link w:val="CommentTextChar"/>
    <w:rsid w:val="009715B6"/>
    <w:rPr>
      <w:sz w:val="20"/>
      <w:szCs w:val="20"/>
    </w:rPr>
  </w:style>
  <w:style w:type="character" w:customStyle="1" w:styleId="CommentTextChar">
    <w:name w:val="Comment Text Char"/>
    <w:basedOn w:val="DefaultParagraphFont"/>
    <w:link w:val="CommentText"/>
    <w:rsid w:val="009715B6"/>
  </w:style>
  <w:style w:type="paragraph" w:styleId="CommentSubject">
    <w:name w:val="annotation subject"/>
    <w:basedOn w:val="CommentText"/>
    <w:next w:val="CommentText"/>
    <w:link w:val="CommentSubjectChar"/>
    <w:rsid w:val="009715B6"/>
    <w:rPr>
      <w:b/>
      <w:bCs/>
    </w:rPr>
  </w:style>
  <w:style w:type="character" w:customStyle="1" w:styleId="CommentSubjectChar">
    <w:name w:val="Comment Subject Char"/>
    <w:basedOn w:val="CommentTextChar"/>
    <w:link w:val="CommentSubject"/>
    <w:rsid w:val="00971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industry/electronic-submissions-gateway/create-esg-account" TargetMode="External" /><Relationship Id="rId11" Type="http://schemas.openxmlformats.org/officeDocument/2006/relationships/hyperlink" Target="https://www.bls.gov/oes/current/naics4_312200.htm" TargetMode="External" /><Relationship Id="rId12" Type="http://schemas.openxmlformats.org/officeDocument/2006/relationships/hyperlink" Target="https://www.opm.go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regulatory-information/search-fda-guidance-documents/submission-warning-plans-cigarettes-and-smokeless-tobacco-products" TargetMode="External" /><Relationship Id="rId8" Type="http://schemas.openxmlformats.org/officeDocument/2006/relationships/hyperlink" Target="https://www.fda.gov/tobacco-products/labeling-and-warning-statements-tobacco-products/smokeless-tobacco-labeling-and-warning-statement-requirements" TargetMode="External" /><Relationship Id="rId9" Type="http://schemas.openxmlformats.org/officeDocument/2006/relationships/hyperlink" Target="https://ctpportal.fda.gov/ctpportal/login.j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D2A0FFF35964E9859F2CD028E242B" ma:contentTypeVersion="4" ma:contentTypeDescription="Create a new document." ma:contentTypeScope="" ma:versionID="e231e4d28a0fadfc7da44a3fb5a1c28a">
  <xsd:schema xmlns:xsd="http://www.w3.org/2001/XMLSchema" xmlns:xs="http://www.w3.org/2001/XMLSchema" xmlns:p="http://schemas.microsoft.com/office/2006/metadata/properties" xmlns:ns2="51153f22-0994-41b9-a4fa-3c8bb3c8ee19" xmlns:ns3="55806e25-2472-48df-91f5-2c650834f9f6" targetNamespace="http://schemas.microsoft.com/office/2006/metadata/properties" ma:root="true" ma:fieldsID="50b7bc7c6327ace8967aaa03d1556398" ns2:_="" ns3:_="">
    <xsd:import namespace="51153f22-0994-41b9-a4fa-3c8bb3c8ee19"/>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53f22-0994-41b9-a4fa-3c8bb3c8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2A2DE-E479-4C06-A228-2F453860FE9B}">
  <ds:schemaRefs>
    <ds:schemaRef ds:uri="http://purl.org/dc/terms/"/>
    <ds:schemaRef ds:uri="http://schemas.openxmlformats.org/package/2006/metadata/core-properties"/>
    <ds:schemaRef ds:uri="http://schemas.microsoft.com/office/2006/documentManagement/types"/>
    <ds:schemaRef ds:uri="http://purl.org/dc/dcmitype/"/>
    <ds:schemaRef ds:uri="51153f22-0994-41b9-a4fa-3c8bb3c8ee19"/>
    <ds:schemaRef ds:uri="http://purl.org/dc/elements/1.1/"/>
    <ds:schemaRef ds:uri="http://schemas.microsoft.com/office/2006/metadata/properties"/>
    <ds:schemaRef ds:uri="55806e25-2472-48df-91f5-2c650834f9f6"/>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9B79619-0FC4-40E9-AB0D-65C47D5DD189}">
  <ds:schemaRefs>
    <ds:schemaRef ds:uri="http://schemas.microsoft.com/sharepoint/v3/contenttype/forms"/>
  </ds:schemaRefs>
</ds:datastoreItem>
</file>

<file path=customXml/itemProps3.xml><?xml version="1.0" encoding="utf-8"?>
<ds:datastoreItem xmlns:ds="http://schemas.openxmlformats.org/officeDocument/2006/customXml" ds:itemID="{E74065A6-6969-4BF4-BBBE-9B090092E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53f22-0994-41b9-a4fa-3c8bb3c8ee19"/>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1543</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Showalter, Rachel</cp:lastModifiedBy>
  <cp:revision>4</cp:revision>
  <cp:lastPrinted>2019-07-03T16:25:00Z</cp:lastPrinted>
  <dcterms:created xsi:type="dcterms:W3CDTF">2022-10-18T12:57:00Z</dcterms:created>
  <dcterms:modified xsi:type="dcterms:W3CDTF">2022-10-18T13:12:00Z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foreICRFlag">
    <vt:lpwstr>0</vt:lpwstr>
  </property>
  <property fmtid="{D5CDD505-2E9C-101B-9397-08002B2CF9AE}" pid="3" name="ContentTypeId">
    <vt:lpwstr>0x010100613D2A0FFF35964E9859F2CD028E242B</vt:lpwstr>
  </property>
</Properties>
</file>