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BD" w:rsidP="00357C8A" w:rsidRDefault="00A354BD" w14:paraId="44676CE8" w14:textId="77777777">
      <w:pPr>
        <w:jc w:val="center"/>
        <w:rPr>
          <w:rFonts w:eastAsia="Calibri"/>
        </w:rPr>
      </w:pPr>
    </w:p>
    <w:p w:rsidR="00A354BD" w:rsidP="00357C8A" w:rsidRDefault="00A354BD" w14:paraId="60E68345" w14:textId="77777777">
      <w:pPr>
        <w:jc w:val="center"/>
        <w:rPr>
          <w:rFonts w:eastAsia="Calibri"/>
        </w:rPr>
      </w:pPr>
    </w:p>
    <w:p w:rsidR="00357C8A" w:rsidP="00357C8A" w:rsidRDefault="00357C8A" w14:paraId="77E74B6B" w14:textId="0646D5C5">
      <w:pPr>
        <w:jc w:val="center"/>
        <w:rPr>
          <w:rFonts w:eastAsia="Calibri"/>
        </w:rPr>
      </w:pPr>
      <w:r w:rsidRPr="00357C8A">
        <w:rPr>
          <w:rFonts w:eastAsia="Calibri"/>
        </w:rPr>
        <w:t>United States Food and Drug Administration</w:t>
      </w:r>
    </w:p>
    <w:p w:rsidR="00357C8A" w:rsidP="00357C8A" w:rsidRDefault="00357C8A" w14:paraId="4B94D5A5" w14:textId="77777777">
      <w:pPr>
        <w:jc w:val="center"/>
        <w:rPr>
          <w:rFonts w:eastAsia="Calibri"/>
        </w:rPr>
      </w:pPr>
    </w:p>
    <w:p w:rsidRPr="009A1674" w:rsidR="0034553D" w:rsidP="0034553D" w:rsidRDefault="0034553D" w14:paraId="178002C4" w14:textId="3CC6059B">
      <w:pPr>
        <w:jc w:val="center"/>
      </w:pPr>
      <w:r>
        <w:t>Guidance on Reagents for Detection of Specific Novel Influenza A Viruses</w:t>
      </w:r>
    </w:p>
    <w:p w:rsidR="00357C8A" w:rsidP="00357C8A" w:rsidRDefault="00357C8A" w14:paraId="3DEEC669" w14:textId="77777777">
      <w:pPr>
        <w:jc w:val="center"/>
        <w:rPr>
          <w:rFonts w:eastAsia="Calibri"/>
        </w:rPr>
      </w:pPr>
    </w:p>
    <w:p w:rsidR="00357C8A" w:rsidP="00357C8A" w:rsidRDefault="00357C8A" w14:paraId="52FFAE30" w14:textId="78B62FDE">
      <w:pPr>
        <w:jc w:val="center"/>
        <w:rPr>
          <w:rFonts w:eastAsia="Calibri"/>
        </w:rPr>
      </w:pPr>
      <w:r w:rsidRPr="00357C8A">
        <w:rPr>
          <w:rFonts w:eastAsia="Calibri"/>
        </w:rPr>
        <w:t>OMB Control No. 0910-</w:t>
      </w:r>
      <w:r w:rsidR="0034553D">
        <w:rPr>
          <w:rFonts w:eastAsia="Calibri"/>
        </w:rPr>
        <w:t>0584</w:t>
      </w:r>
    </w:p>
    <w:p w:rsidR="00357C8A" w:rsidP="00357C8A" w:rsidRDefault="00357C8A" w14:paraId="3656B9AB" w14:textId="77777777">
      <w:pPr>
        <w:jc w:val="center"/>
        <w:rPr>
          <w:rFonts w:eastAsia="Calibri"/>
        </w:rPr>
      </w:pPr>
    </w:p>
    <w:p w:rsidR="00357C8A" w:rsidP="00357C8A" w:rsidRDefault="00357C8A" w14:paraId="2C2BCB7B" w14:textId="77777777">
      <w:pPr>
        <w:jc w:val="center"/>
        <w:rPr>
          <w:rFonts w:eastAsia="Calibri"/>
        </w:rPr>
      </w:pPr>
      <w:r w:rsidRPr="00357C8A">
        <w:rPr>
          <w:rFonts w:eastAsia="Calibri"/>
        </w:rPr>
        <w:t>SUPPORTING STATEMENT</w:t>
      </w:r>
    </w:p>
    <w:p w:rsidR="009B4DF2" w:rsidP="00357C8A" w:rsidRDefault="009B4DF2" w14:paraId="45FB0818" w14:textId="77777777">
      <w:pPr>
        <w:jc w:val="center"/>
        <w:rPr>
          <w:rFonts w:eastAsia="Calibri"/>
        </w:rPr>
      </w:pPr>
    </w:p>
    <w:p w:rsidRPr="00357C8A" w:rsidR="00357C8A" w:rsidP="00357C8A" w:rsidRDefault="00357C8A" w14:paraId="049F31CB" w14:textId="77777777">
      <w:pPr>
        <w:rPr>
          <w:rFonts w:eastAsia="Calibri"/>
          <w:b/>
        </w:rPr>
      </w:pPr>
    </w:p>
    <w:p w:rsidR="00357C8A" w:rsidP="000D79CC" w:rsidRDefault="00357C8A" w14:paraId="436C6022"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53128261" w14:textId="77777777">
      <w:pPr>
        <w:rPr>
          <w:rFonts w:eastAsia="Calibri"/>
        </w:rPr>
      </w:pPr>
    </w:p>
    <w:p w:rsidRPr="00357C8A" w:rsidR="00357C8A" w:rsidP="006705EA" w:rsidRDefault="00357C8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030061" w:rsidP="004D196F" w:rsidRDefault="00030061" w14:paraId="063F925E" w14:textId="737ACC8D">
      <w:pPr>
        <w:spacing w:before="100" w:beforeAutospacing="1" w:after="100" w:afterAutospacing="1"/>
      </w:pPr>
      <w:r w:rsidRPr="00030061">
        <w:t xml:space="preserve">This information collection supports Food and Drug Administration (FDA, </w:t>
      </w:r>
      <w:proofErr w:type="gramStart"/>
      <w:r w:rsidRPr="00030061">
        <w:t>us</w:t>
      </w:r>
      <w:proofErr w:type="gramEnd"/>
      <w:r w:rsidRPr="00030061">
        <w:t xml:space="preserve"> or we) regulations and guidance.  In accordance with section 513 of the Federal Food, Drug, and Cosmetic Act (FD&amp;C Act) (21 U.S.C. 360c), FDA evaluated an application for an in vitro diagnostic device for detection of influenza subtype H5 (Asian lineage), commonly known as avian flu.  FDA concluded that this device is properly classified into class II in accordance with section 513(a)(1)(B) of the FD&amp;C Act, because it is a device for which the general controls by themselves are insufficient to provide reasonable assurance of the safety and effectiveness of the device, but there is sufficient information to establish special controls to provide such assurance.  The statute permits FDA to establish as special controls many different things, including </w:t>
      </w:r>
      <w:proofErr w:type="spellStart"/>
      <w:r w:rsidRPr="00030061">
        <w:t>postmarket</w:t>
      </w:r>
      <w:proofErr w:type="spellEnd"/>
      <w:r w:rsidRPr="00030061">
        <w:t xml:space="preserve"> surveillance, </w:t>
      </w:r>
      <w:proofErr w:type="gramStart"/>
      <w:r w:rsidRPr="00030061">
        <w:t>development</w:t>
      </w:r>
      <w:proofErr w:type="gramEnd"/>
      <w:r w:rsidRPr="00030061">
        <w:t xml:space="preserve"> and dissemination of guidance recommendations, and “other appropriate actions as the Secretary [of HHS] deems necessary” (section 513(a)(1)(B) of the FD&amp;C Act).  This information collection is a measure that FDA determined to be necessary to provide reasonable assurance of safety and effectiveness of reagents for detection of specific novel influenza A viruses.</w:t>
      </w:r>
    </w:p>
    <w:p w:rsidR="004D196F" w:rsidP="004D196F" w:rsidRDefault="004D196F" w14:paraId="2CE7A2AC" w14:textId="79A69218">
      <w:pPr>
        <w:spacing w:before="100" w:beforeAutospacing="1" w:after="100" w:afterAutospacing="1"/>
      </w:pPr>
      <w:r w:rsidRPr="002726B3">
        <w:t xml:space="preserve">FDA issued an order classifying the H5 (Asian lineage) diagnostic device into class II on February 3, 2006, establishing the special controls necessary to provide reasonable assurance of the safety and effectiveness of that device and similar future devices. In accordance with </w:t>
      </w:r>
      <w:r>
        <w:t>s</w:t>
      </w:r>
      <w:r w:rsidRPr="002726B3">
        <w:t xml:space="preserve">ection </w:t>
      </w:r>
      <w:r>
        <w:t>513</w:t>
      </w:r>
      <w:r w:rsidRPr="00B33AC0">
        <w:t>(f)(2)</w:t>
      </w:r>
      <w:r>
        <w:t xml:space="preserve"> of the Federal Food, Drug, and Cosmetic Act (21 U.S.C. 360c(f)(2)), </w:t>
      </w:r>
      <w:r w:rsidRPr="002726B3">
        <w:t xml:space="preserve">FDA </w:t>
      </w:r>
      <w:r>
        <w:t>codified</w:t>
      </w:r>
      <w:r w:rsidRPr="002726B3">
        <w:t xml:space="preserve"> this classification </w:t>
      </w:r>
      <w:r>
        <w:t>at</w:t>
      </w:r>
      <w:r w:rsidRPr="002726B3">
        <w:t xml:space="preserve"> </w:t>
      </w:r>
      <w:hyperlink w:history="1" r:id="rId10">
        <w:r w:rsidRPr="00B647D8">
          <w:rPr>
            <w:rStyle w:val="Hyperlink"/>
          </w:rPr>
          <w:t>21 CFR 866.3332</w:t>
        </w:r>
      </w:hyperlink>
      <w:r>
        <w:t>.</w:t>
      </w:r>
      <w:r w:rsidRPr="002726B3">
        <w:t xml:space="preserve">  The regulation </w:t>
      </w:r>
      <w:r>
        <w:t>refers to</w:t>
      </w:r>
      <w:r w:rsidRPr="002726B3">
        <w:t xml:space="preserve"> the special control guidance document, </w:t>
      </w:r>
      <w:bookmarkStart w:name="_Hlk11161590" w:id="0"/>
      <w:r>
        <w:t>“</w:t>
      </w:r>
      <w:hyperlink w:history="1" r:id="rId11">
        <w:r w:rsidRPr="000F10A1">
          <w:rPr>
            <w:rStyle w:val="Hyperlink"/>
          </w:rPr>
          <w:t>Class II Special Controls Guidance Document: Reagents for Detection of Specific Novel Influenza A Virus</w:t>
        </w:r>
      </w:hyperlink>
      <w:r>
        <w:t>”(</w:t>
      </w:r>
      <w:hyperlink w:history="1" r:id="rId12">
        <w:r w:rsidRPr="00D34CA6">
          <w:rPr>
            <w:rStyle w:val="Hyperlink"/>
          </w:rPr>
          <w:t>http://www.fda.gov/MedicalDevices/DeviceRegulationandGuidance/GuidanceDocuments/ucm078583.htm</w:t>
        </w:r>
      </w:hyperlink>
      <w:r>
        <w:t>),</w:t>
      </w:r>
      <w:bookmarkEnd w:id="0"/>
      <w:r w:rsidRPr="002726B3">
        <w:t xml:space="preserve"> which provides recommendations for measures to help provide a reasonable assurance of safety and effectiveness for Novel Influenza A Reagents, including the </w:t>
      </w:r>
      <w:r>
        <w:t>information collection</w:t>
      </w:r>
      <w:r w:rsidRPr="002726B3">
        <w:t xml:space="preserve"> described above</w:t>
      </w:r>
      <w:r>
        <w:t>.</w:t>
      </w:r>
    </w:p>
    <w:p w:rsidR="004D196F" w:rsidP="004D196F" w:rsidRDefault="004D196F" w14:paraId="4D587DEB" w14:textId="640A80DB">
      <w:r w:rsidRPr="003B15D5">
        <w:t xml:space="preserve">This guidance refers to previously approved collections of information found in FDA regulations. These collections of information are subject to review by the Office of Management and Budget (OMB) under the Paperwork Reduction Act of 1995 (44 U.S.C. 3501-3520). The collections of information in </w:t>
      </w:r>
      <w:r>
        <w:t>21 CFR part 820 have been approved under OMB control number 0910-0073; the collections of information in 21 CFR 801 have been approved under OMB control number 0910-</w:t>
      </w:r>
      <w:r>
        <w:lastRenderedPageBreak/>
        <w:t>0485; and the collections of information in 21 CFR part 807, subpart E have been approved under OMB control number 0910-0120.</w:t>
      </w:r>
    </w:p>
    <w:p w:rsidR="004D196F" w:rsidP="004D196F" w:rsidRDefault="004D196F" w14:paraId="01FE49BF" w14:textId="77777777"/>
    <w:p w:rsidR="00357C8A" w:rsidP="004D196F" w:rsidRDefault="004D196F" w14:paraId="39D1A85E" w14:textId="25A82F8D">
      <w:pPr>
        <w:spacing w:after="200" w:line="276" w:lineRule="auto"/>
        <w:rPr>
          <w:rFonts w:eastAsia="Calibri"/>
          <w:u w:val="single"/>
        </w:rPr>
      </w:pPr>
      <w:r>
        <w:rPr>
          <w:rFonts w:eastAsia="Calibri"/>
        </w:rPr>
        <w:t xml:space="preserve">2. </w:t>
      </w:r>
      <w:r w:rsidRPr="0034553D" w:rsidR="00357C8A">
        <w:rPr>
          <w:rFonts w:eastAsia="Calibri"/>
          <w:u w:val="single"/>
        </w:rPr>
        <w:t xml:space="preserve">Purpose and Use of the Information Collection </w:t>
      </w:r>
    </w:p>
    <w:p w:rsidR="004D196F" w:rsidP="004D196F" w:rsidRDefault="004D196F" w14:paraId="6B2C4686" w14:textId="77777777">
      <w:r>
        <w:t xml:space="preserve">This guidance document recommends that sponsors obtain and analyze data </w:t>
      </w:r>
      <w:proofErr w:type="spellStart"/>
      <w:r>
        <w:t>postmarket</w:t>
      </w:r>
      <w:proofErr w:type="spellEnd"/>
      <w:r>
        <w:t xml:space="preserve"> to ensure the continued reliability of their device in detecting the specific novel influenza A virus that it is intended to detect, particularly given the propensity for influenza viruses to mutate and the potential for changes in disease prevalence over time.  </w:t>
      </w:r>
      <w:r>
        <w:rPr>
          <w:color w:val="000000"/>
        </w:rPr>
        <w:t xml:space="preserve">As updated </w:t>
      </w:r>
      <w:r w:rsidRPr="008558B9">
        <w:rPr>
          <w:color w:val="000000"/>
        </w:rPr>
        <w:t xml:space="preserve">sequences </w:t>
      </w:r>
      <w:r>
        <w:rPr>
          <w:color w:val="000000"/>
        </w:rPr>
        <w:t xml:space="preserve">for novel influenza A viruses </w:t>
      </w:r>
      <w:r w:rsidRPr="008558B9">
        <w:rPr>
          <w:color w:val="000000"/>
        </w:rPr>
        <w:t>become available (from WHO, NIH</w:t>
      </w:r>
      <w:r>
        <w:rPr>
          <w:color w:val="000000"/>
        </w:rPr>
        <w:t>,</w:t>
      </w:r>
      <w:r w:rsidRPr="008558B9">
        <w:rPr>
          <w:color w:val="000000"/>
        </w:rPr>
        <w:t xml:space="preserve"> and other</w:t>
      </w:r>
      <w:r w:rsidRPr="008558B9">
        <w:t xml:space="preserve"> public health entities), </w:t>
      </w:r>
      <w:r>
        <w:t>sponsors of reagents for detection of specific novel influenza A viruses (in vitro diagnostic (IVD) manufacturers or federal agencies that develop and evaluate novel influenza tests) will collect this information, will compare them with the</w:t>
      </w:r>
      <w:r w:rsidRPr="008558B9">
        <w:t xml:space="preserve"> </w:t>
      </w:r>
      <w:r w:rsidRPr="003E58BA">
        <w:t>primer/probe sequences in their devices (laboratory testing as needed) and incorporate the result of these analyses into their Quality Management System</w:t>
      </w:r>
      <w:r>
        <w:t xml:space="preserve"> (approved under OMB control number 0910-0073)</w:t>
      </w:r>
      <w:r w:rsidRPr="003E58BA">
        <w:t>, as required by 21 CFR 820.100(a)(1) Corrective</w:t>
      </w:r>
      <w:r w:rsidRPr="008558B9">
        <w:t xml:space="preserve"> and Preventive Action.</w:t>
      </w:r>
      <w:r>
        <w:t xml:space="preserve">  Further, these analyses will</w:t>
      </w:r>
      <w:r w:rsidRPr="008558B9">
        <w:t xml:space="preserve"> be evaluated against the device design validation and risk analysis required by 21 CFR 820.30(g)</w:t>
      </w:r>
      <w:r>
        <w:t xml:space="preserve">, </w:t>
      </w:r>
      <w:r w:rsidRPr="008558B9">
        <w:t>Design Validation, to determine if any design changes may be necessary.</w:t>
      </w:r>
      <w:r>
        <w:t xml:space="preserve">  </w:t>
      </w:r>
      <w:hyperlink w:history="1" r:id="rId13">
        <w:r w:rsidRPr="00A53C42">
          <w:rPr>
            <w:rStyle w:val="Hyperlink"/>
          </w:rPr>
          <w:t>http://www.accessdata.fda.gov/scripts/cdrh/cfdocs/cfcfr/CFRSearch.cfm?CFRPart=820</w:t>
        </w:r>
      </w:hyperlink>
    </w:p>
    <w:p w:rsidRPr="007D2C26" w:rsidR="004D196F" w:rsidP="004D196F" w:rsidRDefault="004D196F" w14:paraId="1C9A6E0E" w14:textId="77777777">
      <w:pPr>
        <w:ind w:left="720"/>
      </w:pPr>
    </w:p>
    <w:p w:rsidRPr="004D196F" w:rsidR="004D196F" w:rsidP="004D196F" w:rsidRDefault="004D196F" w14:paraId="4034E873" w14:textId="60E543C0">
      <w:pPr>
        <w:rPr>
          <w:i/>
        </w:rPr>
      </w:pPr>
      <w:r w:rsidRPr="008558B9">
        <w:t>If there is a change in the prevalence of influenza caused by the specific n</w:t>
      </w:r>
      <w:r>
        <w:t>ovel influenza A virus that the sponsor’s</w:t>
      </w:r>
      <w:r w:rsidRPr="008558B9">
        <w:t xml:space="preserve"> device is intended to detect, compared to the prevalence existing when the </w:t>
      </w:r>
      <w:r>
        <w:t xml:space="preserve">premarket </w:t>
      </w:r>
      <w:r w:rsidRPr="008558B9">
        <w:t>clinical studies were condu</w:t>
      </w:r>
      <w:r>
        <w:t>cted, the sponsor will</w:t>
      </w:r>
      <w:r w:rsidRPr="008558B9">
        <w:t xml:space="preserve"> collect data on </w:t>
      </w:r>
      <w:r>
        <w:t>the clinical performance of their</w:t>
      </w:r>
      <w:r w:rsidRPr="008558B9">
        <w:t xml:space="preserve"> device under the new prevalence conditions.  </w:t>
      </w:r>
      <w:r>
        <w:t xml:space="preserve">Changes in prevalence may be obtained from national surveillance reports. </w:t>
      </w:r>
      <w:r w:rsidRPr="008558B9">
        <w:t>The prevalence of infection with the spe</w:t>
      </w:r>
      <w:r>
        <w:t>cific novel influenza virus their</w:t>
      </w:r>
      <w:r w:rsidRPr="008558B9">
        <w:t xml:space="preserve"> device is intended to detect may change significantly with time, possibl</w:t>
      </w:r>
      <w:r>
        <w:t>y affecting their</w:t>
      </w:r>
      <w:r w:rsidRPr="008558B9">
        <w:t xml:space="preserve"> device p</w:t>
      </w:r>
      <w:r>
        <w:t>erformance.  The labeling of their</w:t>
      </w:r>
      <w:r w:rsidRPr="008558B9">
        <w:t xml:space="preserve"> device may need to be revised to reflect the new clinical performance data.</w:t>
      </w:r>
    </w:p>
    <w:p w:rsidRPr="007D2C26" w:rsidR="004D196F" w:rsidP="004D196F" w:rsidRDefault="004D196F" w14:paraId="624A4312" w14:textId="77777777">
      <w:pPr>
        <w:pStyle w:val="ListParagraph"/>
        <w:ind w:left="360"/>
      </w:pPr>
    </w:p>
    <w:p w:rsidRPr="004D196F" w:rsidR="00357C8A" w:rsidP="004D196F" w:rsidRDefault="004D196F" w14:paraId="37E67F98" w14:textId="1C0779E3">
      <w:pPr>
        <w:spacing w:after="200" w:line="276" w:lineRule="auto"/>
        <w:rPr>
          <w:rFonts w:eastAsia="Calibri"/>
          <w:u w:val="single"/>
        </w:rPr>
      </w:pPr>
      <w:r w:rsidRPr="004D196F">
        <w:rPr>
          <w:rFonts w:eastAsia="Calibri"/>
        </w:rPr>
        <w:t xml:space="preserve">3. </w:t>
      </w:r>
      <w:r w:rsidRPr="004D196F" w:rsidR="00357C8A">
        <w:rPr>
          <w:rFonts w:eastAsia="Calibri"/>
          <w:u w:val="single"/>
        </w:rPr>
        <w:t>Use of Improved Information Technology and Burden Reduction</w:t>
      </w:r>
    </w:p>
    <w:p w:rsidR="00D81991" w:rsidP="00D81991" w:rsidRDefault="004D196F" w14:paraId="6EF831FD" w14:textId="77777777">
      <w:r>
        <w:rPr>
          <w:bCs/>
        </w:rPr>
        <w:t xml:space="preserve">Companies are free to use whatever forms of information technology may best assist them in utilizing this guidance document.  </w:t>
      </w:r>
      <w:r w:rsidRPr="001B1C72">
        <w:t>FDA estimates that 95% of the respondents will use electronic means to fulfill the agency’s requirement or request.</w:t>
      </w:r>
    </w:p>
    <w:p w:rsidR="00D81991" w:rsidP="00D81991" w:rsidRDefault="00D81991" w14:paraId="753E1D63" w14:textId="77777777"/>
    <w:p w:rsidR="00357C8A" w:rsidP="00D81991" w:rsidRDefault="004D196F" w14:paraId="7AE3F741" w14:textId="6AFA6216">
      <w:pPr>
        <w:rPr>
          <w:rFonts w:eastAsia="Calibri"/>
          <w:u w:val="single"/>
        </w:rPr>
      </w:pPr>
      <w:r w:rsidRPr="00D81991">
        <w:rPr>
          <w:rFonts w:eastAsia="Calibri"/>
        </w:rPr>
        <w:t xml:space="preserve">4. </w:t>
      </w:r>
      <w:r w:rsidRPr="00D81991" w:rsidR="00357C8A">
        <w:rPr>
          <w:rFonts w:eastAsia="Calibri"/>
          <w:u w:val="single"/>
        </w:rPr>
        <w:t xml:space="preserve">Efforts to Identify Duplication and Use of Similar Information </w:t>
      </w:r>
    </w:p>
    <w:p w:rsidRPr="00D81991" w:rsidR="00D81991" w:rsidP="00D81991" w:rsidRDefault="00D81991" w14:paraId="2291E167" w14:textId="77777777"/>
    <w:p w:rsidRPr="004D196F" w:rsidR="004D196F" w:rsidP="004D196F" w:rsidRDefault="004D196F" w14:paraId="1D6FB317" w14:textId="7114937E">
      <w:r w:rsidRPr="004D196F">
        <w:rPr>
          <w:bCs/>
        </w:rPr>
        <w:t xml:space="preserve">As this is a guidance document, </w:t>
      </w:r>
      <w:r>
        <w:t xml:space="preserve">the firm need only show that its device meets the recommendations of the guidance or in some other way provides equivalent assurance of safety and effectiveness.  </w:t>
      </w:r>
      <w:r w:rsidRPr="004D196F">
        <w:rPr>
          <w:bCs/>
        </w:rPr>
        <w:t xml:space="preserve">There should be no duplicative information collection </w:t>
      </w:r>
      <w:proofErr w:type="gramStart"/>
      <w:r w:rsidRPr="004D196F">
        <w:rPr>
          <w:bCs/>
        </w:rPr>
        <w:t>as a result of</w:t>
      </w:r>
      <w:proofErr w:type="gramEnd"/>
      <w:r w:rsidRPr="004D196F">
        <w:rPr>
          <w:bCs/>
        </w:rPr>
        <w:t xml:space="preserve"> this guidance.</w:t>
      </w:r>
    </w:p>
    <w:p w:rsidR="004D196F" w:rsidP="004D196F" w:rsidRDefault="004D196F" w14:paraId="3D6B375E" w14:textId="77777777">
      <w:pPr>
        <w:pStyle w:val="ListParagraph"/>
        <w:ind w:left="360"/>
      </w:pPr>
    </w:p>
    <w:p w:rsidRPr="004D196F" w:rsidR="00357C8A" w:rsidP="004D196F" w:rsidRDefault="004D196F" w14:paraId="0380A9B1" w14:textId="5855F2BF">
      <w:pPr>
        <w:spacing w:after="200" w:line="276" w:lineRule="auto"/>
        <w:jc w:val="both"/>
        <w:rPr>
          <w:rFonts w:eastAsia="Calibri"/>
        </w:rPr>
      </w:pPr>
      <w:r w:rsidRPr="004D196F">
        <w:rPr>
          <w:rFonts w:eastAsia="Calibri"/>
        </w:rPr>
        <w:t xml:space="preserve">5. </w:t>
      </w:r>
      <w:r w:rsidRPr="00D81991" w:rsidR="00357C8A">
        <w:rPr>
          <w:rFonts w:eastAsia="Calibri"/>
          <w:u w:val="single"/>
        </w:rPr>
        <w:t>Impact on Small Businesses or Other Small Entities</w:t>
      </w:r>
    </w:p>
    <w:p w:rsidR="004D196F" w:rsidP="004D196F" w:rsidRDefault="004D196F" w14:paraId="6F3AA5BF" w14:textId="77777777">
      <w:pPr>
        <w:pStyle w:val="BodyText2"/>
        <w:rPr>
          <w:bCs/>
          <w:szCs w:val="24"/>
        </w:rPr>
      </w:pPr>
      <w:r>
        <w:rPr>
          <w:bCs/>
        </w:rPr>
        <w:t xml:space="preserve">The guidance document offers clinical investigators and sponsors (including small businesses) the possibility of using updated influenza viral sequences available through public health and research organizations such as WHO and NIH and incorporating this information into a process already in place, i.e., the Quality Management System.  In vitro diagnostic manufacturers are expected to </w:t>
      </w:r>
      <w:r>
        <w:rPr>
          <w:bCs/>
        </w:rPr>
        <w:lastRenderedPageBreak/>
        <w:t xml:space="preserve">have a mechanism in place to monitor the performance of their devices to ensure that the device continues to meet its performance specifications over time. This guidance’s recommendation for collecting </w:t>
      </w:r>
      <w:proofErr w:type="spellStart"/>
      <w:r>
        <w:rPr>
          <w:bCs/>
        </w:rPr>
        <w:t>postmarket</w:t>
      </w:r>
      <w:proofErr w:type="spellEnd"/>
      <w:r>
        <w:rPr>
          <w:bCs/>
        </w:rPr>
        <w:t xml:space="preserve"> data under new influenza prevalence conditions is a preventive action taken because of anticipated device failure under new conditions of use.  Short forms are not applicable.  </w:t>
      </w:r>
      <w:r w:rsidRPr="00757AF3">
        <w:rPr>
          <w:bCs/>
          <w:szCs w:val="24"/>
        </w:rPr>
        <w:t>FDA estimates that 95% of respondents are businesses.</w:t>
      </w:r>
    </w:p>
    <w:p w:rsidR="004D196F" w:rsidP="004D196F" w:rsidRDefault="004D196F" w14:paraId="37F58DBE" w14:textId="77777777">
      <w:pPr>
        <w:pStyle w:val="BodyText2"/>
        <w:ind w:left="360"/>
        <w:rPr>
          <w:bCs/>
          <w:szCs w:val="24"/>
        </w:rPr>
      </w:pPr>
    </w:p>
    <w:p w:rsidR="004D196F" w:rsidP="004D196F" w:rsidRDefault="004D196F" w14:paraId="624B8784" w14:textId="2658F6F5">
      <w:pPr>
        <w:pStyle w:val="BodyText2"/>
        <w:rPr>
          <w:szCs w:val="24"/>
        </w:rPr>
      </w:pPr>
      <w:r w:rsidRPr="00885C32">
        <w:rPr>
          <w:szCs w:val="24"/>
        </w:rPr>
        <w:t xml:space="preserve">FDA aids small business and manufacturers to comply with applicable statutes and regulations by providing guidance and information through the Division of </w:t>
      </w:r>
      <w:r>
        <w:rPr>
          <w:szCs w:val="24"/>
        </w:rPr>
        <w:t>Industry</w:t>
      </w:r>
      <w:r w:rsidRPr="00885C32">
        <w:rPr>
          <w:szCs w:val="24"/>
        </w:rPr>
        <w:t xml:space="preserve"> and Consumer </w:t>
      </w:r>
      <w:r>
        <w:rPr>
          <w:szCs w:val="24"/>
        </w:rPr>
        <w:t>Education</w:t>
      </w:r>
      <w:r w:rsidRPr="00885C32">
        <w:rPr>
          <w:szCs w:val="24"/>
        </w:rPr>
        <w:t xml:space="preserve"> (</w:t>
      </w:r>
      <w:r>
        <w:rPr>
          <w:szCs w:val="24"/>
        </w:rPr>
        <w:t>DICE</w:t>
      </w:r>
      <w:r w:rsidRPr="00885C32">
        <w:rPr>
          <w:szCs w:val="24"/>
        </w:rPr>
        <w:t xml:space="preserve">).  </w:t>
      </w:r>
      <w:r>
        <w:rPr>
          <w:szCs w:val="24"/>
        </w:rPr>
        <w:t>DICE</w:t>
      </w:r>
      <w:r w:rsidRPr="00885C32">
        <w:rPr>
          <w:szCs w:val="24"/>
        </w:rPr>
        <w:t xml:space="preserve"> provides workshops, on-site </w:t>
      </w:r>
      <w:proofErr w:type="gramStart"/>
      <w:r w:rsidRPr="00885C32">
        <w:rPr>
          <w:szCs w:val="24"/>
        </w:rPr>
        <w:t>evaluations</w:t>
      </w:r>
      <w:proofErr w:type="gramEnd"/>
      <w:r w:rsidRPr="00885C32">
        <w:rPr>
          <w:szCs w:val="24"/>
        </w:rPr>
        <w:t xml:space="preserve"> and other technical and nonfinancial assistance to small manufacturers.  The Division also maintains a toll-free 800 telephone number and a website which firms may use to obtain regulatory compliance information.</w:t>
      </w:r>
    </w:p>
    <w:p w:rsidR="004D196F" w:rsidP="004D196F" w:rsidRDefault="004D196F" w14:paraId="3E06D9CA" w14:textId="77777777">
      <w:pPr>
        <w:pStyle w:val="BodyText2"/>
      </w:pPr>
    </w:p>
    <w:p w:rsidRPr="00D81991" w:rsidR="00357C8A" w:rsidP="00D81991" w:rsidRDefault="00D81991" w14:paraId="0AE88DF7" w14:textId="1886E6A7">
      <w:pPr>
        <w:spacing w:after="200" w:line="276" w:lineRule="auto"/>
        <w:rPr>
          <w:rFonts w:eastAsia="Calibri"/>
        </w:rPr>
      </w:pPr>
      <w:r w:rsidRPr="00D81991">
        <w:rPr>
          <w:rFonts w:eastAsia="Calibri"/>
        </w:rPr>
        <w:t xml:space="preserve">6. </w:t>
      </w:r>
      <w:r w:rsidRPr="00D81991" w:rsidR="00357C8A">
        <w:rPr>
          <w:rFonts w:eastAsia="Calibri"/>
          <w:u w:val="single"/>
        </w:rPr>
        <w:t>Consequences of Collecting the Information Less Frequently</w:t>
      </w:r>
    </w:p>
    <w:p w:rsidR="00D81991" w:rsidP="00D81991" w:rsidRDefault="00D81991" w14:paraId="09926450" w14:textId="77777777">
      <w:pPr>
        <w:pStyle w:val="ListParagraph"/>
        <w:ind w:left="0"/>
      </w:pPr>
      <w:r>
        <w:t>This guidance does not set a defined schedule for information collection. FDA expects the sponsor to compare the viral sequence updates with their device primer and probe sequences and incorporate the result of these analysis into their Quality Management System semi-annually (immediately before and immediately after the northern hemisphere influenza season).  However, FDA cannot predict when the prevalence of influenza caused by the specific novel influenza A virus will change (as compared to the prevalence existing when the clinical evaluations described in the device premarket submission were conducted), which should lead the sponsor to collect data on the clinical performance of the device under the new prevalence conditions</w:t>
      </w:r>
      <w:r w:rsidRPr="00764695">
        <w:t>.  There are no legal obstacles to reduce the burden</w:t>
      </w:r>
      <w:r>
        <w:t>.</w:t>
      </w:r>
    </w:p>
    <w:p w:rsidR="00D81991" w:rsidP="00D81991" w:rsidRDefault="00D81991" w14:paraId="52AA4089" w14:textId="77777777">
      <w:pPr>
        <w:pStyle w:val="ListParagraph"/>
        <w:ind w:left="0"/>
      </w:pPr>
    </w:p>
    <w:p w:rsidR="00357C8A" w:rsidP="00D81991" w:rsidRDefault="00D81991" w14:paraId="513A7D20" w14:textId="529C19E8">
      <w:pPr>
        <w:pStyle w:val="ListParagraph"/>
        <w:ind w:left="0"/>
        <w:rPr>
          <w:rFonts w:eastAsia="Calibri"/>
          <w:u w:val="single"/>
        </w:rPr>
      </w:pPr>
      <w:r>
        <w:t xml:space="preserve">7. </w:t>
      </w:r>
      <w:r w:rsidRPr="00357C8A" w:rsidR="00357C8A">
        <w:rPr>
          <w:rFonts w:eastAsia="Calibri"/>
          <w:u w:val="single"/>
        </w:rPr>
        <w:t>Special Circumstances Relating to the Guidelines of 5 CFR 1320.5</w:t>
      </w:r>
    </w:p>
    <w:p w:rsidR="00D81991" w:rsidP="00D81991" w:rsidRDefault="00D81991" w14:paraId="499AC388" w14:textId="514C019C">
      <w:pPr>
        <w:pStyle w:val="ListParagraph"/>
        <w:ind w:left="0"/>
        <w:rPr>
          <w:rFonts w:eastAsia="Calibri"/>
          <w:u w:val="single"/>
        </w:rPr>
      </w:pPr>
    </w:p>
    <w:p w:rsidR="00D81991" w:rsidP="00D81991" w:rsidRDefault="00D81991" w14:paraId="709604E5" w14:textId="77777777">
      <w:r>
        <w:t xml:space="preserve">There are no </w:t>
      </w:r>
      <w:proofErr w:type="gramStart"/>
      <w:r>
        <w:t>special circumstances</w:t>
      </w:r>
      <w:proofErr w:type="gramEnd"/>
      <w:r>
        <w:t xml:space="preserve"> associated with this information collection.</w:t>
      </w:r>
    </w:p>
    <w:p w:rsidRPr="00D81991" w:rsidR="00D81991" w:rsidP="00D81991" w:rsidRDefault="00D81991" w14:paraId="6BE6A944" w14:textId="77777777">
      <w:pPr>
        <w:pStyle w:val="ListParagraph"/>
        <w:ind w:left="0"/>
      </w:pPr>
    </w:p>
    <w:p w:rsidRPr="00D81991" w:rsidR="00357C8A" w:rsidP="00D81991" w:rsidRDefault="00D81991" w14:paraId="17931CD8" w14:textId="5B51E282">
      <w:pPr>
        <w:spacing w:after="200" w:line="276" w:lineRule="auto"/>
        <w:rPr>
          <w:rFonts w:eastAsia="Calibri"/>
        </w:rPr>
      </w:pPr>
      <w:r w:rsidRPr="00D81991">
        <w:rPr>
          <w:rFonts w:eastAsia="Calibri"/>
        </w:rPr>
        <w:t xml:space="preserve">8. </w:t>
      </w:r>
      <w:r w:rsidRPr="00D81991" w:rsidR="00357C8A">
        <w:rPr>
          <w:rFonts w:eastAsia="Calibri"/>
          <w:u w:val="single"/>
        </w:rPr>
        <w:t>Comments in Response to the Federal Register Notice and Efforts to Consult Outside the Agency</w:t>
      </w:r>
    </w:p>
    <w:p w:rsidRPr="00357C8A" w:rsidR="00792947" w:rsidP="00357C8A" w:rsidRDefault="00792947" w14:paraId="54E10373" w14:textId="3B239C13">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A354BD">
        <w:rPr>
          <w:rFonts w:eastAsia="Calibri"/>
        </w:rPr>
        <w:t>1/25/2022</w:t>
      </w:r>
      <w:r w:rsidR="009009E7">
        <w:rPr>
          <w:rFonts w:eastAsia="Calibri"/>
        </w:rPr>
        <w:t xml:space="preserve"> (</w:t>
      </w:r>
      <w:r w:rsidR="00A354BD">
        <w:t>87 FR 3812</w:t>
      </w:r>
      <w:r w:rsidR="009009E7">
        <w:rPr>
          <w:rFonts w:eastAsia="Calibri"/>
        </w:rPr>
        <w:t>)</w:t>
      </w:r>
      <w:r w:rsidR="00D81991">
        <w:rPr>
          <w:rFonts w:eastAsia="Calibri"/>
        </w:rPr>
        <w:t xml:space="preserve">. No comments </w:t>
      </w:r>
      <w:r w:rsidR="00A354BD">
        <w:rPr>
          <w:rFonts w:eastAsia="Calibri"/>
        </w:rPr>
        <w:t>were received.</w:t>
      </w:r>
    </w:p>
    <w:p w:rsidRPr="00A354BD" w:rsidR="00357C8A" w:rsidP="00A354BD" w:rsidRDefault="00A354BD" w14:paraId="7968C1B9" w14:textId="6A80EE1A">
      <w:pPr>
        <w:spacing w:after="200" w:line="276" w:lineRule="auto"/>
        <w:rPr>
          <w:rFonts w:eastAsia="Calibri"/>
          <w:u w:val="single"/>
        </w:rPr>
      </w:pPr>
      <w:r w:rsidRPr="00A354BD">
        <w:rPr>
          <w:rFonts w:eastAsia="Calibri"/>
        </w:rPr>
        <w:t xml:space="preserve">9. </w:t>
      </w:r>
      <w:r w:rsidRPr="00A354BD" w:rsidR="00357C8A">
        <w:rPr>
          <w:rFonts w:eastAsia="Calibri"/>
          <w:u w:val="single"/>
        </w:rPr>
        <w:t>Explanation of Any Payment or Gift to Respondents</w:t>
      </w:r>
    </w:p>
    <w:p w:rsidRPr="00792947" w:rsidR="00792947" w:rsidP="00DD0E02" w:rsidRDefault="00792947" w14:paraId="6131FC07" w14:textId="7323103B">
      <w:pPr>
        <w:spacing w:after="200"/>
        <w:rPr>
          <w:rFonts w:eastAsia="Calibri"/>
          <w:i/>
        </w:rPr>
      </w:pPr>
      <w:r w:rsidRPr="002074FE">
        <w:rPr>
          <w:rFonts w:eastAsia="Calibri"/>
        </w:rPr>
        <w:t>There are no incentives, payments or gifts associated with this information collection.</w:t>
      </w:r>
    </w:p>
    <w:p w:rsidRPr="00A354BD" w:rsidR="00357C8A" w:rsidP="00A354BD" w:rsidRDefault="00A354BD" w14:paraId="51F27BAA" w14:textId="1615C3E4">
      <w:pPr>
        <w:spacing w:after="200" w:line="276" w:lineRule="auto"/>
        <w:rPr>
          <w:rFonts w:eastAsia="Calibri"/>
          <w:u w:val="single"/>
        </w:rPr>
      </w:pPr>
      <w:r w:rsidRPr="00A354BD">
        <w:rPr>
          <w:rFonts w:eastAsia="Calibri"/>
        </w:rPr>
        <w:t xml:space="preserve">10. </w:t>
      </w:r>
      <w:r w:rsidRPr="00A354BD" w:rsidR="00357C8A">
        <w:rPr>
          <w:rFonts w:eastAsia="Calibri"/>
          <w:u w:val="single"/>
        </w:rPr>
        <w:t>Assurance of Confidentiality Provided to Respondents</w:t>
      </w:r>
    </w:p>
    <w:p w:rsidR="000810BA" w:rsidP="000810BA" w:rsidRDefault="000810BA" w14:paraId="45B66867" w14:textId="77777777">
      <w:r>
        <w:t>In preparing this Supporting Statement, we consulted our Privacy Office to ensure appropriate identification and handling of information collected.</w:t>
      </w:r>
    </w:p>
    <w:p w:rsidR="000810BA" w:rsidP="000810BA" w:rsidRDefault="000810BA" w14:paraId="01D015AF" w14:textId="77777777"/>
    <w:p w:rsidR="000810BA" w:rsidP="000810BA" w:rsidRDefault="000810BA" w14:paraId="26DC7B05" w14:textId="77777777">
      <w:r>
        <w:t xml:space="preserve">This ICR collects personally identifiable information (PII).  PII is collected in the context of the subject individuals’ professional capacity and the FDA-related work they perform for their employer (e.g., point of contact at a regulated entity).  The PII maintained is name and business contact information. All records are maintained at the sponsor facility.  FDA determined that although PII is collected it is not subject to the Privacy Act of 1974 and the </w:t>
      </w:r>
      <w:proofErr w:type="gramStart"/>
      <w:r>
        <w:t>particular notice</w:t>
      </w:r>
      <w:proofErr w:type="gramEnd"/>
      <w:r>
        <w:t xml:space="preserve"> and </w:t>
      </w:r>
      <w:r>
        <w:lastRenderedPageBreak/>
        <w:t>other requirements of the Act do not apply. Specifically, the sponsor or FDA do not use name or any other personal identifier to retrieve records from the information collected.</w:t>
      </w:r>
    </w:p>
    <w:p w:rsidR="000810BA" w:rsidP="000810BA" w:rsidRDefault="000810BA" w14:paraId="73683B3E" w14:textId="77777777"/>
    <w:p w:rsidR="001075D3" w:rsidP="000810BA" w:rsidRDefault="000810BA" w14:paraId="4101652C" w14:textId="20157CF1">
      <w: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0810BA" w:rsidP="000810BA" w:rsidRDefault="000810BA" w14:paraId="7366E50B" w14:textId="77777777">
      <w:pPr>
        <w:ind w:left="720"/>
      </w:pPr>
    </w:p>
    <w:p w:rsidRPr="00A354BD" w:rsidR="00357C8A" w:rsidP="00A354BD" w:rsidRDefault="00A354BD" w14:paraId="7C72B7DD" w14:textId="5CB80D50">
      <w:pPr>
        <w:spacing w:after="200" w:line="276" w:lineRule="auto"/>
        <w:rPr>
          <w:rFonts w:eastAsia="Calibri"/>
        </w:rPr>
      </w:pPr>
      <w:r w:rsidRPr="00A354BD">
        <w:rPr>
          <w:rFonts w:eastAsia="Calibri"/>
        </w:rPr>
        <w:t xml:space="preserve">11. </w:t>
      </w:r>
      <w:r w:rsidRPr="00A354BD" w:rsidR="00357C8A">
        <w:rPr>
          <w:rFonts w:eastAsia="Calibri"/>
          <w:u w:val="single"/>
        </w:rPr>
        <w:t>Justification for Sensitive Questions</w:t>
      </w:r>
    </w:p>
    <w:p w:rsidRPr="00A354BD" w:rsidR="00357C8A" w:rsidP="00DD0E02" w:rsidRDefault="00357C8A" w14:paraId="0CF5A1B6" w14:textId="7760204C">
      <w:pPr>
        <w:spacing w:after="200"/>
        <w:rPr>
          <w:rFonts w:eastAsia="Calibri"/>
          <w:iCs/>
        </w:rPr>
      </w:pPr>
      <w:r w:rsidRPr="00A354BD">
        <w:rPr>
          <w:rFonts w:eastAsia="Calibri"/>
          <w:iCs/>
        </w:rPr>
        <w:t>The collection of information does not involve sensitive questions.</w:t>
      </w:r>
    </w:p>
    <w:p w:rsidRPr="00F13E4E" w:rsidR="00F13E4E" w:rsidP="000810BA" w:rsidRDefault="000810BA" w14:paraId="5EDCC69F" w14:textId="56BC9A40">
      <w:pPr>
        <w:spacing w:after="200" w:line="276" w:lineRule="auto"/>
        <w:rPr>
          <w:rFonts w:eastAsia="Calibri"/>
          <w:u w:val="single"/>
        </w:rPr>
      </w:pPr>
      <w:r w:rsidRPr="000810BA">
        <w:rPr>
          <w:rFonts w:eastAsia="Calibri"/>
        </w:rPr>
        <w:t xml:space="preserve">12. </w:t>
      </w:r>
      <w:r w:rsidRPr="000810BA" w:rsidR="00357C8A">
        <w:rPr>
          <w:rFonts w:eastAsia="Calibri"/>
          <w:u w:val="single"/>
        </w:rPr>
        <w:t>Estimates of Annualized Burden Hours and Cost</w:t>
      </w:r>
    </w:p>
    <w:p w:rsidRPr="005C71CA" w:rsidR="00357C8A" w:rsidP="0022425B" w:rsidRDefault="00357C8A" w14:paraId="658EF539" w14:textId="77777777">
      <w:pPr>
        <w:spacing w:after="200"/>
        <w:ind w:left="360"/>
        <w:rPr>
          <w:rFonts w:eastAsia="Calibri"/>
        </w:rPr>
      </w:pPr>
      <w:r w:rsidRPr="005C71CA">
        <w:rPr>
          <w:rFonts w:eastAsia="Calibri"/>
        </w:rPr>
        <w:t>12a.  Annualized Hour Burden Estimate</w:t>
      </w:r>
    </w:p>
    <w:p w:rsidR="000810BA" w:rsidP="00DC371B" w:rsidRDefault="000810BA" w14:paraId="2D21F4F5" w14:textId="2DA9A96D">
      <w:pPr>
        <w:spacing w:after="200"/>
        <w:ind w:left="360"/>
        <w:rPr>
          <w:rFonts w:eastAsia="Calibri"/>
        </w:rPr>
      </w:pPr>
      <w:r w:rsidRPr="000810BA">
        <w:rPr>
          <w:rFonts w:eastAsia="Calibri"/>
          <w:noProof/>
        </w:rPr>
        <w:drawing>
          <wp:inline distT="0" distB="0" distL="0" distR="0" wp14:anchorId="63A18DCB" wp14:editId="5FD1367F">
            <wp:extent cx="5943600" cy="2665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665730"/>
                    </a:xfrm>
                    <a:prstGeom prst="rect">
                      <a:avLst/>
                    </a:prstGeom>
                    <a:noFill/>
                    <a:ln>
                      <a:noFill/>
                    </a:ln>
                  </pic:spPr>
                </pic:pic>
              </a:graphicData>
            </a:graphic>
          </wp:inline>
        </w:drawing>
      </w:r>
    </w:p>
    <w:p w:rsidRPr="005C71CA" w:rsidR="00357C8A" w:rsidP="00DC371B" w:rsidRDefault="00357C8A" w14:paraId="346FA635" w14:textId="7903007A">
      <w:pPr>
        <w:spacing w:after="200"/>
        <w:ind w:left="360"/>
        <w:rPr>
          <w:rFonts w:eastAsia="Calibri"/>
        </w:rPr>
      </w:pPr>
      <w:r w:rsidRPr="005C71CA">
        <w:rPr>
          <w:rFonts w:eastAsia="Calibri"/>
        </w:rPr>
        <w:t>12b.  Annualized Cost Burden Estimate</w:t>
      </w:r>
    </w:p>
    <w:p w:rsidR="000810BA" w:rsidP="000810BA" w:rsidRDefault="000810BA" w14:paraId="056CA5E9" w14:textId="1D6E04D1">
      <w:pPr>
        <w:pStyle w:val="BodyText2"/>
        <w:ind w:left="720"/>
      </w:pPr>
      <w:r w:rsidRPr="00650D08">
        <w:t xml:space="preserve">FDA estimates that cost </w:t>
      </w:r>
      <w:r>
        <w:t xml:space="preserve">associated with the information collection, including </w:t>
      </w:r>
      <w:r w:rsidRPr="00650D08">
        <w:t>developing standard operating procedures</w:t>
      </w:r>
      <w:r>
        <w:t xml:space="preserve"> and recordkeeping </w:t>
      </w:r>
      <w:r w:rsidRPr="00650D08">
        <w:t>for each data collection</w:t>
      </w:r>
      <w:r>
        <w:t>,</w:t>
      </w:r>
      <w:r w:rsidRPr="00650D08">
        <w:t xml:space="preserve"> is $</w:t>
      </w:r>
      <w:r w:rsidR="001A7966">
        <w:t>1,112</w:t>
      </w:r>
      <w:r w:rsidRPr="00990F60">
        <w:t>.  This results in a total cost to industry of $</w:t>
      </w:r>
      <w:r w:rsidR="00B3242A">
        <w:t>26,688</w:t>
      </w:r>
      <w:r w:rsidRPr="00E41010">
        <w:t xml:space="preserve"> ($</w:t>
      </w:r>
      <w:r w:rsidR="001A7966">
        <w:t>1,112</w:t>
      </w:r>
      <w:r w:rsidRPr="00E41010">
        <w:t xml:space="preserve"> multiplied by </w:t>
      </w:r>
      <w:r w:rsidRPr="00555A9B">
        <w:t>2</w:t>
      </w:r>
      <w:r w:rsidR="00B3242A">
        <w:t>4</w:t>
      </w:r>
      <w:r w:rsidRPr="00E41010">
        <w:t xml:space="preserve"> </w:t>
      </w:r>
      <w:r w:rsidRPr="00990F60">
        <w:t>total annual records).</w:t>
      </w:r>
    </w:p>
    <w:p w:rsidR="000810BA" w:rsidP="000810BA" w:rsidRDefault="000810BA" w14:paraId="342592A5"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0810BA" w:rsidTr="00D97A7D" w14:paraId="2A14814F" w14:textId="77777777">
        <w:tc>
          <w:tcPr>
            <w:tcW w:w="2160" w:type="dxa"/>
            <w:shd w:val="clear" w:color="auto" w:fill="auto"/>
          </w:tcPr>
          <w:p w:rsidR="000810BA" w:rsidP="00D97A7D" w:rsidRDefault="000810BA" w14:paraId="207783DC" w14:textId="77777777">
            <w:pPr>
              <w:keepNext/>
            </w:pPr>
            <w:r>
              <w:lastRenderedPageBreak/>
              <w:t>Type of Respondent</w:t>
            </w:r>
          </w:p>
        </w:tc>
        <w:tc>
          <w:tcPr>
            <w:tcW w:w="1800" w:type="dxa"/>
            <w:shd w:val="clear" w:color="auto" w:fill="auto"/>
          </w:tcPr>
          <w:p w:rsidR="000810BA" w:rsidP="00D97A7D" w:rsidRDefault="000810BA" w14:paraId="240A4014" w14:textId="77777777">
            <w:pPr>
              <w:keepNext/>
            </w:pPr>
            <w:r>
              <w:t>Total Burden Hours</w:t>
            </w:r>
          </w:p>
        </w:tc>
        <w:tc>
          <w:tcPr>
            <w:tcW w:w="2394" w:type="dxa"/>
            <w:shd w:val="clear" w:color="auto" w:fill="auto"/>
          </w:tcPr>
          <w:p w:rsidR="000810BA" w:rsidP="00D97A7D" w:rsidRDefault="000810BA" w14:paraId="3848F8BD" w14:textId="77777777">
            <w:pPr>
              <w:keepNext/>
            </w:pPr>
            <w:r>
              <w:t>Hourly Wage Rate*</w:t>
            </w:r>
          </w:p>
        </w:tc>
        <w:tc>
          <w:tcPr>
            <w:tcW w:w="1926" w:type="dxa"/>
            <w:shd w:val="clear" w:color="auto" w:fill="auto"/>
          </w:tcPr>
          <w:p w:rsidR="000810BA" w:rsidP="00D97A7D" w:rsidRDefault="000810BA" w14:paraId="627B2A59" w14:textId="77777777">
            <w:pPr>
              <w:keepNext/>
            </w:pPr>
            <w:r>
              <w:t>Respondent Costs</w:t>
            </w:r>
          </w:p>
        </w:tc>
      </w:tr>
      <w:tr w:rsidR="000810BA" w:rsidTr="00D97A7D" w14:paraId="2B012CBB" w14:textId="77777777">
        <w:tc>
          <w:tcPr>
            <w:tcW w:w="2160" w:type="dxa"/>
            <w:shd w:val="clear" w:color="auto" w:fill="auto"/>
          </w:tcPr>
          <w:p w:rsidR="000810BA" w:rsidP="00D97A7D" w:rsidRDefault="000810BA" w14:paraId="6FB17988" w14:textId="77777777">
            <w:pPr>
              <w:keepNext/>
            </w:pPr>
            <w:r>
              <w:t>Life Scientists</w:t>
            </w:r>
          </w:p>
        </w:tc>
        <w:tc>
          <w:tcPr>
            <w:tcW w:w="1800" w:type="dxa"/>
            <w:shd w:val="clear" w:color="auto" w:fill="auto"/>
          </w:tcPr>
          <w:p w:rsidR="000810BA" w:rsidP="00D97A7D" w:rsidRDefault="000810BA" w14:paraId="06903B57" w14:textId="77777777">
            <w:pPr>
              <w:keepNext/>
            </w:pPr>
            <w:r>
              <w:t>6</w:t>
            </w:r>
          </w:p>
        </w:tc>
        <w:tc>
          <w:tcPr>
            <w:tcW w:w="2394" w:type="dxa"/>
            <w:shd w:val="clear" w:color="auto" w:fill="auto"/>
          </w:tcPr>
          <w:p w:rsidR="000810BA" w:rsidP="00D97A7D" w:rsidRDefault="000810BA" w14:paraId="66411F7E" w14:textId="101242D1">
            <w:pPr>
              <w:keepNext/>
            </w:pPr>
            <w:r>
              <w:t xml:space="preserve">$ </w:t>
            </w:r>
            <w:r w:rsidR="00A8269A">
              <w:t>9</w:t>
            </w:r>
            <w:r w:rsidR="00240A68">
              <w:t>2</w:t>
            </w:r>
          </w:p>
        </w:tc>
        <w:tc>
          <w:tcPr>
            <w:tcW w:w="1926" w:type="dxa"/>
            <w:shd w:val="clear" w:color="auto" w:fill="auto"/>
          </w:tcPr>
          <w:p w:rsidR="000810BA" w:rsidP="00D97A7D" w:rsidRDefault="000810BA" w14:paraId="6B620906" w14:textId="279A0732">
            <w:pPr>
              <w:keepNext/>
            </w:pPr>
            <w:r>
              <w:t>$</w:t>
            </w:r>
            <w:r w:rsidR="001A7966">
              <w:t xml:space="preserve"> 5</w:t>
            </w:r>
            <w:r w:rsidR="00240A68">
              <w:t>52</w:t>
            </w:r>
          </w:p>
        </w:tc>
      </w:tr>
      <w:tr w:rsidR="000810BA" w:rsidTr="001A7966" w14:paraId="05BD824A" w14:textId="77777777">
        <w:trPr>
          <w:trHeight w:val="800"/>
        </w:trPr>
        <w:tc>
          <w:tcPr>
            <w:tcW w:w="2160" w:type="dxa"/>
            <w:shd w:val="clear" w:color="auto" w:fill="auto"/>
          </w:tcPr>
          <w:p w:rsidR="000810BA" w:rsidP="00D97A7D" w:rsidRDefault="000810BA" w14:paraId="671DDE05" w14:textId="77777777">
            <w:pPr>
              <w:keepNext/>
            </w:pPr>
            <w:r w:rsidRPr="008D3960">
              <w:t xml:space="preserve">Executive </w:t>
            </w:r>
            <w:r>
              <w:t xml:space="preserve">Secretaries &amp; </w:t>
            </w:r>
            <w:r w:rsidRPr="008D3960">
              <w:t>Administrative Assistant</w:t>
            </w:r>
            <w:r>
              <w:t>s</w:t>
            </w:r>
          </w:p>
        </w:tc>
        <w:tc>
          <w:tcPr>
            <w:tcW w:w="1800" w:type="dxa"/>
            <w:shd w:val="clear" w:color="auto" w:fill="auto"/>
          </w:tcPr>
          <w:p w:rsidR="000810BA" w:rsidDel="00B8214E" w:rsidP="00D97A7D" w:rsidRDefault="000810BA" w14:paraId="7FDB48B8" w14:textId="77777777">
            <w:pPr>
              <w:keepNext/>
            </w:pPr>
            <w:r>
              <w:t>5</w:t>
            </w:r>
          </w:p>
        </w:tc>
        <w:tc>
          <w:tcPr>
            <w:tcW w:w="2394" w:type="dxa"/>
            <w:shd w:val="clear" w:color="auto" w:fill="auto"/>
          </w:tcPr>
          <w:p w:rsidR="000810BA" w:rsidP="00D97A7D" w:rsidRDefault="000810BA" w14:paraId="1A81B20F" w14:textId="4096893D">
            <w:pPr>
              <w:keepNext/>
            </w:pPr>
            <w:r>
              <w:t xml:space="preserve">$ </w:t>
            </w:r>
            <w:r w:rsidR="00A8269A">
              <w:t>38</w:t>
            </w:r>
          </w:p>
        </w:tc>
        <w:tc>
          <w:tcPr>
            <w:tcW w:w="1926" w:type="dxa"/>
            <w:shd w:val="clear" w:color="auto" w:fill="auto"/>
          </w:tcPr>
          <w:p w:rsidR="000810BA" w:rsidP="00D97A7D" w:rsidRDefault="000810BA" w14:paraId="7C989C9F" w14:textId="408B3E41">
            <w:pPr>
              <w:keepNext/>
            </w:pPr>
            <w:r>
              <w:t>$</w:t>
            </w:r>
            <w:r w:rsidR="001A7966">
              <w:t xml:space="preserve"> 190</w:t>
            </w:r>
          </w:p>
        </w:tc>
      </w:tr>
      <w:tr w:rsidR="000810BA" w:rsidTr="00D97A7D" w14:paraId="5A4A9982" w14:textId="77777777">
        <w:tc>
          <w:tcPr>
            <w:tcW w:w="2160" w:type="dxa"/>
            <w:shd w:val="clear" w:color="auto" w:fill="auto"/>
          </w:tcPr>
          <w:p w:rsidR="000810BA" w:rsidP="00D97A7D" w:rsidRDefault="000810BA" w14:paraId="523C148B" w14:textId="77777777">
            <w:pPr>
              <w:keepNext/>
            </w:pPr>
            <w:r>
              <w:t>Regulatory Affairs Manager</w:t>
            </w:r>
          </w:p>
        </w:tc>
        <w:tc>
          <w:tcPr>
            <w:tcW w:w="1800" w:type="dxa"/>
            <w:shd w:val="clear" w:color="auto" w:fill="auto"/>
          </w:tcPr>
          <w:p w:rsidR="000810BA" w:rsidDel="00B8214E" w:rsidP="00D97A7D" w:rsidRDefault="000810BA" w14:paraId="65ECF328" w14:textId="77777777">
            <w:pPr>
              <w:keepNext/>
            </w:pPr>
            <w:r>
              <w:t>4</w:t>
            </w:r>
          </w:p>
        </w:tc>
        <w:tc>
          <w:tcPr>
            <w:tcW w:w="2394" w:type="dxa"/>
            <w:shd w:val="clear" w:color="auto" w:fill="auto"/>
          </w:tcPr>
          <w:p w:rsidR="000810BA" w:rsidP="00D97A7D" w:rsidRDefault="000810BA" w14:paraId="4E393D7E" w14:textId="51391897">
            <w:pPr>
              <w:keepNext/>
            </w:pPr>
            <w:r>
              <w:t>$</w:t>
            </w:r>
            <w:r w:rsidR="00240A68">
              <w:t xml:space="preserve"> </w:t>
            </w:r>
            <w:r w:rsidR="00A8269A">
              <w:t>94</w:t>
            </w:r>
          </w:p>
        </w:tc>
        <w:tc>
          <w:tcPr>
            <w:tcW w:w="1926" w:type="dxa"/>
            <w:shd w:val="clear" w:color="auto" w:fill="auto"/>
          </w:tcPr>
          <w:p w:rsidR="000810BA" w:rsidP="001A7966" w:rsidRDefault="001A7966" w14:paraId="04F8DD33" w14:textId="51081A95">
            <w:pPr>
              <w:keepNext/>
              <w:tabs>
                <w:tab w:val="center" w:pos="855"/>
              </w:tabs>
            </w:pPr>
            <w:r>
              <w:t>$ 376</w:t>
            </w:r>
          </w:p>
        </w:tc>
      </w:tr>
      <w:tr w:rsidR="000810BA" w:rsidTr="00D97A7D" w14:paraId="5D6ED46B" w14:textId="77777777">
        <w:tc>
          <w:tcPr>
            <w:tcW w:w="6354" w:type="dxa"/>
            <w:gridSpan w:val="3"/>
            <w:shd w:val="clear" w:color="auto" w:fill="auto"/>
          </w:tcPr>
          <w:p w:rsidR="000810BA" w:rsidP="00D97A7D" w:rsidRDefault="000810BA" w14:paraId="7AF001F7" w14:textId="77777777">
            <w:pPr>
              <w:keepNext/>
            </w:pPr>
            <w:r>
              <w:t>Total Respondent Costs</w:t>
            </w:r>
          </w:p>
        </w:tc>
        <w:tc>
          <w:tcPr>
            <w:tcW w:w="1926" w:type="dxa"/>
            <w:shd w:val="clear" w:color="auto" w:fill="auto"/>
          </w:tcPr>
          <w:p w:rsidR="000810BA" w:rsidP="00D97A7D" w:rsidRDefault="000810BA" w14:paraId="64885697" w14:textId="5B12D6A3">
            <w:pPr>
              <w:keepNext/>
            </w:pPr>
            <w:r>
              <w:t>$</w:t>
            </w:r>
            <w:r w:rsidR="001A7966">
              <w:t xml:space="preserve"> 1,11</w:t>
            </w:r>
            <w:r w:rsidR="00240A68">
              <w:t>8</w:t>
            </w:r>
          </w:p>
        </w:tc>
      </w:tr>
    </w:tbl>
    <w:p w:rsidR="000810BA" w:rsidP="000810BA" w:rsidRDefault="000810BA" w14:paraId="7FD7E67B" w14:textId="77777777">
      <w:pPr>
        <w:pStyle w:val="BodyText2"/>
        <w:ind w:left="720"/>
      </w:pPr>
    </w:p>
    <w:p w:rsidRPr="001A7966" w:rsidR="00A8269A" w:rsidP="000810BA" w:rsidRDefault="00A8269A" w14:paraId="4EB7A133" w14:textId="7CC1245F">
      <w:pPr>
        <w:pStyle w:val="BodyText2"/>
        <w:ind w:left="720"/>
        <w:rPr>
          <w:sz w:val="20"/>
        </w:rPr>
      </w:pPr>
      <w:r w:rsidRPr="001A7966">
        <w:rPr>
          <w:sz w:val="20"/>
        </w:rPr>
        <w:t>The estimated wage rate for a Life Scientist is based on The Bureau of Labor Statistics (BLS) hourly wage rate of $45.60 for a life scientist (</w:t>
      </w:r>
      <w:hyperlink w:history="1" r:id="rId15">
        <w:r w:rsidRPr="001A7966">
          <w:rPr>
            <w:color w:val="0000FF"/>
            <w:sz w:val="20"/>
            <w:u w:val="single"/>
          </w:rPr>
          <w:t>Life Scientists, All Other (bls.gov)</w:t>
        </w:r>
      </w:hyperlink>
      <w:r w:rsidRPr="001A7966">
        <w:rPr>
          <w:sz w:val="20"/>
        </w:rPr>
        <w:t>, accessed 5-2-22). The hourly wage rate of $</w:t>
      </w:r>
      <w:r w:rsidR="00240A68">
        <w:rPr>
          <w:sz w:val="20"/>
        </w:rPr>
        <w:t>46</w:t>
      </w:r>
      <w:r w:rsidRPr="001A7966">
        <w:rPr>
          <w:sz w:val="20"/>
        </w:rPr>
        <w:t xml:space="preserve"> assumes a 40-hour work week and is rounded to the nearest dollar and has been doubled to account for benefits and overhead.</w:t>
      </w:r>
    </w:p>
    <w:p w:rsidRPr="001A7966" w:rsidR="00A8269A" w:rsidP="000810BA" w:rsidRDefault="00A8269A" w14:paraId="02641F71" w14:textId="7A3E44AA">
      <w:pPr>
        <w:pStyle w:val="BodyText2"/>
        <w:ind w:left="720"/>
        <w:rPr>
          <w:sz w:val="20"/>
        </w:rPr>
      </w:pPr>
    </w:p>
    <w:p w:rsidRPr="001A7966" w:rsidR="00A8269A" w:rsidP="00A8269A" w:rsidRDefault="00A8269A" w14:paraId="2A542F9A" w14:textId="189D45B4">
      <w:pPr>
        <w:pStyle w:val="BodyText2"/>
        <w:ind w:left="720"/>
        <w:rPr>
          <w:sz w:val="20"/>
        </w:rPr>
      </w:pPr>
      <w:r w:rsidRPr="001A7966">
        <w:rPr>
          <w:sz w:val="20"/>
        </w:rPr>
        <w:t xml:space="preserve">The estimated wage rate for </w:t>
      </w:r>
      <w:proofErr w:type="spellStart"/>
      <w:r w:rsidRPr="001A7966">
        <w:rPr>
          <w:sz w:val="20"/>
        </w:rPr>
        <w:t>a</w:t>
      </w:r>
      <w:proofErr w:type="spellEnd"/>
      <w:r w:rsidRPr="001A7966">
        <w:rPr>
          <w:sz w:val="20"/>
        </w:rPr>
        <w:t xml:space="preserve"> Executive Secretaries &amp; Administrative Assistants is based on The Bureau of Labor Statistics (BLS) hourly wage rate of $19.08 for an executive secretaries &amp; administrative assistant  (</w:t>
      </w:r>
      <w:hyperlink w:history="1" r:id="rId16">
        <w:hyperlink w:history="1" r:id="rId17">
          <w:r w:rsidRPr="001A7966">
            <w:rPr>
              <w:rStyle w:val="Hyperlink"/>
              <w:sz w:val="20"/>
            </w:rPr>
            <w:t>Secretaries and Administrative Assistants : Occupational Outlook Handbook: : U.S. Bureau of Labor Statistics (bls.gov)</w:t>
          </w:r>
        </w:hyperlink>
        <w:r w:rsidRPr="001A7966">
          <w:rPr>
            <w:color w:val="0000FF"/>
            <w:sz w:val="20"/>
            <w:u w:val="single"/>
          </w:rPr>
          <w:t>)</w:t>
        </w:r>
      </w:hyperlink>
      <w:r w:rsidRPr="001A7966">
        <w:rPr>
          <w:sz w:val="20"/>
        </w:rPr>
        <w:t>, accessed 5-2-22). The hourly wage rate of $</w:t>
      </w:r>
      <w:r w:rsidR="00EF5190">
        <w:rPr>
          <w:sz w:val="20"/>
        </w:rPr>
        <w:t>19</w:t>
      </w:r>
      <w:r w:rsidRPr="001A7966">
        <w:rPr>
          <w:sz w:val="20"/>
        </w:rPr>
        <w:t xml:space="preserve"> assumes a 40-hour work week and is rounded to the nearest dollar and has been doubled to account for benefits and overhead.</w:t>
      </w:r>
    </w:p>
    <w:p w:rsidRPr="00B3242A" w:rsidR="00A8269A" w:rsidP="00A8269A" w:rsidRDefault="00A8269A" w14:paraId="3E8883D5" w14:textId="77777777">
      <w:pPr>
        <w:pStyle w:val="BodyText2"/>
        <w:ind w:left="720"/>
        <w:rPr>
          <w:sz w:val="20"/>
        </w:rPr>
      </w:pPr>
    </w:p>
    <w:p w:rsidRPr="00B3242A" w:rsidR="00A8269A" w:rsidP="00A8269A" w:rsidRDefault="00A8269A" w14:paraId="28029BC8" w14:textId="77777777">
      <w:pPr>
        <w:pStyle w:val="BodyText2"/>
        <w:ind w:left="720"/>
        <w:rPr>
          <w:sz w:val="20"/>
        </w:rPr>
      </w:pPr>
      <w:r w:rsidRPr="00B3242A">
        <w:rPr>
          <w:sz w:val="20"/>
        </w:rPr>
        <w:t xml:space="preserve">The estimated wage rate for a Regulatory Affairs Manager is based on O*NET </w:t>
      </w:r>
      <w:proofErr w:type="spellStart"/>
      <w:r w:rsidRPr="00B3242A">
        <w:rPr>
          <w:sz w:val="20"/>
        </w:rPr>
        <w:t>OnLine</w:t>
      </w:r>
      <w:proofErr w:type="spellEnd"/>
      <w:r w:rsidRPr="00B3242A">
        <w:rPr>
          <w:sz w:val="20"/>
        </w:rPr>
        <w:t xml:space="preserve"> hourly wage rate of </w:t>
      </w:r>
    </w:p>
    <w:p w:rsidRPr="00B3242A" w:rsidR="00A8269A" w:rsidP="00A8269A" w:rsidRDefault="00A8269A" w14:paraId="61F44025" w14:textId="37E6D5AC">
      <w:pPr>
        <w:pStyle w:val="BodyText2"/>
        <w:ind w:left="720"/>
        <w:rPr>
          <w:sz w:val="20"/>
        </w:rPr>
      </w:pPr>
      <w:r w:rsidRPr="00B3242A">
        <w:rPr>
          <w:sz w:val="20"/>
        </w:rPr>
        <w:t xml:space="preserve"> $46.94 for a Regulatory Affairs Manager (</w:t>
      </w:r>
      <w:hyperlink w:history="1" r:id="rId18">
        <w:r w:rsidRPr="00B3242A">
          <w:rPr>
            <w:sz w:val="20"/>
          </w:rPr>
          <w:t>11-9199.01 - Regulatory Affairs Managers (onetonline.org)</w:t>
        </w:r>
        <w:r w:rsidRPr="00B3242A">
          <w:rPr>
            <w:sz w:val="20"/>
            <w:u w:val="single"/>
          </w:rPr>
          <w:t>)</w:t>
        </w:r>
      </w:hyperlink>
      <w:r w:rsidRPr="00B3242A">
        <w:rPr>
          <w:sz w:val="20"/>
        </w:rPr>
        <w:t>, accessed 5-2-22). The hourly wage rate of $</w:t>
      </w:r>
      <w:r w:rsidR="009C1E39">
        <w:rPr>
          <w:sz w:val="20"/>
        </w:rPr>
        <w:t>47</w:t>
      </w:r>
      <w:r w:rsidR="001C1399">
        <w:rPr>
          <w:sz w:val="20"/>
        </w:rPr>
        <w:t xml:space="preserve"> </w:t>
      </w:r>
      <w:r w:rsidRPr="00B3242A">
        <w:rPr>
          <w:sz w:val="20"/>
        </w:rPr>
        <w:t>assumes a 40-hour work week and is rounded to the nearest dollar and has been doubled to account for benefits and overhead.</w:t>
      </w:r>
    </w:p>
    <w:p w:rsidR="001A7966" w:rsidP="001A7966" w:rsidRDefault="001A7966" w14:paraId="24B595AC" w14:textId="6F2260BD">
      <w:pPr>
        <w:spacing w:after="200" w:line="276" w:lineRule="auto"/>
        <w:ind w:left="360"/>
        <w:rPr>
          <w:rFonts w:eastAsia="Calibri"/>
          <w:u w:val="single"/>
        </w:rPr>
      </w:pPr>
    </w:p>
    <w:p w:rsidRPr="00F13E4E" w:rsidR="00357C8A" w:rsidP="001A7966" w:rsidRDefault="001A7966" w14:paraId="6205AA95" w14:textId="3B6F9A82">
      <w:pPr>
        <w:spacing w:after="200" w:line="276" w:lineRule="auto"/>
        <w:rPr>
          <w:rFonts w:eastAsia="Calibri"/>
        </w:rPr>
      </w:pPr>
      <w:r w:rsidRPr="00F13E4E">
        <w:rPr>
          <w:rFonts w:eastAsia="Calibri"/>
        </w:rPr>
        <w:t xml:space="preserve">13. </w:t>
      </w:r>
      <w:r w:rsidRPr="00F13E4E" w:rsidR="00357C8A">
        <w:rPr>
          <w:rFonts w:eastAsia="Calibri"/>
          <w:u w:val="single"/>
        </w:rPr>
        <w:t xml:space="preserve">Estimates of Other Total Annual Costs </w:t>
      </w:r>
      <w:r w:rsidRPr="00F13E4E" w:rsidR="00590E90">
        <w:rPr>
          <w:rFonts w:eastAsia="Calibri"/>
          <w:u w:val="single"/>
        </w:rPr>
        <w:t xml:space="preserve">to Respondents/Recordkeepers or </w:t>
      </w:r>
      <w:r w:rsidRPr="00F13E4E" w:rsidR="00357C8A">
        <w:rPr>
          <w:rFonts w:eastAsia="Calibri"/>
          <w:u w:val="single"/>
        </w:rPr>
        <w:t>Capital Costs</w:t>
      </w:r>
      <w:r w:rsidRPr="00F13E4E" w:rsidR="00357C8A">
        <w:rPr>
          <w:rFonts w:eastAsia="Calibri"/>
        </w:rPr>
        <w:t xml:space="preserve"> </w:t>
      </w:r>
    </w:p>
    <w:p w:rsidR="00F13E4E" w:rsidP="00F13E4E" w:rsidRDefault="00F13E4E" w14:paraId="1369D272" w14:textId="167F87C7">
      <w:r>
        <w:t>There are no capital costs or operating and maintenance costs associated with this collection of information.</w:t>
      </w:r>
    </w:p>
    <w:p w:rsidR="00F13E4E" w:rsidP="00F13E4E" w:rsidRDefault="00F13E4E" w14:paraId="5CB1D692" w14:textId="77777777"/>
    <w:p w:rsidR="00F13E4E" w:rsidP="00F13E4E" w:rsidRDefault="00F13E4E" w14:paraId="06F7EF2B" w14:textId="77777777">
      <w:pPr>
        <w:spacing w:after="200" w:line="276" w:lineRule="auto"/>
        <w:rPr>
          <w:rFonts w:eastAsia="Calibri"/>
        </w:rPr>
      </w:pPr>
      <w:r w:rsidRPr="00F13E4E">
        <w:rPr>
          <w:rFonts w:eastAsia="Calibri"/>
        </w:rPr>
        <w:t xml:space="preserve">14. </w:t>
      </w:r>
      <w:r w:rsidRPr="00F13E4E" w:rsidR="00357C8A">
        <w:rPr>
          <w:rFonts w:eastAsia="Calibri"/>
          <w:u w:val="single"/>
        </w:rPr>
        <w:t>Annualized Cost to the Federal Government</w:t>
      </w:r>
    </w:p>
    <w:p w:rsidR="00F3068D" w:rsidP="00F13E4E" w:rsidRDefault="00F13E4E" w14:paraId="390E2652" w14:textId="66EC2809">
      <w:pPr>
        <w:spacing w:after="200" w:line="276" w:lineRule="auto"/>
        <w:rPr>
          <w:rFonts w:eastAsia="Calibri"/>
        </w:rPr>
      </w:pPr>
      <w:r w:rsidRPr="00F13E4E">
        <w:rPr>
          <w:rFonts w:eastAsia="Calibri"/>
        </w:rPr>
        <w:t xml:space="preserve">Because the burden includes recordkeeping only, there are no annualized costs to the Federal Government </w:t>
      </w:r>
      <w:proofErr w:type="gramStart"/>
      <w:r w:rsidRPr="00F13E4E">
        <w:rPr>
          <w:rFonts w:eastAsia="Calibri"/>
        </w:rPr>
        <w:t>as a result of</w:t>
      </w:r>
      <w:proofErr w:type="gramEnd"/>
      <w:r w:rsidRPr="00F13E4E">
        <w:rPr>
          <w:rFonts w:eastAsia="Calibri"/>
        </w:rPr>
        <w:t xml:space="preserve"> the guidance.</w:t>
      </w:r>
    </w:p>
    <w:p w:rsidRPr="00F13E4E" w:rsidR="00F13E4E" w:rsidP="00F13E4E" w:rsidRDefault="00F13E4E" w14:paraId="1FC333B3" w14:textId="0CC8C561">
      <w:pPr>
        <w:spacing w:after="200" w:line="276" w:lineRule="auto"/>
        <w:rPr>
          <w:rFonts w:eastAsia="Calibri"/>
        </w:rPr>
      </w:pPr>
      <w:r w:rsidRPr="00F13E4E">
        <w:rPr>
          <w:rFonts w:eastAsia="Calibri"/>
        </w:rPr>
        <w:t xml:space="preserve">15. </w:t>
      </w:r>
      <w:r w:rsidRPr="00F13E4E" w:rsidR="00357C8A">
        <w:rPr>
          <w:rFonts w:eastAsia="Calibri"/>
          <w:u w:val="single"/>
        </w:rPr>
        <w:t>Explanation for Program Changes or Adjustments</w:t>
      </w:r>
    </w:p>
    <w:p w:rsidRPr="00F13E4E" w:rsidR="00F13E4E" w:rsidP="00F13E4E" w:rsidRDefault="00F13E4E" w14:paraId="5924634D" w14:textId="0D48C121">
      <w:pPr>
        <w:spacing w:after="200" w:line="276" w:lineRule="auto"/>
        <w:rPr>
          <w:rFonts w:eastAsia="Calibri"/>
          <w:u w:val="single"/>
        </w:rPr>
      </w:pPr>
      <w:r w:rsidRPr="00F13E4E">
        <w:rPr>
          <w:rFonts w:eastAsia="Calibri"/>
        </w:rPr>
        <w:t>There is a</w:t>
      </w:r>
      <w:r>
        <w:rPr>
          <w:rFonts w:eastAsia="Calibri"/>
        </w:rPr>
        <w:t xml:space="preserve">n increase </w:t>
      </w:r>
      <w:r w:rsidR="0034036F">
        <w:rPr>
          <w:rFonts w:eastAsia="Calibri"/>
        </w:rPr>
        <w:t>of 22</w:t>
      </w:r>
      <w:r w:rsidRPr="00F13E4E">
        <w:rPr>
          <w:rFonts w:eastAsia="Calibri"/>
        </w:rPr>
        <w:t xml:space="preserve"> total annual records and a corresponding </w:t>
      </w:r>
      <w:r w:rsidR="0034036F">
        <w:rPr>
          <w:rFonts w:eastAsia="Calibri"/>
        </w:rPr>
        <w:t xml:space="preserve">increase </w:t>
      </w:r>
      <w:r w:rsidRPr="00F13E4E">
        <w:rPr>
          <w:rFonts w:eastAsia="Calibri"/>
        </w:rPr>
        <w:t xml:space="preserve">of </w:t>
      </w:r>
      <w:r w:rsidR="0034036F">
        <w:rPr>
          <w:rFonts w:eastAsia="Calibri"/>
        </w:rPr>
        <w:t>330</w:t>
      </w:r>
      <w:r w:rsidRPr="00F13E4E">
        <w:rPr>
          <w:rFonts w:eastAsia="Calibri"/>
        </w:rPr>
        <w:t xml:space="preserve"> hours in the total estimated burden</w:t>
      </w:r>
      <w:r w:rsidR="0034036F">
        <w:rPr>
          <w:rFonts w:eastAsia="Calibri"/>
        </w:rPr>
        <w:t xml:space="preserve">. </w:t>
      </w:r>
      <w:r w:rsidR="00F3068D">
        <w:rPr>
          <w:rFonts w:eastAsia="Calibri"/>
        </w:rPr>
        <w:t>We attribute this adjustment</w:t>
      </w:r>
      <w:r w:rsidR="0034036F">
        <w:rPr>
          <w:rFonts w:eastAsia="Calibri"/>
        </w:rPr>
        <w:t xml:space="preserve"> to the increase in the number of devices of this type being manufactured over the last few years. </w:t>
      </w:r>
    </w:p>
    <w:p w:rsidRPr="00864709" w:rsidR="0034036F" w:rsidP="00864709" w:rsidRDefault="00357C8A" w14:paraId="3867EBFB" w14:textId="73CE060A">
      <w:pPr>
        <w:pStyle w:val="ListParagraph"/>
        <w:numPr>
          <w:ilvl w:val="0"/>
          <w:numId w:val="10"/>
        </w:numPr>
        <w:spacing w:after="200" w:line="276" w:lineRule="auto"/>
        <w:rPr>
          <w:rFonts w:eastAsia="Calibri"/>
          <w:u w:val="single"/>
        </w:rPr>
      </w:pPr>
      <w:r w:rsidRPr="00864709">
        <w:rPr>
          <w:rFonts w:eastAsia="Calibri"/>
          <w:u w:val="single"/>
        </w:rPr>
        <w:t>Plans for Tabulation and Publication and Project Time Schedule</w:t>
      </w:r>
    </w:p>
    <w:p w:rsidRPr="0034036F" w:rsidR="00357C8A" w:rsidP="0034036F" w:rsidRDefault="00357C8A" w14:paraId="4D86B51B" w14:textId="05D4CA30">
      <w:pPr>
        <w:spacing w:after="200" w:line="276" w:lineRule="auto"/>
        <w:rPr>
          <w:rFonts w:eastAsia="Calibri"/>
          <w:u w:val="single"/>
        </w:rPr>
      </w:pPr>
      <w:r w:rsidRPr="0034036F">
        <w:rPr>
          <w:rFonts w:eastAsia="Calibri"/>
        </w:rPr>
        <w:t>This information collected will not be published or tabulated.</w:t>
      </w:r>
    </w:p>
    <w:p w:rsidRPr="00357C8A" w:rsidR="00357C8A" w:rsidP="00864709" w:rsidRDefault="00357C8A" w14:paraId="2080EABB" w14:textId="77777777">
      <w:pPr>
        <w:numPr>
          <w:ilvl w:val="0"/>
          <w:numId w:val="10"/>
        </w:numPr>
        <w:spacing w:after="200" w:line="276" w:lineRule="auto"/>
        <w:rPr>
          <w:rFonts w:eastAsia="Calibri"/>
          <w:u w:val="single"/>
        </w:rPr>
      </w:pPr>
      <w:r w:rsidRPr="00357C8A">
        <w:rPr>
          <w:rFonts w:eastAsia="Calibri"/>
          <w:u w:val="single"/>
        </w:rPr>
        <w:t>Reason(s) Display of OMB Expiration Date is Inappropriate</w:t>
      </w:r>
    </w:p>
    <w:p w:rsidRPr="0034036F" w:rsidR="0034036F" w:rsidP="0034036F" w:rsidRDefault="0034036F" w14:paraId="3C23315F" w14:textId="77777777">
      <w:pPr>
        <w:spacing w:after="200" w:line="276" w:lineRule="auto"/>
        <w:rPr>
          <w:rFonts w:eastAsia="Calibri"/>
          <w:u w:val="single"/>
        </w:rPr>
      </w:pPr>
      <w:r w:rsidRPr="0034036F">
        <w:rPr>
          <w:rFonts w:eastAsia="Calibri"/>
        </w:rPr>
        <w:lastRenderedPageBreak/>
        <w:t xml:space="preserve">FDA will display the OMB expiration date as required by 5 CFR 1320.5. </w:t>
      </w:r>
    </w:p>
    <w:p w:rsidRPr="00357C8A" w:rsidR="00357C8A" w:rsidP="00864709" w:rsidRDefault="00357C8A" w14:paraId="614699C1" w14:textId="7EB9E215">
      <w:pPr>
        <w:numPr>
          <w:ilvl w:val="0"/>
          <w:numId w:val="10"/>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rsidRDefault="007E59A8" w14:paraId="66BABA98" w14:textId="6433263F">
      <w:pPr>
        <w:spacing w:after="200"/>
        <w:rPr>
          <w:rFonts w:eastAsia="Calibri"/>
        </w:rPr>
      </w:pPr>
      <w:r w:rsidRPr="007E59A8">
        <w:rPr>
          <w:rFonts w:eastAsia="Calibri"/>
        </w:rPr>
        <w:t>There are no exceptions to the certification</w:t>
      </w:r>
      <w:r w:rsidR="004F4C3F">
        <w:rPr>
          <w:rFonts w:eastAsia="Calibri"/>
        </w:rPr>
        <w:t>.</w:t>
      </w:r>
    </w:p>
    <w:sectPr w:rsidR="007E59A8" w:rsidSect="005C71CA">
      <w:headerReference w:type="default" r:id="rId19"/>
      <w:footerReference w:type="even" r:id="rId20"/>
      <w:footerReference w:type="default" r:id="rId21"/>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A5C7" w14:textId="77777777" w:rsidR="004778F8" w:rsidRDefault="004778F8">
      <w:r>
        <w:separator/>
      </w:r>
    </w:p>
  </w:endnote>
  <w:endnote w:type="continuationSeparator" w:id="0">
    <w:p w14:paraId="2EB580FE" w14:textId="77777777" w:rsidR="004778F8" w:rsidRDefault="0047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2EBF3C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FE8A" w14:textId="77777777" w:rsidR="004778F8" w:rsidRDefault="004778F8">
      <w:r>
        <w:separator/>
      </w:r>
    </w:p>
  </w:footnote>
  <w:footnote w:type="continuationSeparator" w:id="0">
    <w:p w14:paraId="4AD8B1E4" w14:textId="77777777" w:rsidR="004778F8" w:rsidRDefault="00477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3F4D" w14:textId="1BA15ABF" w:rsidR="003C0FE2" w:rsidRPr="003C0FE2" w:rsidRDefault="755C8B3D" w:rsidP="755C8B3D">
    <w:pPr>
      <w:pStyle w:val="Header"/>
      <w:rPr>
        <w:sz w:val="18"/>
        <w:szCs w:val="18"/>
        <w:highlight w:val="yellow"/>
      </w:rPr>
    </w:pPr>
    <w:r>
      <w:rPr>
        <w:noProof/>
      </w:rPr>
      <w:drawing>
        <wp:inline distT="0" distB="0" distL="0" distR="0" wp14:anchorId="41A70510" wp14:editId="755C8B3D">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rsidR="003C0FE2">
      <w:tab/>
    </w:r>
    <w:r w:rsidR="003C0FE2">
      <w:tab/>
    </w:r>
    <w:r w:rsidRPr="755C8B3D">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F79E114E"/>
    <w:lvl w:ilvl="0" w:tplc="5252AC9C">
      <w:start w:val="1"/>
      <w:numFmt w:val="decimal"/>
      <w:lvlText w:val="%1."/>
      <w:lvlJc w:val="left"/>
      <w:pPr>
        <w:ind w:left="360" w:hanging="360"/>
      </w:pPr>
      <w:rPr>
        <w:u w:val="none"/>
      </w:r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CA17AC"/>
    <w:multiLevelType w:val="hybridMultilevel"/>
    <w:tmpl w:val="1256D3C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E7192"/>
    <w:multiLevelType w:val="hybridMultilevel"/>
    <w:tmpl w:val="57A27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3"/>
  </w:num>
  <w:num w:numId="5">
    <w:abstractNumId w:val="9"/>
  </w:num>
  <w:num w:numId="6">
    <w:abstractNumId w:val="0"/>
  </w:num>
  <w:num w:numId="7">
    <w:abstractNumId w:val="2"/>
  </w:num>
  <w:num w:numId="8">
    <w:abstractNumId w:val="5"/>
  </w:num>
  <w:num w:numId="9">
    <w:abstractNumId w:val="6"/>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553"/>
    <w:rsid w:val="00030061"/>
    <w:rsid w:val="00031A2C"/>
    <w:rsid w:val="00042B93"/>
    <w:rsid w:val="00043C7F"/>
    <w:rsid w:val="000467A8"/>
    <w:rsid w:val="0006570F"/>
    <w:rsid w:val="000710C5"/>
    <w:rsid w:val="00075DE8"/>
    <w:rsid w:val="000810BA"/>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74D54"/>
    <w:rsid w:val="0017702C"/>
    <w:rsid w:val="00185270"/>
    <w:rsid w:val="001A3B5A"/>
    <w:rsid w:val="001A7966"/>
    <w:rsid w:val="001B7CE9"/>
    <w:rsid w:val="001C1399"/>
    <w:rsid w:val="001D495A"/>
    <w:rsid w:val="001E244C"/>
    <w:rsid w:val="001F1437"/>
    <w:rsid w:val="00206799"/>
    <w:rsid w:val="002074FE"/>
    <w:rsid w:val="0022425B"/>
    <w:rsid w:val="002259EF"/>
    <w:rsid w:val="00226C57"/>
    <w:rsid w:val="00240A68"/>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036F"/>
    <w:rsid w:val="0034302B"/>
    <w:rsid w:val="0034553D"/>
    <w:rsid w:val="00350523"/>
    <w:rsid w:val="0035119E"/>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15F8"/>
    <w:rsid w:val="003F3BA2"/>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778F8"/>
    <w:rsid w:val="004846BF"/>
    <w:rsid w:val="00494912"/>
    <w:rsid w:val="004A5323"/>
    <w:rsid w:val="004A5A99"/>
    <w:rsid w:val="004C6979"/>
    <w:rsid w:val="004D13A2"/>
    <w:rsid w:val="004D196F"/>
    <w:rsid w:val="004D3E7A"/>
    <w:rsid w:val="004F4C3F"/>
    <w:rsid w:val="004F594B"/>
    <w:rsid w:val="004F61E1"/>
    <w:rsid w:val="0053380B"/>
    <w:rsid w:val="00543194"/>
    <w:rsid w:val="00544138"/>
    <w:rsid w:val="00554E34"/>
    <w:rsid w:val="00584583"/>
    <w:rsid w:val="00590E90"/>
    <w:rsid w:val="00590EEB"/>
    <w:rsid w:val="005943B4"/>
    <w:rsid w:val="005A4099"/>
    <w:rsid w:val="005A484F"/>
    <w:rsid w:val="005C38B2"/>
    <w:rsid w:val="005C5029"/>
    <w:rsid w:val="005C55C2"/>
    <w:rsid w:val="005C71CA"/>
    <w:rsid w:val="005C745C"/>
    <w:rsid w:val="005D4DF5"/>
    <w:rsid w:val="005E42BA"/>
    <w:rsid w:val="00611D6B"/>
    <w:rsid w:val="00625CFD"/>
    <w:rsid w:val="006326EC"/>
    <w:rsid w:val="00663A42"/>
    <w:rsid w:val="006641C7"/>
    <w:rsid w:val="006705EA"/>
    <w:rsid w:val="00670BE2"/>
    <w:rsid w:val="00682328"/>
    <w:rsid w:val="006916D9"/>
    <w:rsid w:val="006A0E05"/>
    <w:rsid w:val="006A26C6"/>
    <w:rsid w:val="006A465A"/>
    <w:rsid w:val="006A7D5D"/>
    <w:rsid w:val="006D0C12"/>
    <w:rsid w:val="006D5D57"/>
    <w:rsid w:val="006E2538"/>
    <w:rsid w:val="006E302F"/>
    <w:rsid w:val="006F4D6D"/>
    <w:rsid w:val="00705086"/>
    <w:rsid w:val="00722001"/>
    <w:rsid w:val="00751E66"/>
    <w:rsid w:val="00754497"/>
    <w:rsid w:val="00787C39"/>
    <w:rsid w:val="00792947"/>
    <w:rsid w:val="00795DF3"/>
    <w:rsid w:val="007A373C"/>
    <w:rsid w:val="007B225C"/>
    <w:rsid w:val="007C75B1"/>
    <w:rsid w:val="007D3DFC"/>
    <w:rsid w:val="007E2F07"/>
    <w:rsid w:val="007E59A8"/>
    <w:rsid w:val="007F0A96"/>
    <w:rsid w:val="0080776D"/>
    <w:rsid w:val="00810145"/>
    <w:rsid w:val="008108FA"/>
    <w:rsid w:val="00810FF1"/>
    <w:rsid w:val="00822336"/>
    <w:rsid w:val="00823DFA"/>
    <w:rsid w:val="00842DB7"/>
    <w:rsid w:val="00843752"/>
    <w:rsid w:val="0084479F"/>
    <w:rsid w:val="0085725E"/>
    <w:rsid w:val="00864709"/>
    <w:rsid w:val="00873D4F"/>
    <w:rsid w:val="0087509F"/>
    <w:rsid w:val="00880E1A"/>
    <w:rsid w:val="00885B09"/>
    <w:rsid w:val="0088783A"/>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A1674"/>
    <w:rsid w:val="009B38BE"/>
    <w:rsid w:val="009B4DF2"/>
    <w:rsid w:val="009C1E39"/>
    <w:rsid w:val="009C684F"/>
    <w:rsid w:val="009D074C"/>
    <w:rsid w:val="009D6E73"/>
    <w:rsid w:val="009F1F1D"/>
    <w:rsid w:val="009F2B4F"/>
    <w:rsid w:val="009F3C63"/>
    <w:rsid w:val="009F64C0"/>
    <w:rsid w:val="009F66B5"/>
    <w:rsid w:val="00A02F10"/>
    <w:rsid w:val="00A1060C"/>
    <w:rsid w:val="00A16221"/>
    <w:rsid w:val="00A20A7D"/>
    <w:rsid w:val="00A354BD"/>
    <w:rsid w:val="00A35D42"/>
    <w:rsid w:val="00A46CCF"/>
    <w:rsid w:val="00A506DE"/>
    <w:rsid w:val="00A53451"/>
    <w:rsid w:val="00A70426"/>
    <w:rsid w:val="00A707CC"/>
    <w:rsid w:val="00A71410"/>
    <w:rsid w:val="00A8269A"/>
    <w:rsid w:val="00A91E9A"/>
    <w:rsid w:val="00A93ED9"/>
    <w:rsid w:val="00A96221"/>
    <w:rsid w:val="00AC2DBB"/>
    <w:rsid w:val="00AC6A99"/>
    <w:rsid w:val="00AD6048"/>
    <w:rsid w:val="00B055EF"/>
    <w:rsid w:val="00B06B5B"/>
    <w:rsid w:val="00B23769"/>
    <w:rsid w:val="00B3242A"/>
    <w:rsid w:val="00B41789"/>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C2894"/>
    <w:rsid w:val="00CD77C3"/>
    <w:rsid w:val="00CE112C"/>
    <w:rsid w:val="00CF55D4"/>
    <w:rsid w:val="00D608DA"/>
    <w:rsid w:val="00D730BF"/>
    <w:rsid w:val="00D81991"/>
    <w:rsid w:val="00D852F4"/>
    <w:rsid w:val="00DB1110"/>
    <w:rsid w:val="00DB3730"/>
    <w:rsid w:val="00DC371B"/>
    <w:rsid w:val="00DC3788"/>
    <w:rsid w:val="00DC76C7"/>
    <w:rsid w:val="00DD09F5"/>
    <w:rsid w:val="00DD0E02"/>
    <w:rsid w:val="00DD4201"/>
    <w:rsid w:val="00DD5E9F"/>
    <w:rsid w:val="00DE5711"/>
    <w:rsid w:val="00E00EA0"/>
    <w:rsid w:val="00E021CB"/>
    <w:rsid w:val="00E03F04"/>
    <w:rsid w:val="00E138F1"/>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E6468"/>
    <w:rsid w:val="00EE7AEC"/>
    <w:rsid w:val="00EF0637"/>
    <w:rsid w:val="00EF5190"/>
    <w:rsid w:val="00F1299B"/>
    <w:rsid w:val="00F13E4E"/>
    <w:rsid w:val="00F207A4"/>
    <w:rsid w:val="00F25173"/>
    <w:rsid w:val="00F3068D"/>
    <w:rsid w:val="00F355AC"/>
    <w:rsid w:val="00F40CF7"/>
    <w:rsid w:val="00F44194"/>
    <w:rsid w:val="00F71A5A"/>
    <w:rsid w:val="00F73A1A"/>
    <w:rsid w:val="00F769E0"/>
    <w:rsid w:val="00F87774"/>
    <w:rsid w:val="00FA4A46"/>
    <w:rsid w:val="00FA75FE"/>
    <w:rsid w:val="00FB1032"/>
    <w:rsid w:val="00FB39BC"/>
    <w:rsid w:val="00FB6A53"/>
    <w:rsid w:val="00FC11CA"/>
    <w:rsid w:val="00FC6BDE"/>
    <w:rsid w:val="00FF6138"/>
    <w:rsid w:val="03BC4E10"/>
    <w:rsid w:val="086D0965"/>
    <w:rsid w:val="140345EC"/>
    <w:rsid w:val="17D1FF44"/>
    <w:rsid w:val="186A04D2"/>
    <w:rsid w:val="3C5E9484"/>
    <w:rsid w:val="498EF84C"/>
    <w:rsid w:val="4D014090"/>
    <w:rsid w:val="69EDCD08"/>
    <w:rsid w:val="755C8B3D"/>
    <w:rsid w:val="77C14E47"/>
    <w:rsid w:val="7952C2E7"/>
    <w:rsid w:val="7C3022A6"/>
    <w:rsid w:val="7C8A6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8C159"/>
  <w15:chartTrackingRefBased/>
  <w15:docId w15:val="{9B3CECBD-1948-4929-AA69-B61E0FAA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0810BA"/>
    <w:rPr>
      <w:sz w:val="16"/>
      <w:szCs w:val="16"/>
    </w:rPr>
  </w:style>
  <w:style w:type="paragraph" w:styleId="CommentText">
    <w:name w:val="annotation text"/>
    <w:basedOn w:val="Normal"/>
    <w:link w:val="CommentTextChar"/>
    <w:rsid w:val="000810BA"/>
    <w:rPr>
      <w:sz w:val="20"/>
      <w:szCs w:val="20"/>
    </w:rPr>
  </w:style>
  <w:style w:type="character" w:customStyle="1" w:styleId="CommentTextChar">
    <w:name w:val="Comment Text Char"/>
    <w:basedOn w:val="DefaultParagraphFont"/>
    <w:link w:val="CommentText"/>
    <w:rsid w:val="000810BA"/>
    <w:rPr>
      <w:lang w:eastAsia="en-US"/>
    </w:rPr>
  </w:style>
  <w:style w:type="paragraph" w:styleId="CommentSubject">
    <w:name w:val="annotation subject"/>
    <w:basedOn w:val="CommentText"/>
    <w:next w:val="CommentText"/>
    <w:link w:val="CommentSubjectChar"/>
    <w:rsid w:val="00682328"/>
    <w:rPr>
      <w:b/>
      <w:bCs/>
    </w:rPr>
  </w:style>
  <w:style w:type="character" w:customStyle="1" w:styleId="CommentSubjectChar">
    <w:name w:val="Comment Subject Char"/>
    <w:basedOn w:val="CommentTextChar"/>
    <w:link w:val="CommentSubject"/>
    <w:rsid w:val="0068232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essdata.fda.gov/scripts/cdrh/cfdocs/cfcfr/CFRSearch.cfm?CFRPart=820" TargetMode="External"/><Relationship Id="rId18" Type="http://schemas.openxmlformats.org/officeDocument/2006/relationships/hyperlink" Target="https://www.bls.gov/oes/current/oes191099.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fda.gov/MedicalDevices/DeviceRegulationandGuidance/GuidanceDocuments/ucm078583.htm" TargetMode="External"/><Relationship Id="rId17" Type="http://schemas.openxmlformats.org/officeDocument/2006/relationships/hyperlink" Target="https://www.bls.gov/ooh/office-and-administrative-support/secretaries-and-administrative-assistants.htm" TargetMode="External"/><Relationship Id="rId2" Type="http://schemas.openxmlformats.org/officeDocument/2006/relationships/customXml" Target="../customXml/item2.xml"/><Relationship Id="rId16" Type="http://schemas.openxmlformats.org/officeDocument/2006/relationships/hyperlink" Target="https://www.bls.gov/oes/current/oes191099.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da.gov/MedicalDevices/DeviceRegulationandGuidance/GuidanceDocuments/ucm078583.htm" TargetMode="External"/><Relationship Id="rId5" Type="http://schemas.openxmlformats.org/officeDocument/2006/relationships/styles" Target="styles.xml"/><Relationship Id="rId15" Type="http://schemas.openxmlformats.org/officeDocument/2006/relationships/hyperlink" Target="https://www.bls.gov/oes/current/oes191099.htm" TargetMode="External"/><Relationship Id="rId23" Type="http://schemas.openxmlformats.org/officeDocument/2006/relationships/theme" Target="theme/theme1.xml"/><Relationship Id="rId10" Type="http://schemas.openxmlformats.org/officeDocument/2006/relationships/hyperlink" Target="http://www.accessdata.fda.gov/scripts/cdrh/cfdocs/cfcfr/CFRSearch.cfm?CFRPart=866"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foreICRFlag xmlns="7389913f-922f-4e80-b417-8e04b3f2c4f9">true</BeforeICRFla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7" ma:contentTypeDescription="Create a new document." ma:contentTypeScope="" ma:versionID="10bf8f031eb5aa7b2cca99f3676c5a92">
  <xsd:schema xmlns:xsd="http://www.w3.org/2001/XMLSchema" xmlns:xs="http://www.w3.org/2001/XMLSchema" xmlns:p="http://schemas.microsoft.com/office/2006/metadata/properties" xmlns:ns2="7389913f-922f-4e80-b417-8e04b3f2c4f9" targetNamespace="http://schemas.microsoft.com/office/2006/metadata/properties" ma:root="true" ma:fieldsID="2a81f4174fd3fb2552144a86327366e7" ns2:_="">
    <xsd:import namespace="7389913f-922f-4e80-b417-8e04b3f2c4f9"/>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B2F6D-4E7E-4ED2-9D0C-75958EA6403F}">
  <ds:schemaRefs>
    <ds:schemaRef ds:uri="http://schemas.microsoft.com/sharepoint/v3/contenttype/forms"/>
  </ds:schemaRefs>
</ds:datastoreItem>
</file>

<file path=customXml/itemProps2.xml><?xml version="1.0" encoding="utf-8"?>
<ds:datastoreItem xmlns:ds="http://schemas.openxmlformats.org/officeDocument/2006/customXml" ds:itemID="{C44D2027-1162-49C1-8425-A563352A5507}">
  <ds:schemaRefs>
    <ds:schemaRef ds:uri="http://schemas.microsoft.com/office/2006/metadata/properties"/>
    <ds:schemaRef ds:uri="http://schemas.microsoft.com/office/infopath/2007/PartnerControls"/>
    <ds:schemaRef ds:uri="7389913f-922f-4e80-b417-8e04b3f2c4f9"/>
  </ds:schemaRefs>
</ds:datastoreItem>
</file>

<file path=customXml/itemProps3.xml><?xml version="1.0" encoding="utf-8"?>
<ds:datastoreItem xmlns:ds="http://schemas.openxmlformats.org/officeDocument/2006/customXml" ds:itemID="{01B291B2-CA39-45A0-A7EC-679CE205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Showalter, Rachel</cp:lastModifiedBy>
  <cp:revision>2</cp:revision>
  <cp:lastPrinted>2019-07-03T19:25:00Z</cp:lastPrinted>
  <dcterms:created xsi:type="dcterms:W3CDTF">2022-05-25T18:38:00Z</dcterms:created>
  <dcterms:modified xsi:type="dcterms:W3CDTF">2022-05-25T18:38:00Z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0x0101000F0FC6E1A17FC941A2344FC05EA6CD14</vt:lpwstr>
  </property>
</Properties>
</file>