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116" w:rsidR="00757E32" w:rsidP="00744643" w:rsidRDefault="00757E32" w14:paraId="1D07CC69" w14:textId="06A48C38">
      <w:pPr>
        <w:jc w:val="center"/>
        <w:rPr>
          <w:bCs/>
        </w:rPr>
      </w:pPr>
      <w:r w:rsidRPr="002B7116">
        <w:rPr>
          <w:bCs/>
        </w:rPr>
        <w:t>U</w:t>
      </w:r>
      <w:r w:rsidRPr="002B7116" w:rsidR="00D65887">
        <w:rPr>
          <w:bCs/>
        </w:rPr>
        <w:t>nited</w:t>
      </w:r>
      <w:r w:rsidRPr="002B7116">
        <w:rPr>
          <w:bCs/>
        </w:rPr>
        <w:t xml:space="preserve"> S</w:t>
      </w:r>
      <w:r w:rsidRPr="002B7116" w:rsidR="00D65887">
        <w:rPr>
          <w:bCs/>
        </w:rPr>
        <w:t>tates</w:t>
      </w:r>
      <w:r w:rsidRPr="002B7116">
        <w:rPr>
          <w:bCs/>
        </w:rPr>
        <w:t xml:space="preserve"> Food and Drug Administration</w:t>
      </w:r>
    </w:p>
    <w:p w:rsidRPr="002B7116" w:rsidR="00757E32" w:rsidP="00744643" w:rsidRDefault="00757E32" w14:paraId="6E2C9EBE" w14:textId="77777777">
      <w:pPr>
        <w:jc w:val="center"/>
        <w:rPr>
          <w:bCs/>
        </w:rPr>
      </w:pPr>
    </w:p>
    <w:p w:rsidR="00BF17C4" w:rsidP="00F5150F" w:rsidRDefault="004B6745" w14:paraId="51A52897" w14:textId="77777777">
      <w:pPr>
        <w:jc w:val="center"/>
        <w:rPr>
          <w:bCs/>
        </w:rPr>
      </w:pPr>
      <w:r w:rsidRPr="002B7116">
        <w:rPr>
          <w:bCs/>
        </w:rPr>
        <w:t xml:space="preserve">Study of Disclosures to Health Care Providers Regarding Data </w:t>
      </w:r>
      <w:r w:rsidRPr="002B7116" w:rsidR="00F01E10">
        <w:rPr>
          <w:bCs/>
        </w:rPr>
        <w:t>T</w:t>
      </w:r>
      <w:r w:rsidRPr="002B7116">
        <w:rPr>
          <w:bCs/>
        </w:rPr>
        <w:t>hat Do Not Support Unapproved Use of an Approved Prescription Drug</w:t>
      </w:r>
      <w:r w:rsidRPr="002B7116" w:rsidR="00D65887">
        <w:rPr>
          <w:bCs/>
        </w:rPr>
        <w:t xml:space="preserve"> </w:t>
      </w:r>
    </w:p>
    <w:p w:rsidR="00BF17C4" w:rsidP="00F5150F" w:rsidRDefault="00BF17C4" w14:paraId="1BD13E8C" w14:textId="77777777">
      <w:pPr>
        <w:jc w:val="center"/>
        <w:rPr>
          <w:bCs/>
        </w:rPr>
      </w:pPr>
    </w:p>
    <w:p w:rsidRPr="001076D2" w:rsidR="00F5150F" w:rsidP="00F5150F" w:rsidRDefault="00F5150F" w14:paraId="0D5FB47E" w14:textId="4812FF19">
      <w:pPr>
        <w:jc w:val="center"/>
        <w:rPr>
          <w:b/>
          <w:sz w:val="28"/>
        </w:rPr>
      </w:pPr>
      <w:r w:rsidRPr="002B7116">
        <w:rPr>
          <w:bCs/>
        </w:rPr>
        <w:t xml:space="preserve">OMB Control Number </w:t>
      </w:r>
      <w:r w:rsidRPr="002B7116" w:rsidR="004B6745">
        <w:rPr>
          <w:bCs/>
        </w:rPr>
        <w:t>0910-0900</w:t>
      </w:r>
    </w:p>
    <w:p w:rsidRPr="001076D2" w:rsidR="00F5150F" w:rsidP="00F5150F" w:rsidRDefault="00F5150F" w14:paraId="2B9BFCB3" w14:textId="77777777">
      <w:pPr>
        <w:jc w:val="center"/>
        <w:rPr>
          <w:b/>
          <w:sz w:val="28"/>
        </w:rPr>
      </w:pPr>
    </w:p>
    <w:p w:rsidR="00757E32" w:rsidP="002B7116" w:rsidRDefault="00CA2070" w14:paraId="3AFCA7C5" w14:textId="4927CEE6">
      <w:pPr>
        <w:jc w:val="center"/>
        <w:rPr>
          <w:bCs/>
        </w:rPr>
      </w:pPr>
      <w:r>
        <w:rPr>
          <w:bCs/>
        </w:rPr>
        <w:t>No Material or Non-Substantive Change to a Currently Approved Collection (83-C)</w:t>
      </w:r>
    </w:p>
    <w:p w:rsidR="002B7116" w:rsidP="002B7116" w:rsidRDefault="002B7116" w14:paraId="173917BD" w14:textId="04505A65">
      <w:pPr>
        <w:jc w:val="center"/>
        <w:rPr>
          <w:bCs/>
        </w:rPr>
      </w:pPr>
    </w:p>
    <w:p w:rsidRPr="00BA1BE8" w:rsidR="002B7116" w:rsidP="002B7116" w:rsidRDefault="002B7116" w14:paraId="19A89907" w14:textId="77777777">
      <w:pPr>
        <w:jc w:val="center"/>
        <w:rPr>
          <w:b/>
        </w:rPr>
      </w:pPr>
    </w:p>
    <w:p w:rsidRPr="001076D2" w:rsidR="00F5150F" w:rsidP="00F5150F" w:rsidRDefault="00F5150F" w14:paraId="74DA3EEB" w14:textId="3ADB52D4">
      <w:pPr>
        <w:jc w:val="center"/>
      </w:pPr>
      <w:r>
        <w:rPr>
          <w:b/>
          <w:sz w:val="28"/>
        </w:rPr>
        <w:tab/>
      </w:r>
    </w:p>
    <w:p w:rsidR="0043247A" w:rsidP="0043247A" w:rsidRDefault="0043247A" w14:paraId="4FFB0E60" w14:textId="033AD207">
      <w:r>
        <w:t xml:space="preserve">This information collection supports section 1701(a)(4) of the Public Health Service Act (42 U.S.C. 300u(a)(4)), which authorizes </w:t>
      </w:r>
      <w:r w:rsidR="00F01E10">
        <w:t>the Food and Drug Administration (</w:t>
      </w:r>
      <w:r>
        <w:t>FDA</w:t>
      </w:r>
      <w:r w:rsidR="00F01E10">
        <w:t>)</w:t>
      </w:r>
      <w:r>
        <w:t xml:space="preserve"> to conduct research relating to health information. Section 1003(d)(2)(C) of the Federal Food, Drug, and Cosmetic Act (FD&amp;C Act) (21 U.S.C. 393(d)(2)(C)) authorizes FDA to conduct research relating to drugs and other </w:t>
      </w:r>
      <w:r w:rsidR="00F01E10">
        <w:t>FDA-</w:t>
      </w:r>
      <w:r>
        <w:t xml:space="preserve">regulated products in carrying out the provisions of the FD&amp;C Act.  </w:t>
      </w:r>
    </w:p>
    <w:p w:rsidR="0043247A" w:rsidP="0043247A" w:rsidRDefault="0043247A" w14:paraId="6D634AEB" w14:textId="77777777"/>
    <w:p w:rsidR="00B10552" w:rsidP="008E578B" w:rsidRDefault="0043247A" w14:paraId="54D46A54" w14:textId="0BF36956">
      <w:r>
        <w:t xml:space="preserve">FDA’s Office of Prescription Drug Promotion’s (OPDP) mission is to protect the public health by helping to ensure that prescription drug promotion is truthful, balanced, and accurately communicated. OPDP’s research program provides scientific evidence to help ensure that </w:t>
      </w:r>
      <w:r w:rsidR="00F3090D">
        <w:t xml:space="preserve">its </w:t>
      </w:r>
      <w:r>
        <w:t>policies related to prescription drug promotion will have the greatest benefit to public health.</w:t>
      </w:r>
      <w:r w:rsidR="00972D8F">
        <w:t xml:space="preserve"> We </w:t>
      </w:r>
      <w:r>
        <w:t xml:space="preserve">have consistently conducted research to evaluate the aspects of prescription drug promotion that are most central to our mission. This study </w:t>
      </w:r>
      <w:r w:rsidR="00B10552">
        <w:t xml:space="preserve">in this information collection </w:t>
      </w:r>
      <w:r>
        <w:t>pertains to the two topic areas</w:t>
      </w:r>
      <w:r w:rsidR="00972D8F">
        <w:t>:</w:t>
      </w:r>
      <w:r>
        <w:t xml:space="preserve"> </w:t>
      </w:r>
      <w:r w:rsidR="00972D8F">
        <w:t xml:space="preserve"> </w:t>
      </w:r>
      <w:r>
        <w:t>(1) advertising features</w:t>
      </w:r>
      <w:r w:rsidR="0032167E">
        <w:t>;</w:t>
      </w:r>
      <w:r>
        <w:t xml:space="preserve"> and (2) target populations.</w:t>
      </w:r>
      <w:r w:rsidR="00972D8F">
        <w:t xml:space="preserve">  Our purpose</w:t>
      </w:r>
      <w:r w:rsidR="00B060ED">
        <w:t xml:space="preserve"> </w:t>
      </w:r>
      <w:r w:rsidR="00B10552">
        <w:t xml:space="preserve">for the information collection </w:t>
      </w:r>
      <w:r w:rsidR="00B060ED">
        <w:t xml:space="preserve">is to </w:t>
      </w:r>
      <w:r w:rsidR="002C5A75">
        <w:t xml:space="preserve">examine </w:t>
      </w:r>
      <w:r w:rsidRPr="00BA2E39" w:rsidR="004B6745">
        <w:t xml:space="preserve">how </w:t>
      </w:r>
      <w:r w:rsidR="004B6745">
        <w:t>physicians</w:t>
      </w:r>
      <w:r w:rsidRPr="00BA2E39" w:rsidR="004B6745">
        <w:t xml:space="preserve"> </w:t>
      </w:r>
      <w:r w:rsidRPr="00F14293" w:rsidR="004B6745">
        <w:t xml:space="preserve">process information about unapproved new uses of approved prescription drugs </w:t>
      </w:r>
      <w:r w:rsidR="004B6745">
        <w:rPr>
          <w:snapToGrid w:val="0"/>
        </w:rPr>
        <w:t>when made aware of other</w:t>
      </w:r>
      <w:r w:rsidRPr="00AE0A93" w:rsidR="004B6745">
        <w:rPr>
          <w:snapToGrid w:val="0"/>
        </w:rPr>
        <w:t xml:space="preserve"> unsupportive information</w:t>
      </w:r>
      <w:r w:rsidR="004B6745">
        <w:t xml:space="preserve"> and how they evaluate the effectiveness of various disclosure approaches for this information</w:t>
      </w:r>
      <w:r w:rsidRPr="00F14293" w:rsidR="004B6745">
        <w:t>.</w:t>
      </w:r>
      <w:r w:rsidR="004B6745">
        <w:t xml:space="preserve"> </w:t>
      </w:r>
      <w:r w:rsidR="002C5A75">
        <w:t xml:space="preserve">This study </w:t>
      </w:r>
      <w:r>
        <w:t xml:space="preserve">has provided and continues to </w:t>
      </w:r>
      <w:r w:rsidR="002C5A75">
        <w:t xml:space="preserve">provide FDA with empirical information of the effects </w:t>
      </w:r>
      <w:r>
        <w:t xml:space="preserve">that </w:t>
      </w:r>
      <w:r w:rsidR="002C5A75">
        <w:t xml:space="preserve">these variables </w:t>
      </w:r>
      <w:r>
        <w:t xml:space="preserve">have </w:t>
      </w:r>
      <w:r w:rsidR="002C5A75">
        <w:t xml:space="preserve">on physician perceptions and </w:t>
      </w:r>
      <w:r>
        <w:t xml:space="preserve">has informed and continues to </w:t>
      </w:r>
      <w:r w:rsidR="002C5A75">
        <w:t xml:space="preserve">inform FDA’s regulatory approach to materials of this type. </w:t>
      </w:r>
    </w:p>
    <w:p w:rsidR="00B10552" w:rsidP="008E578B" w:rsidRDefault="00B10552" w14:paraId="3CCDA10F" w14:textId="77777777"/>
    <w:p w:rsidR="00B10552" w:rsidP="008E578B" w:rsidRDefault="00B10552" w14:paraId="046317D8" w14:textId="12C03DC8">
      <w:pPr>
        <w:rPr>
          <w:b/>
          <w:bCs/>
        </w:rPr>
      </w:pPr>
      <w:r w:rsidRPr="00732106">
        <w:rPr>
          <w:b/>
          <w:bCs/>
        </w:rPr>
        <w:t>Proposed Changes</w:t>
      </w:r>
    </w:p>
    <w:p w:rsidRPr="00732106" w:rsidR="00C6146D" w:rsidP="008E578B" w:rsidRDefault="00C6146D" w14:paraId="740EDD25" w14:textId="77777777">
      <w:pPr>
        <w:rPr>
          <w:b/>
          <w:bCs/>
        </w:rPr>
      </w:pPr>
    </w:p>
    <w:p w:rsidR="008D5B2F" w:rsidP="008E578B" w:rsidRDefault="00C6146D" w14:paraId="5B0B4010" w14:textId="495F06A2">
      <w:r w:rsidRPr="00C6146D">
        <w:t xml:space="preserve">Results of the first round of cognitive testing revealed that the stimuli for one of the study conditions, diabetes, was not functioning as intended. We determined that a change to the study stimuli was warranted and noted this in the </w:t>
      </w:r>
      <w:r w:rsidRPr="00C6146D" w:rsidR="00F3090D">
        <w:t>30</w:t>
      </w:r>
      <w:r w:rsidR="00F3090D">
        <w:t>-</w:t>
      </w:r>
      <w:r w:rsidRPr="00C6146D">
        <w:t xml:space="preserve">day </w:t>
      </w:r>
      <w:r w:rsidRPr="00BA1BE8">
        <w:rPr>
          <w:i/>
          <w:iCs/>
        </w:rPr>
        <w:t>Federal Register</w:t>
      </w:r>
      <w:r w:rsidRPr="00C6146D">
        <w:t xml:space="preserve"> notice for this study, published June 11, 2021 (86 FR 31318). </w:t>
      </w:r>
    </w:p>
    <w:p w:rsidR="00C6146D" w:rsidP="008E578B" w:rsidRDefault="00C6146D" w14:paraId="663816EC" w14:textId="77777777"/>
    <w:p w:rsidR="00B060ED" w:rsidP="008E578B" w:rsidRDefault="008D5B2F" w14:paraId="448CE69A" w14:textId="141CC3AA">
      <w:pPr>
        <w:rPr>
          <w:lang w:eastAsia="ja-JP"/>
        </w:rPr>
      </w:pPr>
      <w:r w:rsidRPr="00B8417F">
        <w:rPr>
          <w:rFonts w:eastAsia="Calibri"/>
        </w:rPr>
        <w:t xml:space="preserve">FDA </w:t>
      </w:r>
      <w:r>
        <w:rPr>
          <w:rFonts w:eastAsia="Calibri"/>
        </w:rPr>
        <w:t xml:space="preserve">is requesting to conduct an additional nine cognitive interviews to ensure that </w:t>
      </w:r>
      <w:r w:rsidR="002D7644">
        <w:rPr>
          <w:rFonts w:eastAsia="Calibri"/>
        </w:rPr>
        <w:t>physicians</w:t>
      </w:r>
      <w:r>
        <w:rPr>
          <w:rFonts w:eastAsia="Calibri"/>
        </w:rPr>
        <w:t xml:space="preserve"> successfully operate the revised stimuli in this arm of the study and so that FDA can proceed with the pretesting and main study.  </w:t>
      </w:r>
      <w:r w:rsidR="00B060ED">
        <w:rPr>
          <w:lang w:eastAsia="ja-JP"/>
        </w:rPr>
        <w:t xml:space="preserve">We are requesting </w:t>
      </w:r>
      <w:r>
        <w:rPr>
          <w:lang w:eastAsia="ja-JP"/>
        </w:rPr>
        <w:t xml:space="preserve">the </w:t>
      </w:r>
      <w:r w:rsidR="00B10552">
        <w:rPr>
          <w:lang w:eastAsia="ja-JP"/>
        </w:rPr>
        <w:t>proposed changes</w:t>
      </w:r>
      <w:r w:rsidR="00757E32">
        <w:rPr>
          <w:lang w:eastAsia="ja-JP"/>
        </w:rPr>
        <w:t>:  (</w:t>
      </w:r>
      <w:r w:rsidR="00CA388C">
        <w:rPr>
          <w:lang w:eastAsia="ja-JP"/>
        </w:rPr>
        <w:t xml:space="preserve">1) </w:t>
      </w:r>
      <w:r w:rsidR="00B060ED">
        <w:rPr>
          <w:lang w:eastAsia="ja-JP"/>
        </w:rPr>
        <w:t xml:space="preserve">an amendment to </w:t>
      </w:r>
      <w:r w:rsidR="00744643">
        <w:rPr>
          <w:lang w:eastAsia="ja-JP"/>
        </w:rPr>
        <w:t>conduct additional cognitive testing on the stimuli</w:t>
      </w:r>
      <w:r w:rsidR="004B6745">
        <w:rPr>
          <w:lang w:eastAsia="ja-JP"/>
        </w:rPr>
        <w:t xml:space="preserve"> for the insomnia condition</w:t>
      </w:r>
      <w:r w:rsidR="0032167E">
        <w:rPr>
          <w:lang w:eastAsia="ja-JP"/>
        </w:rPr>
        <w:t>;</w:t>
      </w:r>
      <w:r w:rsidR="00CA388C">
        <w:rPr>
          <w:lang w:eastAsia="ja-JP"/>
        </w:rPr>
        <w:t xml:space="preserve"> </w:t>
      </w:r>
      <w:r w:rsidR="00E94674">
        <w:rPr>
          <w:lang w:eastAsia="ja-JP"/>
        </w:rPr>
        <w:t xml:space="preserve">and </w:t>
      </w:r>
      <w:r w:rsidR="00757E32">
        <w:rPr>
          <w:lang w:eastAsia="ja-JP"/>
        </w:rPr>
        <w:t>(</w:t>
      </w:r>
      <w:r w:rsidR="00D17CC6">
        <w:rPr>
          <w:lang w:eastAsia="ja-JP"/>
        </w:rPr>
        <w:t>2</w:t>
      </w:r>
      <w:r w:rsidR="00E94674">
        <w:rPr>
          <w:lang w:eastAsia="ja-JP"/>
        </w:rPr>
        <w:t xml:space="preserve">) an adjustment to the </w:t>
      </w:r>
      <w:r w:rsidR="00757E32">
        <w:rPr>
          <w:lang w:eastAsia="ja-JP"/>
        </w:rPr>
        <w:t xml:space="preserve">total </w:t>
      </w:r>
      <w:r w:rsidR="00E94674">
        <w:rPr>
          <w:lang w:eastAsia="ja-JP"/>
        </w:rPr>
        <w:t xml:space="preserve">estimated </w:t>
      </w:r>
      <w:r w:rsidR="00757E32">
        <w:rPr>
          <w:lang w:eastAsia="ja-JP"/>
        </w:rPr>
        <w:t xml:space="preserve">annual reporting </w:t>
      </w:r>
      <w:r w:rsidR="00E94674">
        <w:rPr>
          <w:lang w:eastAsia="ja-JP"/>
        </w:rPr>
        <w:t xml:space="preserve">burden </w:t>
      </w:r>
      <w:r w:rsidR="004B6745">
        <w:rPr>
          <w:lang w:eastAsia="ja-JP"/>
        </w:rPr>
        <w:t xml:space="preserve">to reflect </w:t>
      </w:r>
      <w:r w:rsidR="0043247A">
        <w:rPr>
          <w:lang w:eastAsia="ja-JP"/>
        </w:rPr>
        <w:t>additional</w:t>
      </w:r>
      <w:r w:rsidR="00757E32">
        <w:rPr>
          <w:lang w:eastAsia="ja-JP"/>
        </w:rPr>
        <w:t xml:space="preserve"> cognitive testing</w:t>
      </w:r>
      <w:r w:rsidR="00B060ED">
        <w:rPr>
          <w:lang w:eastAsia="ja-JP"/>
        </w:rPr>
        <w:t>.</w:t>
      </w:r>
      <w:r w:rsidR="00757E32">
        <w:rPr>
          <w:lang w:eastAsia="ja-JP"/>
        </w:rPr>
        <w:t xml:space="preserve"> </w:t>
      </w:r>
      <w:r w:rsidR="00B060ED">
        <w:t xml:space="preserve">We are not </w:t>
      </w:r>
      <w:r w:rsidR="0043247A">
        <w:t>requesting</w:t>
      </w:r>
      <w:r w:rsidR="00B060ED">
        <w:t xml:space="preserve"> to change the study procedure.</w:t>
      </w:r>
    </w:p>
    <w:p w:rsidR="00B060ED" w:rsidP="008E578B" w:rsidRDefault="00B060ED" w14:paraId="6C777231" w14:textId="74036E31">
      <w:pPr>
        <w:rPr>
          <w:lang w:eastAsia="ja-JP"/>
        </w:rPr>
      </w:pPr>
    </w:p>
    <w:p w:rsidR="002B7116" w:rsidP="008E578B" w:rsidRDefault="002B7116" w14:paraId="42A74709" w14:textId="77777777">
      <w:pPr>
        <w:rPr>
          <w:lang w:eastAsia="ja-JP"/>
        </w:rPr>
      </w:pPr>
    </w:p>
    <w:p w:rsidR="00CD7FEA" w:rsidP="008E578B" w:rsidRDefault="00DC1818" w14:paraId="3D64B03F" w14:textId="4897D525">
      <w:r>
        <w:t>The Office of Management and Budget (</w:t>
      </w:r>
      <w:r w:rsidR="00C10E84">
        <w:t>OMB</w:t>
      </w:r>
      <w:r>
        <w:t>)</w:t>
      </w:r>
      <w:r w:rsidR="00C10E84">
        <w:t xml:space="preserve"> has approved a total </w:t>
      </w:r>
      <w:r w:rsidR="00B060ED">
        <w:t xml:space="preserve">estimated annual </w:t>
      </w:r>
      <w:r w:rsidR="00001FD0">
        <w:t>reporting</w:t>
      </w:r>
      <w:r w:rsidR="00B060ED">
        <w:t xml:space="preserve"> burden </w:t>
      </w:r>
      <w:r w:rsidR="00C10E84">
        <w:t xml:space="preserve">of 812 hours for FDA to pretest and conduct a main study. We are proposing to </w:t>
      </w:r>
      <w:r w:rsidR="00B060ED">
        <w:t>increas</w:t>
      </w:r>
      <w:r w:rsidR="00C10E84">
        <w:t xml:space="preserve">e the total number of hours </w:t>
      </w:r>
      <w:r w:rsidR="00DC2C38">
        <w:t xml:space="preserve">by </w:t>
      </w:r>
      <w:r w:rsidR="00122C79">
        <w:t>9</w:t>
      </w:r>
      <w:r w:rsidR="00B060ED">
        <w:t xml:space="preserve"> hours</w:t>
      </w:r>
      <w:r w:rsidR="00757E32">
        <w:t>,</w:t>
      </w:r>
      <w:r w:rsidR="00B060ED">
        <w:t xml:space="preserve"> </w:t>
      </w:r>
      <w:r w:rsidR="00757E32">
        <w:t>which re</w:t>
      </w:r>
      <w:r w:rsidR="00C10E84">
        <w:t xml:space="preserve">sults in </w:t>
      </w:r>
      <w:r w:rsidR="00B060ED">
        <w:t xml:space="preserve">a total estimated annual </w:t>
      </w:r>
      <w:r w:rsidR="00757E32">
        <w:t>reporting</w:t>
      </w:r>
      <w:r w:rsidR="00B060ED">
        <w:t xml:space="preserve"> burden of </w:t>
      </w:r>
      <w:r w:rsidR="00122C79">
        <w:t>821</w:t>
      </w:r>
      <w:r w:rsidR="00B060ED">
        <w:t xml:space="preserve"> hours.</w:t>
      </w:r>
      <w:r w:rsidR="00757E32">
        <w:t xml:space="preserve"> </w:t>
      </w:r>
      <w:r w:rsidR="00C10E84">
        <w:t>Our request to increase the burden hours will allow F</w:t>
      </w:r>
      <w:r w:rsidR="00757E32">
        <w:t xml:space="preserve">DA to </w:t>
      </w:r>
      <w:r w:rsidR="002C5A75">
        <w:t xml:space="preserve">conduct </w:t>
      </w:r>
      <w:r w:rsidR="004B6745">
        <w:t xml:space="preserve">an additional round of cognitive testing with nine </w:t>
      </w:r>
      <w:r w:rsidR="00FA0440">
        <w:t>primary care physicians</w:t>
      </w:r>
      <w:r w:rsidR="004B6745">
        <w:t xml:space="preserve">. </w:t>
      </w:r>
    </w:p>
    <w:p w:rsidR="00C10E84" w:rsidP="008E578B" w:rsidRDefault="00C10E84" w14:paraId="4129622A" w14:textId="77777777"/>
    <w:p w:rsidR="00FA0440" w:rsidP="00FA0440" w:rsidRDefault="008D5B2F" w14:paraId="35E32110" w14:textId="6BE2D9A6">
      <w:r>
        <w:rPr>
          <w:rFonts w:eastAsia="Calibri"/>
        </w:rPr>
        <w:t>Furthermore, w</w:t>
      </w:r>
      <w:r w:rsidR="00FA0440">
        <w:t>e propose to offer physician</w:t>
      </w:r>
      <w:r w:rsidR="00966E3A">
        <w:t>s</w:t>
      </w:r>
      <w:r w:rsidR="00FA0440">
        <w:t xml:space="preserve"> $200 </w:t>
      </w:r>
      <w:r w:rsidR="00B10552">
        <w:t xml:space="preserve">to conduct interviews </w:t>
      </w:r>
      <w:r w:rsidR="003E6604">
        <w:t xml:space="preserve">with them </w:t>
      </w:r>
      <w:r w:rsidR="00B10552">
        <w:t xml:space="preserve">for </w:t>
      </w:r>
      <w:r w:rsidR="00FA0440">
        <w:t>60 minutes. OMB previously approved this amount for the interview phase of this project</w:t>
      </w:r>
      <w:r w:rsidR="00D65887">
        <w:t>,</w:t>
      </w:r>
      <w:r w:rsidR="00A30C14">
        <w:t xml:space="preserve"> entitled “Healthcare Professional Interviews: Data Disclosures in Communications About Prescription Drugs</w:t>
      </w:r>
      <w:r w:rsidR="001779F7">
        <w:t>,</w:t>
      </w:r>
      <w:r w:rsidR="00A30C14">
        <w:t>”</w:t>
      </w:r>
      <w:r w:rsidR="00FA0440">
        <w:t xml:space="preserve"> </w:t>
      </w:r>
      <w:r w:rsidR="00E80D8A">
        <w:t xml:space="preserve">which </w:t>
      </w:r>
      <w:r w:rsidR="00B10552">
        <w:t xml:space="preserve">is covered under </w:t>
      </w:r>
      <w:r w:rsidR="00FA0440">
        <w:t>OMB control number 0910-0695, approved 10/</w:t>
      </w:r>
      <w:r w:rsidR="00F878B2">
        <w:t>30</w:t>
      </w:r>
      <w:r w:rsidR="00FA0440">
        <w:t>/2019.</w:t>
      </w:r>
    </w:p>
    <w:p w:rsidR="00CD7FEA" w:rsidP="008E578B" w:rsidRDefault="00CD7FEA" w14:paraId="026F6159" w14:textId="77777777">
      <w:pPr>
        <w:rPr>
          <w:rFonts w:eastAsia="Calibri"/>
        </w:rPr>
      </w:pPr>
    </w:p>
    <w:p w:rsidR="00F5150F" w:rsidP="008E578B" w:rsidRDefault="00B060ED" w14:paraId="05F65679" w14:textId="568E8768">
      <w:r>
        <w:t>A revised burden table is presented below.</w:t>
      </w:r>
    </w:p>
    <w:p w:rsidR="00B10552" w:rsidP="008E578B" w:rsidRDefault="00B10552" w14:paraId="43CAA41E" w14:textId="77777777"/>
    <w:p w:rsidRPr="008D5B2F" w:rsidR="00385947" w:rsidP="00385947" w:rsidRDefault="00385947" w14:paraId="53CB9E38" w14:textId="17570057">
      <w:pPr>
        <w:jc w:val="center"/>
        <w:rPr>
          <w:position w:val="7"/>
          <w:sz w:val="20"/>
          <w:szCs w:val="20"/>
        </w:rPr>
      </w:pPr>
      <w:r w:rsidRPr="008D5B2F">
        <w:rPr>
          <w:spacing w:val="-1"/>
          <w:sz w:val="20"/>
          <w:szCs w:val="20"/>
        </w:rPr>
        <w:t>Table 1</w:t>
      </w:r>
      <w:r w:rsidRPr="008D5B2F">
        <w:rPr>
          <w:sz w:val="20"/>
          <w:szCs w:val="20"/>
        </w:rPr>
        <w:t>.</w:t>
      </w:r>
      <w:r w:rsidRPr="008D5B2F" w:rsidR="00FD7364">
        <w:rPr>
          <w:sz w:val="20"/>
          <w:szCs w:val="20"/>
        </w:rPr>
        <w:t>--</w:t>
      </w:r>
      <w:r w:rsidRPr="008D5B2F">
        <w:rPr>
          <w:spacing w:val="-1"/>
          <w:sz w:val="20"/>
          <w:szCs w:val="20"/>
        </w:rPr>
        <w:t>Estimated</w:t>
      </w:r>
      <w:r w:rsidRPr="008D5B2F">
        <w:rPr>
          <w:spacing w:val="-5"/>
          <w:sz w:val="20"/>
          <w:szCs w:val="20"/>
        </w:rPr>
        <w:t xml:space="preserve"> </w:t>
      </w:r>
      <w:r w:rsidRPr="008D5B2F">
        <w:rPr>
          <w:sz w:val="20"/>
          <w:szCs w:val="20"/>
        </w:rPr>
        <w:t>Annual</w:t>
      </w:r>
      <w:r w:rsidRPr="008D5B2F">
        <w:rPr>
          <w:spacing w:val="-8"/>
          <w:sz w:val="20"/>
          <w:szCs w:val="20"/>
        </w:rPr>
        <w:t xml:space="preserve"> </w:t>
      </w:r>
      <w:r w:rsidRPr="008D5B2F">
        <w:rPr>
          <w:sz w:val="20"/>
          <w:szCs w:val="20"/>
        </w:rPr>
        <w:t>Reporting</w:t>
      </w:r>
      <w:r w:rsidRPr="008D5B2F">
        <w:rPr>
          <w:spacing w:val="-5"/>
          <w:sz w:val="20"/>
          <w:szCs w:val="20"/>
        </w:rPr>
        <w:t xml:space="preserve"> </w:t>
      </w:r>
      <w:r w:rsidRPr="008D5B2F">
        <w:rPr>
          <w:sz w:val="20"/>
          <w:szCs w:val="20"/>
        </w:rPr>
        <w:t>Burden</w:t>
      </w:r>
      <w:r w:rsidRPr="008D5B2F">
        <w:rPr>
          <w:sz w:val="20"/>
          <w:szCs w:val="20"/>
          <w:vertAlign w:val="superscript"/>
        </w:rPr>
        <w:t>1</w:t>
      </w:r>
    </w:p>
    <w:tbl>
      <w:tblPr>
        <w:tblStyle w:val="TableGrid"/>
        <w:tblW w:w="0" w:type="auto"/>
        <w:tblLayout w:type="fixed"/>
        <w:tblLook w:val="04A0" w:firstRow="1" w:lastRow="0" w:firstColumn="1" w:lastColumn="0" w:noHBand="0" w:noVBand="1"/>
      </w:tblPr>
      <w:tblGrid>
        <w:gridCol w:w="1615"/>
        <w:gridCol w:w="1530"/>
        <w:gridCol w:w="1350"/>
        <w:gridCol w:w="1440"/>
        <w:gridCol w:w="1710"/>
        <w:gridCol w:w="1260"/>
      </w:tblGrid>
      <w:tr w:rsidRPr="00FD7364" w:rsidR="00385947" w:rsidTr="003C3959" w14:paraId="3233CA47" w14:textId="77777777">
        <w:tc>
          <w:tcPr>
            <w:tcW w:w="1615" w:type="dxa"/>
          </w:tcPr>
          <w:p w:rsidRPr="008D5B2F" w:rsidR="00385947" w:rsidP="003C3959" w:rsidRDefault="00385947" w14:paraId="666379B0" w14:textId="77777777">
            <w:pPr>
              <w:jc w:val="center"/>
              <w:rPr>
                <w:position w:val="7"/>
                <w:sz w:val="20"/>
                <w:szCs w:val="20"/>
              </w:rPr>
            </w:pPr>
            <w:r w:rsidRPr="008D5B2F">
              <w:rPr>
                <w:position w:val="7"/>
                <w:sz w:val="20"/>
                <w:szCs w:val="20"/>
              </w:rPr>
              <w:t>Activity</w:t>
            </w:r>
          </w:p>
        </w:tc>
        <w:tc>
          <w:tcPr>
            <w:tcW w:w="1530" w:type="dxa"/>
          </w:tcPr>
          <w:p w:rsidRPr="008D5B2F" w:rsidR="00385947" w:rsidP="008D5B2F" w:rsidRDefault="00385947" w14:paraId="6A2C2D79" w14:textId="5675A164">
            <w:pPr>
              <w:jc w:val="center"/>
              <w:rPr>
                <w:position w:val="7"/>
                <w:sz w:val="20"/>
                <w:szCs w:val="20"/>
              </w:rPr>
            </w:pPr>
            <w:r w:rsidRPr="008D5B2F">
              <w:rPr>
                <w:position w:val="7"/>
                <w:sz w:val="20"/>
                <w:szCs w:val="20"/>
              </w:rPr>
              <w:t>No. of</w:t>
            </w:r>
            <w:r w:rsidR="00B10552">
              <w:rPr>
                <w:position w:val="7"/>
                <w:sz w:val="20"/>
                <w:szCs w:val="20"/>
              </w:rPr>
              <w:t xml:space="preserve"> </w:t>
            </w:r>
            <w:r w:rsidRPr="008D5B2F">
              <w:rPr>
                <w:position w:val="7"/>
                <w:sz w:val="20"/>
                <w:szCs w:val="20"/>
              </w:rPr>
              <w:t>Respondents</w:t>
            </w:r>
          </w:p>
        </w:tc>
        <w:tc>
          <w:tcPr>
            <w:tcW w:w="1350" w:type="dxa"/>
          </w:tcPr>
          <w:p w:rsidRPr="008D5B2F" w:rsidR="00385947" w:rsidP="008D5B2F" w:rsidRDefault="00385947" w14:paraId="218A633E" w14:textId="79BD5F4D">
            <w:pPr>
              <w:jc w:val="center"/>
              <w:rPr>
                <w:position w:val="7"/>
                <w:sz w:val="20"/>
                <w:szCs w:val="20"/>
              </w:rPr>
            </w:pPr>
            <w:r w:rsidRPr="008D5B2F">
              <w:rPr>
                <w:position w:val="7"/>
                <w:sz w:val="20"/>
                <w:szCs w:val="20"/>
              </w:rPr>
              <w:t>No. of Responses per Respondent</w:t>
            </w:r>
          </w:p>
        </w:tc>
        <w:tc>
          <w:tcPr>
            <w:tcW w:w="1440" w:type="dxa"/>
          </w:tcPr>
          <w:p w:rsidRPr="008D5B2F" w:rsidR="00385947" w:rsidP="003C3959" w:rsidRDefault="00385947" w14:paraId="550DF719" w14:textId="77777777">
            <w:pPr>
              <w:jc w:val="center"/>
              <w:rPr>
                <w:position w:val="7"/>
                <w:sz w:val="20"/>
                <w:szCs w:val="20"/>
              </w:rPr>
            </w:pPr>
            <w:r w:rsidRPr="008D5B2F">
              <w:rPr>
                <w:position w:val="7"/>
                <w:sz w:val="20"/>
                <w:szCs w:val="20"/>
              </w:rPr>
              <w:t>Total Annual Responses</w:t>
            </w:r>
          </w:p>
        </w:tc>
        <w:tc>
          <w:tcPr>
            <w:tcW w:w="1710" w:type="dxa"/>
          </w:tcPr>
          <w:p w:rsidRPr="008D5B2F" w:rsidR="00385947" w:rsidP="003C3959" w:rsidRDefault="00385947" w14:paraId="13CD4F0E" w14:textId="64E965F6">
            <w:pPr>
              <w:jc w:val="center"/>
              <w:rPr>
                <w:position w:val="7"/>
                <w:sz w:val="20"/>
                <w:szCs w:val="20"/>
              </w:rPr>
            </w:pPr>
            <w:r w:rsidRPr="008D5B2F">
              <w:rPr>
                <w:position w:val="7"/>
                <w:sz w:val="20"/>
                <w:szCs w:val="20"/>
              </w:rPr>
              <w:t>Average Burden per Response</w:t>
            </w:r>
            <w:r w:rsidR="00FD7364">
              <w:rPr>
                <w:position w:val="7"/>
                <w:sz w:val="20"/>
                <w:szCs w:val="20"/>
              </w:rPr>
              <w:t xml:space="preserve"> (in hours)</w:t>
            </w:r>
          </w:p>
        </w:tc>
        <w:tc>
          <w:tcPr>
            <w:tcW w:w="1260" w:type="dxa"/>
          </w:tcPr>
          <w:p w:rsidRPr="008D5B2F" w:rsidR="00385947" w:rsidP="003C3959" w:rsidRDefault="00385947" w14:paraId="465E7ED0" w14:textId="77777777">
            <w:pPr>
              <w:jc w:val="center"/>
              <w:rPr>
                <w:position w:val="7"/>
                <w:sz w:val="20"/>
                <w:szCs w:val="20"/>
              </w:rPr>
            </w:pPr>
            <w:r w:rsidRPr="008D5B2F">
              <w:rPr>
                <w:position w:val="7"/>
                <w:sz w:val="20"/>
                <w:szCs w:val="20"/>
              </w:rPr>
              <w:t xml:space="preserve">Total Hours </w:t>
            </w:r>
          </w:p>
        </w:tc>
      </w:tr>
      <w:tr w:rsidRPr="00FD7364" w:rsidR="00385947" w:rsidTr="003C3959" w14:paraId="40898402" w14:textId="77777777">
        <w:tc>
          <w:tcPr>
            <w:tcW w:w="1615" w:type="dxa"/>
          </w:tcPr>
          <w:p w:rsidRPr="00732106" w:rsidR="00385947" w:rsidP="003C3959" w:rsidRDefault="00385947" w14:paraId="07E3E209" w14:textId="77777777">
            <w:pPr>
              <w:rPr>
                <w:bCs/>
                <w:position w:val="7"/>
                <w:sz w:val="20"/>
                <w:szCs w:val="20"/>
              </w:rPr>
            </w:pPr>
            <w:r w:rsidRPr="00732106">
              <w:rPr>
                <w:bCs/>
                <w:position w:val="7"/>
                <w:sz w:val="20"/>
                <w:szCs w:val="20"/>
              </w:rPr>
              <w:t>Pretest screener</w:t>
            </w:r>
          </w:p>
        </w:tc>
        <w:tc>
          <w:tcPr>
            <w:tcW w:w="1530" w:type="dxa"/>
          </w:tcPr>
          <w:p w:rsidRPr="00732106" w:rsidR="00385947" w:rsidP="002B7116" w:rsidRDefault="00385947" w14:paraId="4C631762" w14:textId="77777777">
            <w:pPr>
              <w:jc w:val="center"/>
              <w:rPr>
                <w:bCs/>
                <w:position w:val="7"/>
                <w:sz w:val="20"/>
                <w:szCs w:val="20"/>
              </w:rPr>
            </w:pPr>
            <w:r w:rsidRPr="00732106">
              <w:rPr>
                <w:bCs/>
                <w:position w:val="7"/>
                <w:sz w:val="20"/>
                <w:szCs w:val="20"/>
              </w:rPr>
              <w:t>290</w:t>
            </w:r>
          </w:p>
        </w:tc>
        <w:tc>
          <w:tcPr>
            <w:tcW w:w="1350" w:type="dxa"/>
          </w:tcPr>
          <w:p w:rsidRPr="00732106" w:rsidR="00385947" w:rsidP="002B7116" w:rsidRDefault="00385947" w14:paraId="1084F993" w14:textId="77777777">
            <w:pPr>
              <w:jc w:val="center"/>
              <w:rPr>
                <w:bCs/>
                <w:position w:val="7"/>
                <w:sz w:val="20"/>
                <w:szCs w:val="20"/>
              </w:rPr>
            </w:pPr>
            <w:r w:rsidRPr="00732106">
              <w:rPr>
                <w:bCs/>
                <w:position w:val="7"/>
                <w:sz w:val="20"/>
                <w:szCs w:val="20"/>
              </w:rPr>
              <w:t>1</w:t>
            </w:r>
          </w:p>
        </w:tc>
        <w:tc>
          <w:tcPr>
            <w:tcW w:w="1440" w:type="dxa"/>
          </w:tcPr>
          <w:p w:rsidRPr="00732106" w:rsidR="00385947" w:rsidP="002B7116" w:rsidRDefault="00385947" w14:paraId="58673040" w14:textId="77777777">
            <w:pPr>
              <w:jc w:val="center"/>
              <w:rPr>
                <w:bCs/>
                <w:position w:val="7"/>
                <w:sz w:val="20"/>
                <w:szCs w:val="20"/>
              </w:rPr>
            </w:pPr>
            <w:r w:rsidRPr="00732106">
              <w:rPr>
                <w:bCs/>
                <w:position w:val="7"/>
                <w:sz w:val="20"/>
                <w:szCs w:val="20"/>
              </w:rPr>
              <w:t>290</w:t>
            </w:r>
          </w:p>
        </w:tc>
        <w:tc>
          <w:tcPr>
            <w:tcW w:w="1710" w:type="dxa"/>
          </w:tcPr>
          <w:p w:rsidRPr="00732106" w:rsidR="00385947" w:rsidP="002B7116" w:rsidRDefault="00385947" w14:paraId="09B2FBC4" w14:textId="70FE1557">
            <w:pPr>
              <w:jc w:val="center"/>
              <w:rPr>
                <w:bCs/>
                <w:position w:val="7"/>
                <w:sz w:val="20"/>
                <w:szCs w:val="20"/>
              </w:rPr>
            </w:pPr>
            <w:r w:rsidRPr="00732106">
              <w:rPr>
                <w:bCs/>
                <w:position w:val="7"/>
                <w:sz w:val="20"/>
                <w:szCs w:val="20"/>
              </w:rPr>
              <w:t>0.08</w:t>
            </w:r>
          </w:p>
        </w:tc>
        <w:tc>
          <w:tcPr>
            <w:tcW w:w="1260" w:type="dxa"/>
          </w:tcPr>
          <w:p w:rsidRPr="00732106" w:rsidR="00385947" w:rsidP="002B7116" w:rsidRDefault="00385947" w14:paraId="327152FD" w14:textId="77777777">
            <w:pPr>
              <w:jc w:val="center"/>
              <w:rPr>
                <w:bCs/>
                <w:position w:val="7"/>
                <w:sz w:val="20"/>
                <w:szCs w:val="20"/>
              </w:rPr>
            </w:pPr>
            <w:r w:rsidRPr="00732106">
              <w:rPr>
                <w:bCs/>
                <w:position w:val="7"/>
                <w:sz w:val="20"/>
                <w:szCs w:val="20"/>
              </w:rPr>
              <w:t>23</w:t>
            </w:r>
          </w:p>
        </w:tc>
      </w:tr>
      <w:tr w:rsidRPr="00FD7364" w:rsidR="00385947" w:rsidTr="003C3959" w14:paraId="20A21586" w14:textId="77777777">
        <w:tc>
          <w:tcPr>
            <w:tcW w:w="1615" w:type="dxa"/>
          </w:tcPr>
          <w:p w:rsidRPr="00732106" w:rsidR="00385947" w:rsidP="003C3959" w:rsidRDefault="00385947" w14:paraId="769A213B" w14:textId="77777777">
            <w:pPr>
              <w:rPr>
                <w:bCs/>
                <w:position w:val="7"/>
                <w:sz w:val="20"/>
                <w:szCs w:val="20"/>
              </w:rPr>
            </w:pPr>
            <w:r w:rsidRPr="00732106">
              <w:rPr>
                <w:bCs/>
                <w:position w:val="7"/>
                <w:sz w:val="20"/>
                <w:szCs w:val="20"/>
              </w:rPr>
              <w:t>Pretest completes</w:t>
            </w:r>
          </w:p>
        </w:tc>
        <w:tc>
          <w:tcPr>
            <w:tcW w:w="1530" w:type="dxa"/>
          </w:tcPr>
          <w:p w:rsidRPr="00732106" w:rsidR="00385947" w:rsidP="002B7116" w:rsidRDefault="00385947" w14:paraId="11F9D2D7" w14:textId="77777777">
            <w:pPr>
              <w:jc w:val="center"/>
              <w:rPr>
                <w:bCs/>
                <w:position w:val="7"/>
                <w:sz w:val="20"/>
                <w:szCs w:val="20"/>
              </w:rPr>
            </w:pPr>
            <w:r w:rsidRPr="00732106">
              <w:rPr>
                <w:bCs/>
                <w:position w:val="7"/>
                <w:sz w:val="20"/>
                <w:szCs w:val="20"/>
              </w:rPr>
              <w:t>180</w:t>
            </w:r>
          </w:p>
        </w:tc>
        <w:tc>
          <w:tcPr>
            <w:tcW w:w="1350" w:type="dxa"/>
          </w:tcPr>
          <w:p w:rsidRPr="00732106" w:rsidR="00385947" w:rsidP="002B7116" w:rsidRDefault="00385947" w14:paraId="381A4611" w14:textId="77777777">
            <w:pPr>
              <w:jc w:val="center"/>
              <w:rPr>
                <w:bCs/>
                <w:position w:val="7"/>
                <w:sz w:val="20"/>
                <w:szCs w:val="20"/>
              </w:rPr>
            </w:pPr>
            <w:r w:rsidRPr="00732106">
              <w:rPr>
                <w:bCs/>
                <w:position w:val="7"/>
                <w:sz w:val="20"/>
                <w:szCs w:val="20"/>
              </w:rPr>
              <w:t>1</w:t>
            </w:r>
          </w:p>
        </w:tc>
        <w:tc>
          <w:tcPr>
            <w:tcW w:w="1440" w:type="dxa"/>
          </w:tcPr>
          <w:p w:rsidRPr="00732106" w:rsidR="00385947" w:rsidP="002B7116" w:rsidRDefault="00385947" w14:paraId="62FECA59" w14:textId="77777777">
            <w:pPr>
              <w:jc w:val="center"/>
              <w:rPr>
                <w:bCs/>
                <w:position w:val="7"/>
                <w:sz w:val="20"/>
                <w:szCs w:val="20"/>
              </w:rPr>
            </w:pPr>
            <w:r w:rsidRPr="00732106">
              <w:rPr>
                <w:bCs/>
                <w:position w:val="7"/>
                <w:sz w:val="20"/>
                <w:szCs w:val="20"/>
              </w:rPr>
              <w:t>180</w:t>
            </w:r>
          </w:p>
        </w:tc>
        <w:tc>
          <w:tcPr>
            <w:tcW w:w="1710" w:type="dxa"/>
          </w:tcPr>
          <w:p w:rsidRPr="00732106" w:rsidR="00385947" w:rsidP="002B7116" w:rsidRDefault="00385947" w14:paraId="63A59FCE" w14:textId="5E859AEC">
            <w:pPr>
              <w:jc w:val="center"/>
              <w:rPr>
                <w:bCs/>
                <w:position w:val="7"/>
                <w:sz w:val="20"/>
                <w:szCs w:val="20"/>
              </w:rPr>
            </w:pPr>
            <w:r w:rsidRPr="00732106">
              <w:rPr>
                <w:bCs/>
                <w:position w:val="7"/>
                <w:sz w:val="20"/>
                <w:szCs w:val="20"/>
              </w:rPr>
              <w:t>0.33</w:t>
            </w:r>
          </w:p>
        </w:tc>
        <w:tc>
          <w:tcPr>
            <w:tcW w:w="1260" w:type="dxa"/>
          </w:tcPr>
          <w:p w:rsidRPr="00732106" w:rsidR="00385947" w:rsidP="002B7116" w:rsidRDefault="00385947" w14:paraId="63F09C1E" w14:textId="77777777">
            <w:pPr>
              <w:jc w:val="center"/>
              <w:rPr>
                <w:bCs/>
                <w:position w:val="7"/>
                <w:sz w:val="20"/>
                <w:szCs w:val="20"/>
              </w:rPr>
            </w:pPr>
            <w:r w:rsidRPr="00732106">
              <w:rPr>
                <w:bCs/>
                <w:position w:val="7"/>
                <w:sz w:val="20"/>
                <w:szCs w:val="20"/>
              </w:rPr>
              <w:t>59</w:t>
            </w:r>
          </w:p>
        </w:tc>
      </w:tr>
      <w:tr w:rsidRPr="00FD7364" w:rsidR="00385947" w:rsidTr="003C3959" w14:paraId="57EDF26D" w14:textId="77777777">
        <w:tc>
          <w:tcPr>
            <w:tcW w:w="1615" w:type="dxa"/>
          </w:tcPr>
          <w:p w:rsidRPr="00732106" w:rsidR="00385947" w:rsidP="003C3959" w:rsidRDefault="00385947" w14:paraId="05207B5E" w14:textId="77777777">
            <w:pPr>
              <w:rPr>
                <w:bCs/>
                <w:position w:val="7"/>
                <w:sz w:val="20"/>
                <w:szCs w:val="20"/>
              </w:rPr>
            </w:pPr>
            <w:r w:rsidRPr="00732106">
              <w:rPr>
                <w:bCs/>
                <w:position w:val="7"/>
                <w:sz w:val="20"/>
                <w:szCs w:val="20"/>
              </w:rPr>
              <w:t>Main study screener</w:t>
            </w:r>
          </w:p>
        </w:tc>
        <w:tc>
          <w:tcPr>
            <w:tcW w:w="1530" w:type="dxa"/>
          </w:tcPr>
          <w:p w:rsidRPr="00732106" w:rsidR="00385947" w:rsidP="002B7116" w:rsidRDefault="00385947" w14:paraId="4A2975C7" w14:textId="77777777">
            <w:pPr>
              <w:jc w:val="center"/>
              <w:rPr>
                <w:bCs/>
                <w:position w:val="7"/>
                <w:sz w:val="20"/>
                <w:szCs w:val="20"/>
              </w:rPr>
            </w:pPr>
            <w:r w:rsidRPr="00732106">
              <w:rPr>
                <w:bCs/>
                <w:position w:val="7"/>
                <w:sz w:val="20"/>
                <w:szCs w:val="20"/>
              </w:rPr>
              <w:t>2,526</w:t>
            </w:r>
          </w:p>
        </w:tc>
        <w:tc>
          <w:tcPr>
            <w:tcW w:w="1350" w:type="dxa"/>
          </w:tcPr>
          <w:p w:rsidRPr="00732106" w:rsidR="00385947" w:rsidP="002B7116" w:rsidRDefault="00385947" w14:paraId="339828B6" w14:textId="77777777">
            <w:pPr>
              <w:jc w:val="center"/>
              <w:rPr>
                <w:bCs/>
                <w:position w:val="7"/>
                <w:sz w:val="20"/>
                <w:szCs w:val="20"/>
              </w:rPr>
            </w:pPr>
            <w:r w:rsidRPr="00732106">
              <w:rPr>
                <w:bCs/>
                <w:position w:val="7"/>
                <w:sz w:val="20"/>
                <w:szCs w:val="20"/>
              </w:rPr>
              <w:t>1</w:t>
            </w:r>
          </w:p>
        </w:tc>
        <w:tc>
          <w:tcPr>
            <w:tcW w:w="1440" w:type="dxa"/>
          </w:tcPr>
          <w:p w:rsidRPr="00732106" w:rsidR="00385947" w:rsidP="002B7116" w:rsidRDefault="00385947" w14:paraId="6F5EAAA7" w14:textId="77777777">
            <w:pPr>
              <w:jc w:val="center"/>
              <w:rPr>
                <w:bCs/>
                <w:position w:val="7"/>
                <w:sz w:val="20"/>
                <w:szCs w:val="20"/>
              </w:rPr>
            </w:pPr>
            <w:r w:rsidRPr="00732106">
              <w:rPr>
                <w:bCs/>
                <w:position w:val="7"/>
                <w:sz w:val="20"/>
                <w:szCs w:val="20"/>
              </w:rPr>
              <w:t>2,526</w:t>
            </w:r>
          </w:p>
        </w:tc>
        <w:tc>
          <w:tcPr>
            <w:tcW w:w="1710" w:type="dxa"/>
          </w:tcPr>
          <w:p w:rsidRPr="00732106" w:rsidR="00385947" w:rsidP="002B7116" w:rsidRDefault="00385947" w14:paraId="1DC5AF06" w14:textId="4695345D">
            <w:pPr>
              <w:jc w:val="center"/>
              <w:rPr>
                <w:bCs/>
                <w:position w:val="7"/>
                <w:sz w:val="20"/>
                <w:szCs w:val="20"/>
              </w:rPr>
            </w:pPr>
            <w:r w:rsidRPr="00732106">
              <w:rPr>
                <w:bCs/>
                <w:position w:val="7"/>
                <w:sz w:val="20"/>
                <w:szCs w:val="20"/>
              </w:rPr>
              <w:t>0.08</w:t>
            </w:r>
          </w:p>
        </w:tc>
        <w:tc>
          <w:tcPr>
            <w:tcW w:w="1260" w:type="dxa"/>
          </w:tcPr>
          <w:p w:rsidRPr="00732106" w:rsidR="00385947" w:rsidP="002B7116" w:rsidRDefault="00385947" w14:paraId="43D83173" w14:textId="77777777">
            <w:pPr>
              <w:jc w:val="center"/>
              <w:rPr>
                <w:bCs/>
                <w:position w:val="7"/>
                <w:sz w:val="20"/>
                <w:szCs w:val="20"/>
              </w:rPr>
            </w:pPr>
            <w:r w:rsidRPr="00732106">
              <w:rPr>
                <w:bCs/>
                <w:position w:val="7"/>
                <w:sz w:val="20"/>
                <w:szCs w:val="20"/>
              </w:rPr>
              <w:t>202</w:t>
            </w:r>
          </w:p>
        </w:tc>
      </w:tr>
      <w:tr w:rsidRPr="00FD7364" w:rsidR="00385947" w:rsidTr="003C3959" w14:paraId="744E0D24" w14:textId="77777777">
        <w:tc>
          <w:tcPr>
            <w:tcW w:w="1615" w:type="dxa"/>
          </w:tcPr>
          <w:p w:rsidRPr="00732106" w:rsidR="00385947" w:rsidP="003C3959" w:rsidRDefault="00385947" w14:paraId="5E7A1DC8" w14:textId="77777777">
            <w:pPr>
              <w:rPr>
                <w:bCs/>
                <w:position w:val="7"/>
                <w:sz w:val="20"/>
                <w:szCs w:val="20"/>
              </w:rPr>
            </w:pPr>
            <w:r w:rsidRPr="00732106">
              <w:rPr>
                <w:bCs/>
                <w:position w:val="7"/>
                <w:sz w:val="20"/>
                <w:szCs w:val="20"/>
              </w:rPr>
              <w:t>Main study completes, Medical Condition 1</w:t>
            </w:r>
          </w:p>
        </w:tc>
        <w:tc>
          <w:tcPr>
            <w:tcW w:w="1530" w:type="dxa"/>
          </w:tcPr>
          <w:p w:rsidRPr="00732106" w:rsidR="00385947" w:rsidP="002B7116" w:rsidRDefault="00385947" w14:paraId="0DD567DD" w14:textId="77777777">
            <w:pPr>
              <w:jc w:val="center"/>
              <w:rPr>
                <w:bCs/>
                <w:position w:val="7"/>
                <w:sz w:val="20"/>
                <w:szCs w:val="20"/>
              </w:rPr>
            </w:pPr>
            <w:r w:rsidRPr="00732106">
              <w:rPr>
                <w:bCs/>
                <w:position w:val="7"/>
                <w:sz w:val="20"/>
                <w:szCs w:val="20"/>
              </w:rPr>
              <w:t>510</w:t>
            </w:r>
          </w:p>
        </w:tc>
        <w:tc>
          <w:tcPr>
            <w:tcW w:w="1350" w:type="dxa"/>
          </w:tcPr>
          <w:p w:rsidRPr="00732106" w:rsidR="00385947" w:rsidP="002B7116" w:rsidRDefault="00385947" w14:paraId="4EFE3378" w14:textId="77777777">
            <w:pPr>
              <w:jc w:val="center"/>
              <w:rPr>
                <w:bCs/>
                <w:position w:val="7"/>
                <w:sz w:val="20"/>
                <w:szCs w:val="20"/>
              </w:rPr>
            </w:pPr>
            <w:r w:rsidRPr="00732106">
              <w:rPr>
                <w:bCs/>
                <w:position w:val="7"/>
                <w:sz w:val="20"/>
                <w:szCs w:val="20"/>
              </w:rPr>
              <w:t>1</w:t>
            </w:r>
          </w:p>
        </w:tc>
        <w:tc>
          <w:tcPr>
            <w:tcW w:w="1440" w:type="dxa"/>
          </w:tcPr>
          <w:p w:rsidRPr="00732106" w:rsidR="00385947" w:rsidP="002B7116" w:rsidRDefault="00385947" w14:paraId="0909668D" w14:textId="77777777">
            <w:pPr>
              <w:jc w:val="center"/>
              <w:rPr>
                <w:bCs/>
                <w:position w:val="7"/>
                <w:sz w:val="20"/>
                <w:szCs w:val="20"/>
              </w:rPr>
            </w:pPr>
            <w:r w:rsidRPr="00732106">
              <w:rPr>
                <w:bCs/>
                <w:position w:val="7"/>
                <w:sz w:val="20"/>
                <w:szCs w:val="20"/>
              </w:rPr>
              <w:t>510</w:t>
            </w:r>
          </w:p>
        </w:tc>
        <w:tc>
          <w:tcPr>
            <w:tcW w:w="1710" w:type="dxa"/>
          </w:tcPr>
          <w:p w:rsidRPr="00732106" w:rsidR="00385947" w:rsidP="002B7116" w:rsidRDefault="00385947" w14:paraId="48AFEE89" w14:textId="6506AB73">
            <w:pPr>
              <w:jc w:val="center"/>
              <w:rPr>
                <w:bCs/>
                <w:position w:val="7"/>
                <w:sz w:val="20"/>
                <w:szCs w:val="20"/>
              </w:rPr>
            </w:pPr>
            <w:r w:rsidRPr="00732106">
              <w:rPr>
                <w:bCs/>
                <w:position w:val="7"/>
                <w:sz w:val="20"/>
                <w:szCs w:val="20"/>
              </w:rPr>
              <w:t>0.33</w:t>
            </w:r>
          </w:p>
        </w:tc>
        <w:tc>
          <w:tcPr>
            <w:tcW w:w="1260" w:type="dxa"/>
          </w:tcPr>
          <w:p w:rsidRPr="00732106" w:rsidR="00385947" w:rsidP="002B7116" w:rsidRDefault="00385947" w14:paraId="205EEA45" w14:textId="77777777">
            <w:pPr>
              <w:jc w:val="center"/>
              <w:rPr>
                <w:bCs/>
                <w:position w:val="7"/>
                <w:sz w:val="20"/>
                <w:szCs w:val="20"/>
              </w:rPr>
            </w:pPr>
            <w:r w:rsidRPr="00732106">
              <w:rPr>
                <w:bCs/>
                <w:position w:val="7"/>
                <w:sz w:val="20"/>
                <w:szCs w:val="20"/>
              </w:rPr>
              <w:t>168</w:t>
            </w:r>
          </w:p>
        </w:tc>
      </w:tr>
      <w:tr w:rsidRPr="00FD7364" w:rsidR="00385947" w:rsidTr="003C3959" w14:paraId="72A3BE3E" w14:textId="77777777">
        <w:tc>
          <w:tcPr>
            <w:tcW w:w="1615" w:type="dxa"/>
          </w:tcPr>
          <w:p w:rsidRPr="00732106" w:rsidR="00385947" w:rsidP="003C3959" w:rsidRDefault="00385947" w14:paraId="715B0121" w14:textId="77777777">
            <w:pPr>
              <w:rPr>
                <w:bCs/>
                <w:position w:val="7"/>
                <w:sz w:val="20"/>
                <w:szCs w:val="20"/>
              </w:rPr>
            </w:pPr>
            <w:r w:rsidRPr="00732106">
              <w:rPr>
                <w:bCs/>
                <w:position w:val="7"/>
                <w:sz w:val="20"/>
                <w:szCs w:val="20"/>
              </w:rPr>
              <w:t>Main study completes, Medical Condition 2</w:t>
            </w:r>
          </w:p>
        </w:tc>
        <w:tc>
          <w:tcPr>
            <w:tcW w:w="1530" w:type="dxa"/>
          </w:tcPr>
          <w:p w:rsidRPr="00732106" w:rsidR="00385947" w:rsidP="002B7116" w:rsidRDefault="00385947" w14:paraId="4B475449" w14:textId="77777777">
            <w:pPr>
              <w:jc w:val="center"/>
              <w:rPr>
                <w:bCs/>
                <w:position w:val="7"/>
                <w:sz w:val="20"/>
                <w:szCs w:val="20"/>
              </w:rPr>
            </w:pPr>
            <w:r w:rsidRPr="00732106">
              <w:rPr>
                <w:bCs/>
                <w:position w:val="7"/>
                <w:sz w:val="20"/>
                <w:szCs w:val="20"/>
              </w:rPr>
              <w:t>1,090</w:t>
            </w:r>
          </w:p>
        </w:tc>
        <w:tc>
          <w:tcPr>
            <w:tcW w:w="1350" w:type="dxa"/>
          </w:tcPr>
          <w:p w:rsidRPr="00732106" w:rsidR="00385947" w:rsidP="002B7116" w:rsidRDefault="00385947" w14:paraId="0A7953C2" w14:textId="77777777">
            <w:pPr>
              <w:jc w:val="center"/>
              <w:rPr>
                <w:bCs/>
                <w:position w:val="7"/>
                <w:sz w:val="20"/>
                <w:szCs w:val="20"/>
              </w:rPr>
            </w:pPr>
            <w:r w:rsidRPr="00732106">
              <w:rPr>
                <w:bCs/>
                <w:position w:val="7"/>
                <w:sz w:val="20"/>
                <w:szCs w:val="20"/>
              </w:rPr>
              <w:t>1</w:t>
            </w:r>
          </w:p>
        </w:tc>
        <w:tc>
          <w:tcPr>
            <w:tcW w:w="1440" w:type="dxa"/>
          </w:tcPr>
          <w:p w:rsidRPr="00732106" w:rsidR="00385947" w:rsidP="002B7116" w:rsidRDefault="00385947" w14:paraId="6B8EE7C8" w14:textId="77777777">
            <w:pPr>
              <w:jc w:val="center"/>
              <w:rPr>
                <w:bCs/>
                <w:position w:val="7"/>
                <w:sz w:val="20"/>
                <w:szCs w:val="20"/>
              </w:rPr>
            </w:pPr>
            <w:r w:rsidRPr="00732106">
              <w:rPr>
                <w:bCs/>
                <w:position w:val="7"/>
                <w:sz w:val="20"/>
                <w:szCs w:val="20"/>
              </w:rPr>
              <w:t>1,090</w:t>
            </w:r>
          </w:p>
        </w:tc>
        <w:tc>
          <w:tcPr>
            <w:tcW w:w="1710" w:type="dxa"/>
          </w:tcPr>
          <w:p w:rsidRPr="00732106" w:rsidR="00385947" w:rsidP="002B7116" w:rsidRDefault="00385947" w14:paraId="645EC73C" w14:textId="4BEC488C">
            <w:pPr>
              <w:jc w:val="center"/>
              <w:rPr>
                <w:bCs/>
                <w:position w:val="7"/>
                <w:sz w:val="20"/>
                <w:szCs w:val="20"/>
              </w:rPr>
            </w:pPr>
            <w:r w:rsidRPr="00732106">
              <w:rPr>
                <w:bCs/>
                <w:position w:val="7"/>
                <w:sz w:val="20"/>
                <w:szCs w:val="20"/>
              </w:rPr>
              <w:t>0.33</w:t>
            </w:r>
          </w:p>
        </w:tc>
        <w:tc>
          <w:tcPr>
            <w:tcW w:w="1260" w:type="dxa"/>
          </w:tcPr>
          <w:p w:rsidRPr="00732106" w:rsidR="00385947" w:rsidP="002B7116" w:rsidRDefault="00385947" w14:paraId="230E3213" w14:textId="77777777">
            <w:pPr>
              <w:jc w:val="center"/>
              <w:rPr>
                <w:bCs/>
                <w:position w:val="7"/>
                <w:sz w:val="20"/>
                <w:szCs w:val="20"/>
              </w:rPr>
            </w:pPr>
            <w:r w:rsidRPr="00732106">
              <w:rPr>
                <w:bCs/>
                <w:position w:val="7"/>
                <w:sz w:val="20"/>
                <w:szCs w:val="20"/>
              </w:rPr>
              <w:t>360</w:t>
            </w:r>
          </w:p>
        </w:tc>
      </w:tr>
      <w:tr w:rsidRPr="00FD7364" w:rsidR="005C392D" w:rsidTr="003C3959" w14:paraId="21DD24FC" w14:textId="77777777">
        <w:tc>
          <w:tcPr>
            <w:tcW w:w="1615" w:type="dxa"/>
          </w:tcPr>
          <w:p w:rsidRPr="005C392D" w:rsidR="005C392D" w:rsidP="003C3959" w:rsidRDefault="005C392D" w14:paraId="7DAE8D7B" w14:textId="3162E40A">
            <w:pPr>
              <w:rPr>
                <w:bCs/>
                <w:position w:val="7"/>
                <w:sz w:val="20"/>
                <w:szCs w:val="20"/>
              </w:rPr>
            </w:pPr>
            <w:r>
              <w:rPr>
                <w:bCs/>
                <w:position w:val="7"/>
                <w:sz w:val="20"/>
                <w:szCs w:val="20"/>
              </w:rPr>
              <w:t>Cognitive testing</w:t>
            </w:r>
          </w:p>
        </w:tc>
        <w:tc>
          <w:tcPr>
            <w:tcW w:w="1530" w:type="dxa"/>
          </w:tcPr>
          <w:p w:rsidRPr="0046687E" w:rsidR="005C392D" w:rsidP="002B7116" w:rsidRDefault="0032167E" w14:paraId="2C76A56A" w14:textId="63A5DBAF">
            <w:pPr>
              <w:jc w:val="center"/>
              <w:rPr>
                <w:bCs/>
                <w:position w:val="7"/>
                <w:sz w:val="20"/>
                <w:szCs w:val="20"/>
              </w:rPr>
            </w:pPr>
            <w:r>
              <w:rPr>
                <w:bCs/>
                <w:position w:val="7"/>
                <w:sz w:val="20"/>
                <w:szCs w:val="20"/>
              </w:rPr>
              <w:t>9</w:t>
            </w:r>
          </w:p>
        </w:tc>
        <w:tc>
          <w:tcPr>
            <w:tcW w:w="1350" w:type="dxa"/>
          </w:tcPr>
          <w:p w:rsidRPr="00732106" w:rsidR="005C392D" w:rsidP="002B7116" w:rsidRDefault="0032167E" w14:paraId="5EB4A58E" w14:textId="6CE9C507">
            <w:pPr>
              <w:jc w:val="center"/>
              <w:rPr>
                <w:bCs/>
                <w:position w:val="7"/>
                <w:sz w:val="20"/>
                <w:szCs w:val="20"/>
              </w:rPr>
            </w:pPr>
            <w:r>
              <w:rPr>
                <w:bCs/>
                <w:position w:val="7"/>
                <w:sz w:val="20"/>
                <w:szCs w:val="20"/>
              </w:rPr>
              <w:t>1</w:t>
            </w:r>
          </w:p>
        </w:tc>
        <w:tc>
          <w:tcPr>
            <w:tcW w:w="1440" w:type="dxa"/>
          </w:tcPr>
          <w:p w:rsidRPr="00732106" w:rsidR="005C392D" w:rsidP="002B7116" w:rsidRDefault="0032167E" w14:paraId="53400E74" w14:textId="5F38926E">
            <w:pPr>
              <w:jc w:val="center"/>
              <w:rPr>
                <w:bCs/>
                <w:position w:val="7"/>
                <w:sz w:val="20"/>
                <w:szCs w:val="20"/>
              </w:rPr>
            </w:pPr>
            <w:r>
              <w:rPr>
                <w:bCs/>
                <w:position w:val="7"/>
                <w:sz w:val="20"/>
                <w:szCs w:val="20"/>
              </w:rPr>
              <w:t>9</w:t>
            </w:r>
          </w:p>
        </w:tc>
        <w:tc>
          <w:tcPr>
            <w:tcW w:w="1710" w:type="dxa"/>
          </w:tcPr>
          <w:p w:rsidRPr="00732106" w:rsidR="005C392D" w:rsidP="002B7116" w:rsidRDefault="0032167E" w14:paraId="5B77581F" w14:textId="18566D97">
            <w:pPr>
              <w:jc w:val="center"/>
              <w:rPr>
                <w:bCs/>
                <w:position w:val="7"/>
                <w:sz w:val="20"/>
                <w:szCs w:val="20"/>
              </w:rPr>
            </w:pPr>
            <w:r>
              <w:rPr>
                <w:bCs/>
                <w:position w:val="7"/>
                <w:sz w:val="20"/>
                <w:szCs w:val="20"/>
              </w:rPr>
              <w:t>1</w:t>
            </w:r>
          </w:p>
        </w:tc>
        <w:tc>
          <w:tcPr>
            <w:tcW w:w="1260" w:type="dxa"/>
          </w:tcPr>
          <w:p w:rsidRPr="005C392D" w:rsidR="005C392D" w:rsidP="002B7116" w:rsidRDefault="005C392D" w14:paraId="0C7C9141" w14:textId="74A07547">
            <w:pPr>
              <w:jc w:val="center"/>
              <w:rPr>
                <w:bCs/>
                <w:position w:val="7"/>
                <w:sz w:val="20"/>
                <w:szCs w:val="20"/>
              </w:rPr>
            </w:pPr>
            <w:r>
              <w:rPr>
                <w:bCs/>
                <w:position w:val="7"/>
                <w:sz w:val="20"/>
                <w:szCs w:val="20"/>
              </w:rPr>
              <w:t>9</w:t>
            </w:r>
          </w:p>
        </w:tc>
      </w:tr>
      <w:tr w:rsidRPr="00FD7364" w:rsidR="00385947" w:rsidTr="003C3959" w14:paraId="11FA4233" w14:textId="77777777">
        <w:tc>
          <w:tcPr>
            <w:tcW w:w="1615" w:type="dxa"/>
          </w:tcPr>
          <w:p w:rsidRPr="00732106" w:rsidR="00385947" w:rsidP="003C3959" w:rsidRDefault="00385947" w14:paraId="0EC64B56" w14:textId="77777777">
            <w:pPr>
              <w:rPr>
                <w:bCs/>
                <w:position w:val="7"/>
                <w:sz w:val="20"/>
                <w:szCs w:val="20"/>
              </w:rPr>
            </w:pPr>
            <w:r w:rsidRPr="00732106">
              <w:rPr>
                <w:bCs/>
                <w:position w:val="7"/>
                <w:sz w:val="20"/>
                <w:szCs w:val="20"/>
              </w:rPr>
              <w:t>Total</w:t>
            </w:r>
          </w:p>
        </w:tc>
        <w:tc>
          <w:tcPr>
            <w:tcW w:w="1530" w:type="dxa"/>
          </w:tcPr>
          <w:p w:rsidRPr="00732106" w:rsidR="00385947" w:rsidP="002B7116" w:rsidRDefault="00A30C14" w14:paraId="6844CAA0" w14:textId="5B35FB29">
            <w:pPr>
              <w:jc w:val="center"/>
              <w:rPr>
                <w:bCs/>
                <w:position w:val="7"/>
                <w:sz w:val="20"/>
                <w:szCs w:val="20"/>
              </w:rPr>
            </w:pPr>
            <w:r>
              <w:rPr>
                <w:bCs/>
                <w:position w:val="7"/>
                <w:sz w:val="20"/>
                <w:szCs w:val="20"/>
              </w:rPr>
              <w:t>4,605</w:t>
            </w:r>
          </w:p>
        </w:tc>
        <w:tc>
          <w:tcPr>
            <w:tcW w:w="1350" w:type="dxa"/>
          </w:tcPr>
          <w:p w:rsidRPr="00732106" w:rsidR="00385947" w:rsidP="003C3959" w:rsidRDefault="00385947" w14:paraId="321E58A8" w14:textId="77777777">
            <w:pPr>
              <w:jc w:val="right"/>
              <w:rPr>
                <w:bCs/>
                <w:position w:val="7"/>
                <w:sz w:val="20"/>
                <w:szCs w:val="20"/>
              </w:rPr>
            </w:pPr>
          </w:p>
        </w:tc>
        <w:tc>
          <w:tcPr>
            <w:tcW w:w="1440" w:type="dxa"/>
          </w:tcPr>
          <w:p w:rsidRPr="00732106" w:rsidR="00385947" w:rsidP="003C3959" w:rsidRDefault="00385947" w14:paraId="513BFA86" w14:textId="2E470950">
            <w:pPr>
              <w:jc w:val="right"/>
              <w:rPr>
                <w:bCs/>
                <w:position w:val="7"/>
                <w:sz w:val="20"/>
                <w:szCs w:val="20"/>
              </w:rPr>
            </w:pPr>
          </w:p>
        </w:tc>
        <w:tc>
          <w:tcPr>
            <w:tcW w:w="1710" w:type="dxa"/>
          </w:tcPr>
          <w:p w:rsidRPr="00732106" w:rsidR="00385947" w:rsidP="003C3959" w:rsidRDefault="00385947" w14:paraId="0506CA30" w14:textId="77777777">
            <w:pPr>
              <w:jc w:val="right"/>
              <w:rPr>
                <w:bCs/>
                <w:position w:val="7"/>
                <w:sz w:val="20"/>
                <w:szCs w:val="20"/>
              </w:rPr>
            </w:pPr>
          </w:p>
        </w:tc>
        <w:tc>
          <w:tcPr>
            <w:tcW w:w="1260" w:type="dxa"/>
          </w:tcPr>
          <w:p w:rsidRPr="00732106" w:rsidR="00385947" w:rsidP="002B7116" w:rsidRDefault="00385947" w14:paraId="70874F4D" w14:textId="18C68CAB">
            <w:pPr>
              <w:jc w:val="center"/>
              <w:rPr>
                <w:bCs/>
                <w:position w:val="7"/>
                <w:sz w:val="20"/>
                <w:szCs w:val="20"/>
              </w:rPr>
            </w:pPr>
            <w:r w:rsidRPr="00732106">
              <w:rPr>
                <w:bCs/>
                <w:position w:val="7"/>
                <w:sz w:val="20"/>
                <w:szCs w:val="20"/>
              </w:rPr>
              <w:t>8</w:t>
            </w:r>
            <w:r w:rsidR="005C392D">
              <w:rPr>
                <w:bCs/>
                <w:position w:val="7"/>
                <w:sz w:val="20"/>
                <w:szCs w:val="20"/>
              </w:rPr>
              <w:t>21</w:t>
            </w:r>
          </w:p>
        </w:tc>
      </w:tr>
    </w:tbl>
    <w:p w:rsidRPr="00732106" w:rsidR="00385947" w:rsidP="00385947" w:rsidRDefault="00385947" w14:paraId="48CA5081" w14:textId="763D0AF7">
      <w:pPr>
        <w:rPr>
          <w:sz w:val="20"/>
          <w:szCs w:val="20"/>
        </w:rPr>
      </w:pPr>
      <w:bookmarkStart w:name="bookmark0" w:id="0"/>
      <w:bookmarkEnd w:id="0"/>
      <w:r w:rsidRPr="00732106">
        <w:rPr>
          <w:spacing w:val="17"/>
          <w:position w:val="7"/>
          <w:sz w:val="20"/>
          <w:szCs w:val="20"/>
          <w:vertAlign w:val="superscript"/>
        </w:rPr>
        <w:t>1</w:t>
      </w:r>
      <w:r w:rsidRPr="00732106">
        <w:rPr>
          <w:sz w:val="20"/>
          <w:szCs w:val="20"/>
        </w:rPr>
        <w:t>There are no capital costs or operating and maintenance costs associated with this collection of information.</w:t>
      </w:r>
    </w:p>
    <w:p w:rsidR="00CA7AB4" w:rsidRDefault="00CA7AB4" w14:paraId="4A192B47" w14:textId="26D44080">
      <w:pPr>
        <w:rPr>
          <w:sz w:val="20"/>
          <w:szCs w:val="20"/>
        </w:rPr>
      </w:pPr>
    </w:p>
    <w:p w:rsidR="00D65887" w:rsidRDefault="00D65887" w14:paraId="37BB45F2" w14:textId="26771E6C">
      <w:pPr>
        <w:rPr>
          <w:sz w:val="20"/>
          <w:szCs w:val="20"/>
        </w:rPr>
      </w:pPr>
    </w:p>
    <w:p w:rsidR="00D65887" w:rsidRDefault="00D65887" w14:paraId="42D6CFFA" w14:textId="45F5933F">
      <w:pPr>
        <w:rPr>
          <w:sz w:val="20"/>
          <w:szCs w:val="20"/>
        </w:rPr>
      </w:pPr>
    </w:p>
    <w:p w:rsidR="00D65887" w:rsidRDefault="00D65887" w14:paraId="791EA12A" w14:textId="2719BAD3">
      <w:pPr>
        <w:rPr>
          <w:sz w:val="20"/>
          <w:szCs w:val="20"/>
        </w:rPr>
      </w:pPr>
    </w:p>
    <w:p w:rsidR="00D65887" w:rsidRDefault="00D65887" w14:paraId="21210027" w14:textId="0A0FA74C">
      <w:pPr>
        <w:rPr>
          <w:sz w:val="20"/>
          <w:szCs w:val="20"/>
        </w:rPr>
      </w:pPr>
    </w:p>
    <w:p w:rsidR="00D65887" w:rsidRDefault="00D65887" w14:paraId="1591BAE5" w14:textId="12BBA415">
      <w:pPr>
        <w:rPr>
          <w:sz w:val="20"/>
          <w:szCs w:val="20"/>
        </w:rPr>
      </w:pPr>
    </w:p>
    <w:p w:rsidR="00D65887" w:rsidRDefault="00D65887" w14:paraId="439278A5" w14:textId="265CFA37">
      <w:pPr>
        <w:rPr>
          <w:sz w:val="20"/>
          <w:szCs w:val="20"/>
        </w:rPr>
      </w:pPr>
    </w:p>
    <w:p w:rsidR="00D65887" w:rsidRDefault="00D65887" w14:paraId="42D9D93C" w14:textId="3A6FB45B">
      <w:pPr>
        <w:rPr>
          <w:sz w:val="20"/>
          <w:szCs w:val="20"/>
        </w:rPr>
      </w:pPr>
    </w:p>
    <w:p w:rsidR="00D12A58" w:rsidRDefault="00D65887" w14:paraId="0EB91610" w14:textId="240EF524">
      <w:pPr>
        <w:rPr>
          <w:b/>
          <w:bCs/>
        </w:rPr>
      </w:pPr>
      <w:r w:rsidRPr="002B7116">
        <w:rPr>
          <w:b/>
          <w:bCs/>
        </w:rPr>
        <w:t xml:space="preserve">Dated:  October </w:t>
      </w:r>
      <w:r>
        <w:rPr>
          <w:b/>
          <w:bCs/>
        </w:rPr>
        <w:t xml:space="preserve">13, </w:t>
      </w:r>
      <w:r w:rsidRPr="002B7116">
        <w:rPr>
          <w:b/>
          <w:bCs/>
        </w:rPr>
        <w:t>2021</w:t>
      </w:r>
    </w:p>
    <w:p w:rsidR="00D12A58" w:rsidRDefault="00D12A58" w14:paraId="4F71BE32" w14:textId="599A63D9">
      <w:pPr>
        <w:rPr>
          <w:b/>
          <w:bCs/>
        </w:rPr>
      </w:pPr>
    </w:p>
    <w:p w:rsidR="00D12A58" w:rsidRDefault="00D12A58" w14:paraId="12F553F3" w14:textId="68A25C21">
      <w:pPr>
        <w:rPr>
          <w:b/>
          <w:bCs/>
        </w:rPr>
      </w:pPr>
    </w:p>
    <w:p w:rsidRPr="00D12A58" w:rsidR="00D12A58" w:rsidP="00D12A58" w:rsidRDefault="00D12A58" w14:paraId="37B54970" w14:textId="40CF134C">
      <w:pPr>
        <w:jc w:val="center"/>
      </w:pPr>
      <w:r w:rsidRPr="00D12A58">
        <w:t>2</w:t>
      </w:r>
    </w:p>
    <w:sectPr w:rsidRPr="00D12A58" w:rsidR="00D12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4B720" w14:textId="77777777" w:rsidR="00A9509E" w:rsidRDefault="00A9509E" w:rsidP="008D5B2F">
      <w:r>
        <w:separator/>
      </w:r>
    </w:p>
  </w:endnote>
  <w:endnote w:type="continuationSeparator" w:id="0">
    <w:p w14:paraId="37C3F609" w14:textId="77777777" w:rsidR="00A9509E" w:rsidRDefault="00A9509E" w:rsidP="008D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7EAA6" w14:textId="77777777" w:rsidR="00A9509E" w:rsidRDefault="00A9509E" w:rsidP="008D5B2F">
      <w:r>
        <w:separator/>
      </w:r>
    </w:p>
  </w:footnote>
  <w:footnote w:type="continuationSeparator" w:id="0">
    <w:p w14:paraId="4F3DF7CD" w14:textId="77777777" w:rsidR="00A9509E" w:rsidRDefault="00A9509E" w:rsidP="008D5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0F"/>
    <w:rsid w:val="00001FD0"/>
    <w:rsid w:val="001145B2"/>
    <w:rsid w:val="001225E2"/>
    <w:rsid w:val="00122C79"/>
    <w:rsid w:val="00130C24"/>
    <w:rsid w:val="001779F7"/>
    <w:rsid w:val="001847F6"/>
    <w:rsid w:val="00191C39"/>
    <w:rsid w:val="001B3C7A"/>
    <w:rsid w:val="00255350"/>
    <w:rsid w:val="002B5CA7"/>
    <w:rsid w:val="002B7116"/>
    <w:rsid w:val="002C5A75"/>
    <w:rsid w:val="002D7644"/>
    <w:rsid w:val="002E6E79"/>
    <w:rsid w:val="00306EEF"/>
    <w:rsid w:val="003133DB"/>
    <w:rsid w:val="0032167E"/>
    <w:rsid w:val="00342C62"/>
    <w:rsid w:val="00361464"/>
    <w:rsid w:val="00385947"/>
    <w:rsid w:val="003E6604"/>
    <w:rsid w:val="003F4879"/>
    <w:rsid w:val="0043247A"/>
    <w:rsid w:val="0046687E"/>
    <w:rsid w:val="004B6745"/>
    <w:rsid w:val="00505605"/>
    <w:rsid w:val="00554B09"/>
    <w:rsid w:val="00564103"/>
    <w:rsid w:val="005C392D"/>
    <w:rsid w:val="005D0DE6"/>
    <w:rsid w:val="00712925"/>
    <w:rsid w:val="007245B5"/>
    <w:rsid w:val="00732106"/>
    <w:rsid w:val="00744643"/>
    <w:rsid w:val="00757E32"/>
    <w:rsid w:val="00767102"/>
    <w:rsid w:val="00795D29"/>
    <w:rsid w:val="008A30CE"/>
    <w:rsid w:val="008A52C1"/>
    <w:rsid w:val="008C5218"/>
    <w:rsid w:val="008D5B2F"/>
    <w:rsid w:val="008E578B"/>
    <w:rsid w:val="00960726"/>
    <w:rsid w:val="00966E3A"/>
    <w:rsid w:val="00972D8F"/>
    <w:rsid w:val="00A30C14"/>
    <w:rsid w:val="00A57D62"/>
    <w:rsid w:val="00A9509E"/>
    <w:rsid w:val="00AA24EF"/>
    <w:rsid w:val="00AD725D"/>
    <w:rsid w:val="00AE0267"/>
    <w:rsid w:val="00AE405A"/>
    <w:rsid w:val="00B060ED"/>
    <w:rsid w:val="00B07F7D"/>
    <w:rsid w:val="00B10552"/>
    <w:rsid w:val="00B11278"/>
    <w:rsid w:val="00B70319"/>
    <w:rsid w:val="00BA1BE8"/>
    <w:rsid w:val="00BB24AB"/>
    <w:rsid w:val="00BF17C4"/>
    <w:rsid w:val="00BF4CED"/>
    <w:rsid w:val="00C10E84"/>
    <w:rsid w:val="00C6146D"/>
    <w:rsid w:val="00C97B11"/>
    <w:rsid w:val="00CA2070"/>
    <w:rsid w:val="00CA388C"/>
    <w:rsid w:val="00CA7AB4"/>
    <w:rsid w:val="00CD7FEA"/>
    <w:rsid w:val="00CE2BEE"/>
    <w:rsid w:val="00D12A58"/>
    <w:rsid w:val="00D136AE"/>
    <w:rsid w:val="00D17CC6"/>
    <w:rsid w:val="00D47E35"/>
    <w:rsid w:val="00D65887"/>
    <w:rsid w:val="00D73D27"/>
    <w:rsid w:val="00DC1818"/>
    <w:rsid w:val="00DC2C38"/>
    <w:rsid w:val="00E06543"/>
    <w:rsid w:val="00E24117"/>
    <w:rsid w:val="00E27600"/>
    <w:rsid w:val="00E63C7C"/>
    <w:rsid w:val="00E80D8A"/>
    <w:rsid w:val="00E94674"/>
    <w:rsid w:val="00EA1707"/>
    <w:rsid w:val="00ED7E26"/>
    <w:rsid w:val="00EE72F0"/>
    <w:rsid w:val="00EF55F1"/>
    <w:rsid w:val="00F00032"/>
    <w:rsid w:val="00F01E10"/>
    <w:rsid w:val="00F3090D"/>
    <w:rsid w:val="00F5150F"/>
    <w:rsid w:val="00F54242"/>
    <w:rsid w:val="00F81463"/>
    <w:rsid w:val="00F878B2"/>
    <w:rsid w:val="00FA0440"/>
    <w:rsid w:val="00FD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2BE1"/>
  <w15:docId w15:val="{B744263F-7EFF-44C8-A1B3-D46B2227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 w:type="character" w:styleId="CommentReference">
    <w:name w:val="annotation reference"/>
    <w:basedOn w:val="DefaultParagraphFont"/>
    <w:uiPriority w:val="99"/>
    <w:semiHidden/>
    <w:unhideWhenUsed/>
    <w:rsid w:val="00CD7FEA"/>
    <w:rPr>
      <w:sz w:val="16"/>
      <w:szCs w:val="16"/>
    </w:rPr>
  </w:style>
  <w:style w:type="paragraph" w:styleId="CommentText">
    <w:name w:val="annotation text"/>
    <w:basedOn w:val="Normal"/>
    <w:link w:val="CommentTextChar"/>
    <w:uiPriority w:val="99"/>
    <w:semiHidden/>
    <w:unhideWhenUsed/>
    <w:rsid w:val="00CD7FEA"/>
    <w:rPr>
      <w:sz w:val="20"/>
      <w:szCs w:val="20"/>
    </w:rPr>
  </w:style>
  <w:style w:type="character" w:customStyle="1" w:styleId="CommentTextChar">
    <w:name w:val="Comment Text Char"/>
    <w:basedOn w:val="DefaultParagraphFont"/>
    <w:link w:val="CommentText"/>
    <w:uiPriority w:val="99"/>
    <w:semiHidden/>
    <w:rsid w:val="00CD7FEA"/>
  </w:style>
  <w:style w:type="paragraph" w:styleId="CommentSubject">
    <w:name w:val="annotation subject"/>
    <w:basedOn w:val="CommentText"/>
    <w:next w:val="CommentText"/>
    <w:link w:val="CommentSubjectChar"/>
    <w:uiPriority w:val="99"/>
    <w:semiHidden/>
    <w:unhideWhenUsed/>
    <w:rsid w:val="00CD7FEA"/>
    <w:rPr>
      <w:b/>
      <w:bCs/>
    </w:rPr>
  </w:style>
  <w:style w:type="character" w:customStyle="1" w:styleId="CommentSubjectChar">
    <w:name w:val="Comment Subject Char"/>
    <w:basedOn w:val="CommentTextChar"/>
    <w:link w:val="CommentSubject"/>
    <w:uiPriority w:val="99"/>
    <w:semiHidden/>
    <w:rsid w:val="00CD7FEA"/>
    <w:rPr>
      <w:b/>
      <w:bCs/>
    </w:rPr>
  </w:style>
  <w:style w:type="paragraph" w:styleId="BalloonText">
    <w:name w:val="Balloon Text"/>
    <w:basedOn w:val="Normal"/>
    <w:link w:val="BalloonTextChar"/>
    <w:uiPriority w:val="99"/>
    <w:semiHidden/>
    <w:unhideWhenUsed/>
    <w:rsid w:val="00CD7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FEA"/>
    <w:rPr>
      <w:rFonts w:ascii="Segoe UI" w:hAnsi="Segoe UI" w:cs="Segoe UI"/>
      <w:sz w:val="18"/>
      <w:szCs w:val="18"/>
    </w:rPr>
  </w:style>
  <w:style w:type="table" w:styleId="TableGrid">
    <w:name w:val="Table Grid"/>
    <w:basedOn w:val="TableNormal"/>
    <w:uiPriority w:val="59"/>
    <w:rsid w:val="0038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E32"/>
    <w:rPr>
      <w:color w:val="0000FF" w:themeColor="hyperlink"/>
      <w:u w:val="single"/>
    </w:rPr>
  </w:style>
  <w:style w:type="character" w:styleId="UnresolvedMention">
    <w:name w:val="Unresolved Mention"/>
    <w:basedOn w:val="DefaultParagraphFont"/>
    <w:uiPriority w:val="99"/>
    <w:semiHidden/>
    <w:unhideWhenUsed/>
    <w:rsid w:val="00757E32"/>
    <w:rPr>
      <w:color w:val="605E5C"/>
      <w:shd w:val="clear" w:color="auto" w:fill="E1DFDD"/>
    </w:rPr>
  </w:style>
  <w:style w:type="character" w:styleId="FollowedHyperlink">
    <w:name w:val="FollowedHyperlink"/>
    <w:basedOn w:val="DefaultParagraphFont"/>
    <w:uiPriority w:val="99"/>
    <w:semiHidden/>
    <w:unhideWhenUsed/>
    <w:rsid w:val="00757E32"/>
    <w:rPr>
      <w:color w:val="800080" w:themeColor="followedHyperlink"/>
      <w:u w:val="single"/>
    </w:rPr>
  </w:style>
  <w:style w:type="paragraph" w:styleId="Header">
    <w:name w:val="header"/>
    <w:basedOn w:val="Normal"/>
    <w:link w:val="HeaderChar"/>
    <w:uiPriority w:val="99"/>
    <w:unhideWhenUsed/>
    <w:rsid w:val="008D5B2F"/>
    <w:pPr>
      <w:tabs>
        <w:tab w:val="center" w:pos="4680"/>
        <w:tab w:val="right" w:pos="9360"/>
      </w:tabs>
    </w:pPr>
  </w:style>
  <w:style w:type="character" w:customStyle="1" w:styleId="HeaderChar">
    <w:name w:val="Header Char"/>
    <w:basedOn w:val="DefaultParagraphFont"/>
    <w:link w:val="Header"/>
    <w:uiPriority w:val="99"/>
    <w:rsid w:val="008D5B2F"/>
    <w:rPr>
      <w:sz w:val="24"/>
      <w:szCs w:val="24"/>
    </w:rPr>
  </w:style>
  <w:style w:type="paragraph" w:styleId="Footer">
    <w:name w:val="footer"/>
    <w:basedOn w:val="Normal"/>
    <w:link w:val="FooterChar"/>
    <w:uiPriority w:val="99"/>
    <w:unhideWhenUsed/>
    <w:rsid w:val="008D5B2F"/>
    <w:pPr>
      <w:tabs>
        <w:tab w:val="center" w:pos="4680"/>
        <w:tab w:val="right" w:pos="9360"/>
      </w:tabs>
    </w:pPr>
  </w:style>
  <w:style w:type="character" w:customStyle="1" w:styleId="FooterChar">
    <w:name w:val="Footer Char"/>
    <w:basedOn w:val="DefaultParagraphFont"/>
    <w:link w:val="Footer"/>
    <w:uiPriority w:val="99"/>
    <w:rsid w:val="008D5B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3995">
      <w:bodyDiv w:val="1"/>
      <w:marLeft w:val="0"/>
      <w:marRight w:val="0"/>
      <w:marTop w:val="0"/>
      <w:marBottom w:val="0"/>
      <w:divBdr>
        <w:top w:val="none" w:sz="0" w:space="0" w:color="auto"/>
        <w:left w:val="none" w:sz="0" w:space="0" w:color="auto"/>
        <w:bottom w:val="none" w:sz="0" w:space="0" w:color="auto"/>
        <w:right w:val="none" w:sz="0" w:space="0" w:color="auto"/>
      </w:divBdr>
    </w:div>
    <w:div w:id="599995367">
      <w:bodyDiv w:val="1"/>
      <w:marLeft w:val="0"/>
      <w:marRight w:val="0"/>
      <w:marTop w:val="0"/>
      <w:marBottom w:val="0"/>
      <w:divBdr>
        <w:top w:val="none" w:sz="0" w:space="0" w:color="auto"/>
        <w:left w:val="none" w:sz="0" w:space="0" w:color="auto"/>
        <w:bottom w:val="none" w:sz="0" w:space="0" w:color="auto"/>
        <w:right w:val="none" w:sz="0" w:space="0" w:color="auto"/>
      </w:divBdr>
    </w:div>
    <w:div w:id="844252025">
      <w:bodyDiv w:val="1"/>
      <w:marLeft w:val="0"/>
      <w:marRight w:val="0"/>
      <w:marTop w:val="0"/>
      <w:marBottom w:val="0"/>
      <w:divBdr>
        <w:top w:val="none" w:sz="0" w:space="0" w:color="auto"/>
        <w:left w:val="none" w:sz="0" w:space="0" w:color="auto"/>
        <w:bottom w:val="none" w:sz="0" w:space="0" w:color="auto"/>
        <w:right w:val="none" w:sz="0" w:space="0" w:color="auto"/>
      </w:divBdr>
    </w:div>
    <w:div w:id="12516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D2AE-F4C0-46E7-B4FC-1465E2D8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Betts, Kevin</dc:creator>
  <cp:lastModifiedBy>Mizrachi, Ila</cp:lastModifiedBy>
  <cp:revision>9</cp:revision>
  <cp:lastPrinted>2021-09-17T18:19:00Z</cp:lastPrinted>
  <dcterms:created xsi:type="dcterms:W3CDTF">2021-10-13T12:26:00Z</dcterms:created>
  <dcterms:modified xsi:type="dcterms:W3CDTF">2021-10-13T15:45:00Z</dcterms:modified>
</cp:coreProperties>
</file>