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65A" w:rsidP="00357C8A" w:rsidRDefault="006A465A" w14:paraId="5273650B" w14:textId="77777777">
      <w:pPr>
        <w:jc w:val="center"/>
      </w:pPr>
    </w:p>
    <w:p w:rsidR="00357C8A" w:rsidP="00357C8A" w:rsidRDefault="00357C8A" w14:paraId="2FF83196" w14:textId="77777777">
      <w:pPr>
        <w:jc w:val="center"/>
        <w:rPr>
          <w:rFonts w:eastAsia="Calibri"/>
        </w:rPr>
      </w:pPr>
      <w:r w:rsidRPr="00357C8A">
        <w:rPr>
          <w:rFonts w:eastAsia="Calibri"/>
        </w:rPr>
        <w:t>United States Food and Drug Administration</w:t>
      </w:r>
    </w:p>
    <w:p w:rsidR="00357C8A" w:rsidP="00357C8A" w:rsidRDefault="00357C8A" w14:paraId="5F93121F" w14:textId="77777777">
      <w:pPr>
        <w:jc w:val="center"/>
        <w:rPr>
          <w:rFonts w:eastAsia="Calibri"/>
        </w:rPr>
      </w:pPr>
    </w:p>
    <w:p w:rsidR="00357C8A" w:rsidP="00357C8A" w:rsidRDefault="00A849A6" w14:paraId="282B05CE" w14:textId="77777777">
      <w:pPr>
        <w:jc w:val="center"/>
        <w:rPr>
          <w:rFonts w:eastAsia="Calibri"/>
        </w:rPr>
      </w:pPr>
      <w:r w:rsidRPr="00A849A6">
        <w:rPr>
          <w:rFonts w:eastAsia="Calibri"/>
        </w:rPr>
        <w:t>Substances Generally Recognized as Safe (GRAS)</w:t>
      </w:r>
      <w:r w:rsidR="00B6385D">
        <w:rPr>
          <w:rFonts w:eastAsia="Calibri"/>
        </w:rPr>
        <w:t>:</w:t>
      </w:r>
      <w:r w:rsidRPr="00A849A6">
        <w:rPr>
          <w:rFonts w:eastAsia="Calibri"/>
        </w:rPr>
        <w:t xml:space="preserve"> Notification Procedures</w:t>
      </w:r>
    </w:p>
    <w:p w:rsidR="00356479" w:rsidP="00357C8A" w:rsidRDefault="00356479" w14:paraId="158A81CF" w14:textId="77777777">
      <w:pPr>
        <w:jc w:val="center"/>
        <w:rPr>
          <w:rFonts w:eastAsia="Calibri"/>
        </w:rPr>
      </w:pPr>
    </w:p>
    <w:p w:rsidR="00357C8A" w:rsidP="00357C8A" w:rsidRDefault="00357C8A" w14:paraId="7DA2B118" w14:textId="77777777">
      <w:pPr>
        <w:jc w:val="center"/>
        <w:rPr>
          <w:rFonts w:eastAsia="Calibri"/>
        </w:rPr>
      </w:pPr>
      <w:r w:rsidRPr="00357C8A">
        <w:rPr>
          <w:rFonts w:eastAsia="Calibri"/>
        </w:rPr>
        <w:t>OMB Control No. 0910-</w:t>
      </w:r>
      <w:r w:rsidR="00A849A6">
        <w:rPr>
          <w:rFonts w:eastAsia="Calibri"/>
        </w:rPr>
        <w:t>0342</w:t>
      </w:r>
    </w:p>
    <w:p w:rsidR="00357C8A" w:rsidP="00357C8A" w:rsidRDefault="00357C8A" w14:paraId="6570F02F" w14:textId="77777777">
      <w:pPr>
        <w:jc w:val="center"/>
        <w:rPr>
          <w:rFonts w:eastAsia="Calibri"/>
        </w:rPr>
      </w:pPr>
    </w:p>
    <w:p w:rsidR="00357C8A" w:rsidP="00357C8A" w:rsidRDefault="00357C8A" w14:paraId="38BB2EB0" w14:textId="77777777">
      <w:pPr>
        <w:jc w:val="center"/>
        <w:rPr>
          <w:rFonts w:eastAsia="Calibri"/>
        </w:rPr>
      </w:pPr>
      <w:r w:rsidRPr="00357C8A">
        <w:rPr>
          <w:rFonts w:eastAsia="Calibri"/>
        </w:rPr>
        <w:t>SUPPORTING STATEMENT</w:t>
      </w:r>
    </w:p>
    <w:p w:rsidR="009B4DF2" w:rsidP="00357C8A" w:rsidRDefault="009B4DF2" w14:paraId="7FFAFA30" w14:textId="77777777">
      <w:pPr>
        <w:jc w:val="center"/>
        <w:rPr>
          <w:rFonts w:eastAsia="Calibri"/>
        </w:rPr>
      </w:pPr>
    </w:p>
    <w:p w:rsidR="00357C8A" w:rsidP="000D79CC" w:rsidRDefault="00357C8A" w14:paraId="5A5D04FD"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3D9539FF" w14:textId="77777777">
      <w:pPr>
        <w:rPr>
          <w:rFonts w:eastAsia="Calibri"/>
        </w:rPr>
      </w:pPr>
    </w:p>
    <w:p w:rsidRPr="00357C8A" w:rsidR="00357C8A" w:rsidP="006705EA" w:rsidRDefault="00357C8A" w14:paraId="20DECE8B"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A849A6" w:rsidP="00A849A6" w:rsidRDefault="00A849A6" w14:paraId="1EA67B59" w14:textId="77777777">
      <w:pPr>
        <w:rPr>
          <w:rFonts w:eastAsia="Calibri"/>
        </w:rPr>
      </w:pPr>
      <w:r w:rsidRPr="00A849A6">
        <w:rPr>
          <w:rFonts w:eastAsia="Calibri"/>
        </w:rPr>
        <w:t xml:space="preserve">This information collection supports agency </w:t>
      </w:r>
      <w:r w:rsidR="00FF6725">
        <w:rPr>
          <w:rFonts w:eastAsia="Calibri"/>
        </w:rPr>
        <w:t>regulations</w:t>
      </w:r>
      <w:r w:rsidRPr="00A849A6">
        <w:rPr>
          <w:rFonts w:eastAsia="Calibri"/>
        </w:rPr>
        <w:t>.</w:t>
      </w:r>
      <w:r w:rsidR="008D6922">
        <w:rPr>
          <w:rFonts w:eastAsia="Calibri"/>
        </w:rPr>
        <w:t xml:space="preserve"> </w:t>
      </w:r>
      <w:r w:rsidRPr="00A849A6">
        <w:rPr>
          <w:rFonts w:eastAsia="Calibri"/>
        </w:rPr>
        <w:t xml:space="preserve"> The Federal Food, Drug, and</w:t>
      </w:r>
      <w:r w:rsidR="008D6922">
        <w:rPr>
          <w:rFonts w:eastAsia="Calibri"/>
        </w:rPr>
        <w:t xml:space="preserve"> </w:t>
      </w:r>
      <w:r w:rsidRPr="00A849A6">
        <w:rPr>
          <w:rFonts w:eastAsia="Calibri"/>
        </w:rPr>
        <w:t>Cosmetic Act (FD&amp;C Act) requires that all food additives (as defined by section 201(s)</w:t>
      </w:r>
      <w:r w:rsidR="008D6922">
        <w:rPr>
          <w:rFonts w:eastAsia="Calibri"/>
        </w:rPr>
        <w:t xml:space="preserve"> </w:t>
      </w:r>
      <w:r w:rsidRPr="00A849A6">
        <w:rPr>
          <w:rFonts w:eastAsia="Calibri"/>
        </w:rPr>
        <w:t>(21 U.S.C. 321(s)) be approved by the Food and Drug Administration (FDA or we) before</w:t>
      </w:r>
      <w:r w:rsidR="008D6922">
        <w:rPr>
          <w:rFonts w:eastAsia="Calibri"/>
        </w:rPr>
        <w:t xml:space="preserve"> </w:t>
      </w:r>
      <w:r w:rsidRPr="00A849A6">
        <w:rPr>
          <w:rFonts w:eastAsia="Calibri"/>
        </w:rPr>
        <w:t>they are marketed.</w:t>
      </w:r>
      <w:r w:rsidR="008D6922">
        <w:rPr>
          <w:rFonts w:eastAsia="Calibri"/>
        </w:rPr>
        <w:t xml:space="preserve"> </w:t>
      </w:r>
      <w:r w:rsidRPr="00A849A6">
        <w:rPr>
          <w:rFonts w:eastAsia="Calibri"/>
        </w:rPr>
        <w:t xml:space="preserve"> Section 409 of the FD&amp;C Act (21 U.S.C. 348) establishes a</w:t>
      </w:r>
      <w:r w:rsidR="008D6922">
        <w:rPr>
          <w:rFonts w:eastAsia="Calibri"/>
        </w:rPr>
        <w:t xml:space="preserve"> </w:t>
      </w:r>
      <w:r w:rsidRPr="00A849A6">
        <w:rPr>
          <w:rFonts w:eastAsia="Calibri"/>
        </w:rPr>
        <w:t xml:space="preserve">premarket approval requirement for “food additives.” </w:t>
      </w:r>
      <w:r w:rsidR="008D6922">
        <w:rPr>
          <w:rFonts w:eastAsia="Calibri"/>
        </w:rPr>
        <w:t xml:space="preserve"> </w:t>
      </w:r>
      <w:r w:rsidRPr="00A849A6">
        <w:rPr>
          <w:rFonts w:eastAsia="Calibri"/>
        </w:rPr>
        <w:t>Section 201(s) of the FD&amp;C Act provides an exclusion to the definition of “food additive,” and thus from the</w:t>
      </w:r>
      <w:r w:rsidR="008D6922">
        <w:rPr>
          <w:rFonts w:eastAsia="Calibri"/>
        </w:rPr>
        <w:t xml:space="preserve"> </w:t>
      </w:r>
      <w:r w:rsidRPr="00A849A6">
        <w:rPr>
          <w:rFonts w:eastAsia="Calibri"/>
        </w:rPr>
        <w:t xml:space="preserve">premarket approval requirement, for uses of substances that are generally </w:t>
      </w:r>
      <w:r w:rsidR="00061D9B">
        <w:rPr>
          <w:rFonts w:eastAsia="Calibri"/>
        </w:rPr>
        <w:t>recognized</w:t>
      </w:r>
      <w:r w:rsidRPr="00A849A6" w:rsidR="00061D9B">
        <w:rPr>
          <w:rFonts w:eastAsia="Calibri"/>
        </w:rPr>
        <w:t xml:space="preserve"> </w:t>
      </w:r>
      <w:r w:rsidRPr="00A849A6">
        <w:rPr>
          <w:rFonts w:eastAsia="Calibri"/>
        </w:rPr>
        <w:t>as safe</w:t>
      </w:r>
      <w:r w:rsidR="008D6922">
        <w:rPr>
          <w:rFonts w:eastAsia="Calibri"/>
        </w:rPr>
        <w:t xml:space="preserve"> </w:t>
      </w:r>
      <w:r w:rsidRPr="00A849A6">
        <w:rPr>
          <w:rFonts w:eastAsia="Calibri"/>
        </w:rPr>
        <w:t>(GRAS) by qualified experts.</w:t>
      </w:r>
      <w:r w:rsidR="008D6922">
        <w:rPr>
          <w:rFonts w:eastAsia="Calibri"/>
        </w:rPr>
        <w:t xml:space="preserve">  </w:t>
      </w:r>
    </w:p>
    <w:p w:rsidRPr="00A849A6" w:rsidR="008D6922" w:rsidP="00A849A6" w:rsidRDefault="008D6922" w14:paraId="73D6B86E" w14:textId="77777777">
      <w:pPr>
        <w:rPr>
          <w:rFonts w:eastAsia="Calibri"/>
        </w:rPr>
      </w:pPr>
    </w:p>
    <w:p w:rsidR="00E83187" w:rsidP="00A849A6" w:rsidRDefault="00A849A6" w14:paraId="0F6E4F85" w14:textId="77777777">
      <w:pPr>
        <w:rPr>
          <w:rFonts w:eastAsia="Calibri"/>
        </w:rPr>
      </w:pPr>
      <w:r w:rsidRPr="00A849A6">
        <w:rPr>
          <w:rFonts w:eastAsia="Calibri"/>
        </w:rPr>
        <w:t>The GRAS provision of section 201(s) of the FD&amp;C Act is implemented in 21 CFR part</w:t>
      </w:r>
      <w:r w:rsidR="008D6922">
        <w:rPr>
          <w:rFonts w:eastAsia="Calibri"/>
        </w:rPr>
        <w:t xml:space="preserve"> </w:t>
      </w:r>
      <w:r w:rsidRPr="00A849A6">
        <w:rPr>
          <w:rFonts w:eastAsia="Calibri"/>
        </w:rPr>
        <w:t xml:space="preserve">170 for human food and 21 CFR part 570 for animal food. </w:t>
      </w:r>
      <w:r w:rsidR="008D6922">
        <w:rPr>
          <w:rFonts w:eastAsia="Calibri"/>
        </w:rPr>
        <w:t xml:space="preserve"> </w:t>
      </w:r>
      <w:r w:rsidRPr="00A849A6">
        <w:rPr>
          <w:rFonts w:eastAsia="Calibri"/>
        </w:rPr>
        <w:t>The regulations clarify the</w:t>
      </w:r>
      <w:r w:rsidR="008D6922">
        <w:rPr>
          <w:rFonts w:eastAsia="Calibri"/>
        </w:rPr>
        <w:t xml:space="preserve"> </w:t>
      </w:r>
      <w:r w:rsidRPr="00A849A6">
        <w:rPr>
          <w:rFonts w:eastAsia="Calibri"/>
        </w:rPr>
        <w:t>criteria when the use of a substance in food for humans or animals is not subject to the</w:t>
      </w:r>
      <w:r w:rsidR="008D6922">
        <w:rPr>
          <w:rFonts w:eastAsia="Calibri"/>
        </w:rPr>
        <w:t xml:space="preserve"> </w:t>
      </w:r>
      <w:r w:rsidRPr="00A849A6">
        <w:rPr>
          <w:rFonts w:eastAsia="Calibri"/>
        </w:rPr>
        <w:t>premarket approval requirements of the FD&amp;C Act because the substance is GRAS under</w:t>
      </w:r>
      <w:r w:rsidR="008D6922">
        <w:rPr>
          <w:rFonts w:eastAsia="Calibri"/>
        </w:rPr>
        <w:t xml:space="preserve"> </w:t>
      </w:r>
      <w:r w:rsidRPr="00A849A6">
        <w:rPr>
          <w:rFonts w:eastAsia="Calibri"/>
        </w:rPr>
        <w:t xml:space="preserve">the conditions of its intended use. </w:t>
      </w:r>
      <w:r w:rsidR="008D6922">
        <w:rPr>
          <w:rFonts w:eastAsia="Calibri"/>
        </w:rPr>
        <w:t xml:space="preserve"> </w:t>
      </w:r>
      <w:r w:rsidRPr="00A849A6">
        <w:rPr>
          <w:rFonts w:eastAsia="Calibri"/>
        </w:rPr>
        <w:t>Part 170, subpart E and part 570, subpart E provide a</w:t>
      </w:r>
      <w:r w:rsidR="008D6922">
        <w:rPr>
          <w:rFonts w:eastAsia="Calibri"/>
        </w:rPr>
        <w:t xml:space="preserve"> </w:t>
      </w:r>
      <w:r w:rsidRPr="00A849A6">
        <w:rPr>
          <w:rFonts w:eastAsia="Calibri"/>
        </w:rPr>
        <w:t xml:space="preserve">standard format for the submission of a notice. </w:t>
      </w:r>
      <w:r w:rsidR="008D6922">
        <w:rPr>
          <w:rFonts w:eastAsia="Calibri"/>
        </w:rPr>
        <w:t xml:space="preserve"> T</w:t>
      </w:r>
      <w:r w:rsidRPr="00A849A6">
        <w:rPr>
          <w:rFonts w:eastAsia="Calibri"/>
        </w:rPr>
        <w:t>his collection utilizes a voluntary</w:t>
      </w:r>
      <w:r w:rsidR="008D6922">
        <w:rPr>
          <w:rFonts w:eastAsia="Calibri"/>
        </w:rPr>
        <w:t xml:space="preserve"> </w:t>
      </w:r>
      <w:r w:rsidRPr="00A849A6">
        <w:rPr>
          <w:rFonts w:eastAsia="Calibri"/>
        </w:rPr>
        <w:t>procedure for notifying FDA about a conclusion that a substance is GRAS under the</w:t>
      </w:r>
      <w:r w:rsidR="008D6922">
        <w:rPr>
          <w:rFonts w:eastAsia="Calibri"/>
        </w:rPr>
        <w:t xml:space="preserve"> </w:t>
      </w:r>
      <w:r w:rsidRPr="00A849A6">
        <w:rPr>
          <w:rFonts w:eastAsia="Calibri"/>
        </w:rPr>
        <w:t xml:space="preserve">conditions of its intended use in human </w:t>
      </w:r>
      <w:r w:rsidR="00206042">
        <w:rPr>
          <w:rFonts w:eastAsia="Calibri"/>
        </w:rPr>
        <w:t>or</w:t>
      </w:r>
      <w:r w:rsidRPr="00A849A6">
        <w:rPr>
          <w:rFonts w:eastAsia="Calibri"/>
        </w:rPr>
        <w:t xml:space="preserve"> animal food. </w:t>
      </w:r>
      <w:r w:rsidR="008D6922">
        <w:rPr>
          <w:rFonts w:eastAsia="Calibri"/>
        </w:rPr>
        <w:t xml:space="preserve"> </w:t>
      </w:r>
    </w:p>
    <w:p w:rsidR="00E83187" w:rsidP="00A849A6" w:rsidRDefault="00E83187" w14:paraId="15ED6907" w14:textId="77777777">
      <w:pPr>
        <w:rPr>
          <w:rFonts w:eastAsia="Calibri"/>
        </w:rPr>
      </w:pPr>
    </w:p>
    <w:p w:rsidR="00A849A6" w:rsidP="00A849A6" w:rsidRDefault="00A849A6" w14:paraId="4FE2DE80" w14:textId="77777777">
      <w:pPr>
        <w:rPr>
          <w:rFonts w:eastAsia="Calibri"/>
        </w:rPr>
      </w:pPr>
      <w:r w:rsidRPr="00A849A6">
        <w:rPr>
          <w:rFonts w:eastAsia="Calibri"/>
        </w:rPr>
        <w:t>The information submitted to us</w:t>
      </w:r>
      <w:r w:rsidR="008D6922">
        <w:rPr>
          <w:rFonts w:eastAsia="Calibri"/>
        </w:rPr>
        <w:t xml:space="preserve"> </w:t>
      </w:r>
      <w:r w:rsidRPr="00A849A6">
        <w:rPr>
          <w:rFonts w:eastAsia="Calibri"/>
        </w:rPr>
        <w:t xml:space="preserve">in a GRAS </w:t>
      </w:r>
      <w:r w:rsidR="00356479">
        <w:rPr>
          <w:rFonts w:eastAsia="Calibri"/>
        </w:rPr>
        <w:t>n</w:t>
      </w:r>
      <w:r w:rsidRPr="00A849A6">
        <w:rPr>
          <w:rFonts w:eastAsia="Calibri"/>
        </w:rPr>
        <w:t>otice is necessary to allow us to administer efficiently the FD&amp;C Act’s</w:t>
      </w:r>
      <w:r w:rsidR="008D6922">
        <w:rPr>
          <w:rFonts w:eastAsia="Calibri"/>
        </w:rPr>
        <w:t xml:space="preserve"> </w:t>
      </w:r>
      <w:r w:rsidRPr="00A849A6">
        <w:rPr>
          <w:rFonts w:eastAsia="Calibri"/>
        </w:rPr>
        <w:t xml:space="preserve">various provisions that apply to the use of substances added to food, specifically </w:t>
      </w:r>
      <w:proofErr w:type="gramStart"/>
      <w:r w:rsidRPr="00A849A6">
        <w:rPr>
          <w:rFonts w:eastAsia="Calibri"/>
        </w:rPr>
        <w:t>with</w:t>
      </w:r>
      <w:r w:rsidR="008D6922">
        <w:rPr>
          <w:rFonts w:eastAsia="Calibri"/>
        </w:rPr>
        <w:t xml:space="preserve"> </w:t>
      </w:r>
      <w:r w:rsidRPr="00A849A6">
        <w:rPr>
          <w:rFonts w:eastAsia="Calibri"/>
        </w:rPr>
        <w:t>regard to</w:t>
      </w:r>
      <w:proofErr w:type="gramEnd"/>
      <w:r w:rsidRPr="00A849A6">
        <w:rPr>
          <w:rFonts w:eastAsia="Calibri"/>
        </w:rPr>
        <w:t xml:space="preserve"> whether a substance is GRAS under the conditions of its intended use or is a</w:t>
      </w:r>
      <w:r w:rsidR="008D6922">
        <w:rPr>
          <w:rFonts w:eastAsia="Calibri"/>
        </w:rPr>
        <w:t xml:space="preserve"> </w:t>
      </w:r>
      <w:r w:rsidRPr="00A849A6">
        <w:rPr>
          <w:rFonts w:eastAsia="Calibri"/>
        </w:rPr>
        <w:t xml:space="preserve">food additive subject to premarket review. </w:t>
      </w:r>
      <w:r w:rsidR="008D6922">
        <w:rPr>
          <w:rFonts w:eastAsia="Calibri"/>
        </w:rPr>
        <w:t xml:space="preserve"> </w:t>
      </w:r>
      <w:r w:rsidRPr="00A849A6">
        <w:rPr>
          <w:rFonts w:eastAsia="Calibri"/>
        </w:rPr>
        <w:t>Food additives that are not determined to be</w:t>
      </w:r>
      <w:r w:rsidR="008D6922">
        <w:rPr>
          <w:rFonts w:eastAsia="Calibri"/>
        </w:rPr>
        <w:t xml:space="preserve"> </w:t>
      </w:r>
      <w:r w:rsidRPr="00A849A6">
        <w:rPr>
          <w:rFonts w:eastAsia="Calibri"/>
        </w:rPr>
        <w:t>GRAS must obtain premarket approval.</w:t>
      </w:r>
      <w:r w:rsidR="008D6922">
        <w:rPr>
          <w:rFonts w:eastAsia="Calibri"/>
        </w:rPr>
        <w:t xml:space="preserve"> </w:t>
      </w:r>
      <w:r w:rsidRPr="00A849A6">
        <w:rPr>
          <w:rFonts w:eastAsia="Calibri"/>
        </w:rPr>
        <w:t xml:space="preserve"> The clarified criteria for GRAS status </w:t>
      </w:r>
      <w:proofErr w:type="gramStart"/>
      <w:r w:rsidRPr="00A849A6">
        <w:rPr>
          <w:rFonts w:eastAsia="Calibri"/>
        </w:rPr>
        <w:t>helps</w:t>
      </w:r>
      <w:proofErr w:type="gramEnd"/>
      <w:r w:rsidR="008D6922">
        <w:rPr>
          <w:rFonts w:eastAsia="Calibri"/>
        </w:rPr>
        <w:t xml:space="preserve"> </w:t>
      </w:r>
      <w:r w:rsidRPr="00A849A6">
        <w:rPr>
          <w:rFonts w:eastAsia="Calibri"/>
        </w:rPr>
        <w:t>stakeholders draw more informed conclusions about whether the intended conditions of</w:t>
      </w:r>
      <w:r w:rsidR="008D6922">
        <w:rPr>
          <w:rFonts w:eastAsia="Calibri"/>
        </w:rPr>
        <w:t xml:space="preserve"> </w:t>
      </w:r>
      <w:r w:rsidRPr="00A849A6">
        <w:rPr>
          <w:rFonts w:eastAsia="Calibri"/>
        </w:rPr>
        <w:t>use of a substance in food for humans or animals complies with the FD&amp;C Act, and the</w:t>
      </w:r>
      <w:r w:rsidR="008D6922">
        <w:rPr>
          <w:rFonts w:eastAsia="Calibri"/>
        </w:rPr>
        <w:t xml:space="preserve"> </w:t>
      </w:r>
      <w:r w:rsidRPr="00A849A6">
        <w:rPr>
          <w:rFonts w:eastAsia="Calibri"/>
        </w:rPr>
        <w:t>notification procedure enables stakeholders to be aware of whether we have questioned</w:t>
      </w:r>
      <w:r w:rsidR="008D6922">
        <w:rPr>
          <w:rFonts w:eastAsia="Calibri"/>
        </w:rPr>
        <w:t xml:space="preserve"> </w:t>
      </w:r>
      <w:r w:rsidRPr="00A849A6">
        <w:rPr>
          <w:rFonts w:eastAsia="Calibri"/>
        </w:rPr>
        <w:t>the basis of a conclusion of GRAS status.</w:t>
      </w:r>
    </w:p>
    <w:p w:rsidRPr="00A849A6" w:rsidR="008D6922" w:rsidP="00A849A6" w:rsidRDefault="008D6922" w14:paraId="4D7EADBD" w14:textId="77777777">
      <w:pPr>
        <w:rPr>
          <w:rFonts w:eastAsia="Calibri"/>
        </w:rPr>
      </w:pPr>
    </w:p>
    <w:p w:rsidR="00A849A6" w:rsidP="00A849A6" w:rsidRDefault="00A849A6" w14:paraId="0FDC1251" w14:textId="77777777">
      <w:pPr>
        <w:rPr>
          <w:rFonts w:eastAsia="Calibri"/>
        </w:rPr>
      </w:pPr>
      <w:r w:rsidRPr="00A849A6">
        <w:rPr>
          <w:rFonts w:eastAsia="Calibri"/>
        </w:rPr>
        <w:t>As set forth in the regulations, a GRAS notice must include the following:</w:t>
      </w:r>
    </w:p>
    <w:p w:rsidR="008D6922" w:rsidP="00A849A6" w:rsidRDefault="008D6922" w14:paraId="08B75B10" w14:textId="77777777">
      <w:pPr>
        <w:rPr>
          <w:rFonts w:eastAsia="Calibri"/>
        </w:rPr>
      </w:pPr>
    </w:p>
    <w:p w:rsidR="00A849A6" w:rsidP="001D1FC9" w:rsidRDefault="008D6922" w14:paraId="7D2D19AC" w14:textId="77777777">
      <w:pPr>
        <w:numPr>
          <w:ilvl w:val="0"/>
          <w:numId w:val="9"/>
        </w:numPr>
        <w:rPr>
          <w:rFonts w:eastAsia="Calibri"/>
        </w:rPr>
      </w:pPr>
      <w:r>
        <w:rPr>
          <w:rFonts w:eastAsia="Calibri"/>
        </w:rPr>
        <w:t>s</w:t>
      </w:r>
      <w:r w:rsidRPr="008D6922">
        <w:rPr>
          <w:rFonts w:eastAsia="Calibri"/>
        </w:rPr>
        <w:t xml:space="preserve">igned </w:t>
      </w:r>
      <w:r w:rsidRPr="008D6922" w:rsidR="00A849A6">
        <w:rPr>
          <w:rFonts w:eastAsia="Calibri"/>
        </w:rPr>
        <w:t xml:space="preserve">statements and a </w:t>
      </w:r>
      <w:proofErr w:type="gramStart"/>
      <w:r w:rsidRPr="008D6922" w:rsidR="00A849A6">
        <w:rPr>
          <w:rFonts w:eastAsia="Calibri"/>
        </w:rPr>
        <w:t>certification;</w:t>
      </w:r>
      <w:proofErr w:type="gramEnd"/>
    </w:p>
    <w:p w:rsidR="00A849A6" w:rsidP="001D1FC9" w:rsidRDefault="00FF6725" w14:paraId="463EE9C6" w14:textId="77777777">
      <w:pPr>
        <w:numPr>
          <w:ilvl w:val="0"/>
          <w:numId w:val="9"/>
        </w:numPr>
        <w:rPr>
          <w:rFonts w:eastAsia="Calibri"/>
        </w:rPr>
      </w:pPr>
      <w:r w:rsidRPr="00FF6725">
        <w:rPr>
          <w:rFonts w:eastAsia="Calibri"/>
        </w:rPr>
        <w:t>t</w:t>
      </w:r>
      <w:r w:rsidRPr="00FF6725" w:rsidR="00A849A6">
        <w:rPr>
          <w:rFonts w:eastAsia="Calibri"/>
        </w:rPr>
        <w:t>he identity, method of manufacture, specifications, and physical or technical effect of</w:t>
      </w:r>
      <w:r w:rsidRPr="00FF6725">
        <w:rPr>
          <w:rFonts w:eastAsia="Calibri"/>
        </w:rPr>
        <w:t xml:space="preserve"> </w:t>
      </w:r>
      <w:r w:rsidRPr="00FF6725" w:rsidR="00A849A6">
        <w:rPr>
          <w:rFonts w:eastAsia="Calibri"/>
        </w:rPr>
        <w:t xml:space="preserve">the notified </w:t>
      </w:r>
      <w:proofErr w:type="gramStart"/>
      <w:r w:rsidRPr="00FF6725" w:rsidR="00A849A6">
        <w:rPr>
          <w:rFonts w:eastAsia="Calibri"/>
        </w:rPr>
        <w:t>substance;</w:t>
      </w:r>
      <w:proofErr w:type="gramEnd"/>
    </w:p>
    <w:p w:rsidR="00A849A6" w:rsidP="001D1FC9" w:rsidRDefault="00FF6725" w14:paraId="769B285E" w14:textId="77777777">
      <w:pPr>
        <w:numPr>
          <w:ilvl w:val="0"/>
          <w:numId w:val="9"/>
        </w:numPr>
        <w:rPr>
          <w:rFonts w:eastAsia="Calibri"/>
        </w:rPr>
      </w:pPr>
      <w:r w:rsidRPr="00FF6725">
        <w:rPr>
          <w:rFonts w:eastAsia="Calibri"/>
        </w:rPr>
        <w:t>d</w:t>
      </w:r>
      <w:r w:rsidRPr="00FF6725" w:rsidR="00A849A6">
        <w:rPr>
          <w:rFonts w:eastAsia="Calibri"/>
        </w:rPr>
        <w:t xml:space="preserve">ietary exposure to the notified </w:t>
      </w:r>
      <w:proofErr w:type="gramStart"/>
      <w:r w:rsidRPr="00FF6725" w:rsidR="00A849A6">
        <w:rPr>
          <w:rFonts w:eastAsia="Calibri"/>
        </w:rPr>
        <w:t>substance;</w:t>
      </w:r>
      <w:proofErr w:type="gramEnd"/>
    </w:p>
    <w:p w:rsidR="00A849A6" w:rsidP="001D1FC9" w:rsidRDefault="00FF6725" w14:paraId="39689D61" w14:textId="77777777">
      <w:pPr>
        <w:numPr>
          <w:ilvl w:val="0"/>
          <w:numId w:val="9"/>
        </w:numPr>
        <w:rPr>
          <w:rFonts w:eastAsia="Calibri"/>
        </w:rPr>
      </w:pPr>
      <w:r w:rsidRPr="00FF6725">
        <w:rPr>
          <w:rFonts w:eastAsia="Calibri"/>
        </w:rPr>
        <w:t>s</w:t>
      </w:r>
      <w:r w:rsidRPr="00FF6725" w:rsidR="00A849A6">
        <w:rPr>
          <w:rFonts w:eastAsia="Calibri"/>
        </w:rPr>
        <w:t>elf-limiting levels of use in circumstances where the amount of the notified substance</w:t>
      </w:r>
      <w:r w:rsidRPr="00FF6725">
        <w:rPr>
          <w:rFonts w:eastAsia="Calibri"/>
        </w:rPr>
        <w:t xml:space="preserve"> </w:t>
      </w:r>
      <w:r w:rsidRPr="00FF6725" w:rsidR="00A849A6">
        <w:rPr>
          <w:rFonts w:eastAsia="Calibri"/>
        </w:rPr>
        <w:t>that can be added to human food or animal food is limited because the food containing</w:t>
      </w:r>
      <w:r w:rsidRPr="00FF6725">
        <w:rPr>
          <w:rFonts w:eastAsia="Calibri"/>
        </w:rPr>
        <w:t xml:space="preserve"> </w:t>
      </w:r>
      <w:r w:rsidRPr="00FF6725" w:rsidR="00A849A6">
        <w:rPr>
          <w:rFonts w:eastAsia="Calibri"/>
        </w:rPr>
        <w:t>levels of the notified substance above a particular level would become unpalatable or</w:t>
      </w:r>
      <w:r w:rsidRPr="00FF6725">
        <w:rPr>
          <w:rFonts w:eastAsia="Calibri"/>
        </w:rPr>
        <w:t xml:space="preserve"> </w:t>
      </w:r>
      <w:r w:rsidRPr="00FF6725" w:rsidR="00A849A6">
        <w:rPr>
          <w:rFonts w:eastAsia="Calibri"/>
        </w:rPr>
        <w:t xml:space="preserve">technologically </w:t>
      </w:r>
      <w:proofErr w:type="gramStart"/>
      <w:r w:rsidRPr="00FF6725" w:rsidR="00A849A6">
        <w:rPr>
          <w:rFonts w:eastAsia="Calibri"/>
        </w:rPr>
        <w:t>impractical;</w:t>
      </w:r>
      <w:proofErr w:type="gramEnd"/>
    </w:p>
    <w:p w:rsidR="00A849A6" w:rsidP="001D1FC9" w:rsidRDefault="00FF6725" w14:paraId="7D6A5632" w14:textId="77777777">
      <w:pPr>
        <w:numPr>
          <w:ilvl w:val="0"/>
          <w:numId w:val="9"/>
        </w:numPr>
        <w:rPr>
          <w:rFonts w:eastAsia="Calibri"/>
        </w:rPr>
      </w:pPr>
      <w:r w:rsidRPr="00FF6725">
        <w:rPr>
          <w:rFonts w:eastAsia="Calibri"/>
        </w:rPr>
        <w:lastRenderedPageBreak/>
        <w:t>t</w:t>
      </w:r>
      <w:r w:rsidRPr="00FF6725" w:rsidR="00A849A6">
        <w:rPr>
          <w:rFonts w:eastAsia="Calibri"/>
        </w:rPr>
        <w:t>he history of consumption of the substance for food use by a significant number of</w:t>
      </w:r>
      <w:r w:rsidRPr="00FF6725">
        <w:rPr>
          <w:rFonts w:eastAsia="Calibri"/>
        </w:rPr>
        <w:t xml:space="preserve"> </w:t>
      </w:r>
      <w:r w:rsidRPr="00FF6725" w:rsidR="00A849A6">
        <w:rPr>
          <w:rFonts w:eastAsia="Calibri"/>
        </w:rPr>
        <w:t>consumers (or animals in the case of animal food) prior to January 1, 1958, if a</w:t>
      </w:r>
      <w:r w:rsidRPr="00FF6725">
        <w:rPr>
          <w:rFonts w:eastAsia="Calibri"/>
        </w:rPr>
        <w:t xml:space="preserve"> </w:t>
      </w:r>
      <w:r w:rsidRPr="00FF6725" w:rsidR="00A849A6">
        <w:rPr>
          <w:rFonts w:eastAsia="Calibri"/>
        </w:rPr>
        <w:t>conclusion of GRAS status is based on common use of the substance in food prior to</w:t>
      </w:r>
      <w:r w:rsidRPr="00FF6725">
        <w:rPr>
          <w:rFonts w:eastAsia="Calibri"/>
        </w:rPr>
        <w:t xml:space="preserve"> </w:t>
      </w:r>
      <w:proofErr w:type="gramStart"/>
      <w:r w:rsidRPr="00FF6725" w:rsidR="00A849A6">
        <w:rPr>
          <w:rFonts w:eastAsia="Calibri"/>
        </w:rPr>
        <w:t>1958;</w:t>
      </w:r>
      <w:proofErr w:type="gramEnd"/>
    </w:p>
    <w:p w:rsidR="00A849A6" w:rsidP="001D1FC9" w:rsidRDefault="00FF6725" w14:paraId="7379B2B3" w14:textId="77777777">
      <w:pPr>
        <w:numPr>
          <w:ilvl w:val="0"/>
          <w:numId w:val="9"/>
        </w:numPr>
        <w:rPr>
          <w:rFonts w:eastAsia="Calibri"/>
        </w:rPr>
      </w:pPr>
      <w:r w:rsidRPr="00FF6725">
        <w:rPr>
          <w:rFonts w:eastAsia="Calibri"/>
        </w:rPr>
        <w:t xml:space="preserve">a </w:t>
      </w:r>
      <w:r w:rsidRPr="00FF6725" w:rsidR="00A849A6">
        <w:rPr>
          <w:rFonts w:eastAsia="Calibri"/>
        </w:rPr>
        <w:t>narrative that provides the basis for the notifier’s conclusion of GRAS status,</w:t>
      </w:r>
      <w:r w:rsidRPr="00FF6725">
        <w:rPr>
          <w:rFonts w:eastAsia="Calibri"/>
        </w:rPr>
        <w:t xml:space="preserve"> </w:t>
      </w:r>
      <w:r w:rsidRPr="00FF6725" w:rsidR="00A849A6">
        <w:rPr>
          <w:rFonts w:eastAsia="Calibri"/>
        </w:rPr>
        <w:t>including why the scientific data, information, methods, and principles described in the</w:t>
      </w:r>
      <w:r w:rsidRPr="00FF6725">
        <w:rPr>
          <w:rFonts w:eastAsia="Calibri"/>
        </w:rPr>
        <w:t xml:space="preserve"> </w:t>
      </w:r>
      <w:r w:rsidRPr="00FF6725" w:rsidR="00A849A6">
        <w:rPr>
          <w:rFonts w:eastAsia="Calibri"/>
        </w:rPr>
        <w:t>notice provide a basis for the conclusion that the notified substance is generally</w:t>
      </w:r>
      <w:r w:rsidRPr="00FF6725">
        <w:rPr>
          <w:rFonts w:eastAsia="Calibri"/>
        </w:rPr>
        <w:t xml:space="preserve"> </w:t>
      </w:r>
      <w:r w:rsidRPr="00FF6725" w:rsidR="00A849A6">
        <w:rPr>
          <w:rFonts w:eastAsia="Calibri"/>
        </w:rPr>
        <w:t>recognized, among qualified experts, to be safe under the conditions of its intended</w:t>
      </w:r>
      <w:r w:rsidRPr="00FF6725">
        <w:rPr>
          <w:rFonts w:eastAsia="Calibri"/>
        </w:rPr>
        <w:t xml:space="preserve"> </w:t>
      </w:r>
      <w:r w:rsidRPr="00FF6725" w:rsidR="00A849A6">
        <w:rPr>
          <w:rFonts w:eastAsia="Calibri"/>
        </w:rPr>
        <w:t>use; and</w:t>
      </w:r>
    </w:p>
    <w:p w:rsidRPr="00FF6725" w:rsidR="00A849A6" w:rsidP="00FF6725" w:rsidRDefault="00FF6725" w14:paraId="1EC964A8" w14:textId="77777777">
      <w:pPr>
        <w:numPr>
          <w:ilvl w:val="0"/>
          <w:numId w:val="9"/>
        </w:numPr>
        <w:rPr>
          <w:rFonts w:eastAsia="Calibri"/>
        </w:rPr>
      </w:pPr>
      <w:r w:rsidRPr="00FF6725">
        <w:rPr>
          <w:rFonts w:eastAsia="Calibri"/>
        </w:rPr>
        <w:t xml:space="preserve">a </w:t>
      </w:r>
      <w:r w:rsidRPr="00FF6725" w:rsidR="00A849A6">
        <w:rPr>
          <w:rFonts w:eastAsia="Calibri"/>
        </w:rPr>
        <w:t>list of the generally available data, information, and methods the notifier cites in the</w:t>
      </w:r>
      <w:r w:rsidRPr="00FF6725">
        <w:rPr>
          <w:rFonts w:eastAsia="Calibri"/>
        </w:rPr>
        <w:t xml:space="preserve"> </w:t>
      </w:r>
      <w:r w:rsidRPr="00FF6725" w:rsidR="00A849A6">
        <w:rPr>
          <w:rFonts w:eastAsia="Calibri"/>
        </w:rPr>
        <w:t>GRAS notice.</w:t>
      </w:r>
    </w:p>
    <w:p w:rsidR="00FF6725" w:rsidP="00A849A6" w:rsidRDefault="00FF6725" w14:paraId="2F273C9A" w14:textId="77777777">
      <w:pPr>
        <w:rPr>
          <w:rFonts w:eastAsia="Calibri"/>
        </w:rPr>
      </w:pPr>
    </w:p>
    <w:p w:rsidR="00A849A6" w:rsidP="00A849A6" w:rsidRDefault="00A849A6" w14:paraId="0F4CA2EF" w14:textId="77777777">
      <w:pPr>
        <w:rPr>
          <w:rFonts w:eastAsia="Calibri"/>
        </w:rPr>
      </w:pPr>
      <w:r w:rsidRPr="00A849A6">
        <w:rPr>
          <w:rFonts w:eastAsia="Calibri"/>
        </w:rPr>
        <w:t>To assist respondents with the information collection we developed Form FDA 3667</w:t>
      </w:r>
      <w:r w:rsidR="00FF6725">
        <w:rPr>
          <w:rFonts w:eastAsia="Calibri"/>
        </w:rPr>
        <w:t xml:space="preserve"> </w:t>
      </w:r>
      <w:r w:rsidRPr="00A849A6">
        <w:rPr>
          <w:rFonts w:eastAsia="Calibri"/>
        </w:rPr>
        <w:t>entitled, “</w:t>
      </w:r>
      <w:r w:rsidRPr="00FF6725">
        <w:rPr>
          <w:rFonts w:eastAsia="Calibri"/>
          <w:i/>
          <w:iCs/>
        </w:rPr>
        <w:t>Generally Recognized as Safe (GRAS) Notice</w:t>
      </w:r>
      <w:r w:rsidRPr="00A849A6">
        <w:rPr>
          <w:rFonts w:eastAsia="Calibri"/>
        </w:rPr>
        <w:t>,” which provides a standardized</w:t>
      </w:r>
      <w:r w:rsidR="00FF6725">
        <w:rPr>
          <w:rFonts w:eastAsia="Calibri"/>
        </w:rPr>
        <w:t xml:space="preserve"> </w:t>
      </w:r>
      <w:r w:rsidRPr="00A849A6">
        <w:rPr>
          <w:rFonts w:eastAsia="Calibri"/>
        </w:rPr>
        <w:t xml:space="preserve">format for submitting the required information. </w:t>
      </w:r>
      <w:r w:rsidR="00FF6725">
        <w:rPr>
          <w:rFonts w:eastAsia="Calibri"/>
        </w:rPr>
        <w:t xml:space="preserve"> </w:t>
      </w:r>
      <w:r w:rsidRPr="00A849A6">
        <w:rPr>
          <w:rFonts w:eastAsia="Calibri"/>
        </w:rPr>
        <w:t>We therefore request extension of OMB</w:t>
      </w:r>
      <w:r w:rsidR="00FF6725">
        <w:rPr>
          <w:rFonts w:eastAsia="Calibri"/>
        </w:rPr>
        <w:t xml:space="preserve"> </w:t>
      </w:r>
      <w:r w:rsidRPr="00A849A6">
        <w:rPr>
          <w:rFonts w:eastAsia="Calibri"/>
        </w:rPr>
        <w:t>approval for the information collection provisions found in parts 170 and 570 of our</w:t>
      </w:r>
      <w:r w:rsidR="00FF6725">
        <w:rPr>
          <w:rFonts w:eastAsia="Calibri"/>
        </w:rPr>
        <w:t xml:space="preserve"> </w:t>
      </w:r>
      <w:r w:rsidRPr="00A849A6">
        <w:rPr>
          <w:rFonts w:eastAsia="Calibri"/>
        </w:rPr>
        <w:t>regulations</w:t>
      </w:r>
      <w:r w:rsidR="00FF6725">
        <w:rPr>
          <w:rFonts w:eastAsia="Calibri"/>
        </w:rPr>
        <w:t xml:space="preserve"> and</w:t>
      </w:r>
      <w:r w:rsidRPr="00A849A6">
        <w:rPr>
          <w:rFonts w:eastAsia="Calibri"/>
        </w:rPr>
        <w:t xml:space="preserve"> Form FDA 3667, as discussed in this supporting statement.</w:t>
      </w:r>
    </w:p>
    <w:p w:rsidRPr="001D1FC9" w:rsidR="00FF6725" w:rsidP="00FF6725" w:rsidRDefault="00FF6725" w14:paraId="0A136D24" w14:textId="77777777">
      <w:pPr>
        <w:rPr>
          <w:rFonts w:eastAsia="Calibri"/>
          <w:color w:val="000000"/>
        </w:rPr>
      </w:pPr>
    </w:p>
    <w:p w:rsidRPr="00357C8A" w:rsidR="00357C8A" w:rsidP="006705EA" w:rsidRDefault="00357C8A" w14:paraId="264EA80A"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FF6725" w:rsidP="00A849A6" w:rsidRDefault="00A849A6" w14:paraId="329156AF"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The information submitted to </w:t>
      </w:r>
      <w:r w:rsidR="00A92286">
        <w:rPr>
          <w:rFonts w:ascii="TimesNewRomanPSMT" w:hAnsi="TimesNewRomanPSMT" w:cs="TimesNewRomanPSMT"/>
        </w:rPr>
        <w:t xml:space="preserve">FDA </w:t>
      </w:r>
      <w:r>
        <w:rPr>
          <w:rFonts w:ascii="TimesNewRomanPSMT" w:hAnsi="TimesNewRomanPSMT" w:cs="TimesNewRomanPSMT"/>
        </w:rPr>
        <w:t>in a GRAS notice is necessary to allow us to</w:t>
      </w:r>
      <w:r w:rsidR="00FF6725">
        <w:rPr>
          <w:rFonts w:ascii="TimesNewRomanPSMT" w:hAnsi="TimesNewRomanPSMT" w:cs="TimesNewRomanPSMT"/>
        </w:rPr>
        <w:t xml:space="preserve"> </w:t>
      </w:r>
      <w:r>
        <w:rPr>
          <w:rFonts w:ascii="TimesNewRomanPSMT" w:hAnsi="TimesNewRomanPSMT" w:cs="TimesNewRomanPSMT"/>
        </w:rPr>
        <w:t>administer efficiently the FD&amp;C Act’s various provisions that apply to the use of</w:t>
      </w:r>
      <w:r w:rsidR="00FF6725">
        <w:rPr>
          <w:rFonts w:ascii="TimesNewRomanPSMT" w:hAnsi="TimesNewRomanPSMT" w:cs="TimesNewRomanPSMT"/>
        </w:rPr>
        <w:t xml:space="preserve"> </w:t>
      </w:r>
      <w:r>
        <w:rPr>
          <w:rFonts w:ascii="TimesNewRomanPSMT" w:hAnsi="TimesNewRomanPSMT" w:cs="TimesNewRomanPSMT"/>
        </w:rPr>
        <w:t>substances added to food, specifically regarding whether a substance is GRAS under</w:t>
      </w:r>
      <w:r w:rsidR="00FF6725">
        <w:rPr>
          <w:rFonts w:ascii="TimesNewRomanPSMT" w:hAnsi="TimesNewRomanPSMT" w:cs="TimesNewRomanPSMT"/>
        </w:rPr>
        <w:t xml:space="preserve"> </w:t>
      </w:r>
      <w:r>
        <w:rPr>
          <w:rFonts w:ascii="TimesNewRomanPSMT" w:hAnsi="TimesNewRomanPSMT" w:cs="TimesNewRomanPSMT"/>
        </w:rPr>
        <w:t>the conditions of its intended use or is a food additive subject to premarket review.</w:t>
      </w:r>
    </w:p>
    <w:p w:rsidR="00FF6725" w:rsidP="00A849A6" w:rsidRDefault="00FF6725" w14:paraId="0CB74341" w14:textId="77777777">
      <w:pPr>
        <w:autoSpaceDE w:val="0"/>
        <w:autoSpaceDN w:val="0"/>
        <w:adjustRightInd w:val="0"/>
        <w:rPr>
          <w:i/>
          <w:iCs/>
        </w:rPr>
      </w:pPr>
    </w:p>
    <w:p w:rsidRPr="001D1FC9" w:rsidR="00FF6725" w:rsidP="00FF6725" w:rsidRDefault="00A849A6" w14:paraId="6D9BD99F" w14:textId="77777777">
      <w:pPr>
        <w:autoSpaceDE w:val="0"/>
        <w:autoSpaceDN w:val="0"/>
        <w:adjustRightInd w:val="0"/>
        <w:rPr>
          <w:rFonts w:eastAsia="Calibri"/>
          <w:color w:val="000000"/>
        </w:rPr>
      </w:pPr>
      <w:r>
        <w:rPr>
          <w:i/>
          <w:iCs/>
        </w:rPr>
        <w:t>Description of Respondents</w:t>
      </w:r>
      <w:r>
        <w:rPr>
          <w:rFonts w:ascii="TimesNewRomanPSMT" w:hAnsi="TimesNewRomanPSMT" w:cs="TimesNewRomanPSMT"/>
        </w:rPr>
        <w:t>: Respondents to the collection of information are</w:t>
      </w:r>
      <w:r w:rsidR="00FF6725">
        <w:rPr>
          <w:rFonts w:ascii="TimesNewRomanPSMT" w:hAnsi="TimesNewRomanPSMT" w:cs="TimesNewRomanPSMT"/>
        </w:rPr>
        <w:t xml:space="preserve"> </w:t>
      </w:r>
      <w:r>
        <w:rPr>
          <w:rFonts w:ascii="TimesNewRomanPSMT" w:hAnsi="TimesNewRomanPSMT" w:cs="TimesNewRomanPSMT"/>
        </w:rPr>
        <w:t>manufacturers of substances used in human food and animal food and feed.</w:t>
      </w:r>
      <w:r w:rsidRPr="0001446B" w:rsidR="0001446B">
        <w:t xml:space="preserve"> </w:t>
      </w:r>
      <w:r w:rsidR="0001446B">
        <w:t xml:space="preserve"> </w:t>
      </w:r>
      <w:r w:rsidRPr="0001446B" w:rsidR="0001446B">
        <w:rPr>
          <w:rFonts w:ascii="TimesNewRomanPSMT" w:hAnsi="TimesNewRomanPSMT" w:cs="TimesNewRomanPSMT"/>
        </w:rPr>
        <w:t>Respondents are from the private sector (for-profit businesses).</w:t>
      </w:r>
    </w:p>
    <w:p w:rsidRPr="001D1FC9" w:rsidR="00FF6725" w:rsidP="00FF6725" w:rsidRDefault="00FF6725" w14:paraId="0EF88DC5" w14:textId="77777777">
      <w:pPr>
        <w:autoSpaceDE w:val="0"/>
        <w:autoSpaceDN w:val="0"/>
        <w:adjustRightInd w:val="0"/>
        <w:rPr>
          <w:rFonts w:eastAsia="Calibri"/>
          <w:color w:val="000000"/>
        </w:rPr>
      </w:pPr>
    </w:p>
    <w:p w:rsidRPr="00357C8A" w:rsidR="00357C8A" w:rsidP="006705EA" w:rsidRDefault="00357C8A" w14:paraId="70636C5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6967" w:rsidP="00FF6725" w:rsidRDefault="00356967" w14:paraId="31406B7F" w14:textId="635DA1F8">
      <w:pPr>
        <w:autoSpaceDE w:val="0"/>
        <w:autoSpaceDN w:val="0"/>
        <w:adjustRightInd w:val="0"/>
        <w:rPr>
          <w:rFonts w:ascii="TimesNewRomanPSMT" w:hAnsi="TimesNewRomanPSMT" w:cs="TimesNewRomanPSMT"/>
        </w:rPr>
      </w:pPr>
      <w:r w:rsidRPr="00356967">
        <w:t>The form, and elements prepared as attachments to the form, may be submitted in electronic format via the Electronic Submission Gateway (</w:t>
      </w:r>
      <w:hyperlink w:history="1" r:id="rId7">
        <w:r w:rsidRPr="00B616BC" w:rsidR="006E1B20">
          <w:rPr>
            <w:rStyle w:val="Hyperlink"/>
          </w:rPr>
          <w:t>https://w</w:t>
        </w:r>
        <w:r w:rsidRPr="00B616BC" w:rsidR="006E1B20">
          <w:rPr>
            <w:rStyle w:val="Hyperlink"/>
          </w:rPr>
          <w:t>w</w:t>
        </w:r>
        <w:r w:rsidRPr="00B616BC" w:rsidR="006E1B20">
          <w:rPr>
            <w:rStyle w:val="Hyperlink"/>
          </w:rPr>
          <w:t>w.fda.gov/industry/electronic-submissions-gateway</w:t>
        </w:r>
      </w:hyperlink>
      <w:r w:rsidR="006E1B20">
        <w:t>)</w:t>
      </w:r>
      <w:r w:rsidRPr="00356967">
        <w:t xml:space="preserve">, or may be submitted in paper format, or as electronic files on physical media with paper signature page. While we do not expect Form FDA 3667 to reduce reporting time for respondents, use of the form helps to expedite our review of the information being submitted. </w:t>
      </w:r>
      <w:r w:rsidRPr="00356967" w:rsidDel="00E4340C" w:rsidR="00E4340C">
        <w:t xml:space="preserve"> </w:t>
      </w:r>
    </w:p>
    <w:p w:rsidR="00E4340C" w:rsidP="00FF6725" w:rsidRDefault="00E4340C" w14:paraId="0F68C6F9" w14:textId="77777777">
      <w:pPr>
        <w:autoSpaceDE w:val="0"/>
        <w:autoSpaceDN w:val="0"/>
        <w:adjustRightInd w:val="0"/>
        <w:rPr>
          <w:rFonts w:ascii="TimesNewRomanPSMT" w:hAnsi="TimesNewRomanPSMT" w:cs="TimesNewRomanPSMT"/>
        </w:rPr>
      </w:pPr>
    </w:p>
    <w:p w:rsidR="00357C8A" w:rsidP="00FF6725" w:rsidRDefault="00A849A6" w14:paraId="41A5FE25" w14:textId="77777777">
      <w:pPr>
        <w:autoSpaceDE w:val="0"/>
        <w:autoSpaceDN w:val="0"/>
        <w:adjustRightInd w:val="0"/>
        <w:rPr>
          <w:rFonts w:ascii="TimesNewRomanPSMT" w:hAnsi="TimesNewRomanPSMT" w:cs="TimesNewRomanPSMT"/>
        </w:rPr>
      </w:pPr>
      <w:r>
        <w:rPr>
          <w:rFonts w:ascii="TimesNewRomanPSMT" w:hAnsi="TimesNewRomanPSMT" w:cs="TimesNewRomanPSMT"/>
        </w:rPr>
        <w:t>We acknowledge that technology may not be available to every notifier and, thus,</w:t>
      </w:r>
      <w:r w:rsidR="00FF6725">
        <w:rPr>
          <w:rFonts w:ascii="TimesNewRomanPSMT" w:hAnsi="TimesNewRomanPSMT" w:cs="TimesNewRomanPSMT"/>
        </w:rPr>
        <w:t xml:space="preserve"> </w:t>
      </w:r>
      <w:r>
        <w:rPr>
          <w:rFonts w:ascii="TimesNewRomanPSMT" w:hAnsi="TimesNewRomanPSMT" w:cs="TimesNewRomanPSMT"/>
        </w:rPr>
        <w:t xml:space="preserve">do not require the submission of an electronic copy. </w:t>
      </w:r>
      <w:r w:rsidR="00A92286">
        <w:rPr>
          <w:rFonts w:ascii="TimesNewRomanPSMT" w:hAnsi="TimesNewRomanPSMT" w:cs="TimesNewRomanPSMT"/>
        </w:rPr>
        <w:t xml:space="preserve"> </w:t>
      </w:r>
      <w:r>
        <w:rPr>
          <w:rFonts w:ascii="TimesNewRomanPSMT" w:hAnsi="TimesNewRomanPSMT" w:cs="TimesNewRomanPSMT"/>
        </w:rPr>
        <w:t>Instead, a notifier may</w:t>
      </w:r>
      <w:r w:rsidR="00FF6725">
        <w:rPr>
          <w:rFonts w:ascii="TimesNewRomanPSMT" w:hAnsi="TimesNewRomanPSMT" w:cs="TimesNewRomanPSMT"/>
        </w:rPr>
        <w:t xml:space="preserve"> </w:t>
      </w:r>
      <w:r>
        <w:rPr>
          <w:rFonts w:ascii="TimesNewRomanPSMT" w:hAnsi="TimesNewRomanPSMT" w:cs="TimesNewRomanPSMT"/>
        </w:rPr>
        <w:t>submit a GRAS notice either in an electronic format that is accessible for our</w:t>
      </w:r>
      <w:r w:rsidR="00FF6725">
        <w:rPr>
          <w:rFonts w:ascii="TimesNewRomanPSMT" w:hAnsi="TimesNewRomanPSMT" w:cs="TimesNewRomanPSMT"/>
        </w:rPr>
        <w:t xml:space="preserve"> </w:t>
      </w:r>
      <w:r>
        <w:rPr>
          <w:rFonts w:ascii="TimesNewRomanPSMT" w:hAnsi="TimesNewRomanPSMT" w:cs="TimesNewRomanPSMT"/>
        </w:rPr>
        <w:t>evaluation or on paper (</w:t>
      </w:r>
      <w:bookmarkStart w:name="_Hlk103860852" w:id="0"/>
      <w:r w:rsidR="000E3F3C">
        <w:rPr>
          <w:rFonts w:ascii="TimesNewRomanPSMT" w:hAnsi="TimesNewRomanPSMT" w:cs="TimesNewRomanPSMT"/>
        </w:rPr>
        <w:t xml:space="preserve">for the Center for Food Safety and Applied Nutrition, </w:t>
      </w:r>
      <w:r>
        <w:rPr>
          <w:rFonts w:ascii="TimesNewRomanPSMT" w:hAnsi="TimesNewRomanPSMT" w:cs="TimesNewRomanPSMT"/>
        </w:rPr>
        <w:t>see § 170.210</w:t>
      </w:r>
      <w:bookmarkEnd w:id="0"/>
      <w:r w:rsidR="000E3F3C">
        <w:rPr>
          <w:rFonts w:ascii="TimesNewRomanPSMT" w:hAnsi="TimesNewRomanPSMT" w:cs="TimesNewRomanPSMT"/>
        </w:rPr>
        <w:t xml:space="preserve">; </w:t>
      </w:r>
      <w:r w:rsidRPr="000E3F3C" w:rsidR="000E3F3C">
        <w:rPr>
          <w:rFonts w:ascii="TimesNewRomanPSMT" w:hAnsi="TimesNewRomanPSMT" w:cs="TimesNewRomanPSMT"/>
        </w:rPr>
        <w:t xml:space="preserve">for the Center for </w:t>
      </w:r>
      <w:r w:rsidR="000E3F3C">
        <w:rPr>
          <w:rFonts w:ascii="TimesNewRomanPSMT" w:hAnsi="TimesNewRomanPSMT" w:cs="TimesNewRomanPSMT"/>
        </w:rPr>
        <w:t>Veterinary Medicine</w:t>
      </w:r>
      <w:r w:rsidRPr="000E3F3C" w:rsidR="000E3F3C">
        <w:rPr>
          <w:rFonts w:ascii="TimesNewRomanPSMT" w:hAnsi="TimesNewRomanPSMT" w:cs="TimesNewRomanPSMT"/>
        </w:rPr>
        <w:t xml:space="preserve">, see § </w:t>
      </w:r>
      <w:r w:rsidR="000E3F3C">
        <w:rPr>
          <w:rFonts w:ascii="TimesNewRomanPSMT" w:hAnsi="TimesNewRomanPSMT" w:cs="TimesNewRomanPSMT"/>
        </w:rPr>
        <w:t>5</w:t>
      </w:r>
      <w:r w:rsidRPr="000E3F3C" w:rsidR="000E3F3C">
        <w:rPr>
          <w:rFonts w:ascii="TimesNewRomanPSMT" w:hAnsi="TimesNewRomanPSMT" w:cs="TimesNewRomanPSMT"/>
        </w:rPr>
        <w:t>70.210</w:t>
      </w:r>
      <w:r>
        <w:rPr>
          <w:rFonts w:ascii="TimesNewRomanPSMT" w:hAnsi="TimesNewRomanPSMT" w:cs="TimesNewRomanPSMT"/>
        </w:rPr>
        <w:t xml:space="preserve">). </w:t>
      </w:r>
      <w:r w:rsidR="00FF6725">
        <w:rPr>
          <w:rFonts w:ascii="TimesNewRomanPSMT" w:hAnsi="TimesNewRomanPSMT" w:cs="TimesNewRomanPSMT"/>
        </w:rPr>
        <w:t xml:space="preserve"> </w:t>
      </w:r>
      <w:r>
        <w:rPr>
          <w:rFonts w:ascii="TimesNewRomanPSMT" w:hAnsi="TimesNewRomanPSMT" w:cs="TimesNewRomanPSMT"/>
        </w:rPr>
        <w:t>Based on our review of past GRAS</w:t>
      </w:r>
      <w:r w:rsidR="00FF6725">
        <w:rPr>
          <w:rFonts w:ascii="TimesNewRomanPSMT" w:hAnsi="TimesNewRomanPSMT" w:cs="TimesNewRomanPSMT"/>
        </w:rPr>
        <w:t xml:space="preserve"> </w:t>
      </w:r>
      <w:r>
        <w:rPr>
          <w:rFonts w:ascii="TimesNewRomanPSMT" w:hAnsi="TimesNewRomanPSMT" w:cs="TimesNewRomanPSMT"/>
        </w:rPr>
        <w:t>submissions, we estimate 70% of submissions will be made electronically, while</w:t>
      </w:r>
      <w:r w:rsidR="00FF6725">
        <w:rPr>
          <w:rFonts w:ascii="TimesNewRomanPSMT" w:hAnsi="TimesNewRomanPSMT" w:cs="TimesNewRomanPSMT"/>
        </w:rPr>
        <w:t xml:space="preserve"> </w:t>
      </w:r>
      <w:r>
        <w:rPr>
          <w:rFonts w:ascii="TimesNewRomanPSMT" w:hAnsi="TimesNewRomanPSMT" w:cs="TimesNewRomanPSMT"/>
        </w:rPr>
        <w:t xml:space="preserve">30% will continue to be submitted </w:t>
      </w:r>
      <w:r w:rsidR="00A92286">
        <w:rPr>
          <w:rFonts w:ascii="TimesNewRomanPSMT" w:hAnsi="TimesNewRomanPSMT" w:cs="TimesNewRomanPSMT"/>
        </w:rPr>
        <w:t>on paper</w:t>
      </w:r>
      <w:r>
        <w:rPr>
          <w:rFonts w:ascii="TimesNewRomanPSMT" w:hAnsi="TimesNewRomanPSMT" w:cs="TimesNewRomanPSMT"/>
        </w:rPr>
        <w:t>.</w:t>
      </w:r>
    </w:p>
    <w:p w:rsidRPr="001D1FC9" w:rsidR="00FF6725" w:rsidP="00FF6725" w:rsidRDefault="00FF6725" w14:paraId="1813BA6B" w14:textId="77777777">
      <w:pPr>
        <w:autoSpaceDE w:val="0"/>
        <w:autoSpaceDN w:val="0"/>
        <w:adjustRightInd w:val="0"/>
        <w:rPr>
          <w:rFonts w:eastAsia="Calibri"/>
          <w:color w:val="000000"/>
        </w:rPr>
      </w:pPr>
    </w:p>
    <w:p w:rsidRPr="00357C8A" w:rsidR="00357C8A" w:rsidP="006705EA" w:rsidRDefault="00357C8A" w14:paraId="47E360B4"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1D1FC9" w:rsidR="000C1260" w:rsidP="000313DD" w:rsidRDefault="00A849A6" w14:paraId="7901BE51" w14:textId="77777777">
      <w:pPr>
        <w:autoSpaceDE w:val="0"/>
        <w:autoSpaceDN w:val="0"/>
        <w:adjustRightInd w:val="0"/>
        <w:rPr>
          <w:rFonts w:ascii="TimesNewRomanPSMT" w:hAnsi="TimesNewRomanPSMT" w:cs="TimesNewRomanPSMT"/>
          <w:color w:val="000000"/>
        </w:rPr>
      </w:pPr>
      <w:r>
        <w:rPr>
          <w:rFonts w:ascii="TimesNewRomanPSMT" w:hAnsi="TimesNewRomanPSMT" w:cs="TimesNewRomanPSMT"/>
        </w:rPr>
        <w:t>We are unaware of duplicative information collection.</w:t>
      </w:r>
      <w:r w:rsidR="000313DD">
        <w:rPr>
          <w:rFonts w:ascii="TimesNewRomanPSMT" w:hAnsi="TimesNewRomanPSMT" w:cs="TimesNewRomanPSMT"/>
        </w:rPr>
        <w:t xml:space="preserve"> </w:t>
      </w:r>
      <w:r>
        <w:rPr>
          <w:rFonts w:ascii="TimesNewRomanPSMT" w:hAnsi="TimesNewRomanPSMT" w:cs="TimesNewRomanPSMT"/>
        </w:rPr>
        <w:t xml:space="preserve"> Under the Meat and Poultry</w:t>
      </w:r>
      <w:r w:rsidR="000313DD">
        <w:rPr>
          <w:rFonts w:ascii="TimesNewRomanPSMT" w:hAnsi="TimesNewRomanPSMT" w:cs="TimesNewRomanPSMT"/>
        </w:rPr>
        <w:t xml:space="preserve"> </w:t>
      </w:r>
      <w:r>
        <w:rPr>
          <w:rFonts w:ascii="TimesNewRomanPSMT" w:hAnsi="TimesNewRomanPSMT" w:cs="TimesNewRomanPSMT"/>
        </w:rPr>
        <w:t xml:space="preserve">Inspection Acts, the United States Department of Agriculture’s Food </w:t>
      </w:r>
      <w:proofErr w:type="gramStart"/>
      <w:r>
        <w:rPr>
          <w:rFonts w:ascii="TimesNewRomanPSMT" w:hAnsi="TimesNewRomanPSMT" w:cs="TimesNewRomanPSMT"/>
        </w:rPr>
        <w:t>Safety</w:t>
      </w:r>
      <w:proofErr w:type="gramEnd"/>
      <w:r>
        <w:rPr>
          <w:rFonts w:ascii="TimesNewRomanPSMT" w:hAnsi="TimesNewRomanPSMT" w:cs="TimesNewRomanPSMT"/>
        </w:rPr>
        <w:t xml:space="preserve"> and</w:t>
      </w:r>
      <w:r w:rsidR="000313DD">
        <w:rPr>
          <w:rFonts w:ascii="TimesNewRomanPSMT" w:hAnsi="TimesNewRomanPSMT" w:cs="TimesNewRomanPSMT"/>
        </w:rPr>
        <w:t xml:space="preserve"> </w:t>
      </w:r>
      <w:r>
        <w:rPr>
          <w:rFonts w:ascii="TimesNewRomanPSMT" w:hAnsi="TimesNewRomanPSMT" w:cs="TimesNewRomanPSMT"/>
        </w:rPr>
        <w:t xml:space="preserve">Inspection Service (USDA/FSIS) has regulatory authority for meat and poultry. </w:t>
      </w:r>
      <w:r w:rsidR="000313DD">
        <w:rPr>
          <w:rFonts w:ascii="TimesNewRomanPSMT" w:hAnsi="TimesNewRomanPSMT" w:cs="TimesNewRomanPSMT"/>
        </w:rPr>
        <w:t xml:space="preserve"> </w:t>
      </w:r>
      <w:r>
        <w:rPr>
          <w:rFonts w:ascii="TimesNewRomanPSMT" w:hAnsi="TimesNewRomanPSMT" w:cs="TimesNewRomanPSMT"/>
        </w:rPr>
        <w:t>FDA</w:t>
      </w:r>
      <w:r w:rsidR="000313DD">
        <w:rPr>
          <w:rFonts w:ascii="TimesNewRomanPSMT" w:hAnsi="TimesNewRomanPSMT" w:cs="TimesNewRomanPSMT"/>
        </w:rPr>
        <w:t xml:space="preserve"> </w:t>
      </w:r>
      <w:r>
        <w:rPr>
          <w:rFonts w:ascii="TimesNewRomanPSMT" w:hAnsi="TimesNewRomanPSMT" w:cs="TimesNewRomanPSMT"/>
        </w:rPr>
        <w:t>and USDA have signed a Memorandum of Understanding that provides for a coordinated</w:t>
      </w:r>
      <w:r w:rsidR="000313DD">
        <w:rPr>
          <w:rFonts w:ascii="TimesNewRomanPSMT" w:hAnsi="TimesNewRomanPSMT" w:cs="TimesNewRomanPSMT"/>
        </w:rPr>
        <w:t xml:space="preserve"> </w:t>
      </w:r>
      <w:r>
        <w:rPr>
          <w:rFonts w:ascii="TimesNewRomanPSMT" w:hAnsi="TimesNewRomanPSMT" w:cs="TimesNewRomanPSMT"/>
        </w:rPr>
        <w:t xml:space="preserve">evaluation process with FSIS </w:t>
      </w:r>
      <w:r>
        <w:rPr>
          <w:rFonts w:ascii="TimesNewRomanPSMT" w:hAnsi="TimesNewRomanPSMT" w:cs="TimesNewRomanPSMT"/>
        </w:rPr>
        <w:lastRenderedPageBreak/>
        <w:t>when the intended conditions of use of a notified substance</w:t>
      </w:r>
      <w:r w:rsidR="000313DD">
        <w:rPr>
          <w:rFonts w:ascii="TimesNewRomanPSMT" w:hAnsi="TimesNewRomanPSMT" w:cs="TimesNewRomanPSMT"/>
        </w:rPr>
        <w:t xml:space="preserve"> </w:t>
      </w:r>
      <w:r>
        <w:rPr>
          <w:rFonts w:ascii="TimesNewRomanPSMT" w:hAnsi="TimesNewRomanPSMT" w:cs="TimesNewRomanPSMT"/>
        </w:rPr>
        <w:t>include use in a product or products subject to regulation by USDA under statutes that it</w:t>
      </w:r>
      <w:r w:rsidR="000313DD">
        <w:rPr>
          <w:rFonts w:ascii="TimesNewRomanPSMT" w:hAnsi="TimesNewRomanPSMT" w:cs="TimesNewRomanPSMT"/>
        </w:rPr>
        <w:t xml:space="preserve"> </w:t>
      </w:r>
      <w:r>
        <w:rPr>
          <w:rFonts w:ascii="TimesNewRomanPSMT" w:hAnsi="TimesNewRomanPSMT" w:cs="TimesNewRomanPSMT"/>
        </w:rPr>
        <w:t>administers (75 FR 81536 at 81541-81542).</w:t>
      </w:r>
    </w:p>
    <w:p w:rsidRPr="001D1FC9" w:rsidR="000313DD" w:rsidP="000313DD" w:rsidRDefault="000313DD" w14:paraId="52EF1CF7" w14:textId="77777777">
      <w:pPr>
        <w:autoSpaceDE w:val="0"/>
        <w:autoSpaceDN w:val="0"/>
        <w:adjustRightInd w:val="0"/>
        <w:rPr>
          <w:rFonts w:eastAsia="Calibri"/>
          <w:color w:val="000000"/>
        </w:rPr>
      </w:pPr>
    </w:p>
    <w:p w:rsidRPr="00357C8A" w:rsidR="00357C8A" w:rsidP="006705EA" w:rsidRDefault="00357C8A" w14:paraId="3A370D2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0313DD" w:rsidR="00357C8A" w:rsidP="000313DD" w:rsidRDefault="00A849A6" w14:paraId="6D00F180" w14:textId="77777777">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We estimate ten percent (10%) of respondents are small businesses; however, the</w:t>
      </w:r>
      <w:r w:rsidR="000313DD">
        <w:rPr>
          <w:rFonts w:ascii="TimesNewRomanPSMT" w:hAnsi="TimesNewRomanPSMT" w:cs="TimesNewRomanPSMT"/>
          <w:color w:val="000000"/>
        </w:rPr>
        <w:t xml:space="preserve"> </w:t>
      </w:r>
      <w:r>
        <w:rPr>
          <w:rFonts w:ascii="TimesNewRomanPSMT" w:hAnsi="TimesNewRomanPSMT" w:cs="TimesNewRomanPSMT"/>
          <w:color w:val="000000"/>
        </w:rPr>
        <w:t xml:space="preserve">regulations do not pose an undue burden on small entities. </w:t>
      </w:r>
      <w:r w:rsidR="000313DD">
        <w:rPr>
          <w:rFonts w:ascii="TimesNewRomanPSMT" w:hAnsi="TimesNewRomanPSMT" w:cs="TimesNewRomanPSMT"/>
          <w:color w:val="000000"/>
        </w:rPr>
        <w:t xml:space="preserve"> </w:t>
      </w:r>
      <w:r w:rsidRPr="000313DD" w:rsidR="000313DD">
        <w:rPr>
          <w:rFonts w:ascii="TimesNewRomanPSMT" w:hAnsi="TimesNewRomanPSMT" w:cs="TimesNewRomanPSMT"/>
          <w:color w:val="000000"/>
        </w:rPr>
        <w:t xml:space="preserve">We assist small businesses in complying with our requirements through Regional Small Business Representatives and through scientific and administrative staffs within the agency.  Assistance is also available for small businesses via the agency’s website at </w:t>
      </w:r>
      <w:hyperlink w:history="1" r:id="rId8">
        <w:r w:rsidRPr="000313DD" w:rsidR="000313DD">
          <w:rPr>
            <w:rFonts w:ascii="TimesNewRomanPSMT" w:hAnsi="TimesNewRomanPSMT" w:cs="TimesNewRomanPSMT"/>
            <w:color w:val="0563C1"/>
            <w:u w:val="single"/>
          </w:rPr>
          <w:t>https://www.fda.gov/industry/small-business-assistance.</w:t>
        </w:r>
      </w:hyperlink>
    </w:p>
    <w:p w:rsidRPr="00357C8A" w:rsidR="000313DD" w:rsidP="000313DD" w:rsidRDefault="000313DD" w14:paraId="583DB542" w14:textId="77777777">
      <w:pPr>
        <w:autoSpaceDE w:val="0"/>
        <w:autoSpaceDN w:val="0"/>
        <w:adjustRightInd w:val="0"/>
        <w:rPr>
          <w:rFonts w:eastAsia="Calibri"/>
        </w:rPr>
      </w:pPr>
    </w:p>
    <w:p w:rsidRPr="00357C8A" w:rsidR="00357C8A" w:rsidP="006705EA" w:rsidRDefault="00357C8A" w14:paraId="525F854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1D1FC9" w:rsidR="00357C8A" w:rsidP="000313DD" w:rsidRDefault="00A849A6" w14:paraId="35881E7A" w14:textId="77777777">
      <w:pPr>
        <w:autoSpaceDE w:val="0"/>
        <w:autoSpaceDN w:val="0"/>
        <w:adjustRightInd w:val="0"/>
        <w:rPr>
          <w:rFonts w:eastAsia="Calibri"/>
          <w:color w:val="000000"/>
        </w:rPr>
      </w:pPr>
      <w:r>
        <w:rPr>
          <w:rFonts w:ascii="TimesNewRomanPSMT" w:hAnsi="TimesNewRomanPSMT" w:cs="TimesNewRomanPSMT"/>
        </w:rPr>
        <w:t>GRAS notifications are submitted only once and enable us to determine whether the</w:t>
      </w:r>
      <w:r w:rsidR="000313DD">
        <w:rPr>
          <w:rFonts w:ascii="TimesNewRomanPSMT" w:hAnsi="TimesNewRomanPSMT" w:cs="TimesNewRomanPSMT"/>
        </w:rPr>
        <w:t xml:space="preserve"> </w:t>
      </w:r>
      <w:r>
        <w:rPr>
          <w:rFonts w:ascii="TimesNewRomanPSMT" w:hAnsi="TimesNewRomanPSMT" w:cs="TimesNewRomanPSMT"/>
        </w:rPr>
        <w:t>substance is GRAS under the conditions of its intended use or is a food additive subject to</w:t>
      </w:r>
      <w:r w:rsidR="000313DD">
        <w:rPr>
          <w:rFonts w:ascii="TimesNewRomanPSMT" w:hAnsi="TimesNewRomanPSMT" w:cs="TimesNewRomanPSMT"/>
        </w:rPr>
        <w:t xml:space="preserve"> </w:t>
      </w:r>
      <w:r>
        <w:rPr>
          <w:rFonts w:ascii="TimesNewRomanPSMT" w:hAnsi="TimesNewRomanPSMT" w:cs="TimesNewRomanPSMT"/>
        </w:rPr>
        <w:t xml:space="preserve">premarket review. </w:t>
      </w:r>
      <w:r w:rsidR="000313DD">
        <w:rPr>
          <w:rFonts w:ascii="TimesNewRomanPSMT" w:hAnsi="TimesNewRomanPSMT" w:cs="TimesNewRomanPSMT"/>
        </w:rPr>
        <w:t xml:space="preserve"> </w:t>
      </w:r>
      <w:r>
        <w:rPr>
          <w:rFonts w:ascii="TimesNewRomanPSMT" w:hAnsi="TimesNewRomanPSMT" w:cs="TimesNewRomanPSMT"/>
        </w:rPr>
        <w:t>We use the information collected through the GRAS notification</w:t>
      </w:r>
      <w:r w:rsidR="000313DD">
        <w:rPr>
          <w:rFonts w:ascii="TimesNewRomanPSMT" w:hAnsi="TimesNewRomanPSMT" w:cs="TimesNewRomanPSMT"/>
        </w:rPr>
        <w:t xml:space="preserve"> </w:t>
      </w:r>
      <w:r>
        <w:rPr>
          <w:rFonts w:ascii="TimesNewRomanPSMT" w:hAnsi="TimesNewRomanPSMT" w:cs="TimesNewRomanPSMT"/>
        </w:rPr>
        <w:t>procedure to complete our evaluation within the timelines specified in the regulations</w:t>
      </w:r>
      <w:r w:rsidR="000313DD">
        <w:rPr>
          <w:rFonts w:ascii="TimesNewRomanPSMT" w:hAnsi="TimesNewRomanPSMT" w:cs="TimesNewRomanPSMT"/>
        </w:rPr>
        <w:t xml:space="preserve"> </w:t>
      </w:r>
      <w:r>
        <w:rPr>
          <w:rFonts w:ascii="TimesNewRomanPSMT" w:hAnsi="TimesNewRomanPSMT" w:cs="TimesNewRomanPSMT"/>
        </w:rPr>
        <w:t>associated with parts 170 and 570.</w:t>
      </w:r>
    </w:p>
    <w:p w:rsidRPr="001D1FC9" w:rsidR="000313DD" w:rsidP="000313DD" w:rsidRDefault="000313DD" w14:paraId="4205FE92" w14:textId="77777777">
      <w:pPr>
        <w:autoSpaceDE w:val="0"/>
        <w:autoSpaceDN w:val="0"/>
        <w:adjustRightInd w:val="0"/>
        <w:rPr>
          <w:rFonts w:eastAsia="Calibri"/>
          <w:color w:val="000000"/>
        </w:rPr>
      </w:pPr>
    </w:p>
    <w:p w:rsidRPr="00357C8A" w:rsidR="00357C8A" w:rsidP="006705EA" w:rsidRDefault="00357C8A" w14:paraId="7B03EF1E"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1D1FC9" w:rsidR="00357C8A" w:rsidP="000313DD" w:rsidRDefault="00A849A6" w14:paraId="60F9480F" w14:textId="77777777">
      <w:pPr>
        <w:autoSpaceDE w:val="0"/>
        <w:autoSpaceDN w:val="0"/>
        <w:adjustRightInd w:val="0"/>
        <w:rPr>
          <w:rFonts w:eastAsia="Calibri"/>
          <w:color w:val="000000"/>
        </w:rPr>
      </w:pPr>
      <w:r>
        <w:rPr>
          <w:rFonts w:ascii="TimesNewRomanPSMT" w:hAnsi="TimesNewRomanPSMT" w:cs="TimesNewRomanPSMT"/>
        </w:rPr>
        <w:t>The information collection requirements are consistent with 5 CFR 1320.5, excepting</w:t>
      </w:r>
      <w:r w:rsidR="000313DD">
        <w:rPr>
          <w:rFonts w:ascii="TimesNewRomanPSMT" w:hAnsi="TimesNewRomanPSMT" w:cs="TimesNewRomanPSMT"/>
        </w:rPr>
        <w:t xml:space="preserve"> </w:t>
      </w:r>
      <w:r>
        <w:rPr>
          <w:rFonts w:ascii="TimesNewRomanPSMT" w:hAnsi="TimesNewRomanPSMT" w:cs="TimesNewRomanPSMT"/>
        </w:rPr>
        <w:t xml:space="preserve">indefinite extended retention of GRAS notification records. </w:t>
      </w:r>
      <w:r w:rsidR="000313DD">
        <w:rPr>
          <w:rFonts w:ascii="TimesNewRomanPSMT" w:hAnsi="TimesNewRomanPSMT" w:cs="TimesNewRomanPSMT"/>
        </w:rPr>
        <w:t xml:space="preserve"> </w:t>
      </w:r>
      <w:r>
        <w:rPr>
          <w:rFonts w:ascii="TimesNewRomanPSMT" w:hAnsi="TimesNewRomanPSMT" w:cs="TimesNewRomanPSMT"/>
        </w:rPr>
        <w:t>We believe this extended</w:t>
      </w:r>
      <w:r w:rsidR="000313DD">
        <w:rPr>
          <w:rFonts w:ascii="TimesNewRomanPSMT" w:hAnsi="TimesNewRomanPSMT" w:cs="TimesNewRomanPSMT"/>
        </w:rPr>
        <w:t xml:space="preserve"> </w:t>
      </w:r>
      <w:r>
        <w:rPr>
          <w:rFonts w:ascii="TimesNewRomanPSMT" w:hAnsi="TimesNewRomanPSMT" w:cs="TimesNewRomanPSMT"/>
        </w:rPr>
        <w:t>retention period is necessary because, under the regulations, notifiers submit a summary</w:t>
      </w:r>
      <w:r w:rsidR="000313DD">
        <w:rPr>
          <w:rFonts w:ascii="TimesNewRomanPSMT" w:hAnsi="TimesNewRomanPSMT" w:cs="TimesNewRomanPSMT"/>
        </w:rPr>
        <w:t xml:space="preserve"> </w:t>
      </w:r>
      <w:r>
        <w:rPr>
          <w:rFonts w:ascii="TimesNewRomanPSMT" w:hAnsi="TimesNewRomanPSMT" w:cs="TimesNewRomanPSMT"/>
        </w:rPr>
        <w:t>of information that provides the basis for a conclusion of GRAS status rather than the</w:t>
      </w:r>
      <w:r w:rsidR="000313DD">
        <w:rPr>
          <w:rFonts w:ascii="TimesNewRomanPSMT" w:hAnsi="TimesNewRomanPSMT" w:cs="TimesNewRomanPSMT"/>
        </w:rPr>
        <w:t xml:space="preserve"> </w:t>
      </w:r>
      <w:r>
        <w:rPr>
          <w:rFonts w:ascii="TimesNewRomanPSMT" w:hAnsi="TimesNewRomanPSMT" w:cs="TimesNewRomanPSMT"/>
        </w:rPr>
        <w:t xml:space="preserve">information itself. </w:t>
      </w:r>
      <w:r w:rsidR="000313DD">
        <w:rPr>
          <w:rFonts w:ascii="TimesNewRomanPSMT" w:hAnsi="TimesNewRomanPSMT" w:cs="TimesNewRomanPSMT"/>
        </w:rPr>
        <w:t xml:space="preserve"> </w:t>
      </w:r>
      <w:r>
        <w:rPr>
          <w:rFonts w:ascii="TimesNewRomanPSMT" w:hAnsi="TimesNewRomanPSMT" w:cs="TimesNewRomanPSMT"/>
        </w:rPr>
        <w:t>Although the regulations in 21 CFR part</w:t>
      </w:r>
      <w:r w:rsidR="00356479">
        <w:rPr>
          <w:rFonts w:ascii="TimesNewRomanPSMT" w:hAnsi="TimesNewRomanPSMT" w:cs="TimesNewRomanPSMT"/>
        </w:rPr>
        <w:t>s</w:t>
      </w:r>
      <w:r>
        <w:rPr>
          <w:rFonts w:ascii="TimesNewRomanPSMT" w:hAnsi="TimesNewRomanPSMT" w:cs="TimesNewRomanPSMT"/>
        </w:rPr>
        <w:t xml:space="preserve"> 170 </w:t>
      </w:r>
      <w:r w:rsidR="00356479">
        <w:rPr>
          <w:rFonts w:ascii="TimesNewRomanPSMT" w:hAnsi="TimesNewRomanPSMT" w:cs="TimesNewRomanPSMT"/>
        </w:rPr>
        <w:t>and</w:t>
      </w:r>
      <w:r>
        <w:rPr>
          <w:rFonts w:ascii="TimesNewRomanPSMT" w:hAnsi="TimesNewRomanPSMT" w:cs="TimesNewRomanPSMT"/>
        </w:rPr>
        <w:t xml:space="preserve"> 570 do</w:t>
      </w:r>
      <w:r w:rsidR="000313DD">
        <w:rPr>
          <w:rFonts w:ascii="TimesNewRomanPSMT" w:hAnsi="TimesNewRomanPSMT" w:cs="TimesNewRomanPSMT"/>
        </w:rPr>
        <w:t xml:space="preserve"> </w:t>
      </w:r>
      <w:r>
        <w:rPr>
          <w:rFonts w:ascii="TimesNewRomanPSMT" w:hAnsi="TimesNewRomanPSMT" w:cs="TimesNewRomanPSMT"/>
        </w:rPr>
        <w:t>not specify any timeframe to retain the data and information that supports the conclusion</w:t>
      </w:r>
      <w:r w:rsidR="000313DD">
        <w:rPr>
          <w:rFonts w:ascii="TimesNewRomanPSMT" w:hAnsi="TimesNewRomanPSMT" w:cs="TimesNewRomanPSMT"/>
        </w:rPr>
        <w:t xml:space="preserve"> </w:t>
      </w:r>
      <w:r>
        <w:rPr>
          <w:rFonts w:ascii="TimesNewRomanPSMT" w:hAnsi="TimesNewRomanPSMT" w:cs="TimesNewRomanPSMT"/>
        </w:rPr>
        <w:t>of GRAS status, preservation of the data and information that are the basis for the</w:t>
      </w:r>
      <w:r w:rsidR="000313DD">
        <w:rPr>
          <w:rFonts w:ascii="TimesNewRomanPSMT" w:hAnsi="TimesNewRomanPSMT" w:cs="TimesNewRomanPSMT"/>
        </w:rPr>
        <w:t xml:space="preserve"> </w:t>
      </w:r>
      <w:r>
        <w:rPr>
          <w:rFonts w:ascii="TimesNewRomanPSMT" w:hAnsi="TimesNewRomanPSMT" w:cs="TimesNewRomanPSMT"/>
        </w:rPr>
        <w:t>conclusion of GRAS status represents prudent practice for those who claim an exclusion</w:t>
      </w:r>
      <w:r w:rsidR="000313DD">
        <w:rPr>
          <w:rFonts w:ascii="TimesNewRomanPSMT" w:hAnsi="TimesNewRomanPSMT" w:cs="TimesNewRomanPSMT"/>
        </w:rPr>
        <w:t xml:space="preserve"> </w:t>
      </w:r>
      <w:r>
        <w:rPr>
          <w:rFonts w:ascii="TimesNewRomanPSMT" w:hAnsi="TimesNewRomanPSMT" w:cs="TimesNewRomanPSMT"/>
        </w:rPr>
        <w:t>from a statutory requirement regardless of whether the person subsequently notifies</w:t>
      </w:r>
      <w:r w:rsidR="000313DD">
        <w:rPr>
          <w:rFonts w:ascii="TimesNewRomanPSMT" w:hAnsi="TimesNewRomanPSMT" w:cs="TimesNewRomanPSMT"/>
        </w:rPr>
        <w:t xml:space="preserve"> </w:t>
      </w:r>
      <w:r>
        <w:rPr>
          <w:rFonts w:ascii="TimesNewRomanPSMT" w:hAnsi="TimesNewRomanPSMT" w:cs="TimesNewRomanPSMT"/>
        </w:rPr>
        <w:t>FDA.</w:t>
      </w:r>
    </w:p>
    <w:p w:rsidRPr="00357C8A" w:rsidR="00EE5898" w:rsidP="00EE5898" w:rsidRDefault="00EE5898" w14:paraId="564E5285" w14:textId="77777777">
      <w:pPr>
        <w:autoSpaceDE w:val="0"/>
        <w:autoSpaceDN w:val="0"/>
        <w:adjustRightInd w:val="0"/>
        <w:rPr>
          <w:rFonts w:eastAsia="Calibri"/>
        </w:rPr>
      </w:pPr>
    </w:p>
    <w:p w:rsidRPr="00357C8A" w:rsidR="00357C8A" w:rsidP="006705EA" w:rsidRDefault="00357C8A" w14:paraId="15C0A7D0" w14:textId="77777777">
      <w:pPr>
        <w:numPr>
          <w:ilvl w:val="0"/>
          <w:numId w:val="6"/>
        </w:numPr>
        <w:spacing w:after="200" w:line="276" w:lineRule="auto"/>
        <w:rPr>
          <w:rFonts w:eastAsia="Calibri"/>
        </w:rPr>
      </w:pPr>
      <w:bookmarkStart w:name="_Hlk103671764" w:id="1"/>
      <w:r w:rsidRPr="00357C8A">
        <w:rPr>
          <w:rFonts w:eastAsia="Calibri"/>
          <w:u w:val="single"/>
        </w:rPr>
        <w:t>Comments in Response to the Federal Register Notice and Efforts to Consult Outside the Agency</w:t>
      </w:r>
    </w:p>
    <w:p w:rsidR="00A849A6" w:rsidP="00A849A6" w:rsidRDefault="00A849A6" w14:paraId="1AF294D5" w14:textId="77777777">
      <w:pPr>
        <w:autoSpaceDE w:val="0"/>
        <w:autoSpaceDN w:val="0"/>
        <w:adjustRightInd w:val="0"/>
        <w:rPr>
          <w:rFonts w:ascii="TimesNewRomanPSMT" w:hAnsi="TimesNewRomanPSMT" w:cs="TimesNewRomanPSMT"/>
        </w:rPr>
      </w:pPr>
      <w:bookmarkStart w:name="_Hlk103671224" w:id="2"/>
      <w:r>
        <w:rPr>
          <w:rFonts w:ascii="TimesNewRomanPSMT" w:hAnsi="TimesNewRomanPSMT" w:cs="TimesNewRomanPSMT"/>
        </w:rPr>
        <w:t>In accordance with 5 CFR 1320.8(d), we published a 60-day notice for public comment in</w:t>
      </w:r>
      <w:r w:rsidR="00EE5898">
        <w:rPr>
          <w:rFonts w:ascii="TimesNewRomanPSMT" w:hAnsi="TimesNewRomanPSMT" w:cs="TimesNewRomanPSMT"/>
        </w:rPr>
        <w:t xml:space="preserve"> </w:t>
      </w:r>
      <w:r>
        <w:rPr>
          <w:rFonts w:ascii="TimesNewRomanPSMT" w:hAnsi="TimesNewRomanPSMT" w:cs="TimesNewRomanPSMT"/>
        </w:rPr>
        <w:t xml:space="preserve">the </w:t>
      </w:r>
      <w:r w:rsidRPr="002E79C3">
        <w:rPr>
          <w:rFonts w:ascii="TimesNewRomanPSMT" w:hAnsi="TimesNewRomanPSMT" w:cs="TimesNewRomanPSMT"/>
          <w:i/>
          <w:iCs/>
        </w:rPr>
        <w:t>Federal Register</w:t>
      </w:r>
      <w:r>
        <w:rPr>
          <w:rFonts w:ascii="TimesNewRomanPSMT" w:hAnsi="TimesNewRomanPSMT" w:cs="TimesNewRomanPSMT"/>
        </w:rPr>
        <w:t xml:space="preserve"> of </w:t>
      </w:r>
      <w:r w:rsidR="00EE5898">
        <w:rPr>
          <w:rFonts w:ascii="TimesNewRomanPSMT" w:hAnsi="TimesNewRomanPSMT" w:cs="TimesNewRomanPSMT"/>
        </w:rPr>
        <w:t>November</w:t>
      </w:r>
      <w:r>
        <w:rPr>
          <w:rFonts w:ascii="TimesNewRomanPSMT" w:hAnsi="TimesNewRomanPSMT" w:cs="TimesNewRomanPSMT"/>
        </w:rPr>
        <w:t xml:space="preserve"> 1</w:t>
      </w:r>
      <w:r w:rsidR="00EE5898">
        <w:rPr>
          <w:rFonts w:ascii="TimesNewRomanPSMT" w:hAnsi="TimesNewRomanPSMT" w:cs="TimesNewRomanPSMT"/>
        </w:rPr>
        <w:t>9</w:t>
      </w:r>
      <w:r>
        <w:rPr>
          <w:rFonts w:ascii="TimesNewRomanPSMT" w:hAnsi="TimesNewRomanPSMT" w:cs="TimesNewRomanPSMT"/>
        </w:rPr>
        <w:t>, 20</w:t>
      </w:r>
      <w:r w:rsidR="00EE5898">
        <w:rPr>
          <w:rFonts w:ascii="TimesNewRomanPSMT" w:hAnsi="TimesNewRomanPSMT" w:cs="TimesNewRomanPSMT"/>
        </w:rPr>
        <w:t>2</w:t>
      </w:r>
      <w:r>
        <w:rPr>
          <w:rFonts w:ascii="TimesNewRomanPSMT" w:hAnsi="TimesNewRomanPSMT" w:cs="TimesNewRomanPSMT"/>
        </w:rPr>
        <w:t>1 (8</w:t>
      </w:r>
      <w:r w:rsidR="00EE5898">
        <w:rPr>
          <w:rFonts w:ascii="TimesNewRomanPSMT" w:hAnsi="TimesNewRomanPSMT" w:cs="TimesNewRomanPSMT"/>
        </w:rPr>
        <w:t>6</w:t>
      </w:r>
      <w:r>
        <w:rPr>
          <w:rFonts w:ascii="TimesNewRomanPSMT" w:hAnsi="TimesNewRomanPSMT" w:cs="TimesNewRomanPSMT"/>
        </w:rPr>
        <w:t xml:space="preserve"> FR </w:t>
      </w:r>
      <w:r w:rsidR="00EE5898">
        <w:rPr>
          <w:rFonts w:ascii="TimesNewRomanPSMT" w:hAnsi="TimesNewRomanPSMT" w:cs="TimesNewRomanPSMT"/>
        </w:rPr>
        <w:t>64943</w:t>
      </w:r>
      <w:r>
        <w:rPr>
          <w:rFonts w:ascii="TimesNewRomanPSMT" w:hAnsi="TimesNewRomanPSMT" w:cs="TimesNewRomanPSMT"/>
        </w:rPr>
        <w:t xml:space="preserve">). </w:t>
      </w:r>
      <w:r w:rsidR="00781558">
        <w:rPr>
          <w:rFonts w:ascii="TimesNewRomanPSMT" w:hAnsi="TimesNewRomanPSMT" w:cs="TimesNewRomanPSMT"/>
        </w:rPr>
        <w:t xml:space="preserve"> </w:t>
      </w:r>
      <w:r w:rsidR="00EE5898">
        <w:rPr>
          <w:rFonts w:ascii="TimesNewRomanPSMT" w:hAnsi="TimesNewRomanPSMT" w:cs="TimesNewRomanPSMT"/>
        </w:rPr>
        <w:t xml:space="preserve">One </w:t>
      </w:r>
      <w:r>
        <w:rPr>
          <w:rFonts w:ascii="TimesNewRomanPSMT" w:hAnsi="TimesNewRomanPSMT" w:cs="TimesNewRomanPSMT"/>
        </w:rPr>
        <w:t>comment w</w:t>
      </w:r>
      <w:r w:rsidR="00EE5898">
        <w:rPr>
          <w:rFonts w:ascii="TimesNewRomanPSMT" w:hAnsi="TimesNewRomanPSMT" w:cs="TimesNewRomanPSMT"/>
        </w:rPr>
        <w:t>as</w:t>
      </w:r>
      <w:r>
        <w:rPr>
          <w:rFonts w:ascii="TimesNewRomanPSMT" w:hAnsi="TimesNewRomanPSMT" w:cs="TimesNewRomanPSMT"/>
        </w:rPr>
        <w:t xml:space="preserve"> received.</w:t>
      </w:r>
    </w:p>
    <w:p w:rsidR="00EE5898" w:rsidP="00A849A6" w:rsidRDefault="00EE5898" w14:paraId="674460AE" w14:textId="77777777">
      <w:pPr>
        <w:autoSpaceDE w:val="0"/>
        <w:autoSpaceDN w:val="0"/>
        <w:adjustRightInd w:val="0"/>
        <w:rPr>
          <w:rFonts w:ascii="TimesNewRomanPSMT" w:hAnsi="TimesNewRomanPSMT" w:cs="TimesNewRomanPSMT"/>
        </w:rPr>
      </w:pPr>
    </w:p>
    <w:p w:rsidRPr="00710B66" w:rsidR="00710B66" w:rsidP="00710B66" w:rsidRDefault="00710B66" w14:paraId="453DE0FB" w14:textId="77777777">
      <w:pPr>
        <w:autoSpaceDE w:val="0"/>
        <w:autoSpaceDN w:val="0"/>
        <w:adjustRightInd w:val="0"/>
        <w:rPr>
          <w:rFonts w:ascii="TimesNewRomanPSMT" w:hAnsi="TimesNewRomanPSMT" w:cs="TimesNewRomanPSMT"/>
        </w:rPr>
      </w:pPr>
      <w:bookmarkStart w:name="_Hlk103686410" w:id="3"/>
      <w:r w:rsidRPr="00710B66">
        <w:rPr>
          <w:rFonts w:ascii="TimesNewRomanPSMT" w:hAnsi="TimesNewRomanPSMT" w:cs="TimesNewRomanPSMT"/>
        </w:rPr>
        <w:t xml:space="preserve">The comment offers that FDA underestimated the average burden per response for information collection activities related to animal food GRAS notices.  It </w:t>
      </w:r>
      <w:r w:rsidR="00B53B11">
        <w:rPr>
          <w:rFonts w:ascii="TimesNewRomanPSMT" w:hAnsi="TimesNewRomanPSMT" w:cs="TimesNewRomanPSMT"/>
        </w:rPr>
        <w:t xml:space="preserve">asserts </w:t>
      </w:r>
      <w:r w:rsidRPr="00710B66">
        <w:rPr>
          <w:rFonts w:ascii="TimesNewRomanPSMT" w:hAnsi="TimesNewRomanPSMT" w:cs="TimesNewRomanPSMT"/>
        </w:rPr>
        <w:t>that GRAS notices for animal food and feed require peer reviewed journal publications to support the safety of ingredients</w:t>
      </w:r>
      <w:r w:rsidR="00B53B11">
        <w:rPr>
          <w:rFonts w:ascii="TimesNewRomanPSMT" w:hAnsi="TimesNewRomanPSMT" w:cs="TimesNewRomanPSMT"/>
        </w:rPr>
        <w:t>,</w:t>
      </w:r>
      <w:r w:rsidRPr="00710B66">
        <w:rPr>
          <w:rFonts w:ascii="TimesNewRomanPSMT" w:hAnsi="TimesNewRomanPSMT" w:cs="TimesNewRomanPSMT"/>
        </w:rPr>
        <w:t xml:space="preserve"> rather than accepting additional ways to demonstrate general recognition of safety of an ingredient for an intended use.  </w:t>
      </w:r>
    </w:p>
    <w:bookmarkEnd w:id="3"/>
    <w:p w:rsidRPr="00710B66" w:rsidR="00710B66" w:rsidP="00710B66" w:rsidRDefault="00710B66" w14:paraId="71ECDAFE" w14:textId="77777777">
      <w:pPr>
        <w:autoSpaceDE w:val="0"/>
        <w:autoSpaceDN w:val="0"/>
        <w:adjustRightInd w:val="0"/>
        <w:rPr>
          <w:rFonts w:ascii="TimesNewRomanPSMT" w:hAnsi="TimesNewRomanPSMT" w:cs="TimesNewRomanPSMT"/>
        </w:rPr>
      </w:pPr>
    </w:p>
    <w:p w:rsidRPr="008B71D9" w:rsidR="00357C8A" w:rsidP="00357C8A" w:rsidRDefault="00710B66" w14:paraId="269A2C00" w14:textId="77777777">
      <w:pPr>
        <w:spacing w:after="200"/>
        <w:rPr>
          <w:rFonts w:eastAsia="Calibri"/>
          <w:color w:val="000000"/>
        </w:rPr>
      </w:pPr>
      <w:r w:rsidRPr="00710B66">
        <w:rPr>
          <w:rFonts w:ascii="TimesNewRomanPSMT" w:hAnsi="TimesNewRomanPSMT" w:cs="TimesNewRomanPSMT"/>
        </w:rPr>
        <w:t xml:space="preserve">For any substance used in animal food to be GRAS under the conditions of its intended use, the data and information relied on to establish the safety of the use of the substance must be generally available, and that information can be in published scientific literature or other publicly available sources (e.g., textbooks, journal articles).  While the notifier may conduct their own study and publish it in a peer reviewed journal, the information provided in a GRAS notice can include other generally available information (i.e., in the public domain).  The notifier is not required to conduct de novo studies (and get that information published) </w:t>
      </w:r>
      <w:proofErr w:type="gramStart"/>
      <w:r w:rsidRPr="00710B66">
        <w:rPr>
          <w:rFonts w:ascii="TimesNewRomanPSMT" w:hAnsi="TimesNewRomanPSMT" w:cs="TimesNewRomanPSMT"/>
        </w:rPr>
        <w:t>in order to</w:t>
      </w:r>
      <w:proofErr w:type="gramEnd"/>
      <w:r w:rsidRPr="00710B66">
        <w:rPr>
          <w:rFonts w:ascii="TimesNewRomanPSMT" w:hAnsi="TimesNewRomanPSMT" w:cs="TimesNewRomanPSMT"/>
        </w:rPr>
        <w:t xml:space="preserve"> submit a GRAS notice.  The regulations for human food GRAS notifications and animal food GRAS notifications are similar, thus the average burden provided for animal food GRAS notifications is therefore consistent with the estimates for GRAS notifications for human food.  </w:t>
      </w:r>
      <w:r w:rsidR="00A80A60">
        <w:rPr>
          <w:rFonts w:ascii="TimesNewRomanPSMT" w:hAnsi="TimesNewRomanPSMT" w:cs="TimesNewRomanPSMT"/>
        </w:rPr>
        <w:t>Therefore, the average burden hours for this collection remain unchanged.</w:t>
      </w:r>
      <w:r w:rsidRPr="00710B66">
        <w:rPr>
          <w:rFonts w:ascii="TimesNewRomanPSMT" w:hAnsi="TimesNewRomanPSMT" w:cs="TimesNewRomanPSMT"/>
        </w:rPr>
        <w:t xml:space="preserve">   </w:t>
      </w:r>
    </w:p>
    <w:bookmarkEnd w:id="1"/>
    <w:bookmarkEnd w:id="2"/>
    <w:p w:rsidRPr="00357C8A" w:rsidR="00357C8A" w:rsidP="006705EA" w:rsidRDefault="00357C8A" w14:paraId="0396BAD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357C8A" w:rsidR="00357C8A" w:rsidP="00357C8A" w:rsidRDefault="00792947" w14:paraId="488B9956" w14:textId="77777777">
      <w:pPr>
        <w:spacing w:after="200"/>
        <w:rPr>
          <w:rFonts w:eastAsia="Calibri"/>
          <w:color w:val="FF0000"/>
        </w:rPr>
      </w:pPr>
      <w:r w:rsidRPr="002074FE">
        <w:rPr>
          <w:rFonts w:eastAsia="Calibri"/>
        </w:rPr>
        <w:t>There are no incentives, payments or gifts associated with this information collection.</w:t>
      </w:r>
    </w:p>
    <w:p w:rsidRPr="00357C8A" w:rsidR="00357C8A" w:rsidP="006705EA" w:rsidRDefault="00357C8A" w14:paraId="2E86450C"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849A6" w:rsidP="00FF6725" w:rsidRDefault="00A849A6" w14:paraId="701397CD" w14:textId="77777777">
      <w:pPr>
        <w:rPr>
          <w:rFonts w:eastAsia="Calibri"/>
        </w:rPr>
      </w:pPr>
      <w:r w:rsidRPr="00A849A6">
        <w:rPr>
          <w:rFonts w:eastAsia="Calibri"/>
        </w:rPr>
        <w:t>In accordance with our public information regulations in § 20.85 (Disclosure to other</w:t>
      </w:r>
      <w:r w:rsidR="00503671">
        <w:rPr>
          <w:rFonts w:eastAsia="Calibri"/>
        </w:rPr>
        <w:t xml:space="preserve"> </w:t>
      </w:r>
      <w:r w:rsidRPr="00A849A6">
        <w:rPr>
          <w:rFonts w:eastAsia="Calibri"/>
        </w:rPr>
        <w:t>Federal government departments and agencies), we can share confidential commercial</w:t>
      </w:r>
      <w:r w:rsidR="00503671">
        <w:rPr>
          <w:rFonts w:eastAsia="Calibri"/>
        </w:rPr>
        <w:t xml:space="preserve"> </w:t>
      </w:r>
      <w:r w:rsidRPr="00A849A6">
        <w:rPr>
          <w:rFonts w:eastAsia="Calibri"/>
        </w:rPr>
        <w:t>information with another Federal agency pursuant to a written agreement that the record</w:t>
      </w:r>
      <w:r w:rsidR="00503671">
        <w:rPr>
          <w:rFonts w:eastAsia="Calibri"/>
        </w:rPr>
        <w:t xml:space="preserve"> </w:t>
      </w:r>
      <w:r w:rsidRPr="00A849A6">
        <w:rPr>
          <w:rFonts w:eastAsia="Calibri"/>
        </w:rPr>
        <w:t xml:space="preserve">will not be further disclosed. </w:t>
      </w:r>
      <w:r w:rsidR="00503671">
        <w:rPr>
          <w:rFonts w:eastAsia="Calibri"/>
        </w:rPr>
        <w:t xml:space="preserve"> </w:t>
      </w:r>
      <w:r w:rsidRPr="00A849A6">
        <w:rPr>
          <w:rFonts w:eastAsia="Calibri"/>
        </w:rPr>
        <w:t>The MOU between FDA and USDA’s FSIS</w:t>
      </w:r>
      <w:r w:rsidR="00503671">
        <w:rPr>
          <w:rFonts w:eastAsia="Calibri"/>
        </w:rPr>
        <w:t xml:space="preserve"> </w:t>
      </w:r>
      <w:r w:rsidRPr="00A849A6">
        <w:rPr>
          <w:rFonts w:eastAsia="Calibri"/>
        </w:rPr>
        <w:t>provides for FDA to share with FSIS confidential commercial information in a</w:t>
      </w:r>
      <w:r w:rsidR="00503671">
        <w:rPr>
          <w:rFonts w:eastAsia="Calibri"/>
        </w:rPr>
        <w:t xml:space="preserve"> </w:t>
      </w:r>
      <w:r w:rsidRPr="00A849A6">
        <w:rPr>
          <w:rFonts w:eastAsia="Calibri"/>
        </w:rPr>
        <w:t xml:space="preserve">submission such as a GRAS notice. </w:t>
      </w:r>
      <w:r w:rsidR="00503671">
        <w:rPr>
          <w:rFonts w:eastAsia="Calibri"/>
        </w:rPr>
        <w:t xml:space="preserve"> </w:t>
      </w:r>
      <w:r w:rsidRPr="00A849A6">
        <w:rPr>
          <w:rFonts w:eastAsia="Calibri"/>
        </w:rPr>
        <w:t>We generally cannot share trade secret</w:t>
      </w:r>
      <w:r w:rsidR="00503671">
        <w:rPr>
          <w:rFonts w:eastAsia="Calibri"/>
        </w:rPr>
        <w:t xml:space="preserve"> </w:t>
      </w:r>
      <w:r w:rsidRPr="00A849A6">
        <w:rPr>
          <w:rFonts w:eastAsia="Calibri"/>
        </w:rPr>
        <w:t>information with other Federal agencies under section 301(j) of the FD&amp;C Act (21</w:t>
      </w:r>
      <w:r w:rsidR="00503671">
        <w:rPr>
          <w:rFonts w:eastAsia="Calibri"/>
        </w:rPr>
        <w:t xml:space="preserve"> </w:t>
      </w:r>
      <w:r w:rsidRPr="00A849A6">
        <w:rPr>
          <w:rFonts w:eastAsia="Calibri"/>
        </w:rPr>
        <w:t>U.S.C. 331(j)), and therefore we would need the notifier’s authorization to share this</w:t>
      </w:r>
      <w:r w:rsidR="00503671">
        <w:rPr>
          <w:rFonts w:eastAsia="Calibri"/>
        </w:rPr>
        <w:t xml:space="preserve"> </w:t>
      </w:r>
      <w:r w:rsidRPr="00A849A6">
        <w:rPr>
          <w:rFonts w:eastAsia="Calibri"/>
        </w:rPr>
        <w:t>information with FSIS.</w:t>
      </w:r>
    </w:p>
    <w:p w:rsidRPr="00A849A6" w:rsidR="00503671" w:rsidP="00FF6725" w:rsidRDefault="00503671" w14:paraId="3AB38763" w14:textId="77777777">
      <w:pPr>
        <w:rPr>
          <w:rFonts w:eastAsia="Calibri"/>
        </w:rPr>
      </w:pPr>
    </w:p>
    <w:p w:rsidR="00A849A6" w:rsidP="00FF6725" w:rsidRDefault="00A849A6" w14:paraId="145DBACF" w14:textId="77777777">
      <w:pPr>
        <w:rPr>
          <w:rFonts w:eastAsia="Calibri"/>
        </w:rPr>
      </w:pPr>
      <w:r w:rsidRPr="00A849A6">
        <w:rPr>
          <w:rFonts w:eastAsia="Calibri"/>
        </w:rPr>
        <w:t>For efficiency in administering the coordinated evaluation of a GRAS notice with FSIS,</w:t>
      </w:r>
      <w:r w:rsidR="00503671">
        <w:rPr>
          <w:rFonts w:eastAsia="Calibri"/>
        </w:rPr>
        <w:t xml:space="preserve"> </w:t>
      </w:r>
      <w:r w:rsidRPr="00A849A6">
        <w:rPr>
          <w:rFonts w:eastAsia="Calibri"/>
        </w:rPr>
        <w:t>we have added a requirement for a notifier who submits a GRAS notice that we would</w:t>
      </w:r>
      <w:r w:rsidR="00503671">
        <w:rPr>
          <w:rFonts w:eastAsia="Calibri"/>
        </w:rPr>
        <w:t xml:space="preserve"> </w:t>
      </w:r>
      <w:r w:rsidRPr="00A849A6">
        <w:rPr>
          <w:rFonts w:eastAsia="Calibri"/>
        </w:rPr>
        <w:t xml:space="preserve">send to FSIS to include in </w:t>
      </w:r>
      <w:r w:rsidR="00EC4500">
        <w:rPr>
          <w:rFonts w:eastAsia="Calibri"/>
        </w:rPr>
        <w:t>P</w:t>
      </w:r>
      <w:r w:rsidRPr="00A849A6">
        <w:rPr>
          <w:rFonts w:eastAsia="Calibri"/>
        </w:rPr>
        <w:t>art 1 of the GRAS notice a statement as to whether the</w:t>
      </w:r>
      <w:r w:rsidR="00503671">
        <w:rPr>
          <w:rFonts w:eastAsia="Calibri"/>
        </w:rPr>
        <w:t xml:space="preserve"> </w:t>
      </w:r>
      <w:r w:rsidRPr="00A849A6">
        <w:rPr>
          <w:rFonts w:eastAsia="Calibri"/>
        </w:rPr>
        <w:t>notifier: (1) Authorizes us to send any trade secrets to FSIS; or (2) asks us to exclude</w:t>
      </w:r>
      <w:r w:rsidR="00503671">
        <w:rPr>
          <w:rFonts w:eastAsia="Calibri"/>
        </w:rPr>
        <w:t xml:space="preserve"> </w:t>
      </w:r>
      <w:r w:rsidRPr="00A849A6">
        <w:rPr>
          <w:rFonts w:eastAsia="Calibri"/>
        </w:rPr>
        <w:t>any trade secrets from the copy of the GRAS notice that we will send to FSIS (see §</w:t>
      </w:r>
      <w:r w:rsidR="00503671">
        <w:rPr>
          <w:rFonts w:eastAsia="Calibri"/>
        </w:rPr>
        <w:t xml:space="preserve"> </w:t>
      </w:r>
      <w:r w:rsidRPr="00A849A6">
        <w:rPr>
          <w:rFonts w:eastAsia="Calibri"/>
        </w:rPr>
        <w:t xml:space="preserve">170.225(c)(11)). </w:t>
      </w:r>
      <w:r w:rsidR="00503671">
        <w:rPr>
          <w:rFonts w:eastAsia="Calibri"/>
        </w:rPr>
        <w:t xml:space="preserve"> </w:t>
      </w:r>
      <w:r w:rsidRPr="00A849A6">
        <w:rPr>
          <w:rFonts w:eastAsia="Calibri"/>
        </w:rPr>
        <w:t>Under the provisions that make the coordinated evaluation of a GRAS</w:t>
      </w:r>
      <w:r w:rsidR="00503671">
        <w:rPr>
          <w:rFonts w:eastAsia="Calibri"/>
        </w:rPr>
        <w:t xml:space="preserve"> </w:t>
      </w:r>
      <w:r w:rsidRPr="00A849A6">
        <w:rPr>
          <w:rFonts w:eastAsia="Calibri"/>
        </w:rPr>
        <w:t>notice with FSIS explicit, we will exclude any trade secrets unless the notifier has</w:t>
      </w:r>
      <w:r w:rsidR="00503671">
        <w:rPr>
          <w:rFonts w:eastAsia="Calibri"/>
        </w:rPr>
        <w:t xml:space="preserve"> </w:t>
      </w:r>
      <w:r w:rsidRPr="00A849A6">
        <w:rPr>
          <w:rFonts w:eastAsia="Calibri"/>
        </w:rPr>
        <w:t xml:space="preserve">authorized us to send trade secret information to FSIS (see § 170.270). </w:t>
      </w:r>
      <w:r w:rsidR="00503671">
        <w:rPr>
          <w:rFonts w:eastAsia="Calibri"/>
        </w:rPr>
        <w:t xml:space="preserve"> </w:t>
      </w:r>
      <w:r w:rsidRPr="00A849A6">
        <w:rPr>
          <w:rFonts w:eastAsia="Calibri"/>
        </w:rPr>
        <w:t>These</w:t>
      </w:r>
      <w:r w:rsidR="00503671">
        <w:rPr>
          <w:rFonts w:eastAsia="Calibri"/>
        </w:rPr>
        <w:t xml:space="preserve"> </w:t>
      </w:r>
      <w:r w:rsidRPr="00A849A6">
        <w:rPr>
          <w:rFonts w:eastAsia="Calibri"/>
        </w:rPr>
        <w:t>provisions enable us, with the notifier’s authorization, to share a GRAS notice that</w:t>
      </w:r>
      <w:r w:rsidR="00503671">
        <w:rPr>
          <w:rFonts w:eastAsia="Calibri"/>
        </w:rPr>
        <w:t xml:space="preserve"> </w:t>
      </w:r>
      <w:r w:rsidRPr="00A849A6">
        <w:rPr>
          <w:rFonts w:eastAsia="Calibri"/>
        </w:rPr>
        <w:t>includes trade secret information with FSIS without first redacting the GRAS notice to</w:t>
      </w:r>
      <w:r w:rsidR="00503671">
        <w:rPr>
          <w:rFonts w:eastAsia="Calibri"/>
        </w:rPr>
        <w:t xml:space="preserve"> </w:t>
      </w:r>
      <w:r w:rsidRPr="00A849A6">
        <w:rPr>
          <w:rFonts w:eastAsia="Calibri"/>
        </w:rPr>
        <w:t>remove the trade secret information and, thus, will reduce the time it takes for us to</w:t>
      </w:r>
      <w:r w:rsidR="00503671">
        <w:rPr>
          <w:rFonts w:eastAsia="Calibri"/>
        </w:rPr>
        <w:t xml:space="preserve"> </w:t>
      </w:r>
      <w:r w:rsidRPr="00A849A6">
        <w:rPr>
          <w:rFonts w:eastAsia="Calibri"/>
        </w:rPr>
        <w:t>provide FSIS with a copy of the GRAS notice.</w:t>
      </w:r>
    </w:p>
    <w:p w:rsidRPr="00A849A6" w:rsidR="00503671" w:rsidP="00FF6725" w:rsidRDefault="00503671" w14:paraId="6AD44281" w14:textId="77777777">
      <w:pPr>
        <w:rPr>
          <w:rFonts w:eastAsia="Calibri"/>
        </w:rPr>
      </w:pPr>
    </w:p>
    <w:p w:rsidR="00A849A6" w:rsidP="00FF6725" w:rsidRDefault="00A849A6" w14:paraId="6C084E9D" w14:textId="77777777">
      <w:pPr>
        <w:rPr>
          <w:rFonts w:eastAsia="Calibri"/>
        </w:rPr>
      </w:pPr>
      <w:r w:rsidRPr="00A849A6">
        <w:rPr>
          <w:rFonts w:eastAsia="Calibri"/>
        </w:rPr>
        <w:t>These provisions also clarify the notifier’s expectations regarding whether we</w:t>
      </w:r>
      <w:r w:rsidR="00503671">
        <w:rPr>
          <w:rFonts w:eastAsia="Calibri"/>
        </w:rPr>
        <w:t xml:space="preserve"> </w:t>
      </w:r>
      <w:r w:rsidRPr="00A849A6">
        <w:rPr>
          <w:rFonts w:eastAsia="Calibri"/>
        </w:rPr>
        <w:t>should share trade secret information with FSIS and, thus, require us to redact the trade</w:t>
      </w:r>
      <w:r w:rsidR="00503671">
        <w:rPr>
          <w:rFonts w:eastAsia="Calibri"/>
        </w:rPr>
        <w:t xml:space="preserve"> </w:t>
      </w:r>
      <w:r w:rsidRPr="00A849A6">
        <w:rPr>
          <w:rFonts w:eastAsia="Calibri"/>
        </w:rPr>
        <w:t>secret information from the copy we send to FSIS when consistent with the notifier’s</w:t>
      </w:r>
      <w:r w:rsidR="00503671">
        <w:rPr>
          <w:rFonts w:eastAsia="Calibri"/>
        </w:rPr>
        <w:t xml:space="preserve"> </w:t>
      </w:r>
      <w:r w:rsidRPr="00A849A6">
        <w:rPr>
          <w:rFonts w:eastAsia="Calibri"/>
        </w:rPr>
        <w:t>express wishes.</w:t>
      </w:r>
      <w:r w:rsidR="00503671">
        <w:rPr>
          <w:rFonts w:eastAsia="Calibri"/>
        </w:rPr>
        <w:t xml:space="preserve"> </w:t>
      </w:r>
    </w:p>
    <w:p w:rsidRPr="00A849A6" w:rsidR="00503671" w:rsidP="00FF6725" w:rsidRDefault="00503671" w14:paraId="15BCD1B4" w14:textId="77777777">
      <w:pPr>
        <w:rPr>
          <w:rFonts w:eastAsia="Calibri"/>
        </w:rPr>
      </w:pPr>
    </w:p>
    <w:p w:rsidRPr="00A849A6" w:rsidR="00A849A6" w:rsidP="00FF6725" w:rsidRDefault="00A849A6" w14:paraId="07C592D4" w14:textId="77777777">
      <w:pPr>
        <w:rPr>
          <w:rFonts w:eastAsia="Calibri"/>
          <w:i/>
          <w:iCs/>
        </w:rPr>
      </w:pPr>
      <w:r w:rsidRPr="00A849A6">
        <w:rPr>
          <w:rFonts w:eastAsia="Calibri"/>
          <w:i/>
          <w:iCs/>
        </w:rPr>
        <w:t>Privacy Act</w:t>
      </w:r>
    </w:p>
    <w:p w:rsidR="00997361" w:rsidP="00997361" w:rsidRDefault="00997361" w14:paraId="419E777A" w14:textId="77777777">
      <w:pPr>
        <w:rPr>
          <w:rFonts w:eastAsia="Calibri"/>
        </w:rPr>
      </w:pPr>
    </w:p>
    <w:p w:rsidRPr="00997361" w:rsidR="00997361" w:rsidP="00997361" w:rsidRDefault="00997361" w14:paraId="775A6074" w14:textId="77777777">
      <w:pPr>
        <w:rPr>
          <w:rFonts w:eastAsia="Calibri"/>
        </w:rPr>
      </w:pPr>
      <w:r w:rsidRPr="00997361">
        <w:rPr>
          <w:rFonts w:eastAsia="Calibri"/>
        </w:rPr>
        <w:t xml:space="preserve">In preparing this </w:t>
      </w:r>
      <w:r>
        <w:rPr>
          <w:rFonts w:eastAsia="Calibri"/>
        </w:rPr>
        <w:t>s</w:t>
      </w:r>
      <w:r w:rsidRPr="00997361">
        <w:rPr>
          <w:rFonts w:eastAsia="Calibri"/>
        </w:rPr>
        <w:t xml:space="preserve">upporting </w:t>
      </w:r>
      <w:r>
        <w:rPr>
          <w:rFonts w:eastAsia="Calibri"/>
        </w:rPr>
        <w:t>s</w:t>
      </w:r>
      <w:r w:rsidRPr="00997361">
        <w:rPr>
          <w:rFonts w:eastAsia="Calibri"/>
        </w:rPr>
        <w:t>tatement, we consulted our Privacy Office to ensure appropriate identification and handling of information collected.</w:t>
      </w:r>
    </w:p>
    <w:p w:rsidRPr="00997361" w:rsidR="00997361" w:rsidP="00997361" w:rsidRDefault="00997361" w14:paraId="613339E0" w14:textId="77777777">
      <w:pPr>
        <w:rPr>
          <w:rFonts w:eastAsia="Calibri"/>
        </w:rPr>
      </w:pPr>
    </w:p>
    <w:p w:rsidRPr="00997361" w:rsidR="00997361" w:rsidP="00997361" w:rsidRDefault="00997361" w14:paraId="05402A68" w14:textId="77777777">
      <w:pPr>
        <w:rPr>
          <w:rFonts w:eastAsia="Calibri"/>
        </w:rPr>
      </w:pPr>
      <w:r w:rsidRPr="00997361">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submitted</w:t>
      </w:r>
      <w:r w:rsidRPr="00985ADD" w:rsidR="00985ADD">
        <w:t xml:space="preserve"> </w:t>
      </w:r>
      <w:r w:rsidRPr="00985ADD" w:rsidR="00985ADD">
        <w:rPr>
          <w:rFonts w:eastAsia="Calibri"/>
        </w:rPr>
        <w:t xml:space="preserve">via Form FDA 3667 (GRAS </w:t>
      </w:r>
      <w:r w:rsidR="00985ADD">
        <w:rPr>
          <w:rFonts w:eastAsia="Calibri"/>
        </w:rPr>
        <w:t>n</w:t>
      </w:r>
      <w:r w:rsidRPr="00985ADD" w:rsidR="00985ADD">
        <w:rPr>
          <w:rFonts w:eastAsia="Calibri"/>
        </w:rPr>
        <w:t>otice)</w:t>
      </w:r>
      <w:r w:rsidRPr="00997361">
        <w:rPr>
          <w:rFonts w:eastAsia="Calibri"/>
        </w:rPr>
        <w:t xml:space="preserve"> is name</w:t>
      </w:r>
      <w:r w:rsidR="00985ADD">
        <w:rPr>
          <w:rFonts w:eastAsia="Calibri"/>
        </w:rPr>
        <w:t>,</w:t>
      </w:r>
      <w:r w:rsidRPr="00997361">
        <w:rPr>
          <w:rFonts w:eastAsia="Calibri"/>
        </w:rPr>
        <w:t xml:space="preserve"> </w:t>
      </w:r>
      <w:r w:rsidRPr="00985ADD" w:rsidR="00985ADD">
        <w:rPr>
          <w:rFonts w:eastAsia="Calibri"/>
        </w:rPr>
        <w:t>phone number, mailing address, email address, and fax number</w:t>
      </w:r>
      <w:r w:rsidRPr="00997361">
        <w:rPr>
          <w:rFonts w:eastAsia="Calibri"/>
        </w:rPr>
        <w:t xml:space="preserve">. </w:t>
      </w:r>
      <w:r>
        <w:rPr>
          <w:rFonts w:eastAsia="Calibri"/>
        </w:rPr>
        <w:t xml:space="preserve"> </w:t>
      </w:r>
      <w:r w:rsidRPr="00997361">
        <w:rPr>
          <w:rFonts w:eastAsia="Calibri"/>
        </w:rPr>
        <w:t>FDA determined that</w:t>
      </w:r>
      <w:r w:rsidR="00A37384">
        <w:rPr>
          <w:rFonts w:eastAsia="Calibri"/>
        </w:rPr>
        <w:t>,</w:t>
      </w:r>
      <w:r w:rsidRPr="00997361">
        <w:rPr>
          <w:rFonts w:eastAsia="Calibri"/>
        </w:rPr>
        <w:t xml:space="preserve"> although PII is collected</w:t>
      </w:r>
      <w:r w:rsidR="00A37384">
        <w:rPr>
          <w:rFonts w:eastAsia="Calibri"/>
        </w:rPr>
        <w:t>,</w:t>
      </w:r>
      <w:r w:rsidRPr="00997361">
        <w:rPr>
          <w:rFonts w:eastAsia="Calibri"/>
        </w:rPr>
        <w:t xml:space="preserve"> it is not subject to the Privacy Act of 1974</w:t>
      </w:r>
      <w:r w:rsidR="00A37384">
        <w:rPr>
          <w:rFonts w:eastAsia="Calibri"/>
        </w:rPr>
        <w:t>,</w:t>
      </w:r>
      <w:r w:rsidRPr="00997361">
        <w:rPr>
          <w:rFonts w:eastAsia="Calibri"/>
        </w:rPr>
        <w:t xml:space="preserve"> and the </w:t>
      </w:r>
      <w:proofErr w:type="gramStart"/>
      <w:r w:rsidRPr="00997361">
        <w:rPr>
          <w:rFonts w:eastAsia="Calibri"/>
        </w:rPr>
        <w:t>particular notice</w:t>
      </w:r>
      <w:proofErr w:type="gramEnd"/>
      <w:r w:rsidRPr="00997361">
        <w:rPr>
          <w:rFonts w:eastAsia="Calibri"/>
        </w:rPr>
        <w:t xml:space="preserve"> and other requirements of the Act do not apply. </w:t>
      </w:r>
      <w:r w:rsidR="00A37384">
        <w:rPr>
          <w:rFonts w:eastAsia="Calibri"/>
        </w:rPr>
        <w:t xml:space="preserve"> </w:t>
      </w:r>
      <w:r w:rsidRPr="00997361">
        <w:rPr>
          <w:rFonts w:eastAsia="Calibri"/>
        </w:rPr>
        <w:t xml:space="preserve">Specifically, FDA does not use name or any other personal identifier to retrieve records from the information collected. </w:t>
      </w:r>
      <w:r w:rsidR="00A37384">
        <w:rPr>
          <w:rFonts w:eastAsia="Calibri"/>
        </w:rPr>
        <w:t xml:space="preserve"> </w:t>
      </w:r>
      <w:r w:rsidRPr="00997361">
        <w:rPr>
          <w:rFonts w:eastAsia="Calibri"/>
        </w:rPr>
        <w:t xml:space="preserve">Through appropriate </w:t>
      </w:r>
      <w:r w:rsidRPr="00985ADD" w:rsidR="00985ADD">
        <w:rPr>
          <w:rFonts w:eastAsia="Calibri"/>
        </w:rPr>
        <w:t>form design</w:t>
      </w:r>
      <w:r w:rsidRPr="00997361">
        <w:rPr>
          <w:rFonts w:eastAsia="Calibri"/>
        </w:rPr>
        <w:t>, FDA</w:t>
      </w:r>
      <w:r w:rsidRPr="00985ADD" w:rsidR="00985ADD">
        <w:t xml:space="preserve"> </w:t>
      </w:r>
      <w:r w:rsidRPr="00985ADD" w:rsidR="00985ADD">
        <w:rPr>
          <w:rFonts w:eastAsia="Calibri"/>
        </w:rPr>
        <w:t>limited submission fields and</w:t>
      </w:r>
      <w:r w:rsidRPr="00997361">
        <w:rPr>
          <w:rFonts w:eastAsia="Calibri"/>
        </w:rPr>
        <w:t xml:space="preserve"> minimized the PII collected to protect the privacy of the individuals.</w:t>
      </w:r>
    </w:p>
    <w:p w:rsidRPr="00997361" w:rsidR="00997361" w:rsidP="00997361" w:rsidRDefault="00997361" w14:paraId="09A79E11" w14:textId="77777777">
      <w:pPr>
        <w:rPr>
          <w:rFonts w:eastAsia="Calibri"/>
        </w:rPr>
      </w:pPr>
    </w:p>
    <w:p w:rsidRPr="008B71D9" w:rsidR="00A37384" w:rsidP="00A37384" w:rsidRDefault="00997361" w14:paraId="7E67B42F" w14:textId="77777777">
      <w:pPr>
        <w:rPr>
          <w:rFonts w:eastAsia="Calibri"/>
          <w:color w:val="000000"/>
        </w:rPr>
      </w:pPr>
      <w:r w:rsidRPr="00997361">
        <w:rPr>
          <w:rFonts w:eastAsia="Calibri"/>
        </w:rPr>
        <w:t xml:space="preserve">Under the Freedom of Information Act (FOIA) (5 U.S.C. 552), the public has broad access to government documents. </w:t>
      </w:r>
      <w:r w:rsidR="00A37384">
        <w:rPr>
          <w:rFonts w:eastAsia="Calibri"/>
        </w:rPr>
        <w:t xml:space="preserve"> </w:t>
      </w:r>
      <w:r w:rsidRPr="00997361">
        <w:rPr>
          <w:rFonts w:eastAsia="Calibri"/>
        </w:rPr>
        <w:t xml:space="preserve">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1075D3" w:rsidR="001075D3" w:rsidP="002E79C3" w:rsidRDefault="001075D3" w14:paraId="6B787040" w14:textId="77777777"/>
    <w:p w:rsidRPr="00357C8A" w:rsidR="00357C8A" w:rsidP="006705EA" w:rsidRDefault="00357C8A" w14:paraId="067726CA" w14:textId="77777777">
      <w:pPr>
        <w:numPr>
          <w:ilvl w:val="0"/>
          <w:numId w:val="6"/>
        </w:numPr>
        <w:spacing w:after="200" w:line="276" w:lineRule="auto"/>
        <w:rPr>
          <w:rFonts w:eastAsia="Calibri"/>
        </w:rPr>
      </w:pPr>
      <w:r w:rsidRPr="00357C8A">
        <w:rPr>
          <w:rFonts w:eastAsia="Calibri"/>
          <w:u w:val="single"/>
        </w:rPr>
        <w:t>Justification for Sensitive Questions</w:t>
      </w:r>
    </w:p>
    <w:p w:rsidR="00017FE5" w:rsidP="00017FE5" w:rsidRDefault="00017FE5" w14:paraId="2417B747" w14:textId="77777777">
      <w:pPr>
        <w:autoSpaceDE w:val="0"/>
        <w:autoSpaceDN w:val="0"/>
        <w:adjustRightInd w:val="0"/>
        <w:rPr>
          <w:rFonts w:ascii="TimesNewRomanPSMT" w:hAnsi="TimesNewRomanPSMT" w:cs="TimesNewRomanPSMT"/>
        </w:rPr>
      </w:pPr>
      <w:r>
        <w:rPr>
          <w:rFonts w:ascii="TimesNewRomanPSMT" w:hAnsi="TimesNewRomanPSMT" w:cs="TimesNewRomanPSMT"/>
        </w:rPr>
        <w:t>This information collection does not involve any questions that are of a personally</w:t>
      </w:r>
    </w:p>
    <w:p w:rsidRPr="008B71D9" w:rsidR="00357C8A" w:rsidP="0022425B" w:rsidRDefault="00017FE5" w14:paraId="3CDED27E" w14:textId="77777777">
      <w:pPr>
        <w:spacing w:after="200"/>
        <w:rPr>
          <w:rFonts w:eastAsia="Calibri"/>
          <w:color w:val="000000"/>
        </w:rPr>
      </w:pPr>
      <w:r>
        <w:rPr>
          <w:rFonts w:ascii="TimesNewRomanPSMT" w:hAnsi="TimesNewRomanPSMT" w:cs="TimesNewRomanPSMT"/>
        </w:rPr>
        <w:t>sensitive nature</w:t>
      </w:r>
      <w:r w:rsidR="00503671">
        <w:rPr>
          <w:rFonts w:eastAsia="Calibri"/>
        </w:rPr>
        <w:t>.</w:t>
      </w:r>
    </w:p>
    <w:p w:rsidRPr="00357C8A" w:rsidR="00357C8A" w:rsidP="006705EA" w:rsidRDefault="00357C8A" w14:paraId="4B3E125A"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2752D3B9" w14:textId="77777777">
      <w:pPr>
        <w:spacing w:after="200"/>
        <w:ind w:left="360"/>
        <w:rPr>
          <w:rFonts w:eastAsia="Calibri"/>
        </w:rPr>
      </w:pPr>
      <w:r w:rsidRPr="005C71CA">
        <w:rPr>
          <w:rFonts w:eastAsia="Calibri"/>
        </w:rPr>
        <w:t>12a.  Annualized Hour Burden Estimate</w:t>
      </w:r>
    </w:p>
    <w:p w:rsidRPr="00017FE5" w:rsidR="00017FE5" w:rsidP="005F61F9" w:rsidRDefault="006762C6" w14:paraId="2F912F8F" w14:textId="77777777">
      <w:pPr>
        <w:spacing w:line="480" w:lineRule="auto"/>
        <w:ind w:left="360"/>
        <w:contextualSpacing/>
      </w:pPr>
      <w:r>
        <w:t>We</w:t>
      </w:r>
      <w:r w:rsidRPr="00017FE5">
        <w:t xml:space="preserve"> </w:t>
      </w:r>
      <w:r w:rsidRPr="00017FE5" w:rsidR="00017FE5">
        <w:t xml:space="preserve">estimate the burden of this collection of information as follows: </w:t>
      </w:r>
    </w:p>
    <w:tbl>
      <w:tblPr>
        <w:tblW w:w="9281" w:type="dxa"/>
        <w:tblInd w:w="2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1" w:type="dxa"/>
          <w:right w:w="101" w:type="dxa"/>
        </w:tblCellMar>
        <w:tblLook w:val="0000" w:firstRow="0" w:lastRow="0" w:firstColumn="0" w:lastColumn="0" w:noHBand="0" w:noVBand="0"/>
      </w:tblPr>
      <w:tblGrid>
        <w:gridCol w:w="2621"/>
        <w:gridCol w:w="1260"/>
        <w:gridCol w:w="1620"/>
        <w:gridCol w:w="1350"/>
        <w:gridCol w:w="1530"/>
        <w:gridCol w:w="900"/>
      </w:tblGrid>
      <w:tr w:rsidRPr="00017FE5" w:rsidR="00017FE5" w:rsidTr="002E79C3" w14:paraId="2328139B" w14:textId="77777777">
        <w:tc>
          <w:tcPr>
            <w:tcW w:w="9281" w:type="dxa"/>
            <w:gridSpan w:val="6"/>
            <w:tcBorders>
              <w:top w:val="nil"/>
              <w:left w:val="nil"/>
              <w:bottom w:val="single" w:color="auto" w:sz="4" w:space="0"/>
              <w:right w:val="nil"/>
            </w:tcBorders>
          </w:tcPr>
          <w:p w:rsidRPr="00017FE5" w:rsidR="00017FE5" w:rsidP="00017FE5" w:rsidRDefault="00017FE5" w14:paraId="6FDA4222" w14:textId="77777777">
            <w:pPr>
              <w:jc w:val="center"/>
              <w:rPr>
                <w:sz w:val="20"/>
                <w:szCs w:val="20"/>
              </w:rPr>
            </w:pPr>
            <w:r w:rsidRPr="00017FE5">
              <w:rPr>
                <w:sz w:val="20"/>
                <w:szCs w:val="20"/>
              </w:rPr>
              <w:t>Table 1.--Estimated Annual Reporting Burden</w:t>
            </w:r>
            <w:r w:rsidRPr="00017FE5">
              <w:rPr>
                <w:sz w:val="20"/>
                <w:szCs w:val="20"/>
                <w:vertAlign w:val="superscript"/>
              </w:rPr>
              <w:t>1</w:t>
            </w:r>
          </w:p>
        </w:tc>
      </w:tr>
      <w:tr w:rsidRPr="00017FE5" w:rsidR="00017FE5" w:rsidTr="002E79C3" w14:paraId="34E3BA22" w14:textId="77777777">
        <w:tc>
          <w:tcPr>
            <w:tcW w:w="2621" w:type="dxa"/>
            <w:tcBorders>
              <w:top w:val="single" w:color="auto" w:sz="4" w:space="0"/>
            </w:tcBorders>
          </w:tcPr>
          <w:p w:rsidRPr="00017FE5" w:rsidR="00017FE5" w:rsidP="00017FE5" w:rsidRDefault="00017FE5" w14:paraId="5384E185" w14:textId="77777777">
            <w:pPr>
              <w:jc w:val="center"/>
              <w:rPr>
                <w:sz w:val="20"/>
                <w:szCs w:val="20"/>
              </w:rPr>
            </w:pPr>
            <w:r w:rsidRPr="00017FE5">
              <w:rPr>
                <w:sz w:val="20"/>
                <w:szCs w:val="20"/>
              </w:rPr>
              <w:t>Activity; 21 CFR Section</w:t>
            </w:r>
          </w:p>
        </w:tc>
        <w:tc>
          <w:tcPr>
            <w:tcW w:w="1260" w:type="dxa"/>
            <w:tcBorders>
              <w:top w:val="single" w:color="auto" w:sz="4" w:space="0"/>
            </w:tcBorders>
          </w:tcPr>
          <w:p w:rsidRPr="00017FE5" w:rsidR="00017FE5" w:rsidP="00017FE5" w:rsidRDefault="00017FE5" w14:paraId="2BCC9EB5" w14:textId="77777777">
            <w:pPr>
              <w:jc w:val="center"/>
              <w:rPr>
                <w:sz w:val="20"/>
                <w:szCs w:val="20"/>
              </w:rPr>
            </w:pPr>
            <w:r w:rsidRPr="00017FE5">
              <w:rPr>
                <w:sz w:val="20"/>
                <w:szCs w:val="20"/>
              </w:rPr>
              <w:t>No. of Respondents</w:t>
            </w:r>
          </w:p>
        </w:tc>
        <w:tc>
          <w:tcPr>
            <w:tcW w:w="1620" w:type="dxa"/>
            <w:tcBorders>
              <w:top w:val="single" w:color="auto" w:sz="4" w:space="0"/>
            </w:tcBorders>
          </w:tcPr>
          <w:p w:rsidRPr="00017FE5" w:rsidR="00017FE5" w:rsidP="00017FE5" w:rsidRDefault="00017FE5" w14:paraId="63F1551A" w14:textId="77777777">
            <w:pPr>
              <w:jc w:val="center"/>
              <w:rPr>
                <w:sz w:val="20"/>
                <w:szCs w:val="20"/>
              </w:rPr>
            </w:pPr>
            <w:r w:rsidRPr="00017FE5">
              <w:rPr>
                <w:bCs/>
                <w:sz w:val="20"/>
                <w:szCs w:val="20"/>
              </w:rPr>
              <w:t>No. of Responses per Respondent</w:t>
            </w:r>
          </w:p>
        </w:tc>
        <w:tc>
          <w:tcPr>
            <w:tcW w:w="1350" w:type="dxa"/>
            <w:tcBorders>
              <w:top w:val="single" w:color="auto" w:sz="4" w:space="0"/>
            </w:tcBorders>
          </w:tcPr>
          <w:p w:rsidRPr="00017FE5" w:rsidR="00017FE5" w:rsidP="00017FE5" w:rsidRDefault="00017FE5" w14:paraId="3C5AADFF" w14:textId="77777777">
            <w:pPr>
              <w:jc w:val="center"/>
              <w:rPr>
                <w:sz w:val="20"/>
                <w:szCs w:val="20"/>
              </w:rPr>
            </w:pPr>
            <w:r w:rsidRPr="00017FE5">
              <w:rPr>
                <w:sz w:val="20"/>
                <w:szCs w:val="20"/>
              </w:rPr>
              <w:t>Total Annual Responses</w:t>
            </w:r>
          </w:p>
        </w:tc>
        <w:tc>
          <w:tcPr>
            <w:tcW w:w="1530" w:type="dxa"/>
            <w:tcBorders>
              <w:top w:val="single" w:color="auto" w:sz="4" w:space="0"/>
            </w:tcBorders>
          </w:tcPr>
          <w:p w:rsidRPr="00017FE5" w:rsidR="00017FE5" w:rsidP="00017FE5" w:rsidRDefault="00017FE5" w14:paraId="7DD1EA85" w14:textId="77777777">
            <w:pPr>
              <w:jc w:val="center"/>
              <w:rPr>
                <w:sz w:val="20"/>
                <w:szCs w:val="20"/>
              </w:rPr>
            </w:pPr>
            <w:r w:rsidRPr="00017FE5">
              <w:rPr>
                <w:bCs/>
                <w:sz w:val="20"/>
                <w:szCs w:val="20"/>
              </w:rPr>
              <w:t>Average Burden per Response</w:t>
            </w:r>
          </w:p>
        </w:tc>
        <w:tc>
          <w:tcPr>
            <w:tcW w:w="900" w:type="dxa"/>
            <w:tcBorders>
              <w:top w:val="single" w:color="auto" w:sz="4" w:space="0"/>
            </w:tcBorders>
          </w:tcPr>
          <w:p w:rsidRPr="00017FE5" w:rsidR="00017FE5" w:rsidP="00017FE5" w:rsidRDefault="00017FE5" w14:paraId="791EFD2E" w14:textId="77777777">
            <w:pPr>
              <w:jc w:val="center"/>
              <w:rPr>
                <w:sz w:val="20"/>
                <w:szCs w:val="20"/>
              </w:rPr>
            </w:pPr>
            <w:r w:rsidRPr="00017FE5">
              <w:rPr>
                <w:sz w:val="20"/>
                <w:szCs w:val="20"/>
              </w:rPr>
              <w:t>Total Hours</w:t>
            </w:r>
          </w:p>
        </w:tc>
      </w:tr>
      <w:tr w:rsidRPr="00017FE5" w:rsidR="00017FE5" w:rsidTr="002E79C3" w14:paraId="7F15B40E" w14:textId="77777777">
        <w:tc>
          <w:tcPr>
            <w:tcW w:w="2621" w:type="dxa"/>
          </w:tcPr>
          <w:p w:rsidRPr="00017FE5" w:rsidR="00017FE5" w:rsidP="00017FE5" w:rsidRDefault="00017FE5" w14:paraId="1F687DE6" w14:textId="77777777">
            <w:pPr>
              <w:rPr>
                <w:sz w:val="20"/>
                <w:szCs w:val="20"/>
              </w:rPr>
            </w:pPr>
            <w:r w:rsidRPr="00017FE5">
              <w:rPr>
                <w:sz w:val="20"/>
                <w:szCs w:val="20"/>
              </w:rPr>
              <w:t>GRAS notification procedure for human food; 170.210-170.280 (part 170, subpart E)</w:t>
            </w:r>
          </w:p>
        </w:tc>
        <w:tc>
          <w:tcPr>
            <w:tcW w:w="1260" w:type="dxa"/>
          </w:tcPr>
          <w:p w:rsidRPr="00017FE5" w:rsidR="00017FE5" w:rsidP="00017FE5" w:rsidRDefault="00017FE5" w14:paraId="06B2A857" w14:textId="77777777">
            <w:pPr>
              <w:jc w:val="right"/>
              <w:rPr>
                <w:sz w:val="20"/>
                <w:szCs w:val="20"/>
              </w:rPr>
            </w:pPr>
            <w:r w:rsidRPr="00017FE5">
              <w:rPr>
                <w:sz w:val="20"/>
                <w:szCs w:val="20"/>
              </w:rPr>
              <w:t>100</w:t>
            </w:r>
          </w:p>
        </w:tc>
        <w:tc>
          <w:tcPr>
            <w:tcW w:w="1620" w:type="dxa"/>
          </w:tcPr>
          <w:p w:rsidRPr="00017FE5" w:rsidR="00017FE5" w:rsidP="00017FE5" w:rsidRDefault="00017FE5" w14:paraId="0EF0C589" w14:textId="77777777">
            <w:pPr>
              <w:jc w:val="right"/>
              <w:rPr>
                <w:sz w:val="20"/>
                <w:szCs w:val="20"/>
              </w:rPr>
            </w:pPr>
            <w:r w:rsidRPr="00017FE5">
              <w:rPr>
                <w:sz w:val="20"/>
                <w:szCs w:val="20"/>
              </w:rPr>
              <w:t>1</w:t>
            </w:r>
          </w:p>
        </w:tc>
        <w:tc>
          <w:tcPr>
            <w:tcW w:w="1350" w:type="dxa"/>
          </w:tcPr>
          <w:p w:rsidRPr="00017FE5" w:rsidR="00017FE5" w:rsidP="00017FE5" w:rsidRDefault="00017FE5" w14:paraId="45D6C786" w14:textId="77777777">
            <w:pPr>
              <w:jc w:val="right"/>
              <w:rPr>
                <w:sz w:val="20"/>
                <w:szCs w:val="20"/>
              </w:rPr>
            </w:pPr>
            <w:r w:rsidRPr="00017FE5">
              <w:rPr>
                <w:sz w:val="20"/>
                <w:szCs w:val="20"/>
              </w:rPr>
              <w:t>100</w:t>
            </w:r>
          </w:p>
        </w:tc>
        <w:tc>
          <w:tcPr>
            <w:tcW w:w="1530" w:type="dxa"/>
          </w:tcPr>
          <w:p w:rsidRPr="00017FE5" w:rsidR="00017FE5" w:rsidP="00017FE5" w:rsidRDefault="00017FE5" w14:paraId="5BB146B4" w14:textId="77777777">
            <w:pPr>
              <w:jc w:val="right"/>
              <w:rPr>
                <w:sz w:val="20"/>
                <w:szCs w:val="20"/>
              </w:rPr>
            </w:pPr>
            <w:r w:rsidRPr="00017FE5">
              <w:rPr>
                <w:sz w:val="20"/>
                <w:szCs w:val="20"/>
              </w:rPr>
              <w:t>170</w:t>
            </w:r>
          </w:p>
        </w:tc>
        <w:tc>
          <w:tcPr>
            <w:tcW w:w="900" w:type="dxa"/>
          </w:tcPr>
          <w:p w:rsidRPr="00017FE5" w:rsidR="00017FE5" w:rsidP="00017FE5" w:rsidRDefault="00017FE5" w14:paraId="3AF25E3A" w14:textId="77777777">
            <w:pPr>
              <w:jc w:val="right"/>
              <w:rPr>
                <w:sz w:val="20"/>
                <w:szCs w:val="20"/>
              </w:rPr>
            </w:pPr>
            <w:r w:rsidRPr="00017FE5">
              <w:rPr>
                <w:sz w:val="20"/>
                <w:szCs w:val="20"/>
              </w:rPr>
              <w:t>17,000</w:t>
            </w:r>
          </w:p>
        </w:tc>
      </w:tr>
      <w:tr w:rsidRPr="00017FE5" w:rsidR="00017FE5" w:rsidTr="002E79C3" w14:paraId="1502CDA9" w14:textId="77777777">
        <w:tc>
          <w:tcPr>
            <w:tcW w:w="2621" w:type="dxa"/>
          </w:tcPr>
          <w:p w:rsidRPr="00017FE5" w:rsidR="00017FE5" w:rsidP="00017FE5" w:rsidRDefault="00017FE5" w14:paraId="7EA966E2" w14:textId="77777777">
            <w:pPr>
              <w:rPr>
                <w:sz w:val="20"/>
                <w:szCs w:val="20"/>
              </w:rPr>
            </w:pPr>
            <w:r w:rsidRPr="00017FE5">
              <w:rPr>
                <w:sz w:val="20"/>
                <w:szCs w:val="20"/>
              </w:rPr>
              <w:t>GRAS notification procedure for animal food and animal feed; 570.210-570.280 (part 570, subpart E)</w:t>
            </w:r>
          </w:p>
        </w:tc>
        <w:tc>
          <w:tcPr>
            <w:tcW w:w="1260" w:type="dxa"/>
          </w:tcPr>
          <w:p w:rsidRPr="00017FE5" w:rsidR="00017FE5" w:rsidP="00017FE5" w:rsidRDefault="00017FE5" w14:paraId="43DCD839" w14:textId="77777777">
            <w:pPr>
              <w:jc w:val="right"/>
              <w:rPr>
                <w:sz w:val="20"/>
                <w:szCs w:val="20"/>
              </w:rPr>
            </w:pPr>
            <w:r w:rsidRPr="00017FE5">
              <w:rPr>
                <w:sz w:val="20"/>
                <w:szCs w:val="20"/>
              </w:rPr>
              <w:t>25</w:t>
            </w:r>
          </w:p>
        </w:tc>
        <w:tc>
          <w:tcPr>
            <w:tcW w:w="1620" w:type="dxa"/>
          </w:tcPr>
          <w:p w:rsidRPr="00017FE5" w:rsidR="00017FE5" w:rsidP="00017FE5" w:rsidRDefault="00017FE5" w14:paraId="0A5FE0BF" w14:textId="77777777">
            <w:pPr>
              <w:jc w:val="right"/>
              <w:rPr>
                <w:sz w:val="20"/>
                <w:szCs w:val="20"/>
              </w:rPr>
            </w:pPr>
            <w:r w:rsidRPr="00017FE5">
              <w:rPr>
                <w:sz w:val="20"/>
                <w:szCs w:val="20"/>
              </w:rPr>
              <w:t>1</w:t>
            </w:r>
          </w:p>
        </w:tc>
        <w:tc>
          <w:tcPr>
            <w:tcW w:w="1350" w:type="dxa"/>
          </w:tcPr>
          <w:p w:rsidRPr="00017FE5" w:rsidR="00017FE5" w:rsidP="00017FE5" w:rsidRDefault="00017FE5" w14:paraId="1B3DB14B" w14:textId="77777777">
            <w:pPr>
              <w:jc w:val="right"/>
              <w:rPr>
                <w:sz w:val="20"/>
                <w:szCs w:val="20"/>
              </w:rPr>
            </w:pPr>
            <w:r w:rsidRPr="00017FE5">
              <w:rPr>
                <w:sz w:val="20"/>
                <w:szCs w:val="20"/>
              </w:rPr>
              <w:t>25</w:t>
            </w:r>
          </w:p>
        </w:tc>
        <w:tc>
          <w:tcPr>
            <w:tcW w:w="1530" w:type="dxa"/>
          </w:tcPr>
          <w:p w:rsidRPr="00017FE5" w:rsidR="00017FE5" w:rsidP="00017FE5" w:rsidRDefault="00017FE5" w14:paraId="28C73CAD" w14:textId="77777777">
            <w:pPr>
              <w:jc w:val="right"/>
              <w:rPr>
                <w:sz w:val="20"/>
                <w:szCs w:val="20"/>
              </w:rPr>
            </w:pPr>
            <w:r w:rsidRPr="00017FE5">
              <w:rPr>
                <w:sz w:val="20"/>
                <w:szCs w:val="20"/>
              </w:rPr>
              <w:t>170</w:t>
            </w:r>
          </w:p>
        </w:tc>
        <w:tc>
          <w:tcPr>
            <w:tcW w:w="900" w:type="dxa"/>
          </w:tcPr>
          <w:p w:rsidRPr="00017FE5" w:rsidR="00017FE5" w:rsidP="00017FE5" w:rsidRDefault="00017FE5" w14:paraId="7E6F75B0" w14:textId="77777777">
            <w:pPr>
              <w:jc w:val="right"/>
              <w:rPr>
                <w:sz w:val="20"/>
                <w:szCs w:val="20"/>
              </w:rPr>
            </w:pPr>
            <w:r w:rsidRPr="00017FE5">
              <w:rPr>
                <w:sz w:val="20"/>
                <w:szCs w:val="20"/>
              </w:rPr>
              <w:t>4,250</w:t>
            </w:r>
          </w:p>
        </w:tc>
      </w:tr>
      <w:tr w:rsidRPr="00017FE5" w:rsidR="00017FE5" w:rsidTr="002E79C3" w14:paraId="0BCFE183" w14:textId="77777777">
        <w:tc>
          <w:tcPr>
            <w:tcW w:w="2621" w:type="dxa"/>
          </w:tcPr>
          <w:p w:rsidRPr="00017FE5" w:rsidR="00017FE5" w:rsidP="00017FE5" w:rsidRDefault="00017FE5" w14:paraId="27989574" w14:textId="77777777">
            <w:pPr>
              <w:rPr>
                <w:sz w:val="20"/>
                <w:szCs w:val="20"/>
              </w:rPr>
            </w:pPr>
            <w:r w:rsidRPr="00017FE5">
              <w:rPr>
                <w:sz w:val="20"/>
                <w:szCs w:val="20"/>
              </w:rPr>
              <w:t>Total</w:t>
            </w:r>
          </w:p>
        </w:tc>
        <w:tc>
          <w:tcPr>
            <w:tcW w:w="1260" w:type="dxa"/>
          </w:tcPr>
          <w:p w:rsidRPr="00017FE5" w:rsidR="00017FE5" w:rsidP="00017FE5" w:rsidRDefault="00017FE5" w14:paraId="23AA3A71" w14:textId="77777777">
            <w:pPr>
              <w:rPr>
                <w:sz w:val="20"/>
                <w:szCs w:val="20"/>
              </w:rPr>
            </w:pPr>
          </w:p>
        </w:tc>
        <w:tc>
          <w:tcPr>
            <w:tcW w:w="1620" w:type="dxa"/>
          </w:tcPr>
          <w:p w:rsidRPr="00017FE5" w:rsidR="00017FE5" w:rsidP="00017FE5" w:rsidRDefault="00017FE5" w14:paraId="5490B679" w14:textId="77777777">
            <w:pPr>
              <w:rPr>
                <w:sz w:val="20"/>
                <w:szCs w:val="20"/>
              </w:rPr>
            </w:pPr>
          </w:p>
        </w:tc>
        <w:tc>
          <w:tcPr>
            <w:tcW w:w="1350" w:type="dxa"/>
          </w:tcPr>
          <w:p w:rsidRPr="00017FE5" w:rsidR="00017FE5" w:rsidP="00017FE5" w:rsidRDefault="00E26629" w14:paraId="4EB52D5A" w14:textId="77777777">
            <w:pPr>
              <w:jc w:val="right"/>
              <w:rPr>
                <w:sz w:val="20"/>
                <w:szCs w:val="20"/>
              </w:rPr>
            </w:pPr>
            <w:r>
              <w:rPr>
                <w:sz w:val="20"/>
                <w:szCs w:val="20"/>
              </w:rPr>
              <w:t>125</w:t>
            </w:r>
          </w:p>
        </w:tc>
        <w:tc>
          <w:tcPr>
            <w:tcW w:w="1530" w:type="dxa"/>
          </w:tcPr>
          <w:p w:rsidRPr="00017FE5" w:rsidR="00017FE5" w:rsidP="00017FE5" w:rsidRDefault="00017FE5" w14:paraId="1799B708" w14:textId="77777777">
            <w:pPr>
              <w:jc w:val="right"/>
              <w:rPr>
                <w:sz w:val="20"/>
                <w:szCs w:val="20"/>
              </w:rPr>
            </w:pPr>
          </w:p>
        </w:tc>
        <w:tc>
          <w:tcPr>
            <w:tcW w:w="900" w:type="dxa"/>
          </w:tcPr>
          <w:p w:rsidRPr="00017FE5" w:rsidR="00017FE5" w:rsidP="00017FE5" w:rsidRDefault="00017FE5" w14:paraId="7F0F5F81" w14:textId="77777777">
            <w:pPr>
              <w:jc w:val="right"/>
              <w:rPr>
                <w:sz w:val="20"/>
                <w:szCs w:val="20"/>
              </w:rPr>
            </w:pPr>
            <w:r w:rsidRPr="00017FE5">
              <w:rPr>
                <w:sz w:val="20"/>
                <w:szCs w:val="20"/>
              </w:rPr>
              <w:t>21,250</w:t>
            </w:r>
          </w:p>
        </w:tc>
      </w:tr>
    </w:tbl>
    <w:p w:rsidRPr="00017FE5" w:rsidR="00017FE5" w:rsidP="002E79C3" w:rsidRDefault="00017FE5" w14:paraId="410B05A1" w14:textId="77777777">
      <w:pPr>
        <w:ind w:firstLine="360"/>
        <w:rPr>
          <w:szCs w:val="20"/>
        </w:rPr>
      </w:pPr>
      <w:r w:rsidRPr="002E79C3">
        <w:rPr>
          <w:sz w:val="20"/>
          <w:szCs w:val="20"/>
          <w:vertAlign w:val="superscript"/>
        </w:rPr>
        <w:t>1</w:t>
      </w:r>
      <w:r w:rsidRPr="00017FE5">
        <w:rPr>
          <w:szCs w:val="20"/>
        </w:rPr>
        <w:t xml:space="preserve"> </w:t>
      </w:r>
      <w:r w:rsidRPr="00017FE5">
        <w:rPr>
          <w:sz w:val="20"/>
          <w:szCs w:val="20"/>
        </w:rPr>
        <w:t>There are no capital costs or operating and maintenance costs associated with this collection of information.</w:t>
      </w:r>
    </w:p>
    <w:p w:rsidR="00E26629" w:rsidP="00017FE5" w:rsidRDefault="00E26629" w14:paraId="5EE3BD50" w14:textId="77777777">
      <w:pPr>
        <w:autoSpaceDE w:val="0"/>
        <w:autoSpaceDN w:val="0"/>
        <w:adjustRightInd w:val="0"/>
        <w:ind w:left="360"/>
        <w:rPr>
          <w:rFonts w:ascii="TimesNewRomanPSMT" w:hAnsi="TimesNewRomanPSMT" w:cs="TimesNewRomanPSMT"/>
        </w:rPr>
      </w:pPr>
    </w:p>
    <w:p w:rsidRPr="002E79C3" w:rsidR="00017FE5" w:rsidP="00017FE5" w:rsidRDefault="00017FE5" w14:paraId="61E29F5F" w14:textId="77777777">
      <w:pPr>
        <w:autoSpaceDE w:val="0"/>
        <w:autoSpaceDN w:val="0"/>
        <w:adjustRightInd w:val="0"/>
        <w:ind w:left="360"/>
        <w:rPr>
          <w:rFonts w:ascii="TimesNewRomanPSMT" w:hAnsi="TimesNewRomanPSMT" w:cs="TimesNewRomanPSMT"/>
          <w:i/>
          <w:iCs/>
        </w:rPr>
      </w:pPr>
      <w:r w:rsidRPr="002E79C3">
        <w:rPr>
          <w:rFonts w:ascii="TimesNewRomanPSMT" w:hAnsi="TimesNewRomanPSMT" w:cs="TimesNewRomanPSMT"/>
          <w:i/>
          <w:iCs/>
        </w:rPr>
        <w:t>Recordkeeping</w:t>
      </w:r>
    </w:p>
    <w:p w:rsidR="00503671" w:rsidP="00017FE5" w:rsidRDefault="00503671" w14:paraId="4E08DC46" w14:textId="77777777">
      <w:pPr>
        <w:autoSpaceDE w:val="0"/>
        <w:autoSpaceDN w:val="0"/>
        <w:adjustRightInd w:val="0"/>
        <w:ind w:left="360"/>
        <w:rPr>
          <w:rFonts w:ascii="TimesNewRomanPSMT" w:hAnsi="TimesNewRomanPSMT" w:cs="TimesNewRomanPSMT"/>
        </w:rPr>
      </w:pPr>
    </w:p>
    <w:p w:rsidR="00503671" w:rsidP="00E26629" w:rsidRDefault="00017FE5" w14:paraId="44F73E53" w14:textId="77777777">
      <w:pPr>
        <w:autoSpaceDE w:val="0"/>
        <w:autoSpaceDN w:val="0"/>
        <w:adjustRightInd w:val="0"/>
        <w:ind w:left="360"/>
        <w:rPr>
          <w:rFonts w:ascii="TimesNewRomanPSMT" w:hAnsi="TimesNewRomanPSMT" w:cs="TimesNewRomanPSMT"/>
        </w:rPr>
      </w:pPr>
      <w:r>
        <w:rPr>
          <w:rFonts w:ascii="TimesNewRomanPSMT" w:hAnsi="TimesNewRomanPSMT" w:cs="TimesNewRomanPSMT"/>
        </w:rPr>
        <w:t xml:space="preserve">This information collection also contains recordkeeping requirements. </w:t>
      </w:r>
      <w:r w:rsidR="00503671">
        <w:rPr>
          <w:rFonts w:ascii="TimesNewRomanPSMT" w:hAnsi="TimesNewRomanPSMT" w:cs="TimesNewRomanPSMT"/>
        </w:rPr>
        <w:t xml:space="preserve"> </w:t>
      </w:r>
      <w:r>
        <w:rPr>
          <w:rFonts w:ascii="TimesNewRomanPSMT" w:hAnsi="TimesNewRomanPSMT" w:cs="TimesNewRomanPSMT"/>
        </w:rPr>
        <w:t>We believe that</w:t>
      </w:r>
      <w:r w:rsidR="00503671">
        <w:rPr>
          <w:rFonts w:ascii="TimesNewRomanPSMT" w:hAnsi="TimesNewRomanPSMT" w:cs="TimesNewRomanPSMT"/>
        </w:rPr>
        <w:t xml:space="preserve"> </w:t>
      </w:r>
      <w:r>
        <w:rPr>
          <w:rFonts w:ascii="TimesNewRomanPSMT" w:hAnsi="TimesNewRomanPSMT" w:cs="TimesNewRomanPSMT"/>
        </w:rPr>
        <w:t>documentation used by respondents in support of a conclusion of GRAS status is</w:t>
      </w:r>
      <w:r w:rsidR="00503671">
        <w:rPr>
          <w:rFonts w:ascii="TimesNewRomanPSMT" w:hAnsi="TimesNewRomanPSMT" w:cs="TimesNewRomanPSMT"/>
        </w:rPr>
        <w:t xml:space="preserve"> </w:t>
      </w:r>
      <w:r>
        <w:rPr>
          <w:rFonts w:ascii="TimesNewRomanPSMT" w:hAnsi="TimesNewRomanPSMT" w:cs="TimesNewRomanPSMT"/>
        </w:rPr>
        <w:t>information that is collected and retained as a part of usual and customary business</w:t>
      </w:r>
      <w:r w:rsidR="00503671">
        <w:rPr>
          <w:rFonts w:ascii="TimesNewRomanPSMT" w:hAnsi="TimesNewRomanPSMT" w:cs="TimesNewRomanPSMT"/>
        </w:rPr>
        <w:t xml:space="preserve"> </w:t>
      </w:r>
      <w:r>
        <w:rPr>
          <w:rFonts w:ascii="TimesNewRomanPSMT" w:hAnsi="TimesNewRomanPSMT" w:cs="TimesNewRomanPSMT"/>
        </w:rPr>
        <w:t>practices for a firm engaged in the manufacture of substances used in human food and</w:t>
      </w:r>
      <w:r w:rsidR="00503671">
        <w:rPr>
          <w:rFonts w:ascii="TimesNewRomanPSMT" w:hAnsi="TimesNewRomanPSMT" w:cs="TimesNewRomanPSMT"/>
        </w:rPr>
        <w:t xml:space="preserve"> </w:t>
      </w:r>
      <w:r>
        <w:rPr>
          <w:rFonts w:ascii="TimesNewRomanPSMT" w:hAnsi="TimesNewRomanPSMT" w:cs="TimesNewRomanPSMT"/>
        </w:rPr>
        <w:t xml:space="preserve">animal food. </w:t>
      </w:r>
      <w:r w:rsidR="00503671">
        <w:rPr>
          <w:rFonts w:ascii="TimesNewRomanPSMT" w:hAnsi="TimesNewRomanPSMT" w:cs="TimesNewRomanPSMT"/>
        </w:rPr>
        <w:t xml:space="preserve"> </w:t>
      </w:r>
      <w:r>
        <w:rPr>
          <w:rFonts w:ascii="TimesNewRomanPSMT" w:hAnsi="TimesNewRomanPSMT" w:cs="TimesNewRomanPSMT"/>
        </w:rPr>
        <w:t>While we do not specify a timeframe to retain the data and information that</w:t>
      </w:r>
      <w:r w:rsidR="00503671">
        <w:rPr>
          <w:rFonts w:ascii="TimesNewRomanPSMT" w:hAnsi="TimesNewRomanPSMT" w:cs="TimesNewRomanPSMT"/>
        </w:rPr>
        <w:t xml:space="preserve"> </w:t>
      </w:r>
      <w:r>
        <w:rPr>
          <w:rFonts w:ascii="TimesNewRomanPSMT" w:hAnsi="TimesNewRomanPSMT" w:cs="TimesNewRomanPSMT"/>
        </w:rPr>
        <w:t>support the conclusion of GRAS status, preservation of the data and information that are</w:t>
      </w:r>
      <w:r w:rsidR="00503671">
        <w:rPr>
          <w:rFonts w:ascii="TimesNewRomanPSMT" w:hAnsi="TimesNewRomanPSMT" w:cs="TimesNewRomanPSMT"/>
        </w:rPr>
        <w:t xml:space="preserve"> </w:t>
      </w:r>
      <w:r>
        <w:rPr>
          <w:rFonts w:ascii="TimesNewRomanPSMT" w:hAnsi="TimesNewRomanPSMT" w:cs="TimesNewRomanPSMT"/>
        </w:rPr>
        <w:t>the basis for the conclusion of GRAS status represents prudent practice for those who</w:t>
      </w:r>
      <w:r w:rsidR="00503671">
        <w:rPr>
          <w:rFonts w:ascii="TimesNewRomanPSMT" w:hAnsi="TimesNewRomanPSMT" w:cs="TimesNewRomanPSMT"/>
        </w:rPr>
        <w:t xml:space="preserve"> </w:t>
      </w:r>
      <w:r>
        <w:rPr>
          <w:rFonts w:ascii="TimesNewRomanPSMT" w:hAnsi="TimesNewRomanPSMT" w:cs="TimesNewRomanPSMT"/>
        </w:rPr>
        <w:t>claim an exclusion from a statutory requirement regardless of whether the person</w:t>
      </w:r>
      <w:r w:rsidR="00503671">
        <w:rPr>
          <w:rFonts w:ascii="TimesNewRomanPSMT" w:hAnsi="TimesNewRomanPSMT" w:cs="TimesNewRomanPSMT"/>
        </w:rPr>
        <w:t xml:space="preserve"> </w:t>
      </w:r>
      <w:r>
        <w:rPr>
          <w:rFonts w:ascii="TimesNewRomanPSMT" w:hAnsi="TimesNewRomanPSMT" w:cs="TimesNewRomanPSMT"/>
        </w:rPr>
        <w:t xml:space="preserve">subsequently notifies FDA. </w:t>
      </w:r>
      <w:r w:rsidR="00503671">
        <w:rPr>
          <w:rFonts w:ascii="TimesNewRomanPSMT" w:hAnsi="TimesNewRomanPSMT" w:cs="TimesNewRomanPSMT"/>
        </w:rPr>
        <w:t xml:space="preserve"> </w:t>
      </w:r>
      <w:r>
        <w:rPr>
          <w:rFonts w:ascii="TimesNewRomanPSMT" w:hAnsi="TimesNewRomanPSMT" w:cs="TimesNewRomanPSMT"/>
        </w:rPr>
        <w:t>Accordingly, no estimated burden is provided for these</w:t>
      </w:r>
      <w:r w:rsidR="00503671">
        <w:rPr>
          <w:rFonts w:ascii="TimesNewRomanPSMT" w:hAnsi="TimesNewRomanPSMT" w:cs="TimesNewRomanPSMT"/>
        </w:rPr>
        <w:t xml:space="preserve"> </w:t>
      </w:r>
      <w:r>
        <w:rPr>
          <w:rFonts w:ascii="TimesNewRomanPSMT" w:hAnsi="TimesNewRomanPSMT" w:cs="TimesNewRomanPSMT"/>
        </w:rPr>
        <w:t>activities.</w:t>
      </w:r>
    </w:p>
    <w:p w:rsidR="00E26629" w:rsidP="002E79C3" w:rsidRDefault="00E26629" w14:paraId="5C1EC846" w14:textId="77777777">
      <w:pPr>
        <w:autoSpaceDE w:val="0"/>
        <w:autoSpaceDN w:val="0"/>
        <w:adjustRightInd w:val="0"/>
        <w:ind w:left="360"/>
        <w:rPr>
          <w:rFonts w:ascii="TimesNewRomanPSMT" w:hAnsi="TimesNewRomanPSMT" w:cs="TimesNewRomanPSMT"/>
        </w:rPr>
      </w:pPr>
    </w:p>
    <w:p w:rsidRPr="005C71CA" w:rsidR="00357C8A" w:rsidP="00DC371B" w:rsidRDefault="00357C8A" w14:paraId="23F60245" w14:textId="77777777">
      <w:pPr>
        <w:spacing w:after="200"/>
        <w:ind w:left="360"/>
        <w:rPr>
          <w:rFonts w:eastAsia="Calibri"/>
        </w:rPr>
      </w:pPr>
      <w:r w:rsidRPr="005C71CA">
        <w:rPr>
          <w:rFonts w:eastAsia="Calibri"/>
        </w:rPr>
        <w:t>12b.  Annualized Cost Burden Estimate</w:t>
      </w:r>
    </w:p>
    <w:p w:rsidR="005F61F9" w:rsidP="005F61F9" w:rsidRDefault="00017FE5" w14:paraId="2FC1C691" w14:textId="77777777">
      <w:pPr>
        <w:ind w:left="360"/>
        <w:rPr>
          <w:rFonts w:eastAsia="Calibri"/>
        </w:rPr>
      </w:pPr>
      <w:r w:rsidRPr="00017FE5">
        <w:rPr>
          <w:rFonts w:eastAsia="Calibri"/>
        </w:rPr>
        <w:t>We estimate the annualized burden hour cost to respondents for this collection of</w:t>
      </w:r>
      <w:r w:rsidR="005F61F9">
        <w:rPr>
          <w:rFonts w:eastAsia="Calibri"/>
        </w:rPr>
        <w:t xml:space="preserve"> </w:t>
      </w:r>
      <w:r w:rsidRPr="00017FE5">
        <w:rPr>
          <w:rFonts w:eastAsia="Calibri"/>
        </w:rPr>
        <w:t>information to be $</w:t>
      </w:r>
      <w:r w:rsidRPr="00F1326D" w:rsidR="00F1326D">
        <w:rPr>
          <w:rFonts w:eastAsia="Calibri"/>
        </w:rPr>
        <w:t>1,248,650</w:t>
      </w:r>
      <w:r w:rsidRPr="00017FE5">
        <w:rPr>
          <w:rFonts w:eastAsia="Calibri"/>
        </w:rPr>
        <w:t xml:space="preserve">. </w:t>
      </w:r>
      <w:r w:rsidR="005F61F9">
        <w:rPr>
          <w:rFonts w:eastAsia="Calibri"/>
        </w:rPr>
        <w:t xml:space="preserve"> </w:t>
      </w:r>
      <w:r w:rsidRPr="00017FE5">
        <w:rPr>
          <w:rFonts w:eastAsia="Calibri"/>
        </w:rPr>
        <w:t>We estimate the average wage for an operations manager to</w:t>
      </w:r>
      <w:r w:rsidR="005F61F9">
        <w:rPr>
          <w:rFonts w:eastAsia="Calibri"/>
        </w:rPr>
        <w:t xml:space="preserve"> </w:t>
      </w:r>
      <w:r w:rsidRPr="00017FE5">
        <w:rPr>
          <w:rFonts w:eastAsia="Calibri"/>
        </w:rPr>
        <w:t>be the equivalent of a Federal government employee at the GS-11/Step 4 rate for the</w:t>
      </w:r>
      <w:r w:rsidR="005F61F9">
        <w:rPr>
          <w:rFonts w:eastAsia="Calibri"/>
        </w:rPr>
        <w:t xml:space="preserve"> </w:t>
      </w:r>
      <w:r w:rsidRPr="00017FE5">
        <w:rPr>
          <w:rFonts w:eastAsia="Calibri"/>
        </w:rPr>
        <w:t xml:space="preserve">Washington-Baltimore locality pay area for the year </w:t>
      </w:r>
      <w:r w:rsidR="005F61F9">
        <w:rPr>
          <w:rFonts w:eastAsia="Calibri"/>
        </w:rPr>
        <w:t>2022</w:t>
      </w:r>
      <w:r w:rsidRPr="00017FE5">
        <w:rPr>
          <w:rFonts w:eastAsia="Calibri"/>
        </w:rPr>
        <w:t>, which is $</w:t>
      </w:r>
      <w:r w:rsidR="00503671">
        <w:rPr>
          <w:rFonts w:eastAsia="Calibri"/>
        </w:rPr>
        <w:t>39</w:t>
      </w:r>
      <w:r w:rsidRPr="00017FE5">
        <w:rPr>
          <w:rFonts w:eastAsia="Calibri"/>
        </w:rPr>
        <w:t>.</w:t>
      </w:r>
      <w:r w:rsidR="005F61F9">
        <w:rPr>
          <w:rFonts w:eastAsia="Calibri"/>
        </w:rPr>
        <w:t>50</w:t>
      </w:r>
      <w:r w:rsidRPr="00017FE5">
        <w:rPr>
          <w:rFonts w:eastAsia="Calibri"/>
        </w:rPr>
        <w:t>/hour.</w:t>
      </w:r>
      <w:r w:rsidR="005F61F9">
        <w:rPr>
          <w:rFonts w:eastAsia="Calibri"/>
        </w:rPr>
        <w:t xml:space="preserve"> </w:t>
      </w:r>
      <w:r w:rsidRPr="00017FE5">
        <w:rPr>
          <w:rFonts w:eastAsia="Calibri"/>
        </w:rPr>
        <w:t xml:space="preserve"> We also</w:t>
      </w:r>
      <w:r w:rsidR="005F61F9">
        <w:rPr>
          <w:rFonts w:eastAsia="Calibri"/>
        </w:rPr>
        <w:t xml:space="preserve"> </w:t>
      </w:r>
      <w:r w:rsidRPr="00017FE5">
        <w:rPr>
          <w:rFonts w:eastAsia="Calibri"/>
        </w:rPr>
        <w:t>estimate the average wage rate for clerical staff to be the equivalent of a Federal government</w:t>
      </w:r>
      <w:r w:rsidR="005F61F9">
        <w:rPr>
          <w:rFonts w:eastAsia="Calibri"/>
        </w:rPr>
        <w:t xml:space="preserve"> </w:t>
      </w:r>
      <w:r w:rsidRPr="00017FE5">
        <w:rPr>
          <w:rFonts w:eastAsia="Calibri"/>
        </w:rPr>
        <w:t xml:space="preserve">employee at the GS-4/Step 4 level </w:t>
      </w:r>
      <w:bookmarkStart w:name="_Hlk98769682" w:id="4"/>
      <w:r w:rsidRPr="00017FE5">
        <w:rPr>
          <w:rFonts w:eastAsia="Calibri"/>
        </w:rPr>
        <w:t xml:space="preserve">for the Washington-Baltimore locality pay area </w:t>
      </w:r>
      <w:bookmarkEnd w:id="4"/>
      <w:r w:rsidRPr="00017FE5">
        <w:rPr>
          <w:rFonts w:eastAsia="Calibri"/>
        </w:rPr>
        <w:t>for the</w:t>
      </w:r>
      <w:r w:rsidR="005F61F9">
        <w:rPr>
          <w:rFonts w:eastAsia="Calibri"/>
        </w:rPr>
        <w:t xml:space="preserve"> </w:t>
      </w:r>
      <w:r w:rsidRPr="00017FE5">
        <w:rPr>
          <w:rFonts w:eastAsia="Calibri"/>
        </w:rPr>
        <w:t>year 20</w:t>
      </w:r>
      <w:r w:rsidR="005F61F9">
        <w:rPr>
          <w:rFonts w:eastAsia="Calibri"/>
        </w:rPr>
        <w:t>22</w:t>
      </w:r>
      <w:r w:rsidRPr="00017FE5">
        <w:rPr>
          <w:rFonts w:eastAsia="Calibri"/>
        </w:rPr>
        <w:t>, which is $</w:t>
      </w:r>
      <w:r w:rsidR="005F61F9">
        <w:rPr>
          <w:rFonts w:eastAsia="Calibri"/>
        </w:rPr>
        <w:t>19</w:t>
      </w:r>
      <w:r w:rsidRPr="00017FE5">
        <w:rPr>
          <w:rFonts w:eastAsia="Calibri"/>
        </w:rPr>
        <w:t>.</w:t>
      </w:r>
      <w:r w:rsidR="005F61F9">
        <w:rPr>
          <w:rFonts w:eastAsia="Calibri"/>
        </w:rPr>
        <w:t>26</w:t>
      </w:r>
      <w:r w:rsidRPr="00017FE5">
        <w:rPr>
          <w:rFonts w:eastAsia="Calibri"/>
        </w:rPr>
        <w:t xml:space="preserve">/hour. </w:t>
      </w:r>
      <w:r w:rsidR="005F61F9">
        <w:rPr>
          <w:rFonts w:eastAsia="Calibri"/>
        </w:rPr>
        <w:t xml:space="preserve"> </w:t>
      </w:r>
      <w:r w:rsidRPr="00017FE5">
        <w:rPr>
          <w:rFonts w:eastAsia="Calibri"/>
        </w:rPr>
        <w:t>To account for overhead, both salaries will be doubled</w:t>
      </w:r>
      <w:r w:rsidR="005F61F9">
        <w:rPr>
          <w:rFonts w:eastAsia="Calibri"/>
        </w:rPr>
        <w:t xml:space="preserve"> </w:t>
      </w:r>
      <w:r w:rsidRPr="00017FE5">
        <w:rPr>
          <w:rFonts w:eastAsia="Calibri"/>
        </w:rPr>
        <w:t>(</w:t>
      </w:r>
      <w:r w:rsidR="006762C6">
        <w:rPr>
          <w:rFonts w:eastAsia="Calibri"/>
        </w:rPr>
        <w:t>i.e</w:t>
      </w:r>
      <w:r w:rsidRPr="00017FE5">
        <w:rPr>
          <w:rFonts w:eastAsia="Calibri"/>
        </w:rPr>
        <w:t>., $</w:t>
      </w:r>
      <w:r w:rsidR="005F61F9">
        <w:rPr>
          <w:rFonts w:eastAsia="Calibri"/>
        </w:rPr>
        <w:t>79</w:t>
      </w:r>
      <w:r w:rsidRPr="00017FE5">
        <w:rPr>
          <w:rFonts w:eastAsia="Calibri"/>
        </w:rPr>
        <w:t>.</w:t>
      </w:r>
      <w:r w:rsidR="005F61F9">
        <w:rPr>
          <w:rFonts w:eastAsia="Calibri"/>
        </w:rPr>
        <w:t>00</w:t>
      </w:r>
      <w:r w:rsidRPr="00017FE5">
        <w:rPr>
          <w:rFonts w:eastAsia="Calibri"/>
        </w:rPr>
        <w:t>/hour for operations managers and $</w:t>
      </w:r>
      <w:r w:rsidR="005F61F9">
        <w:rPr>
          <w:rFonts w:eastAsia="Calibri"/>
        </w:rPr>
        <w:t>38</w:t>
      </w:r>
      <w:r w:rsidRPr="00017FE5">
        <w:rPr>
          <w:rFonts w:eastAsia="Calibri"/>
        </w:rPr>
        <w:t>.</w:t>
      </w:r>
      <w:r w:rsidR="005F61F9">
        <w:rPr>
          <w:rFonts w:eastAsia="Calibri"/>
        </w:rPr>
        <w:t>52</w:t>
      </w:r>
      <w:r w:rsidRPr="00017FE5">
        <w:rPr>
          <w:rFonts w:eastAsia="Calibri"/>
        </w:rPr>
        <w:t xml:space="preserve">/hour for clerical staff.) </w:t>
      </w:r>
      <w:r w:rsidR="005F61F9">
        <w:rPr>
          <w:rFonts w:eastAsia="Calibri"/>
        </w:rPr>
        <w:t xml:space="preserve"> </w:t>
      </w:r>
      <w:r w:rsidRPr="00017FE5">
        <w:rPr>
          <w:rFonts w:eastAsia="Calibri"/>
        </w:rPr>
        <w:t>In addition,</w:t>
      </w:r>
      <w:r w:rsidR="005F61F9">
        <w:rPr>
          <w:rFonts w:eastAsia="Calibri"/>
        </w:rPr>
        <w:t xml:space="preserve"> </w:t>
      </w:r>
      <w:r w:rsidRPr="00017FE5">
        <w:rPr>
          <w:rFonts w:eastAsia="Calibri"/>
        </w:rPr>
        <w:t>we estimate that the effort to process a GRAS application will be split evenly</w:t>
      </w:r>
      <w:r w:rsidR="001572CF">
        <w:rPr>
          <w:rFonts w:eastAsia="Calibri"/>
        </w:rPr>
        <w:t xml:space="preserve"> between</w:t>
      </w:r>
      <w:r w:rsidR="005F61F9">
        <w:rPr>
          <w:rFonts w:eastAsia="Calibri"/>
        </w:rPr>
        <w:t xml:space="preserve"> </w:t>
      </w:r>
      <w:r w:rsidRPr="00017FE5">
        <w:rPr>
          <w:rFonts w:eastAsia="Calibri"/>
        </w:rPr>
        <w:t xml:space="preserve">managers and clerical staff. </w:t>
      </w:r>
      <w:r w:rsidR="005F61F9">
        <w:rPr>
          <w:rFonts w:eastAsia="Calibri"/>
        </w:rPr>
        <w:t xml:space="preserve"> </w:t>
      </w:r>
      <w:r w:rsidRPr="00017FE5">
        <w:rPr>
          <w:rFonts w:eastAsia="Calibri"/>
        </w:rPr>
        <w:t>Therefore, the total cost of this collection of</w:t>
      </w:r>
      <w:r w:rsidR="005F61F9">
        <w:rPr>
          <w:rFonts w:eastAsia="Calibri"/>
        </w:rPr>
        <w:t xml:space="preserve"> </w:t>
      </w:r>
      <w:r w:rsidRPr="00017FE5">
        <w:rPr>
          <w:rFonts w:eastAsia="Calibri"/>
        </w:rPr>
        <w:t xml:space="preserve">information to </w:t>
      </w:r>
      <w:r w:rsidR="001572CF">
        <w:rPr>
          <w:rFonts w:eastAsia="Calibri"/>
        </w:rPr>
        <w:t>respondents</w:t>
      </w:r>
      <w:r w:rsidRPr="00017FE5">
        <w:rPr>
          <w:rFonts w:eastAsia="Calibri"/>
        </w:rPr>
        <w:t xml:space="preserve"> is estimated to be $</w:t>
      </w:r>
      <w:r w:rsidR="00F1326D">
        <w:rPr>
          <w:rFonts w:eastAsia="Calibri"/>
        </w:rPr>
        <w:t>1,248,650</w:t>
      </w:r>
      <w:r w:rsidRPr="00017FE5">
        <w:rPr>
          <w:rFonts w:eastAsia="Calibri"/>
        </w:rPr>
        <w:t>, which is the total annual cost of</w:t>
      </w:r>
      <w:r w:rsidR="005F61F9">
        <w:rPr>
          <w:rFonts w:eastAsia="Calibri"/>
        </w:rPr>
        <w:t xml:space="preserve"> </w:t>
      </w:r>
      <w:r w:rsidRPr="00017FE5">
        <w:rPr>
          <w:rFonts w:eastAsia="Calibri"/>
        </w:rPr>
        <w:t xml:space="preserve">processing human and animal </w:t>
      </w:r>
      <w:r w:rsidR="001572CF">
        <w:rPr>
          <w:rFonts w:eastAsia="Calibri"/>
        </w:rPr>
        <w:t xml:space="preserve">food </w:t>
      </w:r>
      <w:r w:rsidRPr="00017FE5">
        <w:rPr>
          <w:rFonts w:eastAsia="Calibri"/>
        </w:rPr>
        <w:t xml:space="preserve">GRAS applications and is listed in table </w:t>
      </w:r>
      <w:r w:rsidR="00760EFF">
        <w:rPr>
          <w:rFonts w:eastAsia="Calibri"/>
        </w:rPr>
        <w:t>2</w:t>
      </w:r>
      <w:r w:rsidRPr="00017FE5">
        <w:rPr>
          <w:rFonts w:eastAsia="Calibri"/>
        </w:rPr>
        <w:t xml:space="preserve"> below.</w:t>
      </w:r>
    </w:p>
    <w:p w:rsidR="005F61F9" w:rsidP="005F61F9" w:rsidRDefault="005F61F9" w14:paraId="37EB76AD" w14:textId="77777777">
      <w:pPr>
        <w:ind w:left="360"/>
        <w:rPr>
          <w:rFonts w:eastAsia="Calibri"/>
        </w:rPr>
      </w:pPr>
    </w:p>
    <w:p w:rsidRPr="002E79C3" w:rsidR="00A707CC" w:rsidP="005F61F9" w:rsidRDefault="00017FE5" w14:paraId="5F34A80F" w14:textId="77777777">
      <w:pPr>
        <w:ind w:left="360"/>
        <w:jc w:val="center"/>
        <w:rPr>
          <w:rFonts w:eastAsia="Calibri"/>
          <w:sz w:val="20"/>
          <w:szCs w:val="20"/>
        </w:rPr>
      </w:pPr>
      <w:r w:rsidRPr="002E79C3">
        <w:rPr>
          <w:rFonts w:eastAsia="Calibri"/>
          <w:sz w:val="20"/>
          <w:szCs w:val="20"/>
        </w:rPr>
        <w:t xml:space="preserve">Table </w:t>
      </w:r>
      <w:r w:rsidRPr="002E79C3" w:rsidR="00206042">
        <w:rPr>
          <w:rFonts w:eastAsia="Calibri"/>
          <w:sz w:val="20"/>
          <w:szCs w:val="20"/>
        </w:rPr>
        <w:t>2.--</w:t>
      </w:r>
      <w:r w:rsidRPr="002E79C3">
        <w:rPr>
          <w:rFonts w:eastAsia="Calibri"/>
          <w:sz w:val="20"/>
          <w:szCs w:val="20"/>
        </w:rPr>
        <w:t>Estimated Annual Cost</w:t>
      </w:r>
      <w:r w:rsidRPr="002E79C3" w:rsidR="00206042">
        <w:rPr>
          <w:rFonts w:eastAsia="Calibri"/>
          <w:sz w:val="20"/>
          <w:szCs w:val="20"/>
        </w:rPr>
        <w:t xml:space="preserve"> Burden</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710"/>
        <w:gridCol w:w="1944"/>
        <w:gridCol w:w="1926"/>
      </w:tblGrid>
      <w:tr w:rsidR="00A707CC" w:rsidTr="002E79C3" w14:paraId="0715E708" w14:textId="77777777">
        <w:tc>
          <w:tcPr>
            <w:tcW w:w="2700" w:type="dxa"/>
            <w:shd w:val="clear" w:color="auto" w:fill="auto"/>
          </w:tcPr>
          <w:p w:rsidRPr="00FF6725" w:rsidR="00A707CC" w:rsidP="00312622" w:rsidRDefault="00A707CC" w14:paraId="02201FCB" w14:textId="77777777">
            <w:pPr>
              <w:jc w:val="center"/>
              <w:rPr>
                <w:sz w:val="20"/>
                <w:szCs w:val="20"/>
              </w:rPr>
            </w:pPr>
            <w:r w:rsidRPr="00FF6725">
              <w:rPr>
                <w:sz w:val="20"/>
                <w:szCs w:val="20"/>
              </w:rPr>
              <w:t>Activit</w:t>
            </w:r>
            <w:r w:rsidRPr="00FF6725" w:rsidR="00A1060C">
              <w:rPr>
                <w:sz w:val="20"/>
                <w:szCs w:val="20"/>
              </w:rPr>
              <w:t>y</w:t>
            </w:r>
            <w:r w:rsidR="001572CF">
              <w:rPr>
                <w:sz w:val="20"/>
                <w:szCs w:val="20"/>
              </w:rPr>
              <w:t xml:space="preserve">; </w:t>
            </w:r>
            <w:r w:rsidR="00206042">
              <w:rPr>
                <w:sz w:val="20"/>
                <w:szCs w:val="20"/>
              </w:rPr>
              <w:t xml:space="preserve">21 CFR </w:t>
            </w:r>
            <w:r w:rsidRPr="00FF6725" w:rsidR="00017FE5">
              <w:rPr>
                <w:sz w:val="20"/>
                <w:szCs w:val="20"/>
              </w:rPr>
              <w:t>Section</w:t>
            </w:r>
          </w:p>
        </w:tc>
        <w:tc>
          <w:tcPr>
            <w:tcW w:w="1710" w:type="dxa"/>
            <w:shd w:val="clear" w:color="auto" w:fill="auto"/>
          </w:tcPr>
          <w:p w:rsidRPr="00FF6725" w:rsidR="00A707CC" w:rsidP="00312622" w:rsidRDefault="00A707CC" w14:paraId="25706825" w14:textId="77777777">
            <w:pPr>
              <w:jc w:val="center"/>
              <w:rPr>
                <w:sz w:val="20"/>
                <w:szCs w:val="20"/>
              </w:rPr>
            </w:pPr>
            <w:r w:rsidRPr="00FF6725">
              <w:rPr>
                <w:sz w:val="20"/>
                <w:szCs w:val="20"/>
              </w:rPr>
              <w:t>Total Burden Hours</w:t>
            </w:r>
          </w:p>
        </w:tc>
        <w:tc>
          <w:tcPr>
            <w:tcW w:w="1944" w:type="dxa"/>
            <w:shd w:val="clear" w:color="auto" w:fill="auto"/>
          </w:tcPr>
          <w:p w:rsidRPr="00FF6725" w:rsidR="00A707CC" w:rsidP="00312622" w:rsidRDefault="00A707CC" w14:paraId="64580C2A" w14:textId="77777777">
            <w:pPr>
              <w:jc w:val="center"/>
              <w:rPr>
                <w:sz w:val="20"/>
                <w:szCs w:val="20"/>
              </w:rPr>
            </w:pPr>
            <w:r w:rsidRPr="00FF6725">
              <w:rPr>
                <w:sz w:val="20"/>
                <w:szCs w:val="20"/>
              </w:rPr>
              <w:t>Hourly Wage Rate</w:t>
            </w:r>
          </w:p>
        </w:tc>
        <w:tc>
          <w:tcPr>
            <w:tcW w:w="1926" w:type="dxa"/>
            <w:shd w:val="clear" w:color="auto" w:fill="auto"/>
          </w:tcPr>
          <w:p w:rsidRPr="00FF6725" w:rsidR="00A707CC" w:rsidP="00312622" w:rsidRDefault="00A707CC" w14:paraId="20D784FF" w14:textId="77777777">
            <w:pPr>
              <w:jc w:val="center"/>
              <w:rPr>
                <w:sz w:val="20"/>
                <w:szCs w:val="20"/>
              </w:rPr>
            </w:pPr>
            <w:r w:rsidRPr="00FF6725">
              <w:rPr>
                <w:sz w:val="20"/>
                <w:szCs w:val="20"/>
              </w:rPr>
              <w:t>Total Respondent Costs</w:t>
            </w:r>
          </w:p>
        </w:tc>
      </w:tr>
      <w:tr w:rsidR="00A707CC" w:rsidTr="002E79C3" w14:paraId="460FBAA2" w14:textId="77777777">
        <w:tc>
          <w:tcPr>
            <w:tcW w:w="2700" w:type="dxa"/>
            <w:shd w:val="clear" w:color="auto" w:fill="auto"/>
          </w:tcPr>
          <w:p w:rsidR="001572CF" w:rsidP="00017FE5" w:rsidRDefault="00017FE5" w14:paraId="6E4CE0D1" w14:textId="77777777">
            <w:pPr>
              <w:rPr>
                <w:sz w:val="20"/>
                <w:szCs w:val="20"/>
              </w:rPr>
            </w:pPr>
            <w:r w:rsidRPr="00FF6725">
              <w:rPr>
                <w:sz w:val="20"/>
                <w:szCs w:val="20"/>
              </w:rPr>
              <w:t>GRAS notification procedure for</w:t>
            </w:r>
            <w:r w:rsidR="001572CF">
              <w:rPr>
                <w:sz w:val="20"/>
                <w:szCs w:val="20"/>
              </w:rPr>
              <w:t xml:space="preserve"> </w:t>
            </w:r>
            <w:r w:rsidRPr="00FF6725">
              <w:rPr>
                <w:sz w:val="20"/>
                <w:szCs w:val="20"/>
              </w:rPr>
              <w:t xml:space="preserve">human </w:t>
            </w:r>
            <w:proofErr w:type="gramStart"/>
            <w:r w:rsidRPr="00FF6725">
              <w:rPr>
                <w:sz w:val="20"/>
                <w:szCs w:val="20"/>
              </w:rPr>
              <w:t>food;</w:t>
            </w:r>
            <w:proofErr w:type="gramEnd"/>
            <w:r w:rsidRPr="00FF6725">
              <w:rPr>
                <w:sz w:val="20"/>
                <w:szCs w:val="20"/>
              </w:rPr>
              <w:t xml:space="preserve"> </w:t>
            </w:r>
          </w:p>
          <w:p w:rsidRPr="00FF6725" w:rsidR="00017FE5" w:rsidP="00017FE5" w:rsidRDefault="00017FE5" w14:paraId="165993A3" w14:textId="77777777">
            <w:pPr>
              <w:rPr>
                <w:sz w:val="20"/>
                <w:szCs w:val="20"/>
              </w:rPr>
            </w:pPr>
            <w:r w:rsidRPr="00FF6725">
              <w:rPr>
                <w:sz w:val="20"/>
                <w:szCs w:val="20"/>
              </w:rPr>
              <w:t>170.210 through</w:t>
            </w:r>
          </w:p>
          <w:p w:rsidRPr="00FF6725" w:rsidR="00A707CC" w:rsidP="00017FE5" w:rsidRDefault="00017FE5" w14:paraId="0581824D" w14:textId="77777777">
            <w:pPr>
              <w:rPr>
                <w:sz w:val="20"/>
                <w:szCs w:val="20"/>
              </w:rPr>
            </w:pPr>
            <w:r w:rsidRPr="00FF6725">
              <w:rPr>
                <w:sz w:val="20"/>
                <w:szCs w:val="20"/>
              </w:rPr>
              <w:t>170.270 (managers)</w:t>
            </w:r>
          </w:p>
        </w:tc>
        <w:tc>
          <w:tcPr>
            <w:tcW w:w="1710" w:type="dxa"/>
            <w:shd w:val="clear" w:color="auto" w:fill="auto"/>
          </w:tcPr>
          <w:p w:rsidRPr="00FF6725" w:rsidR="00A707CC" w:rsidP="00FF6725" w:rsidRDefault="00017FE5" w14:paraId="54706C48" w14:textId="77777777">
            <w:pPr>
              <w:jc w:val="right"/>
              <w:rPr>
                <w:sz w:val="20"/>
                <w:szCs w:val="20"/>
              </w:rPr>
            </w:pPr>
            <w:r>
              <w:rPr>
                <w:sz w:val="20"/>
                <w:szCs w:val="20"/>
              </w:rPr>
              <w:t>8,500</w:t>
            </w:r>
          </w:p>
        </w:tc>
        <w:tc>
          <w:tcPr>
            <w:tcW w:w="1944" w:type="dxa"/>
            <w:shd w:val="clear" w:color="auto" w:fill="auto"/>
          </w:tcPr>
          <w:p w:rsidRPr="00FF6725" w:rsidR="00A707CC" w:rsidP="00FF6725" w:rsidRDefault="00017FE5" w14:paraId="77F6FBB7" w14:textId="77777777">
            <w:pPr>
              <w:jc w:val="right"/>
              <w:rPr>
                <w:sz w:val="20"/>
                <w:szCs w:val="20"/>
              </w:rPr>
            </w:pPr>
            <w:r>
              <w:rPr>
                <w:sz w:val="20"/>
                <w:szCs w:val="20"/>
              </w:rPr>
              <w:t>$</w:t>
            </w:r>
            <w:r w:rsidR="005F61F9">
              <w:rPr>
                <w:sz w:val="20"/>
                <w:szCs w:val="20"/>
              </w:rPr>
              <w:t>79</w:t>
            </w:r>
            <w:r>
              <w:rPr>
                <w:sz w:val="20"/>
                <w:szCs w:val="20"/>
              </w:rPr>
              <w:t>.</w:t>
            </w:r>
            <w:r w:rsidR="005F61F9">
              <w:rPr>
                <w:sz w:val="20"/>
                <w:szCs w:val="20"/>
              </w:rPr>
              <w:t>00</w:t>
            </w:r>
          </w:p>
        </w:tc>
        <w:tc>
          <w:tcPr>
            <w:tcW w:w="1926" w:type="dxa"/>
            <w:shd w:val="clear" w:color="auto" w:fill="auto"/>
          </w:tcPr>
          <w:p w:rsidRPr="00FF6725" w:rsidR="00A707CC" w:rsidP="00FF6725" w:rsidRDefault="00017FE5" w14:paraId="59239B75" w14:textId="77777777">
            <w:pPr>
              <w:jc w:val="right"/>
              <w:rPr>
                <w:sz w:val="20"/>
                <w:szCs w:val="20"/>
              </w:rPr>
            </w:pPr>
            <w:r>
              <w:rPr>
                <w:sz w:val="20"/>
                <w:szCs w:val="20"/>
              </w:rPr>
              <w:t>$</w:t>
            </w:r>
            <w:r w:rsidR="005F61F9">
              <w:rPr>
                <w:sz w:val="20"/>
                <w:szCs w:val="20"/>
              </w:rPr>
              <w:t>671</w:t>
            </w:r>
            <w:r w:rsidR="001572CF">
              <w:rPr>
                <w:sz w:val="20"/>
                <w:szCs w:val="20"/>
              </w:rPr>
              <w:t>,</w:t>
            </w:r>
            <w:r w:rsidR="005F61F9">
              <w:rPr>
                <w:sz w:val="20"/>
                <w:szCs w:val="20"/>
              </w:rPr>
              <w:t>500</w:t>
            </w:r>
          </w:p>
        </w:tc>
      </w:tr>
      <w:tr w:rsidR="00017FE5" w:rsidTr="002E79C3" w14:paraId="109163D5" w14:textId="77777777">
        <w:tc>
          <w:tcPr>
            <w:tcW w:w="2700" w:type="dxa"/>
            <w:shd w:val="clear" w:color="auto" w:fill="auto"/>
          </w:tcPr>
          <w:p w:rsidR="001572CF" w:rsidP="00017FE5" w:rsidRDefault="00017FE5" w14:paraId="6477BE9A" w14:textId="77777777">
            <w:pPr>
              <w:rPr>
                <w:sz w:val="20"/>
                <w:szCs w:val="20"/>
              </w:rPr>
            </w:pPr>
            <w:r w:rsidRPr="00FF6725">
              <w:rPr>
                <w:sz w:val="20"/>
                <w:szCs w:val="20"/>
              </w:rPr>
              <w:t>GRAS notification procedure for</w:t>
            </w:r>
            <w:r w:rsidR="001572CF">
              <w:rPr>
                <w:sz w:val="20"/>
                <w:szCs w:val="20"/>
              </w:rPr>
              <w:t xml:space="preserve"> </w:t>
            </w:r>
            <w:r w:rsidRPr="00FF6725">
              <w:rPr>
                <w:sz w:val="20"/>
                <w:szCs w:val="20"/>
              </w:rPr>
              <w:t xml:space="preserve">human </w:t>
            </w:r>
            <w:proofErr w:type="gramStart"/>
            <w:r w:rsidRPr="00FF6725">
              <w:rPr>
                <w:sz w:val="20"/>
                <w:szCs w:val="20"/>
              </w:rPr>
              <w:t>food;</w:t>
            </w:r>
            <w:proofErr w:type="gramEnd"/>
            <w:r w:rsidR="001572CF">
              <w:rPr>
                <w:sz w:val="20"/>
                <w:szCs w:val="20"/>
              </w:rPr>
              <w:t xml:space="preserve"> </w:t>
            </w:r>
          </w:p>
          <w:p w:rsidRPr="00FF6725" w:rsidR="00017FE5" w:rsidP="00017FE5" w:rsidRDefault="00017FE5" w14:paraId="60D80D68" w14:textId="77777777">
            <w:pPr>
              <w:rPr>
                <w:sz w:val="20"/>
                <w:szCs w:val="20"/>
              </w:rPr>
            </w:pPr>
            <w:r w:rsidRPr="00FF6725">
              <w:rPr>
                <w:sz w:val="20"/>
                <w:szCs w:val="20"/>
              </w:rPr>
              <w:t>170.210 through</w:t>
            </w:r>
          </w:p>
          <w:p w:rsidRPr="00FF6725" w:rsidR="00017FE5" w:rsidP="00017FE5" w:rsidRDefault="00017FE5" w14:paraId="5B874B76" w14:textId="77777777">
            <w:pPr>
              <w:rPr>
                <w:sz w:val="20"/>
                <w:szCs w:val="20"/>
              </w:rPr>
            </w:pPr>
            <w:r w:rsidRPr="00FF6725">
              <w:rPr>
                <w:sz w:val="20"/>
                <w:szCs w:val="20"/>
              </w:rPr>
              <w:t>170.270 (clerical)</w:t>
            </w:r>
          </w:p>
        </w:tc>
        <w:tc>
          <w:tcPr>
            <w:tcW w:w="1710" w:type="dxa"/>
            <w:shd w:val="clear" w:color="auto" w:fill="auto"/>
          </w:tcPr>
          <w:p w:rsidRPr="00FF6725" w:rsidR="00017FE5" w:rsidP="00FF6725" w:rsidRDefault="00017FE5" w14:paraId="7066D14B" w14:textId="77777777">
            <w:pPr>
              <w:jc w:val="right"/>
              <w:rPr>
                <w:sz w:val="20"/>
                <w:szCs w:val="20"/>
              </w:rPr>
            </w:pPr>
            <w:r>
              <w:rPr>
                <w:sz w:val="20"/>
                <w:szCs w:val="20"/>
              </w:rPr>
              <w:t>8,500</w:t>
            </w:r>
          </w:p>
        </w:tc>
        <w:tc>
          <w:tcPr>
            <w:tcW w:w="1944" w:type="dxa"/>
            <w:shd w:val="clear" w:color="auto" w:fill="auto"/>
          </w:tcPr>
          <w:p w:rsidRPr="00FF6725" w:rsidR="00017FE5" w:rsidP="00FF6725" w:rsidRDefault="00017FE5" w14:paraId="33782BE0" w14:textId="77777777">
            <w:pPr>
              <w:jc w:val="right"/>
              <w:rPr>
                <w:sz w:val="20"/>
                <w:szCs w:val="20"/>
              </w:rPr>
            </w:pPr>
            <w:r w:rsidRPr="00017FE5">
              <w:rPr>
                <w:sz w:val="20"/>
                <w:szCs w:val="20"/>
              </w:rPr>
              <w:t>$</w:t>
            </w:r>
            <w:r w:rsidR="005F61F9">
              <w:rPr>
                <w:sz w:val="20"/>
                <w:szCs w:val="20"/>
              </w:rPr>
              <w:t>38</w:t>
            </w:r>
            <w:r w:rsidRPr="00017FE5">
              <w:rPr>
                <w:sz w:val="20"/>
                <w:szCs w:val="20"/>
              </w:rPr>
              <w:t>.</w:t>
            </w:r>
            <w:r w:rsidR="005F61F9">
              <w:rPr>
                <w:sz w:val="20"/>
                <w:szCs w:val="20"/>
              </w:rPr>
              <w:t>52</w:t>
            </w:r>
          </w:p>
        </w:tc>
        <w:tc>
          <w:tcPr>
            <w:tcW w:w="1926" w:type="dxa"/>
            <w:shd w:val="clear" w:color="auto" w:fill="auto"/>
          </w:tcPr>
          <w:p w:rsidRPr="00FF6725" w:rsidR="00017FE5" w:rsidP="00FF6725" w:rsidRDefault="00017FE5" w14:paraId="2437ED25" w14:textId="77777777">
            <w:pPr>
              <w:jc w:val="right"/>
              <w:rPr>
                <w:sz w:val="20"/>
                <w:szCs w:val="20"/>
              </w:rPr>
            </w:pPr>
            <w:r>
              <w:rPr>
                <w:sz w:val="20"/>
                <w:szCs w:val="20"/>
              </w:rPr>
              <w:t>$</w:t>
            </w:r>
            <w:r w:rsidR="005F61F9">
              <w:rPr>
                <w:sz w:val="20"/>
                <w:szCs w:val="20"/>
              </w:rPr>
              <w:t>3</w:t>
            </w:r>
            <w:r w:rsidR="001572CF">
              <w:rPr>
                <w:sz w:val="20"/>
                <w:szCs w:val="20"/>
              </w:rPr>
              <w:t>2</w:t>
            </w:r>
            <w:r w:rsidR="005F61F9">
              <w:rPr>
                <w:sz w:val="20"/>
                <w:szCs w:val="20"/>
              </w:rPr>
              <w:t>7</w:t>
            </w:r>
            <w:r>
              <w:rPr>
                <w:sz w:val="20"/>
                <w:szCs w:val="20"/>
              </w:rPr>
              <w:t>,</w:t>
            </w:r>
            <w:r w:rsidR="005F61F9">
              <w:rPr>
                <w:sz w:val="20"/>
                <w:szCs w:val="20"/>
              </w:rPr>
              <w:t>420</w:t>
            </w:r>
          </w:p>
        </w:tc>
      </w:tr>
      <w:tr w:rsidR="00017FE5" w:rsidTr="002E79C3" w14:paraId="473A4F75" w14:textId="77777777">
        <w:tc>
          <w:tcPr>
            <w:tcW w:w="2700" w:type="dxa"/>
            <w:shd w:val="clear" w:color="auto" w:fill="auto"/>
          </w:tcPr>
          <w:p w:rsidRPr="00FF6725" w:rsidR="00017FE5" w:rsidP="00017FE5" w:rsidRDefault="00017FE5" w14:paraId="34AFAF7B" w14:textId="77777777">
            <w:pPr>
              <w:rPr>
                <w:sz w:val="20"/>
                <w:szCs w:val="20"/>
              </w:rPr>
            </w:pPr>
            <w:r w:rsidRPr="00FF6725">
              <w:rPr>
                <w:sz w:val="20"/>
                <w:szCs w:val="20"/>
              </w:rPr>
              <w:t>GRAS notification procedure for</w:t>
            </w:r>
            <w:r w:rsidR="001572CF">
              <w:rPr>
                <w:sz w:val="20"/>
                <w:szCs w:val="20"/>
              </w:rPr>
              <w:t xml:space="preserve"> </w:t>
            </w:r>
            <w:r w:rsidRPr="00FF6725">
              <w:rPr>
                <w:sz w:val="20"/>
                <w:szCs w:val="20"/>
              </w:rPr>
              <w:t xml:space="preserve">animal </w:t>
            </w:r>
            <w:proofErr w:type="gramStart"/>
            <w:r w:rsidRPr="00FF6725">
              <w:rPr>
                <w:sz w:val="20"/>
                <w:szCs w:val="20"/>
              </w:rPr>
              <w:t>food;</w:t>
            </w:r>
            <w:proofErr w:type="gramEnd"/>
          </w:p>
          <w:p w:rsidRPr="00FF6725" w:rsidR="00017FE5" w:rsidP="00017FE5" w:rsidRDefault="00017FE5" w14:paraId="52EBD800" w14:textId="77777777">
            <w:pPr>
              <w:rPr>
                <w:sz w:val="20"/>
                <w:szCs w:val="20"/>
              </w:rPr>
            </w:pPr>
            <w:r w:rsidRPr="00FF6725">
              <w:rPr>
                <w:sz w:val="20"/>
                <w:szCs w:val="20"/>
              </w:rPr>
              <w:t>570.210 through 570.270</w:t>
            </w:r>
          </w:p>
          <w:p w:rsidRPr="00FF6725" w:rsidR="00017FE5" w:rsidP="00017FE5" w:rsidRDefault="00017FE5" w14:paraId="3CCA5B6E" w14:textId="77777777">
            <w:pPr>
              <w:rPr>
                <w:sz w:val="20"/>
                <w:szCs w:val="20"/>
              </w:rPr>
            </w:pPr>
            <w:r w:rsidRPr="00FF6725">
              <w:rPr>
                <w:sz w:val="20"/>
                <w:szCs w:val="20"/>
              </w:rPr>
              <w:t>(managers)</w:t>
            </w:r>
          </w:p>
        </w:tc>
        <w:tc>
          <w:tcPr>
            <w:tcW w:w="1710" w:type="dxa"/>
            <w:shd w:val="clear" w:color="auto" w:fill="auto"/>
          </w:tcPr>
          <w:p w:rsidRPr="00FF6725" w:rsidR="00017FE5" w:rsidP="00FF6725" w:rsidRDefault="00017FE5" w14:paraId="3A226639" w14:textId="77777777">
            <w:pPr>
              <w:jc w:val="right"/>
              <w:rPr>
                <w:sz w:val="20"/>
                <w:szCs w:val="20"/>
              </w:rPr>
            </w:pPr>
            <w:r>
              <w:rPr>
                <w:sz w:val="20"/>
                <w:szCs w:val="20"/>
              </w:rPr>
              <w:t>2,125</w:t>
            </w:r>
          </w:p>
        </w:tc>
        <w:tc>
          <w:tcPr>
            <w:tcW w:w="1944" w:type="dxa"/>
            <w:shd w:val="clear" w:color="auto" w:fill="auto"/>
          </w:tcPr>
          <w:p w:rsidRPr="00FF6725" w:rsidR="00017FE5" w:rsidP="00FF6725" w:rsidRDefault="00017FE5" w14:paraId="54B87BB0" w14:textId="77777777">
            <w:pPr>
              <w:jc w:val="right"/>
              <w:rPr>
                <w:sz w:val="20"/>
                <w:szCs w:val="20"/>
              </w:rPr>
            </w:pPr>
            <w:r w:rsidRPr="00017FE5">
              <w:rPr>
                <w:sz w:val="20"/>
                <w:szCs w:val="20"/>
              </w:rPr>
              <w:t>$</w:t>
            </w:r>
            <w:r w:rsidR="005F61F9">
              <w:rPr>
                <w:sz w:val="20"/>
                <w:szCs w:val="20"/>
              </w:rPr>
              <w:t>79</w:t>
            </w:r>
            <w:r w:rsidRPr="00017FE5">
              <w:rPr>
                <w:sz w:val="20"/>
                <w:szCs w:val="20"/>
              </w:rPr>
              <w:t>.</w:t>
            </w:r>
            <w:r w:rsidR="005F61F9">
              <w:rPr>
                <w:sz w:val="20"/>
                <w:szCs w:val="20"/>
              </w:rPr>
              <w:t>00</w:t>
            </w:r>
          </w:p>
        </w:tc>
        <w:tc>
          <w:tcPr>
            <w:tcW w:w="1926" w:type="dxa"/>
            <w:shd w:val="clear" w:color="auto" w:fill="auto"/>
          </w:tcPr>
          <w:p w:rsidRPr="00FF6725" w:rsidR="00017FE5" w:rsidP="00FF6725" w:rsidRDefault="00017FE5" w14:paraId="446DE6C1" w14:textId="77777777">
            <w:pPr>
              <w:jc w:val="right"/>
              <w:rPr>
                <w:sz w:val="20"/>
                <w:szCs w:val="20"/>
              </w:rPr>
            </w:pPr>
            <w:r>
              <w:rPr>
                <w:sz w:val="20"/>
                <w:szCs w:val="20"/>
              </w:rPr>
              <w:t>$</w:t>
            </w:r>
            <w:r w:rsidR="005F61F9">
              <w:rPr>
                <w:sz w:val="20"/>
                <w:szCs w:val="20"/>
              </w:rPr>
              <w:t>167,875</w:t>
            </w:r>
          </w:p>
        </w:tc>
      </w:tr>
      <w:tr w:rsidR="00017FE5" w:rsidTr="002E79C3" w14:paraId="39A271CF" w14:textId="77777777">
        <w:tc>
          <w:tcPr>
            <w:tcW w:w="2700" w:type="dxa"/>
            <w:shd w:val="clear" w:color="auto" w:fill="auto"/>
          </w:tcPr>
          <w:p w:rsidRPr="00017FE5" w:rsidR="00017FE5" w:rsidP="00017FE5" w:rsidRDefault="00017FE5" w14:paraId="23071113" w14:textId="77777777">
            <w:pPr>
              <w:rPr>
                <w:sz w:val="20"/>
                <w:szCs w:val="20"/>
              </w:rPr>
            </w:pPr>
            <w:r w:rsidRPr="00017FE5">
              <w:rPr>
                <w:sz w:val="20"/>
                <w:szCs w:val="20"/>
              </w:rPr>
              <w:t>GRAS notification procedure for</w:t>
            </w:r>
            <w:r w:rsidR="001572CF">
              <w:rPr>
                <w:sz w:val="20"/>
                <w:szCs w:val="20"/>
              </w:rPr>
              <w:t xml:space="preserve"> </w:t>
            </w:r>
            <w:r w:rsidRPr="00017FE5">
              <w:rPr>
                <w:sz w:val="20"/>
                <w:szCs w:val="20"/>
              </w:rPr>
              <w:t xml:space="preserve">animal </w:t>
            </w:r>
            <w:proofErr w:type="gramStart"/>
            <w:r w:rsidRPr="00017FE5">
              <w:rPr>
                <w:sz w:val="20"/>
                <w:szCs w:val="20"/>
              </w:rPr>
              <w:t>food;</w:t>
            </w:r>
            <w:proofErr w:type="gramEnd"/>
          </w:p>
          <w:p w:rsidRPr="00FF6725" w:rsidR="00017FE5" w:rsidP="00017FE5" w:rsidRDefault="00017FE5" w14:paraId="6126CA03" w14:textId="77777777">
            <w:pPr>
              <w:rPr>
                <w:sz w:val="20"/>
                <w:szCs w:val="20"/>
              </w:rPr>
            </w:pPr>
            <w:r w:rsidRPr="00017FE5">
              <w:rPr>
                <w:sz w:val="20"/>
                <w:szCs w:val="20"/>
              </w:rPr>
              <w:t>570.210 through 570.270 (clerical)</w:t>
            </w:r>
          </w:p>
        </w:tc>
        <w:tc>
          <w:tcPr>
            <w:tcW w:w="1710" w:type="dxa"/>
            <w:shd w:val="clear" w:color="auto" w:fill="auto"/>
          </w:tcPr>
          <w:p w:rsidRPr="00FF6725" w:rsidR="00017FE5" w:rsidP="00FF6725" w:rsidRDefault="00017FE5" w14:paraId="2820B334" w14:textId="77777777">
            <w:pPr>
              <w:jc w:val="right"/>
              <w:rPr>
                <w:sz w:val="20"/>
                <w:szCs w:val="20"/>
              </w:rPr>
            </w:pPr>
            <w:r>
              <w:rPr>
                <w:sz w:val="20"/>
                <w:szCs w:val="20"/>
              </w:rPr>
              <w:t>2,125</w:t>
            </w:r>
          </w:p>
        </w:tc>
        <w:tc>
          <w:tcPr>
            <w:tcW w:w="1944" w:type="dxa"/>
            <w:shd w:val="clear" w:color="auto" w:fill="auto"/>
          </w:tcPr>
          <w:p w:rsidRPr="00FF6725" w:rsidR="00017FE5" w:rsidP="00FF6725" w:rsidRDefault="00017FE5" w14:paraId="09878AC4" w14:textId="77777777">
            <w:pPr>
              <w:jc w:val="right"/>
              <w:rPr>
                <w:sz w:val="20"/>
                <w:szCs w:val="20"/>
              </w:rPr>
            </w:pPr>
            <w:r w:rsidRPr="00017FE5">
              <w:rPr>
                <w:sz w:val="20"/>
                <w:szCs w:val="20"/>
              </w:rPr>
              <w:t>$</w:t>
            </w:r>
            <w:r w:rsidR="005F61F9">
              <w:rPr>
                <w:sz w:val="20"/>
                <w:szCs w:val="20"/>
              </w:rPr>
              <w:t>38</w:t>
            </w:r>
            <w:r w:rsidRPr="00017FE5">
              <w:rPr>
                <w:sz w:val="20"/>
                <w:szCs w:val="20"/>
              </w:rPr>
              <w:t>.</w:t>
            </w:r>
            <w:r w:rsidR="005F61F9">
              <w:rPr>
                <w:sz w:val="20"/>
                <w:szCs w:val="20"/>
              </w:rPr>
              <w:t>52</w:t>
            </w:r>
          </w:p>
        </w:tc>
        <w:tc>
          <w:tcPr>
            <w:tcW w:w="1926" w:type="dxa"/>
            <w:shd w:val="clear" w:color="auto" w:fill="auto"/>
          </w:tcPr>
          <w:p w:rsidRPr="00FF6725" w:rsidR="00017FE5" w:rsidP="00FF6725" w:rsidRDefault="00017FE5" w14:paraId="2FE32F83" w14:textId="77777777">
            <w:pPr>
              <w:jc w:val="right"/>
              <w:rPr>
                <w:sz w:val="20"/>
                <w:szCs w:val="20"/>
              </w:rPr>
            </w:pPr>
            <w:r>
              <w:rPr>
                <w:sz w:val="20"/>
                <w:szCs w:val="20"/>
              </w:rPr>
              <w:t>$</w:t>
            </w:r>
            <w:r w:rsidR="005F61F9">
              <w:rPr>
                <w:sz w:val="20"/>
                <w:szCs w:val="20"/>
              </w:rPr>
              <w:t>81</w:t>
            </w:r>
            <w:r>
              <w:rPr>
                <w:sz w:val="20"/>
                <w:szCs w:val="20"/>
              </w:rPr>
              <w:t>,</w:t>
            </w:r>
            <w:r w:rsidR="005F61F9">
              <w:rPr>
                <w:sz w:val="20"/>
                <w:szCs w:val="20"/>
              </w:rPr>
              <w:t>855</w:t>
            </w:r>
          </w:p>
        </w:tc>
      </w:tr>
      <w:tr w:rsidR="00A707CC" w:rsidTr="00312622" w14:paraId="166A464B" w14:textId="77777777">
        <w:tc>
          <w:tcPr>
            <w:tcW w:w="6354" w:type="dxa"/>
            <w:gridSpan w:val="3"/>
            <w:shd w:val="clear" w:color="auto" w:fill="auto"/>
          </w:tcPr>
          <w:p w:rsidRPr="00FF6725" w:rsidR="00A707CC" w:rsidP="00312622" w:rsidRDefault="00A707CC" w14:paraId="27F4D509" w14:textId="77777777">
            <w:pPr>
              <w:rPr>
                <w:sz w:val="20"/>
                <w:szCs w:val="20"/>
              </w:rPr>
            </w:pPr>
            <w:r w:rsidRPr="00FF6725">
              <w:rPr>
                <w:sz w:val="20"/>
                <w:szCs w:val="20"/>
              </w:rPr>
              <w:t>Total</w:t>
            </w:r>
          </w:p>
        </w:tc>
        <w:tc>
          <w:tcPr>
            <w:tcW w:w="1926" w:type="dxa"/>
            <w:shd w:val="clear" w:color="auto" w:fill="auto"/>
          </w:tcPr>
          <w:p w:rsidRPr="00FF6725" w:rsidR="00A707CC" w:rsidP="00FF6725" w:rsidRDefault="00017FE5" w14:paraId="769D9501" w14:textId="77777777">
            <w:pPr>
              <w:jc w:val="right"/>
              <w:rPr>
                <w:sz w:val="20"/>
                <w:szCs w:val="20"/>
              </w:rPr>
            </w:pPr>
            <w:r>
              <w:rPr>
                <w:sz w:val="20"/>
                <w:szCs w:val="20"/>
              </w:rPr>
              <w:t>$</w:t>
            </w:r>
            <w:r w:rsidRPr="00F1326D" w:rsidR="00F1326D">
              <w:rPr>
                <w:sz w:val="20"/>
                <w:szCs w:val="20"/>
              </w:rPr>
              <w:t>1,248,650</w:t>
            </w:r>
          </w:p>
        </w:tc>
      </w:tr>
    </w:tbl>
    <w:p w:rsidRPr="00357C8A" w:rsidR="00357C8A" w:rsidP="00357C8A" w:rsidRDefault="00357C8A" w14:paraId="061779B3" w14:textId="77777777">
      <w:pPr>
        <w:rPr>
          <w:rFonts w:eastAsia="Calibri"/>
        </w:rPr>
      </w:pPr>
    </w:p>
    <w:p w:rsidRPr="00357C8A" w:rsidR="00357C8A" w:rsidP="006705EA" w:rsidRDefault="00357C8A" w14:paraId="4DA4825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Pr="008B71D9" w:rsidR="0022425B" w:rsidP="00AC3FEA" w:rsidRDefault="008D6922" w14:paraId="3B2869C4" w14:textId="77777777">
      <w:pPr>
        <w:rPr>
          <w:rFonts w:eastAsia="Calibri"/>
          <w:color w:val="000000"/>
        </w:rPr>
      </w:pPr>
      <w:r w:rsidRPr="008D6922">
        <w:rPr>
          <w:rFonts w:eastAsia="Calibri"/>
        </w:rPr>
        <w:t xml:space="preserve">There are no capital, start-up, </w:t>
      </w:r>
      <w:proofErr w:type="gramStart"/>
      <w:r w:rsidRPr="008D6922">
        <w:rPr>
          <w:rFonts w:eastAsia="Calibri"/>
        </w:rPr>
        <w:t>operating</w:t>
      </w:r>
      <w:proofErr w:type="gramEnd"/>
      <w:r w:rsidRPr="008D6922">
        <w:rPr>
          <w:rFonts w:eastAsia="Calibri"/>
        </w:rPr>
        <w:t xml:space="preserve"> or maintenance costs associated with this</w:t>
      </w:r>
      <w:r w:rsidR="00AC3FEA">
        <w:rPr>
          <w:rFonts w:eastAsia="Calibri"/>
        </w:rPr>
        <w:t xml:space="preserve"> </w:t>
      </w:r>
      <w:r w:rsidRPr="008D6922">
        <w:rPr>
          <w:rFonts w:eastAsia="Calibri"/>
        </w:rPr>
        <w:t>information collection</w:t>
      </w:r>
      <w:r w:rsidRPr="008B71D9">
        <w:rPr>
          <w:rFonts w:eastAsia="Calibri"/>
          <w:color w:val="000000"/>
        </w:rPr>
        <w:t>.</w:t>
      </w:r>
    </w:p>
    <w:p w:rsidR="00AC3FEA" w:rsidP="002B1BE1" w:rsidRDefault="00AC3FEA" w14:paraId="186E6636" w14:textId="77777777">
      <w:pPr>
        <w:rPr>
          <w:rFonts w:eastAsia="Calibri"/>
          <w:u w:val="single"/>
        </w:rPr>
      </w:pPr>
    </w:p>
    <w:p w:rsidRPr="00357C8A" w:rsidR="00357C8A" w:rsidP="006705EA" w:rsidRDefault="00357C8A" w14:paraId="5E53EF92"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5C4505" w:rsidRDefault="008D6922" w14:paraId="551A9898" w14:textId="77777777">
      <w:pPr>
        <w:autoSpaceDE w:val="0"/>
        <w:autoSpaceDN w:val="0"/>
        <w:adjustRightInd w:val="0"/>
        <w:rPr>
          <w:rFonts w:ascii="TimesNewRomanPSMT" w:hAnsi="TimesNewRomanPSMT" w:cs="TimesNewRomanPSMT"/>
        </w:rPr>
      </w:pPr>
      <w:r>
        <w:rPr>
          <w:rFonts w:ascii="TimesNewRomanPSMT" w:hAnsi="TimesNewRomanPSMT" w:cs="TimesNewRomanPSMT"/>
        </w:rPr>
        <w:t>We estimate it will take 4 full</w:t>
      </w:r>
      <w:r w:rsidR="00F1326D">
        <w:rPr>
          <w:rFonts w:ascii="TimesNewRomanPSMT" w:hAnsi="TimesNewRomanPSMT" w:cs="TimesNewRomanPSMT"/>
        </w:rPr>
        <w:t>-</w:t>
      </w:r>
      <w:r>
        <w:rPr>
          <w:rFonts w:ascii="TimesNewRomanPSMT" w:hAnsi="TimesNewRomanPSMT" w:cs="TimesNewRomanPSMT"/>
        </w:rPr>
        <w:t xml:space="preserve">time equivalent positions (FTEs) to </w:t>
      </w:r>
      <w:r w:rsidR="00AC3FEA">
        <w:rPr>
          <w:rFonts w:ascii="TimesNewRomanPSMT" w:hAnsi="TimesNewRomanPSMT" w:cs="TimesNewRomanPSMT"/>
        </w:rPr>
        <w:t xml:space="preserve">process </w:t>
      </w:r>
      <w:r>
        <w:rPr>
          <w:rFonts w:ascii="TimesNewRomanPSMT" w:hAnsi="TimesNewRomanPSMT" w:cs="TimesNewRomanPSMT"/>
        </w:rPr>
        <w:t>the GRAS</w:t>
      </w:r>
      <w:r w:rsidR="00AC3FEA">
        <w:rPr>
          <w:rFonts w:ascii="TimesNewRomanPSMT" w:hAnsi="TimesNewRomanPSMT" w:cs="TimesNewRomanPSMT"/>
        </w:rPr>
        <w:t xml:space="preserve"> </w:t>
      </w:r>
      <w:r>
        <w:rPr>
          <w:rFonts w:ascii="TimesNewRomanPSMT" w:hAnsi="TimesNewRomanPSMT" w:cs="TimesNewRomanPSMT"/>
        </w:rPr>
        <w:t xml:space="preserve">notification procedure for human food. </w:t>
      </w:r>
      <w:r w:rsidR="00AC3FEA">
        <w:rPr>
          <w:rFonts w:ascii="TimesNewRomanPSMT" w:hAnsi="TimesNewRomanPSMT" w:cs="TimesNewRomanPSMT"/>
        </w:rPr>
        <w:t xml:space="preserve"> </w:t>
      </w:r>
      <w:r>
        <w:rPr>
          <w:rFonts w:ascii="TimesNewRomanPSMT" w:hAnsi="TimesNewRomanPSMT" w:cs="TimesNewRomanPSMT"/>
        </w:rPr>
        <w:t>Due to the smaller number of notices</w:t>
      </w:r>
      <w:r w:rsidR="00AC3FEA">
        <w:rPr>
          <w:rFonts w:ascii="TimesNewRomanPSMT" w:hAnsi="TimesNewRomanPSMT" w:cs="TimesNewRomanPSMT"/>
        </w:rPr>
        <w:t xml:space="preserve"> </w:t>
      </w:r>
      <w:r>
        <w:rPr>
          <w:rFonts w:ascii="TimesNewRomanPSMT" w:hAnsi="TimesNewRomanPSMT" w:cs="TimesNewRomanPSMT"/>
        </w:rPr>
        <w:t>anticipated for animal food, only 3 FTE</w:t>
      </w:r>
      <w:r w:rsidR="005C4505">
        <w:rPr>
          <w:rFonts w:ascii="TimesNewRomanPSMT" w:hAnsi="TimesNewRomanPSMT" w:cs="TimesNewRomanPSMT"/>
        </w:rPr>
        <w:t>s</w:t>
      </w:r>
      <w:r>
        <w:rPr>
          <w:rFonts w:ascii="TimesNewRomanPSMT" w:hAnsi="TimesNewRomanPSMT" w:cs="TimesNewRomanPSMT"/>
        </w:rPr>
        <w:t xml:space="preserve"> are expected to be devoted to processing the</w:t>
      </w:r>
      <w:r w:rsidR="00AC3FEA">
        <w:rPr>
          <w:rFonts w:ascii="TimesNewRomanPSMT" w:hAnsi="TimesNewRomanPSMT" w:cs="TimesNewRomanPSMT"/>
        </w:rPr>
        <w:t xml:space="preserve"> </w:t>
      </w:r>
      <w:r>
        <w:rPr>
          <w:rFonts w:ascii="TimesNewRomanPSMT" w:hAnsi="TimesNewRomanPSMT" w:cs="TimesNewRomanPSMT"/>
        </w:rPr>
        <w:t xml:space="preserve">notices </w:t>
      </w:r>
      <w:r w:rsidR="005C4505">
        <w:rPr>
          <w:rFonts w:ascii="TimesNewRomanPSMT" w:hAnsi="TimesNewRomanPSMT" w:cs="TimesNewRomanPSMT"/>
        </w:rPr>
        <w:t>for animal food</w:t>
      </w:r>
      <w:r>
        <w:rPr>
          <w:rFonts w:ascii="TimesNewRomanPSMT" w:hAnsi="TimesNewRomanPSMT" w:cs="TimesNewRomanPSMT"/>
        </w:rPr>
        <w:t xml:space="preserve">. </w:t>
      </w:r>
      <w:r w:rsidR="00AC3FEA">
        <w:rPr>
          <w:rFonts w:ascii="TimesNewRomanPSMT" w:hAnsi="TimesNewRomanPSMT" w:cs="TimesNewRomanPSMT"/>
        </w:rPr>
        <w:t xml:space="preserve"> B</w:t>
      </w:r>
      <w:r>
        <w:rPr>
          <w:rFonts w:ascii="TimesNewRomanPSMT" w:hAnsi="TimesNewRomanPSMT" w:cs="TimesNewRomanPSMT"/>
        </w:rPr>
        <w:t>ased on an average cost of $</w:t>
      </w:r>
      <w:r w:rsidR="00AC3FEA">
        <w:rPr>
          <w:rFonts w:ascii="TimesNewRomanPSMT" w:hAnsi="TimesNewRomanPSMT" w:cs="TimesNewRomanPSMT"/>
        </w:rPr>
        <w:t>197</w:t>
      </w:r>
      <w:r>
        <w:rPr>
          <w:rFonts w:ascii="TimesNewRomanPSMT" w:hAnsi="TimesNewRomanPSMT" w:cs="TimesNewRomanPSMT"/>
        </w:rPr>
        <w:t>,</w:t>
      </w:r>
      <w:r w:rsidR="00AC3FEA">
        <w:rPr>
          <w:rFonts w:ascii="TimesNewRomanPSMT" w:hAnsi="TimesNewRomanPSMT" w:cs="TimesNewRomanPSMT"/>
        </w:rPr>
        <w:t xml:space="preserve">636 </w:t>
      </w:r>
      <w:r>
        <w:rPr>
          <w:rFonts w:ascii="TimesNewRomanPSMT" w:hAnsi="TimesNewRomanPSMT" w:cs="TimesNewRomanPSMT"/>
        </w:rPr>
        <w:t>per fully supported</w:t>
      </w:r>
      <w:r w:rsidR="00AC3FEA">
        <w:rPr>
          <w:rFonts w:ascii="TimesNewRomanPSMT" w:hAnsi="TimesNewRomanPSMT" w:cs="TimesNewRomanPSMT"/>
        </w:rPr>
        <w:t xml:space="preserve"> </w:t>
      </w:r>
      <w:r>
        <w:rPr>
          <w:rFonts w:ascii="TimesNewRomanPSMT" w:hAnsi="TimesNewRomanPSMT" w:cs="TimesNewRomanPSMT"/>
        </w:rPr>
        <w:t>position ($</w:t>
      </w:r>
      <w:r w:rsidR="00AC3FEA">
        <w:rPr>
          <w:rFonts w:ascii="TimesNewRomanPSMT" w:hAnsi="TimesNewRomanPSMT" w:cs="TimesNewRomanPSMT"/>
        </w:rPr>
        <w:t>98</w:t>
      </w:r>
      <w:r>
        <w:rPr>
          <w:rFonts w:ascii="TimesNewRomanPSMT" w:hAnsi="TimesNewRomanPSMT" w:cs="TimesNewRomanPSMT"/>
        </w:rPr>
        <w:t>,</w:t>
      </w:r>
      <w:r w:rsidR="00AC3FEA">
        <w:rPr>
          <w:rFonts w:ascii="TimesNewRomanPSMT" w:hAnsi="TimesNewRomanPSMT" w:cs="TimesNewRomanPSMT"/>
        </w:rPr>
        <w:t xml:space="preserve">818 </w:t>
      </w:r>
      <w:r>
        <w:rPr>
          <w:rFonts w:ascii="TimesNewRomanPSMT" w:hAnsi="TimesNewRomanPSMT" w:cs="TimesNewRomanPSMT"/>
        </w:rPr>
        <w:t xml:space="preserve">for </w:t>
      </w:r>
      <w:r w:rsidR="005C4505">
        <w:rPr>
          <w:rFonts w:ascii="TimesNewRomanPSMT" w:hAnsi="TimesNewRomanPSMT" w:cs="TimesNewRomanPSMT"/>
        </w:rPr>
        <w:t xml:space="preserve">a </w:t>
      </w:r>
      <w:r>
        <w:rPr>
          <w:rFonts w:ascii="TimesNewRomanPSMT" w:hAnsi="TimesNewRomanPSMT" w:cs="TimesNewRomanPSMT"/>
        </w:rPr>
        <w:t>GS</w:t>
      </w:r>
      <w:r w:rsidR="005C4505">
        <w:rPr>
          <w:rFonts w:ascii="TimesNewRomanPSMT" w:hAnsi="TimesNewRomanPSMT" w:cs="TimesNewRomanPSMT"/>
        </w:rPr>
        <w:t>-</w:t>
      </w:r>
      <w:r>
        <w:rPr>
          <w:rFonts w:ascii="TimesNewRomanPSMT" w:hAnsi="TimesNewRomanPSMT" w:cs="TimesNewRomanPSMT"/>
        </w:rPr>
        <w:t>12</w:t>
      </w:r>
      <w:r w:rsidR="005C4505">
        <w:rPr>
          <w:rFonts w:ascii="TimesNewRomanPSMT" w:hAnsi="TimesNewRomanPSMT" w:cs="TimesNewRomanPSMT"/>
        </w:rPr>
        <w:t>/</w:t>
      </w:r>
      <w:r>
        <w:rPr>
          <w:rFonts w:ascii="TimesNewRomanPSMT" w:hAnsi="TimesNewRomanPSMT" w:cs="TimesNewRomanPSMT"/>
        </w:rPr>
        <w:t>Step 4</w:t>
      </w:r>
      <w:r w:rsidRPr="005C4505" w:rsidR="005C4505">
        <w:t xml:space="preserve"> </w:t>
      </w:r>
      <w:r w:rsidRPr="005C4505" w:rsidR="005C4505">
        <w:rPr>
          <w:rFonts w:ascii="TimesNewRomanPSMT" w:hAnsi="TimesNewRomanPSMT" w:cs="TimesNewRomanPSMT"/>
        </w:rPr>
        <w:t>for the Washington-Baltimore locality pay area</w:t>
      </w:r>
      <w:r>
        <w:rPr>
          <w:rFonts w:ascii="TimesNewRomanPSMT" w:hAnsi="TimesNewRomanPSMT" w:cs="TimesNewRomanPSMT"/>
        </w:rPr>
        <w:t xml:space="preserve"> in </w:t>
      </w:r>
      <w:r w:rsidR="00AC3FEA">
        <w:rPr>
          <w:rFonts w:ascii="TimesNewRomanPSMT" w:hAnsi="TimesNewRomanPSMT" w:cs="TimesNewRomanPSMT"/>
        </w:rPr>
        <w:t xml:space="preserve">2022 </w:t>
      </w:r>
      <w:r>
        <w:rPr>
          <w:rFonts w:ascii="TimesNewRomanPSMT" w:hAnsi="TimesNewRomanPSMT" w:cs="TimesNewRomanPSMT"/>
        </w:rPr>
        <w:t>increased by 100 percent to account for</w:t>
      </w:r>
      <w:r w:rsidR="00AC3FEA">
        <w:rPr>
          <w:rFonts w:ascii="TimesNewRomanPSMT" w:hAnsi="TimesNewRomanPSMT" w:cs="TimesNewRomanPSMT"/>
        </w:rPr>
        <w:t xml:space="preserve"> </w:t>
      </w:r>
      <w:r>
        <w:rPr>
          <w:rFonts w:ascii="TimesNewRomanPSMT" w:hAnsi="TimesNewRomanPSMT" w:cs="TimesNewRomanPSMT"/>
        </w:rPr>
        <w:t>overhead), the cost of processing GRAS notifications would be $1,</w:t>
      </w:r>
      <w:r w:rsidR="00AC3FEA">
        <w:rPr>
          <w:rFonts w:ascii="TimesNewRomanPSMT" w:hAnsi="TimesNewRomanPSMT" w:cs="TimesNewRomanPSMT"/>
        </w:rPr>
        <w:t>383</w:t>
      </w:r>
      <w:r>
        <w:rPr>
          <w:rFonts w:ascii="TimesNewRomanPSMT" w:hAnsi="TimesNewRomanPSMT" w:cs="TimesNewRomanPSMT"/>
        </w:rPr>
        <w:t>,</w:t>
      </w:r>
      <w:r w:rsidR="00AC3FEA">
        <w:rPr>
          <w:rFonts w:ascii="TimesNewRomanPSMT" w:hAnsi="TimesNewRomanPSMT" w:cs="TimesNewRomanPSMT"/>
        </w:rPr>
        <w:t xml:space="preserve">452 </w:t>
      </w:r>
      <w:r>
        <w:rPr>
          <w:rFonts w:ascii="TimesNewRomanPSMT" w:hAnsi="TimesNewRomanPSMT" w:cs="TimesNewRomanPSMT"/>
        </w:rPr>
        <w:t>per year</w:t>
      </w:r>
      <w:r w:rsidR="005C4505">
        <w:rPr>
          <w:rFonts w:ascii="TimesNewRomanPSMT" w:hAnsi="TimesNewRomanPSMT" w:cs="TimesNewRomanPSMT"/>
        </w:rPr>
        <w:t xml:space="preserve"> </w:t>
      </w:r>
      <w:r>
        <w:rPr>
          <w:rFonts w:ascii="TimesNewRomanPSMT" w:hAnsi="TimesNewRomanPSMT" w:cs="TimesNewRomanPSMT"/>
        </w:rPr>
        <w:t>($</w:t>
      </w:r>
      <w:r w:rsidR="00AC3FEA">
        <w:rPr>
          <w:rFonts w:ascii="TimesNewRomanPSMT" w:hAnsi="TimesNewRomanPSMT" w:cs="TimesNewRomanPSMT"/>
        </w:rPr>
        <w:t>197</w:t>
      </w:r>
      <w:r>
        <w:rPr>
          <w:rFonts w:ascii="TimesNewRomanPSMT" w:hAnsi="TimesNewRomanPSMT" w:cs="TimesNewRomanPSMT"/>
        </w:rPr>
        <w:t>,</w:t>
      </w:r>
      <w:r w:rsidR="00AC3FEA">
        <w:rPr>
          <w:rFonts w:ascii="TimesNewRomanPSMT" w:hAnsi="TimesNewRomanPSMT" w:cs="TimesNewRomanPSMT"/>
        </w:rPr>
        <w:t xml:space="preserve">636 </w:t>
      </w:r>
      <w:r>
        <w:rPr>
          <w:rFonts w:ascii="TimesNewRomanPSMT" w:hAnsi="TimesNewRomanPSMT" w:cs="TimesNewRomanPSMT"/>
        </w:rPr>
        <w:t>x 7</w:t>
      </w:r>
      <w:r w:rsidR="005C4505">
        <w:rPr>
          <w:rFonts w:ascii="TimesNewRomanPSMT" w:hAnsi="TimesNewRomanPSMT" w:cs="TimesNewRomanPSMT"/>
        </w:rPr>
        <w:t xml:space="preserve"> FTEs</w:t>
      </w:r>
      <w:r>
        <w:rPr>
          <w:rFonts w:ascii="TimesNewRomanPSMT" w:hAnsi="TimesNewRomanPSMT" w:cs="TimesNewRomanPSMT"/>
        </w:rPr>
        <w:t>).</w:t>
      </w:r>
    </w:p>
    <w:p w:rsidRPr="00357C8A" w:rsidR="005C4505" w:rsidP="002E79C3" w:rsidRDefault="005C4505" w14:paraId="785CCFEA" w14:textId="77777777">
      <w:pPr>
        <w:autoSpaceDE w:val="0"/>
        <w:autoSpaceDN w:val="0"/>
        <w:adjustRightInd w:val="0"/>
        <w:rPr>
          <w:rFonts w:eastAsia="Calibri"/>
        </w:rPr>
      </w:pPr>
    </w:p>
    <w:p w:rsidR="00357C8A" w:rsidP="006705EA" w:rsidRDefault="00357C8A" w14:paraId="1BA135E7"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017FE5" w:rsidR="00AC3FEA" w:rsidP="00017FE5" w:rsidRDefault="00AC3FEA" w14:paraId="129D95FE" w14:textId="77777777">
      <w:pPr>
        <w:rPr>
          <w:rFonts w:eastAsia="Calibri"/>
        </w:rPr>
      </w:pPr>
      <w:bookmarkStart w:name="_Hlk96455558" w:id="5"/>
      <w:r w:rsidRPr="00AC3FEA">
        <w:rPr>
          <w:rFonts w:eastAsia="Calibri"/>
        </w:rPr>
        <w:t xml:space="preserve">Based on a review of the information collection since our last request for OMB approval, we have made no adjustments to our hourly burden estimate.  </w:t>
      </w:r>
      <w:r w:rsidRPr="00BA2302" w:rsidR="00BA2302">
        <w:rPr>
          <w:rFonts w:eastAsia="Calibri"/>
        </w:rPr>
        <w:t>This estimate is based on our experience with this information collection and the number of notifications received in the past 3 years, which has remained constant.</w:t>
      </w:r>
      <w:r w:rsidR="00FA2EF6">
        <w:rPr>
          <w:rFonts w:eastAsia="Calibri"/>
        </w:rPr>
        <w:t xml:space="preserve">  </w:t>
      </w:r>
      <w:r w:rsidRPr="00AC3FEA">
        <w:rPr>
          <w:rFonts w:eastAsia="Calibri"/>
        </w:rPr>
        <w:t xml:space="preserve">However, burden </w:t>
      </w:r>
      <w:r w:rsidR="00FA2EF6">
        <w:rPr>
          <w:rFonts w:eastAsia="Calibri"/>
        </w:rPr>
        <w:t xml:space="preserve">hour </w:t>
      </w:r>
      <w:r w:rsidRPr="00AC3FEA">
        <w:rPr>
          <w:rFonts w:eastAsia="Calibri"/>
        </w:rPr>
        <w:t xml:space="preserve">costs were inadvertently entered into OMB’s ROCIS </w:t>
      </w:r>
      <w:bookmarkStart w:name="_Hlk100151326" w:id="6"/>
      <w:r w:rsidR="0010292A">
        <w:rPr>
          <w:rFonts w:eastAsia="Calibri"/>
        </w:rPr>
        <w:t>digital platform</w:t>
      </w:r>
      <w:r w:rsidRPr="00AC3FEA">
        <w:rPr>
          <w:rFonts w:eastAsia="Calibri"/>
        </w:rPr>
        <w:t xml:space="preserve"> </w:t>
      </w:r>
      <w:bookmarkEnd w:id="6"/>
      <w:r w:rsidRPr="00AC3FEA">
        <w:rPr>
          <w:rFonts w:eastAsia="Calibri"/>
        </w:rPr>
        <w:t xml:space="preserve">for this collection </w:t>
      </w:r>
      <w:r w:rsidRPr="0010292A" w:rsidR="0010292A">
        <w:rPr>
          <w:rFonts w:eastAsia="Calibri"/>
        </w:rPr>
        <w:t xml:space="preserve">during the last </w:t>
      </w:r>
      <w:r w:rsidRPr="0010292A" w:rsidR="00A80A60">
        <w:rPr>
          <w:rFonts w:eastAsia="Calibri"/>
        </w:rPr>
        <w:t>approval</w:t>
      </w:r>
      <w:r w:rsidR="00F30537">
        <w:rPr>
          <w:rFonts w:eastAsia="Calibri"/>
        </w:rPr>
        <w:t>.  FDA request</w:t>
      </w:r>
      <w:r w:rsidR="00E4340C">
        <w:rPr>
          <w:rFonts w:eastAsia="Calibri"/>
        </w:rPr>
        <w:t>s</w:t>
      </w:r>
      <w:r w:rsidR="00F30537">
        <w:rPr>
          <w:rFonts w:eastAsia="Calibri"/>
        </w:rPr>
        <w:t xml:space="preserve"> OMB revise </w:t>
      </w:r>
      <w:r w:rsidRPr="00AC3FEA">
        <w:rPr>
          <w:rFonts w:eastAsia="Calibri"/>
        </w:rPr>
        <w:t>those costs from $</w:t>
      </w:r>
      <w:r>
        <w:rPr>
          <w:rFonts w:eastAsia="Calibri"/>
        </w:rPr>
        <w:t>1,159,400</w:t>
      </w:r>
      <w:r w:rsidRPr="00AC3FEA">
        <w:rPr>
          <w:rFonts w:eastAsia="Calibri"/>
        </w:rPr>
        <w:t xml:space="preserve"> to zero.</w:t>
      </w:r>
    </w:p>
    <w:bookmarkEnd w:id="5"/>
    <w:p w:rsidRPr="008B71D9" w:rsidR="00357C8A" w:rsidP="002B1BE1" w:rsidRDefault="00357C8A" w14:paraId="428FF828" w14:textId="77777777">
      <w:pPr>
        <w:rPr>
          <w:rFonts w:eastAsia="Calibri"/>
          <w:color w:val="000000"/>
        </w:rPr>
      </w:pPr>
    </w:p>
    <w:p w:rsidRPr="00357C8A" w:rsidR="00357C8A" w:rsidP="006705EA" w:rsidRDefault="00357C8A" w14:paraId="282FE9E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8B71D9" w:rsidR="00357C8A" w:rsidP="00AC3FEA" w:rsidRDefault="008D6922" w14:paraId="512E094E" w14:textId="77777777">
      <w:pPr>
        <w:autoSpaceDE w:val="0"/>
        <w:autoSpaceDN w:val="0"/>
        <w:adjustRightInd w:val="0"/>
        <w:rPr>
          <w:rFonts w:eastAsia="Calibri"/>
          <w:color w:val="000000"/>
        </w:rPr>
      </w:pPr>
      <w:r>
        <w:rPr>
          <w:rFonts w:ascii="TimesNewRomanPSMT" w:hAnsi="TimesNewRomanPSMT" w:cs="TimesNewRomanPSMT"/>
        </w:rPr>
        <w:t>We will make the following readily accessible to the public: (1) A list of filed GRAS</w:t>
      </w:r>
      <w:r w:rsidR="00AC3FEA">
        <w:rPr>
          <w:rFonts w:ascii="TimesNewRomanPSMT" w:hAnsi="TimesNewRomanPSMT" w:cs="TimesNewRomanPSMT"/>
        </w:rPr>
        <w:t xml:space="preserve"> </w:t>
      </w:r>
      <w:r>
        <w:rPr>
          <w:rFonts w:ascii="TimesNewRomanPSMT" w:hAnsi="TimesNewRomanPSMT" w:cs="TimesNewRomanPSMT"/>
        </w:rPr>
        <w:t>notices, including the information described in certain of the signed statements that are</w:t>
      </w:r>
      <w:r w:rsidR="00AC3FEA">
        <w:rPr>
          <w:rFonts w:ascii="TimesNewRomanPSMT" w:hAnsi="TimesNewRomanPSMT" w:cs="TimesNewRomanPSMT"/>
        </w:rPr>
        <w:t xml:space="preserve"> </w:t>
      </w:r>
      <w:r>
        <w:rPr>
          <w:rFonts w:ascii="TimesNewRomanPSMT" w:hAnsi="TimesNewRomanPSMT" w:cs="TimesNewRomanPSMT"/>
        </w:rPr>
        <w:t>included in Part 1 of a GRAS notice (i.e., § 170.225(c)(2) through (c)(5)); and (2) The text</w:t>
      </w:r>
      <w:r w:rsidR="00AC3FEA">
        <w:rPr>
          <w:rFonts w:ascii="TimesNewRomanPSMT" w:hAnsi="TimesNewRomanPSMT" w:cs="TimesNewRomanPSMT"/>
        </w:rPr>
        <w:t xml:space="preserve"> </w:t>
      </w:r>
      <w:r>
        <w:rPr>
          <w:rFonts w:ascii="TimesNewRomanPSMT" w:hAnsi="TimesNewRomanPSMT" w:cs="TimesNewRomanPSMT"/>
        </w:rPr>
        <w:t>of any letter that we issue under § 170.265(b)(1) (our response to a GRAS notice based on</w:t>
      </w:r>
      <w:r w:rsidR="00AC3FEA">
        <w:rPr>
          <w:rFonts w:ascii="TimesNewRomanPSMT" w:hAnsi="TimesNewRomanPSMT" w:cs="TimesNewRomanPSMT"/>
        </w:rPr>
        <w:t xml:space="preserve"> </w:t>
      </w:r>
      <w:r>
        <w:rPr>
          <w:rFonts w:ascii="TimesNewRomanPSMT" w:hAnsi="TimesNewRomanPSMT" w:cs="TimesNewRomanPSMT"/>
        </w:rPr>
        <w:t>our evaluation of the notice), § 170.265(b)(3) (a letter if we grant a request that we cease</w:t>
      </w:r>
      <w:r w:rsidR="00AC3FEA">
        <w:rPr>
          <w:rFonts w:ascii="TimesNewRomanPSMT" w:hAnsi="TimesNewRomanPSMT" w:cs="TimesNewRomanPSMT"/>
        </w:rPr>
        <w:t xml:space="preserve"> </w:t>
      </w:r>
      <w:r>
        <w:rPr>
          <w:rFonts w:ascii="TimesNewRomanPSMT" w:hAnsi="TimesNewRomanPSMT" w:cs="TimesNewRomanPSMT"/>
        </w:rPr>
        <w:t>to evaluate a GRAS notice), or § 170.265(c) (a subsequent letter that we send about a</w:t>
      </w:r>
      <w:r w:rsidR="00AC3FEA">
        <w:rPr>
          <w:rFonts w:ascii="TimesNewRomanPSMT" w:hAnsi="TimesNewRomanPSMT" w:cs="TimesNewRomanPSMT"/>
        </w:rPr>
        <w:t xml:space="preserve"> </w:t>
      </w:r>
      <w:r>
        <w:rPr>
          <w:rFonts w:ascii="TimesNewRomanPSMT" w:hAnsi="TimesNewRomanPSMT" w:cs="TimesNewRomanPSMT"/>
        </w:rPr>
        <w:t xml:space="preserve">GRAS notice). (See § 170.275(b).) </w:t>
      </w:r>
      <w:r w:rsidR="00AC3FEA">
        <w:rPr>
          <w:rFonts w:ascii="TimesNewRomanPSMT" w:hAnsi="TimesNewRomanPSMT" w:cs="TimesNewRomanPSMT"/>
        </w:rPr>
        <w:t xml:space="preserve"> </w:t>
      </w:r>
      <w:r>
        <w:rPr>
          <w:rFonts w:ascii="TimesNewRomanPSMT" w:hAnsi="TimesNewRomanPSMT" w:cs="TimesNewRomanPSMT"/>
        </w:rPr>
        <w:t>We are not specifying that the mechanism for us to do</w:t>
      </w:r>
      <w:r w:rsidR="00AC3FEA">
        <w:rPr>
          <w:rFonts w:ascii="TimesNewRomanPSMT" w:hAnsi="TimesNewRomanPSMT" w:cs="TimesNewRomanPSMT"/>
        </w:rPr>
        <w:t xml:space="preserve"> </w:t>
      </w:r>
      <w:r>
        <w:rPr>
          <w:rFonts w:ascii="TimesNewRomanPSMT" w:hAnsi="TimesNewRomanPSMT" w:cs="TimesNewRomanPSMT"/>
        </w:rPr>
        <w:t>so is through an “Inventory” because the procedure we use to make this information</w:t>
      </w:r>
      <w:r w:rsidR="00AC3FEA">
        <w:rPr>
          <w:rFonts w:ascii="TimesNewRomanPSMT" w:hAnsi="TimesNewRomanPSMT" w:cs="TimesNewRomanPSMT"/>
        </w:rPr>
        <w:t xml:space="preserve"> </w:t>
      </w:r>
      <w:r>
        <w:rPr>
          <w:rFonts w:ascii="TimesNewRomanPSMT" w:hAnsi="TimesNewRomanPSMT" w:cs="TimesNewRomanPSMT"/>
        </w:rPr>
        <w:t>readily accessible to the public evolved over time and may continue to evolve.</w:t>
      </w:r>
    </w:p>
    <w:p w:rsidRPr="008B71D9" w:rsidR="00AC3FEA" w:rsidP="002B1BE1" w:rsidRDefault="00AC3FEA" w14:paraId="6E27D7DD" w14:textId="77777777">
      <w:pPr>
        <w:autoSpaceDE w:val="0"/>
        <w:autoSpaceDN w:val="0"/>
        <w:adjustRightInd w:val="0"/>
        <w:rPr>
          <w:rFonts w:eastAsia="Calibri"/>
          <w:color w:val="000000"/>
        </w:rPr>
      </w:pPr>
    </w:p>
    <w:p w:rsidRPr="00357C8A" w:rsidR="00357C8A" w:rsidP="006705EA" w:rsidRDefault="00357C8A" w14:paraId="09913405"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2B1BE1" w:rsidP="00AC3FEA" w:rsidRDefault="008D6922" w14:paraId="22856BAD"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Display of OMB expiration date is appropriate. </w:t>
      </w:r>
      <w:r w:rsidR="00080C0E">
        <w:rPr>
          <w:rFonts w:ascii="TimesNewRomanPSMT" w:hAnsi="TimesNewRomanPSMT" w:cs="TimesNewRomanPSMT"/>
        </w:rPr>
        <w:t xml:space="preserve"> </w:t>
      </w:r>
      <w:r>
        <w:rPr>
          <w:rFonts w:ascii="TimesNewRomanPSMT" w:hAnsi="TimesNewRomanPSMT" w:cs="TimesNewRomanPSMT"/>
        </w:rPr>
        <w:t>We will display the OMB expiration date as</w:t>
      </w:r>
      <w:r w:rsidR="00AC3FEA">
        <w:rPr>
          <w:rFonts w:ascii="TimesNewRomanPSMT" w:hAnsi="TimesNewRomanPSMT" w:cs="TimesNewRomanPSMT"/>
        </w:rPr>
        <w:t xml:space="preserve"> </w:t>
      </w:r>
      <w:r>
        <w:rPr>
          <w:rFonts w:ascii="TimesNewRomanPSMT" w:hAnsi="TimesNewRomanPSMT" w:cs="TimesNewRomanPSMT"/>
        </w:rPr>
        <w:t>required by 5 CFR 1320.5.</w:t>
      </w:r>
    </w:p>
    <w:p w:rsidRPr="008B71D9" w:rsidR="00357C8A" w:rsidP="002B1BE1" w:rsidRDefault="00357C8A" w14:paraId="738086BD" w14:textId="77777777">
      <w:pPr>
        <w:autoSpaceDE w:val="0"/>
        <w:autoSpaceDN w:val="0"/>
        <w:adjustRightInd w:val="0"/>
        <w:rPr>
          <w:rFonts w:eastAsia="Calibri"/>
          <w:color w:val="000000"/>
        </w:rPr>
      </w:pPr>
    </w:p>
    <w:p w:rsidRPr="00357C8A" w:rsidR="00357C8A" w:rsidP="006705EA" w:rsidRDefault="00357C8A" w14:paraId="24BDF806"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8D6922" w:rsidRDefault="008D6922" w14:paraId="26E0BF4B" w14:textId="77777777">
      <w:pPr>
        <w:spacing w:after="200"/>
        <w:rPr>
          <w:rFonts w:eastAsia="Calibri"/>
        </w:rPr>
      </w:pPr>
      <w:r>
        <w:rPr>
          <w:rFonts w:ascii="TimesNewRomanPSMT" w:hAnsi="TimesNewRomanPSMT" w:cs="TimesNewRomanPSMT"/>
        </w:rPr>
        <w:t>There are no exceptions to the certification.</w:t>
      </w:r>
      <w:r w:rsidR="00775EA7">
        <w:rPr>
          <w:rFonts w:ascii="TimesNewRomanPSMT" w:hAnsi="TimesNewRomanPSMT" w:cs="TimesNewRomanPSMT"/>
        </w:rPr>
        <w:t xml:space="preserve"> </w:t>
      </w:r>
    </w:p>
    <w:sectPr w:rsidRPr="00C20690" w:rsidR="00544138" w:rsidSect="005C71CA">
      <w:headerReference w:type="default" r:id="rId9"/>
      <w:footerReference w:type="even" r:id="rId10"/>
      <w:footerReference w:type="default" r:id="rId11"/>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1E40" w14:textId="77777777" w:rsidR="00327766" w:rsidRDefault="00327766">
      <w:r>
        <w:separator/>
      </w:r>
    </w:p>
  </w:endnote>
  <w:endnote w:type="continuationSeparator" w:id="0">
    <w:p w14:paraId="00EF289A" w14:textId="77777777" w:rsidR="00327766" w:rsidRDefault="0032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CE4E"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F6160"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E774"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AB947BA"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742B" w14:textId="77777777" w:rsidR="00327766" w:rsidRDefault="00327766">
      <w:r>
        <w:separator/>
      </w:r>
    </w:p>
  </w:footnote>
  <w:footnote w:type="continuationSeparator" w:id="0">
    <w:p w14:paraId="4914F8C9" w14:textId="77777777" w:rsidR="00327766" w:rsidRDefault="0032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80B" w14:textId="77777777" w:rsidR="003C0FE2" w:rsidRPr="003C0FE2" w:rsidRDefault="003C0FE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B125D9"/>
    <w:multiLevelType w:val="hybridMultilevel"/>
    <w:tmpl w:val="6CBA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12C45"/>
    <w:rsid w:val="0001446B"/>
    <w:rsid w:val="00017E4A"/>
    <w:rsid w:val="00017FE5"/>
    <w:rsid w:val="000313DD"/>
    <w:rsid w:val="00031A2C"/>
    <w:rsid w:val="00042B93"/>
    <w:rsid w:val="00043C7F"/>
    <w:rsid w:val="000467A8"/>
    <w:rsid w:val="00061D9B"/>
    <w:rsid w:val="0006570F"/>
    <w:rsid w:val="00075DE8"/>
    <w:rsid w:val="00080C0E"/>
    <w:rsid w:val="00087439"/>
    <w:rsid w:val="000C1260"/>
    <w:rsid w:val="000C560C"/>
    <w:rsid w:val="000D080B"/>
    <w:rsid w:val="000D48FD"/>
    <w:rsid w:val="000D79CC"/>
    <w:rsid w:val="000E1C64"/>
    <w:rsid w:val="000E3F3C"/>
    <w:rsid w:val="000F7119"/>
    <w:rsid w:val="00100739"/>
    <w:rsid w:val="0010292A"/>
    <w:rsid w:val="00104618"/>
    <w:rsid w:val="0010493E"/>
    <w:rsid w:val="001075D3"/>
    <w:rsid w:val="00107885"/>
    <w:rsid w:val="00114FC4"/>
    <w:rsid w:val="001207B8"/>
    <w:rsid w:val="0012329C"/>
    <w:rsid w:val="00134FA7"/>
    <w:rsid w:val="001363B0"/>
    <w:rsid w:val="00137950"/>
    <w:rsid w:val="00146553"/>
    <w:rsid w:val="00152F29"/>
    <w:rsid w:val="001572CF"/>
    <w:rsid w:val="00163DE2"/>
    <w:rsid w:val="0017157C"/>
    <w:rsid w:val="00174D54"/>
    <w:rsid w:val="0017702C"/>
    <w:rsid w:val="00185270"/>
    <w:rsid w:val="00186C06"/>
    <w:rsid w:val="001A3B5A"/>
    <w:rsid w:val="001A458C"/>
    <w:rsid w:val="001B07A4"/>
    <w:rsid w:val="001B7CE9"/>
    <w:rsid w:val="001D1FC9"/>
    <w:rsid w:val="001D495A"/>
    <w:rsid w:val="001E244C"/>
    <w:rsid w:val="001E29DA"/>
    <w:rsid w:val="001F1437"/>
    <w:rsid w:val="00206042"/>
    <w:rsid w:val="00206799"/>
    <w:rsid w:val="002074FE"/>
    <w:rsid w:val="00214FD3"/>
    <w:rsid w:val="0022425B"/>
    <w:rsid w:val="002259EF"/>
    <w:rsid w:val="00231182"/>
    <w:rsid w:val="00242ED1"/>
    <w:rsid w:val="002444BB"/>
    <w:rsid w:val="00252BFD"/>
    <w:rsid w:val="00254069"/>
    <w:rsid w:val="00270748"/>
    <w:rsid w:val="002734E5"/>
    <w:rsid w:val="002746DB"/>
    <w:rsid w:val="00280CAF"/>
    <w:rsid w:val="00282F09"/>
    <w:rsid w:val="00291810"/>
    <w:rsid w:val="00294D62"/>
    <w:rsid w:val="00297532"/>
    <w:rsid w:val="00297FFD"/>
    <w:rsid w:val="002A1210"/>
    <w:rsid w:val="002A47D2"/>
    <w:rsid w:val="002A7FB5"/>
    <w:rsid w:val="002B1BE1"/>
    <w:rsid w:val="002B2074"/>
    <w:rsid w:val="002B25B3"/>
    <w:rsid w:val="002D14D8"/>
    <w:rsid w:val="002D288C"/>
    <w:rsid w:val="002D4799"/>
    <w:rsid w:val="002E3FA4"/>
    <w:rsid w:val="002E53A5"/>
    <w:rsid w:val="002E64B8"/>
    <w:rsid w:val="002E6834"/>
    <w:rsid w:val="002E79C3"/>
    <w:rsid w:val="002F38C5"/>
    <w:rsid w:val="003066A5"/>
    <w:rsid w:val="003113FF"/>
    <w:rsid w:val="00312622"/>
    <w:rsid w:val="0032277F"/>
    <w:rsid w:val="00327766"/>
    <w:rsid w:val="00336B69"/>
    <w:rsid w:val="003427EA"/>
    <w:rsid w:val="0034302B"/>
    <w:rsid w:val="00344F87"/>
    <w:rsid w:val="00350523"/>
    <w:rsid w:val="0035189D"/>
    <w:rsid w:val="00355B62"/>
    <w:rsid w:val="00356479"/>
    <w:rsid w:val="00356967"/>
    <w:rsid w:val="00357C8A"/>
    <w:rsid w:val="003740BC"/>
    <w:rsid w:val="0037456B"/>
    <w:rsid w:val="003801A3"/>
    <w:rsid w:val="00383D90"/>
    <w:rsid w:val="003870AE"/>
    <w:rsid w:val="003A1A27"/>
    <w:rsid w:val="003A50CC"/>
    <w:rsid w:val="003A68FC"/>
    <w:rsid w:val="003B42B3"/>
    <w:rsid w:val="003B6384"/>
    <w:rsid w:val="003C0FE2"/>
    <w:rsid w:val="003C4EBB"/>
    <w:rsid w:val="003D1531"/>
    <w:rsid w:val="003D5176"/>
    <w:rsid w:val="003E4EC6"/>
    <w:rsid w:val="003E527E"/>
    <w:rsid w:val="003E553E"/>
    <w:rsid w:val="003E7078"/>
    <w:rsid w:val="003F3DF5"/>
    <w:rsid w:val="003F5995"/>
    <w:rsid w:val="003F73B8"/>
    <w:rsid w:val="0040297E"/>
    <w:rsid w:val="00411D11"/>
    <w:rsid w:val="00414494"/>
    <w:rsid w:val="00415E23"/>
    <w:rsid w:val="0041670D"/>
    <w:rsid w:val="00423272"/>
    <w:rsid w:val="00424061"/>
    <w:rsid w:val="00442A3C"/>
    <w:rsid w:val="00443969"/>
    <w:rsid w:val="00447D74"/>
    <w:rsid w:val="00450A74"/>
    <w:rsid w:val="004546BF"/>
    <w:rsid w:val="004570A9"/>
    <w:rsid w:val="00465350"/>
    <w:rsid w:val="00476B91"/>
    <w:rsid w:val="004846BF"/>
    <w:rsid w:val="00485DA0"/>
    <w:rsid w:val="00494912"/>
    <w:rsid w:val="004A5323"/>
    <w:rsid w:val="004A5A99"/>
    <w:rsid w:val="004B0853"/>
    <w:rsid w:val="004C6979"/>
    <w:rsid w:val="004D13A2"/>
    <w:rsid w:val="004D3E7A"/>
    <w:rsid w:val="004F594B"/>
    <w:rsid w:val="004F61E1"/>
    <w:rsid w:val="005000B5"/>
    <w:rsid w:val="00503671"/>
    <w:rsid w:val="0053380B"/>
    <w:rsid w:val="00534094"/>
    <w:rsid w:val="005360FE"/>
    <w:rsid w:val="00543194"/>
    <w:rsid w:val="00544138"/>
    <w:rsid w:val="00554E34"/>
    <w:rsid w:val="00584583"/>
    <w:rsid w:val="00590E90"/>
    <w:rsid w:val="00590EEB"/>
    <w:rsid w:val="005A4099"/>
    <w:rsid w:val="005C38B2"/>
    <w:rsid w:val="005C4505"/>
    <w:rsid w:val="005C4F77"/>
    <w:rsid w:val="005C5029"/>
    <w:rsid w:val="005C55C2"/>
    <w:rsid w:val="005C71CA"/>
    <w:rsid w:val="005C745C"/>
    <w:rsid w:val="005D4DF5"/>
    <w:rsid w:val="005E42BA"/>
    <w:rsid w:val="005F3590"/>
    <w:rsid w:val="005F6060"/>
    <w:rsid w:val="005F61F9"/>
    <w:rsid w:val="00611D6B"/>
    <w:rsid w:val="00625CFD"/>
    <w:rsid w:val="006326EC"/>
    <w:rsid w:val="006512CF"/>
    <w:rsid w:val="00663A42"/>
    <w:rsid w:val="006641C7"/>
    <w:rsid w:val="006705EA"/>
    <w:rsid w:val="00670BE2"/>
    <w:rsid w:val="006762C6"/>
    <w:rsid w:val="0068103F"/>
    <w:rsid w:val="006916D9"/>
    <w:rsid w:val="00694A54"/>
    <w:rsid w:val="006A0E05"/>
    <w:rsid w:val="006A26C6"/>
    <w:rsid w:val="006A465A"/>
    <w:rsid w:val="006A7D5D"/>
    <w:rsid w:val="006D0C12"/>
    <w:rsid w:val="006D5D57"/>
    <w:rsid w:val="006E1B20"/>
    <w:rsid w:val="006E2538"/>
    <w:rsid w:val="006E302F"/>
    <w:rsid w:val="006F4D6D"/>
    <w:rsid w:val="00705086"/>
    <w:rsid w:val="00710B66"/>
    <w:rsid w:val="00722001"/>
    <w:rsid w:val="00744525"/>
    <w:rsid w:val="00751E66"/>
    <w:rsid w:val="00754497"/>
    <w:rsid w:val="00760EFF"/>
    <w:rsid w:val="00773201"/>
    <w:rsid w:val="00775EA7"/>
    <w:rsid w:val="00781558"/>
    <w:rsid w:val="007853CD"/>
    <w:rsid w:val="00787C39"/>
    <w:rsid w:val="00792947"/>
    <w:rsid w:val="00795DF3"/>
    <w:rsid w:val="007A05FB"/>
    <w:rsid w:val="007A373C"/>
    <w:rsid w:val="007B0D88"/>
    <w:rsid w:val="007B225C"/>
    <w:rsid w:val="007C75B1"/>
    <w:rsid w:val="007D3DFC"/>
    <w:rsid w:val="007E1E28"/>
    <w:rsid w:val="007E2F07"/>
    <w:rsid w:val="007E59A8"/>
    <w:rsid w:val="007E64CA"/>
    <w:rsid w:val="0080776D"/>
    <w:rsid w:val="00810145"/>
    <w:rsid w:val="008108FA"/>
    <w:rsid w:val="00810FF1"/>
    <w:rsid w:val="00822336"/>
    <w:rsid w:val="00823DFA"/>
    <w:rsid w:val="008245F7"/>
    <w:rsid w:val="00842DB7"/>
    <w:rsid w:val="00843752"/>
    <w:rsid w:val="0084479F"/>
    <w:rsid w:val="0085725E"/>
    <w:rsid w:val="00863DD1"/>
    <w:rsid w:val="00873D4F"/>
    <w:rsid w:val="0087509F"/>
    <w:rsid w:val="00885B09"/>
    <w:rsid w:val="00892400"/>
    <w:rsid w:val="008A209D"/>
    <w:rsid w:val="008A22BB"/>
    <w:rsid w:val="008B035D"/>
    <w:rsid w:val="008B0E29"/>
    <w:rsid w:val="008B0EFA"/>
    <w:rsid w:val="008B30AB"/>
    <w:rsid w:val="008B71D9"/>
    <w:rsid w:val="008C2A31"/>
    <w:rsid w:val="008C3BB8"/>
    <w:rsid w:val="008C4B65"/>
    <w:rsid w:val="008D6922"/>
    <w:rsid w:val="008D7ACF"/>
    <w:rsid w:val="008E5F55"/>
    <w:rsid w:val="008F2659"/>
    <w:rsid w:val="009009E7"/>
    <w:rsid w:val="00905DEF"/>
    <w:rsid w:val="00906056"/>
    <w:rsid w:val="009122AE"/>
    <w:rsid w:val="00913B43"/>
    <w:rsid w:val="009150ED"/>
    <w:rsid w:val="00924FA1"/>
    <w:rsid w:val="00930203"/>
    <w:rsid w:val="009311D2"/>
    <w:rsid w:val="009311E6"/>
    <w:rsid w:val="00931275"/>
    <w:rsid w:val="00936AC7"/>
    <w:rsid w:val="00953B64"/>
    <w:rsid w:val="009646A7"/>
    <w:rsid w:val="00970A88"/>
    <w:rsid w:val="009713D7"/>
    <w:rsid w:val="009818A1"/>
    <w:rsid w:val="00985ADD"/>
    <w:rsid w:val="00997361"/>
    <w:rsid w:val="009A1674"/>
    <w:rsid w:val="009B38BE"/>
    <w:rsid w:val="009B4DF2"/>
    <w:rsid w:val="009C684F"/>
    <w:rsid w:val="009D074C"/>
    <w:rsid w:val="009D3CAA"/>
    <w:rsid w:val="009D6E73"/>
    <w:rsid w:val="009F1F1D"/>
    <w:rsid w:val="009F2B4F"/>
    <w:rsid w:val="009F3C63"/>
    <w:rsid w:val="009F66B5"/>
    <w:rsid w:val="00A02F10"/>
    <w:rsid w:val="00A1060C"/>
    <w:rsid w:val="00A16221"/>
    <w:rsid w:val="00A20A7D"/>
    <w:rsid w:val="00A26D38"/>
    <w:rsid w:val="00A35D42"/>
    <w:rsid w:val="00A37384"/>
    <w:rsid w:val="00A4186F"/>
    <w:rsid w:val="00A45F28"/>
    <w:rsid w:val="00A46CCF"/>
    <w:rsid w:val="00A506DE"/>
    <w:rsid w:val="00A53451"/>
    <w:rsid w:val="00A70426"/>
    <w:rsid w:val="00A707CC"/>
    <w:rsid w:val="00A71410"/>
    <w:rsid w:val="00A74801"/>
    <w:rsid w:val="00A809D6"/>
    <w:rsid w:val="00A80A60"/>
    <w:rsid w:val="00A849A6"/>
    <w:rsid w:val="00A91E9A"/>
    <w:rsid w:val="00A92286"/>
    <w:rsid w:val="00A93ED9"/>
    <w:rsid w:val="00A96221"/>
    <w:rsid w:val="00AC2DBB"/>
    <w:rsid w:val="00AC3FEA"/>
    <w:rsid w:val="00AC6A99"/>
    <w:rsid w:val="00AD6048"/>
    <w:rsid w:val="00AF384B"/>
    <w:rsid w:val="00B055EF"/>
    <w:rsid w:val="00B06B5B"/>
    <w:rsid w:val="00B23769"/>
    <w:rsid w:val="00B34C5F"/>
    <w:rsid w:val="00B3592D"/>
    <w:rsid w:val="00B41789"/>
    <w:rsid w:val="00B51BBA"/>
    <w:rsid w:val="00B53B11"/>
    <w:rsid w:val="00B6385D"/>
    <w:rsid w:val="00B81808"/>
    <w:rsid w:val="00B86DFA"/>
    <w:rsid w:val="00B936D0"/>
    <w:rsid w:val="00BA2302"/>
    <w:rsid w:val="00BB15FB"/>
    <w:rsid w:val="00BC4E2F"/>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C2894"/>
    <w:rsid w:val="00CD0D25"/>
    <w:rsid w:val="00CD39C7"/>
    <w:rsid w:val="00CD77C3"/>
    <w:rsid w:val="00CE112C"/>
    <w:rsid w:val="00CF55D4"/>
    <w:rsid w:val="00D05582"/>
    <w:rsid w:val="00D53FBC"/>
    <w:rsid w:val="00D608DA"/>
    <w:rsid w:val="00D6276D"/>
    <w:rsid w:val="00D730BF"/>
    <w:rsid w:val="00D852F4"/>
    <w:rsid w:val="00DA59C1"/>
    <w:rsid w:val="00DB1110"/>
    <w:rsid w:val="00DB13A4"/>
    <w:rsid w:val="00DB3730"/>
    <w:rsid w:val="00DB5044"/>
    <w:rsid w:val="00DC371B"/>
    <w:rsid w:val="00DC3788"/>
    <w:rsid w:val="00DC76C7"/>
    <w:rsid w:val="00DD09F5"/>
    <w:rsid w:val="00DD0E02"/>
    <w:rsid w:val="00DD211F"/>
    <w:rsid w:val="00DD4201"/>
    <w:rsid w:val="00DD5E9F"/>
    <w:rsid w:val="00DE3B5E"/>
    <w:rsid w:val="00DE5711"/>
    <w:rsid w:val="00E00EA0"/>
    <w:rsid w:val="00E021CB"/>
    <w:rsid w:val="00E138F1"/>
    <w:rsid w:val="00E2309D"/>
    <w:rsid w:val="00E26629"/>
    <w:rsid w:val="00E26758"/>
    <w:rsid w:val="00E33716"/>
    <w:rsid w:val="00E3682E"/>
    <w:rsid w:val="00E4340C"/>
    <w:rsid w:val="00E4357B"/>
    <w:rsid w:val="00E443A7"/>
    <w:rsid w:val="00E45904"/>
    <w:rsid w:val="00E63DE5"/>
    <w:rsid w:val="00E647AF"/>
    <w:rsid w:val="00E647C7"/>
    <w:rsid w:val="00E65A37"/>
    <w:rsid w:val="00E65EF7"/>
    <w:rsid w:val="00E77B48"/>
    <w:rsid w:val="00E83187"/>
    <w:rsid w:val="00E857FB"/>
    <w:rsid w:val="00E91799"/>
    <w:rsid w:val="00E97DF8"/>
    <w:rsid w:val="00EA21FE"/>
    <w:rsid w:val="00EA34E3"/>
    <w:rsid w:val="00EA7ED7"/>
    <w:rsid w:val="00EB7538"/>
    <w:rsid w:val="00EC1868"/>
    <w:rsid w:val="00EC4500"/>
    <w:rsid w:val="00EE0FAA"/>
    <w:rsid w:val="00EE5898"/>
    <w:rsid w:val="00EE6468"/>
    <w:rsid w:val="00EF21A4"/>
    <w:rsid w:val="00F1299B"/>
    <w:rsid w:val="00F1326D"/>
    <w:rsid w:val="00F207A4"/>
    <w:rsid w:val="00F25173"/>
    <w:rsid w:val="00F30537"/>
    <w:rsid w:val="00F355AC"/>
    <w:rsid w:val="00F37014"/>
    <w:rsid w:val="00F40CF7"/>
    <w:rsid w:val="00F44194"/>
    <w:rsid w:val="00F46A75"/>
    <w:rsid w:val="00F71A5A"/>
    <w:rsid w:val="00F73A1A"/>
    <w:rsid w:val="00F769E0"/>
    <w:rsid w:val="00F83D0D"/>
    <w:rsid w:val="00FA2EF6"/>
    <w:rsid w:val="00FA4A46"/>
    <w:rsid w:val="00FA75FE"/>
    <w:rsid w:val="00FB1032"/>
    <w:rsid w:val="00FB39BC"/>
    <w:rsid w:val="00FB6A53"/>
    <w:rsid w:val="00FC11CA"/>
    <w:rsid w:val="00FC6BDE"/>
    <w:rsid w:val="00FF2D98"/>
    <w:rsid w:val="00FF6138"/>
    <w:rsid w:val="00FF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BC2DE"/>
  <w15:chartTrackingRefBased/>
  <w15:docId w15:val="{F6BF4541-8984-4CA3-95BE-9159F89F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017FE5"/>
    <w:rPr>
      <w:sz w:val="16"/>
      <w:szCs w:val="16"/>
    </w:rPr>
  </w:style>
  <w:style w:type="paragraph" w:styleId="CommentText">
    <w:name w:val="annotation text"/>
    <w:basedOn w:val="Normal"/>
    <w:link w:val="CommentTextChar"/>
    <w:rsid w:val="00017FE5"/>
    <w:rPr>
      <w:sz w:val="20"/>
      <w:szCs w:val="20"/>
    </w:rPr>
  </w:style>
  <w:style w:type="character" w:customStyle="1" w:styleId="CommentTextChar">
    <w:name w:val="Comment Text Char"/>
    <w:basedOn w:val="DefaultParagraphFont"/>
    <w:link w:val="CommentText"/>
    <w:rsid w:val="00017FE5"/>
  </w:style>
  <w:style w:type="paragraph" w:styleId="CommentSubject">
    <w:name w:val="annotation subject"/>
    <w:basedOn w:val="CommentText"/>
    <w:next w:val="CommentText"/>
    <w:link w:val="CommentSubjectChar"/>
    <w:rsid w:val="00A45F28"/>
    <w:rPr>
      <w:b/>
      <w:bCs/>
    </w:rPr>
  </w:style>
  <w:style w:type="character" w:customStyle="1" w:styleId="CommentSubjectChar">
    <w:name w:val="Comment Subject Char"/>
    <w:link w:val="CommentSubject"/>
    <w:rsid w:val="00A45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small-business-assist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ndustry/electronic-submissions-gatew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19150</CharactersWithSpaces>
  <SharedDoc>false</SharedDoc>
  <HLinks>
    <vt:vector size="12" baseType="variant">
      <vt:variant>
        <vt:i4>7209008</vt:i4>
      </vt:variant>
      <vt:variant>
        <vt:i4>3</vt:i4>
      </vt:variant>
      <vt:variant>
        <vt:i4>0</vt:i4>
      </vt:variant>
      <vt:variant>
        <vt:i4>5</vt:i4>
      </vt:variant>
      <vt:variant>
        <vt:lpwstr>https://www.fda.gov/industry/small-business-assistance</vt:lpwstr>
      </vt:variant>
      <vt:variant>
        <vt:lpwstr/>
      </vt:variant>
      <vt:variant>
        <vt:i4>1704003</vt:i4>
      </vt:variant>
      <vt:variant>
        <vt:i4>0</vt:i4>
      </vt:variant>
      <vt:variant>
        <vt:i4>0</vt:i4>
      </vt:variant>
      <vt:variant>
        <vt:i4>5</vt:i4>
      </vt:variant>
      <vt:variant>
        <vt:lpwstr>https://www.fda.gov/​industry/​electronic-submissions-gateway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Showalter, Rachel</cp:lastModifiedBy>
  <cp:revision>3</cp:revision>
  <cp:lastPrinted>2019-07-03T16:25:00Z</cp:lastPrinted>
  <dcterms:created xsi:type="dcterms:W3CDTF">2022-05-20T12:10:00Z</dcterms:created>
  <dcterms:modified xsi:type="dcterms:W3CDTF">2022-06-09T13:22:00Z</dcterms:modified>
</cp:coreProperties>
</file>