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7C8A" w:rsidP="0089771C" w:rsidRDefault="00357C8A" w14:paraId="791B45A7" w14:textId="55A6DDCB">
      <w:pPr>
        <w:jc w:val="center"/>
        <w:rPr>
          <w:rFonts w:eastAsia="Calibri"/>
        </w:rPr>
      </w:pPr>
      <w:r w:rsidRPr="00357C8A">
        <w:rPr>
          <w:rFonts w:eastAsia="Calibri"/>
        </w:rPr>
        <w:t xml:space="preserve">United States Food </w:t>
      </w:r>
      <w:r w:rsidR="002F3034">
        <w:rPr>
          <w:rFonts w:eastAsia="Calibri"/>
        </w:rPr>
        <w:t xml:space="preserve">&amp; </w:t>
      </w:r>
      <w:r w:rsidRPr="00357C8A">
        <w:rPr>
          <w:rFonts w:eastAsia="Calibri"/>
        </w:rPr>
        <w:t>Drug Administration</w:t>
      </w:r>
    </w:p>
    <w:p w:rsidR="00357C8A" w:rsidP="0089771C" w:rsidRDefault="00357C8A" w14:paraId="264C22A9" w14:textId="77777777">
      <w:pPr>
        <w:jc w:val="center"/>
        <w:rPr>
          <w:rFonts w:eastAsia="Calibri"/>
        </w:rPr>
      </w:pPr>
    </w:p>
    <w:p w:rsidR="00357C8A" w:rsidP="0089771C" w:rsidRDefault="00116171" w14:paraId="51DA8523" w14:textId="77777777">
      <w:pPr>
        <w:jc w:val="center"/>
        <w:rPr>
          <w:rFonts w:eastAsia="Calibri"/>
        </w:rPr>
      </w:pPr>
      <w:r>
        <w:rPr>
          <w:rFonts w:eastAsia="Calibri"/>
        </w:rPr>
        <w:t>MEDICAL DEVICE USER FEE SMALL BUSINESS QUALIFICATION AND CERTIFICATION</w:t>
      </w:r>
    </w:p>
    <w:p w:rsidR="00357C8A" w:rsidP="0089771C" w:rsidRDefault="00357C8A" w14:paraId="47325E17" w14:textId="77777777">
      <w:pPr>
        <w:jc w:val="center"/>
        <w:rPr>
          <w:rFonts w:eastAsia="Calibri"/>
        </w:rPr>
      </w:pPr>
    </w:p>
    <w:p w:rsidRPr="00516C0D" w:rsidR="00357C8A" w:rsidP="0089771C" w:rsidRDefault="00357C8A" w14:paraId="7250720B" w14:textId="77777777">
      <w:pPr>
        <w:jc w:val="center"/>
        <w:rPr>
          <w:rFonts w:eastAsia="Calibri"/>
          <w:u w:val="single"/>
        </w:rPr>
      </w:pPr>
      <w:r w:rsidRPr="00516C0D">
        <w:rPr>
          <w:rFonts w:eastAsia="Calibri"/>
          <w:u w:val="single"/>
        </w:rPr>
        <w:t>OMB Control No. 0910-</w:t>
      </w:r>
      <w:r w:rsidRPr="00516C0D" w:rsidR="00116171">
        <w:rPr>
          <w:rFonts w:eastAsia="Calibri"/>
          <w:u w:val="single"/>
        </w:rPr>
        <w:t>0508</w:t>
      </w:r>
    </w:p>
    <w:p w:rsidR="00357C8A" w:rsidP="0089771C" w:rsidRDefault="00357C8A" w14:paraId="1333FA19" w14:textId="77777777">
      <w:pPr>
        <w:jc w:val="center"/>
        <w:rPr>
          <w:rFonts w:eastAsia="Calibri"/>
        </w:rPr>
      </w:pPr>
    </w:p>
    <w:p w:rsidR="00357C8A" w:rsidP="0089771C" w:rsidRDefault="00357C8A" w14:paraId="4C0E4C5A" w14:textId="2A6BCC64">
      <w:pPr>
        <w:rPr>
          <w:rFonts w:eastAsia="Calibri"/>
        </w:rPr>
      </w:pPr>
      <w:r w:rsidRPr="00357C8A">
        <w:rPr>
          <w:rFonts w:eastAsia="Calibri"/>
        </w:rPr>
        <w:t>SUPPORTING STATEMENT</w:t>
      </w:r>
      <w:r w:rsidR="00516C0D">
        <w:rPr>
          <w:rFonts w:eastAsia="Calibri"/>
        </w:rPr>
        <w:t xml:space="preserve"> – </w:t>
      </w:r>
      <w:r w:rsidRPr="00516C0D" w:rsidR="00516C0D">
        <w:rPr>
          <w:rFonts w:eastAsia="Calibri"/>
          <w:b/>
          <w:bCs/>
        </w:rPr>
        <w:t>Part A:  Justification</w:t>
      </w:r>
    </w:p>
    <w:p w:rsidRPr="00357C8A" w:rsidR="000D79CC" w:rsidP="0089771C" w:rsidRDefault="000D79CC" w14:paraId="12A79FAA" w14:textId="77777777">
      <w:pPr>
        <w:rPr>
          <w:rFonts w:eastAsia="Calibri"/>
        </w:rPr>
      </w:pPr>
    </w:p>
    <w:p w:rsidRPr="00357C8A" w:rsidR="00357C8A" w:rsidP="0089771C" w:rsidRDefault="00357C8A" w14:paraId="43A4FA46"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116171" w:rsidR="00116171" w:rsidP="0089771C" w:rsidRDefault="006005CA" w14:paraId="0F7AC7F2" w14:textId="6756EE1C">
      <w:pPr>
        <w:spacing w:after="200"/>
        <w:rPr>
          <w:rFonts w:eastAsia="Calibri"/>
        </w:rPr>
      </w:pPr>
      <w:r w:rsidRPr="005C71CA">
        <w:rPr>
          <w:rFonts w:eastAsia="Calibri"/>
        </w:rPr>
        <w:t xml:space="preserve">This information collection </w:t>
      </w:r>
      <w:r w:rsidR="00FD4A2B">
        <w:rPr>
          <w:rFonts w:eastAsia="Calibri"/>
        </w:rPr>
        <w:t xml:space="preserve">helps </w:t>
      </w:r>
      <w:r w:rsidRPr="005C71CA">
        <w:rPr>
          <w:rFonts w:eastAsia="Calibri"/>
        </w:rPr>
        <w:t>support</w:t>
      </w:r>
      <w:r w:rsidR="00FD4A2B">
        <w:rPr>
          <w:rFonts w:eastAsia="Calibri"/>
        </w:rPr>
        <w:t xml:space="preserve"> implementation of</w:t>
      </w:r>
      <w:r w:rsidR="0041595B">
        <w:rPr>
          <w:rFonts w:eastAsia="Calibri"/>
        </w:rPr>
        <w:t xml:space="preserve"> t</w:t>
      </w:r>
      <w:r w:rsidRPr="00116171" w:rsidR="0041595B">
        <w:rPr>
          <w:rFonts w:eastAsia="Calibri"/>
        </w:rPr>
        <w:t>he Medical Device User Fee and Modernization Act of 2002 (MDUFMA)</w:t>
      </w:r>
      <w:bookmarkStart w:name="_Hlk82622919" w:id="0"/>
      <w:r w:rsidRPr="00BA66C3" w:rsidR="00712EF9">
        <w:t xml:space="preserve"> (Pub. L. 107–250)</w:t>
      </w:r>
      <w:r w:rsidR="0061047C">
        <w:t>, most recently reauthori</w:t>
      </w:r>
      <w:r w:rsidR="00E9274E">
        <w:t xml:space="preserve">zed </w:t>
      </w:r>
      <w:r w:rsidRPr="00BA66C3" w:rsidR="00712EF9">
        <w:t>in</w:t>
      </w:r>
      <w:r w:rsidR="00712EF9">
        <w:t xml:space="preserve"> </w:t>
      </w:r>
      <w:r w:rsidRPr="00BA66C3" w:rsidR="00712EF9">
        <w:t>2017 from</w:t>
      </w:r>
      <w:r w:rsidR="00712EF9">
        <w:t xml:space="preserve"> </w:t>
      </w:r>
      <w:r w:rsidRPr="00BA66C3" w:rsidR="00712EF9">
        <w:t>October 1, 2017, until September 30,</w:t>
      </w:r>
      <w:r w:rsidR="00712EF9">
        <w:t xml:space="preserve"> </w:t>
      </w:r>
      <w:r w:rsidRPr="00BA66C3" w:rsidR="00712EF9">
        <w:t>2022.</w:t>
      </w:r>
      <w:r w:rsidR="00E9274E">
        <w:rPr>
          <w:rFonts w:eastAsia="Calibri"/>
        </w:rPr>
        <w:t xml:space="preserve">  </w:t>
      </w:r>
      <w:r w:rsidR="00094352">
        <w:rPr>
          <w:rFonts w:eastAsia="Calibri"/>
        </w:rPr>
        <w:t>To qualify as a</w:t>
      </w:r>
      <w:r w:rsidRPr="00116171" w:rsidR="00116171">
        <w:rPr>
          <w:rFonts w:eastAsia="Calibri"/>
        </w:rPr>
        <w:t xml:space="preserve"> “</w:t>
      </w:r>
      <w:r w:rsidRPr="00E1273B" w:rsidR="00116171">
        <w:rPr>
          <w:rFonts w:eastAsia="Calibri"/>
          <w:i/>
          <w:iCs/>
        </w:rPr>
        <w:t>small business</w:t>
      </w:r>
      <w:r w:rsidR="00094352">
        <w:rPr>
          <w:rFonts w:eastAsia="Calibri"/>
          <w:i/>
          <w:iCs/>
        </w:rPr>
        <w:t>,</w:t>
      </w:r>
      <w:r w:rsidRPr="00116171" w:rsidR="00116171">
        <w:rPr>
          <w:rFonts w:eastAsia="Calibri"/>
        </w:rPr>
        <w:t xml:space="preserve">” </w:t>
      </w:r>
      <w:r w:rsidR="009975EB">
        <w:rPr>
          <w:rFonts w:eastAsia="Calibri"/>
        </w:rPr>
        <w:t xml:space="preserve">and therefore be </w:t>
      </w:r>
      <w:r w:rsidRPr="00116171" w:rsidR="00116171">
        <w:rPr>
          <w:rFonts w:eastAsia="Calibri"/>
        </w:rPr>
        <w:t>eligible for reduced or waived fees</w:t>
      </w:r>
      <w:r w:rsidR="00113C03">
        <w:rPr>
          <w:rFonts w:eastAsia="Calibri"/>
        </w:rPr>
        <w:t>, respondents</w:t>
      </w:r>
      <w:r w:rsidR="009478CE">
        <w:rPr>
          <w:rFonts w:eastAsia="Calibri"/>
        </w:rPr>
        <w:t xml:space="preserve"> submit information to FDA</w:t>
      </w:r>
      <w:r w:rsidR="004C4F7C">
        <w:rPr>
          <w:rFonts w:eastAsia="Calibri"/>
        </w:rPr>
        <w:t xml:space="preserve"> </w:t>
      </w:r>
      <w:r w:rsidR="00B91AE2">
        <w:rPr>
          <w:rFonts w:eastAsia="Calibri"/>
        </w:rPr>
        <w:t>s</w:t>
      </w:r>
      <w:r w:rsidR="004C4F7C">
        <w:rPr>
          <w:rFonts w:eastAsia="Calibri"/>
        </w:rPr>
        <w:t xml:space="preserve">o </w:t>
      </w:r>
      <w:r w:rsidR="00113C03">
        <w:rPr>
          <w:rFonts w:eastAsia="Calibri"/>
        </w:rPr>
        <w:t xml:space="preserve">we </w:t>
      </w:r>
      <w:r w:rsidR="004C4F7C">
        <w:rPr>
          <w:rFonts w:eastAsia="Calibri"/>
        </w:rPr>
        <w:t xml:space="preserve">can determine </w:t>
      </w:r>
      <w:r w:rsidR="00035FC7">
        <w:rPr>
          <w:rFonts w:eastAsia="Calibri"/>
        </w:rPr>
        <w:t xml:space="preserve">whether </w:t>
      </w:r>
      <w:r w:rsidRPr="00116171" w:rsidR="00116171">
        <w:rPr>
          <w:rFonts w:eastAsia="Calibri"/>
        </w:rPr>
        <w:t>the applicant is a small business</w:t>
      </w:r>
      <w:r w:rsidR="00035FC7">
        <w:rPr>
          <w:rFonts w:eastAsia="Calibri"/>
        </w:rPr>
        <w:t xml:space="preserve">.  </w:t>
      </w:r>
      <w:r w:rsidRPr="00116171" w:rsidR="00116171">
        <w:rPr>
          <w:rFonts w:eastAsia="Calibri"/>
        </w:rPr>
        <w:t>Sections 738(d)(2)(A) and (e)(2)(A)</w:t>
      </w:r>
      <w:r w:rsidRPr="004470DE" w:rsidR="004470DE">
        <w:t xml:space="preserve"> </w:t>
      </w:r>
      <w:r w:rsidR="004470DE">
        <w:t>of the F</w:t>
      </w:r>
      <w:r w:rsidR="00035FC7">
        <w:t>ederal Food, Drug, and Cosmetic</w:t>
      </w:r>
      <w:r w:rsidR="004470DE">
        <w:t xml:space="preserve"> Act (21 U.S.C</w:t>
      </w:r>
      <w:r w:rsidRPr="00965235" w:rsidR="004470DE">
        <w:t>.</w:t>
      </w:r>
      <w:r w:rsidR="004470DE">
        <w:t xml:space="preserve"> 379j(d)(2)(A) and (e)(2)(A))</w:t>
      </w:r>
      <w:r w:rsidRPr="00116171" w:rsidR="00116171">
        <w:rPr>
          <w:rFonts w:eastAsia="Calibri"/>
        </w:rPr>
        <w:t xml:space="preserve"> define a “</w:t>
      </w:r>
      <w:r w:rsidRPr="005C78A6" w:rsidR="00116171">
        <w:rPr>
          <w:rFonts w:eastAsia="Calibri"/>
          <w:i/>
          <w:iCs/>
        </w:rPr>
        <w:t>small business</w:t>
      </w:r>
      <w:r w:rsidRPr="00116171" w:rsidR="00116171">
        <w:rPr>
          <w:rFonts w:eastAsia="Calibri"/>
        </w:rPr>
        <w:t>” as an entity that reported $100 million or less of gross receipts or sales in its most recent Federal income tax return, including such returns of its affiliates, partners, and parent firms.  If a firm’s gross receipts or sales are no more than $30 million (including all affiliates, partners, and parent firms), they will also qualify for a waiver of the fee for their first (ever) premarket application (PMA), product development protocol (PDP), biological licensing application (BLA), or premarket report.</w:t>
      </w:r>
    </w:p>
    <w:p w:rsidR="00116171" w:rsidP="0089771C" w:rsidRDefault="00C04D2B" w14:paraId="74554F20" w14:textId="6C4357BB">
      <w:pPr>
        <w:spacing w:after="200"/>
        <w:rPr>
          <w:rFonts w:eastAsia="Calibri"/>
        </w:rPr>
      </w:pPr>
      <w:r>
        <w:rPr>
          <w:rFonts w:eastAsia="Calibri"/>
        </w:rPr>
        <w:t>F</w:t>
      </w:r>
      <w:r w:rsidRPr="00116171" w:rsidR="00116171">
        <w:rPr>
          <w:rFonts w:eastAsia="Calibri"/>
        </w:rPr>
        <w:t xml:space="preserve">orms </w:t>
      </w:r>
      <w:hyperlink w:history="1" r:id="rId7">
        <w:r w:rsidRPr="0056531D" w:rsidR="00116171">
          <w:rPr>
            <w:rStyle w:val="Hyperlink"/>
            <w:rFonts w:eastAsia="Calibri"/>
          </w:rPr>
          <w:t>FDA 3602</w:t>
        </w:r>
      </w:hyperlink>
      <w:r w:rsidR="00FA3221">
        <w:rPr>
          <w:rFonts w:eastAsia="Calibri"/>
        </w:rPr>
        <w:t xml:space="preserve"> </w:t>
      </w:r>
      <w:r w:rsidR="00FA3221">
        <w:t>(</w:t>
      </w:r>
      <w:r w:rsidR="0006335C">
        <w:t>“</w:t>
      </w:r>
      <w:r w:rsidRPr="005C78A6" w:rsidR="00FA3221">
        <w:rPr>
          <w:i/>
          <w:iCs/>
        </w:rPr>
        <w:t>MDUFA Small Business Certification Request for a Business Headquartered in the United States</w:t>
      </w:r>
      <w:r w:rsidR="0006335C">
        <w:t>”</w:t>
      </w:r>
      <w:r w:rsidRPr="006D5560" w:rsidR="00FA3221">
        <w:t>)</w:t>
      </w:r>
      <w:r w:rsidRPr="00116171" w:rsidR="00116171">
        <w:rPr>
          <w:rFonts w:eastAsia="Calibri"/>
        </w:rPr>
        <w:t xml:space="preserve"> and </w:t>
      </w:r>
      <w:hyperlink w:history="1" r:id="rId8">
        <w:r w:rsidRPr="0056531D" w:rsidR="00116171">
          <w:rPr>
            <w:rStyle w:val="Hyperlink"/>
            <w:rFonts w:eastAsia="Calibri"/>
          </w:rPr>
          <w:t>FDA 3602A</w:t>
        </w:r>
      </w:hyperlink>
      <w:r w:rsidR="00247D40">
        <w:rPr>
          <w:rFonts w:eastAsia="Calibri"/>
        </w:rPr>
        <w:t xml:space="preserve"> </w:t>
      </w:r>
      <w:r w:rsidR="00674742">
        <w:rPr>
          <w:rFonts w:eastAsia="Calibri"/>
        </w:rPr>
        <w:t>(</w:t>
      </w:r>
      <w:r w:rsidR="00247D40">
        <w:rPr>
          <w:rFonts w:eastAsia="Calibri"/>
        </w:rPr>
        <w:t>“</w:t>
      </w:r>
      <w:r w:rsidRPr="0094712A" w:rsidR="00247D40">
        <w:rPr>
          <w:i/>
          <w:iCs/>
        </w:rPr>
        <w:t>MDUFA Foreign Small Business Certification Request for a Business Headquartered Outside the United States</w:t>
      </w:r>
      <w:r w:rsidR="00247D40">
        <w:rPr>
          <w:rFonts w:eastAsia="Calibri"/>
        </w:rPr>
        <w:t>”</w:t>
      </w:r>
      <w:r w:rsidR="00674742">
        <w:rPr>
          <w:rFonts w:eastAsia="Calibri"/>
        </w:rPr>
        <w:t>)</w:t>
      </w:r>
      <w:r>
        <w:rPr>
          <w:rFonts w:eastAsia="Calibri"/>
        </w:rPr>
        <w:t xml:space="preserve"> are submitted to FDA to demonstrate that an applicant </w:t>
      </w:r>
      <w:r w:rsidR="00BD3885">
        <w:rPr>
          <w:rFonts w:eastAsia="Calibri"/>
        </w:rPr>
        <w:t>qualifies as</w:t>
      </w:r>
      <w:r>
        <w:rPr>
          <w:rFonts w:eastAsia="Calibri"/>
        </w:rPr>
        <w:t xml:space="preserve"> a </w:t>
      </w:r>
      <w:r w:rsidR="00233586">
        <w:rPr>
          <w:rFonts w:eastAsia="Calibri"/>
        </w:rPr>
        <w:t>“</w:t>
      </w:r>
      <w:r w:rsidRPr="005C78A6" w:rsidR="00B30E3E">
        <w:rPr>
          <w:rFonts w:eastAsia="Calibri"/>
          <w:i/>
          <w:iCs/>
        </w:rPr>
        <w:t xml:space="preserve">MDUFA </w:t>
      </w:r>
      <w:r w:rsidRPr="005C78A6">
        <w:rPr>
          <w:rFonts w:eastAsia="Calibri"/>
          <w:i/>
          <w:iCs/>
        </w:rPr>
        <w:t>small business</w:t>
      </w:r>
      <w:r w:rsidR="00490474">
        <w:rPr>
          <w:rFonts w:eastAsia="Calibri"/>
        </w:rPr>
        <w:t>.”</w:t>
      </w:r>
      <w:r w:rsidR="008970EB">
        <w:rPr>
          <w:rFonts w:eastAsia="Calibri"/>
        </w:rPr>
        <w:t xml:space="preserve">  We </w:t>
      </w:r>
      <w:r w:rsidR="007C3B79">
        <w:rPr>
          <w:rFonts w:eastAsia="Calibri"/>
        </w:rPr>
        <w:t xml:space="preserve">have </w:t>
      </w:r>
      <w:r w:rsidR="008970EB">
        <w:rPr>
          <w:rFonts w:eastAsia="Calibri"/>
        </w:rPr>
        <w:t>also developed t</w:t>
      </w:r>
      <w:r w:rsidRPr="00116171">
        <w:rPr>
          <w:rFonts w:eastAsia="Calibri"/>
        </w:rPr>
        <w:t>h</w:t>
      </w:r>
      <w:r>
        <w:rPr>
          <w:rFonts w:eastAsia="Calibri"/>
        </w:rPr>
        <w:t>e</w:t>
      </w:r>
      <w:r w:rsidRPr="00116171">
        <w:rPr>
          <w:rFonts w:eastAsia="Calibri"/>
        </w:rPr>
        <w:t xml:space="preserve"> </w:t>
      </w:r>
      <w:r w:rsidRPr="00116171" w:rsidR="00116171">
        <w:rPr>
          <w:rFonts w:eastAsia="Calibri"/>
        </w:rPr>
        <w:t>guidance</w:t>
      </w:r>
      <w:r w:rsidR="0056531D">
        <w:rPr>
          <w:rFonts w:eastAsia="Calibri"/>
        </w:rPr>
        <w:t xml:space="preserve"> </w:t>
      </w:r>
      <w:r w:rsidRPr="00116171" w:rsidR="0056531D">
        <w:rPr>
          <w:rFonts w:eastAsia="Calibri"/>
        </w:rPr>
        <w:t>document, “</w:t>
      </w:r>
      <w:r w:rsidRPr="008970EB" w:rsidR="00CE5462">
        <w:rPr>
          <w:rFonts w:eastAsia="Calibri"/>
          <w:i/>
          <w:iCs/>
        </w:rPr>
        <w:t>Medical Device User Fee Small Business Qualification and Certification Guidance for Industry, Food and Drug Administration Staff and Foreign Governments</w:t>
      </w:r>
      <w:r w:rsidRPr="00116171" w:rsidR="0056531D">
        <w:rPr>
          <w:rFonts w:eastAsia="Calibri"/>
        </w:rPr>
        <w:t>”</w:t>
      </w:r>
      <w:r w:rsidR="003F0CB2">
        <w:rPr>
          <w:rFonts w:eastAsia="Calibri"/>
        </w:rPr>
        <w:t xml:space="preserve"> (April 2018),</w:t>
      </w:r>
      <w:r w:rsidR="00647526">
        <w:rPr>
          <w:rFonts w:eastAsia="Calibri"/>
        </w:rPr>
        <w:t xml:space="preserve"> available at</w:t>
      </w:r>
      <w:r w:rsidR="00647526">
        <w:t xml:space="preserve"> </w:t>
      </w:r>
      <w:hyperlink w:history="1" r:id="rId9">
        <w:r w:rsidRPr="00C62663" w:rsidR="003B40CA">
          <w:rPr>
            <w:rStyle w:val="Hyperlink"/>
          </w:rPr>
          <w:t>https://www.fda.gov/media/93</w:t>
        </w:r>
        <w:r w:rsidRPr="00C62663" w:rsidR="003B40CA">
          <w:rPr>
            <w:rStyle w:val="Hyperlink"/>
          </w:rPr>
          <w:t>3</w:t>
        </w:r>
        <w:r w:rsidRPr="00C62663" w:rsidR="003B40CA">
          <w:rPr>
            <w:rStyle w:val="Hyperlink"/>
          </w:rPr>
          <w:t>54/download</w:t>
        </w:r>
      </w:hyperlink>
      <w:r w:rsidR="003F0CB2">
        <w:rPr>
          <w:rFonts w:eastAsia="Calibri"/>
        </w:rPr>
        <w:t>,</w:t>
      </w:r>
      <w:r w:rsidRPr="00116171" w:rsidR="00116171">
        <w:rPr>
          <w:rFonts w:eastAsia="Calibri"/>
        </w:rPr>
        <w:t xml:space="preserve"> </w:t>
      </w:r>
      <w:r w:rsidR="00DA61DC">
        <w:rPr>
          <w:rFonts w:eastAsia="Calibri"/>
        </w:rPr>
        <w:t xml:space="preserve">which </w:t>
      </w:r>
      <w:r w:rsidRPr="00116171" w:rsidR="00116171">
        <w:rPr>
          <w:rFonts w:eastAsia="Calibri"/>
        </w:rPr>
        <w:t xml:space="preserve">describes criteria FDA will use to decide whether an entity qualifies as a MDUFA small business and </w:t>
      </w:r>
      <w:r w:rsidRPr="0099309E" w:rsidR="00BD339A">
        <w:t>is eligible for a reduction in</w:t>
      </w:r>
      <w:r w:rsidR="00BD339A">
        <w:t xml:space="preserve"> </w:t>
      </w:r>
      <w:r w:rsidRPr="0099309E" w:rsidR="00BD339A">
        <w:t>user fees</w:t>
      </w:r>
      <w:r w:rsidR="00DA61DC">
        <w:t>, and which provides respondents instruction on submitting relevant information to FDA</w:t>
      </w:r>
      <w:r w:rsidRPr="0099309E" w:rsidR="00BD339A">
        <w:t>.</w:t>
      </w:r>
      <w:bookmarkEnd w:id="0"/>
    </w:p>
    <w:p w:rsidR="00423272" w:rsidP="0089771C" w:rsidRDefault="00423272" w14:paraId="07C97205" w14:textId="25E4C23D">
      <w:pPr>
        <w:rPr>
          <w:rFonts w:eastAsia="Calibri"/>
        </w:rPr>
      </w:pPr>
      <w:r w:rsidRPr="005C71CA">
        <w:rPr>
          <w:rFonts w:eastAsia="Calibri"/>
        </w:rPr>
        <w:t>We</w:t>
      </w:r>
      <w:r w:rsidR="00C62663">
        <w:rPr>
          <w:rFonts w:eastAsia="Calibri"/>
        </w:rPr>
        <w:t xml:space="preserve"> are </w:t>
      </w:r>
      <w:r w:rsidRPr="005C71CA">
        <w:rPr>
          <w:rFonts w:eastAsia="Calibri"/>
        </w:rPr>
        <w:t>therefore request</w:t>
      </w:r>
      <w:r w:rsidR="00C62663">
        <w:rPr>
          <w:rFonts w:eastAsia="Calibri"/>
        </w:rPr>
        <w:t>ing</w:t>
      </w:r>
      <w:r w:rsidRPr="005C71CA">
        <w:rPr>
          <w:rFonts w:eastAsia="Calibri"/>
        </w:rPr>
        <w:t xml:space="preserve"> extension of OMB approval </w:t>
      </w:r>
      <w:r w:rsidR="007C3B79">
        <w:rPr>
          <w:rFonts w:eastAsia="Calibri"/>
        </w:rPr>
        <w:t xml:space="preserve">for </w:t>
      </w:r>
      <w:r w:rsidR="00CD0421">
        <w:rPr>
          <w:rFonts w:eastAsia="Calibri"/>
        </w:rPr>
        <w:t xml:space="preserve">information collection supporting </w:t>
      </w:r>
      <w:r w:rsidR="0094712A">
        <w:rPr>
          <w:rFonts w:eastAsia="Calibri"/>
        </w:rPr>
        <w:t>MDUFA</w:t>
      </w:r>
      <w:r w:rsidR="008D68DE">
        <w:rPr>
          <w:rFonts w:eastAsia="Calibri"/>
        </w:rPr>
        <w:t xml:space="preserve"> small business qualification, and the associated forms and instructional guidance discussed in this supporting statement.</w:t>
      </w:r>
    </w:p>
    <w:p w:rsidRPr="00423272" w:rsidR="00CE5462" w:rsidP="0089771C" w:rsidRDefault="00CE5462" w14:paraId="2FDA7943" w14:textId="77777777">
      <w:pPr>
        <w:rPr>
          <w:rFonts w:eastAsia="Calibri"/>
          <w:i/>
        </w:rPr>
      </w:pPr>
    </w:p>
    <w:p w:rsidRPr="00357C8A" w:rsidR="00357C8A" w:rsidP="0089771C" w:rsidRDefault="00357C8A" w14:paraId="50CEEA06" w14:textId="77777777">
      <w:pPr>
        <w:keepNext/>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8D68DE" w:rsidR="00357C8A" w:rsidP="0089771C" w:rsidRDefault="006005CA" w14:paraId="44EC49AD" w14:textId="2BC8FC80">
      <w:pPr>
        <w:spacing w:after="200"/>
        <w:rPr>
          <w:rFonts w:eastAsia="Calibri"/>
        </w:rPr>
      </w:pPr>
      <w:r w:rsidRPr="006005CA">
        <w:rPr>
          <w:rFonts w:eastAsia="Calibri"/>
        </w:rPr>
        <w:t xml:space="preserve">FDA is the sole user of the information collected </w:t>
      </w:r>
      <w:r>
        <w:rPr>
          <w:rFonts w:eastAsia="Calibri"/>
        </w:rPr>
        <w:t>via</w:t>
      </w:r>
      <w:r w:rsidRPr="006005CA">
        <w:rPr>
          <w:rFonts w:eastAsia="Calibri"/>
        </w:rPr>
        <w:t xml:space="preserve"> </w:t>
      </w:r>
      <w:r w:rsidR="00095E7A">
        <w:rPr>
          <w:rFonts w:eastAsia="Calibri"/>
        </w:rPr>
        <w:t>f</w:t>
      </w:r>
      <w:r w:rsidRPr="006005CA">
        <w:rPr>
          <w:rFonts w:eastAsia="Calibri"/>
        </w:rPr>
        <w:t xml:space="preserve">orms FDA 3602 and FDA 3602A.  The forms also serve to help entities understand the statutory requirements they must meet to qualify as a </w:t>
      </w:r>
      <w:r w:rsidR="00233586">
        <w:rPr>
          <w:rFonts w:eastAsia="Calibri"/>
        </w:rPr>
        <w:t xml:space="preserve">MDUFA </w:t>
      </w:r>
      <w:r w:rsidRPr="006005CA">
        <w:rPr>
          <w:rFonts w:eastAsia="Calibri"/>
        </w:rPr>
        <w:t>small business.</w:t>
      </w:r>
      <w:bookmarkStart w:name="_Hlk82623228" w:id="1"/>
      <w:r w:rsidR="008D68DE">
        <w:rPr>
          <w:rFonts w:eastAsia="Calibri"/>
        </w:rPr>
        <w:t xml:space="preserve">  We use </w:t>
      </w:r>
      <w:r w:rsidRPr="006005CA">
        <w:rPr>
          <w:rFonts w:eastAsia="Calibri"/>
        </w:rPr>
        <w:t xml:space="preserve">the information submitted on </w:t>
      </w:r>
      <w:r>
        <w:rPr>
          <w:rFonts w:eastAsia="Calibri"/>
        </w:rPr>
        <w:t>f</w:t>
      </w:r>
      <w:r w:rsidRPr="006005CA">
        <w:rPr>
          <w:rFonts w:eastAsia="Calibri"/>
        </w:rPr>
        <w:t xml:space="preserve">orms FDA 3602 and FDA 3602A to </w:t>
      </w:r>
      <w:r w:rsidR="006B1C45">
        <w:rPr>
          <w:rFonts w:eastAsia="Calibri"/>
        </w:rPr>
        <w:t>determine</w:t>
      </w:r>
      <w:r w:rsidRPr="006005CA" w:rsidR="006B1C45">
        <w:rPr>
          <w:rFonts w:eastAsia="Calibri"/>
        </w:rPr>
        <w:t xml:space="preserve"> </w:t>
      </w:r>
      <w:r w:rsidRPr="006005CA">
        <w:rPr>
          <w:rFonts w:eastAsia="Calibri"/>
        </w:rPr>
        <w:t>whether the entity meets the requirements of section 738(d)(2)(A) and (e)(2)(A) of the FD&amp;C Act</w:t>
      </w:r>
      <w:bookmarkEnd w:id="1"/>
      <w:r w:rsidR="008D68DE">
        <w:rPr>
          <w:rFonts w:eastAsia="Calibri"/>
        </w:rPr>
        <w:t>.  Our</w:t>
      </w:r>
      <w:r w:rsidRPr="006005CA">
        <w:rPr>
          <w:rFonts w:eastAsia="Calibri"/>
        </w:rPr>
        <w:t xml:space="preserve"> review of </w:t>
      </w:r>
      <w:r w:rsidR="008D68DE">
        <w:rPr>
          <w:rFonts w:eastAsia="Calibri"/>
        </w:rPr>
        <w:t xml:space="preserve">the information </w:t>
      </w:r>
      <w:r w:rsidR="00FE31FD">
        <w:rPr>
          <w:rFonts w:eastAsia="Calibri"/>
        </w:rPr>
        <w:t>helps</w:t>
      </w:r>
      <w:r w:rsidRPr="006005CA" w:rsidR="00FE31FD">
        <w:rPr>
          <w:rFonts w:eastAsia="Calibri"/>
        </w:rPr>
        <w:t xml:space="preserve"> </w:t>
      </w:r>
      <w:r w:rsidRPr="006005CA">
        <w:rPr>
          <w:rFonts w:eastAsia="Calibri"/>
        </w:rPr>
        <w:t xml:space="preserve">ensure that the entity has identified all of its affiliates, partners, </w:t>
      </w:r>
      <w:r w:rsidR="00233586">
        <w:rPr>
          <w:rFonts w:eastAsia="Calibri"/>
        </w:rPr>
        <w:t>and</w:t>
      </w:r>
      <w:r w:rsidRPr="006005CA">
        <w:rPr>
          <w:rFonts w:eastAsia="Calibri"/>
        </w:rPr>
        <w:t xml:space="preserve"> parent firms, and that the total gross receipts and sales of the entity (including all affiliates, partners, </w:t>
      </w:r>
      <w:r w:rsidR="00233586">
        <w:rPr>
          <w:rFonts w:eastAsia="Calibri"/>
        </w:rPr>
        <w:t>and</w:t>
      </w:r>
      <w:r w:rsidRPr="006005CA">
        <w:rPr>
          <w:rFonts w:eastAsia="Calibri"/>
        </w:rPr>
        <w:t xml:space="preserve"> parent firms) is no more than $100 million.  If </w:t>
      </w:r>
      <w:r w:rsidRPr="006005CA">
        <w:rPr>
          <w:rFonts w:eastAsia="Calibri"/>
        </w:rPr>
        <w:lastRenderedPageBreak/>
        <w:t xml:space="preserve">the entity qualifies as a </w:t>
      </w:r>
      <w:r w:rsidR="00233586">
        <w:rPr>
          <w:rFonts w:eastAsia="Calibri"/>
        </w:rPr>
        <w:t xml:space="preserve">MDUFA </w:t>
      </w:r>
      <w:r w:rsidRPr="006005CA">
        <w:rPr>
          <w:rFonts w:eastAsia="Calibri"/>
        </w:rPr>
        <w:t>small business, FDA will inform the entity that it is eligible for reduced or waived fees for all medical device applications it submits to FDA.</w:t>
      </w:r>
    </w:p>
    <w:p w:rsidRPr="00357C8A" w:rsidR="00357C8A" w:rsidP="0089771C" w:rsidRDefault="00357C8A" w14:paraId="37D35E45"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357C8A" w:rsidR="00357C8A" w:rsidP="0089771C" w:rsidRDefault="006005CA" w14:paraId="42D45089" w14:textId="6F459B79">
      <w:pPr>
        <w:spacing w:after="200"/>
        <w:rPr>
          <w:rFonts w:eastAsia="Calibri"/>
          <w:color w:val="FF0000"/>
        </w:rPr>
      </w:pPr>
      <w:r w:rsidRPr="006005CA">
        <w:rPr>
          <w:rFonts w:eastAsia="Calibri"/>
        </w:rPr>
        <w:t>Section 738(d)(2)(B) and (e)(2)(B) of the FD&amp;C Act specifically requires an entity to submit “</w:t>
      </w:r>
      <w:r w:rsidRPr="00876D20">
        <w:rPr>
          <w:rFonts w:eastAsia="Calibri"/>
          <w:i/>
          <w:iCs/>
        </w:rPr>
        <w:t>a copy of its most recent Federal income tax return … and a copy of such returns of its affiliates, partners, and parent firms</w:t>
      </w:r>
      <w:r w:rsidRPr="006005CA">
        <w:rPr>
          <w:rFonts w:eastAsia="Calibri"/>
        </w:rPr>
        <w:t xml:space="preserve">” </w:t>
      </w:r>
      <w:r w:rsidR="009153A0">
        <w:rPr>
          <w:rFonts w:eastAsia="Calibri"/>
        </w:rPr>
        <w:t xml:space="preserve">to demonstrate it </w:t>
      </w:r>
      <w:r w:rsidRPr="006005CA">
        <w:rPr>
          <w:rFonts w:eastAsia="Calibri"/>
        </w:rPr>
        <w:t>qualifi</w:t>
      </w:r>
      <w:r w:rsidR="009153A0">
        <w:rPr>
          <w:rFonts w:eastAsia="Calibri"/>
        </w:rPr>
        <w:t>es</w:t>
      </w:r>
      <w:r w:rsidRPr="006005CA">
        <w:rPr>
          <w:rFonts w:eastAsia="Calibri"/>
        </w:rPr>
        <w:t xml:space="preserve"> as a MDUFA small business.</w:t>
      </w:r>
      <w:r w:rsidR="009153A0">
        <w:rPr>
          <w:rFonts w:eastAsia="Calibri"/>
        </w:rPr>
        <w:t xml:space="preserve">  </w:t>
      </w:r>
      <w:r w:rsidRPr="006005CA">
        <w:rPr>
          <w:rFonts w:eastAsia="Calibri"/>
        </w:rPr>
        <w:t>At this time, FDA does not collect the information electronically.</w:t>
      </w:r>
      <w:r w:rsidR="00876D20">
        <w:rPr>
          <w:rFonts w:eastAsia="Calibri"/>
        </w:rPr>
        <w:t xml:space="preserve">  </w:t>
      </w:r>
      <w:r w:rsidRPr="006005CA">
        <w:rPr>
          <w:rFonts w:eastAsia="Calibri"/>
        </w:rPr>
        <w:t>However, we are considering the feasibility of collecting the information by electronic means in the future.</w:t>
      </w:r>
    </w:p>
    <w:p w:rsidRPr="00357C8A" w:rsidR="00357C8A" w:rsidP="0089771C" w:rsidRDefault="00357C8A" w14:paraId="66227EF2"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53380B" w:rsidR="000C1260" w:rsidP="0089771C" w:rsidRDefault="0053380B" w14:paraId="546CE853" w14:textId="77777777">
      <w:pPr>
        <w:spacing w:after="200"/>
        <w:rPr>
          <w:rFonts w:eastAsia="Calibri"/>
          <w:color w:val="FF0000"/>
        </w:rPr>
      </w:pPr>
      <w:r w:rsidRPr="005C71CA">
        <w:t>We are unaware of duplicative information collection.</w:t>
      </w:r>
    </w:p>
    <w:p w:rsidRPr="00357C8A" w:rsidR="00357C8A" w:rsidP="0089771C" w:rsidRDefault="00357C8A" w14:paraId="71198CE5"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89771C" w:rsidRDefault="009153A0" w14:paraId="7C3F17BC" w14:textId="4E5D5631">
      <w:pPr>
        <w:spacing w:after="200"/>
        <w:rPr>
          <w:rFonts w:eastAsia="Calibri"/>
        </w:rPr>
      </w:pPr>
      <w:r>
        <w:rPr>
          <w:rFonts w:eastAsia="Calibri"/>
        </w:rPr>
        <w:t>No undue burden is imposed on small entities of the information collection.  Rather this information collection helps implement alternative fee schedules for entities that qualify.</w:t>
      </w:r>
    </w:p>
    <w:p w:rsidRPr="00357C8A" w:rsidR="00357C8A" w:rsidP="0089771C" w:rsidRDefault="00357C8A" w14:paraId="1B7E92E4"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0D7113" w:rsidR="000D7113" w:rsidP="0089771C" w:rsidRDefault="00CD5C47" w14:paraId="61D5F796" w14:textId="2A643D0F">
      <w:pPr>
        <w:spacing w:after="200"/>
        <w:rPr>
          <w:rFonts w:eastAsia="Calibri"/>
        </w:rPr>
      </w:pPr>
      <w:r>
        <w:rPr>
          <w:rFonts w:eastAsia="Calibri"/>
        </w:rPr>
        <w:t>The information collection schedule is consistent with statutory requirements</w:t>
      </w:r>
      <w:r w:rsidR="001F306F">
        <w:rPr>
          <w:rFonts w:eastAsia="Calibri"/>
        </w:rPr>
        <w:t xml:space="preserve">.  </w:t>
      </w:r>
      <w:r w:rsidRPr="000D7113" w:rsidR="000D7113">
        <w:rPr>
          <w:rFonts w:eastAsia="Calibri"/>
        </w:rPr>
        <w:t xml:space="preserve">Respondents </w:t>
      </w:r>
      <w:r w:rsidR="001F306F">
        <w:rPr>
          <w:rFonts w:eastAsia="Calibri"/>
        </w:rPr>
        <w:t xml:space="preserve">submit the necessary </w:t>
      </w:r>
      <w:r w:rsidRPr="000D7113" w:rsidR="000D7113">
        <w:rPr>
          <w:rFonts w:eastAsia="Calibri"/>
        </w:rPr>
        <w:t>information occasionally.</w:t>
      </w:r>
    </w:p>
    <w:p w:rsidRPr="00357C8A" w:rsidR="00357C8A" w:rsidP="0089771C" w:rsidRDefault="00357C8A" w14:paraId="4B97E9D0"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89771C" w:rsidRDefault="000D7113" w14:paraId="1DF19E7E" w14:textId="77777777">
      <w:pPr>
        <w:spacing w:after="200"/>
        <w:rPr>
          <w:rFonts w:eastAsia="Calibri"/>
        </w:rPr>
      </w:pPr>
      <w:r w:rsidRPr="000D7113">
        <w:rPr>
          <w:rFonts w:eastAsia="Calibri"/>
        </w:rPr>
        <w:t>There are no special circumstances for this collection of information.</w:t>
      </w:r>
    </w:p>
    <w:p w:rsidRPr="00357C8A" w:rsidR="00357C8A" w:rsidP="0089771C" w:rsidRDefault="00357C8A" w14:paraId="5959F7A7"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P="0089771C" w:rsidRDefault="003F6E25" w14:paraId="6B7E9E21" w14:textId="75B9ECD7">
      <w:r>
        <w:rPr>
          <w:rFonts w:eastAsia="Calibri"/>
        </w:rPr>
        <w:t>In</w:t>
      </w:r>
      <w:r w:rsidR="00792947">
        <w:rPr>
          <w:rFonts w:eastAsia="Calibri"/>
        </w:rPr>
        <w:t xml:space="preserve"> the </w:t>
      </w:r>
      <w:r w:rsidRPr="003F6E25" w:rsidR="00792947">
        <w:rPr>
          <w:rFonts w:eastAsia="Calibri"/>
          <w:iCs/>
          <w:u w:val="single"/>
        </w:rPr>
        <w:t>Federal Register</w:t>
      </w:r>
      <w:r w:rsidR="00792947">
        <w:rPr>
          <w:rFonts w:eastAsia="Calibri"/>
        </w:rPr>
        <w:t xml:space="preserve"> of </w:t>
      </w:r>
      <w:r w:rsidR="004F3A81">
        <w:rPr>
          <w:rFonts w:eastAsia="Calibri"/>
        </w:rPr>
        <w:t>December 23, 2021</w:t>
      </w:r>
      <w:r w:rsidR="009009E7">
        <w:rPr>
          <w:rFonts w:eastAsia="Calibri"/>
        </w:rPr>
        <w:t xml:space="preserve"> (</w:t>
      </w:r>
      <w:r w:rsidR="004F3A81">
        <w:rPr>
          <w:rFonts w:eastAsia="Calibri"/>
        </w:rPr>
        <w:t>86 FR 72983</w:t>
      </w:r>
      <w:r w:rsidR="009009E7">
        <w:rPr>
          <w:rFonts w:eastAsia="Calibri"/>
        </w:rPr>
        <w:t>)</w:t>
      </w:r>
      <w:r>
        <w:rPr>
          <w:rFonts w:eastAsia="Calibri"/>
        </w:rPr>
        <w:t>, we published a 60-day notice requesting comment on the information collection</w:t>
      </w:r>
      <w:r w:rsidRPr="00613228" w:rsidR="000D7113">
        <w:rPr>
          <w:rFonts w:eastAsia="Calibri"/>
        </w:rPr>
        <w:t xml:space="preserve">.  </w:t>
      </w:r>
      <w:bookmarkStart w:name="_Hlk100122222" w:id="2"/>
      <w:r w:rsidR="00997C51">
        <w:t>One comment was received</w:t>
      </w:r>
      <w:r>
        <w:t xml:space="preserve"> but did not </w:t>
      </w:r>
      <w:r w:rsidR="00997C51">
        <w:t>respond to the functional elements solicited in our 60-day notice or suggest a revision to our burden estimate.</w:t>
      </w:r>
      <w:bookmarkEnd w:id="2"/>
    </w:p>
    <w:p w:rsidRPr="00366428" w:rsidR="0075027F" w:rsidP="0089771C" w:rsidRDefault="0075027F" w14:paraId="78BFEA1E" w14:textId="77777777">
      <w:pPr>
        <w:rPr>
          <w:szCs w:val="20"/>
        </w:rPr>
      </w:pPr>
    </w:p>
    <w:p w:rsidRPr="00357C8A" w:rsidR="00357C8A" w:rsidP="0089771C" w:rsidRDefault="00357C8A" w14:paraId="7385375F"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357C8A" w:rsidR="00357C8A" w:rsidP="0089771C" w:rsidRDefault="00792947" w14:paraId="58AA1A31" w14:textId="7699CE19">
      <w:pPr>
        <w:spacing w:after="200"/>
        <w:rPr>
          <w:rFonts w:eastAsia="Calibri"/>
          <w:color w:val="FF0000"/>
        </w:rPr>
      </w:pPr>
      <w:r w:rsidRPr="002074FE">
        <w:rPr>
          <w:rFonts w:eastAsia="Calibri"/>
        </w:rPr>
        <w:t>There are no incentives, payments</w:t>
      </w:r>
      <w:r w:rsidR="00824139">
        <w:rPr>
          <w:rFonts w:eastAsia="Calibri"/>
        </w:rPr>
        <w:t>,</w:t>
      </w:r>
      <w:r w:rsidRPr="002074FE">
        <w:rPr>
          <w:rFonts w:eastAsia="Calibri"/>
        </w:rPr>
        <w:t xml:space="preserve"> or gifts associated with this information collection.</w:t>
      </w:r>
    </w:p>
    <w:p w:rsidRPr="00357C8A" w:rsidR="00357C8A" w:rsidP="0089771C" w:rsidRDefault="00357C8A" w14:paraId="10BBAC2F"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885B77" w:rsidP="0089771C" w:rsidRDefault="00885B77" w14:paraId="06331F92" w14:textId="13FB9E4F">
      <w:r w:rsidRPr="00C33858">
        <w:t xml:space="preserve">In preparing this </w:t>
      </w:r>
      <w:r w:rsidR="0075027F">
        <w:t>s</w:t>
      </w:r>
      <w:r w:rsidRPr="00C33858">
        <w:t xml:space="preserve">upporting </w:t>
      </w:r>
      <w:r w:rsidR="0075027F">
        <w:t>s</w:t>
      </w:r>
      <w:r w:rsidRPr="00C33858">
        <w:t xml:space="preserve">tatement, </w:t>
      </w:r>
      <w:r>
        <w:t xml:space="preserve">we </w:t>
      </w:r>
      <w:r w:rsidRPr="00C33858">
        <w:t xml:space="preserve">consulted </w:t>
      </w:r>
      <w:r w:rsidR="0075027F">
        <w:t xml:space="preserve">FDA’s </w:t>
      </w:r>
      <w:r w:rsidRPr="00C33858">
        <w:t xml:space="preserve">Privacy Office to ensure appropriate </w:t>
      </w:r>
      <w:r>
        <w:t xml:space="preserve">identification and </w:t>
      </w:r>
      <w:r w:rsidRPr="00C33858">
        <w:t>handling of information collected.</w:t>
      </w:r>
      <w:r w:rsidR="0075027F">
        <w:t xml:space="preserve">  Although the </w:t>
      </w:r>
      <w:r>
        <w:t>ICR collects personally identifiable information (PII)</w:t>
      </w:r>
      <w:r w:rsidR="0075027F">
        <w:t xml:space="preserve">, the </w:t>
      </w:r>
      <w:r w:rsidRPr="00D66147">
        <w:t>PII is collected in the context of the subject individuals’ professional capacity and FDA-related perform</w:t>
      </w:r>
      <w:r w:rsidR="0075027F">
        <w:t>ed</w:t>
      </w:r>
      <w:r w:rsidRPr="00D66147">
        <w:t xml:space="preserve"> for their employer (e.g., point of contact at a regulated entity). </w:t>
      </w:r>
      <w:r>
        <w:t xml:space="preserve"> The PII submitted via Form FDA 3602 (MDUFA Small Business Certification Request) is taxpayer I.D., name, address, telephone number, email address, and title.</w:t>
      </w:r>
      <w:r w:rsidR="00BA475D">
        <w:t xml:space="preserve">  </w:t>
      </w:r>
      <w:r>
        <w:t xml:space="preserve">The PII </w:t>
      </w:r>
      <w:r>
        <w:lastRenderedPageBreak/>
        <w:t>submitted via Form FDA 3602A (MDUFA Foreign Small Business Certification Requests) is taxpayer I.D., name, address, telephone number, email address, and title.</w:t>
      </w:r>
      <w:r w:rsidR="00BA475D">
        <w:t xml:space="preserve">  </w:t>
      </w:r>
      <w:r>
        <w:t xml:space="preserve">Information collected via Form 3602 and 3602A is maintained in a Privacy Act system of records as described in </w:t>
      </w:r>
      <w:hyperlink w:history="1" r:id="rId10">
        <w:r w:rsidRPr="005C72B6">
          <w:rPr>
            <w:rStyle w:val="Hyperlink"/>
          </w:rPr>
          <w:t>HHS/FDA System of Records Notice (SORN) 09-10-0021</w:t>
        </w:r>
      </w:hyperlink>
      <w:r>
        <w:t xml:space="preserve"> for FDA’s User Fee System. Individuals completing Form 3602 and 3602A will complete it via the webpage where a notice is displayed.  Through appropriate form and webpage design, </w:t>
      </w:r>
      <w:r w:rsidRPr="00D66147">
        <w:t xml:space="preserve">FDA </w:t>
      </w:r>
      <w:r>
        <w:t xml:space="preserve">limited submission fields and </w:t>
      </w:r>
      <w:r w:rsidRPr="00D66147">
        <w:t>minimized the PII collected to protect the privacy of the individuals.</w:t>
      </w:r>
    </w:p>
    <w:p w:rsidRPr="00CC506D" w:rsidR="00885B77" w:rsidP="0089771C" w:rsidRDefault="00885B77" w14:paraId="724EE7B2" w14:textId="77777777">
      <w:pPr>
        <w:spacing w:after="200"/>
        <w:rPr>
          <w:rFonts w:eastAsia="Calibri"/>
        </w:rPr>
      </w:pPr>
    </w:p>
    <w:p w:rsidR="00357C8A" w:rsidP="0089771C" w:rsidRDefault="00885B77" w14:paraId="4240AF2B" w14:textId="0535124A">
      <w:pPr>
        <w:rPr>
          <w:rFonts w:eastAsia="Calibri"/>
          <w:color w:val="FF0000"/>
        </w:rPr>
      </w:pPr>
      <w:r w:rsidRPr="00C61647">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Pr="001075D3" w:rsidR="001075D3" w:rsidP="0089771C" w:rsidRDefault="001075D3" w14:paraId="468CD4DF" w14:textId="77777777">
      <w:pPr>
        <w:ind w:left="720"/>
      </w:pPr>
    </w:p>
    <w:p w:rsidRPr="00357C8A" w:rsidR="00357C8A" w:rsidP="0089771C" w:rsidRDefault="00357C8A" w14:paraId="23CF3718" w14:textId="77777777">
      <w:pPr>
        <w:numPr>
          <w:ilvl w:val="0"/>
          <w:numId w:val="6"/>
        </w:numPr>
        <w:spacing w:after="200" w:line="276" w:lineRule="auto"/>
        <w:rPr>
          <w:rFonts w:eastAsia="Calibri"/>
        </w:rPr>
      </w:pPr>
      <w:r w:rsidRPr="00357C8A">
        <w:rPr>
          <w:rFonts w:eastAsia="Calibri"/>
          <w:u w:val="single"/>
        </w:rPr>
        <w:t>Justification for Sensitive Questions</w:t>
      </w:r>
    </w:p>
    <w:p w:rsidRPr="00357C8A" w:rsidR="00357C8A" w:rsidP="0089771C" w:rsidRDefault="00357C8A" w14:paraId="5F816384" w14:textId="77777777">
      <w:pPr>
        <w:spacing w:after="200"/>
        <w:rPr>
          <w:rFonts w:eastAsia="Calibri"/>
          <w:color w:val="FF0000"/>
        </w:rPr>
      </w:pPr>
      <w:r w:rsidRPr="00B204EE">
        <w:rPr>
          <w:rFonts w:eastAsia="Calibri"/>
          <w:iCs/>
        </w:rPr>
        <w:t>The collection of information does not involve sensitive questions.</w:t>
      </w:r>
      <w:r w:rsidRPr="002A47D2">
        <w:rPr>
          <w:rFonts w:eastAsia="Calibri"/>
          <w:color w:val="FF0000"/>
        </w:rPr>
        <w:t xml:space="preserve"> </w:t>
      </w:r>
    </w:p>
    <w:p w:rsidRPr="00357C8A" w:rsidR="00357C8A" w:rsidP="0089771C" w:rsidRDefault="00357C8A" w14:paraId="01D3A9F4"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DF31D1" w:rsidR="00B204EE" w:rsidP="0089771C" w:rsidRDefault="00357C8A" w14:paraId="1542A501" w14:textId="5CB9A0C6">
      <w:pPr>
        <w:spacing w:after="200"/>
        <w:ind w:left="360"/>
        <w:rPr>
          <w:rFonts w:eastAsia="Calibri"/>
          <w:i/>
          <w:iCs/>
        </w:rPr>
      </w:pPr>
      <w:r w:rsidRPr="00DF31D1">
        <w:rPr>
          <w:rFonts w:eastAsia="Calibri"/>
          <w:i/>
          <w:iCs/>
        </w:rPr>
        <w:t>12a.  Annualized Hour Burden Estimate</w:t>
      </w:r>
    </w:p>
    <w:tbl>
      <w:tblPr>
        <w:tblW w:w="5000" w:type="pct"/>
        <w:jc w:val="center"/>
        <w:tblLayout w:type="fixed"/>
        <w:tblCellMar>
          <w:left w:w="110" w:type="dxa"/>
          <w:right w:w="110" w:type="dxa"/>
        </w:tblCellMar>
        <w:tblLook w:val="0000" w:firstRow="0" w:lastRow="0" w:firstColumn="0" w:lastColumn="0" w:noHBand="0" w:noVBand="0"/>
      </w:tblPr>
      <w:tblGrid>
        <w:gridCol w:w="2916"/>
        <w:gridCol w:w="1233"/>
        <w:gridCol w:w="1671"/>
        <w:gridCol w:w="1321"/>
        <w:gridCol w:w="1537"/>
        <w:gridCol w:w="826"/>
      </w:tblGrid>
      <w:tr w:rsidRPr="00B204EE" w:rsidR="00B204EE" w:rsidTr="00B204EE" w14:paraId="595A52F2" w14:textId="77777777">
        <w:trPr>
          <w:cantSplit/>
          <w:tblHeader/>
          <w:jc w:val="center"/>
        </w:trPr>
        <w:tc>
          <w:tcPr>
            <w:tcW w:w="9724" w:type="dxa"/>
            <w:gridSpan w:val="6"/>
            <w:tcBorders>
              <w:bottom w:val="single" w:color="FFFFFF" w:sz="6" w:space="0"/>
            </w:tcBorders>
          </w:tcPr>
          <w:p w:rsidRPr="00B204EE" w:rsidR="00B204EE" w:rsidP="0089771C" w:rsidRDefault="00B204EE" w14:paraId="38C0D93A" w14:textId="77777777">
            <w:pPr>
              <w:keepNext/>
              <w:jc w:val="center"/>
              <w:rPr>
                <w:sz w:val="20"/>
                <w:szCs w:val="20"/>
              </w:rPr>
            </w:pPr>
            <w:bookmarkStart w:name="_Hlk528061750" w:id="3"/>
            <w:r w:rsidRPr="00B204EE">
              <w:rPr>
                <w:sz w:val="20"/>
                <w:szCs w:val="20"/>
              </w:rPr>
              <w:t>Table 1.--Estimated Annual Reporting Burden</w:t>
            </w:r>
          </w:p>
        </w:tc>
      </w:tr>
      <w:tr w:rsidRPr="00B204EE" w:rsidR="00B204EE" w:rsidTr="00B204EE" w14:paraId="7A67EA9A" w14:textId="77777777">
        <w:trPr>
          <w:cantSplit/>
          <w:tblHeader/>
          <w:jc w:val="center"/>
        </w:trPr>
        <w:tc>
          <w:tcPr>
            <w:tcW w:w="2990" w:type="dxa"/>
            <w:tcBorders>
              <w:top w:val="single" w:color="000000" w:sz="6" w:space="0"/>
              <w:left w:val="single" w:color="000000" w:sz="6" w:space="0"/>
              <w:bottom w:val="single" w:color="FFFFFF" w:sz="6" w:space="0"/>
              <w:right w:val="single" w:color="FFFFFF" w:sz="6" w:space="0"/>
            </w:tcBorders>
          </w:tcPr>
          <w:p w:rsidRPr="00B204EE" w:rsidR="00B204EE" w:rsidP="0089771C" w:rsidRDefault="00B204EE" w14:paraId="792CF5B0" w14:textId="77777777">
            <w:pPr>
              <w:keepNext/>
              <w:jc w:val="center"/>
              <w:rPr>
                <w:sz w:val="20"/>
                <w:szCs w:val="20"/>
              </w:rPr>
            </w:pPr>
            <w:r w:rsidRPr="00B204EE">
              <w:rPr>
                <w:sz w:val="20"/>
                <w:szCs w:val="20"/>
              </w:rPr>
              <w:t>FDA Form No.</w:t>
            </w:r>
          </w:p>
        </w:tc>
        <w:tc>
          <w:tcPr>
            <w:tcW w:w="1260" w:type="dxa"/>
            <w:tcBorders>
              <w:top w:val="single" w:color="000000" w:sz="6" w:space="0"/>
              <w:left w:val="single" w:color="000000" w:sz="6" w:space="0"/>
              <w:bottom w:val="single" w:color="FFFFFF" w:sz="6" w:space="0"/>
              <w:right w:val="single" w:color="FFFFFF" w:sz="6" w:space="0"/>
            </w:tcBorders>
          </w:tcPr>
          <w:p w:rsidRPr="00B204EE" w:rsidR="00B204EE" w:rsidP="0089771C" w:rsidRDefault="00B204EE" w14:paraId="4CDA50BB" w14:textId="77777777">
            <w:pPr>
              <w:keepNext/>
              <w:jc w:val="center"/>
              <w:rPr>
                <w:sz w:val="20"/>
                <w:szCs w:val="20"/>
              </w:rPr>
            </w:pPr>
            <w:r w:rsidRPr="00B204EE">
              <w:rPr>
                <w:sz w:val="20"/>
                <w:szCs w:val="20"/>
              </w:rPr>
              <w:t>No. of Respondents</w:t>
            </w:r>
          </w:p>
        </w:tc>
        <w:tc>
          <w:tcPr>
            <w:tcW w:w="1710" w:type="dxa"/>
            <w:tcBorders>
              <w:top w:val="single" w:color="000000" w:sz="6" w:space="0"/>
              <w:left w:val="single" w:color="000000" w:sz="6" w:space="0"/>
              <w:bottom w:val="single" w:color="FFFFFF" w:sz="6" w:space="0"/>
              <w:right w:val="single" w:color="FFFFFF" w:sz="6" w:space="0"/>
            </w:tcBorders>
          </w:tcPr>
          <w:p w:rsidRPr="00B204EE" w:rsidR="00B204EE" w:rsidP="0089771C" w:rsidRDefault="00B204EE" w14:paraId="6E57F012" w14:textId="77777777">
            <w:pPr>
              <w:keepNext/>
              <w:jc w:val="center"/>
              <w:rPr>
                <w:sz w:val="20"/>
                <w:szCs w:val="20"/>
              </w:rPr>
            </w:pPr>
            <w:r w:rsidRPr="00B204EE">
              <w:rPr>
                <w:sz w:val="20"/>
                <w:szCs w:val="20"/>
              </w:rPr>
              <w:t>No. of Responses per Respondent</w:t>
            </w:r>
          </w:p>
        </w:tc>
        <w:tc>
          <w:tcPr>
            <w:tcW w:w="1350" w:type="dxa"/>
            <w:tcBorders>
              <w:top w:val="single" w:color="000000" w:sz="6" w:space="0"/>
              <w:left w:val="single" w:color="000000" w:sz="6" w:space="0"/>
              <w:bottom w:val="single" w:color="FFFFFF" w:sz="6" w:space="0"/>
              <w:right w:val="single" w:color="FFFFFF" w:sz="6" w:space="0"/>
            </w:tcBorders>
          </w:tcPr>
          <w:p w:rsidRPr="00B204EE" w:rsidR="00B204EE" w:rsidP="0089771C" w:rsidRDefault="00B204EE" w14:paraId="3EA1D016" w14:textId="77777777">
            <w:pPr>
              <w:keepNext/>
              <w:jc w:val="center"/>
              <w:rPr>
                <w:sz w:val="20"/>
                <w:szCs w:val="20"/>
              </w:rPr>
            </w:pPr>
            <w:r w:rsidRPr="00B204EE">
              <w:rPr>
                <w:sz w:val="20"/>
                <w:szCs w:val="20"/>
              </w:rPr>
              <w:t>Total Annual Responses</w:t>
            </w:r>
          </w:p>
        </w:tc>
        <w:tc>
          <w:tcPr>
            <w:tcW w:w="1572" w:type="dxa"/>
            <w:tcBorders>
              <w:top w:val="single" w:color="000000" w:sz="6" w:space="0"/>
              <w:left w:val="single" w:color="000000" w:sz="6" w:space="0"/>
              <w:bottom w:val="single" w:color="FFFFFF" w:sz="6" w:space="0"/>
              <w:right w:val="single" w:color="FFFFFF" w:sz="6" w:space="0"/>
            </w:tcBorders>
          </w:tcPr>
          <w:p w:rsidRPr="00B204EE" w:rsidR="00B204EE" w:rsidP="0089771C" w:rsidRDefault="00B204EE" w14:paraId="60B8A50C" w14:textId="77777777">
            <w:pPr>
              <w:keepNext/>
              <w:jc w:val="center"/>
              <w:rPr>
                <w:sz w:val="20"/>
                <w:szCs w:val="20"/>
              </w:rPr>
            </w:pPr>
            <w:r w:rsidRPr="00B204EE">
              <w:rPr>
                <w:sz w:val="20"/>
                <w:szCs w:val="20"/>
              </w:rPr>
              <w:t>Average Burden per Response</w:t>
            </w:r>
          </w:p>
        </w:tc>
        <w:tc>
          <w:tcPr>
            <w:tcW w:w="842" w:type="dxa"/>
            <w:tcBorders>
              <w:top w:val="single" w:color="000000" w:sz="6" w:space="0"/>
              <w:left w:val="single" w:color="000000" w:sz="6" w:space="0"/>
              <w:bottom w:val="single" w:color="FFFFFF" w:sz="6" w:space="0"/>
              <w:right w:val="single" w:color="000000" w:sz="6" w:space="0"/>
            </w:tcBorders>
          </w:tcPr>
          <w:p w:rsidRPr="00B204EE" w:rsidR="00B204EE" w:rsidP="0089771C" w:rsidRDefault="00B204EE" w14:paraId="26A09B06" w14:textId="77777777">
            <w:pPr>
              <w:keepNext/>
              <w:jc w:val="center"/>
              <w:rPr>
                <w:sz w:val="20"/>
                <w:szCs w:val="20"/>
              </w:rPr>
            </w:pPr>
            <w:r w:rsidRPr="00B204EE">
              <w:rPr>
                <w:sz w:val="20"/>
                <w:szCs w:val="20"/>
              </w:rPr>
              <w:t>Total Hours</w:t>
            </w:r>
          </w:p>
        </w:tc>
      </w:tr>
      <w:tr w:rsidRPr="00B204EE" w:rsidR="00B204EE" w:rsidTr="00B204EE" w14:paraId="351FE6D4" w14:textId="77777777">
        <w:trPr>
          <w:cantSplit/>
          <w:jc w:val="center"/>
        </w:trPr>
        <w:tc>
          <w:tcPr>
            <w:tcW w:w="2990" w:type="dxa"/>
            <w:tcBorders>
              <w:top w:val="single" w:color="000000" w:sz="6" w:space="0"/>
              <w:left w:val="single" w:color="000000" w:sz="6" w:space="0"/>
              <w:bottom w:val="single" w:color="FFFFFF" w:sz="6" w:space="0"/>
              <w:right w:val="single" w:color="FFFFFF" w:sz="6" w:space="0"/>
            </w:tcBorders>
          </w:tcPr>
          <w:p w:rsidRPr="00B204EE" w:rsidR="00B204EE" w:rsidP="0089771C" w:rsidRDefault="00B204EE" w14:paraId="7FA00356" w14:textId="77777777">
            <w:pPr>
              <w:keepNext/>
              <w:rPr>
                <w:sz w:val="20"/>
                <w:szCs w:val="20"/>
              </w:rPr>
            </w:pPr>
            <w:r w:rsidRPr="00B204EE">
              <w:rPr>
                <w:sz w:val="20"/>
                <w:szCs w:val="20"/>
              </w:rPr>
              <w:t>FDA 3602-- MDUFA Small Business Certification Request For a Business Headquartered in the United States</w:t>
            </w:r>
          </w:p>
        </w:tc>
        <w:tc>
          <w:tcPr>
            <w:tcW w:w="1260" w:type="dxa"/>
            <w:tcBorders>
              <w:top w:val="single" w:color="000000" w:sz="6" w:space="0"/>
              <w:left w:val="single" w:color="000000" w:sz="6" w:space="0"/>
              <w:bottom w:val="single" w:color="FFFFFF" w:sz="6" w:space="0"/>
              <w:right w:val="single" w:color="FFFFFF" w:sz="6" w:space="0"/>
            </w:tcBorders>
          </w:tcPr>
          <w:p w:rsidRPr="00B204EE" w:rsidR="00B204EE" w:rsidP="0089771C" w:rsidRDefault="00480348" w14:paraId="60302C3A" w14:textId="6AD1F321">
            <w:pPr>
              <w:pStyle w:val="Footer"/>
              <w:keepNext/>
              <w:tabs>
                <w:tab w:val="clear" w:pos="4320"/>
                <w:tab w:val="clear" w:pos="8640"/>
              </w:tabs>
              <w:jc w:val="right"/>
              <w:rPr>
                <w:sz w:val="20"/>
                <w:szCs w:val="20"/>
              </w:rPr>
            </w:pPr>
            <w:r>
              <w:rPr>
                <w:sz w:val="20"/>
                <w:szCs w:val="20"/>
              </w:rPr>
              <w:t>2</w:t>
            </w:r>
            <w:r w:rsidR="00B4787A">
              <w:rPr>
                <w:sz w:val="20"/>
                <w:szCs w:val="20"/>
              </w:rPr>
              <w:t>,</w:t>
            </w:r>
            <w:r>
              <w:rPr>
                <w:sz w:val="20"/>
                <w:szCs w:val="20"/>
              </w:rPr>
              <w:t>500</w:t>
            </w:r>
          </w:p>
        </w:tc>
        <w:tc>
          <w:tcPr>
            <w:tcW w:w="1710" w:type="dxa"/>
            <w:tcBorders>
              <w:top w:val="single" w:color="000000" w:sz="6" w:space="0"/>
              <w:left w:val="single" w:color="000000" w:sz="6" w:space="0"/>
              <w:bottom w:val="single" w:color="FFFFFF" w:sz="6" w:space="0"/>
              <w:right w:val="single" w:color="FFFFFF" w:sz="6" w:space="0"/>
            </w:tcBorders>
          </w:tcPr>
          <w:p w:rsidRPr="00B204EE" w:rsidR="00B204EE" w:rsidP="0089771C" w:rsidRDefault="00B204EE" w14:paraId="331D9752" w14:textId="77777777">
            <w:pPr>
              <w:keepNext/>
              <w:jc w:val="right"/>
              <w:rPr>
                <w:sz w:val="20"/>
                <w:szCs w:val="20"/>
              </w:rPr>
            </w:pPr>
            <w:r w:rsidRPr="00B204EE">
              <w:rPr>
                <w:sz w:val="20"/>
                <w:szCs w:val="20"/>
              </w:rPr>
              <w:t>1</w:t>
            </w:r>
          </w:p>
        </w:tc>
        <w:tc>
          <w:tcPr>
            <w:tcW w:w="1350" w:type="dxa"/>
            <w:tcBorders>
              <w:top w:val="single" w:color="000000" w:sz="6" w:space="0"/>
              <w:left w:val="single" w:color="000000" w:sz="6" w:space="0"/>
              <w:bottom w:val="single" w:color="FFFFFF" w:sz="6" w:space="0"/>
              <w:right w:val="single" w:color="FFFFFF" w:sz="6" w:space="0"/>
            </w:tcBorders>
          </w:tcPr>
          <w:p w:rsidRPr="00B204EE" w:rsidR="00B204EE" w:rsidP="0089771C" w:rsidRDefault="00480348" w14:paraId="4FB114DF" w14:textId="45A2189E">
            <w:pPr>
              <w:pStyle w:val="Footer"/>
              <w:keepNext/>
              <w:tabs>
                <w:tab w:val="clear" w:pos="4320"/>
                <w:tab w:val="clear" w:pos="8640"/>
              </w:tabs>
              <w:jc w:val="right"/>
              <w:rPr>
                <w:sz w:val="20"/>
                <w:szCs w:val="20"/>
              </w:rPr>
            </w:pPr>
            <w:r>
              <w:rPr>
                <w:sz w:val="20"/>
                <w:szCs w:val="20"/>
              </w:rPr>
              <w:t>2</w:t>
            </w:r>
            <w:r w:rsidR="00B4787A">
              <w:rPr>
                <w:sz w:val="20"/>
                <w:szCs w:val="20"/>
              </w:rPr>
              <w:t>,</w:t>
            </w:r>
            <w:r>
              <w:rPr>
                <w:sz w:val="20"/>
                <w:szCs w:val="20"/>
              </w:rPr>
              <w:t>500</w:t>
            </w:r>
          </w:p>
        </w:tc>
        <w:tc>
          <w:tcPr>
            <w:tcW w:w="1572" w:type="dxa"/>
            <w:tcBorders>
              <w:top w:val="single" w:color="000000" w:sz="6" w:space="0"/>
              <w:left w:val="single" w:color="000000" w:sz="6" w:space="0"/>
              <w:bottom w:val="single" w:color="FFFFFF" w:sz="6" w:space="0"/>
              <w:right w:val="single" w:color="FFFFFF" w:sz="6" w:space="0"/>
            </w:tcBorders>
          </w:tcPr>
          <w:p w:rsidRPr="00B204EE" w:rsidR="00B204EE" w:rsidP="0089771C" w:rsidRDefault="00B204EE" w14:paraId="577A828E" w14:textId="20847DBA">
            <w:pPr>
              <w:pStyle w:val="Footer"/>
              <w:keepNext/>
              <w:tabs>
                <w:tab w:val="clear" w:pos="4320"/>
                <w:tab w:val="clear" w:pos="8640"/>
              </w:tabs>
              <w:jc w:val="right"/>
              <w:rPr>
                <w:sz w:val="20"/>
                <w:szCs w:val="20"/>
              </w:rPr>
            </w:pPr>
            <w:r w:rsidRPr="00B204EE">
              <w:rPr>
                <w:sz w:val="20"/>
                <w:szCs w:val="20"/>
              </w:rPr>
              <w:t>1</w:t>
            </w:r>
          </w:p>
        </w:tc>
        <w:tc>
          <w:tcPr>
            <w:tcW w:w="842" w:type="dxa"/>
            <w:tcBorders>
              <w:top w:val="single" w:color="000000" w:sz="6" w:space="0"/>
              <w:left w:val="single" w:color="000000" w:sz="6" w:space="0"/>
              <w:bottom w:val="single" w:color="FFFFFF" w:sz="6" w:space="0"/>
              <w:right w:val="single" w:color="000000" w:sz="6" w:space="0"/>
            </w:tcBorders>
          </w:tcPr>
          <w:p w:rsidRPr="00B204EE" w:rsidR="00B204EE" w:rsidP="0089771C" w:rsidRDefault="008F2616" w14:paraId="11EF6FBC" w14:textId="22F1BDE1">
            <w:pPr>
              <w:pStyle w:val="Footer"/>
              <w:keepNext/>
              <w:tabs>
                <w:tab w:val="clear" w:pos="4320"/>
                <w:tab w:val="clear" w:pos="8640"/>
              </w:tabs>
              <w:jc w:val="right"/>
              <w:rPr>
                <w:sz w:val="20"/>
                <w:szCs w:val="20"/>
              </w:rPr>
            </w:pPr>
            <w:r>
              <w:rPr>
                <w:sz w:val="20"/>
                <w:szCs w:val="20"/>
              </w:rPr>
              <w:t>2</w:t>
            </w:r>
            <w:r w:rsidRPr="00B204EE" w:rsidR="00B204EE">
              <w:rPr>
                <w:sz w:val="20"/>
                <w:szCs w:val="20"/>
              </w:rPr>
              <w:t>,</w:t>
            </w:r>
            <w:r>
              <w:rPr>
                <w:sz w:val="20"/>
                <w:szCs w:val="20"/>
              </w:rPr>
              <w:t>5</w:t>
            </w:r>
            <w:r w:rsidRPr="00B204EE" w:rsidR="00B204EE">
              <w:rPr>
                <w:sz w:val="20"/>
                <w:szCs w:val="20"/>
              </w:rPr>
              <w:t>00</w:t>
            </w:r>
          </w:p>
          <w:p w:rsidRPr="00B204EE" w:rsidR="00B204EE" w:rsidP="0089771C" w:rsidRDefault="00B204EE" w14:paraId="299E3339" w14:textId="77777777">
            <w:pPr>
              <w:pStyle w:val="Footer"/>
              <w:keepNext/>
              <w:tabs>
                <w:tab w:val="clear" w:pos="4320"/>
                <w:tab w:val="clear" w:pos="8640"/>
              </w:tabs>
              <w:jc w:val="right"/>
              <w:rPr>
                <w:sz w:val="20"/>
                <w:szCs w:val="20"/>
              </w:rPr>
            </w:pPr>
          </w:p>
        </w:tc>
      </w:tr>
      <w:tr w:rsidRPr="00B204EE" w:rsidR="00B204EE" w:rsidTr="00B204EE" w14:paraId="7BE268FD" w14:textId="77777777">
        <w:trPr>
          <w:cantSplit/>
          <w:jc w:val="center"/>
        </w:trPr>
        <w:tc>
          <w:tcPr>
            <w:tcW w:w="2990" w:type="dxa"/>
            <w:tcBorders>
              <w:top w:val="single" w:color="000000" w:sz="6" w:space="0"/>
              <w:left w:val="single" w:color="000000" w:sz="6" w:space="0"/>
              <w:bottom w:val="single" w:color="FFFFFF" w:sz="6" w:space="0"/>
              <w:right w:val="single" w:color="FFFFFF" w:sz="6" w:space="0"/>
            </w:tcBorders>
          </w:tcPr>
          <w:p w:rsidRPr="00B204EE" w:rsidR="00B204EE" w:rsidP="0089771C" w:rsidRDefault="00B204EE" w14:paraId="23E713AE" w14:textId="77777777">
            <w:pPr>
              <w:keepNext/>
              <w:rPr>
                <w:sz w:val="20"/>
                <w:szCs w:val="20"/>
              </w:rPr>
            </w:pPr>
            <w:r w:rsidRPr="00B204EE">
              <w:rPr>
                <w:sz w:val="20"/>
                <w:szCs w:val="20"/>
              </w:rPr>
              <w:t>FDA 3602A--MDUFA Foreign Small Business Certification Request For a Business Headquartered Outside the United States</w:t>
            </w:r>
          </w:p>
        </w:tc>
        <w:tc>
          <w:tcPr>
            <w:tcW w:w="1260" w:type="dxa"/>
            <w:tcBorders>
              <w:top w:val="single" w:color="000000" w:sz="6" w:space="0"/>
              <w:left w:val="single" w:color="000000" w:sz="6" w:space="0"/>
              <w:bottom w:val="single" w:color="FFFFFF" w:sz="6" w:space="0"/>
              <w:right w:val="single" w:color="FFFFFF" w:sz="6" w:space="0"/>
            </w:tcBorders>
          </w:tcPr>
          <w:p w:rsidRPr="00B204EE" w:rsidR="00B204EE" w:rsidP="0089771C" w:rsidRDefault="00B204EE" w14:paraId="72EACAAE" w14:textId="77777777">
            <w:pPr>
              <w:pStyle w:val="Footer"/>
              <w:keepNext/>
              <w:tabs>
                <w:tab w:val="clear" w:pos="4320"/>
                <w:tab w:val="clear" w:pos="8640"/>
              </w:tabs>
              <w:jc w:val="right"/>
              <w:rPr>
                <w:sz w:val="20"/>
                <w:szCs w:val="20"/>
              </w:rPr>
            </w:pPr>
            <w:r w:rsidRPr="00B204EE">
              <w:rPr>
                <w:sz w:val="20"/>
                <w:szCs w:val="20"/>
              </w:rPr>
              <w:t>2,000</w:t>
            </w:r>
          </w:p>
        </w:tc>
        <w:tc>
          <w:tcPr>
            <w:tcW w:w="1710" w:type="dxa"/>
            <w:tcBorders>
              <w:top w:val="single" w:color="000000" w:sz="6" w:space="0"/>
              <w:left w:val="single" w:color="000000" w:sz="6" w:space="0"/>
              <w:bottom w:val="single" w:color="FFFFFF" w:sz="6" w:space="0"/>
              <w:right w:val="single" w:color="FFFFFF" w:sz="6" w:space="0"/>
            </w:tcBorders>
          </w:tcPr>
          <w:p w:rsidRPr="00B204EE" w:rsidR="00B204EE" w:rsidP="0089771C" w:rsidRDefault="00B204EE" w14:paraId="346E7890" w14:textId="77777777">
            <w:pPr>
              <w:pStyle w:val="Footer"/>
              <w:keepNext/>
              <w:tabs>
                <w:tab w:val="clear" w:pos="4320"/>
                <w:tab w:val="clear" w:pos="8640"/>
              </w:tabs>
              <w:jc w:val="right"/>
              <w:rPr>
                <w:sz w:val="20"/>
                <w:szCs w:val="20"/>
              </w:rPr>
            </w:pPr>
            <w:r w:rsidRPr="00B204EE">
              <w:rPr>
                <w:sz w:val="20"/>
                <w:szCs w:val="20"/>
              </w:rPr>
              <w:t>1</w:t>
            </w:r>
          </w:p>
        </w:tc>
        <w:tc>
          <w:tcPr>
            <w:tcW w:w="1350" w:type="dxa"/>
            <w:tcBorders>
              <w:top w:val="single" w:color="000000" w:sz="6" w:space="0"/>
              <w:left w:val="single" w:color="000000" w:sz="6" w:space="0"/>
              <w:bottom w:val="single" w:color="FFFFFF" w:sz="6" w:space="0"/>
              <w:right w:val="single" w:color="FFFFFF" w:sz="6" w:space="0"/>
            </w:tcBorders>
          </w:tcPr>
          <w:p w:rsidRPr="00B204EE" w:rsidR="00B204EE" w:rsidP="0089771C" w:rsidRDefault="00B204EE" w14:paraId="0D13EFD4" w14:textId="77777777">
            <w:pPr>
              <w:pStyle w:val="Footer"/>
              <w:keepNext/>
              <w:tabs>
                <w:tab w:val="clear" w:pos="4320"/>
                <w:tab w:val="clear" w:pos="8640"/>
              </w:tabs>
              <w:jc w:val="right"/>
              <w:rPr>
                <w:sz w:val="20"/>
                <w:szCs w:val="20"/>
              </w:rPr>
            </w:pPr>
            <w:r w:rsidRPr="00B204EE">
              <w:rPr>
                <w:sz w:val="20"/>
                <w:szCs w:val="20"/>
              </w:rPr>
              <w:t>2,000</w:t>
            </w:r>
          </w:p>
          <w:p w:rsidRPr="00B204EE" w:rsidR="00B204EE" w:rsidP="0089771C" w:rsidRDefault="00B204EE" w14:paraId="50E43E61" w14:textId="77777777">
            <w:pPr>
              <w:pStyle w:val="Footer"/>
              <w:keepNext/>
              <w:tabs>
                <w:tab w:val="clear" w:pos="4320"/>
                <w:tab w:val="clear" w:pos="8640"/>
              </w:tabs>
              <w:jc w:val="right"/>
              <w:rPr>
                <w:sz w:val="20"/>
                <w:szCs w:val="20"/>
              </w:rPr>
            </w:pPr>
          </w:p>
        </w:tc>
        <w:tc>
          <w:tcPr>
            <w:tcW w:w="1572" w:type="dxa"/>
            <w:tcBorders>
              <w:top w:val="single" w:color="000000" w:sz="6" w:space="0"/>
              <w:left w:val="single" w:color="000000" w:sz="6" w:space="0"/>
              <w:bottom w:val="single" w:color="FFFFFF" w:sz="6" w:space="0"/>
              <w:right w:val="single" w:color="FFFFFF" w:sz="6" w:space="0"/>
            </w:tcBorders>
          </w:tcPr>
          <w:p w:rsidRPr="00B204EE" w:rsidR="00B204EE" w:rsidP="0089771C" w:rsidRDefault="00B204EE" w14:paraId="5F39E913" w14:textId="15D81C45">
            <w:pPr>
              <w:pStyle w:val="Footer"/>
              <w:keepNext/>
              <w:tabs>
                <w:tab w:val="clear" w:pos="4320"/>
                <w:tab w:val="clear" w:pos="8640"/>
              </w:tabs>
              <w:jc w:val="right"/>
              <w:rPr>
                <w:sz w:val="20"/>
                <w:szCs w:val="20"/>
              </w:rPr>
            </w:pPr>
            <w:r w:rsidRPr="00B204EE">
              <w:rPr>
                <w:sz w:val="20"/>
                <w:szCs w:val="20"/>
              </w:rPr>
              <w:t>1</w:t>
            </w:r>
          </w:p>
        </w:tc>
        <w:tc>
          <w:tcPr>
            <w:tcW w:w="842" w:type="dxa"/>
            <w:tcBorders>
              <w:top w:val="single" w:color="000000" w:sz="6" w:space="0"/>
              <w:left w:val="single" w:color="000000" w:sz="6" w:space="0"/>
              <w:bottom w:val="single" w:color="FFFFFF" w:sz="6" w:space="0"/>
              <w:right w:val="single" w:color="000000" w:sz="6" w:space="0"/>
            </w:tcBorders>
          </w:tcPr>
          <w:p w:rsidRPr="00B204EE" w:rsidR="00B204EE" w:rsidP="0089771C" w:rsidRDefault="00B204EE" w14:paraId="4BAF75F0" w14:textId="1EC1326C">
            <w:pPr>
              <w:pStyle w:val="Footer"/>
              <w:keepNext/>
              <w:tabs>
                <w:tab w:val="clear" w:pos="4320"/>
                <w:tab w:val="clear" w:pos="8640"/>
              </w:tabs>
              <w:jc w:val="right"/>
              <w:rPr>
                <w:sz w:val="20"/>
                <w:szCs w:val="20"/>
              </w:rPr>
            </w:pPr>
            <w:r w:rsidRPr="00B204EE">
              <w:rPr>
                <w:sz w:val="20"/>
                <w:szCs w:val="20"/>
              </w:rPr>
              <w:t>2,000</w:t>
            </w:r>
          </w:p>
          <w:p w:rsidRPr="00B204EE" w:rsidR="00B204EE" w:rsidP="0089771C" w:rsidRDefault="00B204EE" w14:paraId="254C5194" w14:textId="77777777">
            <w:pPr>
              <w:pStyle w:val="Footer"/>
              <w:keepNext/>
              <w:tabs>
                <w:tab w:val="clear" w:pos="4320"/>
                <w:tab w:val="clear" w:pos="8640"/>
              </w:tabs>
              <w:jc w:val="right"/>
              <w:rPr>
                <w:sz w:val="20"/>
                <w:szCs w:val="20"/>
              </w:rPr>
            </w:pPr>
          </w:p>
        </w:tc>
      </w:tr>
      <w:tr w:rsidRPr="00B204EE" w:rsidR="00B204EE" w:rsidTr="00B204EE" w14:paraId="0D41EB13" w14:textId="77777777">
        <w:trPr>
          <w:cantSplit/>
          <w:trHeight w:val="66"/>
          <w:jc w:val="center"/>
        </w:trPr>
        <w:tc>
          <w:tcPr>
            <w:tcW w:w="8882" w:type="dxa"/>
            <w:gridSpan w:val="5"/>
            <w:tcBorders>
              <w:top w:val="single" w:color="000000" w:sz="6" w:space="0"/>
              <w:left w:val="single" w:color="000000" w:sz="6" w:space="0"/>
              <w:bottom w:val="single" w:color="000000" w:sz="6" w:space="0"/>
              <w:right w:val="single" w:color="FFFFFF" w:sz="6" w:space="0"/>
            </w:tcBorders>
          </w:tcPr>
          <w:p w:rsidRPr="00B204EE" w:rsidR="00B204EE" w:rsidP="0089771C" w:rsidRDefault="00B204EE" w14:paraId="37E2A407" w14:textId="77777777">
            <w:pPr>
              <w:keepNext/>
              <w:rPr>
                <w:sz w:val="20"/>
                <w:szCs w:val="20"/>
              </w:rPr>
            </w:pPr>
            <w:r w:rsidRPr="00B204EE">
              <w:rPr>
                <w:sz w:val="20"/>
                <w:szCs w:val="20"/>
              </w:rPr>
              <w:t>Total</w:t>
            </w:r>
          </w:p>
        </w:tc>
        <w:tc>
          <w:tcPr>
            <w:tcW w:w="842" w:type="dxa"/>
            <w:tcBorders>
              <w:top w:val="single" w:color="000000" w:sz="6" w:space="0"/>
              <w:left w:val="single" w:color="000000" w:sz="6" w:space="0"/>
              <w:bottom w:val="single" w:color="000000" w:sz="6" w:space="0"/>
              <w:right w:val="single" w:color="000000" w:sz="6" w:space="0"/>
            </w:tcBorders>
          </w:tcPr>
          <w:p w:rsidRPr="00B204EE" w:rsidR="00B204EE" w:rsidP="0089771C" w:rsidRDefault="008F2616" w14:paraId="0CBB6C99" w14:textId="4B32C7C1">
            <w:pPr>
              <w:pStyle w:val="Footer"/>
              <w:keepNext/>
              <w:tabs>
                <w:tab w:val="clear" w:pos="4320"/>
                <w:tab w:val="clear" w:pos="8640"/>
              </w:tabs>
              <w:jc w:val="right"/>
              <w:rPr>
                <w:sz w:val="20"/>
                <w:szCs w:val="20"/>
              </w:rPr>
            </w:pPr>
            <w:r>
              <w:rPr>
                <w:sz w:val="20"/>
                <w:szCs w:val="20"/>
              </w:rPr>
              <w:t>4</w:t>
            </w:r>
            <w:r w:rsidRPr="00B204EE" w:rsidR="00B204EE">
              <w:rPr>
                <w:sz w:val="20"/>
                <w:szCs w:val="20"/>
              </w:rPr>
              <w:t>,</w:t>
            </w:r>
            <w:r>
              <w:rPr>
                <w:sz w:val="20"/>
                <w:szCs w:val="20"/>
              </w:rPr>
              <w:t>5</w:t>
            </w:r>
            <w:r w:rsidRPr="00B204EE" w:rsidR="00B204EE">
              <w:rPr>
                <w:sz w:val="20"/>
                <w:szCs w:val="20"/>
              </w:rPr>
              <w:t>00</w:t>
            </w:r>
          </w:p>
        </w:tc>
      </w:tr>
      <w:bookmarkEnd w:id="3"/>
    </w:tbl>
    <w:p w:rsidR="00B204EE" w:rsidP="0089771C" w:rsidRDefault="00B204EE" w14:paraId="34E3E1F0" w14:textId="77777777">
      <w:pPr>
        <w:spacing w:after="200"/>
        <w:ind w:left="360"/>
        <w:rPr>
          <w:rFonts w:eastAsia="Calibri"/>
        </w:rPr>
      </w:pPr>
    </w:p>
    <w:p w:rsidR="00100410" w:rsidP="0089771C" w:rsidRDefault="00100410" w14:paraId="08BB7B3B" w14:textId="42E04A62">
      <w:pPr>
        <w:spacing w:after="240"/>
      </w:pPr>
      <w:bookmarkStart w:name="_Hlk82622557" w:id="4"/>
      <w:r>
        <w:rPr>
          <w:rFonts w:eastAsia="Calibri"/>
        </w:rPr>
        <w:t>F</w:t>
      </w:r>
      <w:r w:rsidRPr="00116171">
        <w:rPr>
          <w:rFonts w:eastAsia="Calibri"/>
        </w:rPr>
        <w:t xml:space="preserve">orms </w:t>
      </w:r>
      <w:hyperlink w:history="1" r:id="rId11">
        <w:r w:rsidRPr="0056531D">
          <w:rPr>
            <w:rStyle w:val="Hyperlink"/>
            <w:rFonts w:eastAsia="Calibri"/>
          </w:rPr>
          <w:t>FDA 3602</w:t>
        </w:r>
      </w:hyperlink>
      <w:r w:rsidRPr="00116171">
        <w:rPr>
          <w:rFonts w:eastAsia="Calibri"/>
        </w:rPr>
        <w:t xml:space="preserve"> and </w:t>
      </w:r>
      <w:hyperlink w:history="1" r:id="rId12">
        <w:r w:rsidRPr="0056531D">
          <w:rPr>
            <w:rStyle w:val="Hyperlink"/>
            <w:rFonts w:eastAsia="Calibri"/>
          </w:rPr>
          <w:t>FDA 3602A</w:t>
        </w:r>
      </w:hyperlink>
      <w:r>
        <w:rPr>
          <w:rFonts w:eastAsia="Calibri"/>
        </w:rPr>
        <w:t xml:space="preserve"> are submitted to FDA to demonstrate that an applicant </w:t>
      </w:r>
      <w:r w:rsidR="009D6DCC">
        <w:rPr>
          <w:rFonts w:eastAsia="Calibri"/>
        </w:rPr>
        <w:t>qualifies as</w:t>
      </w:r>
      <w:r>
        <w:rPr>
          <w:rFonts w:eastAsia="Calibri"/>
        </w:rPr>
        <w:t xml:space="preserve"> a MDUFA small business. </w:t>
      </w:r>
      <w:r w:rsidRPr="00116171">
        <w:rPr>
          <w:rFonts w:eastAsia="Calibri"/>
        </w:rPr>
        <w:t xml:space="preserve"> </w:t>
      </w:r>
      <w:r w:rsidRPr="00116171" w:rsidR="00631F38">
        <w:rPr>
          <w:rFonts w:eastAsia="Calibri"/>
        </w:rPr>
        <w:t>Th</w:t>
      </w:r>
      <w:r w:rsidR="00631F38">
        <w:rPr>
          <w:rFonts w:eastAsia="Calibri"/>
        </w:rPr>
        <w:t>e</w:t>
      </w:r>
      <w:r w:rsidRPr="00116171" w:rsidR="00631F38">
        <w:rPr>
          <w:rFonts w:eastAsia="Calibri"/>
        </w:rPr>
        <w:t xml:space="preserve"> guidance</w:t>
      </w:r>
      <w:r w:rsidR="00631F38">
        <w:rPr>
          <w:rFonts w:eastAsia="Calibri"/>
        </w:rPr>
        <w:t xml:space="preserve"> </w:t>
      </w:r>
      <w:r w:rsidRPr="00116171" w:rsidR="00631F38">
        <w:rPr>
          <w:rFonts w:eastAsia="Calibri"/>
        </w:rPr>
        <w:t>document, “</w:t>
      </w:r>
      <w:hyperlink w:history="1" r:id="rId13">
        <w:r w:rsidRPr="00444C5D" w:rsidR="00631F38">
          <w:rPr>
            <w:rStyle w:val="Hyperlink"/>
            <w:rFonts w:eastAsia="Calibri"/>
          </w:rPr>
          <w:t>Medical Device User Fee Small Business Qualification and Certification Guidance for Industry, Food and Drug Administration Staff and Foreign Governments</w:t>
        </w:r>
      </w:hyperlink>
      <w:r w:rsidR="00631F38">
        <w:rPr>
          <w:rFonts w:eastAsia="Calibri"/>
        </w:rPr>
        <w:t>,</w:t>
      </w:r>
      <w:r w:rsidRPr="00116171" w:rsidR="00631F38">
        <w:rPr>
          <w:rFonts w:eastAsia="Calibri"/>
        </w:rPr>
        <w:t>” describes the criteria FDA use</w:t>
      </w:r>
      <w:r w:rsidR="006260FB">
        <w:rPr>
          <w:rFonts w:eastAsia="Calibri"/>
        </w:rPr>
        <w:t>s</w:t>
      </w:r>
      <w:r w:rsidRPr="00116171" w:rsidR="00631F38">
        <w:rPr>
          <w:rFonts w:eastAsia="Calibri"/>
        </w:rPr>
        <w:t xml:space="preserve"> to </w:t>
      </w:r>
      <w:r w:rsidR="00BE4219">
        <w:rPr>
          <w:rFonts w:eastAsia="Calibri"/>
        </w:rPr>
        <w:t>determine</w:t>
      </w:r>
      <w:r w:rsidRPr="00116171" w:rsidR="00631F38">
        <w:rPr>
          <w:rFonts w:eastAsia="Calibri"/>
        </w:rPr>
        <w:t xml:space="preserve"> whether an entity qualifies as a MDUFMA small business and </w:t>
      </w:r>
      <w:r w:rsidRPr="0099309E" w:rsidR="006512DF">
        <w:t>is eligible for a reduction in</w:t>
      </w:r>
      <w:r w:rsidR="006512DF">
        <w:t xml:space="preserve"> </w:t>
      </w:r>
      <w:r w:rsidRPr="0099309E" w:rsidR="006512DF">
        <w:t>user fees</w:t>
      </w:r>
      <w:r w:rsidRPr="00116171" w:rsidR="00631F38">
        <w:rPr>
          <w:rFonts w:eastAsia="Calibri"/>
        </w:rPr>
        <w:t>.</w:t>
      </w:r>
    </w:p>
    <w:p w:rsidR="00B204EE" w:rsidP="0089771C" w:rsidRDefault="00B204EE" w14:paraId="255F8A35" w14:textId="1BDFC12A">
      <w:pPr>
        <w:spacing w:after="240"/>
        <w:rPr>
          <w:rFonts w:eastAsia="Calibri"/>
        </w:rPr>
      </w:pPr>
      <w:r w:rsidRPr="00B72E1C">
        <w:t xml:space="preserve">This </w:t>
      </w:r>
      <w:r w:rsidR="00BA1CE7">
        <w:t xml:space="preserve">estimated </w:t>
      </w:r>
      <w:r w:rsidRPr="00B72E1C">
        <w:t xml:space="preserve">burden is based on the number of applications received in the last </w:t>
      </w:r>
      <w:r w:rsidR="00BA1CE7">
        <w:t>few</w:t>
      </w:r>
      <w:r w:rsidRPr="00B72E1C" w:rsidR="00BA1CE7">
        <w:t xml:space="preserve"> </w:t>
      </w:r>
      <w:r w:rsidRPr="00B72E1C">
        <w:t>years and includes time required to collect the required information</w:t>
      </w:r>
      <w:r>
        <w:t>.</w:t>
      </w:r>
      <w:r w:rsidRPr="00B72E1C">
        <w:t xml:space="preserve">  Based on our experience with </w:t>
      </w:r>
      <w:r w:rsidR="003F25D4">
        <w:t>f</w:t>
      </w:r>
      <w:r w:rsidRPr="00B72E1C">
        <w:t>orm</w:t>
      </w:r>
      <w:r w:rsidR="003F25D4">
        <w:t>s</w:t>
      </w:r>
      <w:r w:rsidRPr="00B72E1C">
        <w:t xml:space="preserve"> </w:t>
      </w:r>
      <w:r>
        <w:t xml:space="preserve">FDA </w:t>
      </w:r>
      <w:r w:rsidRPr="00B72E1C">
        <w:t>3602</w:t>
      </w:r>
      <w:r w:rsidR="003F25D4">
        <w:t xml:space="preserve"> and FDA 3602A</w:t>
      </w:r>
      <w:r w:rsidRPr="00B72E1C">
        <w:t xml:space="preserve">, FDA believes </w:t>
      </w:r>
      <w:r>
        <w:t>it will take respondent</w:t>
      </w:r>
      <w:r w:rsidR="003F25D4">
        <w:t>s</w:t>
      </w:r>
      <w:r w:rsidRPr="00B72E1C">
        <w:t xml:space="preserve"> 1 hour to complete </w:t>
      </w:r>
      <w:r w:rsidR="003F25D4">
        <w:t xml:space="preserve">either </w:t>
      </w:r>
      <w:r>
        <w:t>form</w:t>
      </w:r>
      <w:r w:rsidRPr="00B72E1C">
        <w:t>.</w:t>
      </w:r>
      <w:bookmarkEnd w:id="4"/>
    </w:p>
    <w:p w:rsidR="00F15D84" w:rsidRDefault="00F15D84" w14:paraId="63D0D515" w14:textId="77777777">
      <w:pPr>
        <w:rPr>
          <w:rFonts w:eastAsia="Calibri"/>
        </w:rPr>
      </w:pPr>
      <w:r>
        <w:rPr>
          <w:rFonts w:eastAsia="Calibri"/>
        </w:rPr>
        <w:br w:type="page"/>
      </w:r>
    </w:p>
    <w:p w:rsidRPr="00DF31D1" w:rsidR="00357C8A" w:rsidP="0089771C" w:rsidRDefault="00357C8A" w14:paraId="5D45DACF" w14:textId="6BC79CA2">
      <w:pPr>
        <w:spacing w:after="200"/>
        <w:ind w:left="360"/>
        <w:rPr>
          <w:rFonts w:eastAsia="Calibri"/>
          <w:i/>
          <w:iCs/>
        </w:rPr>
      </w:pPr>
      <w:r w:rsidRPr="00DF31D1">
        <w:rPr>
          <w:rFonts w:eastAsia="Calibri"/>
          <w:i/>
          <w:iCs/>
        </w:rPr>
        <w:lastRenderedPageBreak/>
        <w:t>12b.  Annualized Cost Burden Estimate</w:t>
      </w:r>
    </w:p>
    <w:p w:rsidR="003F25D4" w:rsidP="00F15D84" w:rsidRDefault="003F25D4" w14:paraId="5BE822F2" w14:textId="3C94CF85">
      <w:r>
        <w:t>The annualized cost burden estimate includes the salaries for personnel who prepare the forms. We expect that approximately half of the hour burden will be work performed by an Accountant</w:t>
      </w:r>
      <w:r w:rsidR="00A35466">
        <w:t>*</w:t>
      </w:r>
      <w:r>
        <w:t xml:space="preserve"> and approximately half by a Regulatory Affairs Professional.</w:t>
      </w:r>
      <w:r w:rsidR="00A35466">
        <w:t>**</w:t>
      </w:r>
      <w:r w:rsidDel="00A35466" w:rsidR="00A35466">
        <w:t xml:space="preserve"> </w:t>
      </w:r>
    </w:p>
    <w:p w:rsidR="003F25D4" w:rsidP="00F15D84" w:rsidRDefault="003F25D4" w14:paraId="73917F65" w14:textId="77777777"/>
    <w:p w:rsidRPr="00DE438A" w:rsidR="003F25D4" w:rsidP="00F15D84" w:rsidRDefault="003F25D4" w14:paraId="2FD12B98" w14:textId="30474343">
      <w:r w:rsidRPr="00DE438A">
        <w:t>*</w:t>
      </w:r>
      <w:r w:rsidRPr="005838DA" w:rsidR="005838DA">
        <w:t xml:space="preserve"> </w:t>
      </w:r>
      <w:r w:rsidRPr="00DE438A" w:rsidR="005838DA">
        <w:t>The estimated hourly wage rate for a</w:t>
      </w:r>
      <w:r w:rsidR="005838DA">
        <w:t>n Accountant</w:t>
      </w:r>
      <w:r w:rsidRPr="00DE438A" w:rsidR="005838DA">
        <w:t xml:space="preserve"> is based on the </w:t>
      </w:r>
      <w:r w:rsidR="005838DA">
        <w:t>mean hourly wage rate for Accountants and Auditors, $39.26 (</w:t>
      </w:r>
      <w:r w:rsidRPr="00DE438A" w:rsidR="005838DA">
        <w:t xml:space="preserve">May </w:t>
      </w:r>
      <w:r w:rsidR="005838DA">
        <w:t>2020</w:t>
      </w:r>
      <w:r w:rsidRPr="00DE438A" w:rsidR="005838DA">
        <w:t xml:space="preserve"> Bureau of Labor and Statistics data,</w:t>
      </w:r>
      <w:r w:rsidR="005838DA">
        <w:t xml:space="preserve"> occupation code 13-2011, </w:t>
      </w:r>
      <w:hyperlink w:history="1" w:anchor="13-0000" r:id="rId14">
        <w:r w:rsidRPr="00DE438A" w:rsidR="005838DA">
          <w:rPr>
            <w:rStyle w:val="Hyperlink"/>
          </w:rPr>
          <w:t>http://www.bls.gov/oes/current/oes_nat.htm#13-0000</w:t>
        </w:r>
      </w:hyperlink>
      <w:r w:rsidR="005838DA">
        <w:t>), then doubled to account for benefits and overhead, and rounded to the nearest dollar.</w:t>
      </w:r>
    </w:p>
    <w:p w:rsidRPr="00DE438A" w:rsidR="003F25D4" w:rsidP="00F15D84" w:rsidRDefault="003F25D4" w14:paraId="06824143" w14:textId="3C19369A">
      <w:r w:rsidRPr="00DE438A">
        <w:t xml:space="preserve">**The estimated hourly wage rate for a Regulatory Affairs Professional is based on the </w:t>
      </w:r>
      <w:r w:rsidR="00A35466">
        <w:t>mean hourly wage rate for a Lawyer, $</w:t>
      </w:r>
      <w:r w:rsidR="005838DA">
        <w:t>71.59</w:t>
      </w:r>
      <w:r w:rsidR="00A35466">
        <w:t xml:space="preserve"> (</w:t>
      </w:r>
      <w:r w:rsidRPr="00DE438A" w:rsidR="00A35466">
        <w:t xml:space="preserve">May </w:t>
      </w:r>
      <w:r w:rsidR="00A35466">
        <w:t>2020</w:t>
      </w:r>
      <w:r w:rsidRPr="00DE438A" w:rsidR="00A35466">
        <w:t xml:space="preserve"> Bureau of Labor and Statistics data,</w:t>
      </w:r>
      <w:r w:rsidR="00A35466">
        <w:t xml:space="preserve"> occupation code </w:t>
      </w:r>
      <w:r w:rsidR="005838DA">
        <w:t xml:space="preserve">23-1011, </w:t>
      </w:r>
      <w:hyperlink w:history="1" w:anchor="23-0000" r:id="rId15">
        <w:r w:rsidRPr="00302308" w:rsidR="005838DA">
          <w:rPr>
            <w:rStyle w:val="Hyperlink"/>
          </w:rPr>
          <w:t>https://www.bls.gov/oes/current/oes_nat.htm#23-0000</w:t>
        </w:r>
      </w:hyperlink>
      <w:r w:rsidR="00A35466">
        <w:t>), then doubled to account for benefits and overhead</w:t>
      </w:r>
      <w:r w:rsidR="005838DA">
        <w:t>, and rounded to the nearest dollar</w:t>
      </w:r>
      <w:r w:rsidR="00A35466">
        <w:t>.</w:t>
      </w:r>
    </w:p>
    <w:p w:rsidRPr="00B72E1C" w:rsidR="003F25D4" w:rsidP="0089771C" w:rsidRDefault="003F25D4" w14:paraId="4E0E4F0D" w14:textId="77777777">
      <w:pPr>
        <w:ind w:left="540"/>
      </w:pP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42"/>
        <w:gridCol w:w="2035"/>
        <w:gridCol w:w="2706"/>
        <w:gridCol w:w="2177"/>
      </w:tblGrid>
      <w:tr w:rsidRPr="00F0492F" w:rsidR="003F25D4" w:rsidTr="00132D8C" w14:paraId="0FB15C0E" w14:textId="77777777">
        <w:trPr>
          <w:cantSplit/>
          <w:trHeight w:val="323"/>
          <w:tblHeader/>
          <w:jc w:val="center"/>
        </w:trPr>
        <w:tc>
          <w:tcPr>
            <w:tcW w:w="2160" w:type="dxa"/>
            <w:shd w:val="clear" w:color="auto" w:fill="auto"/>
          </w:tcPr>
          <w:p w:rsidRPr="00F0492F" w:rsidR="003F25D4" w:rsidP="0089771C" w:rsidRDefault="003F25D4" w14:paraId="15FB89E8" w14:textId="77777777">
            <w:pPr>
              <w:keepNext/>
              <w:jc w:val="center"/>
            </w:pPr>
            <w:r w:rsidRPr="00F0492F">
              <w:t>Type of Respondent</w:t>
            </w:r>
          </w:p>
        </w:tc>
        <w:tc>
          <w:tcPr>
            <w:tcW w:w="1800" w:type="dxa"/>
            <w:shd w:val="clear" w:color="auto" w:fill="auto"/>
          </w:tcPr>
          <w:p w:rsidRPr="00F0492F" w:rsidR="003F25D4" w:rsidP="0089771C" w:rsidRDefault="003F25D4" w14:paraId="6DE63723" w14:textId="77777777">
            <w:pPr>
              <w:keepNext/>
              <w:jc w:val="center"/>
            </w:pPr>
            <w:r w:rsidRPr="00F0492F">
              <w:t>Total Burden Hours</w:t>
            </w:r>
          </w:p>
        </w:tc>
        <w:tc>
          <w:tcPr>
            <w:tcW w:w="2394" w:type="dxa"/>
            <w:shd w:val="clear" w:color="auto" w:fill="auto"/>
          </w:tcPr>
          <w:p w:rsidRPr="00F0492F" w:rsidR="003F25D4" w:rsidP="0089771C" w:rsidRDefault="003F25D4" w14:paraId="33DE19D9" w14:textId="77777777">
            <w:pPr>
              <w:keepNext/>
              <w:jc w:val="center"/>
            </w:pPr>
            <w:r w:rsidRPr="00F0492F">
              <w:t>Hourly Wage Rate</w:t>
            </w:r>
          </w:p>
        </w:tc>
        <w:tc>
          <w:tcPr>
            <w:tcW w:w="1926" w:type="dxa"/>
            <w:shd w:val="clear" w:color="auto" w:fill="auto"/>
          </w:tcPr>
          <w:p w:rsidRPr="00F0492F" w:rsidR="003F25D4" w:rsidP="0089771C" w:rsidRDefault="003F25D4" w14:paraId="6A927578" w14:textId="77777777">
            <w:pPr>
              <w:keepNext/>
              <w:jc w:val="center"/>
            </w:pPr>
            <w:r w:rsidRPr="00F0492F">
              <w:t>Total Respondent Costs</w:t>
            </w:r>
          </w:p>
        </w:tc>
      </w:tr>
      <w:tr w:rsidRPr="00F0492F" w:rsidR="003F25D4" w:rsidTr="00132D8C" w14:paraId="446A17C0" w14:textId="77777777">
        <w:trPr>
          <w:cantSplit/>
          <w:jc w:val="center"/>
        </w:trPr>
        <w:tc>
          <w:tcPr>
            <w:tcW w:w="2160" w:type="dxa"/>
            <w:shd w:val="clear" w:color="auto" w:fill="auto"/>
          </w:tcPr>
          <w:p w:rsidRPr="00F0492F" w:rsidR="003F25D4" w:rsidP="0089771C" w:rsidRDefault="003F25D4" w14:paraId="2225484C" w14:textId="77777777">
            <w:pPr>
              <w:keepNext/>
            </w:pPr>
            <w:r w:rsidRPr="00F0492F">
              <w:t>Accountants</w:t>
            </w:r>
          </w:p>
        </w:tc>
        <w:tc>
          <w:tcPr>
            <w:tcW w:w="1800" w:type="dxa"/>
            <w:shd w:val="clear" w:color="auto" w:fill="auto"/>
          </w:tcPr>
          <w:p w:rsidRPr="00F0492F" w:rsidR="003F25D4" w:rsidP="0089771C" w:rsidRDefault="00705C7C" w14:paraId="0B5362D4" w14:textId="2E5080C5">
            <w:pPr>
              <w:keepNext/>
              <w:jc w:val="right"/>
            </w:pPr>
            <w:r>
              <w:t>2,250</w:t>
            </w:r>
          </w:p>
        </w:tc>
        <w:tc>
          <w:tcPr>
            <w:tcW w:w="2394" w:type="dxa"/>
            <w:shd w:val="clear" w:color="auto" w:fill="auto"/>
          </w:tcPr>
          <w:p w:rsidRPr="00F0492F" w:rsidR="003F25D4" w:rsidP="0089771C" w:rsidRDefault="003F25D4" w14:paraId="190322FA" w14:textId="6168E2B3">
            <w:pPr>
              <w:keepNext/>
              <w:jc w:val="right"/>
            </w:pPr>
            <w:r w:rsidRPr="00F0492F">
              <w:t>$</w:t>
            </w:r>
            <w:r w:rsidR="005838DA">
              <w:t>79</w:t>
            </w:r>
          </w:p>
        </w:tc>
        <w:tc>
          <w:tcPr>
            <w:tcW w:w="1926" w:type="dxa"/>
            <w:shd w:val="clear" w:color="auto" w:fill="auto"/>
          </w:tcPr>
          <w:p w:rsidRPr="00F0492F" w:rsidR="003F25D4" w:rsidP="0089771C" w:rsidRDefault="003F25D4" w14:paraId="2861A0FF" w14:textId="0FCDE4C4">
            <w:pPr>
              <w:keepNext/>
              <w:jc w:val="right"/>
            </w:pPr>
            <w:r w:rsidRPr="00F0492F">
              <w:t>$</w:t>
            </w:r>
            <w:r w:rsidR="00B177CB">
              <w:t>177,750</w:t>
            </w:r>
          </w:p>
        </w:tc>
      </w:tr>
      <w:tr w:rsidRPr="00F0492F" w:rsidR="003F25D4" w:rsidTr="00132D8C" w14:paraId="485E2ED3" w14:textId="77777777">
        <w:trPr>
          <w:cantSplit/>
          <w:jc w:val="center"/>
        </w:trPr>
        <w:tc>
          <w:tcPr>
            <w:tcW w:w="2160" w:type="dxa"/>
            <w:shd w:val="clear" w:color="auto" w:fill="auto"/>
          </w:tcPr>
          <w:p w:rsidRPr="00F0492F" w:rsidR="003F25D4" w:rsidP="0089771C" w:rsidRDefault="003F25D4" w14:paraId="351DF4AC" w14:textId="77777777">
            <w:pPr>
              <w:keepNext/>
            </w:pPr>
            <w:r w:rsidRPr="00F0492F">
              <w:t>Regulatory Affairs</w:t>
            </w:r>
          </w:p>
        </w:tc>
        <w:tc>
          <w:tcPr>
            <w:tcW w:w="1800" w:type="dxa"/>
            <w:shd w:val="clear" w:color="auto" w:fill="auto"/>
          </w:tcPr>
          <w:p w:rsidRPr="00F0492F" w:rsidR="003F25D4" w:rsidP="0089771C" w:rsidRDefault="00705C7C" w14:paraId="59402EBE" w14:textId="68CDF0B8">
            <w:pPr>
              <w:keepNext/>
              <w:jc w:val="right"/>
            </w:pPr>
            <w:r>
              <w:t>2,250</w:t>
            </w:r>
          </w:p>
        </w:tc>
        <w:tc>
          <w:tcPr>
            <w:tcW w:w="2394" w:type="dxa"/>
            <w:shd w:val="clear" w:color="auto" w:fill="auto"/>
          </w:tcPr>
          <w:p w:rsidRPr="00F0492F" w:rsidR="003F25D4" w:rsidP="0089771C" w:rsidRDefault="003F25D4" w14:paraId="0E4E1B13" w14:textId="3F98A18E">
            <w:pPr>
              <w:keepNext/>
              <w:jc w:val="right"/>
            </w:pPr>
            <w:r w:rsidRPr="00F0492F">
              <w:t>$</w:t>
            </w:r>
            <w:r w:rsidR="005838DA">
              <w:t>143</w:t>
            </w:r>
          </w:p>
        </w:tc>
        <w:tc>
          <w:tcPr>
            <w:tcW w:w="1926" w:type="dxa"/>
            <w:shd w:val="clear" w:color="auto" w:fill="auto"/>
          </w:tcPr>
          <w:p w:rsidRPr="00F0492F" w:rsidR="003F25D4" w:rsidP="0089771C" w:rsidRDefault="003F25D4" w14:paraId="65715887" w14:textId="5D7A8ED7">
            <w:pPr>
              <w:keepNext/>
              <w:jc w:val="right"/>
            </w:pPr>
            <w:r w:rsidRPr="00F0492F">
              <w:t>$</w:t>
            </w:r>
            <w:r w:rsidR="004773FC">
              <w:t>321,750</w:t>
            </w:r>
          </w:p>
        </w:tc>
      </w:tr>
      <w:tr w:rsidRPr="00F0492F" w:rsidR="003F25D4" w:rsidTr="00132D8C" w14:paraId="4663F7DE" w14:textId="77777777">
        <w:trPr>
          <w:cantSplit/>
          <w:jc w:val="center"/>
        </w:trPr>
        <w:tc>
          <w:tcPr>
            <w:tcW w:w="6354" w:type="dxa"/>
            <w:gridSpan w:val="3"/>
            <w:shd w:val="clear" w:color="auto" w:fill="auto"/>
          </w:tcPr>
          <w:p w:rsidRPr="00F0492F" w:rsidR="003F25D4" w:rsidP="0089771C" w:rsidRDefault="003F25D4" w14:paraId="60373130" w14:textId="77777777">
            <w:pPr>
              <w:keepNext/>
            </w:pPr>
            <w:r w:rsidRPr="00F0492F">
              <w:t>Total</w:t>
            </w:r>
          </w:p>
        </w:tc>
        <w:tc>
          <w:tcPr>
            <w:tcW w:w="1926" w:type="dxa"/>
            <w:shd w:val="clear" w:color="auto" w:fill="auto"/>
          </w:tcPr>
          <w:p w:rsidRPr="00F0492F" w:rsidR="003F25D4" w:rsidP="0089771C" w:rsidRDefault="003F25D4" w14:paraId="4066E4CA" w14:textId="41C6A82B">
            <w:pPr>
              <w:keepNext/>
              <w:jc w:val="right"/>
            </w:pPr>
            <w:r w:rsidRPr="00F0492F">
              <w:t>$</w:t>
            </w:r>
            <w:r w:rsidR="004773FC">
              <w:t>499,500</w:t>
            </w:r>
          </w:p>
        </w:tc>
      </w:tr>
    </w:tbl>
    <w:p w:rsidRPr="00357C8A" w:rsidR="00357C8A" w:rsidP="0089771C" w:rsidRDefault="00357C8A" w14:paraId="0428DB5D" w14:textId="77777777">
      <w:pPr>
        <w:rPr>
          <w:rFonts w:eastAsia="Calibri"/>
        </w:rPr>
      </w:pPr>
    </w:p>
    <w:p w:rsidRPr="00357C8A" w:rsidR="00357C8A" w:rsidP="0089771C" w:rsidRDefault="00357C8A" w14:paraId="2E743EDA" w14:textId="77777777">
      <w:pPr>
        <w:keepNext/>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89771C" w:rsidRDefault="003F25D4" w14:paraId="3C9BF049" w14:textId="77777777">
      <w:pPr>
        <w:spacing w:after="200" w:line="276" w:lineRule="auto"/>
        <w:rPr>
          <w:rFonts w:eastAsia="Calibri"/>
          <w:u w:val="single"/>
        </w:rPr>
      </w:pPr>
      <w:r w:rsidRPr="00B72E1C">
        <w:t>There are no capital costs or operating and maintenance costs associated with this collection of information.</w:t>
      </w:r>
    </w:p>
    <w:p w:rsidRPr="00357C8A" w:rsidR="00357C8A" w:rsidP="0089771C" w:rsidRDefault="00357C8A" w14:paraId="455DF81C" w14:textId="77777777">
      <w:pPr>
        <w:keepNext/>
        <w:numPr>
          <w:ilvl w:val="0"/>
          <w:numId w:val="6"/>
        </w:numPr>
        <w:spacing w:after="200" w:line="276" w:lineRule="auto"/>
        <w:rPr>
          <w:rFonts w:eastAsia="Calibri"/>
          <w:u w:val="single"/>
        </w:rPr>
      </w:pPr>
      <w:r w:rsidRPr="00357C8A">
        <w:rPr>
          <w:rFonts w:eastAsia="Calibri"/>
          <w:u w:val="single"/>
        </w:rPr>
        <w:t>Annualized Cost to the Federal Government</w:t>
      </w:r>
    </w:p>
    <w:p w:rsidRPr="004571E4" w:rsidR="004571E4" w:rsidP="0089771C" w:rsidRDefault="004571E4" w14:paraId="410430F9" w14:textId="751DDA2F">
      <w:pPr>
        <w:spacing w:after="200"/>
        <w:rPr>
          <w:rFonts w:eastAsia="Calibri"/>
        </w:rPr>
      </w:pPr>
      <w:r w:rsidRPr="004571E4">
        <w:rPr>
          <w:rFonts w:eastAsia="Calibri"/>
        </w:rPr>
        <w:t xml:space="preserve">FDA will review each </w:t>
      </w:r>
      <w:r w:rsidR="00836D6A">
        <w:rPr>
          <w:rFonts w:eastAsia="Calibri"/>
        </w:rPr>
        <w:t>f</w:t>
      </w:r>
      <w:r w:rsidRPr="004571E4">
        <w:rPr>
          <w:rFonts w:eastAsia="Calibri"/>
        </w:rPr>
        <w:t xml:space="preserve">orm FDA 3602 and FDA 3602A and each accompanying Federal income tax return to confirm the accuracy of information provided for an entity and to ensure that the entity qualifies as a “small business” within the meaning of MDUFMA.  As part of its review, FDA will review commercial databases to determine whether the entity has any affiliates, partners, or parent firms that it did not identify on the </w:t>
      </w:r>
      <w:r w:rsidR="00836D6A">
        <w:rPr>
          <w:rFonts w:eastAsia="Calibri"/>
        </w:rPr>
        <w:t>f</w:t>
      </w:r>
      <w:r w:rsidRPr="004571E4">
        <w:rPr>
          <w:rFonts w:eastAsia="Calibri"/>
        </w:rPr>
        <w:t xml:space="preserve">orms.  FDA believes it will expend approximately 1 hour of effort on each </w:t>
      </w:r>
      <w:r w:rsidR="00836D6A">
        <w:rPr>
          <w:rFonts w:eastAsia="Calibri"/>
        </w:rPr>
        <w:t>f</w:t>
      </w:r>
      <w:r w:rsidRPr="004571E4">
        <w:rPr>
          <w:rFonts w:eastAsia="Calibri"/>
        </w:rPr>
        <w:t>orm.  We doubled the hourly rate for a GS-13 employee ($</w:t>
      </w:r>
      <w:r w:rsidR="006D0027">
        <w:rPr>
          <w:rFonts w:eastAsia="Calibri"/>
        </w:rPr>
        <w:t>64.59</w:t>
      </w:r>
      <w:r w:rsidRPr="004571E4">
        <w:rPr>
          <w:rFonts w:eastAsia="Calibri"/>
        </w:rPr>
        <w:t>)* to account for overhead ($</w:t>
      </w:r>
      <w:r w:rsidR="006D0027">
        <w:rPr>
          <w:rFonts w:eastAsia="Calibri"/>
        </w:rPr>
        <w:t>129</w:t>
      </w:r>
      <w:r w:rsidRPr="004571E4" w:rsidR="006D0027">
        <w:rPr>
          <w:rFonts w:eastAsia="Calibri"/>
        </w:rPr>
        <w:t xml:space="preserve"> </w:t>
      </w:r>
      <w:r w:rsidRPr="004571E4">
        <w:rPr>
          <w:rFonts w:eastAsia="Calibri"/>
        </w:rPr>
        <w:t>per hour</w:t>
      </w:r>
      <w:r w:rsidR="006D0027">
        <w:rPr>
          <w:rFonts w:eastAsia="Calibri"/>
        </w:rPr>
        <w:t>, rounded to the nearest dollar</w:t>
      </w:r>
      <w:r w:rsidRPr="004571E4">
        <w:rPr>
          <w:rFonts w:eastAsia="Calibri"/>
        </w:rPr>
        <w:t xml:space="preserve">).  With </w:t>
      </w:r>
      <w:r w:rsidR="003A6299">
        <w:rPr>
          <w:rFonts w:eastAsia="Calibri"/>
        </w:rPr>
        <w:t>4,500</w:t>
      </w:r>
      <w:r w:rsidRPr="004571E4">
        <w:rPr>
          <w:rFonts w:eastAsia="Calibri"/>
        </w:rPr>
        <w:t xml:space="preserve"> submissions, FDA estimates that the total cost to the Federal government will be $</w:t>
      </w:r>
      <w:r w:rsidR="008E3D69">
        <w:rPr>
          <w:rFonts w:eastAsia="Calibri"/>
        </w:rPr>
        <w:t>580,500</w:t>
      </w:r>
      <w:r w:rsidRPr="004571E4">
        <w:rPr>
          <w:rFonts w:eastAsia="Calibri"/>
        </w:rPr>
        <w:t>.</w:t>
      </w:r>
    </w:p>
    <w:p w:rsidRPr="00357C8A" w:rsidR="00357C8A" w:rsidP="0089771C" w:rsidRDefault="004571E4" w14:paraId="58D7A263" w14:textId="40B10FE1">
      <w:pPr>
        <w:spacing w:after="200"/>
        <w:rPr>
          <w:rFonts w:eastAsia="Calibri"/>
        </w:rPr>
      </w:pPr>
      <w:r w:rsidRPr="004571E4">
        <w:rPr>
          <w:rFonts w:eastAsia="Calibri"/>
        </w:rPr>
        <w:t xml:space="preserve">*U.S. Office of Personnel Management, Salary Table </w:t>
      </w:r>
      <w:r w:rsidR="006D0027">
        <w:rPr>
          <w:rFonts w:eastAsia="Calibri"/>
        </w:rPr>
        <w:t>2021</w:t>
      </w:r>
      <w:r w:rsidRPr="004571E4">
        <w:rPr>
          <w:rFonts w:eastAsia="Calibri"/>
        </w:rPr>
        <w:t>-DCB, GS-13, step 10</w:t>
      </w:r>
      <w:r w:rsidR="00F41920">
        <w:rPr>
          <w:rFonts w:eastAsia="Calibri"/>
        </w:rPr>
        <w:t>:</w:t>
      </w:r>
      <w:r w:rsidRPr="004571E4">
        <w:rPr>
          <w:rFonts w:eastAsia="Calibri"/>
        </w:rPr>
        <w:t xml:space="preserve"> </w:t>
      </w:r>
      <w:hyperlink w:history="1" r:id="rId16">
        <w:r w:rsidRPr="00302308" w:rsidR="006D0027">
          <w:rPr>
            <w:rStyle w:val="Hyperlink"/>
            <w:rFonts w:eastAsia="Calibri"/>
          </w:rPr>
          <w:t>https://www.opm.gov/policy-data-oversight/pay-leave/salaries-wages/salary-tables/21Tables/html/DCB_h.aspx</w:t>
        </w:r>
      </w:hyperlink>
    </w:p>
    <w:p w:rsidR="00357C8A" w:rsidP="0089771C" w:rsidRDefault="00357C8A" w14:paraId="637D9950" w14:textId="1F67602E">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357C8A" w:rsidR="00357C8A" w:rsidP="0089771C" w:rsidRDefault="00F41920" w14:paraId="42C8B699" w14:textId="310A6D70">
      <w:pPr>
        <w:spacing w:after="200"/>
        <w:rPr>
          <w:rFonts w:eastAsia="Calibri"/>
          <w:color w:val="FF0000"/>
        </w:rPr>
      </w:pPr>
      <w:r>
        <w:rPr>
          <w:rFonts w:eastAsia="Calibri"/>
        </w:rPr>
        <w:t xml:space="preserve">We have adjusted the number of respondents to </w:t>
      </w:r>
      <w:r w:rsidRPr="0086578F" w:rsidR="0086578F">
        <w:rPr>
          <w:rFonts w:eastAsia="Calibri"/>
        </w:rPr>
        <w:t xml:space="preserve">reflect </w:t>
      </w:r>
      <w:r w:rsidR="00302D48">
        <w:rPr>
          <w:rFonts w:eastAsia="Calibri"/>
        </w:rPr>
        <w:t xml:space="preserve">recent </w:t>
      </w:r>
      <w:r>
        <w:rPr>
          <w:rFonts w:eastAsia="Calibri"/>
        </w:rPr>
        <w:t xml:space="preserve">annual submissions.  This results in </w:t>
      </w:r>
      <w:r w:rsidR="00302D48">
        <w:rPr>
          <w:rFonts w:eastAsia="Calibri"/>
        </w:rPr>
        <w:t xml:space="preserve">a decrease of </w:t>
      </w:r>
      <w:r w:rsidRPr="0086578F" w:rsidR="0086578F">
        <w:rPr>
          <w:rFonts w:eastAsia="Calibri"/>
        </w:rPr>
        <w:t>2,500</w:t>
      </w:r>
      <w:r w:rsidR="00302D48">
        <w:rPr>
          <w:rFonts w:eastAsia="Calibri"/>
        </w:rPr>
        <w:t xml:space="preserve"> hours and </w:t>
      </w:r>
      <w:r w:rsidR="00E70926">
        <w:rPr>
          <w:rFonts w:eastAsia="Calibri"/>
        </w:rPr>
        <w:t>responses annually.</w:t>
      </w:r>
      <w:r w:rsidRPr="0086578F" w:rsidR="0086578F">
        <w:rPr>
          <w:rFonts w:eastAsia="Calibri"/>
        </w:rPr>
        <w:t xml:space="preserve"> </w:t>
      </w:r>
    </w:p>
    <w:p w:rsidR="00E70926" w:rsidRDefault="00E70926" w14:paraId="619C5B95" w14:textId="77777777">
      <w:pPr>
        <w:rPr>
          <w:rFonts w:eastAsia="Calibri"/>
          <w:u w:val="single"/>
        </w:rPr>
      </w:pPr>
      <w:r>
        <w:rPr>
          <w:rFonts w:eastAsia="Calibri"/>
          <w:u w:val="single"/>
        </w:rPr>
        <w:br w:type="page"/>
      </w:r>
    </w:p>
    <w:p w:rsidRPr="00357C8A" w:rsidR="00357C8A" w:rsidP="0089771C" w:rsidRDefault="00357C8A" w14:paraId="2911D743" w14:textId="78153B99">
      <w:pPr>
        <w:numPr>
          <w:ilvl w:val="0"/>
          <w:numId w:val="6"/>
        </w:numPr>
        <w:spacing w:after="200" w:line="276" w:lineRule="auto"/>
        <w:rPr>
          <w:rFonts w:eastAsia="Calibri"/>
          <w:u w:val="single"/>
        </w:rPr>
      </w:pPr>
      <w:r w:rsidRPr="00357C8A">
        <w:rPr>
          <w:rFonts w:eastAsia="Calibri"/>
          <w:u w:val="single"/>
        </w:rPr>
        <w:lastRenderedPageBreak/>
        <w:t>Plans for Tabulation and Publication and Project Time Schedule</w:t>
      </w:r>
    </w:p>
    <w:p w:rsidRPr="00357C8A" w:rsidR="00357C8A" w:rsidP="0089771C" w:rsidRDefault="00357C8A" w14:paraId="2C7BEA5A" w14:textId="77777777">
      <w:pPr>
        <w:spacing w:after="200"/>
        <w:rPr>
          <w:rFonts w:eastAsia="Calibri"/>
          <w:color w:val="FF0000"/>
        </w:rPr>
      </w:pPr>
      <w:r w:rsidRPr="005C71CA">
        <w:rPr>
          <w:rFonts w:eastAsia="Calibri"/>
        </w:rPr>
        <w:t>This information collected will not be published or tabulated.</w:t>
      </w:r>
    </w:p>
    <w:p w:rsidRPr="00357C8A" w:rsidR="00357C8A" w:rsidP="0089771C" w:rsidRDefault="00357C8A" w14:paraId="28DA3D56"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7316E4" w:rsidP="007316E4" w:rsidRDefault="00E76322" w14:paraId="6E130F6A" w14:textId="77777777">
      <w:pPr>
        <w:kinsoku w:val="0"/>
        <w:overflowPunct w:val="0"/>
        <w:textAlignment w:val="baseline"/>
      </w:pPr>
      <w:r>
        <w:rPr>
          <w:rFonts w:cs="Calibri" w:eastAsiaTheme="minorEastAsia"/>
          <w:color w:val="000000" w:themeColor="text1"/>
          <w:kern w:val="24"/>
        </w:rPr>
        <w:t>As required by the PRA and c</w:t>
      </w:r>
      <w:r w:rsidRPr="00F60263">
        <w:rPr>
          <w:rFonts w:cs="Calibri" w:eastAsiaTheme="minorEastAsia"/>
          <w:color w:val="000000" w:themeColor="text1"/>
          <w:kern w:val="24"/>
        </w:rPr>
        <w:t xml:space="preserve">onsistent with established </w:t>
      </w:r>
      <w:r>
        <w:rPr>
          <w:rFonts w:cs="Calibri" w:eastAsiaTheme="minorEastAsia"/>
          <w:color w:val="000000" w:themeColor="text1"/>
          <w:kern w:val="24"/>
        </w:rPr>
        <w:t xml:space="preserve">agency </w:t>
      </w:r>
      <w:r w:rsidRPr="00F60263">
        <w:rPr>
          <w:rFonts w:cs="Calibri" w:eastAsiaTheme="minorEastAsia"/>
          <w:color w:val="000000" w:themeColor="text1"/>
          <w:kern w:val="24"/>
        </w:rPr>
        <w:t>practice</w:t>
      </w:r>
      <w:r>
        <w:rPr>
          <w:rFonts w:cs="Calibri" w:eastAsiaTheme="minorEastAsia"/>
          <w:color w:val="000000" w:themeColor="text1"/>
          <w:kern w:val="24"/>
        </w:rPr>
        <w:t>,</w:t>
      </w:r>
      <w:r w:rsidRPr="00F60263">
        <w:rPr>
          <w:rFonts w:cs="Calibri" w:eastAsiaTheme="minorEastAsia"/>
          <w:color w:val="000000" w:themeColor="text1"/>
          <w:kern w:val="24"/>
        </w:rPr>
        <w:t xml:space="preserve"> FDA </w:t>
      </w:r>
      <w:r>
        <w:rPr>
          <w:rFonts w:cs="Calibri" w:eastAsiaTheme="minorEastAsia"/>
          <w:color w:val="000000" w:themeColor="text1"/>
          <w:kern w:val="24"/>
        </w:rPr>
        <w:t xml:space="preserve">will inform respondents of the </w:t>
      </w:r>
      <w:r w:rsidRPr="00F60263">
        <w:rPr>
          <w:rFonts w:cs="Calibri" w:eastAsiaTheme="minorEastAsia"/>
          <w:color w:val="000000" w:themeColor="text1"/>
          <w:kern w:val="24"/>
        </w:rPr>
        <w:t>OMB control number and current expiration date.</w:t>
      </w:r>
      <w:r>
        <w:rPr>
          <w:rFonts w:cs="Calibri" w:eastAsiaTheme="minorEastAsia"/>
          <w:color w:val="000000" w:themeColor="text1"/>
          <w:kern w:val="24"/>
        </w:rPr>
        <w:t xml:space="preserve">  However, </w:t>
      </w:r>
      <w:r w:rsidRPr="007F3A46">
        <w:rPr>
          <w:rFonts w:cs="Calibri" w:eastAsiaTheme="minorEastAsia"/>
          <w:color w:val="000000" w:themeColor="text1"/>
          <w:kern w:val="24"/>
        </w:rPr>
        <w:t>because</w:t>
      </w:r>
      <w:r>
        <w:rPr>
          <w:rFonts w:cs="Calibri" w:eastAsiaTheme="minorEastAsia"/>
          <w:color w:val="000000" w:themeColor="text1"/>
          <w:kern w:val="24"/>
        </w:rPr>
        <w:t xml:space="preserve"> guidance </w:t>
      </w:r>
      <w:r w:rsidRPr="007F3A46">
        <w:rPr>
          <w:rFonts w:cs="Calibri" w:eastAsiaTheme="minorEastAsia"/>
          <w:color w:val="000000" w:themeColor="text1"/>
          <w:kern w:val="24"/>
        </w:rPr>
        <w:t>documents are more frequently being accessed electronically</w:t>
      </w:r>
      <w:r>
        <w:rPr>
          <w:rFonts w:cs="Calibri" w:eastAsiaTheme="minorEastAsia"/>
          <w:color w:val="000000" w:themeColor="text1"/>
          <w:kern w:val="24"/>
        </w:rPr>
        <w:t>,</w:t>
      </w:r>
      <w:r w:rsidRPr="007F3A46">
        <w:rPr>
          <w:rFonts w:cs="Calibri" w:eastAsiaTheme="minorEastAsia"/>
          <w:color w:val="000000" w:themeColor="text1"/>
          <w:kern w:val="24"/>
        </w:rPr>
        <w:t xml:space="preserve"> we are </w:t>
      </w:r>
      <w:r>
        <w:rPr>
          <w:rFonts w:cs="Calibri" w:eastAsiaTheme="minorEastAsia"/>
          <w:color w:val="000000" w:themeColor="text1"/>
          <w:kern w:val="24"/>
        </w:rPr>
        <w:t xml:space="preserve">making </w:t>
      </w:r>
      <w:r w:rsidRPr="007F3A46">
        <w:rPr>
          <w:rFonts w:cs="Calibri" w:eastAsiaTheme="minorEastAsia"/>
          <w:color w:val="000000" w:themeColor="text1"/>
          <w:kern w:val="24"/>
        </w:rPr>
        <w:t>technological</w:t>
      </w:r>
      <w:r>
        <w:rPr>
          <w:rFonts w:cs="Calibri" w:eastAsiaTheme="minorEastAsia"/>
          <w:color w:val="000000" w:themeColor="text1"/>
          <w:kern w:val="24"/>
        </w:rPr>
        <w:t xml:space="preserve"> updates</w:t>
      </w:r>
      <w:r w:rsidRPr="007F3A46">
        <w:rPr>
          <w:rFonts w:cs="Calibri" w:eastAsiaTheme="minorEastAsia"/>
          <w:color w:val="000000" w:themeColor="text1"/>
          <w:kern w:val="24"/>
        </w:rPr>
        <w:t xml:space="preserve"> </w:t>
      </w:r>
      <w:r>
        <w:rPr>
          <w:rFonts w:cs="Calibri" w:eastAsiaTheme="minorEastAsia"/>
          <w:color w:val="000000" w:themeColor="text1"/>
          <w:kern w:val="24"/>
        </w:rPr>
        <w:t>t</w:t>
      </w:r>
      <w:r w:rsidRPr="007F3A46">
        <w:rPr>
          <w:rFonts w:cs="Calibri" w:eastAsiaTheme="minorEastAsia"/>
          <w:color w:val="000000" w:themeColor="text1"/>
          <w:kern w:val="24"/>
        </w:rPr>
        <w:t>o display the expiration date by linking to approval information found</w:t>
      </w:r>
      <w:r>
        <w:rPr>
          <w:rFonts w:cs="Calibri" w:eastAsiaTheme="minorEastAsia"/>
          <w:color w:val="000000" w:themeColor="text1"/>
          <w:kern w:val="24"/>
        </w:rPr>
        <w:t xml:space="preserve"> at</w:t>
      </w:r>
      <w:r w:rsidRPr="007F3A46">
        <w:rPr>
          <w:rFonts w:cs="Calibri" w:eastAsiaTheme="minorEastAsia"/>
          <w:color w:val="000000" w:themeColor="text1"/>
          <w:kern w:val="24"/>
        </w:rPr>
        <w:t xml:space="preserve"> </w:t>
      </w:r>
      <w:hyperlink w:history="1" r:id="rId17">
        <w:r w:rsidRPr="005E24D9">
          <w:rPr>
            <w:rStyle w:val="Hyperlink"/>
            <w:rFonts w:cs="Calibri" w:eastAsiaTheme="minorEastAsia"/>
            <w:kern w:val="24"/>
          </w:rPr>
          <w:t>https://www.reginfo.gov/public/</w:t>
        </w:r>
      </w:hyperlink>
      <w:r>
        <w:rPr>
          <w:rFonts w:cs="Calibri" w:eastAsiaTheme="minorEastAsia"/>
          <w:color w:val="000000" w:themeColor="text1"/>
          <w:kern w:val="24"/>
        </w:rPr>
        <w:t xml:space="preserve">.  </w:t>
      </w:r>
      <w:r w:rsidRPr="007F3A46">
        <w:rPr>
          <w:rFonts w:cs="Calibri" w:eastAsiaTheme="minorEastAsia"/>
          <w:color w:val="000000" w:themeColor="text1"/>
          <w:kern w:val="24"/>
        </w:rPr>
        <w:t xml:space="preserve">We intend to include the OMB control number and expiration date on the guidance </w:t>
      </w:r>
      <w:r>
        <w:rPr>
          <w:rFonts w:cs="Calibri" w:eastAsiaTheme="minorEastAsia"/>
          <w:color w:val="000000" w:themeColor="text1"/>
          <w:kern w:val="24"/>
        </w:rPr>
        <w:t xml:space="preserve">document </w:t>
      </w:r>
      <w:r w:rsidRPr="007F3A46">
        <w:rPr>
          <w:rFonts w:cs="Calibri" w:eastAsiaTheme="minorEastAsia"/>
          <w:color w:val="000000" w:themeColor="text1"/>
          <w:kern w:val="24"/>
        </w:rPr>
        <w:t>landing page, allowing those who download the document an easily identifiable option to view this information.  This also allows the agency to more easily update the expiration date upon renewal and/or revision of OMB approval</w:t>
      </w:r>
      <w:r>
        <w:rPr>
          <w:rFonts w:cs="Calibri" w:eastAsiaTheme="minorEastAsia"/>
          <w:color w:val="000000" w:themeColor="text1"/>
          <w:kern w:val="24"/>
        </w:rPr>
        <w:t xml:space="preserve"> of associated information collection</w:t>
      </w:r>
      <w:r w:rsidRPr="007F3A46">
        <w:rPr>
          <w:rFonts w:cs="Calibri" w:eastAsiaTheme="minorEastAsia"/>
          <w:color w:val="000000" w:themeColor="text1"/>
          <w:kern w:val="24"/>
        </w:rPr>
        <w:t>.  We are taking this approach to improve compatibility with current website platform</w:t>
      </w:r>
      <w:r>
        <w:rPr>
          <w:rFonts w:cs="Calibri" w:eastAsiaTheme="minorEastAsia"/>
          <w:color w:val="000000" w:themeColor="text1"/>
          <w:kern w:val="24"/>
        </w:rPr>
        <w:t>s utilized by FDA</w:t>
      </w:r>
      <w:r w:rsidRPr="00240488" w:rsidR="004571E4">
        <w:t>.</w:t>
      </w:r>
    </w:p>
    <w:p w:rsidRPr="007316E4" w:rsidR="00357C8A" w:rsidP="007316E4" w:rsidRDefault="00357C8A" w14:paraId="576FE063" w14:textId="128E099A">
      <w:pPr>
        <w:kinsoku w:val="0"/>
        <w:overflowPunct w:val="0"/>
        <w:textAlignment w:val="baseline"/>
      </w:pPr>
      <w:r w:rsidRPr="00357C8A">
        <w:rPr>
          <w:rFonts w:eastAsia="Calibri"/>
          <w:color w:val="FF0000"/>
        </w:rPr>
        <w:t xml:space="preserve"> </w:t>
      </w:r>
    </w:p>
    <w:p w:rsidRPr="00357C8A" w:rsidR="00357C8A" w:rsidP="0089771C" w:rsidRDefault="00357C8A" w14:paraId="7A000F20"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89771C" w:rsidRDefault="007E59A8" w14:paraId="6F5144AB" w14:textId="77777777">
      <w:pPr>
        <w:spacing w:after="200"/>
        <w:rPr>
          <w:rFonts w:eastAsia="Calibri"/>
        </w:rPr>
      </w:pPr>
      <w:r w:rsidRPr="007E59A8">
        <w:rPr>
          <w:rFonts w:eastAsia="Calibri"/>
        </w:rPr>
        <w:t>There are no exceptions to the certification</w:t>
      </w:r>
      <w:r>
        <w:rPr>
          <w:rFonts w:eastAsia="Calibri"/>
        </w:rPr>
        <w:t>.</w:t>
      </w:r>
    </w:p>
    <w:sectPr w:rsidRPr="00C20690" w:rsidR="00544138" w:rsidSect="008D68DE">
      <w:footerReference w:type="even" r:id="rId18"/>
      <w:footerReference w:type="default" r:id="rId19"/>
      <w:pgSz w:w="12240" w:h="15840" w:code="1"/>
      <w:pgMar w:top="1440" w:right="1440"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935F0" w14:textId="77777777" w:rsidR="00D56346" w:rsidRDefault="00D56346">
      <w:r>
        <w:separator/>
      </w:r>
    </w:p>
  </w:endnote>
  <w:endnote w:type="continuationSeparator" w:id="0">
    <w:p w14:paraId="4D58526E" w14:textId="77777777" w:rsidR="00D56346" w:rsidRDefault="00D5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635B"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035C11"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D13B"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50908E9D"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91E9A" w14:textId="77777777" w:rsidR="00D56346" w:rsidRDefault="00D56346">
      <w:r>
        <w:separator/>
      </w:r>
    </w:p>
  </w:footnote>
  <w:footnote w:type="continuationSeparator" w:id="0">
    <w:p w14:paraId="6CD2B6BA" w14:textId="77777777" w:rsidR="00D56346" w:rsidRDefault="00D56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2534"/>
    <w:rsid w:val="00031A2C"/>
    <w:rsid w:val="00035FC7"/>
    <w:rsid w:val="000407C1"/>
    <w:rsid w:val="000409A6"/>
    <w:rsid w:val="00042732"/>
    <w:rsid w:val="00042B93"/>
    <w:rsid w:val="00043C7F"/>
    <w:rsid w:val="000467A8"/>
    <w:rsid w:val="0006335C"/>
    <w:rsid w:val="0006570F"/>
    <w:rsid w:val="00075DE8"/>
    <w:rsid w:val="00087439"/>
    <w:rsid w:val="00094352"/>
    <w:rsid w:val="00095E7A"/>
    <w:rsid w:val="000B33A7"/>
    <w:rsid w:val="000C1260"/>
    <w:rsid w:val="000C560C"/>
    <w:rsid w:val="000D080B"/>
    <w:rsid w:val="000D48FD"/>
    <w:rsid w:val="000D7113"/>
    <w:rsid w:val="000D79CC"/>
    <w:rsid w:val="000E1C64"/>
    <w:rsid w:val="000E7241"/>
    <w:rsid w:val="000F7119"/>
    <w:rsid w:val="00100410"/>
    <w:rsid w:val="00100739"/>
    <w:rsid w:val="0010493E"/>
    <w:rsid w:val="001075D3"/>
    <w:rsid w:val="00107885"/>
    <w:rsid w:val="00113C03"/>
    <w:rsid w:val="00114FC4"/>
    <w:rsid w:val="00116171"/>
    <w:rsid w:val="0012329C"/>
    <w:rsid w:val="00132D8C"/>
    <w:rsid w:val="00134FA7"/>
    <w:rsid w:val="00137950"/>
    <w:rsid w:val="00152F29"/>
    <w:rsid w:val="001630F2"/>
    <w:rsid w:val="00174D54"/>
    <w:rsid w:val="001755C7"/>
    <w:rsid w:val="0017702C"/>
    <w:rsid w:val="0018021A"/>
    <w:rsid w:val="00185270"/>
    <w:rsid w:val="00190883"/>
    <w:rsid w:val="001A3B5A"/>
    <w:rsid w:val="001B7CE9"/>
    <w:rsid w:val="001D495A"/>
    <w:rsid w:val="001D7A93"/>
    <w:rsid w:val="001E244C"/>
    <w:rsid w:val="001E27A0"/>
    <w:rsid w:val="001E4BC3"/>
    <w:rsid w:val="001F1437"/>
    <w:rsid w:val="001F306F"/>
    <w:rsid w:val="00206799"/>
    <w:rsid w:val="002074FE"/>
    <w:rsid w:val="00207E78"/>
    <w:rsid w:val="0022425B"/>
    <w:rsid w:val="002259EF"/>
    <w:rsid w:val="00233586"/>
    <w:rsid w:val="00242ED1"/>
    <w:rsid w:val="002444BB"/>
    <w:rsid w:val="00247D40"/>
    <w:rsid w:val="00254069"/>
    <w:rsid w:val="0026665B"/>
    <w:rsid w:val="00270748"/>
    <w:rsid w:val="002734E5"/>
    <w:rsid w:val="002746DB"/>
    <w:rsid w:val="00280CAF"/>
    <w:rsid w:val="00282F09"/>
    <w:rsid w:val="00291810"/>
    <w:rsid w:val="00294D62"/>
    <w:rsid w:val="00297532"/>
    <w:rsid w:val="00297FFD"/>
    <w:rsid w:val="002A1210"/>
    <w:rsid w:val="002A29E4"/>
    <w:rsid w:val="002A47D2"/>
    <w:rsid w:val="002A7FB5"/>
    <w:rsid w:val="002B2074"/>
    <w:rsid w:val="002D14D8"/>
    <w:rsid w:val="002D4799"/>
    <w:rsid w:val="002E3FA4"/>
    <w:rsid w:val="002E53A5"/>
    <w:rsid w:val="002E64B8"/>
    <w:rsid w:val="002E6834"/>
    <w:rsid w:val="002F3034"/>
    <w:rsid w:val="00302D48"/>
    <w:rsid w:val="003113FF"/>
    <w:rsid w:val="00312622"/>
    <w:rsid w:val="0032277F"/>
    <w:rsid w:val="0032788A"/>
    <w:rsid w:val="00336B69"/>
    <w:rsid w:val="0034302B"/>
    <w:rsid w:val="00350523"/>
    <w:rsid w:val="0035189D"/>
    <w:rsid w:val="00355B62"/>
    <w:rsid w:val="00357C8A"/>
    <w:rsid w:val="00366428"/>
    <w:rsid w:val="003740BC"/>
    <w:rsid w:val="0037456B"/>
    <w:rsid w:val="003801A3"/>
    <w:rsid w:val="00383D90"/>
    <w:rsid w:val="003870AE"/>
    <w:rsid w:val="00387AD4"/>
    <w:rsid w:val="00391BE3"/>
    <w:rsid w:val="003A1A27"/>
    <w:rsid w:val="003A50CC"/>
    <w:rsid w:val="003A6299"/>
    <w:rsid w:val="003B40CA"/>
    <w:rsid w:val="003B42B3"/>
    <w:rsid w:val="003B6384"/>
    <w:rsid w:val="003C0FE2"/>
    <w:rsid w:val="003C4EBB"/>
    <w:rsid w:val="003D1531"/>
    <w:rsid w:val="003E4EC6"/>
    <w:rsid w:val="003E527E"/>
    <w:rsid w:val="003E553E"/>
    <w:rsid w:val="003E7078"/>
    <w:rsid w:val="003F0CB2"/>
    <w:rsid w:val="003F25D4"/>
    <w:rsid w:val="003F3DF5"/>
    <w:rsid w:val="003F6E25"/>
    <w:rsid w:val="003F73B8"/>
    <w:rsid w:val="0040297E"/>
    <w:rsid w:val="00411D11"/>
    <w:rsid w:val="00414494"/>
    <w:rsid w:val="0041595B"/>
    <w:rsid w:val="00415E23"/>
    <w:rsid w:val="0041670D"/>
    <w:rsid w:val="00416757"/>
    <w:rsid w:val="00423272"/>
    <w:rsid w:val="00424061"/>
    <w:rsid w:val="00441CED"/>
    <w:rsid w:val="00442A3C"/>
    <w:rsid w:val="00443969"/>
    <w:rsid w:val="00444C5D"/>
    <w:rsid w:val="004470DE"/>
    <w:rsid w:val="00447D74"/>
    <w:rsid w:val="00450A74"/>
    <w:rsid w:val="004546BF"/>
    <w:rsid w:val="004571E4"/>
    <w:rsid w:val="0046158E"/>
    <w:rsid w:val="00465350"/>
    <w:rsid w:val="004705D5"/>
    <w:rsid w:val="00476B91"/>
    <w:rsid w:val="004773FC"/>
    <w:rsid w:val="00480348"/>
    <w:rsid w:val="004846BF"/>
    <w:rsid w:val="00490474"/>
    <w:rsid w:val="00494912"/>
    <w:rsid w:val="004A5323"/>
    <w:rsid w:val="004A5A99"/>
    <w:rsid w:val="004C4F7C"/>
    <w:rsid w:val="004C6979"/>
    <w:rsid w:val="004C7777"/>
    <w:rsid w:val="004D13A2"/>
    <w:rsid w:val="004D3E7A"/>
    <w:rsid w:val="004D512D"/>
    <w:rsid w:val="004F3A81"/>
    <w:rsid w:val="004F594B"/>
    <w:rsid w:val="004F61E1"/>
    <w:rsid w:val="004F61F5"/>
    <w:rsid w:val="00511E61"/>
    <w:rsid w:val="00516C0D"/>
    <w:rsid w:val="00520334"/>
    <w:rsid w:val="0053380B"/>
    <w:rsid w:val="00543194"/>
    <w:rsid w:val="00544138"/>
    <w:rsid w:val="00554E34"/>
    <w:rsid w:val="0056531D"/>
    <w:rsid w:val="005838DA"/>
    <w:rsid w:val="00584583"/>
    <w:rsid w:val="00584F85"/>
    <w:rsid w:val="00590E90"/>
    <w:rsid w:val="00590EEB"/>
    <w:rsid w:val="0059746C"/>
    <w:rsid w:val="005A4099"/>
    <w:rsid w:val="005C38B2"/>
    <w:rsid w:val="005C5029"/>
    <w:rsid w:val="005C55C2"/>
    <w:rsid w:val="005C5D04"/>
    <w:rsid w:val="005C71CA"/>
    <w:rsid w:val="005C745C"/>
    <w:rsid w:val="005C78A6"/>
    <w:rsid w:val="005D21AD"/>
    <w:rsid w:val="005D4DF5"/>
    <w:rsid w:val="005E42BA"/>
    <w:rsid w:val="005E4750"/>
    <w:rsid w:val="006005CA"/>
    <w:rsid w:val="0061047C"/>
    <w:rsid w:val="00611D6B"/>
    <w:rsid w:val="00613228"/>
    <w:rsid w:val="00625CFD"/>
    <w:rsid w:val="006260FB"/>
    <w:rsid w:val="00631D53"/>
    <w:rsid w:val="00631F38"/>
    <w:rsid w:val="006326EC"/>
    <w:rsid w:val="00637883"/>
    <w:rsid w:val="006407B0"/>
    <w:rsid w:val="0064456F"/>
    <w:rsid w:val="00647419"/>
    <w:rsid w:val="00647526"/>
    <w:rsid w:val="006512DF"/>
    <w:rsid w:val="00663A42"/>
    <w:rsid w:val="006641C7"/>
    <w:rsid w:val="006705EA"/>
    <w:rsid w:val="00670BE2"/>
    <w:rsid w:val="00674742"/>
    <w:rsid w:val="006916D9"/>
    <w:rsid w:val="006A0E05"/>
    <w:rsid w:val="006A26C6"/>
    <w:rsid w:val="006A465A"/>
    <w:rsid w:val="006A7D5D"/>
    <w:rsid w:val="006B1C45"/>
    <w:rsid w:val="006D0027"/>
    <w:rsid w:val="006D0C12"/>
    <w:rsid w:val="006D5D57"/>
    <w:rsid w:val="006E2538"/>
    <w:rsid w:val="006E302F"/>
    <w:rsid w:val="006F4D6D"/>
    <w:rsid w:val="007040A0"/>
    <w:rsid w:val="00705086"/>
    <w:rsid w:val="00705C7C"/>
    <w:rsid w:val="00712EF9"/>
    <w:rsid w:val="007215F8"/>
    <w:rsid w:val="00722001"/>
    <w:rsid w:val="007316E4"/>
    <w:rsid w:val="007359A3"/>
    <w:rsid w:val="0074573E"/>
    <w:rsid w:val="0075027F"/>
    <w:rsid w:val="00751330"/>
    <w:rsid w:val="00751E66"/>
    <w:rsid w:val="00754497"/>
    <w:rsid w:val="00760FF7"/>
    <w:rsid w:val="00787C39"/>
    <w:rsid w:val="00792947"/>
    <w:rsid w:val="00795DF3"/>
    <w:rsid w:val="007A373C"/>
    <w:rsid w:val="007B225C"/>
    <w:rsid w:val="007C0F4F"/>
    <w:rsid w:val="007C3B79"/>
    <w:rsid w:val="007C75B1"/>
    <w:rsid w:val="007D3DFC"/>
    <w:rsid w:val="007D45DD"/>
    <w:rsid w:val="007E2F07"/>
    <w:rsid w:val="007E59A8"/>
    <w:rsid w:val="0080776D"/>
    <w:rsid w:val="00810145"/>
    <w:rsid w:val="008108FA"/>
    <w:rsid w:val="00810FF1"/>
    <w:rsid w:val="00822336"/>
    <w:rsid w:val="00823DFA"/>
    <w:rsid w:val="00824139"/>
    <w:rsid w:val="00836D6A"/>
    <w:rsid w:val="00842DB7"/>
    <w:rsid w:val="00843752"/>
    <w:rsid w:val="0084479F"/>
    <w:rsid w:val="0085725E"/>
    <w:rsid w:val="0086578F"/>
    <w:rsid w:val="00873D4F"/>
    <w:rsid w:val="0087509F"/>
    <w:rsid w:val="00876D20"/>
    <w:rsid w:val="008811B6"/>
    <w:rsid w:val="00885B09"/>
    <w:rsid w:val="00885B77"/>
    <w:rsid w:val="00892400"/>
    <w:rsid w:val="008970EB"/>
    <w:rsid w:val="0089771C"/>
    <w:rsid w:val="008A209D"/>
    <w:rsid w:val="008A22BB"/>
    <w:rsid w:val="008B035D"/>
    <w:rsid w:val="008B0E29"/>
    <w:rsid w:val="008B0EFA"/>
    <w:rsid w:val="008B30AB"/>
    <w:rsid w:val="008C3BB8"/>
    <w:rsid w:val="008C4B65"/>
    <w:rsid w:val="008D50CF"/>
    <w:rsid w:val="008D68DE"/>
    <w:rsid w:val="008E3D69"/>
    <w:rsid w:val="008E5F55"/>
    <w:rsid w:val="008F2616"/>
    <w:rsid w:val="008F72BD"/>
    <w:rsid w:val="009009E7"/>
    <w:rsid w:val="00905DEF"/>
    <w:rsid w:val="00906056"/>
    <w:rsid w:val="009122AE"/>
    <w:rsid w:val="00913B43"/>
    <w:rsid w:val="009153A0"/>
    <w:rsid w:val="00930203"/>
    <w:rsid w:val="009311D2"/>
    <w:rsid w:val="009311E6"/>
    <w:rsid w:val="00931275"/>
    <w:rsid w:val="00932286"/>
    <w:rsid w:val="00936AC7"/>
    <w:rsid w:val="0094712A"/>
    <w:rsid w:val="009478CE"/>
    <w:rsid w:val="00953B64"/>
    <w:rsid w:val="009646A7"/>
    <w:rsid w:val="00970A88"/>
    <w:rsid w:val="009818A1"/>
    <w:rsid w:val="009975EB"/>
    <w:rsid w:val="00997C51"/>
    <w:rsid w:val="009A1674"/>
    <w:rsid w:val="009B38BE"/>
    <w:rsid w:val="009B4DF2"/>
    <w:rsid w:val="009C684F"/>
    <w:rsid w:val="009D074C"/>
    <w:rsid w:val="009D6DCC"/>
    <w:rsid w:val="009D6E73"/>
    <w:rsid w:val="009E7D45"/>
    <w:rsid w:val="009F1F1D"/>
    <w:rsid w:val="009F2B4F"/>
    <w:rsid w:val="009F3C63"/>
    <w:rsid w:val="009F66B5"/>
    <w:rsid w:val="00A02F10"/>
    <w:rsid w:val="00A1060C"/>
    <w:rsid w:val="00A12D4E"/>
    <w:rsid w:val="00A16221"/>
    <w:rsid w:val="00A20A7D"/>
    <w:rsid w:val="00A226F2"/>
    <w:rsid w:val="00A35466"/>
    <w:rsid w:val="00A35D42"/>
    <w:rsid w:val="00A4617F"/>
    <w:rsid w:val="00A46CCF"/>
    <w:rsid w:val="00A506DE"/>
    <w:rsid w:val="00A53451"/>
    <w:rsid w:val="00A70426"/>
    <w:rsid w:val="00A707CC"/>
    <w:rsid w:val="00A71410"/>
    <w:rsid w:val="00A76245"/>
    <w:rsid w:val="00A91E9A"/>
    <w:rsid w:val="00A93ED9"/>
    <w:rsid w:val="00A96221"/>
    <w:rsid w:val="00AA6694"/>
    <w:rsid w:val="00AB10F9"/>
    <w:rsid w:val="00AC2DBB"/>
    <w:rsid w:val="00AC6A99"/>
    <w:rsid w:val="00AD6048"/>
    <w:rsid w:val="00AE34DD"/>
    <w:rsid w:val="00B055EF"/>
    <w:rsid w:val="00B06B5B"/>
    <w:rsid w:val="00B10CB5"/>
    <w:rsid w:val="00B177CB"/>
    <w:rsid w:val="00B204EE"/>
    <w:rsid w:val="00B23769"/>
    <w:rsid w:val="00B30E3E"/>
    <w:rsid w:val="00B4063C"/>
    <w:rsid w:val="00B41789"/>
    <w:rsid w:val="00B4787A"/>
    <w:rsid w:val="00B62DCC"/>
    <w:rsid w:val="00B7562B"/>
    <w:rsid w:val="00B81808"/>
    <w:rsid w:val="00B86DFA"/>
    <w:rsid w:val="00B91AE2"/>
    <w:rsid w:val="00B936D0"/>
    <w:rsid w:val="00BA1CE7"/>
    <w:rsid w:val="00BA475D"/>
    <w:rsid w:val="00BB15FB"/>
    <w:rsid w:val="00BC6898"/>
    <w:rsid w:val="00BD339A"/>
    <w:rsid w:val="00BD3885"/>
    <w:rsid w:val="00BD3D5B"/>
    <w:rsid w:val="00BE1DA1"/>
    <w:rsid w:val="00BE3600"/>
    <w:rsid w:val="00BE4219"/>
    <w:rsid w:val="00C011E7"/>
    <w:rsid w:val="00C01F6F"/>
    <w:rsid w:val="00C041EA"/>
    <w:rsid w:val="00C04D2B"/>
    <w:rsid w:val="00C13BBD"/>
    <w:rsid w:val="00C149AB"/>
    <w:rsid w:val="00C14FED"/>
    <w:rsid w:val="00C15360"/>
    <w:rsid w:val="00C16929"/>
    <w:rsid w:val="00C20690"/>
    <w:rsid w:val="00C36020"/>
    <w:rsid w:val="00C40694"/>
    <w:rsid w:val="00C467AC"/>
    <w:rsid w:val="00C473FC"/>
    <w:rsid w:val="00C479BF"/>
    <w:rsid w:val="00C5124B"/>
    <w:rsid w:val="00C62663"/>
    <w:rsid w:val="00C70542"/>
    <w:rsid w:val="00C75CBF"/>
    <w:rsid w:val="00C82262"/>
    <w:rsid w:val="00CC2894"/>
    <w:rsid w:val="00CD0421"/>
    <w:rsid w:val="00CD5C47"/>
    <w:rsid w:val="00CD77C3"/>
    <w:rsid w:val="00CE112C"/>
    <w:rsid w:val="00CE5462"/>
    <w:rsid w:val="00CE605F"/>
    <w:rsid w:val="00CF55D4"/>
    <w:rsid w:val="00D448A3"/>
    <w:rsid w:val="00D56346"/>
    <w:rsid w:val="00D608DA"/>
    <w:rsid w:val="00D730BF"/>
    <w:rsid w:val="00D77B9E"/>
    <w:rsid w:val="00D852F4"/>
    <w:rsid w:val="00D9490B"/>
    <w:rsid w:val="00DA61DC"/>
    <w:rsid w:val="00DB1110"/>
    <w:rsid w:val="00DB3730"/>
    <w:rsid w:val="00DC371B"/>
    <w:rsid w:val="00DC3788"/>
    <w:rsid w:val="00DC4236"/>
    <w:rsid w:val="00DC76C7"/>
    <w:rsid w:val="00DD09F5"/>
    <w:rsid w:val="00DD0E02"/>
    <w:rsid w:val="00DD3725"/>
    <w:rsid w:val="00DD4201"/>
    <w:rsid w:val="00DD5E9F"/>
    <w:rsid w:val="00DD6A38"/>
    <w:rsid w:val="00DE5711"/>
    <w:rsid w:val="00DF31D1"/>
    <w:rsid w:val="00E00EA0"/>
    <w:rsid w:val="00E021CB"/>
    <w:rsid w:val="00E1273B"/>
    <w:rsid w:val="00E138F1"/>
    <w:rsid w:val="00E227F8"/>
    <w:rsid w:val="00E2309D"/>
    <w:rsid w:val="00E26758"/>
    <w:rsid w:val="00E4357B"/>
    <w:rsid w:val="00E443A7"/>
    <w:rsid w:val="00E45904"/>
    <w:rsid w:val="00E63DE5"/>
    <w:rsid w:val="00E647AF"/>
    <w:rsid w:val="00E647C7"/>
    <w:rsid w:val="00E65A37"/>
    <w:rsid w:val="00E65EF7"/>
    <w:rsid w:val="00E70926"/>
    <w:rsid w:val="00E76322"/>
    <w:rsid w:val="00E77B48"/>
    <w:rsid w:val="00E857FB"/>
    <w:rsid w:val="00E91799"/>
    <w:rsid w:val="00E9274E"/>
    <w:rsid w:val="00E97DF8"/>
    <w:rsid w:val="00EA086C"/>
    <w:rsid w:val="00EA21FE"/>
    <w:rsid w:val="00EA34E3"/>
    <w:rsid w:val="00EB7538"/>
    <w:rsid w:val="00EC1868"/>
    <w:rsid w:val="00EE0F32"/>
    <w:rsid w:val="00EE6468"/>
    <w:rsid w:val="00F0179C"/>
    <w:rsid w:val="00F1299B"/>
    <w:rsid w:val="00F15D84"/>
    <w:rsid w:val="00F207A4"/>
    <w:rsid w:val="00F25173"/>
    <w:rsid w:val="00F355AC"/>
    <w:rsid w:val="00F36746"/>
    <w:rsid w:val="00F40CF7"/>
    <w:rsid w:val="00F41920"/>
    <w:rsid w:val="00F44194"/>
    <w:rsid w:val="00F47F99"/>
    <w:rsid w:val="00F71A5A"/>
    <w:rsid w:val="00F73A1A"/>
    <w:rsid w:val="00F769E0"/>
    <w:rsid w:val="00FA3221"/>
    <w:rsid w:val="00FA4A46"/>
    <w:rsid w:val="00FA75FE"/>
    <w:rsid w:val="00FB1032"/>
    <w:rsid w:val="00FB39BC"/>
    <w:rsid w:val="00FB6A53"/>
    <w:rsid w:val="00FC11CA"/>
    <w:rsid w:val="00FC64EE"/>
    <w:rsid w:val="00FC6BDE"/>
    <w:rsid w:val="00FC6EF7"/>
    <w:rsid w:val="00FD4A2B"/>
    <w:rsid w:val="00FE31FD"/>
    <w:rsid w:val="00FF04BE"/>
    <w:rsid w:val="00FF1D1D"/>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83DB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character" w:styleId="CommentReference">
    <w:name w:val="annotation reference"/>
    <w:rsid w:val="00116171"/>
    <w:rPr>
      <w:sz w:val="16"/>
      <w:szCs w:val="16"/>
    </w:rPr>
  </w:style>
  <w:style w:type="paragraph" w:styleId="CommentText">
    <w:name w:val="annotation text"/>
    <w:basedOn w:val="Normal"/>
    <w:link w:val="CommentTextChar"/>
    <w:rsid w:val="00116171"/>
    <w:rPr>
      <w:sz w:val="20"/>
      <w:szCs w:val="20"/>
    </w:rPr>
  </w:style>
  <w:style w:type="character" w:customStyle="1" w:styleId="CommentTextChar">
    <w:name w:val="Comment Text Char"/>
    <w:basedOn w:val="DefaultParagraphFont"/>
    <w:link w:val="CommentText"/>
    <w:rsid w:val="00116171"/>
  </w:style>
  <w:style w:type="paragraph" w:styleId="CommentSubject">
    <w:name w:val="annotation subject"/>
    <w:basedOn w:val="CommentText"/>
    <w:next w:val="CommentText"/>
    <w:link w:val="CommentSubjectChar"/>
    <w:rsid w:val="00116171"/>
    <w:rPr>
      <w:b/>
      <w:bCs/>
    </w:rPr>
  </w:style>
  <w:style w:type="character" w:customStyle="1" w:styleId="CommentSubjectChar">
    <w:name w:val="Comment Subject Char"/>
    <w:link w:val="CommentSubject"/>
    <w:rsid w:val="00116171"/>
    <w:rPr>
      <w:b/>
      <w:bCs/>
    </w:rPr>
  </w:style>
  <w:style w:type="character" w:customStyle="1" w:styleId="FooterChar">
    <w:name w:val="Footer Char"/>
    <w:link w:val="Footer"/>
    <w:locked/>
    <w:rsid w:val="00B204EE"/>
    <w:rPr>
      <w:sz w:val="24"/>
      <w:szCs w:val="24"/>
    </w:rPr>
  </w:style>
  <w:style w:type="paragraph" w:styleId="Revision">
    <w:name w:val="Revision"/>
    <w:hidden/>
    <w:uiPriority w:val="99"/>
    <w:semiHidden/>
    <w:rsid w:val="008241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170335">
      <w:bodyDiv w:val="1"/>
      <w:marLeft w:val="0"/>
      <w:marRight w:val="0"/>
      <w:marTop w:val="0"/>
      <w:marBottom w:val="0"/>
      <w:divBdr>
        <w:top w:val="none" w:sz="0" w:space="0" w:color="auto"/>
        <w:left w:val="none" w:sz="0" w:space="0" w:color="auto"/>
        <w:bottom w:val="none" w:sz="0" w:space="0" w:color="auto"/>
        <w:right w:val="none" w:sz="0" w:space="0" w:color="auto"/>
      </w:divBdr>
    </w:div>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da.gov/media/93354/download" TargetMode="External"/><Relationship Id="rId13" Type="http://schemas.openxmlformats.org/officeDocument/2006/relationships/hyperlink" Target="https://www.fda.gov/media/93354/download"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da.gov/media/106899/download" TargetMode="External"/><Relationship Id="rId12" Type="http://schemas.openxmlformats.org/officeDocument/2006/relationships/hyperlink" Target="https://www.fda.gov/media/93354/download" TargetMode="External"/><Relationship Id="rId17" Type="http://schemas.openxmlformats.org/officeDocument/2006/relationships/hyperlink" Target="https://www.reginfo.gov/public/" TargetMode="External"/><Relationship Id="rId2" Type="http://schemas.openxmlformats.org/officeDocument/2006/relationships/styles" Target="styles.xml"/><Relationship Id="rId16" Type="http://schemas.openxmlformats.org/officeDocument/2006/relationships/hyperlink" Target="https://www.opm.gov/policy-data-oversight/pay-leave/salaries-wages/salary-tables/21Tables/html/DCB_h.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a/106899/download" TargetMode="External"/><Relationship Id="rId5" Type="http://schemas.openxmlformats.org/officeDocument/2006/relationships/footnotes" Target="footnotes.xml"/><Relationship Id="rId15" Type="http://schemas.openxmlformats.org/officeDocument/2006/relationships/hyperlink" Target="https://www.bls.gov/oes/current/oes_nat.htm" TargetMode="External"/><Relationship Id="rId10" Type="http://schemas.openxmlformats.org/officeDocument/2006/relationships/hyperlink" Target="https://www.hhs.gov/foia/privacy/sorns/09100021/index.htm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fda.gov/media/93354/download" TargetMode="Externa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1854</Words>
  <Characters>10573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12403</CharactersWithSpaces>
  <SharedDoc>false</SharedDoc>
  <HLinks>
    <vt:vector size="42" baseType="variant">
      <vt:variant>
        <vt:i4>37</vt:i4>
      </vt:variant>
      <vt:variant>
        <vt:i4>24</vt:i4>
      </vt:variant>
      <vt:variant>
        <vt:i4>0</vt:i4>
      </vt:variant>
      <vt:variant>
        <vt:i4>5</vt:i4>
      </vt:variant>
      <vt:variant>
        <vt:lpwstr>https://www.opm.gov/policy-data-oversight/pay-leave/salaries-wages/salary-tables/21Tables/html/DCB_h.aspx</vt:lpwstr>
      </vt:variant>
      <vt:variant>
        <vt:lpwstr/>
      </vt:variant>
      <vt:variant>
        <vt:i4>7602205</vt:i4>
      </vt:variant>
      <vt:variant>
        <vt:i4>18</vt:i4>
      </vt:variant>
      <vt:variant>
        <vt:i4>0</vt:i4>
      </vt:variant>
      <vt:variant>
        <vt:i4>5</vt:i4>
      </vt:variant>
      <vt:variant>
        <vt:lpwstr>https://www.bls.gov/oes/current/oes_nat.htm</vt:lpwstr>
      </vt:variant>
      <vt:variant>
        <vt:lpwstr>23-0000</vt:lpwstr>
      </vt:variant>
      <vt:variant>
        <vt:i4>458867</vt:i4>
      </vt:variant>
      <vt:variant>
        <vt:i4>12</vt:i4>
      </vt:variant>
      <vt:variant>
        <vt:i4>0</vt:i4>
      </vt:variant>
      <vt:variant>
        <vt:i4>5</vt:i4>
      </vt:variant>
      <vt:variant>
        <vt:lpwstr>http://www.bls.gov/oes/current/oes_nat.htm</vt:lpwstr>
      </vt:variant>
      <vt:variant>
        <vt:lpwstr>13-0000</vt:lpwstr>
      </vt:variant>
      <vt:variant>
        <vt:i4>6750320</vt:i4>
      </vt:variant>
      <vt:variant>
        <vt:i4>9</vt:i4>
      </vt:variant>
      <vt:variant>
        <vt:i4>0</vt:i4>
      </vt:variant>
      <vt:variant>
        <vt:i4>5</vt:i4>
      </vt:variant>
      <vt:variant>
        <vt:lpwstr>https://www.fda.gov/RegulatoryInformation/FOI/PrivacyAct/ucm328522.htm</vt:lpwstr>
      </vt:variant>
      <vt:variant>
        <vt:lpwstr/>
      </vt:variant>
      <vt:variant>
        <vt:i4>4325406</vt:i4>
      </vt:variant>
      <vt:variant>
        <vt:i4>6</vt:i4>
      </vt:variant>
      <vt:variant>
        <vt:i4>0</vt:i4>
      </vt:variant>
      <vt:variant>
        <vt:i4>5</vt:i4>
      </vt:variant>
      <vt:variant>
        <vt:lpwstr>https://www.fda.gov/media/93354/download</vt:lpwstr>
      </vt:variant>
      <vt:variant>
        <vt:lpwstr/>
      </vt:variant>
      <vt:variant>
        <vt:i4>5111873</vt:i4>
      </vt:variant>
      <vt:variant>
        <vt:i4>3</vt:i4>
      </vt:variant>
      <vt:variant>
        <vt:i4>0</vt:i4>
      </vt:variant>
      <vt:variant>
        <vt:i4>5</vt:i4>
      </vt:variant>
      <vt:variant>
        <vt:lpwstr>https://www.fda.gov/media/106899/download</vt:lpwstr>
      </vt:variant>
      <vt:variant>
        <vt:lpwstr/>
      </vt:variant>
      <vt:variant>
        <vt:i4>262209</vt:i4>
      </vt:variant>
      <vt:variant>
        <vt:i4>0</vt:i4>
      </vt:variant>
      <vt:variant>
        <vt:i4>0</vt:i4>
      </vt:variant>
      <vt:variant>
        <vt:i4>5</vt:i4>
      </vt:variant>
      <vt:variant>
        <vt:lpwstr>http://www.gpo.gov/fdsys/pkg/USCODE-2010-title21/pdf/USCODE-2010-title21-chap9-subchapVII-partC-subpart3-sec379j.pdf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2022-04-29T12:04:00Z</dcterms:created>
  <dcterms:modified xsi:type="dcterms:W3CDTF">2022-04-29T12:10:00Z</dcterms:modified>
</cp:coreProperties>
</file>