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FBB" w:rsidP="005070B0" w:rsidRDefault="003D066A" w14:paraId="42E5651A" w14:textId="581204A2">
      <w:pPr>
        <w:pStyle w:val="BodyText"/>
        <w:widowControl/>
        <w:spacing w:before="2" w:line="360" w:lineRule="auto"/>
        <w:ind w:left="1440" w:right="1400"/>
        <w:jc w:val="center"/>
      </w:pPr>
      <w:r>
        <w:t>UNITED STATES FOOD &amp; DRUG ADMINISTRATION</w:t>
      </w:r>
      <w:r w:rsidR="0000117D">
        <w:t xml:space="preserve"> </w:t>
      </w:r>
    </w:p>
    <w:p w:rsidR="00A95238" w:rsidP="005070B0" w:rsidRDefault="003D066A" w14:paraId="0717A110" w14:textId="06358B5E">
      <w:pPr>
        <w:pStyle w:val="BodyText"/>
        <w:widowControl/>
        <w:spacing w:before="2" w:line="360" w:lineRule="auto"/>
        <w:ind w:left="720" w:right="680"/>
        <w:jc w:val="center"/>
      </w:pPr>
      <w:r w:rsidRPr="005D5AFB">
        <w:t>Administrative Detention And</w:t>
      </w:r>
      <w:r>
        <w:t xml:space="preserve"> </w:t>
      </w:r>
      <w:r w:rsidRPr="005D5AFB">
        <w:t>Banned</w:t>
      </w:r>
      <w:r>
        <w:t xml:space="preserve"> </w:t>
      </w:r>
      <w:r w:rsidRPr="005D5AFB">
        <w:t>Medical Devices</w:t>
      </w:r>
    </w:p>
    <w:p w:rsidR="00A95238" w:rsidP="005070B0" w:rsidRDefault="0000117D" w14:paraId="0717A113" w14:textId="4F304DDE">
      <w:pPr>
        <w:pStyle w:val="BodyText"/>
        <w:widowControl/>
        <w:spacing w:before="7" w:line="477" w:lineRule="auto"/>
        <w:ind w:left="3371" w:right="3341" w:firstLine="1"/>
        <w:jc w:val="center"/>
      </w:pPr>
      <w:r w:rsidRPr="003D066A">
        <w:rPr>
          <w:u w:val="single"/>
        </w:rPr>
        <w:t>OMB Control No. 0910-</w:t>
      </w:r>
      <w:r w:rsidRPr="003D066A" w:rsidR="00B14454">
        <w:rPr>
          <w:u w:val="single"/>
        </w:rPr>
        <w:t>0114</w:t>
      </w:r>
      <w:r>
        <w:t xml:space="preserve"> SUPPORTING STATEMENT</w:t>
      </w:r>
    </w:p>
    <w:p w:rsidR="00A95238" w:rsidP="005070B0" w:rsidRDefault="0000117D" w14:paraId="0717A114" w14:textId="77777777">
      <w:pPr>
        <w:widowControl/>
        <w:ind w:left="100"/>
        <w:rPr>
          <w:sz w:val="24"/>
        </w:rPr>
      </w:pPr>
      <w:r>
        <w:rPr>
          <w:b/>
          <w:sz w:val="24"/>
        </w:rPr>
        <w:t>Part A:</w:t>
      </w:r>
      <w:r>
        <w:rPr>
          <w:b/>
          <w:spacing w:val="59"/>
          <w:sz w:val="24"/>
        </w:rPr>
        <w:t xml:space="preserve"> </w:t>
      </w:r>
      <w:r>
        <w:rPr>
          <w:b/>
          <w:sz w:val="24"/>
        </w:rPr>
        <w:t>Justification</w:t>
      </w:r>
      <w:r>
        <w:rPr>
          <w:sz w:val="24"/>
        </w:rPr>
        <w:t>:</w:t>
      </w:r>
    </w:p>
    <w:p w:rsidR="00A95238" w:rsidP="005070B0" w:rsidRDefault="00A95238" w14:paraId="0717A115" w14:textId="77777777">
      <w:pPr>
        <w:pStyle w:val="BodyText"/>
        <w:widowControl/>
        <w:spacing w:before="3"/>
      </w:pPr>
    </w:p>
    <w:p w:rsidR="00A95238" w:rsidP="005070B0" w:rsidRDefault="0000117D" w14:paraId="0717A116" w14:textId="77777777">
      <w:pPr>
        <w:pStyle w:val="ListParagraph"/>
        <w:widowControl/>
        <w:numPr>
          <w:ilvl w:val="0"/>
          <w:numId w:val="2"/>
        </w:numPr>
        <w:spacing w:before="0"/>
        <w:rPr>
          <w:sz w:val="24"/>
        </w:rPr>
      </w:pPr>
      <w:r>
        <w:rPr>
          <w:sz w:val="24"/>
          <w:u w:val="single"/>
        </w:rPr>
        <w:t>Circumstances Making the Collection of Information</w:t>
      </w:r>
      <w:r>
        <w:rPr>
          <w:spacing w:val="2"/>
          <w:sz w:val="24"/>
          <w:u w:val="single"/>
        </w:rPr>
        <w:t xml:space="preserve"> </w:t>
      </w:r>
      <w:r>
        <w:rPr>
          <w:sz w:val="24"/>
          <w:u w:val="single"/>
        </w:rPr>
        <w:t>Necessary</w:t>
      </w:r>
    </w:p>
    <w:p w:rsidR="00B67E4E" w:rsidP="005070B0" w:rsidRDefault="0000117D" w14:paraId="235D9E69" w14:textId="5D9994EB">
      <w:pPr>
        <w:pStyle w:val="BodyText"/>
        <w:widowControl/>
        <w:spacing w:before="203"/>
        <w:ind w:left="100" w:right="853"/>
      </w:pPr>
      <w:r>
        <w:t>This information collection supports Food and Drug Administration (FDA, us or we) regulations.</w:t>
      </w:r>
      <w:r w:rsidR="003D066A">
        <w:t xml:space="preserve">  </w:t>
      </w:r>
      <w:r w:rsidR="00B67E4E">
        <w:t xml:space="preserve">Under the statutory authority of section 304(g) of the Federal Food, Drug, and Cosmetic Act (the FD&amp;C Act) (21 U.S.C. 334(g)), FDA officers or employees duly designated by the Secretary of Health and Human Services (FDA investigators) may, during establishment inspections, detain devices that are believed to be adulterated or misbranded.  </w:t>
      </w:r>
      <w:hyperlink w:history="1" r:id="rId7">
        <w:r w:rsidRPr="00872E96" w:rsidR="00B67E4E">
          <w:rPr>
            <w:rStyle w:val="Hyperlink"/>
          </w:rPr>
          <w:t>http://www.gpo.gov/fdsys/pkg/USCODE-2010-title21/pdf/USCODE-2010-title21-chap9-subchapIII-sec334.pdf</w:t>
        </w:r>
      </w:hyperlink>
    </w:p>
    <w:p w:rsidR="00B67E4E" w:rsidP="005070B0" w:rsidRDefault="003D066A" w14:paraId="71F7737A" w14:textId="533678C6">
      <w:pPr>
        <w:pStyle w:val="BodyText"/>
        <w:widowControl/>
        <w:spacing w:before="203"/>
        <w:ind w:left="100" w:right="853"/>
      </w:pPr>
      <w:r>
        <w:t xml:space="preserve">Implementing regulations regarding administrative detention procedures are found in </w:t>
      </w:r>
      <w:r w:rsidR="00B67E4E">
        <w:t>21 CFR 800.55, which includes certain reporting requirements (§ 800.55(g)(l) and (g)(2)) and recordkeeping requirements (§ 800.55(k)).</w:t>
      </w:r>
      <w:r>
        <w:t xml:space="preserve">  </w:t>
      </w:r>
      <w:r w:rsidR="00B67E4E">
        <w:t>Under § 800.55(g), an appellant of a detention order must show documentation of ownership if devices are detained at a place other than that of the appellant.</w:t>
      </w:r>
      <w:r>
        <w:t xml:space="preserve">  </w:t>
      </w:r>
      <w:r w:rsidR="00B67E4E">
        <w:t>Under § 800.55(k), the owner or other responsible person must supply records about how the devices may have become adulterated or misbranded, as well as records of distribution of the detained devices.</w:t>
      </w:r>
      <w:r>
        <w:t xml:space="preserve">  </w:t>
      </w:r>
      <w:r w:rsidR="00B67E4E">
        <w:t>These recordkeeping requirements for administrative detentions allow FDA to trace devices for which the detention period expired before a seizure is accomplished or injunctive relief is obtained.</w:t>
      </w:r>
    </w:p>
    <w:p w:rsidR="00B400AB" w:rsidP="005070B0" w:rsidRDefault="00B67E4E" w14:paraId="6B0E45B3" w14:textId="391986BC">
      <w:pPr>
        <w:pStyle w:val="BodyText"/>
        <w:widowControl/>
        <w:spacing w:before="203"/>
        <w:ind w:left="100" w:right="853"/>
      </w:pPr>
      <w:r>
        <w:t xml:space="preserve">Under section 516 of the FD&amp;C Act (21 U.S.C. 360f), FDA also has the statutory authority to ban devices that present substantial deception, or unreasonable and substantial risk of illness or injury, or unreasonable, direct, and substantial danger to the health of individuals.  </w:t>
      </w:r>
      <w:r w:rsidR="003D066A">
        <w:t xml:space="preserve">Implementing regulations regarding banned devices are found in 21 </w:t>
      </w:r>
      <w:r>
        <w:t>CFR part 895,</w:t>
      </w:r>
      <w:r w:rsidR="003D066A">
        <w:t xml:space="preserve"> and include </w:t>
      </w:r>
      <w:r>
        <w:t>certain reporting requirements in §§</w:t>
      </w:r>
      <w:r w:rsidR="00171324">
        <w:t> </w:t>
      </w:r>
      <w:r>
        <w:t>895.21(d) and 895.22(a).</w:t>
      </w:r>
    </w:p>
    <w:p w:rsidR="00A95238" w:rsidP="005070B0" w:rsidRDefault="00A95238" w14:paraId="0717A11A" w14:textId="77777777">
      <w:pPr>
        <w:pStyle w:val="BodyText"/>
        <w:widowControl/>
        <w:spacing w:before="8"/>
        <w:ind w:left="90"/>
        <w:rPr>
          <w:sz w:val="23"/>
        </w:rPr>
      </w:pPr>
    </w:p>
    <w:p w:rsidR="00A95238" w:rsidP="005070B0" w:rsidRDefault="0000117D" w14:paraId="0717A11B" w14:textId="235299EA">
      <w:pPr>
        <w:pStyle w:val="BodyText"/>
        <w:widowControl/>
        <w:spacing w:line="242" w:lineRule="auto"/>
        <w:ind w:left="100" w:right="154"/>
      </w:pPr>
      <w:r>
        <w:t xml:space="preserve">We therefore request extension of OMB approval of </w:t>
      </w:r>
      <w:r w:rsidR="00BE3E9E">
        <w:t>the information collection</w:t>
      </w:r>
      <w:r w:rsidR="00BF27E0">
        <w:t xml:space="preserve"> provisions</w:t>
      </w:r>
      <w:r>
        <w:t xml:space="preserve"> found in 21 CFR </w:t>
      </w:r>
      <w:r w:rsidR="00966EAC">
        <w:t>800.55</w:t>
      </w:r>
      <w:r w:rsidR="00BF27E0">
        <w:t xml:space="preserve"> and </w:t>
      </w:r>
      <w:r w:rsidR="00966EAC">
        <w:t>Part 895</w:t>
      </w:r>
      <w:r w:rsidR="003D066A">
        <w:t>,</w:t>
      </w:r>
      <w:r>
        <w:t xml:space="preserve"> as discussed in this supporting statement.</w:t>
      </w:r>
    </w:p>
    <w:p w:rsidR="00A95238" w:rsidP="005070B0" w:rsidRDefault="0000117D" w14:paraId="0717A11E" w14:textId="77777777">
      <w:pPr>
        <w:pStyle w:val="ListParagraph"/>
        <w:keepNext/>
        <w:widowControl/>
        <w:numPr>
          <w:ilvl w:val="0"/>
          <w:numId w:val="2"/>
        </w:numPr>
        <w:ind w:hanging="360"/>
        <w:rPr>
          <w:sz w:val="24"/>
        </w:rPr>
      </w:pPr>
      <w:r>
        <w:rPr>
          <w:sz w:val="24"/>
          <w:u w:val="single"/>
        </w:rPr>
        <w:t>Purpose and Use of the Information</w:t>
      </w:r>
      <w:r>
        <w:rPr>
          <w:spacing w:val="-7"/>
          <w:sz w:val="24"/>
          <w:u w:val="single"/>
        </w:rPr>
        <w:t xml:space="preserve"> </w:t>
      </w:r>
      <w:r>
        <w:rPr>
          <w:sz w:val="24"/>
          <w:u w:val="single"/>
        </w:rPr>
        <w:t>Collection</w:t>
      </w:r>
    </w:p>
    <w:p w:rsidRPr="00843DA4" w:rsidR="00843DA4" w:rsidP="005070B0" w:rsidRDefault="00843DA4" w14:paraId="1A9B7891" w14:textId="045A0C17">
      <w:pPr>
        <w:pStyle w:val="BodyText"/>
        <w:widowControl/>
        <w:spacing w:before="197"/>
        <w:ind w:left="100"/>
        <w:rPr>
          <w:szCs w:val="22"/>
        </w:rPr>
      </w:pPr>
      <w:r w:rsidRPr="00843DA4">
        <w:rPr>
          <w:szCs w:val="22"/>
        </w:rPr>
        <w:t>Data and information collected under the reporting and recordkeeping requirements of the administrative detention and banned device regulations are used by the Agency to determine whether the devices that are believed to be adulterated and/or misbranded; present substantial deception, unreasonable and substantial risk of illness or injury, or unreasonable, direct, and substantial danger to the health of individuals</w:t>
      </w:r>
      <w:r w:rsidR="00764D77">
        <w:rPr>
          <w:szCs w:val="22"/>
        </w:rPr>
        <w:t>,</w:t>
      </w:r>
      <w:r w:rsidRPr="00843DA4">
        <w:rPr>
          <w:szCs w:val="22"/>
        </w:rPr>
        <w:t xml:space="preserve"> are removed from the marketplace.  If the FDA did not have these regulations, it would not have access to certain types of data and information that industry possesses.  Thus, the collection of this information enables the Agency to perform its mission of protecting the public health.</w:t>
      </w:r>
    </w:p>
    <w:p w:rsidRPr="00843DA4" w:rsidR="00843DA4" w:rsidP="005070B0" w:rsidRDefault="00843DA4" w14:paraId="49AB3425" w14:textId="77777777">
      <w:pPr>
        <w:pStyle w:val="BodyText"/>
        <w:widowControl/>
        <w:spacing w:before="197"/>
        <w:ind w:left="100"/>
        <w:rPr>
          <w:szCs w:val="22"/>
        </w:rPr>
      </w:pPr>
      <w:r w:rsidRPr="00843DA4">
        <w:rPr>
          <w:szCs w:val="22"/>
        </w:rPr>
        <w:lastRenderedPageBreak/>
        <w:t>When a detention order is put into place, the Agency must know whether any other devices that would be subject to the order were distributed prior to that time to assure that those devices are removed from the marketplace and do not cause any adverse effects.  The recordkeeping requirement of the Administrative Detention regulation gives FDA the authority to obtain distribution information that the Agency might not otherwise have.  This recordkeeping requirement may also provide FDA with an answer for how the devices became adulterated and/or misbranded.</w:t>
      </w:r>
    </w:p>
    <w:p w:rsidRPr="00843DA4" w:rsidR="00843DA4" w:rsidP="005070B0" w:rsidRDefault="00B90FA2" w14:paraId="36884A54" w14:textId="41B17386">
      <w:pPr>
        <w:pStyle w:val="BodyText"/>
        <w:widowControl/>
        <w:spacing w:before="197"/>
        <w:ind w:left="100"/>
        <w:rPr>
          <w:szCs w:val="22"/>
        </w:rPr>
      </w:pPr>
      <w:r>
        <w:rPr>
          <w:szCs w:val="22"/>
        </w:rPr>
        <w:t>I</w:t>
      </w:r>
      <w:r w:rsidRPr="00843DA4" w:rsidR="00843DA4">
        <w:rPr>
          <w:szCs w:val="22"/>
        </w:rPr>
        <w:t>f the Commissioner of Food and Drugs believes that more information is necessary for the Agency to determine whether the device presents a substantial deception, an unreasonable and substantial risk of illness or injury, or unreasonable, direct and substantial danger to the health of individuals</w:t>
      </w:r>
      <w:r>
        <w:rPr>
          <w:szCs w:val="22"/>
        </w:rPr>
        <w:t>,</w:t>
      </w:r>
      <w:r w:rsidRPr="00843DA4" w:rsidR="00843DA4">
        <w:rPr>
          <w:szCs w:val="22"/>
        </w:rPr>
        <w:t xml:space="preserve"> FDA would require that the manufacturer, distributor, or importer submit all relevant and available data and information.  After consulting with the appropriate classification panel, FDA may initiate a proceeding to ban the device by publishing a proposed regulation in the Federal Register.  After affording all interested persons an opportunity for an informal hearing on the proposal, FDA will affirm, modify, or revoke the proposed regulation.  If the proposal is affirmed or modified, the Agency will publish a final regulation banning the device.</w:t>
      </w:r>
    </w:p>
    <w:p w:rsidR="00A95238" w:rsidP="005070B0" w:rsidRDefault="0000117D" w14:paraId="0717A122" w14:textId="77777777">
      <w:pPr>
        <w:pStyle w:val="ListParagraph"/>
        <w:widowControl/>
        <w:numPr>
          <w:ilvl w:val="0"/>
          <w:numId w:val="2"/>
        </w:numPr>
        <w:spacing w:before="205"/>
        <w:rPr>
          <w:sz w:val="24"/>
        </w:rPr>
      </w:pPr>
      <w:r>
        <w:rPr>
          <w:sz w:val="24"/>
          <w:u w:val="single"/>
        </w:rPr>
        <w:t>Use of Improved Information Technology and Burden</w:t>
      </w:r>
      <w:r>
        <w:rPr>
          <w:spacing w:val="-4"/>
          <w:sz w:val="24"/>
          <w:u w:val="single"/>
        </w:rPr>
        <w:t xml:space="preserve"> </w:t>
      </w:r>
      <w:r>
        <w:rPr>
          <w:sz w:val="24"/>
          <w:u w:val="single"/>
        </w:rPr>
        <w:t>Reduction</w:t>
      </w:r>
    </w:p>
    <w:p w:rsidR="00A95238" w:rsidP="005070B0" w:rsidRDefault="005070B0" w14:paraId="0717A127" w14:textId="6E366BE3">
      <w:pPr>
        <w:pStyle w:val="BodyText"/>
        <w:spacing w:before="198"/>
        <w:ind w:left="100"/>
      </w:pPr>
      <w:r>
        <w:t xml:space="preserve">FDA regulations permit, </w:t>
      </w:r>
      <w:r w:rsidRPr="002F3E7A" w:rsidR="002F3E7A">
        <w:t>under certain circumstances, the accept</w:t>
      </w:r>
      <w:r>
        <w:t>ance</w:t>
      </w:r>
      <w:r w:rsidRPr="002F3E7A" w:rsidR="002F3E7A">
        <w:t xml:space="preserve"> electronic signatures and handwritten signatures executed to electronic records as generally equivalent to paper records and handwritten signatures executed on paper (21 CFR part 11).  These regulations would apply to records, submitted in electronic form, that are required in Title 21 of the CFR.  The use of electronic forms for recordkeeping and reporting submissions to FDA remains voluntary.  The intended effect of this regulation is to permit use of electronic technologies in a manner that is consistent with </w:t>
      </w:r>
      <w:r>
        <w:t xml:space="preserve">our </w:t>
      </w:r>
      <w:r w:rsidRPr="002F3E7A" w:rsidR="002F3E7A">
        <w:t>overall mission and that preserves the integrity of</w:t>
      </w:r>
      <w:r>
        <w:t xml:space="preserve"> FDA</w:t>
      </w:r>
      <w:r w:rsidRPr="002F3E7A" w:rsidR="002F3E7A">
        <w:t xml:space="preserve"> enforcement activities.</w:t>
      </w:r>
      <w:r>
        <w:t xml:space="preserve">  </w:t>
      </w:r>
      <w:r w:rsidRPr="002F3E7A" w:rsidR="002F3E7A">
        <w:t>Some firms u</w:t>
      </w:r>
      <w:r>
        <w:t xml:space="preserve">tilize electronic means to satisfy </w:t>
      </w:r>
      <w:r w:rsidRPr="002F3E7A" w:rsidR="002F3E7A">
        <w:t>recordkeeping requirements.  CAD-CAM (Computer Assisted Drawing - Computer Assisted Manufacturing), lasers, photo-etching, etc., are also used to assist manufacturers in making changes to the devices or device labeling.  This results in compliance with this regulation and eliminates the need to ban a device.</w:t>
      </w:r>
      <w:r>
        <w:t xml:space="preserve">  We estimate </w:t>
      </w:r>
      <w:r w:rsidRPr="002F3E7A" w:rsidR="002F3E7A">
        <w:t>98</w:t>
      </w:r>
      <w:r>
        <w:t>%</w:t>
      </w:r>
      <w:r w:rsidRPr="002F3E7A" w:rsidR="002F3E7A">
        <w:t xml:space="preserve"> of respondents </w:t>
      </w:r>
      <w:r>
        <w:t xml:space="preserve">will use </w:t>
      </w:r>
      <w:r w:rsidRPr="002F3E7A" w:rsidR="002F3E7A">
        <w:t xml:space="preserve">electronic means to </w:t>
      </w:r>
      <w:r>
        <w:t>complete the information collection.</w:t>
      </w:r>
    </w:p>
    <w:p w:rsidR="00A95238" w:rsidP="005070B0" w:rsidRDefault="0000117D" w14:paraId="0717A128" w14:textId="77777777">
      <w:pPr>
        <w:pStyle w:val="ListParagraph"/>
        <w:widowControl/>
        <w:numPr>
          <w:ilvl w:val="0"/>
          <w:numId w:val="2"/>
        </w:numPr>
        <w:rPr>
          <w:sz w:val="24"/>
        </w:rPr>
      </w:pPr>
      <w:r>
        <w:rPr>
          <w:sz w:val="24"/>
          <w:u w:val="single"/>
        </w:rPr>
        <w:t>Efforts to Identify Duplication and Use of Similar</w:t>
      </w:r>
      <w:r>
        <w:rPr>
          <w:spacing w:val="-4"/>
          <w:sz w:val="24"/>
          <w:u w:val="single"/>
        </w:rPr>
        <w:t xml:space="preserve"> </w:t>
      </w:r>
      <w:r>
        <w:rPr>
          <w:sz w:val="24"/>
          <w:u w:val="single"/>
        </w:rPr>
        <w:t>Information</w:t>
      </w:r>
    </w:p>
    <w:p w:rsidR="00A95238" w:rsidP="005070B0" w:rsidRDefault="00A95238" w14:paraId="0717A129" w14:textId="77777777">
      <w:pPr>
        <w:pStyle w:val="BodyText"/>
        <w:widowControl/>
        <w:spacing w:before="3"/>
        <w:rPr>
          <w:sz w:val="21"/>
        </w:rPr>
      </w:pPr>
    </w:p>
    <w:p w:rsidR="00A95238" w:rsidP="005070B0" w:rsidRDefault="0000117D" w14:paraId="0717A12B" w14:textId="3C461EFE">
      <w:pPr>
        <w:pStyle w:val="BodyText"/>
        <w:widowControl/>
        <w:ind w:left="100" w:right="247"/>
      </w:pPr>
      <w:r>
        <w:t>We are unaware of duplicative information collection.</w:t>
      </w:r>
    </w:p>
    <w:p w:rsidR="00A95238" w:rsidP="005070B0" w:rsidRDefault="0000117D" w14:paraId="0717A12C" w14:textId="77777777">
      <w:pPr>
        <w:pStyle w:val="ListParagraph"/>
        <w:widowControl/>
        <w:numPr>
          <w:ilvl w:val="0"/>
          <w:numId w:val="2"/>
        </w:numPr>
        <w:rPr>
          <w:sz w:val="24"/>
        </w:rPr>
      </w:pPr>
      <w:r>
        <w:rPr>
          <w:sz w:val="24"/>
          <w:u w:val="single"/>
        </w:rPr>
        <w:t>Impact on Small Businesses or Other Small</w:t>
      </w:r>
      <w:r>
        <w:rPr>
          <w:spacing w:val="-2"/>
          <w:sz w:val="24"/>
          <w:u w:val="single"/>
        </w:rPr>
        <w:t xml:space="preserve"> </w:t>
      </w:r>
      <w:r>
        <w:rPr>
          <w:sz w:val="24"/>
          <w:u w:val="single"/>
        </w:rPr>
        <w:t>Entities</w:t>
      </w:r>
    </w:p>
    <w:p w:rsidRPr="003C55A4" w:rsidR="003C55A4" w:rsidP="005070B0" w:rsidRDefault="003C55A4" w14:paraId="54893885" w14:textId="4927AB3D">
      <w:pPr>
        <w:pStyle w:val="BodyText"/>
        <w:spacing w:before="199"/>
        <w:ind w:left="100"/>
      </w:pPr>
      <w:r w:rsidRPr="003C55A4">
        <w:t xml:space="preserve">It is estimated that respondents are from for-profit businesses. These regulations apply equally to all firms, regardless of the size of the establishment, if the product in question is believed to be adulterated or misbranded, in the case of administrative detentions, or presents an unreasonable risk or deception to the public, in the case of banning a device.  FDA offers the resources of the Center for Devices and Radiological Health’s (CDRH) Division of Industry and Consumer Education (DICE) and the </w:t>
      </w:r>
      <w:r w:rsidR="00090750">
        <w:t>Office of Product Evaluation and Quality (OPEQ)</w:t>
      </w:r>
      <w:r w:rsidR="00AF24B4">
        <w:t xml:space="preserve"> </w:t>
      </w:r>
      <w:r w:rsidRPr="003C55A4">
        <w:t>staffs.</w:t>
      </w:r>
    </w:p>
    <w:p w:rsidR="00A95238" w:rsidP="005070B0" w:rsidRDefault="003C55A4" w14:paraId="0717A12F" w14:textId="11E122EC">
      <w:pPr>
        <w:pStyle w:val="BodyText"/>
        <w:widowControl/>
        <w:spacing w:before="199"/>
        <w:ind w:left="100"/>
      </w:pPr>
      <w:r w:rsidRPr="003C55A4">
        <w:t xml:space="preserve">DICE provides technical and other nonfinancial assistance to small firms expressly to aid them in complying with the requirements of the FD&amp;C Act.  The activities of DICE include participating in and presenting conferences, workshops, seminars on the application and interpretation of relevant </w:t>
      </w:r>
      <w:r w:rsidRPr="003C55A4">
        <w:lastRenderedPageBreak/>
        <w:t>regulations, consulting with individual firms/sponsors, and development and dissemination of educational materials.  Staff is available to respond to questions and a toll free telephone number was established to facilitate this communication link.</w:t>
      </w:r>
    </w:p>
    <w:p w:rsidR="00A95238" w:rsidP="005070B0" w:rsidRDefault="0000117D" w14:paraId="0717A130" w14:textId="77777777">
      <w:pPr>
        <w:pStyle w:val="ListParagraph"/>
        <w:widowControl/>
        <w:numPr>
          <w:ilvl w:val="0"/>
          <w:numId w:val="2"/>
        </w:numPr>
        <w:rPr>
          <w:sz w:val="24"/>
        </w:rPr>
      </w:pPr>
      <w:r>
        <w:rPr>
          <w:sz w:val="24"/>
          <w:u w:val="single"/>
        </w:rPr>
        <w:t>Consequences of Collecting the Information Less</w:t>
      </w:r>
      <w:r>
        <w:rPr>
          <w:spacing w:val="1"/>
          <w:sz w:val="24"/>
          <w:u w:val="single"/>
        </w:rPr>
        <w:t xml:space="preserve"> </w:t>
      </w:r>
      <w:r>
        <w:rPr>
          <w:sz w:val="24"/>
          <w:u w:val="single"/>
        </w:rPr>
        <w:t>Frequently</w:t>
      </w:r>
    </w:p>
    <w:p w:rsidR="00A95238" w:rsidP="005070B0" w:rsidRDefault="00EB2CCD" w14:paraId="0717A133" w14:textId="21754EA9">
      <w:pPr>
        <w:pStyle w:val="BodyText"/>
        <w:spacing w:before="198"/>
        <w:ind w:left="100"/>
      </w:pPr>
      <w:r w:rsidRPr="00EB2CCD">
        <w:t>It is estimated that one respondent will report, occasionally.  The collection of data and information under these regulations is conducted on a very infrequent basis and only as necessary.  Thus, FDA could not adequately protect the public health if this information were conducted less frequently.</w:t>
      </w:r>
      <w:r w:rsidR="0062349E">
        <w:t xml:space="preserve">  </w:t>
      </w:r>
      <w:r w:rsidRPr="00EB2CCD">
        <w:t>There are no legal obstacles to reducing the burden.</w:t>
      </w:r>
    </w:p>
    <w:p w:rsidR="00A95238" w:rsidP="005070B0" w:rsidRDefault="0000117D" w14:paraId="0717A135" w14:textId="6B43ADE5">
      <w:pPr>
        <w:pStyle w:val="ListParagraph"/>
        <w:widowControl/>
        <w:numPr>
          <w:ilvl w:val="0"/>
          <w:numId w:val="2"/>
        </w:numPr>
        <w:spacing w:before="15" w:line="516" w:lineRule="exact"/>
        <w:ind w:left="100" w:right="2800" w:firstLine="0"/>
      </w:pPr>
      <w:r>
        <w:rPr>
          <w:sz w:val="24"/>
          <w:u w:val="single"/>
        </w:rPr>
        <w:t>Special Circumstances Relating to the Guidelines of 5 CFR</w:t>
      </w:r>
      <w:r>
        <w:rPr>
          <w:spacing w:val="-22"/>
          <w:sz w:val="24"/>
          <w:u w:val="single"/>
        </w:rPr>
        <w:t xml:space="preserve"> </w:t>
      </w:r>
      <w:r>
        <w:rPr>
          <w:sz w:val="24"/>
          <w:u w:val="single"/>
        </w:rPr>
        <w:t>1320.5</w:t>
      </w:r>
      <w:r>
        <w:rPr>
          <w:sz w:val="24"/>
        </w:rPr>
        <w:t xml:space="preserve"> </w:t>
      </w:r>
      <w:r w:rsidRPr="00EF6A2B" w:rsidR="009033E6">
        <w:rPr>
          <w:sz w:val="24"/>
          <w:szCs w:val="24"/>
        </w:rPr>
        <w:t>There are no special circumstances for this collection of information.</w:t>
      </w:r>
    </w:p>
    <w:p w:rsidR="00A95238" w:rsidP="005070B0" w:rsidRDefault="0000117D" w14:paraId="0717A136" w14:textId="77777777">
      <w:pPr>
        <w:pStyle w:val="ListParagraph"/>
        <w:widowControl/>
        <w:numPr>
          <w:ilvl w:val="0"/>
          <w:numId w:val="2"/>
        </w:numPr>
        <w:spacing w:line="278" w:lineRule="auto"/>
        <w:ind w:left="460" w:right="670"/>
        <w:rPr>
          <w:sz w:val="24"/>
        </w:rPr>
      </w:pPr>
      <w:r>
        <w:rPr>
          <w:sz w:val="24"/>
          <w:u w:val="single"/>
        </w:rPr>
        <w:t>Comments in Response to the Federal Register Notice and Efforts to Consult Outside</w:t>
      </w:r>
      <w:r>
        <w:rPr>
          <w:spacing w:val="-23"/>
          <w:sz w:val="24"/>
          <w:u w:val="single"/>
        </w:rPr>
        <w:t xml:space="preserve"> </w:t>
      </w:r>
      <w:r>
        <w:rPr>
          <w:sz w:val="24"/>
          <w:u w:val="single"/>
        </w:rPr>
        <w:t>the Agency</w:t>
      </w:r>
    </w:p>
    <w:p w:rsidR="003D066A" w:rsidP="005070B0" w:rsidRDefault="003D066A" w14:paraId="2436B3E5" w14:textId="77777777">
      <w:pPr>
        <w:widowControl/>
        <w:ind w:left="101"/>
        <w:rPr>
          <w:sz w:val="24"/>
        </w:rPr>
      </w:pPr>
    </w:p>
    <w:p w:rsidR="00D06A96" w:rsidP="005070B0" w:rsidRDefault="000C1B60" w14:paraId="6A6B61D5" w14:textId="70471709">
      <w:pPr>
        <w:widowControl/>
        <w:ind w:left="101"/>
        <w:rPr>
          <w:sz w:val="24"/>
        </w:rPr>
      </w:pPr>
      <w:r>
        <w:rPr>
          <w:sz w:val="24"/>
        </w:rPr>
        <w:t xml:space="preserve">In the </w:t>
      </w:r>
      <w:r w:rsidRPr="003D066A">
        <w:rPr>
          <w:iCs/>
          <w:sz w:val="24"/>
          <w:u w:val="single"/>
        </w:rPr>
        <w:t>Federal Register</w:t>
      </w:r>
      <w:r>
        <w:rPr>
          <w:sz w:val="24"/>
        </w:rPr>
        <w:t xml:space="preserve"> of November 22, 2021 (86 FR 66315), we published a 60-day notice requesting public comment on the proposed collection of information.  One comment was received communicating general support for the information collection.  Although the comment suggested the </w:t>
      </w:r>
      <w:r w:rsidR="003D066A">
        <w:rPr>
          <w:sz w:val="24"/>
        </w:rPr>
        <w:t xml:space="preserve">FDA’s </w:t>
      </w:r>
      <w:r>
        <w:rPr>
          <w:sz w:val="24"/>
        </w:rPr>
        <w:t xml:space="preserve">burden estimate may be too low, no </w:t>
      </w:r>
      <w:r w:rsidR="003D066A">
        <w:rPr>
          <w:sz w:val="24"/>
        </w:rPr>
        <w:t xml:space="preserve">alternative </w:t>
      </w:r>
      <w:r>
        <w:rPr>
          <w:sz w:val="24"/>
        </w:rPr>
        <w:t>figures were provided.</w:t>
      </w:r>
    </w:p>
    <w:p w:rsidR="00A95238" w:rsidP="005070B0" w:rsidRDefault="0000117D" w14:paraId="0717A13C" w14:textId="77777777">
      <w:pPr>
        <w:pStyle w:val="ListParagraph"/>
        <w:widowControl/>
        <w:numPr>
          <w:ilvl w:val="0"/>
          <w:numId w:val="2"/>
        </w:numPr>
        <w:rPr>
          <w:sz w:val="24"/>
        </w:rPr>
      </w:pPr>
      <w:r>
        <w:rPr>
          <w:sz w:val="24"/>
          <w:u w:val="single"/>
        </w:rPr>
        <w:t>Explanation of Any Payment or Gift to</w:t>
      </w:r>
      <w:r>
        <w:rPr>
          <w:spacing w:val="-5"/>
          <w:sz w:val="24"/>
          <w:u w:val="single"/>
        </w:rPr>
        <w:t xml:space="preserve"> </w:t>
      </w:r>
      <w:r>
        <w:rPr>
          <w:sz w:val="24"/>
          <w:u w:val="single"/>
        </w:rPr>
        <w:t>Respondents</w:t>
      </w:r>
    </w:p>
    <w:p w:rsidR="00A95238" w:rsidP="005070B0" w:rsidRDefault="00A95238" w14:paraId="0717A13D" w14:textId="77777777">
      <w:pPr>
        <w:pStyle w:val="BodyText"/>
        <w:widowControl/>
        <w:spacing w:before="3"/>
        <w:rPr>
          <w:sz w:val="21"/>
        </w:rPr>
      </w:pPr>
    </w:p>
    <w:p w:rsidR="00A95238" w:rsidP="005070B0" w:rsidRDefault="0000117D" w14:paraId="0717A13F" w14:textId="7FFAA430">
      <w:pPr>
        <w:pStyle w:val="BodyText"/>
        <w:widowControl/>
        <w:ind w:left="100" w:right="122"/>
      </w:pPr>
      <w:r>
        <w:t>There are no incentives, payments or gifts associated with this information collection.</w:t>
      </w:r>
    </w:p>
    <w:p w:rsidR="00A95238" w:rsidP="005070B0" w:rsidRDefault="0000117D" w14:paraId="0717A140" w14:textId="77777777">
      <w:pPr>
        <w:pStyle w:val="ListParagraph"/>
        <w:widowControl/>
        <w:numPr>
          <w:ilvl w:val="0"/>
          <w:numId w:val="2"/>
        </w:numPr>
        <w:rPr>
          <w:sz w:val="24"/>
        </w:rPr>
      </w:pPr>
      <w:r>
        <w:rPr>
          <w:sz w:val="24"/>
          <w:u w:val="single"/>
        </w:rPr>
        <w:t>Assurance of Confidentiality Provided to</w:t>
      </w:r>
      <w:r>
        <w:rPr>
          <w:spacing w:val="-3"/>
          <w:sz w:val="24"/>
          <w:u w:val="single"/>
        </w:rPr>
        <w:t xml:space="preserve"> </w:t>
      </w:r>
      <w:r>
        <w:rPr>
          <w:sz w:val="24"/>
          <w:u w:val="single"/>
        </w:rPr>
        <w:t>Respondents</w:t>
      </w:r>
    </w:p>
    <w:p w:rsidRPr="003F3EAF" w:rsidR="003F3EAF" w:rsidP="005070B0" w:rsidRDefault="003F3EAF" w14:paraId="199AEED1" w14:textId="483EF2AA">
      <w:pPr>
        <w:pStyle w:val="BodyText"/>
        <w:spacing w:before="120"/>
        <w:ind w:left="101"/>
      </w:pPr>
      <w:r w:rsidRPr="003F3EAF">
        <w:t>This ICR collects personally identifiable information (PII).</w:t>
      </w:r>
      <w:r w:rsidR="005070B0">
        <w:t xml:space="preserve">  </w:t>
      </w:r>
      <w:r w:rsidRPr="003F3EAF">
        <w:t xml:space="preserve">In renewing this ICR, 21 CFR 800.55(g)(1) &amp; (g)(2), 800.55(k), 895.21(d), and 895.22, staff from FDA’s Center for Devices and Radiological Health, Office of the Center Director consulted the Center for Devices and Radiological Health, Office of Communications and Education, Division of Information Disclosure and the FDA Privacy Officer to identify potential risks to the privacy of individuals whose information will be handled by or on behalf of FDA in association with the </w:t>
      </w:r>
      <w:bookmarkStart w:name="_Hlk532389804" w:id="0"/>
      <w:r w:rsidRPr="003F3EAF">
        <w:t>Administrative Detention and Banned Medical Devices Data Collection</w:t>
      </w:r>
      <w:bookmarkEnd w:id="0"/>
      <w:r w:rsidRPr="003F3EAF">
        <w:t>, if finalized as proposed.</w:t>
      </w:r>
      <w:r w:rsidR="005070B0">
        <w:t xml:space="preserve">  </w:t>
      </w:r>
      <w:r w:rsidRPr="003F3EAF">
        <w:t>In this case, the Administrative Detention and Banned Medical Devices Data Collection does solicit PII that will be collected and maintained by FDA. PII is collected in the context of the subject individuals’ professional capacity and the FDA-related work they perform for their employer (e.g., point of contact at a regulated entity).</w:t>
      </w:r>
      <w:r w:rsidR="005070B0">
        <w:t xml:space="preserve">  </w:t>
      </w:r>
      <w:r w:rsidRPr="003F3EAF">
        <w:t>The PII submitted is the name of the responsible individual, work email address, and documents relevant to an evaluation of compliance.</w:t>
      </w:r>
    </w:p>
    <w:p w:rsidRPr="003F3EAF" w:rsidR="003F3EAF" w:rsidP="005070B0" w:rsidRDefault="003F3EAF" w14:paraId="10EDF332" w14:textId="2C1A3D4C">
      <w:pPr>
        <w:pStyle w:val="BodyText"/>
        <w:spacing w:before="120"/>
        <w:ind w:left="101"/>
      </w:pPr>
      <w:r w:rsidRPr="003F3EAF">
        <w:t>FDA further determined that although PII is collected the collection is not subject to the Privacy Act of 1974 and the particular notice and other requirements of the Act do not apply.</w:t>
      </w:r>
      <w:r w:rsidR="005070B0">
        <w:t xml:space="preserve">  </w:t>
      </w:r>
      <w:r w:rsidRPr="003F3EAF">
        <w:t>Specifically, FDA does not use name or any other personal identifier to routinely retrieve records from the information collected. FDA also minimized the PII to be collected to protect the privacy of the individuals.</w:t>
      </w:r>
    </w:p>
    <w:p w:rsidR="003F3EAF" w:rsidP="005070B0" w:rsidRDefault="003F3EAF" w14:paraId="383D97BF" w14:textId="77777777">
      <w:pPr>
        <w:pStyle w:val="BodyText"/>
        <w:spacing w:before="120"/>
        <w:ind w:left="101"/>
      </w:pPr>
      <w:r w:rsidRPr="003F3EAF">
        <w:lastRenderedPageBreak/>
        <w:t>Information provided to, or obtained by, FDA is subject to release under the Freedom of Information Act (5 U.S.C. 552) and the implementing regulations contained in 21 CFR parts 20 and 21.</w:t>
      </w:r>
    </w:p>
    <w:p w:rsidRPr="003F3EAF" w:rsidR="00F32206" w:rsidP="005070B0" w:rsidRDefault="00F32206" w14:paraId="111C1DEF" w14:textId="77777777">
      <w:pPr>
        <w:pStyle w:val="BodyText"/>
        <w:spacing w:before="120"/>
        <w:ind w:left="101"/>
      </w:pPr>
    </w:p>
    <w:p w:rsidR="00A95238" w:rsidP="005070B0" w:rsidRDefault="0000117D" w14:paraId="0717A145" w14:textId="77777777">
      <w:pPr>
        <w:pStyle w:val="ListParagraph"/>
        <w:widowControl/>
        <w:numPr>
          <w:ilvl w:val="0"/>
          <w:numId w:val="2"/>
        </w:numPr>
        <w:spacing w:before="75"/>
        <w:rPr>
          <w:sz w:val="24"/>
        </w:rPr>
      </w:pPr>
      <w:r>
        <w:rPr>
          <w:sz w:val="24"/>
          <w:u w:val="single"/>
        </w:rPr>
        <w:t>Justification for Sensitive</w:t>
      </w:r>
      <w:r>
        <w:rPr>
          <w:spacing w:val="-3"/>
          <w:sz w:val="24"/>
          <w:u w:val="single"/>
        </w:rPr>
        <w:t xml:space="preserve"> </w:t>
      </w:r>
      <w:r>
        <w:rPr>
          <w:sz w:val="24"/>
          <w:u w:val="single"/>
        </w:rPr>
        <w:t>Questions</w:t>
      </w:r>
    </w:p>
    <w:p w:rsidR="00A95238" w:rsidP="005070B0" w:rsidRDefault="00A95238" w14:paraId="0717A146" w14:textId="77777777">
      <w:pPr>
        <w:pStyle w:val="BodyText"/>
        <w:widowControl/>
        <w:spacing w:before="10"/>
        <w:rPr>
          <w:sz w:val="20"/>
        </w:rPr>
      </w:pPr>
    </w:p>
    <w:p w:rsidR="00A95238" w:rsidP="005070B0" w:rsidRDefault="0000117D" w14:paraId="0717A148" w14:textId="1DC7A42B">
      <w:pPr>
        <w:pStyle w:val="BodyText"/>
        <w:widowControl/>
        <w:ind w:left="100" w:right="122"/>
      </w:pPr>
      <w:r w:rsidRPr="003B7C82">
        <w:rPr>
          <w:iCs/>
        </w:rPr>
        <w:t>The collection of information does not involve sensitive questions.</w:t>
      </w:r>
    </w:p>
    <w:p w:rsidR="003813AD" w:rsidP="005070B0" w:rsidRDefault="0000117D" w14:paraId="050AACBE" w14:textId="77777777">
      <w:pPr>
        <w:pStyle w:val="ListParagraph"/>
        <w:keepNext/>
        <w:widowControl/>
        <w:numPr>
          <w:ilvl w:val="0"/>
          <w:numId w:val="2"/>
        </w:numPr>
        <w:spacing w:before="240"/>
        <w:ind w:hanging="360"/>
        <w:rPr>
          <w:sz w:val="24"/>
        </w:rPr>
      </w:pPr>
      <w:r>
        <w:rPr>
          <w:sz w:val="24"/>
          <w:u w:val="single"/>
        </w:rPr>
        <w:t>Estimates of Annualized Burden Hours and</w:t>
      </w:r>
      <w:r>
        <w:rPr>
          <w:spacing w:val="-11"/>
          <w:sz w:val="24"/>
          <w:u w:val="single"/>
        </w:rPr>
        <w:t xml:space="preserve"> </w:t>
      </w:r>
      <w:r>
        <w:rPr>
          <w:sz w:val="24"/>
          <w:u w:val="single"/>
        </w:rPr>
        <w:t>Cost</w:t>
      </w:r>
      <w:r>
        <w:rPr>
          <w:sz w:val="24"/>
        </w:rPr>
        <w:t xml:space="preserve"> </w:t>
      </w:r>
    </w:p>
    <w:p w:rsidRPr="005070B0" w:rsidR="00A95238" w:rsidP="005070B0" w:rsidRDefault="0000117D" w14:paraId="0717A14B" w14:textId="533BC71E">
      <w:pPr>
        <w:keepNext/>
        <w:widowControl/>
        <w:spacing w:before="240"/>
        <w:ind w:left="450"/>
        <w:rPr>
          <w:i/>
          <w:iCs/>
          <w:sz w:val="24"/>
        </w:rPr>
      </w:pPr>
      <w:r w:rsidRPr="005070B0">
        <w:rPr>
          <w:i/>
          <w:iCs/>
          <w:sz w:val="24"/>
        </w:rPr>
        <w:t>12a. Annualized Hour Burden</w:t>
      </w:r>
      <w:r w:rsidRPr="005070B0">
        <w:rPr>
          <w:i/>
          <w:iCs/>
          <w:spacing w:val="-4"/>
          <w:sz w:val="24"/>
        </w:rPr>
        <w:t xml:space="preserve"> </w:t>
      </w:r>
      <w:r w:rsidRPr="005070B0">
        <w:rPr>
          <w:i/>
          <w:iCs/>
          <w:sz w:val="24"/>
        </w:rPr>
        <w:t>Estimate</w:t>
      </w:r>
    </w:p>
    <w:p w:rsidR="00A95238" w:rsidP="005070B0" w:rsidRDefault="00A95238" w14:paraId="0717A14C" w14:textId="201F3627">
      <w:pPr>
        <w:keepNext/>
        <w:widowControl/>
        <w:spacing w:before="197"/>
        <w:ind w:left="460"/>
        <w:rPr>
          <w:sz w:val="24"/>
        </w:rPr>
      </w:pPr>
    </w:p>
    <w:tbl>
      <w:tblPr>
        <w:tblW w:w="5000" w:type="pct"/>
        <w:jc w:val="center"/>
        <w:tblLayout w:type="fixed"/>
        <w:tblCellMar>
          <w:left w:w="110" w:type="dxa"/>
          <w:right w:w="110" w:type="dxa"/>
        </w:tblCellMar>
        <w:tblLook w:val="0000" w:firstRow="0" w:lastRow="0" w:firstColumn="0" w:lastColumn="0" w:noHBand="0" w:noVBand="0"/>
      </w:tblPr>
      <w:tblGrid>
        <w:gridCol w:w="2568"/>
        <w:gridCol w:w="1710"/>
        <w:gridCol w:w="1675"/>
        <w:gridCol w:w="1280"/>
        <w:gridCol w:w="1496"/>
        <w:gridCol w:w="951"/>
      </w:tblGrid>
      <w:tr w:rsidRPr="00F43EC4" w:rsidR="00DC0F0C" w:rsidTr="005070B0" w14:paraId="28252437" w14:textId="77777777">
        <w:trPr>
          <w:cantSplit/>
          <w:jc w:val="center"/>
        </w:trPr>
        <w:tc>
          <w:tcPr>
            <w:tcW w:w="9900" w:type="dxa"/>
            <w:gridSpan w:val="6"/>
            <w:tcBorders>
              <w:bottom w:val="single" w:color="FFFFFF" w:sz="6" w:space="0"/>
            </w:tcBorders>
          </w:tcPr>
          <w:p w:rsidRPr="00F43EC4" w:rsidR="00DC0F0C" w:rsidP="005070B0" w:rsidRDefault="00DC0F0C" w14:paraId="54FA79F2" w14:textId="25700B6E">
            <w:pPr>
              <w:keepNext/>
              <w:jc w:val="center"/>
            </w:pPr>
            <w:r w:rsidRPr="00F43EC4">
              <w:t>Table 1.--Estimated Annual Reporting Burden</w:t>
            </w:r>
          </w:p>
        </w:tc>
      </w:tr>
      <w:tr w:rsidRPr="00F43EC4" w:rsidR="00DC0F0C" w:rsidTr="005070B0" w14:paraId="3088A952" w14:textId="77777777">
        <w:trPr>
          <w:cantSplit/>
          <w:jc w:val="center"/>
        </w:trPr>
        <w:tc>
          <w:tcPr>
            <w:tcW w:w="2630"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33EB09A7" w14:textId="77777777">
            <w:pPr>
              <w:keepNext/>
              <w:jc w:val="center"/>
            </w:pPr>
            <w:r w:rsidRPr="00F43EC4">
              <w:t xml:space="preserve">21 CFR </w:t>
            </w:r>
            <w:r>
              <w:t>Section</w:t>
            </w:r>
          </w:p>
        </w:tc>
        <w:tc>
          <w:tcPr>
            <w:tcW w:w="1749"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5ADE23EF" w14:textId="77777777">
            <w:pPr>
              <w:keepNext/>
              <w:jc w:val="center"/>
            </w:pPr>
            <w:r w:rsidRPr="00F43EC4">
              <w:t>No. of Respondents</w:t>
            </w:r>
          </w:p>
        </w:tc>
        <w:tc>
          <w:tcPr>
            <w:tcW w:w="1713"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1715609E" w14:textId="77777777">
            <w:pPr>
              <w:keepNext/>
              <w:jc w:val="center"/>
            </w:pPr>
            <w:r>
              <w:t>No. of Responses per Respondent</w:t>
            </w:r>
          </w:p>
        </w:tc>
        <w:tc>
          <w:tcPr>
            <w:tcW w:w="1308"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2A284A3E" w14:textId="77777777">
            <w:pPr>
              <w:keepNext/>
              <w:jc w:val="center"/>
            </w:pPr>
            <w:r w:rsidRPr="00F43EC4">
              <w:t>Total Annual Responses</w:t>
            </w:r>
          </w:p>
        </w:tc>
        <w:tc>
          <w:tcPr>
            <w:tcW w:w="1530"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66B4F2E1" w14:textId="77777777">
            <w:pPr>
              <w:keepNext/>
              <w:jc w:val="center"/>
            </w:pPr>
            <w:r>
              <w:t>Average Burden per Response</w:t>
            </w:r>
          </w:p>
        </w:tc>
        <w:tc>
          <w:tcPr>
            <w:tcW w:w="970" w:type="dxa"/>
            <w:tcBorders>
              <w:top w:val="single" w:color="000000" w:sz="6" w:space="0"/>
              <w:left w:val="single" w:color="000000" w:sz="6" w:space="0"/>
              <w:bottom w:val="single" w:color="FFFFFF" w:sz="6" w:space="0"/>
              <w:right w:val="single" w:color="000000" w:sz="6" w:space="0"/>
            </w:tcBorders>
          </w:tcPr>
          <w:p w:rsidRPr="00F43EC4" w:rsidR="00DC0F0C" w:rsidP="005070B0" w:rsidRDefault="00DC0F0C" w14:paraId="46D69115" w14:textId="77777777">
            <w:pPr>
              <w:keepNext/>
              <w:jc w:val="center"/>
            </w:pPr>
            <w:r w:rsidRPr="00F43EC4">
              <w:t>Total Hours</w:t>
            </w:r>
          </w:p>
        </w:tc>
      </w:tr>
      <w:tr w:rsidRPr="00F43EC4" w:rsidR="00DC0F0C" w:rsidTr="005070B0" w14:paraId="25CCFC8E" w14:textId="77777777">
        <w:trPr>
          <w:cantSplit/>
          <w:jc w:val="center"/>
        </w:trPr>
        <w:tc>
          <w:tcPr>
            <w:tcW w:w="2630" w:type="dxa"/>
            <w:tcBorders>
              <w:top w:val="single" w:color="000000" w:sz="6" w:space="0"/>
              <w:left w:val="single" w:color="000000" w:sz="6" w:space="0"/>
              <w:bottom w:val="single" w:color="FFFFFF" w:sz="6" w:space="0"/>
              <w:right w:val="single" w:color="FFFFFF" w:sz="6" w:space="0"/>
            </w:tcBorders>
          </w:tcPr>
          <w:p w:rsidRPr="00F43EC4" w:rsidR="00DC0F0C" w:rsidP="005070B0" w:rsidRDefault="001A3A3B" w14:paraId="05D48EB3" w14:textId="52124D59">
            <w:pPr>
              <w:keepNext/>
            </w:pPr>
            <w:r>
              <w:t xml:space="preserve">Administrative </w:t>
            </w:r>
            <w:r w:rsidR="001222DD">
              <w:t>d</w:t>
            </w:r>
            <w:r>
              <w:t xml:space="preserve">etention </w:t>
            </w:r>
            <w:r w:rsidR="001222DD">
              <w:t>reporting requirements</w:t>
            </w:r>
            <w:r w:rsidR="00DC0F0C">
              <w:t>--</w:t>
            </w:r>
            <w:r w:rsidRPr="00F43EC4" w:rsidR="00DC0F0C">
              <w:t>800.55(g)</w:t>
            </w:r>
            <w:r w:rsidR="001222DD">
              <w:t xml:space="preserve"> &amp; (h)</w:t>
            </w:r>
          </w:p>
        </w:tc>
        <w:tc>
          <w:tcPr>
            <w:tcW w:w="1749"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46732FAF" w14:textId="77777777">
            <w:pPr>
              <w:pStyle w:val="Footer"/>
              <w:keepNext/>
              <w:tabs>
                <w:tab w:val="clear" w:pos="4680"/>
                <w:tab w:val="clear" w:pos="9360"/>
              </w:tabs>
              <w:jc w:val="right"/>
            </w:pPr>
            <w:r w:rsidRPr="00F43EC4">
              <w:t>1</w:t>
            </w:r>
          </w:p>
        </w:tc>
        <w:tc>
          <w:tcPr>
            <w:tcW w:w="1713"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4BF9316D" w14:textId="77777777">
            <w:pPr>
              <w:keepNext/>
              <w:jc w:val="right"/>
            </w:pPr>
            <w:r w:rsidRPr="00F43EC4">
              <w:t>1</w:t>
            </w:r>
          </w:p>
        </w:tc>
        <w:tc>
          <w:tcPr>
            <w:tcW w:w="1308"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31EA0F2C" w14:textId="77777777">
            <w:pPr>
              <w:pStyle w:val="Footer"/>
              <w:keepNext/>
              <w:tabs>
                <w:tab w:val="clear" w:pos="4680"/>
                <w:tab w:val="clear" w:pos="9360"/>
              </w:tabs>
              <w:jc w:val="right"/>
            </w:pPr>
            <w:r w:rsidRPr="00F43EC4">
              <w:t>1</w:t>
            </w:r>
          </w:p>
        </w:tc>
        <w:tc>
          <w:tcPr>
            <w:tcW w:w="1530"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7B54C606" w14:textId="77777777">
            <w:pPr>
              <w:pStyle w:val="Footer"/>
              <w:keepNext/>
              <w:tabs>
                <w:tab w:val="clear" w:pos="4680"/>
                <w:tab w:val="clear" w:pos="9360"/>
              </w:tabs>
              <w:jc w:val="right"/>
            </w:pPr>
            <w:r w:rsidRPr="00F43EC4">
              <w:t>25</w:t>
            </w:r>
          </w:p>
        </w:tc>
        <w:tc>
          <w:tcPr>
            <w:tcW w:w="970" w:type="dxa"/>
            <w:tcBorders>
              <w:top w:val="single" w:color="000000" w:sz="6" w:space="0"/>
              <w:left w:val="single" w:color="000000" w:sz="6" w:space="0"/>
              <w:bottom w:val="single" w:color="FFFFFF" w:sz="6" w:space="0"/>
              <w:right w:val="single" w:color="000000" w:sz="6" w:space="0"/>
            </w:tcBorders>
          </w:tcPr>
          <w:p w:rsidRPr="00F43EC4" w:rsidR="00DC0F0C" w:rsidP="005070B0" w:rsidRDefault="00DC0F0C" w14:paraId="7E3DD979" w14:textId="77777777">
            <w:pPr>
              <w:pStyle w:val="Footer"/>
              <w:keepNext/>
              <w:tabs>
                <w:tab w:val="clear" w:pos="4680"/>
                <w:tab w:val="clear" w:pos="9360"/>
              </w:tabs>
              <w:jc w:val="right"/>
            </w:pPr>
            <w:r w:rsidRPr="00F43EC4">
              <w:t>25</w:t>
            </w:r>
          </w:p>
        </w:tc>
      </w:tr>
      <w:tr w:rsidRPr="00F43EC4" w:rsidR="00DC0F0C" w:rsidTr="005070B0" w14:paraId="71037D62" w14:textId="77777777">
        <w:trPr>
          <w:cantSplit/>
          <w:jc w:val="center"/>
        </w:trPr>
        <w:tc>
          <w:tcPr>
            <w:tcW w:w="2630"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4401A854" w14:textId="77777777">
            <w:pPr>
              <w:keepNext/>
            </w:pPr>
            <w:r>
              <w:t>Banned devices reporting requirements--</w:t>
            </w:r>
            <w:r w:rsidRPr="00F43EC4">
              <w:t>895.21(d)(8) and 895.22(a)</w:t>
            </w:r>
          </w:p>
        </w:tc>
        <w:tc>
          <w:tcPr>
            <w:tcW w:w="1749"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0EA38911" w14:textId="77777777">
            <w:pPr>
              <w:pStyle w:val="Footer"/>
              <w:keepNext/>
              <w:tabs>
                <w:tab w:val="clear" w:pos="4680"/>
                <w:tab w:val="clear" w:pos="9360"/>
              </w:tabs>
              <w:jc w:val="right"/>
            </w:pPr>
            <w:r w:rsidRPr="00F43EC4">
              <w:t>26</w:t>
            </w:r>
          </w:p>
        </w:tc>
        <w:tc>
          <w:tcPr>
            <w:tcW w:w="1713"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32CE0FE4" w14:textId="77777777">
            <w:pPr>
              <w:pStyle w:val="Footer"/>
              <w:keepNext/>
              <w:tabs>
                <w:tab w:val="clear" w:pos="4680"/>
                <w:tab w:val="clear" w:pos="9360"/>
              </w:tabs>
              <w:jc w:val="right"/>
            </w:pPr>
            <w:r w:rsidRPr="00F43EC4">
              <w:t>1</w:t>
            </w:r>
          </w:p>
        </w:tc>
        <w:tc>
          <w:tcPr>
            <w:tcW w:w="1308"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264478F1" w14:textId="77777777">
            <w:pPr>
              <w:pStyle w:val="Footer"/>
              <w:keepNext/>
              <w:tabs>
                <w:tab w:val="clear" w:pos="4680"/>
                <w:tab w:val="clear" w:pos="9360"/>
              </w:tabs>
              <w:jc w:val="right"/>
            </w:pPr>
            <w:r w:rsidRPr="00F43EC4">
              <w:t>26</w:t>
            </w:r>
          </w:p>
        </w:tc>
        <w:tc>
          <w:tcPr>
            <w:tcW w:w="1530" w:type="dxa"/>
            <w:tcBorders>
              <w:top w:val="single" w:color="000000" w:sz="6" w:space="0"/>
              <w:left w:val="single" w:color="000000" w:sz="6" w:space="0"/>
              <w:bottom w:val="single" w:color="FFFFFF" w:sz="6" w:space="0"/>
              <w:right w:val="single" w:color="FFFFFF" w:sz="6" w:space="0"/>
            </w:tcBorders>
          </w:tcPr>
          <w:p w:rsidRPr="00F43EC4" w:rsidR="00DC0F0C" w:rsidP="005070B0" w:rsidRDefault="00DC0F0C" w14:paraId="2BE08A99" w14:textId="77777777">
            <w:pPr>
              <w:pStyle w:val="Footer"/>
              <w:keepNext/>
              <w:tabs>
                <w:tab w:val="clear" w:pos="4680"/>
                <w:tab w:val="clear" w:pos="9360"/>
              </w:tabs>
              <w:jc w:val="right"/>
            </w:pPr>
            <w:r w:rsidRPr="00F43EC4">
              <w:t>16</w:t>
            </w:r>
          </w:p>
        </w:tc>
        <w:tc>
          <w:tcPr>
            <w:tcW w:w="970" w:type="dxa"/>
            <w:tcBorders>
              <w:top w:val="single" w:color="000000" w:sz="6" w:space="0"/>
              <w:left w:val="single" w:color="000000" w:sz="6" w:space="0"/>
              <w:bottom w:val="single" w:color="FFFFFF" w:sz="6" w:space="0"/>
              <w:right w:val="single" w:color="000000" w:sz="6" w:space="0"/>
            </w:tcBorders>
          </w:tcPr>
          <w:p w:rsidRPr="00F43EC4" w:rsidR="00DC0F0C" w:rsidP="005070B0" w:rsidRDefault="00DC0F0C" w14:paraId="6031C946" w14:textId="77777777">
            <w:pPr>
              <w:pStyle w:val="Footer"/>
              <w:keepNext/>
              <w:tabs>
                <w:tab w:val="clear" w:pos="4680"/>
                <w:tab w:val="clear" w:pos="9360"/>
              </w:tabs>
              <w:jc w:val="right"/>
            </w:pPr>
            <w:r w:rsidRPr="00F43EC4">
              <w:t>416</w:t>
            </w:r>
          </w:p>
        </w:tc>
      </w:tr>
      <w:tr w:rsidRPr="00F43EC4" w:rsidR="00DC0F0C" w:rsidTr="005070B0" w14:paraId="25F56A93" w14:textId="77777777">
        <w:trPr>
          <w:cantSplit/>
          <w:jc w:val="center"/>
        </w:trPr>
        <w:tc>
          <w:tcPr>
            <w:tcW w:w="8930" w:type="dxa"/>
            <w:gridSpan w:val="5"/>
            <w:tcBorders>
              <w:top w:val="single" w:color="000000" w:sz="6" w:space="0"/>
              <w:left w:val="single" w:color="000000" w:sz="6" w:space="0"/>
              <w:bottom w:val="single" w:color="000000" w:sz="6" w:space="0"/>
              <w:right w:val="single" w:color="FFFFFF" w:sz="6" w:space="0"/>
            </w:tcBorders>
          </w:tcPr>
          <w:p w:rsidRPr="00F43EC4" w:rsidR="00DC0F0C" w:rsidP="005070B0" w:rsidRDefault="00DC0F0C" w14:paraId="2DEE1B94" w14:textId="77777777">
            <w:pPr>
              <w:keepNext/>
            </w:pPr>
            <w:r>
              <w:t>Total</w:t>
            </w:r>
          </w:p>
        </w:tc>
        <w:tc>
          <w:tcPr>
            <w:tcW w:w="970" w:type="dxa"/>
            <w:tcBorders>
              <w:top w:val="single" w:color="000000" w:sz="6" w:space="0"/>
              <w:left w:val="single" w:color="000000" w:sz="6" w:space="0"/>
              <w:bottom w:val="single" w:color="000000" w:sz="6" w:space="0"/>
              <w:right w:val="single" w:color="000000" w:sz="6" w:space="0"/>
            </w:tcBorders>
          </w:tcPr>
          <w:p w:rsidRPr="00F43EC4" w:rsidR="00DC0F0C" w:rsidP="005070B0" w:rsidRDefault="00DC0F0C" w14:paraId="22A4C3BA" w14:textId="77777777">
            <w:pPr>
              <w:pStyle w:val="Footer"/>
              <w:keepNext/>
              <w:tabs>
                <w:tab w:val="clear" w:pos="4680"/>
                <w:tab w:val="clear" w:pos="9360"/>
              </w:tabs>
              <w:jc w:val="right"/>
            </w:pPr>
            <w:r w:rsidRPr="00F43EC4">
              <w:t>441</w:t>
            </w:r>
          </w:p>
        </w:tc>
      </w:tr>
    </w:tbl>
    <w:p w:rsidR="00772FC7" w:rsidP="005070B0" w:rsidRDefault="00772FC7" w14:paraId="686D2B8B" w14:textId="5DCBDF41">
      <w:pPr>
        <w:widowControl/>
        <w:spacing w:before="197"/>
        <w:ind w:left="460"/>
        <w:rPr>
          <w:sz w:val="24"/>
        </w:rPr>
      </w:pPr>
    </w:p>
    <w:tbl>
      <w:tblPr>
        <w:tblW w:w="5000" w:type="pct"/>
        <w:jc w:val="center"/>
        <w:tblLayout w:type="fixed"/>
        <w:tblCellMar>
          <w:left w:w="110" w:type="dxa"/>
          <w:right w:w="110" w:type="dxa"/>
        </w:tblCellMar>
        <w:tblLook w:val="0000" w:firstRow="0" w:lastRow="0" w:firstColumn="0" w:lastColumn="0" w:noHBand="0" w:noVBand="0"/>
      </w:tblPr>
      <w:tblGrid>
        <w:gridCol w:w="2514"/>
        <w:gridCol w:w="1582"/>
        <w:gridCol w:w="1675"/>
        <w:gridCol w:w="1396"/>
        <w:gridCol w:w="1768"/>
        <w:gridCol w:w="745"/>
      </w:tblGrid>
      <w:tr w:rsidRPr="00F43EC4" w:rsidR="00465D70" w:rsidTr="000678B9" w14:paraId="2C631BD2" w14:textId="77777777">
        <w:trPr>
          <w:cantSplit/>
          <w:jc w:val="center"/>
        </w:trPr>
        <w:tc>
          <w:tcPr>
            <w:tcW w:w="9360" w:type="dxa"/>
            <w:gridSpan w:val="6"/>
            <w:tcBorders>
              <w:bottom w:val="single" w:color="FFFFFF" w:sz="6" w:space="0"/>
            </w:tcBorders>
          </w:tcPr>
          <w:p w:rsidRPr="00F43EC4" w:rsidR="00465D70" w:rsidP="005070B0" w:rsidRDefault="00465D70" w14:paraId="07F71166" w14:textId="567331EB">
            <w:pPr>
              <w:keepNext/>
              <w:jc w:val="center"/>
            </w:pPr>
            <w:r w:rsidRPr="00F43EC4">
              <w:t>Table 2.--Estimated Annual Recordkeeping Burden</w:t>
            </w:r>
          </w:p>
        </w:tc>
      </w:tr>
      <w:tr w:rsidRPr="00F43EC4" w:rsidR="00465D70" w:rsidTr="000678B9" w14:paraId="657D7327" w14:textId="77777777">
        <w:trPr>
          <w:cantSplit/>
          <w:jc w:val="center"/>
        </w:trPr>
        <w:tc>
          <w:tcPr>
            <w:tcW w:w="2430" w:type="dxa"/>
            <w:tcBorders>
              <w:top w:val="single" w:color="000000" w:sz="6" w:space="0"/>
              <w:left w:val="single" w:color="000000" w:sz="6" w:space="0"/>
              <w:bottom w:val="single" w:color="FFFFFF" w:sz="6" w:space="0"/>
              <w:right w:val="single" w:color="FFFFFF" w:sz="6" w:space="0"/>
            </w:tcBorders>
          </w:tcPr>
          <w:p w:rsidRPr="00F43EC4" w:rsidR="00465D70" w:rsidP="005070B0" w:rsidRDefault="00465D70" w14:paraId="712F0FBE" w14:textId="77777777">
            <w:pPr>
              <w:keepNext/>
              <w:jc w:val="center"/>
            </w:pPr>
            <w:r w:rsidRPr="00F43EC4">
              <w:t xml:space="preserve">21 CFR </w:t>
            </w:r>
            <w:r>
              <w:t>Section</w:t>
            </w:r>
          </w:p>
        </w:tc>
        <w:tc>
          <w:tcPr>
            <w:tcW w:w="1530" w:type="dxa"/>
            <w:tcBorders>
              <w:top w:val="single" w:color="000000" w:sz="6" w:space="0"/>
              <w:left w:val="single" w:color="000000" w:sz="6" w:space="0"/>
              <w:bottom w:val="single" w:color="FFFFFF" w:sz="6" w:space="0"/>
              <w:right w:val="single" w:color="FFFFFF" w:sz="6" w:space="0"/>
            </w:tcBorders>
          </w:tcPr>
          <w:p w:rsidRPr="00F43EC4" w:rsidR="00465D70" w:rsidP="005070B0" w:rsidRDefault="00465D70" w14:paraId="357BDEAA" w14:textId="77777777">
            <w:pPr>
              <w:keepNext/>
              <w:jc w:val="center"/>
            </w:pPr>
            <w:r w:rsidRPr="00F43EC4">
              <w:t>No. of Recordkeepers</w:t>
            </w:r>
          </w:p>
        </w:tc>
        <w:tc>
          <w:tcPr>
            <w:tcW w:w="1620" w:type="dxa"/>
            <w:tcBorders>
              <w:top w:val="single" w:color="000000" w:sz="6" w:space="0"/>
              <w:left w:val="single" w:color="000000" w:sz="6" w:space="0"/>
              <w:bottom w:val="single" w:color="FFFFFF" w:sz="6" w:space="0"/>
              <w:right w:val="single" w:color="FFFFFF" w:sz="6" w:space="0"/>
            </w:tcBorders>
          </w:tcPr>
          <w:p w:rsidRPr="00F43EC4" w:rsidR="00465D70" w:rsidP="005070B0" w:rsidRDefault="00465D70" w14:paraId="6C19F64C" w14:textId="77777777">
            <w:pPr>
              <w:keepNext/>
              <w:jc w:val="center"/>
            </w:pPr>
            <w:r>
              <w:t>No. of Records per Recordkeeper</w:t>
            </w:r>
          </w:p>
        </w:tc>
        <w:tc>
          <w:tcPr>
            <w:tcW w:w="1350" w:type="dxa"/>
            <w:tcBorders>
              <w:top w:val="single" w:color="000000" w:sz="6" w:space="0"/>
              <w:left w:val="single" w:color="000000" w:sz="6" w:space="0"/>
              <w:bottom w:val="single" w:color="FFFFFF" w:sz="6" w:space="0"/>
              <w:right w:val="single" w:color="FFFFFF" w:sz="6" w:space="0"/>
            </w:tcBorders>
          </w:tcPr>
          <w:p w:rsidRPr="00F43EC4" w:rsidR="00465D70" w:rsidP="005070B0" w:rsidRDefault="00465D70" w14:paraId="3B0AB9F2" w14:textId="77777777">
            <w:pPr>
              <w:keepNext/>
              <w:jc w:val="center"/>
            </w:pPr>
            <w:r w:rsidRPr="00F43EC4">
              <w:t>Total Annual Records</w:t>
            </w:r>
          </w:p>
        </w:tc>
        <w:tc>
          <w:tcPr>
            <w:tcW w:w="1710" w:type="dxa"/>
            <w:tcBorders>
              <w:top w:val="single" w:color="000000" w:sz="6" w:space="0"/>
              <w:left w:val="single" w:color="000000" w:sz="6" w:space="0"/>
              <w:bottom w:val="single" w:color="FFFFFF" w:sz="6" w:space="0"/>
              <w:right w:val="single" w:color="FFFFFF" w:sz="6" w:space="0"/>
            </w:tcBorders>
          </w:tcPr>
          <w:p w:rsidRPr="00F43EC4" w:rsidR="00465D70" w:rsidP="005070B0" w:rsidRDefault="00465D70" w14:paraId="258C47F7" w14:textId="77777777">
            <w:pPr>
              <w:keepNext/>
              <w:jc w:val="center"/>
            </w:pPr>
            <w:r>
              <w:t>Average Burden per Recordkeeping</w:t>
            </w:r>
          </w:p>
        </w:tc>
        <w:tc>
          <w:tcPr>
            <w:tcW w:w="720" w:type="dxa"/>
            <w:tcBorders>
              <w:top w:val="single" w:color="000000" w:sz="6" w:space="0"/>
              <w:left w:val="single" w:color="000000" w:sz="6" w:space="0"/>
              <w:bottom w:val="single" w:color="FFFFFF" w:sz="6" w:space="0"/>
              <w:right w:val="single" w:color="000000" w:sz="6" w:space="0"/>
            </w:tcBorders>
          </w:tcPr>
          <w:p w:rsidRPr="00F43EC4" w:rsidR="00465D70" w:rsidP="005070B0" w:rsidRDefault="00465D70" w14:paraId="11B19A69" w14:textId="77777777">
            <w:pPr>
              <w:keepNext/>
              <w:jc w:val="center"/>
            </w:pPr>
            <w:r w:rsidRPr="00F43EC4">
              <w:t>Total Hours</w:t>
            </w:r>
          </w:p>
        </w:tc>
      </w:tr>
      <w:tr w:rsidRPr="00F43EC4" w:rsidR="00465D70" w:rsidTr="000678B9" w14:paraId="412D5075" w14:textId="77777777">
        <w:trPr>
          <w:cantSplit/>
          <w:jc w:val="center"/>
        </w:trPr>
        <w:tc>
          <w:tcPr>
            <w:tcW w:w="2430" w:type="dxa"/>
            <w:tcBorders>
              <w:top w:val="single" w:color="000000" w:sz="6" w:space="0"/>
              <w:left w:val="single" w:color="000000" w:sz="6" w:space="0"/>
              <w:bottom w:val="single" w:color="auto" w:sz="4" w:space="0"/>
              <w:right w:val="single" w:color="FFFFFF" w:sz="6" w:space="0"/>
            </w:tcBorders>
          </w:tcPr>
          <w:p w:rsidRPr="00F43EC4" w:rsidR="00465D70" w:rsidP="005070B0" w:rsidRDefault="00465D70" w14:paraId="18B7842D" w14:textId="77777777">
            <w:pPr>
              <w:keepNext/>
            </w:pPr>
            <w:r>
              <w:t>R</w:t>
            </w:r>
            <w:r w:rsidRPr="003457CE">
              <w:t xml:space="preserve">ecords </w:t>
            </w:r>
            <w:r>
              <w:t>regarding device</w:t>
            </w:r>
            <w:r w:rsidRPr="003457CE">
              <w:t xml:space="preserve"> </w:t>
            </w:r>
            <w:r>
              <w:t>adulteration or misbranding and r</w:t>
            </w:r>
            <w:r w:rsidRPr="003457CE">
              <w:t>ecords of distribution of detained devices</w:t>
            </w:r>
            <w:r>
              <w:t>--</w:t>
            </w:r>
            <w:r w:rsidRPr="00F43EC4">
              <w:t>800.55(k)</w:t>
            </w:r>
          </w:p>
        </w:tc>
        <w:tc>
          <w:tcPr>
            <w:tcW w:w="1530" w:type="dxa"/>
            <w:tcBorders>
              <w:top w:val="single" w:color="000000" w:sz="6" w:space="0"/>
              <w:left w:val="single" w:color="000000" w:sz="6" w:space="0"/>
              <w:bottom w:val="single" w:color="auto" w:sz="4" w:space="0"/>
              <w:right w:val="single" w:color="FFFFFF" w:sz="6" w:space="0"/>
            </w:tcBorders>
          </w:tcPr>
          <w:p w:rsidRPr="00F43EC4" w:rsidR="00465D70" w:rsidP="005070B0" w:rsidRDefault="00465D70" w14:paraId="53566021" w14:textId="77777777">
            <w:pPr>
              <w:keepNext/>
              <w:jc w:val="right"/>
            </w:pPr>
            <w:r w:rsidRPr="00F43EC4">
              <w:t>1</w:t>
            </w:r>
          </w:p>
        </w:tc>
        <w:tc>
          <w:tcPr>
            <w:tcW w:w="1620" w:type="dxa"/>
            <w:tcBorders>
              <w:top w:val="single" w:color="000000" w:sz="6" w:space="0"/>
              <w:left w:val="single" w:color="000000" w:sz="6" w:space="0"/>
              <w:bottom w:val="single" w:color="auto" w:sz="4" w:space="0"/>
              <w:right w:val="single" w:color="FFFFFF" w:sz="6" w:space="0"/>
            </w:tcBorders>
          </w:tcPr>
          <w:p w:rsidRPr="00F43EC4" w:rsidR="00465D70" w:rsidP="005070B0" w:rsidRDefault="00465D70" w14:paraId="33B2AB27" w14:textId="77777777">
            <w:pPr>
              <w:keepNext/>
              <w:jc w:val="right"/>
            </w:pPr>
            <w:r w:rsidRPr="00F43EC4">
              <w:t>1</w:t>
            </w:r>
          </w:p>
        </w:tc>
        <w:tc>
          <w:tcPr>
            <w:tcW w:w="1350" w:type="dxa"/>
            <w:tcBorders>
              <w:top w:val="single" w:color="000000" w:sz="6" w:space="0"/>
              <w:left w:val="single" w:color="000000" w:sz="6" w:space="0"/>
              <w:bottom w:val="single" w:color="auto" w:sz="4" w:space="0"/>
              <w:right w:val="single" w:color="FFFFFF" w:sz="6" w:space="0"/>
            </w:tcBorders>
          </w:tcPr>
          <w:p w:rsidRPr="00F43EC4" w:rsidR="00465D70" w:rsidP="005070B0" w:rsidRDefault="00465D70" w14:paraId="685CD6D9" w14:textId="77777777">
            <w:pPr>
              <w:keepNext/>
              <w:jc w:val="right"/>
            </w:pPr>
            <w:r w:rsidRPr="00F43EC4">
              <w:t>1</w:t>
            </w:r>
          </w:p>
        </w:tc>
        <w:tc>
          <w:tcPr>
            <w:tcW w:w="1710" w:type="dxa"/>
            <w:tcBorders>
              <w:top w:val="single" w:color="000000" w:sz="6" w:space="0"/>
              <w:left w:val="single" w:color="000000" w:sz="6" w:space="0"/>
              <w:bottom w:val="single" w:color="auto" w:sz="4" w:space="0"/>
              <w:right w:val="single" w:color="FFFFFF" w:sz="6" w:space="0"/>
            </w:tcBorders>
          </w:tcPr>
          <w:p w:rsidRPr="00F43EC4" w:rsidR="00465D70" w:rsidP="005070B0" w:rsidRDefault="00465D70" w14:paraId="4CAB414F" w14:textId="77777777">
            <w:pPr>
              <w:keepNext/>
              <w:jc w:val="right"/>
            </w:pPr>
            <w:r w:rsidRPr="00F43EC4">
              <w:t>20</w:t>
            </w:r>
          </w:p>
        </w:tc>
        <w:tc>
          <w:tcPr>
            <w:tcW w:w="720" w:type="dxa"/>
            <w:tcBorders>
              <w:top w:val="single" w:color="000000" w:sz="6" w:space="0"/>
              <w:left w:val="single" w:color="000000" w:sz="6" w:space="0"/>
              <w:bottom w:val="single" w:color="auto" w:sz="4" w:space="0"/>
              <w:right w:val="single" w:color="000000" w:sz="6" w:space="0"/>
            </w:tcBorders>
          </w:tcPr>
          <w:p w:rsidRPr="00F43EC4" w:rsidR="00465D70" w:rsidP="005070B0" w:rsidRDefault="00465D70" w14:paraId="60F564EA" w14:textId="77777777">
            <w:pPr>
              <w:keepNext/>
              <w:jc w:val="right"/>
            </w:pPr>
            <w:r w:rsidRPr="00F43EC4">
              <w:t>20</w:t>
            </w:r>
          </w:p>
        </w:tc>
      </w:tr>
    </w:tbl>
    <w:p w:rsidR="00DC0F0C" w:rsidP="005070B0" w:rsidRDefault="00DC0F0C" w14:paraId="71409A13" w14:textId="6E2E9927">
      <w:pPr>
        <w:widowControl/>
        <w:spacing w:before="120"/>
        <w:ind w:left="461"/>
        <w:rPr>
          <w:sz w:val="24"/>
        </w:rPr>
      </w:pPr>
    </w:p>
    <w:p w:rsidR="00880C0A" w:rsidP="005070B0" w:rsidRDefault="00880C0A" w14:paraId="49EB5129" w14:textId="02A93C3F">
      <w:pPr>
        <w:rPr>
          <w:sz w:val="24"/>
          <w:szCs w:val="24"/>
        </w:rPr>
      </w:pPr>
      <w:r w:rsidRPr="00806BE1">
        <w:rPr>
          <w:sz w:val="24"/>
          <w:szCs w:val="24"/>
        </w:rPr>
        <w:t>During the past several years, there has been an average of less than one new administrative detention action per year.</w:t>
      </w:r>
      <w:r w:rsidR="005070B0">
        <w:rPr>
          <w:sz w:val="24"/>
          <w:szCs w:val="24"/>
        </w:rPr>
        <w:t xml:space="preserve">  </w:t>
      </w:r>
      <w:r w:rsidRPr="00806BE1">
        <w:rPr>
          <w:sz w:val="24"/>
          <w:szCs w:val="24"/>
        </w:rPr>
        <w:t>Each administrative detention will have varying amounts of data and information that must be maintained. FDA's estimate of the burden under the administrative detention provision is based on FDA's discussion with one of the firms whose devices had been detained.</w:t>
      </w:r>
      <w:r>
        <w:rPr>
          <w:sz w:val="24"/>
          <w:szCs w:val="24"/>
        </w:rPr>
        <w:t xml:space="preserve"> </w:t>
      </w:r>
    </w:p>
    <w:p w:rsidR="005070B0" w:rsidP="005070B0" w:rsidRDefault="005070B0" w14:paraId="3178E799" w14:textId="77777777">
      <w:pPr>
        <w:rPr>
          <w:sz w:val="24"/>
          <w:szCs w:val="24"/>
        </w:rPr>
      </w:pPr>
    </w:p>
    <w:p w:rsidRPr="005070B0" w:rsidR="005070B0" w:rsidP="005070B0" w:rsidRDefault="00CF53A5" w14:paraId="1268DDF1" w14:textId="61087B49">
      <w:pPr>
        <w:keepNext/>
        <w:tabs>
          <w:tab w:val="left" w:pos="-1080"/>
          <w:tab w:val="left" w:pos="-720"/>
        </w:tabs>
        <w:ind w:hanging="11"/>
        <w:rPr>
          <w:b/>
          <w:sz w:val="24"/>
          <w:szCs w:val="24"/>
          <w:u w:val="single"/>
        </w:rPr>
      </w:pPr>
      <w:r w:rsidRPr="00EF6A2B">
        <w:rPr>
          <w:b/>
          <w:sz w:val="24"/>
          <w:szCs w:val="24"/>
          <w:u w:val="single"/>
        </w:rPr>
        <w:t>Re</w:t>
      </w:r>
      <w:r w:rsidR="005070B0">
        <w:rPr>
          <w:b/>
          <w:sz w:val="24"/>
          <w:szCs w:val="24"/>
          <w:u w:val="single"/>
        </w:rPr>
        <w:t>porting</w:t>
      </w:r>
    </w:p>
    <w:p w:rsidR="005070B0" w:rsidP="005070B0" w:rsidRDefault="005070B0" w14:paraId="3772A0B1" w14:textId="77777777">
      <w:pPr>
        <w:keepNext/>
        <w:rPr>
          <w:b/>
          <w:sz w:val="24"/>
          <w:szCs w:val="24"/>
        </w:rPr>
      </w:pPr>
    </w:p>
    <w:p w:rsidRPr="00EF6A2B" w:rsidR="00CF53A5" w:rsidP="005070B0" w:rsidRDefault="00CF53A5" w14:paraId="296AF100" w14:textId="0659A098">
      <w:pPr>
        <w:keepNext/>
        <w:rPr>
          <w:sz w:val="24"/>
          <w:szCs w:val="24"/>
        </w:rPr>
      </w:pPr>
      <w:r w:rsidRPr="00EF6A2B">
        <w:rPr>
          <w:b/>
          <w:sz w:val="24"/>
          <w:szCs w:val="24"/>
        </w:rPr>
        <w:t xml:space="preserve">21 CFR 800.55(g)(1) and </w:t>
      </w:r>
      <w:r>
        <w:rPr>
          <w:b/>
          <w:sz w:val="24"/>
          <w:szCs w:val="24"/>
        </w:rPr>
        <w:t>(g)</w:t>
      </w:r>
      <w:r w:rsidRPr="00EF6A2B">
        <w:rPr>
          <w:b/>
          <w:sz w:val="24"/>
          <w:szCs w:val="24"/>
        </w:rPr>
        <w:t>(2)</w:t>
      </w:r>
      <w:r>
        <w:rPr>
          <w:sz w:val="24"/>
          <w:szCs w:val="24"/>
        </w:rPr>
        <w:t>--</w:t>
      </w:r>
      <w:r w:rsidRPr="00EF6A2B">
        <w:rPr>
          <w:b/>
          <w:sz w:val="24"/>
          <w:szCs w:val="24"/>
          <w:u w:val="single"/>
        </w:rPr>
        <w:t>Administrative Detention Reporting</w:t>
      </w:r>
    </w:p>
    <w:p w:rsidR="00CF53A5" w:rsidP="005070B0" w:rsidRDefault="00CF53A5" w14:paraId="06AC6006" w14:textId="4DF7B642">
      <w:pPr>
        <w:rPr>
          <w:sz w:val="24"/>
          <w:szCs w:val="24"/>
        </w:rPr>
      </w:pPr>
      <w:r w:rsidRPr="00EF6A2B">
        <w:rPr>
          <w:sz w:val="24"/>
          <w:szCs w:val="24"/>
        </w:rPr>
        <w:t>A person who would be entitled to claim the devices, if seized</w:t>
      </w:r>
      <w:r>
        <w:rPr>
          <w:sz w:val="24"/>
          <w:szCs w:val="24"/>
        </w:rPr>
        <w:t>,</w:t>
      </w:r>
      <w:r w:rsidRPr="00EF6A2B">
        <w:rPr>
          <w:sz w:val="24"/>
          <w:szCs w:val="24"/>
        </w:rPr>
        <w:t xml:space="preserve"> may appeal a detention order by submitting a written request to the FDA District </w:t>
      </w:r>
      <w:r>
        <w:rPr>
          <w:sz w:val="24"/>
          <w:szCs w:val="24"/>
        </w:rPr>
        <w:t>D</w:t>
      </w:r>
      <w:r w:rsidRPr="00EF6A2B">
        <w:rPr>
          <w:sz w:val="24"/>
          <w:szCs w:val="24"/>
        </w:rPr>
        <w:t xml:space="preserve">irector in whose district the devices are located.  </w:t>
      </w:r>
      <w:r w:rsidRPr="00EF6A2B">
        <w:rPr>
          <w:sz w:val="24"/>
          <w:szCs w:val="24"/>
        </w:rPr>
        <w:lastRenderedPageBreak/>
        <w:t xml:space="preserve">This written appeal could include a request for an informal hearing as defined in section 201(y) of the </w:t>
      </w:r>
      <w:r>
        <w:rPr>
          <w:sz w:val="24"/>
          <w:szCs w:val="24"/>
        </w:rPr>
        <w:t xml:space="preserve">FD&amp;C </w:t>
      </w:r>
      <w:r w:rsidRPr="00EF6A2B">
        <w:rPr>
          <w:sz w:val="24"/>
          <w:szCs w:val="24"/>
        </w:rPr>
        <w:t>Act</w:t>
      </w:r>
      <w:r>
        <w:rPr>
          <w:sz w:val="24"/>
          <w:szCs w:val="24"/>
        </w:rPr>
        <w:t xml:space="preserve"> (21 U.S.C. 321(y))</w:t>
      </w:r>
      <w:r w:rsidRPr="00EF6A2B">
        <w:rPr>
          <w:sz w:val="24"/>
          <w:szCs w:val="24"/>
        </w:rPr>
        <w:t xml:space="preserve">.  In some cases, the </w:t>
      </w:r>
      <w:bookmarkStart w:name="_Hlk532387364" w:id="1"/>
      <w:r w:rsidRPr="00EF6A2B">
        <w:rPr>
          <w:sz w:val="24"/>
          <w:szCs w:val="24"/>
        </w:rPr>
        <w:t>appellant must include documents showing that that person has the legal right to appeal this order.</w:t>
      </w:r>
    </w:p>
    <w:p w:rsidRPr="00EF6A2B" w:rsidR="005070B0" w:rsidP="005070B0" w:rsidRDefault="005070B0" w14:paraId="3317E88E" w14:textId="77777777">
      <w:pPr>
        <w:rPr>
          <w:sz w:val="24"/>
          <w:szCs w:val="24"/>
        </w:rPr>
      </w:pPr>
    </w:p>
    <w:bookmarkEnd w:id="1"/>
    <w:p w:rsidRPr="00EF6A2B" w:rsidR="00CF53A5" w:rsidP="005070B0" w:rsidRDefault="00CF53A5" w14:paraId="157F62A3" w14:textId="77777777">
      <w:pPr>
        <w:rPr>
          <w:b/>
          <w:sz w:val="24"/>
          <w:szCs w:val="24"/>
          <w:u w:val="single"/>
        </w:rPr>
      </w:pPr>
      <w:r w:rsidRPr="00BB77D8">
        <w:rPr>
          <w:b/>
          <w:sz w:val="24"/>
          <w:szCs w:val="24"/>
        </w:rPr>
        <w:t>21 CFR 800.55(h)(2)</w:t>
      </w:r>
      <w:r>
        <w:rPr>
          <w:b/>
          <w:sz w:val="24"/>
          <w:szCs w:val="24"/>
        </w:rPr>
        <w:t>--</w:t>
      </w:r>
      <w:r w:rsidRPr="00EF6A2B">
        <w:rPr>
          <w:b/>
          <w:sz w:val="24"/>
          <w:szCs w:val="24"/>
          <w:u w:val="single"/>
        </w:rPr>
        <w:t>Movement of Detained Devices</w:t>
      </w:r>
    </w:p>
    <w:p w:rsidR="00CF53A5" w:rsidP="005070B0" w:rsidRDefault="00CF53A5" w14:paraId="52F7B359" w14:textId="0B1B7E6E">
      <w:pPr>
        <w:rPr>
          <w:sz w:val="24"/>
          <w:szCs w:val="24"/>
        </w:rPr>
      </w:pPr>
      <w:r w:rsidRPr="00EF6A2B">
        <w:rPr>
          <w:sz w:val="24"/>
          <w:szCs w:val="24"/>
        </w:rPr>
        <w:t>If detained devices are not in final form for shipment, the manufacturer may move them within the establishment where they are detained to complete the work needed to put them in final form. As soon as the devices are moved for this purpose, the individual responsible for their movement shall orally notify the FDA representative who issued the detention order, or another responsible district office official, of the movement of the devices. As soon as the devices are put in final form, they shall be segregated from other devices, and the individual responsible for their movement shall orally notify the FDA representative who issued the detention order, or another responsible district office official, of their new location. The devices put in final form shall not be moved further without FDA approval.</w:t>
      </w:r>
    </w:p>
    <w:p w:rsidRPr="00EF6A2B" w:rsidR="005070B0" w:rsidP="005070B0" w:rsidRDefault="005070B0" w14:paraId="38CDE5DA" w14:textId="77777777">
      <w:pPr>
        <w:rPr>
          <w:sz w:val="24"/>
          <w:szCs w:val="24"/>
        </w:rPr>
      </w:pPr>
    </w:p>
    <w:p w:rsidRPr="00EF6A2B" w:rsidR="00CF53A5" w:rsidP="005070B0" w:rsidRDefault="00CF53A5" w14:paraId="6745458F" w14:textId="77777777">
      <w:pPr>
        <w:rPr>
          <w:sz w:val="24"/>
          <w:szCs w:val="24"/>
        </w:rPr>
      </w:pPr>
      <w:r w:rsidRPr="00EF6A2B">
        <w:rPr>
          <w:b/>
          <w:sz w:val="24"/>
          <w:szCs w:val="24"/>
        </w:rPr>
        <w:t>21 CFR 895.21(d)(8)</w:t>
      </w:r>
      <w:r>
        <w:rPr>
          <w:sz w:val="24"/>
          <w:szCs w:val="24"/>
        </w:rPr>
        <w:t>--</w:t>
      </w:r>
      <w:r w:rsidRPr="00EF6A2B">
        <w:rPr>
          <w:b/>
          <w:sz w:val="24"/>
          <w:szCs w:val="24"/>
          <w:u w:val="single"/>
        </w:rPr>
        <w:t>Procedures for Banned Devices Informal Hearing Request</w:t>
      </w:r>
    </w:p>
    <w:p w:rsidR="00CF53A5" w:rsidP="005070B0" w:rsidRDefault="00CF53A5" w14:paraId="678A752F" w14:textId="705E5FC4">
      <w:pPr>
        <w:rPr>
          <w:sz w:val="24"/>
          <w:szCs w:val="24"/>
        </w:rPr>
      </w:pPr>
      <w:r>
        <w:rPr>
          <w:sz w:val="24"/>
          <w:szCs w:val="24"/>
        </w:rPr>
        <w:t xml:space="preserve">Section 895.21(d) describes the procedures for banning a device when the Commissioner decides to initiate such a proceeding.  </w:t>
      </w:r>
      <w:r w:rsidRPr="00EF6A2B">
        <w:rPr>
          <w:sz w:val="24"/>
          <w:szCs w:val="24"/>
        </w:rPr>
        <w:t>Under § 895.21(d), the Commissioner may decide to initiate a proceeding to make a device a banned device.  In that event, any interested persons may submit written comments and request an informal hearing within 30 days after the date of the publication of the proposed regulation.</w:t>
      </w:r>
    </w:p>
    <w:p w:rsidRPr="00EF6A2B" w:rsidR="005070B0" w:rsidP="005070B0" w:rsidRDefault="005070B0" w14:paraId="6F8CE433" w14:textId="77777777">
      <w:pPr>
        <w:rPr>
          <w:sz w:val="24"/>
          <w:szCs w:val="24"/>
        </w:rPr>
      </w:pPr>
    </w:p>
    <w:p w:rsidRPr="00EF6A2B" w:rsidR="00CF53A5" w:rsidP="005070B0" w:rsidRDefault="00CF53A5" w14:paraId="37F62A0A" w14:textId="77777777">
      <w:pPr>
        <w:rPr>
          <w:sz w:val="24"/>
          <w:szCs w:val="24"/>
        </w:rPr>
      </w:pPr>
      <w:r w:rsidRPr="00EF6A2B">
        <w:rPr>
          <w:b/>
          <w:sz w:val="24"/>
          <w:szCs w:val="24"/>
        </w:rPr>
        <w:t>21 CFR 895.22(a)</w:t>
      </w:r>
      <w:r>
        <w:rPr>
          <w:sz w:val="24"/>
          <w:szCs w:val="24"/>
        </w:rPr>
        <w:t>--</w:t>
      </w:r>
      <w:r w:rsidRPr="00EF6A2B">
        <w:rPr>
          <w:b/>
          <w:sz w:val="24"/>
          <w:szCs w:val="24"/>
          <w:u w:val="single"/>
        </w:rPr>
        <w:t>Banned Devices Reporting</w:t>
      </w:r>
    </w:p>
    <w:p w:rsidR="00CF53A5" w:rsidP="005070B0" w:rsidRDefault="00CF53A5" w14:paraId="79B78464" w14:textId="438B65FD">
      <w:pPr>
        <w:rPr>
          <w:sz w:val="24"/>
          <w:szCs w:val="24"/>
        </w:rPr>
      </w:pPr>
      <w:r w:rsidRPr="00EF6A2B">
        <w:rPr>
          <w:sz w:val="24"/>
          <w:szCs w:val="24"/>
        </w:rPr>
        <w:t>A manufacturer, distributor, or importer of a device may be required to submit to the FDA all relevant and available data and information to enable the Commissioner to determine whether the device presents substantial deception, unreasonable, direct, and substantial danger to the health of individuals.</w:t>
      </w:r>
    </w:p>
    <w:p w:rsidRPr="00EF6A2B" w:rsidR="005070B0" w:rsidP="005070B0" w:rsidRDefault="005070B0" w14:paraId="55D483E2" w14:textId="77777777">
      <w:pPr>
        <w:rPr>
          <w:sz w:val="24"/>
          <w:szCs w:val="24"/>
        </w:rPr>
      </w:pPr>
    </w:p>
    <w:p w:rsidRPr="00EF6A2B" w:rsidR="00CF53A5" w:rsidP="005070B0" w:rsidRDefault="00CF53A5" w14:paraId="24558DB5" w14:textId="72F98A8B">
      <w:pPr>
        <w:rPr>
          <w:b/>
          <w:sz w:val="24"/>
          <w:szCs w:val="24"/>
          <w:u w:val="single"/>
        </w:rPr>
      </w:pPr>
      <w:r w:rsidRPr="00EF6A2B">
        <w:rPr>
          <w:b/>
          <w:sz w:val="24"/>
          <w:szCs w:val="24"/>
          <w:u w:val="single"/>
        </w:rPr>
        <w:t>Recordkeeping</w:t>
      </w:r>
    </w:p>
    <w:p w:rsidR="005070B0" w:rsidP="005070B0" w:rsidRDefault="005070B0" w14:paraId="71F58B91" w14:textId="77777777">
      <w:pPr>
        <w:ind w:left="187"/>
        <w:rPr>
          <w:b/>
          <w:sz w:val="24"/>
          <w:szCs w:val="24"/>
        </w:rPr>
      </w:pPr>
    </w:p>
    <w:p w:rsidRPr="00EF6A2B" w:rsidR="00CF53A5" w:rsidP="00633266" w:rsidRDefault="00CF53A5" w14:paraId="4571A19D" w14:textId="6A44F19A">
      <w:pPr>
        <w:rPr>
          <w:sz w:val="24"/>
          <w:szCs w:val="24"/>
        </w:rPr>
      </w:pPr>
      <w:r w:rsidRPr="00EF6A2B">
        <w:rPr>
          <w:b/>
          <w:sz w:val="24"/>
          <w:szCs w:val="24"/>
        </w:rPr>
        <w:t>21 CFR 800.55(k)</w:t>
      </w:r>
      <w:r>
        <w:rPr>
          <w:sz w:val="24"/>
          <w:szCs w:val="24"/>
        </w:rPr>
        <w:t>--</w:t>
      </w:r>
      <w:r w:rsidRPr="00EF6A2B">
        <w:rPr>
          <w:b/>
          <w:sz w:val="24"/>
          <w:szCs w:val="24"/>
          <w:u w:val="single"/>
        </w:rPr>
        <w:t>Administrative Detention Recordkeeping</w:t>
      </w:r>
    </w:p>
    <w:p w:rsidRPr="00EF6A2B" w:rsidR="003364E5" w:rsidP="00633266" w:rsidRDefault="00CF53A5" w14:paraId="1464E2E2" w14:textId="3351E140">
      <w:pPr>
        <w:rPr>
          <w:sz w:val="24"/>
          <w:szCs w:val="24"/>
        </w:rPr>
      </w:pPr>
      <w:r w:rsidRPr="00EF6A2B">
        <w:rPr>
          <w:sz w:val="24"/>
          <w:szCs w:val="24"/>
        </w:rPr>
        <w:t>The firm shall have, or establish, and maintain records relating to how the detained devices may have become adulterated or misbranded, records on any distribution of the devices before and after the detention period, records on the correlation of any in-process detained devices that are put in final form, records of any changes in, or process of, the devices permitted under the detention order, and records of any movement of the detained devices.</w:t>
      </w:r>
    </w:p>
    <w:p w:rsidRPr="005070B0" w:rsidR="00FC2BD6" w:rsidP="00633266" w:rsidRDefault="00633266" w14:paraId="01227F47" w14:textId="32AF7E07">
      <w:pPr>
        <w:pStyle w:val="BodyText"/>
        <w:widowControl/>
        <w:spacing w:before="120"/>
        <w:rPr>
          <w:i/>
          <w:iCs/>
        </w:rPr>
      </w:pPr>
      <w:r>
        <w:rPr>
          <w:i/>
          <w:iCs/>
        </w:rPr>
        <w:tab/>
      </w:r>
      <w:r w:rsidRPr="005070B0" w:rsidR="0000117D">
        <w:rPr>
          <w:i/>
          <w:iCs/>
        </w:rPr>
        <w:t>12b. Annualized Cost Burden Estimate</w:t>
      </w:r>
    </w:p>
    <w:p w:rsidRPr="00FE5B11" w:rsidR="00FE5B11" w:rsidP="00633266" w:rsidRDefault="00F3154C" w14:paraId="56C74559" w14:textId="3ECCDF23">
      <w:pPr>
        <w:pStyle w:val="BodyText"/>
        <w:spacing w:before="120"/>
      </w:pPr>
      <w:r>
        <w:t>We expect that approximately half of the hour burden will be work performed by a Regulatory Affairs Professional.</w:t>
      </w:r>
      <w:r w:rsidR="00413AD2">
        <w:t xml:space="preserve"> </w:t>
      </w:r>
      <w:r w:rsidRPr="00DE438A" w:rsidR="00413AD2">
        <w:t xml:space="preserve">The estimated hourly wage rate for a Regulatory Affairs Professional is based on the </w:t>
      </w:r>
      <w:r w:rsidR="00413AD2">
        <w:t>mean hourly wage rate for a Lawyer, $71.59 (</w:t>
      </w:r>
      <w:r w:rsidRPr="00DE438A" w:rsidR="00413AD2">
        <w:t xml:space="preserve">May </w:t>
      </w:r>
      <w:r w:rsidR="00413AD2">
        <w:t>2020</w:t>
      </w:r>
      <w:r w:rsidRPr="00DE438A" w:rsidR="00413AD2">
        <w:t xml:space="preserve"> Bureau of Labor and Statistics data,</w:t>
      </w:r>
      <w:r w:rsidR="00413AD2">
        <w:t xml:space="preserve"> occupation code 23-1011, </w:t>
      </w:r>
      <w:hyperlink w:history="1" w:anchor="23-0000" r:id="rId8">
        <w:r w:rsidRPr="00302308" w:rsidR="00413AD2">
          <w:rPr>
            <w:rStyle w:val="Hyperlink"/>
          </w:rPr>
          <w:t>https://www.bls.gov/oes/current/oes_nat.htm#23-0000</w:t>
        </w:r>
      </w:hyperlink>
      <w:r w:rsidR="00413AD2">
        <w:t>), then doubled to account for benefits and overhead, and rounded to the nearest dollar</w:t>
      </w:r>
      <w:r w:rsidR="00293203">
        <w:t xml:space="preserve"> ($143 per hour)</w:t>
      </w:r>
      <w:r w:rsidR="00413AD2">
        <w:t>.</w:t>
      </w:r>
      <w:r w:rsidR="00376D38">
        <w:t xml:space="preserve">  T</w:t>
      </w:r>
      <w:r w:rsidRPr="00FE5B11" w:rsidR="00FE5B11">
        <w:t>he total estimated reporting and recordkeeping burden cost to industry for this information collection</w:t>
      </w:r>
      <w:r w:rsidR="0002221A">
        <w:t xml:space="preserve"> is</w:t>
      </w:r>
      <w:r w:rsidRPr="00FE5B11" w:rsidR="00FE5B11">
        <w:t xml:space="preserve"> $</w:t>
      </w:r>
      <w:r w:rsidR="0002221A">
        <w:t>65,923</w:t>
      </w:r>
      <w:r w:rsidRPr="00FE5B11" w:rsidR="00FE5B11">
        <w:t>, which is the total number of estimated annual burden hours (461) multiplied by the wage rate of $</w:t>
      </w:r>
      <w:r w:rsidR="00ED36C6">
        <w:t>143</w:t>
      </w:r>
      <w:r w:rsidRPr="00FE5B11" w:rsidR="00FE5B11">
        <w:t xml:space="preserve"> per hour.</w:t>
      </w:r>
    </w:p>
    <w:p w:rsidRPr="00FE5B11" w:rsidR="00447335" w:rsidP="005070B0" w:rsidRDefault="00447335" w14:paraId="73D9DF7A" w14:textId="77777777">
      <w:pPr>
        <w:pStyle w:val="BodyText"/>
        <w:spacing w:before="120"/>
        <w:ind w:left="461"/>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42"/>
        <w:gridCol w:w="2035"/>
        <w:gridCol w:w="2706"/>
        <w:gridCol w:w="2177"/>
      </w:tblGrid>
      <w:tr w:rsidRPr="006970DD" w:rsidR="00447335" w:rsidTr="003D7424" w14:paraId="5DE845FC" w14:textId="77777777">
        <w:trPr>
          <w:cantSplit/>
          <w:tblHeader/>
          <w:jc w:val="center"/>
        </w:trPr>
        <w:tc>
          <w:tcPr>
            <w:tcW w:w="2442" w:type="dxa"/>
            <w:shd w:val="clear" w:color="auto" w:fill="auto"/>
          </w:tcPr>
          <w:p w:rsidRPr="006970DD" w:rsidR="00447335" w:rsidP="005070B0" w:rsidRDefault="00447335" w14:paraId="324920CF" w14:textId="77777777">
            <w:pPr>
              <w:keepNext/>
              <w:jc w:val="center"/>
            </w:pPr>
            <w:r w:rsidRPr="006970DD">
              <w:lastRenderedPageBreak/>
              <w:t>Type of Respondent</w:t>
            </w:r>
          </w:p>
        </w:tc>
        <w:tc>
          <w:tcPr>
            <w:tcW w:w="2035" w:type="dxa"/>
            <w:shd w:val="clear" w:color="auto" w:fill="auto"/>
          </w:tcPr>
          <w:p w:rsidRPr="006970DD" w:rsidR="00447335" w:rsidP="005070B0" w:rsidRDefault="00447335" w14:paraId="3A7C7EBD" w14:textId="77777777">
            <w:pPr>
              <w:keepNext/>
              <w:jc w:val="center"/>
            </w:pPr>
            <w:r w:rsidRPr="006970DD">
              <w:t>Total Burden Hours</w:t>
            </w:r>
          </w:p>
        </w:tc>
        <w:tc>
          <w:tcPr>
            <w:tcW w:w="2706" w:type="dxa"/>
            <w:shd w:val="clear" w:color="auto" w:fill="auto"/>
          </w:tcPr>
          <w:p w:rsidRPr="006970DD" w:rsidR="00447335" w:rsidP="005070B0" w:rsidRDefault="00447335" w14:paraId="5516F4D2" w14:textId="77777777">
            <w:pPr>
              <w:keepNext/>
              <w:jc w:val="center"/>
            </w:pPr>
            <w:r w:rsidRPr="006970DD">
              <w:t>Hourly Wage Rate</w:t>
            </w:r>
          </w:p>
        </w:tc>
        <w:tc>
          <w:tcPr>
            <w:tcW w:w="2177" w:type="dxa"/>
            <w:shd w:val="clear" w:color="auto" w:fill="auto"/>
          </w:tcPr>
          <w:p w:rsidRPr="006970DD" w:rsidR="00447335" w:rsidP="005070B0" w:rsidRDefault="00447335" w14:paraId="6CBB0629" w14:textId="77777777">
            <w:pPr>
              <w:keepNext/>
              <w:jc w:val="center"/>
            </w:pPr>
            <w:r w:rsidRPr="006970DD">
              <w:t>Total Respondent Costs</w:t>
            </w:r>
          </w:p>
        </w:tc>
      </w:tr>
      <w:tr w:rsidRPr="006970DD" w:rsidR="00447335" w:rsidTr="003D7424" w14:paraId="408D8286" w14:textId="77777777">
        <w:trPr>
          <w:cantSplit/>
          <w:jc w:val="center"/>
        </w:trPr>
        <w:tc>
          <w:tcPr>
            <w:tcW w:w="2442" w:type="dxa"/>
            <w:shd w:val="clear" w:color="auto" w:fill="auto"/>
          </w:tcPr>
          <w:p w:rsidRPr="006970DD" w:rsidR="00447335" w:rsidP="005070B0" w:rsidRDefault="00447335" w14:paraId="32D1AE63" w14:textId="3DA886CC">
            <w:pPr>
              <w:keepNext/>
            </w:pPr>
            <w:r w:rsidRPr="006970DD">
              <w:t>Regulatory Affairs</w:t>
            </w:r>
            <w:r w:rsidR="003F0FA9">
              <w:t xml:space="preserve"> Professional</w:t>
            </w:r>
          </w:p>
        </w:tc>
        <w:tc>
          <w:tcPr>
            <w:tcW w:w="2035" w:type="dxa"/>
            <w:shd w:val="clear" w:color="auto" w:fill="auto"/>
          </w:tcPr>
          <w:p w:rsidRPr="006970DD" w:rsidR="00447335" w:rsidP="005070B0" w:rsidRDefault="00447335" w14:paraId="311BDDA3" w14:textId="77777777">
            <w:pPr>
              <w:keepNext/>
              <w:jc w:val="right"/>
            </w:pPr>
            <w:r>
              <w:t>461</w:t>
            </w:r>
          </w:p>
        </w:tc>
        <w:tc>
          <w:tcPr>
            <w:tcW w:w="2706" w:type="dxa"/>
            <w:shd w:val="clear" w:color="auto" w:fill="auto"/>
          </w:tcPr>
          <w:p w:rsidRPr="006970DD" w:rsidR="00447335" w:rsidP="005070B0" w:rsidRDefault="00447335" w14:paraId="15128F9B" w14:textId="5AE0B282">
            <w:pPr>
              <w:keepNext/>
              <w:jc w:val="right"/>
            </w:pPr>
            <w:r w:rsidRPr="006970DD">
              <w:t>$</w:t>
            </w:r>
            <w:r w:rsidR="003F0FA9">
              <w:t>143</w:t>
            </w:r>
          </w:p>
        </w:tc>
        <w:tc>
          <w:tcPr>
            <w:tcW w:w="2177" w:type="dxa"/>
            <w:shd w:val="clear" w:color="auto" w:fill="auto"/>
          </w:tcPr>
          <w:p w:rsidRPr="006970DD" w:rsidR="00447335" w:rsidP="005070B0" w:rsidRDefault="00447335" w14:paraId="041BFB8A" w14:textId="724E6976">
            <w:pPr>
              <w:keepNext/>
              <w:jc w:val="right"/>
            </w:pPr>
            <w:r w:rsidRPr="006970DD">
              <w:t>$</w:t>
            </w:r>
            <w:r w:rsidR="003F0FA9">
              <w:t>65,923</w:t>
            </w:r>
          </w:p>
        </w:tc>
      </w:tr>
    </w:tbl>
    <w:p w:rsidR="00A95238" w:rsidP="005070B0" w:rsidRDefault="00A95238" w14:paraId="0717A167" w14:textId="77777777">
      <w:pPr>
        <w:pStyle w:val="BodyText"/>
        <w:widowControl/>
      </w:pPr>
    </w:p>
    <w:p w:rsidR="00A95238" w:rsidP="005070B0" w:rsidRDefault="0000117D" w14:paraId="0717A168" w14:textId="77777777">
      <w:pPr>
        <w:pStyle w:val="ListParagraph"/>
        <w:widowControl/>
        <w:numPr>
          <w:ilvl w:val="0"/>
          <w:numId w:val="2"/>
        </w:numPr>
        <w:spacing w:before="0"/>
        <w:rPr>
          <w:sz w:val="24"/>
        </w:rPr>
      </w:pPr>
      <w:r>
        <w:rPr>
          <w:sz w:val="24"/>
          <w:u w:val="single"/>
        </w:rPr>
        <w:t>Estimates of Other Total Annual Costs to Respondents/Recordkeepers or Capital</w:t>
      </w:r>
      <w:r>
        <w:rPr>
          <w:spacing w:val="-7"/>
          <w:sz w:val="24"/>
          <w:u w:val="single"/>
        </w:rPr>
        <w:t xml:space="preserve"> </w:t>
      </w:r>
      <w:r>
        <w:rPr>
          <w:sz w:val="24"/>
          <w:u w:val="single"/>
        </w:rPr>
        <w:t>Costs</w:t>
      </w:r>
    </w:p>
    <w:p w:rsidR="00A95238" w:rsidP="005070B0" w:rsidRDefault="001A0E73" w14:paraId="0717A16B" w14:textId="0C4ABE86">
      <w:pPr>
        <w:pStyle w:val="BodyText"/>
        <w:widowControl/>
        <w:spacing w:before="200"/>
        <w:ind w:left="100"/>
      </w:pPr>
      <w:r w:rsidRPr="001A0E73">
        <w:rPr>
          <w:lang w:bidi="ar-SA"/>
        </w:rPr>
        <w:t>There are no capital costs and/or operating and maintenance costs for this information collection.</w:t>
      </w:r>
    </w:p>
    <w:p w:rsidR="00A95238" w:rsidP="005070B0" w:rsidRDefault="00A95238" w14:paraId="0717A16C" w14:textId="77777777">
      <w:pPr>
        <w:pStyle w:val="BodyText"/>
        <w:widowControl/>
        <w:spacing w:before="9"/>
        <w:rPr>
          <w:sz w:val="20"/>
        </w:rPr>
      </w:pPr>
    </w:p>
    <w:p w:rsidR="00A95238" w:rsidP="005070B0" w:rsidRDefault="0000117D" w14:paraId="0717A16D" w14:textId="77777777">
      <w:pPr>
        <w:pStyle w:val="ListParagraph"/>
        <w:keepNext/>
        <w:widowControl/>
        <w:numPr>
          <w:ilvl w:val="0"/>
          <w:numId w:val="2"/>
        </w:numPr>
        <w:spacing w:before="0"/>
        <w:ind w:hanging="360"/>
        <w:rPr>
          <w:sz w:val="24"/>
        </w:rPr>
      </w:pPr>
      <w:r>
        <w:rPr>
          <w:sz w:val="24"/>
          <w:u w:val="single"/>
        </w:rPr>
        <w:t>Annualized Cost to the Federal</w:t>
      </w:r>
      <w:r>
        <w:rPr>
          <w:spacing w:val="7"/>
          <w:sz w:val="24"/>
          <w:u w:val="single"/>
        </w:rPr>
        <w:t xml:space="preserve"> </w:t>
      </w:r>
      <w:r>
        <w:rPr>
          <w:sz w:val="24"/>
          <w:u w:val="single"/>
        </w:rPr>
        <w:t>Government</w:t>
      </w:r>
    </w:p>
    <w:p w:rsidRPr="00F038F6" w:rsidR="00F038F6" w:rsidP="005070B0" w:rsidRDefault="00F038F6" w14:paraId="60FB51FF" w14:textId="0D4936CB">
      <w:pPr>
        <w:spacing w:before="120"/>
        <w:ind w:left="101"/>
        <w:rPr>
          <w:sz w:val="24"/>
          <w:szCs w:val="24"/>
        </w:rPr>
      </w:pPr>
      <w:r w:rsidRPr="00F038F6">
        <w:rPr>
          <w:sz w:val="24"/>
          <w:szCs w:val="24"/>
        </w:rPr>
        <w:t xml:space="preserve">The </w:t>
      </w:r>
      <w:r w:rsidR="003D066A">
        <w:rPr>
          <w:sz w:val="24"/>
          <w:szCs w:val="24"/>
        </w:rPr>
        <w:t>estimated</w:t>
      </w:r>
      <w:r w:rsidR="00796EA2">
        <w:rPr>
          <w:sz w:val="24"/>
          <w:szCs w:val="24"/>
        </w:rPr>
        <w:t xml:space="preserve"> </w:t>
      </w:r>
      <w:r w:rsidRPr="00F038F6">
        <w:rPr>
          <w:sz w:val="24"/>
          <w:szCs w:val="24"/>
        </w:rPr>
        <w:t>annual cost to the Federal Government is based upon approximately 0.1 staff years at $</w:t>
      </w:r>
      <w:r w:rsidR="006D5D81">
        <w:rPr>
          <w:sz w:val="24"/>
          <w:szCs w:val="24"/>
        </w:rPr>
        <w:t>278,602</w:t>
      </w:r>
      <w:r w:rsidRPr="00F038F6">
        <w:rPr>
          <w:sz w:val="24"/>
          <w:szCs w:val="24"/>
        </w:rPr>
        <w:t xml:space="preserve"> per position (which is the agency’s </w:t>
      </w:r>
      <w:r w:rsidR="008A3939">
        <w:rPr>
          <w:sz w:val="24"/>
          <w:szCs w:val="24"/>
        </w:rPr>
        <w:t>fully loaded</w:t>
      </w:r>
      <w:r w:rsidRPr="00F038F6">
        <w:rPr>
          <w:sz w:val="24"/>
          <w:szCs w:val="24"/>
        </w:rPr>
        <w:t xml:space="preserve"> cost of an FTE including their non-pay costs*),</w:t>
      </w:r>
      <w:r w:rsidR="009F53DC">
        <w:rPr>
          <w:sz w:val="24"/>
          <w:szCs w:val="24"/>
        </w:rPr>
        <w:t xml:space="preserve"> and</w:t>
      </w:r>
      <w:r w:rsidRPr="00F038F6">
        <w:rPr>
          <w:sz w:val="24"/>
          <w:szCs w:val="24"/>
        </w:rPr>
        <w:t xml:space="preserve"> amounts to approximately $</w:t>
      </w:r>
      <w:r w:rsidR="001D316E">
        <w:rPr>
          <w:sz w:val="24"/>
          <w:szCs w:val="24"/>
        </w:rPr>
        <w:t>27,860</w:t>
      </w:r>
      <w:r w:rsidRPr="00F038F6">
        <w:rPr>
          <w:sz w:val="24"/>
          <w:szCs w:val="24"/>
        </w:rPr>
        <w:t>.</w:t>
      </w:r>
      <w:r w:rsidR="005070B0">
        <w:rPr>
          <w:sz w:val="24"/>
          <w:szCs w:val="24"/>
        </w:rPr>
        <w:t xml:space="preserve">  </w:t>
      </w:r>
      <w:r w:rsidRPr="00F038F6">
        <w:rPr>
          <w:sz w:val="24"/>
          <w:szCs w:val="24"/>
        </w:rPr>
        <w:t>Additional costs will be incurred if the administrative detention is appealed and a hearing is conducted to determine if the Agency had cause to take such an action.  This hearing must be conducted in accordance with 21 CFR 800.55(g)(3).  The cost to the Federal Government for one appeal hearing, which is based upon the staff hours necessary to review and prepare for a hearing, plus the cost of transporting General Counsel Attorneys to the district office where the devices were detained, is approximately $</w:t>
      </w:r>
      <w:r w:rsidR="002213F1">
        <w:rPr>
          <w:sz w:val="24"/>
          <w:szCs w:val="24"/>
        </w:rPr>
        <w:t>2</w:t>
      </w:r>
      <w:r w:rsidR="0047472D">
        <w:rPr>
          <w:sz w:val="24"/>
          <w:szCs w:val="24"/>
        </w:rPr>
        <w:t>5</w:t>
      </w:r>
      <w:r w:rsidR="002213F1">
        <w:rPr>
          <w:sz w:val="24"/>
          <w:szCs w:val="24"/>
        </w:rPr>
        <w:t>,</w:t>
      </w:r>
      <w:r w:rsidR="0047472D">
        <w:rPr>
          <w:sz w:val="24"/>
          <w:szCs w:val="24"/>
        </w:rPr>
        <w:t>3</w:t>
      </w:r>
      <w:r w:rsidR="002213F1">
        <w:rPr>
          <w:sz w:val="24"/>
          <w:szCs w:val="24"/>
        </w:rPr>
        <w:t>80</w:t>
      </w:r>
      <w:r w:rsidRPr="00F038F6">
        <w:rPr>
          <w:sz w:val="24"/>
          <w:szCs w:val="24"/>
        </w:rPr>
        <w:t xml:space="preserve">.  This </w:t>
      </w:r>
      <w:r w:rsidR="001F51E9">
        <w:rPr>
          <w:sz w:val="24"/>
          <w:szCs w:val="24"/>
        </w:rPr>
        <w:t>estimate</w:t>
      </w:r>
      <w:r w:rsidRPr="00F038F6">
        <w:rPr>
          <w:sz w:val="24"/>
          <w:szCs w:val="24"/>
        </w:rPr>
        <w:t xml:space="preserve"> was derived by multiplying </w:t>
      </w:r>
      <w:r w:rsidR="00817281">
        <w:rPr>
          <w:sz w:val="24"/>
          <w:szCs w:val="24"/>
        </w:rPr>
        <w:t>the mean</w:t>
      </w:r>
      <w:r w:rsidRPr="00F038F6">
        <w:rPr>
          <w:sz w:val="24"/>
          <w:szCs w:val="24"/>
        </w:rPr>
        <w:t xml:space="preserve"> hourly rate</w:t>
      </w:r>
      <w:r w:rsidR="00403657">
        <w:rPr>
          <w:sz w:val="24"/>
          <w:szCs w:val="24"/>
        </w:rPr>
        <w:t xml:space="preserve"> for a Lawyer</w:t>
      </w:r>
      <w:r w:rsidRPr="00F038F6">
        <w:rPr>
          <w:sz w:val="24"/>
          <w:szCs w:val="24"/>
        </w:rPr>
        <w:t>, $</w:t>
      </w:r>
      <w:r w:rsidR="00BF0685">
        <w:rPr>
          <w:sz w:val="24"/>
          <w:szCs w:val="24"/>
        </w:rPr>
        <w:t>143</w:t>
      </w:r>
      <w:r w:rsidRPr="00F038F6">
        <w:rPr>
          <w:sz w:val="24"/>
          <w:szCs w:val="24"/>
        </w:rPr>
        <w:t>,</w:t>
      </w:r>
      <w:r w:rsidR="000B3A99">
        <w:rPr>
          <w:sz w:val="24"/>
          <w:szCs w:val="24"/>
        </w:rPr>
        <w:t>**</w:t>
      </w:r>
      <w:r w:rsidRPr="00F038F6">
        <w:rPr>
          <w:sz w:val="24"/>
          <w:szCs w:val="24"/>
        </w:rPr>
        <w:t xml:space="preserve"> by 160 hours</w:t>
      </w:r>
      <w:r w:rsidR="009B2906">
        <w:rPr>
          <w:sz w:val="24"/>
          <w:szCs w:val="24"/>
        </w:rPr>
        <w:t>;</w:t>
      </w:r>
      <w:r w:rsidRPr="00F038F6">
        <w:rPr>
          <w:sz w:val="24"/>
          <w:szCs w:val="24"/>
        </w:rPr>
        <w:t xml:space="preserve"> plus $2,500 for transportation fees. Therefore, the estimated annual cost to the government</w:t>
      </w:r>
      <w:r w:rsidR="009B2906">
        <w:rPr>
          <w:sz w:val="24"/>
          <w:szCs w:val="24"/>
        </w:rPr>
        <w:t xml:space="preserve"> for </w:t>
      </w:r>
      <w:r w:rsidR="00E26614">
        <w:rPr>
          <w:sz w:val="24"/>
          <w:szCs w:val="24"/>
        </w:rPr>
        <w:t>an appeal hearing</w:t>
      </w:r>
      <w:r w:rsidRPr="00F038F6">
        <w:rPr>
          <w:sz w:val="24"/>
          <w:szCs w:val="24"/>
        </w:rPr>
        <w:t xml:space="preserve"> is $</w:t>
      </w:r>
      <w:r w:rsidR="009B2906">
        <w:rPr>
          <w:sz w:val="24"/>
          <w:szCs w:val="24"/>
        </w:rPr>
        <w:t>23,280</w:t>
      </w:r>
      <w:r w:rsidRPr="00F038F6">
        <w:rPr>
          <w:sz w:val="24"/>
          <w:szCs w:val="24"/>
        </w:rPr>
        <w:t xml:space="preserve"> ($</w:t>
      </w:r>
      <w:r w:rsidR="002213F1">
        <w:rPr>
          <w:sz w:val="24"/>
          <w:szCs w:val="24"/>
        </w:rPr>
        <w:t>22,880</w:t>
      </w:r>
      <w:r w:rsidRPr="00F038F6">
        <w:rPr>
          <w:sz w:val="24"/>
          <w:szCs w:val="24"/>
        </w:rPr>
        <w:t>+2,500).</w:t>
      </w:r>
    </w:p>
    <w:p w:rsidR="00F038F6" w:rsidP="005070B0" w:rsidRDefault="00F038F6" w14:paraId="055826BF" w14:textId="09F3E8F3">
      <w:pPr>
        <w:spacing w:before="120"/>
        <w:ind w:left="101"/>
        <w:rPr>
          <w:sz w:val="24"/>
          <w:szCs w:val="24"/>
        </w:rPr>
      </w:pPr>
      <w:r w:rsidRPr="00F038F6">
        <w:rPr>
          <w:sz w:val="24"/>
          <w:szCs w:val="24"/>
        </w:rPr>
        <w:t>*Based on the Food and Drug Administration fully loaded FTE cost model (domestic) for FY 20</w:t>
      </w:r>
      <w:r w:rsidR="002505E2">
        <w:rPr>
          <w:sz w:val="24"/>
          <w:szCs w:val="24"/>
        </w:rPr>
        <w:t>20</w:t>
      </w:r>
      <w:r w:rsidRPr="00F038F6">
        <w:rPr>
          <w:sz w:val="24"/>
          <w:szCs w:val="24"/>
        </w:rPr>
        <w:t>, as provided by agency economists.</w:t>
      </w:r>
    </w:p>
    <w:p w:rsidRPr="00461025" w:rsidR="00A86780" w:rsidP="005070B0" w:rsidRDefault="00062C80" w14:paraId="6D3C5A83" w14:textId="40302F16">
      <w:pPr>
        <w:spacing w:before="120"/>
        <w:ind w:left="101"/>
        <w:rPr>
          <w:sz w:val="24"/>
          <w:szCs w:val="24"/>
        </w:rPr>
      </w:pPr>
      <w:r w:rsidRPr="00461025">
        <w:rPr>
          <w:sz w:val="24"/>
          <w:szCs w:val="24"/>
        </w:rPr>
        <w:t xml:space="preserve">** The mean hourly wage rate for a Lawyer, $71.59 (May 2020 Bureau of Labor and Statistics data, occupation code 23-1011, </w:t>
      </w:r>
      <w:hyperlink w:history="1" w:anchor="23-0000" r:id="rId9">
        <w:r w:rsidRPr="00461025">
          <w:rPr>
            <w:rStyle w:val="Hyperlink"/>
            <w:sz w:val="24"/>
            <w:szCs w:val="24"/>
          </w:rPr>
          <w:t>https://www.bls.gov/oes/current/oes_nat.htm#23-0000</w:t>
        </w:r>
      </w:hyperlink>
      <w:r w:rsidRPr="00461025">
        <w:rPr>
          <w:sz w:val="24"/>
          <w:szCs w:val="24"/>
        </w:rPr>
        <w:t xml:space="preserve">), </w:t>
      </w:r>
      <w:r w:rsidRPr="00461025" w:rsidR="00B73135">
        <w:rPr>
          <w:sz w:val="24"/>
          <w:szCs w:val="24"/>
        </w:rPr>
        <w:t xml:space="preserve">was </w:t>
      </w:r>
      <w:r w:rsidRPr="00461025">
        <w:rPr>
          <w:sz w:val="24"/>
          <w:szCs w:val="24"/>
        </w:rPr>
        <w:t>doubled to account for benefits and overhead, and rounded to the nearest dollar ($143 per hour).</w:t>
      </w:r>
    </w:p>
    <w:p w:rsidR="00A95238" w:rsidP="005070B0" w:rsidRDefault="0000117D" w14:paraId="0717A171" w14:textId="76BB21B8">
      <w:pPr>
        <w:pStyle w:val="ListParagraph"/>
        <w:widowControl/>
        <w:numPr>
          <w:ilvl w:val="0"/>
          <w:numId w:val="2"/>
        </w:numPr>
        <w:spacing w:before="205"/>
        <w:rPr>
          <w:sz w:val="24"/>
        </w:rPr>
      </w:pPr>
      <w:r>
        <w:rPr>
          <w:sz w:val="24"/>
          <w:u w:val="single"/>
        </w:rPr>
        <w:t>Explanation for Program Changes or</w:t>
      </w:r>
      <w:r>
        <w:rPr>
          <w:spacing w:val="-2"/>
          <w:sz w:val="24"/>
          <w:u w:val="single"/>
        </w:rPr>
        <w:t xml:space="preserve"> </w:t>
      </w:r>
      <w:r>
        <w:rPr>
          <w:sz w:val="24"/>
          <w:u w:val="single"/>
        </w:rPr>
        <w:t>Adjustments</w:t>
      </w:r>
    </w:p>
    <w:p w:rsidR="00A95238" w:rsidP="005070B0" w:rsidRDefault="00A95238" w14:paraId="0717A172" w14:textId="77777777">
      <w:pPr>
        <w:pStyle w:val="BodyText"/>
        <w:widowControl/>
        <w:spacing w:before="9"/>
        <w:rPr>
          <w:sz w:val="20"/>
        </w:rPr>
      </w:pPr>
    </w:p>
    <w:p w:rsidR="00A95238" w:rsidP="005070B0" w:rsidRDefault="005070B0" w14:paraId="0717A176" w14:textId="00D0F5A0">
      <w:pPr>
        <w:pStyle w:val="BodyText"/>
        <w:widowControl/>
        <w:ind w:left="100"/>
      </w:pPr>
      <w:r>
        <w:t>Based on our evaluation of the information collection we have made adjustment to our current estimates.</w:t>
      </w:r>
    </w:p>
    <w:p w:rsidR="003E045D" w:rsidP="005070B0" w:rsidRDefault="003E045D" w14:paraId="0310301A" w14:textId="77777777">
      <w:pPr>
        <w:pStyle w:val="BodyText"/>
        <w:widowControl/>
        <w:ind w:left="100"/>
      </w:pPr>
    </w:p>
    <w:p w:rsidRPr="00172F6A" w:rsidR="00172F6A" w:rsidP="005070B0" w:rsidRDefault="0000117D" w14:paraId="5C444846" w14:textId="77777777">
      <w:pPr>
        <w:pStyle w:val="ListParagraph"/>
        <w:widowControl/>
        <w:numPr>
          <w:ilvl w:val="0"/>
          <w:numId w:val="2"/>
        </w:numPr>
        <w:spacing w:before="2"/>
        <w:ind w:right="122"/>
      </w:pPr>
      <w:r w:rsidRPr="00172F6A">
        <w:rPr>
          <w:sz w:val="24"/>
          <w:u w:val="single"/>
        </w:rPr>
        <w:t>Plans for Tabulation and Publication and Project Time</w:t>
      </w:r>
      <w:r w:rsidRPr="00172F6A">
        <w:rPr>
          <w:spacing w:val="-5"/>
          <w:sz w:val="24"/>
          <w:u w:val="single"/>
        </w:rPr>
        <w:t xml:space="preserve"> </w:t>
      </w:r>
      <w:r w:rsidRPr="00172F6A">
        <w:rPr>
          <w:sz w:val="24"/>
          <w:u w:val="single"/>
        </w:rPr>
        <w:t>Schedul</w:t>
      </w:r>
      <w:r w:rsidRPr="00172F6A" w:rsidR="00172F6A">
        <w:rPr>
          <w:sz w:val="24"/>
          <w:u w:val="single"/>
        </w:rPr>
        <w:t>e</w:t>
      </w:r>
    </w:p>
    <w:p w:rsidRPr="00172F6A" w:rsidR="00A95238" w:rsidP="005070B0" w:rsidRDefault="0000117D" w14:paraId="0717A17B" w14:textId="5A7A364B">
      <w:pPr>
        <w:widowControl/>
        <w:spacing w:before="120"/>
        <w:ind w:left="101" w:right="853"/>
        <w:rPr>
          <w:sz w:val="24"/>
        </w:rPr>
      </w:pPr>
      <w:r w:rsidRPr="00172F6A">
        <w:rPr>
          <w:sz w:val="24"/>
          <w:szCs w:val="24"/>
        </w:rPr>
        <w:t>Th</w:t>
      </w:r>
      <w:r w:rsidR="00EA2290">
        <w:rPr>
          <w:sz w:val="24"/>
          <w:szCs w:val="24"/>
        </w:rPr>
        <w:t>e</w:t>
      </w:r>
      <w:r w:rsidRPr="00172F6A">
        <w:rPr>
          <w:sz w:val="24"/>
          <w:szCs w:val="24"/>
        </w:rPr>
        <w:t xml:space="preserve"> information collected will not be published or tabulated.</w:t>
      </w:r>
    </w:p>
    <w:p w:rsidR="00A95238" w:rsidP="005070B0" w:rsidRDefault="0000117D" w14:paraId="0717A17C" w14:textId="77777777">
      <w:pPr>
        <w:pStyle w:val="ListParagraph"/>
        <w:widowControl/>
        <w:numPr>
          <w:ilvl w:val="0"/>
          <w:numId w:val="2"/>
        </w:numPr>
        <w:spacing w:before="240"/>
        <w:ind w:hanging="360"/>
        <w:rPr>
          <w:sz w:val="24"/>
        </w:rPr>
      </w:pPr>
      <w:r>
        <w:rPr>
          <w:sz w:val="24"/>
          <w:u w:val="single"/>
        </w:rPr>
        <w:t>Reason(s) Display of OMB Expiration Date is</w:t>
      </w:r>
      <w:r>
        <w:rPr>
          <w:spacing w:val="1"/>
          <w:sz w:val="24"/>
          <w:u w:val="single"/>
        </w:rPr>
        <w:t xml:space="preserve"> </w:t>
      </w:r>
      <w:r>
        <w:rPr>
          <w:sz w:val="24"/>
          <w:u w:val="single"/>
        </w:rPr>
        <w:t>Inappropriate</w:t>
      </w:r>
    </w:p>
    <w:p w:rsidR="00A95238" w:rsidP="005070B0" w:rsidRDefault="00BE4EC0" w14:paraId="0717A17F" w14:textId="45CD587C">
      <w:pPr>
        <w:pStyle w:val="BodyText"/>
        <w:widowControl/>
        <w:spacing w:before="198"/>
        <w:ind w:left="100"/>
      </w:pPr>
      <w:r w:rsidRPr="00344C1F">
        <w:t>FDA will display the OMB expiration date as required by 5 CFR 1320.5.</w:t>
      </w:r>
    </w:p>
    <w:p w:rsidR="00A95238" w:rsidP="005070B0" w:rsidRDefault="0000117D" w14:paraId="0717A180" w14:textId="77777777">
      <w:pPr>
        <w:pStyle w:val="ListParagraph"/>
        <w:widowControl/>
        <w:numPr>
          <w:ilvl w:val="0"/>
          <w:numId w:val="2"/>
        </w:numPr>
        <w:rPr>
          <w:sz w:val="24"/>
        </w:rPr>
      </w:pPr>
      <w:r>
        <w:rPr>
          <w:sz w:val="24"/>
          <w:u w:val="single"/>
        </w:rPr>
        <w:t>Exceptions to Certification for Paperwork Reduction Act Submissions</w:t>
      </w:r>
    </w:p>
    <w:p w:rsidR="00A95238" w:rsidP="005070B0" w:rsidRDefault="0000117D" w14:paraId="0717A192" w14:textId="6B6BA9CE">
      <w:pPr>
        <w:widowControl/>
        <w:spacing w:before="198" w:line="412" w:lineRule="auto"/>
        <w:ind w:left="100" w:right="952"/>
      </w:pPr>
      <w:r>
        <w:rPr>
          <w:sz w:val="24"/>
        </w:rPr>
        <w:t>There are no exceptions to the certification.</w:t>
      </w:r>
    </w:p>
    <w:sectPr w:rsidR="00A95238" w:rsidSect="005070B0">
      <w:headerReference w:type="default" r:id="rId10"/>
      <w:footerReference w:type="default" r:id="rId11"/>
      <w:pgSz w:w="12240" w:h="15840"/>
      <w:pgMar w:top="1640" w:right="1220" w:bottom="960" w:left="1340" w:header="72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5425A" w14:textId="77777777" w:rsidR="00DE3090" w:rsidRDefault="00DE3090">
      <w:r>
        <w:separator/>
      </w:r>
    </w:p>
  </w:endnote>
  <w:endnote w:type="continuationSeparator" w:id="0">
    <w:p w14:paraId="0E333BC1" w14:textId="77777777" w:rsidR="00DE3090" w:rsidRDefault="00DE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A194" w14:textId="4797651A" w:rsidR="00A95238" w:rsidRDefault="00633266">
    <w:pPr>
      <w:pStyle w:val="BodyText"/>
      <w:spacing w:line="14" w:lineRule="auto"/>
      <w:rPr>
        <w:sz w:val="20"/>
      </w:rPr>
    </w:pPr>
    <w:r>
      <w:rPr>
        <w:noProof/>
      </w:rPr>
      <mc:AlternateContent>
        <mc:Choice Requires="wps">
          <w:drawing>
            <wp:anchor distT="0" distB="0" distL="114300" distR="114300" simplePos="0" relativeHeight="251398144" behindDoc="1" locked="0" layoutInCell="1" allowOverlap="1" wp14:anchorId="0717A198" wp14:editId="569FB2B3">
              <wp:simplePos x="0" y="0"/>
              <wp:positionH relativeFrom="page">
                <wp:posOffset>3856355</wp:posOffset>
              </wp:positionH>
              <wp:positionV relativeFrom="page">
                <wp:posOffset>9563100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7A19A" w14:textId="77777777" w:rsidR="00A95238" w:rsidRDefault="0000117D">
                          <w:pPr>
                            <w:pStyle w:val="BodyText"/>
                            <w:spacing w:before="10"/>
                            <w:ind w:left="6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7A198" id="_x0000_t202" coordsize="21600,21600" o:spt="202" path="m,l,21600r21600,l21600,xe">
              <v:stroke joinstyle="miter"/>
              <v:path gradientshapeok="t" o:connecttype="rect"/>
            </v:shapetype>
            <v:shape id="Text Box 1" o:spid="_x0000_s1026" type="#_x0000_t202" style="position:absolute;margin-left:303.65pt;margin-top:753pt;width:12pt;height:15.3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r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vOnLA0ogc1&#10;RfYBJlYmd0YfKiq691QWJ7pOlUlp8HcgfwTm4LoXrlNXiDD2SrTELncWj1pnnJBAmvEztPSM2EfI&#10;QJNGmwDJDEboNKXjeTKJikxPvtlcrCkjKVW+v3hd5skVolqaPYb4UYFlKag50uAzuDjchUgyqHQp&#10;SW85uDXDkIc/uL8uqDDdZPKJ78w8Ts10MqOB9kgyEOZdot2noAf8xdlIe1Tz8HMvUHE2fHJkRVq6&#10;JcAlaJZAOEmtNY+czeF1nJdz79F0PSHPZju4Iru0yVKSrzOLE0/ajazwtMdp+R5/56o/f9vuNwAA&#10;AP//AwBQSwMEFAAGAAgAAAAhAL0klEPfAAAADQEAAA8AAABkcnMvZG93bnJldi54bWxMj8FOwzAQ&#10;RO9I/IO1SNyoXSIMhDhVVcEJCZGGA0cndhOr8TqN3Tb8PdsTHHfmaXamWM1+YCc7RRdQwXIhgFls&#10;g3HYKfiq3+6egMWk0eghoFXwYyOsyuurQucmnLGyp23qGIVgzLWCPqUx5zy2vfU6LsJokbxdmLxO&#10;dE4dN5M+U7gf+L0QknvtkD70erSb3rb77dErWH9j9eoOH81ntatcXT8LfJd7pW5v5vULsGTn9AfD&#10;pT5Vh5I6NeGIJrJBgRSPGaFkPAhJqwiR2ZKk5iJlUgIvC/5/RfkLAAD//wMAUEsBAi0AFAAGAAgA&#10;AAAhALaDOJL+AAAA4QEAABMAAAAAAAAAAAAAAAAAAAAAAFtDb250ZW50X1R5cGVzXS54bWxQSwEC&#10;LQAUAAYACAAAACEAOP0h/9YAAACUAQAACwAAAAAAAAAAAAAAAAAvAQAAX3JlbHMvLnJlbHNQSwEC&#10;LQAUAAYACAAAACEAhfnIq+YBAAC1AwAADgAAAAAAAAAAAAAAAAAuAgAAZHJzL2Uyb0RvYy54bWxQ&#10;SwECLQAUAAYACAAAACEAvSSUQ98AAAANAQAADwAAAAAAAAAAAAAAAABABAAAZHJzL2Rvd25yZXYu&#10;eG1sUEsFBgAAAAAEAAQA8wAAAEwFAAAAAA==&#10;" filled="f" stroked="f">
              <v:textbox inset="0,0,0,0">
                <w:txbxContent>
                  <w:p w14:paraId="0717A19A" w14:textId="77777777" w:rsidR="00A95238" w:rsidRDefault="0000117D">
                    <w:pPr>
                      <w:pStyle w:val="BodyText"/>
                      <w:spacing w:before="10"/>
                      <w:ind w:left="6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279D" w14:textId="77777777" w:rsidR="00DE3090" w:rsidRDefault="00DE3090">
      <w:r>
        <w:separator/>
      </w:r>
    </w:p>
  </w:footnote>
  <w:footnote w:type="continuationSeparator" w:id="0">
    <w:p w14:paraId="0FF6F097" w14:textId="77777777" w:rsidR="00DE3090" w:rsidRDefault="00DE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A193" w14:textId="1771AA2D" w:rsidR="00A95238" w:rsidRDefault="00A9523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354A0"/>
    <w:multiLevelType w:val="hybridMultilevel"/>
    <w:tmpl w:val="903CB23A"/>
    <w:lvl w:ilvl="0" w:tplc="D6F89C0A">
      <w:start w:val="1"/>
      <w:numFmt w:val="decimal"/>
      <w:lvlText w:val="%1."/>
      <w:lvlJc w:val="left"/>
      <w:pPr>
        <w:ind w:left="461" w:hanging="361"/>
      </w:pPr>
      <w:rPr>
        <w:rFonts w:ascii="Times New Roman" w:eastAsia="Times New Roman" w:hAnsi="Times New Roman" w:cs="Times New Roman" w:hint="default"/>
        <w:spacing w:val="-2"/>
        <w:w w:val="99"/>
        <w:sz w:val="24"/>
        <w:szCs w:val="24"/>
        <w:lang w:val="en-US" w:eastAsia="en-US" w:bidi="en-US"/>
      </w:rPr>
    </w:lvl>
    <w:lvl w:ilvl="1" w:tplc="B7408A14">
      <w:start w:val="1"/>
      <w:numFmt w:val="lowerLetter"/>
      <w:lvlText w:val="(%2)"/>
      <w:lvlJc w:val="left"/>
      <w:pPr>
        <w:ind w:left="1145" w:hanging="325"/>
      </w:pPr>
      <w:rPr>
        <w:rFonts w:ascii="Times New Roman" w:eastAsia="Times New Roman" w:hAnsi="Times New Roman" w:cs="Times New Roman" w:hint="default"/>
        <w:spacing w:val="-2"/>
        <w:w w:val="99"/>
        <w:sz w:val="24"/>
        <w:szCs w:val="24"/>
        <w:lang w:val="en-US" w:eastAsia="en-US" w:bidi="en-US"/>
      </w:rPr>
    </w:lvl>
    <w:lvl w:ilvl="2" w:tplc="C1F6805A">
      <w:numFmt w:val="bullet"/>
      <w:lvlText w:val="•"/>
      <w:lvlJc w:val="left"/>
      <w:pPr>
        <w:ind w:left="2088" w:hanging="325"/>
      </w:pPr>
      <w:rPr>
        <w:rFonts w:hint="default"/>
        <w:lang w:val="en-US" w:eastAsia="en-US" w:bidi="en-US"/>
      </w:rPr>
    </w:lvl>
    <w:lvl w:ilvl="3" w:tplc="86166E64">
      <w:numFmt w:val="bullet"/>
      <w:lvlText w:val="•"/>
      <w:lvlJc w:val="left"/>
      <w:pPr>
        <w:ind w:left="3037" w:hanging="325"/>
      </w:pPr>
      <w:rPr>
        <w:rFonts w:hint="default"/>
        <w:lang w:val="en-US" w:eastAsia="en-US" w:bidi="en-US"/>
      </w:rPr>
    </w:lvl>
    <w:lvl w:ilvl="4" w:tplc="6B949A5E">
      <w:numFmt w:val="bullet"/>
      <w:lvlText w:val="•"/>
      <w:lvlJc w:val="left"/>
      <w:pPr>
        <w:ind w:left="3986" w:hanging="325"/>
      </w:pPr>
      <w:rPr>
        <w:rFonts w:hint="default"/>
        <w:lang w:val="en-US" w:eastAsia="en-US" w:bidi="en-US"/>
      </w:rPr>
    </w:lvl>
    <w:lvl w:ilvl="5" w:tplc="8842B5E4">
      <w:numFmt w:val="bullet"/>
      <w:lvlText w:val="•"/>
      <w:lvlJc w:val="left"/>
      <w:pPr>
        <w:ind w:left="4935" w:hanging="325"/>
      </w:pPr>
      <w:rPr>
        <w:rFonts w:hint="default"/>
        <w:lang w:val="en-US" w:eastAsia="en-US" w:bidi="en-US"/>
      </w:rPr>
    </w:lvl>
    <w:lvl w:ilvl="6" w:tplc="75D4A646">
      <w:numFmt w:val="bullet"/>
      <w:lvlText w:val="•"/>
      <w:lvlJc w:val="left"/>
      <w:pPr>
        <w:ind w:left="5884" w:hanging="325"/>
      </w:pPr>
      <w:rPr>
        <w:rFonts w:hint="default"/>
        <w:lang w:val="en-US" w:eastAsia="en-US" w:bidi="en-US"/>
      </w:rPr>
    </w:lvl>
    <w:lvl w:ilvl="7" w:tplc="4A7856EC">
      <w:numFmt w:val="bullet"/>
      <w:lvlText w:val="•"/>
      <w:lvlJc w:val="left"/>
      <w:pPr>
        <w:ind w:left="6833" w:hanging="325"/>
      </w:pPr>
      <w:rPr>
        <w:rFonts w:hint="default"/>
        <w:lang w:val="en-US" w:eastAsia="en-US" w:bidi="en-US"/>
      </w:rPr>
    </w:lvl>
    <w:lvl w:ilvl="8" w:tplc="082CCF14">
      <w:numFmt w:val="bullet"/>
      <w:lvlText w:val="•"/>
      <w:lvlJc w:val="left"/>
      <w:pPr>
        <w:ind w:left="7782" w:hanging="325"/>
      </w:pPr>
      <w:rPr>
        <w:rFonts w:hint="default"/>
        <w:lang w:val="en-US" w:eastAsia="en-US" w:bidi="en-US"/>
      </w:rPr>
    </w:lvl>
  </w:abstractNum>
  <w:abstractNum w:abstractNumId="1" w15:restartNumberingAfterBreak="0">
    <w:nsid w:val="308529D8"/>
    <w:multiLevelType w:val="hybridMultilevel"/>
    <w:tmpl w:val="1BFE3224"/>
    <w:lvl w:ilvl="0" w:tplc="DF8A3FD8">
      <w:start w:val="1"/>
      <w:numFmt w:val="lowerLetter"/>
      <w:lvlText w:val="(%1)"/>
      <w:lvlJc w:val="left"/>
      <w:pPr>
        <w:ind w:left="100" w:hanging="325"/>
      </w:pPr>
      <w:rPr>
        <w:rFonts w:ascii="Times New Roman" w:eastAsia="Times New Roman" w:hAnsi="Times New Roman" w:cs="Times New Roman" w:hint="default"/>
        <w:spacing w:val="-2"/>
        <w:w w:val="99"/>
        <w:sz w:val="24"/>
        <w:szCs w:val="24"/>
        <w:lang w:val="en-US" w:eastAsia="en-US" w:bidi="en-US"/>
      </w:rPr>
    </w:lvl>
    <w:lvl w:ilvl="1" w:tplc="C33A3E76">
      <w:start w:val="1"/>
      <w:numFmt w:val="decimal"/>
      <w:lvlText w:val="(%2)"/>
      <w:lvlJc w:val="left"/>
      <w:pPr>
        <w:ind w:left="100" w:hanging="340"/>
      </w:pPr>
      <w:rPr>
        <w:rFonts w:ascii="Times New Roman" w:eastAsia="Times New Roman" w:hAnsi="Times New Roman" w:cs="Times New Roman" w:hint="default"/>
        <w:spacing w:val="-2"/>
        <w:w w:val="99"/>
        <w:sz w:val="24"/>
        <w:szCs w:val="24"/>
        <w:lang w:val="en-US" w:eastAsia="en-US" w:bidi="en-US"/>
      </w:rPr>
    </w:lvl>
    <w:lvl w:ilvl="2" w:tplc="9FC4A390">
      <w:numFmt w:val="bullet"/>
      <w:lvlText w:val="•"/>
      <w:lvlJc w:val="left"/>
      <w:pPr>
        <w:ind w:left="2016" w:hanging="340"/>
      </w:pPr>
      <w:rPr>
        <w:rFonts w:hint="default"/>
        <w:lang w:val="en-US" w:eastAsia="en-US" w:bidi="en-US"/>
      </w:rPr>
    </w:lvl>
    <w:lvl w:ilvl="3" w:tplc="45F645AE">
      <w:numFmt w:val="bullet"/>
      <w:lvlText w:val="•"/>
      <w:lvlJc w:val="left"/>
      <w:pPr>
        <w:ind w:left="2974" w:hanging="340"/>
      </w:pPr>
      <w:rPr>
        <w:rFonts w:hint="default"/>
        <w:lang w:val="en-US" w:eastAsia="en-US" w:bidi="en-US"/>
      </w:rPr>
    </w:lvl>
    <w:lvl w:ilvl="4" w:tplc="A5B486F6">
      <w:numFmt w:val="bullet"/>
      <w:lvlText w:val="•"/>
      <w:lvlJc w:val="left"/>
      <w:pPr>
        <w:ind w:left="3932" w:hanging="340"/>
      </w:pPr>
      <w:rPr>
        <w:rFonts w:hint="default"/>
        <w:lang w:val="en-US" w:eastAsia="en-US" w:bidi="en-US"/>
      </w:rPr>
    </w:lvl>
    <w:lvl w:ilvl="5" w:tplc="1DC0BEF2">
      <w:numFmt w:val="bullet"/>
      <w:lvlText w:val="•"/>
      <w:lvlJc w:val="left"/>
      <w:pPr>
        <w:ind w:left="4890" w:hanging="340"/>
      </w:pPr>
      <w:rPr>
        <w:rFonts w:hint="default"/>
        <w:lang w:val="en-US" w:eastAsia="en-US" w:bidi="en-US"/>
      </w:rPr>
    </w:lvl>
    <w:lvl w:ilvl="6" w:tplc="E7867B74">
      <w:numFmt w:val="bullet"/>
      <w:lvlText w:val="•"/>
      <w:lvlJc w:val="left"/>
      <w:pPr>
        <w:ind w:left="5848" w:hanging="340"/>
      </w:pPr>
      <w:rPr>
        <w:rFonts w:hint="default"/>
        <w:lang w:val="en-US" w:eastAsia="en-US" w:bidi="en-US"/>
      </w:rPr>
    </w:lvl>
    <w:lvl w:ilvl="7" w:tplc="7402F7B8">
      <w:numFmt w:val="bullet"/>
      <w:lvlText w:val="•"/>
      <w:lvlJc w:val="left"/>
      <w:pPr>
        <w:ind w:left="6806" w:hanging="340"/>
      </w:pPr>
      <w:rPr>
        <w:rFonts w:hint="default"/>
        <w:lang w:val="en-US" w:eastAsia="en-US" w:bidi="en-US"/>
      </w:rPr>
    </w:lvl>
    <w:lvl w:ilvl="8" w:tplc="111A50C0">
      <w:numFmt w:val="bullet"/>
      <w:lvlText w:val="•"/>
      <w:lvlJc w:val="left"/>
      <w:pPr>
        <w:ind w:left="7764" w:hanging="340"/>
      </w:pPr>
      <w:rPr>
        <w:rFonts w:hint="default"/>
        <w:lang w:val="en-US" w:eastAsia="en-US" w:bidi="en-US"/>
      </w:rPr>
    </w:lvl>
  </w:abstractNum>
  <w:abstractNum w:abstractNumId="2" w15:restartNumberingAfterBreak="0">
    <w:nsid w:val="609E4906"/>
    <w:multiLevelType w:val="hybridMultilevel"/>
    <w:tmpl w:val="3A6A3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38"/>
    <w:rsid w:val="0000117D"/>
    <w:rsid w:val="0002221A"/>
    <w:rsid w:val="00062C80"/>
    <w:rsid w:val="000678B9"/>
    <w:rsid w:val="00067A96"/>
    <w:rsid w:val="000901E4"/>
    <w:rsid w:val="00090750"/>
    <w:rsid w:val="000912F9"/>
    <w:rsid w:val="000B3A99"/>
    <w:rsid w:val="000C1B60"/>
    <w:rsid w:val="000D3DE9"/>
    <w:rsid w:val="000D6853"/>
    <w:rsid w:val="000E69EE"/>
    <w:rsid w:val="000F3F35"/>
    <w:rsid w:val="001040FC"/>
    <w:rsid w:val="00121C4E"/>
    <w:rsid w:val="001222DD"/>
    <w:rsid w:val="00130276"/>
    <w:rsid w:val="00144139"/>
    <w:rsid w:val="00151782"/>
    <w:rsid w:val="00162485"/>
    <w:rsid w:val="00171324"/>
    <w:rsid w:val="001713CD"/>
    <w:rsid w:val="00172F6A"/>
    <w:rsid w:val="001A0E73"/>
    <w:rsid w:val="001A3A3B"/>
    <w:rsid w:val="001B5D14"/>
    <w:rsid w:val="001D316E"/>
    <w:rsid w:val="001F51E9"/>
    <w:rsid w:val="00214D03"/>
    <w:rsid w:val="002213F1"/>
    <w:rsid w:val="00226B44"/>
    <w:rsid w:val="002505E2"/>
    <w:rsid w:val="00250FE6"/>
    <w:rsid w:val="00251C59"/>
    <w:rsid w:val="0027508C"/>
    <w:rsid w:val="00293203"/>
    <w:rsid w:val="00294F5B"/>
    <w:rsid w:val="002C1A56"/>
    <w:rsid w:val="002C4C62"/>
    <w:rsid w:val="002C505A"/>
    <w:rsid w:val="002D017B"/>
    <w:rsid w:val="002D28F9"/>
    <w:rsid w:val="002F0066"/>
    <w:rsid w:val="002F3E7A"/>
    <w:rsid w:val="002F4DA3"/>
    <w:rsid w:val="00325645"/>
    <w:rsid w:val="00327E62"/>
    <w:rsid w:val="003307D7"/>
    <w:rsid w:val="003364E5"/>
    <w:rsid w:val="00350922"/>
    <w:rsid w:val="003551C1"/>
    <w:rsid w:val="00357FBB"/>
    <w:rsid w:val="0037678C"/>
    <w:rsid w:val="00376ACD"/>
    <w:rsid w:val="00376D38"/>
    <w:rsid w:val="003813AD"/>
    <w:rsid w:val="0039550B"/>
    <w:rsid w:val="003A22FE"/>
    <w:rsid w:val="003B2190"/>
    <w:rsid w:val="003B7C82"/>
    <w:rsid w:val="003C55A4"/>
    <w:rsid w:val="003D066A"/>
    <w:rsid w:val="003E045D"/>
    <w:rsid w:val="003E3A05"/>
    <w:rsid w:val="003E53DD"/>
    <w:rsid w:val="003F084B"/>
    <w:rsid w:val="003F0FA9"/>
    <w:rsid w:val="003F3EAF"/>
    <w:rsid w:val="003F5378"/>
    <w:rsid w:val="00403657"/>
    <w:rsid w:val="00407164"/>
    <w:rsid w:val="00413AD2"/>
    <w:rsid w:val="00422697"/>
    <w:rsid w:val="00425C1A"/>
    <w:rsid w:val="00447335"/>
    <w:rsid w:val="00450817"/>
    <w:rsid w:val="004513A6"/>
    <w:rsid w:val="00461025"/>
    <w:rsid w:val="00465D70"/>
    <w:rsid w:val="0047472D"/>
    <w:rsid w:val="00475D72"/>
    <w:rsid w:val="00494158"/>
    <w:rsid w:val="004A1BD9"/>
    <w:rsid w:val="004A7F2E"/>
    <w:rsid w:val="004B3F2D"/>
    <w:rsid w:val="004E130D"/>
    <w:rsid w:val="005070B0"/>
    <w:rsid w:val="00516FC3"/>
    <w:rsid w:val="00517672"/>
    <w:rsid w:val="005306B7"/>
    <w:rsid w:val="00536870"/>
    <w:rsid w:val="00575F88"/>
    <w:rsid w:val="005A1BF7"/>
    <w:rsid w:val="005D5AFB"/>
    <w:rsid w:val="005D5DDB"/>
    <w:rsid w:val="005D7D39"/>
    <w:rsid w:val="005E05E7"/>
    <w:rsid w:val="0062349E"/>
    <w:rsid w:val="00633266"/>
    <w:rsid w:val="00667C01"/>
    <w:rsid w:val="0068225A"/>
    <w:rsid w:val="00693A9F"/>
    <w:rsid w:val="006955C0"/>
    <w:rsid w:val="006A5A9F"/>
    <w:rsid w:val="006C78D5"/>
    <w:rsid w:val="006D5066"/>
    <w:rsid w:val="006D5D81"/>
    <w:rsid w:val="006E0EF8"/>
    <w:rsid w:val="00721C71"/>
    <w:rsid w:val="00764D77"/>
    <w:rsid w:val="00772FC7"/>
    <w:rsid w:val="00777049"/>
    <w:rsid w:val="00787953"/>
    <w:rsid w:val="00792892"/>
    <w:rsid w:val="00796EA2"/>
    <w:rsid w:val="007B28EA"/>
    <w:rsid w:val="007B3001"/>
    <w:rsid w:val="007C3125"/>
    <w:rsid w:val="007C46CD"/>
    <w:rsid w:val="007D3BD5"/>
    <w:rsid w:val="00817281"/>
    <w:rsid w:val="0082621E"/>
    <w:rsid w:val="00843DA4"/>
    <w:rsid w:val="00845553"/>
    <w:rsid w:val="00872E96"/>
    <w:rsid w:val="00876ACD"/>
    <w:rsid w:val="00880C0A"/>
    <w:rsid w:val="008A3939"/>
    <w:rsid w:val="008D31B9"/>
    <w:rsid w:val="008F469F"/>
    <w:rsid w:val="009033E6"/>
    <w:rsid w:val="0090355B"/>
    <w:rsid w:val="0092060A"/>
    <w:rsid w:val="00934799"/>
    <w:rsid w:val="00966EAC"/>
    <w:rsid w:val="009776E2"/>
    <w:rsid w:val="009A1CD2"/>
    <w:rsid w:val="009B2906"/>
    <w:rsid w:val="009E4B80"/>
    <w:rsid w:val="009F53DC"/>
    <w:rsid w:val="00A0019F"/>
    <w:rsid w:val="00A01B8B"/>
    <w:rsid w:val="00A12DB9"/>
    <w:rsid w:val="00A4599B"/>
    <w:rsid w:val="00A5234F"/>
    <w:rsid w:val="00A67510"/>
    <w:rsid w:val="00A86780"/>
    <w:rsid w:val="00A95238"/>
    <w:rsid w:val="00AA4384"/>
    <w:rsid w:val="00AE033F"/>
    <w:rsid w:val="00AF1F60"/>
    <w:rsid w:val="00AF24B4"/>
    <w:rsid w:val="00B004B7"/>
    <w:rsid w:val="00B01E23"/>
    <w:rsid w:val="00B025D1"/>
    <w:rsid w:val="00B14454"/>
    <w:rsid w:val="00B24F21"/>
    <w:rsid w:val="00B34CCE"/>
    <w:rsid w:val="00B36F85"/>
    <w:rsid w:val="00B400AB"/>
    <w:rsid w:val="00B67E4E"/>
    <w:rsid w:val="00B73135"/>
    <w:rsid w:val="00B86D12"/>
    <w:rsid w:val="00B90FA2"/>
    <w:rsid w:val="00BA742D"/>
    <w:rsid w:val="00BD0261"/>
    <w:rsid w:val="00BD6A88"/>
    <w:rsid w:val="00BE3E9E"/>
    <w:rsid w:val="00BE4EC0"/>
    <w:rsid w:val="00BF0685"/>
    <w:rsid w:val="00BF27E0"/>
    <w:rsid w:val="00BF58C5"/>
    <w:rsid w:val="00C023E8"/>
    <w:rsid w:val="00C35A37"/>
    <w:rsid w:val="00C3671F"/>
    <w:rsid w:val="00C42BEE"/>
    <w:rsid w:val="00C474DE"/>
    <w:rsid w:val="00C5226A"/>
    <w:rsid w:val="00C66743"/>
    <w:rsid w:val="00C70520"/>
    <w:rsid w:val="00C8248C"/>
    <w:rsid w:val="00C90836"/>
    <w:rsid w:val="00C928F0"/>
    <w:rsid w:val="00C96A8F"/>
    <w:rsid w:val="00CB7654"/>
    <w:rsid w:val="00CC73F3"/>
    <w:rsid w:val="00CD1741"/>
    <w:rsid w:val="00CD5B88"/>
    <w:rsid w:val="00CE52C2"/>
    <w:rsid w:val="00CF53A5"/>
    <w:rsid w:val="00D06A96"/>
    <w:rsid w:val="00D52EEA"/>
    <w:rsid w:val="00D81B64"/>
    <w:rsid w:val="00DC0F0C"/>
    <w:rsid w:val="00DC5C36"/>
    <w:rsid w:val="00DD403D"/>
    <w:rsid w:val="00DE3090"/>
    <w:rsid w:val="00DE6AE5"/>
    <w:rsid w:val="00E14388"/>
    <w:rsid w:val="00E26614"/>
    <w:rsid w:val="00E32EF1"/>
    <w:rsid w:val="00E4021E"/>
    <w:rsid w:val="00E54937"/>
    <w:rsid w:val="00E7322A"/>
    <w:rsid w:val="00E7397F"/>
    <w:rsid w:val="00E91E34"/>
    <w:rsid w:val="00EA2290"/>
    <w:rsid w:val="00EB2CCD"/>
    <w:rsid w:val="00ED36C6"/>
    <w:rsid w:val="00ED6991"/>
    <w:rsid w:val="00EE0C5F"/>
    <w:rsid w:val="00F038F6"/>
    <w:rsid w:val="00F23975"/>
    <w:rsid w:val="00F3154C"/>
    <w:rsid w:val="00F32206"/>
    <w:rsid w:val="00F435A3"/>
    <w:rsid w:val="00FA380F"/>
    <w:rsid w:val="00FB29CE"/>
    <w:rsid w:val="00FC2BD6"/>
    <w:rsid w:val="00FE5B11"/>
    <w:rsid w:val="00FF137F"/>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7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587" w:lineRule="exact"/>
      <w:ind w:left="800" w:right="290"/>
      <w:jc w:val="center"/>
      <w:outlineLvl w:val="0"/>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9"/>
      <w:ind w:left="46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2E96"/>
    <w:rPr>
      <w:color w:val="0000FF" w:themeColor="hyperlink"/>
      <w:u w:val="single"/>
    </w:rPr>
  </w:style>
  <w:style w:type="character" w:styleId="UnresolvedMention">
    <w:name w:val="Unresolved Mention"/>
    <w:basedOn w:val="DefaultParagraphFont"/>
    <w:uiPriority w:val="99"/>
    <w:semiHidden/>
    <w:unhideWhenUsed/>
    <w:rsid w:val="00872E96"/>
    <w:rPr>
      <w:color w:val="605E5C"/>
      <w:shd w:val="clear" w:color="auto" w:fill="E1DFDD"/>
    </w:rPr>
  </w:style>
  <w:style w:type="paragraph" w:styleId="Header">
    <w:name w:val="header"/>
    <w:basedOn w:val="Normal"/>
    <w:link w:val="HeaderChar"/>
    <w:uiPriority w:val="99"/>
    <w:unhideWhenUsed/>
    <w:rsid w:val="007B3001"/>
    <w:pPr>
      <w:tabs>
        <w:tab w:val="center" w:pos="4680"/>
        <w:tab w:val="right" w:pos="9360"/>
      </w:tabs>
    </w:pPr>
  </w:style>
  <w:style w:type="character" w:customStyle="1" w:styleId="HeaderChar">
    <w:name w:val="Header Char"/>
    <w:basedOn w:val="DefaultParagraphFont"/>
    <w:link w:val="Header"/>
    <w:uiPriority w:val="99"/>
    <w:rsid w:val="007B3001"/>
    <w:rPr>
      <w:rFonts w:ascii="Times New Roman" w:eastAsia="Times New Roman" w:hAnsi="Times New Roman" w:cs="Times New Roman"/>
      <w:lang w:bidi="en-US"/>
    </w:rPr>
  </w:style>
  <w:style w:type="paragraph" w:styleId="Footer">
    <w:name w:val="footer"/>
    <w:basedOn w:val="Normal"/>
    <w:link w:val="FooterChar"/>
    <w:unhideWhenUsed/>
    <w:rsid w:val="007B3001"/>
    <w:pPr>
      <w:tabs>
        <w:tab w:val="center" w:pos="4680"/>
        <w:tab w:val="right" w:pos="9360"/>
      </w:tabs>
    </w:pPr>
  </w:style>
  <w:style w:type="character" w:customStyle="1" w:styleId="FooterChar">
    <w:name w:val="Footer Char"/>
    <w:basedOn w:val="DefaultParagraphFont"/>
    <w:link w:val="Footer"/>
    <w:uiPriority w:val="99"/>
    <w:rsid w:val="007B300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90355B"/>
    <w:rPr>
      <w:sz w:val="16"/>
      <w:szCs w:val="16"/>
    </w:rPr>
  </w:style>
  <w:style w:type="paragraph" w:styleId="CommentText">
    <w:name w:val="annotation text"/>
    <w:basedOn w:val="Normal"/>
    <w:link w:val="CommentTextChar"/>
    <w:semiHidden/>
    <w:unhideWhenUsed/>
    <w:rsid w:val="0090355B"/>
    <w:rPr>
      <w:sz w:val="20"/>
      <w:szCs w:val="20"/>
    </w:rPr>
  </w:style>
  <w:style w:type="character" w:customStyle="1" w:styleId="CommentTextChar">
    <w:name w:val="Comment Text Char"/>
    <w:basedOn w:val="DefaultParagraphFont"/>
    <w:link w:val="CommentText"/>
    <w:uiPriority w:val="99"/>
    <w:semiHidden/>
    <w:rsid w:val="0090355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0355B"/>
    <w:rPr>
      <w:b/>
      <w:bCs/>
    </w:rPr>
  </w:style>
  <w:style w:type="character" w:customStyle="1" w:styleId="CommentSubjectChar">
    <w:name w:val="Comment Subject Char"/>
    <w:basedOn w:val="CommentTextChar"/>
    <w:link w:val="CommentSubject"/>
    <w:uiPriority w:val="99"/>
    <w:semiHidden/>
    <w:rsid w:val="0090355B"/>
    <w:rPr>
      <w:rFonts w:ascii="Times New Roman" w:eastAsia="Times New Roman" w:hAnsi="Times New Roman" w:cs="Times New Roman"/>
      <w:b/>
      <w:bCs/>
      <w:sz w:val="20"/>
      <w:szCs w:val="20"/>
      <w:lang w:bidi="en-US"/>
    </w:rPr>
  </w:style>
  <w:style w:type="character" w:styleId="FootnoteReference">
    <w:name w:val="footnote reference"/>
    <w:basedOn w:val="DefaultParagraphFont"/>
    <w:semiHidden/>
    <w:rsid w:val="002F3E7A"/>
  </w:style>
  <w:style w:type="paragraph" w:styleId="BodyTextIndent3">
    <w:name w:val="Body Text Indent 3"/>
    <w:basedOn w:val="Normal"/>
    <w:link w:val="BodyTextIndent3Char"/>
    <w:uiPriority w:val="99"/>
    <w:semiHidden/>
    <w:unhideWhenUsed/>
    <w:rsid w:val="00FE5B1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E5B11"/>
    <w:rPr>
      <w:rFonts w:ascii="Times New Roman" w:eastAsia="Times New Roman" w:hAnsi="Times New Roman" w:cs="Times New Roman"/>
      <w:sz w:val="16"/>
      <w:szCs w:val="16"/>
      <w:lang w:bidi="en-US"/>
    </w:rPr>
  </w:style>
  <w:style w:type="character" w:styleId="FollowedHyperlink">
    <w:name w:val="FollowedHyperlink"/>
    <w:basedOn w:val="DefaultParagraphFont"/>
    <w:uiPriority w:val="99"/>
    <w:semiHidden/>
    <w:unhideWhenUsed/>
    <w:rsid w:val="003E53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gov/fdsys/pkg/USCODE-2010-title21/pdf/USCODE-2010-title21-chap9-subchapIII-sec33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2527</Words>
  <Characters>14408</Characters>
  <Application>Microsoft Office Word</Application>
  <DocSecurity>0</DocSecurity>
  <Lines>120</Lines>
  <Paragraphs>33</Paragraphs>
  <ScaleCrop>false</ScaleCrop>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2022-05-20T15:33:00Z</dcterms:created>
  <dcterms:modified xsi:type="dcterms:W3CDTF">2022-05-20T15:33:00Z</dcterms:modified>
</cp:coreProperties>
</file>