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489" w:rsidP="001F0410" w:rsidRDefault="00A15489" w14:paraId="499BB6FD" w14:textId="17F4312B">
      <w:pPr>
        <w:rPr>
          <w:b/>
        </w:rPr>
      </w:pPr>
      <w:r>
        <w:rPr>
          <w:b/>
        </w:rPr>
        <w:t>Study Protocol</w:t>
      </w:r>
    </w:p>
    <w:p w:rsidR="00046D58" w:rsidP="005B4627" w:rsidRDefault="005B4627" w14:paraId="7DB4B167" w14:textId="3B3A2003">
      <w:pPr>
        <w:jc w:val="center"/>
        <w:rPr>
          <w:b/>
        </w:rPr>
      </w:pPr>
      <w:r>
        <w:rPr>
          <w:b/>
        </w:rPr>
        <w:t>Assessment of Ill Worker Policies Study</w:t>
      </w:r>
    </w:p>
    <w:p w:rsidR="00627419" w:rsidP="004144B7" w:rsidRDefault="004144B7" w14:paraId="3FEAEB22" w14:textId="538D5E2A">
      <w:pPr>
        <w:rPr>
          <w:b/>
        </w:rPr>
      </w:pPr>
      <w:r>
        <w:rPr>
          <w:b/>
        </w:rPr>
        <w:t>Revisions</w:t>
      </w:r>
    </w:p>
    <w:p w:rsidRPr="00C63D80" w:rsidR="004144B7" w:rsidP="00C63D80" w:rsidRDefault="004144B7" w14:paraId="75F9A31B" w14:textId="77777777">
      <w:pPr>
        <w:pStyle w:val="NoSpacing"/>
      </w:pPr>
      <w:r w:rsidRPr="00C63D80">
        <w:t xml:space="preserve">9/25/2020 – Revisions </w:t>
      </w:r>
    </w:p>
    <w:p w:rsidRPr="00C63D80" w:rsidR="004144B7" w:rsidP="00C63D80" w:rsidRDefault="004144B7" w14:paraId="71624866" w14:textId="54197134">
      <w:pPr>
        <w:pStyle w:val="NoSpacing"/>
        <w:numPr>
          <w:ilvl w:val="0"/>
          <w:numId w:val="9"/>
        </w:numPr>
      </w:pPr>
      <w:r w:rsidRPr="00C63D80">
        <w:t>Participating sites - Franklin County, OH replaced California due to a new EHS-Net cooperative agreement being issued</w:t>
      </w:r>
    </w:p>
    <w:p w:rsidR="004144B7" w:rsidP="00C63D80" w:rsidRDefault="004144B7" w14:paraId="6F18AD3B" w14:textId="70B129D7">
      <w:pPr>
        <w:pStyle w:val="NoSpacing"/>
        <w:numPr>
          <w:ilvl w:val="0"/>
          <w:numId w:val="9"/>
        </w:numPr>
      </w:pPr>
      <w:r w:rsidRPr="00C63D80">
        <w:t>Attachment 3 – Manager interview was modified to incorporate questions about when a sick worker policy had been changed to account for any confounding effects from the COVID-19 pandemic</w:t>
      </w:r>
    </w:p>
    <w:p w:rsidR="006C7222" w:rsidP="006C7222" w:rsidRDefault="006C7222" w14:paraId="60FAE557" w14:textId="77777777">
      <w:pPr>
        <w:pStyle w:val="NoSpacing"/>
        <w:ind w:left="360" w:hanging="360"/>
      </w:pPr>
      <w:r>
        <w:t>2/23/2022 – Revisions</w:t>
      </w:r>
    </w:p>
    <w:p w:rsidR="006C7222" w:rsidP="006C7222" w:rsidRDefault="006C7222" w14:paraId="143D180B" w14:textId="77777777">
      <w:pPr>
        <w:pStyle w:val="NoSpacing"/>
        <w:numPr>
          <w:ilvl w:val="0"/>
          <w:numId w:val="10"/>
        </w:numPr>
      </w:pPr>
      <w:r>
        <w:t>Added att. 3a – Manager interview with simplified consent language</w:t>
      </w:r>
    </w:p>
    <w:p w:rsidRPr="00C63D80" w:rsidR="00C63D80" w:rsidP="00C63D80" w:rsidRDefault="00C63D80" w14:paraId="1F6EE59D" w14:textId="77777777">
      <w:pPr>
        <w:pStyle w:val="NoSpacing"/>
        <w:ind w:left="720"/>
      </w:pPr>
    </w:p>
    <w:p w:rsidRPr="0043492E" w:rsidR="008D3FAA" w:rsidP="008D3FAA" w:rsidRDefault="008D3FAA" w14:paraId="5038862C" w14:textId="77777777">
      <w:pPr>
        <w:pStyle w:val="ListParagraph"/>
        <w:numPr>
          <w:ilvl w:val="0"/>
          <w:numId w:val="1"/>
        </w:numPr>
        <w:rPr>
          <w:b/>
        </w:rPr>
      </w:pPr>
      <w:r w:rsidRPr="0043492E">
        <w:rPr>
          <w:b/>
        </w:rPr>
        <w:t>Purpose</w:t>
      </w:r>
    </w:p>
    <w:p w:rsidR="008D3FAA" w:rsidP="008D3FAA" w:rsidRDefault="008D3FAA" w14:paraId="23803914" w14:textId="1F0AECED">
      <w:r>
        <w:t xml:space="preserve">This study is designed to </w:t>
      </w:r>
      <w:r w:rsidR="00DF28EC">
        <w:t xml:space="preserve">determine </w:t>
      </w:r>
      <w:r>
        <w:t xml:space="preserve">if an educational intervention will result in restaurants either developing or enhancing their ill worker management plans. </w:t>
      </w:r>
      <w:r w:rsidR="00DF28EC">
        <w:t>We will administer a</w:t>
      </w:r>
      <w:r>
        <w:t xml:space="preserve">n educational intervention </w:t>
      </w:r>
      <w:r w:rsidR="009711AA">
        <w:t>in</w:t>
      </w:r>
      <w:r>
        <w:t xml:space="preserve"> a random sample of restaurants</w:t>
      </w:r>
      <w:r w:rsidR="00B804CE">
        <w:t xml:space="preserve"> and</w:t>
      </w:r>
      <w:r w:rsidR="009711AA">
        <w:t xml:space="preserve"> </w:t>
      </w:r>
      <w:r w:rsidR="00DF28EC">
        <w:t xml:space="preserve">assess ill worker management plans </w:t>
      </w:r>
      <w:r w:rsidR="009711AA">
        <w:t xml:space="preserve">in those restaurants </w:t>
      </w:r>
      <w:r w:rsidR="00DF28EC">
        <w:t xml:space="preserve">both before and after the intervention. We will also </w:t>
      </w:r>
      <w:r w:rsidR="00B804CE">
        <w:t xml:space="preserve">concurrently </w:t>
      </w:r>
      <w:r w:rsidR="00DF28EC">
        <w:t>assess</w:t>
      </w:r>
      <w:r w:rsidRPr="00DF28EC" w:rsidR="00DF28EC">
        <w:t xml:space="preserve"> </w:t>
      </w:r>
      <w:r w:rsidR="00DF28EC">
        <w:t xml:space="preserve">ill worker management plans in a group of control restaurants. If the data show that the intervention improved ill worker management plans, we will also administer the intervention in the control restaurants. </w:t>
      </w:r>
    </w:p>
    <w:p w:rsidRPr="0043492E" w:rsidR="008D3FAA" w:rsidP="008D3FAA" w:rsidRDefault="008D3FAA" w14:paraId="091A67BF" w14:textId="77777777">
      <w:pPr>
        <w:pStyle w:val="ListParagraph"/>
        <w:numPr>
          <w:ilvl w:val="0"/>
          <w:numId w:val="1"/>
        </w:numPr>
        <w:rPr>
          <w:b/>
        </w:rPr>
      </w:pPr>
      <w:r w:rsidRPr="0043492E">
        <w:rPr>
          <w:b/>
        </w:rPr>
        <w:t>Background</w:t>
      </w:r>
    </w:p>
    <w:p w:rsidR="00835B90" w:rsidP="00B818D6" w:rsidRDefault="00B80759" w14:paraId="550AB5B2" w14:textId="77777777">
      <w:r>
        <w:t>S</w:t>
      </w:r>
      <w:r w:rsidR="00835B90">
        <w:t xml:space="preserve">ick food workers contribute to </w:t>
      </w:r>
      <w:r>
        <w:t>about a third</w:t>
      </w:r>
      <w:r w:rsidR="00835B90">
        <w:t xml:space="preserve"> of </w:t>
      </w:r>
      <w:r>
        <w:t>restaurant-related outbreaks, and to 70% of restaurant-related outbreaks caused by norovirus, the most common cause of outbreaks.</w:t>
      </w:r>
      <w:r w:rsidR="0011246F">
        <w:t xml:space="preserve"> Additionally, 20% of food workers report having worked with foodborne illness symptoms (vomiting and diarrhea) in the past year.</w:t>
      </w:r>
      <w:r w:rsidR="00BA3AF1">
        <w:t xml:space="preserve"> </w:t>
      </w:r>
      <w:r w:rsidR="00C268C7">
        <w:t>Clearly, ill food workers are a significant public health problem.</w:t>
      </w:r>
    </w:p>
    <w:p w:rsidR="00C268C7" w:rsidP="00B818D6" w:rsidRDefault="00C268C7" w14:paraId="16E9470E" w14:textId="5CBEBF7C">
      <w:r>
        <w:t>In its model Food Code, The Food and Drug Administration</w:t>
      </w:r>
      <w:r w:rsidR="00524883">
        <w:t xml:space="preserve"> (FDA)</w:t>
      </w:r>
      <w:r>
        <w:t xml:space="preserve"> provides specific recommendations for restaurants on managing ill workers. For example, the Food Code states that workers should not work with foodborne illness symptoms and that workers need to tell their managers when they are sick with foodborne illness symptoms. </w:t>
      </w:r>
      <w:r w:rsidR="0017233E">
        <w:t>There is some evidence that the adoption of these provisions is linked with fewer foodborne illness outbreaks</w:t>
      </w:r>
      <w:r w:rsidR="00501AB4">
        <w:t xml:space="preserve"> </w: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 </w:instrTex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EN.CITE.DATA </w:instrText>
      </w:r>
      <w:r w:rsidR="00501AB4">
        <w:fldChar w:fldCharType="end"/>
      </w:r>
      <w:r w:rsidR="00501AB4">
        <w:fldChar w:fldCharType="separate"/>
      </w:r>
      <w:r w:rsidR="00501AB4">
        <w:rPr>
          <w:noProof/>
        </w:rPr>
        <w:t>(Kambhampati et al., 2016)</w:t>
      </w:r>
      <w:r w:rsidR="00501AB4">
        <w:fldChar w:fldCharType="end"/>
      </w:r>
      <w:r w:rsidR="0017233E">
        <w:t xml:space="preserve">. </w:t>
      </w:r>
      <w:r>
        <w:t>However, not all states have adopted these provisions of the Food Code, and not all restaurants implement these provisions when they have been adopted in their state.</w:t>
      </w:r>
      <w:r w:rsidR="0017233E">
        <w:t xml:space="preserve"> </w:t>
      </w:r>
    </w:p>
    <w:p w:rsidR="00C268C7" w:rsidP="00B818D6" w:rsidRDefault="00C268C7" w14:paraId="0E57B250" w14:textId="77777777">
      <w:r>
        <w:t xml:space="preserve">For this study, we designed an educational intervention for restaurant management. The goal of this intervention is to inform restaurant managers about the FDA Food Code provisions concerning ill workers, </w:t>
      </w:r>
      <w:r w:rsidR="00B804CE">
        <w:t xml:space="preserve">provide information on the reasons that food workers report for working while sick, </w:t>
      </w:r>
      <w:r>
        <w:t>to provide model ill worker management plans, and to</w:t>
      </w:r>
      <w:r w:rsidR="00B804CE">
        <w:t xml:space="preserve"> encourage restaurant management to develop their own </w:t>
      </w:r>
      <w:r w:rsidR="00F03B79">
        <w:t xml:space="preserve">ill worker management plan for the restaurant. </w:t>
      </w:r>
      <w:r>
        <w:t xml:space="preserve">The goal of this study is to evaluate the effectiveness of this intervention. The primary outcome of interest is whether the </w:t>
      </w:r>
      <w:r w:rsidR="0017233E">
        <w:t xml:space="preserve">intervention improves/enhances </w:t>
      </w:r>
      <w:r w:rsidR="00F03B79">
        <w:t xml:space="preserve">a </w:t>
      </w:r>
      <w:r w:rsidR="0017233E">
        <w:t>restaurants’ ill worker management plans.</w:t>
      </w:r>
    </w:p>
    <w:p w:rsidRPr="0043492E" w:rsidR="00B818D6" w:rsidP="002E64CC" w:rsidRDefault="00264C8A" w14:paraId="556072D0" w14:textId="77777777">
      <w:pPr>
        <w:pStyle w:val="ListParagraph"/>
        <w:numPr>
          <w:ilvl w:val="0"/>
          <w:numId w:val="1"/>
        </w:numPr>
        <w:rPr>
          <w:b/>
        </w:rPr>
      </w:pPr>
      <w:r w:rsidRPr="0043492E">
        <w:rPr>
          <w:b/>
        </w:rPr>
        <w:t xml:space="preserve">Primary </w:t>
      </w:r>
      <w:r w:rsidRPr="0043492E" w:rsidR="00280271">
        <w:rPr>
          <w:b/>
        </w:rPr>
        <w:t>Research Questions</w:t>
      </w:r>
    </w:p>
    <w:p w:rsidR="00C27BEF" w:rsidRDefault="00C27BEF" w14:paraId="702187E7" w14:textId="77777777">
      <w:pPr>
        <w:pStyle w:val="ListParagraph"/>
      </w:pPr>
    </w:p>
    <w:p w:rsidR="00280271" w:rsidP="002E64CC" w:rsidRDefault="00280271" w14:paraId="516789CD" w14:textId="77777777">
      <w:pPr>
        <w:pStyle w:val="ListParagraph"/>
        <w:numPr>
          <w:ilvl w:val="1"/>
          <w:numId w:val="1"/>
        </w:numPr>
      </w:pPr>
      <w:r>
        <w:t xml:space="preserve">Does </w:t>
      </w:r>
      <w:r w:rsidR="00827AC7">
        <w:t xml:space="preserve">the </w:t>
      </w:r>
      <w:r>
        <w:t xml:space="preserve">educational intervention lead to either the development or enhancement of ill worker management </w:t>
      </w:r>
      <w:r w:rsidR="00827AC7">
        <w:t>plans</w:t>
      </w:r>
      <w:r>
        <w:t>?</w:t>
      </w:r>
    </w:p>
    <w:p w:rsidR="00C27BEF" w:rsidRDefault="00827AC7" w14:paraId="0C1E5212" w14:textId="77777777">
      <w:pPr>
        <w:pStyle w:val="ListParagraph"/>
        <w:ind w:left="2160"/>
      </w:pPr>
      <w:r>
        <w:t>Measure:</w:t>
      </w:r>
      <w:r w:rsidR="00280271">
        <w:t xml:space="preserve"> change</w:t>
      </w:r>
      <w:r>
        <w:t xml:space="preserve"> in plans</w:t>
      </w:r>
      <w:r w:rsidR="00280271">
        <w:t xml:space="preserve"> from </w:t>
      </w:r>
      <w:r>
        <w:t>before and after intervention</w:t>
      </w:r>
      <w:r w:rsidR="00280271">
        <w:t xml:space="preserve"> </w:t>
      </w:r>
      <w:r>
        <w:t>implementation.</w:t>
      </w:r>
    </w:p>
    <w:p w:rsidR="00264C8A" w:rsidP="002E64CC" w:rsidRDefault="00827AC7" w14:paraId="170D81F9" w14:textId="77777777">
      <w:pPr>
        <w:pStyle w:val="ListParagraph"/>
        <w:numPr>
          <w:ilvl w:val="1"/>
          <w:numId w:val="1"/>
        </w:numPr>
      </w:pPr>
      <w:r>
        <w:t xml:space="preserve">What is the frequency of </w:t>
      </w:r>
      <w:r w:rsidR="00F03B79">
        <w:t>food safety practices in restaurants to prevent the spread of illness from an ill worker</w:t>
      </w:r>
      <w:r>
        <w:t xml:space="preserve">? </w:t>
      </w:r>
    </w:p>
    <w:p w:rsidR="00C27BEF" w:rsidRDefault="00827AC7" w14:paraId="7C3FFA2E" w14:textId="77777777">
      <w:pPr>
        <w:pStyle w:val="ListParagraph"/>
        <w:ind w:left="2160"/>
      </w:pPr>
      <w:r>
        <w:lastRenderedPageBreak/>
        <w:t>Measure:  frequency</w:t>
      </w:r>
      <w:r w:rsidR="00264C8A">
        <w:t xml:space="preserve"> of </w:t>
      </w:r>
      <w:r>
        <w:t xml:space="preserve">restaurants with good </w:t>
      </w:r>
      <w:r w:rsidR="00F03B79">
        <w:t>food safety practices (e.g</w:t>
      </w:r>
      <w:r>
        <w:t xml:space="preserve">.  </w:t>
      </w:r>
      <w:r w:rsidR="00264C8A">
        <w:t>limitations on bare hand contact with ready to eat food, cleaning policies, policies to respond to incidents of vomiting or diarrhea, etc.)</w:t>
      </w:r>
    </w:p>
    <w:p w:rsidRPr="0043492E" w:rsidR="00264C8A" w:rsidP="00264C8A" w:rsidRDefault="00264C8A" w14:paraId="3D6DB6EA" w14:textId="77777777">
      <w:pPr>
        <w:pStyle w:val="ListParagraph"/>
        <w:numPr>
          <w:ilvl w:val="0"/>
          <w:numId w:val="1"/>
        </w:numPr>
        <w:rPr>
          <w:b/>
        </w:rPr>
      </w:pPr>
      <w:r w:rsidRPr="0043492E">
        <w:rPr>
          <w:b/>
        </w:rPr>
        <w:t>Study Design</w:t>
      </w:r>
    </w:p>
    <w:p w:rsidR="008D2E24" w:rsidP="00264C8A" w:rsidRDefault="008D2E24" w14:paraId="350F00C1" w14:textId="77777777">
      <w:pPr>
        <w:ind w:left="360"/>
      </w:pPr>
      <w:r>
        <w:t>4.1 Summary</w:t>
      </w:r>
    </w:p>
    <w:p w:rsidR="00CA450B" w:rsidP="00274907" w:rsidRDefault="00264C8A" w14:paraId="1B9CCC79" w14:textId="234C2624">
      <w:r>
        <w:t xml:space="preserve">This study will </w:t>
      </w:r>
      <w:r w:rsidR="00CA450B">
        <w:t xml:space="preserve">use </w:t>
      </w:r>
      <w:r>
        <w:t>a quasi-experimental</w:t>
      </w:r>
      <w:r w:rsidR="00CA450B">
        <w:t>,</w:t>
      </w:r>
      <w:r>
        <w:t xml:space="preserve"> non-equivalent group</w:t>
      </w:r>
      <w:r w:rsidR="00CA450B">
        <w:t>,</w:t>
      </w:r>
      <w:r>
        <w:t xml:space="preserve"> pre</w:t>
      </w:r>
      <w:r w:rsidR="00CA450B">
        <w:t>/</w:t>
      </w:r>
      <w:r>
        <w:t>post-test design.</w:t>
      </w:r>
      <w:r w:rsidR="00CA450B">
        <w:t xml:space="preserve"> </w:t>
      </w:r>
      <w:r>
        <w:t xml:space="preserve">The study will </w:t>
      </w:r>
      <w:r w:rsidR="00CA450B">
        <w:t>have</w:t>
      </w:r>
      <w:r>
        <w:t xml:space="preserve"> two groups of restaurants (intervention and control). </w:t>
      </w:r>
      <w:r w:rsidR="00CA450B">
        <w:t>In both restaurant groups, we will conduct a</w:t>
      </w:r>
      <w:r w:rsidR="00153AE7">
        <w:t xml:space="preserve"> </w:t>
      </w:r>
      <w:r w:rsidR="001920BF">
        <w:t>baseline</w:t>
      </w:r>
      <w:r w:rsidR="00CA450B">
        <w:t xml:space="preserve"> assessment of the restaurants’ ill worker management plans. Study personnel will assess the plans through manager interviews and restaurant observations</w:t>
      </w:r>
      <w:r w:rsidR="009E5FF1">
        <w:t xml:space="preserve"> (Attachment</w:t>
      </w:r>
      <w:r w:rsidR="00C53ACB">
        <w:t>s</w:t>
      </w:r>
      <w:r w:rsidR="009E5FF1">
        <w:t xml:space="preserve"> </w:t>
      </w:r>
      <w:r w:rsidR="00E44C2D">
        <w:t>3 and 4</w:t>
      </w:r>
      <w:r w:rsidR="009E5FF1">
        <w:t>)</w:t>
      </w:r>
      <w:r w:rsidR="00CA450B">
        <w:t>.</w:t>
      </w:r>
      <w:r>
        <w:t xml:space="preserve"> </w:t>
      </w:r>
      <w:r w:rsidR="00507EFC">
        <w:t>For the intervention restaurants, s</w:t>
      </w:r>
      <w:r w:rsidR="002E64CC">
        <w:t xml:space="preserve">tudy personnel will provide </w:t>
      </w:r>
      <w:r w:rsidR="00CA450B">
        <w:t>t</w:t>
      </w:r>
      <w:r>
        <w:t xml:space="preserve">he </w:t>
      </w:r>
      <w:r w:rsidR="002E64CC">
        <w:t>education</w:t>
      </w:r>
      <w:r w:rsidR="00507EFC">
        <w:t>al</w:t>
      </w:r>
      <w:r w:rsidR="002E64CC">
        <w:t xml:space="preserve"> </w:t>
      </w:r>
      <w:r>
        <w:t>intervention</w:t>
      </w:r>
      <w:r w:rsidR="00C53ACB">
        <w:t xml:space="preserve"> (see section 5.</w:t>
      </w:r>
      <w:r w:rsidR="00A14DA9">
        <w:t>5</w:t>
      </w:r>
      <w:r w:rsidR="00C53ACB">
        <w:t xml:space="preserve"> and using</w:t>
      </w:r>
      <w:r w:rsidR="002B20BF">
        <w:t xml:space="preserve"> Attachment </w:t>
      </w:r>
      <w:r w:rsidR="00E44C2D">
        <w:t>5</w:t>
      </w:r>
      <w:r w:rsidR="002B20BF">
        <w:t>)</w:t>
      </w:r>
      <w:r w:rsidR="00507EFC">
        <w:t xml:space="preserve"> at visit 1</w:t>
      </w:r>
      <w:r w:rsidR="00F7030E">
        <w:t xml:space="preserve"> or</w:t>
      </w:r>
      <w:r w:rsidR="00F56B2C">
        <w:t xml:space="preserve"> the</w:t>
      </w:r>
      <w:r w:rsidR="003D1F91">
        <w:t xml:space="preserve"> same visit as the baseline observation</w:t>
      </w:r>
      <w:r w:rsidR="00CA450B">
        <w:t xml:space="preserve">. The intervention will consist of a visit from study personnel, who will provide verbal information about ill worker management plans (e.g., the need to exclude ill workers from working; the need for cleaning protocols for when employees become ill). </w:t>
      </w:r>
      <w:r w:rsidR="002E64CC">
        <w:t>Study personnel will also provide and review</w:t>
      </w:r>
      <w:r w:rsidR="00CA450B">
        <w:t xml:space="preserve"> a written guide on ill worker management </w:t>
      </w:r>
      <w:r w:rsidR="00A308E4">
        <w:t>plans</w:t>
      </w:r>
      <w:r w:rsidR="003B04D2">
        <w:t xml:space="preserve"> (Attachment 5a)</w:t>
      </w:r>
      <w:r w:rsidR="00A308E4">
        <w:t xml:space="preserve">. </w:t>
      </w:r>
    </w:p>
    <w:p w:rsidR="00C27BEF" w:rsidRDefault="00CA450B" w14:paraId="695D080F" w14:textId="6BC1B12D">
      <w:r>
        <w:t xml:space="preserve">Approximately </w:t>
      </w:r>
      <w:r w:rsidR="00485B20">
        <w:t xml:space="preserve">three - </w:t>
      </w:r>
      <w:r w:rsidR="003D1F91">
        <w:t>six</w:t>
      </w:r>
      <w:r>
        <w:t xml:space="preserve"> </w:t>
      </w:r>
      <w:r w:rsidR="00A308E4">
        <w:t>months later</w:t>
      </w:r>
      <w:r w:rsidR="009C0D9F">
        <w:t xml:space="preserve"> at visit 2</w:t>
      </w:r>
      <w:r>
        <w:t xml:space="preserve">, </w:t>
      </w:r>
      <w:r w:rsidR="00FF257D">
        <w:t>study personnel will conduct another assessment</w:t>
      </w:r>
      <w:r>
        <w:t xml:space="preserve"> in both </w:t>
      </w:r>
      <w:r w:rsidR="009C0D9F">
        <w:t>res</w:t>
      </w:r>
      <w:r>
        <w:t>taurant groups</w:t>
      </w:r>
      <w:r w:rsidRPr="001E6013" w:rsidR="001E6013">
        <w:t xml:space="preserve"> </w:t>
      </w:r>
      <w:r w:rsidR="009563EA">
        <w:t>(</w:t>
      </w:r>
      <w:r w:rsidR="001E6013">
        <w:t>Attachment</w:t>
      </w:r>
      <w:r w:rsidR="00E44C2D">
        <w:t>s 3 and 4</w:t>
      </w:r>
      <w:r w:rsidR="001E6013">
        <w:t>).</w:t>
      </w:r>
      <w:r w:rsidR="00603848">
        <w:t xml:space="preserve"> If the </w:t>
      </w:r>
      <w:r w:rsidR="00F56B2C">
        <w:t xml:space="preserve">data indicates that the </w:t>
      </w:r>
      <w:r w:rsidRPr="00603848" w:rsidR="00603848">
        <w:t xml:space="preserve">intervention </w:t>
      </w:r>
      <w:r w:rsidR="00603848">
        <w:t xml:space="preserve">is </w:t>
      </w:r>
      <w:r w:rsidR="00F56B2C">
        <w:t>preliminarily effective</w:t>
      </w:r>
      <w:r>
        <w:t>, study personnel will then provide the intervention</w:t>
      </w:r>
      <w:r w:rsidR="002E64CC">
        <w:t xml:space="preserve"> to the control restaurants. Approximately </w:t>
      </w:r>
      <w:r w:rsidR="00CB770C">
        <w:t xml:space="preserve">three - </w:t>
      </w:r>
      <w:r w:rsidR="003D1F91">
        <w:t>six</w:t>
      </w:r>
      <w:r w:rsidR="002E64CC">
        <w:t xml:space="preserve"> months later, study personnel will then conduct the </w:t>
      </w:r>
      <w:r w:rsidR="0046436A">
        <w:t>visit 3 in these</w:t>
      </w:r>
      <w:r w:rsidR="002E64CC">
        <w:t xml:space="preserve"> control restaurants to determine the effectiveness of the intervention</w:t>
      </w:r>
      <w:r w:rsidR="00F56B2C">
        <w:t xml:space="preserve"> in these restaurants</w:t>
      </w:r>
      <w:r w:rsidR="002E64CC">
        <w:t xml:space="preserve">. </w:t>
      </w:r>
    </w:p>
    <w:p w:rsidR="00264C8A" w:rsidP="00274907" w:rsidRDefault="00C80C31" w14:paraId="310B19F1" w14:textId="0CD4EBC5">
      <w:r>
        <w:t xml:space="preserve">Participation in this study is voluntary and restaurant managers will be made aware of </w:t>
      </w:r>
      <w:r w:rsidR="00447261">
        <w:t xml:space="preserve">its </w:t>
      </w:r>
      <w:r>
        <w:t xml:space="preserve">voluntary nature. If a restaurant decides to no longer participate </w:t>
      </w:r>
      <w:r w:rsidR="00274273">
        <w:t xml:space="preserve">following </w:t>
      </w:r>
      <w:r>
        <w:t xml:space="preserve">the </w:t>
      </w:r>
      <w:r w:rsidR="00607765">
        <w:t>baseline as</w:t>
      </w:r>
      <w:r w:rsidR="00447261">
        <w:t>sessment</w:t>
      </w:r>
      <w:r w:rsidR="00F56B2C">
        <w:t xml:space="preserve"> (1</w:t>
      </w:r>
      <w:r w:rsidRPr="00313EE6" w:rsidR="00F56B2C">
        <w:rPr>
          <w:vertAlign w:val="superscript"/>
        </w:rPr>
        <w:t>st</w:t>
      </w:r>
      <w:r w:rsidR="00F56B2C">
        <w:t xml:space="preserve"> visit)</w:t>
      </w:r>
      <w:r w:rsidR="00447261">
        <w:t>,</w:t>
      </w:r>
      <w:r>
        <w:t xml:space="preserve"> </w:t>
      </w:r>
      <w:r w:rsidR="00447261">
        <w:t xml:space="preserve">the restaurant will be dropped from the study and recorded as a </w:t>
      </w:r>
      <w:r w:rsidR="001D526E">
        <w:t>‘</w:t>
      </w:r>
      <w:r>
        <w:t>loss to follow up</w:t>
      </w:r>
      <w:r w:rsidR="001D526E">
        <w:t>’.</w:t>
      </w:r>
      <w:r>
        <w:t xml:space="preserve"> </w:t>
      </w:r>
    </w:p>
    <w:p w:rsidR="00274907" w:rsidP="00264C8A" w:rsidRDefault="00274907" w14:paraId="11EEFB02" w14:textId="77777777">
      <w:pPr>
        <w:ind w:left="360"/>
      </w:pPr>
      <w:r>
        <w:t xml:space="preserve">4.2 </w:t>
      </w:r>
      <w:r w:rsidR="0080346D">
        <w:t>Study Sites</w:t>
      </w:r>
    </w:p>
    <w:p w:rsidR="0080346D" w:rsidP="0080346D" w:rsidRDefault="0080346D" w14:paraId="18204802" w14:textId="2002F6FD">
      <w:pPr>
        <w:contextualSpacing/>
      </w:pPr>
      <w:r>
        <w:t xml:space="preserve">This study will occur within the Environmental Health Specialists Network (EHS-Net). EHS-Net is </w:t>
      </w:r>
      <w:r w:rsidRPr="00864B52">
        <w:t>a</w:t>
      </w:r>
      <w:r w:rsidRPr="00864B52">
        <w:rPr>
          <w:sz w:val="20"/>
          <w:szCs w:val="20"/>
        </w:rPr>
        <w:t xml:space="preserve"> </w:t>
      </w:r>
      <w:r w:rsidRPr="00864B52">
        <w:t xml:space="preserve">collaborative project of the Centers for Disease Control and Prevention (CDC), the U.S. Food and Drug Administration (FDA), the U.S. Department of Agriculture (USDA), the U.S. Environmental Protection Agency (EPA), and </w:t>
      </w:r>
      <w:r>
        <w:t>eight state and local public health departments</w:t>
      </w:r>
      <w:r w:rsidRPr="00864B52">
        <w:t xml:space="preserve"> (</w:t>
      </w:r>
      <w:r w:rsidR="00B446A9">
        <w:t>Franklin County Ohio</w:t>
      </w:r>
      <w:r w:rsidRPr="00864B52">
        <w:t xml:space="preserve">, New York, </w:t>
      </w:r>
      <w:r>
        <w:t xml:space="preserve">New York City, </w:t>
      </w:r>
      <w:r w:rsidRPr="00864B52">
        <w:t xml:space="preserve">Minnesota, Rhode Island, </w:t>
      </w:r>
      <w:r>
        <w:t xml:space="preserve">Southern Nevada Health District, Harris County Texas, </w:t>
      </w:r>
      <w:r w:rsidRPr="00864B52">
        <w:t>and Tennessee). The state</w:t>
      </w:r>
      <w:r>
        <w:t xml:space="preserve"> and local</w:t>
      </w:r>
      <w:r w:rsidRPr="00864B52">
        <w:t xml:space="preserve"> p</w:t>
      </w:r>
      <w:r>
        <w:t xml:space="preserve">artners work with CDC to design, </w:t>
      </w:r>
      <w:r w:rsidRPr="00864B52">
        <w:t>collect</w:t>
      </w:r>
      <w:r>
        <w:t>,</w:t>
      </w:r>
      <w:r w:rsidRPr="00864B52">
        <w:t xml:space="preserve"> and analyze data from these studies. The federal partners provide funding and input into study design and data analysis. </w:t>
      </w:r>
    </w:p>
    <w:p w:rsidR="00CB770C" w:rsidP="0080346D" w:rsidRDefault="00CB770C" w14:paraId="46BDFB88" w14:textId="016773D7">
      <w:pPr>
        <w:contextualSpacing/>
      </w:pPr>
    </w:p>
    <w:p w:rsidRPr="0043492E" w:rsidR="00CB770C" w:rsidP="00CB770C" w:rsidRDefault="00CB770C" w14:paraId="6CAD6D58" w14:textId="77777777">
      <w:pPr>
        <w:pStyle w:val="ListParagraph"/>
        <w:ind w:left="0"/>
      </w:pPr>
      <w:r w:rsidRPr="0043492E">
        <w:t>Investigators/Collaborators/Funding</w:t>
      </w:r>
    </w:p>
    <w:p w:rsidR="00CB770C" w:rsidP="00CB770C" w:rsidRDefault="00CB770C" w14:paraId="5448AC66" w14:textId="77777777">
      <w:pPr>
        <w:pStyle w:val="ListParagraph"/>
        <w:ind w:left="0"/>
        <w:rPr>
          <w:b/>
        </w:rPr>
      </w:pPr>
    </w:p>
    <w:tbl>
      <w:tblPr>
        <w:tblStyle w:val="TableGrid"/>
        <w:tblW w:w="0" w:type="auto"/>
        <w:tblLook w:val="04A0" w:firstRow="1" w:lastRow="0" w:firstColumn="1" w:lastColumn="0" w:noHBand="0" w:noVBand="1"/>
      </w:tblPr>
      <w:tblGrid>
        <w:gridCol w:w="4405"/>
        <w:gridCol w:w="2970"/>
        <w:gridCol w:w="2695"/>
      </w:tblGrid>
      <w:tr w:rsidR="00CB770C" w:rsidTr="00F820DB" w14:paraId="33D5A57E" w14:textId="77777777">
        <w:tc>
          <w:tcPr>
            <w:tcW w:w="4405" w:type="dxa"/>
          </w:tcPr>
          <w:p w:rsidR="00CB770C" w:rsidP="00F820DB" w:rsidRDefault="00CB770C" w14:paraId="030AA065" w14:textId="77777777">
            <w:pPr>
              <w:pStyle w:val="ListParagraph"/>
              <w:ind w:left="0"/>
              <w:rPr>
                <w:b/>
              </w:rPr>
            </w:pPr>
            <w:r>
              <w:rPr>
                <w:b/>
              </w:rPr>
              <w:t>Agency</w:t>
            </w:r>
          </w:p>
        </w:tc>
        <w:tc>
          <w:tcPr>
            <w:tcW w:w="5665" w:type="dxa"/>
            <w:gridSpan w:val="2"/>
          </w:tcPr>
          <w:p w:rsidR="00CB770C" w:rsidP="00F820DB" w:rsidRDefault="00CB770C" w14:paraId="49B80647" w14:textId="77777777">
            <w:pPr>
              <w:pStyle w:val="ListParagraph"/>
              <w:ind w:left="0"/>
              <w:rPr>
                <w:b/>
              </w:rPr>
            </w:pPr>
            <w:r>
              <w:rPr>
                <w:b/>
              </w:rPr>
              <w:t>Investigators/Collaborators</w:t>
            </w:r>
          </w:p>
        </w:tc>
      </w:tr>
      <w:tr w:rsidR="00CB770C" w:rsidTr="00F820DB" w14:paraId="3412CDF3" w14:textId="77777777">
        <w:tc>
          <w:tcPr>
            <w:tcW w:w="4405" w:type="dxa"/>
          </w:tcPr>
          <w:p w:rsidRPr="00CA0521" w:rsidR="00CB770C" w:rsidP="00F820DB" w:rsidRDefault="00CB770C" w14:paraId="263A9922" w14:textId="77777777">
            <w:pPr>
              <w:pStyle w:val="ListParagraph"/>
              <w:ind w:left="0"/>
            </w:pPr>
            <w:r>
              <w:t>CDC</w:t>
            </w:r>
          </w:p>
        </w:tc>
        <w:tc>
          <w:tcPr>
            <w:tcW w:w="2970" w:type="dxa"/>
          </w:tcPr>
          <w:p w:rsidRPr="00CA0521" w:rsidR="00CB770C" w:rsidP="00F820DB" w:rsidRDefault="00CB770C" w14:paraId="31117655" w14:textId="77777777">
            <w:pPr>
              <w:pStyle w:val="ListParagraph"/>
              <w:ind w:left="0"/>
            </w:pPr>
            <w:r>
              <w:t>Adam Kramer, ScD, MPH</w:t>
            </w:r>
          </w:p>
        </w:tc>
        <w:tc>
          <w:tcPr>
            <w:tcW w:w="2695" w:type="dxa"/>
          </w:tcPr>
          <w:p w:rsidRPr="00CA0521" w:rsidR="00CB770C" w:rsidP="00F820DB" w:rsidRDefault="00CB770C" w14:paraId="05F57193" w14:textId="77777777">
            <w:pPr>
              <w:pStyle w:val="ListParagraph"/>
              <w:ind w:left="0"/>
            </w:pPr>
            <w:r>
              <w:t>Laura Brown, PhD</w:t>
            </w:r>
          </w:p>
        </w:tc>
      </w:tr>
      <w:tr w:rsidR="00CB770C" w:rsidTr="00F820DB" w14:paraId="4F992947" w14:textId="77777777">
        <w:tc>
          <w:tcPr>
            <w:tcW w:w="4405" w:type="dxa"/>
          </w:tcPr>
          <w:p w:rsidRPr="00CA0521" w:rsidR="00CB770C" w:rsidP="00F820DB" w:rsidRDefault="004144B7" w14:paraId="5073A9EF" w14:textId="732BC415">
            <w:pPr>
              <w:pStyle w:val="ListParagraph"/>
              <w:ind w:left="0"/>
            </w:pPr>
            <w:r>
              <w:t>Franklin County, Ohio Public Health</w:t>
            </w:r>
          </w:p>
        </w:tc>
        <w:tc>
          <w:tcPr>
            <w:tcW w:w="2970" w:type="dxa"/>
          </w:tcPr>
          <w:p w:rsidRPr="00CA0521" w:rsidR="00CB770C" w:rsidP="00F820DB" w:rsidRDefault="00DD0AA3" w14:paraId="004B1AAF" w14:textId="3DACF4DE">
            <w:pPr>
              <w:pStyle w:val="ListParagraph"/>
              <w:ind w:left="0"/>
            </w:pPr>
            <w:r>
              <w:t>Nichole Lemin, MS</w:t>
            </w:r>
          </w:p>
        </w:tc>
        <w:tc>
          <w:tcPr>
            <w:tcW w:w="2695" w:type="dxa"/>
          </w:tcPr>
          <w:p w:rsidRPr="00CA0521" w:rsidR="00CB770C" w:rsidP="00F820DB" w:rsidRDefault="00CB770C" w14:paraId="5C4B4B6B" w14:textId="77777777">
            <w:pPr>
              <w:pStyle w:val="ListParagraph"/>
              <w:ind w:left="0"/>
            </w:pPr>
          </w:p>
        </w:tc>
      </w:tr>
      <w:tr w:rsidR="00CB770C" w:rsidTr="00F820DB" w14:paraId="715A2D7B" w14:textId="77777777">
        <w:tc>
          <w:tcPr>
            <w:tcW w:w="4405" w:type="dxa"/>
          </w:tcPr>
          <w:p w:rsidR="00CB770C" w:rsidP="00F820DB" w:rsidRDefault="00CB770C" w14:paraId="41D1761D" w14:textId="77777777">
            <w:pPr>
              <w:pStyle w:val="ListParagraph"/>
              <w:ind w:left="0"/>
            </w:pPr>
            <w:r>
              <w:t>Harris County, Texas Health Department</w:t>
            </w:r>
          </w:p>
        </w:tc>
        <w:tc>
          <w:tcPr>
            <w:tcW w:w="2970" w:type="dxa"/>
          </w:tcPr>
          <w:p w:rsidR="00CB770C" w:rsidP="00F820DB" w:rsidRDefault="00DD0AA3" w14:paraId="1BAD10E7" w14:textId="11ED8CA9">
            <w:pPr>
              <w:pStyle w:val="ListParagraph"/>
              <w:ind w:left="0"/>
            </w:pPr>
            <w:r>
              <w:t>JoAnn Monroy, MPH</w:t>
            </w:r>
          </w:p>
        </w:tc>
        <w:tc>
          <w:tcPr>
            <w:tcW w:w="2695" w:type="dxa"/>
          </w:tcPr>
          <w:p w:rsidR="00CB770C" w:rsidP="00F820DB" w:rsidRDefault="00CB770C" w14:paraId="596E23A4" w14:textId="77777777">
            <w:pPr>
              <w:pStyle w:val="ListParagraph"/>
              <w:ind w:left="0"/>
            </w:pPr>
          </w:p>
        </w:tc>
      </w:tr>
      <w:tr w:rsidR="00CB770C" w:rsidTr="00F820DB" w14:paraId="4ABF4C98" w14:textId="77777777">
        <w:tc>
          <w:tcPr>
            <w:tcW w:w="4405" w:type="dxa"/>
          </w:tcPr>
          <w:p w:rsidR="00CB770C" w:rsidP="00F820DB" w:rsidRDefault="00CB770C" w14:paraId="2B8FBEE5" w14:textId="77777777">
            <w:pPr>
              <w:pStyle w:val="ListParagraph"/>
              <w:ind w:left="0"/>
            </w:pPr>
            <w:r>
              <w:t>Minnesota Department of Health</w:t>
            </w:r>
          </w:p>
        </w:tc>
        <w:tc>
          <w:tcPr>
            <w:tcW w:w="2970" w:type="dxa"/>
          </w:tcPr>
          <w:p w:rsidR="00CB770C" w:rsidP="00F820DB" w:rsidRDefault="00CB770C" w14:paraId="449B30BB" w14:textId="77777777">
            <w:pPr>
              <w:pStyle w:val="ListParagraph"/>
              <w:ind w:left="0"/>
            </w:pPr>
            <w:r>
              <w:t>Kirk Smith, DVM, PHD</w:t>
            </w:r>
          </w:p>
        </w:tc>
        <w:tc>
          <w:tcPr>
            <w:tcW w:w="2695" w:type="dxa"/>
          </w:tcPr>
          <w:p w:rsidR="00CB770C" w:rsidP="00F820DB" w:rsidRDefault="00CB770C" w14:paraId="10A95219" w14:textId="77777777">
            <w:pPr>
              <w:pStyle w:val="ListParagraph"/>
              <w:ind w:left="0"/>
            </w:pPr>
          </w:p>
        </w:tc>
      </w:tr>
      <w:tr w:rsidR="00CB770C" w:rsidTr="00F820DB" w14:paraId="63A65168" w14:textId="77777777">
        <w:tc>
          <w:tcPr>
            <w:tcW w:w="4405" w:type="dxa"/>
          </w:tcPr>
          <w:p w:rsidR="00CB770C" w:rsidP="00F820DB" w:rsidRDefault="00CB770C" w14:paraId="27EA2FF2" w14:textId="77777777">
            <w:pPr>
              <w:pStyle w:val="ListParagraph"/>
              <w:ind w:left="0"/>
            </w:pPr>
            <w:r>
              <w:t>New York City Department of Health</w:t>
            </w:r>
          </w:p>
        </w:tc>
        <w:tc>
          <w:tcPr>
            <w:tcW w:w="2970" w:type="dxa"/>
          </w:tcPr>
          <w:p w:rsidR="00CB770C" w:rsidP="00F820DB" w:rsidRDefault="00CB770C" w14:paraId="5E3E30C0" w14:textId="77777777">
            <w:pPr>
              <w:pStyle w:val="ListParagraph"/>
              <w:ind w:left="0"/>
            </w:pPr>
            <w:r>
              <w:t>Wendy McKelvey, PhD, MS</w:t>
            </w:r>
          </w:p>
        </w:tc>
        <w:tc>
          <w:tcPr>
            <w:tcW w:w="2695" w:type="dxa"/>
          </w:tcPr>
          <w:p w:rsidR="00CB770C" w:rsidP="00F820DB" w:rsidRDefault="00CB770C" w14:paraId="12E12DCA" w14:textId="77777777">
            <w:pPr>
              <w:pStyle w:val="ListParagraph"/>
              <w:ind w:left="0"/>
            </w:pPr>
          </w:p>
        </w:tc>
      </w:tr>
      <w:tr w:rsidR="00CB770C" w:rsidTr="00F820DB" w14:paraId="07CA7AF8" w14:textId="77777777">
        <w:tc>
          <w:tcPr>
            <w:tcW w:w="4405" w:type="dxa"/>
          </w:tcPr>
          <w:p w:rsidR="00CB770C" w:rsidP="00F820DB" w:rsidRDefault="00CB770C" w14:paraId="7E8DF75E" w14:textId="77777777">
            <w:pPr>
              <w:pStyle w:val="ListParagraph"/>
              <w:ind w:left="0"/>
            </w:pPr>
            <w:r>
              <w:t>New York State Department of Health</w:t>
            </w:r>
          </w:p>
        </w:tc>
        <w:tc>
          <w:tcPr>
            <w:tcW w:w="2970" w:type="dxa"/>
          </w:tcPr>
          <w:p w:rsidR="00CB770C" w:rsidP="00F820DB" w:rsidRDefault="00DD0AA3" w14:paraId="2757C344" w14:textId="55FD0909">
            <w:pPr>
              <w:pStyle w:val="ListParagraph"/>
              <w:ind w:left="0"/>
            </w:pPr>
            <w:r>
              <w:t>Kristin Navarette, MD, MPH</w:t>
            </w:r>
          </w:p>
        </w:tc>
        <w:tc>
          <w:tcPr>
            <w:tcW w:w="2695" w:type="dxa"/>
          </w:tcPr>
          <w:p w:rsidR="00CB770C" w:rsidP="00F820DB" w:rsidRDefault="00CB770C" w14:paraId="6CEAD3C1" w14:textId="77777777">
            <w:pPr>
              <w:pStyle w:val="ListParagraph"/>
              <w:ind w:left="0"/>
            </w:pPr>
          </w:p>
        </w:tc>
      </w:tr>
      <w:tr w:rsidR="00CB770C" w:rsidTr="00F820DB" w14:paraId="4509200D" w14:textId="77777777">
        <w:tc>
          <w:tcPr>
            <w:tcW w:w="4405" w:type="dxa"/>
          </w:tcPr>
          <w:p w:rsidR="00CB770C" w:rsidP="00F820DB" w:rsidRDefault="00CB770C" w14:paraId="7DDC2646" w14:textId="77777777">
            <w:pPr>
              <w:pStyle w:val="ListParagraph"/>
              <w:ind w:left="0"/>
            </w:pPr>
            <w:r>
              <w:t xml:space="preserve">Rhode Island Department of Health </w:t>
            </w:r>
          </w:p>
        </w:tc>
        <w:tc>
          <w:tcPr>
            <w:tcW w:w="2970" w:type="dxa"/>
          </w:tcPr>
          <w:p w:rsidR="00CB770C" w:rsidP="00F820DB" w:rsidRDefault="00CB770C" w14:paraId="01B555C0" w14:textId="77777777">
            <w:pPr>
              <w:pStyle w:val="ListParagraph"/>
              <w:ind w:left="0"/>
            </w:pPr>
            <w:r>
              <w:t>Ernest Julian, PhD, MA</w:t>
            </w:r>
          </w:p>
        </w:tc>
        <w:tc>
          <w:tcPr>
            <w:tcW w:w="2695" w:type="dxa"/>
          </w:tcPr>
          <w:p w:rsidR="00CB770C" w:rsidP="00F820DB" w:rsidRDefault="00CB770C" w14:paraId="24A76637" w14:textId="77777777">
            <w:pPr>
              <w:pStyle w:val="ListParagraph"/>
              <w:ind w:left="0"/>
            </w:pPr>
          </w:p>
        </w:tc>
      </w:tr>
      <w:tr w:rsidR="00CB770C" w:rsidTr="00F820DB" w14:paraId="74671420" w14:textId="77777777">
        <w:tc>
          <w:tcPr>
            <w:tcW w:w="4405" w:type="dxa"/>
          </w:tcPr>
          <w:p w:rsidR="00CB770C" w:rsidP="00F820DB" w:rsidRDefault="00CB770C" w14:paraId="0A1F7BED" w14:textId="77777777">
            <w:pPr>
              <w:pStyle w:val="ListParagraph"/>
              <w:ind w:left="0"/>
            </w:pPr>
            <w:r>
              <w:t>Southern Nevada Health District</w:t>
            </w:r>
          </w:p>
        </w:tc>
        <w:tc>
          <w:tcPr>
            <w:tcW w:w="2970" w:type="dxa"/>
          </w:tcPr>
          <w:p w:rsidR="00CB770C" w:rsidP="00F820DB" w:rsidRDefault="00CB770C" w14:paraId="74E1E778" w14:textId="77777777">
            <w:pPr>
              <w:pStyle w:val="ListParagraph"/>
              <w:ind w:left="0"/>
            </w:pPr>
            <w:r>
              <w:t>Lauren Diprete, MPH</w:t>
            </w:r>
          </w:p>
        </w:tc>
        <w:tc>
          <w:tcPr>
            <w:tcW w:w="2695" w:type="dxa"/>
          </w:tcPr>
          <w:p w:rsidR="00CB770C" w:rsidP="00F820DB" w:rsidRDefault="00CB770C" w14:paraId="1979E586" w14:textId="77777777">
            <w:pPr>
              <w:pStyle w:val="ListParagraph"/>
              <w:ind w:left="0"/>
            </w:pPr>
          </w:p>
        </w:tc>
      </w:tr>
      <w:tr w:rsidR="00CB770C" w:rsidTr="00F820DB" w14:paraId="3E6080FA" w14:textId="77777777">
        <w:tc>
          <w:tcPr>
            <w:tcW w:w="4405" w:type="dxa"/>
          </w:tcPr>
          <w:p w:rsidR="00CB770C" w:rsidP="00F820DB" w:rsidRDefault="00CB770C" w14:paraId="317C16A6" w14:textId="77777777">
            <w:pPr>
              <w:pStyle w:val="ListParagraph"/>
              <w:ind w:left="0"/>
            </w:pPr>
            <w:r>
              <w:t>Tennessee Department of Health</w:t>
            </w:r>
          </w:p>
        </w:tc>
        <w:tc>
          <w:tcPr>
            <w:tcW w:w="2970" w:type="dxa"/>
          </w:tcPr>
          <w:p w:rsidR="00CB770C" w:rsidP="00F820DB" w:rsidRDefault="00CB770C" w14:paraId="007D9E13" w14:textId="77777777">
            <w:pPr>
              <w:pStyle w:val="ListParagraph"/>
              <w:ind w:left="0"/>
            </w:pPr>
            <w:r>
              <w:t>John Dunn, DVM, PhD</w:t>
            </w:r>
          </w:p>
        </w:tc>
        <w:tc>
          <w:tcPr>
            <w:tcW w:w="2695" w:type="dxa"/>
          </w:tcPr>
          <w:p w:rsidR="00CB770C" w:rsidP="00F820DB" w:rsidRDefault="00CB770C" w14:paraId="6E25E21E" w14:textId="77777777">
            <w:pPr>
              <w:pStyle w:val="ListParagraph"/>
              <w:ind w:left="0"/>
            </w:pPr>
          </w:p>
        </w:tc>
      </w:tr>
    </w:tbl>
    <w:p w:rsidR="00CB770C" w:rsidP="00CB770C" w:rsidRDefault="00CB770C" w14:paraId="1740C160" w14:textId="77777777">
      <w:pPr>
        <w:ind w:firstLine="720"/>
        <w:contextualSpacing/>
      </w:pPr>
    </w:p>
    <w:p w:rsidR="00CB770C" w:rsidP="00CB770C" w:rsidRDefault="00CB770C" w14:paraId="2A474F73" w14:textId="60A712E5">
      <w:pPr>
        <w:ind w:firstLine="720"/>
        <w:contextualSpacing/>
      </w:pPr>
      <w:r>
        <w:t>Investigators include EHS-Net staff at each of the eight EHS-Net associated state and local health departments and CDC staff.  Analysis will be conducted by CDC and EHS-Net staff.  Funding for this study will be provided through the EHS-Net cooperative agreement.</w:t>
      </w:r>
    </w:p>
    <w:p w:rsidR="00D56899" w:rsidP="00CB770C" w:rsidRDefault="00D56899" w14:paraId="755293DE" w14:textId="77777777">
      <w:pPr>
        <w:ind w:firstLine="720"/>
        <w:contextualSpacing/>
      </w:pPr>
    </w:p>
    <w:p w:rsidR="0080346D" w:rsidP="00264C8A" w:rsidRDefault="0080346D" w14:paraId="5AC9EA83" w14:textId="77777777">
      <w:pPr>
        <w:ind w:left="360"/>
      </w:pPr>
      <w:r>
        <w:t>4.3 Sample Size Determination</w:t>
      </w:r>
    </w:p>
    <w:p w:rsidR="00274907" w:rsidP="00274907" w:rsidRDefault="00274907" w14:paraId="0F367ABC" w14:textId="77777777">
      <w:r>
        <w:t>We anticipate recruiting twenty intervention and twenty control restaurants at each site (N=320). A power calculation was conducted assuming initial policy compliance rates of 20-50% and a power level of 80-90%.  Based on these parameters, this study is sufficiently sized to detect if there is a difference between the intervention and control restaurants of approximately 1</w:t>
      </w:r>
      <w:r w:rsidR="0080346D">
        <w:t>5</w:t>
      </w:r>
      <w:r>
        <w:t>% or more</w:t>
      </w:r>
      <w:r w:rsidR="00357CF9">
        <w:t xml:space="preserve"> (Figure 1)</w:t>
      </w:r>
      <w:r>
        <w:t>.</w:t>
      </w:r>
    </w:p>
    <w:p w:rsidR="00357CF9" w:rsidP="00357CF9" w:rsidRDefault="00274907" w14:paraId="380F3B4A" w14:textId="77777777">
      <w:pPr>
        <w:keepNext/>
        <w:jc w:val="center"/>
      </w:pPr>
      <w:r>
        <w:rPr>
          <w:noProof/>
        </w:rPr>
        <w:drawing>
          <wp:inline distT="0" distB="0" distL="0" distR="0" wp14:anchorId="63FC5A36" wp14:editId="631DAD32">
            <wp:extent cx="4679692" cy="340210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4785" cy="3413078"/>
                    </a:xfrm>
                    <a:prstGeom prst="rect">
                      <a:avLst/>
                    </a:prstGeom>
                    <a:noFill/>
                  </pic:spPr>
                </pic:pic>
              </a:graphicData>
            </a:graphic>
          </wp:inline>
        </w:drawing>
      </w:r>
    </w:p>
    <w:p w:rsidRPr="00357CF9" w:rsidR="00274907" w:rsidP="00357CF9" w:rsidRDefault="00357CF9" w14:paraId="3B625A2E" w14:textId="44F21E4E">
      <w:pPr>
        <w:pStyle w:val="Caption"/>
        <w:jc w:val="center"/>
        <w:rPr>
          <w:color w:val="auto"/>
        </w:rPr>
      </w:pPr>
      <w:r w:rsidRPr="00357CF9">
        <w:rPr>
          <w:color w:val="auto"/>
        </w:rPr>
        <w:t xml:space="preserve">Figure </w:t>
      </w:r>
      <w:r w:rsidRPr="00357CF9">
        <w:rPr>
          <w:color w:val="auto"/>
        </w:rPr>
        <w:fldChar w:fldCharType="begin"/>
      </w:r>
      <w:r w:rsidRPr="00357CF9">
        <w:rPr>
          <w:color w:val="auto"/>
        </w:rPr>
        <w:instrText xml:space="preserve"> SEQ Figure \* ARABIC </w:instrText>
      </w:r>
      <w:r w:rsidRPr="00357CF9">
        <w:rPr>
          <w:color w:val="auto"/>
        </w:rPr>
        <w:fldChar w:fldCharType="separate"/>
      </w:r>
      <w:r w:rsidR="00470EAF">
        <w:rPr>
          <w:noProof/>
          <w:color w:val="auto"/>
        </w:rPr>
        <w:t>1</w:t>
      </w:r>
      <w:r w:rsidRPr="00357CF9">
        <w:rPr>
          <w:color w:val="auto"/>
        </w:rPr>
        <w:fldChar w:fldCharType="end"/>
      </w:r>
      <w:r w:rsidRPr="00357CF9">
        <w:rPr>
          <w:color w:val="auto"/>
        </w:rPr>
        <w:t>.  Power Calculation</w:t>
      </w:r>
    </w:p>
    <w:p w:rsidR="00274907" w:rsidP="00264C8A" w:rsidRDefault="00274907" w14:paraId="472A5773" w14:textId="77777777">
      <w:pPr>
        <w:ind w:left="360"/>
      </w:pPr>
      <w:r>
        <w:t>4.</w:t>
      </w:r>
      <w:r w:rsidR="0080346D">
        <w:t>4</w:t>
      </w:r>
      <w:r>
        <w:t xml:space="preserve"> Sample Selection </w:t>
      </w:r>
    </w:p>
    <w:p w:rsidRPr="00311E9D" w:rsidR="0080346D" w:rsidP="0080346D" w:rsidRDefault="0080346D" w14:paraId="3E69AE38" w14:textId="77777777">
      <w:r w:rsidRPr="00C00E24">
        <w:t>Restaurants will be randomly selected, with equal probability, within their respective site, independent of other sites. This process will give each restaurant in a particular sampling frame the same probability of being selected for study participation. There are three reasons for employing this sampling strategy: reducing sampling error, maintaining equal representation by site, and ensuring generalizability</w:t>
      </w:r>
      <w:r>
        <w:t xml:space="preserve"> within a site</w:t>
      </w:r>
      <w:r w:rsidRPr="00C00E24">
        <w:t>.  First, as stated previously, the total target population of restaurants from all EHS-Net sites combined constitutes a highly heterogeneous group.  To control for such heterogeneity in the total sample, restaurants will be stratified by EHS-Net 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w:t>
      </w:r>
      <w:r>
        <w:t>4</w:t>
      </w:r>
      <w:r w:rsidRPr="00C00E24">
        <w:t xml:space="preserve">0 restaurants per site), each EHS-Net site will have equal representation in the parameter estimates of the combined sample.  An additional benefit is that even sites with small sampling frames will have sufficient data points to support their site-specific analyses.  Third, by ensuring </w:t>
      </w:r>
      <w:r w:rsidRPr="00C00E24">
        <w:lastRenderedPageBreak/>
        <w:t>that the sampling of restaurants is done by an entity (CDC</w:t>
      </w:r>
      <w:r w:rsidRPr="005F52B5">
        <w:t>) separate from the data collectors (EHS-Net sites) and employing a random selection method, we are able to minimize the potential for selection bias.  Parameter</w:t>
      </w:r>
      <w:r w:rsidRPr="00311E9D">
        <w:t xml:space="preserve"> estimates or study findings obtained from an unbiased study sample could be generalized to the entire EHS-Net target population.</w:t>
      </w:r>
    </w:p>
    <w:p w:rsidRPr="00EF5DAB" w:rsidR="008C3D4A" w:rsidP="0080346D" w:rsidRDefault="0080346D" w14:paraId="7977D1C7" w14:textId="1A1B0FB1">
      <w:pPr>
        <w:autoSpaceDE w:val="0"/>
        <w:autoSpaceDN w:val="0"/>
        <w:adjustRightInd w:val="0"/>
      </w:pPr>
      <w:r w:rsidRPr="005F52B5">
        <w:t xml:space="preserve">The average response rate across EHS-Net studies that used methods similar to the proposed study </w:t>
      </w:r>
      <w:r w:rsidRPr="00DF5722">
        <w:t xml:space="preserve">is </w:t>
      </w:r>
      <w:r>
        <w:t>45</w:t>
      </w:r>
      <w:r w:rsidRPr="007E01DD">
        <w:t>%</w:t>
      </w:r>
      <w:r w:rsidR="00096E57">
        <w:t xml:space="preserve"> </w: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 </w:instrTex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EN.CITE.DATA </w:instrText>
      </w:r>
      <w:r w:rsidR="00096E57">
        <w:fldChar w:fldCharType="end"/>
      </w:r>
      <w:r w:rsidR="00096E57">
        <w:fldChar w:fldCharType="separate"/>
      </w:r>
      <w:r w:rsidR="00096E57">
        <w:rPr>
          <w:noProof/>
        </w:rPr>
        <w:t>(Brown et al., 2014; Radke et al., 2016)</w:t>
      </w:r>
      <w:r w:rsidR="00096E57">
        <w:fldChar w:fldCharType="end"/>
      </w:r>
      <w:r>
        <w:t xml:space="preserve">. </w:t>
      </w:r>
      <w:r w:rsidRPr="006978B6">
        <w:t>We expect a similar response rate for the proposed study.</w:t>
      </w:r>
      <w:r w:rsidR="0022698E">
        <w:t xml:space="preserve"> Thus, we will need to contact </w:t>
      </w:r>
      <w:r w:rsidRPr="00EF5DAB" w:rsidR="0022698E">
        <w:t xml:space="preserve">approximately </w:t>
      </w:r>
      <w:r w:rsidRPr="00EF5DAB" w:rsidR="006A4ED6">
        <w:t>712</w:t>
      </w:r>
      <w:r w:rsidRPr="00EF5DAB" w:rsidR="0022698E">
        <w:t xml:space="preserve"> restaurants to meet our target of 32</w:t>
      </w:r>
      <w:r w:rsidRPr="00EF5DAB" w:rsidR="006A4ED6">
        <w:t>0 participating restaurant</w:t>
      </w:r>
    </w:p>
    <w:p w:rsidRPr="00EF5DAB" w:rsidR="0080346D" w:rsidP="00244805" w:rsidRDefault="0080346D" w14:paraId="30E91846" w14:textId="5CD8C272">
      <w:pPr>
        <w:pStyle w:val="ListParagraph"/>
        <w:numPr>
          <w:ilvl w:val="0"/>
          <w:numId w:val="1"/>
        </w:numPr>
        <w:autoSpaceDE w:val="0"/>
        <w:autoSpaceDN w:val="0"/>
        <w:adjustRightInd w:val="0"/>
        <w:spacing w:after="0" w:line="240" w:lineRule="auto"/>
        <w:ind w:left="180" w:hanging="180"/>
        <w:contextualSpacing w:val="0"/>
        <w:rPr>
          <w:b/>
        </w:rPr>
      </w:pPr>
      <w:r w:rsidRPr="00EF5DAB">
        <w:rPr>
          <w:b/>
        </w:rPr>
        <w:t xml:space="preserve">Implementation </w:t>
      </w:r>
      <w:r w:rsidRPr="00EF5DAB" w:rsidR="00246E62">
        <w:rPr>
          <w:b/>
        </w:rPr>
        <w:t xml:space="preserve">and Recruitment </w:t>
      </w:r>
      <w:r w:rsidRPr="00EF5DAB">
        <w:rPr>
          <w:b/>
        </w:rPr>
        <w:t>Plan</w:t>
      </w:r>
    </w:p>
    <w:p w:rsidRPr="00EF5DAB" w:rsidR="00244805" w:rsidP="00244805" w:rsidRDefault="00244805" w14:paraId="00113C75" w14:textId="77777777">
      <w:pPr>
        <w:pStyle w:val="NoSpacing"/>
        <w:ind w:left="180" w:hanging="180"/>
      </w:pPr>
    </w:p>
    <w:p w:rsidRPr="00DC1010" w:rsidR="00244805" w:rsidP="00244805" w:rsidRDefault="00A14DA9" w14:paraId="6F5F80E2" w14:textId="299EB064">
      <w:pPr>
        <w:pStyle w:val="NoSpacing"/>
        <w:ind w:left="180"/>
        <w:rPr>
          <w:i/>
        </w:rPr>
      </w:pPr>
      <w:r w:rsidRPr="00EF5DAB">
        <w:t>Study personnel (health department environmental</w:t>
      </w:r>
      <w:r>
        <w:t xml:space="preserve"> health specialists [EHSs])</w:t>
      </w:r>
      <w:r w:rsidR="0059678D">
        <w:t xml:space="preserve"> will contact randomly-selected restaurants using multiple contact methods (e.g</w:t>
      </w:r>
      <w:r w:rsidRPr="00DC1010" w:rsidR="0059678D">
        <w:t>., by telephone, postcard, electronic mail, in person visit, and/or social media tools</w:t>
      </w:r>
      <w:r w:rsidRPr="00DC1010" w:rsidR="00F22BCF">
        <w:t xml:space="preserve"> [Attachment 1 provides template language]</w:t>
      </w:r>
      <w:r w:rsidRPr="00DC1010" w:rsidR="0059678D">
        <w:t xml:space="preserve">) as appropriate for their site </w:t>
      </w:r>
      <w:r w:rsidRPr="00DC1010" w:rsidR="00F22BCF">
        <w:t>advertising the study</w:t>
      </w:r>
      <w:r w:rsidRPr="00DC1010" w:rsidR="0059678D">
        <w:t>.  The multiple contact methods are intended to boost participation rates and contact methods used will be recorded on the participation log</w:t>
      </w:r>
      <w:r w:rsidRPr="00DC1010" w:rsidR="00F22BCF">
        <w:t xml:space="preserve"> (Attachment 6)</w:t>
      </w:r>
      <w:r w:rsidRPr="00DC1010" w:rsidR="0059678D">
        <w:t xml:space="preserve">. If a restaurant is willing to participate, they will be enrolled after either a telephonic or in-person discussion using the Manager Recruiting Script (Attachment </w:t>
      </w:r>
      <w:r w:rsidRPr="00DC1010" w:rsidR="00F22BCF">
        <w:t>2</w:t>
      </w:r>
      <w:r w:rsidRPr="00DC1010" w:rsidR="0059678D">
        <w:t xml:space="preserve">).  The EHS will set a mutually-agreeable time to interview </w:t>
      </w:r>
      <w:r w:rsidRPr="00DC1010" w:rsidR="00244805">
        <w:t xml:space="preserve">a </w:t>
      </w:r>
      <w:r w:rsidRPr="00DC1010" w:rsidR="0059678D">
        <w:t xml:space="preserve">manager </w:t>
      </w:r>
      <w:r w:rsidRPr="00DC1010" w:rsidR="00244805">
        <w:t xml:space="preserve">that has authority over kitchen workers (e.g., </w:t>
      </w:r>
      <w:r w:rsidRPr="00DC1010" w:rsidR="00244805">
        <w:rPr>
          <w:bCs/>
        </w:rPr>
        <w:t>kitchen manager, general manager or owner</w:t>
      </w:r>
      <w:r w:rsidRPr="00DC1010" w:rsidR="00244805">
        <w:t xml:space="preserve">). </w:t>
      </w:r>
      <w:bookmarkStart w:name="_Hlk34210082" w:id="0"/>
      <w:r w:rsidRPr="00DC1010" w:rsidR="00244805">
        <w:t>The EHS will also</w:t>
      </w:r>
      <w:r w:rsidRPr="00DC1010" w:rsidR="0059678D">
        <w:t xml:space="preserve"> conduct </w:t>
      </w:r>
      <w:r w:rsidRPr="00DC1010" w:rsidR="00244805">
        <w:t xml:space="preserve">an </w:t>
      </w:r>
      <w:r w:rsidRPr="00DC1010" w:rsidR="00244805">
        <w:rPr>
          <w:iCs/>
        </w:rPr>
        <w:t xml:space="preserve">observation in the kitchen area and food worker restrooms. </w:t>
      </w:r>
    </w:p>
    <w:p w:rsidRPr="00DC1010" w:rsidR="00244805" w:rsidP="00244805" w:rsidRDefault="00244805" w14:paraId="2FC8876B" w14:textId="77777777">
      <w:pPr>
        <w:spacing w:after="0" w:line="240" w:lineRule="auto"/>
        <w:ind w:left="187" w:hanging="180"/>
      </w:pPr>
    </w:p>
    <w:bookmarkEnd w:id="0"/>
    <w:p w:rsidRPr="00DC1010" w:rsidR="0059678D" w:rsidP="00244805" w:rsidRDefault="0059678D" w14:paraId="2076F1C0" w14:textId="14383A4F">
      <w:pPr>
        <w:spacing w:after="0" w:line="240" w:lineRule="auto"/>
        <w:ind w:left="187"/>
      </w:pPr>
      <w:r w:rsidRPr="00DC1010">
        <w:t>Restaurants will be randomly assigned to either receive the intervention initially or be in the control group.</w:t>
      </w:r>
    </w:p>
    <w:p w:rsidRPr="00DC1010" w:rsidR="00244805" w:rsidP="00244805" w:rsidRDefault="00244805" w14:paraId="4C21A577" w14:textId="77777777">
      <w:pPr>
        <w:spacing w:after="0" w:line="240" w:lineRule="auto"/>
        <w:ind w:left="187"/>
      </w:pPr>
    </w:p>
    <w:p w:rsidRPr="00DC1010" w:rsidR="008D2E24" w:rsidP="00264C8A" w:rsidRDefault="0059678D" w14:paraId="795505D3" w14:textId="3B76ABAA">
      <w:pPr>
        <w:ind w:left="360"/>
      </w:pPr>
      <w:r w:rsidRPr="00DC1010">
        <w:t>5.</w:t>
      </w:r>
      <w:r w:rsidRPr="00DC1010" w:rsidR="00231BDD">
        <w:t>1</w:t>
      </w:r>
      <w:r w:rsidRPr="00DC1010">
        <w:t xml:space="preserve"> </w:t>
      </w:r>
      <w:r w:rsidRPr="00DC1010" w:rsidR="0075751C">
        <w:t>Visit–</w:t>
      </w:r>
      <w:r w:rsidRPr="00DC1010" w:rsidR="00153AE7">
        <w:t xml:space="preserve"> 1</w:t>
      </w:r>
      <w:r w:rsidRPr="00DC1010" w:rsidR="00543A60">
        <w:t xml:space="preserve"> (Baseline Visit)</w:t>
      </w:r>
    </w:p>
    <w:p w:rsidR="00264C8A" w:rsidP="00DC1010" w:rsidRDefault="00264C8A" w14:paraId="4DCD6C08" w14:textId="34650EAE">
      <w:pPr>
        <w:pStyle w:val="NoSpacing"/>
        <w:ind w:left="180"/>
      </w:pPr>
      <w:r w:rsidRPr="00DC1010">
        <w:t>At</w:t>
      </w:r>
      <w:r w:rsidRPr="00DC1010" w:rsidR="00F75200">
        <w:t xml:space="preserve"> the first visit</w:t>
      </w:r>
      <w:r w:rsidRPr="00DC1010" w:rsidR="003D15A3">
        <w:t>, for the intervention and control restaurants</w:t>
      </w:r>
      <w:r w:rsidRPr="00DC1010" w:rsidR="00BC220B">
        <w:t>, study</w:t>
      </w:r>
      <w:r w:rsidRPr="00DC1010" w:rsidR="0022698E">
        <w:t xml:space="preserve"> personnel </w:t>
      </w:r>
      <w:r w:rsidRPr="00DC1010">
        <w:t xml:space="preserve">will </w:t>
      </w:r>
      <w:r w:rsidRPr="00DC1010" w:rsidR="00C53ACB">
        <w:t xml:space="preserve">obtain </w:t>
      </w:r>
      <w:r w:rsidRPr="00DC1010" w:rsidR="00C81651">
        <w:t xml:space="preserve">consent and </w:t>
      </w:r>
      <w:r w:rsidRPr="00DC1010">
        <w:t xml:space="preserve">interview the </w:t>
      </w:r>
      <w:r w:rsidRPr="00DC1010" w:rsidR="006A4ED6">
        <w:t xml:space="preserve">restaurant </w:t>
      </w:r>
      <w:r w:rsidRPr="00DC1010">
        <w:t xml:space="preserve">manager </w:t>
      </w:r>
      <w:r w:rsidRPr="00DC1010" w:rsidR="00C827F0">
        <w:t xml:space="preserve">(Attachment </w:t>
      </w:r>
      <w:r w:rsidRPr="00DC1010" w:rsidR="00976825">
        <w:t>3</w:t>
      </w:r>
      <w:r w:rsidRPr="00DC1010" w:rsidR="00C827F0">
        <w:t xml:space="preserve">) </w:t>
      </w:r>
      <w:r w:rsidRPr="00DC1010">
        <w:t xml:space="preserve">regarding existing </w:t>
      </w:r>
      <w:r w:rsidRPr="00DC1010" w:rsidR="006A4ED6">
        <w:t xml:space="preserve">ill worker management plans </w:t>
      </w:r>
      <w:r w:rsidRPr="00DC1010">
        <w:t xml:space="preserve">and their content. During </w:t>
      </w:r>
      <w:r w:rsidRPr="00DC1010" w:rsidR="004D4C63">
        <w:t>this</w:t>
      </w:r>
      <w:r w:rsidRPr="00DC1010">
        <w:t xml:space="preserve"> visit, </w:t>
      </w:r>
      <w:r w:rsidRPr="00DC1010" w:rsidR="00274273">
        <w:t>study</w:t>
      </w:r>
      <w:r w:rsidRPr="00DC1010" w:rsidR="004D4C63">
        <w:t xml:space="preserve"> personnel</w:t>
      </w:r>
      <w:r w:rsidRPr="00DC1010" w:rsidR="00274273">
        <w:t xml:space="preserve"> </w:t>
      </w:r>
      <w:r w:rsidRPr="00DC1010">
        <w:t xml:space="preserve">will </w:t>
      </w:r>
      <w:r w:rsidRPr="00DC1010" w:rsidR="004D4C63">
        <w:t>also</w:t>
      </w:r>
      <w:r w:rsidR="00DC1010">
        <w:t xml:space="preserve"> observe food workers and</w:t>
      </w:r>
      <w:r w:rsidRPr="00DC1010" w:rsidR="004D4C63">
        <w:t xml:space="preserve"> </w:t>
      </w:r>
      <w:r w:rsidRPr="00DC1010">
        <w:t>document practices</w:t>
      </w:r>
      <w:r w:rsidRPr="00DC1010" w:rsidR="00A06CDE">
        <w:t xml:space="preserve"> </w:t>
      </w:r>
      <w:r w:rsidRPr="00DC1010">
        <w:t xml:space="preserve">that are used to minimize the risk of </w:t>
      </w:r>
      <w:r w:rsidRPr="00DC1010" w:rsidR="004D4C63">
        <w:t xml:space="preserve">disease </w:t>
      </w:r>
      <w:r w:rsidRPr="00DC1010">
        <w:t xml:space="preserve">transmission if an employee were </w:t>
      </w:r>
      <w:r w:rsidRPr="00DC1010" w:rsidR="00274273">
        <w:t xml:space="preserve">working while </w:t>
      </w:r>
      <w:r w:rsidRPr="00DC1010">
        <w:t xml:space="preserve">ill. </w:t>
      </w:r>
      <w:r w:rsidRPr="00DC1010" w:rsidR="00DC1010">
        <w:rPr>
          <w:iCs/>
        </w:rPr>
        <w:t>The observation</w:t>
      </w:r>
      <w:r w:rsidRPr="00244805" w:rsidR="00DC1010">
        <w:rPr>
          <w:iCs/>
        </w:rPr>
        <w:t xml:space="preserve"> will focus on food worker hand hygiene (use of bare hands with food; hand washing practices), handwashing station supplies (presence of soap, running water, drying method), and supplies needed to clean-up after a vomiting or diarrhea incident. These are areas/practices that are routinely observed by </w:t>
      </w:r>
      <w:r w:rsidR="00DC1010">
        <w:rPr>
          <w:iCs/>
        </w:rPr>
        <w:t>EHSs</w:t>
      </w:r>
      <w:r w:rsidRPr="00244805" w:rsidR="00DC1010">
        <w:rPr>
          <w:iCs/>
        </w:rPr>
        <w:t xml:space="preserve"> during routine inspections </w:t>
      </w:r>
      <w:r w:rsidRPr="00DC1010" w:rsidR="00DC1010">
        <w:t>(Attachment 4)</w:t>
      </w:r>
      <w:r w:rsidRPr="00244805" w:rsidR="00DC1010">
        <w:rPr>
          <w:iCs/>
        </w:rPr>
        <w:t>.</w:t>
      </w:r>
      <w:r w:rsidR="00DC1010">
        <w:rPr>
          <w:iCs/>
        </w:rPr>
        <w:t xml:space="preserve"> </w:t>
      </w:r>
      <w:r>
        <w:t>For intervention restaurants,</w:t>
      </w:r>
      <w:r w:rsidR="009B25C9">
        <w:t xml:space="preserve"> </w:t>
      </w:r>
      <w:r w:rsidR="004D4C63">
        <w:t xml:space="preserve">study personnel </w:t>
      </w:r>
      <w:r>
        <w:t xml:space="preserve">will </w:t>
      </w:r>
      <w:r w:rsidR="004D4C63">
        <w:t>then provide the intervention</w:t>
      </w:r>
      <w:r w:rsidR="006807C5">
        <w:t xml:space="preserve"> </w:t>
      </w:r>
      <w:r w:rsidR="006957FC">
        <w:t xml:space="preserve">to the restaurant manager. </w:t>
      </w:r>
      <w:r w:rsidR="00274273">
        <w:t>The i</w:t>
      </w:r>
      <w:r w:rsidR="006957FC">
        <w:t>ntervention</w:t>
      </w:r>
      <w:r w:rsidR="004D4C63">
        <w:t xml:space="preserve"> will </w:t>
      </w:r>
      <w:r w:rsidR="00BC1655">
        <w:t xml:space="preserve">explain the importance of restricting or excluding ill workers and having cleaning policies and supplies to address vomiting/diarrheal incidents (Section </w:t>
      </w:r>
      <w:r w:rsidR="006A4ED6">
        <w:t>5.</w:t>
      </w:r>
      <w:r w:rsidR="00A14DA9">
        <w:t>5</w:t>
      </w:r>
      <w:r w:rsidR="006A4ED6">
        <w:t xml:space="preserve"> </w:t>
      </w:r>
      <w:r w:rsidR="00BC1655">
        <w:t>for specific talking points)</w:t>
      </w:r>
      <w:r w:rsidR="004D4C63">
        <w:t>.</w:t>
      </w:r>
      <w:r w:rsidR="00241B1E">
        <w:t xml:space="preserve"> Additionally, t</w:t>
      </w:r>
      <w:r w:rsidR="004D4C63">
        <w:t>hey will</w:t>
      </w:r>
      <w:r w:rsidRPr="007E66F8" w:rsidR="004D4C63">
        <w:t xml:space="preserve"> provide and review</w:t>
      </w:r>
      <w:r w:rsidRPr="007E66F8" w:rsidR="006A4ED6">
        <w:t xml:space="preserve"> </w:t>
      </w:r>
      <w:r w:rsidRPr="007E66F8" w:rsidR="004D4C63">
        <w:t xml:space="preserve">the </w:t>
      </w:r>
      <w:r w:rsidRPr="007E66F8" w:rsidR="00C80C31">
        <w:t>guide</w:t>
      </w:r>
      <w:r w:rsidRPr="007E66F8">
        <w:t xml:space="preserve"> </w:t>
      </w:r>
      <w:r w:rsidR="001B4129">
        <w:t xml:space="preserve">(Attachment </w:t>
      </w:r>
      <w:r w:rsidR="00A14DA9">
        <w:t>5</w:t>
      </w:r>
      <w:r w:rsidR="003B04D2">
        <w:t>a</w:t>
      </w:r>
      <w:r w:rsidR="001B4129">
        <w:t xml:space="preserve">) </w:t>
      </w:r>
      <w:r w:rsidRPr="007E66F8" w:rsidR="004D4C63">
        <w:t xml:space="preserve">designed </w:t>
      </w:r>
      <w:r w:rsidRPr="007E66F8">
        <w:t xml:space="preserve">to assist in developing or modifying </w:t>
      </w:r>
      <w:r w:rsidRPr="007E66F8" w:rsidR="006A4ED6">
        <w:t xml:space="preserve">ill worker management plans.  </w:t>
      </w:r>
      <w:r w:rsidRPr="007E66F8">
        <w:t xml:space="preserve">One month following </w:t>
      </w:r>
      <w:r w:rsidRPr="007E66F8" w:rsidR="00BC220B">
        <w:t xml:space="preserve">the </w:t>
      </w:r>
      <w:r w:rsidR="00BC220B">
        <w:t>baseline</w:t>
      </w:r>
      <w:r w:rsidRPr="007E66F8" w:rsidR="004D4C63">
        <w:t xml:space="preserve"> visit</w:t>
      </w:r>
      <w:r w:rsidR="005E4AAB">
        <w:t>/visit-1</w:t>
      </w:r>
      <w:r w:rsidRPr="007E66F8">
        <w:t xml:space="preserve">, </w:t>
      </w:r>
      <w:r w:rsidRPr="007E66F8" w:rsidR="009A2F43">
        <w:t xml:space="preserve">study personnel will contact </w:t>
      </w:r>
      <w:r w:rsidRPr="007E66F8">
        <w:t>the intervention restaurants via phone</w:t>
      </w:r>
      <w:r w:rsidRPr="007E66F8" w:rsidR="00BC1655">
        <w:t xml:space="preserve"> or e-mail</w:t>
      </w:r>
      <w:r w:rsidRPr="007E66F8">
        <w:t xml:space="preserve"> to </w:t>
      </w:r>
      <w:r w:rsidR="000245C4">
        <w:t>d</w:t>
      </w:r>
      <w:r w:rsidRPr="007E66F8">
        <w:t xml:space="preserve">etermine if policies have been implemented and or </w:t>
      </w:r>
      <w:r w:rsidRPr="007E66F8" w:rsidR="00BC220B">
        <w:t>modified</w:t>
      </w:r>
      <w:r w:rsidR="00BC220B">
        <w:t>,</w:t>
      </w:r>
      <w:r w:rsidR="003C4583">
        <w:t xml:space="preserve"> no information collection will </w:t>
      </w:r>
      <w:r w:rsidR="001B4129">
        <w:t xml:space="preserve">be </w:t>
      </w:r>
      <w:r w:rsidR="00CE6C67">
        <w:t>conducted</w:t>
      </w:r>
      <w:r w:rsidR="003C4583">
        <w:t xml:space="preserve">.  </w:t>
      </w:r>
      <w:r>
        <w:t>If they have not</w:t>
      </w:r>
      <w:r w:rsidR="001B4129">
        <w:t xml:space="preserve"> developed a plan</w:t>
      </w:r>
      <w:r>
        <w:t xml:space="preserve">, </w:t>
      </w:r>
      <w:r w:rsidR="009A2F43">
        <w:t xml:space="preserve">study personnel </w:t>
      </w:r>
      <w:r>
        <w:t>will encourage the restaurants to implement the changes to reduce the likelihood of ill workers continuing to work while ill.</w:t>
      </w:r>
      <w:r w:rsidR="009B25C9">
        <w:t xml:space="preserve"> For the control restaurants, </w:t>
      </w:r>
      <w:r w:rsidR="001B4129">
        <w:t xml:space="preserve">the manager </w:t>
      </w:r>
      <w:r w:rsidR="005A2CCA">
        <w:t>interview and restaurant observation will occur using the same format as for the intervention restaurants.</w:t>
      </w:r>
      <w:r w:rsidR="00C14D59">
        <w:t xml:space="preserve"> No intervention will be administered</w:t>
      </w:r>
      <w:r w:rsidR="00AD2826">
        <w:t xml:space="preserve"> for the control group</w:t>
      </w:r>
      <w:r w:rsidR="00C738D8">
        <w:t xml:space="preserve"> in this visit</w:t>
      </w:r>
      <w:r w:rsidR="00AD2826">
        <w:t>.</w:t>
      </w:r>
    </w:p>
    <w:p w:rsidR="00C63D80" w:rsidP="00264C8A" w:rsidRDefault="00C63D80" w14:paraId="5A67A847" w14:textId="77777777">
      <w:pPr>
        <w:ind w:left="360"/>
      </w:pPr>
    </w:p>
    <w:p w:rsidR="00264C8A" w:rsidP="00264C8A" w:rsidRDefault="0080346D" w14:paraId="5CB65CD3" w14:textId="195B30B1">
      <w:pPr>
        <w:ind w:left="360"/>
      </w:pPr>
      <w:r>
        <w:t>5</w:t>
      </w:r>
      <w:r w:rsidR="00BC1655">
        <w:t>.</w:t>
      </w:r>
      <w:r>
        <w:t>2</w:t>
      </w:r>
      <w:r w:rsidR="00BC1655">
        <w:t xml:space="preserve"> </w:t>
      </w:r>
      <w:r w:rsidR="008A7A18">
        <w:t>Visit</w:t>
      </w:r>
      <w:r w:rsidR="0075751C">
        <w:t>–</w:t>
      </w:r>
      <w:r w:rsidR="008A7A18">
        <w:t xml:space="preserve"> 2</w:t>
      </w:r>
    </w:p>
    <w:p w:rsidR="00932C7E" w:rsidP="0080346D" w:rsidRDefault="006A4ED6" w14:paraId="71C2FF82" w14:textId="3730D3DE">
      <w:r>
        <w:t>Approximately</w:t>
      </w:r>
      <w:r w:rsidR="00264C8A">
        <w:t xml:space="preserve"> </w:t>
      </w:r>
      <w:r w:rsidR="00F00D88">
        <w:t xml:space="preserve">three - </w:t>
      </w:r>
      <w:r w:rsidR="00264C8A">
        <w:t>six months or longer</w:t>
      </w:r>
      <w:r w:rsidR="00BC1655">
        <w:t xml:space="preserve"> (depending upon the study site capacity to </w:t>
      </w:r>
      <w:r w:rsidR="00BC220B">
        <w:t>do an</w:t>
      </w:r>
      <w:r w:rsidR="00524407">
        <w:t xml:space="preserve"> </w:t>
      </w:r>
      <w:r w:rsidR="009A2F43">
        <w:t>assessment</w:t>
      </w:r>
      <w:r w:rsidR="00BC1655">
        <w:t xml:space="preserve"> and restaurant manager availability)</w:t>
      </w:r>
      <w:r w:rsidR="00264C8A">
        <w:t xml:space="preserve"> after the </w:t>
      </w:r>
      <w:r w:rsidR="00301E69">
        <w:t>baseline</w:t>
      </w:r>
      <w:r>
        <w:t xml:space="preserve"> </w:t>
      </w:r>
      <w:r w:rsidR="00264C8A">
        <w:t xml:space="preserve">visit, </w:t>
      </w:r>
      <w:r w:rsidR="00AE3548">
        <w:t>study personnel</w:t>
      </w:r>
      <w:r w:rsidR="00264C8A">
        <w:t xml:space="preserve"> will reassess</w:t>
      </w:r>
      <w:r w:rsidR="00D3776E">
        <w:t xml:space="preserve"> both groups of</w:t>
      </w:r>
      <w:r w:rsidR="00264C8A">
        <w:t xml:space="preserve"> restaurant</w:t>
      </w:r>
      <w:r w:rsidR="00D3776E">
        <w:t>s</w:t>
      </w:r>
      <w:r w:rsidR="00264C8A">
        <w:t xml:space="preserve"> with the same instrument</w:t>
      </w:r>
      <w:r w:rsidR="000A1BC2">
        <w:t xml:space="preserve">s (Attachments </w:t>
      </w:r>
      <w:r w:rsidR="003A632A">
        <w:t>3 and 4</w:t>
      </w:r>
      <w:r w:rsidR="000421DF">
        <w:t>) used</w:t>
      </w:r>
      <w:r w:rsidR="00264C8A">
        <w:t xml:space="preserve"> on the initial visit. This will include interviewing</w:t>
      </w:r>
      <w:r w:rsidR="00067AB4">
        <w:t xml:space="preserve"> the</w:t>
      </w:r>
      <w:r w:rsidR="00264C8A">
        <w:t xml:space="preserve"> manager</w:t>
      </w:r>
      <w:r w:rsidR="00606B31">
        <w:t xml:space="preserve"> about the </w:t>
      </w:r>
      <w:r>
        <w:t>ill worker management plan</w:t>
      </w:r>
      <w:r w:rsidR="004F615E">
        <w:t>s</w:t>
      </w:r>
      <w:r>
        <w:t xml:space="preserve"> </w:t>
      </w:r>
      <w:r w:rsidR="00264C8A">
        <w:t>and their content. An observation</w:t>
      </w:r>
      <w:r w:rsidR="00B41F16">
        <w:t xml:space="preserve"> (Attachment </w:t>
      </w:r>
      <w:r w:rsidR="003A632A">
        <w:t>4</w:t>
      </w:r>
      <w:r w:rsidR="00811012">
        <w:t>)</w:t>
      </w:r>
      <w:r w:rsidR="00264C8A">
        <w:t xml:space="preserve"> will again be </w:t>
      </w:r>
      <w:r w:rsidR="00264C8A">
        <w:lastRenderedPageBreak/>
        <w:t>conducted to document procedures that are used to minimize the risk of transmission if an employee were</w:t>
      </w:r>
      <w:r w:rsidR="00274273">
        <w:t xml:space="preserve"> ill</w:t>
      </w:r>
      <w:r w:rsidR="007A656B">
        <w:t>.</w:t>
      </w:r>
      <w:r w:rsidR="00264C8A">
        <w:t xml:space="preserve"> </w:t>
      </w:r>
      <w:r w:rsidR="007A656B">
        <w:t>If</w:t>
      </w:r>
      <w:r w:rsidR="009A2F43">
        <w:t xml:space="preserve"> </w:t>
      </w:r>
      <w:r w:rsidR="003018AC">
        <w:t xml:space="preserve">preliminary </w:t>
      </w:r>
      <w:r w:rsidR="009A2F43">
        <w:t>data analysis show</w:t>
      </w:r>
      <w:r w:rsidR="003018AC">
        <w:t>s</w:t>
      </w:r>
      <w:r w:rsidR="00BC1655">
        <w:t xml:space="preserve"> success with the intervention restaurants, the intervention will be provided to the control restaurants</w:t>
      </w:r>
      <w:r w:rsidR="003018AC">
        <w:t xml:space="preserve"> </w:t>
      </w:r>
      <w:r w:rsidR="00730760">
        <w:t>at visit 2</w:t>
      </w:r>
      <w:r w:rsidR="009A2F43">
        <w:t>, followed by a</w:t>
      </w:r>
      <w:r w:rsidR="003018AC">
        <w:t>n additional</w:t>
      </w:r>
      <w:r w:rsidR="009A2F43">
        <w:t xml:space="preserve"> assessment</w:t>
      </w:r>
      <w:r w:rsidR="007F5306">
        <w:t xml:space="preserve"> described </w:t>
      </w:r>
      <w:r w:rsidR="00274273">
        <w:t>below</w:t>
      </w:r>
      <w:r w:rsidR="00932C7E">
        <w:t xml:space="preserve">. </w:t>
      </w:r>
    </w:p>
    <w:p w:rsidR="00932C7E" w:rsidP="00E621EB" w:rsidRDefault="009A423B" w14:paraId="2277A816" w14:textId="7BA3869A">
      <w:pPr>
        <w:ind w:left="360"/>
      </w:pPr>
      <w:r>
        <w:t xml:space="preserve">5.3 </w:t>
      </w:r>
      <w:r w:rsidR="00932C7E">
        <w:t xml:space="preserve">Visit </w:t>
      </w:r>
      <w:r w:rsidR="00B37B70">
        <w:t>–</w:t>
      </w:r>
      <w:r w:rsidR="00932C7E">
        <w:t xml:space="preserve"> 3</w:t>
      </w:r>
    </w:p>
    <w:p w:rsidR="005F0A23" w:rsidP="00AD344B" w:rsidRDefault="00301648" w14:paraId="60789538" w14:textId="688EF31D">
      <w:r>
        <w:t>The third visit</w:t>
      </w:r>
      <w:r w:rsidR="00543C0A">
        <w:t xml:space="preserve"> is </w:t>
      </w:r>
      <w:r w:rsidR="00274273">
        <w:t xml:space="preserve">dependent </w:t>
      </w:r>
      <w:r w:rsidR="00EF6169">
        <w:t>upon and</w:t>
      </w:r>
      <w:r>
        <w:t xml:space="preserve"> will</w:t>
      </w:r>
      <w:r w:rsidR="00274273">
        <w:t xml:space="preserve"> only</w:t>
      </w:r>
      <w:r>
        <w:t xml:space="preserve"> be conducted in control restaurants </w:t>
      </w:r>
      <w:r w:rsidR="00C02015">
        <w:t xml:space="preserve">where the </w:t>
      </w:r>
      <w:r>
        <w:t>intervention was</w:t>
      </w:r>
      <w:r w:rsidR="001D3624">
        <w:t xml:space="preserve"> provided. </w:t>
      </w:r>
      <w:r w:rsidR="00C35B8D">
        <w:t xml:space="preserve">This visit will be conducted telephonically and will only consist of the manager interview (Attachment </w:t>
      </w:r>
      <w:r w:rsidR="003A632A">
        <w:t>3</w:t>
      </w:r>
      <w:r w:rsidR="00C35B8D">
        <w:t xml:space="preserve">). </w:t>
      </w:r>
      <w:r w:rsidR="006739EF">
        <w:t>The</w:t>
      </w:r>
      <w:r w:rsidR="00B6281C">
        <w:t xml:space="preserve"> purpose</w:t>
      </w:r>
      <w:r w:rsidR="006739EF">
        <w:t xml:space="preserve"> of this visit is</w:t>
      </w:r>
      <w:r w:rsidR="00835F41">
        <w:t xml:space="preserve"> to</w:t>
      </w:r>
      <w:r w:rsidR="006739EF">
        <w:t xml:space="preserve"> gather more evidence on the efficacy of the intervention in </w:t>
      </w:r>
      <w:r w:rsidR="009F2C4D">
        <w:t xml:space="preserve">the </w:t>
      </w:r>
      <w:r w:rsidR="006739EF">
        <w:t xml:space="preserve">control group. </w:t>
      </w:r>
    </w:p>
    <w:p w:rsidR="00C5352A" w:rsidP="00AD344B" w:rsidRDefault="00C5352A" w14:paraId="34FC5DD1" w14:textId="465FB391">
      <w:r>
        <w:t>The following table summarizes the study process.</w:t>
      </w:r>
    </w:p>
    <w:tbl>
      <w:tblPr>
        <w:tblStyle w:val="TableGrid"/>
        <w:tblW w:w="0" w:type="auto"/>
        <w:tblLook w:val="04A0" w:firstRow="1" w:lastRow="0" w:firstColumn="1" w:lastColumn="0" w:noHBand="0" w:noVBand="1"/>
      </w:tblPr>
      <w:tblGrid>
        <w:gridCol w:w="3235"/>
        <w:gridCol w:w="3150"/>
        <w:gridCol w:w="3240"/>
      </w:tblGrid>
      <w:tr w:rsidR="00280869" w:rsidTr="00063D73" w14:paraId="394E4551" w14:textId="77777777">
        <w:tc>
          <w:tcPr>
            <w:tcW w:w="3235" w:type="dxa"/>
          </w:tcPr>
          <w:p w:rsidR="00280869" w:rsidP="009A2F43" w:rsidRDefault="00280869" w14:paraId="3B2591DC" w14:textId="2CC9A9C5"/>
        </w:tc>
        <w:tc>
          <w:tcPr>
            <w:tcW w:w="3150" w:type="dxa"/>
          </w:tcPr>
          <w:p w:rsidRPr="00E621EB" w:rsidR="00280869" w:rsidP="00E621EB" w:rsidRDefault="00280869" w14:paraId="2B5981AF" w14:textId="787F6D8C">
            <w:pPr>
              <w:jc w:val="center"/>
              <w:rPr>
                <w:b/>
                <w:sz w:val="24"/>
                <w:szCs w:val="24"/>
              </w:rPr>
            </w:pPr>
            <w:r w:rsidRPr="00E621EB">
              <w:rPr>
                <w:b/>
                <w:sz w:val="24"/>
                <w:szCs w:val="24"/>
              </w:rPr>
              <w:t>Intervention Restaurants</w:t>
            </w:r>
          </w:p>
        </w:tc>
        <w:tc>
          <w:tcPr>
            <w:tcW w:w="3240" w:type="dxa"/>
          </w:tcPr>
          <w:p w:rsidRPr="00E621EB" w:rsidR="00280869" w:rsidP="009A2F43" w:rsidRDefault="008C6DA8" w14:paraId="23D0EB78" w14:textId="24A18FEC">
            <w:pPr>
              <w:rPr>
                <w:b/>
                <w:sz w:val="24"/>
                <w:szCs w:val="24"/>
              </w:rPr>
            </w:pPr>
            <w:r>
              <w:rPr>
                <w:b/>
                <w:sz w:val="24"/>
                <w:szCs w:val="24"/>
              </w:rPr>
              <w:t xml:space="preserve">          </w:t>
            </w:r>
            <w:r w:rsidRPr="00E621EB" w:rsidR="00280869">
              <w:rPr>
                <w:b/>
                <w:sz w:val="24"/>
                <w:szCs w:val="24"/>
              </w:rPr>
              <w:t>Control Restaurants</w:t>
            </w:r>
          </w:p>
        </w:tc>
      </w:tr>
      <w:tr w:rsidR="00094FC2" w:rsidTr="00063D73" w14:paraId="310A763A" w14:textId="77777777">
        <w:tc>
          <w:tcPr>
            <w:tcW w:w="3235" w:type="dxa"/>
          </w:tcPr>
          <w:p w:rsidRPr="00313EE6" w:rsidR="00094FC2" w:rsidP="007D1336" w:rsidRDefault="00094FC2" w14:paraId="60189D5E" w14:textId="025B6E55">
            <w:r>
              <w:t>Manager Recruiting Script</w:t>
            </w:r>
          </w:p>
        </w:tc>
        <w:tc>
          <w:tcPr>
            <w:tcW w:w="3150" w:type="dxa"/>
          </w:tcPr>
          <w:p w:rsidRPr="00E621EB" w:rsidR="00094FC2" w:rsidP="00313EE6" w:rsidRDefault="00094FC2" w14:paraId="2B5A0427" w14:textId="001D8BD7">
            <w:pPr>
              <w:jc w:val="center"/>
              <w:rPr>
                <w:b/>
              </w:rPr>
            </w:pPr>
            <w:r w:rsidRPr="00010D46">
              <w:sym w:font="Wingdings" w:char="F0FC"/>
            </w:r>
          </w:p>
        </w:tc>
        <w:tc>
          <w:tcPr>
            <w:tcW w:w="3240" w:type="dxa"/>
          </w:tcPr>
          <w:p w:rsidRPr="00E621EB" w:rsidR="00094FC2" w:rsidP="00313EE6" w:rsidRDefault="00094FC2" w14:paraId="375E2050" w14:textId="0B828041">
            <w:pPr>
              <w:jc w:val="center"/>
              <w:rPr>
                <w:b/>
              </w:rPr>
            </w:pPr>
            <w:r w:rsidRPr="00010D46">
              <w:sym w:font="Wingdings" w:char="F0FC"/>
            </w:r>
          </w:p>
        </w:tc>
      </w:tr>
      <w:tr w:rsidR="004C2D79" w:rsidTr="00F820DB" w14:paraId="193A072E" w14:textId="77777777">
        <w:tc>
          <w:tcPr>
            <w:tcW w:w="9625" w:type="dxa"/>
            <w:gridSpan w:val="3"/>
          </w:tcPr>
          <w:p w:rsidRPr="00E621EB" w:rsidR="004C2D79" w:rsidP="009A2F43" w:rsidRDefault="004C2D79" w14:paraId="1E071F51" w14:textId="66F6340B">
            <w:pPr>
              <w:rPr>
                <w:b/>
              </w:rPr>
            </w:pPr>
            <w:r w:rsidRPr="00E621EB">
              <w:rPr>
                <w:b/>
              </w:rPr>
              <w:t>Visit -1</w:t>
            </w:r>
          </w:p>
        </w:tc>
      </w:tr>
      <w:tr w:rsidR="00280869" w:rsidTr="00063D73" w14:paraId="45663CB7" w14:textId="77777777">
        <w:tc>
          <w:tcPr>
            <w:tcW w:w="3235" w:type="dxa"/>
          </w:tcPr>
          <w:p w:rsidR="00280869" w:rsidP="009A2F43" w:rsidRDefault="00280869" w14:paraId="6232286E" w14:textId="1F71ABE0">
            <w:r>
              <w:t>Manager Interview</w:t>
            </w:r>
          </w:p>
        </w:tc>
        <w:tc>
          <w:tcPr>
            <w:tcW w:w="3150" w:type="dxa"/>
          </w:tcPr>
          <w:p w:rsidRPr="00010D46" w:rsidR="00280869" w:rsidP="00E621EB" w:rsidRDefault="00280869" w14:paraId="3945F10F" w14:textId="01F98919">
            <w:pPr>
              <w:jc w:val="center"/>
            </w:pPr>
            <w:r w:rsidRPr="00010D46">
              <w:sym w:font="Wingdings" w:char="F0FC"/>
            </w:r>
          </w:p>
        </w:tc>
        <w:tc>
          <w:tcPr>
            <w:tcW w:w="3240" w:type="dxa"/>
          </w:tcPr>
          <w:p w:rsidRPr="00010D46" w:rsidR="00280869" w:rsidP="00E621EB" w:rsidRDefault="00280869" w14:paraId="4B3D91E8" w14:textId="5D0D3994">
            <w:pPr>
              <w:jc w:val="center"/>
            </w:pPr>
            <w:r w:rsidRPr="00010D46">
              <w:sym w:font="Wingdings" w:char="F0FC"/>
            </w:r>
          </w:p>
        </w:tc>
      </w:tr>
      <w:tr w:rsidR="00280869" w:rsidTr="00063D73" w14:paraId="3D8969A0" w14:textId="77777777">
        <w:tc>
          <w:tcPr>
            <w:tcW w:w="3235" w:type="dxa"/>
          </w:tcPr>
          <w:p w:rsidR="00280869" w:rsidP="009A2F43" w:rsidRDefault="00280869" w14:paraId="2A70F029" w14:textId="6F570771">
            <w:r>
              <w:t>Restaurant Observation</w:t>
            </w:r>
          </w:p>
        </w:tc>
        <w:tc>
          <w:tcPr>
            <w:tcW w:w="3150" w:type="dxa"/>
          </w:tcPr>
          <w:p w:rsidRPr="00010D46" w:rsidR="00280869" w:rsidP="00E621EB" w:rsidRDefault="00280869" w14:paraId="49BA0CDE" w14:textId="5632F72A">
            <w:pPr>
              <w:jc w:val="center"/>
            </w:pPr>
            <w:r w:rsidRPr="00010D46">
              <w:sym w:font="Wingdings" w:char="F0FC"/>
            </w:r>
          </w:p>
        </w:tc>
        <w:tc>
          <w:tcPr>
            <w:tcW w:w="3240" w:type="dxa"/>
          </w:tcPr>
          <w:p w:rsidRPr="00010D46" w:rsidR="00280869" w:rsidP="00E621EB" w:rsidRDefault="00280869" w14:paraId="018C6E6E" w14:textId="7C40E6D6">
            <w:pPr>
              <w:jc w:val="center"/>
            </w:pPr>
            <w:r w:rsidRPr="00010D46">
              <w:sym w:font="Wingdings" w:char="F0FC"/>
            </w:r>
          </w:p>
        </w:tc>
      </w:tr>
      <w:tr w:rsidR="00280869" w:rsidTr="00063D73" w14:paraId="34F5FAC9" w14:textId="77777777">
        <w:tc>
          <w:tcPr>
            <w:tcW w:w="3235" w:type="dxa"/>
          </w:tcPr>
          <w:p w:rsidR="00280869" w:rsidP="009A2F43" w:rsidRDefault="00280869" w14:paraId="5BA5E2E4" w14:textId="5E52F41C">
            <w:r>
              <w:t>Educational Intervention</w:t>
            </w:r>
          </w:p>
        </w:tc>
        <w:tc>
          <w:tcPr>
            <w:tcW w:w="3150" w:type="dxa"/>
          </w:tcPr>
          <w:p w:rsidRPr="00010D46" w:rsidR="00280869" w:rsidP="00E621EB" w:rsidRDefault="00280869" w14:paraId="05FE3586" w14:textId="3005E689">
            <w:pPr>
              <w:jc w:val="center"/>
            </w:pPr>
            <w:r w:rsidRPr="00010D46">
              <w:sym w:font="Wingdings" w:char="F0FC"/>
            </w:r>
          </w:p>
        </w:tc>
        <w:tc>
          <w:tcPr>
            <w:tcW w:w="3240" w:type="dxa"/>
          </w:tcPr>
          <w:p w:rsidRPr="000105D4" w:rsidR="00280869" w:rsidP="00E621EB" w:rsidRDefault="00235B56" w14:paraId="0458105A" w14:textId="3D081582">
            <w:pPr>
              <w:jc w:val="center"/>
            </w:pPr>
            <w:r>
              <w:t>–</w:t>
            </w:r>
          </w:p>
        </w:tc>
      </w:tr>
      <w:tr w:rsidR="004C2D79" w:rsidTr="00C15CC5" w14:paraId="01DD1E4F" w14:textId="77777777">
        <w:trPr>
          <w:trHeight w:val="233"/>
        </w:trPr>
        <w:tc>
          <w:tcPr>
            <w:tcW w:w="9625" w:type="dxa"/>
            <w:gridSpan w:val="3"/>
          </w:tcPr>
          <w:p w:rsidRPr="000105D4" w:rsidR="004C2D79" w:rsidP="00C15CC5" w:rsidRDefault="004C2D79" w14:paraId="111EE60F" w14:textId="1504E5C7">
            <w:r w:rsidRPr="000105D4">
              <w:rPr>
                <w:b/>
              </w:rPr>
              <w:t>Visit</w:t>
            </w:r>
            <w:r w:rsidRPr="00E621EB">
              <w:rPr>
                <w:b/>
              </w:rPr>
              <w:t xml:space="preserve"> -</w:t>
            </w:r>
            <w:r w:rsidRPr="000105D4">
              <w:rPr>
                <w:b/>
              </w:rPr>
              <w:t xml:space="preserve"> 2</w:t>
            </w:r>
          </w:p>
        </w:tc>
      </w:tr>
      <w:tr w:rsidR="0057049C" w:rsidTr="00063D73" w14:paraId="7A64A1B4" w14:textId="77777777">
        <w:tc>
          <w:tcPr>
            <w:tcW w:w="3235" w:type="dxa"/>
          </w:tcPr>
          <w:p w:rsidR="0057049C" w:rsidP="0057049C" w:rsidRDefault="0057049C" w14:paraId="1AE0732D" w14:textId="499E4B24">
            <w:r>
              <w:t>Manager Interview</w:t>
            </w:r>
          </w:p>
        </w:tc>
        <w:tc>
          <w:tcPr>
            <w:tcW w:w="3150" w:type="dxa"/>
          </w:tcPr>
          <w:p w:rsidRPr="00010D46" w:rsidR="0057049C" w:rsidP="00E621EB" w:rsidRDefault="0026477F" w14:paraId="2FAF3ADA" w14:textId="62842F73">
            <w:pPr>
              <w:jc w:val="center"/>
            </w:pPr>
            <w:r w:rsidRPr="00010D46">
              <w:sym w:font="Wingdings" w:char="F0FC"/>
            </w:r>
          </w:p>
        </w:tc>
        <w:tc>
          <w:tcPr>
            <w:tcW w:w="3240" w:type="dxa"/>
          </w:tcPr>
          <w:p w:rsidRPr="00010D46" w:rsidR="0057049C" w:rsidP="00E621EB" w:rsidRDefault="0026477F" w14:paraId="70717BD5" w14:textId="70FD9CA5">
            <w:pPr>
              <w:jc w:val="center"/>
            </w:pPr>
            <w:r w:rsidRPr="00010D46">
              <w:sym w:font="Wingdings" w:char="F0FC"/>
            </w:r>
          </w:p>
        </w:tc>
      </w:tr>
      <w:tr w:rsidR="0057049C" w:rsidTr="00063D73" w14:paraId="7E0E6B05" w14:textId="77777777">
        <w:tc>
          <w:tcPr>
            <w:tcW w:w="3235" w:type="dxa"/>
          </w:tcPr>
          <w:p w:rsidR="0057049C" w:rsidP="0057049C" w:rsidRDefault="0057049C" w14:paraId="0B622CA1" w14:textId="0A2C8911">
            <w:r>
              <w:t>Restaurant Observation</w:t>
            </w:r>
          </w:p>
        </w:tc>
        <w:tc>
          <w:tcPr>
            <w:tcW w:w="3150" w:type="dxa"/>
          </w:tcPr>
          <w:p w:rsidRPr="00010D46" w:rsidR="0057049C" w:rsidP="00E621EB" w:rsidRDefault="0057049C" w14:paraId="5056C639" w14:textId="6568662D">
            <w:pPr>
              <w:jc w:val="center"/>
            </w:pPr>
            <w:r w:rsidRPr="00010D46">
              <w:sym w:font="Wingdings" w:char="F0FC"/>
            </w:r>
          </w:p>
        </w:tc>
        <w:tc>
          <w:tcPr>
            <w:tcW w:w="3240" w:type="dxa"/>
          </w:tcPr>
          <w:p w:rsidRPr="00010D46" w:rsidR="0057049C" w:rsidP="00E621EB" w:rsidRDefault="0026477F" w14:paraId="2BFF5937" w14:textId="66B481F3">
            <w:pPr>
              <w:jc w:val="center"/>
            </w:pPr>
            <w:r w:rsidRPr="00010D46">
              <w:sym w:font="Wingdings" w:char="F0FC"/>
            </w:r>
          </w:p>
        </w:tc>
      </w:tr>
      <w:tr w:rsidR="000105D4" w:rsidTr="00063D73" w14:paraId="46BD2EBC" w14:textId="77777777">
        <w:tc>
          <w:tcPr>
            <w:tcW w:w="3235" w:type="dxa"/>
          </w:tcPr>
          <w:p w:rsidR="000105D4" w:rsidP="0057049C" w:rsidRDefault="000105D4" w14:paraId="6ACF8851" w14:textId="17ACD8C5">
            <w:r>
              <w:t>Educational Intervention</w:t>
            </w:r>
          </w:p>
        </w:tc>
        <w:tc>
          <w:tcPr>
            <w:tcW w:w="3150" w:type="dxa"/>
          </w:tcPr>
          <w:p w:rsidRPr="00010D46" w:rsidR="000105D4" w:rsidP="0026477F" w:rsidRDefault="00235B56" w14:paraId="36AD7081" w14:textId="077FD475">
            <w:pPr>
              <w:jc w:val="center"/>
            </w:pPr>
            <w:r>
              <w:t>–</w:t>
            </w:r>
          </w:p>
        </w:tc>
        <w:tc>
          <w:tcPr>
            <w:tcW w:w="3240" w:type="dxa"/>
          </w:tcPr>
          <w:p w:rsidRPr="00010D46" w:rsidR="000105D4" w:rsidP="0026477F" w:rsidRDefault="000105D4" w14:paraId="36C1E00D" w14:textId="20AB26CA">
            <w:pPr>
              <w:jc w:val="center"/>
            </w:pPr>
            <w:r w:rsidRPr="00010D46">
              <w:sym w:font="Wingdings" w:char="F0FC"/>
            </w:r>
          </w:p>
        </w:tc>
      </w:tr>
      <w:tr w:rsidR="004C2D79" w:rsidTr="00F820DB" w14:paraId="516459A8" w14:textId="77777777">
        <w:tc>
          <w:tcPr>
            <w:tcW w:w="9625" w:type="dxa"/>
            <w:gridSpan w:val="3"/>
          </w:tcPr>
          <w:p w:rsidRPr="00010D46" w:rsidR="004C2D79" w:rsidP="00C15CC5" w:rsidRDefault="004C2D79" w14:paraId="3708384B" w14:textId="00E880AD">
            <w:r w:rsidRPr="00E621EB">
              <w:rPr>
                <w:b/>
              </w:rPr>
              <w:t>Visit- 3</w:t>
            </w:r>
            <w:r>
              <w:rPr>
                <w:b/>
              </w:rPr>
              <w:t xml:space="preserve"> (Dependent on Visit – 2)</w:t>
            </w:r>
          </w:p>
        </w:tc>
      </w:tr>
      <w:tr w:rsidR="00010D46" w:rsidTr="00063D73" w14:paraId="76CA2DBC" w14:textId="77777777">
        <w:tc>
          <w:tcPr>
            <w:tcW w:w="3235" w:type="dxa"/>
          </w:tcPr>
          <w:p w:rsidRPr="00C8048F" w:rsidR="00010D46" w:rsidP="00010D46" w:rsidRDefault="00010D46" w14:paraId="4B464D48" w14:textId="45497C6F">
            <w:r>
              <w:t>Manager Interview</w:t>
            </w:r>
          </w:p>
        </w:tc>
        <w:tc>
          <w:tcPr>
            <w:tcW w:w="3150" w:type="dxa"/>
          </w:tcPr>
          <w:p w:rsidRPr="00010D46" w:rsidR="00010D46" w:rsidP="00010D46" w:rsidRDefault="00235B56" w14:paraId="630F8E28" w14:textId="2C7A0ED5">
            <w:pPr>
              <w:jc w:val="center"/>
            </w:pPr>
            <w:r>
              <w:t>–</w:t>
            </w:r>
          </w:p>
        </w:tc>
        <w:tc>
          <w:tcPr>
            <w:tcW w:w="3240" w:type="dxa"/>
          </w:tcPr>
          <w:p w:rsidRPr="00010D46" w:rsidR="00010D46" w:rsidP="00010D46" w:rsidRDefault="00010D46" w14:paraId="66CD8DEA" w14:textId="7F5B9157">
            <w:pPr>
              <w:jc w:val="center"/>
            </w:pPr>
            <w:r w:rsidRPr="00010D46">
              <w:sym w:font="Wingdings" w:char="F0FC"/>
            </w:r>
          </w:p>
        </w:tc>
      </w:tr>
    </w:tbl>
    <w:p w:rsidR="009A2F43" w:rsidP="0080346D" w:rsidRDefault="009A2F43" w14:paraId="604E1314" w14:textId="77777777"/>
    <w:p w:rsidR="00BC1655" w:rsidP="008D2E24" w:rsidRDefault="0080346D" w14:paraId="2E3ED490" w14:textId="7F5C3E7E">
      <w:pPr>
        <w:ind w:left="360"/>
      </w:pPr>
      <w:r>
        <w:t>5.</w:t>
      </w:r>
      <w:r w:rsidR="006A39A8">
        <w:t>4</w:t>
      </w:r>
      <w:r w:rsidR="00BC1655">
        <w:t xml:space="preserve"> Preliminary Measure of Success of Intervention</w:t>
      </w:r>
    </w:p>
    <w:p w:rsidR="00274907" w:rsidP="0080346D" w:rsidRDefault="00274907" w14:paraId="3B6D5A2D" w14:textId="430AFA65">
      <w:r>
        <w:t xml:space="preserve">The control and intervention arms of this study will be conducted simultaneously.  If three or more restaurants per study site within the intervention arm have either developed or changed their practices for managing ill workers, the intervention will then be provided to all control restaurants that have not yet had their follow up </w:t>
      </w:r>
      <w:r w:rsidR="00094FC2">
        <w:t xml:space="preserve">(visit – 2) </w:t>
      </w:r>
      <w:r>
        <w:t xml:space="preserve">visit.  No attempt will be required of the </w:t>
      </w:r>
      <w:r w:rsidR="00094FC2">
        <w:t>study personnel</w:t>
      </w:r>
      <w:r>
        <w:t xml:space="preserve"> to re-engage control restaurants that have already had their </w:t>
      </w:r>
      <w:r w:rsidR="00094FC2">
        <w:t>second</w:t>
      </w:r>
      <w:r>
        <w:t xml:space="preserve"> visit performed.</w:t>
      </w:r>
    </w:p>
    <w:p w:rsidR="0080346D" w:rsidP="00853EEF" w:rsidRDefault="00853EEF" w14:paraId="6D293D39" w14:textId="10D671F2">
      <w:pPr>
        <w:ind w:firstLine="360"/>
      </w:pPr>
      <w:r>
        <w:t>5.</w:t>
      </w:r>
      <w:r w:rsidR="006A39A8">
        <w:t>5</w:t>
      </w:r>
      <w:r>
        <w:t xml:space="preserve"> Intervention Talking Points</w:t>
      </w:r>
    </w:p>
    <w:p w:rsidR="00853EEF" w:rsidP="0080346D" w:rsidRDefault="00853EEF" w14:paraId="621E9B7B" w14:textId="77777777">
      <w:r>
        <w:t xml:space="preserve">The intervention will be conducted by </w:t>
      </w:r>
      <w:r w:rsidR="00AE3548">
        <w:t xml:space="preserve">study personnel, </w:t>
      </w:r>
      <w:r>
        <w:t xml:space="preserve">senior experienced environmental health specialists.  </w:t>
      </w:r>
      <w:r w:rsidR="00AE3548">
        <w:t>Given</w:t>
      </w:r>
      <w:r>
        <w:t xml:space="preserve"> the knowledge and experience of this group</w:t>
      </w:r>
      <w:r w:rsidR="00AE3548">
        <w:t>,</w:t>
      </w:r>
      <w:r>
        <w:t xml:space="preserve"> and the diversity of restaurant managers, </w:t>
      </w:r>
      <w:r w:rsidR="00AE3548">
        <w:t xml:space="preserve">study personnel will customize their presentation of the materials </w:t>
      </w:r>
      <w:r>
        <w:t>to meet the needs of the restaurant manager</w:t>
      </w:r>
      <w:r w:rsidR="00AE3548">
        <w:t>s</w:t>
      </w:r>
      <w:r>
        <w:t>.  Prior to conducting the research</w:t>
      </w:r>
      <w:r w:rsidR="00AE3548">
        <w:t>,</w:t>
      </w:r>
      <w:r>
        <w:t xml:space="preserve"> all </w:t>
      </w:r>
      <w:r w:rsidR="00AE3548">
        <w:t>study personnel</w:t>
      </w:r>
      <w:r>
        <w:t xml:space="preserve"> will meet to discuss implementation techniques and ensure that all </w:t>
      </w:r>
      <w:r w:rsidR="00AE3548">
        <w:t>study personnel</w:t>
      </w:r>
      <w:r>
        <w:t xml:space="preserve"> are using the same talking points.  </w:t>
      </w:r>
    </w:p>
    <w:p w:rsidR="00853EEF" w:rsidP="00853EEF" w:rsidRDefault="00853EEF" w14:paraId="4B3FAD8D" w14:textId="0DDE024C">
      <w:pPr>
        <w:ind w:firstLine="360"/>
      </w:pPr>
      <w:r>
        <w:t>5.</w:t>
      </w:r>
      <w:r w:rsidR="006A39A8">
        <w:t>5</w:t>
      </w:r>
      <w:r>
        <w:t>.1 Preliminary Talking Points</w:t>
      </w:r>
    </w:p>
    <w:p w:rsidR="00AE3548" w:rsidP="00853EEF" w:rsidRDefault="00AE3548" w14:paraId="64F1DB54" w14:textId="2E823C22">
      <w:pPr>
        <w:pStyle w:val="ListParagraph"/>
        <w:numPr>
          <w:ilvl w:val="0"/>
          <w:numId w:val="3"/>
        </w:numPr>
      </w:pPr>
      <w:r>
        <w:t xml:space="preserve">Lots of outbreaks </w:t>
      </w:r>
      <w:r w:rsidR="00D306B8">
        <w:t xml:space="preserve">are </w:t>
      </w:r>
      <w:r>
        <w:t>caused by ill food workers</w:t>
      </w:r>
    </w:p>
    <w:p w:rsidR="00853EEF" w:rsidP="00853EEF" w:rsidRDefault="00853EEF" w14:paraId="2D780EF1" w14:textId="77777777">
      <w:pPr>
        <w:pStyle w:val="ListParagraph"/>
        <w:numPr>
          <w:ilvl w:val="0"/>
          <w:numId w:val="3"/>
        </w:numPr>
      </w:pPr>
      <w:r>
        <w:t>1 in 5 Food workers reported working while sick with vomiting and diarrhea</w:t>
      </w:r>
    </w:p>
    <w:p w:rsidR="00853EEF" w:rsidP="00853EEF" w:rsidRDefault="00853EEF" w14:paraId="71E1FCD4" w14:textId="77777777">
      <w:pPr>
        <w:pStyle w:val="ListParagraph"/>
        <w:numPr>
          <w:ilvl w:val="0"/>
          <w:numId w:val="3"/>
        </w:numPr>
      </w:pPr>
      <w:r>
        <w:t>Infected food workers cause 70% of the reported norovirus outbreaks from contaminated food</w:t>
      </w:r>
    </w:p>
    <w:p w:rsidR="00853EEF" w:rsidP="00853EEF" w:rsidRDefault="00332F8F" w14:paraId="05AD4396" w14:textId="77777777">
      <w:pPr>
        <w:pStyle w:val="ListParagraph"/>
        <w:numPr>
          <w:ilvl w:val="0"/>
          <w:numId w:val="3"/>
        </w:numPr>
      </w:pPr>
      <w:r>
        <w:t>Humans are the reservoir for norovirus and may be asymptomatic</w:t>
      </w:r>
    </w:p>
    <w:p w:rsidR="00332F8F" w:rsidP="00853EEF" w:rsidRDefault="00332F8F" w14:paraId="63067AA0" w14:textId="77777777">
      <w:pPr>
        <w:pStyle w:val="ListParagraph"/>
        <w:numPr>
          <w:ilvl w:val="0"/>
          <w:numId w:val="3"/>
        </w:numPr>
      </w:pPr>
      <w:r>
        <w:t>Norovirus is spread from vomitus or fecal contamination from an infected person</w:t>
      </w:r>
    </w:p>
    <w:p w:rsidR="00332F8F" w:rsidP="00853EEF" w:rsidRDefault="00332F8F" w14:paraId="0A9B419E" w14:textId="77777777">
      <w:pPr>
        <w:pStyle w:val="ListParagraph"/>
        <w:numPr>
          <w:ilvl w:val="0"/>
          <w:numId w:val="3"/>
        </w:numPr>
      </w:pPr>
      <w:r>
        <w:t>Excluding an ill worker is the best method to prevent contamination</w:t>
      </w:r>
    </w:p>
    <w:p w:rsidR="00332F8F" w:rsidP="00853EEF" w:rsidRDefault="00332F8F" w14:paraId="0130F6AF" w14:textId="77777777">
      <w:pPr>
        <w:pStyle w:val="ListParagraph"/>
        <w:numPr>
          <w:ilvl w:val="0"/>
          <w:numId w:val="3"/>
        </w:numPr>
      </w:pPr>
      <w:r>
        <w:t>Good personal hygiene and limiting bare hand contact with food minimize the spread of contamination</w:t>
      </w:r>
    </w:p>
    <w:p w:rsidR="00332F8F" w:rsidP="00853EEF" w:rsidRDefault="00332F8F" w14:paraId="4E745876" w14:textId="77777777">
      <w:pPr>
        <w:pStyle w:val="ListParagraph"/>
        <w:numPr>
          <w:ilvl w:val="0"/>
          <w:numId w:val="3"/>
        </w:numPr>
      </w:pPr>
      <w:r>
        <w:lastRenderedPageBreak/>
        <w:t>Contamination can persist on surfaces in the kitchen and dining room</w:t>
      </w:r>
    </w:p>
    <w:p w:rsidR="00332F8F" w:rsidP="00853EEF" w:rsidRDefault="00332F8F" w14:paraId="60728C3F" w14:textId="77777777">
      <w:pPr>
        <w:pStyle w:val="ListParagraph"/>
        <w:numPr>
          <w:ilvl w:val="0"/>
          <w:numId w:val="3"/>
        </w:numPr>
      </w:pPr>
      <w:r>
        <w:t>Different cleaners and sanitizers work for different types of contamination it is important to match them</w:t>
      </w:r>
    </w:p>
    <w:p w:rsidR="00332F8F" w:rsidP="00853EEF" w:rsidRDefault="00332F8F" w14:paraId="257B28FA" w14:textId="36554100">
      <w:pPr>
        <w:pStyle w:val="ListParagraph"/>
        <w:numPr>
          <w:ilvl w:val="0"/>
          <w:numId w:val="3"/>
        </w:numPr>
      </w:pPr>
      <w:r>
        <w:t>Employees report working while sick</w:t>
      </w:r>
      <w:r w:rsidR="00D306B8">
        <w:t xml:space="preserve"> due to</w:t>
      </w:r>
    </w:p>
    <w:p w:rsidR="00332F8F" w:rsidP="00332F8F" w:rsidRDefault="00332F8F" w14:paraId="00DFBB5E" w14:textId="77777777">
      <w:pPr>
        <w:pStyle w:val="ListParagraph"/>
        <w:numPr>
          <w:ilvl w:val="1"/>
          <w:numId w:val="3"/>
        </w:numPr>
      </w:pPr>
      <w:r>
        <w:t>Staff shortages</w:t>
      </w:r>
    </w:p>
    <w:p w:rsidR="00332F8F" w:rsidP="00332F8F" w:rsidRDefault="00332F8F" w14:paraId="2223AFA3" w14:textId="77777777">
      <w:pPr>
        <w:pStyle w:val="ListParagraph"/>
        <w:numPr>
          <w:ilvl w:val="1"/>
          <w:numId w:val="3"/>
        </w:numPr>
      </w:pPr>
      <w:r>
        <w:t>Not letting their co-workers down</w:t>
      </w:r>
    </w:p>
    <w:p w:rsidR="00332F8F" w:rsidP="00332F8F" w:rsidRDefault="00332F8F" w14:paraId="4E15B351" w14:textId="77777777">
      <w:pPr>
        <w:pStyle w:val="ListParagraph"/>
        <w:numPr>
          <w:ilvl w:val="1"/>
          <w:numId w:val="3"/>
        </w:numPr>
      </w:pPr>
      <w:r>
        <w:t>Need the pay</w:t>
      </w:r>
    </w:p>
    <w:p w:rsidR="00332F8F" w:rsidP="00332F8F" w:rsidRDefault="00332F8F" w14:paraId="318D0B1F" w14:textId="77777777">
      <w:pPr>
        <w:pStyle w:val="ListParagraph"/>
        <w:numPr>
          <w:ilvl w:val="1"/>
          <w:numId w:val="3"/>
        </w:numPr>
      </w:pPr>
      <w:r>
        <w:t>Unable to find replacements</w:t>
      </w:r>
    </w:p>
    <w:p w:rsidR="00332F8F" w:rsidP="00332F8F" w:rsidRDefault="00332F8F" w14:paraId="0AF07A95" w14:textId="77777777">
      <w:pPr>
        <w:pStyle w:val="ListParagraph"/>
        <w:numPr>
          <w:ilvl w:val="0"/>
          <w:numId w:val="3"/>
        </w:numPr>
      </w:pPr>
      <w:r>
        <w:t>All restaurants will eventually have an employee report that they are ill</w:t>
      </w:r>
    </w:p>
    <w:p w:rsidR="00332F8F" w:rsidP="00332F8F" w:rsidRDefault="00332F8F" w14:paraId="469B6332" w14:textId="77777777">
      <w:pPr>
        <w:pStyle w:val="ListParagraph"/>
        <w:numPr>
          <w:ilvl w:val="0"/>
          <w:numId w:val="3"/>
        </w:numPr>
      </w:pPr>
      <w:r>
        <w:t>There are minimum code requirements that a restaurant is expected to meet, however they can do more to minimize the impact to their business and prevent foodborne illness</w:t>
      </w:r>
    </w:p>
    <w:p w:rsidR="00B13CF0" w:rsidP="00B13CF0" w:rsidRDefault="00B13CF0" w14:paraId="5239506D" w14:textId="77777777">
      <w:pPr>
        <w:pStyle w:val="ListParagraph"/>
        <w:numPr>
          <w:ilvl w:val="1"/>
          <w:numId w:val="3"/>
        </w:numPr>
      </w:pPr>
      <w:r>
        <w:t>Introduce guide with various strategies and draft procedures.</w:t>
      </w:r>
    </w:p>
    <w:p w:rsidR="009B1C4D" w:rsidP="00F820DB" w:rsidRDefault="00332F8F" w14:paraId="060D6D49" w14:textId="0C07E6CE">
      <w:pPr>
        <w:pStyle w:val="ListParagraph"/>
        <w:numPr>
          <w:ilvl w:val="0"/>
          <w:numId w:val="3"/>
        </w:numPr>
      </w:pPr>
      <w:r>
        <w:t xml:space="preserve">If technological capacity exists, a site may show or direct a restaurant manager to FDA video testimonials of victims of foodborne illness </w:t>
      </w:r>
    </w:p>
    <w:p w:rsidR="00332F8F" w:rsidP="00332F8F" w:rsidRDefault="00C630D6" w14:paraId="7BCF4893" w14:textId="7D0471F1">
      <w:pPr>
        <w:pStyle w:val="ListParagraph"/>
        <w:numPr>
          <w:ilvl w:val="0"/>
          <w:numId w:val="3"/>
        </w:numPr>
      </w:pPr>
      <w:hyperlink w:history="1" r:id="rId9">
        <w:r w:rsidRPr="00FE0E2E" w:rsidR="009B1C4D">
          <w:rPr>
            <w:rStyle w:val="Hyperlink"/>
          </w:rPr>
          <w:t>https://www.fda.gov/Food/GuidanceRegulation/RetailFoodProtection/IndustryandRegulatoryAssistanceandTrainingResources/ucm345399.htm?source=govdelivery</w:t>
        </w:r>
      </w:hyperlink>
    </w:p>
    <w:p w:rsidR="009B1C4D" w:rsidP="009B1C4D" w:rsidRDefault="009B1C4D" w14:paraId="1A9ED0CA" w14:textId="77777777">
      <w:pPr>
        <w:pStyle w:val="ListParagraph"/>
      </w:pPr>
    </w:p>
    <w:p w:rsidRPr="0051779E" w:rsidR="00F621DF" w:rsidP="0051779E" w:rsidRDefault="00F621DF" w14:paraId="67266554" w14:textId="6C8321C9">
      <w:pPr>
        <w:pStyle w:val="ListParagraph"/>
        <w:numPr>
          <w:ilvl w:val="0"/>
          <w:numId w:val="1"/>
        </w:numPr>
        <w:rPr>
          <w:b/>
        </w:rPr>
      </w:pPr>
      <w:r w:rsidRPr="0051779E">
        <w:rPr>
          <w:b/>
        </w:rPr>
        <w:t>Data Handling and Analysis</w:t>
      </w:r>
    </w:p>
    <w:p w:rsidR="00F621DF" w:rsidP="00F621DF" w:rsidRDefault="00F621DF" w14:paraId="470A336A" w14:textId="77777777">
      <w:pPr>
        <w:contextualSpacing/>
        <w:rPr>
          <w:i/>
        </w:rPr>
      </w:pPr>
      <w:r>
        <w:rPr>
          <w:i/>
        </w:rPr>
        <w:t>Analysis Plan</w:t>
      </w:r>
    </w:p>
    <w:p w:rsidR="00F621DF" w:rsidP="00F621DF" w:rsidRDefault="00F621DF" w14:paraId="6D63328F" w14:textId="2D62F31D">
      <w:pPr>
        <w:contextualSpacing/>
        <w:rPr>
          <w:rFonts w:cs="Tahoma"/>
        </w:rPr>
      </w:pPr>
      <w:r>
        <w:tab/>
        <w:t>Analysis will be performed by the EHS-Net analytical workgroup</w:t>
      </w:r>
      <w:r w:rsidR="00EB5F27">
        <w:t xml:space="preserve"> (comprised of CDC and </w:t>
      </w:r>
      <w:r w:rsidR="00067CF6">
        <w:t>EHS-Net staff)</w:t>
      </w:r>
      <w:r>
        <w:t xml:space="preserve">.  </w:t>
      </w:r>
      <w:r>
        <w:rPr>
          <w:rFonts w:cs="Tahoma"/>
        </w:rPr>
        <w:t xml:space="preserve">The analysis of the data will proceed in several stages.  The first stage of analysis will involve data cleaning, editing, and recoding.  The data will be checked for accuracy and examined for inconsistencies.  Frequency responses will be </w:t>
      </w:r>
      <w:r w:rsidR="00D306B8">
        <w:rPr>
          <w:rFonts w:cs="Tahoma"/>
        </w:rPr>
        <w:t xml:space="preserve">calculated </w:t>
      </w:r>
      <w:r>
        <w:rPr>
          <w:rFonts w:cs="Tahoma"/>
        </w:rPr>
        <w:t>for each variable to examine item non-response and extraneous responses.  Variables with high item non-response or of poor quality will be discarded.  The second stage will involve a descriptive analysis of the data set by running univariate frequencies and cross-tabulations for selected variables by demographic variables.  Tests for association will be done using chi-square and t-tests.  Analysis may also involve regression modeling of the data to examine any multivariable relationships and to control for confounding.</w:t>
      </w:r>
    </w:p>
    <w:p w:rsidRPr="00F005ED" w:rsidR="00F621DF" w:rsidP="00F621DF" w:rsidRDefault="00F621DF" w14:paraId="11979BFA" w14:textId="77777777">
      <w:pPr>
        <w:contextualSpacing/>
      </w:pPr>
    </w:p>
    <w:p w:rsidR="00F621DF" w:rsidP="00F621DF" w:rsidRDefault="00F621DF" w14:paraId="00477B66" w14:textId="77777777">
      <w:pPr>
        <w:contextualSpacing/>
        <w:rPr>
          <w:i/>
        </w:rPr>
      </w:pPr>
      <w:r>
        <w:rPr>
          <w:i/>
        </w:rPr>
        <w:t>Analysis Software</w:t>
      </w:r>
    </w:p>
    <w:p w:rsidR="00F621DF" w:rsidP="00F621DF" w:rsidRDefault="00F621DF" w14:paraId="5155A6A9" w14:textId="77777777">
      <w:pPr>
        <w:contextualSpacing/>
      </w:pPr>
      <w:r>
        <w:tab/>
        <w:t>Software that will be used to analyze the data may include Microsoft Excel and SAS.</w:t>
      </w:r>
    </w:p>
    <w:p w:rsidRPr="00F005ED" w:rsidR="00F621DF" w:rsidP="00F621DF" w:rsidRDefault="00F621DF" w14:paraId="5DE77A7C" w14:textId="77777777">
      <w:pPr>
        <w:contextualSpacing/>
      </w:pPr>
    </w:p>
    <w:p w:rsidR="00F621DF" w:rsidP="00F621DF" w:rsidRDefault="00F621DF" w14:paraId="1452CE27" w14:textId="77777777">
      <w:pPr>
        <w:contextualSpacing/>
        <w:rPr>
          <w:i/>
        </w:rPr>
      </w:pPr>
      <w:r>
        <w:rPr>
          <w:i/>
        </w:rPr>
        <w:t>Data Entry, Editing, and Management</w:t>
      </w:r>
    </w:p>
    <w:p w:rsidR="00F621DF" w:rsidP="00F621DF" w:rsidRDefault="00F621DF" w14:paraId="47BB5F3F" w14:textId="77777777">
      <w:pPr>
        <w:ind w:firstLine="720"/>
        <w:contextualSpacing/>
        <w:rPr>
          <w:rFonts w:cs="Tahoma"/>
        </w:rPr>
      </w:pPr>
      <w:r>
        <w:rPr>
          <w:rFonts w:cs="Tahoma"/>
        </w:rPr>
        <w:t>Data will be entered into a secured web-based information system designed specifically for this project using the REDCAP instance hosted by CDC’s National Center for Emerging, Zoonotic, and Infectious Diseases.  User accounts will be issued to the EHS-Net investigator/collaborator in each state.  Account privileges identify the data a specific user is authorized to access and the functions they are authorized to perform.  Each EHS-Net investigator/collaborator is responsible for the administration of the system for his or her state, and includes user administration, correction and deletion of records.   Data records are owned by the state entering the data.  Each state must grant permission to other states or agencies who would like to use the data.</w:t>
      </w:r>
    </w:p>
    <w:p w:rsidR="00F621DF" w:rsidP="00F621DF" w:rsidRDefault="00F621DF" w14:paraId="7A41CCC0" w14:textId="77777777">
      <w:pPr>
        <w:contextualSpacing/>
        <w:rPr>
          <w:rFonts w:cs="Tahoma"/>
        </w:rPr>
      </w:pPr>
      <w:r>
        <w:rPr>
          <w:rFonts w:cs="Tahoma"/>
        </w:rPr>
        <w:tab/>
        <w:t>The data entered into this system may only be analyzed, presented, or published following the EHS-Net publication procedures.</w:t>
      </w:r>
    </w:p>
    <w:p w:rsidR="00C63D80" w:rsidP="00F621DF" w:rsidRDefault="00C63D80" w14:paraId="4A9536BA" w14:textId="77777777">
      <w:pPr>
        <w:contextualSpacing/>
        <w:rPr>
          <w:rFonts w:cs="Tahoma"/>
        </w:rPr>
      </w:pPr>
    </w:p>
    <w:p w:rsidR="00F621DF" w:rsidP="00F621DF" w:rsidRDefault="00F621DF" w14:paraId="6E940568" w14:textId="77777777">
      <w:pPr>
        <w:contextualSpacing/>
        <w:rPr>
          <w:i/>
        </w:rPr>
      </w:pPr>
      <w:r>
        <w:rPr>
          <w:i/>
        </w:rPr>
        <w:t>Study Limitations</w:t>
      </w:r>
    </w:p>
    <w:p w:rsidR="00F621DF" w:rsidP="00F621DF" w:rsidRDefault="00F621DF" w14:paraId="3FA05D78" w14:textId="77777777">
      <w:pPr>
        <w:ind w:firstLine="720"/>
        <w:contextualSpacing/>
      </w:pPr>
      <w:r>
        <w:t xml:space="preserve">The study is limited to the participating EHS-Net associated state and local health departments so ultimately it may not have overall generalizability to restaurants in other jurisdictions.  Also, due to logistical </w:t>
      </w:r>
      <w:r>
        <w:lastRenderedPageBreak/>
        <w:t>concerns, the restaurants are further restricted to establishments that have a manager that can communicate in English, this may affect the applicability of the results to other non-English speaking restaurants.  Furthermore, since this intervention has not been attempted before, we have made our best estimates on determining the proper sample size.  It is possible that the study may be under-powered.</w:t>
      </w:r>
    </w:p>
    <w:p w:rsidRPr="00EB3AA8" w:rsidR="00F621DF" w:rsidP="00F621DF" w:rsidRDefault="00F621DF" w14:paraId="062E93A6" w14:textId="77777777">
      <w:pPr>
        <w:ind w:firstLine="720"/>
        <w:contextualSpacing/>
      </w:pPr>
    </w:p>
    <w:p w:rsidRPr="00067CF6" w:rsidR="00F621DF" w:rsidP="00F621DF" w:rsidRDefault="00F621DF" w14:paraId="43E2EC9E" w14:textId="77777777">
      <w:pPr>
        <w:contextualSpacing/>
        <w:rPr>
          <w:i/>
        </w:rPr>
      </w:pPr>
      <w:r w:rsidRPr="00067CF6">
        <w:rPr>
          <w:i/>
        </w:rPr>
        <w:t>Dissemination, Notification, and Reporting of Results</w:t>
      </w:r>
    </w:p>
    <w:p w:rsidR="00F621DF" w:rsidP="00F621DF" w:rsidRDefault="00F621DF" w14:paraId="739C54C5" w14:textId="77777777">
      <w:pPr>
        <w:contextualSpacing/>
        <w:rPr>
          <w:rFonts w:cs="Tahoma"/>
        </w:rPr>
      </w:pPr>
      <w:r>
        <w:tab/>
      </w:r>
      <w:r>
        <w:rPr>
          <w:rFonts w:cs="Tahoma"/>
        </w:rPr>
        <w:t>Results of data analysis will be published in professional journals and presented at meetings.  They will also be available for state and local health departments to utilize in their efforts to identify and change certain retail food practices that may contribute to foodborne illnesses.  Agencies may also disseminate reports to foodservice establishments where research was conducted.</w:t>
      </w:r>
    </w:p>
    <w:p w:rsidRPr="0051779E" w:rsidR="00F621DF" w:rsidP="0051779E" w:rsidRDefault="00F621DF" w14:paraId="21092B30" w14:textId="57FE84F5">
      <w:pPr>
        <w:pStyle w:val="ListParagraph"/>
        <w:numPr>
          <w:ilvl w:val="0"/>
          <w:numId w:val="1"/>
        </w:numPr>
        <w:rPr>
          <w:b/>
        </w:rPr>
      </w:pPr>
      <w:r w:rsidRPr="0051779E">
        <w:rPr>
          <w:b/>
        </w:rPr>
        <w:t>Risks Summary</w:t>
      </w:r>
    </w:p>
    <w:p w:rsidR="00F621DF" w:rsidP="00F621DF" w:rsidRDefault="00F621DF" w14:paraId="77CA833C" w14:textId="77777777">
      <w:pPr>
        <w:contextualSpacing/>
        <w:rPr>
          <w:i/>
        </w:rPr>
      </w:pPr>
      <w:r>
        <w:rPr>
          <w:i/>
        </w:rPr>
        <w:t>Current Risks</w:t>
      </w:r>
    </w:p>
    <w:p w:rsidR="00F621DF" w:rsidP="00FE24C0" w:rsidRDefault="00F621DF" w14:paraId="2F199AD8" w14:textId="71635112">
      <w:pPr>
        <w:ind w:firstLine="720"/>
        <w:contextualSpacing/>
        <w:rPr>
          <w:i/>
        </w:rPr>
      </w:pPr>
      <w:r>
        <w:t xml:space="preserve">This study presents no more than minimal risk of harm to participants as the probability and magnitude of harm or discomfort anticipated in answering these questions are not greater in and of themselves than those ordinarily encountered in daily life. Participants in this study </w:t>
      </w:r>
      <w:r w:rsidR="00E14092">
        <w:t xml:space="preserve">may </w:t>
      </w:r>
      <w:r>
        <w:t>provide business contact information</w:t>
      </w:r>
      <w:r w:rsidR="00E14092">
        <w:t xml:space="preserve"> if it is not already contained in the health departments records to aid in scheduling future visits</w:t>
      </w:r>
      <w:r>
        <w:t xml:space="preserve">.  </w:t>
      </w:r>
    </w:p>
    <w:p w:rsidR="00067CF6" w:rsidP="00F621DF" w:rsidRDefault="00067CF6" w14:paraId="0F2551EE" w14:textId="77777777">
      <w:pPr>
        <w:contextualSpacing/>
        <w:rPr>
          <w:i/>
        </w:rPr>
      </w:pPr>
    </w:p>
    <w:p w:rsidR="00F621DF" w:rsidP="00F621DF" w:rsidRDefault="00F621DF" w14:paraId="045628AA" w14:textId="2BAC6181">
      <w:pPr>
        <w:contextualSpacing/>
        <w:rPr>
          <w:i/>
        </w:rPr>
      </w:pPr>
      <w:r>
        <w:rPr>
          <w:i/>
        </w:rPr>
        <w:t>Future Risks</w:t>
      </w:r>
    </w:p>
    <w:p w:rsidR="00F621DF" w:rsidP="00F621DF" w:rsidRDefault="00F621DF" w14:paraId="7862AD37" w14:textId="0A2A19E7">
      <w:pPr>
        <w:ind w:firstLine="720"/>
        <w:contextualSpacing/>
      </w:pPr>
      <w:r>
        <w:rPr>
          <w:i/>
        </w:rPr>
        <w:t xml:space="preserve"> </w:t>
      </w:r>
      <w:r>
        <w:t xml:space="preserve">No future risks exist since </w:t>
      </w:r>
      <w:r w:rsidR="00067CF6">
        <w:t>business contact information on the participation log</w:t>
      </w:r>
      <w:r w:rsidR="0043492E">
        <w:t xml:space="preserve"> (Attachment 6)</w:t>
      </w:r>
      <w:r>
        <w:t xml:space="preserve"> will be destroyed once data collection is complete</w:t>
      </w:r>
      <w:r w:rsidR="0043492E">
        <w:t xml:space="preserve"> and only the coded identifier will be used for further analysis</w:t>
      </w:r>
      <w:r>
        <w:t xml:space="preserve">. These materials will be secured in </w:t>
      </w:r>
      <w:r w:rsidR="00CA3392">
        <w:t>l</w:t>
      </w:r>
      <w:r>
        <w:t>ocked cabinets until destruction.</w:t>
      </w:r>
    </w:p>
    <w:p w:rsidR="00F621DF" w:rsidP="00F621DF" w:rsidRDefault="00F621DF" w14:paraId="7C9BFE4E" w14:textId="77777777">
      <w:pPr>
        <w:contextualSpacing/>
        <w:rPr>
          <w:b/>
        </w:rPr>
      </w:pPr>
    </w:p>
    <w:p w:rsidRPr="00C34F2E" w:rsidR="00F621DF" w:rsidP="00F621DF" w:rsidRDefault="00F621DF" w14:paraId="0777E2C3" w14:textId="77777777">
      <w:pPr>
        <w:contextualSpacing/>
        <w:rPr>
          <w:i/>
        </w:rPr>
      </w:pPr>
      <w:r w:rsidRPr="00C34F2E">
        <w:rPr>
          <w:i/>
        </w:rPr>
        <w:t>Benefits</w:t>
      </w:r>
    </w:p>
    <w:p w:rsidR="00F621DF" w:rsidP="00F621DF" w:rsidRDefault="00F621DF" w14:paraId="1D430006" w14:textId="77777777">
      <w:pPr>
        <w:contextualSpacing/>
      </w:pPr>
      <w:r>
        <w:tab/>
        <w:t>The participating restaurants will receive information on the risks posed by sick food workers and the needs for developing enhanced employee health policies.  The information learned from this study can be used to implement future ill worker interventions by local and state food safety programs leading to safer food.</w:t>
      </w:r>
    </w:p>
    <w:p w:rsidRPr="0051779E" w:rsidR="00F621DF" w:rsidP="0051779E" w:rsidRDefault="0057048C" w14:paraId="677290A7" w14:textId="0C3057DC">
      <w:pPr>
        <w:pStyle w:val="ListParagraph"/>
        <w:numPr>
          <w:ilvl w:val="0"/>
          <w:numId w:val="1"/>
        </w:numPr>
        <w:rPr>
          <w:b/>
        </w:rPr>
      </w:pPr>
      <w:r>
        <w:rPr>
          <w:b/>
        </w:rPr>
        <w:t>Informed Consent</w:t>
      </w:r>
    </w:p>
    <w:p w:rsidR="00F621DF" w:rsidP="00FE24C0" w:rsidRDefault="0057048C" w14:paraId="31245227" w14:textId="194B6915">
      <w:pPr>
        <w:ind w:firstLine="720"/>
        <w:contextualSpacing/>
      </w:pPr>
      <w:r>
        <w:t xml:space="preserve">This project has been classified as research not involving identifiable human subjects. CDC institutional review board (IRB) approval is not required (Section 10) and informed consent is not required. However, to ensure that restaurant managers understand the voluntary nature of their participation and any potential risks and benefits we will obtain verbal consent prior to interviewing the manager (Attachment 3). </w:t>
      </w:r>
    </w:p>
    <w:p w:rsidRPr="0051779E" w:rsidR="00F621DF" w:rsidP="0051779E" w:rsidRDefault="00F621DF" w14:paraId="61F86099" w14:textId="77088EED">
      <w:pPr>
        <w:pStyle w:val="ListParagraph"/>
        <w:numPr>
          <w:ilvl w:val="0"/>
          <w:numId w:val="1"/>
        </w:numPr>
        <w:rPr>
          <w:b/>
        </w:rPr>
      </w:pPr>
      <w:r w:rsidRPr="0051779E">
        <w:rPr>
          <w:b/>
        </w:rPr>
        <w:t>Funding Information</w:t>
      </w:r>
    </w:p>
    <w:p w:rsidRPr="00861FAD" w:rsidR="00F621DF" w:rsidP="00F621DF" w:rsidRDefault="00F621DF" w14:paraId="109EBAFB" w14:textId="77777777">
      <w:pPr>
        <w:contextualSpacing/>
      </w:pPr>
      <w:r>
        <w:rPr>
          <w:b/>
        </w:rPr>
        <w:tab/>
      </w:r>
      <w:r>
        <w:t>This study is funded by CDC as a project through the EHS-Net cooperative agreement.</w:t>
      </w:r>
    </w:p>
    <w:p w:rsidRPr="0051779E" w:rsidR="00F621DF" w:rsidP="0051779E" w:rsidRDefault="0057048C" w14:paraId="775EB221" w14:textId="2ACD6361">
      <w:pPr>
        <w:pStyle w:val="ListParagraph"/>
        <w:numPr>
          <w:ilvl w:val="0"/>
          <w:numId w:val="1"/>
        </w:numPr>
        <w:rPr>
          <w:b/>
        </w:rPr>
      </w:pPr>
      <w:r>
        <w:rPr>
          <w:b/>
        </w:rPr>
        <w:t>Institutional Review Boards</w:t>
      </w:r>
    </w:p>
    <w:p w:rsidR="00F621DF" w:rsidP="00FE24C0" w:rsidRDefault="00F621DF" w14:paraId="06E4A5A3" w14:textId="0BF369A5">
      <w:pPr>
        <w:spacing w:line="240" w:lineRule="auto"/>
        <w:contextualSpacing/>
      </w:pPr>
      <w:r>
        <w:tab/>
      </w:r>
      <w:r w:rsidR="0057048C">
        <w:t>This project has been classified as research not involving identifiable human subjects. CDC institutional review board (IRB) approval is not required. This research study centers around restaurant food safety policies and practices, not about human subjects.</w:t>
      </w:r>
      <w:r>
        <w:t xml:space="preserve">  </w:t>
      </w:r>
    </w:p>
    <w:p w:rsidR="00C63D80" w:rsidP="00FE24C0" w:rsidRDefault="00C63D80" w14:paraId="31E031B2" w14:textId="77777777">
      <w:pPr>
        <w:spacing w:line="240" w:lineRule="auto"/>
        <w:contextualSpacing/>
      </w:pPr>
    </w:p>
    <w:p w:rsidRPr="0051779E" w:rsidR="00F621DF" w:rsidP="0051779E" w:rsidRDefault="00F621DF" w14:paraId="4ADD5A71" w14:textId="37CDDE22">
      <w:pPr>
        <w:pStyle w:val="ListParagraph"/>
        <w:numPr>
          <w:ilvl w:val="0"/>
          <w:numId w:val="1"/>
        </w:numPr>
        <w:rPr>
          <w:b/>
        </w:rPr>
      </w:pPr>
      <w:bookmarkStart w:name="_Hlk57030164" w:id="1"/>
      <w:r w:rsidRPr="0051779E">
        <w:rPr>
          <w:b/>
        </w:rPr>
        <w:t>List of Attachments</w:t>
      </w:r>
    </w:p>
    <w:p w:rsidR="0043492E" w:rsidP="003B04D2" w:rsidRDefault="00F621DF" w14:paraId="7AD0BE45" w14:textId="2907901B">
      <w:pPr>
        <w:spacing w:after="200" w:line="276" w:lineRule="auto"/>
        <w:ind w:left="720"/>
      </w:pPr>
      <w:r>
        <w:t>Att.</w:t>
      </w:r>
      <w:r w:rsidR="0043492E">
        <w:t xml:space="preserve"> 1</w:t>
      </w:r>
      <w:r>
        <w:t xml:space="preserve"> </w:t>
      </w:r>
      <w:r w:rsidR="0043492E">
        <w:t>–</w:t>
      </w:r>
      <w:r>
        <w:t xml:space="preserve"> </w:t>
      </w:r>
      <w:r w:rsidR="0043492E">
        <w:t>Study advertisement template</w:t>
      </w:r>
    </w:p>
    <w:p w:rsidR="00F621DF" w:rsidP="003B04D2" w:rsidRDefault="0043492E" w14:paraId="28E37400" w14:textId="19DDC697">
      <w:pPr>
        <w:spacing w:after="200" w:line="276" w:lineRule="auto"/>
        <w:ind w:left="720"/>
      </w:pPr>
      <w:r>
        <w:lastRenderedPageBreak/>
        <w:t>Att. 2 – Man</w:t>
      </w:r>
      <w:r w:rsidR="00F621DF">
        <w:t xml:space="preserve">ager recruiting script </w:t>
      </w:r>
    </w:p>
    <w:p w:rsidR="00A32E58" w:rsidP="003B04D2" w:rsidRDefault="00F621DF" w14:paraId="631B3DF0" w14:textId="77777777">
      <w:pPr>
        <w:spacing w:after="200" w:line="276" w:lineRule="auto"/>
        <w:ind w:left="720"/>
      </w:pPr>
      <w:r>
        <w:t xml:space="preserve">Att. </w:t>
      </w:r>
      <w:r w:rsidR="0043492E">
        <w:t>3</w:t>
      </w:r>
      <w:r>
        <w:t xml:space="preserve"> - Manager informed consent and interview</w:t>
      </w:r>
    </w:p>
    <w:p w:rsidR="00F621DF" w:rsidP="003B04D2" w:rsidRDefault="00A32E58" w14:paraId="38E5DA66" w14:textId="21ED84E7">
      <w:pPr>
        <w:spacing w:after="200" w:line="276" w:lineRule="auto"/>
        <w:ind w:left="720"/>
      </w:pPr>
      <w:r>
        <w:t>Att 3a – Manager informed consent and interview</w:t>
      </w:r>
      <w:r w:rsidR="00F621DF">
        <w:t xml:space="preserve"> </w:t>
      </w:r>
    </w:p>
    <w:p w:rsidR="00523719" w:rsidP="003B04D2" w:rsidRDefault="00523719" w14:paraId="35FFC2C7" w14:textId="53EB285C">
      <w:pPr>
        <w:spacing w:after="200" w:line="276" w:lineRule="auto"/>
        <w:ind w:left="720"/>
      </w:pPr>
      <w:r>
        <w:t xml:space="preserve">Att. </w:t>
      </w:r>
      <w:r w:rsidR="0043492E">
        <w:t>4</w:t>
      </w:r>
      <w:r>
        <w:t xml:space="preserve"> – </w:t>
      </w:r>
      <w:r w:rsidR="0043492E">
        <w:t>Restaurant observation form</w:t>
      </w:r>
    </w:p>
    <w:p w:rsidR="003B04D2" w:rsidP="003B04D2" w:rsidRDefault="00F621DF" w14:paraId="63369264" w14:textId="77777777">
      <w:pPr>
        <w:spacing w:after="200" w:line="276" w:lineRule="auto"/>
        <w:ind w:left="720"/>
      </w:pPr>
      <w:r>
        <w:t xml:space="preserve">Att. </w:t>
      </w:r>
      <w:r w:rsidR="0043492E">
        <w:t>5</w:t>
      </w:r>
      <w:r>
        <w:t xml:space="preserve"> </w:t>
      </w:r>
      <w:r w:rsidR="0043492E">
        <w:t>–</w:t>
      </w:r>
      <w:r>
        <w:t xml:space="preserve"> </w:t>
      </w:r>
      <w:r w:rsidR="003B04D2">
        <w:t>Intervention Log</w:t>
      </w:r>
    </w:p>
    <w:p w:rsidR="00F621DF" w:rsidP="003B04D2" w:rsidRDefault="003B04D2" w14:paraId="64F84FF2" w14:textId="011826E0">
      <w:pPr>
        <w:spacing w:after="200" w:line="276" w:lineRule="auto"/>
        <w:ind w:left="720" w:firstLine="450"/>
      </w:pPr>
      <w:r>
        <w:t xml:space="preserve">Att. 5a - </w:t>
      </w:r>
      <w:r w:rsidR="0043492E">
        <w:t>Sick food worker toolkit</w:t>
      </w:r>
    </w:p>
    <w:p w:rsidR="00F621DF" w:rsidP="003B04D2" w:rsidRDefault="00F621DF" w14:paraId="552FF8E4" w14:textId="50C636E5">
      <w:pPr>
        <w:spacing w:after="200" w:line="276" w:lineRule="auto"/>
        <w:ind w:left="720"/>
      </w:pPr>
      <w:r>
        <w:t xml:space="preserve">Att. </w:t>
      </w:r>
      <w:r w:rsidR="0043492E">
        <w:t>6</w:t>
      </w:r>
      <w:r>
        <w:t xml:space="preserve"> </w:t>
      </w:r>
      <w:r w:rsidR="0043492E">
        <w:t>–</w:t>
      </w:r>
      <w:r>
        <w:t xml:space="preserve"> </w:t>
      </w:r>
      <w:r w:rsidR="0043492E">
        <w:t>Participation log</w:t>
      </w:r>
      <w:r>
        <w:t xml:space="preserve"> </w:t>
      </w:r>
    </w:p>
    <w:bookmarkEnd w:id="1"/>
    <w:p w:rsidR="00F621DF" w:rsidP="0051779E" w:rsidRDefault="00F621DF" w14:paraId="1511CE5C" w14:textId="77777777">
      <w:pPr>
        <w:pStyle w:val="ListParagraph"/>
      </w:pPr>
    </w:p>
    <w:p w:rsidRPr="0043492E" w:rsidR="00B13CF0" w:rsidP="003018AC" w:rsidRDefault="003018AC" w14:paraId="1F818279" w14:textId="050111BA">
      <w:pPr>
        <w:pStyle w:val="ListParagraph"/>
        <w:numPr>
          <w:ilvl w:val="0"/>
          <w:numId w:val="1"/>
        </w:numPr>
        <w:rPr>
          <w:b/>
        </w:rPr>
      </w:pPr>
      <w:r w:rsidRPr="0043492E">
        <w:rPr>
          <w:b/>
        </w:rPr>
        <w:t>References</w:t>
      </w:r>
    </w:p>
    <w:p w:rsidRPr="00096E57" w:rsidR="00096E57" w:rsidP="00096E57" w:rsidRDefault="00501AB4" w14:paraId="46773186" w14:textId="77777777">
      <w:pPr>
        <w:pStyle w:val="EndNoteBibliography"/>
        <w:spacing w:after="0"/>
        <w:ind w:left="720" w:hanging="720"/>
      </w:pPr>
      <w:r>
        <w:fldChar w:fldCharType="begin"/>
      </w:r>
      <w:r>
        <w:instrText xml:space="preserve"> ADDIN EN.REFLIST </w:instrText>
      </w:r>
      <w:r>
        <w:fldChar w:fldCharType="separate"/>
      </w:r>
      <w:r w:rsidRPr="00096E57" w:rsidR="00096E57">
        <w:t xml:space="preserve">Brown, L. G., Le, B., Wong, M. R., Reimann, D., Nicholas, D., Faw, B., . . . Selman, C. A. (2014). Restaurant manager and worker food safety certification and knowledge. </w:t>
      </w:r>
      <w:r w:rsidRPr="00096E57" w:rsidR="00096E57">
        <w:rPr>
          <w:i/>
        </w:rPr>
        <w:t>Foodborne pathogens and disease, 11</w:t>
      </w:r>
      <w:r w:rsidRPr="00096E57" w:rsidR="00096E57">
        <w:t xml:space="preserve">(11), 835-843. </w:t>
      </w:r>
    </w:p>
    <w:p w:rsidRPr="00096E57" w:rsidR="00096E57" w:rsidP="00096E57" w:rsidRDefault="00096E57" w14:paraId="65B3CC27" w14:textId="77777777">
      <w:pPr>
        <w:pStyle w:val="EndNoteBibliography"/>
        <w:spacing w:after="0"/>
        <w:ind w:left="720" w:hanging="720"/>
      </w:pPr>
      <w:r w:rsidRPr="00096E57">
        <w:t xml:space="preserve">Kambhampati, A., Shioda, K., Gould, L. H., Sharp, D., Brown, L. G., Parashar, U. D., &amp; Hall, A. J. (2016). A State-by-State Assessment of Food Service Regulations for Prevention of Norovirus Outbreaks. </w:t>
      </w:r>
      <w:r w:rsidRPr="00096E57">
        <w:rPr>
          <w:i/>
        </w:rPr>
        <w:t>J Food Prot, 79</w:t>
      </w:r>
      <w:r w:rsidRPr="00096E57">
        <w:t>(9), 1527-1536. doi:10.4315/0362-028x.jfp-16-088</w:t>
      </w:r>
    </w:p>
    <w:p w:rsidRPr="00096E57" w:rsidR="00096E57" w:rsidP="00096E57" w:rsidRDefault="00096E57" w14:paraId="3DABD247" w14:textId="77777777">
      <w:pPr>
        <w:pStyle w:val="EndNoteBibliography"/>
        <w:ind w:left="720" w:hanging="720"/>
      </w:pPr>
      <w:r w:rsidRPr="00096E57">
        <w:t xml:space="preserve">Radke, T. J., Brown, L. G., Hoover, E. R., Faw, B. V., Reimann, D., Wong, M. R., . . . Ripley, D. (2016). Food Allergy Knowledge and Attitudes of Restaurant Managers and Staff: An EHS-Net Study. </w:t>
      </w:r>
      <w:r w:rsidRPr="00096E57">
        <w:rPr>
          <w:i/>
        </w:rPr>
        <w:t>J Food Prot, 79</w:t>
      </w:r>
      <w:r w:rsidRPr="00096E57">
        <w:t>(9), 1588-1598. doi:10.4315/0362-028x.jfp-16-085</w:t>
      </w:r>
    </w:p>
    <w:p w:rsidR="003018AC" w:rsidP="003018AC" w:rsidRDefault="00501AB4" w14:paraId="03AECD08" w14:textId="19273A5A">
      <w:r>
        <w:fldChar w:fldCharType="end"/>
      </w:r>
    </w:p>
    <w:sectPr w:rsidR="003018AC" w:rsidSect="00470EAF">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A243" w14:textId="77777777" w:rsidR="00C630D6" w:rsidRDefault="00C630D6" w:rsidP="005B4627">
      <w:pPr>
        <w:spacing w:after="0" w:line="240" w:lineRule="auto"/>
      </w:pPr>
      <w:r>
        <w:separator/>
      </w:r>
    </w:p>
  </w:endnote>
  <w:endnote w:type="continuationSeparator" w:id="0">
    <w:p w14:paraId="740D7F2B" w14:textId="77777777" w:rsidR="00C630D6" w:rsidRDefault="00C630D6" w:rsidP="005B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1868" w14:textId="77777777" w:rsidR="0057048C" w:rsidRDefault="00570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66687"/>
      <w:docPartObj>
        <w:docPartGallery w:val="Page Numbers (Bottom of Page)"/>
        <w:docPartUnique/>
      </w:docPartObj>
    </w:sdtPr>
    <w:sdtEndPr>
      <w:rPr>
        <w:noProof/>
      </w:rPr>
    </w:sdtEndPr>
    <w:sdtContent>
      <w:p w14:paraId="74E1C150" w14:textId="3785D65F" w:rsidR="0057048C" w:rsidRDefault="005704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2765F8" w14:textId="77777777" w:rsidR="0057048C" w:rsidRDefault="00570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9F6B" w14:textId="77777777" w:rsidR="0057048C" w:rsidRDefault="0057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E25B" w14:textId="77777777" w:rsidR="00C630D6" w:rsidRDefault="00C630D6" w:rsidP="005B4627">
      <w:pPr>
        <w:spacing w:after="0" w:line="240" w:lineRule="auto"/>
      </w:pPr>
      <w:r>
        <w:separator/>
      </w:r>
    </w:p>
  </w:footnote>
  <w:footnote w:type="continuationSeparator" w:id="0">
    <w:p w14:paraId="6D497034" w14:textId="77777777" w:rsidR="00C630D6" w:rsidRDefault="00C630D6" w:rsidP="005B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84C4" w14:textId="77777777" w:rsidR="0057048C" w:rsidRDefault="00570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4CFE" w14:textId="77777777" w:rsidR="0057048C" w:rsidRDefault="00570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8B24" w14:textId="77777777" w:rsidR="0057048C" w:rsidRDefault="005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8AB"/>
    <w:multiLevelType w:val="hybridMultilevel"/>
    <w:tmpl w:val="78304E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5104F"/>
    <w:multiLevelType w:val="hybridMultilevel"/>
    <w:tmpl w:val="9E6C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3197"/>
    <w:multiLevelType w:val="hybridMultilevel"/>
    <w:tmpl w:val="63CC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03EE"/>
    <w:multiLevelType w:val="hybridMultilevel"/>
    <w:tmpl w:val="DC4CF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86DB6"/>
    <w:multiLevelType w:val="hybridMultilevel"/>
    <w:tmpl w:val="9D8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D5446"/>
    <w:multiLevelType w:val="hybridMultilevel"/>
    <w:tmpl w:val="D08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24F1C"/>
    <w:multiLevelType w:val="hybridMultilevel"/>
    <w:tmpl w:val="6AC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049EE"/>
    <w:multiLevelType w:val="hybridMultilevel"/>
    <w:tmpl w:val="0232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55F36"/>
    <w:multiLevelType w:val="hybridMultilevel"/>
    <w:tmpl w:val="A8A2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74959"/>
    <w:multiLevelType w:val="hybridMultilevel"/>
    <w:tmpl w:val="5F4C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0"/>
  </w:num>
  <w:num w:numId="5">
    <w:abstractNumId w:val="4"/>
  </w:num>
  <w:num w:numId="6">
    <w:abstractNumId w:val="5"/>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vfes26wzwf8ed5tspa0df2fdevw50expz&quot;&gt;My EndNote Library&lt;record-ids&gt;&lt;item&gt;1&lt;/item&gt;&lt;item&gt;2&lt;/item&gt;&lt;item&gt;3&lt;/item&gt;&lt;/record-ids&gt;&lt;/item&gt;&lt;/Libraries&gt;"/>
  </w:docVars>
  <w:rsids>
    <w:rsidRoot w:val="003D6487"/>
    <w:rsid w:val="000105D4"/>
    <w:rsid w:val="00010D46"/>
    <w:rsid w:val="000245C4"/>
    <w:rsid w:val="000421DF"/>
    <w:rsid w:val="00042789"/>
    <w:rsid w:val="00046D58"/>
    <w:rsid w:val="00063D73"/>
    <w:rsid w:val="00067AB4"/>
    <w:rsid w:val="00067CF6"/>
    <w:rsid w:val="00075A87"/>
    <w:rsid w:val="00094FC2"/>
    <w:rsid w:val="000967D9"/>
    <w:rsid w:val="00096E57"/>
    <w:rsid w:val="000A1BC2"/>
    <w:rsid w:val="000A3399"/>
    <w:rsid w:val="000B4EA6"/>
    <w:rsid w:val="000C4F6E"/>
    <w:rsid w:val="000F3E18"/>
    <w:rsid w:val="0011246F"/>
    <w:rsid w:val="001267DF"/>
    <w:rsid w:val="00142202"/>
    <w:rsid w:val="00142259"/>
    <w:rsid w:val="00144971"/>
    <w:rsid w:val="001465B2"/>
    <w:rsid w:val="00153AE7"/>
    <w:rsid w:val="00167917"/>
    <w:rsid w:val="0017233E"/>
    <w:rsid w:val="00174D3A"/>
    <w:rsid w:val="001920BF"/>
    <w:rsid w:val="001B4129"/>
    <w:rsid w:val="001C4748"/>
    <w:rsid w:val="001C55FB"/>
    <w:rsid w:val="001D3624"/>
    <w:rsid w:val="001D526E"/>
    <w:rsid w:val="001E6013"/>
    <w:rsid w:val="001F0410"/>
    <w:rsid w:val="001F1A27"/>
    <w:rsid w:val="001F2A12"/>
    <w:rsid w:val="00210818"/>
    <w:rsid w:val="00210E3D"/>
    <w:rsid w:val="00211F4D"/>
    <w:rsid w:val="0022407A"/>
    <w:rsid w:val="0022698E"/>
    <w:rsid w:val="00231BDD"/>
    <w:rsid w:val="00235720"/>
    <w:rsid w:val="00235B56"/>
    <w:rsid w:val="00241B1E"/>
    <w:rsid w:val="00244805"/>
    <w:rsid w:val="00246E62"/>
    <w:rsid w:val="0026477F"/>
    <w:rsid w:val="00264C8A"/>
    <w:rsid w:val="00274273"/>
    <w:rsid w:val="00274907"/>
    <w:rsid w:val="00276C5D"/>
    <w:rsid w:val="00276ED5"/>
    <w:rsid w:val="00280271"/>
    <w:rsid w:val="00280869"/>
    <w:rsid w:val="00291757"/>
    <w:rsid w:val="002B20BF"/>
    <w:rsid w:val="002B26FC"/>
    <w:rsid w:val="002D679E"/>
    <w:rsid w:val="002E64CC"/>
    <w:rsid w:val="002F21B0"/>
    <w:rsid w:val="00301648"/>
    <w:rsid w:val="003018AC"/>
    <w:rsid w:val="00301E69"/>
    <w:rsid w:val="00304725"/>
    <w:rsid w:val="00304823"/>
    <w:rsid w:val="00310C69"/>
    <w:rsid w:val="003123D2"/>
    <w:rsid w:val="00313EE6"/>
    <w:rsid w:val="00332F8F"/>
    <w:rsid w:val="00334D1B"/>
    <w:rsid w:val="00357CF9"/>
    <w:rsid w:val="00373851"/>
    <w:rsid w:val="0037505C"/>
    <w:rsid w:val="00376DEE"/>
    <w:rsid w:val="00387BF1"/>
    <w:rsid w:val="003941AC"/>
    <w:rsid w:val="003A2200"/>
    <w:rsid w:val="003A632A"/>
    <w:rsid w:val="003B0106"/>
    <w:rsid w:val="003B04D2"/>
    <w:rsid w:val="003C396F"/>
    <w:rsid w:val="003C4583"/>
    <w:rsid w:val="003D1497"/>
    <w:rsid w:val="003D15A3"/>
    <w:rsid w:val="003D1F91"/>
    <w:rsid w:val="003D6487"/>
    <w:rsid w:val="003E5447"/>
    <w:rsid w:val="0040124D"/>
    <w:rsid w:val="004059DC"/>
    <w:rsid w:val="0040749B"/>
    <w:rsid w:val="004144B7"/>
    <w:rsid w:val="004223B7"/>
    <w:rsid w:val="0043492E"/>
    <w:rsid w:val="00447261"/>
    <w:rsid w:val="0046436A"/>
    <w:rsid w:val="004662AE"/>
    <w:rsid w:val="00470EAF"/>
    <w:rsid w:val="00473401"/>
    <w:rsid w:val="00485B20"/>
    <w:rsid w:val="004909B7"/>
    <w:rsid w:val="004A1CD5"/>
    <w:rsid w:val="004C1E18"/>
    <w:rsid w:val="004C2D79"/>
    <w:rsid w:val="004C4B93"/>
    <w:rsid w:val="004D4C63"/>
    <w:rsid w:val="004E07A9"/>
    <w:rsid w:val="004F615E"/>
    <w:rsid w:val="004F763F"/>
    <w:rsid w:val="00501AB4"/>
    <w:rsid w:val="00504884"/>
    <w:rsid w:val="0050534E"/>
    <w:rsid w:val="00507EFC"/>
    <w:rsid w:val="005131AE"/>
    <w:rsid w:val="00514499"/>
    <w:rsid w:val="0051779E"/>
    <w:rsid w:val="00523719"/>
    <w:rsid w:val="00524407"/>
    <w:rsid w:val="00524883"/>
    <w:rsid w:val="00543A60"/>
    <w:rsid w:val="00543C0A"/>
    <w:rsid w:val="0056344C"/>
    <w:rsid w:val="00564FEC"/>
    <w:rsid w:val="0057048C"/>
    <w:rsid w:val="0057049C"/>
    <w:rsid w:val="00583B22"/>
    <w:rsid w:val="005852C3"/>
    <w:rsid w:val="00592429"/>
    <w:rsid w:val="005964A8"/>
    <w:rsid w:val="0059678D"/>
    <w:rsid w:val="005A2CCA"/>
    <w:rsid w:val="005A532D"/>
    <w:rsid w:val="005B4627"/>
    <w:rsid w:val="005C11C4"/>
    <w:rsid w:val="005C35A0"/>
    <w:rsid w:val="005C6B3E"/>
    <w:rsid w:val="005E4AAB"/>
    <w:rsid w:val="005F0A23"/>
    <w:rsid w:val="00603848"/>
    <w:rsid w:val="00606B31"/>
    <w:rsid w:val="00607765"/>
    <w:rsid w:val="00612DDF"/>
    <w:rsid w:val="00627419"/>
    <w:rsid w:val="006309C4"/>
    <w:rsid w:val="00642CC8"/>
    <w:rsid w:val="006739EF"/>
    <w:rsid w:val="006740CC"/>
    <w:rsid w:val="0067644D"/>
    <w:rsid w:val="006807C5"/>
    <w:rsid w:val="00691E1E"/>
    <w:rsid w:val="00692F20"/>
    <w:rsid w:val="00693FA0"/>
    <w:rsid w:val="006957FC"/>
    <w:rsid w:val="006A121D"/>
    <w:rsid w:val="006A39A8"/>
    <w:rsid w:val="006A4ED6"/>
    <w:rsid w:val="006C222B"/>
    <w:rsid w:val="006C7222"/>
    <w:rsid w:val="006D1FFE"/>
    <w:rsid w:val="00701976"/>
    <w:rsid w:val="00710D88"/>
    <w:rsid w:val="00727632"/>
    <w:rsid w:val="00730760"/>
    <w:rsid w:val="0073386E"/>
    <w:rsid w:val="0075751C"/>
    <w:rsid w:val="007703C8"/>
    <w:rsid w:val="00794603"/>
    <w:rsid w:val="00795CAE"/>
    <w:rsid w:val="00797F79"/>
    <w:rsid w:val="007A656B"/>
    <w:rsid w:val="007B464E"/>
    <w:rsid w:val="007C007D"/>
    <w:rsid w:val="007C4C87"/>
    <w:rsid w:val="007D1156"/>
    <w:rsid w:val="007D1336"/>
    <w:rsid w:val="007E66F8"/>
    <w:rsid w:val="007F2947"/>
    <w:rsid w:val="007F5306"/>
    <w:rsid w:val="0080346D"/>
    <w:rsid w:val="008101A4"/>
    <w:rsid w:val="00811012"/>
    <w:rsid w:val="0081404D"/>
    <w:rsid w:val="00827AC7"/>
    <w:rsid w:val="00835B90"/>
    <w:rsid w:val="00835F41"/>
    <w:rsid w:val="00852E95"/>
    <w:rsid w:val="00853EEF"/>
    <w:rsid w:val="00867A39"/>
    <w:rsid w:val="00886736"/>
    <w:rsid w:val="008A7A18"/>
    <w:rsid w:val="008B0113"/>
    <w:rsid w:val="008B63D9"/>
    <w:rsid w:val="008C1A08"/>
    <w:rsid w:val="008C2B0F"/>
    <w:rsid w:val="008C3D4A"/>
    <w:rsid w:val="008C6DA8"/>
    <w:rsid w:val="008D2E24"/>
    <w:rsid w:val="008D3FAA"/>
    <w:rsid w:val="009125D0"/>
    <w:rsid w:val="00925B1D"/>
    <w:rsid w:val="00932C7E"/>
    <w:rsid w:val="009563EA"/>
    <w:rsid w:val="00957EAD"/>
    <w:rsid w:val="009711AA"/>
    <w:rsid w:val="00976825"/>
    <w:rsid w:val="009A2F43"/>
    <w:rsid w:val="009A423B"/>
    <w:rsid w:val="009B1C4D"/>
    <w:rsid w:val="009B25C9"/>
    <w:rsid w:val="009B7695"/>
    <w:rsid w:val="009C0D9F"/>
    <w:rsid w:val="009C3541"/>
    <w:rsid w:val="009C4555"/>
    <w:rsid w:val="009C5CFC"/>
    <w:rsid w:val="009E3309"/>
    <w:rsid w:val="009E5FF1"/>
    <w:rsid w:val="009F2C4D"/>
    <w:rsid w:val="00A06CDE"/>
    <w:rsid w:val="00A137DD"/>
    <w:rsid w:val="00A14DA9"/>
    <w:rsid w:val="00A15489"/>
    <w:rsid w:val="00A15715"/>
    <w:rsid w:val="00A308E4"/>
    <w:rsid w:val="00A32E58"/>
    <w:rsid w:val="00A33BC2"/>
    <w:rsid w:val="00A34EB1"/>
    <w:rsid w:val="00A45962"/>
    <w:rsid w:val="00A74AD3"/>
    <w:rsid w:val="00AA58EA"/>
    <w:rsid w:val="00AD0741"/>
    <w:rsid w:val="00AD2826"/>
    <w:rsid w:val="00AD344B"/>
    <w:rsid w:val="00AE3548"/>
    <w:rsid w:val="00AF4B05"/>
    <w:rsid w:val="00B05AEB"/>
    <w:rsid w:val="00B13CF0"/>
    <w:rsid w:val="00B206F2"/>
    <w:rsid w:val="00B26260"/>
    <w:rsid w:val="00B27869"/>
    <w:rsid w:val="00B37B70"/>
    <w:rsid w:val="00B41F16"/>
    <w:rsid w:val="00B446A9"/>
    <w:rsid w:val="00B532A2"/>
    <w:rsid w:val="00B55DDE"/>
    <w:rsid w:val="00B6097E"/>
    <w:rsid w:val="00B6281C"/>
    <w:rsid w:val="00B67199"/>
    <w:rsid w:val="00B804CE"/>
    <w:rsid w:val="00B80759"/>
    <w:rsid w:val="00B80E32"/>
    <w:rsid w:val="00B818D6"/>
    <w:rsid w:val="00B81F7B"/>
    <w:rsid w:val="00BA3AF1"/>
    <w:rsid w:val="00BB1B31"/>
    <w:rsid w:val="00BC1655"/>
    <w:rsid w:val="00BC220B"/>
    <w:rsid w:val="00BD4B63"/>
    <w:rsid w:val="00BF1136"/>
    <w:rsid w:val="00C02015"/>
    <w:rsid w:val="00C10652"/>
    <w:rsid w:val="00C1135E"/>
    <w:rsid w:val="00C14D59"/>
    <w:rsid w:val="00C15CC5"/>
    <w:rsid w:val="00C15E1F"/>
    <w:rsid w:val="00C268C7"/>
    <w:rsid w:val="00C27BEF"/>
    <w:rsid w:val="00C317AC"/>
    <w:rsid w:val="00C3592B"/>
    <w:rsid w:val="00C35B8D"/>
    <w:rsid w:val="00C5352A"/>
    <w:rsid w:val="00C53ACB"/>
    <w:rsid w:val="00C630D6"/>
    <w:rsid w:val="00C63D80"/>
    <w:rsid w:val="00C65900"/>
    <w:rsid w:val="00C738D8"/>
    <w:rsid w:val="00C80C31"/>
    <w:rsid w:val="00C81651"/>
    <w:rsid w:val="00C827F0"/>
    <w:rsid w:val="00C83A61"/>
    <w:rsid w:val="00C91AF2"/>
    <w:rsid w:val="00C94A37"/>
    <w:rsid w:val="00CA3392"/>
    <w:rsid w:val="00CA450B"/>
    <w:rsid w:val="00CB770C"/>
    <w:rsid w:val="00CE6C67"/>
    <w:rsid w:val="00CF3FDA"/>
    <w:rsid w:val="00D0356A"/>
    <w:rsid w:val="00D03FC4"/>
    <w:rsid w:val="00D059F8"/>
    <w:rsid w:val="00D11AEC"/>
    <w:rsid w:val="00D23889"/>
    <w:rsid w:val="00D26908"/>
    <w:rsid w:val="00D306B8"/>
    <w:rsid w:val="00D3776E"/>
    <w:rsid w:val="00D55AFC"/>
    <w:rsid w:val="00D56899"/>
    <w:rsid w:val="00D60916"/>
    <w:rsid w:val="00D82DDA"/>
    <w:rsid w:val="00DA30E2"/>
    <w:rsid w:val="00DB1D8F"/>
    <w:rsid w:val="00DC1010"/>
    <w:rsid w:val="00DD001A"/>
    <w:rsid w:val="00DD06FA"/>
    <w:rsid w:val="00DD0AA3"/>
    <w:rsid w:val="00DF28EC"/>
    <w:rsid w:val="00DF697D"/>
    <w:rsid w:val="00E14092"/>
    <w:rsid w:val="00E1755B"/>
    <w:rsid w:val="00E41997"/>
    <w:rsid w:val="00E44C2D"/>
    <w:rsid w:val="00E56BF7"/>
    <w:rsid w:val="00E621EB"/>
    <w:rsid w:val="00E93D65"/>
    <w:rsid w:val="00EB34DB"/>
    <w:rsid w:val="00EB5F27"/>
    <w:rsid w:val="00EC0176"/>
    <w:rsid w:val="00ED0C7A"/>
    <w:rsid w:val="00EE6053"/>
    <w:rsid w:val="00EE65E9"/>
    <w:rsid w:val="00EF5492"/>
    <w:rsid w:val="00EF5DAB"/>
    <w:rsid w:val="00EF6169"/>
    <w:rsid w:val="00EF6363"/>
    <w:rsid w:val="00F00D88"/>
    <w:rsid w:val="00F03B79"/>
    <w:rsid w:val="00F05F3B"/>
    <w:rsid w:val="00F13517"/>
    <w:rsid w:val="00F20D5C"/>
    <w:rsid w:val="00F22BCF"/>
    <w:rsid w:val="00F27691"/>
    <w:rsid w:val="00F3297D"/>
    <w:rsid w:val="00F47ABE"/>
    <w:rsid w:val="00F56B2C"/>
    <w:rsid w:val="00F621DF"/>
    <w:rsid w:val="00F7030E"/>
    <w:rsid w:val="00F7450E"/>
    <w:rsid w:val="00F75200"/>
    <w:rsid w:val="00F820DB"/>
    <w:rsid w:val="00F9594D"/>
    <w:rsid w:val="00FC32A7"/>
    <w:rsid w:val="00FC70C6"/>
    <w:rsid w:val="00FD691F"/>
    <w:rsid w:val="00FE1BAC"/>
    <w:rsid w:val="00FE24C0"/>
    <w:rsid w:val="00FF257D"/>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AE7D4"/>
  <w15:docId w15:val="{89C5E87D-A2C7-4C2A-B479-A466E95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3FAA"/>
    <w:pPr>
      <w:ind w:left="720"/>
      <w:contextualSpacing/>
    </w:pPr>
  </w:style>
  <w:style w:type="paragraph" w:styleId="Header">
    <w:name w:val="header"/>
    <w:basedOn w:val="Normal"/>
    <w:link w:val="HeaderChar"/>
    <w:uiPriority w:val="99"/>
    <w:unhideWhenUsed/>
    <w:rsid w:val="0026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8A"/>
  </w:style>
  <w:style w:type="table" w:styleId="TableGrid">
    <w:name w:val="Table Grid"/>
    <w:basedOn w:val="TableNormal"/>
    <w:uiPriority w:val="59"/>
    <w:rsid w:val="0026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07"/>
    <w:rPr>
      <w:rFonts w:ascii="Tahoma" w:hAnsi="Tahoma" w:cs="Tahoma"/>
      <w:sz w:val="16"/>
      <w:szCs w:val="16"/>
    </w:rPr>
  </w:style>
  <w:style w:type="character" w:styleId="CommentReference">
    <w:name w:val="annotation reference"/>
    <w:basedOn w:val="DefaultParagraphFont"/>
    <w:uiPriority w:val="99"/>
    <w:semiHidden/>
    <w:unhideWhenUsed/>
    <w:rsid w:val="00DF28EC"/>
    <w:rPr>
      <w:sz w:val="16"/>
      <w:szCs w:val="16"/>
    </w:rPr>
  </w:style>
  <w:style w:type="paragraph" w:styleId="CommentText">
    <w:name w:val="annotation text"/>
    <w:basedOn w:val="Normal"/>
    <w:link w:val="CommentTextChar"/>
    <w:uiPriority w:val="99"/>
    <w:semiHidden/>
    <w:unhideWhenUsed/>
    <w:rsid w:val="00DF28EC"/>
    <w:pPr>
      <w:spacing w:line="240" w:lineRule="auto"/>
    </w:pPr>
    <w:rPr>
      <w:sz w:val="20"/>
      <w:szCs w:val="20"/>
    </w:rPr>
  </w:style>
  <w:style w:type="character" w:customStyle="1" w:styleId="CommentTextChar">
    <w:name w:val="Comment Text Char"/>
    <w:basedOn w:val="DefaultParagraphFont"/>
    <w:link w:val="CommentText"/>
    <w:uiPriority w:val="99"/>
    <w:semiHidden/>
    <w:rsid w:val="00DF28EC"/>
    <w:rPr>
      <w:sz w:val="20"/>
      <w:szCs w:val="20"/>
    </w:rPr>
  </w:style>
  <w:style w:type="paragraph" w:styleId="CommentSubject">
    <w:name w:val="annotation subject"/>
    <w:basedOn w:val="CommentText"/>
    <w:next w:val="CommentText"/>
    <w:link w:val="CommentSubjectChar"/>
    <w:uiPriority w:val="99"/>
    <w:semiHidden/>
    <w:unhideWhenUsed/>
    <w:rsid w:val="00DF28EC"/>
    <w:rPr>
      <w:b/>
      <w:bCs/>
    </w:rPr>
  </w:style>
  <w:style w:type="character" w:customStyle="1" w:styleId="CommentSubjectChar">
    <w:name w:val="Comment Subject Char"/>
    <w:basedOn w:val="CommentTextChar"/>
    <w:link w:val="CommentSubject"/>
    <w:uiPriority w:val="99"/>
    <w:semiHidden/>
    <w:rsid w:val="00DF28EC"/>
    <w:rPr>
      <w:b/>
      <w:bCs/>
      <w:sz w:val="20"/>
      <w:szCs w:val="20"/>
    </w:rPr>
  </w:style>
  <w:style w:type="paragraph" w:styleId="Caption">
    <w:name w:val="caption"/>
    <w:basedOn w:val="Normal"/>
    <w:next w:val="Normal"/>
    <w:uiPriority w:val="35"/>
    <w:unhideWhenUsed/>
    <w:qFormat/>
    <w:rsid w:val="00357CF9"/>
    <w:pPr>
      <w:spacing w:after="200" w:line="240" w:lineRule="auto"/>
    </w:pPr>
    <w:rPr>
      <w:b/>
      <w:bCs/>
      <w:color w:val="5B9BD5" w:themeColor="accent1"/>
      <w:sz w:val="18"/>
      <w:szCs w:val="18"/>
    </w:rPr>
  </w:style>
  <w:style w:type="paragraph" w:customStyle="1" w:styleId="EndNoteBibliographyTitle">
    <w:name w:val="EndNote Bibliography Title"/>
    <w:basedOn w:val="Normal"/>
    <w:link w:val="EndNoteBibliographyTitleChar"/>
    <w:rsid w:val="00501AB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01AB4"/>
    <w:rPr>
      <w:rFonts w:ascii="Calibri" w:hAnsi="Calibri"/>
      <w:noProof/>
    </w:rPr>
  </w:style>
  <w:style w:type="paragraph" w:customStyle="1" w:styleId="EndNoteBibliography">
    <w:name w:val="EndNote Bibliography"/>
    <w:basedOn w:val="Normal"/>
    <w:link w:val="EndNoteBibliographyChar"/>
    <w:rsid w:val="00501AB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01AB4"/>
    <w:rPr>
      <w:rFonts w:ascii="Calibri" w:hAnsi="Calibri"/>
      <w:noProof/>
    </w:rPr>
  </w:style>
  <w:style w:type="paragraph" w:styleId="Revision">
    <w:name w:val="Revision"/>
    <w:hidden/>
    <w:uiPriority w:val="99"/>
    <w:semiHidden/>
    <w:rsid w:val="007B464E"/>
    <w:pPr>
      <w:spacing w:after="0" w:line="240" w:lineRule="auto"/>
    </w:pPr>
  </w:style>
  <w:style w:type="paragraph" w:styleId="Footer">
    <w:name w:val="footer"/>
    <w:basedOn w:val="Normal"/>
    <w:link w:val="FooterChar"/>
    <w:uiPriority w:val="99"/>
    <w:unhideWhenUsed/>
    <w:rsid w:val="005B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627"/>
  </w:style>
  <w:style w:type="character" w:styleId="Hyperlink">
    <w:name w:val="Hyperlink"/>
    <w:basedOn w:val="DefaultParagraphFont"/>
    <w:uiPriority w:val="99"/>
    <w:unhideWhenUsed/>
    <w:rsid w:val="009B1C4D"/>
    <w:rPr>
      <w:color w:val="0563C1" w:themeColor="hyperlink"/>
      <w:u w:val="single"/>
    </w:rPr>
  </w:style>
  <w:style w:type="character" w:customStyle="1" w:styleId="ListParagraphChar">
    <w:name w:val="List Paragraph Char"/>
    <w:basedOn w:val="DefaultParagraphFont"/>
    <w:link w:val="ListParagraph"/>
    <w:uiPriority w:val="34"/>
    <w:rsid w:val="00CB770C"/>
  </w:style>
  <w:style w:type="character" w:styleId="LineNumber">
    <w:name w:val="line number"/>
    <w:basedOn w:val="DefaultParagraphFont"/>
    <w:uiPriority w:val="99"/>
    <w:semiHidden/>
    <w:unhideWhenUsed/>
    <w:rsid w:val="00A33BC2"/>
  </w:style>
  <w:style w:type="character" w:styleId="FollowedHyperlink">
    <w:name w:val="FollowedHyperlink"/>
    <w:basedOn w:val="DefaultParagraphFont"/>
    <w:uiPriority w:val="99"/>
    <w:semiHidden/>
    <w:unhideWhenUsed/>
    <w:rsid w:val="003A632A"/>
    <w:rPr>
      <w:color w:val="954F72" w:themeColor="followedHyperlink"/>
      <w:u w:val="single"/>
    </w:rPr>
  </w:style>
  <w:style w:type="paragraph" w:styleId="NoSpacing">
    <w:name w:val="No Spacing"/>
    <w:uiPriority w:val="1"/>
    <w:qFormat/>
    <w:rsid w:val="00244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Food/GuidanceRegulation/RetailFoodProtection/IndustryandRegulatoryAssistanceandTrainingResources/ucm345399.htm?source=govdelive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1A6E0-3759-42EA-9BC8-D1D55D9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NCEH-Adam Kramer</cp:lastModifiedBy>
  <cp:revision>4</cp:revision>
  <cp:lastPrinted>2019-12-05T22:38:00Z</cp:lastPrinted>
  <dcterms:created xsi:type="dcterms:W3CDTF">2022-02-23T14:55:00Z</dcterms:created>
  <dcterms:modified xsi:type="dcterms:W3CDTF">2022-02-23T15:16:00Z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2020-11-23T18:11:04Z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e314806d-17fc-4f66-8278-6920e55dba33</vt:lpwstr>
  </property>
  <property fmtid="{D5CDD505-2E9C-101B-9397-08002B2CF9AE}" pid="8" name="MSIP_Label_7b94a7b8-f06c-4dfe-bdcc-9b548fd58c31_ContentBits">
    <vt:lpwstr>0</vt:lpwstr>
  </property>
</Properties>
</file>