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54E3B" w:rsidR="00FC70C6" w:rsidP="00554E3B" w:rsidRDefault="00554E3B" w14:paraId="73553E23" w14:textId="77777777">
      <w:pPr>
        <w:pStyle w:val="NoSpacing"/>
        <w:jc w:val="center"/>
        <w:rPr>
          <w:b/>
        </w:rPr>
      </w:pPr>
      <w:r w:rsidRPr="00554E3B">
        <w:rPr>
          <w:b/>
        </w:rPr>
        <w:t>Attachment 3b</w:t>
      </w:r>
    </w:p>
    <w:p w:rsidR="00554E3B" w:rsidP="00554E3B" w:rsidRDefault="00554E3B" w14:paraId="283DAE97" w14:textId="32E463D3">
      <w:pPr>
        <w:pStyle w:val="NoSpacing"/>
        <w:jc w:val="center"/>
      </w:pPr>
      <w:r>
        <w:t>Summary of Changes to NPCR CSS Submission Specifications from Diagnosis Year 201</w:t>
      </w:r>
      <w:r w:rsidR="00B6691F">
        <w:t>7</w:t>
      </w:r>
      <w:r>
        <w:t xml:space="preserve"> to 20</w:t>
      </w:r>
      <w:r w:rsidR="00B6691F">
        <w:t>20</w:t>
      </w:r>
    </w:p>
    <w:p w:rsidR="00554E3B" w:rsidP="00554E3B" w:rsidRDefault="00554E3B" w14:paraId="615FA3A8" w14:textId="77777777">
      <w:pPr>
        <w:pStyle w:val="NoSpacing"/>
      </w:pPr>
    </w:p>
    <w:p w:rsidR="00554E3B" w:rsidP="00554E3B" w:rsidRDefault="00554E3B" w14:paraId="2D1644D7" w14:textId="77777777">
      <w:pPr>
        <w:pStyle w:val="NoSpacing"/>
      </w:pPr>
      <w:r>
        <w:t>Modified Submission Practices:</w:t>
      </w:r>
    </w:p>
    <w:p w:rsidRPr="00D31F88" w:rsidR="000A6884" w:rsidP="000A6884" w:rsidRDefault="00DA1CB1" w14:paraId="3BEE3BCC" w14:textId="153BDB46">
      <w:pPr>
        <w:pStyle w:val="NoSpacing"/>
        <w:numPr>
          <w:ilvl w:val="0"/>
          <w:numId w:val="1"/>
        </w:numPr>
      </w:pPr>
      <w:r>
        <w:rPr>
          <w:b/>
        </w:rPr>
        <w:t>Record layout format</w:t>
      </w:r>
      <w:r w:rsidR="00620D41">
        <w:rPr>
          <w:b/>
        </w:rPr>
        <w:t xml:space="preserve"> </w:t>
      </w:r>
      <w:r w:rsidR="00620D41">
        <w:rPr>
          <w:bCs/>
        </w:rPr>
        <w:t>changes</w:t>
      </w:r>
      <w:r w:rsidR="00DD548C">
        <w:rPr>
          <w:bCs/>
        </w:rPr>
        <w:t xml:space="preserve"> as data items are added or removed from collection requirements </w:t>
      </w:r>
      <w:r w:rsidR="00034E58">
        <w:rPr>
          <w:bCs/>
        </w:rPr>
        <w:t>and as improvements are made to data transmission methods. To accommodate these changes, the NPCR CSS submission files</w:t>
      </w:r>
      <w:r w:rsidR="00CA4F61">
        <w:rPr>
          <w:bCs/>
        </w:rPr>
        <w:t xml:space="preserve"> are updated </w:t>
      </w:r>
      <w:r w:rsidR="00D31F88">
        <w:rPr>
          <w:bCs/>
        </w:rPr>
        <w:t>to the XML format.</w:t>
      </w:r>
    </w:p>
    <w:p w:rsidRPr="00153086" w:rsidR="00D31F88" w:rsidP="000A6884" w:rsidRDefault="00D31F88" w14:paraId="3457DC14" w14:textId="1D4F8EDA">
      <w:pPr>
        <w:pStyle w:val="NoSpacing"/>
        <w:numPr>
          <w:ilvl w:val="0"/>
          <w:numId w:val="1"/>
        </w:numPr>
      </w:pPr>
      <w:r>
        <w:rPr>
          <w:b/>
        </w:rPr>
        <w:t xml:space="preserve">NPCR CSS data items </w:t>
      </w:r>
      <w:r w:rsidR="00EF7488">
        <w:rPr>
          <w:bCs/>
        </w:rPr>
        <w:t xml:space="preserve">list is updated to remove information no longer relevant </w:t>
      </w:r>
      <w:r w:rsidR="0087093E">
        <w:rPr>
          <w:bCs/>
        </w:rPr>
        <w:t>to analytic processes. These changes include various geographic and extent of disease information.</w:t>
      </w:r>
    </w:p>
    <w:tbl>
      <w:tblPr>
        <w:tblStyle w:val="TableGridLight"/>
        <w:tblW w:w="8645" w:type="dxa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45"/>
      </w:tblGrid>
      <w:tr w:rsidRPr="00687699" w:rsidR="00BD5C0E" w:rsidTr="00430431" w14:paraId="4476DC36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BD5C0E" w:rsidP="00ED60CB" w:rsidRDefault="00BD5C0E" w14:paraId="16EAB037" w14:textId="1477F1B4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Rural-Urban Continuum/Beale Code 1993</w:t>
            </w:r>
          </w:p>
        </w:tc>
      </w:tr>
      <w:tr w:rsidRPr="00687699" w:rsidR="00BD5C0E" w:rsidTr="00430431" w14:paraId="33A8FE64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BD5C0E" w:rsidP="00ED60CB" w:rsidRDefault="00BD5C0E" w14:paraId="1EEAE03B" w14:textId="5D7E4427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Census Tract 1970/80/90</w:t>
            </w:r>
          </w:p>
        </w:tc>
      </w:tr>
      <w:tr w:rsidRPr="00687699" w:rsidR="00BD5C0E" w:rsidTr="00430431" w14:paraId="6B3D8E63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BD5C0E" w:rsidP="00ED60CB" w:rsidRDefault="00BD5C0E" w14:paraId="75341CB0" w14:textId="118BCE63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Census Cod Sys 1970/80/90</w:t>
            </w:r>
          </w:p>
        </w:tc>
      </w:tr>
      <w:tr w:rsidRPr="00687699" w:rsidR="00BD5C0E" w:rsidTr="00430431" w14:paraId="28BD71CF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BD5C0E" w:rsidP="00ED60CB" w:rsidRDefault="00BD5C0E" w14:paraId="338C4EF2" w14:textId="637486FA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Census Tr Cert 1970/80/90</w:t>
            </w:r>
          </w:p>
        </w:tc>
      </w:tr>
      <w:tr w:rsidRPr="00687699" w:rsidR="00D02DD9" w:rsidTr="00430431" w14:paraId="280ACCDC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488B6E14" w14:textId="0CB9BD82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 xml:space="preserve">County at DX </w:t>
            </w:r>
            <w:proofErr w:type="spellStart"/>
            <w:r w:rsidRPr="00687699">
              <w:rPr>
                <w:rFonts w:eastAsia="Times New Roman" w:cstheme="minorHAnsi"/>
                <w:color w:val="000000"/>
              </w:rPr>
              <w:t>GeoCode</w:t>
            </w:r>
            <w:proofErr w:type="spellEnd"/>
            <w:r w:rsidRPr="00687699">
              <w:rPr>
                <w:rFonts w:eastAsia="Times New Roman" w:cstheme="minorHAnsi"/>
                <w:color w:val="000000"/>
              </w:rPr>
              <w:t xml:space="preserve"> 1970/80/90</w:t>
            </w:r>
          </w:p>
        </w:tc>
      </w:tr>
      <w:tr w:rsidRPr="00687699" w:rsidR="00D02DD9" w:rsidTr="00430431" w14:paraId="03F07450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16061F6E" w14:textId="60A687E1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Census Tr Cert 1970/80/90</w:t>
            </w:r>
          </w:p>
        </w:tc>
      </w:tr>
      <w:tr w:rsidRPr="00687699" w:rsidR="00D02DD9" w:rsidTr="00430431" w14:paraId="1FE22B41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06C3C827" w14:textId="4BD7D3AA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Path T</w:t>
            </w:r>
          </w:p>
        </w:tc>
      </w:tr>
      <w:tr w:rsidRPr="00687699" w:rsidR="00D02DD9" w:rsidTr="00430431" w14:paraId="60DC96AB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42A22119" w14:textId="5E335963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Path N</w:t>
            </w:r>
          </w:p>
        </w:tc>
      </w:tr>
      <w:tr w:rsidRPr="00687699" w:rsidR="00D02DD9" w:rsidTr="00430431" w14:paraId="0389A215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098D0F1E" w14:textId="1C7F4D5D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Path M</w:t>
            </w:r>
          </w:p>
        </w:tc>
      </w:tr>
      <w:tr w:rsidRPr="00687699" w:rsidR="00D02DD9" w:rsidTr="00430431" w14:paraId="0A851210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521BAB3D" w14:textId="483F58D8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Path Stage Group</w:t>
            </w:r>
          </w:p>
        </w:tc>
      </w:tr>
      <w:tr w:rsidRPr="00687699" w:rsidR="00D02DD9" w:rsidTr="00430431" w14:paraId="1D98EDD7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2E12AD8E" w14:textId="077A54AC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Path Descriptor</w:t>
            </w:r>
          </w:p>
        </w:tc>
      </w:tr>
      <w:tr w:rsidRPr="00687699" w:rsidR="00D02DD9" w:rsidTr="00430431" w14:paraId="1DF127D4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0EE90F00" w14:textId="34463A34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 xml:space="preserve">TNM Clin </w:t>
            </w:r>
            <w:r w:rsidRPr="00687699" w:rsidR="00F50F2C">
              <w:rPr>
                <w:rFonts w:eastAsia="Times New Roman" w:cstheme="minorHAnsi"/>
                <w:color w:val="000000"/>
              </w:rPr>
              <w:t>T</w:t>
            </w:r>
          </w:p>
        </w:tc>
      </w:tr>
      <w:tr w:rsidRPr="00687699" w:rsidR="00D02DD9" w:rsidTr="00430431" w14:paraId="398D46B2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4791A5AA" w14:textId="696C3D76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Clin N</w:t>
            </w:r>
          </w:p>
        </w:tc>
      </w:tr>
      <w:tr w:rsidRPr="00687699" w:rsidR="00D02DD9" w:rsidTr="00430431" w14:paraId="0C3EF2F2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7BDDEFA1" w14:textId="6E915CDA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Clin M</w:t>
            </w:r>
          </w:p>
        </w:tc>
      </w:tr>
      <w:tr w:rsidRPr="00687699" w:rsidR="00D02DD9" w:rsidTr="00430431" w14:paraId="647D4CCF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65FAE057" w14:textId="18F11711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Clin Stage Group</w:t>
            </w:r>
          </w:p>
        </w:tc>
      </w:tr>
      <w:tr w:rsidRPr="00687699" w:rsidR="00D02DD9" w:rsidTr="00430431" w14:paraId="1B695FB8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35F88DEC" w14:textId="3B5A726F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TNM Clin Descriptor</w:t>
            </w:r>
          </w:p>
        </w:tc>
      </w:tr>
      <w:tr w:rsidRPr="00687699" w:rsidR="00D02DD9" w:rsidTr="00430431" w14:paraId="248465E5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3489C62C" w14:textId="20B56598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NPCR Derived Clin Stage Group</w:t>
            </w:r>
          </w:p>
        </w:tc>
      </w:tr>
      <w:tr w:rsidRPr="00687699" w:rsidR="00D02DD9" w:rsidTr="00430431" w14:paraId="3E3711B0" w14:textId="77777777">
        <w:trPr>
          <w:trHeight w:val="288"/>
        </w:trPr>
        <w:tc>
          <w:tcPr>
            <w:tcW w:w="8645" w:type="dxa"/>
            <w:noWrap/>
            <w:hideMark/>
          </w:tcPr>
          <w:p w:rsidRPr="00687699" w:rsidR="00D02DD9" w:rsidP="00D02DD9" w:rsidRDefault="00D02DD9" w14:paraId="0645C8DA" w14:textId="34BE7E3D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NPCR Derived Path Stage Group</w:t>
            </w:r>
          </w:p>
        </w:tc>
      </w:tr>
      <w:tr w:rsidRPr="00687699" w:rsidR="00D02DD9" w:rsidTr="00430431" w14:paraId="180737E1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29756743" w14:textId="4ABA07CB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Extension</w:t>
            </w:r>
          </w:p>
        </w:tc>
      </w:tr>
      <w:tr w:rsidRPr="00687699" w:rsidR="00D02DD9" w:rsidTr="00430431" w14:paraId="1ACE09FF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67F7719A" w14:textId="6A7A1542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Tumor Size/Ext Eval</w:t>
            </w:r>
          </w:p>
        </w:tc>
      </w:tr>
      <w:tr w:rsidRPr="00687699" w:rsidR="00D02DD9" w:rsidTr="00430431" w14:paraId="6E81D17E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6D624870" w14:textId="22A4A88F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Lymph Nodes</w:t>
            </w:r>
          </w:p>
        </w:tc>
      </w:tr>
      <w:tr w:rsidRPr="00687699" w:rsidR="00D02DD9" w:rsidTr="00430431" w14:paraId="398FB3C7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054EC2B1" w14:textId="7E3C0F99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CX Lymph Nodes Eval</w:t>
            </w:r>
          </w:p>
        </w:tc>
      </w:tr>
      <w:tr w:rsidRPr="00687699" w:rsidR="00D02DD9" w:rsidTr="00430431" w14:paraId="23DB9F1F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58F0AAF7" w14:textId="3A36ACCA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Mets at DX</w:t>
            </w:r>
          </w:p>
        </w:tc>
      </w:tr>
      <w:tr w:rsidRPr="00687699" w:rsidR="00D02DD9" w:rsidTr="00430431" w14:paraId="745B2529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3B74367D" w14:textId="2C0954BD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Mets Eval</w:t>
            </w:r>
          </w:p>
        </w:tc>
      </w:tr>
      <w:tr w:rsidRPr="00687699" w:rsidR="00D02DD9" w:rsidTr="00430431" w14:paraId="075046D5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67AD883C" w14:textId="2B4F7D09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Version Input Current</w:t>
            </w:r>
          </w:p>
        </w:tc>
      </w:tr>
      <w:tr w:rsidRPr="00687699" w:rsidR="00D02DD9" w:rsidTr="00430431" w14:paraId="56D6905B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2DBA1579" w14:textId="748C462D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Derived AJCC-6 Stage Grp</w:t>
            </w:r>
          </w:p>
        </w:tc>
      </w:tr>
      <w:tr w:rsidRPr="00687699" w:rsidR="00D02DD9" w:rsidTr="00430431" w14:paraId="6CA39B31" w14:textId="77777777">
        <w:trPr>
          <w:trHeight w:val="288"/>
        </w:trPr>
        <w:tc>
          <w:tcPr>
            <w:tcW w:w="8645" w:type="dxa"/>
            <w:noWrap/>
          </w:tcPr>
          <w:p w:rsidRPr="00687699" w:rsidR="00D02DD9" w:rsidP="00D02DD9" w:rsidRDefault="00D02DD9" w14:paraId="006CE541" w14:textId="1E73933C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Derived AJCC-7 Stage Grp</w:t>
            </w:r>
          </w:p>
        </w:tc>
      </w:tr>
      <w:tr w:rsidRPr="00687699" w:rsidR="007935C1" w:rsidTr="00430431" w14:paraId="1A746245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283BD558" w14:textId="2C1823F7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1 for C34 (lung), C384 (pleura), C692 (retinoblastoma), C619 (prostate)</w:t>
            </w:r>
          </w:p>
        </w:tc>
      </w:tr>
      <w:tr w:rsidRPr="00687699" w:rsidR="007935C1" w:rsidTr="00430431" w14:paraId="1286529B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2E2D14DE" w14:textId="3528728E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2 for C54 and C55 (corpus uteri)</w:t>
            </w:r>
          </w:p>
        </w:tc>
      </w:tr>
      <w:tr w:rsidRPr="00687699" w:rsidR="007935C1" w:rsidTr="00430431" w14:paraId="714D9F43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598C2AAA" w14:textId="6A451B13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3 for C619 (prostate)</w:t>
            </w:r>
          </w:p>
        </w:tc>
      </w:tr>
      <w:tr w:rsidRPr="00687699" w:rsidR="007935C1" w:rsidTr="00430431" w14:paraId="742CEB35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4CFF2B4C" w14:textId="6C430D36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8 for C50 (breast)</w:t>
            </w:r>
          </w:p>
        </w:tc>
      </w:tr>
      <w:tr w:rsidRPr="00687699" w:rsidR="007935C1" w:rsidTr="00430431" w14:paraId="4C22F99E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3ED352F9" w14:textId="1C7D3C05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9 for C50 (breast)</w:t>
            </w:r>
          </w:p>
        </w:tc>
      </w:tr>
      <w:tr w:rsidRPr="00687699" w:rsidR="007935C1" w:rsidTr="00430431" w14:paraId="76859F7A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41DDD6C8" w14:textId="0335555E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11 for C50 (breast)</w:t>
            </w:r>
          </w:p>
        </w:tc>
      </w:tr>
      <w:tr w:rsidRPr="00687699" w:rsidR="007935C1" w:rsidTr="00430431" w14:paraId="1FFDAE74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71247DDE" w14:textId="4E36F661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13 for C50 (breast)</w:t>
            </w:r>
          </w:p>
        </w:tc>
      </w:tr>
      <w:tr w:rsidRPr="00687699" w:rsidR="007935C1" w:rsidTr="00430431" w14:paraId="314ADC5F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27382E09" w14:textId="2D1167C7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14 for C50 (breast)</w:t>
            </w:r>
          </w:p>
        </w:tc>
      </w:tr>
      <w:tr w:rsidRPr="00687699" w:rsidR="007935C1" w:rsidTr="00430431" w14:paraId="142866AE" w14:textId="77777777">
        <w:trPr>
          <w:trHeight w:val="288"/>
        </w:trPr>
        <w:tc>
          <w:tcPr>
            <w:tcW w:w="8645" w:type="dxa"/>
            <w:noWrap/>
          </w:tcPr>
          <w:p w:rsidRPr="00687699" w:rsidR="007935C1" w:rsidP="007935C1" w:rsidRDefault="007935C1" w14:paraId="14E0EE73" w14:textId="3340F716">
            <w:pPr>
              <w:rPr>
                <w:rFonts w:eastAsia="Times New Roman" w:cstheme="minorHAnsi"/>
                <w:color w:val="000000"/>
              </w:rPr>
            </w:pPr>
            <w:r w:rsidRPr="00687699">
              <w:rPr>
                <w:rFonts w:eastAsia="Times New Roman" w:cstheme="minorHAnsi"/>
                <w:color w:val="000000"/>
              </w:rPr>
              <w:t>CS Site-Specific Factor 25</w:t>
            </w:r>
          </w:p>
        </w:tc>
      </w:tr>
    </w:tbl>
    <w:p w:rsidR="00153086" w:rsidP="00EE6FDA" w:rsidRDefault="00153086" w14:paraId="22AD2E44" w14:textId="77777777">
      <w:pPr>
        <w:pStyle w:val="NoSpacing"/>
      </w:pPr>
    </w:p>
    <w:p w:rsidR="000A6884" w:rsidP="000A6884" w:rsidRDefault="000A6884" w14:paraId="3D78CBD0" w14:textId="77777777">
      <w:pPr>
        <w:pStyle w:val="NoSpacing"/>
      </w:pPr>
    </w:p>
    <w:p w:rsidR="000A6884" w:rsidP="000A6884" w:rsidRDefault="000A6884" w14:paraId="5E2FC812" w14:textId="6602D79E">
      <w:pPr>
        <w:pStyle w:val="NoSpacing"/>
      </w:pPr>
      <w:r>
        <w:t>New Variables:</w:t>
      </w:r>
    </w:p>
    <w:p w:rsidRPr="008F0D61" w:rsidR="00A37999" w:rsidP="00A37999" w:rsidRDefault="000306B9" w14:paraId="5AC0FC54" w14:textId="5BE2A005">
      <w:pPr>
        <w:pStyle w:val="NoSpacing"/>
        <w:numPr>
          <w:ilvl w:val="0"/>
          <w:numId w:val="3"/>
        </w:numPr>
      </w:pPr>
      <w:r>
        <w:rPr>
          <w:b/>
        </w:rPr>
        <w:t xml:space="preserve">NPCR CSS data items </w:t>
      </w:r>
      <w:r>
        <w:rPr>
          <w:bCs/>
        </w:rPr>
        <w:t>list is updated to</w:t>
      </w:r>
      <w:r>
        <w:rPr>
          <w:bCs/>
        </w:rPr>
        <w:t xml:space="preserve"> </w:t>
      </w:r>
      <w:r w:rsidR="00EC212F">
        <w:rPr>
          <w:bCs/>
        </w:rPr>
        <w:t xml:space="preserve">include information determined to be relevant to </w:t>
      </w:r>
      <w:r w:rsidR="009448A2">
        <w:rPr>
          <w:bCs/>
        </w:rPr>
        <w:t xml:space="preserve">current </w:t>
      </w:r>
      <w:r w:rsidR="00EC212F">
        <w:rPr>
          <w:bCs/>
        </w:rPr>
        <w:t xml:space="preserve">analytic processes. These changes </w:t>
      </w:r>
      <w:r w:rsidR="00780798">
        <w:rPr>
          <w:bCs/>
        </w:rPr>
        <w:t xml:space="preserve">include information about the </w:t>
      </w:r>
      <w:r w:rsidR="0097225C">
        <w:rPr>
          <w:bCs/>
        </w:rPr>
        <w:t>reporting source, demographic</w:t>
      </w:r>
      <w:r w:rsidR="00D62C03">
        <w:rPr>
          <w:bCs/>
        </w:rPr>
        <w:t xml:space="preserve"> characteristics</w:t>
      </w:r>
      <w:r w:rsidR="0097225C">
        <w:rPr>
          <w:bCs/>
        </w:rPr>
        <w:t xml:space="preserve">, </w:t>
      </w:r>
      <w:r w:rsidR="00780798">
        <w:rPr>
          <w:bCs/>
        </w:rPr>
        <w:t>tumor</w:t>
      </w:r>
      <w:r w:rsidR="0097225C">
        <w:rPr>
          <w:bCs/>
        </w:rPr>
        <w:t xml:space="preserve"> </w:t>
      </w:r>
      <w:r w:rsidR="00336950">
        <w:rPr>
          <w:bCs/>
        </w:rPr>
        <w:t xml:space="preserve">or extent of disease </w:t>
      </w:r>
      <w:r w:rsidR="0097225C">
        <w:rPr>
          <w:bCs/>
        </w:rPr>
        <w:t>characteristics</w:t>
      </w:r>
      <w:r w:rsidR="00D62C03">
        <w:rPr>
          <w:bCs/>
        </w:rPr>
        <w:t xml:space="preserve">, and </w:t>
      </w:r>
      <w:r w:rsidR="00E96270">
        <w:rPr>
          <w:bCs/>
        </w:rPr>
        <w:t>survival.</w:t>
      </w:r>
      <w:r w:rsidR="00C345B5">
        <w:t xml:space="preserve"> </w:t>
      </w:r>
      <w:r w:rsidR="00556DF2">
        <w:t xml:space="preserve">Some information is derived using </w:t>
      </w:r>
      <w:r w:rsidR="00170A92">
        <w:t xml:space="preserve">electronic algorithms with no </w:t>
      </w:r>
      <w:r w:rsidR="00897DD1">
        <w:t>additional workload from the respondents.</w:t>
      </w:r>
      <w:r w:rsidR="00E134B0">
        <w:t xml:space="preserve"> The remaining information is routinely collected by respondents</w:t>
      </w:r>
      <w:r w:rsidR="00893B8E">
        <w:t xml:space="preserve"> adding no additional workload.</w:t>
      </w:r>
    </w:p>
    <w:tbl>
      <w:tblPr>
        <w:tblW w:w="5998" w:type="dxa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98"/>
      </w:tblGrid>
      <w:tr w:rsidRPr="00430431" w:rsidR="003B5FCC" w:rsidTr="00A37999" w14:paraId="4DB0C753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37049C" w:rsidR="003B5FCC" w:rsidP="00687699" w:rsidRDefault="00E96270" w14:paraId="335E8F6B" w14:textId="2BAD1804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A161B3">
              <w:rPr>
                <w:rFonts w:eastAsia="Times New Roman" w:cstheme="minorHAnsi"/>
              </w:rPr>
              <w:t>CoC</w:t>
            </w:r>
            <w:proofErr w:type="spellEnd"/>
            <w:r w:rsidRPr="00A161B3">
              <w:rPr>
                <w:rFonts w:eastAsia="Times New Roman" w:cstheme="minorHAnsi"/>
              </w:rPr>
              <w:t xml:space="preserve"> Accredited Flag</w:t>
            </w:r>
          </w:p>
        </w:tc>
      </w:tr>
      <w:tr w:rsidRPr="00430431" w:rsidR="0007114F" w:rsidTr="00A37999" w14:paraId="3020E843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161B3" w:rsidR="0007114F" w:rsidP="0007114F" w:rsidRDefault="0007114F" w14:paraId="390C8396" w14:textId="255B00B7">
            <w:pPr>
              <w:spacing w:after="0" w:line="240" w:lineRule="auto"/>
              <w:rPr>
                <w:rFonts w:eastAsia="Times New Roman" w:cstheme="minorHAnsi"/>
              </w:rPr>
            </w:pPr>
            <w:r w:rsidRPr="00591A0D">
              <w:rPr>
                <w:rFonts w:eastAsia="Times New Roman" w:cstheme="minorHAnsi"/>
              </w:rPr>
              <w:t>Race 3</w:t>
            </w:r>
          </w:p>
        </w:tc>
      </w:tr>
      <w:tr w:rsidRPr="00430431" w:rsidR="0007114F" w:rsidTr="00A37999" w14:paraId="30327BDE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161B3" w:rsidR="0007114F" w:rsidP="0007114F" w:rsidRDefault="0007114F" w14:paraId="0D19C1F5" w14:textId="2F373490">
            <w:pPr>
              <w:spacing w:after="0" w:line="240" w:lineRule="auto"/>
              <w:rPr>
                <w:rFonts w:eastAsia="Times New Roman" w:cstheme="minorHAnsi"/>
              </w:rPr>
            </w:pPr>
            <w:r w:rsidRPr="00591A0D">
              <w:rPr>
                <w:rFonts w:eastAsia="Times New Roman" w:cstheme="minorHAnsi"/>
              </w:rPr>
              <w:t>Race 4</w:t>
            </w:r>
          </w:p>
        </w:tc>
      </w:tr>
      <w:tr w:rsidRPr="00430431" w:rsidR="0007114F" w:rsidTr="00A37999" w14:paraId="5CAC8673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161B3" w:rsidR="0007114F" w:rsidP="0007114F" w:rsidRDefault="0007114F" w14:paraId="42D0BB41" w14:textId="73E8481C">
            <w:pPr>
              <w:spacing w:after="0" w:line="240" w:lineRule="auto"/>
              <w:rPr>
                <w:rFonts w:eastAsia="Times New Roman" w:cstheme="minorHAnsi"/>
              </w:rPr>
            </w:pPr>
            <w:r w:rsidRPr="00591A0D">
              <w:rPr>
                <w:rFonts w:eastAsia="Times New Roman" w:cstheme="minorHAnsi"/>
              </w:rPr>
              <w:t>Race 5</w:t>
            </w:r>
          </w:p>
        </w:tc>
      </w:tr>
      <w:tr w:rsidRPr="00430431" w:rsidR="003F40EA" w:rsidTr="00A37999" w14:paraId="5F13FE6F" w14:textId="77777777">
        <w:trPr>
          <w:trHeight w:val="300"/>
        </w:trPr>
        <w:tc>
          <w:tcPr>
            <w:tcW w:w="5998" w:type="dxa"/>
            <w:shd w:val="clear" w:color="auto" w:fill="auto"/>
            <w:vAlign w:val="center"/>
          </w:tcPr>
          <w:p w:rsidRPr="00A161B3" w:rsidR="003F40EA" w:rsidP="003F40EA" w:rsidRDefault="003F40EA" w14:paraId="71C64A0E" w14:textId="279293CC">
            <w:pPr>
              <w:spacing w:after="0" w:line="240" w:lineRule="auto"/>
              <w:rPr>
                <w:rFonts w:eastAsia="Times New Roman" w:cstheme="minorHAnsi"/>
              </w:rPr>
            </w:pPr>
            <w:r w:rsidRPr="00430431">
              <w:rPr>
                <w:rFonts w:eastAsia="Times New Roman" w:cstheme="minorHAnsi"/>
              </w:rPr>
              <w:t>2018-2019 Congressional Districts (tract-based)</w:t>
            </w:r>
            <w:r w:rsidR="00897DD1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3F40EA" w:rsidTr="00A37999" w14:paraId="174880D6" w14:textId="77777777">
        <w:trPr>
          <w:trHeight w:val="300"/>
        </w:trPr>
        <w:tc>
          <w:tcPr>
            <w:tcW w:w="5998" w:type="dxa"/>
            <w:shd w:val="clear" w:color="auto" w:fill="auto"/>
            <w:vAlign w:val="center"/>
          </w:tcPr>
          <w:p w:rsidRPr="00A161B3" w:rsidR="003F40EA" w:rsidP="003F40EA" w:rsidRDefault="003F40EA" w14:paraId="003BF592" w14:textId="29F44C99">
            <w:pPr>
              <w:spacing w:after="0" w:line="240" w:lineRule="auto"/>
              <w:rPr>
                <w:rFonts w:eastAsia="Times New Roman" w:cstheme="minorHAnsi"/>
              </w:rPr>
            </w:pPr>
            <w:r w:rsidRPr="00430431">
              <w:rPr>
                <w:rFonts w:eastAsia="Times New Roman" w:cstheme="minorHAnsi"/>
              </w:rPr>
              <w:t>EPHT Sub-County Areas (tract-based)</w:t>
            </w:r>
            <w:r w:rsidR="00897DD1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3F40EA" w:rsidTr="00A37999" w14:paraId="5B565AF5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034B9F" w:rsidR="003F40EA" w:rsidP="003F40EA" w:rsidRDefault="003F40EA" w14:paraId="0E011A3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34B9F">
              <w:rPr>
                <w:rFonts w:eastAsia="Times New Roman" w:cstheme="minorHAnsi"/>
              </w:rPr>
              <w:t>Phase I Radiation Treatment Modality</w:t>
            </w:r>
          </w:p>
        </w:tc>
      </w:tr>
      <w:tr w:rsidRPr="00430431" w:rsidR="003F40EA" w:rsidTr="00A37999" w14:paraId="0D8FE1E5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034B9F" w:rsidR="003F40EA" w:rsidP="003F40EA" w:rsidRDefault="003F40EA" w14:paraId="637B559A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34B9F">
              <w:rPr>
                <w:rFonts w:eastAsia="Times New Roman" w:cstheme="minorHAnsi"/>
              </w:rPr>
              <w:t>SEER Summary Stage 2018</w:t>
            </w:r>
          </w:p>
        </w:tc>
      </w:tr>
      <w:tr w:rsidRPr="00430431" w:rsidR="003F40EA" w:rsidTr="00A37999" w14:paraId="4D74D866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9C52B4" w:rsidR="003F40EA" w:rsidP="003F40EA" w:rsidRDefault="003F40EA" w14:paraId="35E92D1F" w14:textId="065F5F4F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Schema ID</w:t>
            </w:r>
            <w:r w:rsidR="00897DD1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450A0F" w:rsidTr="00A37999" w14:paraId="52776ADA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9C52B4" w:rsidR="00450A0F" w:rsidP="00450A0F" w:rsidRDefault="00450A0F" w14:paraId="6DC24FAC" w14:textId="69B0E20E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Schema Discriminator 1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450A0F" w:rsidTr="00A37999" w14:paraId="5B268ED5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9C52B4" w:rsidR="00450A0F" w:rsidP="00450A0F" w:rsidRDefault="00450A0F" w14:paraId="607DF4D6" w14:textId="3D518F84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Schema Discriminator 2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450A0F" w:rsidTr="00A37999" w14:paraId="36E47DC8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9C52B4" w:rsidR="00450A0F" w:rsidP="00450A0F" w:rsidRDefault="00450A0F" w14:paraId="3A570195" w14:textId="46640D1E">
            <w:pPr>
              <w:spacing w:after="0" w:line="240" w:lineRule="auto"/>
              <w:rPr>
                <w:rFonts w:eastAsia="Times New Roman" w:cstheme="minorHAnsi"/>
              </w:rPr>
            </w:pPr>
            <w:r w:rsidRPr="00A44AA8">
              <w:rPr>
                <w:rFonts w:eastAsia="Times New Roman" w:cstheme="minorHAnsi"/>
              </w:rPr>
              <w:t>AJCC ID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20C549FB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44AA8" w:rsidR="00B639BA" w:rsidP="00B639BA" w:rsidRDefault="00B639BA" w14:paraId="3BB4C3B8" w14:textId="56E2CEAF">
            <w:pPr>
              <w:spacing w:after="0" w:line="240" w:lineRule="auto"/>
              <w:rPr>
                <w:rFonts w:eastAsia="Times New Roman" w:cstheme="minorHAnsi"/>
              </w:rPr>
            </w:pPr>
            <w:r w:rsidRPr="0037049C">
              <w:rPr>
                <w:rFonts w:eastAsia="Times New Roman" w:cstheme="minorHAnsi"/>
              </w:rPr>
              <w:t>Grade Clinical</w:t>
            </w:r>
          </w:p>
        </w:tc>
      </w:tr>
      <w:tr w:rsidRPr="00430431" w:rsidR="00B639BA" w:rsidTr="00A37999" w14:paraId="67A3028D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44AA8" w:rsidR="00B639BA" w:rsidP="00B639BA" w:rsidRDefault="00B639BA" w14:paraId="3A83A6CE" w14:textId="56200177">
            <w:pPr>
              <w:spacing w:after="0" w:line="240" w:lineRule="auto"/>
              <w:rPr>
                <w:rFonts w:eastAsia="Times New Roman" w:cstheme="minorHAnsi"/>
              </w:rPr>
            </w:pPr>
            <w:r w:rsidRPr="0037049C">
              <w:rPr>
                <w:rFonts w:eastAsia="Times New Roman" w:cstheme="minorHAnsi"/>
              </w:rPr>
              <w:t>Grade Pathological</w:t>
            </w:r>
          </w:p>
        </w:tc>
      </w:tr>
      <w:tr w:rsidRPr="00430431" w:rsidR="00B639BA" w:rsidTr="00A37999" w14:paraId="2DB9EBAE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44AA8" w:rsidR="00B639BA" w:rsidP="00B639BA" w:rsidRDefault="00B639BA" w14:paraId="5832BE43" w14:textId="24E50FAB">
            <w:pPr>
              <w:spacing w:after="0" w:line="240" w:lineRule="auto"/>
              <w:rPr>
                <w:rFonts w:eastAsia="Times New Roman" w:cstheme="minorHAnsi"/>
              </w:rPr>
            </w:pPr>
            <w:r w:rsidRPr="0037049C">
              <w:rPr>
                <w:rFonts w:eastAsia="Times New Roman" w:cstheme="minorHAnsi"/>
              </w:rPr>
              <w:t>Grade Post Therapy</w:t>
            </w:r>
          </w:p>
        </w:tc>
      </w:tr>
      <w:tr w:rsidRPr="00430431" w:rsidR="00B639BA" w:rsidTr="00A37999" w14:paraId="04E904EC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9C52B4" w:rsidR="00B639BA" w:rsidP="00B639BA" w:rsidRDefault="00B639BA" w14:paraId="609D12D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Brain Molecular Markers</w:t>
            </w:r>
          </w:p>
        </w:tc>
      </w:tr>
      <w:tr w:rsidRPr="00430431" w:rsidR="00B639BA" w:rsidTr="00A37999" w14:paraId="15A6438E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9C52B4" w:rsidR="00B639BA" w:rsidP="00B639BA" w:rsidRDefault="00B639BA" w14:paraId="7E8028B2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Estrogen Receptor Summary</w:t>
            </w:r>
          </w:p>
        </w:tc>
      </w:tr>
      <w:tr w:rsidRPr="00430431" w:rsidR="00B639BA" w:rsidTr="00A37999" w14:paraId="0B678593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9C52B4" w:rsidR="00B639BA" w:rsidP="00B639BA" w:rsidRDefault="00B639BA" w14:paraId="3FE9E79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HER2 Overall Summary</w:t>
            </w:r>
          </w:p>
        </w:tc>
      </w:tr>
      <w:tr w:rsidRPr="00430431" w:rsidR="00B639BA" w:rsidTr="00A37999" w14:paraId="37A1F31B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9C52B4" w:rsidR="00B639BA" w:rsidP="00B639BA" w:rsidRDefault="00B639BA" w14:paraId="38DDFF8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Progesterone Receptor Summary</w:t>
            </w:r>
          </w:p>
        </w:tc>
      </w:tr>
      <w:tr w:rsidRPr="00430431" w:rsidR="00B639BA" w:rsidTr="00A37999" w14:paraId="5659680D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9C52B4" w:rsidR="00B639BA" w:rsidP="00B639BA" w:rsidRDefault="00B639BA" w14:paraId="7D8AF156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C52B4">
              <w:rPr>
                <w:rFonts w:eastAsia="Times New Roman" w:cstheme="minorHAnsi"/>
              </w:rPr>
              <w:t>PSA (Prostatic Specific Antigen) Lab Value</w:t>
            </w:r>
          </w:p>
        </w:tc>
      </w:tr>
      <w:tr w:rsidRPr="00430431" w:rsidR="00B639BA" w:rsidTr="00A37999" w14:paraId="689ED101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9C52B4" w:rsidR="00B639BA" w:rsidP="00B639BA" w:rsidRDefault="00B639BA" w14:paraId="0A548C80" w14:textId="730DF464">
            <w:pPr>
              <w:spacing w:after="0" w:line="240" w:lineRule="auto"/>
              <w:rPr>
                <w:rFonts w:eastAsia="Times New Roman" w:cstheme="minorHAnsi"/>
              </w:rPr>
            </w:pPr>
            <w:r w:rsidRPr="00A44AA8">
              <w:rPr>
                <w:rFonts w:eastAsia="Times New Roman" w:cstheme="minorHAnsi"/>
              </w:rPr>
              <w:t>Breslow Tumor Thickness</w:t>
            </w:r>
          </w:p>
        </w:tc>
      </w:tr>
      <w:tr w:rsidRPr="00430431" w:rsidR="00B639BA" w:rsidTr="00A37999" w14:paraId="31780167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388DC2D4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Date </w:t>
            </w:r>
            <w:proofErr w:type="spellStart"/>
            <w:r w:rsidRPr="00A01EC6">
              <w:rPr>
                <w:rFonts w:eastAsia="Times New Roman" w:cstheme="minorHAnsi"/>
              </w:rPr>
              <w:t>Mst</w:t>
            </w:r>
            <w:proofErr w:type="spellEnd"/>
            <w:r w:rsidRPr="00A01EC6">
              <w:rPr>
                <w:rFonts w:eastAsia="Times New Roman" w:cstheme="minorHAnsi"/>
              </w:rPr>
              <w:t xml:space="preserve"> </w:t>
            </w:r>
            <w:proofErr w:type="spellStart"/>
            <w:r w:rsidRPr="00A01EC6">
              <w:rPr>
                <w:rFonts w:eastAsia="Times New Roman" w:cstheme="minorHAnsi"/>
              </w:rPr>
              <w:t>Defn</w:t>
            </w:r>
            <w:proofErr w:type="spellEnd"/>
            <w:r w:rsidRPr="00A01EC6">
              <w:rPr>
                <w:rFonts w:eastAsia="Times New Roman" w:cstheme="minorHAnsi"/>
              </w:rPr>
              <w:t xml:space="preserve"> </w:t>
            </w:r>
            <w:proofErr w:type="spellStart"/>
            <w:r w:rsidRPr="00A01EC6">
              <w:rPr>
                <w:rFonts w:eastAsia="Times New Roman" w:cstheme="minorHAnsi"/>
              </w:rPr>
              <w:t>Srg</w:t>
            </w:r>
            <w:proofErr w:type="spellEnd"/>
          </w:p>
        </w:tc>
      </w:tr>
      <w:tr w:rsidRPr="00430431" w:rsidR="00B639BA" w:rsidTr="00A37999" w14:paraId="5923C069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55C7480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Date </w:t>
            </w:r>
            <w:proofErr w:type="spellStart"/>
            <w:r w:rsidRPr="00A01EC6">
              <w:rPr>
                <w:rFonts w:eastAsia="Times New Roman" w:cstheme="minorHAnsi"/>
              </w:rPr>
              <w:t>Mst</w:t>
            </w:r>
            <w:proofErr w:type="spellEnd"/>
            <w:r w:rsidRPr="00A01EC6">
              <w:rPr>
                <w:rFonts w:eastAsia="Times New Roman" w:cstheme="minorHAnsi"/>
              </w:rPr>
              <w:t xml:space="preserve"> </w:t>
            </w:r>
            <w:proofErr w:type="spellStart"/>
            <w:r w:rsidRPr="00A01EC6">
              <w:rPr>
                <w:rFonts w:eastAsia="Times New Roman" w:cstheme="minorHAnsi"/>
              </w:rPr>
              <w:t>Defn</w:t>
            </w:r>
            <w:proofErr w:type="spellEnd"/>
            <w:r w:rsidRPr="00A01EC6">
              <w:rPr>
                <w:rFonts w:eastAsia="Times New Roman" w:cstheme="minorHAnsi"/>
              </w:rPr>
              <w:t xml:space="preserve"> </w:t>
            </w:r>
            <w:proofErr w:type="spellStart"/>
            <w:r w:rsidRPr="00A01EC6">
              <w:rPr>
                <w:rFonts w:eastAsia="Times New Roman" w:cstheme="minorHAnsi"/>
              </w:rPr>
              <w:t>Srg</w:t>
            </w:r>
            <w:proofErr w:type="spellEnd"/>
            <w:r w:rsidRPr="00A01EC6">
              <w:rPr>
                <w:rFonts w:eastAsia="Times New Roman" w:cstheme="minorHAnsi"/>
              </w:rPr>
              <w:t xml:space="preserve"> Flag</w:t>
            </w:r>
          </w:p>
        </w:tc>
      </w:tr>
      <w:tr w:rsidRPr="00430431" w:rsidR="00B639BA" w:rsidTr="00A37999" w14:paraId="0627754B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569DFE0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Surgery</w:t>
            </w:r>
          </w:p>
        </w:tc>
      </w:tr>
      <w:tr w:rsidRPr="00430431" w:rsidR="00B639BA" w:rsidTr="00A37999" w14:paraId="45707ECE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3F19376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Surgery Flag</w:t>
            </w:r>
          </w:p>
        </w:tc>
      </w:tr>
      <w:tr w:rsidRPr="00430431" w:rsidR="00B639BA" w:rsidTr="00A37999" w14:paraId="0E7E541B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0D804FB4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—Surg Primary Site</w:t>
            </w:r>
          </w:p>
        </w:tc>
      </w:tr>
      <w:tr w:rsidRPr="00430431" w:rsidR="00B639BA" w:rsidTr="00A37999" w14:paraId="3FB75B1A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3F47C75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—Scope Reg LN Sur</w:t>
            </w:r>
          </w:p>
        </w:tc>
      </w:tr>
      <w:tr w:rsidRPr="00430431" w:rsidR="00B639BA" w:rsidTr="00A37999" w14:paraId="7EAAECBF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36EEB53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 xml:space="preserve">—Surg </w:t>
            </w:r>
            <w:proofErr w:type="spellStart"/>
            <w:r w:rsidRPr="00A01EC6">
              <w:rPr>
                <w:rFonts w:eastAsia="Times New Roman" w:cstheme="minorHAnsi"/>
              </w:rPr>
              <w:t>Oth</w:t>
            </w:r>
            <w:proofErr w:type="spellEnd"/>
            <w:r w:rsidRPr="00A01EC6">
              <w:rPr>
                <w:rFonts w:eastAsia="Times New Roman" w:cstheme="minorHAnsi"/>
              </w:rPr>
              <w:t xml:space="preserve"> Reg/Dis</w:t>
            </w:r>
          </w:p>
        </w:tc>
      </w:tr>
      <w:tr w:rsidRPr="00430431" w:rsidR="00B639BA" w:rsidTr="00A37999" w14:paraId="4348DDB6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5FE3DAA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Reason for No Surgery</w:t>
            </w:r>
          </w:p>
        </w:tc>
      </w:tr>
      <w:tr w:rsidRPr="00430431" w:rsidR="00B639BA" w:rsidTr="00A37999" w14:paraId="3EA2CE0B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7204D66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Radiation</w:t>
            </w:r>
          </w:p>
        </w:tc>
      </w:tr>
      <w:tr w:rsidRPr="00430431" w:rsidR="00B639BA" w:rsidTr="00A37999" w14:paraId="664419D4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265D59A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Radiation Flag</w:t>
            </w:r>
          </w:p>
        </w:tc>
      </w:tr>
      <w:tr w:rsidRPr="00430431" w:rsidR="00B639BA" w:rsidTr="00A37999" w14:paraId="52E0B777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535083E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—Radiation</w:t>
            </w:r>
          </w:p>
        </w:tc>
      </w:tr>
      <w:tr w:rsidRPr="00430431" w:rsidR="00B639BA" w:rsidTr="00A37999" w14:paraId="07B7192C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06BC7A93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—Surg/Rad Seq</w:t>
            </w:r>
          </w:p>
        </w:tc>
      </w:tr>
      <w:tr w:rsidRPr="00430431" w:rsidR="00B639BA" w:rsidTr="00A37999" w14:paraId="4526A540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2F0A9C9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Reason for No Radiation</w:t>
            </w:r>
          </w:p>
        </w:tc>
      </w:tr>
      <w:tr w:rsidRPr="00430431" w:rsidR="00B639BA" w:rsidTr="00A37999" w14:paraId="7D5A33B2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32B8F9F6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Chemo</w:t>
            </w:r>
          </w:p>
        </w:tc>
      </w:tr>
      <w:tr w:rsidRPr="00430431" w:rsidR="00B639BA" w:rsidTr="00A37999" w14:paraId="70FD94A7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6C50C0B3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Chemo Flag</w:t>
            </w:r>
          </w:p>
        </w:tc>
      </w:tr>
      <w:tr w:rsidRPr="00430431" w:rsidR="00B639BA" w:rsidTr="00A37999" w14:paraId="5F01DB41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71E450E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—Chemo</w:t>
            </w:r>
          </w:p>
        </w:tc>
      </w:tr>
      <w:tr w:rsidRPr="00430431" w:rsidR="00B639BA" w:rsidTr="00A37999" w14:paraId="5461CCE7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2D814C8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lastRenderedPageBreak/>
              <w:t>RX Date Hormone</w:t>
            </w:r>
          </w:p>
        </w:tc>
      </w:tr>
      <w:tr w:rsidRPr="00430431" w:rsidR="00B639BA" w:rsidTr="00A37999" w14:paraId="02096BDA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339BFB6E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Hormone Flag</w:t>
            </w:r>
          </w:p>
        </w:tc>
      </w:tr>
      <w:tr w:rsidRPr="00430431" w:rsidR="00B639BA" w:rsidTr="00A37999" w14:paraId="16CFBF17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1AB46D3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—Hormone</w:t>
            </w:r>
          </w:p>
        </w:tc>
      </w:tr>
      <w:tr w:rsidRPr="00430431" w:rsidR="00B639BA" w:rsidTr="00A37999" w14:paraId="4FAECB14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1F746762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BRM</w:t>
            </w:r>
          </w:p>
        </w:tc>
      </w:tr>
      <w:tr w:rsidRPr="00430431" w:rsidR="00B639BA" w:rsidTr="00A37999" w14:paraId="3C2659F5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5E2492F3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BRM Flag</w:t>
            </w:r>
          </w:p>
        </w:tc>
      </w:tr>
      <w:tr w:rsidRPr="00430431" w:rsidR="00B639BA" w:rsidTr="00A37999" w14:paraId="43C7B239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456B632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 xml:space="preserve">Rx </w:t>
            </w:r>
            <w:proofErr w:type="spellStart"/>
            <w:r w:rsidRPr="00A01EC6">
              <w:rPr>
                <w:rFonts w:eastAsia="Times New Roman" w:cstheme="minorHAnsi"/>
              </w:rPr>
              <w:t>Summ</w:t>
            </w:r>
            <w:proofErr w:type="spellEnd"/>
            <w:r w:rsidRPr="00A01EC6">
              <w:rPr>
                <w:rFonts w:eastAsia="Times New Roman" w:cstheme="minorHAnsi"/>
              </w:rPr>
              <w:t>—BRM</w:t>
            </w:r>
          </w:p>
        </w:tc>
      </w:tr>
      <w:tr w:rsidRPr="00430431" w:rsidR="00B639BA" w:rsidTr="00A37999" w14:paraId="1F6DA195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13B19A0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Other</w:t>
            </w:r>
          </w:p>
        </w:tc>
      </w:tr>
      <w:tr w:rsidRPr="00430431" w:rsidR="00B639BA" w:rsidTr="00A37999" w14:paraId="0CA67C71" w14:textId="77777777">
        <w:trPr>
          <w:trHeight w:val="300"/>
        </w:trPr>
        <w:tc>
          <w:tcPr>
            <w:tcW w:w="5998" w:type="dxa"/>
            <w:shd w:val="clear" w:color="auto" w:fill="auto"/>
            <w:hideMark/>
          </w:tcPr>
          <w:p w:rsidRPr="00A01EC6" w:rsidR="00B639BA" w:rsidP="00B639BA" w:rsidRDefault="00B639BA" w14:paraId="67CF095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A01EC6">
              <w:rPr>
                <w:rFonts w:eastAsia="Times New Roman" w:cstheme="minorHAnsi"/>
              </w:rPr>
              <w:t>RX Date Other Flag</w:t>
            </w:r>
          </w:p>
        </w:tc>
      </w:tr>
      <w:tr w:rsidRPr="00430431" w:rsidR="00B639BA" w:rsidTr="00A37999" w14:paraId="272D3ED7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01EC6" w:rsidR="00B639BA" w:rsidP="00B639BA" w:rsidRDefault="00B639BA" w14:paraId="07496ED3" w14:textId="6F986C52">
            <w:pPr>
              <w:spacing w:after="0" w:line="240" w:lineRule="auto"/>
              <w:rPr>
                <w:rFonts w:eastAsia="Times New Roman" w:cstheme="minorHAnsi"/>
              </w:rPr>
            </w:pPr>
            <w:r w:rsidRPr="003D4883">
              <w:rPr>
                <w:rFonts w:eastAsia="Times New Roman" w:cstheme="minorHAnsi"/>
              </w:rPr>
              <w:t>Vital Status Recode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5EC219D6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01EC6" w:rsidR="00B639BA" w:rsidP="00B639BA" w:rsidRDefault="00B639BA" w14:paraId="0BDAAA40" w14:textId="21273EC8">
            <w:pPr>
              <w:spacing w:after="0" w:line="240" w:lineRule="auto"/>
              <w:rPr>
                <w:rFonts w:eastAsia="Times New Roman" w:cstheme="minorHAnsi"/>
              </w:rPr>
            </w:pPr>
            <w:r w:rsidRPr="003D4883">
              <w:rPr>
                <w:rFonts w:eastAsia="Times New Roman" w:cstheme="minorHAnsi"/>
              </w:rPr>
              <w:t>Record Number Recode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70F1D050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01EC6" w:rsidR="00B639BA" w:rsidP="00B639BA" w:rsidRDefault="00B639BA" w14:paraId="39258F28" w14:textId="21DD52DA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3D4883">
              <w:rPr>
                <w:rFonts w:eastAsia="Times New Roman" w:cstheme="minorHAnsi"/>
              </w:rPr>
              <w:t>Surv</w:t>
            </w:r>
            <w:proofErr w:type="spellEnd"/>
            <w:r w:rsidRPr="003D4883">
              <w:rPr>
                <w:rFonts w:eastAsia="Times New Roman" w:cstheme="minorHAnsi"/>
              </w:rPr>
              <w:t xml:space="preserve">-Date Active </w:t>
            </w:r>
            <w:proofErr w:type="spellStart"/>
            <w:r w:rsidRPr="003D4883">
              <w:rPr>
                <w:rFonts w:eastAsia="Times New Roman" w:cstheme="minorHAnsi"/>
              </w:rPr>
              <w:t>Followup</w:t>
            </w:r>
            <w:proofErr w:type="spellEnd"/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60A5931A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A01EC6" w:rsidR="00B639BA" w:rsidP="00B639BA" w:rsidRDefault="00B639BA" w14:paraId="12264158" w14:textId="596FBB5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3D4883">
              <w:rPr>
                <w:rFonts w:eastAsia="Times New Roman" w:cstheme="minorHAnsi"/>
              </w:rPr>
              <w:t>Surv</w:t>
            </w:r>
            <w:proofErr w:type="spellEnd"/>
            <w:r w:rsidRPr="003D4883">
              <w:rPr>
                <w:rFonts w:eastAsia="Times New Roman" w:cstheme="minorHAnsi"/>
              </w:rPr>
              <w:t xml:space="preserve">-Flag Active </w:t>
            </w:r>
            <w:proofErr w:type="spellStart"/>
            <w:r w:rsidRPr="003D4883">
              <w:rPr>
                <w:rFonts w:eastAsia="Times New Roman" w:cstheme="minorHAnsi"/>
              </w:rPr>
              <w:t>Followup</w:t>
            </w:r>
            <w:proofErr w:type="spellEnd"/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2E0B37CF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3D4883" w:rsidR="00B639BA" w:rsidP="00B639BA" w:rsidRDefault="00B639BA" w14:paraId="0B649DED" w14:textId="086611C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3D4883">
              <w:rPr>
                <w:rFonts w:eastAsia="Times New Roman" w:cstheme="minorHAnsi"/>
              </w:rPr>
              <w:t>Surv</w:t>
            </w:r>
            <w:proofErr w:type="spellEnd"/>
            <w:r w:rsidRPr="003D4883">
              <w:rPr>
                <w:rFonts w:eastAsia="Times New Roman" w:cstheme="minorHAnsi"/>
              </w:rPr>
              <w:t>-Date Presumed Alive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5ADCBD9C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3D4883" w:rsidR="00B639BA" w:rsidP="00B639BA" w:rsidRDefault="00B639BA" w14:paraId="2220AEC0" w14:textId="0DEBA4CB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3D4883">
              <w:rPr>
                <w:rFonts w:eastAsia="Times New Roman" w:cstheme="minorHAnsi"/>
              </w:rPr>
              <w:t>Surv</w:t>
            </w:r>
            <w:proofErr w:type="spellEnd"/>
            <w:r w:rsidRPr="003D4883">
              <w:rPr>
                <w:rFonts w:eastAsia="Times New Roman" w:cstheme="minorHAnsi"/>
              </w:rPr>
              <w:t>-Flag Presumed Alive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05E139E7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3D4883" w:rsidR="00B639BA" w:rsidP="00B639BA" w:rsidRDefault="00B639BA" w14:paraId="236C1EAB" w14:textId="0E220DD1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2F4F14">
              <w:rPr>
                <w:rFonts w:eastAsia="Times New Roman" w:cstheme="minorHAnsi"/>
              </w:rPr>
              <w:t>Surv</w:t>
            </w:r>
            <w:proofErr w:type="spellEnd"/>
            <w:r w:rsidRPr="002F4F14">
              <w:rPr>
                <w:rFonts w:eastAsia="Times New Roman" w:cstheme="minorHAnsi"/>
              </w:rPr>
              <w:t>-Date Dx Recode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7D844115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2F4F14" w:rsidR="00B639BA" w:rsidP="00B639BA" w:rsidRDefault="00B639BA" w14:paraId="1ADF2467" w14:textId="1CB88329">
            <w:pPr>
              <w:spacing w:after="0" w:line="240" w:lineRule="auto"/>
              <w:rPr>
                <w:rFonts w:eastAsia="Times New Roman" w:cstheme="minorHAnsi"/>
              </w:rPr>
            </w:pPr>
            <w:r w:rsidRPr="002F4F14">
              <w:rPr>
                <w:rFonts w:eastAsia="Times New Roman" w:cstheme="minorHAnsi"/>
              </w:rPr>
              <w:t>SEER Cause-Specific COD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  <w:tr w:rsidRPr="00430431" w:rsidR="00B639BA" w:rsidTr="00A37999" w14:paraId="747A809E" w14:textId="77777777">
        <w:trPr>
          <w:trHeight w:val="300"/>
        </w:trPr>
        <w:tc>
          <w:tcPr>
            <w:tcW w:w="5998" w:type="dxa"/>
            <w:shd w:val="clear" w:color="auto" w:fill="auto"/>
          </w:tcPr>
          <w:p w:rsidRPr="002F4F14" w:rsidR="00B639BA" w:rsidP="00B639BA" w:rsidRDefault="00B639BA" w14:paraId="4FF49164" w14:textId="29B32CB0">
            <w:pPr>
              <w:spacing w:after="0" w:line="240" w:lineRule="auto"/>
              <w:rPr>
                <w:rFonts w:eastAsia="Times New Roman" w:cstheme="minorHAnsi"/>
              </w:rPr>
            </w:pPr>
            <w:r w:rsidRPr="002F4F14">
              <w:rPr>
                <w:rFonts w:eastAsia="Times New Roman" w:cstheme="minorHAnsi"/>
              </w:rPr>
              <w:t>SEER Other COD</w:t>
            </w:r>
            <w:r w:rsidR="00CB0E7B">
              <w:rPr>
                <w:rFonts w:eastAsia="Times New Roman" w:cstheme="minorHAnsi"/>
              </w:rPr>
              <w:t xml:space="preserve"> [derived]</w:t>
            </w:r>
          </w:p>
        </w:tc>
      </w:tr>
    </w:tbl>
    <w:p w:rsidRPr="00554E3B" w:rsidR="00016A82" w:rsidP="00CB0E7B" w:rsidRDefault="00016A82" w14:paraId="62632D4B" w14:textId="2521E8D4">
      <w:pPr>
        <w:pStyle w:val="NoSpacing"/>
      </w:pPr>
    </w:p>
    <w:sectPr w:rsidRPr="00554E3B" w:rsidR="00016A8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63D35"/>
    <w:multiLevelType w:val="hybridMultilevel"/>
    <w:tmpl w:val="BA0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641F7"/>
    <w:multiLevelType w:val="hybridMultilevel"/>
    <w:tmpl w:val="CAE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A521C"/>
    <w:multiLevelType w:val="hybridMultilevel"/>
    <w:tmpl w:val="A528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3B"/>
    <w:rsid w:val="00016A82"/>
    <w:rsid w:val="000306B9"/>
    <w:rsid w:val="00034901"/>
    <w:rsid w:val="00034B9F"/>
    <w:rsid w:val="00034E58"/>
    <w:rsid w:val="0007114F"/>
    <w:rsid w:val="00094E55"/>
    <w:rsid w:val="000A6884"/>
    <w:rsid w:val="00153086"/>
    <w:rsid w:val="00170A92"/>
    <w:rsid w:val="0020004C"/>
    <w:rsid w:val="0021546F"/>
    <w:rsid w:val="0026232F"/>
    <w:rsid w:val="002F4F14"/>
    <w:rsid w:val="00312E01"/>
    <w:rsid w:val="00336950"/>
    <w:rsid w:val="0037049C"/>
    <w:rsid w:val="003B5FCC"/>
    <w:rsid w:val="003D4883"/>
    <w:rsid w:val="003F40EA"/>
    <w:rsid w:val="004070CF"/>
    <w:rsid w:val="00430431"/>
    <w:rsid w:val="00450A0F"/>
    <w:rsid w:val="004A6D91"/>
    <w:rsid w:val="004B30CF"/>
    <w:rsid w:val="00544FD9"/>
    <w:rsid w:val="00554E3B"/>
    <w:rsid w:val="00556DF2"/>
    <w:rsid w:val="00591A0D"/>
    <w:rsid w:val="00620D41"/>
    <w:rsid w:val="00687699"/>
    <w:rsid w:val="00711454"/>
    <w:rsid w:val="007378A4"/>
    <w:rsid w:val="00765778"/>
    <w:rsid w:val="00780798"/>
    <w:rsid w:val="007935C1"/>
    <w:rsid w:val="0087093E"/>
    <w:rsid w:val="00893B8E"/>
    <w:rsid w:val="00897DD1"/>
    <w:rsid w:val="008A15B6"/>
    <w:rsid w:val="008F0D61"/>
    <w:rsid w:val="009448A2"/>
    <w:rsid w:val="0097225C"/>
    <w:rsid w:val="009C52B4"/>
    <w:rsid w:val="00A01EC6"/>
    <w:rsid w:val="00A161B3"/>
    <w:rsid w:val="00A37999"/>
    <w:rsid w:val="00A44AA8"/>
    <w:rsid w:val="00B639BA"/>
    <w:rsid w:val="00B6691F"/>
    <w:rsid w:val="00BD5C0E"/>
    <w:rsid w:val="00C345B5"/>
    <w:rsid w:val="00C90770"/>
    <w:rsid w:val="00CA4F61"/>
    <w:rsid w:val="00CB0E7B"/>
    <w:rsid w:val="00D02DD9"/>
    <w:rsid w:val="00D26908"/>
    <w:rsid w:val="00D31F88"/>
    <w:rsid w:val="00D62C03"/>
    <w:rsid w:val="00DA1CB1"/>
    <w:rsid w:val="00DC30DB"/>
    <w:rsid w:val="00DD548C"/>
    <w:rsid w:val="00E134B0"/>
    <w:rsid w:val="00E252DC"/>
    <w:rsid w:val="00E301CF"/>
    <w:rsid w:val="00E96270"/>
    <w:rsid w:val="00EA13EB"/>
    <w:rsid w:val="00EC212F"/>
    <w:rsid w:val="00EE6FDA"/>
    <w:rsid w:val="00EF7488"/>
    <w:rsid w:val="00F37C0B"/>
    <w:rsid w:val="00F50F2C"/>
    <w:rsid w:val="00F91470"/>
    <w:rsid w:val="00FC70C6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0C65"/>
  <w15:chartTrackingRefBased/>
  <w15:docId w15:val="{A7E80833-8F36-480F-A7B1-86D14EAD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E3B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BD5C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9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2" ma:contentTypeDescription="Create a new document." ma:contentTypeScope="" ma:versionID="fbe5199e020ff156c39545c4c2b90f2b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b6b795e723ad76eb97d455567d59441f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71321-C515-4899-91AC-7B815F59B2EF}">
  <ds:schemaRefs>
    <ds:schemaRef ds:uri="http://schemas.microsoft.com/office/2006/metadata/properties"/>
    <ds:schemaRef ds:uri="f7f5e8e1-eeb2-484a-be0b-65ad7cf1b353"/>
    <ds:schemaRef ds:uri="587eaf65-62bf-4644-9d87-324c8433ce85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625317-314A-466D-9EF7-57B3DD52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6F0B4-330C-454B-B747-F8B0044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Reda (CDC/DDNID/NCCDPHP/DCPC)</dc:creator>
  <cp:keywords/>
  <dc:description/>
  <cp:lastModifiedBy>Wilson, Reda (CDC/DDNID/NCCDPHP/DCPC)</cp:lastModifiedBy>
  <cp:revision>69</cp:revision>
  <dcterms:created xsi:type="dcterms:W3CDTF">2019-01-07T18:40:00Z</dcterms:created>
  <dcterms:modified xsi:type="dcterms:W3CDTF">2021-12-28T16:05:00Z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2021-12-28T16:05:34Z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9b11f22b-d380-4a5f-baf8-5deb0647cd69</vt:lpwstr>
  </property>
  <property fmtid="{D5CDD505-2E9C-101B-9397-08002B2CF9AE}" pid="9" name="MSIP_Label_7b94a7b8-f06c-4dfe-bdcc-9b548fd58c31_ContentBits">
    <vt:lpwstr>0</vt:lpwstr>
  </property>
</Properties>
</file>