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4F5A" w:rsidR="006943B0" w:rsidP="006943B0" w:rsidRDefault="006943B0" w14:paraId="4B3C4F88" w14:textId="77777777">
      <w:pPr>
        <w:pStyle w:val="Heading1"/>
        <w:jc w:val="center"/>
        <w:rPr>
          <w:rFonts w:eastAsia="Times New Roman" w:asciiTheme="minorHAnsi" w:hAnsiTheme="minorHAnsi"/>
          <w:b/>
          <w:bCs/>
          <w:sz w:val="22"/>
          <w:szCs w:val="22"/>
        </w:rPr>
      </w:pPr>
      <w:r w:rsidRPr="00B74F5A">
        <w:rPr>
          <w:rFonts w:eastAsia="Times New Roman" w:asciiTheme="minorHAnsi" w:hAnsiTheme="minorHAnsi"/>
          <w:b/>
          <w:bCs/>
          <w:sz w:val="22"/>
          <w:szCs w:val="22"/>
        </w:rPr>
        <w:t>Change Request</w:t>
      </w:r>
    </w:p>
    <w:p w:rsidRPr="006943B0" w:rsidR="006943B0" w:rsidP="006943B0" w:rsidRDefault="006943B0" w14:paraId="319B018A" w14:textId="77777777">
      <w:pPr>
        <w:pStyle w:val="Heading1"/>
        <w:jc w:val="center"/>
        <w:rPr>
          <w:rFonts w:eastAsia="Times New Roman" w:asciiTheme="minorHAnsi" w:hAnsiTheme="minorHAnsi"/>
          <w:b/>
          <w:bCs/>
          <w:sz w:val="22"/>
          <w:szCs w:val="22"/>
        </w:rPr>
      </w:pPr>
      <w:r w:rsidRPr="006943B0">
        <w:rPr>
          <w:rFonts w:eastAsia="Times New Roman" w:asciiTheme="minorHAnsi" w:hAnsiTheme="minorHAnsi"/>
          <w:b/>
          <w:bCs/>
          <w:sz w:val="22"/>
          <w:szCs w:val="22"/>
        </w:rPr>
        <w:t xml:space="preserve">Extended Evaluation of the National Tobacco Prevention and Control </w:t>
      </w:r>
    </w:p>
    <w:p w:rsidR="00245812" w:rsidP="006943B0" w:rsidRDefault="006943B0" w14:paraId="0DF35152" w14:textId="77777777">
      <w:pPr>
        <w:pStyle w:val="Heading1"/>
        <w:jc w:val="center"/>
        <w:rPr>
          <w:rFonts w:eastAsia="Times New Roman" w:asciiTheme="minorHAnsi" w:hAnsiTheme="minorHAnsi"/>
          <w:b/>
          <w:bCs/>
          <w:sz w:val="22"/>
          <w:szCs w:val="22"/>
        </w:rPr>
      </w:pPr>
      <w:r w:rsidRPr="006943B0">
        <w:rPr>
          <w:rFonts w:eastAsia="Times New Roman" w:asciiTheme="minorHAnsi" w:hAnsiTheme="minorHAnsi"/>
          <w:b/>
          <w:bCs/>
          <w:sz w:val="22"/>
          <w:szCs w:val="22"/>
        </w:rPr>
        <w:t xml:space="preserve">Public Education Campaign </w:t>
      </w:r>
    </w:p>
    <w:p w:rsidRPr="00B74F5A" w:rsidR="006943B0" w:rsidP="006943B0" w:rsidRDefault="006943B0" w14:paraId="6E2D5D57" w14:textId="7E75F2DF">
      <w:pPr>
        <w:pStyle w:val="Heading1"/>
        <w:jc w:val="center"/>
        <w:rPr>
          <w:rFonts w:eastAsia="Times New Roman" w:asciiTheme="minorHAnsi" w:hAnsiTheme="minorHAnsi"/>
          <w:sz w:val="22"/>
          <w:szCs w:val="22"/>
        </w:rPr>
      </w:pPr>
      <w:r w:rsidRPr="00B74F5A">
        <w:rPr>
          <w:rFonts w:eastAsia="Times New Roman" w:asciiTheme="minorHAnsi" w:hAnsiTheme="minorHAnsi"/>
          <w:sz w:val="22"/>
          <w:szCs w:val="22"/>
        </w:rPr>
        <w:t>(OMB no. 0920-</w:t>
      </w:r>
      <w:r>
        <w:rPr>
          <w:rFonts w:eastAsia="Times New Roman" w:asciiTheme="minorHAnsi" w:hAnsiTheme="minorHAnsi"/>
          <w:sz w:val="22"/>
          <w:szCs w:val="22"/>
        </w:rPr>
        <w:t>1083,</w:t>
      </w:r>
      <w:r w:rsidRPr="00B74F5A">
        <w:rPr>
          <w:rFonts w:eastAsia="Times New Roman" w:asciiTheme="minorHAnsi" w:hAnsiTheme="minorHAnsi"/>
          <w:sz w:val="22"/>
          <w:szCs w:val="22"/>
        </w:rPr>
        <w:t xml:space="preserve"> approved </w:t>
      </w:r>
      <w:r>
        <w:rPr>
          <w:rFonts w:eastAsia="Times New Roman" w:asciiTheme="minorHAnsi" w:hAnsiTheme="minorHAnsi"/>
          <w:sz w:val="22"/>
          <w:szCs w:val="22"/>
        </w:rPr>
        <w:t>03/30/2021</w:t>
      </w:r>
      <w:r w:rsidRPr="00B74F5A">
        <w:rPr>
          <w:rFonts w:eastAsia="Times New Roman" w:asciiTheme="minorHAnsi" w:hAnsiTheme="minorHAnsi"/>
          <w:sz w:val="22"/>
          <w:szCs w:val="22"/>
        </w:rPr>
        <w:t xml:space="preserve">, exp. date </w:t>
      </w:r>
      <w:r>
        <w:rPr>
          <w:rFonts w:eastAsia="Times New Roman" w:asciiTheme="minorHAnsi" w:hAnsiTheme="minorHAnsi"/>
          <w:sz w:val="22"/>
          <w:szCs w:val="22"/>
        </w:rPr>
        <w:t>03/31/2023</w:t>
      </w:r>
      <w:r w:rsidRPr="00B74F5A">
        <w:rPr>
          <w:rFonts w:eastAsia="Times New Roman" w:asciiTheme="minorHAnsi" w:hAnsiTheme="minorHAnsi"/>
          <w:sz w:val="22"/>
          <w:szCs w:val="22"/>
        </w:rPr>
        <w:t>)</w:t>
      </w:r>
    </w:p>
    <w:p w:rsidRPr="00B74F5A" w:rsidR="006943B0" w:rsidP="006943B0" w:rsidRDefault="006943B0" w14:paraId="5D62D162" w14:textId="77777777"/>
    <w:p w:rsidRPr="00B74F5A" w:rsidR="006943B0" w:rsidP="006943B0" w:rsidRDefault="006943B0" w14:paraId="33078354" w14:textId="0FB4CDB4">
      <w:pPr>
        <w:jc w:val="center"/>
      </w:pPr>
      <w:r w:rsidRPr="00B74F5A">
        <w:t>Date of Request:</w:t>
      </w:r>
      <w:r>
        <w:t xml:space="preserve"> February </w:t>
      </w:r>
      <w:r w:rsidR="009D70B1">
        <w:t>4</w:t>
      </w:r>
      <w:r>
        <w:t>, 2022</w:t>
      </w:r>
    </w:p>
    <w:p w:rsidRPr="00B74F5A" w:rsidR="006943B0" w:rsidP="006943B0" w:rsidRDefault="006943B0" w14:paraId="4246087B" w14:textId="1EDBD68C">
      <w:pPr>
        <w:pStyle w:val="NoSpacing"/>
        <w:jc w:val="center"/>
      </w:pPr>
      <w:r w:rsidRPr="00B74F5A">
        <w:rPr>
          <w:b/>
        </w:rPr>
        <w:t>OMB approval is requested by:</w:t>
      </w:r>
      <w:r>
        <w:rPr>
          <w:b/>
        </w:rPr>
        <w:t xml:space="preserve"> </w:t>
      </w:r>
      <w:r w:rsidR="00245812">
        <w:rPr>
          <w:b/>
        </w:rPr>
        <w:t>May 15</w:t>
      </w:r>
      <w:r>
        <w:rPr>
          <w:b/>
        </w:rPr>
        <w:t>, 20</w:t>
      </w:r>
      <w:r w:rsidR="00245812">
        <w:rPr>
          <w:b/>
        </w:rPr>
        <w:t>22</w:t>
      </w:r>
    </w:p>
    <w:p w:rsidRPr="00B74F5A" w:rsidR="006943B0" w:rsidP="006943B0" w:rsidRDefault="006943B0" w14:paraId="13C01DCB" w14:textId="77777777">
      <w:pPr>
        <w:pStyle w:val="NoSpacing"/>
        <w:rPr>
          <w:b/>
          <w:bCs/>
        </w:rPr>
      </w:pPr>
    </w:p>
    <w:p w:rsidRPr="00B74F5A" w:rsidR="006943B0" w:rsidP="006943B0" w:rsidRDefault="006943B0" w14:paraId="2230BC3D" w14:textId="77777777">
      <w:pPr>
        <w:pStyle w:val="NoSpacing"/>
        <w:rPr>
          <w:b/>
          <w:bCs/>
        </w:rPr>
      </w:pPr>
      <w:r w:rsidRPr="00B74F5A">
        <w:rPr>
          <w:b/>
          <w:bCs/>
        </w:rPr>
        <w:t>Summary</w:t>
      </w:r>
    </w:p>
    <w:p w:rsidRPr="00B74F5A" w:rsidR="006943B0" w:rsidP="006943B0" w:rsidRDefault="006943B0" w14:paraId="42B2382B" w14:textId="77777777">
      <w:pPr>
        <w:pStyle w:val="NoSpacing"/>
      </w:pPr>
    </w:p>
    <w:p w:rsidRPr="00C05330" w:rsidR="00DF66EC" w:rsidP="00DF66EC" w:rsidRDefault="006943B0" w14:paraId="446D1626" w14:textId="2732D822">
      <w:pPr>
        <w:pStyle w:val="NoSpacing"/>
        <w:rPr>
          <w:strike/>
        </w:rPr>
      </w:pPr>
      <w:r>
        <w:t xml:space="preserve"> </w:t>
      </w:r>
      <w:r w:rsidR="00DF66EC">
        <w:t xml:space="preserve">In 2012, HHS/CDC launched the National Tobacco Prevention and Control Public Education Campaign </w:t>
      </w:r>
      <w:r w:rsidR="000C5833">
        <w:t xml:space="preserve">named </w:t>
      </w:r>
      <w:r w:rsidRPr="003C6F67" w:rsidR="000C5833">
        <w:rPr>
          <w:i/>
          <w:iCs/>
        </w:rPr>
        <w:t xml:space="preserve">Tips </w:t>
      </w:r>
      <w:proofErr w:type="gramStart"/>
      <w:r w:rsidRPr="003C6F67" w:rsidR="000C5833">
        <w:rPr>
          <w:i/>
          <w:iCs/>
        </w:rPr>
        <w:t>From</w:t>
      </w:r>
      <w:proofErr w:type="gramEnd"/>
      <w:r w:rsidRPr="003C6F67" w:rsidR="000C5833">
        <w:rPr>
          <w:i/>
          <w:iCs/>
        </w:rPr>
        <w:t xml:space="preserve"> Former Smokers</w:t>
      </w:r>
      <w:r w:rsidR="003C6F67">
        <w:t xml:space="preserve">® </w:t>
      </w:r>
      <w:r w:rsidR="00DF66EC">
        <w:t>(</w:t>
      </w:r>
      <w:r w:rsidRPr="00CC5BA8" w:rsidR="00DF66EC">
        <w:rPr>
          <w:i/>
          <w:iCs/>
        </w:rPr>
        <w:t>Tips</w:t>
      </w:r>
      <w:r w:rsidR="00DF66EC">
        <w:t>)</w:t>
      </w:r>
      <w:r w:rsidR="003C6F67">
        <w:t xml:space="preserve"> campaign</w:t>
      </w:r>
      <w:r w:rsidR="00DF66EC">
        <w:t xml:space="preserve">.  The primary objectives of </w:t>
      </w:r>
      <w:r w:rsidRPr="007C70D7" w:rsidR="00DF66EC">
        <w:rPr>
          <w:i/>
          <w:iCs/>
        </w:rPr>
        <w:t>Tips</w:t>
      </w:r>
      <w:r w:rsidR="00DF66EC">
        <w:t xml:space="preserve"> are to encourage smokers to quit smoking and to encourage nonsmokers to communicate with smokers about the dangers of smoking. </w:t>
      </w:r>
      <w:r w:rsidRPr="007A076E" w:rsidR="00DF66EC">
        <w:rPr>
          <w:i/>
          <w:iCs/>
        </w:rPr>
        <w:t xml:space="preserve">Tips </w:t>
      </w:r>
      <w:r w:rsidR="00DF66EC">
        <w:t>airs annually in all U.S. media markets on broadcast and national cable TV as well as other media channels including digital video, online display and banners, radio, billboards, and other formats</w:t>
      </w:r>
      <w:r w:rsidRPr="00244B4C" w:rsidR="00DF66EC">
        <w:rPr>
          <w:i/>
          <w:iCs/>
        </w:rPr>
        <w:t>. Tips</w:t>
      </w:r>
      <w:r w:rsidR="00DF66EC">
        <w:t xml:space="preserve"> ads rely on evidence-based paid media advertising that highlights the negative health consequences of smoking. </w:t>
      </w:r>
      <w:r w:rsidRPr="007A076E" w:rsidR="00DF66EC">
        <w:rPr>
          <w:i/>
          <w:iCs/>
        </w:rPr>
        <w:t>Tips</w:t>
      </w:r>
      <w:r w:rsidR="00DF66EC">
        <w:t xml:space="preserve">’ primary target audience is adult smokers; adult nonsmokers constitute the secondary audience. </w:t>
      </w:r>
      <w:r w:rsidRPr="00A73A8C" w:rsidR="00DF66EC">
        <w:rPr>
          <w:i/>
          <w:iCs/>
        </w:rPr>
        <w:t>Tips</w:t>
      </w:r>
      <w:r w:rsidR="00DF66EC">
        <w:t xml:space="preserve"> paid advertisements are aimed at providing motivation and support to smokers to quit, with information and other resources to increase smokers’ chances of success in their attempts to quit smoking. </w:t>
      </w:r>
    </w:p>
    <w:p w:rsidR="009D70B1" w:rsidP="00DF66EC" w:rsidRDefault="009D70B1" w14:paraId="209B6E6F" w14:textId="77777777">
      <w:pPr>
        <w:pStyle w:val="NoSpacing"/>
      </w:pPr>
    </w:p>
    <w:p w:rsidRPr="00B74F5A" w:rsidR="006943B0" w:rsidP="006943B0" w:rsidRDefault="006943B0" w14:paraId="5A861D57" w14:textId="77777777">
      <w:pPr>
        <w:pStyle w:val="NoSpacing"/>
        <w:rPr>
          <w:b/>
        </w:rPr>
      </w:pPr>
      <w:r w:rsidRPr="00B74F5A">
        <w:rPr>
          <w:b/>
        </w:rPr>
        <w:t>We request the following:</w:t>
      </w:r>
    </w:p>
    <w:p w:rsidRPr="00B74F5A" w:rsidR="006943B0" w:rsidP="006943B0" w:rsidRDefault="006943B0" w14:paraId="66207EE0" w14:textId="77777777">
      <w:pPr>
        <w:pStyle w:val="NoSpacing"/>
      </w:pPr>
    </w:p>
    <w:p w:rsidRPr="003D0647" w:rsidR="006943B0" w:rsidP="006943B0" w:rsidRDefault="006943B0" w14:paraId="07B04347" w14:textId="19B7BAAB">
      <w:pPr>
        <w:pStyle w:val="NoSpacing"/>
      </w:pPr>
      <w:r>
        <w:t xml:space="preserve">OMB approval of revised </w:t>
      </w:r>
      <w:r w:rsidR="00E9712C">
        <w:t xml:space="preserve">NTEC </w:t>
      </w:r>
      <w:r w:rsidR="00531C5A">
        <w:t xml:space="preserve">smoker </w:t>
      </w:r>
      <w:r w:rsidR="00E9712C">
        <w:t xml:space="preserve">survey </w:t>
      </w:r>
      <w:r w:rsidR="00C8337E">
        <w:t>questionnaire</w:t>
      </w:r>
      <w:r w:rsidR="00CD24FE">
        <w:t xml:space="preserve"> for 2022</w:t>
      </w:r>
      <w:r w:rsidR="00531C5A">
        <w:t xml:space="preserve"> with 3</w:t>
      </w:r>
      <w:r w:rsidR="00F56B07">
        <w:t xml:space="preserve"> </w:t>
      </w:r>
      <w:r w:rsidR="00531C5A">
        <w:t>new questions</w:t>
      </w:r>
      <w:r w:rsidR="00CD24FE">
        <w:t xml:space="preserve">. </w:t>
      </w:r>
      <w:r>
        <w:t xml:space="preserve"> See </w:t>
      </w:r>
      <w:r w:rsidRPr="5C637D63">
        <w:rPr>
          <w:b/>
          <w:bCs/>
        </w:rPr>
        <w:t>Attachment I-1</w:t>
      </w:r>
      <w:r>
        <w:t xml:space="preserve">, </w:t>
      </w:r>
      <w:r w:rsidR="007302EA">
        <w:t xml:space="preserve">2022 NTEC Smoker Survey </w:t>
      </w:r>
      <w:r>
        <w:t xml:space="preserve">Questionnaire. </w:t>
      </w:r>
      <w:r w:rsidR="001157AC">
        <w:t>For ease of tracking, these 3</w:t>
      </w:r>
      <w:r w:rsidR="00F56B07">
        <w:t xml:space="preserve"> </w:t>
      </w:r>
      <w:r w:rsidR="001157AC">
        <w:t xml:space="preserve">new questions are highlighted in blue font in Attachment I-1. </w:t>
      </w:r>
      <w:r>
        <w:t>Changes relative to the 20</w:t>
      </w:r>
      <w:r w:rsidR="00FB4E9F">
        <w:t>2</w:t>
      </w:r>
      <w:r>
        <w:t xml:space="preserve">1 version of the questionnaire are </w:t>
      </w:r>
      <w:r w:rsidR="001157AC">
        <w:t xml:space="preserve">also </w:t>
      </w:r>
      <w:r>
        <w:t xml:space="preserve">summarized in </w:t>
      </w:r>
      <w:r w:rsidRPr="5C637D63">
        <w:rPr>
          <w:b/>
          <w:bCs/>
        </w:rPr>
        <w:t>Attachment I-2</w:t>
      </w:r>
      <w:r>
        <w:t xml:space="preserve">, </w:t>
      </w:r>
      <w:r w:rsidR="004A62DD">
        <w:t xml:space="preserve">Crosswalk of changes to </w:t>
      </w:r>
      <w:r w:rsidR="00A252E0">
        <w:t xml:space="preserve">2022 NTEC </w:t>
      </w:r>
      <w:r w:rsidR="004A62DD">
        <w:t>Smoker Survey</w:t>
      </w:r>
      <w:r>
        <w:t>.</w:t>
      </w:r>
    </w:p>
    <w:p w:rsidRPr="006C3633" w:rsidR="006943B0" w:rsidP="006943B0" w:rsidRDefault="006943B0" w14:paraId="10119D7D" w14:textId="77777777">
      <w:pPr>
        <w:pStyle w:val="NoSpacing"/>
        <w:rPr>
          <w:i/>
          <w:iCs/>
        </w:rPr>
      </w:pPr>
    </w:p>
    <w:p w:rsidRPr="001E084B" w:rsidR="006943B0" w:rsidP="006943B0" w:rsidRDefault="00A05FA1" w14:paraId="0ED37BB6" w14:textId="2BC15145">
      <w:pPr>
        <w:pStyle w:val="NoSpacing"/>
      </w:pPr>
      <w:r>
        <w:t xml:space="preserve">The changes will only be included </w:t>
      </w:r>
      <w:r w:rsidR="00F95EC6">
        <w:t>in</w:t>
      </w:r>
      <w:r>
        <w:t xml:space="preserve"> the smoker </w:t>
      </w:r>
      <w:r w:rsidR="00F95EC6">
        <w:t xml:space="preserve">survey. </w:t>
      </w:r>
      <w:r w:rsidRPr="00A05FA1" w:rsidR="006943B0">
        <w:t>There are no changes to the sampling plan or recruitment methods</w:t>
      </w:r>
      <w:r w:rsidRPr="006C3633" w:rsidR="006943B0">
        <w:rPr>
          <w:i/>
          <w:iCs/>
        </w:rPr>
        <w:t xml:space="preserve">. </w:t>
      </w:r>
      <w:r w:rsidR="001E084B">
        <w:t>T</w:t>
      </w:r>
      <w:r w:rsidRPr="001E084B" w:rsidR="006943B0">
        <w:t xml:space="preserve">here are no changes to the estimated burden per response or the total estimated burden hours. </w:t>
      </w:r>
    </w:p>
    <w:p w:rsidRPr="00B74F5A" w:rsidR="006943B0" w:rsidP="006943B0" w:rsidRDefault="006943B0" w14:paraId="623DAA8A" w14:textId="77777777">
      <w:pPr>
        <w:pStyle w:val="NoSpacing"/>
        <w:rPr>
          <w:rFonts w:ascii="Times New Roman" w:hAnsi="Times New Roman"/>
        </w:rPr>
      </w:pPr>
    </w:p>
    <w:p w:rsidRPr="00B74F5A" w:rsidR="006943B0" w:rsidP="006943B0" w:rsidRDefault="006943B0" w14:paraId="72C45D86" w14:textId="77777777">
      <w:pPr>
        <w:pStyle w:val="NoSpacing"/>
        <w:rPr>
          <w:b/>
          <w:bCs/>
        </w:rPr>
      </w:pPr>
      <w:r w:rsidRPr="00B74F5A">
        <w:rPr>
          <w:b/>
          <w:bCs/>
        </w:rPr>
        <w:t>Background and Justification</w:t>
      </w:r>
    </w:p>
    <w:p w:rsidRPr="00B74F5A" w:rsidR="006943B0" w:rsidP="006943B0" w:rsidRDefault="006943B0" w14:paraId="7244E55F" w14:textId="77777777">
      <w:pPr>
        <w:pStyle w:val="NoSpacing"/>
      </w:pPr>
    </w:p>
    <w:p w:rsidRPr="00BD2502" w:rsidR="00D31907" w:rsidP="00D31907" w:rsidRDefault="00D31907" w14:paraId="597A91B3" w14:textId="3C00FF58">
      <w:pPr>
        <w:pStyle w:val="NoSpacing"/>
      </w:pPr>
      <w:r>
        <w:t xml:space="preserve">The goal of the </w:t>
      </w:r>
      <w:r w:rsidR="007A271B">
        <w:t xml:space="preserve">overall </w:t>
      </w:r>
      <w:r>
        <w:t xml:space="preserve">proposed information collection is to provide the most current information to evaluate the reach of </w:t>
      </w:r>
      <w:r w:rsidRPr="007C70D7">
        <w:rPr>
          <w:i/>
          <w:iCs/>
        </w:rPr>
        <w:t>Tips</w:t>
      </w:r>
      <w:r>
        <w:t xml:space="preserve"> among </w:t>
      </w:r>
      <w:r w:rsidR="00B065F2">
        <w:t>people</w:t>
      </w:r>
      <w:r w:rsidR="008A0CF6">
        <w:t xml:space="preserve"> who smoke</w:t>
      </w:r>
      <w:r w:rsidR="00B065F2">
        <w:t xml:space="preserve"> </w:t>
      </w:r>
      <w:r w:rsidR="00AE1C9C">
        <w:t>and other</w:t>
      </w:r>
      <w:r w:rsidRPr="00B065F2" w:rsidR="00B065F2">
        <w:t xml:space="preserve"> </w:t>
      </w:r>
      <w:r>
        <w:t>intended audiences</w:t>
      </w:r>
      <w:r w:rsidR="007A271B">
        <w:t>, including those who do not smoke but may communicate the dangers of smoking</w:t>
      </w:r>
      <w:r w:rsidRPr="007A271B" w:rsidR="007A271B">
        <w:t xml:space="preserve"> </w:t>
      </w:r>
      <w:r w:rsidR="007A271B">
        <w:t>with those who smoke,</w:t>
      </w:r>
      <w:r>
        <w:t xml:space="preserve"> and to examine the effectiveness of these efforts in impacting specific outcomes </w:t>
      </w:r>
      <w:r w:rsidRPr="0042312C">
        <w:t xml:space="preserve">that are targeted by </w:t>
      </w:r>
      <w:r w:rsidRPr="0042312C">
        <w:rPr>
          <w:i/>
          <w:iCs/>
        </w:rPr>
        <w:t>Tips</w:t>
      </w:r>
      <w:r w:rsidRPr="0042312C">
        <w:t xml:space="preserve"> </w:t>
      </w:r>
      <w:r>
        <w:t>among people who smoke</w:t>
      </w:r>
      <w:r w:rsidR="007A271B">
        <w:t>.  These efforts</w:t>
      </w:r>
      <w:r w:rsidRPr="00BD2502" w:rsidR="00352336">
        <w:t xml:space="preserve"> includ</w:t>
      </w:r>
      <w:r w:rsidR="007A271B">
        <w:t>e</w:t>
      </w:r>
      <w:r w:rsidRPr="00BD2502" w:rsidR="00352336">
        <w:t xml:space="preserve"> </w:t>
      </w:r>
      <w:r w:rsidR="007A271B">
        <w:t xml:space="preserve">examining the reach and effectiveness among </w:t>
      </w:r>
      <w:r w:rsidRPr="00BD2502" w:rsidR="001157AC">
        <w:t xml:space="preserve">those who smoke </w:t>
      </w:r>
      <w:r w:rsidRPr="00BD2502" w:rsidR="00352336">
        <w:t>menthol cigarette</w:t>
      </w:r>
      <w:r w:rsidR="00BD2502">
        <w:t>s</w:t>
      </w:r>
      <w:r w:rsidRPr="00BD2502" w:rsidR="00352336">
        <w:t xml:space="preserve"> and</w:t>
      </w:r>
      <w:r w:rsidRPr="00BD2502" w:rsidR="001157AC">
        <w:t>/or use</w:t>
      </w:r>
      <w:r w:rsidRPr="00BD2502" w:rsidR="00352336">
        <w:t xml:space="preserve"> e-cigarette</w:t>
      </w:r>
      <w:r w:rsidRPr="00BD2502" w:rsidR="001157AC">
        <w:t>s</w:t>
      </w:r>
      <w:r w:rsidRPr="00BD2502" w:rsidR="00352336">
        <w:t>,</w:t>
      </w:r>
      <w:r w:rsidRPr="00BD2502">
        <w:t xml:space="preserve"> and </w:t>
      </w:r>
      <w:r w:rsidR="009F4C03">
        <w:t>people who don’t smoke</w:t>
      </w:r>
      <w:r w:rsidRPr="00BD2502" w:rsidR="00481F06">
        <w:rPr>
          <w:i/>
          <w:iCs/>
        </w:rPr>
        <w:t>.</w:t>
      </w:r>
      <w:r w:rsidRPr="00BD2502">
        <w:t xml:space="preserve"> Information</w:t>
      </w:r>
      <w:r w:rsidR="007A271B">
        <w:t xml:space="preserve"> to evaluate these objectives</w:t>
      </w:r>
      <w:r w:rsidRPr="00BD2502">
        <w:t xml:space="preserve"> will be collected through Web surveys to be self-administered by adults 18 and over on computers in the respondent’s home or in another convenient location. Evaluating </w:t>
      </w:r>
      <w:r w:rsidRPr="00BD2502">
        <w:rPr>
          <w:i/>
          <w:iCs/>
        </w:rPr>
        <w:t xml:space="preserve">Tips’ </w:t>
      </w:r>
      <w:r w:rsidRPr="00BD2502">
        <w:t xml:space="preserve">impact on behavioral outcomes is necessary to determine campaign cost effectiveness and to allow program planning for the most effective campaign outcomes. Because </w:t>
      </w:r>
      <w:r w:rsidRPr="00BD2502">
        <w:rPr>
          <w:i/>
          <w:iCs/>
        </w:rPr>
        <w:t>Tips</w:t>
      </w:r>
      <w:r w:rsidRPr="00BD2502">
        <w:t xml:space="preserve"> content changes, it is necessary to evaluate each yearly implementation of </w:t>
      </w:r>
      <w:r w:rsidRPr="00BD2502">
        <w:rPr>
          <w:i/>
          <w:iCs/>
        </w:rPr>
        <w:t>Tips.</w:t>
      </w:r>
    </w:p>
    <w:p w:rsidRPr="00BD2502" w:rsidR="00D31907" w:rsidP="00D31907" w:rsidRDefault="00D31907" w14:paraId="4E346DB9" w14:textId="77777777">
      <w:pPr>
        <w:pStyle w:val="NoSpacing"/>
      </w:pPr>
    </w:p>
    <w:p w:rsidRPr="00BD2502" w:rsidR="00D31907" w:rsidP="00D31907" w:rsidRDefault="00D31907" w14:paraId="4C62290C" w14:textId="21AD986F">
      <w:pPr>
        <w:pStyle w:val="NoSpacing"/>
      </w:pPr>
      <w:r w:rsidRPr="00BD2502">
        <w:t xml:space="preserve">The proposed </w:t>
      </w:r>
      <w:r w:rsidR="007A271B">
        <w:t>change will affect</w:t>
      </w:r>
      <w:r w:rsidRPr="00BD2502" w:rsidR="00954F06">
        <w:t>2</w:t>
      </w:r>
      <w:r w:rsidRPr="00BD2502">
        <w:t xml:space="preserve"> survey collections </w:t>
      </w:r>
      <w:r w:rsidRPr="00BD2502" w:rsidR="00954F06">
        <w:t xml:space="preserve">in </w:t>
      </w:r>
      <w:r w:rsidRPr="00BD2502" w:rsidR="001157AC">
        <w:t>2022</w:t>
      </w:r>
      <w:r w:rsidRPr="00BD2502" w:rsidR="00954F06">
        <w:t>, both</w:t>
      </w:r>
      <w:r w:rsidRPr="00BD2502">
        <w:t xml:space="preserve"> during</w:t>
      </w:r>
      <w:r w:rsidR="004F2A74">
        <w:t xml:space="preserve"> (i</w:t>
      </w:r>
      <w:r w:rsidR="008E774B">
        <w:t xml:space="preserve">.e., </w:t>
      </w:r>
      <w:r w:rsidR="0061232D">
        <w:t>June 2022</w:t>
      </w:r>
      <w:r w:rsidR="004F2A74">
        <w:t>)</w:t>
      </w:r>
      <w:r w:rsidRPr="00BD2502">
        <w:t xml:space="preserve">, and after </w:t>
      </w:r>
      <w:r w:rsidR="00517A46">
        <w:t xml:space="preserve">(i.e., October 2022) </w:t>
      </w:r>
      <w:r w:rsidRPr="00BD2502">
        <w:rPr>
          <w:i/>
          <w:iCs/>
        </w:rPr>
        <w:t>Tips</w:t>
      </w:r>
      <w:r w:rsidR="007A271B">
        <w:rPr>
          <w:i/>
          <w:iCs/>
        </w:rPr>
        <w:t xml:space="preserve"> </w:t>
      </w:r>
      <w:r w:rsidR="007A271B">
        <w:t>is aired</w:t>
      </w:r>
      <w:r w:rsidRPr="00BD2502">
        <w:t xml:space="preserve">. Using the methods outlined in the </w:t>
      </w:r>
      <w:r w:rsidRPr="00BD2502" w:rsidR="0061232D">
        <w:t>currently approved</w:t>
      </w:r>
      <w:r w:rsidRPr="00BD2502">
        <w:t xml:space="preserve"> information collection </w:t>
      </w:r>
      <w:r w:rsidRPr="00BD2502">
        <w:lastRenderedPageBreak/>
        <w:t xml:space="preserve">(OMB No. 0920-1083, exp., 3/31/2023), participants will be recruited from two sources: (1) an online longitudinal cohort of adult smokers and nonsmokers, sampled randomly from postal mailing addresses in the United States (address-based sample, or ABS); and (2) the existing GfK/Ipsos </w:t>
      </w:r>
      <w:proofErr w:type="spellStart"/>
      <w:r w:rsidRPr="00BD2502">
        <w:t>KnowledgePanel</w:t>
      </w:r>
      <w:proofErr w:type="spellEnd"/>
      <w:r w:rsidRPr="00BD2502">
        <w:t xml:space="preserve">, an established long-term online panel of U.S. adults. All online surveys, regardless of sample source, will be conducted via the GfK/Ipsos </w:t>
      </w:r>
      <w:proofErr w:type="spellStart"/>
      <w:r w:rsidRPr="00BD2502">
        <w:t>KnowledgePanel</w:t>
      </w:r>
      <w:proofErr w:type="spellEnd"/>
      <w:r w:rsidRPr="00BD2502">
        <w:t xml:space="preserve"> Web portal for self-administered surveys.</w:t>
      </w:r>
    </w:p>
    <w:p w:rsidRPr="00BD2502" w:rsidR="00D31907" w:rsidP="00D31907" w:rsidRDefault="00D31907" w14:paraId="6CCD9F34" w14:textId="77777777">
      <w:pPr>
        <w:pStyle w:val="NoSpacing"/>
      </w:pPr>
    </w:p>
    <w:p w:rsidR="00D31907" w:rsidP="00D31907" w:rsidRDefault="00B511D5" w14:paraId="276172AC" w14:textId="1CF0C51A">
      <w:pPr>
        <w:pStyle w:val="NoSpacing"/>
      </w:pPr>
      <w:r>
        <w:t>In addition to i</w:t>
      </w:r>
      <w:r w:rsidRPr="00BD2502" w:rsidR="00D31907">
        <w:t>nformation</w:t>
      </w:r>
      <w:r w:rsidR="007A271B">
        <w:t xml:space="preserve"> in these evaluation </w:t>
      </w:r>
      <w:r w:rsidR="008E0360">
        <w:t>surveys</w:t>
      </w:r>
      <w:r w:rsidRPr="00BD2502" w:rsidR="00D31907">
        <w:t xml:space="preserve"> </w:t>
      </w:r>
      <w:r>
        <w:t xml:space="preserve">being </w:t>
      </w:r>
      <w:r w:rsidRPr="00BD2502" w:rsidR="00D31907">
        <w:t xml:space="preserve">collected about smokers’ and nonsmokers’ awareness of and exposure to specific </w:t>
      </w:r>
      <w:r w:rsidRPr="00BD2502" w:rsidR="00D31907">
        <w:rPr>
          <w:i/>
          <w:iCs/>
        </w:rPr>
        <w:t>Tips</w:t>
      </w:r>
      <w:r w:rsidRPr="00BD2502" w:rsidR="00D31907">
        <w:t xml:space="preserve"> advertisements; knowledge, attitudes, beliefs related to smoking and secondhand smoke; and other marketing exposure</w:t>
      </w:r>
      <w:r w:rsidR="006F41E0">
        <w:t xml:space="preserve">; the </w:t>
      </w:r>
      <w:r w:rsidRPr="00BD2502" w:rsidR="00D31907">
        <w:t>surveys will also measure behaviors related to smoking cessation (among the smokers in the sample</w:t>
      </w:r>
      <w:r w:rsidRPr="00BD2502" w:rsidR="003C59D3">
        <w:t xml:space="preserve">, including </w:t>
      </w:r>
      <w:r w:rsidRPr="00BD2502" w:rsidR="00C06FA8">
        <w:t>the use of menthol cigarettes and e-cigarettes,</w:t>
      </w:r>
      <w:r w:rsidRPr="00BD2502" w:rsidR="00D31907">
        <w:t xml:space="preserve"> and behaviors related to nonsmokers’ encouragement of smokers to quit smoking, recommendations of cessation services, and attitudes about other tobacco and nicotine products.</w:t>
      </w:r>
      <w:r w:rsidR="00D31907">
        <w:t xml:space="preserve"> </w:t>
      </w:r>
    </w:p>
    <w:p w:rsidR="00C06FA8" w:rsidP="00D31907" w:rsidRDefault="00C06FA8" w14:paraId="334E654E" w14:textId="77777777">
      <w:pPr>
        <w:pStyle w:val="NoSpacing"/>
      </w:pPr>
    </w:p>
    <w:p w:rsidRPr="005B4426" w:rsidR="0052248B" w:rsidP="0052248B" w:rsidRDefault="006943B0" w14:paraId="385FB5E1" w14:textId="23779F13">
      <w:pPr>
        <w:pStyle w:val="NoSpacing"/>
      </w:pPr>
      <w:r w:rsidRPr="005B4426">
        <w:t>To comply with the terms of clearance for the currently approved ICR, CDC is requesting approval for non-substantive changes to the 20</w:t>
      </w:r>
      <w:r w:rsidRPr="005B4426" w:rsidR="0052248B">
        <w:t xml:space="preserve">22 </w:t>
      </w:r>
      <w:r w:rsidRPr="00CF19EB" w:rsidR="0052248B">
        <w:rPr>
          <w:i/>
          <w:iCs/>
        </w:rPr>
        <w:t>Tips</w:t>
      </w:r>
      <w:r w:rsidRPr="005B4426" w:rsidR="0052248B">
        <w:t xml:space="preserve"> Survey</w:t>
      </w:r>
      <w:r w:rsidRPr="005B4426">
        <w:t xml:space="preserve">. The </w:t>
      </w:r>
      <w:r w:rsidRPr="005B4426">
        <w:rPr>
          <w:rFonts w:cs="Arial" w:asciiTheme="minorHAnsi" w:hAnsiTheme="minorHAnsi"/>
        </w:rPr>
        <w:t xml:space="preserve">proposed edits </w:t>
      </w:r>
      <w:r w:rsidRPr="005B4426">
        <w:t xml:space="preserve">will modify the instrument to </w:t>
      </w:r>
      <w:r w:rsidRPr="005B4426">
        <w:rPr>
          <w:rFonts w:cs="Arial" w:asciiTheme="minorHAnsi" w:hAnsiTheme="minorHAnsi"/>
        </w:rPr>
        <w:t>maintain relevance with emerging tobacco use behaviors and control policies.</w:t>
      </w:r>
      <w:r w:rsidRPr="005B4426">
        <w:t xml:space="preserve"> If approved, the proposed modified instrument will be implemented in the </w:t>
      </w:r>
      <w:r w:rsidRPr="005B4426" w:rsidR="005B4426">
        <w:t>summer 2022</w:t>
      </w:r>
      <w:r w:rsidRPr="005B4426">
        <w:t xml:space="preserve"> to collect comprehensive information that will inform </w:t>
      </w:r>
      <w:r w:rsidRPr="005B4426" w:rsidR="005B4426">
        <w:t>the evaluation of the</w:t>
      </w:r>
      <w:r w:rsidRPr="00D81E2D" w:rsidR="005B4426">
        <w:rPr>
          <w:i/>
          <w:iCs/>
        </w:rPr>
        <w:t xml:space="preserve"> Tips</w:t>
      </w:r>
      <w:r w:rsidRPr="005B4426" w:rsidR="005B4426">
        <w:t xml:space="preserve"> campaign.</w:t>
      </w:r>
    </w:p>
    <w:p w:rsidR="0052248B" w:rsidP="0052248B" w:rsidRDefault="0052248B" w14:paraId="58BC0792" w14:textId="77777777">
      <w:pPr>
        <w:pStyle w:val="NoSpacing"/>
        <w:rPr>
          <w:i/>
          <w:iCs/>
        </w:rPr>
      </w:pPr>
    </w:p>
    <w:p w:rsidRPr="0052248B" w:rsidR="0052248B" w:rsidP="0052248B" w:rsidRDefault="007A271B" w14:paraId="6C7E590F" w14:textId="5C3EC5E7">
      <w:pPr>
        <w:pStyle w:val="NoSpacing"/>
      </w:pPr>
      <w:r>
        <w:t xml:space="preserve">It is important to evaluate </w:t>
      </w:r>
      <w:r w:rsidRPr="5C637D63">
        <w:rPr>
          <w:i/>
          <w:iCs/>
        </w:rPr>
        <w:t>Tips</w:t>
      </w:r>
      <w:r>
        <w:t xml:space="preserve"> in a context that assesses the dynamic nature of tobacco product marketing and uptake of various tobacco products, particularly since these may affect successful cessation rates. </w:t>
      </w:r>
      <w:r w:rsidR="006943B0">
        <w:t>The</w:t>
      </w:r>
      <w:r>
        <w:t>refore, the</w:t>
      </w:r>
      <w:r w:rsidR="006943B0">
        <w:t xml:space="preserve"> proposed </w:t>
      </w:r>
      <w:proofErr w:type="gramStart"/>
      <w:r w:rsidR="006943B0">
        <w:t>changes</w:t>
      </w:r>
      <w:proofErr w:type="gramEnd"/>
      <w:r w:rsidR="006943B0">
        <w:t xml:space="preserve"> to the approved instrument </w:t>
      </w:r>
      <w:r w:rsidR="009B0A0A">
        <w:t>includes the addition of</w:t>
      </w:r>
      <w:r w:rsidR="00AA08D1">
        <w:t xml:space="preserve"> 3 </w:t>
      </w:r>
      <w:r w:rsidR="009B0A0A">
        <w:t>new questions to assess menthol</w:t>
      </w:r>
      <w:r w:rsidR="00F02F0B">
        <w:t xml:space="preserve"> cigarette and e-cigarette use </w:t>
      </w:r>
      <w:r w:rsidR="00E94FC8">
        <w:t>and flavor effect</w:t>
      </w:r>
      <w:r w:rsidR="00FD037A">
        <w:t>s</w:t>
      </w:r>
      <w:r w:rsidR="00E94FC8">
        <w:t xml:space="preserve"> </w:t>
      </w:r>
      <w:r w:rsidR="00F02F0B">
        <w:t>since</w:t>
      </w:r>
      <w:r>
        <w:t xml:space="preserve"> the evidence suggests that</w:t>
      </w:r>
      <w:r w:rsidR="00F02F0B">
        <w:t xml:space="preserve"> </w:t>
      </w:r>
      <w:r w:rsidR="00E94FC8">
        <w:t>adults who smoke menthol cigarettes make more attempts to quit smoking</w:t>
      </w:r>
      <w:r>
        <w:t>, but</w:t>
      </w:r>
      <w:r w:rsidR="00E94FC8">
        <w:t xml:space="preserve"> have a harder time quitting.</w:t>
      </w:r>
      <w:r w:rsidR="002842C2">
        <w:t xml:space="preserve">  </w:t>
      </w:r>
      <w:r w:rsidR="0052248B">
        <w:t>(Reference: Tobacco Products Scientific Advisory Committee. </w:t>
      </w:r>
      <w:hyperlink r:id="rId8">
        <w:r w:rsidRPr="5C637D63" w:rsidR="0052248B">
          <w:rPr>
            <w:rStyle w:val="Hyperlink"/>
          </w:rPr>
          <w:t xml:space="preserve">Menthol Cigarettes and Public Health: Review of the Scientific Evidence and Recommendations </w:t>
        </w:r>
      </w:hyperlink>
      <w:r w:rsidR="0052248B">
        <w:t xml:space="preserve"> Rockville, MD: US Department of Health and Human Services, Food and Drug Administration; 2011)</w:t>
      </w:r>
    </w:p>
    <w:p w:rsidR="00DD51D8" w:rsidP="006943B0" w:rsidRDefault="00DD51D8" w14:paraId="2036A89F" w14:textId="462B7D20">
      <w:pPr>
        <w:pStyle w:val="NoSpacing"/>
        <w:rPr>
          <w:i/>
          <w:iCs/>
        </w:rPr>
      </w:pPr>
    </w:p>
    <w:p w:rsidRPr="000F5E9B" w:rsidR="006943B0" w:rsidP="006943B0" w:rsidRDefault="006943B0" w14:paraId="6A18955B" w14:textId="76309097">
      <w:pPr>
        <w:pStyle w:val="NoSpacing"/>
      </w:pPr>
      <w:r>
        <w:t>In summary, this request includes the addition of 3</w:t>
      </w:r>
      <w:r w:rsidR="007B3604">
        <w:t xml:space="preserve"> </w:t>
      </w:r>
      <w:r>
        <w:t xml:space="preserve">new questions. </w:t>
      </w:r>
      <w:r w:rsidR="00911F32">
        <w:t>T</w:t>
      </w:r>
      <w:r>
        <w:t>here is no change in the estimated burden time to complete the 20</w:t>
      </w:r>
      <w:r w:rsidR="00CF19EB">
        <w:t>22</w:t>
      </w:r>
      <w:r>
        <w:t xml:space="preserve"> survey compared with previous </w:t>
      </w:r>
      <w:r w:rsidR="00CF19EB">
        <w:t xml:space="preserve">NTEC Smoker Survey questionnaire </w:t>
      </w:r>
      <w:r>
        <w:t>administrations.  Overall, these proposed changes will improve the quality of the survey</w:t>
      </w:r>
      <w:r w:rsidR="004119FB">
        <w:t xml:space="preserve"> and add to our ability to assess the effect of </w:t>
      </w:r>
      <w:r w:rsidRPr="5C637D63" w:rsidR="004119FB">
        <w:rPr>
          <w:i/>
          <w:iCs/>
        </w:rPr>
        <w:t>Tips</w:t>
      </w:r>
      <w:r w:rsidR="004119FB">
        <w:t xml:space="preserve"> on adults who smoke menthol cigarettes</w:t>
      </w:r>
      <w:r>
        <w:t xml:space="preserve"> while maintaining existing estimates of respondent burden.  </w:t>
      </w:r>
    </w:p>
    <w:p w:rsidRPr="006C3633" w:rsidR="006943B0" w:rsidP="006943B0" w:rsidRDefault="006943B0" w14:paraId="4C26AB62" w14:textId="77777777">
      <w:pPr>
        <w:pStyle w:val="NoSpacing"/>
        <w:rPr>
          <w:i/>
          <w:iCs/>
        </w:rPr>
      </w:pPr>
      <w:r w:rsidRPr="006C3633">
        <w:rPr>
          <w:i/>
          <w:iCs/>
        </w:rPr>
        <w:t xml:space="preserve"> </w:t>
      </w:r>
    </w:p>
    <w:p w:rsidRPr="000C714E" w:rsidR="006943B0" w:rsidP="006943B0" w:rsidRDefault="006943B0" w14:paraId="0289BAF4" w14:textId="07C6BDFA">
      <w:pPr>
        <w:pStyle w:val="NoSpacing"/>
      </w:pPr>
      <w:r w:rsidRPr="000C714E">
        <w:t xml:space="preserve">The </w:t>
      </w:r>
      <w:r w:rsidRPr="000C714E" w:rsidR="00CE5AF7">
        <w:t xml:space="preserve">2022 NTEC Smoker Survey </w:t>
      </w:r>
      <w:r w:rsidRPr="000C714E">
        <w:t>questionnaire is provided as Attachment I-1.</w:t>
      </w:r>
    </w:p>
    <w:p w:rsidRPr="000C714E" w:rsidR="006943B0" w:rsidP="006943B0" w:rsidRDefault="006943B0" w14:paraId="78D5C8C7" w14:textId="26E16A0C">
      <w:pPr>
        <w:pStyle w:val="NoSpacing"/>
      </w:pPr>
      <w:r w:rsidRPr="000C714E">
        <w:t xml:space="preserve">Changes from the </w:t>
      </w:r>
      <w:r w:rsidRPr="000C714E" w:rsidR="00CE5AF7">
        <w:t xml:space="preserve">2022 NTEC Smoker Survey </w:t>
      </w:r>
      <w:r w:rsidRPr="000C714E">
        <w:t>version of the questionnaire are summarized in Attachment I-2.</w:t>
      </w:r>
    </w:p>
    <w:p w:rsidRPr="00B74F5A" w:rsidR="006943B0" w:rsidP="006943B0" w:rsidRDefault="006943B0" w14:paraId="3C846598" w14:textId="77777777">
      <w:pPr>
        <w:pStyle w:val="NoSpacing"/>
      </w:pPr>
    </w:p>
    <w:p w:rsidR="006943B0" w:rsidP="006943B0" w:rsidRDefault="006943B0" w14:paraId="3E3A46F8" w14:textId="1EB309A1">
      <w:pPr>
        <w:pStyle w:val="NoSpacing"/>
        <w:rPr>
          <w:b/>
          <w:bCs/>
        </w:rPr>
      </w:pPr>
      <w:r w:rsidRPr="00B74F5A">
        <w:rPr>
          <w:b/>
          <w:bCs/>
        </w:rPr>
        <w:t>Agency Points of Contact</w:t>
      </w:r>
    </w:p>
    <w:p w:rsidR="006943B0" w:rsidP="006943B0" w:rsidRDefault="006943B0" w14:paraId="5CC16E43" w14:textId="77777777">
      <w:pPr>
        <w:pStyle w:val="NoSpacing"/>
      </w:pPr>
    </w:p>
    <w:p w:rsidRPr="00D242EA" w:rsidR="00D242EA" w:rsidP="00D242EA" w:rsidRDefault="00D242EA" w14:paraId="53F86064" w14:textId="77777777">
      <w:pPr>
        <w:widowControl w:val="0"/>
        <w:tabs>
          <w:tab w:val="left" w:pos="360"/>
        </w:tabs>
        <w:ind w:left="360"/>
        <w:rPr>
          <w:rFonts w:eastAsia="Times New Roman" w:asciiTheme="minorHAnsi" w:hAnsiTheme="minorHAnsi" w:cstheme="minorHAnsi"/>
          <w:color w:val="000000"/>
        </w:rPr>
      </w:pPr>
      <w:r w:rsidRPr="00D242EA">
        <w:rPr>
          <w:rFonts w:eastAsia="Times New Roman" w:asciiTheme="minorHAnsi" w:hAnsiTheme="minorHAnsi" w:cstheme="minorHAnsi"/>
          <w:color w:val="000000"/>
        </w:rPr>
        <w:t xml:space="preserve">Bob Rodes, MS, MBA, MEd </w:t>
      </w:r>
    </w:p>
    <w:p w:rsidRPr="00D242EA" w:rsidR="00D242EA" w:rsidP="00D242EA" w:rsidRDefault="00D242EA" w14:paraId="7A96C154" w14:textId="77777777">
      <w:pPr>
        <w:widowControl w:val="0"/>
        <w:tabs>
          <w:tab w:val="left" w:pos="360"/>
        </w:tabs>
        <w:ind w:left="360"/>
        <w:rPr>
          <w:rFonts w:eastAsia="Times New Roman" w:asciiTheme="minorHAnsi" w:hAnsiTheme="minorHAnsi" w:cstheme="minorHAnsi"/>
          <w:color w:val="000000"/>
        </w:rPr>
      </w:pPr>
      <w:r w:rsidRPr="00D242EA">
        <w:rPr>
          <w:rFonts w:eastAsia="Times New Roman" w:asciiTheme="minorHAnsi" w:hAnsiTheme="minorHAnsi" w:cstheme="minorHAnsi"/>
          <w:color w:val="000000"/>
        </w:rPr>
        <w:t>Office on Smoking and Health</w:t>
      </w:r>
    </w:p>
    <w:p w:rsidRPr="00D242EA" w:rsidR="00D242EA" w:rsidP="00D242EA" w:rsidRDefault="00D242EA" w14:paraId="0483AE07" w14:textId="77777777">
      <w:pPr>
        <w:widowControl w:val="0"/>
        <w:tabs>
          <w:tab w:val="left" w:pos="360"/>
        </w:tabs>
        <w:ind w:left="360"/>
        <w:rPr>
          <w:rFonts w:eastAsia="Times New Roman" w:asciiTheme="minorHAnsi" w:hAnsiTheme="minorHAnsi" w:cstheme="minorHAnsi"/>
          <w:color w:val="000000"/>
        </w:rPr>
      </w:pPr>
      <w:r w:rsidRPr="00D242EA">
        <w:rPr>
          <w:rFonts w:eastAsia="Times New Roman" w:asciiTheme="minorHAnsi" w:hAnsiTheme="minorHAnsi" w:cstheme="minorHAnsi"/>
          <w:color w:val="000000"/>
        </w:rPr>
        <w:t>Centers for Disease Control and Prevention</w:t>
      </w:r>
    </w:p>
    <w:p w:rsidRPr="00D242EA" w:rsidR="00D242EA" w:rsidP="00D242EA" w:rsidRDefault="00D242EA" w14:paraId="4AB7F56B" w14:textId="77777777">
      <w:pPr>
        <w:widowControl w:val="0"/>
        <w:tabs>
          <w:tab w:val="left" w:pos="360"/>
        </w:tabs>
        <w:ind w:left="360"/>
        <w:rPr>
          <w:rFonts w:eastAsia="Times New Roman" w:asciiTheme="minorHAnsi" w:hAnsiTheme="minorHAnsi" w:cstheme="minorHAnsi"/>
          <w:color w:val="000000"/>
        </w:rPr>
      </w:pPr>
      <w:r w:rsidRPr="00D242EA">
        <w:rPr>
          <w:rFonts w:eastAsia="Times New Roman" w:asciiTheme="minorHAnsi" w:hAnsiTheme="minorHAnsi" w:cstheme="minorHAnsi"/>
          <w:color w:val="000000"/>
        </w:rPr>
        <w:t>4770 Buford Highway NE, Mailstop F79</w:t>
      </w:r>
    </w:p>
    <w:p w:rsidRPr="00D242EA" w:rsidR="00D242EA" w:rsidP="00D242EA" w:rsidRDefault="00D242EA" w14:paraId="0E4EF087" w14:textId="77777777">
      <w:pPr>
        <w:widowControl w:val="0"/>
        <w:tabs>
          <w:tab w:val="left" w:pos="360"/>
        </w:tabs>
        <w:ind w:left="360"/>
        <w:rPr>
          <w:rFonts w:eastAsia="Times New Roman" w:asciiTheme="minorHAnsi" w:hAnsiTheme="minorHAnsi" w:cstheme="minorHAnsi"/>
          <w:color w:val="000000"/>
        </w:rPr>
      </w:pPr>
      <w:r w:rsidRPr="00D242EA">
        <w:rPr>
          <w:rFonts w:eastAsia="Times New Roman" w:asciiTheme="minorHAnsi" w:hAnsiTheme="minorHAnsi" w:cstheme="minorHAnsi"/>
          <w:color w:val="000000"/>
        </w:rPr>
        <w:t>Atlanta, GA 30341</w:t>
      </w:r>
    </w:p>
    <w:p w:rsidRPr="00D242EA" w:rsidR="00D242EA" w:rsidP="00D242EA" w:rsidRDefault="00D242EA" w14:paraId="056E18AE" w14:textId="77777777">
      <w:pPr>
        <w:widowControl w:val="0"/>
        <w:tabs>
          <w:tab w:val="left" w:pos="360"/>
        </w:tabs>
        <w:ind w:left="360"/>
        <w:rPr>
          <w:rFonts w:eastAsia="Times New Roman" w:asciiTheme="minorHAnsi" w:hAnsiTheme="minorHAnsi" w:cstheme="minorHAnsi"/>
          <w:color w:val="000000"/>
        </w:rPr>
      </w:pPr>
      <w:r w:rsidRPr="00D242EA">
        <w:rPr>
          <w:rFonts w:eastAsia="Times New Roman" w:asciiTheme="minorHAnsi" w:hAnsiTheme="minorHAnsi" w:cstheme="minorHAnsi"/>
          <w:color w:val="000000"/>
        </w:rPr>
        <w:t>Phone: (770) 488-5748</w:t>
      </w:r>
    </w:p>
    <w:p w:rsidR="00D242EA" w:rsidP="00D242EA" w:rsidRDefault="00D242EA" w14:paraId="64C525A9" w14:textId="77777777">
      <w:pPr>
        <w:widowControl w:val="0"/>
        <w:tabs>
          <w:tab w:val="left" w:pos="360"/>
        </w:tabs>
        <w:ind w:left="360"/>
        <w:rPr>
          <w:rFonts w:eastAsia="Times New Roman" w:asciiTheme="minorHAnsi" w:hAnsiTheme="minorHAnsi" w:cstheme="minorHAnsi"/>
          <w:color w:val="000000"/>
        </w:rPr>
      </w:pPr>
      <w:r w:rsidRPr="00D242EA">
        <w:rPr>
          <w:rFonts w:eastAsia="Times New Roman" w:asciiTheme="minorHAnsi" w:hAnsiTheme="minorHAnsi" w:cstheme="minorHAnsi"/>
          <w:color w:val="000000"/>
        </w:rPr>
        <w:t xml:space="preserve">Email: Rur9@cdc.gov </w:t>
      </w:r>
    </w:p>
    <w:p w:rsidR="00D242EA" w:rsidP="00D242EA" w:rsidRDefault="00D242EA" w14:paraId="6D633FED" w14:textId="77777777">
      <w:pPr>
        <w:widowControl w:val="0"/>
        <w:tabs>
          <w:tab w:val="left" w:pos="360"/>
        </w:tabs>
        <w:ind w:left="360"/>
        <w:rPr>
          <w:rFonts w:eastAsia="Times New Roman" w:asciiTheme="minorHAnsi" w:hAnsiTheme="minorHAnsi" w:cstheme="minorHAnsi"/>
          <w:color w:val="000000"/>
        </w:rPr>
      </w:pPr>
    </w:p>
    <w:p w:rsidRPr="0039145C" w:rsidR="00782B07" w:rsidP="00D242EA" w:rsidRDefault="00782B07" w14:paraId="0125FE71" w14:textId="1873564C">
      <w:pPr>
        <w:widowControl w:val="0"/>
        <w:tabs>
          <w:tab w:val="left" w:pos="360"/>
        </w:tabs>
        <w:ind w:left="360"/>
        <w:rPr>
          <w:rFonts w:eastAsia="Times New Roman" w:asciiTheme="minorHAnsi" w:hAnsiTheme="minorHAnsi" w:cstheme="minorHAnsi"/>
          <w:color w:val="000000"/>
        </w:rPr>
      </w:pPr>
      <w:r w:rsidRPr="0039145C">
        <w:rPr>
          <w:rFonts w:eastAsia="Times New Roman" w:asciiTheme="minorHAnsi" w:hAnsiTheme="minorHAnsi" w:cstheme="minorHAnsi"/>
          <w:color w:val="000000"/>
        </w:rPr>
        <w:t>Beth Courtney-Long</w:t>
      </w:r>
      <w:r w:rsidR="002B07F0">
        <w:rPr>
          <w:rFonts w:eastAsia="Times New Roman" w:asciiTheme="minorHAnsi" w:hAnsiTheme="minorHAnsi" w:cstheme="minorHAnsi"/>
          <w:color w:val="000000"/>
        </w:rPr>
        <w:t xml:space="preserve">, </w:t>
      </w:r>
      <w:r w:rsidR="004119FB">
        <w:rPr>
          <w:rFonts w:eastAsia="Times New Roman" w:asciiTheme="minorHAnsi" w:hAnsiTheme="minorHAnsi" w:cstheme="minorHAnsi"/>
          <w:color w:val="000000"/>
        </w:rPr>
        <w:t>MA, MSPH</w:t>
      </w:r>
    </w:p>
    <w:p w:rsidR="00782B07" w:rsidP="00782B07" w:rsidRDefault="00782B07" w14:paraId="299ED93E" w14:textId="4E6B88D5">
      <w:pPr>
        <w:widowControl w:val="0"/>
        <w:tabs>
          <w:tab w:val="left" w:pos="360"/>
        </w:tabs>
        <w:ind w:left="360"/>
        <w:rPr>
          <w:rFonts w:eastAsia="Times New Roman" w:asciiTheme="minorHAnsi" w:hAnsiTheme="minorHAnsi" w:cstheme="minorHAnsi"/>
          <w:color w:val="000000"/>
        </w:rPr>
      </w:pPr>
      <w:r w:rsidRPr="0039145C">
        <w:rPr>
          <w:rFonts w:eastAsia="Times New Roman" w:asciiTheme="minorHAnsi" w:hAnsiTheme="minorHAnsi" w:cstheme="minorHAnsi"/>
          <w:color w:val="000000"/>
        </w:rPr>
        <w:t>Office on Smoking and Health</w:t>
      </w:r>
    </w:p>
    <w:p w:rsidRPr="0039145C" w:rsidR="004119FB" w:rsidP="00782B07" w:rsidRDefault="004119FB" w14:paraId="0E6D2833" w14:textId="0CABF7AF">
      <w:pPr>
        <w:widowControl w:val="0"/>
        <w:tabs>
          <w:tab w:val="left" w:pos="360"/>
        </w:tabs>
        <w:ind w:left="360"/>
        <w:rPr>
          <w:rFonts w:eastAsia="Times New Roman" w:asciiTheme="minorHAnsi" w:hAnsiTheme="minorHAnsi" w:cstheme="minorHAnsi"/>
          <w:color w:val="000000"/>
        </w:rPr>
      </w:pPr>
      <w:r w:rsidRPr="0039145C">
        <w:rPr>
          <w:rFonts w:asciiTheme="minorHAnsi" w:hAnsiTheme="minorHAnsi" w:cstheme="minorHAnsi"/>
        </w:rPr>
        <w:t>National Center for Chronic Disease Prevention and Health Promotion</w:t>
      </w:r>
    </w:p>
    <w:p w:rsidRPr="0039145C" w:rsidR="00782B07" w:rsidP="00782B07" w:rsidRDefault="00782B07" w14:paraId="4E00EF19" w14:textId="77777777">
      <w:pPr>
        <w:widowControl w:val="0"/>
        <w:tabs>
          <w:tab w:val="left" w:pos="360"/>
        </w:tabs>
        <w:ind w:left="360"/>
        <w:rPr>
          <w:rFonts w:eastAsia="Times New Roman" w:asciiTheme="minorHAnsi" w:hAnsiTheme="minorHAnsi" w:cstheme="minorHAnsi"/>
          <w:color w:val="000000"/>
        </w:rPr>
      </w:pPr>
      <w:r w:rsidRPr="0039145C">
        <w:rPr>
          <w:rFonts w:eastAsia="Times New Roman" w:asciiTheme="minorHAnsi" w:hAnsiTheme="minorHAnsi" w:cstheme="minorHAnsi"/>
          <w:color w:val="000000"/>
        </w:rPr>
        <w:t>Centers for Disease Control and Prevention</w:t>
      </w:r>
    </w:p>
    <w:p w:rsidR="004119FB" w:rsidP="00D242EA" w:rsidRDefault="004119FB" w14:paraId="6CE80526" w14:textId="77777777">
      <w:pPr>
        <w:ind w:left="360"/>
        <w:rPr>
          <w:rFonts w:asciiTheme="minorHAnsi" w:hAnsiTheme="minorHAnsi" w:eastAsiaTheme="minorEastAsia"/>
          <w:noProof/>
        </w:rPr>
      </w:pPr>
      <w:r>
        <w:rPr>
          <w:rFonts w:eastAsiaTheme="minorEastAsia"/>
          <w:noProof/>
        </w:rPr>
        <w:t>4770 Buford Highway, NE, MS S107-7</w:t>
      </w:r>
    </w:p>
    <w:p w:rsidR="004119FB" w:rsidP="00D242EA" w:rsidRDefault="004119FB" w14:paraId="1C1A79CB" w14:textId="77777777">
      <w:pPr>
        <w:ind w:left="360"/>
        <w:rPr>
          <w:rFonts w:eastAsiaTheme="minorEastAsia"/>
          <w:noProof/>
        </w:rPr>
      </w:pPr>
      <w:r>
        <w:rPr>
          <w:rFonts w:eastAsiaTheme="minorEastAsia"/>
          <w:noProof/>
        </w:rPr>
        <w:t>Atlanta, GA 30341-3717</w:t>
      </w:r>
    </w:p>
    <w:p w:rsidRPr="0039145C" w:rsidR="00782B07" w:rsidP="00782B07" w:rsidRDefault="00782B07" w14:paraId="5E0CC4CA" w14:textId="47D95FB1">
      <w:pPr>
        <w:widowControl w:val="0"/>
        <w:tabs>
          <w:tab w:val="left" w:pos="360"/>
        </w:tabs>
        <w:ind w:left="360"/>
        <w:rPr>
          <w:rFonts w:eastAsia="Times New Roman" w:asciiTheme="minorHAnsi" w:hAnsiTheme="minorHAnsi" w:cstheme="minorHAnsi"/>
          <w:color w:val="000000"/>
        </w:rPr>
      </w:pPr>
      <w:r w:rsidRPr="0039145C">
        <w:rPr>
          <w:rFonts w:eastAsia="Times New Roman" w:asciiTheme="minorHAnsi" w:hAnsiTheme="minorHAnsi" w:cstheme="minorHAnsi"/>
          <w:color w:val="000000"/>
        </w:rPr>
        <w:t xml:space="preserve">Phone: (404) </w:t>
      </w:r>
      <w:r w:rsidR="004119FB">
        <w:rPr>
          <w:rFonts w:eastAsia="Times New Roman" w:asciiTheme="minorHAnsi" w:hAnsiTheme="minorHAnsi" w:cstheme="minorHAnsi"/>
          <w:color w:val="000000"/>
        </w:rPr>
        <w:t>498-0264</w:t>
      </w:r>
    </w:p>
    <w:p w:rsidRPr="0039145C" w:rsidR="00782B07" w:rsidP="00782B07" w:rsidRDefault="00782B07" w14:paraId="2AE65925" w14:textId="77777777">
      <w:pPr>
        <w:widowControl w:val="0"/>
        <w:tabs>
          <w:tab w:val="left" w:pos="360"/>
        </w:tabs>
        <w:ind w:left="360"/>
        <w:rPr>
          <w:rFonts w:eastAsia="Times New Roman" w:asciiTheme="minorHAnsi" w:hAnsiTheme="minorHAnsi" w:cstheme="minorHAnsi"/>
          <w:color w:val="000000"/>
        </w:rPr>
      </w:pPr>
      <w:r w:rsidRPr="0039145C">
        <w:rPr>
          <w:rFonts w:eastAsia="Times New Roman" w:asciiTheme="minorHAnsi" w:hAnsiTheme="minorHAnsi" w:cstheme="minorHAnsi"/>
          <w:color w:val="000000"/>
        </w:rPr>
        <w:t>Email: gmr9@cdc.gov</w:t>
      </w:r>
    </w:p>
    <w:p w:rsidRPr="0039145C" w:rsidR="00782B07" w:rsidP="00782B07" w:rsidRDefault="00782B07" w14:paraId="61F69929" w14:textId="77777777">
      <w:pPr>
        <w:rPr>
          <w:rFonts w:asciiTheme="minorHAnsi" w:hAnsiTheme="minorHAnsi" w:cstheme="minorHAnsi"/>
        </w:rPr>
      </w:pPr>
    </w:p>
    <w:p w:rsidRPr="0039145C" w:rsidR="00782B07" w:rsidP="00782B07" w:rsidRDefault="00782B07" w14:paraId="4C5EA6FD" w14:textId="77777777">
      <w:pPr>
        <w:ind w:left="360"/>
        <w:rPr>
          <w:rFonts w:asciiTheme="minorHAnsi" w:hAnsiTheme="minorHAnsi" w:cstheme="minorHAnsi"/>
        </w:rPr>
      </w:pPr>
      <w:r w:rsidRPr="0039145C">
        <w:rPr>
          <w:rFonts w:asciiTheme="minorHAnsi" w:hAnsiTheme="minorHAnsi" w:cstheme="minorHAnsi"/>
        </w:rPr>
        <w:t>Rebecca Murphy, PhD, MPH</w:t>
      </w:r>
    </w:p>
    <w:p w:rsidRPr="0039145C" w:rsidR="00782B07" w:rsidP="00782B07" w:rsidRDefault="00782B07" w14:paraId="663923BB" w14:textId="77777777">
      <w:pPr>
        <w:ind w:left="360"/>
        <w:rPr>
          <w:rFonts w:asciiTheme="minorHAnsi" w:hAnsiTheme="minorHAnsi" w:cstheme="minorHAnsi"/>
        </w:rPr>
      </w:pPr>
      <w:r w:rsidRPr="0039145C">
        <w:rPr>
          <w:rFonts w:asciiTheme="minorHAnsi" w:hAnsiTheme="minorHAnsi" w:cstheme="minorHAnsi"/>
        </w:rPr>
        <w:t>Office on Smoking and Health</w:t>
      </w:r>
    </w:p>
    <w:p w:rsidRPr="0039145C" w:rsidR="00782B07" w:rsidP="00782B07" w:rsidRDefault="00782B07" w14:paraId="391CA562" w14:textId="77777777">
      <w:pPr>
        <w:ind w:left="360"/>
        <w:rPr>
          <w:rFonts w:asciiTheme="minorHAnsi" w:hAnsiTheme="minorHAnsi" w:cstheme="minorHAnsi"/>
        </w:rPr>
      </w:pPr>
      <w:r w:rsidRPr="0039145C">
        <w:rPr>
          <w:rFonts w:asciiTheme="minorHAnsi" w:hAnsiTheme="minorHAnsi" w:cstheme="minorHAnsi"/>
        </w:rPr>
        <w:t>National Center for Chronic Disease Prevention and Health Promotion</w:t>
      </w:r>
    </w:p>
    <w:p w:rsidRPr="0039145C" w:rsidR="00782B07" w:rsidP="00782B07" w:rsidRDefault="00782B07" w14:paraId="1B018263" w14:textId="77777777">
      <w:pPr>
        <w:ind w:left="360"/>
        <w:rPr>
          <w:rFonts w:asciiTheme="minorHAnsi" w:hAnsiTheme="minorHAnsi" w:cstheme="minorHAnsi"/>
        </w:rPr>
      </w:pPr>
      <w:r w:rsidRPr="0039145C">
        <w:rPr>
          <w:rFonts w:asciiTheme="minorHAnsi" w:hAnsiTheme="minorHAnsi" w:cstheme="minorHAnsi"/>
        </w:rPr>
        <w:t>Centers for Disease Control and Prevention</w:t>
      </w:r>
    </w:p>
    <w:p w:rsidR="004119FB" w:rsidP="00D242EA" w:rsidRDefault="004119FB" w14:paraId="6C446270" w14:textId="77777777">
      <w:pPr>
        <w:ind w:left="360"/>
        <w:rPr>
          <w:rFonts w:asciiTheme="minorHAnsi" w:hAnsiTheme="minorHAnsi" w:eastAsiaTheme="minorEastAsia"/>
          <w:noProof/>
        </w:rPr>
      </w:pPr>
      <w:r>
        <w:rPr>
          <w:rFonts w:eastAsiaTheme="minorEastAsia"/>
          <w:noProof/>
        </w:rPr>
        <w:t>4770 Buford Highway, NE, MS S107-7</w:t>
      </w:r>
    </w:p>
    <w:p w:rsidR="004119FB" w:rsidP="00D242EA" w:rsidRDefault="004119FB" w14:paraId="168151CF" w14:textId="77777777">
      <w:pPr>
        <w:ind w:left="360"/>
        <w:rPr>
          <w:rFonts w:eastAsiaTheme="minorEastAsia"/>
          <w:noProof/>
        </w:rPr>
      </w:pPr>
      <w:r>
        <w:rPr>
          <w:rFonts w:eastAsiaTheme="minorEastAsia"/>
          <w:noProof/>
        </w:rPr>
        <w:t>Atlanta, GA 30341-3717</w:t>
      </w:r>
    </w:p>
    <w:p w:rsidRPr="0039145C" w:rsidR="00782B07" w:rsidP="00782B07" w:rsidRDefault="00782B07" w14:paraId="19991D4E" w14:textId="77777777">
      <w:pPr>
        <w:ind w:left="360"/>
        <w:rPr>
          <w:rFonts w:asciiTheme="minorHAnsi" w:hAnsiTheme="minorHAnsi" w:cstheme="minorHAnsi"/>
        </w:rPr>
      </w:pPr>
      <w:r w:rsidRPr="0039145C">
        <w:rPr>
          <w:rFonts w:asciiTheme="minorHAnsi" w:hAnsiTheme="minorHAnsi" w:cstheme="minorHAnsi"/>
        </w:rPr>
        <w:t>770-488-8964</w:t>
      </w:r>
    </w:p>
    <w:p w:rsidRPr="0039145C" w:rsidR="00782B07" w:rsidP="00782B07" w:rsidRDefault="00782B07" w14:paraId="2205E911" w14:textId="77777777">
      <w:pPr>
        <w:ind w:left="360"/>
        <w:rPr>
          <w:rFonts w:asciiTheme="minorHAnsi" w:hAnsiTheme="minorHAnsi" w:cstheme="minorHAnsi"/>
        </w:rPr>
      </w:pPr>
      <w:r w:rsidRPr="0039145C">
        <w:rPr>
          <w:rFonts w:asciiTheme="minorHAnsi" w:hAnsiTheme="minorHAnsi" w:cstheme="minorHAnsi"/>
        </w:rPr>
        <w:t xml:space="preserve">FAX:770-488-5939 </w:t>
      </w:r>
    </w:p>
    <w:p w:rsidRPr="0039145C" w:rsidR="00782B07" w:rsidP="00782B07" w:rsidRDefault="00782B07" w14:paraId="57CAFFB3" w14:textId="77777777">
      <w:pPr>
        <w:ind w:left="360"/>
        <w:rPr>
          <w:rStyle w:val="Hyperlink"/>
          <w:rFonts w:asciiTheme="minorHAnsi" w:hAnsiTheme="minorHAnsi" w:cstheme="minorHAnsi"/>
        </w:rPr>
      </w:pPr>
      <w:r w:rsidRPr="0039145C">
        <w:rPr>
          <w:rFonts w:asciiTheme="minorHAnsi" w:hAnsiTheme="minorHAnsi" w:cstheme="minorHAnsi"/>
        </w:rPr>
        <w:t xml:space="preserve">E-mail: </w:t>
      </w:r>
      <w:hyperlink w:history="1" r:id="rId9">
        <w:r w:rsidRPr="0039145C">
          <w:rPr>
            <w:rStyle w:val="Hyperlink"/>
            <w:rFonts w:asciiTheme="minorHAnsi" w:hAnsiTheme="minorHAnsi" w:cstheme="minorHAnsi"/>
          </w:rPr>
          <w:t>zfg1@cdc.gov</w:t>
        </w:r>
      </w:hyperlink>
    </w:p>
    <w:p w:rsidRPr="00B74F5A" w:rsidR="00782B07" w:rsidP="006943B0" w:rsidRDefault="00782B07" w14:paraId="12FCF558" w14:textId="77777777"/>
    <w:p w:rsidRPr="00B74F5A" w:rsidR="006943B0" w:rsidP="006943B0" w:rsidRDefault="006943B0" w14:paraId="39474EDF" w14:textId="77777777">
      <w:pPr>
        <w:pStyle w:val="NoSpacing"/>
        <w:rPr>
          <w:b/>
        </w:rPr>
      </w:pPr>
      <w:r w:rsidRPr="00B74F5A">
        <w:rPr>
          <w:b/>
        </w:rPr>
        <w:t>Requested OMB Approval Date and Rationale</w:t>
      </w:r>
    </w:p>
    <w:p w:rsidRPr="00B74F5A" w:rsidR="006943B0" w:rsidP="006943B0" w:rsidRDefault="006943B0" w14:paraId="7FA99C1F" w14:textId="77777777">
      <w:pPr>
        <w:pStyle w:val="NoSpacing"/>
      </w:pPr>
    </w:p>
    <w:p w:rsidR="006943B0" w:rsidP="00245BAC" w:rsidRDefault="006943B0" w14:paraId="66A51C41" w14:textId="05F97BDA">
      <w:pPr>
        <w:pStyle w:val="NoSpacing"/>
        <w:spacing w:after="120"/>
      </w:pPr>
      <w:r w:rsidRPr="00B74F5A">
        <w:t xml:space="preserve">OMB approval is requested by </w:t>
      </w:r>
      <w:r w:rsidR="00245BAC">
        <w:t>May 14, 2022.</w:t>
      </w:r>
      <w:r>
        <w:t xml:space="preserve"> </w:t>
      </w:r>
      <w:r w:rsidRPr="00B74F5A">
        <w:t>Approval by this date will support logistical preparations for</w:t>
      </w:r>
      <w:r>
        <w:t xml:space="preserve"> the </w:t>
      </w:r>
      <w:r w:rsidR="00245BAC">
        <w:t>2022 mid-campaign survey</w:t>
      </w:r>
      <w:r w:rsidRPr="00B74F5A">
        <w:t xml:space="preserve">. </w:t>
      </w:r>
      <w:r w:rsidR="00245BAC">
        <w:t>The</w:t>
      </w:r>
      <w:r w:rsidRPr="00B74F5A">
        <w:t xml:space="preserve"> lead time is needed to</w:t>
      </w:r>
      <w:r w:rsidR="00245BAC">
        <w:t xml:space="preserve"> p</w:t>
      </w:r>
      <w:r>
        <w:t xml:space="preserve">rogram, test, and load the </w:t>
      </w:r>
      <w:r w:rsidR="00245BAC">
        <w:t>survey T</w:t>
      </w:r>
      <w:r>
        <w:t xml:space="preserve">he data collection contractor </w:t>
      </w:r>
      <w:r w:rsidR="00245BAC">
        <w:t>is</w:t>
      </w:r>
      <w:r>
        <w:t xml:space="preserve"> </w:t>
      </w:r>
      <w:r w:rsidRPr="00B74F5A">
        <w:t xml:space="preserve">unable to </w:t>
      </w:r>
      <w:r>
        <w:t xml:space="preserve">complete these programmatic activities until the </w:t>
      </w:r>
      <w:r w:rsidRPr="00B74F5A">
        <w:t>questionnaire content is finalized and approved by OMB.</w:t>
      </w:r>
      <w:r>
        <w:t xml:space="preserve"> Adequate lead time is required to allow CDC and the data collection contractor time to coordinate these activities and allow for testing of the digital-based questionnaire in an efficient and cost-effective manner. </w:t>
      </w:r>
    </w:p>
    <w:p w:rsidRPr="00B74F5A" w:rsidR="006943B0" w:rsidP="006943B0" w:rsidRDefault="006943B0" w14:paraId="075B2A71" w14:textId="77777777">
      <w:pPr>
        <w:pStyle w:val="NoSpacing"/>
        <w:spacing w:after="120"/>
        <w:rPr>
          <w:b/>
        </w:rPr>
      </w:pPr>
    </w:p>
    <w:p w:rsidRPr="00B74F5A" w:rsidR="006943B0" w:rsidP="006943B0" w:rsidRDefault="006943B0" w14:paraId="4F77E187" w14:textId="77777777">
      <w:pPr>
        <w:pStyle w:val="NoSpacing"/>
        <w:spacing w:after="120"/>
        <w:rPr>
          <w:b/>
        </w:rPr>
      </w:pPr>
      <w:r w:rsidRPr="00B74F5A">
        <w:rPr>
          <w:b/>
        </w:rPr>
        <w:t>Estimated Timeline</w:t>
      </w:r>
    </w:p>
    <w:p w:rsidRPr="00B74F5A" w:rsidR="006943B0" w:rsidP="006943B0" w:rsidRDefault="00245BAC" w14:paraId="4513E5E3" w14:textId="2292E0CB">
      <w:pPr>
        <w:pStyle w:val="NoSpacing"/>
        <w:tabs>
          <w:tab w:val="left" w:pos="1800"/>
        </w:tabs>
        <w:spacing w:after="120"/>
      </w:pPr>
      <w:r>
        <w:t>05/1</w:t>
      </w:r>
      <w:r w:rsidR="00641CA2">
        <w:t>3</w:t>
      </w:r>
      <w:r w:rsidR="006943B0">
        <w:t>/20</w:t>
      </w:r>
      <w:r>
        <w:t>22</w:t>
      </w:r>
      <w:r w:rsidRPr="00B74F5A" w:rsidR="006943B0">
        <w:tab/>
        <w:t>Target date for receipt of OMB approval</w:t>
      </w:r>
    </w:p>
    <w:p w:rsidR="006943B0" w:rsidP="006943B0" w:rsidRDefault="00245BAC" w14:paraId="27671A3F" w14:textId="5C94A5A3">
      <w:pPr>
        <w:pStyle w:val="NoSpacing"/>
        <w:tabs>
          <w:tab w:val="left" w:pos="1800"/>
        </w:tabs>
        <w:spacing w:after="120"/>
        <w:ind w:left="1800" w:hanging="1800"/>
      </w:pPr>
      <w:r w:rsidRPr="00245BAC">
        <w:t>05/1</w:t>
      </w:r>
      <w:r w:rsidR="00021ED0">
        <w:t>6</w:t>
      </w:r>
      <w:r w:rsidRPr="00245BAC">
        <w:t>/2022</w:t>
      </w:r>
      <w:r w:rsidRPr="00B74F5A" w:rsidR="006943B0">
        <w:tab/>
      </w:r>
      <w:r>
        <w:t>Conduct updated p</w:t>
      </w:r>
      <w:r w:rsidR="006943B0">
        <w:t>rogramming of 20</w:t>
      </w:r>
      <w:r>
        <w:t>22 mid-campaign web panel</w:t>
      </w:r>
      <w:r w:rsidR="006943B0">
        <w:t xml:space="preserve"> digital-based survey (data collection contractor)</w:t>
      </w:r>
    </w:p>
    <w:p w:rsidRPr="00B74F5A" w:rsidR="006943B0" w:rsidP="00245BAC" w:rsidRDefault="00245BAC" w14:paraId="31668B27" w14:textId="1C87ED89">
      <w:pPr>
        <w:pStyle w:val="NoSpacing"/>
        <w:tabs>
          <w:tab w:val="left" w:pos="1800"/>
        </w:tabs>
        <w:spacing w:after="120"/>
        <w:ind w:left="1800" w:hanging="1800"/>
      </w:pPr>
      <w:r w:rsidRPr="00245BAC">
        <w:t>05/</w:t>
      </w:r>
      <w:r w:rsidR="00021ED0">
        <w:t>23</w:t>
      </w:r>
      <w:r w:rsidRPr="00245BAC">
        <w:t>/2022</w:t>
      </w:r>
      <w:r w:rsidR="006943B0">
        <w:tab/>
      </w:r>
      <w:r>
        <w:t>T</w:t>
      </w:r>
      <w:r w:rsidRPr="00245BAC">
        <w:t xml:space="preserve">est, and load the survey </w:t>
      </w:r>
    </w:p>
    <w:p w:rsidRPr="00B74F5A" w:rsidR="006943B0" w:rsidP="006943B0" w:rsidRDefault="00245BAC" w14:paraId="45F535BA" w14:textId="6619BCE5">
      <w:pPr>
        <w:pStyle w:val="NoSpacing"/>
        <w:tabs>
          <w:tab w:val="left" w:pos="1800"/>
        </w:tabs>
        <w:spacing w:after="120"/>
      </w:pPr>
      <w:r w:rsidRPr="00245BAC">
        <w:t>0</w:t>
      </w:r>
      <w:r w:rsidR="00021ED0">
        <w:t>6</w:t>
      </w:r>
      <w:r w:rsidRPr="00245BAC">
        <w:t>/</w:t>
      </w:r>
      <w:r w:rsidR="00530C3D">
        <w:t>06</w:t>
      </w:r>
      <w:r w:rsidRPr="00245BAC">
        <w:t>/2022</w:t>
      </w:r>
      <w:r w:rsidRPr="00B74F5A" w:rsidR="006943B0">
        <w:tab/>
      </w:r>
      <w:r w:rsidR="006943B0">
        <w:t xml:space="preserve">Target for initiation of </w:t>
      </w:r>
      <w:r w:rsidRPr="00B74F5A" w:rsidR="006943B0">
        <w:t xml:space="preserve">information collection </w:t>
      </w:r>
    </w:p>
    <w:p w:rsidR="006943B0" w:rsidP="006943B0" w:rsidRDefault="00245BAC" w14:paraId="6B1B0340" w14:textId="45C65E3A">
      <w:pPr>
        <w:pStyle w:val="NoSpacing"/>
        <w:tabs>
          <w:tab w:val="left" w:pos="1800"/>
        </w:tabs>
        <w:spacing w:after="120"/>
      </w:pPr>
      <w:r>
        <w:t>0</w:t>
      </w:r>
      <w:r w:rsidR="00530C3D">
        <w:t>8</w:t>
      </w:r>
      <w:r>
        <w:t>/1/2022</w:t>
      </w:r>
      <w:r>
        <w:tab/>
      </w:r>
      <w:r w:rsidR="006943B0">
        <w:t>Complete information collection</w:t>
      </w:r>
      <w:r>
        <w:tab/>
      </w:r>
    </w:p>
    <w:p w:rsidR="00050122" w:rsidP="6CEC08D0" w:rsidRDefault="00E44845" w14:paraId="4E0194A9" w14:textId="2D98A9B1">
      <w:pPr>
        <w:pStyle w:val="NoSpacing"/>
        <w:tabs>
          <w:tab w:val="left" w:pos="1800"/>
        </w:tabs>
        <w:spacing w:after="120"/>
        <w:rPr>
          <w:rFonts w:eastAsia="Calibri"/>
        </w:rPr>
      </w:pPr>
    </w:p>
    <w:p w:rsidR="17D9C75F" w:rsidP="17D9C75F" w:rsidRDefault="17D9C75F" w14:paraId="0B45C2D5" w14:textId="06A305F8">
      <w:pPr>
        <w:rPr>
          <w:rFonts w:asciiTheme="minorHAnsi" w:hAnsiTheme="minorHAnsi" w:eastAsiaTheme="minorEastAsia" w:cstheme="minorBidi"/>
          <w:b/>
          <w:bCs/>
          <w:color w:val="000000" w:themeColor="text1"/>
        </w:rPr>
      </w:pPr>
      <w:r w:rsidRPr="17D9C75F">
        <w:rPr>
          <w:rFonts w:asciiTheme="minorHAnsi" w:hAnsiTheme="minorHAnsi" w:eastAsiaTheme="minorEastAsia" w:cstheme="minorBidi"/>
          <w:b/>
          <w:bCs/>
          <w:color w:val="000000" w:themeColor="text1"/>
        </w:rPr>
        <w:t>Table A.12.1. Estimated Annualized Burden Hours</w:t>
      </w:r>
    </w:p>
    <w:p w:rsidR="17D9C75F" w:rsidP="17D9C75F" w:rsidRDefault="17D9C75F" w14:paraId="44BA978C" w14:textId="233833D6">
      <w:pPr>
        <w:pStyle w:val="NoSpacing"/>
        <w:spacing w:after="120"/>
        <w:rPr>
          <w:rFonts w:eastAsia="Calibri"/>
          <w:b/>
          <w:bCs/>
        </w:rPr>
      </w:pPr>
    </w:p>
    <w:p w:rsidR="00050122" w:rsidP="6CEC08D0" w:rsidRDefault="00E44845" w14:paraId="6CD51D48" w14:textId="70D6566E">
      <w:pPr>
        <w:pStyle w:val="NoSpacing"/>
        <w:tabs>
          <w:tab w:val="left" w:pos="1800"/>
        </w:tabs>
        <w:spacing w:after="120"/>
        <w:rPr>
          <w:rFonts w:eastAsia="Calibri"/>
        </w:rPr>
      </w:pPr>
    </w:p>
    <w:p w:rsidR="00050122" w:rsidP="6CEC08D0" w:rsidRDefault="00E44845" w14:paraId="3F1FF22D" w14:textId="0132D278">
      <w:pPr>
        <w:pStyle w:val="NoSpacing"/>
        <w:tabs>
          <w:tab w:val="left" w:pos="1800"/>
        </w:tabs>
        <w:spacing w:after="120"/>
        <w:rPr>
          <w:rFonts w:eastAsia="Calibri"/>
        </w:rPr>
      </w:pPr>
    </w:p>
    <w:p w:rsidR="00050122" w:rsidP="6CEC08D0" w:rsidRDefault="00E44845" w14:paraId="03CB879B" w14:textId="04C2166E">
      <w:pPr>
        <w:pStyle w:val="NoSpacing"/>
        <w:tabs>
          <w:tab w:val="left" w:pos="1800"/>
        </w:tabs>
        <w:spacing w:after="120"/>
        <w:rPr>
          <w:rFonts w:eastAsia="Calibri"/>
        </w:rPr>
      </w:pPr>
    </w:p>
    <w:p w:rsidR="00050122" w:rsidP="6CEC08D0" w:rsidRDefault="00E44845" w14:paraId="36F02E0B" w14:textId="4C81E402">
      <w:pPr>
        <w:pStyle w:val="NoSpacing"/>
        <w:tabs>
          <w:tab w:val="left" w:pos="1800"/>
        </w:tabs>
        <w:spacing w:after="120"/>
        <w:rPr>
          <w:rFonts w:eastAsia="Calibri"/>
        </w:rPr>
      </w:pPr>
    </w:p>
    <w:p w:rsidR="00050122" w:rsidP="6CEC08D0" w:rsidRDefault="00E44845" w14:paraId="12E87692" w14:textId="344234E7">
      <w:pPr>
        <w:pStyle w:val="NoSpacing"/>
        <w:tabs>
          <w:tab w:val="left" w:pos="1800"/>
        </w:tabs>
        <w:spacing w:after="120"/>
        <w:rPr>
          <w:rFonts w:eastAsia="Calibri"/>
        </w:rPr>
      </w:pPr>
    </w:p>
    <w:p w:rsidR="00050122" w:rsidP="6CEC08D0" w:rsidRDefault="00E44845" w14:paraId="3E442D1C" w14:textId="2B7E5711">
      <w:pPr>
        <w:rPr>
          <w:rFonts w:ascii="Times New Roman" w:hAnsi="Times New Roman" w:eastAsia="Times New Roman"/>
          <w:color w:val="000000" w:themeColor="text1"/>
          <w:sz w:val="24"/>
          <w:szCs w:val="24"/>
        </w:rPr>
      </w:pPr>
    </w:p>
    <w:tbl>
      <w:tblPr>
        <w:tblW w:w="0" w:type="auto"/>
        <w:tblLayout w:type="fixed"/>
        <w:tblLook w:val="04A0" w:firstRow="1" w:lastRow="0" w:firstColumn="1" w:lastColumn="0" w:noHBand="0" w:noVBand="1"/>
      </w:tblPr>
      <w:tblGrid>
        <w:gridCol w:w="1607"/>
        <w:gridCol w:w="2034"/>
        <w:gridCol w:w="1679"/>
        <w:gridCol w:w="1693"/>
        <w:gridCol w:w="1238"/>
        <w:gridCol w:w="1110"/>
      </w:tblGrid>
      <w:tr w:rsidR="6CEC08D0" w:rsidTr="430E447A" w14:paraId="3774400B" w14:textId="77777777">
        <w:tc>
          <w:tcPr>
            <w:tcW w:w="1607"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F257E4B" w14:textId="3E47CA0A">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(Type of) Respondents</w:t>
            </w:r>
          </w:p>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1FFC18B" w14:textId="1B1ACA08">
            <w:pPr>
              <w:spacing w:line="276" w:lineRule="auto"/>
              <w:jc w:val="center"/>
              <w:rPr>
                <w:rFonts w:ascii="Times New Roman" w:hAnsi="Times New Roman" w:eastAsia="Times New Roman"/>
                <w:sz w:val="24"/>
                <w:szCs w:val="24"/>
              </w:rPr>
            </w:pPr>
          </w:p>
          <w:p w:rsidR="6CEC08D0" w:rsidP="6CEC08D0" w:rsidRDefault="6CEC08D0" w14:paraId="45B741AC" w14:textId="78E59F1C">
            <w:pPr>
              <w:spacing w:line="276" w:lineRule="auto"/>
              <w:jc w:val="center"/>
              <w:rPr>
                <w:rFonts w:ascii="Times New Roman" w:hAnsi="Times New Roman" w:eastAsia="Times New Roman"/>
                <w:sz w:val="24"/>
                <w:szCs w:val="24"/>
              </w:rPr>
            </w:pPr>
          </w:p>
          <w:p w:rsidR="6CEC08D0" w:rsidP="6CEC08D0" w:rsidRDefault="6CEC08D0" w14:paraId="0800AD02" w14:textId="6E8A5E6D">
            <w:pPr>
              <w:pStyle w:val="bodytextpsg"/>
              <w:spacing w:line="276" w:lineRule="auto"/>
              <w:jc w:val="center"/>
            </w:pPr>
            <w:r w:rsidRPr="6CEC08D0">
              <w:t>Form Name</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1AD15A6" w14:textId="258AADC1">
            <w:pPr>
              <w:spacing w:line="276" w:lineRule="auto"/>
              <w:jc w:val="center"/>
              <w:rPr>
                <w:rFonts w:ascii="Times New Roman" w:hAnsi="Times New Roman" w:eastAsia="Times New Roman"/>
                <w:sz w:val="24"/>
                <w:szCs w:val="24"/>
              </w:rPr>
            </w:pPr>
          </w:p>
          <w:p w:rsidR="6CEC08D0" w:rsidP="6CEC08D0" w:rsidRDefault="6CEC08D0" w14:paraId="69241DE2" w14:textId="1B3714A9">
            <w:pPr>
              <w:spacing w:line="276" w:lineRule="auto"/>
              <w:jc w:val="center"/>
              <w:rPr>
                <w:rFonts w:ascii="Times New Roman" w:hAnsi="Times New Roman" w:eastAsia="Times New Roman"/>
                <w:sz w:val="24"/>
                <w:szCs w:val="24"/>
              </w:rPr>
            </w:pPr>
          </w:p>
          <w:p w:rsidR="6CEC08D0" w:rsidP="6CEC08D0" w:rsidRDefault="6CEC08D0" w14:paraId="3A88CA4A" w14:textId="32B76E35">
            <w:pPr>
              <w:pStyle w:val="bodytextpsg"/>
              <w:spacing w:line="276" w:lineRule="auto"/>
              <w:jc w:val="center"/>
            </w:pPr>
            <w:r w:rsidRPr="6CEC08D0">
              <w:t>Number of Respondents</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1EACFE7" w14:textId="79D9D6CC">
            <w:pPr>
              <w:pStyle w:val="bodytextpsg"/>
              <w:spacing w:line="276" w:lineRule="auto"/>
              <w:jc w:val="center"/>
            </w:pPr>
            <w:r w:rsidRPr="6CEC08D0">
              <w:t>Number of Responses per Respondent</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152F064" w14:textId="18D44108">
            <w:pPr>
              <w:spacing w:line="276" w:lineRule="auto"/>
              <w:jc w:val="center"/>
              <w:rPr>
                <w:rFonts w:ascii="Times New Roman" w:hAnsi="Times New Roman" w:eastAsia="Times New Roman"/>
                <w:sz w:val="24"/>
                <w:szCs w:val="24"/>
              </w:rPr>
            </w:pPr>
          </w:p>
          <w:p w:rsidR="6CEC08D0" w:rsidP="6CEC08D0" w:rsidRDefault="6CEC08D0" w14:paraId="5014D22F" w14:textId="5067DEB9">
            <w:pPr>
              <w:pStyle w:val="bodytextpsg"/>
              <w:spacing w:line="276" w:lineRule="auto"/>
              <w:jc w:val="center"/>
            </w:pPr>
            <w:r w:rsidRPr="6CEC08D0">
              <w:t>Average Burden per Response (in Hours)</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4267708" w14:textId="4E03B861">
            <w:pPr>
              <w:spacing w:line="276" w:lineRule="auto"/>
              <w:jc w:val="center"/>
              <w:rPr>
                <w:rFonts w:ascii="Times New Roman" w:hAnsi="Times New Roman" w:eastAsia="Times New Roman"/>
                <w:sz w:val="24"/>
                <w:szCs w:val="24"/>
              </w:rPr>
            </w:pPr>
          </w:p>
          <w:p w:rsidR="6CEC08D0" w:rsidP="6CEC08D0" w:rsidRDefault="6CEC08D0" w14:paraId="2282E4C9" w14:textId="588C8322">
            <w:pPr>
              <w:spacing w:line="276" w:lineRule="auto"/>
              <w:jc w:val="center"/>
              <w:rPr>
                <w:rFonts w:ascii="Times New Roman" w:hAnsi="Times New Roman" w:eastAsia="Times New Roman"/>
                <w:sz w:val="24"/>
                <w:szCs w:val="24"/>
              </w:rPr>
            </w:pPr>
          </w:p>
          <w:p w:rsidR="6CEC08D0" w:rsidP="6CEC08D0" w:rsidRDefault="6CEC08D0" w14:paraId="694E5D89" w14:textId="74AAB60C">
            <w:pPr>
              <w:pStyle w:val="bodytextpsg"/>
              <w:spacing w:line="276" w:lineRule="auto"/>
              <w:jc w:val="center"/>
            </w:pPr>
            <w:r w:rsidRPr="6CEC08D0">
              <w:t>Total Burden (in Hours)</w:t>
            </w:r>
          </w:p>
        </w:tc>
      </w:tr>
      <w:tr w:rsidR="6CEC08D0" w:rsidTr="430E447A" w14:paraId="3E101844" w14:textId="77777777">
        <w:tc>
          <w:tcPr>
            <w:tcW w:w="1607" w:type="dxa"/>
            <w:vMerge w:val="restart"/>
            <w:tcBorders>
              <w:top w:val="single" w:color="auto" w:sz="6" w:space="0"/>
              <w:left w:val="single" w:color="auto" w:sz="6" w:space="0"/>
              <w:bottom w:val="single" w:color="auto" w:sz="6" w:space="0"/>
              <w:right w:val="single" w:color="auto" w:sz="6" w:space="0"/>
            </w:tcBorders>
            <w:vAlign w:val="bottom"/>
          </w:tcPr>
          <w:p w:rsidR="6CEC08D0" w:rsidP="6CEC08D0" w:rsidRDefault="6CEC08D0" w14:paraId="1B58A643" w14:textId="2B299DFD">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General Population</w:t>
            </w:r>
          </w:p>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45AA3FF" w14:textId="7D88F533">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Screening &amp; Consent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179FE5A" w14:textId="407BC868">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16,167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08643D1" w14:textId="3D3AA4CC">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611DAC8" w14:textId="3EB98458">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5/60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8D09930" w14:textId="56431EB0">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1,347</w:t>
            </w:r>
          </w:p>
        </w:tc>
      </w:tr>
      <w:tr w:rsidR="6CEC08D0" w:rsidTr="430E447A" w14:paraId="24ADF75C" w14:textId="77777777">
        <w:tc>
          <w:tcPr>
            <w:tcW w:w="1607" w:type="dxa"/>
            <w:vMerge/>
            <w:vAlign w:val="center"/>
          </w:tcPr>
          <w:p w:rsidR="002E688F" w:rsidRDefault="002E688F" w14:paraId="0B131FF8"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960A978" w14:textId="2CFBA9CD">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Screening &amp; Consent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7C53348" w14:textId="7998C84B">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500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E7E7C1C" w14:textId="55559A9A">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DEBE328" w14:textId="3C4098B9">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5/60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00081CA" w14:textId="1BA4B2AF">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42</w:t>
            </w:r>
          </w:p>
        </w:tc>
      </w:tr>
      <w:tr w:rsidR="6CEC08D0" w:rsidTr="430E447A" w14:paraId="3BD50443" w14:textId="77777777">
        <w:tc>
          <w:tcPr>
            <w:tcW w:w="1607" w:type="dxa"/>
            <w:vMerge w:val="restart"/>
            <w:tcBorders>
              <w:top w:val="single" w:color="auto" w:sz="6" w:space="0"/>
              <w:left w:val="single" w:color="auto" w:sz="6" w:space="0"/>
              <w:bottom w:val="single" w:color="auto" w:sz="6" w:space="0"/>
              <w:right w:val="single" w:color="auto" w:sz="6" w:space="0"/>
            </w:tcBorders>
            <w:vAlign w:val="center"/>
          </w:tcPr>
          <w:p w:rsidR="6CEC08D0" w:rsidP="6CEC08D0" w:rsidRDefault="6CEC08D0" w14:paraId="2547A38F" w14:textId="73DB60B9">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Adult Smokers, ages 18-54, in the United States</w:t>
            </w:r>
          </w:p>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BA15698" w14:textId="5F204BBC">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A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2DA57F3" w14:textId="06974235">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2,587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83DA863" w14:textId="55351934">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5311A57" w14:textId="6CCCDCBF">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F44BD64" w14:textId="4AFD3228">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862</w:t>
            </w:r>
          </w:p>
        </w:tc>
      </w:tr>
      <w:tr w:rsidR="6CEC08D0" w:rsidTr="430E447A" w14:paraId="2657BB73" w14:textId="77777777">
        <w:trPr>
          <w:trHeight w:val="360"/>
        </w:trPr>
        <w:tc>
          <w:tcPr>
            <w:tcW w:w="1607" w:type="dxa"/>
            <w:vMerge/>
            <w:vAlign w:val="center"/>
          </w:tcPr>
          <w:p w:rsidR="002E688F" w:rsidRDefault="002E688F" w14:paraId="06CBEB57"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603377E" w14:textId="272B1968">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A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51DBCFE" w14:textId="78B915A0">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56B185F" w14:textId="42711804">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032DFCE" w14:textId="54F4E2B4">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8F63B85" w14:textId="151B3CCC">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27</w:t>
            </w:r>
          </w:p>
        </w:tc>
      </w:tr>
      <w:tr w:rsidR="6CEC08D0" w:rsidTr="430E447A" w14:paraId="3751B956" w14:textId="77777777">
        <w:trPr>
          <w:trHeight w:val="360"/>
        </w:trPr>
        <w:tc>
          <w:tcPr>
            <w:tcW w:w="1607" w:type="dxa"/>
            <w:vMerge/>
            <w:vAlign w:val="center"/>
          </w:tcPr>
          <w:p w:rsidR="002E688F" w:rsidRDefault="002E688F" w14:paraId="0EDB166C"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FCF03E2" w14:textId="7BFC6384">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B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9812786" w14:textId="1400A965">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1,617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0663108" w14:textId="41D2D7AD">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3D3990D" w14:textId="528B3C1D">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8B44B32" w14:textId="7200F0D6">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539</w:t>
            </w:r>
          </w:p>
        </w:tc>
      </w:tr>
      <w:tr w:rsidR="6CEC08D0" w:rsidTr="430E447A" w14:paraId="4FC598BD" w14:textId="77777777">
        <w:tc>
          <w:tcPr>
            <w:tcW w:w="1607" w:type="dxa"/>
            <w:vMerge/>
            <w:vAlign w:val="center"/>
          </w:tcPr>
          <w:p w:rsidR="002E688F" w:rsidRDefault="002E688F" w14:paraId="44229149"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6098B28" w14:textId="0D3165CA">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B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8607D53" w14:textId="7FCDE7F9">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4B3A75A" w14:textId="605AB9EB">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E21D840" w14:textId="5C933D14">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8EFE92D" w14:textId="1DC037CA">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17</w:t>
            </w:r>
          </w:p>
        </w:tc>
      </w:tr>
      <w:tr w:rsidR="6CEC08D0" w:rsidTr="430E447A" w14:paraId="4CD73868" w14:textId="77777777">
        <w:tc>
          <w:tcPr>
            <w:tcW w:w="1607" w:type="dxa"/>
            <w:vMerge/>
            <w:vAlign w:val="center"/>
          </w:tcPr>
          <w:p w:rsidR="002E688F" w:rsidRDefault="002E688F" w14:paraId="7AAD32F0"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6F99BFF" w14:textId="74E3CCBD">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C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8F39D2E" w14:textId="164E6656">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1,617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865D124" w14:textId="22AFA525">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F3AD9F0" w14:textId="686E3A85">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CDE165F" w14:textId="581CFC5C">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539</w:t>
            </w:r>
          </w:p>
        </w:tc>
      </w:tr>
      <w:tr w:rsidR="6CEC08D0" w:rsidTr="430E447A" w14:paraId="28532257" w14:textId="77777777">
        <w:tc>
          <w:tcPr>
            <w:tcW w:w="1607" w:type="dxa"/>
            <w:vMerge/>
            <w:vAlign w:val="center"/>
          </w:tcPr>
          <w:p w:rsidR="002E688F" w:rsidRDefault="002E688F" w14:paraId="00960A2B"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5FB108F" w14:textId="0FB86883">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C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1B85C65" w14:textId="3EEC4F59">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62C35B6" w14:textId="47CF817F">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56EF2B4" w14:textId="1D4A4B08">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654AC7B" w14:textId="4C28725B">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17</w:t>
            </w:r>
          </w:p>
        </w:tc>
      </w:tr>
      <w:tr w:rsidR="6CEC08D0" w:rsidTr="430E447A" w14:paraId="5A06F77D" w14:textId="77777777">
        <w:tc>
          <w:tcPr>
            <w:tcW w:w="1607" w:type="dxa"/>
            <w:vMerge/>
            <w:vAlign w:val="center"/>
          </w:tcPr>
          <w:p w:rsidR="002E688F" w:rsidRDefault="002E688F" w14:paraId="2B26028F"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85120AE" w14:textId="635D8DDD">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D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1464F2C" w14:textId="7E0F74E0">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1,617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EB8EE14" w14:textId="7F6C8A78">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4B718B3" w14:textId="596DAE66">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D1009FA" w14:textId="1C7EDE75">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539</w:t>
            </w:r>
          </w:p>
        </w:tc>
      </w:tr>
      <w:tr w:rsidR="6CEC08D0" w:rsidTr="430E447A" w14:paraId="792F6B17" w14:textId="77777777">
        <w:tc>
          <w:tcPr>
            <w:tcW w:w="1607" w:type="dxa"/>
            <w:vMerge/>
            <w:vAlign w:val="center"/>
          </w:tcPr>
          <w:p w:rsidR="002E688F" w:rsidRDefault="002E688F" w14:paraId="0521D3DB"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145E1BE" w14:textId="53AD4500">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D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DF8890C" w14:textId="661AA88D">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4D0FE09" w14:textId="6F7576C4">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92D30AE" w14:textId="5E030105">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FF19CF9" w14:textId="1EDB8CD2">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17</w:t>
            </w:r>
          </w:p>
        </w:tc>
      </w:tr>
      <w:tr w:rsidR="6CEC08D0" w:rsidTr="430E447A" w14:paraId="484940D7" w14:textId="77777777">
        <w:tc>
          <w:tcPr>
            <w:tcW w:w="1607" w:type="dxa"/>
            <w:vMerge/>
            <w:vAlign w:val="center"/>
          </w:tcPr>
          <w:p w:rsidR="002E688F" w:rsidRDefault="002E688F" w14:paraId="18FCEF68"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D457989" w14:textId="776AE3A6">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E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3814932" w14:textId="4A4559D1">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1,617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238CDE1" w14:textId="71EC7E70">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76CEC77" w14:textId="3622D44D">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13D0CF6" w14:textId="561510A9">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539</w:t>
            </w:r>
          </w:p>
        </w:tc>
      </w:tr>
      <w:tr w:rsidR="6CEC08D0" w:rsidTr="430E447A" w14:paraId="30270903" w14:textId="77777777">
        <w:tc>
          <w:tcPr>
            <w:tcW w:w="1607" w:type="dxa"/>
            <w:vMerge/>
            <w:vAlign w:val="center"/>
          </w:tcPr>
          <w:p w:rsidR="002E688F" w:rsidRDefault="002E688F" w14:paraId="3F6C286B"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99E2728" w14:textId="12635D8C">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E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4333D2F" w14:textId="63872165">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C183F58" w14:textId="773EC650">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088145E" w14:textId="7EA39BB2">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66B1196" w14:textId="05F1F153">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17</w:t>
            </w:r>
          </w:p>
        </w:tc>
      </w:tr>
      <w:tr w:rsidR="6CEC08D0" w:rsidTr="430E447A" w14:paraId="5BE5D847" w14:textId="77777777">
        <w:tc>
          <w:tcPr>
            <w:tcW w:w="1607" w:type="dxa"/>
            <w:vMerge/>
            <w:vAlign w:val="center"/>
          </w:tcPr>
          <w:p w:rsidR="002E688F" w:rsidRDefault="002E688F" w14:paraId="555DFED2"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C29AD7F" w14:textId="6BACF028">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F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2330043" w14:textId="3DF96863">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1,617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A52772F" w14:textId="2CEE8BCB">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5BA87CD" w14:textId="41CF38A5">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9CAFFF8" w14:textId="25254110">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539</w:t>
            </w:r>
          </w:p>
        </w:tc>
      </w:tr>
      <w:tr w:rsidR="6CEC08D0" w:rsidTr="430E447A" w14:paraId="1091C4F7" w14:textId="77777777">
        <w:tc>
          <w:tcPr>
            <w:tcW w:w="1607" w:type="dxa"/>
            <w:vMerge/>
            <w:vAlign w:val="center"/>
          </w:tcPr>
          <w:p w:rsidR="002E688F" w:rsidRDefault="002E688F" w14:paraId="7F8FFED7"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786CC0F" w14:textId="24F3F2D4">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F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DC3A82C" w14:textId="080E5EDA">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86CEBDE" w14:textId="3BBC2EBC">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45C7635" w14:textId="33D1BBFA">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2D49A13" w14:textId="47CA50C9">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17</w:t>
            </w:r>
          </w:p>
        </w:tc>
      </w:tr>
      <w:tr w:rsidR="6CEC08D0" w:rsidTr="430E447A" w14:paraId="0488EFA0" w14:textId="77777777">
        <w:tc>
          <w:tcPr>
            <w:tcW w:w="1607" w:type="dxa"/>
            <w:vMerge/>
            <w:vAlign w:val="center"/>
          </w:tcPr>
          <w:p w:rsidR="002E688F" w:rsidRDefault="002E688F" w14:paraId="0B68C81E"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F690AA6" w14:textId="4B394D85">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G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938A09F" w14:textId="07F23F20">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1,617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B88DDB7" w14:textId="7576838F">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4394662" w14:textId="4969E7E7">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1899EFA" w14:textId="301A6454">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539</w:t>
            </w:r>
          </w:p>
        </w:tc>
      </w:tr>
      <w:tr w:rsidR="6CEC08D0" w:rsidTr="430E447A" w14:paraId="28589379" w14:textId="77777777">
        <w:tc>
          <w:tcPr>
            <w:tcW w:w="1607" w:type="dxa"/>
            <w:vMerge/>
            <w:vAlign w:val="center"/>
          </w:tcPr>
          <w:p w:rsidR="002E688F" w:rsidRDefault="002E688F" w14:paraId="7DCECA0A"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68045AD" w14:textId="25001C48">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G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C2D4035" w14:textId="05C16DEF">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367E813" w14:textId="068379EB">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039E700" w14:textId="07D96C14">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71BF73C" w14:textId="41B2E69C">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17</w:t>
            </w:r>
          </w:p>
        </w:tc>
      </w:tr>
      <w:tr w:rsidR="6CEC08D0" w:rsidTr="430E447A" w14:paraId="34CE5D30" w14:textId="77777777">
        <w:tc>
          <w:tcPr>
            <w:tcW w:w="1607" w:type="dxa"/>
            <w:vMerge/>
            <w:vAlign w:val="center"/>
          </w:tcPr>
          <w:p w:rsidR="002E688F" w:rsidRDefault="002E688F" w14:paraId="03D2CE5B"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0A51BC2" w14:textId="26A10888">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H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C814146" w14:textId="4E26B3C5">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1,617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28253FE" w14:textId="56AB1E54">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6D174D3" w14:textId="17BD5771">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E5DD5CB" w14:textId="3D74422E">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539</w:t>
            </w:r>
          </w:p>
        </w:tc>
      </w:tr>
      <w:tr w:rsidR="6CEC08D0" w:rsidTr="430E447A" w14:paraId="41F5CDBB" w14:textId="77777777">
        <w:tc>
          <w:tcPr>
            <w:tcW w:w="1607" w:type="dxa"/>
            <w:vMerge/>
            <w:vAlign w:val="center"/>
          </w:tcPr>
          <w:p w:rsidR="002E688F" w:rsidRDefault="002E688F" w14:paraId="1F4AE205"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62CB269" w14:textId="614CB4F3">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H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7D4B53D" w14:textId="42060A01">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8904842" w14:textId="45C7D53B">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1BDAFC5" w14:textId="14667527">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78500F2" w14:textId="7F831911">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17</w:t>
            </w:r>
          </w:p>
        </w:tc>
      </w:tr>
      <w:tr w:rsidR="6CEC08D0" w:rsidTr="430E447A" w14:paraId="47D9E866" w14:textId="77777777">
        <w:tc>
          <w:tcPr>
            <w:tcW w:w="1607" w:type="dxa"/>
            <w:vMerge/>
            <w:vAlign w:val="center"/>
          </w:tcPr>
          <w:p w:rsidR="002E688F" w:rsidRDefault="002E688F" w14:paraId="14C5C636"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1E20EBA" w14:textId="62E24469">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I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CA1F81E" w14:textId="0F27041F">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1,617</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80D9F4A" w14:textId="5144C473">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E94E172" w14:textId="1C3C84CB">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C56F416" w14:textId="35414ED3">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539</w:t>
            </w:r>
          </w:p>
        </w:tc>
      </w:tr>
      <w:tr w:rsidR="6CEC08D0" w:rsidTr="430E447A" w14:paraId="1BAC823B" w14:textId="77777777">
        <w:tc>
          <w:tcPr>
            <w:tcW w:w="1607" w:type="dxa"/>
            <w:vMerge/>
            <w:vAlign w:val="center"/>
          </w:tcPr>
          <w:p w:rsidR="002E688F" w:rsidRDefault="002E688F" w14:paraId="4B30CC3C"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EBAA66D" w14:textId="1F89CF91">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Smoker Survey Wave I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5C3FC1A" w14:textId="4AB34FC3">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50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7807F22" w14:textId="5AD9417F">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A2904D8" w14:textId="52B20623">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913668E" w14:textId="22CD6557">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17</w:t>
            </w:r>
          </w:p>
        </w:tc>
      </w:tr>
      <w:tr w:rsidR="6CEC08D0" w:rsidTr="430E447A" w14:paraId="5FA08A07" w14:textId="77777777">
        <w:tc>
          <w:tcPr>
            <w:tcW w:w="1607" w:type="dxa"/>
            <w:vMerge w:val="restart"/>
            <w:tcBorders>
              <w:top w:val="single" w:color="auto" w:sz="6" w:space="0"/>
              <w:left w:val="single" w:color="auto" w:sz="6" w:space="0"/>
              <w:bottom w:val="single" w:color="auto" w:sz="6" w:space="0"/>
              <w:right w:val="single" w:color="auto" w:sz="6" w:space="0"/>
            </w:tcBorders>
            <w:vAlign w:val="bottom"/>
          </w:tcPr>
          <w:p w:rsidR="6CEC08D0" w:rsidP="6CEC08D0" w:rsidRDefault="6CEC08D0" w14:paraId="296A3326" w14:textId="267E4808">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Adult Nonsmokers, ages 18-54, in the United States</w:t>
            </w:r>
          </w:p>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5424A42" w14:textId="309256FA">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A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60DE051" w14:textId="15202E55">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1,000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02F5D5A" w14:textId="05681484">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744E60A" w14:textId="25259B6F">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F4C0D3B" w14:textId="1606D661">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333</w:t>
            </w:r>
          </w:p>
        </w:tc>
      </w:tr>
      <w:tr w:rsidR="6CEC08D0" w:rsidTr="430E447A" w14:paraId="1B419ABF" w14:textId="77777777">
        <w:tc>
          <w:tcPr>
            <w:tcW w:w="1607" w:type="dxa"/>
            <w:vMerge/>
            <w:vAlign w:val="center"/>
          </w:tcPr>
          <w:p w:rsidR="002E688F" w:rsidRDefault="002E688F" w14:paraId="600A002B"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637A9FC" w14:textId="70687292">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A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FDF2A90" w14:textId="4038E9AB">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100</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7D1303D" w14:textId="2DA8B10F">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4CA74B6" w14:textId="3F6B1B34">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1FB71BB" w14:textId="755E426D">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33</w:t>
            </w:r>
          </w:p>
        </w:tc>
      </w:tr>
      <w:tr w:rsidR="6CEC08D0" w:rsidTr="430E447A" w14:paraId="326DE029" w14:textId="77777777">
        <w:tc>
          <w:tcPr>
            <w:tcW w:w="1607" w:type="dxa"/>
            <w:vMerge/>
            <w:vAlign w:val="center"/>
          </w:tcPr>
          <w:p w:rsidR="002E688F" w:rsidRDefault="002E688F" w14:paraId="5C452F8B"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4764F2A" w14:textId="54C8450E">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B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98D8AF7" w14:textId="272FB7BB">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808</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DC1DD53" w14:textId="1E27057E">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B3B7BB8" w14:textId="30219011">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5E78E05" w14:textId="770BA361">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269</w:t>
            </w:r>
          </w:p>
        </w:tc>
      </w:tr>
      <w:tr w:rsidR="6CEC08D0" w:rsidTr="430E447A" w14:paraId="5C3CD42D" w14:textId="77777777">
        <w:tc>
          <w:tcPr>
            <w:tcW w:w="1607" w:type="dxa"/>
            <w:vMerge/>
            <w:vAlign w:val="center"/>
          </w:tcPr>
          <w:p w:rsidR="002E688F" w:rsidRDefault="002E688F" w14:paraId="0C25D373"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C7C16A4" w14:textId="187D8C5A">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B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0BF1E1A" w14:textId="4D9F9089">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25</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7456FD8" w14:textId="09E43C01">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6533E21" w14:textId="44AE9FD9">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33128FB" w14:textId="3FC54D7E">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w:t>
            </w:r>
          </w:p>
        </w:tc>
      </w:tr>
      <w:tr w:rsidR="6CEC08D0" w:rsidTr="430E447A" w14:paraId="7806B92C" w14:textId="77777777">
        <w:tc>
          <w:tcPr>
            <w:tcW w:w="1607" w:type="dxa"/>
            <w:vMerge/>
            <w:vAlign w:val="center"/>
          </w:tcPr>
          <w:p w:rsidR="002E688F" w:rsidRDefault="002E688F" w14:paraId="37B89E95"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B993D6B" w14:textId="7D4B10FE">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C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FA931EF" w14:textId="746AF06D">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808</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4900BCF" w14:textId="54DAECC2">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013AFA7" w14:textId="4AB03A88">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8CCC62C" w14:textId="6A702384">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269</w:t>
            </w:r>
          </w:p>
        </w:tc>
      </w:tr>
      <w:tr w:rsidR="6CEC08D0" w:rsidTr="430E447A" w14:paraId="1BC80A80" w14:textId="77777777">
        <w:tc>
          <w:tcPr>
            <w:tcW w:w="1607" w:type="dxa"/>
            <w:vMerge/>
            <w:vAlign w:val="center"/>
          </w:tcPr>
          <w:p w:rsidR="002E688F" w:rsidRDefault="002E688F" w14:paraId="4C9D1AD7"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2A3E282" w14:textId="50E2D2ED">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C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F5624D1" w14:textId="528F6171">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25</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0C2E87E" w14:textId="060C063C">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3D9C450" w14:textId="483C5787">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3751216" w14:textId="4676EAA8">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w:t>
            </w:r>
          </w:p>
        </w:tc>
      </w:tr>
      <w:tr w:rsidR="6CEC08D0" w:rsidTr="430E447A" w14:paraId="77AD6028" w14:textId="77777777">
        <w:tc>
          <w:tcPr>
            <w:tcW w:w="1607" w:type="dxa"/>
            <w:vMerge/>
            <w:vAlign w:val="center"/>
          </w:tcPr>
          <w:p w:rsidR="002E688F" w:rsidRDefault="002E688F" w14:paraId="553ACC3D"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EC7DE7A" w14:textId="0730B5CF">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D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373506A" w14:textId="01B24086">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808</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C3D4C45" w14:textId="69F872E3">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D3A325D" w14:textId="55464AD8">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A9325A1" w14:textId="5C297042">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269</w:t>
            </w:r>
          </w:p>
        </w:tc>
      </w:tr>
      <w:tr w:rsidR="6CEC08D0" w:rsidTr="430E447A" w14:paraId="2D951984" w14:textId="77777777">
        <w:tc>
          <w:tcPr>
            <w:tcW w:w="1607" w:type="dxa"/>
            <w:vMerge/>
            <w:vAlign w:val="center"/>
          </w:tcPr>
          <w:p w:rsidR="002E688F" w:rsidRDefault="002E688F" w14:paraId="3EFA4E2C"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81A4614" w14:textId="6F69E787">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D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150E52F" w14:textId="6147B810">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25</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5A85275" w14:textId="7237BB55">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FAB134C" w14:textId="059A091C">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62D3CDD" w14:textId="29A1A9FB">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w:t>
            </w:r>
          </w:p>
        </w:tc>
      </w:tr>
      <w:tr w:rsidR="6CEC08D0" w:rsidTr="430E447A" w14:paraId="21E45FF8" w14:textId="77777777">
        <w:tc>
          <w:tcPr>
            <w:tcW w:w="1607" w:type="dxa"/>
            <w:vMerge/>
            <w:vAlign w:val="center"/>
          </w:tcPr>
          <w:p w:rsidR="002E688F" w:rsidRDefault="002E688F" w14:paraId="72CCF6FA"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0F2FB80" w14:textId="40E8F77C">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E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E0D0ADF" w14:textId="4F181099">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808</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05FFE5E" w14:textId="47700079">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AE6F52F" w14:textId="51AA7632">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04A01D1" w14:textId="52418E38">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269</w:t>
            </w:r>
          </w:p>
        </w:tc>
      </w:tr>
      <w:tr w:rsidR="6CEC08D0" w:rsidTr="430E447A" w14:paraId="1954542B" w14:textId="77777777">
        <w:tc>
          <w:tcPr>
            <w:tcW w:w="1607" w:type="dxa"/>
            <w:vMerge/>
            <w:vAlign w:val="center"/>
          </w:tcPr>
          <w:p w:rsidR="002E688F" w:rsidRDefault="002E688F" w14:paraId="3C55A723"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035C468" w14:textId="61604D56">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E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6D6DBC9" w14:textId="64575CD4">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25</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12D76F1" w14:textId="16686A81">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9697B48" w14:textId="5A5A4F29">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B460764" w14:textId="2498C234">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w:t>
            </w:r>
          </w:p>
        </w:tc>
      </w:tr>
      <w:tr w:rsidR="6CEC08D0" w:rsidTr="430E447A" w14:paraId="5CD262C9" w14:textId="77777777">
        <w:tc>
          <w:tcPr>
            <w:tcW w:w="1607" w:type="dxa"/>
            <w:vMerge/>
            <w:vAlign w:val="center"/>
          </w:tcPr>
          <w:p w:rsidR="002E688F" w:rsidRDefault="002E688F" w14:paraId="40DDA311"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44E7CDF" w14:textId="587A1D87">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F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F02A09A" w14:textId="076533A9">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808</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F67F449" w14:textId="171CFB75">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E5E2DF9" w14:textId="09F0731C">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033BC5D5" w14:textId="381C6B70">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269</w:t>
            </w:r>
          </w:p>
        </w:tc>
      </w:tr>
      <w:tr w:rsidR="6CEC08D0" w:rsidTr="430E447A" w14:paraId="368B94E6" w14:textId="77777777">
        <w:tc>
          <w:tcPr>
            <w:tcW w:w="1607" w:type="dxa"/>
            <w:vMerge/>
            <w:vAlign w:val="center"/>
          </w:tcPr>
          <w:p w:rsidR="002E688F" w:rsidRDefault="002E688F" w14:paraId="1E796911"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2D95FC3" w14:textId="204396D9">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F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4F5C19D" w14:textId="3AFE8C5F">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25</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BD7CFF3" w14:textId="3242FAC4">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D4F83B7" w14:textId="48DFDEEF">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5A9B5F7" w14:textId="4DBB6F33">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w:t>
            </w:r>
          </w:p>
        </w:tc>
      </w:tr>
      <w:tr w:rsidR="6CEC08D0" w:rsidTr="430E447A" w14:paraId="1D86A7F0" w14:textId="77777777">
        <w:tc>
          <w:tcPr>
            <w:tcW w:w="1607" w:type="dxa"/>
            <w:vMerge/>
            <w:vAlign w:val="center"/>
          </w:tcPr>
          <w:p w:rsidR="002E688F" w:rsidRDefault="002E688F" w14:paraId="62C8D572"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2AF8794" w14:textId="772349CA">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G (English)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36CC0A6" w14:textId="2F4678CD">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808</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6D851DA" w14:textId="1FDA3E83">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29F25715" w14:textId="29B3664E">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13F32DD0" w14:textId="10F76361">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269</w:t>
            </w:r>
          </w:p>
        </w:tc>
      </w:tr>
      <w:tr w:rsidR="6CEC08D0" w:rsidTr="430E447A" w14:paraId="037D7451" w14:textId="77777777">
        <w:tc>
          <w:tcPr>
            <w:tcW w:w="1607" w:type="dxa"/>
            <w:vMerge/>
            <w:vAlign w:val="center"/>
          </w:tcPr>
          <w:p w:rsidR="002E688F" w:rsidRDefault="002E688F" w14:paraId="5396D6AA" w14:textId="77777777"/>
        </w:tc>
        <w:tc>
          <w:tcPr>
            <w:tcW w:w="2034"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31BBC96" w14:textId="4F5E614B">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G (Spanish)</w:t>
            </w:r>
          </w:p>
        </w:tc>
        <w:tc>
          <w:tcPr>
            <w:tcW w:w="1679"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669F8D04" w14:textId="7DE9C463">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25</w:t>
            </w:r>
          </w:p>
        </w:tc>
        <w:tc>
          <w:tcPr>
            <w:tcW w:w="1693"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34754188" w14:textId="1A7DB7CF">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41C911B" w14:textId="3AD4668A">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44154DF9" w14:textId="6E7A591D">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w:t>
            </w:r>
          </w:p>
        </w:tc>
      </w:tr>
      <w:tr w:rsidR="6CEC08D0" w:rsidTr="00E44845" w14:paraId="6B6294EB" w14:textId="77777777">
        <w:tc>
          <w:tcPr>
            <w:tcW w:w="1607" w:type="dxa"/>
            <w:vMerge/>
            <w:vAlign w:val="center"/>
          </w:tcPr>
          <w:p w:rsidR="002E688F" w:rsidRDefault="002E688F" w14:paraId="377BB56B" w14:textId="77777777"/>
        </w:tc>
        <w:tc>
          <w:tcPr>
            <w:tcW w:w="2034"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522BBD53" w14:textId="2E9CD2A0">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H (English)</w:t>
            </w:r>
          </w:p>
        </w:tc>
        <w:tc>
          <w:tcPr>
            <w:tcW w:w="1679"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70E36CCD" w14:textId="05926A22">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808</w:t>
            </w:r>
          </w:p>
        </w:tc>
        <w:tc>
          <w:tcPr>
            <w:tcW w:w="1693"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642B826B" w14:textId="52A207D6">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42098913" w14:textId="18F7D5D4">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2CE2578F" w14:textId="6AE5BB82">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269</w:t>
            </w:r>
          </w:p>
        </w:tc>
      </w:tr>
      <w:tr w:rsidR="6CEC08D0" w:rsidTr="00E44845" w14:paraId="5531577A" w14:textId="77777777">
        <w:tc>
          <w:tcPr>
            <w:tcW w:w="1607" w:type="dxa"/>
            <w:vMerge/>
            <w:vAlign w:val="center"/>
          </w:tcPr>
          <w:p w:rsidR="002E688F" w:rsidRDefault="002E688F" w14:paraId="5B728313" w14:textId="77777777"/>
        </w:tc>
        <w:tc>
          <w:tcPr>
            <w:tcW w:w="2034"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0248F885" w14:textId="34186814">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Nonsmoker Survey Wave H (Spanish)</w:t>
            </w:r>
          </w:p>
        </w:tc>
        <w:tc>
          <w:tcPr>
            <w:tcW w:w="1679"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1D5695C3" w14:textId="3E9D78D8">
            <w:pPr>
              <w:spacing w:line="276" w:lineRule="auto"/>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25</w:t>
            </w:r>
          </w:p>
        </w:tc>
        <w:tc>
          <w:tcPr>
            <w:tcW w:w="1693"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142E16C1" w14:textId="19F63E77">
            <w:pPr>
              <w:pStyle w:val="bodytextpsg"/>
              <w:spacing w:line="276" w:lineRule="auto"/>
              <w:jc w:val="center"/>
            </w:pPr>
            <w:r w:rsidRPr="6CEC08D0">
              <w:t>1</w:t>
            </w:r>
          </w:p>
        </w:tc>
        <w:tc>
          <w:tcPr>
            <w:tcW w:w="1238"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5A3EB831" w14:textId="4426F6A1">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6CEC08D0" w:rsidRDefault="6CEC08D0" w14:paraId="2BED44F8" w14:textId="1DA554CD">
            <w:pPr>
              <w:jc w:val="center"/>
              <w:rPr>
                <w:rFonts w:ascii="Times New Roman" w:hAnsi="Times New Roman" w:eastAsia="Times New Roman"/>
                <w:color w:val="000000" w:themeColor="text1"/>
                <w:sz w:val="24"/>
                <w:szCs w:val="24"/>
              </w:rPr>
            </w:pPr>
            <w:r w:rsidRPr="6CEC08D0">
              <w:rPr>
                <w:rFonts w:ascii="Times New Roman" w:hAnsi="Times New Roman" w:eastAsia="Times New Roman"/>
                <w:color w:val="000000" w:themeColor="text1"/>
                <w:sz w:val="24"/>
                <w:szCs w:val="24"/>
              </w:rPr>
              <w:t>8</w:t>
            </w:r>
          </w:p>
        </w:tc>
      </w:tr>
      <w:tr w:rsidR="6CEC08D0" w:rsidTr="00E44845" w14:paraId="585256CC" w14:textId="77777777">
        <w:tc>
          <w:tcPr>
            <w:tcW w:w="1607" w:type="dxa"/>
            <w:vMerge/>
            <w:vAlign w:val="center"/>
          </w:tcPr>
          <w:p w:rsidR="002E688F" w:rsidRDefault="002E688F" w14:paraId="7AF9C4C3" w14:textId="77777777"/>
        </w:tc>
        <w:tc>
          <w:tcPr>
            <w:tcW w:w="2034"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43C3CBFA" w14:textId="108071DE">
            <w:pPr>
              <w:spacing w:line="276" w:lineRule="auto"/>
              <w:jc w:val="center"/>
              <w:rPr>
                <w:rFonts w:ascii="Times New Roman" w:hAnsi="Times New Roman" w:eastAsia="Times New Roman"/>
                <w:color w:val="000000" w:themeColor="text1"/>
                <w:sz w:val="24"/>
                <w:szCs w:val="24"/>
              </w:rPr>
            </w:pPr>
            <w:r w:rsidRPr="262BF2AF">
              <w:rPr>
                <w:rFonts w:ascii="Times New Roman" w:hAnsi="Times New Roman" w:eastAsia="Times New Roman"/>
                <w:color w:val="000000" w:themeColor="text1"/>
                <w:sz w:val="24"/>
                <w:szCs w:val="24"/>
              </w:rPr>
              <w:t>Nonsmoker Survey Wave I (English)</w:t>
            </w:r>
          </w:p>
        </w:tc>
        <w:tc>
          <w:tcPr>
            <w:tcW w:w="1679"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51581A4C" w14:textId="41C680B3">
            <w:pPr>
              <w:spacing w:line="276" w:lineRule="auto"/>
              <w:jc w:val="center"/>
              <w:rPr>
                <w:rFonts w:ascii="Times New Roman" w:hAnsi="Times New Roman" w:eastAsia="Times New Roman"/>
                <w:color w:val="000000" w:themeColor="text1"/>
                <w:sz w:val="24"/>
                <w:szCs w:val="24"/>
              </w:rPr>
            </w:pPr>
            <w:r w:rsidRPr="262BF2AF">
              <w:rPr>
                <w:rFonts w:ascii="Times New Roman" w:hAnsi="Times New Roman" w:eastAsia="Times New Roman"/>
                <w:color w:val="000000" w:themeColor="text1"/>
                <w:sz w:val="24"/>
                <w:szCs w:val="24"/>
              </w:rPr>
              <w:t>808</w:t>
            </w:r>
          </w:p>
        </w:tc>
        <w:tc>
          <w:tcPr>
            <w:tcW w:w="1693"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41F2F3C4" w14:textId="71ED6AE0">
            <w:pPr>
              <w:pStyle w:val="bodytextpsg"/>
              <w:spacing w:line="276" w:lineRule="auto"/>
              <w:jc w:val="center"/>
            </w:pPr>
            <w:r w:rsidRPr="262BF2AF">
              <w:t>1</w:t>
            </w:r>
          </w:p>
        </w:tc>
        <w:tc>
          <w:tcPr>
            <w:tcW w:w="1238"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39376841" w14:textId="7EAE1E0F">
            <w:pPr>
              <w:spacing w:line="276" w:lineRule="auto"/>
              <w:jc w:val="center"/>
              <w:rPr>
                <w:rFonts w:ascii="Times New Roman" w:hAnsi="Times New Roman" w:eastAsia="Times New Roman"/>
                <w:sz w:val="24"/>
                <w:szCs w:val="24"/>
              </w:rPr>
            </w:pPr>
            <w:r w:rsidRPr="262BF2AF">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103D47A1" w14:textId="71B50D23">
            <w:pPr>
              <w:jc w:val="center"/>
              <w:rPr>
                <w:rFonts w:ascii="Times New Roman" w:hAnsi="Times New Roman" w:eastAsia="Times New Roman"/>
                <w:color w:val="000000" w:themeColor="text1"/>
                <w:sz w:val="24"/>
                <w:szCs w:val="24"/>
              </w:rPr>
            </w:pPr>
            <w:r w:rsidRPr="262BF2AF">
              <w:rPr>
                <w:rFonts w:ascii="Times New Roman" w:hAnsi="Times New Roman" w:eastAsia="Times New Roman"/>
                <w:color w:val="000000" w:themeColor="text1"/>
                <w:sz w:val="24"/>
                <w:szCs w:val="24"/>
              </w:rPr>
              <w:t>269</w:t>
            </w:r>
          </w:p>
        </w:tc>
      </w:tr>
      <w:tr w:rsidR="6CEC08D0" w:rsidTr="00E44845" w14:paraId="0ADFC010" w14:textId="77777777">
        <w:tc>
          <w:tcPr>
            <w:tcW w:w="1607" w:type="dxa"/>
            <w:vMerge/>
            <w:vAlign w:val="center"/>
          </w:tcPr>
          <w:p w:rsidR="002E688F" w:rsidRDefault="002E688F" w14:paraId="1A3E6BD2" w14:textId="77777777"/>
        </w:tc>
        <w:tc>
          <w:tcPr>
            <w:tcW w:w="2034"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314F0100" w14:textId="023540BA">
            <w:pPr>
              <w:spacing w:line="276" w:lineRule="auto"/>
              <w:jc w:val="center"/>
              <w:rPr>
                <w:rFonts w:ascii="Times New Roman" w:hAnsi="Times New Roman" w:eastAsia="Times New Roman"/>
                <w:color w:val="000000" w:themeColor="text1"/>
                <w:sz w:val="24"/>
                <w:szCs w:val="24"/>
              </w:rPr>
            </w:pPr>
            <w:r w:rsidRPr="262BF2AF">
              <w:rPr>
                <w:rFonts w:ascii="Times New Roman" w:hAnsi="Times New Roman" w:eastAsia="Times New Roman"/>
                <w:color w:val="000000" w:themeColor="text1"/>
                <w:sz w:val="24"/>
                <w:szCs w:val="24"/>
              </w:rPr>
              <w:t>Nonsmoker Survey Wave I (Spanish)</w:t>
            </w:r>
          </w:p>
        </w:tc>
        <w:tc>
          <w:tcPr>
            <w:tcW w:w="1679"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777D88D0" w14:textId="2C9DE9E9">
            <w:pPr>
              <w:spacing w:line="276" w:lineRule="auto"/>
              <w:jc w:val="center"/>
              <w:rPr>
                <w:rFonts w:ascii="Times New Roman" w:hAnsi="Times New Roman" w:eastAsia="Times New Roman"/>
                <w:color w:val="000000" w:themeColor="text1"/>
                <w:sz w:val="24"/>
                <w:szCs w:val="24"/>
              </w:rPr>
            </w:pPr>
            <w:r w:rsidRPr="262BF2AF">
              <w:rPr>
                <w:rFonts w:ascii="Times New Roman" w:hAnsi="Times New Roman" w:eastAsia="Times New Roman"/>
                <w:color w:val="000000" w:themeColor="text1"/>
                <w:sz w:val="24"/>
                <w:szCs w:val="24"/>
              </w:rPr>
              <w:t>25</w:t>
            </w:r>
          </w:p>
        </w:tc>
        <w:tc>
          <w:tcPr>
            <w:tcW w:w="1693"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422872E0" w14:textId="7A62949B">
            <w:pPr>
              <w:pStyle w:val="bodytextpsg"/>
              <w:spacing w:line="276" w:lineRule="auto"/>
              <w:jc w:val="center"/>
            </w:pPr>
            <w:r w:rsidRPr="262BF2AF">
              <w:t>1</w:t>
            </w:r>
          </w:p>
        </w:tc>
        <w:tc>
          <w:tcPr>
            <w:tcW w:w="1238"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33D69E5F" w14:textId="2C23CE34">
            <w:pPr>
              <w:spacing w:line="276" w:lineRule="auto"/>
              <w:jc w:val="center"/>
              <w:rPr>
                <w:rFonts w:ascii="Times New Roman" w:hAnsi="Times New Roman" w:eastAsia="Times New Roman"/>
                <w:sz w:val="24"/>
                <w:szCs w:val="24"/>
              </w:rPr>
            </w:pPr>
            <w:r w:rsidRPr="262BF2AF">
              <w:rPr>
                <w:rFonts w:ascii="Times New Roman" w:hAnsi="Times New Roman" w:eastAsia="Times New Roman"/>
                <w:sz w:val="24"/>
                <w:szCs w:val="24"/>
              </w:rPr>
              <w:t>20/60</w:t>
            </w:r>
          </w:p>
        </w:tc>
        <w:tc>
          <w:tcPr>
            <w:tcW w:w="1110" w:type="dxa"/>
            <w:tcBorders>
              <w:top w:val="single" w:color="auto" w:sz="6" w:space="0"/>
              <w:left w:val="single" w:color="auto" w:sz="6" w:space="0"/>
              <w:bottom w:val="single" w:color="auto" w:sz="6" w:space="0"/>
              <w:right w:val="single" w:color="auto" w:sz="6" w:space="0"/>
            </w:tcBorders>
            <w:shd w:val="clear" w:color="auto" w:fill="FFF2CC" w:themeFill="accent4" w:themeFillTint="33"/>
            <w:vAlign w:val="bottom"/>
          </w:tcPr>
          <w:p w:rsidR="6CEC08D0" w:rsidP="262BF2AF" w:rsidRDefault="6CEC08D0" w14:paraId="5BA5278A" w14:textId="0CF0C1C4">
            <w:pPr>
              <w:jc w:val="center"/>
              <w:rPr>
                <w:rFonts w:ascii="Times New Roman" w:hAnsi="Times New Roman" w:eastAsia="Times New Roman"/>
                <w:color w:val="000000" w:themeColor="text1"/>
                <w:sz w:val="24"/>
                <w:szCs w:val="24"/>
              </w:rPr>
            </w:pPr>
            <w:r w:rsidRPr="262BF2AF">
              <w:rPr>
                <w:rFonts w:ascii="Times New Roman" w:hAnsi="Times New Roman" w:eastAsia="Times New Roman"/>
                <w:color w:val="000000" w:themeColor="text1"/>
                <w:sz w:val="24"/>
                <w:szCs w:val="24"/>
              </w:rPr>
              <w:t>8</w:t>
            </w:r>
          </w:p>
        </w:tc>
      </w:tr>
      <w:tr w:rsidR="6CEC08D0" w:rsidTr="430E447A" w14:paraId="4C194B3D" w14:textId="77777777">
        <w:tc>
          <w:tcPr>
            <w:tcW w:w="1607"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7C421001" w14:textId="765721F6">
            <w:pPr>
              <w:spacing w:line="276" w:lineRule="auto"/>
              <w:jc w:val="center"/>
              <w:rPr>
                <w:rFonts w:ascii="Times New Roman" w:hAnsi="Times New Roman" w:eastAsia="Times New Roman"/>
                <w:sz w:val="24"/>
                <w:szCs w:val="24"/>
              </w:rPr>
            </w:pPr>
          </w:p>
        </w:tc>
        <w:tc>
          <w:tcPr>
            <w:tcW w:w="6644" w:type="dxa"/>
            <w:gridSpan w:val="4"/>
            <w:tcBorders>
              <w:top w:val="single" w:color="auto" w:sz="6" w:space="0"/>
              <w:left w:val="single" w:color="auto" w:sz="6" w:space="0"/>
              <w:bottom w:val="single" w:color="auto" w:sz="6" w:space="0"/>
              <w:right w:val="single" w:color="auto" w:sz="6" w:space="0"/>
            </w:tcBorders>
            <w:vAlign w:val="bottom"/>
          </w:tcPr>
          <w:p w:rsidR="6CEC08D0" w:rsidP="6CEC08D0" w:rsidRDefault="6CEC08D0" w14:paraId="2482A50C" w14:textId="5FC362C0">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Total</w:t>
            </w:r>
          </w:p>
        </w:tc>
        <w:tc>
          <w:tcPr>
            <w:tcW w:w="1110" w:type="dxa"/>
            <w:tcBorders>
              <w:top w:val="single" w:color="auto" w:sz="6" w:space="0"/>
              <w:left w:val="single" w:color="auto" w:sz="6" w:space="0"/>
              <w:bottom w:val="single" w:color="auto" w:sz="6" w:space="0"/>
              <w:right w:val="single" w:color="auto" w:sz="6" w:space="0"/>
            </w:tcBorders>
            <w:vAlign w:val="bottom"/>
          </w:tcPr>
          <w:p w:rsidR="6CEC08D0" w:rsidP="6CEC08D0" w:rsidRDefault="6CEC08D0" w14:paraId="59B5E7F7" w14:textId="15C0FF6E">
            <w:pPr>
              <w:spacing w:line="276" w:lineRule="auto"/>
              <w:jc w:val="center"/>
              <w:rPr>
                <w:rFonts w:ascii="Times New Roman" w:hAnsi="Times New Roman" w:eastAsia="Times New Roman"/>
                <w:sz w:val="24"/>
                <w:szCs w:val="24"/>
              </w:rPr>
            </w:pPr>
            <w:r w:rsidRPr="6CEC08D0">
              <w:rPr>
                <w:rFonts w:ascii="Times New Roman" w:hAnsi="Times New Roman" w:eastAsia="Times New Roman"/>
                <w:sz w:val="24"/>
                <w:szCs w:val="24"/>
              </w:rPr>
              <w:t>9,308</w:t>
            </w:r>
          </w:p>
        </w:tc>
      </w:tr>
    </w:tbl>
    <w:p w:rsidR="00050122" w:rsidP="6CEC08D0" w:rsidRDefault="00E44845" w14:paraId="5D109814" w14:textId="3EDA8F2D">
      <w:pPr>
        <w:rPr>
          <w:rFonts w:eastAsia="Calibri" w:cs="Calibri"/>
          <w:color w:val="000000" w:themeColor="text1"/>
        </w:rPr>
      </w:pPr>
    </w:p>
    <w:p w:rsidR="00050122" w:rsidP="6CEC08D0" w:rsidRDefault="00E44845" w14:paraId="7122CF2F" w14:textId="38DFD019">
      <w:pPr>
        <w:rPr>
          <w:rFonts w:eastAsia="Calibri"/>
        </w:rPr>
      </w:pPr>
    </w:p>
    <w:sectPr w:rsidR="00050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DD7C" w14:textId="77777777" w:rsidR="00E37BFC" w:rsidRDefault="00E37BFC" w:rsidP="00BD2502">
      <w:r>
        <w:separator/>
      </w:r>
    </w:p>
  </w:endnote>
  <w:endnote w:type="continuationSeparator" w:id="0">
    <w:p w14:paraId="7EF8870C" w14:textId="77777777" w:rsidR="00E37BFC" w:rsidRDefault="00E37BFC" w:rsidP="00BD2502">
      <w:r>
        <w:continuationSeparator/>
      </w:r>
    </w:p>
  </w:endnote>
  <w:endnote w:type="continuationNotice" w:id="1">
    <w:p w14:paraId="2F239576" w14:textId="77777777" w:rsidR="00EC5458" w:rsidRDefault="00EC5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21AD" w14:textId="77777777" w:rsidR="00E37BFC" w:rsidRDefault="00E37BFC" w:rsidP="00BD2502">
      <w:r>
        <w:separator/>
      </w:r>
    </w:p>
  </w:footnote>
  <w:footnote w:type="continuationSeparator" w:id="0">
    <w:p w14:paraId="3AC9AA59" w14:textId="77777777" w:rsidR="00E37BFC" w:rsidRDefault="00E37BFC" w:rsidP="00BD2502">
      <w:r>
        <w:continuationSeparator/>
      </w:r>
    </w:p>
  </w:footnote>
  <w:footnote w:type="continuationNotice" w:id="1">
    <w:p w14:paraId="72F32EBC" w14:textId="77777777" w:rsidR="00EC5458" w:rsidRDefault="00EC54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164B"/>
    <w:multiLevelType w:val="multilevel"/>
    <w:tmpl w:val="C47A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3D025E"/>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B0"/>
    <w:rsid w:val="00002B72"/>
    <w:rsid w:val="00014BEB"/>
    <w:rsid w:val="00021ED0"/>
    <w:rsid w:val="000658C8"/>
    <w:rsid w:val="00066F94"/>
    <w:rsid w:val="000A758C"/>
    <w:rsid w:val="000C5833"/>
    <w:rsid w:val="000C714E"/>
    <w:rsid w:val="000E4A9E"/>
    <w:rsid w:val="000E649C"/>
    <w:rsid w:val="000F5E9B"/>
    <w:rsid w:val="001157AC"/>
    <w:rsid w:val="00117007"/>
    <w:rsid w:val="00126EBD"/>
    <w:rsid w:val="0017001F"/>
    <w:rsid w:val="00184CFD"/>
    <w:rsid w:val="001E084B"/>
    <w:rsid w:val="00205CF9"/>
    <w:rsid w:val="002220E7"/>
    <w:rsid w:val="00244B4C"/>
    <w:rsid w:val="00245812"/>
    <w:rsid w:val="00245BAC"/>
    <w:rsid w:val="002613F0"/>
    <w:rsid w:val="002675D2"/>
    <w:rsid w:val="002842C2"/>
    <w:rsid w:val="00296E65"/>
    <w:rsid w:val="0029716F"/>
    <w:rsid w:val="002B07F0"/>
    <w:rsid w:val="002B1079"/>
    <w:rsid w:val="002E688F"/>
    <w:rsid w:val="0031766C"/>
    <w:rsid w:val="003510E9"/>
    <w:rsid w:val="00352336"/>
    <w:rsid w:val="00364D77"/>
    <w:rsid w:val="0039145C"/>
    <w:rsid w:val="003C59D3"/>
    <w:rsid w:val="003C6F67"/>
    <w:rsid w:val="003D0647"/>
    <w:rsid w:val="004119FB"/>
    <w:rsid w:val="0042312C"/>
    <w:rsid w:val="00462594"/>
    <w:rsid w:val="00481F06"/>
    <w:rsid w:val="004A4A93"/>
    <w:rsid w:val="004A62DD"/>
    <w:rsid w:val="004A7AC2"/>
    <w:rsid w:val="004E648C"/>
    <w:rsid w:val="004F2A74"/>
    <w:rsid w:val="00517A46"/>
    <w:rsid w:val="0052248B"/>
    <w:rsid w:val="00530C3D"/>
    <w:rsid w:val="00531C5A"/>
    <w:rsid w:val="00545B1D"/>
    <w:rsid w:val="005B4426"/>
    <w:rsid w:val="005D49F0"/>
    <w:rsid w:val="0061232D"/>
    <w:rsid w:val="00641CA2"/>
    <w:rsid w:val="00693F37"/>
    <w:rsid w:val="006943B0"/>
    <w:rsid w:val="006957BB"/>
    <w:rsid w:val="006A0481"/>
    <w:rsid w:val="006C3633"/>
    <w:rsid w:val="006D05A3"/>
    <w:rsid w:val="006F41E0"/>
    <w:rsid w:val="007302EA"/>
    <w:rsid w:val="00754D1B"/>
    <w:rsid w:val="00782B07"/>
    <w:rsid w:val="00784AD4"/>
    <w:rsid w:val="007A076E"/>
    <w:rsid w:val="007A271B"/>
    <w:rsid w:val="007B3604"/>
    <w:rsid w:val="007C0DA2"/>
    <w:rsid w:val="007C70D7"/>
    <w:rsid w:val="0080191C"/>
    <w:rsid w:val="00803701"/>
    <w:rsid w:val="00832541"/>
    <w:rsid w:val="008479EB"/>
    <w:rsid w:val="008967EF"/>
    <w:rsid w:val="008A0CF6"/>
    <w:rsid w:val="008D1989"/>
    <w:rsid w:val="008E0360"/>
    <w:rsid w:val="008E5610"/>
    <w:rsid w:val="008E774B"/>
    <w:rsid w:val="00911F32"/>
    <w:rsid w:val="00912FB5"/>
    <w:rsid w:val="00954F06"/>
    <w:rsid w:val="00955F6C"/>
    <w:rsid w:val="009B0A0A"/>
    <w:rsid w:val="009D5C37"/>
    <w:rsid w:val="009D70B1"/>
    <w:rsid w:val="009F44D7"/>
    <w:rsid w:val="009F4C03"/>
    <w:rsid w:val="00A05FA1"/>
    <w:rsid w:val="00A252E0"/>
    <w:rsid w:val="00A37D64"/>
    <w:rsid w:val="00A73A8C"/>
    <w:rsid w:val="00AA08D1"/>
    <w:rsid w:val="00AB45D7"/>
    <w:rsid w:val="00AE1C9C"/>
    <w:rsid w:val="00B065F2"/>
    <w:rsid w:val="00B511D5"/>
    <w:rsid w:val="00BD2502"/>
    <w:rsid w:val="00C01036"/>
    <w:rsid w:val="00C05330"/>
    <w:rsid w:val="00C06FA8"/>
    <w:rsid w:val="00C179B0"/>
    <w:rsid w:val="00C8337E"/>
    <w:rsid w:val="00C90336"/>
    <w:rsid w:val="00CA3381"/>
    <w:rsid w:val="00CB5112"/>
    <w:rsid w:val="00CC5BA8"/>
    <w:rsid w:val="00CD24FE"/>
    <w:rsid w:val="00CE13A8"/>
    <w:rsid w:val="00CE5AF7"/>
    <w:rsid w:val="00CF19EB"/>
    <w:rsid w:val="00D242EA"/>
    <w:rsid w:val="00D31907"/>
    <w:rsid w:val="00D50913"/>
    <w:rsid w:val="00D727E5"/>
    <w:rsid w:val="00D81E2D"/>
    <w:rsid w:val="00DD51D8"/>
    <w:rsid w:val="00DE2D6A"/>
    <w:rsid w:val="00DF66EC"/>
    <w:rsid w:val="00E12DFE"/>
    <w:rsid w:val="00E25503"/>
    <w:rsid w:val="00E37BFC"/>
    <w:rsid w:val="00E43FD6"/>
    <w:rsid w:val="00E44845"/>
    <w:rsid w:val="00E6786D"/>
    <w:rsid w:val="00E94FC8"/>
    <w:rsid w:val="00E9712C"/>
    <w:rsid w:val="00EA1CDC"/>
    <w:rsid w:val="00EB5FC8"/>
    <w:rsid w:val="00EC5458"/>
    <w:rsid w:val="00F02F0B"/>
    <w:rsid w:val="00F07DA4"/>
    <w:rsid w:val="00F56B07"/>
    <w:rsid w:val="00F77EDC"/>
    <w:rsid w:val="00F838D6"/>
    <w:rsid w:val="00F852F1"/>
    <w:rsid w:val="00F95EC6"/>
    <w:rsid w:val="00FB4E9F"/>
    <w:rsid w:val="00FD037A"/>
    <w:rsid w:val="0E090BDE"/>
    <w:rsid w:val="1054D733"/>
    <w:rsid w:val="17D9C75F"/>
    <w:rsid w:val="21E7669D"/>
    <w:rsid w:val="262BF2AF"/>
    <w:rsid w:val="2886BDC0"/>
    <w:rsid w:val="430E447A"/>
    <w:rsid w:val="4482222F"/>
    <w:rsid w:val="4584187F"/>
    <w:rsid w:val="5C637D63"/>
    <w:rsid w:val="66AC108C"/>
    <w:rsid w:val="6CEC08D0"/>
    <w:rsid w:val="79E3E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AA813A"/>
  <w15:chartTrackingRefBased/>
  <w15:docId w15:val="{6922D806-1302-4F08-87F7-035BCC6B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3B0"/>
    <w:pPr>
      <w:spacing w:after="0" w:line="240" w:lineRule="auto"/>
    </w:pPr>
    <w:rPr>
      <w:rFonts w:ascii="Calibri" w:hAnsi="Calibri" w:cs="Times New Roman"/>
    </w:rPr>
  </w:style>
  <w:style w:type="paragraph" w:styleId="Heading1">
    <w:name w:val="heading 1"/>
    <w:basedOn w:val="Normal"/>
    <w:link w:val="Heading1Char"/>
    <w:uiPriority w:val="9"/>
    <w:qFormat/>
    <w:rsid w:val="006943B0"/>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3B0"/>
    <w:rPr>
      <w:rFonts w:ascii="Times New Roman" w:hAnsi="Times New Roman" w:cs="Times New Roman"/>
      <w:kern w:val="36"/>
      <w:sz w:val="24"/>
      <w:szCs w:val="24"/>
    </w:rPr>
  </w:style>
  <w:style w:type="paragraph" w:styleId="NoSpacing">
    <w:name w:val="No Spacing"/>
    <w:basedOn w:val="Normal"/>
    <w:uiPriority w:val="1"/>
    <w:qFormat/>
    <w:rsid w:val="006943B0"/>
  </w:style>
  <w:style w:type="character" w:styleId="Hyperlink">
    <w:name w:val="Hyperlink"/>
    <w:basedOn w:val="DefaultParagraphFont"/>
    <w:uiPriority w:val="99"/>
    <w:unhideWhenUsed/>
    <w:rsid w:val="006943B0"/>
    <w:rPr>
      <w:color w:val="0563C1"/>
      <w:u w:val="single"/>
    </w:rPr>
  </w:style>
  <w:style w:type="character" w:styleId="CommentReference">
    <w:name w:val="annotation reference"/>
    <w:basedOn w:val="DefaultParagraphFont"/>
    <w:uiPriority w:val="99"/>
    <w:semiHidden/>
    <w:unhideWhenUsed/>
    <w:rsid w:val="00782B07"/>
    <w:rPr>
      <w:sz w:val="16"/>
      <w:szCs w:val="16"/>
    </w:rPr>
  </w:style>
  <w:style w:type="paragraph" w:styleId="CommentText">
    <w:name w:val="annotation text"/>
    <w:basedOn w:val="Normal"/>
    <w:link w:val="CommentTextChar"/>
    <w:uiPriority w:val="99"/>
    <w:unhideWhenUsed/>
    <w:rsid w:val="00782B07"/>
    <w:pPr>
      <w:spacing w:after="200"/>
    </w:pPr>
    <w:rPr>
      <w:rFonts w:eastAsia="Calibri"/>
      <w:sz w:val="20"/>
      <w:szCs w:val="20"/>
    </w:rPr>
  </w:style>
  <w:style w:type="character" w:customStyle="1" w:styleId="CommentTextChar">
    <w:name w:val="Comment Text Char"/>
    <w:basedOn w:val="DefaultParagraphFont"/>
    <w:link w:val="CommentText"/>
    <w:uiPriority w:val="99"/>
    <w:rsid w:val="00782B07"/>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5224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714E"/>
    <w:pPr>
      <w:spacing w:after="0"/>
    </w:pPr>
    <w:rPr>
      <w:rFonts w:eastAsiaTheme="minorHAnsi"/>
      <w:b/>
      <w:bCs/>
    </w:rPr>
  </w:style>
  <w:style w:type="character" w:customStyle="1" w:styleId="CommentSubjectChar">
    <w:name w:val="Comment Subject Char"/>
    <w:basedOn w:val="CommentTextChar"/>
    <w:link w:val="CommentSubject"/>
    <w:uiPriority w:val="99"/>
    <w:semiHidden/>
    <w:rsid w:val="000C714E"/>
    <w:rPr>
      <w:rFonts w:ascii="Calibri" w:eastAsia="Calibri" w:hAnsi="Calibri" w:cs="Times New Roman"/>
      <w:b/>
      <w:bCs/>
      <w:sz w:val="20"/>
      <w:szCs w:val="20"/>
    </w:rPr>
  </w:style>
  <w:style w:type="paragraph" w:customStyle="1" w:styleId="bodytextpsg">
    <w:name w:val="body text_psg"/>
    <w:basedOn w:val="Normal"/>
    <w:link w:val="bodytextpsgCharChar"/>
    <w:rsid w:val="6CEC08D0"/>
    <w:pPr>
      <w:spacing w:after="160"/>
      <w:ind w:firstLine="547"/>
    </w:pPr>
    <w:rPr>
      <w:rFonts w:ascii="Times New Roman" w:eastAsia="Times New Roman" w:hAnsi="Times New Roman"/>
      <w:sz w:val="24"/>
      <w:szCs w:val="24"/>
    </w:rPr>
  </w:style>
  <w:style w:type="character" w:customStyle="1" w:styleId="bodytextpsgCharChar">
    <w:name w:val="body text_psg Char Char"/>
    <w:basedOn w:val="DefaultParagraphFont"/>
    <w:link w:val="bodytextpsg"/>
    <w:rsid w:val="6CEC08D0"/>
    <w:rPr>
      <w:rFonts w:ascii="Times New Roman" w:eastAsia="Times New Roman" w:hAnsi="Times New Roman"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C5458"/>
    <w:pPr>
      <w:tabs>
        <w:tab w:val="center" w:pos="4680"/>
        <w:tab w:val="right" w:pos="9360"/>
      </w:tabs>
    </w:pPr>
  </w:style>
  <w:style w:type="character" w:customStyle="1" w:styleId="HeaderChar">
    <w:name w:val="Header Char"/>
    <w:basedOn w:val="DefaultParagraphFont"/>
    <w:link w:val="Header"/>
    <w:uiPriority w:val="99"/>
    <w:semiHidden/>
    <w:rsid w:val="00EC5458"/>
    <w:rPr>
      <w:rFonts w:ascii="Calibri" w:hAnsi="Calibri" w:cs="Times New Roman"/>
    </w:rPr>
  </w:style>
  <w:style w:type="paragraph" w:styleId="Footer">
    <w:name w:val="footer"/>
    <w:basedOn w:val="Normal"/>
    <w:link w:val="FooterChar"/>
    <w:uiPriority w:val="99"/>
    <w:semiHidden/>
    <w:unhideWhenUsed/>
    <w:rsid w:val="00EC5458"/>
    <w:pPr>
      <w:tabs>
        <w:tab w:val="center" w:pos="4680"/>
        <w:tab w:val="right" w:pos="9360"/>
      </w:tabs>
    </w:pPr>
  </w:style>
  <w:style w:type="character" w:customStyle="1" w:styleId="FooterChar">
    <w:name w:val="Footer Char"/>
    <w:basedOn w:val="DefaultParagraphFont"/>
    <w:link w:val="Footer"/>
    <w:uiPriority w:val="99"/>
    <w:semiHidden/>
    <w:rsid w:val="00EC545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39442">
      <w:bodyDiv w:val="1"/>
      <w:marLeft w:val="0"/>
      <w:marRight w:val="0"/>
      <w:marTop w:val="0"/>
      <w:marBottom w:val="0"/>
      <w:divBdr>
        <w:top w:val="none" w:sz="0" w:space="0" w:color="auto"/>
        <w:left w:val="none" w:sz="0" w:space="0" w:color="auto"/>
        <w:bottom w:val="none" w:sz="0" w:space="0" w:color="auto"/>
        <w:right w:val="none" w:sz="0" w:space="0" w:color="auto"/>
      </w:divBdr>
    </w:div>
    <w:div w:id="508983789">
      <w:bodyDiv w:val="1"/>
      <w:marLeft w:val="0"/>
      <w:marRight w:val="0"/>
      <w:marTop w:val="0"/>
      <w:marBottom w:val="0"/>
      <w:divBdr>
        <w:top w:val="none" w:sz="0" w:space="0" w:color="auto"/>
        <w:left w:val="none" w:sz="0" w:space="0" w:color="auto"/>
        <w:bottom w:val="none" w:sz="0" w:space="0" w:color="auto"/>
        <w:right w:val="none" w:sz="0" w:space="0" w:color="auto"/>
      </w:divBdr>
    </w:div>
    <w:div w:id="1726951652">
      <w:bodyDiv w:val="1"/>
      <w:marLeft w:val="0"/>
      <w:marRight w:val="0"/>
      <w:marTop w:val="0"/>
      <w:marBottom w:val="0"/>
      <w:divBdr>
        <w:top w:val="none" w:sz="0" w:space="0" w:color="auto"/>
        <w:left w:val="none" w:sz="0" w:space="0" w:color="auto"/>
        <w:bottom w:val="none" w:sz="0" w:space="0" w:color="auto"/>
        <w:right w:val="none" w:sz="0" w:space="0" w:color="auto"/>
      </w:divBdr>
    </w:div>
    <w:div w:id="199421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yback.archive-it.org/7993/20170405201731/https:/www.fda.gov/downloads/AdvisoryCommittees/CommitteesMeetingMaterials/TobaccoProductsScientificAdvisoryCommittee/UCM26969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fg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637E-73F8-4A24-BB0A-7FEBF12C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1525</Words>
  <Characters>8696</Characters>
  <Application>Microsoft Office Word</Application>
  <DocSecurity>0</DocSecurity>
  <Lines>72</Lines>
  <Paragraphs>20</Paragraphs>
  <ScaleCrop>false</ScaleCrop>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Rebecca (CDC/DDNID/NCCDPHP/OSH)</dc:creator>
  <cp:keywords/>
  <dc:description/>
  <cp:lastModifiedBy>Murphy, Rebecca (CDC/DDNID/NCCDPHP/OSH)</cp:lastModifiedBy>
  <cp:revision>3</cp:revision>
  <dcterms:created xsi:type="dcterms:W3CDTF">2022-05-02T16:24:00Z</dcterms:created>
  <dcterms:modified xsi:type="dcterms:W3CDTF">2022-05-02T16:29:00Z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2022-02-03T03:38:15Z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0af81e9b-fe51-4308-a225-7ea03c33168c</vt:lpwstr>
  </property>
  <property fmtid="{D5CDD505-2E9C-101B-9397-08002B2CF9AE}" pid="8" name="MSIP_Label_7b94a7b8-f06c-4dfe-bdcc-9b548fd58c31_ContentBits">
    <vt:lpwstr>0</vt:lpwstr>
  </property>
</Properties>
</file>