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41393971"/>
        <w:docPartObj>
          <w:docPartGallery w:val="Cover Pages"/>
          <w:docPartUnique/>
        </w:docPartObj>
      </w:sdtPr>
      <w:sdtEndPr/>
      <w:sdtContent>
        <w:p w:rsidR="00FE6EA5" w:rsidRDefault="00FE6EA5" w14:paraId="13B77232" w14:textId="77777777"/>
        <w:p w:rsidR="00195414" w:rsidP="00195414" w:rsidRDefault="00A86885" w14:paraId="7FA49A23" w14:textId="77777777"/>
      </w:sdtContent>
    </w:sdt>
    <w:p w:rsidRPr="00DB04C3" w:rsidR="00E35DD1" w:rsidP="00DB04C3" w:rsidRDefault="00E35DD1" w14:paraId="68BA36D6" w14:textId="77777777">
      <w:pPr>
        <w:spacing w:line="480" w:lineRule="auto"/>
        <w:ind w:left="2880" w:firstLine="720"/>
        <w:rPr>
          <w:rFonts w:eastAsia="Times New Roman" w:cs="Times New Roman"/>
          <w:b/>
          <w:bCs/>
        </w:rPr>
      </w:pPr>
      <w:r w:rsidRPr="00DB04C3">
        <w:rPr>
          <w:b/>
          <w:bCs/>
        </w:rPr>
        <w:t xml:space="preserve">Supporting </w:t>
      </w:r>
      <w:proofErr w:type="gramStart"/>
      <w:r w:rsidRPr="00DB04C3">
        <w:rPr>
          <w:b/>
          <w:bCs/>
        </w:rPr>
        <w:t>Statement</w:t>
      </w:r>
      <w:proofErr w:type="gramEnd"/>
      <w:r w:rsidRPr="00DB04C3">
        <w:rPr>
          <w:b/>
          <w:bCs/>
        </w:rPr>
        <w:t xml:space="preserve"> A for</w:t>
      </w:r>
    </w:p>
    <w:p w:rsidRPr="007D6ECC" w:rsidR="005B2116" w:rsidP="00DB04C3" w:rsidRDefault="005B2116" w14:paraId="37520A32" w14:textId="61CBA6B3">
      <w:pPr>
        <w:spacing w:line="480" w:lineRule="auto"/>
        <w:jc w:val="center"/>
        <w:rPr>
          <w:b/>
        </w:rPr>
      </w:pPr>
      <w:r>
        <w:rPr>
          <w:b/>
          <w:bCs/>
        </w:rPr>
        <w:t xml:space="preserve">International </w:t>
      </w:r>
      <w:r w:rsidRPr="007D6ECC">
        <w:rPr>
          <w:b/>
          <w:bCs/>
        </w:rPr>
        <w:t xml:space="preserve">Research </w:t>
      </w:r>
      <w:r>
        <w:rPr>
          <w:b/>
          <w:bCs/>
        </w:rPr>
        <w:t>Fellowship</w:t>
      </w:r>
      <w:r w:rsidRPr="007D6ECC">
        <w:rPr>
          <w:b/>
          <w:bCs/>
        </w:rPr>
        <w:t xml:space="preserve"> </w:t>
      </w:r>
      <w:r>
        <w:rPr>
          <w:b/>
          <w:bCs/>
        </w:rPr>
        <w:t>Award Program</w:t>
      </w:r>
    </w:p>
    <w:p w:rsidRPr="003E0D7F" w:rsidR="005B2116" w:rsidP="005B2116" w:rsidRDefault="005B2116" w14:paraId="615DFD00" w14:textId="77777777">
      <w:pPr>
        <w:spacing w:line="480" w:lineRule="auto"/>
        <w:jc w:val="center"/>
        <w:rPr>
          <w:b/>
          <w:bCs/>
        </w:rPr>
      </w:pPr>
      <w:r w:rsidRPr="003E0D7F">
        <w:rPr>
          <w:b/>
          <w:bCs/>
        </w:rPr>
        <w:t>of the National Institute on Drug Abuse</w:t>
      </w:r>
      <w:r>
        <w:rPr>
          <w:b/>
          <w:bCs/>
        </w:rPr>
        <w:t xml:space="preserve"> (NIDA)</w:t>
      </w:r>
    </w:p>
    <w:p w:rsidRPr="003E0D7F" w:rsidR="005B2116" w:rsidP="005B2116" w:rsidRDefault="005B2116" w14:paraId="6DBFC4DC" w14:textId="39AA17AC">
      <w:pPr>
        <w:spacing w:line="480" w:lineRule="auto"/>
        <w:jc w:val="center"/>
        <w:rPr>
          <w:b/>
          <w:bCs/>
        </w:rPr>
      </w:pPr>
      <w:r>
        <w:rPr>
          <w:b/>
          <w:bCs/>
        </w:rPr>
        <w:t xml:space="preserve">OMB # 0925-0733, exp., date </w:t>
      </w:r>
      <w:r w:rsidR="00974B8F">
        <w:rPr>
          <w:b/>
          <w:bCs/>
        </w:rPr>
        <w:t>7</w:t>
      </w:r>
      <w:r>
        <w:rPr>
          <w:b/>
          <w:bCs/>
        </w:rPr>
        <w:t>/31/2022</w:t>
      </w:r>
    </w:p>
    <w:p w:rsidRPr="00E35DD1" w:rsidR="00E35DD1" w:rsidP="005B2116" w:rsidRDefault="00E35DD1" w14:paraId="371FE21C" w14:textId="70F02048">
      <w:pPr>
        <w:pStyle w:val="P1-StandPara"/>
        <w:tabs>
          <w:tab w:val="left" w:pos="720"/>
          <w:tab w:val="right" w:leader="dot" w:pos="9504"/>
        </w:tabs>
        <w:spacing w:before="120" w:after="120"/>
        <w:ind w:firstLine="0"/>
        <w:rPr>
          <w:rFonts w:asciiTheme="minorHAnsi" w:hAnsiTheme="minorHAnsi"/>
          <w:szCs w:val="22"/>
        </w:rPr>
      </w:pPr>
    </w:p>
    <w:p w:rsidRPr="00E35DD1" w:rsidR="00E35DD1" w:rsidP="00E35DD1" w:rsidRDefault="00E35DD1" w14:paraId="1ECE92EB" w14:textId="5CB05D5E">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Date</w:t>
      </w:r>
      <w:r w:rsidR="00BE76A7">
        <w:rPr>
          <w:rFonts w:asciiTheme="minorHAnsi" w:hAnsiTheme="minorHAnsi"/>
          <w:szCs w:val="22"/>
        </w:rPr>
        <w:t xml:space="preserve">: </w:t>
      </w:r>
      <w:r w:rsidR="00974B8F">
        <w:rPr>
          <w:rFonts w:asciiTheme="minorHAnsi" w:hAnsiTheme="minorHAnsi"/>
          <w:szCs w:val="22"/>
        </w:rPr>
        <w:t xml:space="preserve">April </w:t>
      </w:r>
      <w:r w:rsidR="00872964">
        <w:rPr>
          <w:rFonts w:asciiTheme="minorHAnsi" w:hAnsiTheme="minorHAnsi"/>
          <w:szCs w:val="22"/>
        </w:rPr>
        <w:t>28</w:t>
      </w:r>
      <w:r w:rsidR="00974B8F">
        <w:rPr>
          <w:rFonts w:asciiTheme="minorHAnsi" w:hAnsiTheme="minorHAnsi"/>
          <w:szCs w:val="22"/>
        </w:rPr>
        <w:t>, 2022</w:t>
      </w:r>
      <w:r w:rsidRPr="00E35DD1">
        <w:rPr>
          <w:rFonts w:asciiTheme="minorHAnsi" w:hAnsiTheme="minorHAnsi"/>
          <w:szCs w:val="22"/>
        </w:rPr>
        <w:t xml:space="preserve"> </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00FF30CE" w:rsidP="00FF30CE" w:rsidRDefault="00FF30CE" w14:paraId="45BA54F5" w14:textId="77777777">
      <w:pPr>
        <w:numPr>
          <w:ilvl w:val="0"/>
          <w:numId w:val="11"/>
        </w:numPr>
        <w:spacing w:after="0" w:line="240" w:lineRule="auto"/>
      </w:pPr>
      <w:r>
        <w:t>Revision</w:t>
      </w:r>
      <w:r>
        <w:tab/>
      </w:r>
      <w:r>
        <w:tab/>
      </w:r>
      <w:r>
        <w:tab/>
      </w:r>
    </w:p>
    <w:p w:rsidR="00FF30CE" w:rsidP="00FF30CE" w:rsidRDefault="00FF30CE" w14:paraId="185A0B7B" w14:textId="77777777">
      <w:pPr>
        <w:numPr>
          <w:ilvl w:val="0"/>
          <w:numId w:val="11"/>
        </w:numPr>
        <w:spacing w:after="0" w:line="240" w:lineRule="auto"/>
      </w:pPr>
      <w:r>
        <w:t>Reinstatement with Change</w:t>
      </w:r>
    </w:p>
    <w:p w:rsidR="00FF30CE" w:rsidP="00837D94" w:rsidRDefault="00FF30CE" w14:paraId="5177244E" w14:textId="21E002D9">
      <w:pPr>
        <w:numPr>
          <w:ilvl w:val="0"/>
          <w:numId w:val="11"/>
        </w:numPr>
        <w:spacing w:after="120" w:line="240" w:lineRule="auto"/>
      </w:pPr>
      <w:r>
        <w:t>Reinstatement without Change</w:t>
      </w:r>
    </w:p>
    <w:p w:rsidRPr="00DB04C3" w:rsidR="00FF30CE" w:rsidP="00837D94" w:rsidRDefault="00837D94" w14:paraId="62B8AE22" w14:textId="2A3FC637">
      <w:pPr>
        <w:spacing w:after="120" w:line="240" w:lineRule="auto"/>
        <w:ind w:left="360"/>
        <w:rPr>
          <w:b/>
          <w:bCs/>
        </w:rPr>
      </w:pPr>
      <w:r>
        <w:rPr>
          <w:b/>
          <w:bCs/>
        </w:rPr>
        <w:t>X</w:t>
      </w:r>
      <w:r>
        <w:rPr>
          <w:b/>
          <w:bCs/>
        </w:rPr>
        <w:tab/>
      </w:r>
      <w:r w:rsidRPr="00DB04C3" w:rsidR="00FF30CE">
        <w:rPr>
          <w:b/>
          <w:bCs/>
        </w:rPr>
        <w:t>Extension</w:t>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77777777">
      <w:pPr>
        <w:numPr>
          <w:ilvl w:val="0"/>
          <w:numId w:val="11"/>
        </w:numPr>
        <w:spacing w:after="0" w:line="240" w:lineRule="auto"/>
      </w:pPr>
      <w:r>
        <w:t>Existing</w:t>
      </w:r>
    </w:p>
    <w:p w:rsidRPr="00E35DD1" w:rsidR="00E35DD1" w:rsidP="00E35DD1" w:rsidRDefault="00E35DD1" w14:paraId="75E71417" w14:textId="1FC53C2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76887CBB" w14:textId="77777777">
      <w:pPr>
        <w:pStyle w:val="P1-StandPara"/>
        <w:tabs>
          <w:tab w:val="left" w:pos="720"/>
          <w:tab w:val="right" w:leader="dot" w:pos="9504"/>
        </w:tabs>
        <w:spacing w:before="120" w:after="120"/>
        <w:rPr>
          <w:rFonts w:asciiTheme="minorHAnsi" w:hAnsiTheme="minorHAnsi"/>
          <w:szCs w:val="22"/>
        </w:rPr>
      </w:pPr>
    </w:p>
    <w:p w:rsidRPr="00DB04C3" w:rsidR="00E35DD1" w:rsidP="00BE76A7" w:rsidRDefault="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sidRPr="00DB04C3">
        <w:rPr>
          <w:rFonts w:asciiTheme="minorHAnsi" w:hAnsiTheme="minorHAnsi"/>
          <w:szCs w:val="22"/>
        </w:rPr>
        <w:t>Fed</w:t>
      </w:r>
      <w:r w:rsidRPr="00DB04C3" w:rsidR="00B96691">
        <w:rPr>
          <w:rFonts w:asciiTheme="minorHAnsi" w:hAnsiTheme="minorHAnsi"/>
          <w:szCs w:val="22"/>
        </w:rPr>
        <w:t>eral Government Employee Information</w:t>
      </w:r>
      <w:r w:rsidRPr="00DB04C3">
        <w:rPr>
          <w:rFonts w:asciiTheme="minorHAnsi" w:hAnsiTheme="minorHAnsi"/>
          <w:szCs w:val="22"/>
        </w:rPr>
        <w:t>:</w:t>
      </w:r>
    </w:p>
    <w:p w:rsidRPr="00DB04C3" w:rsidR="00DB04C3" w:rsidP="00DB04C3" w:rsidRDefault="00E35DD1" w14:paraId="2EA9B09E" w14:textId="65319898">
      <w:pPr>
        <w:pStyle w:val="Footer"/>
        <w:rPr>
          <w:strike/>
        </w:rPr>
      </w:pPr>
      <w:r w:rsidRPr="00DB04C3">
        <w:t>Name:</w:t>
      </w:r>
      <w:r w:rsidRPr="00DB04C3" w:rsidR="00DB04C3">
        <w:t xml:space="preserve"> Lindsey Friend, Ph.D. Director, Research Training Program Officer, NIDA International Program, </w:t>
      </w:r>
    </w:p>
    <w:p w:rsidRPr="00DB04C3" w:rsidR="00DB04C3" w:rsidP="00DB04C3" w:rsidRDefault="00DB04C3" w14:paraId="1C81FCFE" w14:textId="628489E5">
      <w:r w:rsidRPr="00DB04C3">
        <w:t>National Institute on Drug Abuse, National Institutes of Health</w:t>
      </w:r>
    </w:p>
    <w:p w:rsidRPr="00DB04C3" w:rsidR="00DB04C3" w:rsidP="00DB04C3" w:rsidRDefault="00E35DD1" w14:paraId="39D52D31" w14:textId="11AAEF5C">
      <w:r w:rsidRPr="00DB04C3">
        <w:t>Address:</w:t>
      </w:r>
      <w:r w:rsidRPr="00DB04C3" w:rsidR="00DB04C3">
        <w:t xml:space="preserve"> 3WFN MSC 6024, 301 North Stonestreet Avenue, Bethesda, Maryland 20892</w:t>
      </w:r>
    </w:p>
    <w:p w:rsidRPr="00DB04C3" w:rsidR="00E35DD1" w:rsidP="00BE76A7" w:rsidRDefault="00E35DD1" w14:paraId="570BCCDE" w14:textId="52D53A51">
      <w:pPr>
        <w:pStyle w:val="P1-StandPara"/>
        <w:tabs>
          <w:tab w:val="left" w:pos="720"/>
          <w:tab w:val="right" w:leader="dot" w:pos="9504"/>
        </w:tabs>
        <w:spacing w:before="120" w:line="240" w:lineRule="auto"/>
        <w:ind w:firstLine="0"/>
        <w:rPr>
          <w:rFonts w:asciiTheme="minorHAnsi" w:hAnsiTheme="minorHAnsi"/>
          <w:szCs w:val="22"/>
        </w:rPr>
      </w:pPr>
      <w:r w:rsidRPr="00DB04C3">
        <w:rPr>
          <w:rFonts w:asciiTheme="minorHAnsi" w:hAnsiTheme="minorHAnsi"/>
          <w:szCs w:val="22"/>
        </w:rPr>
        <w:t>Telephone:</w:t>
      </w:r>
      <w:r w:rsidRPr="00DB04C3" w:rsidR="00DB04C3">
        <w:rPr>
          <w:rFonts w:asciiTheme="minorHAnsi" w:hAnsiTheme="minorHAnsi"/>
          <w:szCs w:val="22"/>
        </w:rPr>
        <w:t xml:space="preserve"> </w:t>
      </w:r>
      <w:r w:rsidRPr="00DB04C3" w:rsidR="00DB04C3">
        <w:t>301-402-1428</w:t>
      </w:r>
    </w:p>
    <w:p w:rsidRPr="00DB04C3" w:rsidR="00E35DD1" w:rsidP="00BE76A7" w:rsidRDefault="00E35DD1" w14:paraId="7ABF3457" w14:textId="236703C2">
      <w:pPr>
        <w:pStyle w:val="P1-StandPara"/>
        <w:tabs>
          <w:tab w:val="left" w:pos="720"/>
          <w:tab w:val="right" w:leader="dot" w:pos="9504"/>
        </w:tabs>
        <w:spacing w:before="120" w:line="240" w:lineRule="auto"/>
        <w:ind w:firstLine="0"/>
        <w:rPr>
          <w:rFonts w:asciiTheme="minorHAnsi" w:hAnsiTheme="minorHAnsi"/>
          <w:szCs w:val="22"/>
        </w:rPr>
      </w:pPr>
      <w:r w:rsidRPr="00DB04C3">
        <w:rPr>
          <w:rFonts w:asciiTheme="minorHAnsi" w:hAnsiTheme="minorHAnsi"/>
          <w:szCs w:val="22"/>
        </w:rPr>
        <w:t>Fax:</w:t>
      </w:r>
      <w:r w:rsidRPr="00DB04C3" w:rsidR="00DB04C3">
        <w:rPr>
          <w:rFonts w:asciiTheme="minorHAnsi" w:hAnsiTheme="minorHAnsi"/>
          <w:szCs w:val="22"/>
        </w:rPr>
        <w:t xml:space="preserve"> N/A</w:t>
      </w:r>
    </w:p>
    <w:p w:rsidR="00DB04C3" w:rsidP="00BE76A7" w:rsidRDefault="00E35DD1" w14:paraId="1447E9B1" w14:textId="25A6607D">
      <w:pPr>
        <w:pStyle w:val="P1-StandPara"/>
        <w:tabs>
          <w:tab w:val="left" w:pos="720"/>
          <w:tab w:val="right" w:leader="dot" w:pos="9504"/>
        </w:tabs>
        <w:spacing w:before="120" w:line="240" w:lineRule="auto"/>
        <w:ind w:firstLine="0"/>
      </w:pPr>
      <w:r w:rsidRPr="00DB04C3">
        <w:rPr>
          <w:rFonts w:asciiTheme="minorHAnsi" w:hAnsiTheme="minorHAnsi"/>
          <w:szCs w:val="22"/>
        </w:rPr>
        <w:t>Email:</w:t>
      </w:r>
      <w:r w:rsidRPr="00DB04C3" w:rsidR="00DB04C3">
        <w:rPr>
          <w:rFonts w:asciiTheme="minorHAnsi" w:hAnsiTheme="minorHAnsi"/>
          <w:szCs w:val="22"/>
        </w:rPr>
        <w:t xml:space="preserve"> </w:t>
      </w:r>
      <w:hyperlink w:history="1" r:id="rId8">
        <w:r w:rsidRPr="006A63E3" w:rsidR="00DB04C3">
          <w:rPr>
            <w:rStyle w:val="Hyperlink"/>
          </w:rPr>
          <w:t>lindsey.friend@nih.gov</w:t>
        </w:r>
      </w:hyperlink>
    </w:p>
    <w:p w:rsidR="00DB04C3" w:rsidRDefault="00DB04C3" w14:paraId="28B8184E" w14:textId="77777777">
      <w:pPr>
        <w:rPr>
          <w:rFonts w:ascii="Times New Roman" w:hAnsi="Times New Roman" w:eastAsia="Times New Roman" w:cs="Times New Roman"/>
          <w:szCs w:val="20"/>
        </w:rPr>
      </w:pPr>
      <w:r>
        <w:br w:type="page"/>
      </w:r>
    </w:p>
    <w:p w:rsidRPr="00DB04C3" w:rsidR="00E35DD1" w:rsidP="00BE76A7" w:rsidRDefault="00E35DD1" w14:paraId="357B41C1" w14:textId="77777777">
      <w:pPr>
        <w:pStyle w:val="P1-StandPara"/>
        <w:tabs>
          <w:tab w:val="left" w:pos="720"/>
          <w:tab w:val="right" w:leader="dot" w:pos="9504"/>
        </w:tabs>
        <w:spacing w:before="120" w:line="240" w:lineRule="auto"/>
        <w:ind w:firstLine="0"/>
        <w:rPr>
          <w:rFonts w:asciiTheme="minorHAnsi" w:hAnsiTheme="minorHAnsi"/>
          <w:szCs w:val="22"/>
        </w:rPr>
      </w:pPr>
    </w:p>
    <w:p w:rsidRPr="00E35DD1" w:rsidR="00E35DD1" w:rsidP="00E35DD1" w:rsidRDefault="00E35DD1" w14:paraId="245B699E"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Pr="00E35DD1" w:rsidR="00E35DD1" w:rsidP="00E35DD1" w:rsidRDefault="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Pr="00E35DD1" w:rsidR="00E35DD1" w:rsidP="00E35DD1" w:rsidRDefault="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Pr="00E35DD1" w:rsidR="00E35DD1" w:rsidP="00E35DD1" w:rsidRDefault="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Pr="00E35DD1" w:rsidR="00E35DD1" w:rsidP="00E35DD1" w:rsidRDefault="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Pr="00E35DD1" w:rsidR="00E35DD1" w:rsidP="00E35DD1" w:rsidRDefault="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Pr="00E35DD1" w:rsidR="00E35DD1" w:rsidP="00E35DD1" w:rsidRDefault="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Pr="00E35DD1" w:rsidR="00E35DD1" w:rsidP="00E35DD1" w:rsidRDefault="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Pr="00E35DD1" w:rsidR="00E35DD1" w:rsidP="00E35DD1" w:rsidRDefault="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Pr="00E35DD1" w:rsidR="00E35DD1" w:rsidP="00E35DD1" w:rsidRDefault="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Pr="00E35DD1" w:rsidR="00E35DD1" w:rsidP="00E35DD1" w:rsidRDefault="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Pr="00E35DD1" w:rsidR="00E35DD1" w:rsidP="00E35DD1" w:rsidRDefault="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Pr="00E35DD1" w:rsidR="00E35DD1" w:rsidP="00E35DD1" w:rsidRDefault="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Pr="00E35DD1" w:rsidR="00E35DD1" w:rsidP="00E35DD1" w:rsidRDefault="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Pr="00E35DD1" w:rsidR="00E35DD1" w:rsidP="00E35DD1" w:rsidRDefault="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Pr="00E35DD1" w:rsidR="00E35DD1" w:rsidP="00E35DD1" w:rsidRDefault="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Pr="00E35DD1" w:rsidR="00E35DD1" w:rsidP="00E35DD1" w:rsidRDefault="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Pr="00E35DD1" w:rsidR="00E35DD1" w:rsidP="00E35DD1" w:rsidRDefault="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Pr="00E35DD1" w:rsidR="00E35DD1" w:rsidP="00E35DD1" w:rsidRDefault="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rsidRDefault="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Pr="007D11BF" w:rsidR="006A45F9" w:rsidP="00E35DD1" w:rsidRDefault="006A45F9" w14:paraId="1FDE63E2" w14:textId="77777777">
      <w:pPr>
        <w:pStyle w:val="P1-StandPara"/>
        <w:ind w:firstLine="0"/>
        <w:rPr>
          <w:rFonts w:asciiTheme="minorHAnsi" w:hAnsiTheme="minorHAnsi"/>
          <w:b/>
          <w:i/>
          <w:szCs w:val="22"/>
        </w:rPr>
      </w:pPr>
      <w:r w:rsidRPr="007D11BF">
        <w:rPr>
          <w:rFonts w:asciiTheme="minorHAnsi" w:hAnsiTheme="minorHAnsi"/>
          <w:b/>
          <w:i/>
          <w:szCs w:val="22"/>
        </w:rPr>
        <w:t>Attachments (save file names to match what is being referenced: (ex: x.baseline; y.screener)</w:t>
      </w:r>
    </w:p>
    <w:p w:rsidR="00E35DD1" w:rsidP="00E35DD1" w:rsidRDefault="00E35DD1" w14:paraId="31AA879B" w14:textId="77777777">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767C53" w:rsidP="00E35DD1" w:rsidRDefault="00767C53" w14:paraId="7621091E" w14:textId="77777777">
      <w:pPr>
        <w:pStyle w:val="P1-StandPara"/>
        <w:tabs>
          <w:tab w:val="left" w:pos="720"/>
          <w:tab w:val="right" w:leader="dot" w:pos="9504"/>
        </w:tabs>
        <w:spacing w:before="120" w:after="120"/>
        <w:rPr>
          <w:rFonts w:asciiTheme="minorHAnsi" w:hAnsiTheme="minorHAnsi"/>
          <w:szCs w:val="22"/>
        </w:rPr>
      </w:pPr>
    </w:p>
    <w:p w:rsidR="008524CB" w:rsidP="00BE76A7" w:rsidRDefault="008524CB" w14:paraId="6C67AC7F" w14:textId="7B4FF7D5">
      <w:pPr>
        <w:pStyle w:val="P1-StandPara"/>
        <w:tabs>
          <w:tab w:val="left" w:pos="720"/>
          <w:tab w:val="right" w:leader="dot" w:pos="9504"/>
        </w:tabs>
        <w:spacing w:before="120" w:after="120" w:line="240" w:lineRule="auto"/>
        <w:ind w:firstLine="0"/>
        <w:rPr>
          <w:rFonts w:asciiTheme="minorHAnsi" w:hAnsiTheme="minorHAnsi"/>
          <w:b/>
          <w:szCs w:val="22"/>
        </w:rPr>
      </w:pPr>
    </w:p>
    <w:p w:rsidR="002A3AEF" w:rsidRDefault="008524CB" w14:paraId="4960CAB3" w14:textId="77777777">
      <w:pPr>
        <w:rPr>
          <w:b/>
        </w:rPr>
      </w:pPr>
      <w:r>
        <w:rPr>
          <w:b/>
        </w:rPr>
        <w:t>ATTACHMENTS</w:t>
      </w:r>
    </w:p>
    <w:p w:rsidRPr="00FA5992" w:rsidR="002A3AEF" w:rsidP="002A3AEF" w:rsidRDefault="002A3AEF" w14:paraId="214D020E" w14:textId="77777777">
      <w:pPr>
        <w:tabs>
          <w:tab w:val="left" w:pos="450"/>
        </w:tabs>
        <w:ind w:left="360" w:hanging="360"/>
      </w:pPr>
      <w:r>
        <w:t>1</w:t>
      </w:r>
      <w:r w:rsidRPr="003E0D7F">
        <w:t>.</w:t>
      </w:r>
      <w:r>
        <w:tab/>
      </w:r>
      <w:r w:rsidRPr="003E0D7F">
        <w:t>A</w:t>
      </w:r>
      <w:r>
        <w:t xml:space="preserve">ttachment 1- Form - </w:t>
      </w:r>
      <w:r w:rsidRPr="00FA5992">
        <w:rPr>
          <w:bCs/>
        </w:rPr>
        <w:t>Application for International Research Fellowship Award Program</w:t>
      </w:r>
    </w:p>
    <w:p w:rsidR="002A3AEF" w:rsidP="002A3AEF" w:rsidRDefault="002A3AEF" w14:paraId="23E863E1" w14:textId="77777777">
      <w:pPr>
        <w:tabs>
          <w:tab w:val="left" w:pos="450"/>
        </w:tabs>
        <w:autoSpaceDE w:val="0"/>
        <w:autoSpaceDN w:val="0"/>
        <w:adjustRightInd w:val="0"/>
        <w:ind w:left="360" w:hanging="360"/>
        <w:outlineLvl w:val="0"/>
      </w:pPr>
    </w:p>
    <w:p w:rsidR="002A3AEF" w:rsidP="002A3AEF" w:rsidRDefault="002A3AEF" w14:paraId="254C6344" w14:textId="77777777">
      <w:pPr>
        <w:tabs>
          <w:tab w:val="left" w:pos="450"/>
        </w:tabs>
        <w:autoSpaceDE w:val="0"/>
        <w:autoSpaceDN w:val="0"/>
        <w:adjustRightInd w:val="0"/>
        <w:ind w:left="360" w:hanging="360"/>
        <w:outlineLvl w:val="0"/>
      </w:pPr>
      <w:r>
        <w:t>2.</w:t>
      </w:r>
      <w:r>
        <w:tab/>
        <w:t xml:space="preserve">Attachment 2 – Form – Mentor Application Information </w:t>
      </w:r>
    </w:p>
    <w:p w:rsidR="002A3AEF" w:rsidP="002A3AEF" w:rsidRDefault="002A3AEF" w14:paraId="65330F86" w14:textId="77777777">
      <w:pPr>
        <w:tabs>
          <w:tab w:val="left" w:pos="450"/>
        </w:tabs>
        <w:autoSpaceDE w:val="0"/>
        <w:autoSpaceDN w:val="0"/>
        <w:adjustRightInd w:val="0"/>
        <w:ind w:left="360" w:hanging="360"/>
        <w:outlineLvl w:val="0"/>
      </w:pPr>
    </w:p>
    <w:p w:rsidR="002A3AEF" w:rsidP="002A3AEF" w:rsidRDefault="002A3AEF" w14:paraId="72E78196" w14:textId="77777777">
      <w:pPr>
        <w:tabs>
          <w:tab w:val="left" w:pos="450"/>
        </w:tabs>
        <w:autoSpaceDE w:val="0"/>
        <w:autoSpaceDN w:val="0"/>
        <w:adjustRightInd w:val="0"/>
        <w:ind w:left="360" w:hanging="360"/>
        <w:outlineLvl w:val="0"/>
      </w:pPr>
      <w:r>
        <w:t>3.</w:t>
      </w:r>
      <w:r>
        <w:tab/>
        <w:t>Attachment 3 - PIA Form</w:t>
      </w:r>
    </w:p>
    <w:p w:rsidR="002A3AEF" w:rsidP="002A3AEF" w:rsidRDefault="002A3AEF" w14:paraId="197358A8" w14:textId="77777777">
      <w:pPr>
        <w:tabs>
          <w:tab w:val="left" w:pos="450"/>
        </w:tabs>
        <w:autoSpaceDE w:val="0"/>
        <w:autoSpaceDN w:val="0"/>
        <w:adjustRightInd w:val="0"/>
        <w:ind w:left="360" w:hanging="360"/>
        <w:outlineLvl w:val="0"/>
      </w:pPr>
    </w:p>
    <w:p w:rsidR="002A3AEF" w:rsidP="002A3AEF" w:rsidRDefault="002A3AEF" w14:paraId="791CE1B8" w14:textId="77777777">
      <w:pPr>
        <w:tabs>
          <w:tab w:val="left" w:pos="450"/>
        </w:tabs>
        <w:autoSpaceDE w:val="0"/>
        <w:autoSpaceDN w:val="0"/>
        <w:adjustRightInd w:val="0"/>
        <w:ind w:left="360" w:hanging="360"/>
        <w:outlineLvl w:val="0"/>
      </w:pPr>
      <w:r>
        <w:t>4.</w:t>
      </w:r>
      <w:r>
        <w:tab/>
        <w:t>Attachment 4 - NIH Privacy Act Officer Memo</w:t>
      </w:r>
    </w:p>
    <w:p w:rsidR="008524CB" w:rsidRDefault="008524CB" w14:paraId="45E399FF" w14:textId="4E7714AB">
      <w:pPr>
        <w:rPr>
          <w:rFonts w:eastAsia="Times New Roman" w:cs="Times New Roman"/>
          <w:b/>
        </w:rPr>
      </w:pPr>
      <w:r>
        <w:rPr>
          <w:b/>
        </w:rPr>
        <w:br w:type="page"/>
      </w:r>
    </w:p>
    <w:p w:rsidR="00976490" w:rsidP="00BE76A7" w:rsidRDefault="00976490" w14:paraId="009550F8"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BE76A7" w:rsidRDefault="006A45F9" w14:paraId="605173DA"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Pr="00946E6A" w:rsidR="002A3AEF" w:rsidP="002A3AEF" w:rsidRDefault="006A45F9" w14:paraId="0034F2D8" w14:textId="77777777">
      <w:pPr>
        <w:autoSpaceDE w:val="0"/>
        <w:autoSpaceDN w:val="0"/>
        <w:adjustRightInd w:val="0"/>
        <w:spacing w:line="360" w:lineRule="auto"/>
        <w:outlineLvl w:val="0"/>
      </w:pPr>
      <w:r>
        <w:t xml:space="preserve">Abstract: </w:t>
      </w:r>
      <w:r w:rsidRPr="00946E6A" w:rsidR="002A3AEF">
        <w:t xml:space="preserve">The 2015 approval covered an application form for a postdoctoral and professional development program initially developed in partnership with the International AIDS Society (IAS) focused singularly on HIV and drug use. That program attracted exceptionally qualified applicants, and the individuals who received the fellowships continue to make significant contributions to field of addiction research. The partnership with IAS did not permit NIH/NIDA to require that mentors be NIH/NIDA-supported grantees, however, and that requirement became increasingly important to NIH/NIDA to ensure that every application would address U.S. and, more specifically, NIH/NIDA research priorities. </w:t>
      </w:r>
    </w:p>
    <w:p w:rsidR="00976490" w:rsidP="000F3043" w:rsidRDefault="00976490" w14:paraId="4FF2901B" w14:textId="77777777">
      <w:pPr>
        <w:pStyle w:val="P1-StandPara"/>
        <w:tabs>
          <w:tab w:val="left" w:pos="720"/>
          <w:tab w:val="right" w:leader="dot" w:pos="9504"/>
        </w:tabs>
        <w:spacing w:before="120" w:after="120"/>
        <w:ind w:firstLine="0"/>
        <w:rPr>
          <w:rFonts w:asciiTheme="minorHAnsi" w:hAnsiTheme="minorHAnsi"/>
          <w:b/>
          <w:szCs w:val="22"/>
        </w:rPr>
      </w:pPr>
    </w:p>
    <w:p w:rsidRPr="00E35DD1" w:rsidR="000F3043" w:rsidP="000F3043" w:rsidRDefault="000F3043" w14:paraId="278F4695" w14:textId="77777777">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2A3AEF" w:rsidP="002A3AEF" w:rsidRDefault="002A3AEF" w14:paraId="28962EE0" w14:textId="7BD27C31">
      <w:pPr>
        <w:autoSpaceDE w:val="0"/>
        <w:autoSpaceDN w:val="0"/>
        <w:adjustRightInd w:val="0"/>
        <w:spacing w:line="360" w:lineRule="auto"/>
      </w:pPr>
      <w:bookmarkStart w:name="_Toc443881743" w:id="0"/>
      <w:bookmarkStart w:name="_Toc451592232" w:id="1"/>
      <w:bookmarkStart w:name="_Toc5610273" w:id="2"/>
      <w:bookmarkStart w:name="_Toc99178779" w:id="3"/>
      <w:r>
        <w:t xml:space="preserve">The National Institute on Drug Abuse (NIDA), the National Institutes of Health (NIH), </w:t>
      </w:r>
      <w:r w:rsidRPr="001254A8">
        <w:t>requests a three</w:t>
      </w:r>
      <w:r w:rsidRPr="004B47C3">
        <w:t>-year clearance</w:t>
      </w:r>
      <w:r w:rsidRPr="001254A8">
        <w:t xml:space="preserve"> extension</w:t>
      </w:r>
      <w:r>
        <w:t xml:space="preserve"> </w:t>
      </w:r>
      <w:r w:rsidRPr="003E0D7F">
        <w:t xml:space="preserve">for the application form </w:t>
      </w:r>
      <w:r>
        <w:t xml:space="preserve">that the Institute will use for its International Postdoctoral Research Fellowship Award Program.  This </w:t>
      </w:r>
      <w:r w:rsidRPr="003E0D7F">
        <w:t xml:space="preserve">program </w:t>
      </w:r>
      <w:r>
        <w:t xml:space="preserve">will </w:t>
      </w:r>
      <w:bookmarkStart w:name="_Hlk93592402" w:id="4"/>
      <w:r>
        <w:t>recruit postdoctoral researchers into</w:t>
      </w:r>
      <w:r w:rsidRPr="003E0D7F">
        <w:t xml:space="preserve"> a fellowship</w:t>
      </w:r>
      <w:r>
        <w:t xml:space="preserve"> research training </w:t>
      </w:r>
      <w:r w:rsidRPr="003E0D7F">
        <w:t>program</w:t>
      </w:r>
      <w:r>
        <w:t xml:space="preserve"> for drug use, abuse, addiction, and drug-related consequences.  The program will train new investigators to conduct </w:t>
      </w:r>
      <w:r w:rsidRPr="003E0D7F">
        <w:t xml:space="preserve">research </w:t>
      </w:r>
      <w:r w:rsidRPr="001254A8">
        <w:t xml:space="preserve">in any aspect of drug use, from social science to basic science, including epidemiology, prevention, treatment, and preclinical and clinical sciences, </w:t>
      </w:r>
      <w:r w:rsidRPr="003E0D7F">
        <w:t xml:space="preserve">to advance </w:t>
      </w:r>
      <w:r>
        <w:t>addiction</w:t>
      </w:r>
      <w:r w:rsidRPr="003E0D7F">
        <w:t xml:space="preserve"> science </w:t>
      </w:r>
      <w:r>
        <w:t>while fostering</w:t>
      </w:r>
      <w:r w:rsidRPr="003E0D7F">
        <w:t xml:space="preserve"> multinational research in this disease area. </w:t>
      </w:r>
      <w:r>
        <w:t>The program is open to all foreign nationals</w:t>
      </w:r>
      <w:r w:rsidRPr="00B950D0">
        <w:t xml:space="preserve">. </w:t>
      </w:r>
    </w:p>
    <w:bookmarkEnd w:id="4"/>
    <w:p w:rsidRPr="003E0D7F" w:rsidR="002A3AEF" w:rsidP="002A3AEF" w:rsidRDefault="002A3AEF" w14:paraId="12E2E512" w14:textId="162B44BD">
      <w:pPr>
        <w:autoSpaceDE w:val="0"/>
        <w:autoSpaceDN w:val="0"/>
        <w:adjustRightInd w:val="0"/>
        <w:spacing w:line="360" w:lineRule="auto"/>
      </w:pPr>
      <w:r w:rsidRPr="003E0D7F">
        <w:t>The legal authority granted to NIH to train future biomedical scientists comes from several sources.  Title 42 of the U.S. Code, Sections 241 and 282(b)(13) 282 (11)B authorize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w:t>
      </w:r>
      <w:r>
        <w:t xml:space="preserve"> NIDA considered the need to increase research training for the treatment and prevention of drug use, abuse, addiction, and drug-related consequences.  Clearance for the application form for this training program is needed.</w:t>
      </w:r>
      <w:r w:rsidRPr="003E0D7F">
        <w:t> </w:t>
      </w:r>
      <w:r>
        <w:rPr>
          <w:color w:val="000000"/>
        </w:rPr>
        <w:t xml:space="preserve"> </w:t>
      </w:r>
    </w:p>
    <w:p w:rsidRPr="00714BFA" w:rsidR="000F3043" w:rsidP="000F3043" w:rsidRDefault="000F3043" w14:paraId="6713C5AA" w14:textId="77777777">
      <w:pPr>
        <w:pStyle w:val="Heading2"/>
        <w:spacing w:line="480" w:lineRule="auto"/>
        <w:rPr>
          <w:rFonts w:asciiTheme="minorHAnsi" w:hAnsiTheme="minorHAnsi" w:cstheme="minorHAnsi"/>
          <w:b/>
          <w:color w:val="auto"/>
          <w:sz w:val="22"/>
          <w:szCs w:val="22"/>
        </w:rPr>
      </w:pPr>
      <w:r w:rsidRPr="00714BFA">
        <w:rPr>
          <w:rFonts w:asciiTheme="minorHAnsi" w:hAnsiTheme="minorHAnsi" w:cstheme="minorHAnsi"/>
          <w:b/>
          <w:color w:val="auto"/>
          <w:sz w:val="22"/>
          <w:szCs w:val="22"/>
        </w:rPr>
        <w:t>A.2    Purpose and Use of the Information</w:t>
      </w:r>
      <w:bookmarkEnd w:id="0"/>
      <w:bookmarkEnd w:id="1"/>
      <w:bookmarkEnd w:id="2"/>
      <w:bookmarkEnd w:id="3"/>
      <w:r w:rsidRPr="00714BFA">
        <w:rPr>
          <w:rFonts w:asciiTheme="minorHAnsi" w:hAnsiTheme="minorHAnsi" w:cstheme="minorHAnsi"/>
          <w:b/>
          <w:color w:val="auto"/>
          <w:sz w:val="22"/>
          <w:szCs w:val="22"/>
        </w:rPr>
        <w:t xml:space="preserve"> Collection</w:t>
      </w:r>
    </w:p>
    <w:p w:rsidR="002A3AEF" w:rsidP="002A3AEF" w:rsidRDefault="002A3AEF" w14:paraId="4DB10624" w14:textId="77777777">
      <w:pPr>
        <w:autoSpaceDE w:val="0"/>
        <w:autoSpaceDN w:val="0"/>
        <w:adjustRightInd w:val="0"/>
        <w:spacing w:line="360" w:lineRule="auto"/>
      </w:pPr>
      <w:r w:rsidRPr="003E0D7F">
        <w:t xml:space="preserve">The purpose of the information is </w:t>
      </w:r>
      <w:r>
        <w:t xml:space="preserve">for the selection of the best applicants for this fellowship program.  An application form to obtain information about the potential of fellows for successful training in addiction </w:t>
      </w:r>
      <w:r>
        <w:lastRenderedPageBreak/>
        <w:t xml:space="preserve">research is necessary. NIDA will request clearance for any additional forms that may be needed if programs or components are added to this program in the future, or if the form for this program needs some modifications for better clarity of information. </w:t>
      </w:r>
    </w:p>
    <w:p w:rsidRPr="003E0D7F" w:rsidR="002A3AEF" w:rsidP="002A3AEF" w:rsidRDefault="002A3AEF" w14:paraId="537B6D81" w14:textId="40E43027">
      <w:pPr>
        <w:autoSpaceDE w:val="0"/>
        <w:autoSpaceDN w:val="0"/>
        <w:adjustRightInd w:val="0"/>
        <w:spacing w:line="360" w:lineRule="auto"/>
      </w:pPr>
      <w:r>
        <w:t>The information en</w:t>
      </w:r>
      <w:r w:rsidRPr="003E0D7F">
        <w:t>sure</w:t>
      </w:r>
      <w:r>
        <w:t>s</w:t>
      </w:r>
      <w:r w:rsidRPr="003E0D7F">
        <w:t xml:space="preserve"> that </w:t>
      </w:r>
      <w:r>
        <w:t>fellows</w:t>
      </w:r>
      <w:r w:rsidRPr="003E0D7F">
        <w:t xml:space="preserve"> applying to these programs meet eligibility requirements</w:t>
      </w:r>
      <w:r>
        <w:t>; indicates</w:t>
      </w:r>
      <w:r w:rsidRPr="003E0D7F">
        <w:t xml:space="preserve"> their po</w:t>
      </w:r>
      <w:r>
        <w:t xml:space="preserve">tential as future scientists; </w:t>
      </w:r>
      <w:r w:rsidRPr="003E0D7F">
        <w:t>determine</w:t>
      </w:r>
      <w:r>
        <w:t>s</w:t>
      </w:r>
      <w:r w:rsidRPr="003E0D7F">
        <w:t xml:space="preserve"> where mutual research interests exist; and </w:t>
      </w:r>
      <w:r>
        <w:t>enables</w:t>
      </w:r>
      <w:r w:rsidRPr="003E0D7F">
        <w:t xml:space="preserve"> decision</w:t>
      </w:r>
      <w:r>
        <w:t>-making</w:t>
      </w:r>
      <w:r w:rsidRPr="003E0D7F">
        <w:t xml:space="preserve"> regarding which applicants will be proposed and approved for </w:t>
      </w:r>
      <w:r>
        <w:t>fellowship awards</w:t>
      </w:r>
      <w:r w:rsidRPr="003E0D7F">
        <w:t xml:space="preserve">. In each case, completing </w:t>
      </w:r>
      <w:r>
        <w:t xml:space="preserve">an </w:t>
      </w:r>
      <w:r w:rsidRPr="003E0D7F">
        <w:t xml:space="preserve">application is voluntary, but </w:t>
      </w:r>
      <w:proofErr w:type="gramStart"/>
      <w:r w:rsidRPr="003E0D7F">
        <w:t>in order to</w:t>
      </w:r>
      <w:proofErr w:type="gramEnd"/>
      <w:r w:rsidRPr="003E0D7F">
        <w:t xml:space="preserve"> receive due consideration, the prospective applicant must complete all fields required by the program.</w:t>
      </w:r>
    </w:p>
    <w:p w:rsidR="002A3AEF" w:rsidP="002A3AEF" w:rsidRDefault="002A3AEF" w14:paraId="4124D87D" w14:textId="77777777">
      <w:pPr>
        <w:autoSpaceDE w:val="0"/>
        <w:autoSpaceDN w:val="0"/>
        <w:adjustRightInd w:val="0"/>
        <w:spacing w:line="360" w:lineRule="auto"/>
        <w:outlineLvl w:val="0"/>
      </w:pPr>
      <w:r w:rsidRPr="0079588E">
        <w:t xml:space="preserve">The program has evolved to one funded solely by NIH/NIDA to provide postdoctoral research training and professional development activities for foreign nationals investigating any aspect of drug use, abuse, addiction, or drug-related consequences. Mentors must be currently funded by NIH/NIDA and work at a U.S. institution. </w:t>
      </w:r>
    </w:p>
    <w:p w:rsidRPr="00946E6A" w:rsidR="002A3AEF" w:rsidP="002A3AEF" w:rsidRDefault="002A3AEF" w14:paraId="240DE4B6" w14:textId="77777777">
      <w:pPr>
        <w:autoSpaceDE w:val="0"/>
        <w:autoSpaceDN w:val="0"/>
        <w:adjustRightInd w:val="0"/>
        <w:spacing w:line="360" w:lineRule="auto"/>
        <w:outlineLvl w:val="0"/>
      </w:pPr>
      <w:r w:rsidRPr="00946E6A">
        <w:t xml:space="preserve">The separate “Applicant Consent Form” in the 2015 application was created to ensure that fellows working with non-U.S. mentors would comply with NIH/NIDA regulations. </w:t>
      </w:r>
      <w:r>
        <w:t>At the time of the 2019 OMB clearance, the e</w:t>
      </w:r>
      <w:r w:rsidRPr="0079588E">
        <w:t xml:space="preserve">thical conduct of research assurances </w:t>
      </w:r>
      <w:r>
        <w:t xml:space="preserve">had been </w:t>
      </w:r>
      <w:r w:rsidRPr="0079588E">
        <w:t>incorporated directly into the application itself</w:t>
      </w:r>
      <w:r>
        <w:t>. For the extension of this application the research conduct assurance continues to be accomplished within the application</w:t>
      </w:r>
      <w:r w:rsidRPr="0079588E">
        <w:t xml:space="preserve"> </w:t>
      </w:r>
      <w:r>
        <w:t xml:space="preserve">and continues to be </w:t>
      </w:r>
      <w:r w:rsidRPr="0079588E">
        <w:t xml:space="preserve">confirmed during the NIH/NIDA grant application and award process. </w:t>
      </w:r>
    </w:p>
    <w:p w:rsidR="002A3AEF" w:rsidP="002A3AEF" w:rsidRDefault="002A3AEF" w14:paraId="6ACDF727" w14:textId="77777777">
      <w:pPr>
        <w:autoSpaceDE w:val="0"/>
        <w:autoSpaceDN w:val="0"/>
        <w:adjustRightInd w:val="0"/>
        <w:spacing w:line="360" w:lineRule="auto"/>
        <w:outlineLvl w:val="0"/>
      </w:pPr>
      <w:r>
        <w:t>Since the 2019 OMB clearance process was completed, NIDA has received a steady number of fellowship applications and there has been no increase in application volume.</w:t>
      </w:r>
    </w:p>
    <w:p w:rsidR="002A3AEF" w:rsidP="002A3AEF" w:rsidRDefault="002A3AEF" w14:paraId="702C9FCE" w14:textId="77777777">
      <w:pPr>
        <w:autoSpaceDE w:val="0"/>
        <w:autoSpaceDN w:val="0"/>
        <w:adjustRightInd w:val="0"/>
        <w:spacing w:line="360" w:lineRule="auto"/>
        <w:outlineLvl w:val="0"/>
      </w:pPr>
      <w:r w:rsidRPr="00036AE7">
        <w:t xml:space="preserve">This </w:t>
      </w:r>
      <w:r>
        <w:t>extended</w:t>
      </w:r>
      <w:r w:rsidRPr="00036AE7">
        <w:t xml:space="preserve"> application submitted for OMB review reflects the content of the current web-based application forms. </w:t>
      </w:r>
    </w:p>
    <w:p w:rsidRPr="00280E8F" w:rsidR="002A3AEF" w:rsidP="002A3AEF" w:rsidRDefault="002A3AEF" w14:paraId="22D4A7C3" w14:textId="77777777">
      <w:pPr>
        <w:autoSpaceDE w:val="0"/>
        <w:autoSpaceDN w:val="0"/>
        <w:adjustRightInd w:val="0"/>
        <w:spacing w:line="360" w:lineRule="auto"/>
        <w:rPr>
          <w:bCs/>
        </w:rPr>
      </w:pPr>
      <w:r w:rsidRPr="00280E8F">
        <w:rPr>
          <w:bCs/>
        </w:rPr>
        <w:t>Details of the Program are as follows:</w:t>
      </w:r>
    </w:p>
    <w:p w:rsidRPr="003E0D7F" w:rsidR="002A3AEF" w:rsidP="002A3AEF" w:rsidRDefault="002A3AEF" w14:paraId="53349D9C" w14:textId="77777777">
      <w:pPr>
        <w:autoSpaceDE w:val="0"/>
        <w:autoSpaceDN w:val="0"/>
        <w:adjustRightInd w:val="0"/>
        <w:spacing w:line="360" w:lineRule="auto"/>
      </w:pPr>
      <w:r>
        <w:t>This</w:t>
      </w:r>
      <w:r w:rsidRPr="003E0D7F">
        <w:t xml:space="preserve"> program </w:t>
      </w:r>
      <w:r>
        <w:t>will continue to offer awards annually</w:t>
      </w:r>
      <w:r w:rsidRPr="003E0D7F">
        <w:t xml:space="preserve"> to junior scientist</w:t>
      </w:r>
      <w:r>
        <w:t>s</w:t>
      </w:r>
      <w:r w:rsidRPr="003E0D7F">
        <w:t xml:space="preserve"> for postdoctoral training, </w:t>
      </w:r>
      <w:r>
        <w:t xml:space="preserve">with a NIDA-funded grantee </w:t>
      </w:r>
      <w:r w:rsidRPr="003E0D7F">
        <w:t xml:space="preserve">at </w:t>
      </w:r>
      <w:r>
        <w:t>a U.S.</w:t>
      </w:r>
      <w:r w:rsidRPr="003E0D7F">
        <w:t xml:space="preserve"> institution. </w:t>
      </w:r>
    </w:p>
    <w:p w:rsidRPr="003E0D7F" w:rsidR="002A3AEF" w:rsidP="002A3AEF" w:rsidRDefault="002A3AEF" w14:paraId="0E8C19D3" w14:textId="2818222F">
      <w:pPr>
        <w:autoSpaceDE w:val="0"/>
        <w:autoSpaceDN w:val="0"/>
        <w:adjustRightInd w:val="0"/>
        <w:spacing w:line="360" w:lineRule="auto"/>
      </w:pPr>
      <w:r w:rsidRPr="003E0D7F">
        <w:t xml:space="preserve">Identification of participants </w:t>
      </w:r>
      <w:r>
        <w:t>to matriculate into the program</w:t>
      </w:r>
      <w:r w:rsidRPr="003E0D7F">
        <w:t xml:space="preserve"> comes from the </w:t>
      </w:r>
      <w:r>
        <w:t>application form</w:t>
      </w:r>
      <w:r w:rsidRPr="003E0D7F">
        <w:t xml:space="preserve"> </w:t>
      </w:r>
      <w:r>
        <w:t>which will</w:t>
      </w:r>
      <w:r w:rsidRPr="008844DA">
        <w:t xml:space="preserve"> </w:t>
      </w:r>
      <w:r>
        <w:t xml:space="preserve">continue to </w:t>
      </w:r>
      <w:r w:rsidRPr="008844DA">
        <w:t xml:space="preserve">be hosted at the NIDA Web site </w:t>
      </w:r>
      <w:hyperlink w:history="1" r:id="rId9">
        <w:r w:rsidRPr="005918C0">
          <w:rPr>
            <w:rStyle w:val="Hyperlink"/>
          </w:rPr>
          <w:t>http://www.drugabuse.gov/</w:t>
        </w:r>
      </w:hyperlink>
      <w:r>
        <w:t xml:space="preserve">  upon receiving OMB clearance</w:t>
      </w:r>
      <w:r w:rsidRPr="003E0D7F">
        <w:t xml:space="preserve">. The </w:t>
      </w:r>
      <w:r>
        <w:t>continuation of</w:t>
      </w:r>
      <w:r w:rsidRPr="003E0D7F">
        <w:t xml:space="preserve"> information collection </w:t>
      </w:r>
      <w:r>
        <w:t>activity is</w:t>
      </w:r>
      <w:r w:rsidRPr="003E0D7F">
        <w:t xml:space="preserve"> necessary </w:t>
      </w:r>
      <w:proofErr w:type="gramStart"/>
      <w:r w:rsidRPr="003E0D7F">
        <w:t>in order to</w:t>
      </w:r>
      <w:proofErr w:type="gramEnd"/>
      <w:r w:rsidRPr="003E0D7F">
        <w:t xml:space="preserve"> determine the eligibility and quality of potential awardees for the</w:t>
      </w:r>
      <w:r>
        <w:t xml:space="preserve"> research</w:t>
      </w:r>
      <w:r w:rsidRPr="003E0D7F">
        <w:t xml:space="preserve"> training </w:t>
      </w:r>
      <w:r>
        <w:t>opportunity</w:t>
      </w:r>
      <w:r w:rsidRPr="003E0D7F">
        <w:t xml:space="preserve"> </w:t>
      </w:r>
      <w:r>
        <w:t>of this program</w:t>
      </w:r>
      <w:r w:rsidRPr="003E0D7F">
        <w:t xml:space="preserve">.  The form for </w:t>
      </w:r>
      <w:r>
        <w:t>this</w:t>
      </w:r>
      <w:r w:rsidRPr="003E0D7F">
        <w:t xml:space="preserve"> program was developed by NIDA staff</w:t>
      </w:r>
      <w:r>
        <w:t xml:space="preserve">, Steve Gust and Stuart Berlin. </w:t>
      </w:r>
      <w:r w:rsidRPr="003E0D7F">
        <w:t xml:space="preserve">  </w:t>
      </w:r>
    </w:p>
    <w:p w:rsidRPr="003E0D7F" w:rsidR="002A3AEF" w:rsidP="002A3AEF" w:rsidRDefault="002A3AEF" w14:paraId="52FE6729" w14:textId="7DAF2999">
      <w:pPr>
        <w:autoSpaceDE w:val="0"/>
        <w:autoSpaceDN w:val="0"/>
        <w:adjustRightInd w:val="0"/>
        <w:spacing w:line="360" w:lineRule="auto"/>
      </w:pPr>
      <w:r w:rsidRPr="003E0D7F">
        <w:lastRenderedPageBreak/>
        <w:t>Prospective trainees for the fellowship opportunit</w:t>
      </w:r>
      <w:r>
        <w:t>y</w:t>
      </w:r>
      <w:r w:rsidRPr="003E0D7F">
        <w:t xml:space="preserve"> must apply directly to the NIH/NIDA</w:t>
      </w:r>
      <w:r>
        <w:t xml:space="preserve"> using the application form</w:t>
      </w:r>
      <w:r w:rsidRPr="003E0D7F">
        <w:t xml:space="preserve">.  </w:t>
      </w:r>
      <w:r w:rsidRPr="00597597">
        <w:t>P</w:t>
      </w:r>
      <w:r w:rsidRPr="003E0D7F">
        <w:t xml:space="preserve">articipation in </w:t>
      </w:r>
      <w:r>
        <w:t>this</w:t>
      </w:r>
      <w:r w:rsidRPr="003E0D7F">
        <w:t xml:space="preserve"> program is restricted to non-U.S. citizens, and the principal appointment authority for this program comes from the Authorit</w:t>
      </w:r>
      <w:r>
        <w:t>y</w:t>
      </w:r>
      <w:r w:rsidRPr="003E0D7F">
        <w:t xml:space="preserve"> mentioned above.</w:t>
      </w:r>
    </w:p>
    <w:p w:rsidRPr="003E0D7F" w:rsidR="002A3AEF" w:rsidP="002A3AEF" w:rsidRDefault="002A3AEF" w14:paraId="18E053B6" w14:textId="77777777">
      <w:pPr>
        <w:autoSpaceDE w:val="0"/>
        <w:autoSpaceDN w:val="0"/>
        <w:adjustRightInd w:val="0"/>
        <w:spacing w:line="360" w:lineRule="auto"/>
      </w:pPr>
      <w:r>
        <w:t>The awards</w:t>
      </w:r>
      <w:r w:rsidRPr="003E0D7F">
        <w:t xml:space="preserve"> of th</w:t>
      </w:r>
      <w:r>
        <w:t>is</w:t>
      </w:r>
      <w:r w:rsidRPr="003E0D7F">
        <w:t xml:space="preserve"> </w:t>
      </w:r>
      <w:r>
        <w:t>program will be</w:t>
      </w:r>
      <w:r w:rsidRPr="003E0D7F">
        <w:t xml:space="preserve"> made annually. The application </w:t>
      </w:r>
      <w:r>
        <w:t>form may be</w:t>
      </w:r>
      <w:r w:rsidRPr="003E0D7F">
        <w:t xml:space="preserve"> renewed annually through an internal process for changes that may be needed and to prevent any duplication of information. The financial suppor</w:t>
      </w:r>
      <w:r>
        <w:t xml:space="preserve">t provided to the </w:t>
      </w:r>
      <w:r w:rsidRPr="003E0D7F">
        <w:t>awardees comes from NIDA.</w:t>
      </w:r>
    </w:p>
    <w:p w:rsidRPr="003E0D7F" w:rsidR="002A3AEF" w:rsidP="002A3AEF" w:rsidRDefault="002A3AEF" w14:paraId="7BD32432" w14:textId="77777777">
      <w:pPr>
        <w:autoSpaceDE w:val="0"/>
        <w:autoSpaceDN w:val="0"/>
        <w:adjustRightInd w:val="0"/>
        <w:spacing w:line="360" w:lineRule="auto"/>
      </w:pPr>
      <w:r w:rsidRPr="007A57B8">
        <w:t>Application Guidelines</w:t>
      </w:r>
      <w:r>
        <w:t xml:space="preserve">:  </w:t>
      </w:r>
      <w:r w:rsidRPr="004B47C3">
        <w:t xml:space="preserve">The guidelines for this Program will continue to be available on the NIDA website </w:t>
      </w:r>
      <w:hyperlink w:history="1" r:id="rId10">
        <w:r w:rsidRPr="004B47C3">
          <w:rPr>
            <w:rStyle w:val="Hyperlink"/>
          </w:rPr>
          <w:t>http://www.drugabuse.gov/</w:t>
        </w:r>
      </w:hyperlink>
      <w:r w:rsidRPr="004B47C3">
        <w:t xml:space="preserve">  The Guidelines will</w:t>
      </w:r>
      <w:r>
        <w:t xml:space="preserve"> </w:t>
      </w:r>
      <w:r w:rsidRPr="003E0D7F">
        <w:t xml:space="preserve">comply with the Plain Writing Act of 2010, to provide clear communication that the public can understand and use.  For future guidelines and changes the Federal Plain Language Guidelines will be followed similarly.  </w:t>
      </w:r>
    </w:p>
    <w:p w:rsidRPr="003E0D7F" w:rsidR="002A3AEF" w:rsidP="002A3AEF" w:rsidRDefault="002A3AEF" w14:paraId="717C7ED3" w14:textId="77777777">
      <w:pPr>
        <w:autoSpaceDE w:val="0"/>
        <w:autoSpaceDN w:val="0"/>
        <w:adjustRightInd w:val="0"/>
        <w:spacing w:line="360" w:lineRule="auto"/>
      </w:pPr>
      <w:r w:rsidRPr="001A20EA">
        <w:t>For this program contact information and research experience history is also asked of the proposed mentor.</w:t>
      </w:r>
      <w:r w:rsidRPr="003E0D7F">
        <w:t xml:space="preserve"> </w:t>
      </w:r>
    </w:p>
    <w:p w:rsidRPr="003E0D7F" w:rsidR="002A3AEF" w:rsidP="002A3AEF" w:rsidRDefault="002A3AEF" w14:paraId="1F1D7CFF" w14:textId="77777777">
      <w:pPr>
        <w:spacing w:line="360" w:lineRule="auto"/>
      </w:pPr>
      <w:r w:rsidRPr="003E0D7F">
        <w:t xml:space="preserve">The NIDA </w:t>
      </w:r>
      <w:r>
        <w:t xml:space="preserve">science programs </w:t>
      </w:r>
      <w:r w:rsidRPr="003E0D7F">
        <w:t xml:space="preserve">staff </w:t>
      </w:r>
      <w:r>
        <w:t>review the applications, determine the applicants who are eligible for the awards,</w:t>
      </w:r>
      <w:r w:rsidRPr="00691921">
        <w:t xml:space="preserve"> </w:t>
      </w:r>
      <w:r>
        <w:t>and process the information to be sent to the applicants.</w:t>
      </w:r>
      <w:r w:rsidRPr="003E0D7F">
        <w:t xml:space="preserve">  </w:t>
      </w:r>
    </w:p>
    <w:p w:rsidR="002A3AEF" w:rsidP="002A3AEF" w:rsidRDefault="002A3AEF" w14:paraId="4725ECD9" w14:textId="77777777">
      <w:pPr>
        <w:autoSpaceDE w:val="0"/>
        <w:autoSpaceDN w:val="0"/>
        <w:adjustRightInd w:val="0"/>
        <w:spacing w:line="360" w:lineRule="auto"/>
      </w:pPr>
      <w:r w:rsidRPr="003E0D7F">
        <w:t xml:space="preserve">The information </w:t>
      </w:r>
      <w:r>
        <w:t>may also</w:t>
      </w:r>
      <w:r w:rsidRPr="003E0D7F">
        <w:t xml:space="preserve"> be used by </w:t>
      </w:r>
      <w:r>
        <w:t xml:space="preserve">NIDA </w:t>
      </w:r>
      <w:r w:rsidRPr="003E0D7F">
        <w:t>for strategic planning, performance analysis, and to provide information</w:t>
      </w:r>
      <w:r>
        <w:t xml:space="preserve"> </w:t>
      </w:r>
      <w:r w:rsidRPr="003E0D7F">
        <w:t xml:space="preserve">to the Administration and </w:t>
      </w:r>
      <w:r>
        <w:t>the</w:t>
      </w:r>
      <w:r w:rsidRPr="003E0D7F">
        <w:t xml:space="preserve"> Congress if needed</w:t>
      </w:r>
      <w:r>
        <w:t>, on the overall program</w:t>
      </w:r>
      <w:r w:rsidRPr="003E0D7F">
        <w:t xml:space="preserve">.  </w:t>
      </w:r>
    </w:p>
    <w:p w:rsidR="002A3AEF" w:rsidP="002A3AEF" w:rsidRDefault="002A3AEF" w14:paraId="440BEF89" w14:textId="77777777">
      <w:pPr>
        <w:autoSpaceDE w:val="0"/>
        <w:autoSpaceDN w:val="0"/>
        <w:adjustRightInd w:val="0"/>
        <w:spacing w:line="360" w:lineRule="auto"/>
        <w:outlineLvl w:val="0"/>
      </w:pPr>
    </w:p>
    <w:p w:rsidRPr="00E35DD1" w:rsidR="00A00CF8" w:rsidP="00A00CF8" w:rsidRDefault="00A00CF8" w14:paraId="771476A4" w14:textId="77777777">
      <w:pPr>
        <w:rPr>
          <w:b/>
          <w:color w:val="000000" w:themeColor="text1"/>
        </w:rPr>
      </w:pPr>
      <w:r w:rsidRPr="00E35DD1">
        <w:rPr>
          <w:b/>
          <w:color w:val="000000" w:themeColor="text1"/>
        </w:rPr>
        <w:t>A.3     Use of Information Technology and Burden Reduction</w:t>
      </w:r>
    </w:p>
    <w:p w:rsidRPr="00822025" w:rsidR="002A3AEF" w:rsidP="002A3AEF" w:rsidRDefault="002A3AEF" w14:paraId="7561DF45" w14:textId="77777777">
      <w:pPr>
        <w:autoSpaceDE w:val="0"/>
        <w:autoSpaceDN w:val="0"/>
        <w:adjustRightInd w:val="0"/>
        <w:spacing w:line="360" w:lineRule="auto"/>
      </w:pPr>
      <w:bookmarkStart w:name="_Toc443881745" w:id="5"/>
      <w:bookmarkStart w:name="_Toc451592234" w:id="6"/>
      <w:bookmarkStart w:name="_Toc5610275" w:id="7"/>
      <w:bookmarkStart w:name="_Toc99178781" w:id="8"/>
      <w:r>
        <w:t>The applications will continue to be</w:t>
      </w:r>
      <w:r w:rsidRPr="003E0D7F">
        <w:t xml:space="preserve"> Web</w:t>
      </w:r>
      <w:r>
        <w:t>-</w:t>
      </w:r>
      <w:r w:rsidRPr="003E0D7F">
        <w:t xml:space="preserve">based and </w:t>
      </w:r>
      <w:r>
        <w:t xml:space="preserve">will be made </w:t>
      </w:r>
      <w:r w:rsidRPr="003E0D7F">
        <w:t xml:space="preserve">accessible </w:t>
      </w:r>
      <w:r w:rsidRPr="008844DA">
        <w:t>through the NIDA site at</w:t>
      </w:r>
      <w:r w:rsidRPr="00F56708">
        <w:t xml:space="preserve"> </w:t>
      </w:r>
      <w:hyperlink w:history="1" r:id="rId11">
        <w:r w:rsidRPr="005918C0">
          <w:rPr>
            <w:rStyle w:val="Hyperlink"/>
          </w:rPr>
          <w:t>http://www.drugabuse.gov/</w:t>
        </w:r>
      </w:hyperlink>
      <w:r>
        <w:t>.  A Privacy Impact Assessment (PIA) is pending, see attachment 3. The information requested is for the purpose of identifying applicants with the best and most needed research that would be productive from training for research on</w:t>
      </w:r>
      <w:r w:rsidRPr="00D70DC9">
        <w:t xml:space="preserve"> </w:t>
      </w:r>
      <w:r>
        <w:t xml:space="preserve">addiction, the best capacity for research training, and strong interests in a biomedical research </w:t>
      </w:r>
      <w:r w:rsidRPr="00822025">
        <w:t xml:space="preserve">career. </w:t>
      </w:r>
    </w:p>
    <w:p w:rsidRPr="008844DA" w:rsidR="002A3AEF" w:rsidP="002A3AEF" w:rsidRDefault="002A3AEF" w14:paraId="33CEF3A5" w14:textId="77777777">
      <w:pPr>
        <w:autoSpaceDE w:val="0"/>
        <w:autoSpaceDN w:val="0"/>
        <w:adjustRightInd w:val="0"/>
        <w:spacing w:line="360" w:lineRule="auto"/>
      </w:pPr>
      <w:r w:rsidRPr="008844DA">
        <w:t>Features of the online applications include, but are not limited to the following elements:</w:t>
      </w:r>
    </w:p>
    <w:p w:rsidRPr="008844DA" w:rsidR="002A3AEF" w:rsidP="002A3AEF" w:rsidRDefault="002A3AEF" w14:paraId="2565D2EA" w14:textId="77777777">
      <w:pPr>
        <w:numPr>
          <w:ilvl w:val="0"/>
          <w:numId w:val="13"/>
        </w:numPr>
        <w:autoSpaceDE w:val="0"/>
        <w:autoSpaceDN w:val="0"/>
        <w:adjustRightInd w:val="0"/>
        <w:spacing w:after="0" w:line="360" w:lineRule="auto"/>
      </w:pPr>
      <w:r w:rsidRPr="008844DA">
        <w:t>Edit submitted application to ensure up-to-date information for evaluation</w:t>
      </w:r>
    </w:p>
    <w:p w:rsidRPr="008844DA" w:rsidR="002A3AEF" w:rsidP="002A3AEF" w:rsidRDefault="002A3AEF" w14:paraId="4E5929E8" w14:textId="77777777">
      <w:pPr>
        <w:numPr>
          <w:ilvl w:val="0"/>
          <w:numId w:val="13"/>
        </w:numPr>
        <w:autoSpaceDE w:val="0"/>
        <w:autoSpaceDN w:val="0"/>
        <w:adjustRightInd w:val="0"/>
        <w:spacing w:after="0" w:line="360" w:lineRule="auto"/>
      </w:pPr>
      <w:r w:rsidRPr="008844DA">
        <w:t>E-mail confirmation of start of an application</w:t>
      </w:r>
    </w:p>
    <w:p w:rsidRPr="008844DA" w:rsidR="002A3AEF" w:rsidP="002A3AEF" w:rsidRDefault="002A3AEF" w14:paraId="4DA98D63" w14:textId="77777777">
      <w:pPr>
        <w:numPr>
          <w:ilvl w:val="0"/>
          <w:numId w:val="13"/>
        </w:numPr>
        <w:autoSpaceDE w:val="0"/>
        <w:autoSpaceDN w:val="0"/>
        <w:adjustRightInd w:val="0"/>
        <w:spacing w:after="0" w:line="360" w:lineRule="auto"/>
      </w:pPr>
      <w:r w:rsidRPr="008844DA">
        <w:t xml:space="preserve">E-mail confirmation of successful submission of application, </w:t>
      </w:r>
    </w:p>
    <w:p w:rsidRPr="003E0D7F" w:rsidR="002A3AEF" w:rsidP="002A3AEF" w:rsidRDefault="002A3AEF" w14:paraId="688A0E3B" w14:textId="77777777">
      <w:pPr>
        <w:spacing w:line="360" w:lineRule="auto"/>
      </w:pPr>
      <w:r w:rsidRPr="008844DA">
        <w:t xml:space="preserve">In addition, prospective applicants </w:t>
      </w:r>
      <w:proofErr w:type="gramStart"/>
      <w:r>
        <w:t>are</w:t>
      </w:r>
      <w:r w:rsidRPr="008844DA">
        <w:t xml:space="preserve"> able to</w:t>
      </w:r>
      <w:proofErr w:type="gramEnd"/>
      <w:r w:rsidRPr="008844DA">
        <w:t xml:space="preserve"> review Web pages hosting Application, Instructions, and Program Policies and Procedures prior to submitting an application for admission consideration.  The details</w:t>
      </w:r>
      <w:r>
        <w:t xml:space="preserve"> </w:t>
      </w:r>
      <w:r w:rsidRPr="008844DA">
        <w:t xml:space="preserve">posted on the site will </w:t>
      </w:r>
      <w:r>
        <w:t xml:space="preserve">continue to </w:t>
      </w:r>
      <w:r w:rsidRPr="008844DA">
        <w:t xml:space="preserve">enable applicants to carefully complete and submit a well-organized </w:t>
      </w:r>
      <w:r w:rsidRPr="008844DA">
        <w:lastRenderedPageBreak/>
        <w:t>application.</w:t>
      </w:r>
      <w:r w:rsidRPr="003E0D7F">
        <w:t xml:space="preserve">  The estimated time to complete an application of th</w:t>
      </w:r>
      <w:r>
        <w:t xml:space="preserve">is </w:t>
      </w:r>
      <w:r w:rsidRPr="003E0D7F">
        <w:t>program is 60 minutes</w:t>
      </w:r>
      <w:r>
        <w:t xml:space="preserve">, based on the similarity of the information and number of items asked by the US PHS-398 grant application form.  </w:t>
      </w:r>
    </w:p>
    <w:p w:rsidR="002A3AEF" w:rsidP="002A3AEF" w:rsidRDefault="002A3AEF" w14:paraId="22F2D54D" w14:textId="1E5EB3E5">
      <w:pPr>
        <w:autoSpaceDE w:val="0"/>
        <w:autoSpaceDN w:val="0"/>
        <w:adjustRightInd w:val="0"/>
        <w:spacing w:line="360" w:lineRule="auto"/>
      </w:pPr>
      <w:r w:rsidRPr="003E0D7F">
        <w:t>The NIDA online system reduces the burden on every applicant by streamlining the application process, improves agency efficiency and responsiveness to the public, and reduces the financial cost to applicants (there is no application fee for these programs)</w:t>
      </w:r>
      <w:r>
        <w:t>, and the online application process eliminates the cost of shipping applications internationally.</w:t>
      </w:r>
    </w:p>
    <w:p w:rsidRPr="003E0D7F" w:rsidR="002A3AEF" w:rsidP="002A3AEF" w:rsidRDefault="002A3AEF" w14:paraId="32281EC6" w14:textId="77777777">
      <w:pPr>
        <w:autoSpaceDE w:val="0"/>
        <w:autoSpaceDN w:val="0"/>
        <w:adjustRightInd w:val="0"/>
        <w:spacing w:line="360" w:lineRule="auto"/>
      </w:pPr>
    </w:p>
    <w:p w:rsidRPr="00C4161B" w:rsidR="00685B30" w:rsidP="00685B30" w:rsidRDefault="00685B30" w14:paraId="2634512F"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5"/>
      <w:bookmarkEnd w:id="6"/>
      <w:bookmarkEnd w:id="7"/>
      <w:bookmarkEnd w:id="8"/>
    </w:p>
    <w:p w:rsidR="002A3AEF" w:rsidP="002A3AEF" w:rsidRDefault="002A3AEF" w14:paraId="2B9B6F42" w14:textId="2AB545F7">
      <w:pPr>
        <w:autoSpaceDE w:val="0"/>
        <w:autoSpaceDN w:val="0"/>
        <w:adjustRightInd w:val="0"/>
        <w:spacing w:line="360" w:lineRule="auto"/>
      </w:pPr>
      <w:bookmarkStart w:name="_Toc443881746" w:id="9"/>
      <w:bookmarkStart w:name="_Toc451592235" w:id="10"/>
      <w:bookmarkStart w:name="_Toc5610276" w:id="11"/>
      <w:bookmarkStart w:name="_Toc99178782" w:id="12"/>
      <w:r w:rsidRPr="003E0D7F">
        <w:t xml:space="preserve">Applicants to the program must </w:t>
      </w:r>
      <w:proofErr w:type="gramStart"/>
      <w:r w:rsidRPr="003E0D7F">
        <w:t>submit an application</w:t>
      </w:r>
      <w:proofErr w:type="gramEnd"/>
      <w:r w:rsidRPr="003E0D7F">
        <w:t xml:space="preserve"> through the NIDA system because there are no duplicate sources available for the information </w:t>
      </w:r>
      <w:r>
        <w:t>needed</w:t>
      </w:r>
      <w:r w:rsidRPr="003E0D7F">
        <w:t xml:space="preserve">. </w:t>
      </w:r>
    </w:p>
    <w:p w:rsidR="002A3AEF" w:rsidP="002A3AEF" w:rsidRDefault="002A3AEF" w14:paraId="0749CB95" w14:textId="77777777">
      <w:pPr>
        <w:autoSpaceDE w:val="0"/>
        <w:autoSpaceDN w:val="0"/>
        <w:adjustRightInd w:val="0"/>
        <w:spacing w:line="360" w:lineRule="auto"/>
      </w:pPr>
    </w:p>
    <w:p w:rsidRPr="00C4161B" w:rsidR="00685B30" w:rsidP="00685B30" w:rsidRDefault="00685B30" w14:paraId="2E534297"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9"/>
      <w:bookmarkEnd w:id="10"/>
      <w:bookmarkEnd w:id="11"/>
      <w:bookmarkEnd w:id="12"/>
    </w:p>
    <w:p w:rsidR="002A3AEF" w:rsidP="002A3AEF" w:rsidRDefault="002A3AEF" w14:paraId="1765EF56" w14:textId="6D6D13A6">
      <w:pPr>
        <w:spacing w:after="0" w:line="360" w:lineRule="auto"/>
        <w:outlineLvl w:val="0"/>
        <w:rPr>
          <w:rFonts w:ascii="Times New Roman" w:hAnsi="Times New Roman" w:eastAsia="Times" w:cs="Times New Roman"/>
          <w:sz w:val="24"/>
          <w:szCs w:val="24"/>
          <w:lang w:eastAsia="x-none"/>
        </w:rPr>
      </w:pPr>
      <w:bookmarkStart w:name="_Toc443881747" w:id="13"/>
      <w:bookmarkStart w:name="_Toc451592236" w:id="14"/>
      <w:bookmarkStart w:name="_Toc5610277" w:id="15"/>
      <w:bookmarkStart w:name="_Toc99178783" w:id="16"/>
      <w:r w:rsidRPr="002A3AEF">
        <w:rPr>
          <w:rFonts w:ascii="Times New Roman" w:hAnsi="Times New Roman" w:eastAsia="Times" w:cs="Times New Roman"/>
          <w:sz w:val="24"/>
          <w:szCs w:val="24"/>
          <w:lang w:eastAsia="x-none"/>
        </w:rPr>
        <w:t>No small business or other small entities will be affected by this program.  Some applicants for the program may be affiliated with small, nonprofit organizations or may be independent clinicians.  Every effort has been made to streamline processes and instructions and to simplify the application and reporting processes. The Institute’s internal clearance process ensures that no undue burden is placed on any applicant for these kinds of research training programs.</w:t>
      </w:r>
    </w:p>
    <w:p w:rsidRPr="002A3AEF" w:rsidR="002A3AEF" w:rsidP="002A3AEF" w:rsidRDefault="002A3AEF" w14:paraId="0C97B8D3" w14:textId="77777777">
      <w:pPr>
        <w:spacing w:after="0" w:line="360" w:lineRule="auto"/>
        <w:outlineLvl w:val="0"/>
        <w:rPr>
          <w:rFonts w:ascii="Times New Roman" w:hAnsi="Times New Roman" w:eastAsia="Times" w:cs="Times New Roman"/>
          <w:sz w:val="24"/>
          <w:szCs w:val="24"/>
          <w:lang w:eastAsia="x-none"/>
        </w:rPr>
      </w:pPr>
    </w:p>
    <w:p w:rsidRPr="00C4161B" w:rsidR="00685B30" w:rsidP="00685B30" w:rsidRDefault="00685B30" w14:paraId="4DCCFE87" w14:textId="77777777">
      <w:pPr>
        <w:pStyle w:val="Heading2"/>
        <w:spacing w:line="480" w:lineRule="auto"/>
        <w:ind w:left="720" w:hanging="720"/>
        <w:rPr>
          <w:rFonts w:asciiTheme="minorHAnsi" w:hAnsiTheme="minorHAnsi"/>
          <w:b/>
          <w:color w:val="auto"/>
          <w:sz w:val="22"/>
          <w:szCs w:val="22"/>
        </w:rPr>
      </w:pPr>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3"/>
      <w:bookmarkEnd w:id="14"/>
      <w:bookmarkEnd w:id="15"/>
      <w:bookmarkEnd w:id="16"/>
    </w:p>
    <w:p w:rsidRPr="003E0D7F" w:rsidR="002A3AEF" w:rsidP="002A3AEF" w:rsidRDefault="002A3AEF" w14:paraId="03CC4894" w14:textId="77777777">
      <w:pPr>
        <w:keepNext/>
        <w:autoSpaceDE w:val="0"/>
        <w:autoSpaceDN w:val="0"/>
        <w:adjustRightInd w:val="0"/>
        <w:spacing w:line="360" w:lineRule="auto"/>
      </w:pPr>
      <w:bookmarkStart w:name="_Toc443881748" w:id="17"/>
      <w:bookmarkStart w:name="_Toc451592237" w:id="18"/>
      <w:bookmarkStart w:name="_Toc5610278" w:id="19"/>
      <w:bookmarkStart w:name="_Toc99178784" w:id="20"/>
      <w:r w:rsidRPr="00036AAB">
        <w:t>Th</w:t>
      </w:r>
      <w:r>
        <w:t>is</w:t>
      </w:r>
      <w:r w:rsidRPr="00036AAB">
        <w:t xml:space="preserve"> program</w:t>
      </w:r>
      <w:r>
        <w:t xml:space="preserve"> will be</w:t>
      </w:r>
      <w:r w:rsidRPr="00036AAB">
        <w:t xml:space="preserve"> implemented annually</w:t>
      </w:r>
      <w:r>
        <w:t xml:space="preserve"> in the sense that each year a new set of participants is selected and funded.  The information is collected only once for an award.  It cannot be collected less frequently.  </w:t>
      </w:r>
    </w:p>
    <w:p w:rsidR="002A3AEF" w:rsidP="00685B30" w:rsidRDefault="002A3AEF" w14:paraId="1D002C6E" w14:textId="77777777">
      <w:pPr>
        <w:pStyle w:val="Heading2"/>
        <w:spacing w:line="480" w:lineRule="auto"/>
        <w:rPr>
          <w:rFonts w:asciiTheme="minorHAnsi" w:hAnsiTheme="minorHAnsi"/>
          <w:b/>
          <w:color w:val="auto"/>
          <w:sz w:val="22"/>
          <w:szCs w:val="22"/>
        </w:rPr>
      </w:pPr>
    </w:p>
    <w:p w:rsidRPr="00C4161B" w:rsidR="00685B30" w:rsidP="00685B30" w:rsidRDefault="00E67B10" w14:paraId="50FA46DF" w14:textId="3CDA47C5">
      <w:pPr>
        <w:pStyle w:val="Heading2"/>
        <w:spacing w:line="480" w:lineRule="auto"/>
        <w:rPr>
          <w:rFonts w:asciiTheme="minorHAnsi" w:hAnsiTheme="minorHAnsi"/>
          <w:b/>
          <w:color w:val="auto"/>
          <w:sz w:val="22"/>
          <w:szCs w:val="22"/>
        </w:rPr>
      </w:pPr>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sidR="00685B30">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C4161B">
          <w:rPr>
            <w:rFonts w:asciiTheme="minorHAnsi" w:hAnsiTheme="minorHAnsi"/>
            <w:b/>
            <w:color w:val="auto"/>
            <w:sz w:val="22"/>
            <w:szCs w:val="22"/>
          </w:rPr>
          <w:t>CFR</w:t>
        </w:r>
      </w:smartTag>
      <w:r w:rsidRPr="00C4161B" w:rsidR="00685B30">
        <w:rPr>
          <w:rFonts w:asciiTheme="minorHAnsi" w:hAnsiTheme="minorHAnsi"/>
          <w:b/>
          <w:color w:val="auto"/>
          <w:sz w:val="22"/>
          <w:szCs w:val="22"/>
        </w:rPr>
        <w:t xml:space="preserve"> 1320.5</w:t>
      </w:r>
      <w:bookmarkEnd w:id="17"/>
      <w:bookmarkEnd w:id="18"/>
      <w:bookmarkEnd w:id="19"/>
      <w:bookmarkEnd w:id="20"/>
    </w:p>
    <w:p w:rsidRPr="003E0D7F" w:rsidR="002A3AEF" w:rsidP="002A3AEF" w:rsidRDefault="002A3AEF" w14:paraId="527D7C91" w14:textId="77777777">
      <w:pPr>
        <w:keepNext/>
        <w:autoSpaceDE w:val="0"/>
        <w:autoSpaceDN w:val="0"/>
        <w:adjustRightInd w:val="0"/>
        <w:spacing w:line="360" w:lineRule="auto"/>
      </w:pPr>
      <w:r w:rsidRPr="003E0D7F">
        <w:t xml:space="preserve">This information collection is consistent with these guidelines.  </w:t>
      </w:r>
      <w:proofErr w:type="gramStart"/>
      <w:r w:rsidRPr="003E0D7F">
        <w:t>Submitting an application</w:t>
      </w:r>
      <w:proofErr w:type="gramEnd"/>
      <w:r w:rsidRPr="003E0D7F">
        <w:t xml:space="preserve"> to </w:t>
      </w:r>
      <w:r>
        <w:t>this program</w:t>
      </w:r>
      <w:r w:rsidRPr="003E0D7F">
        <w:t xml:space="preserve"> is voluntary. </w:t>
      </w:r>
    </w:p>
    <w:p w:rsidRPr="00E35DD1" w:rsidR="00685B30" w:rsidP="00E35DD1" w:rsidRDefault="00685B30" w14:paraId="635EB124" w14:textId="77777777">
      <w:pPr>
        <w:pStyle w:val="P1-StandPara"/>
        <w:spacing w:line="240" w:lineRule="auto"/>
        <w:ind w:firstLine="0"/>
        <w:rPr>
          <w:rFonts w:asciiTheme="minorHAnsi" w:hAnsiTheme="minorHAnsi"/>
          <w:szCs w:val="22"/>
        </w:rPr>
      </w:pPr>
    </w:p>
    <w:p w:rsidRPr="00C4161B" w:rsidR="0036208F" w:rsidP="00E35DD1" w:rsidRDefault="00685B30" w14:paraId="42BE9D3A" w14:textId="77777777">
      <w:pPr>
        <w:pStyle w:val="Heading2"/>
        <w:ind w:left="720" w:hanging="720"/>
        <w:rPr>
          <w:rFonts w:asciiTheme="minorHAnsi" w:hAnsiTheme="minorHAnsi"/>
          <w:b/>
          <w:color w:val="auto"/>
          <w:sz w:val="22"/>
          <w:szCs w:val="22"/>
        </w:rPr>
      </w:pPr>
      <w:bookmarkStart w:name="_Toc443881749" w:id="21"/>
      <w:bookmarkStart w:name="_Toc451592238" w:id="22"/>
      <w:bookmarkStart w:name="_Toc5610279" w:id="23"/>
      <w:bookmarkStart w:name="_Toc99178785" w:id="24"/>
      <w:r w:rsidRPr="00C4161B">
        <w:rPr>
          <w:rFonts w:asciiTheme="minorHAnsi" w:hAnsiTheme="minorHAnsi"/>
          <w:b/>
          <w:color w:val="auto"/>
          <w:sz w:val="22"/>
          <w:szCs w:val="22"/>
        </w:rPr>
        <w:lastRenderedPageBreak/>
        <w:t>A.8</w:t>
      </w:r>
      <w:r w:rsidRPr="00C4161B" w:rsidR="0036208F">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p w:rsidRPr="0036208F" w:rsidR="0036208F" w:rsidP="00E35DD1" w:rsidRDefault="0036208F" w14:paraId="25A28A2C" w14:textId="77777777">
      <w:pPr>
        <w:pStyle w:val="Heading2"/>
        <w:ind w:left="720" w:hanging="720"/>
        <w:rPr>
          <w:rFonts w:asciiTheme="minorHAnsi" w:hAnsiTheme="minorHAnsi"/>
          <w:szCs w:val="22"/>
        </w:rPr>
      </w:pPr>
    </w:p>
    <w:bookmarkEnd w:id="21"/>
    <w:bookmarkEnd w:id="22"/>
    <w:bookmarkEnd w:id="23"/>
    <w:bookmarkEnd w:id="24"/>
    <w:p w:rsidRPr="003E0D7F" w:rsidR="002A3AEF" w:rsidP="002A3AEF" w:rsidRDefault="002A3AEF" w14:paraId="12032967" w14:textId="7B30C273">
      <w:pPr>
        <w:autoSpaceDE w:val="0"/>
        <w:autoSpaceDN w:val="0"/>
        <w:adjustRightInd w:val="0"/>
        <w:spacing w:line="360" w:lineRule="auto"/>
      </w:pPr>
      <w:r w:rsidRPr="003E0D7F">
        <w:t xml:space="preserve">Notification of information collection for the Training Programs was </w:t>
      </w:r>
      <w:r w:rsidRPr="00974B8F">
        <w:t>published on</w:t>
      </w:r>
      <w:r w:rsidRPr="00974B8F" w:rsidR="00974B8F">
        <w:t xml:space="preserve"> February </w:t>
      </w:r>
      <w:r w:rsidRPr="00974B8F">
        <w:t>14, 20</w:t>
      </w:r>
      <w:r w:rsidRPr="00974B8F" w:rsidR="00974B8F">
        <w:t>22</w:t>
      </w:r>
      <w:r w:rsidRPr="00974B8F">
        <w:t xml:space="preserve">, in the Federal Register Notice, </w:t>
      </w:r>
      <w:r w:rsidR="007209A9">
        <w:t>87</w:t>
      </w:r>
      <w:r w:rsidR="00DE14B4">
        <w:t>, pgs., 8267-8268</w:t>
      </w:r>
      <w:r w:rsidRPr="00974B8F">
        <w:t xml:space="preserve">, </w:t>
      </w:r>
      <w:r w:rsidR="00DE14B4">
        <w:t>(</w:t>
      </w:r>
      <w:r w:rsidRPr="00974B8F">
        <w:t>8</w:t>
      </w:r>
      <w:r w:rsidRPr="00974B8F" w:rsidR="00974B8F">
        <w:t>7</w:t>
      </w:r>
      <w:r w:rsidRPr="00974B8F">
        <w:t xml:space="preserve"> FR</w:t>
      </w:r>
      <w:r w:rsidR="00DE14B4">
        <w:t xml:space="preserve"> </w:t>
      </w:r>
      <w:r w:rsidRPr="00974B8F" w:rsidR="00974B8F">
        <w:t>8267</w:t>
      </w:r>
      <w:r w:rsidRPr="00974B8F">
        <w:t>). During the</w:t>
      </w:r>
      <w:r w:rsidRPr="003E0D7F">
        <w:t xml:space="preserve"> 60-day notice</w:t>
      </w:r>
      <w:r>
        <w:t xml:space="preserve"> period</w:t>
      </w:r>
      <w:r w:rsidRPr="003E0D7F">
        <w:t>, no comments were received.</w:t>
      </w:r>
    </w:p>
    <w:p w:rsidRPr="00DB04C3" w:rsidR="0036208F" w:rsidP="00DB04C3" w:rsidRDefault="0036208F" w14:paraId="51C2EE07" w14:textId="77777777">
      <w:pPr>
        <w:pStyle w:val="P1-StandPara"/>
        <w:ind w:firstLine="0"/>
        <w:rPr>
          <w:rFonts w:asciiTheme="minorHAnsi" w:hAnsiTheme="minorHAnsi"/>
          <w:b/>
          <w:szCs w:val="22"/>
        </w:rPr>
      </w:pPr>
      <w:r w:rsidRPr="00DB04C3">
        <w:rPr>
          <w:rFonts w:asciiTheme="minorHAnsi" w:hAnsiTheme="minorHAnsi"/>
          <w:b/>
          <w:szCs w:val="22"/>
        </w:rPr>
        <w:t>A.8.2</w:t>
      </w:r>
      <w:r w:rsidRPr="00DB04C3">
        <w:rPr>
          <w:rFonts w:asciiTheme="minorHAnsi" w:hAnsiTheme="minorHAnsi"/>
          <w:b/>
          <w:szCs w:val="22"/>
        </w:rPr>
        <w:tab/>
        <w:t>Efforts to Consult Outside Agency</w:t>
      </w:r>
    </w:p>
    <w:p w:rsidRPr="0000122A" w:rsidR="00DB04C3" w:rsidP="00DB04C3" w:rsidRDefault="00DB04C3" w14:paraId="6221F9FA" w14:textId="264759A3">
      <w:pPr>
        <w:pStyle w:val="P1-StandPara"/>
        <w:ind w:firstLine="0"/>
      </w:pPr>
      <w:r w:rsidRPr="00C563BF">
        <w:rPr>
          <w:rFonts w:asciiTheme="minorHAnsi" w:hAnsiTheme="minorHAnsi"/>
          <w:bCs/>
          <w:szCs w:val="22"/>
        </w:rPr>
        <w:t>Dr</w:t>
      </w:r>
      <w:r w:rsidRPr="00C563BF">
        <w:rPr>
          <w:bCs/>
        </w:rPr>
        <w:t>. Steve</w:t>
      </w:r>
      <w:r w:rsidRPr="00C563BF">
        <w:t xml:space="preserve"> Gust developed the application form for this program, with support from Stuart Berlin of the NIDA Information Resource Management Branch.</w:t>
      </w:r>
      <w:r w:rsidRPr="0000122A">
        <w:t xml:space="preserve">  </w:t>
      </w:r>
    </w:p>
    <w:p w:rsidRPr="002A3AEF" w:rsidR="0036208F" w:rsidP="00685B30" w:rsidRDefault="0036208F" w14:paraId="3E326CCB" w14:textId="77777777">
      <w:pPr>
        <w:rPr>
          <w:highlight w:val="yellow"/>
        </w:rPr>
      </w:pPr>
    </w:p>
    <w:p w:rsidRPr="00E35DD1" w:rsidR="00685B30" w:rsidP="00685B30" w:rsidRDefault="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2A3AEF" w:rsidP="002A3AEF" w:rsidRDefault="002A3AEF" w14:paraId="02FC095E" w14:textId="2370E28E">
      <w:pPr>
        <w:autoSpaceDE w:val="0"/>
        <w:autoSpaceDN w:val="0"/>
        <w:adjustRightInd w:val="0"/>
        <w:spacing w:line="360" w:lineRule="auto"/>
        <w:outlineLvl w:val="0"/>
      </w:pPr>
      <w:r w:rsidRPr="003E0D7F">
        <w:t>No payments or gifts are provided to respondents for completing an application form.</w:t>
      </w:r>
    </w:p>
    <w:p w:rsidRPr="003E0D7F" w:rsidR="00DB04C3" w:rsidP="002A3AEF" w:rsidRDefault="00DB04C3" w14:paraId="3CB02E2A" w14:textId="77777777">
      <w:pPr>
        <w:autoSpaceDE w:val="0"/>
        <w:autoSpaceDN w:val="0"/>
        <w:adjustRightInd w:val="0"/>
        <w:spacing w:line="360" w:lineRule="auto"/>
        <w:outlineLvl w:val="0"/>
      </w:pPr>
    </w:p>
    <w:p w:rsidRPr="00E35DD1" w:rsidR="00685B30" w:rsidP="00685B30" w:rsidRDefault="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2A3AEF" w:rsidP="002A3AEF" w:rsidRDefault="002A3AEF" w14:paraId="786485E3" w14:textId="4C9DE5EF">
      <w:pPr>
        <w:autoSpaceDE w:val="0"/>
        <w:autoSpaceDN w:val="0"/>
        <w:adjustRightInd w:val="0"/>
        <w:spacing w:line="360" w:lineRule="auto"/>
      </w:pPr>
      <w:r w:rsidRPr="003E0D7F">
        <w:t>The information collected is available to NIH staff via a</w:t>
      </w:r>
      <w:r>
        <w:t xml:space="preserve">n </w:t>
      </w:r>
      <w:r w:rsidRPr="00217A24">
        <w:t xml:space="preserve">internal </w:t>
      </w:r>
      <w:r w:rsidRPr="00AC6319">
        <w:t>Share</w:t>
      </w:r>
      <w:r w:rsidRPr="001254A8">
        <w:t>P</w:t>
      </w:r>
      <w:r w:rsidRPr="004B47C3">
        <w:t>oint</w:t>
      </w:r>
      <w:r w:rsidRPr="00217A24">
        <w:t xml:space="preserve"> site.  The</w:t>
      </w:r>
      <w:r w:rsidRPr="00AC6319">
        <w:t xml:space="preserve"> </w:t>
      </w:r>
      <w:r w:rsidRPr="001254A8">
        <w:t>staff</w:t>
      </w:r>
      <w:r w:rsidRPr="003E0D7F">
        <w:t xml:space="preserve"> include</w:t>
      </w:r>
      <w:r>
        <w:t>s</w:t>
      </w:r>
      <w:r w:rsidRPr="003E0D7F">
        <w:t xml:space="preserve"> science and program officials who recommend or approve awards, administrative staff, human resources staff, financial officials who prepare the necessary documentation to arrange for stipend payments and to activate, renew, </w:t>
      </w:r>
      <w:r>
        <w:t>or</w:t>
      </w:r>
      <w:r w:rsidRPr="003E0D7F">
        <w:t xml:space="preserve"> terminate approved awards</w:t>
      </w:r>
      <w:r>
        <w:t xml:space="preserve">. Access to the applications </w:t>
      </w:r>
      <w:r w:rsidRPr="003E0D7F">
        <w:t>will be via protected login credentials. Privacy is assured to the extent provided by law</w:t>
      </w:r>
      <w:r w:rsidRPr="00A706F8">
        <w:t xml:space="preserve">. </w:t>
      </w:r>
      <w:r w:rsidRPr="008844DA">
        <w:t>Applicants will be able to access the application site via a link and will enter their information after establishing login credentials that include "strong" passwords that conform to standards used by the NIH Center for Information Technology. Applicants will have access to only their own applications once they have been uploaded to the site. Letters of recommendation that may be submitted to NIDA will be stored in the protected NIH/NIDA protected servers with restricted access.</w:t>
      </w:r>
    </w:p>
    <w:p w:rsidRPr="008844DA" w:rsidR="00EC63EE" w:rsidP="00EC63EE" w:rsidRDefault="00EC63EE" w14:paraId="0E3C818E" w14:textId="77777777">
      <w:pPr>
        <w:autoSpaceDE w:val="0"/>
        <w:autoSpaceDN w:val="0"/>
        <w:adjustRightInd w:val="0"/>
        <w:spacing w:line="360" w:lineRule="auto"/>
      </w:pPr>
      <w:r w:rsidRPr="003E0D7F">
        <w:t>The information is collected and maintained in accordance with the DHHS Automated Information Systems Security Program Handboo</w:t>
      </w:r>
      <w:r w:rsidRPr="00FA5992">
        <w:t xml:space="preserve">k.  </w:t>
      </w:r>
      <w:r w:rsidRPr="008844DA">
        <w:t xml:space="preserve">For all applications the software used is on an internal shared NIH server residing inside the NIH firewall. </w:t>
      </w:r>
      <w:r>
        <w:t xml:space="preserve">The NIH Privacy Act Office has determined that the Privacy Act will apply to this information collection. (See Attachment 4). </w:t>
      </w:r>
    </w:p>
    <w:p w:rsidRPr="003E0D7F" w:rsidR="00EC63EE" w:rsidP="002A3AEF" w:rsidRDefault="00EC63EE" w14:paraId="608AD60B" w14:textId="77777777">
      <w:pPr>
        <w:autoSpaceDE w:val="0"/>
        <w:autoSpaceDN w:val="0"/>
        <w:adjustRightInd w:val="0"/>
        <w:spacing w:line="360" w:lineRule="auto"/>
      </w:pPr>
    </w:p>
    <w:p w:rsidRPr="00E35DD1" w:rsidR="00E35DD1" w:rsidP="00E35DD1" w:rsidRDefault="00E35DD1" w14:paraId="63CCC42F" w14:textId="77777777">
      <w:pPr>
        <w:pStyle w:val="P1-StandPara"/>
        <w:spacing w:line="240" w:lineRule="auto"/>
        <w:ind w:firstLine="0"/>
        <w:rPr>
          <w:rFonts w:asciiTheme="minorHAnsi" w:hAnsiTheme="minorHAnsi"/>
          <w:szCs w:val="22"/>
        </w:rPr>
      </w:pPr>
    </w:p>
    <w:p w:rsidRPr="00E35DD1" w:rsidR="00685B30" w:rsidP="00685B30" w:rsidRDefault="00685B30" w14:paraId="418F3B61" w14:textId="77777777">
      <w:pPr>
        <w:pStyle w:val="P1-StandPara"/>
        <w:ind w:firstLine="0"/>
        <w:rPr>
          <w:rFonts w:asciiTheme="minorHAnsi" w:hAnsiTheme="minorHAnsi"/>
          <w:b/>
          <w:szCs w:val="22"/>
        </w:rPr>
      </w:pPr>
      <w:r w:rsidRPr="00E35DD1">
        <w:rPr>
          <w:rFonts w:asciiTheme="minorHAnsi" w:hAnsiTheme="minorHAnsi"/>
          <w:b/>
          <w:szCs w:val="22"/>
        </w:rPr>
        <w:lastRenderedPageBreak/>
        <w:t>A.11</w:t>
      </w:r>
      <w:r w:rsidRPr="00E35DD1">
        <w:rPr>
          <w:rFonts w:asciiTheme="minorHAnsi" w:hAnsiTheme="minorHAnsi"/>
          <w:b/>
          <w:szCs w:val="22"/>
        </w:rPr>
        <w:tab/>
        <w:t>Justification for Sensitive Questions</w:t>
      </w:r>
    </w:p>
    <w:p w:rsidRPr="003E0D7F" w:rsidR="002A3AEF" w:rsidP="002A3AEF" w:rsidRDefault="002A3AEF" w14:paraId="1A8C088B" w14:textId="77777777">
      <w:pPr>
        <w:autoSpaceDE w:val="0"/>
        <w:autoSpaceDN w:val="0"/>
        <w:adjustRightInd w:val="0"/>
        <w:spacing w:line="360" w:lineRule="auto"/>
        <w:outlineLvl w:val="0"/>
      </w:pPr>
      <w:r w:rsidRPr="003E0D7F">
        <w:rPr>
          <w:bCs/>
        </w:rPr>
        <w:t>No sensitive information on sexual orientation, risk behaviors, religious beliefs, or other personal matters is asked</w:t>
      </w:r>
      <w:r w:rsidRPr="003E0D7F">
        <w:rPr>
          <w:b/>
          <w:bCs/>
        </w:rPr>
        <w:t>.</w:t>
      </w:r>
    </w:p>
    <w:p w:rsidRPr="00E35DD1" w:rsidR="00685B30" w:rsidP="00685B30" w:rsidRDefault="00685B30" w14:paraId="43B0244E" w14:textId="77777777">
      <w:pPr>
        <w:pStyle w:val="P1-StandPara"/>
        <w:spacing w:line="240" w:lineRule="auto"/>
        <w:ind w:firstLine="0"/>
        <w:rPr>
          <w:rFonts w:asciiTheme="minorHAnsi" w:hAnsiTheme="minorHAnsi"/>
          <w:szCs w:val="22"/>
        </w:rPr>
      </w:pPr>
    </w:p>
    <w:p w:rsidRPr="00E35DD1" w:rsidR="00685B30" w:rsidP="00685B30" w:rsidRDefault="00685B30" w14:paraId="576DA571" w14:textId="77777777">
      <w:pPr>
        <w:pStyle w:val="P1-StandPara"/>
        <w:spacing w:line="240" w:lineRule="auto"/>
        <w:ind w:firstLine="0"/>
        <w:rPr>
          <w:rFonts w:asciiTheme="minorHAnsi" w:hAnsiTheme="minorHAnsi"/>
          <w:szCs w:val="22"/>
        </w:rPr>
      </w:pPr>
    </w:p>
    <w:p w:rsidRPr="00E35DD1" w:rsidR="00685B30" w:rsidP="00685B30" w:rsidRDefault="00685B30" w14:paraId="2470C97A" w14:textId="77777777">
      <w:pPr>
        <w:rPr>
          <w:b/>
        </w:rPr>
      </w:pPr>
      <w:r w:rsidRPr="00E35DD1">
        <w:rPr>
          <w:b/>
        </w:rPr>
        <w:t>A.12</w:t>
      </w:r>
      <w:r w:rsidR="00BF491C">
        <w:rPr>
          <w:b/>
        </w:rPr>
        <w:t>.1</w:t>
      </w:r>
      <w:r w:rsidRPr="00E35DD1">
        <w:rPr>
          <w:b/>
        </w:rPr>
        <w:tab/>
        <w:t>Estimates of Hour Burden Including Annualized Hourly Costs</w:t>
      </w:r>
    </w:p>
    <w:p w:rsidR="002A3AEF" w:rsidP="002A3AEF" w:rsidRDefault="002A3AEF" w14:paraId="04246579" w14:textId="4422525B">
      <w:pPr>
        <w:tabs>
          <w:tab w:val="left" w:pos="5670"/>
        </w:tabs>
        <w:autoSpaceDE w:val="0"/>
        <w:autoSpaceDN w:val="0"/>
        <w:adjustRightInd w:val="0"/>
        <w:spacing w:line="360" w:lineRule="auto"/>
      </w:pPr>
      <w:r w:rsidRPr="003E0D7F">
        <w:t>The estimated time to complete the onl</w:t>
      </w:r>
      <w:r>
        <w:t xml:space="preserve">ine application </w:t>
      </w:r>
      <w:r w:rsidRPr="003E0D7F">
        <w:t>is 60 minutes,</w:t>
      </w:r>
      <w:r>
        <w:t xml:space="preserve"> based on its length and information items that are </w:t>
      </w:r>
      <w:proofErr w:type="gramStart"/>
      <w:r>
        <w:t>similar to</w:t>
      </w:r>
      <w:proofErr w:type="gramEnd"/>
      <w:r>
        <w:t xml:space="preserve"> the PHS-398 grant application form that has OMB clearance. The estimated time to complete the mentor agreement form is 20 minutes</w:t>
      </w:r>
      <w:r w:rsidRPr="001A20EA">
        <w:t xml:space="preserve">.  The expected number of applicants for this program </w:t>
      </w:r>
      <w:r w:rsidRPr="001254A8">
        <w:t>is 25, the expected number of mentors for this program is 25, the total expected number of respondents is 50.</w:t>
      </w:r>
      <w:r>
        <w:t xml:space="preserve"> The estimated burden for this time is reflected in Table 12</w:t>
      </w:r>
      <w:r w:rsidR="00EC63EE">
        <w:t>-1</w:t>
      </w:r>
      <w:r>
        <w:t>. below.</w:t>
      </w:r>
    </w:p>
    <w:p w:rsidRPr="003E0D7F" w:rsidR="002A3AEF" w:rsidP="002A3AEF" w:rsidRDefault="002A3AEF" w14:paraId="0355919A" w14:textId="77777777"/>
    <w:p w:rsidR="002A3AEF" w:rsidP="002A3AEF" w:rsidRDefault="002A3AEF" w14:paraId="04BF6EBB" w14:textId="06F7846E">
      <w:pPr>
        <w:keepNext/>
        <w:autoSpaceDE w:val="0"/>
        <w:autoSpaceDN w:val="0"/>
        <w:adjustRightInd w:val="0"/>
        <w:spacing w:line="360" w:lineRule="auto"/>
        <w:jc w:val="center"/>
        <w:rPr>
          <w:b/>
        </w:rPr>
      </w:pPr>
      <w:r w:rsidRPr="001A20EA">
        <w:rPr>
          <w:b/>
        </w:rPr>
        <w:t>Table 12</w:t>
      </w:r>
      <w:r>
        <w:rPr>
          <w:b/>
        </w:rPr>
        <w:t>-1</w:t>
      </w:r>
      <w:r w:rsidRPr="001A20EA">
        <w:rPr>
          <w:b/>
        </w:rPr>
        <w:t xml:space="preserve">. </w:t>
      </w:r>
      <w:r>
        <w:rPr>
          <w:b/>
        </w:rPr>
        <w:t>Estimated Annualized Burden Hours</w:t>
      </w:r>
    </w:p>
    <w:tbl>
      <w:tblPr>
        <w:tblW w:w="4954" w:type="pct"/>
        <w:tblInd w:w="2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017"/>
        <w:gridCol w:w="1561"/>
        <w:gridCol w:w="1650"/>
        <w:gridCol w:w="1467"/>
        <w:gridCol w:w="1467"/>
        <w:gridCol w:w="1377"/>
      </w:tblGrid>
      <w:tr w:rsidRPr="003E0D7F" w:rsidR="002A3AEF" w:rsidTr="00735485" w14:paraId="7C7AA3E6" w14:textId="77777777">
        <w:trPr>
          <w:cantSplit/>
          <w:trHeight w:val="1300"/>
        </w:trPr>
        <w:tc>
          <w:tcPr>
            <w:tcW w:w="1057" w:type="pct"/>
          </w:tcPr>
          <w:p w:rsidR="002A3AEF" w:rsidP="00735485" w:rsidRDefault="002A3AEF" w14:paraId="3F07AEBC" w14:textId="77777777">
            <w:pPr>
              <w:keepNext/>
              <w:rPr>
                <w:rFonts w:eastAsia="Times New Roman"/>
                <w:bCs/>
              </w:rPr>
            </w:pPr>
            <w:r w:rsidRPr="003D3081">
              <w:rPr>
                <w:rFonts w:eastAsia="Times New Roman"/>
                <w:bCs/>
              </w:rPr>
              <w:t>Form</w:t>
            </w:r>
            <w:r>
              <w:rPr>
                <w:rFonts w:eastAsia="Times New Roman"/>
                <w:bCs/>
              </w:rPr>
              <w:t xml:space="preserve"> Name</w:t>
            </w:r>
          </w:p>
          <w:p w:rsidRPr="003D3081" w:rsidR="002A3AEF" w:rsidP="00735485" w:rsidRDefault="002A3AEF" w14:paraId="24C741FB" w14:textId="77777777">
            <w:pPr>
              <w:keepNext/>
              <w:rPr>
                <w:rFonts w:eastAsia="Times New Roman"/>
                <w:bCs/>
              </w:rPr>
            </w:pPr>
          </w:p>
        </w:tc>
        <w:tc>
          <w:tcPr>
            <w:tcW w:w="818" w:type="pct"/>
            <w:shd w:val="clear" w:color="auto" w:fill="auto"/>
            <w:hideMark/>
          </w:tcPr>
          <w:p w:rsidRPr="003D3081" w:rsidR="002A3AEF" w:rsidP="00735485" w:rsidRDefault="002A3AEF" w14:paraId="0B3B124E" w14:textId="77777777">
            <w:pPr>
              <w:keepNext/>
              <w:rPr>
                <w:rFonts w:eastAsia="Times New Roman"/>
                <w:bCs/>
              </w:rPr>
            </w:pPr>
            <w:r w:rsidRPr="003D3081">
              <w:rPr>
                <w:rFonts w:eastAsia="Times New Roman"/>
                <w:bCs/>
              </w:rPr>
              <w:t xml:space="preserve">Type of </w:t>
            </w:r>
            <w:r>
              <w:rPr>
                <w:rFonts w:eastAsia="Times New Roman"/>
                <w:bCs/>
              </w:rPr>
              <w:t>R</w:t>
            </w:r>
            <w:r w:rsidRPr="003D3081">
              <w:rPr>
                <w:rFonts w:eastAsia="Times New Roman"/>
                <w:bCs/>
              </w:rPr>
              <w:t>espondent</w:t>
            </w:r>
          </w:p>
          <w:p w:rsidRPr="003D3081" w:rsidR="002A3AEF" w:rsidP="00735485" w:rsidRDefault="002A3AEF" w14:paraId="7439DED3" w14:textId="77777777">
            <w:pPr>
              <w:keepNext/>
              <w:rPr>
                <w:rFonts w:eastAsia="Times New Roman"/>
                <w:bCs/>
              </w:rPr>
            </w:pPr>
          </w:p>
          <w:p w:rsidRPr="003D3081" w:rsidR="002A3AEF" w:rsidP="00735485" w:rsidRDefault="002A3AEF" w14:paraId="6B263019" w14:textId="77777777">
            <w:pPr>
              <w:keepNext/>
              <w:rPr>
                <w:rFonts w:eastAsia="Times New Roman"/>
                <w:bCs/>
              </w:rPr>
            </w:pPr>
          </w:p>
        </w:tc>
        <w:tc>
          <w:tcPr>
            <w:tcW w:w="865" w:type="pct"/>
            <w:shd w:val="clear" w:color="auto" w:fill="auto"/>
            <w:hideMark/>
          </w:tcPr>
          <w:p w:rsidRPr="003D3081" w:rsidR="002A3AEF" w:rsidP="00735485" w:rsidRDefault="002A3AEF" w14:paraId="33101B34" w14:textId="77777777">
            <w:pPr>
              <w:keepNext/>
              <w:rPr>
                <w:rFonts w:eastAsia="Times New Roman"/>
                <w:bCs/>
              </w:rPr>
            </w:pPr>
            <w:r w:rsidRPr="003D3081">
              <w:rPr>
                <w:rFonts w:eastAsia="Times New Roman"/>
                <w:bCs/>
              </w:rPr>
              <w:t xml:space="preserve">Number of </w:t>
            </w:r>
            <w:r>
              <w:rPr>
                <w:rFonts w:eastAsia="Times New Roman"/>
                <w:bCs/>
              </w:rPr>
              <w:t>R</w:t>
            </w:r>
            <w:r w:rsidRPr="003D3081">
              <w:rPr>
                <w:rFonts w:eastAsia="Times New Roman"/>
                <w:bCs/>
              </w:rPr>
              <w:t>espondents</w:t>
            </w:r>
          </w:p>
          <w:p w:rsidRPr="003D3081" w:rsidR="002A3AEF" w:rsidP="00735485" w:rsidRDefault="002A3AEF" w14:paraId="0BF077EE" w14:textId="77777777">
            <w:pPr>
              <w:keepNext/>
              <w:rPr>
                <w:rFonts w:eastAsia="Times New Roman"/>
                <w:bCs/>
              </w:rPr>
            </w:pPr>
          </w:p>
          <w:p w:rsidRPr="003D3081" w:rsidR="002A3AEF" w:rsidP="00735485" w:rsidRDefault="002A3AEF" w14:paraId="2335975E" w14:textId="77777777">
            <w:pPr>
              <w:keepNext/>
              <w:rPr>
                <w:rFonts w:eastAsia="Times New Roman"/>
                <w:bCs/>
              </w:rPr>
            </w:pPr>
          </w:p>
        </w:tc>
        <w:tc>
          <w:tcPr>
            <w:tcW w:w="769" w:type="pct"/>
            <w:shd w:val="clear" w:color="auto" w:fill="auto"/>
            <w:hideMark/>
          </w:tcPr>
          <w:p w:rsidRPr="003D3081" w:rsidR="002A3AEF" w:rsidP="00735485" w:rsidRDefault="002A3AEF" w14:paraId="59FCA393" w14:textId="77777777">
            <w:pPr>
              <w:keepNext/>
              <w:rPr>
                <w:rFonts w:eastAsia="Times New Roman"/>
                <w:bCs/>
              </w:rPr>
            </w:pPr>
            <w:r w:rsidRPr="003D3081">
              <w:rPr>
                <w:rFonts w:eastAsia="Times New Roman"/>
                <w:bCs/>
              </w:rPr>
              <w:t xml:space="preserve">Number of </w:t>
            </w:r>
            <w:r>
              <w:rPr>
                <w:rFonts w:eastAsia="Times New Roman"/>
                <w:bCs/>
              </w:rPr>
              <w:t>Responses per Respondent</w:t>
            </w:r>
          </w:p>
          <w:p w:rsidRPr="003D3081" w:rsidR="002A3AEF" w:rsidP="00735485" w:rsidRDefault="002A3AEF" w14:paraId="4C1C219B" w14:textId="77777777">
            <w:pPr>
              <w:keepNext/>
              <w:rPr>
                <w:rFonts w:eastAsia="Times New Roman"/>
                <w:bCs/>
              </w:rPr>
            </w:pPr>
          </w:p>
        </w:tc>
        <w:tc>
          <w:tcPr>
            <w:tcW w:w="769" w:type="pct"/>
            <w:shd w:val="clear" w:color="auto" w:fill="auto"/>
            <w:hideMark/>
          </w:tcPr>
          <w:p w:rsidRPr="003D3081" w:rsidR="002A3AEF" w:rsidP="00735485" w:rsidRDefault="002A3AEF" w14:paraId="6E422407" w14:textId="77777777">
            <w:pPr>
              <w:keepNext/>
              <w:ind w:right="-114"/>
              <w:rPr>
                <w:rFonts w:eastAsia="Times New Roman"/>
                <w:bCs/>
              </w:rPr>
            </w:pPr>
            <w:r w:rsidRPr="003D3081">
              <w:rPr>
                <w:rFonts w:eastAsia="Times New Roman"/>
                <w:bCs/>
              </w:rPr>
              <w:t xml:space="preserve">Average </w:t>
            </w:r>
            <w:r>
              <w:rPr>
                <w:rFonts w:eastAsia="Times New Roman"/>
                <w:bCs/>
              </w:rPr>
              <w:t>B</w:t>
            </w:r>
            <w:r w:rsidRPr="003D3081">
              <w:rPr>
                <w:rFonts w:eastAsia="Times New Roman"/>
                <w:bCs/>
              </w:rPr>
              <w:t>urden per</w:t>
            </w:r>
            <w:r>
              <w:rPr>
                <w:rFonts w:eastAsia="Times New Roman"/>
                <w:bCs/>
              </w:rPr>
              <w:t xml:space="preserve"> R</w:t>
            </w:r>
            <w:r w:rsidRPr="003D3081">
              <w:rPr>
                <w:rFonts w:eastAsia="Times New Roman"/>
                <w:bCs/>
              </w:rPr>
              <w:t>esponse</w:t>
            </w:r>
          </w:p>
          <w:p w:rsidRPr="003D3081" w:rsidR="002A3AEF" w:rsidP="00735485" w:rsidRDefault="002A3AEF" w14:paraId="7A6D0FE2" w14:textId="77777777">
            <w:pPr>
              <w:keepNext/>
              <w:rPr>
                <w:rFonts w:eastAsia="Times New Roman"/>
                <w:bCs/>
              </w:rPr>
            </w:pPr>
            <w:r>
              <w:rPr>
                <w:rFonts w:eastAsia="Times New Roman"/>
                <w:bCs/>
              </w:rPr>
              <w:t>(in hours)</w:t>
            </w:r>
          </w:p>
          <w:p w:rsidRPr="003D3081" w:rsidR="002A3AEF" w:rsidP="00735485" w:rsidRDefault="002A3AEF" w14:paraId="45074E4F" w14:textId="77777777">
            <w:pPr>
              <w:keepNext/>
              <w:ind w:right="987"/>
              <w:rPr>
                <w:rFonts w:eastAsia="Times New Roman"/>
                <w:bCs/>
              </w:rPr>
            </w:pPr>
          </w:p>
        </w:tc>
        <w:tc>
          <w:tcPr>
            <w:tcW w:w="722" w:type="pct"/>
            <w:shd w:val="clear" w:color="auto" w:fill="auto"/>
            <w:hideMark/>
          </w:tcPr>
          <w:p w:rsidRPr="003D3081" w:rsidR="002A3AEF" w:rsidP="00735485" w:rsidRDefault="002A3AEF" w14:paraId="4453F441" w14:textId="77777777">
            <w:pPr>
              <w:keepNext/>
              <w:ind w:left="-27" w:right="154"/>
              <w:rPr>
                <w:rFonts w:eastAsia="Times New Roman"/>
                <w:bCs/>
              </w:rPr>
            </w:pPr>
            <w:r>
              <w:rPr>
                <w:rFonts w:eastAsia="Times New Roman"/>
                <w:bCs/>
              </w:rPr>
              <w:t>Total Annual Burden Hours</w:t>
            </w:r>
          </w:p>
          <w:p w:rsidRPr="003D3081" w:rsidR="002A3AEF" w:rsidP="00735485" w:rsidRDefault="002A3AEF" w14:paraId="63CE4D5C" w14:textId="77777777">
            <w:pPr>
              <w:keepNext/>
              <w:ind w:left="-27" w:right="154"/>
              <w:rPr>
                <w:rFonts w:eastAsia="Times New Roman"/>
                <w:bCs/>
              </w:rPr>
            </w:pPr>
          </w:p>
        </w:tc>
      </w:tr>
      <w:tr w:rsidRPr="003E0D7F" w:rsidR="002A3AEF" w:rsidTr="00735485" w14:paraId="057EBA05" w14:textId="77777777">
        <w:trPr>
          <w:cantSplit/>
          <w:trHeight w:val="610"/>
        </w:trPr>
        <w:tc>
          <w:tcPr>
            <w:tcW w:w="1057" w:type="pct"/>
          </w:tcPr>
          <w:p w:rsidRPr="003E0D7F" w:rsidR="002A3AEF" w:rsidP="00735485" w:rsidRDefault="002A3AEF" w14:paraId="07EEBAD3" w14:textId="77777777">
            <w:pPr>
              <w:ind w:left="180" w:hanging="90"/>
            </w:pPr>
            <w:bookmarkStart w:name="_Hlk394397164" w:id="25"/>
            <w:r>
              <w:t>A. Application</w:t>
            </w:r>
          </w:p>
          <w:p w:rsidRPr="003E0D7F" w:rsidR="002A3AEF" w:rsidP="00735485" w:rsidRDefault="002A3AEF" w14:paraId="6C81E553" w14:textId="77777777">
            <w:pPr>
              <w:ind w:left="180"/>
            </w:pPr>
          </w:p>
        </w:tc>
        <w:tc>
          <w:tcPr>
            <w:tcW w:w="818" w:type="pct"/>
            <w:shd w:val="clear" w:color="auto" w:fill="auto"/>
            <w:noWrap/>
          </w:tcPr>
          <w:p w:rsidRPr="003E0D7F" w:rsidR="002A3AEF" w:rsidP="00735485" w:rsidRDefault="002A3AEF" w14:paraId="4E479597" w14:textId="77777777">
            <w:pPr>
              <w:ind w:left="154"/>
              <w:rPr>
                <w:rFonts w:eastAsia="Times New Roman"/>
              </w:rPr>
            </w:pPr>
            <w:r>
              <w:t>Applicant   Scientists</w:t>
            </w:r>
          </w:p>
        </w:tc>
        <w:tc>
          <w:tcPr>
            <w:tcW w:w="865" w:type="pct"/>
            <w:shd w:val="clear" w:color="auto" w:fill="auto"/>
            <w:noWrap/>
          </w:tcPr>
          <w:p w:rsidRPr="00D25266" w:rsidR="002A3AEF" w:rsidP="00735485" w:rsidRDefault="002A3AEF" w14:paraId="2B42A630" w14:textId="77777777">
            <w:pPr>
              <w:jc w:val="center"/>
              <w:rPr>
                <w:rFonts w:eastAsia="Times New Roman"/>
              </w:rPr>
            </w:pPr>
            <w:r w:rsidRPr="001254A8">
              <w:rPr>
                <w:rFonts w:eastAsia="Times New Roman"/>
              </w:rPr>
              <w:t>25</w:t>
            </w:r>
          </w:p>
          <w:p w:rsidRPr="004B47C3" w:rsidR="002A3AEF" w:rsidP="00735485" w:rsidRDefault="002A3AEF" w14:paraId="36EE3B3B" w14:textId="77777777">
            <w:pPr>
              <w:jc w:val="center"/>
              <w:rPr>
                <w:rFonts w:eastAsia="Times New Roman"/>
              </w:rPr>
            </w:pPr>
          </w:p>
          <w:p w:rsidRPr="00D25266" w:rsidR="002A3AEF" w:rsidP="00735485" w:rsidRDefault="002A3AEF" w14:paraId="6C631E52" w14:textId="77777777">
            <w:pPr>
              <w:jc w:val="center"/>
              <w:rPr>
                <w:rFonts w:eastAsia="Times New Roman"/>
              </w:rPr>
            </w:pPr>
          </w:p>
        </w:tc>
        <w:tc>
          <w:tcPr>
            <w:tcW w:w="769" w:type="pct"/>
            <w:shd w:val="clear" w:color="auto" w:fill="auto"/>
          </w:tcPr>
          <w:p w:rsidRPr="00D25266" w:rsidR="002A3AEF" w:rsidP="00735485" w:rsidRDefault="002A3AEF" w14:paraId="318F3277" w14:textId="77777777">
            <w:pPr>
              <w:jc w:val="center"/>
              <w:rPr>
                <w:rFonts w:eastAsia="Times New Roman"/>
              </w:rPr>
            </w:pPr>
            <w:r w:rsidRPr="00D25266">
              <w:rPr>
                <w:rFonts w:eastAsia="Times New Roman"/>
              </w:rPr>
              <w:t>1</w:t>
            </w:r>
          </w:p>
          <w:p w:rsidRPr="00D25266" w:rsidR="002A3AEF" w:rsidP="00735485" w:rsidRDefault="002A3AEF" w14:paraId="5D8FD0AD" w14:textId="77777777">
            <w:pPr>
              <w:jc w:val="center"/>
              <w:rPr>
                <w:rFonts w:eastAsia="Times New Roman"/>
              </w:rPr>
            </w:pPr>
          </w:p>
        </w:tc>
        <w:tc>
          <w:tcPr>
            <w:tcW w:w="769" w:type="pct"/>
            <w:shd w:val="clear" w:color="auto" w:fill="auto"/>
          </w:tcPr>
          <w:p w:rsidRPr="00D25266" w:rsidR="002A3AEF" w:rsidP="00735485" w:rsidRDefault="002A3AEF" w14:paraId="714567B1" w14:textId="77777777">
            <w:pPr>
              <w:jc w:val="center"/>
              <w:rPr>
                <w:rFonts w:eastAsia="Times New Roman"/>
              </w:rPr>
            </w:pPr>
            <w:r w:rsidRPr="00D25266">
              <w:rPr>
                <w:rFonts w:eastAsia="Times New Roman"/>
              </w:rPr>
              <w:t>1</w:t>
            </w:r>
          </w:p>
          <w:p w:rsidRPr="00D25266" w:rsidR="002A3AEF" w:rsidP="00735485" w:rsidRDefault="002A3AEF" w14:paraId="0EA7F241" w14:textId="77777777">
            <w:pPr>
              <w:jc w:val="center"/>
              <w:rPr>
                <w:rFonts w:eastAsia="Times New Roman"/>
              </w:rPr>
            </w:pPr>
          </w:p>
          <w:p w:rsidRPr="00D25266" w:rsidR="002A3AEF" w:rsidP="00735485" w:rsidRDefault="002A3AEF" w14:paraId="5C057251" w14:textId="77777777">
            <w:pPr>
              <w:jc w:val="center"/>
              <w:rPr>
                <w:rFonts w:eastAsia="Times New Roman"/>
              </w:rPr>
            </w:pPr>
          </w:p>
        </w:tc>
        <w:tc>
          <w:tcPr>
            <w:tcW w:w="722" w:type="pct"/>
            <w:shd w:val="clear" w:color="auto" w:fill="auto"/>
          </w:tcPr>
          <w:p w:rsidRPr="00D25266" w:rsidR="002A3AEF" w:rsidP="00735485" w:rsidRDefault="002A3AEF" w14:paraId="57FF6AEF" w14:textId="77777777">
            <w:pPr>
              <w:jc w:val="center"/>
              <w:rPr>
                <w:rFonts w:eastAsia="Times New Roman"/>
              </w:rPr>
            </w:pPr>
            <w:r w:rsidRPr="001254A8">
              <w:rPr>
                <w:rFonts w:eastAsia="Times New Roman"/>
              </w:rPr>
              <w:t>25</w:t>
            </w:r>
          </w:p>
          <w:p w:rsidRPr="004B47C3" w:rsidR="002A3AEF" w:rsidP="00735485" w:rsidRDefault="002A3AEF" w14:paraId="7CB64709" w14:textId="77777777">
            <w:pPr>
              <w:jc w:val="center"/>
              <w:rPr>
                <w:rFonts w:eastAsia="Times New Roman"/>
              </w:rPr>
            </w:pPr>
          </w:p>
          <w:p w:rsidRPr="00D25266" w:rsidR="002A3AEF" w:rsidP="00735485" w:rsidRDefault="002A3AEF" w14:paraId="77D019E7" w14:textId="77777777">
            <w:pPr>
              <w:jc w:val="center"/>
              <w:rPr>
                <w:rFonts w:eastAsia="Times New Roman"/>
              </w:rPr>
            </w:pPr>
          </w:p>
        </w:tc>
      </w:tr>
      <w:tr w:rsidRPr="003E0D7F" w:rsidR="002A3AEF" w:rsidTr="00735485" w14:paraId="18A01558" w14:textId="77777777">
        <w:trPr>
          <w:cantSplit/>
          <w:trHeight w:val="862"/>
        </w:trPr>
        <w:tc>
          <w:tcPr>
            <w:tcW w:w="1057" w:type="pct"/>
          </w:tcPr>
          <w:p w:rsidR="002A3AEF" w:rsidP="00735485" w:rsidRDefault="002A3AEF" w14:paraId="69B2F21C" w14:textId="77777777">
            <w:pPr>
              <w:ind w:left="65"/>
            </w:pPr>
            <w:r>
              <w:t>B. Mentor Information and Agreement</w:t>
            </w:r>
          </w:p>
        </w:tc>
        <w:tc>
          <w:tcPr>
            <w:tcW w:w="818" w:type="pct"/>
            <w:shd w:val="clear" w:color="auto" w:fill="auto"/>
            <w:noWrap/>
          </w:tcPr>
          <w:p w:rsidR="002A3AEF" w:rsidP="00735485" w:rsidRDefault="002A3AEF" w14:paraId="10FF0107" w14:textId="77777777">
            <w:pPr>
              <w:ind w:left="154"/>
            </w:pPr>
            <w:r>
              <w:t>Scientists</w:t>
            </w:r>
          </w:p>
          <w:p w:rsidRPr="003E0D7F" w:rsidR="002A3AEF" w:rsidP="00735485" w:rsidRDefault="002A3AEF" w14:paraId="21D72FC1" w14:textId="77777777">
            <w:pPr>
              <w:ind w:left="270"/>
            </w:pPr>
          </w:p>
        </w:tc>
        <w:tc>
          <w:tcPr>
            <w:tcW w:w="865" w:type="pct"/>
            <w:shd w:val="clear" w:color="auto" w:fill="auto"/>
            <w:noWrap/>
          </w:tcPr>
          <w:p w:rsidRPr="00D25266" w:rsidR="002A3AEF" w:rsidP="00735485" w:rsidRDefault="002A3AEF" w14:paraId="574FBA28" w14:textId="77777777">
            <w:pPr>
              <w:jc w:val="center"/>
              <w:rPr>
                <w:rFonts w:eastAsia="Times New Roman"/>
              </w:rPr>
            </w:pPr>
            <w:r w:rsidRPr="001254A8">
              <w:rPr>
                <w:rFonts w:eastAsia="Times New Roman"/>
              </w:rPr>
              <w:t>25</w:t>
            </w:r>
          </w:p>
          <w:p w:rsidRPr="004B47C3" w:rsidR="002A3AEF" w:rsidP="00735485" w:rsidRDefault="002A3AEF" w14:paraId="28A56F78" w14:textId="77777777">
            <w:pPr>
              <w:jc w:val="center"/>
              <w:rPr>
                <w:rFonts w:eastAsia="Times New Roman"/>
              </w:rPr>
            </w:pPr>
          </w:p>
        </w:tc>
        <w:tc>
          <w:tcPr>
            <w:tcW w:w="769" w:type="pct"/>
            <w:shd w:val="clear" w:color="auto" w:fill="auto"/>
          </w:tcPr>
          <w:p w:rsidRPr="00D25266" w:rsidR="002A3AEF" w:rsidP="00735485" w:rsidRDefault="002A3AEF" w14:paraId="6DB20763" w14:textId="77777777">
            <w:pPr>
              <w:jc w:val="center"/>
              <w:rPr>
                <w:rFonts w:eastAsia="Times New Roman"/>
              </w:rPr>
            </w:pPr>
            <w:r w:rsidRPr="00D25266">
              <w:rPr>
                <w:rFonts w:eastAsia="Times New Roman"/>
              </w:rPr>
              <w:t>1</w:t>
            </w:r>
          </w:p>
          <w:p w:rsidRPr="00D25266" w:rsidR="002A3AEF" w:rsidP="00735485" w:rsidRDefault="002A3AEF" w14:paraId="61D25507" w14:textId="77777777">
            <w:pPr>
              <w:jc w:val="center"/>
              <w:rPr>
                <w:rFonts w:eastAsia="Times New Roman"/>
              </w:rPr>
            </w:pPr>
          </w:p>
        </w:tc>
        <w:tc>
          <w:tcPr>
            <w:tcW w:w="769" w:type="pct"/>
            <w:shd w:val="clear" w:color="auto" w:fill="auto"/>
          </w:tcPr>
          <w:p w:rsidRPr="00D25266" w:rsidR="002A3AEF" w:rsidP="00735485" w:rsidRDefault="002A3AEF" w14:paraId="5D14D551" w14:textId="77777777">
            <w:pPr>
              <w:jc w:val="center"/>
              <w:rPr>
                <w:rFonts w:eastAsia="Times New Roman"/>
              </w:rPr>
            </w:pPr>
            <w:r w:rsidRPr="00D25266">
              <w:rPr>
                <w:rFonts w:eastAsia="Times New Roman"/>
              </w:rPr>
              <w:t>20/60</w:t>
            </w:r>
          </w:p>
          <w:p w:rsidRPr="00D25266" w:rsidR="002A3AEF" w:rsidP="00735485" w:rsidRDefault="002A3AEF" w14:paraId="03487439" w14:textId="77777777">
            <w:pPr>
              <w:jc w:val="center"/>
              <w:rPr>
                <w:rFonts w:eastAsia="Times New Roman"/>
              </w:rPr>
            </w:pPr>
          </w:p>
        </w:tc>
        <w:tc>
          <w:tcPr>
            <w:tcW w:w="722" w:type="pct"/>
            <w:shd w:val="clear" w:color="auto" w:fill="auto"/>
          </w:tcPr>
          <w:p w:rsidRPr="00D25266" w:rsidR="002A3AEF" w:rsidP="00735485" w:rsidRDefault="002A3AEF" w14:paraId="0D9F627C" w14:textId="478437E4">
            <w:pPr>
              <w:jc w:val="center"/>
              <w:rPr>
                <w:rFonts w:eastAsia="Times New Roman"/>
              </w:rPr>
            </w:pPr>
            <w:r>
              <w:rPr>
                <w:rFonts w:eastAsia="Times New Roman"/>
              </w:rPr>
              <w:t>8</w:t>
            </w:r>
          </w:p>
          <w:p w:rsidRPr="004B47C3" w:rsidR="002A3AEF" w:rsidP="00735485" w:rsidRDefault="002A3AEF" w14:paraId="3691F63B" w14:textId="77777777">
            <w:pPr>
              <w:jc w:val="center"/>
              <w:rPr>
                <w:rFonts w:eastAsia="Times New Roman"/>
              </w:rPr>
            </w:pPr>
          </w:p>
        </w:tc>
      </w:tr>
      <w:tr w:rsidRPr="003E0D7F" w:rsidR="002A3AEF" w:rsidTr="00735485" w14:paraId="600A0F1F" w14:textId="77777777">
        <w:trPr>
          <w:cantSplit/>
          <w:trHeight w:val="260"/>
        </w:trPr>
        <w:tc>
          <w:tcPr>
            <w:tcW w:w="1057" w:type="pct"/>
          </w:tcPr>
          <w:p w:rsidRPr="003E0D7F" w:rsidR="002A3AEF" w:rsidP="00735485" w:rsidRDefault="002A3AEF" w14:paraId="505F97A0" w14:textId="77777777">
            <w:pPr>
              <w:ind w:left="180"/>
              <w:rPr>
                <w:rFonts w:eastAsia="Times New Roman"/>
                <w:b/>
                <w:bCs/>
              </w:rPr>
            </w:pPr>
          </w:p>
        </w:tc>
        <w:bookmarkEnd w:id="25"/>
        <w:tc>
          <w:tcPr>
            <w:tcW w:w="818" w:type="pct"/>
            <w:shd w:val="clear" w:color="auto" w:fill="auto"/>
            <w:noWrap/>
            <w:vAlign w:val="bottom"/>
            <w:hideMark/>
          </w:tcPr>
          <w:p w:rsidRPr="003E0D7F" w:rsidR="002A3AEF" w:rsidP="00735485" w:rsidRDefault="002A3AEF" w14:paraId="7E48B9FA" w14:textId="77777777">
            <w:pPr>
              <w:rPr>
                <w:rFonts w:eastAsia="Times New Roman"/>
                <w:b/>
                <w:bCs/>
              </w:rPr>
            </w:pPr>
            <w:r w:rsidRPr="003E0D7F">
              <w:rPr>
                <w:rFonts w:eastAsia="Times New Roman"/>
                <w:b/>
                <w:bCs/>
              </w:rPr>
              <w:t>Totals</w:t>
            </w:r>
          </w:p>
        </w:tc>
        <w:tc>
          <w:tcPr>
            <w:tcW w:w="865" w:type="pct"/>
            <w:shd w:val="clear" w:color="auto" w:fill="auto"/>
            <w:noWrap/>
            <w:vAlign w:val="bottom"/>
          </w:tcPr>
          <w:p w:rsidRPr="00D25266" w:rsidR="002A3AEF" w:rsidP="00735485" w:rsidRDefault="002A3AEF" w14:paraId="47139864" w14:textId="6796DE5F">
            <w:pPr>
              <w:jc w:val="center"/>
              <w:rPr>
                <w:rFonts w:eastAsia="Times New Roman"/>
                <w:b/>
                <w:bCs/>
              </w:rPr>
            </w:pPr>
          </w:p>
        </w:tc>
        <w:tc>
          <w:tcPr>
            <w:tcW w:w="769" w:type="pct"/>
            <w:tcBorders>
              <w:tl2br w:val="nil"/>
              <w:tr2bl w:val="nil"/>
            </w:tcBorders>
            <w:shd w:val="clear" w:color="auto" w:fill="auto"/>
            <w:noWrap/>
            <w:vAlign w:val="bottom"/>
          </w:tcPr>
          <w:p w:rsidRPr="00D25266" w:rsidR="002A3AEF" w:rsidP="00735485" w:rsidRDefault="002A3AEF" w14:paraId="55CA15CF" w14:textId="52DA5701">
            <w:pPr>
              <w:jc w:val="center"/>
              <w:rPr>
                <w:rFonts w:eastAsia="Times New Roman"/>
                <w:b/>
              </w:rPr>
            </w:pPr>
            <w:r>
              <w:rPr>
                <w:rFonts w:eastAsia="Times New Roman"/>
                <w:b/>
              </w:rPr>
              <w:t>50</w:t>
            </w:r>
          </w:p>
        </w:tc>
        <w:tc>
          <w:tcPr>
            <w:tcW w:w="769" w:type="pct"/>
            <w:tcBorders>
              <w:tl2br w:val="nil"/>
              <w:tr2bl w:val="nil"/>
            </w:tcBorders>
            <w:shd w:val="clear" w:color="auto" w:fill="auto"/>
            <w:noWrap/>
            <w:vAlign w:val="bottom"/>
          </w:tcPr>
          <w:p w:rsidRPr="004B47C3" w:rsidR="002A3AEF" w:rsidP="00735485" w:rsidRDefault="002A3AEF" w14:paraId="44B38C1A" w14:textId="77777777">
            <w:pPr>
              <w:jc w:val="center"/>
              <w:rPr>
                <w:rFonts w:eastAsia="Times New Roman"/>
                <w:b/>
                <w:bCs/>
              </w:rPr>
            </w:pPr>
          </w:p>
        </w:tc>
        <w:tc>
          <w:tcPr>
            <w:tcW w:w="722" w:type="pct"/>
            <w:shd w:val="clear" w:color="auto" w:fill="auto"/>
            <w:noWrap/>
            <w:vAlign w:val="bottom"/>
          </w:tcPr>
          <w:p w:rsidRPr="00D25266" w:rsidR="002A3AEF" w:rsidP="00735485" w:rsidRDefault="002A3AEF" w14:paraId="37129C7C" w14:textId="06965EA2">
            <w:pPr>
              <w:jc w:val="center"/>
              <w:rPr>
                <w:rFonts w:eastAsia="Times New Roman"/>
                <w:b/>
                <w:bCs/>
              </w:rPr>
            </w:pPr>
            <w:r w:rsidRPr="001254A8">
              <w:rPr>
                <w:rFonts w:eastAsia="Times New Roman"/>
                <w:b/>
                <w:bCs/>
              </w:rPr>
              <w:t>3</w:t>
            </w:r>
            <w:r>
              <w:rPr>
                <w:rFonts w:eastAsia="Times New Roman"/>
                <w:b/>
                <w:bCs/>
              </w:rPr>
              <w:t>3</w:t>
            </w:r>
          </w:p>
        </w:tc>
      </w:tr>
    </w:tbl>
    <w:p w:rsidR="00C24877" w:rsidP="00C24877" w:rsidRDefault="00C24877" w14:paraId="69E5DE25" w14:textId="60A03677">
      <w:pPr>
        <w:jc w:val="center"/>
      </w:pPr>
    </w:p>
    <w:p w:rsidRPr="002A3AEF" w:rsidR="00EE245F" w:rsidP="002A3AEF" w:rsidRDefault="005C4013" w14:paraId="4CC3EA16" w14:textId="20103D9B">
      <w:pPr>
        <w:tabs>
          <w:tab w:val="left" w:pos="2141"/>
        </w:tabs>
        <w:spacing w:after="0"/>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rsidRDefault="00EE245F" w14:paraId="12F83F36" w14:textId="77777777">
      <w:pPr>
        <w:spacing w:after="0" w:line="240" w:lineRule="auto"/>
        <w:rPr>
          <w:rFonts w:eastAsia="Times New Roman" w:cs="Times New Roman"/>
          <w:smallCaps/>
          <w:color w:val="000000" w:themeColor="text1"/>
        </w:rPr>
      </w:pPr>
    </w:p>
    <w:p w:rsidR="00EC63EE" w:rsidP="00EC63EE" w:rsidRDefault="00EC63EE" w14:paraId="34954BE5" w14:textId="5F0045D0">
      <w:pPr>
        <w:autoSpaceDE w:val="0"/>
        <w:autoSpaceDN w:val="0"/>
        <w:adjustRightInd w:val="0"/>
        <w:spacing w:line="360" w:lineRule="auto"/>
      </w:pPr>
      <w:r>
        <w:t xml:space="preserve">There are no costs to respondents other than their time to complete the forms. The estimated other total annual costs to respondents for this time is reflected in Table 12-2. below. </w:t>
      </w:r>
    </w:p>
    <w:p w:rsidR="00EC63EE" w:rsidP="00EC63EE" w:rsidRDefault="00EC63EE" w14:paraId="13D1B3C1" w14:textId="0D7E2FBF">
      <w:pPr>
        <w:autoSpaceDE w:val="0"/>
        <w:autoSpaceDN w:val="0"/>
        <w:adjustRightInd w:val="0"/>
        <w:spacing w:line="360" w:lineRule="auto"/>
      </w:pPr>
    </w:p>
    <w:p w:rsidRPr="003E0D7F" w:rsidR="006C3035" w:rsidP="00EC63EE" w:rsidRDefault="006C3035" w14:paraId="3CFA6962" w14:textId="77777777">
      <w:pPr>
        <w:autoSpaceDE w:val="0"/>
        <w:autoSpaceDN w:val="0"/>
        <w:adjustRightInd w:val="0"/>
        <w:spacing w:line="360" w:lineRule="auto"/>
      </w:pPr>
    </w:p>
    <w:p w:rsidR="002A3AEF" w:rsidP="002A3AEF" w:rsidRDefault="002A3AEF" w14:paraId="3B4B6A10" w14:textId="77777777">
      <w:pPr>
        <w:ind w:left="1440" w:firstLine="720"/>
      </w:pPr>
      <w:r>
        <w:lastRenderedPageBreak/>
        <w:t>Table 12-2 Annualized Cost to Respondents</w:t>
      </w:r>
    </w:p>
    <w:p w:rsidR="00B93C77" w:rsidP="00FF72FC" w:rsidRDefault="00B93C77" w14:paraId="661A01B8" w14:textId="77777777">
      <w:pPr>
        <w:spacing w:after="0" w:line="240" w:lineRule="auto"/>
        <w:rPr>
          <w:rFonts w:eastAsia="Times New Roman" w:cs="Times New Roman"/>
        </w:rPr>
      </w:pPr>
    </w:p>
    <w:tbl>
      <w:tblPr>
        <w:tblW w:w="4968"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134"/>
        <w:gridCol w:w="2386"/>
        <w:gridCol w:w="2568"/>
        <w:gridCol w:w="2478"/>
      </w:tblGrid>
      <w:tr w:rsidRPr="003E0D7F" w:rsidR="002A3AEF" w:rsidTr="00735485" w14:paraId="7C656FD7" w14:textId="77777777">
        <w:trPr>
          <w:cantSplit/>
          <w:trHeight w:val="1300"/>
        </w:trPr>
        <w:tc>
          <w:tcPr>
            <w:tcW w:w="1116" w:type="pct"/>
            <w:shd w:val="clear" w:color="auto" w:fill="auto"/>
            <w:vAlign w:val="bottom"/>
          </w:tcPr>
          <w:p w:rsidR="002A3AEF" w:rsidP="00735485" w:rsidRDefault="002A3AEF" w14:paraId="666FE936" w14:textId="77777777">
            <w:pPr>
              <w:jc w:val="center"/>
              <w:rPr>
                <w:rFonts w:eastAsia="Times New Roman"/>
                <w:b/>
                <w:bCs/>
              </w:rPr>
            </w:pPr>
            <w:r w:rsidRPr="003E0D7F">
              <w:rPr>
                <w:rFonts w:eastAsia="Times New Roman"/>
                <w:b/>
                <w:bCs/>
              </w:rPr>
              <w:t>Type of Respondent</w:t>
            </w:r>
          </w:p>
          <w:p w:rsidRPr="003E0D7F" w:rsidR="002A3AEF" w:rsidP="00735485" w:rsidRDefault="002A3AEF" w14:paraId="6E52A404" w14:textId="77777777">
            <w:pPr>
              <w:rPr>
                <w:rFonts w:eastAsia="Times New Roman"/>
                <w:b/>
                <w:bCs/>
              </w:rPr>
            </w:pPr>
          </w:p>
        </w:tc>
        <w:tc>
          <w:tcPr>
            <w:tcW w:w="1247" w:type="pct"/>
            <w:shd w:val="clear" w:color="auto" w:fill="auto"/>
            <w:vAlign w:val="bottom"/>
            <w:hideMark/>
          </w:tcPr>
          <w:p w:rsidR="002A3AEF" w:rsidP="00735485" w:rsidRDefault="002A3AEF" w14:paraId="736B20C4" w14:textId="77777777">
            <w:pPr>
              <w:jc w:val="center"/>
              <w:rPr>
                <w:rFonts w:eastAsia="Times New Roman"/>
                <w:b/>
                <w:bCs/>
              </w:rPr>
            </w:pPr>
            <w:r>
              <w:rPr>
                <w:rFonts w:eastAsia="Times New Roman"/>
                <w:b/>
                <w:bCs/>
              </w:rPr>
              <w:t xml:space="preserve">Total Annual </w:t>
            </w:r>
            <w:r w:rsidRPr="003E0D7F">
              <w:rPr>
                <w:rFonts w:eastAsia="Times New Roman"/>
                <w:b/>
                <w:bCs/>
              </w:rPr>
              <w:t>Burden Hours</w:t>
            </w:r>
          </w:p>
          <w:p w:rsidRPr="003E0D7F" w:rsidR="002A3AEF" w:rsidP="00735485" w:rsidRDefault="002A3AEF" w14:paraId="6FD4EE05" w14:textId="77777777">
            <w:pPr>
              <w:rPr>
                <w:rFonts w:eastAsia="Times New Roman"/>
                <w:b/>
                <w:bCs/>
              </w:rPr>
            </w:pPr>
          </w:p>
        </w:tc>
        <w:tc>
          <w:tcPr>
            <w:tcW w:w="1342" w:type="pct"/>
            <w:shd w:val="clear" w:color="000000" w:fill="auto"/>
            <w:vAlign w:val="bottom"/>
            <w:hideMark/>
          </w:tcPr>
          <w:p w:rsidR="002A3AEF" w:rsidP="00735485" w:rsidRDefault="002A3AEF" w14:paraId="56BC2888" w14:textId="77777777">
            <w:pPr>
              <w:jc w:val="center"/>
              <w:rPr>
                <w:rFonts w:eastAsia="Times New Roman"/>
                <w:b/>
                <w:bCs/>
              </w:rPr>
            </w:pPr>
            <w:r w:rsidRPr="003E0D7F">
              <w:rPr>
                <w:rFonts w:eastAsia="Times New Roman"/>
                <w:b/>
                <w:bCs/>
              </w:rPr>
              <w:t xml:space="preserve">Hourly </w:t>
            </w:r>
            <w:r>
              <w:rPr>
                <w:rFonts w:eastAsia="Times New Roman"/>
                <w:b/>
                <w:bCs/>
              </w:rPr>
              <w:t xml:space="preserve">Respondent </w:t>
            </w:r>
            <w:r w:rsidRPr="003E0D7F">
              <w:rPr>
                <w:rFonts w:eastAsia="Times New Roman"/>
                <w:b/>
                <w:bCs/>
              </w:rPr>
              <w:t>Wage</w:t>
            </w:r>
            <w:r>
              <w:rPr>
                <w:rFonts w:eastAsia="Times New Roman"/>
                <w:b/>
                <w:bCs/>
              </w:rPr>
              <w:t xml:space="preserve"> Rate</w:t>
            </w:r>
            <w:r>
              <w:rPr>
                <w:rFonts w:eastAsia="Times New Roman"/>
                <w:b/>
                <w:bCs/>
                <w:vertAlign w:val="superscript"/>
              </w:rPr>
              <w:t>*</w:t>
            </w:r>
          </w:p>
          <w:p w:rsidRPr="003E0D7F" w:rsidR="002A3AEF" w:rsidP="00735485" w:rsidRDefault="002A3AEF" w14:paraId="0B6BC6D8" w14:textId="77777777">
            <w:pPr>
              <w:rPr>
                <w:rFonts w:eastAsia="Times New Roman"/>
                <w:b/>
                <w:bCs/>
              </w:rPr>
            </w:pPr>
          </w:p>
        </w:tc>
        <w:tc>
          <w:tcPr>
            <w:tcW w:w="1295" w:type="pct"/>
            <w:shd w:val="clear" w:color="000000" w:fill="auto"/>
            <w:vAlign w:val="bottom"/>
            <w:hideMark/>
          </w:tcPr>
          <w:p w:rsidR="002A3AEF" w:rsidP="00735485" w:rsidRDefault="002A3AEF" w14:paraId="40B8135A" w14:textId="77777777">
            <w:pPr>
              <w:rPr>
                <w:rFonts w:eastAsia="Times New Roman"/>
                <w:b/>
                <w:bCs/>
              </w:rPr>
            </w:pPr>
            <w:r w:rsidRPr="003E0D7F">
              <w:rPr>
                <w:rFonts w:eastAsia="Times New Roman"/>
                <w:b/>
                <w:bCs/>
              </w:rPr>
              <w:t>Respondent Cost</w:t>
            </w:r>
          </w:p>
          <w:p w:rsidR="002A3AEF" w:rsidP="00735485" w:rsidRDefault="002A3AEF" w14:paraId="70CB3716" w14:textId="77777777">
            <w:pPr>
              <w:rPr>
                <w:rFonts w:eastAsia="Times New Roman"/>
                <w:b/>
                <w:bCs/>
              </w:rPr>
            </w:pPr>
          </w:p>
          <w:p w:rsidRPr="003E0D7F" w:rsidR="002A3AEF" w:rsidP="00735485" w:rsidRDefault="002A3AEF" w14:paraId="3F0D4D90" w14:textId="77777777">
            <w:pPr>
              <w:rPr>
                <w:rFonts w:eastAsia="Times New Roman"/>
                <w:b/>
                <w:bCs/>
              </w:rPr>
            </w:pPr>
          </w:p>
        </w:tc>
      </w:tr>
      <w:tr w:rsidRPr="00AC6319" w:rsidR="002A3AEF" w:rsidTr="00735485" w14:paraId="374ABF24" w14:textId="77777777">
        <w:trPr>
          <w:cantSplit/>
          <w:trHeight w:val="790"/>
        </w:trPr>
        <w:tc>
          <w:tcPr>
            <w:tcW w:w="1116" w:type="pct"/>
            <w:shd w:val="clear" w:color="auto" w:fill="auto"/>
          </w:tcPr>
          <w:p w:rsidRPr="004B47C3" w:rsidR="002A3AEF" w:rsidP="00735485" w:rsidRDefault="002A3AEF" w14:paraId="5A8085D6" w14:textId="77777777">
            <w:pPr>
              <w:ind w:left="154"/>
            </w:pPr>
            <w:r w:rsidRPr="00AC6319">
              <w:t>Applicant   Scientists</w:t>
            </w:r>
          </w:p>
          <w:p w:rsidRPr="00AC6319" w:rsidR="002A3AEF" w:rsidP="00735485" w:rsidRDefault="002A3AEF" w14:paraId="0F9B50F7" w14:textId="77777777">
            <w:pPr>
              <w:ind w:left="720" w:hanging="360"/>
              <w:rPr>
                <w:rFonts w:eastAsia="Times New Roman"/>
              </w:rPr>
            </w:pPr>
          </w:p>
        </w:tc>
        <w:tc>
          <w:tcPr>
            <w:tcW w:w="1247" w:type="pct"/>
            <w:shd w:val="clear" w:color="auto" w:fill="auto"/>
          </w:tcPr>
          <w:p w:rsidRPr="00AC6319" w:rsidR="002A3AEF" w:rsidP="00735485" w:rsidRDefault="002342E6" w14:paraId="547DCEA0" w14:textId="3501ABE3">
            <w:pPr>
              <w:jc w:val="center"/>
              <w:rPr>
                <w:rFonts w:eastAsia="Times New Roman"/>
              </w:rPr>
            </w:pPr>
            <w:r>
              <w:rPr>
                <w:rFonts w:eastAsia="Times New Roman"/>
              </w:rPr>
              <w:t>25</w:t>
            </w:r>
          </w:p>
          <w:p w:rsidRPr="00AC6319" w:rsidR="002A3AEF" w:rsidP="00735485" w:rsidRDefault="002A3AEF" w14:paraId="796CA11F" w14:textId="77777777">
            <w:pPr>
              <w:rPr>
                <w:rFonts w:eastAsia="Times New Roman"/>
              </w:rPr>
            </w:pPr>
          </w:p>
          <w:p w:rsidRPr="00AC6319" w:rsidR="002A3AEF" w:rsidP="00735485" w:rsidRDefault="002A3AEF" w14:paraId="576E09A9" w14:textId="77777777">
            <w:pPr>
              <w:rPr>
                <w:rFonts w:eastAsia="Times New Roman"/>
              </w:rPr>
            </w:pPr>
          </w:p>
        </w:tc>
        <w:tc>
          <w:tcPr>
            <w:tcW w:w="1342" w:type="pct"/>
            <w:shd w:val="clear" w:color="auto" w:fill="auto"/>
          </w:tcPr>
          <w:p w:rsidRPr="00AC6319" w:rsidR="002A3AEF" w:rsidP="00735485" w:rsidRDefault="002A3AEF" w14:paraId="33758BB6" w14:textId="07DFF058">
            <w:pPr>
              <w:jc w:val="center"/>
            </w:pPr>
            <w:r w:rsidRPr="00AC6319">
              <w:rPr>
                <w:rFonts w:eastAsia="Times New Roman"/>
              </w:rPr>
              <w:t>$</w:t>
            </w:r>
            <w:r w:rsidRPr="001254A8">
              <w:rPr>
                <w:rFonts w:eastAsia="Times New Roman"/>
              </w:rPr>
              <w:t>4</w:t>
            </w:r>
            <w:r w:rsidR="002342E6">
              <w:rPr>
                <w:rFonts w:eastAsia="Times New Roman"/>
              </w:rPr>
              <w:t>4</w:t>
            </w:r>
            <w:r w:rsidRPr="001254A8">
              <w:rPr>
                <w:rFonts w:eastAsia="Times New Roman"/>
              </w:rPr>
              <w:t>.</w:t>
            </w:r>
            <w:r w:rsidR="002342E6">
              <w:rPr>
                <w:rFonts w:eastAsia="Times New Roman"/>
              </w:rPr>
              <w:t>00</w:t>
            </w:r>
          </w:p>
        </w:tc>
        <w:tc>
          <w:tcPr>
            <w:tcW w:w="1295" w:type="pct"/>
            <w:shd w:val="clear" w:color="auto" w:fill="auto"/>
          </w:tcPr>
          <w:p w:rsidRPr="00AC6319" w:rsidR="002A3AEF" w:rsidP="00735485" w:rsidRDefault="002A3AEF" w14:paraId="3F7D8D80" w14:textId="4DEF6CD6">
            <w:pPr>
              <w:jc w:val="center"/>
              <w:rPr>
                <w:rFonts w:eastAsia="Times New Roman"/>
              </w:rPr>
            </w:pPr>
            <w:r w:rsidRPr="00604DB6">
              <w:rPr>
                <w:rFonts w:eastAsia="Times New Roman"/>
              </w:rPr>
              <w:t>$</w:t>
            </w:r>
            <w:r w:rsidRPr="001254A8">
              <w:rPr>
                <w:rFonts w:eastAsia="Times New Roman"/>
              </w:rPr>
              <w:t>1,</w:t>
            </w:r>
            <w:r w:rsidR="002342E6">
              <w:rPr>
                <w:rFonts w:eastAsia="Times New Roman"/>
              </w:rPr>
              <w:t>100</w:t>
            </w:r>
          </w:p>
          <w:p w:rsidRPr="004B47C3" w:rsidR="002A3AEF" w:rsidP="00735485" w:rsidRDefault="002A3AEF" w14:paraId="4EAA2CCF" w14:textId="77777777">
            <w:pPr>
              <w:jc w:val="center"/>
              <w:rPr>
                <w:rFonts w:eastAsia="Times New Roman"/>
              </w:rPr>
            </w:pPr>
          </w:p>
          <w:p w:rsidRPr="00AC6319" w:rsidR="002A3AEF" w:rsidP="00735485" w:rsidRDefault="002A3AEF" w14:paraId="7185DBB6" w14:textId="77777777">
            <w:pPr>
              <w:jc w:val="center"/>
              <w:rPr>
                <w:rFonts w:eastAsia="Times New Roman"/>
              </w:rPr>
            </w:pPr>
          </w:p>
        </w:tc>
      </w:tr>
      <w:tr w:rsidRPr="00AC6319" w:rsidR="002A3AEF" w:rsidTr="00735485" w14:paraId="226B24FC" w14:textId="77777777">
        <w:trPr>
          <w:cantSplit/>
          <w:trHeight w:val="790"/>
        </w:trPr>
        <w:tc>
          <w:tcPr>
            <w:tcW w:w="1116" w:type="pct"/>
            <w:shd w:val="clear" w:color="auto" w:fill="auto"/>
          </w:tcPr>
          <w:p w:rsidRPr="00AC6319" w:rsidR="002A3AEF" w:rsidP="00735485" w:rsidRDefault="002A3AEF" w14:paraId="4993A2D1" w14:textId="77777777">
            <w:pPr>
              <w:ind w:left="154"/>
            </w:pPr>
            <w:r>
              <w:t>Senior Scientists</w:t>
            </w:r>
          </w:p>
        </w:tc>
        <w:tc>
          <w:tcPr>
            <w:tcW w:w="1247" w:type="pct"/>
            <w:shd w:val="clear" w:color="auto" w:fill="auto"/>
          </w:tcPr>
          <w:p w:rsidRPr="00AC6319" w:rsidR="002A3AEF" w:rsidP="00735485" w:rsidRDefault="002342E6" w14:paraId="3FDA047E" w14:textId="5E50EEA1">
            <w:pPr>
              <w:jc w:val="center"/>
              <w:rPr>
                <w:rFonts w:eastAsia="Times New Roman"/>
              </w:rPr>
            </w:pPr>
            <w:r>
              <w:rPr>
                <w:rFonts w:eastAsia="Times New Roman"/>
              </w:rPr>
              <w:t>8</w:t>
            </w:r>
          </w:p>
        </w:tc>
        <w:tc>
          <w:tcPr>
            <w:tcW w:w="1342" w:type="pct"/>
            <w:shd w:val="clear" w:color="auto" w:fill="auto"/>
          </w:tcPr>
          <w:p w:rsidRPr="00AC6319" w:rsidR="002A3AEF" w:rsidP="00735485" w:rsidRDefault="002A3AEF" w14:paraId="29EB2413" w14:textId="77777777">
            <w:pPr>
              <w:jc w:val="center"/>
              <w:rPr>
                <w:rFonts w:eastAsia="Times New Roman"/>
              </w:rPr>
            </w:pPr>
            <w:r>
              <w:rPr>
                <w:rFonts w:eastAsia="Times New Roman"/>
              </w:rPr>
              <w:t>$48.00</w:t>
            </w:r>
          </w:p>
        </w:tc>
        <w:tc>
          <w:tcPr>
            <w:tcW w:w="1295" w:type="pct"/>
            <w:shd w:val="clear" w:color="auto" w:fill="auto"/>
          </w:tcPr>
          <w:p w:rsidRPr="00604DB6" w:rsidR="002A3AEF" w:rsidP="00735485" w:rsidRDefault="002A3AEF" w14:paraId="3CD3BFA0" w14:textId="5CCEF673">
            <w:pPr>
              <w:jc w:val="center"/>
              <w:rPr>
                <w:rFonts w:eastAsia="Times New Roman"/>
              </w:rPr>
            </w:pPr>
            <w:r>
              <w:rPr>
                <w:rFonts w:eastAsia="Times New Roman"/>
              </w:rPr>
              <w:t>$</w:t>
            </w:r>
            <w:r w:rsidR="002342E6">
              <w:rPr>
                <w:rFonts w:eastAsia="Times New Roman"/>
              </w:rPr>
              <w:t>384</w:t>
            </w:r>
          </w:p>
        </w:tc>
      </w:tr>
      <w:tr w:rsidRPr="00AC6319" w:rsidR="002A3AEF" w:rsidTr="00735485" w14:paraId="29FE8221" w14:textId="77777777">
        <w:trPr>
          <w:cantSplit/>
          <w:trHeight w:val="260"/>
        </w:trPr>
        <w:tc>
          <w:tcPr>
            <w:tcW w:w="1116" w:type="pct"/>
            <w:shd w:val="clear" w:color="auto" w:fill="auto"/>
            <w:noWrap/>
            <w:vAlign w:val="bottom"/>
            <w:hideMark/>
          </w:tcPr>
          <w:p w:rsidRPr="00AC6319" w:rsidR="002A3AEF" w:rsidP="00735485" w:rsidRDefault="002A3AEF" w14:paraId="03769272" w14:textId="77777777">
            <w:pPr>
              <w:rPr>
                <w:rFonts w:eastAsia="Times New Roman"/>
                <w:b/>
                <w:bCs/>
              </w:rPr>
            </w:pPr>
            <w:r w:rsidRPr="00AC6319">
              <w:rPr>
                <w:rFonts w:eastAsia="Times New Roman"/>
                <w:b/>
                <w:bCs/>
              </w:rPr>
              <w:t>TOTAL</w:t>
            </w:r>
          </w:p>
        </w:tc>
        <w:tc>
          <w:tcPr>
            <w:tcW w:w="1247" w:type="pct"/>
            <w:shd w:val="clear" w:color="auto" w:fill="auto"/>
            <w:noWrap/>
            <w:vAlign w:val="bottom"/>
          </w:tcPr>
          <w:p w:rsidRPr="00AC6319" w:rsidR="002A3AEF" w:rsidP="00735485" w:rsidRDefault="002A3AEF" w14:paraId="76DCCA0C" w14:textId="6E0B4FD7">
            <w:pPr>
              <w:jc w:val="center"/>
              <w:rPr>
                <w:rFonts w:eastAsia="Times New Roman"/>
                <w:b/>
                <w:bCs/>
              </w:rPr>
            </w:pPr>
            <w:r w:rsidRPr="00AC6319">
              <w:rPr>
                <w:rFonts w:eastAsia="Times New Roman"/>
                <w:b/>
                <w:bCs/>
              </w:rPr>
              <w:t>3</w:t>
            </w:r>
            <w:r w:rsidR="00EF18A3">
              <w:rPr>
                <w:rFonts w:eastAsia="Times New Roman"/>
                <w:b/>
                <w:bCs/>
              </w:rPr>
              <w:t>3</w:t>
            </w:r>
          </w:p>
        </w:tc>
        <w:tc>
          <w:tcPr>
            <w:tcW w:w="1342" w:type="pct"/>
            <w:shd w:val="clear" w:color="auto" w:fill="auto"/>
            <w:noWrap/>
          </w:tcPr>
          <w:p w:rsidRPr="00AC6319" w:rsidR="002A3AEF" w:rsidP="00735485" w:rsidRDefault="002A3AEF" w14:paraId="0F4015C4" w14:textId="77777777">
            <w:pPr>
              <w:jc w:val="center"/>
              <w:rPr>
                <w:rFonts w:eastAsia="Times New Roman"/>
                <w:b/>
              </w:rPr>
            </w:pPr>
          </w:p>
        </w:tc>
        <w:tc>
          <w:tcPr>
            <w:tcW w:w="1295" w:type="pct"/>
            <w:shd w:val="clear" w:color="auto" w:fill="auto"/>
            <w:noWrap/>
          </w:tcPr>
          <w:p w:rsidRPr="00AC6319" w:rsidR="002A3AEF" w:rsidP="00735485" w:rsidRDefault="002A3AEF" w14:paraId="288FA6CB" w14:textId="4B170BBE">
            <w:pPr>
              <w:jc w:val="center"/>
              <w:rPr>
                <w:rFonts w:eastAsia="Times New Roman"/>
                <w:b/>
              </w:rPr>
            </w:pPr>
            <w:r w:rsidRPr="00AC6319">
              <w:rPr>
                <w:rFonts w:eastAsia="Times New Roman"/>
                <w:b/>
              </w:rPr>
              <w:t>$</w:t>
            </w:r>
            <w:r w:rsidR="002342E6">
              <w:rPr>
                <w:rFonts w:eastAsia="Times New Roman"/>
                <w:b/>
              </w:rPr>
              <w:t>1,484</w:t>
            </w:r>
          </w:p>
        </w:tc>
      </w:tr>
    </w:tbl>
    <w:p w:rsidRPr="00166FB1" w:rsidR="002A3AEF" w:rsidP="002A3AEF" w:rsidRDefault="002A3AEF" w14:paraId="23D2F14D" w14:textId="77777777">
      <w:pPr>
        <w:autoSpaceDE w:val="0"/>
        <w:autoSpaceDN w:val="0"/>
        <w:adjustRightInd w:val="0"/>
        <w:spacing w:before="120"/>
        <w:outlineLvl w:val="0"/>
        <w:rPr>
          <w:sz w:val="20"/>
          <w:szCs w:val="20"/>
        </w:rPr>
      </w:pPr>
      <w:r w:rsidRPr="00166FB1">
        <w:rPr>
          <w:sz w:val="20"/>
          <w:szCs w:val="20"/>
        </w:rPr>
        <w:t xml:space="preserve">* Mean hourly wage estimates (calculated with data collected from employers in all industry sectors in metropolitan and nonmetropolitan areas in every state and the District of Columbia) for Healthcare Practitioners and Technical Occupations as available from the </w:t>
      </w:r>
      <w:r w:rsidRPr="00166FB1">
        <w:rPr>
          <w:color w:val="333333"/>
          <w:sz w:val="20"/>
          <w:szCs w:val="20"/>
        </w:rPr>
        <w:t xml:space="preserve">Bureau of Labor Statistics, U.S. Department of Labor, </w:t>
      </w:r>
      <w:r w:rsidRPr="00166FB1">
        <w:rPr>
          <w:rStyle w:val="HTMLCite"/>
          <w:color w:val="333333"/>
          <w:sz w:val="20"/>
          <w:szCs w:val="20"/>
        </w:rPr>
        <w:t>Occupational Outlook Handbook</w:t>
      </w:r>
      <w:r w:rsidRPr="00166FB1">
        <w:rPr>
          <w:color w:val="333333"/>
          <w:sz w:val="20"/>
          <w:szCs w:val="20"/>
        </w:rPr>
        <w:t>, Medical Scientists, on the Internet.</w:t>
      </w:r>
      <w:r w:rsidRPr="00166FB1">
        <w:rPr>
          <w:sz w:val="20"/>
          <w:szCs w:val="20"/>
        </w:rPr>
        <w:t xml:space="preserve"> Retrieved from  </w:t>
      </w:r>
      <w:hyperlink w:history="1" r:id="rId12">
        <w:r w:rsidRPr="00166FB1">
          <w:rPr>
            <w:rStyle w:val="Hyperlink"/>
            <w:sz w:val="20"/>
            <w:szCs w:val="20"/>
          </w:rPr>
          <w:t>http://www.bls.gov/ooh/life-physical-and-social-science/medical-scientists.htm</w:t>
        </w:r>
      </w:hyperlink>
      <w:r w:rsidRPr="00166FB1">
        <w:rPr>
          <w:sz w:val="20"/>
          <w:szCs w:val="20"/>
        </w:rPr>
        <w:t xml:space="preserve"> on12/28/2021. </w:t>
      </w:r>
    </w:p>
    <w:p w:rsidRPr="009747F4" w:rsidR="002C5D4F" w:rsidP="00FF72FC" w:rsidRDefault="002C5D4F" w14:paraId="27AC837D" w14:textId="77777777">
      <w:pPr>
        <w:spacing w:after="0" w:line="240" w:lineRule="auto"/>
        <w:rPr>
          <w:rFonts w:ascii="Times New Roman" w:hAnsi="Times New Roman" w:eastAsia="Times New Roman" w:cs="Times New Roman"/>
          <w:sz w:val="16"/>
          <w:szCs w:val="16"/>
          <w:highlight w:val="yellow"/>
        </w:rPr>
      </w:pPr>
    </w:p>
    <w:p w:rsidRPr="00CF36BD" w:rsidR="00B93C77" w:rsidP="00FF72FC" w:rsidRDefault="00B93C77" w14:paraId="227B63D5" w14:textId="77777777">
      <w:pPr>
        <w:spacing w:after="0" w:line="240" w:lineRule="auto"/>
        <w:rPr>
          <w:rFonts w:eastAsia="Times New Roman" w:cs="Times New Roman"/>
        </w:rPr>
      </w:pPr>
    </w:p>
    <w:p w:rsidRPr="00E35DD1" w:rsidR="00FF72FC" w:rsidP="00FF72FC" w:rsidRDefault="00FF72FC" w14:paraId="72B19A1F" w14:textId="77777777">
      <w:pPr>
        <w:rPr>
          <w:b/>
        </w:rPr>
      </w:pPr>
      <w:r w:rsidRPr="00E35DD1">
        <w:rPr>
          <w:b/>
        </w:rPr>
        <w:t>A.13</w:t>
      </w:r>
      <w:r w:rsidRPr="00E35DD1">
        <w:rPr>
          <w:b/>
        </w:rPr>
        <w:tab/>
        <w:t>Estimate of Other Total Annual Cost Burden to Respondents or Record Keepers</w:t>
      </w:r>
    </w:p>
    <w:p w:rsidR="00EC63EE" w:rsidP="00EC63EE" w:rsidRDefault="00EC63EE" w14:paraId="4D4605FC" w14:textId="77777777">
      <w:pPr>
        <w:autoSpaceDE w:val="0"/>
        <w:autoSpaceDN w:val="0"/>
        <w:adjustRightInd w:val="0"/>
        <w:spacing w:line="360" w:lineRule="auto"/>
      </w:pPr>
      <w:r w:rsidRPr="003E0D7F">
        <w:t>There are no capital costs, operating costs, or maintenance costs to report.</w:t>
      </w:r>
    </w:p>
    <w:p w:rsidRPr="005C4013" w:rsidR="00FF72FC" w:rsidP="00FF72FC" w:rsidRDefault="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5B2116" w:rsidP="005B2116" w:rsidRDefault="005B2116" w14:paraId="7A80E261" w14:textId="3DA8C8D5">
      <w:pPr>
        <w:autoSpaceDE w:val="0"/>
        <w:autoSpaceDN w:val="0"/>
        <w:adjustRightInd w:val="0"/>
        <w:spacing w:line="360" w:lineRule="auto"/>
      </w:pPr>
      <w:r w:rsidRPr="009B1EA0">
        <w:t>The cost to the Federal Government of th</w:t>
      </w:r>
      <w:r>
        <w:t>is</w:t>
      </w:r>
      <w:r w:rsidRPr="009B1EA0">
        <w:t xml:space="preserve"> program is </w:t>
      </w:r>
      <w:r w:rsidRPr="001254A8">
        <w:t>approximately $208,230 a year</w:t>
      </w:r>
      <w:r>
        <w:t xml:space="preserve"> to support funded program fellowships and awards</w:t>
      </w:r>
      <w:r w:rsidRPr="001254A8">
        <w:t>. The total annual cost to the Federal Government is</w:t>
      </w:r>
      <w:r w:rsidRPr="004B47C3">
        <w:t xml:space="preserve"> approximately</w:t>
      </w:r>
      <w:r w:rsidRPr="001254A8">
        <w:t xml:space="preserve"> $</w:t>
      </w:r>
      <w:r>
        <w:t>217,520</w:t>
      </w:r>
      <w:r w:rsidRPr="001254A8">
        <w:t>.00.</w:t>
      </w:r>
      <w:r w:rsidRPr="003E0D7F">
        <w:t xml:space="preserve"> </w:t>
      </w:r>
      <w:r>
        <w:t>The estimated costs to the Federal Government for this time is reflected in Table A.14. below.</w:t>
      </w:r>
    </w:p>
    <w:p w:rsidR="005B2116" w:rsidP="005B2116" w:rsidRDefault="005B2116" w14:paraId="7BD3D693" w14:textId="64A2480E">
      <w:pPr>
        <w:pStyle w:val="E-mailSignature"/>
        <w:widowControl w:val="0"/>
        <w:adjustRightInd w:val="0"/>
        <w:snapToGrid w:val="0"/>
        <w:spacing w:line="360" w:lineRule="auto"/>
        <w:jc w:val="center"/>
        <w:rPr>
          <w:b/>
        </w:rPr>
      </w:pPr>
      <w:bookmarkStart w:name="_Toc359938803" w:id="26"/>
      <w:r w:rsidRPr="009B1EA0">
        <w:rPr>
          <w:b/>
        </w:rPr>
        <w:t>Table A.14.</w:t>
      </w:r>
      <w:r>
        <w:rPr>
          <w:b/>
        </w:rPr>
        <w:t xml:space="preserve"> </w:t>
      </w:r>
      <w:r w:rsidRPr="009B1EA0">
        <w:rPr>
          <w:b/>
        </w:rPr>
        <w:t>Annualized Cost to the Federal Government</w:t>
      </w:r>
      <w:bookmarkEnd w:id="26"/>
    </w:p>
    <w:p w:rsidRPr="00822025" w:rsidR="00974B8F" w:rsidP="005B2116" w:rsidRDefault="00974B8F" w14:paraId="40B326FD" w14:textId="77777777">
      <w:pPr>
        <w:pStyle w:val="E-mailSignature"/>
        <w:widowControl w:val="0"/>
        <w:adjustRightInd w:val="0"/>
        <w:snapToGrid w:val="0"/>
        <w:spacing w:line="360" w:lineRule="auto"/>
        <w:jc w:val="cente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B1EA0" w:rsidR="005B2116" w:rsidTr="00735485" w14:paraId="7E6FB63C"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B1EA0" w:rsidR="005B2116" w:rsidP="00735485" w:rsidRDefault="005B2116" w14:paraId="08DBBB7E" w14:textId="77777777">
            <w:pPr>
              <w:jc w:val="center"/>
              <w:rPr>
                <w:rFonts w:eastAsia="Calibri"/>
                <w:bCs/>
                <w:color w:val="000000"/>
              </w:rPr>
            </w:pPr>
            <w:r w:rsidRPr="009B1EA0">
              <w:rPr>
                <w:i/>
              </w:rPr>
              <w:t xml:space="preserve"> </w:t>
            </w:r>
            <w:r w:rsidRPr="009B1EA0">
              <w:rPr>
                <w:bCs/>
                <w:color w:val="000000"/>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B1EA0" w:rsidR="005B2116" w:rsidP="00735485" w:rsidRDefault="005B2116" w14:paraId="70B48E70" w14:textId="77777777">
            <w:pPr>
              <w:jc w:val="center"/>
              <w:rPr>
                <w:rFonts w:eastAsia="Calibri"/>
                <w:bCs/>
                <w:color w:val="1F497D"/>
              </w:rPr>
            </w:pPr>
          </w:p>
          <w:p w:rsidRPr="009B1EA0" w:rsidR="005B2116" w:rsidP="00735485" w:rsidRDefault="005B2116" w14:paraId="59C94B55" w14:textId="77777777">
            <w:pPr>
              <w:jc w:val="center"/>
              <w:rPr>
                <w:rFonts w:eastAsia="Calibri"/>
                <w:bCs/>
                <w:color w:val="000000"/>
              </w:rPr>
            </w:pPr>
            <w:r w:rsidRPr="009B1EA0">
              <w:rPr>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B1EA0" w:rsidR="005B2116" w:rsidP="00735485" w:rsidRDefault="005B2116" w14:paraId="1A5BE468" w14:textId="77777777">
            <w:pPr>
              <w:jc w:val="center"/>
              <w:rPr>
                <w:rFonts w:eastAsia="Calibri"/>
                <w:bCs/>
              </w:rPr>
            </w:pPr>
            <w:r w:rsidRPr="009B1EA0">
              <w:rPr>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B1EA0" w:rsidR="005B2116" w:rsidP="00735485" w:rsidRDefault="005B2116" w14:paraId="52562C2B" w14:textId="77777777">
            <w:pPr>
              <w:jc w:val="center"/>
              <w:rPr>
                <w:rFonts w:eastAsia="Calibri"/>
                <w:bCs/>
              </w:rPr>
            </w:pPr>
            <w:r w:rsidRPr="009B1EA0">
              <w:rPr>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B1EA0" w:rsidR="005B2116" w:rsidP="00735485" w:rsidRDefault="005B2116" w14:paraId="4EE944E9" w14:textId="77777777">
            <w:pPr>
              <w:jc w:val="center"/>
              <w:rPr>
                <w:bCs/>
              </w:rPr>
            </w:pPr>
            <w:r w:rsidRPr="009B1EA0">
              <w:rPr>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B1EA0" w:rsidR="005B2116" w:rsidP="00735485" w:rsidRDefault="005B2116" w14:paraId="66058FEF" w14:textId="77777777">
            <w:pPr>
              <w:jc w:val="center"/>
              <w:rPr>
                <w:bCs/>
              </w:rPr>
            </w:pPr>
            <w:r w:rsidRPr="009B1EA0">
              <w:rPr>
                <w:bCs/>
              </w:rPr>
              <w:t>Total Cost to Gov’t</w:t>
            </w:r>
          </w:p>
        </w:tc>
      </w:tr>
      <w:tr w:rsidRPr="009B1EA0" w:rsidR="005B2116" w:rsidTr="00735485" w14:paraId="060D008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B1EA0" w:rsidR="005B2116" w:rsidP="00735485" w:rsidRDefault="005B2116" w14:paraId="1EAF2A03" w14:textId="77777777">
            <w:pPr>
              <w:rPr>
                <w:rFonts w:eastAsia="Calibri"/>
                <w:color w:val="000000"/>
              </w:rPr>
            </w:pPr>
            <w:r w:rsidRPr="009B1EA0">
              <w:rPr>
                <w:rFonts w:eastAsia="Calibri"/>
                <w:color w:val="000000"/>
              </w:rPr>
              <w:t xml:space="preserve">Federal Oversight – Program Analyst </w:t>
            </w:r>
          </w:p>
        </w:tc>
        <w:tc>
          <w:tcPr>
            <w:tcW w:w="1440" w:type="dxa"/>
            <w:tcBorders>
              <w:top w:val="nil"/>
              <w:left w:val="nil"/>
              <w:bottom w:val="single" w:color="auto" w:sz="8" w:space="0"/>
              <w:right w:val="single" w:color="auto" w:sz="8" w:space="0"/>
            </w:tcBorders>
          </w:tcPr>
          <w:p w:rsidR="005B2116" w:rsidP="00735485" w:rsidRDefault="005B2116" w14:paraId="40EB85A3" w14:textId="77777777">
            <w:pPr>
              <w:jc w:val="center"/>
              <w:rPr>
                <w:rFonts w:eastAsia="Calibri"/>
                <w:color w:val="000000"/>
              </w:rPr>
            </w:pPr>
          </w:p>
          <w:p w:rsidRPr="00604DB6" w:rsidR="005B2116" w:rsidP="00735485" w:rsidRDefault="005B2116" w14:paraId="2672A22C" w14:textId="77777777">
            <w:pPr>
              <w:jc w:val="center"/>
              <w:rPr>
                <w:rFonts w:eastAsia="Calibri"/>
                <w:color w:val="000000"/>
              </w:rPr>
            </w:pPr>
            <w:r w:rsidRPr="00604DB6">
              <w:rPr>
                <w:rFonts w:eastAsia="Calibri"/>
                <w:color w:val="000000"/>
              </w:rPr>
              <w:t>13/10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04DB6" w:rsidR="005B2116" w:rsidP="00735485" w:rsidRDefault="005B2116" w14:paraId="16C4314D" w14:textId="77777777">
            <w:pPr>
              <w:jc w:val="center"/>
            </w:pPr>
            <w:r w:rsidRPr="001254A8">
              <w:t>$134,798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7FA41D1A" w14:textId="77777777">
            <w:pPr>
              <w:jc w:val="center"/>
            </w:pPr>
            <w:r w:rsidRPr="001254A8">
              <w:t>5</w:t>
            </w:r>
          </w:p>
        </w:tc>
        <w:tc>
          <w:tcPr>
            <w:tcW w:w="1363" w:type="dxa"/>
            <w:tcBorders>
              <w:top w:val="nil"/>
              <w:left w:val="nil"/>
              <w:bottom w:val="single" w:color="auto" w:sz="8" w:space="0"/>
              <w:right w:val="single" w:color="auto" w:sz="8" w:space="0"/>
            </w:tcBorders>
            <w:shd w:val="clear" w:color="auto" w:fill="BFBFBF"/>
          </w:tcPr>
          <w:p w:rsidRPr="001254A8" w:rsidR="005B2116" w:rsidP="00735485" w:rsidRDefault="005B2116" w14:paraId="55FD6F3F" w14:textId="77777777">
            <w:pPr>
              <w:jc w:val="center"/>
            </w:pPr>
          </w:p>
        </w:tc>
        <w:tc>
          <w:tcPr>
            <w:tcW w:w="1363" w:type="dxa"/>
            <w:tcBorders>
              <w:top w:val="nil"/>
              <w:left w:val="nil"/>
              <w:bottom w:val="single" w:color="auto" w:sz="8" w:space="0"/>
              <w:right w:val="single" w:color="auto" w:sz="8" w:space="0"/>
            </w:tcBorders>
          </w:tcPr>
          <w:p w:rsidR="005B2116" w:rsidP="00735485" w:rsidRDefault="005B2116" w14:paraId="76A1A704" w14:textId="77777777">
            <w:pPr>
              <w:jc w:val="center"/>
            </w:pPr>
          </w:p>
          <w:p w:rsidRPr="00604DB6" w:rsidR="005B2116" w:rsidP="00735485" w:rsidRDefault="005B2116" w14:paraId="32912A35" w14:textId="77777777">
            <w:pPr>
              <w:jc w:val="center"/>
            </w:pPr>
            <w:r w:rsidRPr="001254A8">
              <w:t>$6,740</w:t>
            </w:r>
          </w:p>
        </w:tc>
      </w:tr>
      <w:tr w:rsidRPr="00A21C25" w:rsidR="005B2116" w:rsidTr="00735485" w14:paraId="01C32D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B1EA0" w:rsidR="005B2116" w:rsidP="00735485" w:rsidRDefault="005B2116" w14:paraId="3BD9391E" w14:textId="77777777">
            <w:pPr>
              <w:rPr>
                <w:rFonts w:eastAsia="Calibri"/>
              </w:rPr>
            </w:pPr>
          </w:p>
        </w:tc>
        <w:tc>
          <w:tcPr>
            <w:tcW w:w="1440" w:type="dxa"/>
            <w:tcBorders>
              <w:top w:val="nil"/>
              <w:left w:val="nil"/>
              <w:bottom w:val="single" w:color="auto" w:sz="8" w:space="0"/>
              <w:right w:val="single" w:color="auto" w:sz="8" w:space="0"/>
            </w:tcBorders>
          </w:tcPr>
          <w:p w:rsidRPr="001254A8" w:rsidR="005B2116" w:rsidP="00735485" w:rsidRDefault="005B2116" w14:paraId="17710F17" w14:textId="77777777">
            <w:pPr>
              <w:jc w:val="center"/>
              <w:rPr>
                <w:rFonts w:eastAsia="Calibri"/>
                <w:highlight w:val="magent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675C9B01" w14:textId="77777777">
            <w:pPr>
              <w:jc w:val="center"/>
              <w:rPr>
                <w:rFonts w:eastAsia="Calibri"/>
                <w:highlight w:val="magent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66B3514C" w14:textId="77777777">
            <w:pPr>
              <w:jc w:val="center"/>
              <w:rPr>
                <w:rFonts w:eastAsia="Calibri"/>
                <w:highlight w:val="magenta"/>
              </w:rPr>
            </w:pPr>
          </w:p>
        </w:tc>
        <w:tc>
          <w:tcPr>
            <w:tcW w:w="1363" w:type="dxa"/>
            <w:tcBorders>
              <w:top w:val="nil"/>
              <w:left w:val="nil"/>
              <w:bottom w:val="single" w:color="auto" w:sz="8" w:space="0"/>
              <w:right w:val="single" w:color="auto" w:sz="8" w:space="0"/>
            </w:tcBorders>
            <w:shd w:val="clear" w:color="auto" w:fill="BFBFBF"/>
          </w:tcPr>
          <w:p w:rsidRPr="001254A8" w:rsidR="005B2116" w:rsidP="00735485" w:rsidRDefault="005B2116" w14:paraId="0842CBF2" w14:textId="77777777">
            <w:pPr>
              <w:jc w:val="center"/>
              <w:rPr>
                <w:highlight w:val="magenta"/>
              </w:rPr>
            </w:pPr>
          </w:p>
        </w:tc>
        <w:tc>
          <w:tcPr>
            <w:tcW w:w="1363" w:type="dxa"/>
            <w:tcBorders>
              <w:top w:val="nil"/>
              <w:left w:val="nil"/>
              <w:bottom w:val="single" w:color="auto" w:sz="8" w:space="0"/>
              <w:right w:val="single" w:color="auto" w:sz="8" w:space="0"/>
            </w:tcBorders>
          </w:tcPr>
          <w:p w:rsidRPr="001254A8" w:rsidR="005B2116" w:rsidP="00735485" w:rsidRDefault="005B2116" w14:paraId="0596B5A5" w14:textId="77777777">
            <w:pPr>
              <w:jc w:val="center"/>
              <w:rPr>
                <w:highlight w:val="magenta"/>
              </w:rPr>
            </w:pPr>
          </w:p>
        </w:tc>
      </w:tr>
      <w:tr w:rsidRPr="00A21C25" w:rsidR="005B2116" w:rsidTr="00735485" w14:paraId="0E038F8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21C25" w:rsidR="005B2116" w:rsidP="00735485" w:rsidRDefault="005B2116" w14:paraId="37AD727C" w14:textId="77777777">
            <w:pPr>
              <w:rPr>
                <w:rFonts w:eastAsia="Calibri"/>
              </w:rPr>
            </w:pPr>
          </w:p>
        </w:tc>
        <w:tc>
          <w:tcPr>
            <w:tcW w:w="1440" w:type="dxa"/>
            <w:tcBorders>
              <w:top w:val="nil"/>
              <w:left w:val="nil"/>
              <w:bottom w:val="single" w:color="auto" w:sz="8" w:space="0"/>
              <w:right w:val="single" w:color="auto" w:sz="8" w:space="0"/>
            </w:tcBorders>
          </w:tcPr>
          <w:p w:rsidRPr="001254A8" w:rsidR="005B2116" w:rsidP="00735485" w:rsidRDefault="005B2116" w14:paraId="140DC988" w14:textId="77777777">
            <w:pPr>
              <w:jc w:val="center"/>
              <w:rPr>
                <w:rFonts w:eastAsia="Calibri"/>
                <w:highlight w:val="magent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6FF91FA6" w14:textId="77777777">
            <w:pPr>
              <w:jc w:val="center"/>
              <w:rPr>
                <w:rFonts w:eastAsia="Calibri"/>
                <w:highlight w:val="magenta"/>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43401AD1" w14:textId="77777777">
            <w:pPr>
              <w:jc w:val="center"/>
              <w:rPr>
                <w:rFonts w:eastAsia="Calibri"/>
                <w:highlight w:val="magenta"/>
              </w:rPr>
            </w:pPr>
          </w:p>
        </w:tc>
        <w:tc>
          <w:tcPr>
            <w:tcW w:w="1363" w:type="dxa"/>
            <w:tcBorders>
              <w:top w:val="nil"/>
              <w:left w:val="nil"/>
              <w:bottom w:val="single" w:color="auto" w:sz="8" w:space="0"/>
              <w:right w:val="single" w:color="auto" w:sz="8" w:space="0"/>
            </w:tcBorders>
            <w:shd w:val="clear" w:color="auto" w:fill="BFBFBF"/>
          </w:tcPr>
          <w:p w:rsidRPr="001254A8" w:rsidR="005B2116" w:rsidP="00735485" w:rsidRDefault="005B2116" w14:paraId="0D5192FB" w14:textId="77777777">
            <w:pPr>
              <w:jc w:val="center"/>
              <w:rPr>
                <w:highlight w:val="magenta"/>
              </w:rPr>
            </w:pPr>
          </w:p>
        </w:tc>
        <w:tc>
          <w:tcPr>
            <w:tcW w:w="1363" w:type="dxa"/>
            <w:tcBorders>
              <w:top w:val="nil"/>
              <w:left w:val="nil"/>
              <w:bottom w:val="single" w:color="auto" w:sz="8" w:space="0"/>
              <w:right w:val="single" w:color="auto" w:sz="8" w:space="0"/>
            </w:tcBorders>
          </w:tcPr>
          <w:p w:rsidRPr="001254A8" w:rsidR="005B2116" w:rsidP="00735485" w:rsidRDefault="005B2116" w14:paraId="0D804C80" w14:textId="77777777">
            <w:pPr>
              <w:jc w:val="center"/>
              <w:rPr>
                <w:highlight w:val="magenta"/>
              </w:rPr>
            </w:pPr>
          </w:p>
        </w:tc>
      </w:tr>
      <w:tr w:rsidRPr="00A21C25" w:rsidR="005B2116" w:rsidTr="00735485" w14:paraId="376DB8E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21C25" w:rsidR="005B2116" w:rsidP="00735485" w:rsidRDefault="005B2116" w14:paraId="39A5533B" w14:textId="77777777">
            <w:pPr>
              <w:rPr>
                <w:rFonts w:eastAsia="Calibri"/>
              </w:rPr>
            </w:pPr>
          </w:p>
        </w:tc>
        <w:tc>
          <w:tcPr>
            <w:tcW w:w="1440" w:type="dxa"/>
            <w:tcBorders>
              <w:top w:val="nil"/>
              <w:left w:val="nil"/>
              <w:bottom w:val="single" w:color="auto" w:sz="8" w:space="0"/>
              <w:right w:val="single" w:color="auto" w:sz="8" w:space="0"/>
            </w:tcBorders>
          </w:tcPr>
          <w:p w:rsidRPr="001254A8" w:rsidR="005B2116" w:rsidP="00735485" w:rsidRDefault="005B2116" w14:paraId="1676D295" w14:textId="77777777">
            <w:pPr>
              <w:jc w:val="center"/>
              <w:rPr>
                <w:rFonts w:eastAsia="Calibri"/>
                <w:highlight w:val="magent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677950EE" w14:textId="77777777">
            <w:pPr>
              <w:jc w:val="center"/>
              <w:rPr>
                <w:rFonts w:eastAsia="Calibr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34229A25" w14:textId="77777777">
            <w:pPr>
              <w:jc w:val="center"/>
              <w:rPr>
                <w:rFonts w:eastAsia="Calibri"/>
              </w:rPr>
            </w:pPr>
          </w:p>
        </w:tc>
        <w:tc>
          <w:tcPr>
            <w:tcW w:w="1363" w:type="dxa"/>
            <w:tcBorders>
              <w:top w:val="nil"/>
              <w:left w:val="nil"/>
              <w:bottom w:val="single" w:color="auto" w:sz="8" w:space="0"/>
              <w:right w:val="single" w:color="auto" w:sz="8" w:space="0"/>
            </w:tcBorders>
            <w:shd w:val="clear" w:color="auto" w:fill="BFBFBF"/>
          </w:tcPr>
          <w:p w:rsidRPr="001254A8" w:rsidR="005B2116" w:rsidP="00735485" w:rsidRDefault="005B2116" w14:paraId="2E80558F" w14:textId="77777777">
            <w:pPr>
              <w:jc w:val="center"/>
            </w:pPr>
          </w:p>
        </w:tc>
        <w:tc>
          <w:tcPr>
            <w:tcW w:w="1363" w:type="dxa"/>
            <w:tcBorders>
              <w:top w:val="nil"/>
              <w:left w:val="nil"/>
              <w:bottom w:val="single" w:color="auto" w:sz="8" w:space="0"/>
              <w:right w:val="single" w:color="auto" w:sz="8" w:space="0"/>
            </w:tcBorders>
          </w:tcPr>
          <w:p w:rsidRPr="001254A8" w:rsidR="005B2116" w:rsidP="00735485" w:rsidRDefault="005B2116" w14:paraId="0C5F19CE" w14:textId="77777777">
            <w:pPr>
              <w:jc w:val="center"/>
            </w:pPr>
          </w:p>
        </w:tc>
      </w:tr>
      <w:tr w:rsidRPr="00A21C25" w:rsidR="005B2116" w:rsidTr="00735485" w14:paraId="1F40A41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A21C25" w:rsidR="005B2116" w:rsidP="00735485" w:rsidRDefault="005B2116" w14:paraId="075BFB59" w14:textId="77777777">
            <w:pPr>
              <w:rPr>
                <w:rFonts w:eastAsia="Calibri"/>
                <w:b/>
              </w:rPr>
            </w:pPr>
            <w:r w:rsidRPr="00A21C25">
              <w:rPr>
                <w:rFonts w:eastAsia="Calibri"/>
                <w:b/>
              </w:rPr>
              <w:t>Contractor Cost</w:t>
            </w:r>
          </w:p>
        </w:tc>
        <w:tc>
          <w:tcPr>
            <w:tcW w:w="1440" w:type="dxa"/>
            <w:tcBorders>
              <w:top w:val="nil"/>
              <w:left w:val="nil"/>
              <w:bottom w:val="single" w:color="auto" w:sz="8" w:space="0"/>
              <w:right w:val="single" w:color="auto" w:sz="8" w:space="0"/>
            </w:tcBorders>
            <w:shd w:val="clear" w:color="auto" w:fill="BFBFBF"/>
          </w:tcPr>
          <w:p w:rsidRPr="001254A8" w:rsidR="005B2116" w:rsidP="00735485" w:rsidRDefault="005B2116" w14:paraId="6EC62EFD" w14:textId="77777777">
            <w:pPr>
              <w:jc w:val="center"/>
              <w:rPr>
                <w:rFonts w:eastAsia="Calibri"/>
                <w:highlight w:val="magenta"/>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44059FD0" w14:textId="77777777">
            <w:pPr>
              <w:jc w:val="center"/>
              <w:rPr>
                <w:rFonts w:eastAsia="Calibri"/>
              </w:rPr>
            </w:pPr>
            <w:r w:rsidRPr="001254A8">
              <w:rPr>
                <w:rFonts w:eastAsia="Calibri"/>
              </w:rPr>
              <w:t>$51,000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26D0CACD" w14:textId="77777777">
            <w:pPr>
              <w:jc w:val="center"/>
              <w:rPr>
                <w:rFonts w:eastAsia="Calibri"/>
              </w:rPr>
            </w:pPr>
            <w:r w:rsidRPr="001254A8">
              <w:rPr>
                <w:rFonts w:eastAsia="Calibri"/>
              </w:rPr>
              <w:t>5</w:t>
            </w:r>
          </w:p>
        </w:tc>
        <w:tc>
          <w:tcPr>
            <w:tcW w:w="1363" w:type="dxa"/>
            <w:tcBorders>
              <w:top w:val="nil"/>
              <w:left w:val="nil"/>
              <w:bottom w:val="single" w:color="auto" w:sz="8" w:space="0"/>
              <w:right w:val="single" w:color="auto" w:sz="8" w:space="0"/>
            </w:tcBorders>
          </w:tcPr>
          <w:p w:rsidRPr="004B47C3" w:rsidR="005B2116" w:rsidP="00735485" w:rsidRDefault="005B2116" w14:paraId="3300E4F4" w14:textId="77777777">
            <w:pPr>
              <w:jc w:val="center"/>
            </w:pPr>
          </w:p>
        </w:tc>
        <w:tc>
          <w:tcPr>
            <w:tcW w:w="1363" w:type="dxa"/>
            <w:tcBorders>
              <w:top w:val="nil"/>
              <w:left w:val="nil"/>
              <w:bottom w:val="single" w:color="auto" w:sz="8" w:space="0"/>
              <w:right w:val="single" w:color="auto" w:sz="8" w:space="0"/>
            </w:tcBorders>
          </w:tcPr>
          <w:p w:rsidRPr="001254A8" w:rsidR="005B2116" w:rsidP="00735485" w:rsidRDefault="005B2116" w14:paraId="445C2D3F" w14:textId="77777777">
            <w:pPr>
              <w:jc w:val="center"/>
            </w:pPr>
            <w:r w:rsidRPr="001254A8">
              <w:t>$2,550</w:t>
            </w:r>
          </w:p>
        </w:tc>
      </w:tr>
      <w:tr w:rsidRPr="00A21C25" w:rsidR="005B2116" w:rsidTr="00735485" w14:paraId="0B51297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B1EA0" w:rsidR="005B2116" w:rsidP="00735485" w:rsidRDefault="005B2116" w14:paraId="0DE44799" w14:textId="77777777">
            <w:pPr>
              <w:rPr>
                <w:rFonts w:eastAsia="Calibri"/>
                <w:b/>
              </w:rPr>
            </w:pPr>
            <w:r w:rsidRPr="009B1EA0">
              <w:rPr>
                <w:rFonts w:eastAsia="Calibri"/>
                <w:b/>
              </w:rPr>
              <w:t>Program Fellowships and Awards</w:t>
            </w:r>
          </w:p>
        </w:tc>
        <w:tc>
          <w:tcPr>
            <w:tcW w:w="1440" w:type="dxa"/>
            <w:tcBorders>
              <w:top w:val="nil"/>
              <w:left w:val="nil"/>
              <w:bottom w:val="single" w:color="auto" w:sz="8" w:space="0"/>
              <w:right w:val="single" w:color="auto" w:sz="8" w:space="0"/>
            </w:tcBorders>
          </w:tcPr>
          <w:p w:rsidRPr="001254A8" w:rsidR="005B2116" w:rsidP="00735485" w:rsidRDefault="005B2116" w14:paraId="099B7D5F" w14:textId="77777777">
            <w:pPr>
              <w:jc w:val="center"/>
              <w:rPr>
                <w:rFonts w:eastAsia="Calibri"/>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2D254F40" w14:textId="77777777">
            <w:pPr>
              <w:jc w:val="center"/>
              <w:rPr>
                <w:rFonts w:eastAsia="Calibr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54A8" w:rsidR="005B2116" w:rsidP="00735485" w:rsidRDefault="005B2116" w14:paraId="0B5E0466" w14:textId="77777777">
            <w:pPr>
              <w:jc w:val="center"/>
              <w:rPr>
                <w:rFonts w:eastAsia="Calibri"/>
              </w:rPr>
            </w:pPr>
          </w:p>
        </w:tc>
        <w:tc>
          <w:tcPr>
            <w:tcW w:w="1363" w:type="dxa"/>
            <w:tcBorders>
              <w:top w:val="nil"/>
              <w:left w:val="nil"/>
              <w:bottom w:val="single" w:color="auto" w:sz="8" w:space="0"/>
              <w:right w:val="single" w:color="auto" w:sz="8" w:space="0"/>
            </w:tcBorders>
          </w:tcPr>
          <w:p w:rsidRPr="001254A8" w:rsidR="005B2116" w:rsidP="00735485" w:rsidRDefault="005B2116" w14:paraId="30DB6EBC" w14:textId="77777777">
            <w:pPr>
              <w:jc w:val="center"/>
            </w:pPr>
          </w:p>
        </w:tc>
        <w:tc>
          <w:tcPr>
            <w:tcW w:w="1363" w:type="dxa"/>
            <w:tcBorders>
              <w:top w:val="nil"/>
              <w:left w:val="nil"/>
              <w:bottom w:val="single" w:color="auto" w:sz="8" w:space="0"/>
              <w:right w:val="single" w:color="auto" w:sz="8" w:space="0"/>
            </w:tcBorders>
          </w:tcPr>
          <w:p w:rsidRPr="001254A8" w:rsidR="005B2116" w:rsidP="00735485" w:rsidRDefault="005B2116" w14:paraId="6D33E62E" w14:textId="77777777">
            <w:pPr>
              <w:jc w:val="center"/>
            </w:pPr>
          </w:p>
          <w:p w:rsidRPr="001254A8" w:rsidR="005B2116" w:rsidP="00735485" w:rsidRDefault="005B2116" w14:paraId="7B126247" w14:textId="77777777">
            <w:pPr>
              <w:jc w:val="center"/>
            </w:pPr>
            <w:r w:rsidRPr="001254A8">
              <w:t>$208,230</w:t>
            </w:r>
          </w:p>
        </w:tc>
      </w:tr>
      <w:tr w:rsidRPr="00A21C25" w:rsidR="005B2116" w:rsidTr="00735485" w14:paraId="3116737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B1EA0" w:rsidR="005B2116" w:rsidP="00735485" w:rsidRDefault="005B2116" w14:paraId="43B094D2" w14:textId="77777777">
            <w:pPr>
              <w:rPr>
                <w:rFonts w:eastAsia="Calibri"/>
              </w:rPr>
            </w:pPr>
            <w:r w:rsidRPr="009B1EA0">
              <w:rPr>
                <w:rFonts w:eastAsia="Calibri"/>
              </w:rPr>
              <w:t>Travel</w:t>
            </w:r>
          </w:p>
        </w:tc>
        <w:tc>
          <w:tcPr>
            <w:tcW w:w="1440" w:type="dxa"/>
            <w:tcBorders>
              <w:top w:val="nil"/>
              <w:left w:val="nil"/>
              <w:bottom w:val="single" w:color="auto" w:sz="8" w:space="0"/>
              <w:right w:val="single" w:color="auto" w:sz="8" w:space="0"/>
            </w:tcBorders>
            <w:shd w:val="clear" w:color="auto" w:fill="BFBFBF"/>
          </w:tcPr>
          <w:p w:rsidRPr="001254A8" w:rsidR="005B2116" w:rsidP="00735485" w:rsidRDefault="005B2116" w14:paraId="684A06EA" w14:textId="77777777">
            <w:pPr>
              <w:rPr>
                <w:rFonts w:eastAsia="Calibri"/>
                <w:highlight w:val="yellow"/>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54A8" w:rsidR="005B2116" w:rsidP="00735485" w:rsidRDefault="005B2116" w14:paraId="7AF83BE9" w14:textId="77777777">
            <w:pPr>
              <w:rPr>
                <w:rFonts w:eastAsia="Calibri"/>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54A8" w:rsidR="005B2116" w:rsidP="00735485" w:rsidRDefault="005B2116" w14:paraId="201F51FB" w14:textId="77777777">
            <w:pPr>
              <w:rPr>
                <w:rFonts w:eastAsia="Calibri"/>
              </w:rPr>
            </w:pPr>
          </w:p>
        </w:tc>
        <w:tc>
          <w:tcPr>
            <w:tcW w:w="1363" w:type="dxa"/>
            <w:tcBorders>
              <w:top w:val="nil"/>
              <w:left w:val="nil"/>
              <w:bottom w:val="single" w:color="auto" w:sz="8" w:space="0"/>
              <w:right w:val="single" w:color="auto" w:sz="8" w:space="0"/>
            </w:tcBorders>
            <w:shd w:val="clear" w:color="auto" w:fill="BFBFBF"/>
          </w:tcPr>
          <w:p w:rsidRPr="001254A8" w:rsidR="005B2116" w:rsidP="00735485" w:rsidRDefault="005B2116" w14:paraId="6C98D93B" w14:textId="77777777"/>
        </w:tc>
        <w:tc>
          <w:tcPr>
            <w:tcW w:w="1363" w:type="dxa"/>
            <w:tcBorders>
              <w:top w:val="nil"/>
              <w:left w:val="nil"/>
              <w:bottom w:val="single" w:color="auto" w:sz="8" w:space="0"/>
              <w:right w:val="single" w:color="auto" w:sz="8" w:space="0"/>
            </w:tcBorders>
          </w:tcPr>
          <w:p w:rsidRPr="001254A8" w:rsidR="005B2116" w:rsidP="00735485" w:rsidRDefault="005B2116" w14:paraId="3ED29E7A" w14:textId="77777777"/>
        </w:tc>
      </w:tr>
      <w:tr w:rsidRPr="00E142C2" w:rsidR="005B2116" w:rsidTr="00735485" w14:paraId="4BD88D6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B1EA0" w:rsidR="005B2116" w:rsidP="00735485" w:rsidRDefault="005B2116" w14:paraId="45590243" w14:textId="77777777">
            <w:pPr>
              <w:rPr>
                <w:rFonts w:eastAsia="Calibri"/>
                <w:color w:val="1F497D"/>
              </w:rPr>
            </w:pPr>
            <w:r w:rsidRPr="009B1EA0">
              <w:rPr>
                <w:rFonts w:eastAsia="Calibri"/>
              </w:rPr>
              <w:t>Other Cost</w:t>
            </w:r>
          </w:p>
        </w:tc>
        <w:tc>
          <w:tcPr>
            <w:tcW w:w="1440" w:type="dxa"/>
            <w:tcBorders>
              <w:top w:val="nil"/>
              <w:left w:val="nil"/>
              <w:bottom w:val="single" w:color="auto" w:sz="8" w:space="0"/>
              <w:right w:val="single" w:color="auto" w:sz="8" w:space="0"/>
            </w:tcBorders>
            <w:shd w:val="clear" w:color="auto" w:fill="BFBFBF"/>
          </w:tcPr>
          <w:p w:rsidRPr="001254A8" w:rsidR="005B2116" w:rsidP="00735485" w:rsidRDefault="005B2116" w14:paraId="02B8903F" w14:textId="77777777">
            <w:pPr>
              <w:rPr>
                <w:rFonts w:eastAsia="Calibri"/>
                <w:color w:val="000000"/>
                <w:highlight w:val="yellow"/>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54A8" w:rsidR="005B2116" w:rsidP="00735485" w:rsidRDefault="005B2116" w14:paraId="7D82746F" w14:textId="77777777">
            <w:pPr>
              <w:rPr>
                <w:rFonts w:eastAsia="Calibri"/>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54A8" w:rsidR="005B2116" w:rsidP="00735485" w:rsidRDefault="005B2116" w14:paraId="10B9C555" w14:textId="77777777">
            <w:pPr>
              <w:rPr>
                <w:rFonts w:eastAsia="Calibri"/>
              </w:rPr>
            </w:pPr>
          </w:p>
        </w:tc>
        <w:tc>
          <w:tcPr>
            <w:tcW w:w="1363" w:type="dxa"/>
            <w:tcBorders>
              <w:top w:val="nil"/>
              <w:left w:val="nil"/>
              <w:bottom w:val="single" w:color="auto" w:sz="8" w:space="0"/>
              <w:right w:val="single" w:color="auto" w:sz="8" w:space="0"/>
            </w:tcBorders>
            <w:shd w:val="clear" w:color="auto" w:fill="BFBFBF"/>
          </w:tcPr>
          <w:p w:rsidRPr="001254A8" w:rsidR="005B2116" w:rsidP="00735485" w:rsidRDefault="005B2116" w14:paraId="41D413CA" w14:textId="77777777">
            <w:pPr>
              <w:rPr>
                <w:rFonts w:eastAsia="Calibri"/>
              </w:rPr>
            </w:pPr>
          </w:p>
        </w:tc>
        <w:tc>
          <w:tcPr>
            <w:tcW w:w="1363" w:type="dxa"/>
            <w:tcBorders>
              <w:top w:val="nil"/>
              <w:left w:val="nil"/>
              <w:bottom w:val="single" w:color="auto" w:sz="8" w:space="0"/>
              <w:right w:val="single" w:color="auto" w:sz="8" w:space="0"/>
            </w:tcBorders>
          </w:tcPr>
          <w:p w:rsidRPr="001254A8" w:rsidR="005B2116" w:rsidP="00735485" w:rsidRDefault="005B2116" w14:paraId="0007F1EC" w14:textId="77777777">
            <w:pPr>
              <w:rPr>
                <w:rFonts w:eastAsia="Calibri"/>
              </w:rPr>
            </w:pPr>
          </w:p>
        </w:tc>
      </w:tr>
      <w:tr w:rsidRPr="00E142C2" w:rsidR="005B2116" w:rsidTr="00735485" w14:paraId="778414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E142C2" w:rsidR="005B2116" w:rsidP="00735485" w:rsidRDefault="005B2116" w14:paraId="4DB66C42" w14:textId="77777777">
            <w:pPr>
              <w:rPr>
                <w:rFonts w:eastAsia="Calibri"/>
                <w:bCs/>
                <w:color w:val="000000"/>
                <w:highlight w:val="yellow"/>
              </w:rPr>
            </w:pPr>
          </w:p>
        </w:tc>
        <w:tc>
          <w:tcPr>
            <w:tcW w:w="1440" w:type="dxa"/>
            <w:tcBorders>
              <w:top w:val="nil"/>
              <w:left w:val="nil"/>
              <w:bottom w:val="single" w:color="auto" w:sz="8" w:space="0"/>
              <w:right w:val="single" w:color="auto" w:sz="8" w:space="0"/>
            </w:tcBorders>
            <w:shd w:val="clear" w:color="auto" w:fill="BFBFBF"/>
          </w:tcPr>
          <w:p w:rsidRPr="001254A8" w:rsidR="005B2116" w:rsidP="00735485" w:rsidRDefault="005B2116" w14:paraId="6A640966" w14:textId="77777777">
            <w:pPr>
              <w:rPr>
                <w:rFonts w:eastAsia="Calibri"/>
                <w:highlight w:val="yellow"/>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1254A8" w:rsidR="005B2116" w:rsidP="00735485" w:rsidRDefault="005B2116" w14:paraId="1AC97DB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1254A8" w:rsidR="005B2116" w:rsidP="00735485" w:rsidRDefault="005B2116" w14:paraId="3EE8083B" w14:textId="77777777">
            <w:pPr>
              <w:rPr>
                <w:rFonts w:eastAsia="Calibri"/>
                <w:b/>
              </w:rPr>
            </w:pPr>
          </w:p>
        </w:tc>
        <w:tc>
          <w:tcPr>
            <w:tcW w:w="1363" w:type="dxa"/>
            <w:tcBorders>
              <w:top w:val="nil"/>
              <w:left w:val="nil"/>
              <w:bottom w:val="single" w:color="auto" w:sz="8" w:space="0"/>
              <w:right w:val="single" w:color="auto" w:sz="8" w:space="0"/>
            </w:tcBorders>
            <w:shd w:val="clear" w:color="auto" w:fill="BFBFBF"/>
          </w:tcPr>
          <w:p w:rsidRPr="001254A8" w:rsidR="005B2116" w:rsidP="00735485" w:rsidRDefault="005B2116" w14:paraId="66908EDB" w14:textId="77777777">
            <w:pPr>
              <w:rPr>
                <w:b/>
              </w:rPr>
            </w:pPr>
          </w:p>
        </w:tc>
        <w:tc>
          <w:tcPr>
            <w:tcW w:w="1363" w:type="dxa"/>
            <w:tcBorders>
              <w:top w:val="nil"/>
              <w:left w:val="nil"/>
              <w:bottom w:val="single" w:color="auto" w:sz="8" w:space="0"/>
              <w:right w:val="single" w:color="auto" w:sz="8" w:space="0"/>
            </w:tcBorders>
          </w:tcPr>
          <w:p w:rsidRPr="001254A8" w:rsidR="005B2116" w:rsidP="00735485" w:rsidRDefault="005B2116" w14:paraId="52C55614" w14:textId="77777777">
            <w:pPr>
              <w:rPr>
                <w:b/>
              </w:rPr>
            </w:pPr>
          </w:p>
        </w:tc>
      </w:tr>
      <w:tr w:rsidRPr="00923FC8" w:rsidR="005B2116" w:rsidTr="00735485" w14:paraId="0E4AF8C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B1EA0" w:rsidR="005B2116" w:rsidP="00735485" w:rsidRDefault="005B2116" w14:paraId="21015DC9" w14:textId="77777777">
            <w:pPr>
              <w:rPr>
                <w:b/>
              </w:rPr>
            </w:pPr>
            <w:r w:rsidRPr="009B1EA0">
              <w:rPr>
                <w:b/>
              </w:rPr>
              <w:t>Total</w:t>
            </w:r>
          </w:p>
        </w:tc>
        <w:tc>
          <w:tcPr>
            <w:tcW w:w="1440" w:type="dxa"/>
            <w:tcBorders>
              <w:top w:val="nil"/>
              <w:left w:val="nil"/>
              <w:bottom w:val="single" w:color="auto" w:sz="8" w:space="0"/>
              <w:right w:val="single" w:color="auto" w:sz="8" w:space="0"/>
            </w:tcBorders>
          </w:tcPr>
          <w:p w:rsidRPr="001254A8" w:rsidR="005B2116" w:rsidP="00735485" w:rsidRDefault="005B2116" w14:paraId="4C77AAA1" w14:textId="77777777">
            <w:pPr>
              <w:rPr>
                <w:rFonts w:eastAsia="Calibri"/>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1254A8" w:rsidR="005B2116" w:rsidP="00735485" w:rsidRDefault="005B2116" w14:paraId="25D9CEB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1254A8" w:rsidR="005B2116" w:rsidP="00735485" w:rsidRDefault="005B2116" w14:paraId="2FDAF481" w14:textId="77777777"/>
        </w:tc>
        <w:tc>
          <w:tcPr>
            <w:tcW w:w="1363" w:type="dxa"/>
            <w:tcBorders>
              <w:top w:val="nil"/>
              <w:left w:val="nil"/>
              <w:bottom w:val="single" w:color="auto" w:sz="8" w:space="0"/>
              <w:right w:val="single" w:color="auto" w:sz="8" w:space="0"/>
            </w:tcBorders>
          </w:tcPr>
          <w:p w:rsidRPr="001254A8" w:rsidR="005B2116" w:rsidP="00735485" w:rsidRDefault="005B2116" w14:paraId="7DE2C609" w14:textId="77777777">
            <w:pPr>
              <w:jc w:val="center"/>
            </w:pPr>
          </w:p>
        </w:tc>
        <w:tc>
          <w:tcPr>
            <w:tcW w:w="1363" w:type="dxa"/>
            <w:tcBorders>
              <w:top w:val="nil"/>
              <w:left w:val="nil"/>
              <w:bottom w:val="single" w:color="auto" w:sz="8" w:space="0"/>
              <w:right w:val="single" w:color="auto" w:sz="8" w:space="0"/>
            </w:tcBorders>
          </w:tcPr>
          <w:p w:rsidRPr="001254A8" w:rsidR="005B2116" w:rsidP="00735485" w:rsidRDefault="005B2116" w14:paraId="7FD44AEA" w14:textId="77777777">
            <w:pPr>
              <w:jc w:val="center"/>
            </w:pPr>
            <w:r w:rsidRPr="001254A8">
              <w:t>$217,520</w:t>
            </w:r>
          </w:p>
        </w:tc>
      </w:tr>
    </w:tbl>
    <w:p w:rsidR="0037291F" w:rsidP="00FF72FC" w:rsidRDefault="0037291F" w14:paraId="134E7E5A" w14:textId="7A25E711"/>
    <w:p w:rsidR="00EC63EE" w:rsidP="00FF72FC" w:rsidRDefault="00EC63EE" w14:paraId="1B1E66D3" w14:textId="77777777"/>
    <w:p w:rsidRPr="00E35DD1" w:rsidR="00FF72FC" w:rsidP="00FF72FC" w:rsidRDefault="00FF72FC" w14:paraId="4551EBE8" w14:textId="77777777">
      <w:pPr>
        <w:rPr>
          <w:b/>
        </w:rPr>
      </w:pPr>
      <w:r w:rsidRPr="00E35DD1">
        <w:rPr>
          <w:b/>
        </w:rPr>
        <w:t>A.15</w:t>
      </w:r>
      <w:r w:rsidRPr="00E35DD1">
        <w:rPr>
          <w:b/>
        </w:rPr>
        <w:tab/>
        <w:t>Explanation for Program Changes or Adjustments</w:t>
      </w:r>
    </w:p>
    <w:p w:rsidR="002A3AEF" w:rsidP="002A3AEF" w:rsidRDefault="002A3AEF" w14:paraId="249C8C1D" w14:textId="77777777">
      <w:pPr>
        <w:autoSpaceDE w:val="0"/>
        <w:autoSpaceDN w:val="0"/>
        <w:adjustRightInd w:val="0"/>
        <w:spacing w:line="360" w:lineRule="auto"/>
        <w:outlineLvl w:val="0"/>
      </w:pPr>
      <w:bookmarkStart w:name="_Toc443881759" w:id="27"/>
      <w:bookmarkStart w:name="_Toc451592246" w:id="28"/>
      <w:bookmarkStart w:name="_Toc5610287" w:id="29"/>
      <w:bookmarkStart w:name="_Toc99178793" w:id="30"/>
      <w:r>
        <w:t xml:space="preserve">This is an extension of the information collection request, with no changes. </w:t>
      </w:r>
    </w:p>
    <w:p w:rsidRPr="005C4013" w:rsidR="00FF72FC" w:rsidP="002A3AEF" w:rsidRDefault="00FF72FC" w14:paraId="4912A666" w14:textId="24B7F01B">
      <w:pPr>
        <w:autoSpaceDE w:val="0"/>
        <w:autoSpaceDN w:val="0"/>
        <w:adjustRightInd w:val="0"/>
        <w:spacing w:line="360" w:lineRule="auto"/>
        <w:outlineLvl w:val="0"/>
        <w:rPr>
          <w:b/>
        </w:rPr>
      </w:pPr>
      <w:r w:rsidRPr="005C4013">
        <w:rPr>
          <w:b/>
        </w:rPr>
        <w:t>A.16</w:t>
      </w:r>
      <w:r w:rsidRPr="005C4013">
        <w:rPr>
          <w:b/>
        </w:rPr>
        <w:tab/>
        <w:t>Plans for Tabulation and Publication and Project Time Schedule</w:t>
      </w:r>
      <w:bookmarkEnd w:id="27"/>
      <w:bookmarkEnd w:id="28"/>
      <w:bookmarkEnd w:id="29"/>
      <w:bookmarkEnd w:id="30"/>
    </w:p>
    <w:p w:rsidRPr="00282DE2" w:rsidR="002A3AEF" w:rsidP="002A3AEF" w:rsidRDefault="002A3AEF" w14:paraId="214C6602" w14:textId="56773112">
      <w:pPr>
        <w:snapToGrid w:val="0"/>
        <w:spacing w:line="360" w:lineRule="auto"/>
        <w:jc w:val="center"/>
        <w:rPr>
          <w:b/>
        </w:rPr>
      </w:pPr>
      <w:r w:rsidRPr="00282DE2">
        <w:rPr>
          <w:b/>
        </w:rPr>
        <w:t>Table A.16</w:t>
      </w:r>
      <w:r>
        <w:rPr>
          <w:b/>
        </w:rPr>
        <w:t xml:space="preserve">. </w:t>
      </w:r>
      <w:r w:rsidRPr="00282DE2">
        <w:rPr>
          <w:b/>
        </w:rPr>
        <w:t>Project Time Schedule</w:t>
      </w:r>
    </w:p>
    <w:tbl>
      <w:tblPr>
        <w:tblW w:w="0" w:type="auto"/>
        <w:tblCellMar>
          <w:left w:w="0" w:type="dxa"/>
          <w:right w:w="0" w:type="dxa"/>
        </w:tblCellMar>
        <w:tblLook w:val="04A0" w:firstRow="1" w:lastRow="0" w:firstColumn="1" w:lastColumn="0" w:noHBand="0" w:noVBand="1"/>
      </w:tblPr>
      <w:tblGrid>
        <w:gridCol w:w="4490"/>
        <w:gridCol w:w="4366"/>
      </w:tblGrid>
      <w:tr w:rsidR="002A3AEF" w:rsidTr="00735485" w14:paraId="44FDE100" w14:textId="77777777">
        <w:tc>
          <w:tcPr>
            <w:tcW w:w="44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A709E" w:rsidR="002A3AEF" w:rsidP="00735485" w:rsidRDefault="002A3AEF" w14:paraId="0AF2116E" w14:textId="77777777">
            <w:pPr>
              <w:snapToGrid w:val="0"/>
              <w:jc w:val="center"/>
              <w:rPr>
                <w:rFonts w:eastAsia="Calibri"/>
                <w:b/>
                <w:bCs/>
              </w:rPr>
            </w:pPr>
            <w:r>
              <w:rPr>
                <w:b/>
                <w:bCs/>
              </w:rPr>
              <w:t>Activity</w:t>
            </w:r>
          </w:p>
        </w:tc>
        <w:tc>
          <w:tcPr>
            <w:tcW w:w="4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A709E" w:rsidR="002A3AEF" w:rsidP="00735485" w:rsidRDefault="002A3AEF" w14:paraId="03934D01" w14:textId="77777777">
            <w:pPr>
              <w:snapToGrid w:val="0"/>
              <w:jc w:val="center"/>
              <w:rPr>
                <w:rFonts w:eastAsia="Calibri"/>
                <w:b/>
                <w:bCs/>
              </w:rPr>
            </w:pPr>
            <w:r>
              <w:rPr>
                <w:b/>
                <w:bCs/>
              </w:rPr>
              <w:t>Time Schedule</w:t>
            </w:r>
          </w:p>
        </w:tc>
      </w:tr>
      <w:tr w:rsidR="002A3AEF" w:rsidTr="00735485" w14:paraId="4666881F" w14:textId="77777777">
        <w:tc>
          <w:tcPr>
            <w:tcW w:w="44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A709E" w:rsidR="002A3AEF" w:rsidP="00735485" w:rsidRDefault="002A3AEF" w14:paraId="5AAD9B55" w14:textId="77777777">
            <w:pPr>
              <w:snapToGrid w:val="0"/>
              <w:jc w:val="both"/>
              <w:rPr>
                <w:rFonts w:eastAsia="Calibri"/>
              </w:rPr>
            </w:pPr>
            <w:r>
              <w:rPr>
                <w:color w:val="000000"/>
              </w:rPr>
              <w:t>Program Applicant Recruitment</w:t>
            </w:r>
          </w:p>
        </w:tc>
        <w:tc>
          <w:tcPr>
            <w:tcW w:w="4366" w:type="dxa"/>
            <w:tcBorders>
              <w:top w:val="nil"/>
              <w:left w:val="nil"/>
              <w:bottom w:val="single" w:color="auto" w:sz="8" w:space="0"/>
              <w:right w:val="single" w:color="auto" w:sz="8" w:space="0"/>
            </w:tcBorders>
            <w:tcMar>
              <w:top w:w="0" w:type="dxa"/>
              <w:left w:w="108" w:type="dxa"/>
              <w:bottom w:w="0" w:type="dxa"/>
              <w:right w:w="108" w:type="dxa"/>
            </w:tcMar>
            <w:hideMark/>
          </w:tcPr>
          <w:p w:rsidRPr="00BA709E" w:rsidR="002A3AEF" w:rsidP="00735485" w:rsidRDefault="002A3AEF" w14:paraId="512D0004" w14:textId="77777777">
            <w:pPr>
              <w:snapToGrid w:val="0"/>
              <w:jc w:val="center"/>
              <w:rPr>
                <w:rFonts w:eastAsia="Calibri"/>
              </w:rPr>
            </w:pPr>
            <w:r>
              <w:t>Ongoing</w:t>
            </w:r>
            <w:r w:rsidRPr="009B1EA0">
              <w:t xml:space="preserve"> </w:t>
            </w:r>
            <w:r>
              <w:t>January through September annually with renewal</w:t>
            </w:r>
          </w:p>
        </w:tc>
      </w:tr>
      <w:tr w:rsidR="002A3AEF" w:rsidTr="00735485" w14:paraId="1BE57CA9" w14:textId="77777777">
        <w:tc>
          <w:tcPr>
            <w:tcW w:w="44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A709E" w:rsidR="002A3AEF" w:rsidP="00735485" w:rsidRDefault="002A3AEF" w14:paraId="6680F1F7" w14:textId="77777777">
            <w:pPr>
              <w:snapToGrid w:val="0"/>
              <w:jc w:val="both"/>
              <w:rPr>
                <w:rFonts w:eastAsia="Calibri"/>
                <w:color w:val="000000"/>
              </w:rPr>
            </w:pPr>
            <w:r>
              <w:rPr>
                <w:color w:val="000000"/>
              </w:rPr>
              <w:t xml:space="preserve">Participant Enrollment and </w:t>
            </w:r>
          </w:p>
          <w:p w:rsidRPr="00BA709E" w:rsidR="002A3AEF" w:rsidP="00735485" w:rsidRDefault="002A3AEF" w14:paraId="7BCF6F5D" w14:textId="77777777">
            <w:pPr>
              <w:snapToGrid w:val="0"/>
              <w:jc w:val="both"/>
              <w:rPr>
                <w:rFonts w:eastAsia="Calibri"/>
              </w:rPr>
            </w:pPr>
            <w:r>
              <w:rPr>
                <w:color w:val="000000"/>
              </w:rPr>
              <w:t>Data Collection (annually)</w:t>
            </w:r>
          </w:p>
        </w:tc>
        <w:tc>
          <w:tcPr>
            <w:tcW w:w="4366" w:type="dxa"/>
            <w:tcBorders>
              <w:top w:val="nil"/>
              <w:left w:val="nil"/>
              <w:bottom w:val="single" w:color="auto" w:sz="8" w:space="0"/>
              <w:right w:val="single" w:color="auto" w:sz="8" w:space="0"/>
            </w:tcBorders>
            <w:tcMar>
              <w:top w:w="0" w:type="dxa"/>
              <w:left w:w="108" w:type="dxa"/>
              <w:bottom w:w="0" w:type="dxa"/>
              <w:right w:w="108" w:type="dxa"/>
            </w:tcMar>
            <w:hideMark/>
          </w:tcPr>
          <w:p w:rsidRPr="00730BFE" w:rsidR="002A3AEF" w:rsidP="00735485" w:rsidRDefault="002A3AEF" w14:paraId="5FF02C6F" w14:textId="785B6991">
            <w:pPr>
              <w:snapToGrid w:val="0"/>
              <w:jc w:val="center"/>
              <w:rPr>
                <w:rFonts w:eastAsia="Calibri"/>
              </w:rPr>
            </w:pPr>
            <w:r>
              <w:t>September through December</w:t>
            </w:r>
          </w:p>
        </w:tc>
      </w:tr>
      <w:tr w:rsidR="002A3AEF" w:rsidTr="00735485" w14:paraId="700A3095" w14:textId="77777777">
        <w:tc>
          <w:tcPr>
            <w:tcW w:w="449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BA709E" w:rsidR="002A3AEF" w:rsidP="00735485" w:rsidRDefault="002A3AEF" w14:paraId="4DEC2D2B" w14:textId="77777777">
            <w:pPr>
              <w:snapToGrid w:val="0"/>
              <w:jc w:val="both"/>
              <w:rPr>
                <w:rFonts w:eastAsia="Calibri"/>
              </w:rPr>
            </w:pPr>
            <w:r>
              <w:rPr>
                <w:color w:val="000000"/>
              </w:rPr>
              <w:t>Data Management and Analysis (annually)</w:t>
            </w:r>
          </w:p>
        </w:tc>
        <w:tc>
          <w:tcPr>
            <w:tcW w:w="4366"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730BFE" w:rsidR="002A3AEF" w:rsidP="00735485" w:rsidRDefault="002A3AEF" w14:paraId="788DB949" w14:textId="77777777">
            <w:pPr>
              <w:snapToGrid w:val="0"/>
              <w:jc w:val="center"/>
              <w:rPr>
                <w:rFonts w:eastAsia="Calibri"/>
              </w:rPr>
            </w:pPr>
            <w:r>
              <w:rPr>
                <w:color w:val="000000"/>
              </w:rPr>
              <w:t>Quarterly through each fiscal year</w:t>
            </w:r>
            <w:r w:rsidRPr="00730BFE">
              <w:rPr>
                <w:color w:val="000000"/>
              </w:rPr>
              <w:t xml:space="preserve"> </w:t>
            </w:r>
          </w:p>
        </w:tc>
      </w:tr>
    </w:tbl>
    <w:p w:rsidR="002A3AEF" w:rsidP="002A3AEF" w:rsidRDefault="002A3AEF" w14:paraId="51F6C920" w14:textId="77777777">
      <w:pPr>
        <w:autoSpaceDE w:val="0"/>
        <w:autoSpaceDN w:val="0"/>
        <w:adjustRightInd w:val="0"/>
        <w:spacing w:line="360" w:lineRule="auto"/>
        <w:outlineLvl w:val="0"/>
        <w:rPr>
          <w:b/>
        </w:rPr>
      </w:pPr>
    </w:p>
    <w:p w:rsidRPr="005C4013" w:rsidR="00FF72FC" w:rsidP="00FF72FC" w:rsidRDefault="00FF72FC" w14:paraId="216672D1" w14:textId="77777777">
      <w:pPr>
        <w:rPr>
          <w:b/>
        </w:rPr>
      </w:pPr>
      <w:r w:rsidRPr="005C4013">
        <w:rPr>
          <w:b/>
        </w:rPr>
        <w:t>A.17</w:t>
      </w:r>
      <w:r w:rsidRPr="005C4013">
        <w:rPr>
          <w:b/>
        </w:rPr>
        <w:tab/>
        <w:t>Reason(s) Display of OMB Expiration Date is Inappropriate</w:t>
      </w:r>
    </w:p>
    <w:p w:rsidRPr="003E0D7F" w:rsidR="002A3AEF" w:rsidP="002A3AEF" w:rsidRDefault="002A3AEF" w14:paraId="3ACB431C" w14:textId="77777777">
      <w:pPr>
        <w:autoSpaceDE w:val="0"/>
        <w:autoSpaceDN w:val="0"/>
        <w:adjustRightInd w:val="0"/>
        <w:spacing w:line="360" w:lineRule="auto"/>
      </w:pPr>
      <w:r>
        <w:t xml:space="preserve">The OMB control number and expiration date will be displayed.  </w:t>
      </w:r>
    </w:p>
    <w:p w:rsidRPr="005C4013" w:rsidR="0057480E" w:rsidP="00FF72FC" w:rsidRDefault="00FF72FC" w14:paraId="7190591D" w14:textId="77777777">
      <w:pPr>
        <w:rPr>
          <w:b/>
        </w:rPr>
      </w:pPr>
      <w:r w:rsidRPr="005C4013">
        <w:rPr>
          <w:b/>
        </w:rPr>
        <w:t>A.18</w:t>
      </w:r>
      <w:r w:rsidRPr="005C4013">
        <w:rPr>
          <w:b/>
        </w:rPr>
        <w:tab/>
        <w:t>Exceptions to Certification for Paperwork Reduction Act Submissions</w:t>
      </w:r>
    </w:p>
    <w:p w:rsidR="00EC63EE" w:rsidP="00EC63EE" w:rsidRDefault="005F4A54" w14:paraId="3C2D7E68" w14:textId="77777777">
      <w:pPr>
        <w:autoSpaceDE w:val="0"/>
        <w:autoSpaceDN w:val="0"/>
        <w:adjustRightInd w:val="0"/>
        <w:spacing w:line="360" w:lineRule="auto"/>
      </w:pPr>
      <w:r w:rsidRPr="00024899">
        <w:t xml:space="preserve"> </w:t>
      </w:r>
      <w:r w:rsidRPr="00BF26A1" w:rsidR="00EC63EE">
        <w:t>There are no exceptions to the Certification for Paperwork Reduction Act Submissions.</w:t>
      </w:r>
    </w:p>
    <w:p w:rsidRPr="00E35DD1" w:rsidR="00FF72FC" w:rsidP="00FF72FC" w:rsidRDefault="00FF72FC" w14:paraId="49B7AE09" w14:textId="38572AD5"/>
    <w:sectPr w:rsidRPr="00E35DD1" w:rsidR="00FF72FC" w:rsidSect="00FE6EA5">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258B" w14:textId="77777777" w:rsidR="00A86885" w:rsidRDefault="00A86885">
      <w:pPr>
        <w:spacing w:after="0" w:line="240" w:lineRule="auto"/>
      </w:pPr>
      <w:r>
        <w:separator/>
      </w:r>
    </w:p>
  </w:endnote>
  <w:endnote w:type="continuationSeparator" w:id="0">
    <w:p w14:paraId="519D765D" w14:textId="77777777" w:rsidR="00A86885" w:rsidRDefault="00A86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A86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D23882" w:rsidRDefault="00A86885" w:rsidP="004A70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3E16" w14:textId="77777777" w:rsidR="00A86885" w:rsidRDefault="00A86885">
      <w:pPr>
        <w:spacing w:after="0" w:line="240" w:lineRule="auto"/>
      </w:pPr>
      <w:r>
        <w:separator/>
      </w:r>
    </w:p>
  </w:footnote>
  <w:footnote w:type="continuationSeparator" w:id="0">
    <w:p w14:paraId="591B14F4" w14:textId="77777777" w:rsidR="00A86885" w:rsidRDefault="00A86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6FAA" w14:textId="43E13056"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63206"/>
    <w:multiLevelType w:val="hybridMultilevel"/>
    <w:tmpl w:val="BA6434B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0"/>
  </w:num>
  <w:num w:numId="5">
    <w:abstractNumId w:val="4"/>
  </w:num>
  <w:num w:numId="6">
    <w:abstractNumId w:val="3"/>
  </w:num>
  <w:num w:numId="7">
    <w:abstractNumId w:val="5"/>
  </w:num>
  <w:num w:numId="8">
    <w:abstractNumId w:val="7"/>
  </w:num>
  <w:num w:numId="9">
    <w:abstractNumId w:val="6"/>
  </w:num>
  <w:num w:numId="10">
    <w:abstractNumId w:val="10"/>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95C92"/>
    <w:rsid w:val="000F3043"/>
    <w:rsid w:val="00114539"/>
    <w:rsid w:val="00170EC9"/>
    <w:rsid w:val="00171FB6"/>
    <w:rsid w:val="00190C83"/>
    <w:rsid w:val="00195414"/>
    <w:rsid w:val="002342E6"/>
    <w:rsid w:val="00255F7C"/>
    <w:rsid w:val="002670CD"/>
    <w:rsid w:val="002770FA"/>
    <w:rsid w:val="00291B8C"/>
    <w:rsid w:val="00296BEC"/>
    <w:rsid w:val="002A3AEF"/>
    <w:rsid w:val="002C5D4F"/>
    <w:rsid w:val="002F4317"/>
    <w:rsid w:val="00312856"/>
    <w:rsid w:val="0036208F"/>
    <w:rsid w:val="0037291F"/>
    <w:rsid w:val="003A73DB"/>
    <w:rsid w:val="00442AB0"/>
    <w:rsid w:val="00442B5B"/>
    <w:rsid w:val="00467098"/>
    <w:rsid w:val="004716CF"/>
    <w:rsid w:val="00497B81"/>
    <w:rsid w:val="004C4B9F"/>
    <w:rsid w:val="004E1DA5"/>
    <w:rsid w:val="005150E7"/>
    <w:rsid w:val="00536C12"/>
    <w:rsid w:val="0057480E"/>
    <w:rsid w:val="00592AFA"/>
    <w:rsid w:val="005B2116"/>
    <w:rsid w:val="005C4013"/>
    <w:rsid w:val="005F4A54"/>
    <w:rsid w:val="00641209"/>
    <w:rsid w:val="00644341"/>
    <w:rsid w:val="00681F63"/>
    <w:rsid w:val="00685B30"/>
    <w:rsid w:val="006A45F9"/>
    <w:rsid w:val="006B0EDA"/>
    <w:rsid w:val="006B624F"/>
    <w:rsid w:val="006C3035"/>
    <w:rsid w:val="00703A8B"/>
    <w:rsid w:val="007063F8"/>
    <w:rsid w:val="00714BFA"/>
    <w:rsid w:val="00717158"/>
    <w:rsid w:val="007209A9"/>
    <w:rsid w:val="00756DDA"/>
    <w:rsid w:val="007636AC"/>
    <w:rsid w:val="00767C53"/>
    <w:rsid w:val="0077231C"/>
    <w:rsid w:val="007A0CA3"/>
    <w:rsid w:val="007D11BF"/>
    <w:rsid w:val="007D402F"/>
    <w:rsid w:val="008359FA"/>
    <w:rsid w:val="008379F9"/>
    <w:rsid w:val="00837D94"/>
    <w:rsid w:val="00845DEE"/>
    <w:rsid w:val="008524CB"/>
    <w:rsid w:val="0086248B"/>
    <w:rsid w:val="00872964"/>
    <w:rsid w:val="00894FF4"/>
    <w:rsid w:val="008B5F96"/>
    <w:rsid w:val="00941822"/>
    <w:rsid w:val="009747F4"/>
    <w:rsid w:val="00974B8F"/>
    <w:rsid w:val="00976490"/>
    <w:rsid w:val="009C3E9D"/>
    <w:rsid w:val="00A00CF8"/>
    <w:rsid w:val="00A10357"/>
    <w:rsid w:val="00A45E86"/>
    <w:rsid w:val="00A6350F"/>
    <w:rsid w:val="00A86885"/>
    <w:rsid w:val="00AB736C"/>
    <w:rsid w:val="00B00EB3"/>
    <w:rsid w:val="00B03736"/>
    <w:rsid w:val="00B2767E"/>
    <w:rsid w:val="00B31022"/>
    <w:rsid w:val="00B70C76"/>
    <w:rsid w:val="00B741BE"/>
    <w:rsid w:val="00B8774D"/>
    <w:rsid w:val="00B93C77"/>
    <w:rsid w:val="00B96691"/>
    <w:rsid w:val="00BE5EFA"/>
    <w:rsid w:val="00BE76A7"/>
    <w:rsid w:val="00BF491C"/>
    <w:rsid w:val="00C02C97"/>
    <w:rsid w:val="00C24877"/>
    <w:rsid w:val="00C40F61"/>
    <w:rsid w:val="00C4161B"/>
    <w:rsid w:val="00C563BF"/>
    <w:rsid w:val="00C76797"/>
    <w:rsid w:val="00C76FE2"/>
    <w:rsid w:val="00CF36BD"/>
    <w:rsid w:val="00D34BE5"/>
    <w:rsid w:val="00D7280E"/>
    <w:rsid w:val="00DA6855"/>
    <w:rsid w:val="00DB04C3"/>
    <w:rsid w:val="00DB1217"/>
    <w:rsid w:val="00DE14B4"/>
    <w:rsid w:val="00DE5570"/>
    <w:rsid w:val="00E03967"/>
    <w:rsid w:val="00E35DD1"/>
    <w:rsid w:val="00E56374"/>
    <w:rsid w:val="00E67B10"/>
    <w:rsid w:val="00E72390"/>
    <w:rsid w:val="00EA37D2"/>
    <w:rsid w:val="00EB7E3E"/>
    <w:rsid w:val="00EC63EE"/>
    <w:rsid w:val="00EE245F"/>
    <w:rsid w:val="00EE5A75"/>
    <w:rsid w:val="00EF18A3"/>
    <w:rsid w:val="00F33485"/>
    <w:rsid w:val="00FB346E"/>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770FA"/>
    <w:rPr>
      <w:sz w:val="16"/>
      <w:szCs w:val="16"/>
    </w:rPr>
  </w:style>
  <w:style w:type="paragraph" w:styleId="CommentText">
    <w:name w:val="annotation text"/>
    <w:basedOn w:val="Normal"/>
    <w:link w:val="CommentTextChar"/>
    <w:unhideWhenUsed/>
    <w:rsid w:val="002770FA"/>
    <w:pPr>
      <w:spacing w:line="240" w:lineRule="auto"/>
    </w:pPr>
    <w:rPr>
      <w:sz w:val="20"/>
      <w:szCs w:val="20"/>
    </w:rPr>
  </w:style>
  <w:style w:type="character" w:customStyle="1" w:styleId="CommentTextChar">
    <w:name w:val="Comment Text Char"/>
    <w:basedOn w:val="DefaultParagraphFont"/>
    <w:link w:val="CommentText"/>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character" w:styleId="HTMLCite">
    <w:name w:val="HTML Cite"/>
    <w:uiPriority w:val="99"/>
    <w:unhideWhenUsed/>
    <w:rsid w:val="002A3AEF"/>
    <w:rPr>
      <w:i/>
      <w:iCs/>
    </w:rPr>
  </w:style>
  <w:style w:type="paragraph" w:styleId="E-mailSignature">
    <w:name w:val="E-mail Signature"/>
    <w:basedOn w:val="Normal"/>
    <w:link w:val="E-mailSignatureChar"/>
    <w:uiPriority w:val="99"/>
    <w:rsid w:val="005B211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rsid w:val="005B21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friend@nih.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oh/life-physical-and-social-science/medical-scientists.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gabus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rugabuse.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ugabuse.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10</cp:revision>
  <dcterms:created xsi:type="dcterms:W3CDTF">2022-04-14T17:10:00Z</dcterms:created>
  <dcterms:modified xsi:type="dcterms:W3CDTF">2022-04-28T22:02:00Z</dcterms:modified>
</cp:coreProperties>
</file>