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B412A" w:rsidR="00302B0E" w:rsidP="00302B0E" w:rsidRDefault="00302B0E" w14:paraId="30DAFD0A" w14:textId="77777777">
      <w:pPr>
        <w:jc w:val="center"/>
        <w:rPr>
          <w:sz w:val="28"/>
          <w:szCs w:val="28"/>
        </w:rPr>
      </w:pPr>
    </w:p>
    <w:p w:rsidRPr="003B412A" w:rsidR="00302B0E" w:rsidP="00302B0E" w:rsidRDefault="00302B0E" w14:paraId="5C2A4086" w14:textId="77777777">
      <w:pPr>
        <w:jc w:val="center"/>
        <w:rPr>
          <w:sz w:val="28"/>
          <w:szCs w:val="28"/>
        </w:rPr>
      </w:pPr>
    </w:p>
    <w:p w:rsidRPr="003B412A" w:rsidR="00302B0E" w:rsidP="00302B0E" w:rsidRDefault="00302B0E" w14:paraId="5BFA30FD" w14:textId="77777777">
      <w:pPr>
        <w:jc w:val="center"/>
        <w:rPr>
          <w:sz w:val="28"/>
          <w:szCs w:val="28"/>
        </w:rPr>
      </w:pPr>
    </w:p>
    <w:p w:rsidRPr="0095154A" w:rsidR="00302B0E" w:rsidP="00302B0E" w:rsidRDefault="00302B0E" w14:paraId="283651B9" w14:textId="77777777">
      <w:pPr>
        <w:jc w:val="center"/>
        <w:rPr>
          <w:b/>
          <w:sz w:val="28"/>
          <w:szCs w:val="28"/>
        </w:rPr>
      </w:pPr>
      <w:r w:rsidRPr="0095154A">
        <w:rPr>
          <w:b/>
          <w:sz w:val="28"/>
          <w:szCs w:val="28"/>
        </w:rPr>
        <w:t>SUPPORTING STATEMENT</w:t>
      </w:r>
    </w:p>
    <w:p w:rsidRPr="0095154A" w:rsidR="00302B0E" w:rsidP="00302B0E" w:rsidRDefault="00302B0E" w14:paraId="46E9EAB1" w14:textId="77777777">
      <w:pPr>
        <w:jc w:val="center"/>
        <w:rPr>
          <w:b/>
          <w:sz w:val="28"/>
          <w:szCs w:val="28"/>
        </w:rPr>
      </w:pPr>
    </w:p>
    <w:p w:rsidRPr="0095154A" w:rsidR="00302B0E" w:rsidP="00302B0E" w:rsidRDefault="00302B0E" w14:paraId="16DD62E4" w14:textId="77777777">
      <w:pPr>
        <w:jc w:val="center"/>
        <w:rPr>
          <w:sz w:val="28"/>
          <w:szCs w:val="28"/>
        </w:rPr>
      </w:pPr>
      <w:r w:rsidRPr="0095154A">
        <w:rPr>
          <w:b/>
          <w:sz w:val="28"/>
          <w:szCs w:val="28"/>
        </w:rPr>
        <w:t>Part A</w:t>
      </w:r>
    </w:p>
    <w:p w:rsidRPr="0095154A" w:rsidR="00302B0E" w:rsidP="00302B0E" w:rsidRDefault="00302B0E" w14:paraId="46278F75" w14:textId="77777777">
      <w:pPr>
        <w:jc w:val="center"/>
        <w:rPr>
          <w:sz w:val="28"/>
          <w:szCs w:val="28"/>
        </w:rPr>
      </w:pPr>
    </w:p>
    <w:p w:rsidRPr="0095154A" w:rsidR="00302B0E" w:rsidP="00302B0E" w:rsidRDefault="00302B0E" w14:paraId="76B7520B" w14:textId="77777777">
      <w:pPr>
        <w:jc w:val="center"/>
        <w:rPr>
          <w:sz w:val="28"/>
          <w:szCs w:val="28"/>
        </w:rPr>
      </w:pPr>
    </w:p>
    <w:p w:rsidRPr="0095154A" w:rsidR="00302B0E" w:rsidP="00302B0E" w:rsidRDefault="00302B0E" w14:paraId="71D36854" w14:textId="77777777">
      <w:pPr>
        <w:jc w:val="center"/>
        <w:rPr>
          <w:sz w:val="28"/>
          <w:szCs w:val="28"/>
        </w:rPr>
      </w:pPr>
    </w:p>
    <w:p w:rsidRPr="0095154A" w:rsidR="00302B0E" w:rsidP="00302B0E" w:rsidRDefault="00302B0E" w14:paraId="565653ED" w14:textId="77777777">
      <w:pPr>
        <w:jc w:val="center"/>
        <w:rPr>
          <w:sz w:val="28"/>
          <w:szCs w:val="28"/>
        </w:rPr>
      </w:pPr>
    </w:p>
    <w:p w:rsidRPr="0095154A" w:rsidR="00302B0E" w:rsidP="00302B0E" w:rsidRDefault="00302B0E" w14:paraId="48DE9D37" w14:textId="77777777">
      <w:pPr>
        <w:jc w:val="center"/>
        <w:rPr>
          <w:sz w:val="28"/>
          <w:szCs w:val="28"/>
        </w:rPr>
      </w:pPr>
    </w:p>
    <w:p w:rsidRPr="0095154A" w:rsidR="00302B0E" w:rsidP="00302B0E" w:rsidRDefault="00302B0E" w14:paraId="1F4212F6" w14:textId="77777777">
      <w:pPr>
        <w:jc w:val="center"/>
        <w:rPr>
          <w:sz w:val="28"/>
          <w:szCs w:val="28"/>
        </w:rPr>
      </w:pPr>
    </w:p>
    <w:p w:rsidRPr="0095154A" w:rsidR="00302B0E" w:rsidP="00302B0E" w:rsidRDefault="00302B0E" w14:paraId="44DE21E3" w14:textId="77777777">
      <w:pPr>
        <w:rPr>
          <w:bCs/>
          <w:sz w:val="44"/>
          <w:szCs w:val="44"/>
        </w:rPr>
      </w:pPr>
    </w:p>
    <w:p w:rsidRPr="0061507E" w:rsidR="0061507E" w:rsidP="0061507E" w:rsidRDefault="00BD2052" w14:paraId="3F35F307" w14:textId="2C71E909">
      <w:pPr>
        <w:jc w:val="center"/>
        <w:rPr>
          <w:b/>
          <w:bCs/>
        </w:rPr>
      </w:pPr>
      <w:r w:rsidRPr="00BD2052">
        <w:rPr>
          <w:b/>
          <w:bCs/>
        </w:rPr>
        <w:t>TeamSTEPPS® Stakeholder Surveys for AHRQ’s ACTION III Diagnostic Safety Capacity Building Contract Task 3</w:t>
      </w:r>
      <w:r w:rsidRPr="00BD2052" w:rsidDel="00BD2052">
        <w:rPr>
          <w:b/>
          <w:bCs/>
        </w:rPr>
        <w:t xml:space="preserve"> </w:t>
      </w:r>
      <w:r w:rsidRPr="0061507E" w:rsidR="0061507E">
        <w:rPr>
          <w:b/>
          <w:bCs/>
        </w:rPr>
        <w:t>(TORFP: 75P00119R00265)</w:t>
      </w:r>
    </w:p>
    <w:p w:rsidRPr="0095154A" w:rsidR="0061507E" w:rsidP="00302B0E" w:rsidRDefault="0061507E" w14:paraId="6025C4A0" w14:textId="77777777">
      <w:pPr>
        <w:jc w:val="center"/>
        <w:rPr>
          <w:b/>
          <w:bCs/>
        </w:rPr>
      </w:pPr>
    </w:p>
    <w:p w:rsidRPr="0095154A" w:rsidR="00302B0E" w:rsidP="00302B0E" w:rsidRDefault="00302B0E" w14:paraId="1F0BFA31" w14:textId="77777777">
      <w:pPr>
        <w:jc w:val="center"/>
        <w:rPr>
          <w:i/>
          <w:sz w:val="28"/>
          <w:szCs w:val="28"/>
        </w:rPr>
      </w:pPr>
    </w:p>
    <w:p w:rsidRPr="0095154A" w:rsidR="00302B0E" w:rsidP="00302B0E" w:rsidRDefault="00302B0E" w14:paraId="2989F4E1" w14:textId="77777777">
      <w:pPr>
        <w:jc w:val="center"/>
        <w:rPr>
          <w:sz w:val="28"/>
          <w:szCs w:val="28"/>
        </w:rPr>
      </w:pPr>
    </w:p>
    <w:p w:rsidRPr="0095154A" w:rsidR="00302B0E" w:rsidP="00302B0E" w:rsidRDefault="00302B0E" w14:paraId="2C8435BB" w14:textId="77777777">
      <w:pPr>
        <w:jc w:val="center"/>
        <w:rPr>
          <w:sz w:val="28"/>
          <w:szCs w:val="28"/>
        </w:rPr>
      </w:pPr>
    </w:p>
    <w:p w:rsidRPr="0095154A" w:rsidR="00302B0E" w:rsidP="00302B0E" w:rsidRDefault="00302B0E" w14:paraId="670E002D" w14:textId="77777777">
      <w:pPr>
        <w:jc w:val="center"/>
        <w:rPr>
          <w:sz w:val="28"/>
          <w:szCs w:val="28"/>
        </w:rPr>
      </w:pPr>
    </w:p>
    <w:p w:rsidRPr="0095154A" w:rsidR="00302B0E" w:rsidP="00302B0E" w:rsidRDefault="00302B0E" w14:paraId="1F29B5DC" w14:textId="52CB5B21">
      <w:pPr>
        <w:jc w:val="center"/>
        <w:rPr>
          <w:i/>
          <w:iCs/>
          <w:sz w:val="28"/>
          <w:szCs w:val="28"/>
        </w:rPr>
      </w:pPr>
      <w:r w:rsidRPr="0095154A">
        <w:rPr>
          <w:b/>
          <w:bCs/>
          <w:sz w:val="28"/>
          <w:szCs w:val="28"/>
        </w:rPr>
        <w:t xml:space="preserve">Version: </w:t>
      </w:r>
      <w:r w:rsidR="00784E10">
        <w:rPr>
          <w:i/>
          <w:iCs/>
          <w:sz w:val="28"/>
          <w:szCs w:val="28"/>
        </w:rPr>
        <w:t xml:space="preserve">January </w:t>
      </w:r>
      <w:r w:rsidR="00C3559F">
        <w:rPr>
          <w:i/>
          <w:iCs/>
          <w:sz w:val="28"/>
          <w:szCs w:val="28"/>
        </w:rPr>
        <w:t>13</w:t>
      </w:r>
      <w:r w:rsidR="00784E10">
        <w:rPr>
          <w:i/>
          <w:iCs/>
          <w:sz w:val="28"/>
          <w:szCs w:val="28"/>
        </w:rPr>
        <w:t>, 2022</w:t>
      </w:r>
    </w:p>
    <w:p w:rsidRPr="0095154A" w:rsidR="00302B0E" w:rsidP="00302B0E" w:rsidRDefault="00302B0E" w14:paraId="1E3287E6" w14:textId="77777777">
      <w:pPr>
        <w:jc w:val="center"/>
        <w:rPr>
          <w:i/>
          <w:sz w:val="28"/>
          <w:szCs w:val="28"/>
        </w:rPr>
      </w:pPr>
    </w:p>
    <w:p w:rsidRPr="0095154A" w:rsidR="00302B0E" w:rsidP="00302B0E" w:rsidRDefault="00302B0E" w14:paraId="13944744" w14:textId="77777777">
      <w:pPr>
        <w:jc w:val="center"/>
        <w:rPr>
          <w:sz w:val="28"/>
          <w:szCs w:val="28"/>
        </w:rPr>
      </w:pPr>
    </w:p>
    <w:p w:rsidRPr="0095154A" w:rsidR="00302B0E" w:rsidP="00302B0E" w:rsidRDefault="00302B0E" w14:paraId="3A7EC4D5" w14:textId="77777777">
      <w:pPr>
        <w:jc w:val="center"/>
        <w:rPr>
          <w:sz w:val="28"/>
          <w:szCs w:val="28"/>
        </w:rPr>
      </w:pPr>
    </w:p>
    <w:p w:rsidRPr="0095154A" w:rsidR="00302B0E" w:rsidP="00302B0E" w:rsidRDefault="00302B0E" w14:paraId="2C520402" w14:textId="77777777">
      <w:pPr>
        <w:jc w:val="center"/>
        <w:rPr>
          <w:sz w:val="28"/>
          <w:szCs w:val="28"/>
        </w:rPr>
      </w:pPr>
    </w:p>
    <w:p w:rsidRPr="0095154A" w:rsidR="00302B0E" w:rsidP="00302B0E" w:rsidRDefault="00302B0E" w14:paraId="61709864" w14:textId="77777777">
      <w:pPr>
        <w:jc w:val="center"/>
        <w:rPr>
          <w:sz w:val="28"/>
          <w:szCs w:val="28"/>
        </w:rPr>
      </w:pPr>
    </w:p>
    <w:p w:rsidRPr="0095154A" w:rsidR="00302B0E" w:rsidP="00302B0E" w:rsidRDefault="00302B0E" w14:paraId="37932219" w14:textId="77777777">
      <w:pPr>
        <w:jc w:val="center"/>
        <w:rPr>
          <w:sz w:val="28"/>
          <w:szCs w:val="28"/>
        </w:rPr>
      </w:pPr>
    </w:p>
    <w:p w:rsidRPr="0095154A" w:rsidR="00302B0E" w:rsidP="00302B0E" w:rsidRDefault="00302B0E" w14:paraId="228FF6E5" w14:textId="77777777">
      <w:pPr>
        <w:jc w:val="center"/>
        <w:rPr>
          <w:sz w:val="28"/>
          <w:szCs w:val="28"/>
        </w:rPr>
      </w:pPr>
      <w:r w:rsidRPr="0095154A">
        <w:rPr>
          <w:sz w:val="28"/>
          <w:szCs w:val="28"/>
        </w:rPr>
        <w:t>Agency of Healthcare Research and Quality (AHRQ)</w:t>
      </w:r>
    </w:p>
    <w:p w:rsidRPr="0095154A" w:rsidR="00302B0E" w:rsidP="00302B0E" w:rsidRDefault="00302B0E" w14:paraId="07FF728E" w14:textId="77777777">
      <w:pPr>
        <w:rPr>
          <w:sz w:val="28"/>
          <w:szCs w:val="28"/>
        </w:rPr>
      </w:pPr>
    </w:p>
    <w:p w:rsidRPr="0095154A" w:rsidR="00302B0E" w:rsidP="00302B0E" w:rsidRDefault="00302B0E" w14:paraId="6DDA7060" w14:textId="77777777">
      <w:pPr>
        <w:rPr>
          <w:sz w:val="28"/>
          <w:szCs w:val="28"/>
        </w:rPr>
      </w:pPr>
    </w:p>
    <w:p w:rsidRPr="0095154A" w:rsidR="00302B0E" w:rsidP="00302B0E" w:rsidRDefault="00302B0E" w14:paraId="7015F4F4" w14:textId="77777777">
      <w:pPr>
        <w:rPr>
          <w:b/>
        </w:rPr>
      </w:pPr>
      <w:r w:rsidRPr="0095154A">
        <w:br w:type="page"/>
      </w:r>
      <w:r w:rsidRPr="0095154A">
        <w:rPr>
          <w:b/>
        </w:rPr>
        <w:lastRenderedPageBreak/>
        <w:t>Table of contents</w:t>
      </w:r>
    </w:p>
    <w:p w:rsidRPr="0095154A" w:rsidR="00302B0E" w:rsidP="00302B0E" w:rsidRDefault="00302B0E" w14:paraId="15632C01" w14:textId="77777777">
      <w:pPr>
        <w:jc w:val="center"/>
        <w:rPr>
          <w:b/>
        </w:rPr>
      </w:pPr>
    </w:p>
    <w:p w:rsidRPr="0095154A" w:rsidR="00302B0E" w:rsidP="00302B0E" w:rsidRDefault="00302B0E" w14:paraId="189BE37B" w14:textId="77777777">
      <w:pPr>
        <w:tabs>
          <w:tab w:val="left" w:leader="dot" w:pos="8280"/>
        </w:tabs>
      </w:pPr>
      <w:r w:rsidRPr="0095154A">
        <w:t>A. Justification</w:t>
      </w:r>
      <w:r w:rsidRPr="0095154A">
        <w:tab/>
        <w:t>3</w:t>
      </w:r>
    </w:p>
    <w:p w:rsidRPr="0095154A" w:rsidR="00302B0E" w:rsidP="00302B0E" w:rsidRDefault="00302B0E" w14:paraId="2F72933E" w14:textId="77777777">
      <w:pPr>
        <w:tabs>
          <w:tab w:val="left" w:pos="360"/>
          <w:tab w:val="left" w:leader="dot" w:pos="8280"/>
        </w:tabs>
      </w:pPr>
      <w:r w:rsidRPr="0095154A">
        <w:tab/>
        <w:t>1. Circumstances that make the collection of information necessary</w:t>
      </w:r>
      <w:r w:rsidRPr="0095154A">
        <w:tab/>
        <w:t>3</w:t>
      </w:r>
    </w:p>
    <w:p w:rsidRPr="0095154A" w:rsidR="00302B0E" w:rsidP="00302B0E" w:rsidRDefault="00302B0E" w14:paraId="598775C8" w14:textId="448F2B27">
      <w:pPr>
        <w:tabs>
          <w:tab w:val="left" w:pos="360"/>
          <w:tab w:val="left" w:leader="dot" w:pos="8280"/>
        </w:tabs>
      </w:pPr>
      <w:r w:rsidRPr="0095154A">
        <w:tab/>
        <w:t>2. Purpose and use of information</w:t>
      </w:r>
      <w:r w:rsidRPr="0095154A">
        <w:tab/>
      </w:r>
      <w:r w:rsidR="00305982">
        <w:t>6</w:t>
      </w:r>
    </w:p>
    <w:p w:rsidRPr="0095154A" w:rsidR="00302B0E" w:rsidP="00302B0E" w:rsidRDefault="00302B0E" w14:paraId="3CBE65B4" w14:textId="55E10F13">
      <w:pPr>
        <w:tabs>
          <w:tab w:val="left" w:pos="360"/>
          <w:tab w:val="left" w:leader="dot" w:pos="8280"/>
        </w:tabs>
      </w:pPr>
      <w:r w:rsidRPr="0095154A">
        <w:tab/>
        <w:t>3. Use of Improved Information Technology</w:t>
      </w:r>
      <w:r w:rsidRPr="0095154A">
        <w:tab/>
      </w:r>
      <w:r w:rsidR="00305982">
        <w:t>6</w:t>
      </w:r>
    </w:p>
    <w:p w:rsidRPr="0095154A" w:rsidR="00302B0E" w:rsidP="00302B0E" w:rsidRDefault="00302B0E" w14:paraId="6F508161" w14:textId="0DB9FD0C">
      <w:pPr>
        <w:tabs>
          <w:tab w:val="left" w:pos="360"/>
          <w:tab w:val="left" w:leader="dot" w:pos="8280"/>
        </w:tabs>
      </w:pPr>
      <w:r w:rsidRPr="0095154A">
        <w:tab/>
        <w:t>4. Efforts to Identify Duplication</w:t>
      </w:r>
      <w:r w:rsidRPr="0095154A">
        <w:tab/>
      </w:r>
      <w:r w:rsidR="00305982">
        <w:t>7</w:t>
      </w:r>
    </w:p>
    <w:p w:rsidRPr="0095154A" w:rsidR="00302B0E" w:rsidP="00302B0E" w:rsidRDefault="00302B0E" w14:paraId="7E806204" w14:textId="7326A85D">
      <w:pPr>
        <w:tabs>
          <w:tab w:val="left" w:pos="360"/>
          <w:tab w:val="left" w:leader="dot" w:pos="8280"/>
        </w:tabs>
      </w:pPr>
      <w:r w:rsidRPr="0095154A">
        <w:tab/>
        <w:t>5. Involvement of Small Entities</w:t>
      </w:r>
      <w:r w:rsidRPr="0095154A">
        <w:tab/>
      </w:r>
      <w:r w:rsidR="00305982">
        <w:t>7</w:t>
      </w:r>
    </w:p>
    <w:p w:rsidRPr="0095154A" w:rsidR="00302B0E" w:rsidP="00302B0E" w:rsidRDefault="00302B0E" w14:paraId="1E3D365B" w14:textId="4798FC68">
      <w:pPr>
        <w:tabs>
          <w:tab w:val="left" w:pos="360"/>
          <w:tab w:val="left" w:leader="dot" w:pos="8280"/>
        </w:tabs>
      </w:pPr>
      <w:r w:rsidRPr="0095154A">
        <w:tab/>
        <w:t>6. Consequences if Information Collected Less Frequently</w:t>
      </w:r>
      <w:r w:rsidRPr="0095154A">
        <w:tab/>
      </w:r>
      <w:r w:rsidR="00305982">
        <w:t>7</w:t>
      </w:r>
    </w:p>
    <w:p w:rsidRPr="0095154A" w:rsidR="00302B0E" w:rsidP="00302B0E" w:rsidRDefault="00302B0E" w14:paraId="2D5B0120" w14:textId="14CB863A">
      <w:pPr>
        <w:tabs>
          <w:tab w:val="left" w:pos="360"/>
          <w:tab w:val="left" w:leader="dot" w:pos="8280"/>
        </w:tabs>
      </w:pPr>
      <w:r w:rsidRPr="0095154A">
        <w:tab/>
        <w:t>7. Special Circumstances</w:t>
      </w:r>
      <w:r w:rsidRPr="0095154A">
        <w:tab/>
      </w:r>
      <w:r w:rsidR="00305982">
        <w:t>7</w:t>
      </w:r>
    </w:p>
    <w:p w:rsidRPr="0095154A" w:rsidR="00302B0E" w:rsidP="00302B0E" w:rsidRDefault="00302B0E" w14:paraId="1746E7B8" w14:textId="2D31A547">
      <w:pPr>
        <w:tabs>
          <w:tab w:val="left" w:pos="360"/>
          <w:tab w:val="left" w:leader="dot" w:pos="8280"/>
        </w:tabs>
      </w:pPr>
      <w:r w:rsidRPr="0095154A">
        <w:tab/>
        <w:t>8. Federal Register Notice and Outside Consultations</w:t>
      </w:r>
      <w:r w:rsidRPr="0095154A">
        <w:tab/>
      </w:r>
      <w:r w:rsidR="00305982">
        <w:t>7</w:t>
      </w:r>
    </w:p>
    <w:p w:rsidRPr="0095154A" w:rsidR="00302B0E" w:rsidP="00302B0E" w:rsidRDefault="00302B0E" w14:paraId="16342F13" w14:textId="28A04139">
      <w:pPr>
        <w:tabs>
          <w:tab w:val="left" w:pos="360"/>
          <w:tab w:val="left" w:leader="dot" w:pos="8280"/>
        </w:tabs>
      </w:pPr>
      <w:r w:rsidRPr="0095154A">
        <w:tab/>
        <w:t>9. Payments/Gifts to Respondents</w:t>
      </w:r>
      <w:r w:rsidRPr="0095154A">
        <w:tab/>
      </w:r>
      <w:r w:rsidR="00305982">
        <w:t>8</w:t>
      </w:r>
    </w:p>
    <w:p w:rsidRPr="0095154A" w:rsidR="00302B0E" w:rsidP="00302B0E" w:rsidRDefault="00302B0E" w14:paraId="6AFEAC57" w14:textId="4E5F2547">
      <w:pPr>
        <w:tabs>
          <w:tab w:val="left" w:pos="360"/>
          <w:tab w:val="left" w:leader="dot" w:pos="8280"/>
        </w:tabs>
      </w:pPr>
      <w:r w:rsidRPr="0095154A">
        <w:tab/>
        <w:t>10. Assurance of Confidentiality</w:t>
      </w:r>
      <w:r w:rsidRPr="0095154A">
        <w:tab/>
      </w:r>
      <w:r w:rsidR="00305982">
        <w:t>8</w:t>
      </w:r>
    </w:p>
    <w:p w:rsidRPr="0095154A" w:rsidR="00302B0E" w:rsidP="00302B0E" w:rsidRDefault="00302B0E" w14:paraId="47266789" w14:textId="54CCE5A8">
      <w:pPr>
        <w:tabs>
          <w:tab w:val="left" w:pos="360"/>
          <w:tab w:val="left" w:leader="dot" w:pos="8280"/>
        </w:tabs>
      </w:pPr>
      <w:r w:rsidRPr="0095154A">
        <w:tab/>
        <w:t>11. Questions of a Sensitive Nature</w:t>
      </w:r>
      <w:r w:rsidRPr="0095154A">
        <w:tab/>
      </w:r>
      <w:r w:rsidR="00305982">
        <w:t>9</w:t>
      </w:r>
    </w:p>
    <w:p w:rsidRPr="0095154A" w:rsidR="00302B0E" w:rsidP="00302B0E" w:rsidRDefault="00302B0E" w14:paraId="275EDC32" w14:textId="521274D6">
      <w:pPr>
        <w:tabs>
          <w:tab w:val="left" w:pos="360"/>
          <w:tab w:val="left" w:leader="dot" w:pos="8280"/>
        </w:tabs>
      </w:pPr>
      <w:r w:rsidRPr="0095154A">
        <w:tab/>
        <w:t>12. Estimates of Annualized Burden Hours and Costs</w:t>
      </w:r>
      <w:r w:rsidRPr="0095154A">
        <w:tab/>
      </w:r>
      <w:r w:rsidR="00305982">
        <w:t>9</w:t>
      </w:r>
    </w:p>
    <w:p w:rsidRPr="0095154A" w:rsidR="00302B0E" w:rsidP="00302B0E" w:rsidRDefault="00302B0E" w14:paraId="7D323371" w14:textId="450F6F6B">
      <w:pPr>
        <w:tabs>
          <w:tab w:val="left" w:pos="360"/>
          <w:tab w:val="left" w:leader="dot" w:pos="8280"/>
        </w:tabs>
      </w:pPr>
      <w:r w:rsidRPr="0095154A">
        <w:tab/>
        <w:t>13. Estimates of Annualized Respondent Capital and Maintenance Costs</w:t>
      </w:r>
      <w:r w:rsidRPr="0095154A">
        <w:tab/>
      </w:r>
      <w:r w:rsidR="00305982">
        <w:t>9</w:t>
      </w:r>
    </w:p>
    <w:p w:rsidRPr="0095154A" w:rsidR="00302B0E" w:rsidP="00302B0E" w:rsidRDefault="00302B0E" w14:paraId="09EC689F" w14:textId="2B0A3266">
      <w:pPr>
        <w:tabs>
          <w:tab w:val="left" w:pos="360"/>
          <w:tab w:val="left" w:leader="dot" w:pos="8280"/>
        </w:tabs>
      </w:pPr>
      <w:r w:rsidRPr="0095154A">
        <w:tab/>
        <w:t>14. Estimates of Annualized Cost to the Government</w:t>
      </w:r>
      <w:r w:rsidRPr="0095154A">
        <w:tab/>
      </w:r>
      <w:r w:rsidR="00305982">
        <w:t>9</w:t>
      </w:r>
    </w:p>
    <w:p w:rsidRPr="0095154A" w:rsidR="00302B0E" w:rsidP="00302B0E" w:rsidRDefault="00302B0E" w14:paraId="4D7644E6" w14:textId="3D1A7002">
      <w:pPr>
        <w:tabs>
          <w:tab w:val="left" w:pos="360"/>
          <w:tab w:val="left" w:leader="dot" w:pos="8280"/>
        </w:tabs>
      </w:pPr>
      <w:r w:rsidRPr="0095154A">
        <w:tab/>
        <w:t>15. Changes in Hour Burden</w:t>
      </w:r>
      <w:r w:rsidRPr="0095154A">
        <w:tab/>
        <w:t>1</w:t>
      </w:r>
      <w:r w:rsidR="00305982">
        <w:t>0</w:t>
      </w:r>
    </w:p>
    <w:p w:rsidRPr="0095154A" w:rsidR="00302B0E" w:rsidP="00302B0E" w:rsidRDefault="00302B0E" w14:paraId="4D3DFAAE" w14:textId="6FE59705">
      <w:pPr>
        <w:tabs>
          <w:tab w:val="left" w:pos="360"/>
          <w:tab w:val="left" w:leader="dot" w:pos="8280"/>
        </w:tabs>
      </w:pPr>
      <w:r w:rsidRPr="0095154A">
        <w:tab/>
        <w:t>16. Time Schedule, Publication and Analysis Plans</w:t>
      </w:r>
      <w:r w:rsidRPr="0095154A">
        <w:tab/>
        <w:t>1</w:t>
      </w:r>
      <w:r w:rsidR="00305982">
        <w:t>0</w:t>
      </w:r>
    </w:p>
    <w:p w:rsidRPr="0095154A" w:rsidR="00302B0E" w:rsidP="00302B0E" w:rsidRDefault="00302B0E" w14:paraId="5DC6B7DB" w14:textId="7B8200A2">
      <w:pPr>
        <w:tabs>
          <w:tab w:val="left" w:pos="360"/>
          <w:tab w:val="left" w:leader="dot" w:pos="8280"/>
        </w:tabs>
      </w:pPr>
      <w:r w:rsidRPr="0095154A">
        <w:tab/>
        <w:t>17. Exemption for Display of Expiration Date</w:t>
      </w:r>
      <w:r w:rsidRPr="0095154A">
        <w:tab/>
        <w:t>1</w:t>
      </w:r>
      <w:r w:rsidR="00305982">
        <w:t>0</w:t>
      </w:r>
    </w:p>
    <w:p w:rsidRPr="0095154A" w:rsidR="00302B0E" w:rsidP="00302B0E" w:rsidRDefault="00302B0E" w14:paraId="2B8833D0" w14:textId="721EE273">
      <w:pPr>
        <w:tabs>
          <w:tab w:val="left" w:pos="360"/>
          <w:tab w:val="left" w:leader="dot" w:pos="8280"/>
        </w:tabs>
      </w:pPr>
      <w:r w:rsidRPr="0095154A">
        <w:tab/>
        <w:t>List of Attachments</w:t>
      </w:r>
      <w:r w:rsidRPr="0095154A">
        <w:tab/>
        <w:t>1</w:t>
      </w:r>
      <w:r w:rsidR="00305982">
        <w:t>1</w:t>
      </w:r>
    </w:p>
    <w:p w:rsidRPr="0095154A" w:rsidR="00302B0E" w:rsidP="00302B0E" w:rsidRDefault="00302B0E" w14:paraId="23387194" w14:textId="63522DB5">
      <w:pPr>
        <w:tabs>
          <w:tab w:val="left" w:pos="360"/>
          <w:tab w:val="left" w:leader="dot" w:pos="8280"/>
        </w:tabs>
      </w:pPr>
      <w:r w:rsidRPr="0095154A">
        <w:tab/>
        <w:t>References</w:t>
      </w:r>
      <w:r w:rsidRPr="0095154A">
        <w:tab/>
        <w:t>1</w:t>
      </w:r>
      <w:r w:rsidR="00305982">
        <w:t>2</w:t>
      </w:r>
    </w:p>
    <w:p w:rsidRPr="0095154A" w:rsidR="00302B0E" w:rsidP="00302B0E" w:rsidRDefault="00302B0E" w14:paraId="476A0B63" w14:textId="77777777">
      <w:pPr>
        <w:tabs>
          <w:tab w:val="left" w:pos="360"/>
          <w:tab w:val="left" w:leader="dot" w:pos="8280"/>
        </w:tabs>
      </w:pPr>
    </w:p>
    <w:p w:rsidRPr="0095154A" w:rsidR="00302B0E" w:rsidP="00302B0E" w:rsidRDefault="00302B0E" w14:paraId="4A43BFE3" w14:textId="77777777">
      <w:pPr>
        <w:tabs>
          <w:tab w:val="left" w:pos="360"/>
          <w:tab w:val="left" w:leader="dot" w:pos="8280"/>
        </w:tabs>
      </w:pPr>
      <w:r w:rsidRPr="0095154A">
        <w:tab/>
      </w:r>
    </w:p>
    <w:p w:rsidRPr="0095154A" w:rsidR="00302B0E" w:rsidP="00302B0E" w:rsidRDefault="00302B0E" w14:paraId="24254906" w14:textId="77777777">
      <w:pPr>
        <w:jc w:val="center"/>
        <w:rPr>
          <w:b/>
        </w:rPr>
      </w:pPr>
    </w:p>
    <w:p w:rsidRPr="0095154A" w:rsidR="00302B0E" w:rsidP="00302B0E" w:rsidRDefault="00302B0E" w14:paraId="456F31B0" w14:textId="77777777">
      <w:pPr>
        <w:pStyle w:val="TOC2"/>
        <w:tabs>
          <w:tab w:val="right" w:leader="dot" w:pos="8630"/>
        </w:tabs>
        <w:rPr>
          <w:noProof/>
        </w:rPr>
      </w:pPr>
      <w:r w:rsidRPr="0095154A">
        <w:rPr>
          <w:b/>
        </w:rPr>
        <w:fldChar w:fldCharType="begin"/>
      </w:r>
      <w:r w:rsidRPr="0095154A">
        <w:rPr>
          <w:b/>
        </w:rPr>
        <w:instrText xml:space="preserve"> TOC \o "1-3" \h \z \u </w:instrText>
      </w:r>
      <w:r w:rsidRPr="0095154A">
        <w:rPr>
          <w:b/>
        </w:rPr>
        <w:fldChar w:fldCharType="separate"/>
      </w:r>
    </w:p>
    <w:p w:rsidRPr="0095154A" w:rsidR="00302B0E" w:rsidP="00302B0E" w:rsidRDefault="00302B0E" w14:paraId="55D203DA" w14:textId="77777777">
      <w:pPr>
        <w:jc w:val="center"/>
        <w:rPr>
          <w:b/>
        </w:rPr>
      </w:pPr>
      <w:r w:rsidRPr="0095154A">
        <w:rPr>
          <w:b/>
        </w:rPr>
        <w:fldChar w:fldCharType="end"/>
      </w:r>
    </w:p>
    <w:p w:rsidRPr="0095154A" w:rsidR="00302B0E" w:rsidP="00302B0E" w:rsidRDefault="00302B0E" w14:paraId="74EAB701" w14:textId="77777777">
      <w:pPr>
        <w:pStyle w:val="Heading1"/>
        <w:rPr>
          <w:rFonts w:ascii="Times New Roman" w:hAnsi="Times New Roman" w:cs="Times New Roman"/>
          <w:sz w:val="24"/>
          <w:szCs w:val="24"/>
        </w:rPr>
      </w:pPr>
      <w:r w:rsidRPr="0095154A">
        <w:rPr>
          <w:rFonts w:ascii="Times New Roman" w:hAnsi="Times New Roman" w:cs="Times New Roman"/>
        </w:rPr>
        <w:br w:type="page"/>
      </w:r>
      <w:bookmarkStart w:name="_Toc151782175" w:id="0"/>
      <w:bookmarkStart w:name="_Toc158526215" w:id="1"/>
      <w:r w:rsidRPr="0095154A">
        <w:rPr>
          <w:rFonts w:ascii="Times New Roman" w:hAnsi="Times New Roman" w:cs="Times New Roman"/>
          <w:sz w:val="24"/>
          <w:szCs w:val="24"/>
        </w:rPr>
        <w:lastRenderedPageBreak/>
        <w:t>A. Justification</w:t>
      </w:r>
      <w:bookmarkEnd w:id="0"/>
      <w:bookmarkEnd w:id="1"/>
    </w:p>
    <w:p w:rsidR="00302B0E" w:rsidP="00302B0E" w:rsidRDefault="00302B0E" w14:paraId="6B7BA862" w14:textId="592C7CEC">
      <w:pPr>
        <w:pStyle w:val="Heading2"/>
        <w:contextualSpacing/>
        <w:rPr>
          <w:rFonts w:ascii="Times New Roman" w:hAnsi="Times New Roman" w:cs="Times New Roman"/>
          <w:sz w:val="24"/>
          <w:szCs w:val="24"/>
        </w:rPr>
      </w:pPr>
      <w:bookmarkStart w:name="_Toc151782176" w:id="2"/>
      <w:bookmarkStart w:name="_Toc158526216" w:id="3"/>
      <w:r w:rsidRPr="0095154A">
        <w:rPr>
          <w:rFonts w:ascii="Times New Roman" w:hAnsi="Times New Roman" w:cs="Times New Roman"/>
          <w:sz w:val="24"/>
          <w:szCs w:val="24"/>
        </w:rPr>
        <w:t xml:space="preserve">1. </w:t>
      </w:r>
      <w:bookmarkEnd w:id="2"/>
      <w:bookmarkEnd w:id="3"/>
      <w:r w:rsidRPr="0095154A">
        <w:rPr>
          <w:rFonts w:ascii="Times New Roman" w:hAnsi="Times New Roman" w:cs="Times New Roman"/>
          <w:sz w:val="24"/>
          <w:szCs w:val="24"/>
        </w:rPr>
        <w:t>Circumstances that make the collection of information necessary</w:t>
      </w:r>
    </w:p>
    <w:p w:rsidRPr="0061507E" w:rsidR="0061507E" w:rsidP="0061507E" w:rsidRDefault="0061507E" w14:paraId="1AC15123" w14:textId="77777777"/>
    <w:p w:rsidRPr="0095154A" w:rsidR="00302B0E" w:rsidP="00302B0E" w:rsidRDefault="00302B0E" w14:paraId="01F79DBC" w14:textId="77777777">
      <w:pPr>
        <w:contextualSpacing/>
      </w:pPr>
      <w:r w:rsidRPr="0095154A">
        <w:t>The mission of the Agency for Healthcare Research and Quality (AHRQ) set out in its authorizing legislation, The Healthcare Research and Quality Act of 1999 (see http://www.ahrq.gov/hrqa99.pdf),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Pr="0095154A" w:rsidR="00302B0E" w:rsidP="00302B0E" w:rsidRDefault="00302B0E" w14:paraId="136AD897" w14:textId="77777777">
      <w:pPr>
        <w:tabs>
          <w:tab w:val="left" w:pos="360"/>
        </w:tabs>
      </w:pPr>
      <w:r w:rsidRPr="0095154A">
        <w:tab/>
      </w:r>
    </w:p>
    <w:p w:rsidRPr="0095154A" w:rsidR="00302B0E" w:rsidP="00302B0E" w:rsidRDefault="00302B0E" w14:paraId="0503E18B" w14:textId="2CA68C8D">
      <w:pPr>
        <w:tabs>
          <w:tab w:val="left" w:pos="360"/>
        </w:tabs>
        <w:ind w:left="360"/>
      </w:pPr>
      <w:r w:rsidRPr="0095154A">
        <w:t>1.</w:t>
      </w:r>
      <w:r w:rsidRPr="0095154A">
        <w:tab/>
      </w:r>
      <w:r w:rsidR="0061507E">
        <w:t>R</w:t>
      </w:r>
      <w:r w:rsidRPr="0095154A">
        <w:t xml:space="preserve">esearch that develops and presents scientific evidence regarding all aspects of </w:t>
      </w:r>
      <w:r w:rsidRPr="0095154A">
        <w:tab/>
      </w:r>
      <w:r w:rsidRPr="0095154A">
        <w:tab/>
        <w:t>health care; and</w:t>
      </w:r>
    </w:p>
    <w:p w:rsidRPr="0095154A" w:rsidR="00302B0E" w:rsidP="00302B0E" w:rsidRDefault="00302B0E" w14:paraId="00F03CF5" w14:textId="77777777">
      <w:pPr>
        <w:tabs>
          <w:tab w:val="left" w:pos="360"/>
        </w:tabs>
        <w:ind w:left="360"/>
      </w:pPr>
    </w:p>
    <w:p w:rsidRPr="0095154A" w:rsidR="00302B0E" w:rsidP="00302B0E" w:rsidRDefault="00302B0E" w14:paraId="1B5F43F8" w14:textId="17E30B7B">
      <w:pPr>
        <w:tabs>
          <w:tab w:val="left" w:pos="360"/>
        </w:tabs>
        <w:ind w:left="720" w:hanging="360"/>
      </w:pPr>
      <w:r w:rsidRPr="0095154A">
        <w:t>2.</w:t>
      </w:r>
      <w:r w:rsidRPr="0095154A">
        <w:tab/>
      </w:r>
      <w:r w:rsidR="0061507E">
        <w:t>S</w:t>
      </w:r>
      <w:r w:rsidRPr="0095154A">
        <w:t>ynthesis and dissemination of available scientific evidence for use by</w:t>
      </w:r>
      <w:r w:rsidR="002A7DD4">
        <w:t xml:space="preserve"> </w:t>
      </w:r>
      <w:r w:rsidRPr="0095154A">
        <w:t>patients, consumers, practitioners, providers, purchasers, policy makers, and educators; and</w:t>
      </w:r>
    </w:p>
    <w:p w:rsidRPr="0095154A" w:rsidR="00302B0E" w:rsidP="00302B0E" w:rsidRDefault="00302B0E" w14:paraId="30BF4714" w14:textId="77777777">
      <w:pPr>
        <w:tabs>
          <w:tab w:val="left" w:pos="360"/>
        </w:tabs>
        <w:ind w:left="360"/>
      </w:pPr>
    </w:p>
    <w:p w:rsidRPr="0095154A" w:rsidR="00302B0E" w:rsidP="00302B0E" w:rsidRDefault="00302B0E" w14:paraId="3516A245" w14:textId="30579336">
      <w:pPr>
        <w:tabs>
          <w:tab w:val="left" w:pos="360"/>
        </w:tabs>
        <w:ind w:left="360"/>
      </w:pPr>
      <w:r w:rsidRPr="0095154A">
        <w:t>3.</w:t>
      </w:r>
      <w:r w:rsidRPr="0095154A">
        <w:tab/>
      </w:r>
      <w:r w:rsidR="0061507E">
        <w:t>I</w:t>
      </w:r>
      <w:r w:rsidRPr="0095154A">
        <w:t>nitiatives to advance private and public efforts to improve health care quality.</w:t>
      </w:r>
    </w:p>
    <w:p w:rsidRPr="0095154A" w:rsidR="00302B0E" w:rsidP="00302B0E" w:rsidRDefault="00302B0E" w14:paraId="405C04A6" w14:textId="77777777">
      <w:pPr>
        <w:tabs>
          <w:tab w:val="left" w:pos="360"/>
        </w:tabs>
      </w:pPr>
    </w:p>
    <w:p w:rsidRPr="0095154A" w:rsidR="00302B0E" w:rsidP="00302B0E" w:rsidRDefault="00302B0E" w14:paraId="252B32C1" w14:textId="77CEECF4">
      <w:pPr>
        <w:tabs>
          <w:tab w:val="left" w:pos="360"/>
        </w:tabs>
      </w:pPr>
      <w:r w:rsidRPr="0095154A">
        <w:t>AHRQ conduct</w:t>
      </w:r>
      <w:r w:rsidR="0061507E">
        <w:t xml:space="preserve">s </w:t>
      </w:r>
      <w:r w:rsidRPr="0095154A">
        <w:t>and support</w:t>
      </w:r>
      <w:r w:rsidR="0061507E">
        <w:t>s</w:t>
      </w:r>
      <w:r w:rsidRPr="0095154A">
        <w:t xml:space="preserve"> research and evaluations, and support</w:t>
      </w:r>
      <w:r w:rsidR="00EB015F">
        <w:t>s</w:t>
      </w:r>
      <w:r w:rsidRPr="0095154A">
        <w:t xml:space="preserve">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Pr="0095154A" w:rsidR="00302B0E" w:rsidP="00302B0E" w:rsidRDefault="00302B0E" w14:paraId="0546DB33" w14:textId="77777777">
      <w:pPr>
        <w:tabs>
          <w:tab w:val="left" w:pos="360"/>
        </w:tabs>
      </w:pPr>
    </w:p>
    <w:p w:rsidR="00302B0E" w:rsidP="00302B0E" w:rsidRDefault="00302B0E" w14:paraId="0A53F924" w14:textId="055278AC">
      <w:pPr>
        <w:tabs>
          <w:tab w:val="left" w:pos="360"/>
        </w:tabs>
        <w:rPr>
          <w:b/>
          <w:bCs/>
        </w:rPr>
      </w:pPr>
      <w:r w:rsidRPr="0095154A">
        <w:rPr>
          <w:b/>
          <w:bCs/>
        </w:rPr>
        <w:t>Background for this information collection</w:t>
      </w:r>
    </w:p>
    <w:p w:rsidR="0061507E" w:rsidP="00302B0E" w:rsidRDefault="0061507E" w14:paraId="47EC0080" w14:textId="77777777">
      <w:pPr>
        <w:tabs>
          <w:tab w:val="left" w:pos="360"/>
        </w:tabs>
        <w:rPr>
          <w:b/>
          <w:bCs/>
        </w:rPr>
      </w:pPr>
    </w:p>
    <w:p w:rsidR="00302B0E" w:rsidP="00302B0E" w:rsidRDefault="00302B0E" w14:paraId="008FC334" w14:textId="2B0F4DA5">
      <w:pPr>
        <w:tabs>
          <w:tab w:val="left" w:pos="360"/>
        </w:tabs>
      </w:pPr>
      <w:r w:rsidRPr="0095154A">
        <w:t xml:space="preserve">Delayed, wrong, and missed diagnoses, or diagnostic errors, account for </w:t>
      </w:r>
      <w:r w:rsidR="002E3BB3">
        <w:t xml:space="preserve">an estimated </w:t>
      </w:r>
      <w:r w:rsidRPr="0095154A">
        <w:t>40,000 to 80,000 patient deaths each year</w:t>
      </w:r>
      <w:r w:rsidRPr="0095154A">
        <w:rPr>
          <w:vertAlign w:val="superscript"/>
        </w:rPr>
        <w:t>1-2</w:t>
      </w:r>
      <w:r w:rsidRPr="0095154A">
        <w:t>. Diagnostic errors are the most harmful type of medical error</w:t>
      </w:r>
      <w:r w:rsidRPr="0095154A">
        <w:rPr>
          <w:vertAlign w:val="superscript"/>
        </w:rPr>
        <w:t>3</w:t>
      </w:r>
      <w:r w:rsidRPr="0095154A">
        <w:t xml:space="preserve"> and are responsible for 33% of malpractice claims that result in permanent injury or death</w:t>
      </w:r>
      <w:r w:rsidRPr="0095154A">
        <w:rPr>
          <w:vertAlign w:val="superscript"/>
        </w:rPr>
        <w:t>4</w:t>
      </w:r>
      <w:r w:rsidRPr="0095154A">
        <w:t xml:space="preserve"> of the patient. </w:t>
      </w:r>
      <w:r w:rsidR="003521AC">
        <w:t>One third</w:t>
      </w:r>
      <w:r w:rsidRPr="0095154A">
        <w:t xml:space="preserve"> </w:t>
      </w:r>
      <w:r w:rsidRPr="0095154A">
        <w:rPr>
          <w:vertAlign w:val="superscript"/>
        </w:rPr>
        <w:t>5</w:t>
      </w:r>
      <w:r w:rsidRPr="0095154A">
        <w:t xml:space="preserve">of diagnostic-related malpractice claims have one or more communication breakdowns contributing to the event. </w:t>
      </w:r>
    </w:p>
    <w:p w:rsidRPr="0095154A" w:rsidR="0061507E" w:rsidP="00302B0E" w:rsidRDefault="0061507E" w14:paraId="6EE8E611" w14:textId="77777777">
      <w:pPr>
        <w:tabs>
          <w:tab w:val="left" w:pos="360"/>
        </w:tabs>
      </w:pPr>
    </w:p>
    <w:p w:rsidRPr="0095154A" w:rsidR="00302B0E" w:rsidP="00302B0E" w:rsidRDefault="00302B0E" w14:paraId="264057B1" w14:textId="5FB7B916">
      <w:pPr>
        <w:tabs>
          <w:tab w:val="left" w:pos="360"/>
        </w:tabs>
      </w:pPr>
      <w:r w:rsidRPr="0095154A">
        <w:t xml:space="preserve">The diagnostic process </w:t>
      </w:r>
      <w:r w:rsidR="009C5E59">
        <w:t xml:space="preserve">relies on </w:t>
      </w:r>
      <w:r w:rsidR="002D4067">
        <w:t>well-coordinated</w:t>
      </w:r>
      <w:r w:rsidR="00836E84">
        <w:t xml:space="preserve"> activities</w:t>
      </w:r>
      <w:r w:rsidR="006F300F">
        <w:t>.</w:t>
      </w:r>
      <w:r w:rsidR="00A03B41">
        <w:t xml:space="preserve"> </w:t>
      </w:r>
      <w:r w:rsidR="002D4067">
        <w:t xml:space="preserve">In the </w:t>
      </w:r>
      <w:r w:rsidRPr="0095154A" w:rsidR="002D4067">
        <w:t xml:space="preserve">2015 report </w:t>
      </w:r>
      <w:r w:rsidRPr="00F017EB" w:rsidR="002D4067">
        <w:rPr>
          <w:i/>
          <w:iCs/>
        </w:rPr>
        <w:t>Improving Diagnosis in Health Care</w:t>
      </w:r>
      <w:r w:rsidR="002D4067">
        <w:rPr>
          <w:i/>
          <w:iCs/>
        </w:rPr>
        <w:t>,</w:t>
      </w:r>
      <w:r w:rsidR="002D4067">
        <w:t xml:space="preserve"> </w:t>
      </w:r>
      <w:r w:rsidR="006F300F">
        <w:t>T</w:t>
      </w:r>
      <w:r w:rsidRPr="0095154A" w:rsidR="006F300F">
        <w:t>he National Academies of Science, Engineering, and Medicine (NAESM)</w:t>
      </w:r>
      <w:r w:rsidRPr="0095154A">
        <w:t xml:space="preserve"> identified the need for more effective teamwork in the diagnostic process among health care providers, patients, and their family members. Patient-provider encounters, diagnostic referrals, and daily team huddles are opportunities where improving communication among providers related to diagnosis may mitigate error</w:t>
      </w:r>
      <w:r w:rsidRPr="0095154A">
        <w:rPr>
          <w:vertAlign w:val="superscript"/>
        </w:rPr>
        <w:t>6-7</w:t>
      </w:r>
      <w:r w:rsidRPr="0095154A">
        <w:t>.</w:t>
      </w:r>
    </w:p>
    <w:p w:rsidRPr="0095154A" w:rsidR="00302B0E" w:rsidP="00302B0E" w:rsidRDefault="00302B0E" w14:paraId="0D70E4D1" w14:textId="77777777">
      <w:pPr>
        <w:tabs>
          <w:tab w:val="left" w:pos="360"/>
        </w:tabs>
      </w:pPr>
    </w:p>
    <w:p w:rsidR="00302B0E" w:rsidP="00302B0E" w:rsidRDefault="00302B0E" w14:paraId="3F06D7CA" w14:textId="4F4C7BFB">
      <w:pPr>
        <w:tabs>
          <w:tab w:val="left" w:pos="360"/>
        </w:tabs>
      </w:pPr>
      <w:r w:rsidRPr="0095154A">
        <w:t>TeamSTEPPS®</w:t>
      </w:r>
      <w:r w:rsidR="0061507E">
        <w:t xml:space="preserve">, created and </w:t>
      </w:r>
      <w:r w:rsidR="00023DAA">
        <w:t>refined over the years</w:t>
      </w:r>
      <w:r w:rsidR="0061507E">
        <w:t xml:space="preserve"> by AHRQ, </w:t>
      </w:r>
      <w:r w:rsidRPr="0095154A">
        <w:t xml:space="preserve"> </w:t>
      </w:r>
      <w:r w:rsidR="004469D1">
        <w:t xml:space="preserve">is an </w:t>
      </w:r>
      <w:r w:rsidR="00905850">
        <w:t>evidence-based</w:t>
      </w:r>
      <w:r w:rsidR="004469D1">
        <w:t xml:space="preserve"> framework </w:t>
      </w:r>
      <w:r w:rsidR="008F339F">
        <w:t xml:space="preserve"> to optimize team performance across the health care delivery system. </w:t>
      </w:r>
      <w:r w:rsidR="003C2428">
        <w:t>The various TeamSTEPPS versions</w:t>
      </w:r>
      <w:r w:rsidR="00621B7C">
        <w:t xml:space="preserve"> are based on four teachable learnable skills: Communication, Leadership, Situation Monitoring, and Mutual Support.</w:t>
      </w:r>
      <w:r w:rsidR="00651259">
        <w:t xml:space="preserve"> </w:t>
      </w:r>
    </w:p>
    <w:p w:rsidR="0061507E" w:rsidP="00302B0E" w:rsidRDefault="0061507E" w14:paraId="5452D0F9" w14:textId="77777777">
      <w:pPr>
        <w:tabs>
          <w:tab w:val="left" w:pos="360"/>
        </w:tabs>
      </w:pPr>
    </w:p>
    <w:p w:rsidR="00FD0642" w:rsidP="00B12278" w:rsidRDefault="0061507E" w14:paraId="7F578BF7" w14:textId="7292B928">
      <w:pPr>
        <w:tabs>
          <w:tab w:val="left" w:pos="360"/>
        </w:tabs>
      </w:pPr>
      <w:r w:rsidRPr="0061507E">
        <w:t>The MedStar Health Research Institute (MHRI) was awarded a contract with AHRQ</w:t>
      </w:r>
      <w:r w:rsidR="00EB015F">
        <w:t xml:space="preserve"> </w:t>
      </w:r>
      <w:r w:rsidRPr="0061507E">
        <w:t xml:space="preserve">in 2019 and received OMB fast track clearance (OMB control number 0935-0179, expiration date of 11/30/23), to provide program support and expertise related to improving diagnostic safety and quality across five distinct contract tasks. Task 3 of the contract is to develop, pilot test and promote TeamSTEPPS® Course to improve communication among providers related to diagnosis. </w:t>
      </w:r>
      <w:r w:rsidRPr="00FB5F5A" w:rsidR="00A658AF">
        <w:rPr>
          <w:i/>
          <w:iCs/>
        </w:rPr>
        <w:t>TeamSTEPPS</w:t>
      </w:r>
      <w:r w:rsidRPr="00FB5F5A" w:rsidR="002A315B">
        <w:rPr>
          <w:i/>
          <w:iCs/>
          <w:vertAlign w:val="superscript"/>
        </w:rPr>
        <w:t>®</w:t>
      </w:r>
      <w:r w:rsidRPr="00FB5F5A" w:rsidR="00A658AF">
        <w:rPr>
          <w:i/>
          <w:iCs/>
        </w:rPr>
        <w:t xml:space="preserve"> to Improve Diagnosis</w:t>
      </w:r>
      <w:r w:rsidR="00A658AF">
        <w:t xml:space="preserve"> provides </w:t>
      </w:r>
      <w:r w:rsidRPr="0095154A" w:rsidR="00A658AF">
        <w:t>communication strategies</w:t>
      </w:r>
      <w:r w:rsidR="00A658AF">
        <w:t>, methods</w:t>
      </w:r>
      <w:r w:rsidRPr="0095154A" w:rsidR="00A658AF">
        <w:t xml:space="preserve"> to improve intra-professional communication and communication during the referrals proces</w:t>
      </w:r>
      <w:r w:rsidR="00A658AF">
        <w:t xml:space="preserve">s and </w:t>
      </w:r>
      <w:r w:rsidRPr="0095154A" w:rsidR="00A658AF">
        <w:t xml:space="preserve"> </w:t>
      </w:r>
      <w:r w:rsidR="007A6779">
        <w:t xml:space="preserve">to </w:t>
      </w:r>
      <w:r w:rsidRPr="0095154A" w:rsidR="00A658AF">
        <w:t xml:space="preserve">practice mutual support and situation monitoring </w:t>
      </w:r>
      <w:r w:rsidR="007A6779">
        <w:t xml:space="preserve">during </w:t>
      </w:r>
      <w:r w:rsidRPr="0095154A" w:rsidR="00A658AF">
        <w:t xml:space="preserve">the diagnostic process. </w:t>
      </w:r>
      <w:r w:rsidR="00A658AF">
        <w:t xml:space="preserve">It </w:t>
      </w:r>
      <w:r w:rsidRPr="0095154A" w:rsidR="00A658AF">
        <w:t>includes a</w:t>
      </w:r>
      <w:r w:rsidR="007A6779">
        <w:t>n</w:t>
      </w:r>
      <w:r w:rsidRPr="0095154A" w:rsidR="00A658AF">
        <w:t xml:space="preserve"> educational module for leaders on strategies to facilitate improved communication </w:t>
      </w:r>
      <w:r w:rsidR="00A658AF">
        <w:t xml:space="preserve">with and </w:t>
      </w:r>
      <w:r w:rsidRPr="0095154A" w:rsidR="00A658AF">
        <w:t>among providers related to diagnosis.</w:t>
      </w:r>
      <w:r w:rsidR="00936E87">
        <w:t xml:space="preserve"> It also includes </w:t>
      </w:r>
      <w:r w:rsidR="00B43B86">
        <w:t xml:space="preserve">a Team Assessment Tool for Improving </w:t>
      </w:r>
      <w:r w:rsidR="000A123F">
        <w:t>Diagnosis</w:t>
      </w:r>
      <w:r w:rsidR="00905850">
        <w:t>.</w:t>
      </w:r>
      <w:r w:rsidR="000A123F">
        <w:t xml:space="preserve"> </w:t>
      </w:r>
    </w:p>
    <w:p w:rsidR="00FD0642" w:rsidP="00B12278" w:rsidRDefault="00FD0642" w14:paraId="3934B313" w14:textId="77777777">
      <w:pPr>
        <w:tabs>
          <w:tab w:val="left" w:pos="360"/>
        </w:tabs>
      </w:pPr>
    </w:p>
    <w:p w:rsidR="00B12278" w:rsidP="00B12278" w:rsidRDefault="00B12278" w14:paraId="199977AD" w14:textId="4C174A74">
      <w:pPr>
        <w:tabs>
          <w:tab w:val="left" w:pos="360"/>
        </w:tabs>
      </w:pPr>
      <w:r w:rsidRPr="0061507E">
        <w:t>The Team Assessment Tool is an instrument de</w:t>
      </w:r>
      <w:r>
        <w:t>veloped</w:t>
      </w:r>
      <w:r w:rsidRPr="0061507E">
        <w:t xml:space="preserve"> as a </w:t>
      </w:r>
      <w:r w:rsidR="00985DE1">
        <w:t xml:space="preserve">method </w:t>
      </w:r>
      <w:r>
        <w:t xml:space="preserve">of </w:t>
      </w:r>
      <w:r w:rsidRPr="0061507E">
        <w:t>self-assessment</w:t>
      </w:r>
      <w:r w:rsidR="00530BF7">
        <w:t>,</w:t>
      </w:r>
      <w:r w:rsidRPr="0061507E">
        <w:t xml:space="preserve"> with the goal of helping teams reflect on </w:t>
      </w:r>
      <w:r w:rsidR="00E6655D">
        <w:t xml:space="preserve">their </w:t>
      </w:r>
      <w:r w:rsidRPr="0061507E">
        <w:t xml:space="preserve">current </w:t>
      </w:r>
      <w:r w:rsidR="00D22391">
        <w:t xml:space="preserve">diagnostic and teamwork </w:t>
      </w:r>
      <w:r w:rsidRPr="0061507E">
        <w:t>practices</w:t>
      </w:r>
      <w:r w:rsidR="00291B90">
        <w:t xml:space="preserve">. In addition, </w:t>
      </w:r>
      <w:r w:rsidR="0090679F">
        <w:t xml:space="preserve">it </w:t>
      </w:r>
      <w:r w:rsidRPr="0061507E">
        <w:t>orient</w:t>
      </w:r>
      <w:r w:rsidR="0090679F">
        <w:t>s</w:t>
      </w:r>
      <w:r w:rsidRPr="0061507E">
        <w:t xml:space="preserve"> them to the repertoire of tools available within the TeamSTEPPS for Improving Diagnosis course</w:t>
      </w:r>
      <w:r w:rsidRPr="0090679F" w:rsidR="0090679F">
        <w:t xml:space="preserve"> </w:t>
      </w:r>
      <w:r w:rsidR="00366DDA">
        <w:t>that are available to support</w:t>
      </w:r>
      <w:r w:rsidR="00DB2ED9">
        <w:t xml:space="preserve"> </w:t>
      </w:r>
      <w:r w:rsidRPr="0061507E" w:rsidR="0090679F">
        <w:t xml:space="preserve"> improvement efforts</w:t>
      </w:r>
      <w:r w:rsidRPr="0061507E">
        <w:t xml:space="preserve">. </w:t>
      </w:r>
      <w:r>
        <w:t xml:space="preserve"> The T</w:t>
      </w:r>
      <w:r w:rsidR="00FD0642">
        <w:t xml:space="preserve">eam Assessment Tool </w:t>
      </w:r>
      <w:r w:rsidR="00366DDA">
        <w:t>asks</w:t>
      </w:r>
      <w:r w:rsidRPr="0061507E">
        <w:t xml:space="preserve"> participants to complete self-assessment ratings </w:t>
      </w:r>
      <w:r w:rsidR="000F598C">
        <w:t xml:space="preserve">as a mechanism to </w:t>
      </w:r>
      <w:r w:rsidRPr="0061507E">
        <w:t>identify strengths and opportunities for improvement in unit-based teamwork</w:t>
      </w:r>
      <w:r w:rsidR="000F598C">
        <w:t xml:space="preserve">. The </w:t>
      </w:r>
      <w:r w:rsidR="003C6A81">
        <w:t xml:space="preserve">unit level </w:t>
      </w:r>
      <w:r w:rsidR="000F598C">
        <w:t>aggregate results of the assessments</w:t>
      </w:r>
      <w:r w:rsidR="003C6A81">
        <w:t xml:space="preserve"> help </w:t>
      </w:r>
      <w:r w:rsidR="00F40B71">
        <w:t xml:space="preserve">unit leaders </w:t>
      </w:r>
      <w:r w:rsidR="00A908B0">
        <w:t>identify pr</w:t>
      </w:r>
      <w:r w:rsidRPr="0061507E">
        <w:t xml:space="preserve">iorities </w:t>
      </w:r>
      <w:r w:rsidR="00AA03FF">
        <w:t xml:space="preserve">for </w:t>
      </w:r>
      <w:r w:rsidR="000F598C">
        <w:t>training</w:t>
      </w:r>
      <w:r w:rsidR="00AC2475">
        <w:t xml:space="preserve"> via </w:t>
      </w:r>
      <w:r w:rsidR="000F598C">
        <w:t xml:space="preserve"> us</w:t>
      </w:r>
      <w:r w:rsidR="00AC2475">
        <w:t>e of</w:t>
      </w:r>
      <w:r w:rsidR="000F598C">
        <w:t xml:space="preserve"> </w:t>
      </w:r>
      <w:r w:rsidRPr="0061507E">
        <w:t>course modules and s</w:t>
      </w:r>
      <w:r w:rsidR="00655F56">
        <w:t xml:space="preserve">pecific </w:t>
      </w:r>
      <w:r w:rsidRPr="0061507E">
        <w:t xml:space="preserve"> interventions with their diagnostic improvement teams. </w:t>
      </w:r>
    </w:p>
    <w:p w:rsidR="00B12278" w:rsidP="00A658AF" w:rsidRDefault="00B12278" w14:paraId="199238CB" w14:textId="77777777">
      <w:pPr>
        <w:tabs>
          <w:tab w:val="left" w:pos="360"/>
        </w:tabs>
      </w:pPr>
    </w:p>
    <w:p w:rsidR="00F439DF" w:rsidP="0061507E" w:rsidRDefault="0061507E" w14:paraId="64340E94" w14:textId="3D50AA11">
      <w:pPr>
        <w:tabs>
          <w:tab w:val="left" w:pos="360"/>
        </w:tabs>
      </w:pPr>
      <w:r w:rsidRPr="0061507E">
        <w:t xml:space="preserve">We are requesting OMB approval to </w:t>
      </w:r>
      <w:r w:rsidR="00237746">
        <w:t xml:space="preserve">conduct psychometric testing on </w:t>
      </w:r>
      <w:r w:rsidRPr="0061507E">
        <w:t xml:space="preserve"> the TeamSTEPPS Team Assessment Tool for Improving Diagnosis. </w:t>
      </w:r>
    </w:p>
    <w:p w:rsidR="00F439DF" w:rsidP="0061507E" w:rsidRDefault="00F439DF" w14:paraId="3C3B5A02" w14:textId="77777777">
      <w:pPr>
        <w:tabs>
          <w:tab w:val="left" w:pos="360"/>
        </w:tabs>
      </w:pPr>
    </w:p>
    <w:p w:rsidR="0061507E" w:rsidP="0061507E" w:rsidRDefault="0061507E" w14:paraId="2C892349" w14:textId="4AF42386">
      <w:pPr>
        <w:tabs>
          <w:tab w:val="left" w:pos="360"/>
        </w:tabs>
      </w:pPr>
      <w:r w:rsidRPr="0061507E">
        <w:t xml:space="preserve">AHRQ would like to further develop this Team Assessment Tool into a measurement instrument, expanding on its intended use as an educational activity and formative </w:t>
      </w:r>
      <w:r w:rsidR="006742D9">
        <w:t xml:space="preserve">assessment. </w:t>
      </w:r>
      <w:r w:rsidR="001361E1">
        <w:t xml:space="preserve">The opportunity to </w:t>
      </w:r>
      <w:r w:rsidR="00DF4832">
        <w:t xml:space="preserve">provide </w:t>
      </w:r>
      <w:r w:rsidR="0098037A">
        <w:t xml:space="preserve">evidence </w:t>
      </w:r>
      <w:r w:rsidR="00A636AB">
        <w:t xml:space="preserve">(via publication in peer reviewed journals) </w:t>
      </w:r>
      <w:r w:rsidR="00DF4832">
        <w:t xml:space="preserve">that the tool is both valid and reliable will strengthen its acceptance in the care delivery community and </w:t>
      </w:r>
      <w:r w:rsidR="000814FE">
        <w:t xml:space="preserve">provide </w:t>
      </w:r>
      <w:r w:rsidR="00E45096">
        <w:t xml:space="preserve">a </w:t>
      </w:r>
      <w:r w:rsidR="0098037A">
        <w:t xml:space="preserve">scientifically sound </w:t>
      </w:r>
      <w:r w:rsidR="00E45096">
        <w:t>method</w:t>
      </w:r>
      <w:r w:rsidR="000814FE">
        <w:t xml:space="preserve"> for teams to assess changes</w:t>
      </w:r>
      <w:r w:rsidR="00B51460">
        <w:t xml:space="preserve"> in performance</w:t>
      </w:r>
      <w:r w:rsidR="000814FE">
        <w:t xml:space="preserve"> overtime. In order to assure validity and reliability the instrument requires </w:t>
      </w:r>
      <w:r w:rsidRPr="0061507E">
        <w:t>psychometric testing.</w:t>
      </w:r>
    </w:p>
    <w:p w:rsidRPr="0061507E" w:rsidR="00F439DF" w:rsidP="0061507E" w:rsidRDefault="00F439DF" w14:paraId="0D565ED7" w14:textId="77777777">
      <w:pPr>
        <w:tabs>
          <w:tab w:val="left" w:pos="360"/>
        </w:tabs>
      </w:pPr>
    </w:p>
    <w:p w:rsidR="00F439DF" w:rsidP="0061507E" w:rsidRDefault="0061507E" w14:paraId="4A561C6E" w14:textId="4A2A6330">
      <w:pPr>
        <w:tabs>
          <w:tab w:val="left" w:pos="360"/>
        </w:tabs>
      </w:pPr>
      <w:r w:rsidRPr="0061507E">
        <w:t>Psychometrics is the construction and validation of measurement </w:t>
      </w:r>
      <w:r w:rsidRPr="0061507E" w:rsidR="006E4BA1">
        <w:t>instruments and</w:t>
      </w:r>
      <w:r w:rsidRPr="0061507E">
        <w:t xml:space="preserve"> assessing if these instruments are reliable (have consistency in measurement) and valid (have accuracy in measurement). Reliability and validity indicate how well a method, technique, test, or instrument is truly measuring what it intends to measure. Psychometric testing through design reduces non-random error in measurement, adds reliability and validity to the instrument, increases the strength of evaluation findings, and most importantly, adds population-level generalizability (external validity), given that the results from the psychometrically tested instrument can then be compared with other units in the same setting, or with other settings using the same instrument.</w:t>
      </w:r>
      <w:r w:rsidR="00F439DF">
        <w:t xml:space="preserve"> </w:t>
      </w:r>
      <w:r w:rsidRPr="0061507E">
        <w:t>With psychometric testing, the Team Assessment Tool has the potential to become  a true measurement instrument to assess changes over time and introduce options for program evaluation and comparability within and among any healthcare setting</w:t>
      </w:r>
      <w:r w:rsidR="00B51460">
        <w:t>s</w:t>
      </w:r>
      <w:r w:rsidRPr="0061507E">
        <w:t xml:space="preserve">.  </w:t>
      </w:r>
    </w:p>
    <w:p w:rsidR="00F439DF" w:rsidP="0061507E" w:rsidRDefault="00F439DF" w14:paraId="24AADC48" w14:textId="77777777">
      <w:pPr>
        <w:tabs>
          <w:tab w:val="left" w:pos="360"/>
        </w:tabs>
      </w:pPr>
    </w:p>
    <w:p w:rsidR="0061507E" w:rsidP="0061507E" w:rsidRDefault="00F439DF" w14:paraId="4A8702E6" w14:textId="5093961E">
      <w:pPr>
        <w:tabs>
          <w:tab w:val="left" w:pos="360"/>
        </w:tabs>
      </w:pPr>
      <w:r>
        <w:t>T</w:t>
      </w:r>
      <w:r w:rsidRPr="0061507E">
        <w:t>he Team Assessment Tool</w:t>
      </w:r>
      <w:r w:rsidRPr="0061507E" w:rsidR="0061507E">
        <w:t xml:space="preserve"> instrument will undergo remote usability testing of a survey to refine questions.</w:t>
      </w:r>
      <w:r>
        <w:t xml:space="preserve"> </w:t>
      </w:r>
      <w:r w:rsidRPr="0061507E" w:rsidR="0061507E">
        <w:t xml:space="preserve">To execute this task, the contractor has assembled an interprofessional team to execute </w:t>
      </w:r>
      <w:r w:rsidRPr="0061507E" w:rsidR="0061507E">
        <w:lastRenderedPageBreak/>
        <w:t>any or all of the following  methods for generating reliability and validity evidence that would be applicable to this specific tool: 1) parallel forms reliability, 2) internal consistency reliability, 3) inter-rater reliability, 4) content validity, and 5) construct validity, using a multitrait</w:t>
      </w:r>
      <w:r w:rsidR="006E4BA1">
        <w:t>-</w:t>
      </w:r>
      <w:r w:rsidRPr="0061507E" w:rsidR="0061507E">
        <w:t xml:space="preserve">multimethod matrix and/or known groups testing. </w:t>
      </w:r>
    </w:p>
    <w:p w:rsidRPr="0061507E" w:rsidR="00F439DF" w:rsidP="0061507E" w:rsidRDefault="00F439DF" w14:paraId="17B1C2A3" w14:textId="77777777">
      <w:pPr>
        <w:tabs>
          <w:tab w:val="left" w:pos="360"/>
        </w:tabs>
      </w:pPr>
    </w:p>
    <w:p w:rsidRPr="0061507E" w:rsidR="0061507E" w:rsidP="0061507E" w:rsidRDefault="0061507E" w14:paraId="3887204D" w14:textId="77777777">
      <w:pPr>
        <w:tabs>
          <w:tab w:val="left" w:pos="360"/>
        </w:tabs>
      </w:pPr>
      <w:r w:rsidRPr="0061507E">
        <w:t>The MedStar team has conducted precursor psychometric testing on the Team Assessment Tool, which included the following: 1) Item wording and scale refinement, 2) Project Team Subject Matter Expert content review, 3) Non-Project Team Subject Matter Expert review, 4) End-user feedback, and 5) Instrument refinement. This work puts the reliability and validity of the indicators of the instrument at an optimal starting point for full psychometric testing.</w:t>
      </w:r>
    </w:p>
    <w:p w:rsidR="00F439DF" w:rsidP="0061507E" w:rsidRDefault="00F439DF" w14:paraId="0F9F64EF" w14:textId="77777777">
      <w:pPr>
        <w:tabs>
          <w:tab w:val="left" w:pos="360"/>
        </w:tabs>
      </w:pPr>
    </w:p>
    <w:p w:rsidRPr="0061507E" w:rsidR="0061507E" w:rsidP="0061507E" w:rsidRDefault="0061507E" w14:paraId="32EEEF48" w14:textId="78190593">
      <w:pPr>
        <w:tabs>
          <w:tab w:val="left" w:pos="360"/>
        </w:tabs>
      </w:pPr>
      <w:r w:rsidRPr="0061507E">
        <w:t>Full psychometric testing of this instrument means the scaling must be evaluated extensively, which will require a sample of at leas</w:t>
      </w:r>
      <w:r w:rsidR="005654F1">
        <w:t xml:space="preserve">t 359 </w:t>
      </w:r>
      <w:r w:rsidRPr="0061507E">
        <w:t>individual care team members (physicians, nurses, ancillary staff, etc.,) from diverse clinical settings to participate in a 15-minute, anonymous, online survey distributed via a shared electronic survey link. Individual care team members will be recruited from across 9 health systems or care settings. The survey will ask participants to read th</w:t>
      </w:r>
      <w:r w:rsidR="00FB1669">
        <w:t>r</w:t>
      </w:r>
      <w:r w:rsidRPr="0061507E">
        <w:t>ough and complete the questions; participants will not be privy to the results of the survey. The service-delivery-focused, voluntary collections fall under the fast-track PRA process.</w:t>
      </w:r>
    </w:p>
    <w:p w:rsidR="00F439DF" w:rsidP="0061507E" w:rsidRDefault="00F439DF" w14:paraId="3B21C0F7" w14:textId="77777777">
      <w:pPr>
        <w:tabs>
          <w:tab w:val="left" w:pos="360"/>
        </w:tabs>
      </w:pPr>
    </w:p>
    <w:p w:rsidRPr="0061507E" w:rsidR="0061507E" w:rsidP="0061507E" w:rsidRDefault="0061507E" w14:paraId="135E77AC" w14:textId="0251C451">
      <w:pPr>
        <w:tabs>
          <w:tab w:val="left" w:pos="360"/>
        </w:tabs>
        <w:rPr>
          <w:b/>
        </w:rPr>
      </w:pPr>
      <w:r w:rsidRPr="0061507E">
        <w:t xml:space="preserve">The MedStar team will examine this sample of results via analyses to determine the stability of the instrument and its indicators, ensuring parallel measurements, homogeneity among indicators, concurrent, convergent, and discriminant validity, latent constructs of the tool, the extent to which measures of the same concept correlate and diverge, and the degree of that correlation in evaluating the instrument’s ability to discriminate between different groups with various levels and familiarity with safety culture. </w:t>
      </w:r>
      <w:r w:rsidRPr="0061507E">
        <w:rPr>
          <w:b/>
          <w:bCs/>
        </w:rPr>
        <w:t>It is important to note the responses on the surveys are not being evaluated, but rather the consistency with which the questions are answered is being evaluated</w:t>
      </w:r>
      <w:r w:rsidRPr="0061507E">
        <w:t xml:space="preserve"> (i.e., determining whether the questions are being interpreted the same by all the users), despite diverse healthcare settings and varying levels of experience and familiarity with TeamSTEPPS. The combination of these psychometric methods will allow for internal and external validity</w:t>
      </w:r>
      <w:r w:rsidR="003735CF">
        <w:t xml:space="preserve"> </w:t>
      </w:r>
      <w:r w:rsidRPr="0061507E">
        <w:t>and reliability to be assesse</w:t>
      </w:r>
      <w:r w:rsidR="00260313">
        <w:t>d</w:t>
      </w:r>
      <w:r w:rsidR="003735CF">
        <w:t>,</w:t>
      </w:r>
      <w:r w:rsidRPr="0061507E">
        <w:t xml:space="preserve"> to create a psychometrically sound instrument vetted for potential widespread adoption.</w:t>
      </w:r>
    </w:p>
    <w:p w:rsidRPr="0095154A" w:rsidR="00302B0E" w:rsidP="00302B0E" w:rsidRDefault="00302B0E" w14:paraId="049148E0" w14:textId="77777777">
      <w:pPr>
        <w:tabs>
          <w:tab w:val="left" w:pos="360"/>
        </w:tabs>
        <w:rPr>
          <w:b/>
          <w:bCs/>
        </w:rPr>
      </w:pPr>
    </w:p>
    <w:p w:rsidRPr="0095154A" w:rsidR="00302B0E" w:rsidP="00302B0E" w:rsidRDefault="00302B0E" w14:paraId="54A56522" w14:textId="77777777">
      <w:r w:rsidRPr="0095154A">
        <w:t>This information collection has the following goal:</w:t>
      </w:r>
    </w:p>
    <w:p w:rsidRPr="0095154A" w:rsidR="00302B0E" w:rsidP="00302B0E" w:rsidRDefault="00302B0E" w14:paraId="6825A630" w14:textId="77777777"/>
    <w:p w:rsidR="00F439DF" w:rsidP="00302B0E" w:rsidRDefault="00302B0E" w14:paraId="15C9538A" w14:textId="2A4D600E">
      <w:pPr>
        <w:numPr>
          <w:ilvl w:val="0"/>
          <w:numId w:val="4"/>
        </w:numPr>
        <w:spacing w:line="276" w:lineRule="auto"/>
      </w:pPr>
      <w:r w:rsidRPr="0095154A">
        <w:t>To</w:t>
      </w:r>
      <w:r w:rsidRPr="0061507E" w:rsidR="00F439DF">
        <w:t xml:space="preserve"> determine the stability of the</w:t>
      </w:r>
      <w:r w:rsidR="00F439DF">
        <w:t xml:space="preserve"> </w:t>
      </w:r>
      <w:r w:rsidRPr="0061507E" w:rsidR="00F439DF">
        <w:t>Team Assessment Tool instrument and its indicators</w:t>
      </w:r>
    </w:p>
    <w:p w:rsidR="00F439DF" w:rsidP="00F439DF" w:rsidRDefault="00302B0E" w14:paraId="44E5D56B" w14:textId="0B8DC61B">
      <w:pPr>
        <w:spacing w:line="276" w:lineRule="auto"/>
        <w:ind w:left="766"/>
      </w:pPr>
      <w:r w:rsidRPr="0095154A">
        <w:t xml:space="preserve">in </w:t>
      </w:r>
      <w:r w:rsidR="00F439DF">
        <w:t>improving communication</w:t>
      </w:r>
      <w:r w:rsidRPr="0095154A">
        <w:t xml:space="preserve"> to reduce diagnostic errors</w:t>
      </w:r>
      <w:r w:rsidR="00F439DF">
        <w:t>,</w:t>
      </w:r>
      <w:r w:rsidRPr="0095154A">
        <w:t xml:space="preserve"> </w:t>
      </w:r>
      <w:r w:rsidR="00F439DF">
        <w:t>by quantitatively examining the correlation among responses of each indicator.</w:t>
      </w:r>
    </w:p>
    <w:p w:rsidRPr="0095154A" w:rsidR="00F439DF" w:rsidP="00F439DF" w:rsidRDefault="00F439DF" w14:paraId="58F59FCC" w14:textId="77777777">
      <w:pPr>
        <w:spacing w:line="276" w:lineRule="auto"/>
        <w:ind w:left="766"/>
      </w:pPr>
    </w:p>
    <w:p w:rsidRPr="0095154A" w:rsidR="00302B0E" w:rsidP="00302B0E" w:rsidRDefault="00302B0E" w14:paraId="7BCACE5B" w14:textId="01D61D90">
      <w:bookmarkStart w:name="_Hlk92810553" w:id="4"/>
      <w:r w:rsidRPr="0095154A">
        <w:t>To achieve the goal of this project the following information collection instruments will be completed using individual</w:t>
      </w:r>
      <w:r w:rsidR="00F439DF">
        <w:t xml:space="preserve"> surveys</w:t>
      </w:r>
      <w:r w:rsidRPr="0095154A">
        <w:t xml:space="preserve">: </w:t>
      </w:r>
    </w:p>
    <w:p w:rsidRPr="0095154A" w:rsidR="00302B0E" w:rsidP="00302B0E" w:rsidRDefault="00302B0E" w14:paraId="2E5B7418" w14:textId="77777777"/>
    <w:p w:rsidRPr="0095154A" w:rsidR="00302B0E" w:rsidP="00302B0E" w:rsidRDefault="00BD6F44" w14:paraId="05817A17" w14:textId="15E4FE9E">
      <w:pPr>
        <w:numPr>
          <w:ilvl w:val="0"/>
          <w:numId w:val="5"/>
        </w:numPr>
        <w:tabs>
          <w:tab w:val="left" w:pos="360"/>
        </w:tabs>
      </w:pPr>
      <w:r w:rsidRPr="00BD6F44">
        <w:rPr>
          <w:b/>
          <w:bCs/>
        </w:rPr>
        <w:t xml:space="preserve">Setting Demographics </w:t>
      </w:r>
      <w:r w:rsidRPr="00B124A0">
        <w:rPr>
          <w:b/>
          <w:bCs/>
        </w:rPr>
        <w:t xml:space="preserve">Survey </w:t>
      </w:r>
      <w:r w:rsidRPr="00B124A0" w:rsidR="00302B0E">
        <w:rPr>
          <w:b/>
          <w:bCs/>
        </w:rPr>
        <w:t>(Appendix A)</w:t>
      </w:r>
      <w:r w:rsidR="006E4BA1">
        <w:t xml:space="preserve">: </w:t>
      </w:r>
      <w:r w:rsidR="005C1C80">
        <w:t xml:space="preserve">Prior to testing of the instrument, each health system will take a brief survey to </w:t>
      </w:r>
      <w:r w:rsidRPr="0095154A" w:rsidR="005C1C80">
        <w:t xml:space="preserve">describe the characteristics of the </w:t>
      </w:r>
      <w:r w:rsidR="005C1C80">
        <w:t xml:space="preserve">sites </w:t>
      </w:r>
      <w:r w:rsidRPr="0095154A" w:rsidR="005C1C80">
        <w:t>engaged in pilot testing (e.g.</w:t>
      </w:r>
      <w:r w:rsidR="005C1C80">
        <w:t>,</w:t>
      </w:r>
      <w:r w:rsidRPr="0095154A" w:rsidR="005C1C80">
        <w:t xml:space="preserve"> size, </w:t>
      </w:r>
      <w:r w:rsidR="005C1C80">
        <w:t>diagnostic team member role diversity, and familiarity with patient safety and quality improvement activities</w:t>
      </w:r>
      <w:r w:rsidRPr="0095154A" w:rsidR="005C1C80">
        <w:t>).</w:t>
      </w:r>
    </w:p>
    <w:p w:rsidRPr="0095154A" w:rsidR="00302B0E" w:rsidP="00302B0E" w:rsidRDefault="00302B0E" w14:paraId="53356EC4" w14:textId="77777777">
      <w:pPr>
        <w:tabs>
          <w:tab w:val="left" w:pos="360"/>
        </w:tabs>
        <w:ind w:left="720"/>
      </w:pPr>
    </w:p>
    <w:p w:rsidRPr="0095154A" w:rsidR="00302B0E" w:rsidP="00F671C8" w:rsidRDefault="00B124A0" w14:paraId="27A7AC0E" w14:textId="0D08A6CE">
      <w:pPr>
        <w:numPr>
          <w:ilvl w:val="0"/>
          <w:numId w:val="5"/>
        </w:numPr>
      </w:pPr>
      <w:r w:rsidRPr="00B124A0">
        <w:rPr>
          <w:b/>
          <w:bCs/>
        </w:rPr>
        <w:t xml:space="preserve">TeamSTEPPS® Team Assessment Tool for Improving Diagnosis </w:t>
      </w:r>
      <w:r w:rsidRPr="00B124A0" w:rsidR="00302B0E">
        <w:rPr>
          <w:b/>
          <w:bCs/>
        </w:rPr>
        <w:t>(Appendix B</w:t>
      </w:r>
      <w:r w:rsidRPr="0095154A" w:rsidR="00302B0E">
        <w:t>)</w:t>
      </w:r>
      <w:r w:rsidR="005C1C80">
        <w:t>: This is c</w:t>
      </w:r>
      <w:r w:rsidRPr="00B124A0" w:rsidR="005C1C80">
        <w:t xml:space="preserve">ollected from </w:t>
      </w:r>
      <w:r w:rsidR="005C1C80">
        <w:t xml:space="preserve">individual </w:t>
      </w:r>
      <w:r w:rsidRPr="00B124A0" w:rsidR="005C1C80">
        <w:t>survey respondents</w:t>
      </w:r>
      <w:r w:rsidR="005C1C80">
        <w:t>, who are diverse staff members in a diagnostic team. T</w:t>
      </w:r>
      <w:r w:rsidRPr="0061507E" w:rsidR="005C1C80">
        <w:t xml:space="preserve">he consistency with which the questions are </w:t>
      </w:r>
      <w:r w:rsidR="005C1C80">
        <w:t xml:space="preserve">interpreted and </w:t>
      </w:r>
      <w:r w:rsidRPr="0061507E" w:rsidR="005C1C80">
        <w:t xml:space="preserve">answered </w:t>
      </w:r>
      <w:r w:rsidR="005C1C80">
        <w:t>among respondents will be</w:t>
      </w:r>
      <w:r w:rsidRPr="0061507E" w:rsidR="005C1C80">
        <w:t xml:space="preserve"> evaluated</w:t>
      </w:r>
      <w:r w:rsidR="005C1C80">
        <w:t xml:space="preserve"> to determine the stability among indicators on the instrument.</w:t>
      </w:r>
      <w:bookmarkEnd w:id="4"/>
      <w:r w:rsidRPr="0095154A" w:rsidR="005C1C80">
        <w:tab/>
      </w:r>
    </w:p>
    <w:p w:rsidRPr="0095154A" w:rsidR="00302B0E" w:rsidP="00302B0E" w:rsidRDefault="00302B0E" w14:paraId="66806E8C" w14:textId="77777777">
      <w:pPr>
        <w:tabs>
          <w:tab w:val="left" w:pos="360"/>
        </w:tabs>
        <w:ind w:left="360" w:hanging="360"/>
      </w:pPr>
    </w:p>
    <w:p w:rsidRPr="0095154A" w:rsidR="00302B0E" w:rsidP="00302B0E" w:rsidRDefault="00302B0E" w14:paraId="681DEC6A" w14:textId="77777777">
      <w:r w:rsidRPr="0095154A">
        <w:t xml:space="preserve">This information collection is being conducted by AHRQ through its contractor, </w:t>
      </w:r>
      <w:bookmarkStart w:name="_Hlk92810485" w:id="5"/>
      <w:r w:rsidRPr="0095154A">
        <w:t>MedStar Health Research Institute</w:t>
      </w:r>
      <w:bookmarkEnd w:id="5"/>
      <w:r w:rsidRPr="0095154A">
        <w:t>,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299a(a)(1) and (2).</w:t>
      </w:r>
    </w:p>
    <w:p w:rsidR="00302B0E" w:rsidP="00302B0E" w:rsidRDefault="00302B0E" w14:paraId="5F038C80" w14:textId="53CE8CA3">
      <w:pPr>
        <w:pStyle w:val="Heading2"/>
        <w:rPr>
          <w:rFonts w:ascii="Times New Roman" w:hAnsi="Times New Roman" w:cs="Times New Roman"/>
          <w:sz w:val="24"/>
        </w:rPr>
      </w:pPr>
      <w:r w:rsidRPr="0095154A">
        <w:rPr>
          <w:rFonts w:ascii="Times New Roman" w:hAnsi="Times New Roman" w:cs="Times New Roman"/>
          <w:sz w:val="24"/>
        </w:rPr>
        <w:t xml:space="preserve">2. </w:t>
      </w:r>
      <w:bookmarkStart w:name="_Toc151782177" w:id="6"/>
      <w:bookmarkStart w:name="_Toc158526217" w:id="7"/>
      <w:r w:rsidRPr="0095154A">
        <w:rPr>
          <w:rFonts w:ascii="Times New Roman" w:hAnsi="Times New Roman" w:cs="Times New Roman"/>
          <w:sz w:val="24"/>
        </w:rPr>
        <w:t>Purpose and Use of Information</w:t>
      </w:r>
      <w:bookmarkEnd w:id="6"/>
      <w:bookmarkEnd w:id="7"/>
    </w:p>
    <w:p w:rsidRPr="00F671C8" w:rsidR="00F671C8" w:rsidP="00F671C8" w:rsidRDefault="00F671C8" w14:paraId="35F62EE5" w14:textId="77777777"/>
    <w:p w:rsidRPr="0095154A" w:rsidR="00302B0E" w:rsidP="00C7510C" w:rsidRDefault="00302B0E" w14:paraId="3BCF63E2" w14:textId="06361646">
      <w:bookmarkStart w:name="_Hlk92810935" w:id="8"/>
      <w:bookmarkStart w:name="_Hlk92810685" w:id="9"/>
      <w:r w:rsidRPr="00C7510C">
        <w:t>AHRQ will use the information collected through this Information Collection Request to assess</w:t>
      </w:r>
      <w:r w:rsidR="00EF2CA7">
        <w:t xml:space="preserve"> and enhance</w:t>
      </w:r>
      <w:r w:rsidRPr="00C7510C">
        <w:t xml:space="preserve"> the feasibility of adopting a Course to improve communication among providers related to diagnosis. </w:t>
      </w:r>
      <w:r w:rsidR="000A37FD">
        <w:t xml:space="preserve">AHRQs’ </w:t>
      </w:r>
      <w:r w:rsidR="00EF2CA7">
        <w:t>ability to publicly share a</w:t>
      </w:r>
      <w:r w:rsidR="00D0789E">
        <w:t xml:space="preserve"> </w:t>
      </w:r>
      <w:r w:rsidR="009575EC">
        <w:t>T</w:t>
      </w:r>
      <w:r w:rsidR="00D0789E">
        <w:t xml:space="preserve">eam </w:t>
      </w:r>
      <w:r w:rsidR="009575EC">
        <w:t>A</w:t>
      </w:r>
      <w:r w:rsidR="00D0789E">
        <w:t xml:space="preserve">ssessment </w:t>
      </w:r>
      <w:r w:rsidR="009575EC">
        <w:t>T</w:t>
      </w:r>
      <w:r w:rsidR="00D0789E">
        <w:t xml:space="preserve">ool that has been scientifically validated is </w:t>
      </w:r>
      <w:r w:rsidR="000A37FD">
        <w:t>expected to be of great interest to the health care community</w:t>
      </w:r>
      <w:r w:rsidR="009575EC">
        <w:t xml:space="preserve"> and important in </w:t>
      </w:r>
      <w:r w:rsidR="0007098F">
        <w:t>helping organizations prioritize improvement efforts.</w:t>
      </w:r>
    </w:p>
    <w:bookmarkEnd w:id="8"/>
    <w:p w:rsidRPr="0095154A" w:rsidR="00302B0E" w:rsidP="00302B0E" w:rsidRDefault="00302B0E" w14:paraId="1E37AC9F" w14:textId="77777777"/>
    <w:p w:rsidRPr="0095154A" w:rsidR="00302B0E" w:rsidP="00302B0E" w:rsidRDefault="00302B0E" w14:paraId="58E6093B" w14:textId="77777777">
      <w:r w:rsidRPr="0095154A">
        <w:t xml:space="preserve">The specific purpose of each of the information collection instruments is described below: </w:t>
      </w:r>
    </w:p>
    <w:p w:rsidRPr="0095154A" w:rsidR="00302B0E" w:rsidP="00302B0E" w:rsidRDefault="00302B0E" w14:paraId="0BFD027D" w14:textId="77777777"/>
    <w:p w:rsidRPr="0095154A" w:rsidR="00F671C8" w:rsidP="00F671C8" w:rsidRDefault="00F671C8" w14:paraId="706E0720" w14:textId="6B1F0127">
      <w:pPr>
        <w:numPr>
          <w:ilvl w:val="0"/>
          <w:numId w:val="8"/>
        </w:numPr>
        <w:tabs>
          <w:tab w:val="left" w:pos="360"/>
        </w:tabs>
      </w:pPr>
      <w:r w:rsidRPr="00BD6F44">
        <w:rPr>
          <w:b/>
          <w:bCs/>
        </w:rPr>
        <w:t xml:space="preserve">Setting Demographics </w:t>
      </w:r>
      <w:r w:rsidRPr="00B124A0">
        <w:rPr>
          <w:b/>
          <w:bCs/>
        </w:rPr>
        <w:t>Survey (Appendix A)</w:t>
      </w:r>
      <w:r w:rsidRPr="0095154A">
        <w:t xml:space="preserve"> </w:t>
      </w:r>
      <w:r>
        <w:rPr>
          <w:b/>
          <w:bCs/>
        </w:rPr>
        <w:t>–</w:t>
      </w:r>
      <w:r w:rsidRPr="0095154A">
        <w:t xml:space="preserve"> </w:t>
      </w:r>
      <w:r w:rsidRPr="00B124A0">
        <w:t>This is only collected once per health system, at nine health</w:t>
      </w:r>
      <w:r>
        <w:t xml:space="preserve"> systems</w:t>
      </w:r>
      <w:r w:rsidRPr="00B124A0">
        <w:t xml:space="preserve"> maximum.  It is</w:t>
      </w:r>
      <w:r>
        <w:rPr>
          <w:b/>
          <w:bCs/>
        </w:rPr>
        <w:t xml:space="preserve"> </w:t>
      </w:r>
      <w:r w:rsidRPr="0095154A">
        <w:t xml:space="preserve">designed to describe the characteristics of the </w:t>
      </w:r>
      <w:r w:rsidR="00243662">
        <w:t xml:space="preserve">sites </w:t>
      </w:r>
      <w:r w:rsidRPr="0095154A">
        <w:t>engaged in pilot testing (e.g.</w:t>
      </w:r>
      <w:r>
        <w:t>,</w:t>
      </w:r>
      <w:r w:rsidRPr="0095154A">
        <w:t xml:space="preserve"> size, </w:t>
      </w:r>
      <w:r>
        <w:t>diagnostic team member role diversity, and familiarity with patient safety and quality improvement activities</w:t>
      </w:r>
      <w:r w:rsidRPr="0095154A">
        <w:t>).</w:t>
      </w:r>
    </w:p>
    <w:p w:rsidRPr="0095154A" w:rsidR="00F671C8" w:rsidP="00F671C8" w:rsidRDefault="00F671C8" w14:paraId="481443A5" w14:textId="77777777">
      <w:pPr>
        <w:tabs>
          <w:tab w:val="left" w:pos="360"/>
        </w:tabs>
        <w:ind w:left="720"/>
      </w:pPr>
    </w:p>
    <w:p w:rsidRPr="0095154A" w:rsidR="00F671C8" w:rsidP="00F671C8" w:rsidRDefault="00F671C8" w14:paraId="4C73F5DF" w14:textId="1F7C2A35">
      <w:pPr>
        <w:numPr>
          <w:ilvl w:val="0"/>
          <w:numId w:val="8"/>
        </w:numPr>
      </w:pPr>
      <w:r w:rsidRPr="00B124A0">
        <w:rPr>
          <w:b/>
          <w:bCs/>
        </w:rPr>
        <w:t>TeamSTEPPS® Team Assessment Tool for Improving Diagnosis (Appendix B</w:t>
      </w:r>
      <w:r w:rsidRPr="0095154A">
        <w:t xml:space="preserve">) </w:t>
      </w:r>
      <w:r>
        <w:t>–</w:t>
      </w:r>
      <w:r w:rsidRPr="0095154A">
        <w:t xml:space="preserve"> </w:t>
      </w:r>
      <w:r>
        <w:t>This is c</w:t>
      </w:r>
      <w:r w:rsidRPr="00B124A0">
        <w:t xml:space="preserve">ollected from </w:t>
      </w:r>
      <w:r w:rsidR="008F57BD">
        <w:t xml:space="preserve">individual </w:t>
      </w:r>
      <w:r w:rsidRPr="00B124A0">
        <w:t>survey respondents</w:t>
      </w:r>
      <w:r>
        <w:t>, who are diverse staff members in a diagnostic team,</w:t>
      </w:r>
      <w:r w:rsidRPr="00B124A0">
        <w:t xml:space="preserve"> </w:t>
      </w:r>
      <w:r>
        <w:t xml:space="preserve">from among nine health systems maximum. There will be </w:t>
      </w:r>
      <w:r w:rsidR="005654F1">
        <w:t xml:space="preserve">359 </w:t>
      </w:r>
      <w:r w:rsidRPr="00B124A0">
        <w:t>participants minimum.</w:t>
      </w:r>
      <w:r>
        <w:t xml:space="preserve"> T</w:t>
      </w:r>
      <w:r w:rsidRPr="0061507E">
        <w:t xml:space="preserve">he consistency with which the questions are </w:t>
      </w:r>
      <w:r>
        <w:t xml:space="preserve">interpreted and </w:t>
      </w:r>
      <w:r w:rsidRPr="0061507E">
        <w:t xml:space="preserve">answered </w:t>
      </w:r>
      <w:r>
        <w:t>among respondents will be</w:t>
      </w:r>
      <w:r w:rsidRPr="0061507E">
        <w:t xml:space="preserve"> evaluated</w:t>
      </w:r>
      <w:r>
        <w:t xml:space="preserve"> to determine the stability among indicators on the instrument.</w:t>
      </w:r>
      <w:bookmarkEnd w:id="9"/>
      <w:r w:rsidRPr="0095154A">
        <w:tab/>
      </w:r>
    </w:p>
    <w:p w:rsidRPr="0095154A" w:rsidR="00302B0E" w:rsidP="00F671C8" w:rsidRDefault="00302B0E" w14:paraId="58A99900" w14:textId="72F2BE80">
      <w:pPr>
        <w:pStyle w:val="ListParagraph"/>
      </w:pPr>
      <w:r w:rsidRPr="0095154A">
        <w:t xml:space="preserve"> </w:t>
      </w:r>
    </w:p>
    <w:p w:rsidRPr="0095154A" w:rsidR="00302B0E" w:rsidP="00302B0E" w:rsidRDefault="00302B0E" w14:paraId="7D5F8444" w14:textId="63264D88">
      <w:r w:rsidRPr="0095154A">
        <w:t xml:space="preserve">The information collection instruments </w:t>
      </w:r>
      <w:r w:rsidR="007114B4">
        <w:t>are</w:t>
      </w:r>
      <w:r w:rsidRPr="0095154A">
        <w:t xml:space="preserve"> designed to capture</w:t>
      </w:r>
      <w:r w:rsidR="00AA55E1">
        <w:t xml:space="preserve"> background </w:t>
      </w:r>
      <w:r w:rsidR="00FE3811">
        <w:t xml:space="preserve">site </w:t>
      </w:r>
      <w:r w:rsidR="00AA55E1">
        <w:t>and team data</w:t>
      </w:r>
      <w:r w:rsidR="007114B4">
        <w:t xml:space="preserve"> </w:t>
      </w:r>
      <w:r w:rsidRPr="0095154A" w:rsidR="007114B4">
        <w:t>(</w:t>
      </w:r>
      <w:r w:rsidRPr="00686BF6" w:rsidR="007114B4">
        <w:rPr>
          <w:b/>
          <w:bCs/>
        </w:rPr>
        <w:t>Appendix A</w:t>
      </w:r>
      <w:r w:rsidRPr="0095154A" w:rsidR="007114B4">
        <w:t>)</w:t>
      </w:r>
      <w:r w:rsidR="00AA55E1">
        <w:t>, and</w:t>
      </w:r>
      <w:r w:rsidRPr="0095154A" w:rsidR="00686BF6">
        <w:t xml:space="preserve"> to capture </w:t>
      </w:r>
      <w:r w:rsidR="00686BF6">
        <w:t xml:space="preserve">quantitative </w:t>
      </w:r>
      <w:r w:rsidRPr="0095154A">
        <w:t>data</w:t>
      </w:r>
      <w:r w:rsidRPr="007114B4" w:rsidR="007114B4">
        <w:t xml:space="preserve"> </w:t>
      </w:r>
      <w:r w:rsidRPr="0095154A" w:rsidR="007114B4">
        <w:t>(</w:t>
      </w:r>
      <w:r w:rsidRPr="00686BF6" w:rsidR="007114B4">
        <w:rPr>
          <w:b/>
          <w:bCs/>
        </w:rPr>
        <w:t>Appendix B</w:t>
      </w:r>
      <w:r w:rsidRPr="0095154A" w:rsidR="007114B4">
        <w:t>)</w:t>
      </w:r>
      <w:r w:rsidRPr="0095154A">
        <w:t xml:space="preserve">. </w:t>
      </w:r>
      <w:r w:rsidRPr="00686BF6" w:rsidR="00686BF6">
        <w:rPr>
          <w:b/>
          <w:bCs/>
        </w:rPr>
        <w:t xml:space="preserve">The results </w:t>
      </w:r>
      <w:r w:rsidRPr="00686BF6">
        <w:rPr>
          <w:b/>
          <w:bCs/>
        </w:rPr>
        <w:t xml:space="preserve">from this evaluation </w:t>
      </w:r>
      <w:r w:rsidRPr="00686BF6" w:rsidR="00686BF6">
        <w:rPr>
          <w:b/>
          <w:bCs/>
        </w:rPr>
        <w:t xml:space="preserve">via statistical analyses </w:t>
      </w:r>
      <w:r w:rsidRPr="00686BF6">
        <w:rPr>
          <w:b/>
          <w:bCs/>
        </w:rPr>
        <w:t xml:space="preserve">will </w:t>
      </w:r>
      <w:r w:rsidRPr="00686BF6" w:rsidR="00686BF6">
        <w:rPr>
          <w:b/>
          <w:bCs/>
        </w:rPr>
        <w:t xml:space="preserve">have population-level external validity and will be </w:t>
      </w:r>
      <w:r w:rsidRPr="00686BF6">
        <w:rPr>
          <w:b/>
          <w:bCs/>
        </w:rPr>
        <w:t>generalizabl</w:t>
      </w:r>
      <w:r w:rsidRPr="00686BF6" w:rsidR="00686BF6">
        <w:rPr>
          <w:b/>
          <w:bCs/>
        </w:rPr>
        <w:t>e</w:t>
      </w:r>
      <w:r w:rsidR="00686BF6">
        <w:t>.</w:t>
      </w:r>
      <w:r w:rsidRPr="0095154A">
        <w:t xml:space="preserve"> </w:t>
      </w:r>
      <w:r w:rsidR="00686BF6">
        <w:t>E</w:t>
      </w:r>
      <w:r w:rsidRPr="0095154A">
        <w:t xml:space="preserve">very attempt will be made to recruit </w:t>
      </w:r>
      <w:r w:rsidR="00A502CB">
        <w:t>sites</w:t>
      </w:r>
      <w:r w:rsidRPr="0095154A">
        <w:t xml:space="preserve"> that are representative of diverse geographic locations as well as diverse patient populations served including </w:t>
      </w:r>
      <w:r w:rsidR="00A502CB">
        <w:t>sites</w:t>
      </w:r>
      <w:r w:rsidRPr="0095154A">
        <w:t xml:space="preserve"> that serve AHRQ priority populations. </w:t>
      </w:r>
    </w:p>
    <w:p w:rsidRPr="0095154A" w:rsidR="00302B0E" w:rsidP="00302B0E" w:rsidRDefault="00302B0E" w14:paraId="54621ACA" w14:textId="1846C1AD">
      <w:pPr>
        <w:pStyle w:val="Heading2"/>
        <w:rPr>
          <w:rFonts w:ascii="Times New Roman" w:hAnsi="Times New Roman" w:cs="Times New Roman"/>
          <w:sz w:val="24"/>
        </w:rPr>
      </w:pPr>
      <w:bookmarkStart w:name="_Toc151782178" w:id="10"/>
      <w:bookmarkStart w:name="_Toc158526218" w:id="11"/>
      <w:r w:rsidRPr="0095154A">
        <w:rPr>
          <w:rFonts w:ascii="Times New Roman" w:hAnsi="Times New Roman" w:cs="Times New Roman"/>
          <w:sz w:val="24"/>
        </w:rPr>
        <w:t>3. Use of Information Technology</w:t>
      </w:r>
      <w:bookmarkEnd w:id="10"/>
      <w:bookmarkEnd w:id="11"/>
    </w:p>
    <w:p w:rsidRPr="0095154A" w:rsidR="00302B0E" w:rsidP="00661024" w:rsidRDefault="00302B0E" w14:paraId="52AA9B69" w14:textId="0EBF1549">
      <w:pPr>
        <w:rPr>
          <w:i/>
        </w:rPr>
      </w:pPr>
      <w:r w:rsidRPr="0095154A">
        <w:t xml:space="preserve">The information collection described herein will rely on </w:t>
      </w:r>
      <w:r w:rsidR="00661024">
        <w:t xml:space="preserve">an </w:t>
      </w:r>
      <w:r w:rsidR="00845578">
        <w:t xml:space="preserve">electronic </w:t>
      </w:r>
      <w:r w:rsidRPr="0095154A">
        <w:t>data collection instrument</w:t>
      </w:r>
      <w:r w:rsidR="00661024">
        <w:t>s</w:t>
      </w:r>
      <w:r w:rsidRPr="0095154A">
        <w:t xml:space="preserve"> in the form of </w:t>
      </w:r>
      <w:r w:rsidR="00661024">
        <w:t xml:space="preserve">a </w:t>
      </w:r>
      <w:r w:rsidR="00845578">
        <w:t xml:space="preserve">survey link sent to participants. </w:t>
      </w:r>
      <w:r w:rsidR="00661024">
        <w:t xml:space="preserve">Nine health systems participating in the evaluation will complete the </w:t>
      </w:r>
      <w:r w:rsidRPr="00661024" w:rsidR="00661024">
        <w:t>Setting Demographics Survey</w:t>
      </w:r>
      <w:r w:rsidRPr="00B124A0" w:rsidR="00661024">
        <w:rPr>
          <w:b/>
          <w:bCs/>
        </w:rPr>
        <w:t xml:space="preserve"> (Appendix A)</w:t>
      </w:r>
      <w:r w:rsidR="00661024">
        <w:t xml:space="preserve">. The same nine health </w:t>
      </w:r>
      <w:r w:rsidR="00661024">
        <w:lastRenderedPageBreak/>
        <w:t>systems will then disseminat</w:t>
      </w:r>
      <w:r w:rsidR="00E72CCD">
        <w:t xml:space="preserve">e </w:t>
      </w:r>
      <w:r w:rsidR="00661024">
        <w:t xml:space="preserve">a survey link created by the MedStar study team to their diagnostic team members to complete the </w:t>
      </w:r>
      <w:r w:rsidRPr="00661024" w:rsidR="00661024">
        <w:t>TeamSTEPPS® Team Assessment Tool for Improving Diagnosis</w:t>
      </w:r>
      <w:r w:rsidRPr="00B124A0" w:rsidR="00661024">
        <w:rPr>
          <w:b/>
          <w:bCs/>
        </w:rPr>
        <w:t xml:space="preserve"> (Appendix B</w:t>
      </w:r>
      <w:r w:rsidRPr="0095154A" w:rsidR="00661024">
        <w:t>)</w:t>
      </w:r>
      <w:r w:rsidR="00661024">
        <w:t xml:space="preserve">. The </w:t>
      </w:r>
      <w:r w:rsidRPr="00661024" w:rsidR="0030688D">
        <w:t xml:space="preserve">Team Assessment Tool </w:t>
      </w:r>
      <w:r w:rsidR="00661024">
        <w:t>survey link will be completed anonymously, with no individual identifiers that link participants to responses, and only the MedStar study team will be privy to the responses. There will be a health system</w:t>
      </w:r>
      <w:r w:rsidR="0030688D">
        <w:t>-</w:t>
      </w:r>
      <w:r w:rsidR="00661024">
        <w:t>level</w:t>
      </w:r>
      <w:r w:rsidR="0030688D">
        <w:t xml:space="preserve"> </w:t>
      </w:r>
      <w:r w:rsidR="00661024">
        <w:t xml:space="preserve">identifier that links a batch of surveys </w:t>
      </w:r>
      <w:r w:rsidR="0030688D">
        <w:t xml:space="preserve">(50 surveys per health system) </w:t>
      </w:r>
      <w:r w:rsidR="00661024">
        <w:t>with a particular health system</w:t>
      </w:r>
      <w:r w:rsidR="0030688D">
        <w:t>,</w:t>
      </w:r>
      <w:r w:rsidR="00661024">
        <w:t xml:space="preserve"> to monitor</w:t>
      </w:r>
      <w:r w:rsidR="0030688D">
        <w:t xml:space="preserve"> and</w:t>
      </w:r>
      <w:r w:rsidR="00661024">
        <w:t xml:space="preserve"> meet the minimum survey threshold of respondents per health system (80% compl</w:t>
      </w:r>
      <w:r w:rsidR="004F32D9">
        <w:t>etion</w:t>
      </w:r>
      <w:r w:rsidR="00661024">
        <w:t xml:space="preserve"> rate</w:t>
      </w:r>
      <w:r w:rsidR="0030688D">
        <w:t>, or 40 surveys</w:t>
      </w:r>
      <w:r w:rsidR="00661024">
        <w:t xml:space="preserve">), ensuring a robust sample of participants. </w:t>
      </w:r>
      <w:r w:rsidR="0030688D">
        <w:t xml:space="preserve">Health systems </w:t>
      </w:r>
      <w:r w:rsidR="004F32D9">
        <w:t>may</w:t>
      </w:r>
      <w:r w:rsidR="0030688D">
        <w:t xml:space="preserve"> include more than 50 respondents in the administration of the survey. Oversampling respondents increases the statistical significance of the findings, and accounts for natural attrition with respondents and health systems. The</w:t>
      </w:r>
      <w:r w:rsidR="00661024">
        <w:t xml:space="preserve"> results of the responses</w:t>
      </w:r>
      <w:r w:rsidR="0030688D">
        <w:t xml:space="preserve"> on the </w:t>
      </w:r>
      <w:r w:rsidRPr="00661024" w:rsidR="0030688D">
        <w:t>Team Assessment Tool</w:t>
      </w:r>
      <w:r w:rsidR="00661024">
        <w:t xml:space="preserve"> are not being examined</w:t>
      </w:r>
      <w:r w:rsidR="0030688D">
        <w:t>,</w:t>
      </w:r>
      <w:r w:rsidR="00661024">
        <w:t xml:space="preserve"> only statistical correlation among how consistently</w:t>
      </w:r>
      <w:r w:rsidR="0030688D">
        <w:t xml:space="preserve"> </w:t>
      </w:r>
      <w:r w:rsidR="00661024">
        <w:t xml:space="preserve">participants answer the questions on the </w:t>
      </w:r>
      <w:r w:rsidR="0030688D">
        <w:t>instrument will be analyzed; this will help determine if the tool is indeed measuring what it is intended to measure.</w:t>
      </w:r>
      <w:r w:rsidR="00661024">
        <w:t xml:space="preserve"> </w:t>
      </w:r>
    </w:p>
    <w:p w:rsidRPr="0095154A" w:rsidR="00302B0E" w:rsidP="00302B0E" w:rsidRDefault="00302B0E" w14:paraId="7618F7CA" w14:textId="77777777">
      <w:pPr>
        <w:pStyle w:val="Heading2"/>
        <w:rPr>
          <w:rFonts w:ascii="Times New Roman" w:hAnsi="Times New Roman" w:cs="Times New Roman"/>
          <w:sz w:val="24"/>
          <w:szCs w:val="24"/>
        </w:rPr>
      </w:pPr>
      <w:bookmarkStart w:name="_Toc151782179" w:id="12"/>
      <w:bookmarkStart w:name="_Toc158526219" w:id="13"/>
      <w:r w:rsidRPr="0095154A">
        <w:rPr>
          <w:rFonts w:ascii="Times New Roman" w:hAnsi="Times New Roman" w:cs="Times New Roman"/>
          <w:sz w:val="24"/>
          <w:szCs w:val="24"/>
        </w:rPr>
        <w:t>4. Efforts to Identify Duplication</w:t>
      </w:r>
      <w:bookmarkEnd w:id="12"/>
      <w:bookmarkEnd w:id="13"/>
    </w:p>
    <w:p w:rsidRPr="0095154A" w:rsidR="00302B0E" w:rsidP="00302B0E" w:rsidRDefault="00302B0E" w14:paraId="36E6E8C2" w14:textId="6A5631D5">
      <w:r w:rsidRPr="0095154A">
        <w:t>To our knowledge</w:t>
      </w:r>
      <w:r w:rsidR="0046201F">
        <w:t xml:space="preserve">, </w:t>
      </w:r>
      <w:r w:rsidRPr="0095154A">
        <w:t xml:space="preserve">this does not involve a duplication of any existing efforts as suggested by </w:t>
      </w:r>
      <w:r w:rsidR="0046201F">
        <w:t>a background review of the field</w:t>
      </w:r>
    </w:p>
    <w:p w:rsidRPr="0095154A" w:rsidR="00302B0E" w:rsidP="00302B0E" w:rsidRDefault="00302B0E" w14:paraId="537C355D" w14:textId="77777777">
      <w:pPr>
        <w:pStyle w:val="Heading2"/>
        <w:rPr>
          <w:rFonts w:ascii="Times New Roman" w:hAnsi="Times New Roman" w:cs="Times New Roman"/>
          <w:sz w:val="24"/>
        </w:rPr>
      </w:pPr>
      <w:bookmarkStart w:name="_Toc151782180" w:id="14"/>
      <w:bookmarkStart w:name="_Toc158526220" w:id="15"/>
      <w:r w:rsidRPr="0095154A">
        <w:rPr>
          <w:rFonts w:ascii="Times New Roman" w:hAnsi="Times New Roman" w:cs="Times New Roman"/>
          <w:sz w:val="24"/>
        </w:rPr>
        <w:t>5. Involvement of Small Entities</w:t>
      </w:r>
      <w:bookmarkEnd w:id="14"/>
      <w:bookmarkEnd w:id="15"/>
    </w:p>
    <w:p w:rsidRPr="0095154A" w:rsidR="00302B0E" w:rsidP="00302B0E" w:rsidRDefault="00302B0E" w14:paraId="5F181749" w14:textId="53A0406C">
      <w:pPr>
        <w:rPr>
          <w:i/>
          <w:iCs/>
        </w:rPr>
      </w:pPr>
      <w:r w:rsidRPr="0095154A">
        <w:t xml:space="preserve">The information being collected under this request will reflect </w:t>
      </w:r>
      <w:r w:rsidR="007429D7">
        <w:t>a</w:t>
      </w:r>
      <w:r w:rsidRPr="0095154A">
        <w:t xml:space="preserve"> variety of </w:t>
      </w:r>
      <w:r w:rsidR="00446DBA">
        <w:t xml:space="preserve">health system </w:t>
      </w:r>
      <w:r w:rsidRPr="0095154A">
        <w:t xml:space="preserve">settings in which the </w:t>
      </w:r>
      <w:r w:rsidRPr="00661024" w:rsidR="00446DBA">
        <w:t>Team Assessment Tool</w:t>
      </w:r>
      <w:r w:rsidR="00446DBA">
        <w:t xml:space="preserve"> </w:t>
      </w:r>
      <w:r w:rsidRPr="0095154A">
        <w:t>will be used</w:t>
      </w:r>
      <w:r w:rsidR="00446DBA">
        <w:t>, including health systems that house</w:t>
      </w:r>
      <w:r w:rsidRPr="0095154A">
        <w:t xml:space="preserve"> </w:t>
      </w:r>
      <w:r w:rsidR="00446DBA">
        <w:t xml:space="preserve">urgent care centers, small community practices, </w:t>
      </w:r>
      <w:r w:rsidRPr="0095154A">
        <w:t xml:space="preserve">and hospitals. </w:t>
      </w:r>
      <w:r w:rsidR="00A56265">
        <w:t>The goal will be to disseminate the survey among health systems that have smaller diagnostic teams and larger diagnostic teams to ensure setting variation</w:t>
      </w:r>
      <w:r w:rsidR="007429D7">
        <w:t xml:space="preserve"> and a diverse distribution of respondents</w:t>
      </w:r>
      <w:r w:rsidR="00A56265">
        <w:t>. T</w:t>
      </w:r>
      <w:r w:rsidRPr="0095154A">
        <w:t>o our knowledge</w:t>
      </w:r>
      <w:r w:rsidR="00A56265">
        <w:t>,</w:t>
      </w:r>
      <w:r w:rsidRPr="0095154A">
        <w:t xml:space="preserve"> none of the practices volunteering to participate would be considered small businesses or small entities.</w:t>
      </w:r>
    </w:p>
    <w:p w:rsidRPr="0095154A" w:rsidR="00302B0E" w:rsidP="00302B0E" w:rsidRDefault="00302B0E" w14:paraId="3A4237F1" w14:textId="77777777">
      <w:pPr>
        <w:pStyle w:val="Heading2"/>
        <w:numPr>
          <w:ilvl w:val="0"/>
          <w:numId w:val="3"/>
        </w:numPr>
        <w:rPr>
          <w:rFonts w:ascii="Times New Roman" w:hAnsi="Times New Roman" w:cs="Times New Roman"/>
          <w:sz w:val="24"/>
        </w:rPr>
      </w:pPr>
      <w:bookmarkStart w:name="_Toc151782181" w:id="16"/>
      <w:bookmarkStart w:name="_Toc158526221" w:id="17"/>
      <w:r w:rsidRPr="0095154A">
        <w:rPr>
          <w:rFonts w:ascii="Times New Roman" w:hAnsi="Times New Roman" w:cs="Times New Roman"/>
          <w:sz w:val="24"/>
        </w:rPr>
        <w:t>Consequences if Information Collected Less Frequently</w:t>
      </w:r>
      <w:bookmarkEnd w:id="16"/>
      <w:bookmarkEnd w:id="17"/>
    </w:p>
    <w:p w:rsidRPr="0095154A" w:rsidR="00302B0E" w:rsidP="00302B0E" w:rsidRDefault="00302B0E" w14:paraId="1968EC06" w14:textId="3733B036">
      <w:r w:rsidRPr="0095154A">
        <w:t xml:space="preserve">This information collection is for a onetime data collection only. </w:t>
      </w:r>
      <w:r w:rsidR="00947F85">
        <w:t xml:space="preserve">None </w:t>
      </w:r>
      <w:r w:rsidRPr="0095154A">
        <w:t xml:space="preserve">of the information needed to </w:t>
      </w:r>
      <w:r w:rsidR="00AA07D5">
        <w:t xml:space="preserve">conduct full psychometric testing of the </w:t>
      </w:r>
      <w:r w:rsidRPr="00661024" w:rsidR="00AA07D5">
        <w:t>Team Assessment Tool</w:t>
      </w:r>
      <w:r w:rsidRPr="0095154A">
        <w:t xml:space="preserve"> need</w:t>
      </w:r>
      <w:r w:rsidR="00423595">
        <w:t>s</w:t>
      </w:r>
      <w:r w:rsidRPr="0095154A">
        <w:t xml:space="preserve"> to be collected more than once</w:t>
      </w:r>
      <w:r w:rsidR="00AA07D5">
        <w:t>.</w:t>
      </w:r>
    </w:p>
    <w:p w:rsidRPr="0095154A" w:rsidR="00302B0E" w:rsidP="00302B0E" w:rsidRDefault="00302B0E" w14:paraId="693362FE" w14:textId="77777777">
      <w:pPr>
        <w:pStyle w:val="Heading2"/>
        <w:rPr>
          <w:rFonts w:ascii="Times New Roman" w:hAnsi="Times New Roman" w:cs="Times New Roman"/>
          <w:sz w:val="24"/>
        </w:rPr>
      </w:pPr>
      <w:bookmarkStart w:name="_Toc151782182" w:id="18"/>
      <w:bookmarkStart w:name="_Toc158526222" w:id="19"/>
      <w:r w:rsidRPr="0095154A">
        <w:rPr>
          <w:rFonts w:ascii="Times New Roman" w:hAnsi="Times New Roman" w:cs="Times New Roman"/>
          <w:sz w:val="24"/>
        </w:rPr>
        <w:t>7. Special Circumstances</w:t>
      </w:r>
      <w:bookmarkEnd w:id="18"/>
      <w:bookmarkEnd w:id="19"/>
    </w:p>
    <w:p w:rsidRPr="0095154A" w:rsidR="00302B0E" w:rsidP="00302B0E" w:rsidRDefault="00302B0E" w14:paraId="736988AE" w14:textId="77777777">
      <w:pPr>
        <w:spacing w:before="120"/>
      </w:pPr>
      <w:r w:rsidRPr="0095154A">
        <w:t>This request is consistent with the generic information collection guidelines of 5 CFR 1320.5(d)(2).  No special circumstances apply.</w:t>
      </w:r>
    </w:p>
    <w:p w:rsidRPr="0095154A" w:rsidR="00302B0E" w:rsidP="00302B0E" w:rsidRDefault="00302B0E" w14:paraId="32AD7652" w14:textId="77777777">
      <w:pPr>
        <w:pStyle w:val="Heading2"/>
        <w:rPr>
          <w:rFonts w:ascii="Times New Roman" w:hAnsi="Times New Roman" w:cs="Times New Roman"/>
          <w:sz w:val="24"/>
          <w:szCs w:val="24"/>
        </w:rPr>
      </w:pPr>
      <w:bookmarkStart w:name="_Toc151782183" w:id="20"/>
      <w:bookmarkStart w:name="_Toc158526223" w:id="21"/>
      <w:r w:rsidRPr="0095154A">
        <w:rPr>
          <w:rFonts w:ascii="Times New Roman" w:hAnsi="Times New Roman" w:cs="Times New Roman"/>
          <w:sz w:val="24"/>
        </w:rPr>
        <w:t>8.</w:t>
      </w:r>
      <w:r w:rsidRPr="0095154A">
        <w:rPr>
          <w:rFonts w:ascii="Times New Roman" w:hAnsi="Times New Roman" w:cs="Times New Roman"/>
          <w:sz w:val="24"/>
          <w:szCs w:val="24"/>
        </w:rPr>
        <w:t xml:space="preserve"> </w:t>
      </w:r>
      <w:bookmarkEnd w:id="20"/>
      <w:bookmarkEnd w:id="21"/>
      <w:r w:rsidRPr="0095154A">
        <w:rPr>
          <w:rFonts w:ascii="Times New Roman" w:hAnsi="Times New Roman" w:cs="Times New Roman"/>
          <w:sz w:val="24"/>
          <w:szCs w:val="24"/>
        </w:rPr>
        <w:t>Federal Register Notice and Outside Consultations</w:t>
      </w:r>
    </w:p>
    <w:p w:rsidRPr="0095154A" w:rsidR="00302B0E" w:rsidP="00302B0E" w:rsidRDefault="00302B0E" w14:paraId="43A0EC0D" w14:textId="77777777">
      <w:pPr>
        <w:pStyle w:val="Heading3"/>
        <w:rPr>
          <w:rFonts w:ascii="Times New Roman" w:hAnsi="Times New Roman" w:cs="Times New Roman"/>
          <w:i/>
          <w:iCs/>
          <w:sz w:val="24"/>
          <w:szCs w:val="24"/>
        </w:rPr>
      </w:pPr>
      <w:r w:rsidRPr="0095154A">
        <w:rPr>
          <w:rFonts w:ascii="Times New Roman" w:hAnsi="Times New Roman" w:cs="Times New Roman"/>
          <w:i/>
          <w:sz w:val="24"/>
          <w:szCs w:val="24"/>
        </w:rPr>
        <w:t>8.a.</w:t>
      </w:r>
      <w:r w:rsidRPr="0095154A">
        <w:rPr>
          <w:rFonts w:ascii="Times New Roman" w:hAnsi="Times New Roman" w:cs="Times New Roman"/>
          <w:sz w:val="24"/>
          <w:szCs w:val="24"/>
        </w:rPr>
        <w:t xml:space="preserve"> </w:t>
      </w:r>
      <w:r w:rsidRPr="0095154A">
        <w:rPr>
          <w:rFonts w:ascii="Times New Roman" w:hAnsi="Times New Roman" w:cs="Times New Roman"/>
          <w:i/>
          <w:iCs/>
          <w:sz w:val="24"/>
          <w:szCs w:val="24"/>
        </w:rPr>
        <w:t>Federal Register Notice</w:t>
      </w:r>
    </w:p>
    <w:p w:rsidR="00553CFB" w:rsidP="00553CFB" w:rsidRDefault="00302B0E" w14:paraId="536F82EC" w14:textId="20D77319">
      <w:r w:rsidRPr="0095154A">
        <w:t>This information collection is being submitted under AHRQ’s generic clearance. A Federal Register notice is therefore not required.</w:t>
      </w:r>
      <w:r w:rsidRPr="00553CFB" w:rsidR="00553CFB">
        <w:t xml:space="preserve"> </w:t>
      </w:r>
      <w:r w:rsidR="00553CFB">
        <w:t xml:space="preserve">As required by 5 CFR 1320.8(d), notices were published in the Federal Register on </w:t>
      </w:r>
      <w:r w:rsidRPr="00553CFB" w:rsidR="00553CFB">
        <w:t>February 9, 2022</w:t>
      </w:r>
      <w:r w:rsidR="00553CFB">
        <w:t>,</w:t>
      </w:r>
      <w:r w:rsidR="001A2E39">
        <w:t xml:space="preserve"> page </w:t>
      </w:r>
      <w:r w:rsidRPr="001A2E39" w:rsidR="001A2E39">
        <w:t>7454</w:t>
      </w:r>
      <w:r w:rsidR="001A2E39">
        <w:t xml:space="preserve"> of volume 87</w:t>
      </w:r>
      <w:r w:rsidR="00553CFB">
        <w:t xml:space="preserve"> for 60 days (see Appendix C) and again on for 30 days.  No substantive comments were received.</w:t>
      </w:r>
    </w:p>
    <w:p w:rsidR="00302B0E" w:rsidP="00302B0E" w:rsidRDefault="00302B0E" w14:paraId="0F8C7469" w14:textId="77FE6FFF"/>
    <w:p w:rsidRPr="0095154A" w:rsidR="00553CFB" w:rsidP="00302B0E" w:rsidRDefault="00553CFB" w14:paraId="172CE823" w14:textId="77777777"/>
    <w:p w:rsidRPr="0095154A" w:rsidR="00302B0E" w:rsidP="00302B0E" w:rsidRDefault="00302B0E" w14:paraId="1A5A90C7" w14:textId="77777777">
      <w:pPr>
        <w:pStyle w:val="Heading3"/>
        <w:rPr>
          <w:rFonts w:ascii="Times New Roman" w:hAnsi="Times New Roman" w:cs="Times New Roman"/>
          <w:sz w:val="24"/>
          <w:szCs w:val="24"/>
        </w:rPr>
      </w:pPr>
      <w:r w:rsidRPr="0095154A">
        <w:rPr>
          <w:rFonts w:ascii="Times New Roman" w:hAnsi="Times New Roman" w:cs="Times New Roman"/>
          <w:sz w:val="24"/>
        </w:rPr>
        <w:lastRenderedPageBreak/>
        <w:t xml:space="preserve">8.b.  </w:t>
      </w:r>
      <w:r w:rsidRPr="0095154A">
        <w:rPr>
          <w:rFonts w:ascii="Times New Roman" w:hAnsi="Times New Roman" w:cs="Times New Roman"/>
          <w:sz w:val="24"/>
          <w:szCs w:val="24"/>
        </w:rPr>
        <w:t>Outside Consultations</w:t>
      </w:r>
    </w:p>
    <w:p w:rsidRPr="0095154A" w:rsidR="00302B0E" w:rsidP="00302B0E" w:rsidRDefault="00302B0E" w14:paraId="1F70D15A" w14:textId="77777777">
      <w:r w:rsidRPr="0095154A">
        <w:t xml:space="preserve">Not applicable. </w:t>
      </w:r>
    </w:p>
    <w:p w:rsidRPr="0095154A" w:rsidR="00302B0E" w:rsidP="00302B0E" w:rsidRDefault="00302B0E" w14:paraId="461C1FDE" w14:textId="77777777">
      <w:pPr>
        <w:pStyle w:val="Heading2"/>
        <w:rPr>
          <w:rFonts w:ascii="Times New Roman" w:hAnsi="Times New Roman" w:cs="Times New Roman"/>
          <w:sz w:val="24"/>
          <w:szCs w:val="24"/>
        </w:rPr>
      </w:pPr>
      <w:bookmarkStart w:name="_Toc457285506" w:id="22"/>
      <w:bookmarkStart w:name="_Toc58725294" w:id="23"/>
      <w:bookmarkStart w:name="_Toc151782184" w:id="24"/>
      <w:bookmarkStart w:name="_Toc158526224" w:id="25"/>
      <w:r w:rsidRPr="0095154A">
        <w:rPr>
          <w:rFonts w:ascii="Times New Roman" w:hAnsi="Times New Roman" w:cs="Times New Roman"/>
          <w:sz w:val="24"/>
          <w:szCs w:val="24"/>
        </w:rPr>
        <w:t>9. Payments/Gifts to Respondents</w:t>
      </w:r>
      <w:bookmarkEnd w:id="22"/>
      <w:bookmarkEnd w:id="23"/>
      <w:bookmarkEnd w:id="24"/>
      <w:bookmarkEnd w:id="25"/>
    </w:p>
    <w:p w:rsidRPr="0095154A" w:rsidR="00302B0E" w:rsidP="00302B0E" w:rsidRDefault="00302B0E" w14:paraId="3FFF6E00" w14:textId="1D828846">
      <w:r w:rsidRPr="0095154A">
        <w:t xml:space="preserve">Our information collection efforts will </w:t>
      </w:r>
      <w:r w:rsidR="00822FFE">
        <w:t xml:space="preserve">not </w:t>
      </w:r>
      <w:r w:rsidRPr="0095154A">
        <w:t xml:space="preserve">offer direct payments or gifts to individual respondents. The organizations engaging in </w:t>
      </w:r>
      <w:r w:rsidR="00CD6A25">
        <w:t xml:space="preserve">psychometric testing </w:t>
      </w:r>
      <w:r w:rsidRPr="0095154A">
        <w:t xml:space="preserve">will be sub-contractors to the MedStar Health Research Institute and </w:t>
      </w:r>
      <w:r w:rsidR="00CD6A25">
        <w:t>will receive a flat stipend for their</w:t>
      </w:r>
      <w:r w:rsidR="00CA7717">
        <w:t xml:space="preserve"> </w:t>
      </w:r>
      <w:r w:rsidR="00CD6A25">
        <w:t>efforts.</w:t>
      </w:r>
    </w:p>
    <w:p w:rsidRPr="0095154A" w:rsidR="00302B0E" w:rsidP="00302B0E" w:rsidRDefault="00302B0E" w14:paraId="452BD47C" w14:textId="77777777">
      <w:pPr>
        <w:pStyle w:val="Heading2"/>
        <w:rPr>
          <w:rFonts w:ascii="Times New Roman" w:hAnsi="Times New Roman" w:cs="Times New Roman"/>
          <w:sz w:val="24"/>
          <w:szCs w:val="24"/>
        </w:rPr>
      </w:pPr>
      <w:r w:rsidRPr="0095154A">
        <w:rPr>
          <w:rFonts w:ascii="Times New Roman" w:hAnsi="Times New Roman" w:cs="Times New Roman"/>
          <w:sz w:val="24"/>
          <w:szCs w:val="24"/>
        </w:rPr>
        <w:t>10</w:t>
      </w:r>
      <w:bookmarkStart w:name="_Toc151782185" w:id="26"/>
      <w:bookmarkStart w:name="_Toc158526225" w:id="27"/>
      <w:r w:rsidRPr="0095154A">
        <w:rPr>
          <w:rFonts w:ascii="Times New Roman" w:hAnsi="Times New Roman" w:cs="Times New Roman"/>
          <w:sz w:val="24"/>
          <w:szCs w:val="24"/>
        </w:rPr>
        <w:t>. Assurance of Confidentiality</w:t>
      </w:r>
      <w:bookmarkEnd w:id="26"/>
      <w:bookmarkEnd w:id="27"/>
    </w:p>
    <w:p w:rsidRPr="0095154A" w:rsidR="00302B0E" w:rsidP="00302B0E" w:rsidRDefault="00302B0E" w14:paraId="3D8374C2" w14:textId="77777777">
      <w:pPr>
        <w:autoSpaceDE w:val="0"/>
        <w:autoSpaceDN w:val="0"/>
        <w:adjustRightInd w:val="0"/>
      </w:pPr>
      <w:r w:rsidRPr="0095154A">
        <w:t xml:space="preserve">Individuals and organizations will be assured of the confidentiality of their replies under Section 944(c) of the Public Health Service Act.  42 U.S.C. 299c-3(c).  That law requires that information collected for research conducted or supported by AHRQ that identifies individuals or establishments be used only for the purpose for which it was supplied. </w:t>
      </w:r>
    </w:p>
    <w:p w:rsidRPr="0095154A" w:rsidR="00302B0E" w:rsidP="00302B0E" w:rsidRDefault="00302B0E" w14:paraId="77231CE7" w14:textId="77777777">
      <w:pPr>
        <w:autoSpaceDE w:val="0"/>
        <w:autoSpaceDN w:val="0"/>
        <w:adjustRightInd w:val="0"/>
      </w:pPr>
    </w:p>
    <w:p w:rsidRPr="0095154A" w:rsidR="00302B0E" w:rsidP="00302B0E" w:rsidRDefault="00302B0E" w14:paraId="1918AF60" w14:textId="2911E03E">
      <w:r w:rsidRPr="00822FFE">
        <w:rPr>
          <w:b/>
          <w:bCs/>
        </w:rPr>
        <w:t>Information that can directly identify the respondent, such as name and/or social security number will not be collected.</w:t>
      </w:r>
      <w:r w:rsidRPr="0095154A">
        <w:t xml:space="preserve"> No information will allow for individual identification of participants</w:t>
      </w:r>
    </w:p>
    <w:p w:rsidRPr="0095154A" w:rsidR="00302B0E" w:rsidP="00302B0E" w:rsidRDefault="00302B0E" w14:paraId="630CA740" w14:textId="77777777"/>
    <w:p w:rsidRPr="00982D3A" w:rsidR="00302B0E" w:rsidP="00982D3A" w:rsidRDefault="00302B0E" w14:paraId="003F619B" w14:textId="0127DFA0">
      <w:pPr>
        <w:spacing w:after="160" w:line="259" w:lineRule="auto"/>
        <w:rPr>
          <w:iCs/>
        </w:rPr>
      </w:pPr>
      <w:r w:rsidRPr="0095154A">
        <w:t>Participants will also receive the following confidentiality statements printed on any respondent materials</w:t>
      </w:r>
      <w:r w:rsidR="00982D3A">
        <w:rPr>
          <w:iCs/>
        </w:rPr>
        <w:t xml:space="preserve">: </w:t>
      </w:r>
      <w:r w:rsidRPr="0095154A">
        <w:t>“The confidentiality of your responses are protected by Sections 944(c) and 308(d) of the Public Health Service Act [42 U.S.C. 299c-3(c) and 42 U.S.C. 242m(d)].  Information that could identify you will not be disclosed unless you have consented to that disclosure.”</w:t>
      </w:r>
    </w:p>
    <w:p w:rsidRPr="0095154A" w:rsidR="00302B0E" w:rsidP="00302B0E" w:rsidRDefault="00302B0E" w14:paraId="1A9014C2" w14:textId="77777777">
      <w:pPr>
        <w:spacing w:before="280"/>
      </w:pPr>
      <w:r w:rsidRPr="0095154A">
        <w:t xml:space="preserve">Information collected will be maintained in a secure HIPAA-compliant data server. All information collection will be stored using the contractor, MedStar’s REDCap™ research data capture database. REDCap™ is a mature, secure web application for building and managing online information collection instruments and data. While REDCap™ can be used to collect virtually any type of data, it is specifically geared to support data capture for research studies. The REDCap™ Consortium is composed of 1,711 active institutional partners in 96 countries who utilize and support REDCap™ in various ways. REDCap™ can be established to support data entry forms and to conduct web-enabled surveys. The Course will also use a REDCap™ project space to securely store any documents received from the practices during the project. The MedStar Health Research Institute is a REDCap™ project collaborator site with a robust history of using this method for data collection. </w:t>
      </w:r>
    </w:p>
    <w:p w:rsidRPr="0095154A" w:rsidR="00302B0E" w:rsidP="00302B0E" w:rsidRDefault="00302B0E" w14:paraId="54B5FC34" w14:textId="77777777">
      <w:pPr>
        <w:spacing w:before="280"/>
      </w:pPr>
      <w:r w:rsidRPr="0095154A">
        <w:t>This ICR does not request any personally identifiable information.</w:t>
      </w:r>
    </w:p>
    <w:p w:rsidRPr="0095154A" w:rsidR="00302B0E" w:rsidP="00302B0E" w:rsidRDefault="00302B0E" w14:paraId="64992D22" w14:textId="77777777">
      <w:pPr>
        <w:spacing w:before="280"/>
      </w:pPr>
      <w:r w:rsidRPr="0095154A">
        <w:t>This ICR does not include a form that requires a Privacy Act Statement.</w:t>
      </w:r>
    </w:p>
    <w:p w:rsidRPr="0095154A" w:rsidR="00302B0E" w:rsidP="00302B0E" w:rsidRDefault="00302B0E" w14:paraId="63654DD0" w14:textId="77777777">
      <w:pPr>
        <w:spacing w:before="100" w:beforeAutospacing="1" w:after="100" w:afterAutospacing="1"/>
        <w:rPr>
          <w:i/>
        </w:rPr>
      </w:pPr>
      <w:r w:rsidRPr="0095154A">
        <w:rPr>
          <w:i/>
        </w:rPr>
        <w:t xml:space="preserve">Does this ICR contain surveys, censuses, or employ statistical methods?   </w:t>
      </w:r>
      <w:r w:rsidRPr="00982D3A">
        <w:rPr>
          <w:b/>
          <w:bCs/>
          <w:iCs/>
        </w:rPr>
        <w:t>Yes</w:t>
      </w:r>
      <w:r w:rsidRPr="0095154A">
        <w:rPr>
          <w:i/>
        </w:rPr>
        <w:t xml:space="preserve">   </w:t>
      </w:r>
      <w:r w:rsidRPr="00982D3A">
        <w:rPr>
          <w:bCs/>
        </w:rPr>
        <w:t>No</w:t>
      </w:r>
      <w:r w:rsidRPr="0095154A">
        <w:rPr>
          <w:b/>
        </w:rPr>
        <w:tab/>
      </w:r>
    </w:p>
    <w:p w:rsidRPr="0095154A" w:rsidR="00302B0E" w:rsidP="00302B0E" w:rsidRDefault="00302B0E" w14:paraId="406703F2" w14:textId="71BAA728">
      <w:pPr>
        <w:spacing w:before="100" w:beforeAutospacing="1" w:after="100" w:afterAutospacing="1"/>
        <w:rPr>
          <w:i/>
        </w:rPr>
      </w:pPr>
      <w:r w:rsidRPr="0095154A">
        <w:rPr>
          <w:i/>
        </w:rPr>
        <w:t>Does this ICR request any personally identifiable information (see OMB Circular No. A-130 for an explanation of this term)? Please consult with your agency's privacy program when making this determination</w:t>
      </w:r>
      <w:r w:rsidR="00982D3A">
        <w:rPr>
          <w:i/>
        </w:rPr>
        <w:t>?</w:t>
      </w:r>
      <w:r w:rsidRPr="0095154A">
        <w:rPr>
          <w:i/>
        </w:rPr>
        <w:t xml:space="preserve">  </w:t>
      </w:r>
      <w:r w:rsidRPr="00982D3A">
        <w:rPr>
          <w:iCs/>
        </w:rPr>
        <w:t>Yes</w:t>
      </w:r>
      <w:r w:rsidRPr="0095154A">
        <w:rPr>
          <w:i/>
        </w:rPr>
        <w:t xml:space="preserve">    </w:t>
      </w:r>
      <w:r w:rsidRPr="0095154A">
        <w:rPr>
          <w:b/>
        </w:rPr>
        <w:t>No</w:t>
      </w:r>
    </w:p>
    <w:p w:rsidRPr="0095154A" w:rsidR="00302B0E" w:rsidP="00302B0E" w:rsidRDefault="00302B0E" w14:paraId="4B0F3D85" w14:textId="77777777">
      <w:pPr>
        <w:spacing w:before="100" w:beforeAutospacing="1" w:after="100" w:afterAutospacing="1"/>
        <w:rPr>
          <w:i/>
        </w:rPr>
      </w:pPr>
      <w:r w:rsidRPr="0095154A">
        <w:rPr>
          <w:i/>
        </w:rPr>
        <w:lastRenderedPageBreak/>
        <w:t xml:space="preserve">Does this ICR include a form that requires a Privacy Act Statement (see 5 U.S.C. §552a(e)(3))? Please consult with your agency's privacy program when making this determination.  </w:t>
      </w:r>
      <w:r w:rsidRPr="00982D3A">
        <w:rPr>
          <w:iCs/>
        </w:rPr>
        <w:t>Yes</w:t>
      </w:r>
      <w:r w:rsidRPr="0095154A">
        <w:rPr>
          <w:i/>
        </w:rPr>
        <w:t xml:space="preserve">    </w:t>
      </w:r>
      <w:r w:rsidRPr="0095154A">
        <w:rPr>
          <w:b/>
        </w:rPr>
        <w:t>No</w:t>
      </w:r>
    </w:p>
    <w:p w:rsidRPr="0095154A" w:rsidR="00302B0E" w:rsidP="00302B0E" w:rsidRDefault="00302B0E" w14:paraId="22B7F2A8" w14:textId="77777777">
      <w:pPr>
        <w:pStyle w:val="Heading2"/>
        <w:rPr>
          <w:rFonts w:ascii="Times New Roman" w:hAnsi="Times New Roman" w:cs="Times New Roman"/>
          <w:sz w:val="24"/>
        </w:rPr>
      </w:pPr>
      <w:bookmarkStart w:name="_Toc151782186" w:id="28"/>
      <w:bookmarkStart w:name="_Toc158526226" w:id="29"/>
      <w:r w:rsidRPr="0095154A">
        <w:rPr>
          <w:rFonts w:ascii="Times New Roman" w:hAnsi="Times New Roman" w:cs="Times New Roman"/>
          <w:sz w:val="24"/>
        </w:rPr>
        <w:t>11. Questions of a Sensitive Nature</w:t>
      </w:r>
      <w:bookmarkEnd w:id="28"/>
      <w:bookmarkEnd w:id="29"/>
    </w:p>
    <w:p w:rsidRPr="0095154A" w:rsidR="00302B0E" w:rsidP="00302B0E" w:rsidRDefault="00302B0E" w14:paraId="05E4DA9F" w14:textId="1647F224">
      <w:r w:rsidRPr="0095154A">
        <w:t xml:space="preserve">The proposed information collection does not include any questions of a sensitive nature. </w:t>
      </w:r>
      <w:r w:rsidR="00EA7C95">
        <w:t xml:space="preserve">There are no individual </w:t>
      </w:r>
      <w:r w:rsidR="00714F7D">
        <w:t xml:space="preserve">respondent </w:t>
      </w:r>
      <w:r w:rsidR="00EA7C95">
        <w:t xml:space="preserve">identifiers on the survey, and questions pertain only to quality improvement, teamwork, team communication, and patient safety culture. </w:t>
      </w:r>
      <w:r w:rsidRPr="00EA7C95" w:rsidR="00EA7C95">
        <w:t xml:space="preserve">Additionally, </w:t>
      </w:r>
      <w:r w:rsidRPr="0061507E" w:rsidR="00EA7C95">
        <w:t>the responses on the</w:t>
      </w:r>
      <w:r w:rsidRPr="0061507E" w:rsidR="00EA7C95">
        <w:rPr>
          <w:b/>
          <w:bCs/>
        </w:rPr>
        <w:t xml:space="preserve"> </w:t>
      </w:r>
      <w:r w:rsidRPr="0061507E" w:rsidR="00EA7C95">
        <w:t>surveys are not being evaluated, but rather the consistency with which the questions are answered is being evaluated (i.e., determining whether the questions are being interpreted the same by all the users), despite diverse healthcare settings and varying levels of experience and familiarity with TeamSTEPPS.</w:t>
      </w:r>
      <w:r w:rsidRPr="00EA7C95" w:rsidR="00EA7C95">
        <w:t>)</w:t>
      </w:r>
    </w:p>
    <w:p w:rsidRPr="0011324F" w:rsidR="00302B0E" w:rsidP="00302B0E" w:rsidRDefault="00302B0E" w14:paraId="37A3B318" w14:textId="7D6ADF6B">
      <w:pPr>
        <w:pStyle w:val="Heading2"/>
        <w:rPr>
          <w:rFonts w:ascii="Times New Roman" w:hAnsi="Times New Roman" w:cs="Times New Roman"/>
          <w:sz w:val="24"/>
          <w:szCs w:val="24"/>
          <w:vertAlign w:val="superscript"/>
        </w:rPr>
      </w:pPr>
      <w:bookmarkStart w:name="_Toc151782187" w:id="30"/>
      <w:bookmarkStart w:name="_Toc158526227" w:id="31"/>
      <w:r w:rsidRPr="0095154A">
        <w:rPr>
          <w:rFonts w:ascii="Times New Roman" w:hAnsi="Times New Roman" w:cs="Times New Roman"/>
          <w:sz w:val="24"/>
          <w:szCs w:val="24"/>
        </w:rPr>
        <w:t>12. Estimates of Annualized Burden Hours and Costs</w:t>
      </w:r>
      <w:bookmarkEnd w:id="30"/>
      <w:bookmarkEnd w:id="31"/>
      <w:r w:rsidR="0011324F">
        <w:rPr>
          <w:rFonts w:ascii="Times New Roman" w:hAnsi="Times New Roman" w:cs="Times New Roman"/>
          <w:sz w:val="24"/>
          <w:szCs w:val="24"/>
          <w:vertAlign w:val="superscript"/>
        </w:rPr>
        <w:t>*</w:t>
      </w:r>
    </w:p>
    <w:p w:rsidRPr="0095154A" w:rsidR="00302B0E" w:rsidP="00302B0E" w:rsidRDefault="00302B0E" w14:paraId="1E1A7570" w14:textId="77777777"/>
    <w:p w:rsidR="00302B0E" w:rsidP="00302B0E" w:rsidRDefault="00302B0E" w14:paraId="78181BBB" w14:textId="1B352EF2">
      <w:pPr>
        <w:rPr>
          <w:b/>
          <w:bCs/>
          <w:color w:val="000000"/>
        </w:rPr>
      </w:pPr>
      <w:bookmarkStart w:name="OLE_LINK1" w:id="32"/>
      <w:bookmarkStart w:name="OLE_LINK2" w:id="33"/>
      <w:bookmarkStart w:name="_Hlk92811021" w:id="34"/>
      <w:r w:rsidRPr="0095154A">
        <w:rPr>
          <w:b/>
          <w:bCs/>
          <w:color w:val="000000"/>
        </w:rPr>
        <w:t>Exhibit 1.  Estimated annualized burden hours</w:t>
      </w:r>
    </w:p>
    <w:p w:rsidR="00714F7D" w:rsidP="00302B0E" w:rsidRDefault="00714F7D" w14:paraId="6256AD63" w14:textId="77777777">
      <w:pPr>
        <w:rPr>
          <w:b/>
          <w:bCs/>
          <w:color w:val="000000"/>
        </w:rPr>
      </w:pPr>
    </w:p>
    <w:tbl>
      <w:tblPr>
        <w:tblStyle w:val="TableGrid"/>
        <w:tblW w:w="9350" w:type="dxa"/>
        <w:tblLayout w:type="fixed"/>
        <w:tblLook w:val="04A0" w:firstRow="1" w:lastRow="0" w:firstColumn="1" w:lastColumn="0" w:noHBand="0" w:noVBand="1"/>
      </w:tblPr>
      <w:tblGrid>
        <w:gridCol w:w="4652"/>
        <w:gridCol w:w="1306"/>
        <w:gridCol w:w="1417"/>
        <w:gridCol w:w="1094"/>
        <w:gridCol w:w="881"/>
      </w:tblGrid>
      <w:tr w:rsidRPr="00C04CD4" w:rsidR="00CC634E" w:rsidTr="006470A4" w14:paraId="06DB84FE" w14:textId="77777777">
        <w:trPr>
          <w:trHeight w:val="274"/>
        </w:trPr>
        <w:tc>
          <w:tcPr>
            <w:tcW w:w="4652" w:type="dxa"/>
            <w:vAlign w:val="center"/>
            <w:hideMark/>
          </w:tcPr>
          <w:p w:rsidRPr="00CC634E" w:rsidR="00CC634E" w:rsidP="006470A4" w:rsidRDefault="00CC634E" w14:paraId="69A32340" w14:textId="1303A1DA">
            <w:pPr>
              <w:jc w:val="center"/>
              <w:rPr>
                <w:sz w:val="20"/>
                <w:szCs w:val="20"/>
              </w:rPr>
            </w:pPr>
            <w:r w:rsidRPr="006470A4">
              <w:rPr>
                <w:sz w:val="20"/>
                <w:szCs w:val="20"/>
              </w:rPr>
              <w:t>Form Name</w:t>
            </w:r>
          </w:p>
        </w:tc>
        <w:tc>
          <w:tcPr>
            <w:tcW w:w="1306" w:type="dxa"/>
            <w:vAlign w:val="center"/>
            <w:hideMark/>
          </w:tcPr>
          <w:p w:rsidRPr="00CC634E" w:rsidR="00CC634E" w:rsidP="006470A4" w:rsidRDefault="00CC634E" w14:paraId="328C314E" w14:textId="443DBA46">
            <w:pPr>
              <w:jc w:val="center"/>
              <w:rPr>
                <w:sz w:val="20"/>
                <w:szCs w:val="20"/>
              </w:rPr>
            </w:pPr>
            <w:r w:rsidRPr="006470A4">
              <w:rPr>
                <w:sz w:val="20"/>
                <w:szCs w:val="20"/>
              </w:rPr>
              <w:t>N</w:t>
            </w:r>
            <w:r>
              <w:rPr>
                <w:sz w:val="20"/>
                <w:szCs w:val="20"/>
              </w:rPr>
              <w:t>umber</w:t>
            </w:r>
            <w:r w:rsidRPr="006470A4">
              <w:rPr>
                <w:sz w:val="20"/>
                <w:szCs w:val="20"/>
              </w:rPr>
              <w:t xml:space="preserve"> of </w:t>
            </w:r>
            <w:r>
              <w:rPr>
                <w:sz w:val="20"/>
                <w:szCs w:val="20"/>
              </w:rPr>
              <w:t>r</w:t>
            </w:r>
            <w:r w:rsidRPr="006470A4">
              <w:rPr>
                <w:sz w:val="20"/>
                <w:szCs w:val="20"/>
              </w:rPr>
              <w:t>espondents</w:t>
            </w:r>
          </w:p>
        </w:tc>
        <w:tc>
          <w:tcPr>
            <w:tcW w:w="1417" w:type="dxa"/>
            <w:vAlign w:val="center"/>
          </w:tcPr>
          <w:p w:rsidRPr="006470A4" w:rsidR="00CC634E" w:rsidP="006470A4" w:rsidRDefault="00CC634E" w14:paraId="6B4A37A8" w14:textId="0B470258">
            <w:pPr>
              <w:jc w:val="center"/>
              <w:rPr>
                <w:sz w:val="20"/>
                <w:szCs w:val="20"/>
              </w:rPr>
            </w:pPr>
            <w:r w:rsidRPr="006470A4">
              <w:rPr>
                <w:sz w:val="20"/>
                <w:szCs w:val="20"/>
              </w:rPr>
              <w:t>N</w:t>
            </w:r>
            <w:r>
              <w:rPr>
                <w:sz w:val="20"/>
                <w:szCs w:val="20"/>
              </w:rPr>
              <w:t>umber</w:t>
            </w:r>
            <w:r w:rsidRPr="006470A4">
              <w:rPr>
                <w:sz w:val="20"/>
                <w:szCs w:val="20"/>
              </w:rPr>
              <w:t xml:space="preserve"> of responses per respondent</w:t>
            </w:r>
          </w:p>
        </w:tc>
        <w:tc>
          <w:tcPr>
            <w:tcW w:w="1094" w:type="dxa"/>
            <w:vAlign w:val="center"/>
            <w:hideMark/>
          </w:tcPr>
          <w:p w:rsidRPr="00CC634E" w:rsidR="00CC634E" w:rsidP="006470A4" w:rsidRDefault="00CC634E" w14:paraId="474C5C1F" w14:textId="0F1FEE98">
            <w:pPr>
              <w:jc w:val="center"/>
              <w:rPr>
                <w:sz w:val="20"/>
                <w:szCs w:val="20"/>
              </w:rPr>
            </w:pPr>
            <w:r w:rsidRPr="006470A4">
              <w:rPr>
                <w:sz w:val="20"/>
                <w:szCs w:val="20"/>
              </w:rPr>
              <w:t>Hours per response</w:t>
            </w:r>
          </w:p>
        </w:tc>
        <w:tc>
          <w:tcPr>
            <w:tcW w:w="881" w:type="dxa"/>
            <w:vAlign w:val="center"/>
            <w:hideMark/>
          </w:tcPr>
          <w:p w:rsidRPr="00CC634E" w:rsidR="00CC634E" w:rsidP="006470A4" w:rsidRDefault="00CC634E" w14:paraId="5776E27C" w14:textId="5710E48E">
            <w:pPr>
              <w:jc w:val="center"/>
              <w:rPr>
                <w:sz w:val="20"/>
                <w:szCs w:val="20"/>
              </w:rPr>
            </w:pPr>
            <w:r w:rsidRPr="006470A4">
              <w:rPr>
                <w:sz w:val="20"/>
                <w:szCs w:val="20"/>
              </w:rPr>
              <w:t>Total burden hours</w:t>
            </w:r>
          </w:p>
        </w:tc>
      </w:tr>
      <w:tr w:rsidRPr="00C04CD4" w:rsidR="00CC634E" w:rsidTr="006470A4" w14:paraId="36815507" w14:textId="77777777">
        <w:trPr>
          <w:trHeight w:val="274"/>
        </w:trPr>
        <w:tc>
          <w:tcPr>
            <w:tcW w:w="4652" w:type="dxa"/>
            <w:hideMark/>
          </w:tcPr>
          <w:p w:rsidR="00BB2E6E" w:rsidP="00EB7C11" w:rsidRDefault="00BB2E6E" w14:paraId="5E1C738C" w14:textId="3D1DE1B6">
            <w:pPr>
              <w:rPr>
                <w:sz w:val="20"/>
                <w:szCs w:val="20"/>
              </w:rPr>
            </w:pPr>
            <w:r w:rsidRPr="00BB2E6E">
              <w:rPr>
                <w:sz w:val="20"/>
                <w:szCs w:val="20"/>
              </w:rPr>
              <w:t>Setting Demographics Survey (Appendix A)</w:t>
            </w:r>
          </w:p>
          <w:p w:rsidRPr="00C04CD4" w:rsidR="00CC634E" w:rsidP="001C2B3F" w:rsidRDefault="00CC634E" w14:paraId="4700F57D" w14:textId="77777777">
            <w:pPr>
              <w:rPr>
                <w:sz w:val="20"/>
                <w:szCs w:val="20"/>
              </w:rPr>
            </w:pPr>
          </w:p>
        </w:tc>
        <w:tc>
          <w:tcPr>
            <w:tcW w:w="1306" w:type="dxa"/>
            <w:hideMark/>
          </w:tcPr>
          <w:p w:rsidRPr="00C04CD4" w:rsidR="00CC634E" w:rsidP="00EB7C11" w:rsidRDefault="00575E0D" w14:paraId="0AD6A5D6" w14:textId="73782463">
            <w:pPr>
              <w:rPr>
                <w:sz w:val="20"/>
                <w:szCs w:val="20"/>
              </w:rPr>
            </w:pPr>
            <w:r>
              <w:rPr>
                <w:sz w:val="20"/>
                <w:szCs w:val="20"/>
              </w:rPr>
              <w:t>9</w:t>
            </w:r>
          </w:p>
        </w:tc>
        <w:tc>
          <w:tcPr>
            <w:tcW w:w="1417" w:type="dxa"/>
          </w:tcPr>
          <w:p w:rsidRPr="00C04CD4" w:rsidR="00CC634E" w:rsidP="00EB7C11" w:rsidRDefault="00575E0D" w14:paraId="30381D83" w14:textId="4FB6B5C9">
            <w:pPr>
              <w:rPr>
                <w:sz w:val="20"/>
                <w:szCs w:val="20"/>
              </w:rPr>
            </w:pPr>
            <w:r>
              <w:rPr>
                <w:sz w:val="20"/>
                <w:szCs w:val="20"/>
              </w:rPr>
              <w:t>1</w:t>
            </w:r>
          </w:p>
        </w:tc>
        <w:tc>
          <w:tcPr>
            <w:tcW w:w="1094" w:type="dxa"/>
            <w:hideMark/>
          </w:tcPr>
          <w:p w:rsidRPr="00C04CD4" w:rsidR="00CC634E" w:rsidP="00EB7C11" w:rsidRDefault="00CC634E" w14:paraId="67A4CC05" w14:textId="19461248">
            <w:pPr>
              <w:rPr>
                <w:sz w:val="20"/>
                <w:szCs w:val="20"/>
              </w:rPr>
            </w:pPr>
            <w:r w:rsidRPr="00C04CD4">
              <w:rPr>
                <w:sz w:val="20"/>
                <w:szCs w:val="20"/>
              </w:rPr>
              <w:t>0.25</w:t>
            </w:r>
          </w:p>
        </w:tc>
        <w:tc>
          <w:tcPr>
            <w:tcW w:w="881" w:type="dxa"/>
            <w:hideMark/>
          </w:tcPr>
          <w:p w:rsidRPr="00C04CD4" w:rsidR="00CC634E" w:rsidP="00EB7C11" w:rsidRDefault="003851D9" w14:paraId="3833CE62" w14:textId="6318EAB1">
            <w:pPr>
              <w:rPr>
                <w:sz w:val="20"/>
                <w:szCs w:val="20"/>
              </w:rPr>
            </w:pPr>
            <w:r>
              <w:rPr>
                <w:sz w:val="20"/>
                <w:szCs w:val="20"/>
              </w:rPr>
              <w:t>2.25</w:t>
            </w:r>
          </w:p>
        </w:tc>
      </w:tr>
      <w:tr w:rsidRPr="00C04CD4" w:rsidR="00CC634E" w:rsidTr="006470A4" w14:paraId="4EFDFC5D" w14:textId="77777777">
        <w:trPr>
          <w:trHeight w:val="274"/>
        </w:trPr>
        <w:tc>
          <w:tcPr>
            <w:tcW w:w="4652" w:type="dxa"/>
            <w:hideMark/>
          </w:tcPr>
          <w:p w:rsidRPr="006470A4" w:rsidR="00BB2E6E" w:rsidP="00BB2E6E" w:rsidRDefault="00BB2E6E" w14:paraId="743DFCCD" w14:textId="09183279">
            <w:pPr>
              <w:rPr>
                <w:sz w:val="20"/>
                <w:szCs w:val="20"/>
              </w:rPr>
            </w:pPr>
            <w:r w:rsidRPr="006470A4">
              <w:rPr>
                <w:sz w:val="20"/>
                <w:szCs w:val="20"/>
              </w:rPr>
              <w:t>TeamSTEPPS® Team Assessment Tool for Improving Diagnosis (Appendix B)</w:t>
            </w:r>
          </w:p>
          <w:p w:rsidRPr="00C04CD4" w:rsidR="00CC634E" w:rsidP="001C2B3F" w:rsidRDefault="00CC634E" w14:paraId="24F7D4A0" w14:textId="77777777">
            <w:pPr>
              <w:rPr>
                <w:sz w:val="20"/>
                <w:szCs w:val="20"/>
              </w:rPr>
            </w:pPr>
          </w:p>
        </w:tc>
        <w:tc>
          <w:tcPr>
            <w:tcW w:w="1306" w:type="dxa"/>
            <w:hideMark/>
          </w:tcPr>
          <w:p w:rsidRPr="00C04CD4" w:rsidR="00CC634E" w:rsidP="00EB7C11" w:rsidRDefault="001C2B3F" w14:paraId="52A4C0A9" w14:textId="25C14CCB">
            <w:pPr>
              <w:rPr>
                <w:sz w:val="20"/>
                <w:szCs w:val="20"/>
              </w:rPr>
            </w:pPr>
            <w:r>
              <w:rPr>
                <w:sz w:val="20"/>
                <w:szCs w:val="20"/>
              </w:rPr>
              <w:t>350</w:t>
            </w:r>
          </w:p>
        </w:tc>
        <w:tc>
          <w:tcPr>
            <w:tcW w:w="1417" w:type="dxa"/>
          </w:tcPr>
          <w:p w:rsidRPr="00C04CD4" w:rsidR="00CC634E" w:rsidP="00EB7C11" w:rsidRDefault="003851D9" w14:paraId="33A3ED25" w14:textId="255E7745">
            <w:pPr>
              <w:rPr>
                <w:sz w:val="20"/>
                <w:szCs w:val="20"/>
              </w:rPr>
            </w:pPr>
            <w:r>
              <w:rPr>
                <w:sz w:val="20"/>
                <w:szCs w:val="20"/>
              </w:rPr>
              <w:t>1</w:t>
            </w:r>
          </w:p>
        </w:tc>
        <w:tc>
          <w:tcPr>
            <w:tcW w:w="1094" w:type="dxa"/>
            <w:hideMark/>
          </w:tcPr>
          <w:p w:rsidRPr="00C04CD4" w:rsidR="00CC634E" w:rsidP="00EB7C11" w:rsidRDefault="00CC634E" w14:paraId="157FF8A0" w14:textId="73D0FDC2">
            <w:pPr>
              <w:rPr>
                <w:sz w:val="20"/>
                <w:szCs w:val="20"/>
              </w:rPr>
            </w:pPr>
            <w:r w:rsidRPr="00C04CD4">
              <w:rPr>
                <w:sz w:val="20"/>
                <w:szCs w:val="20"/>
              </w:rPr>
              <w:t>0.25</w:t>
            </w:r>
          </w:p>
        </w:tc>
        <w:tc>
          <w:tcPr>
            <w:tcW w:w="881" w:type="dxa"/>
            <w:hideMark/>
          </w:tcPr>
          <w:p w:rsidRPr="00C04CD4" w:rsidR="00CC634E" w:rsidP="00EB7C11" w:rsidRDefault="003851D9" w14:paraId="6971D4CF" w14:textId="03ABD5E6">
            <w:pPr>
              <w:rPr>
                <w:sz w:val="20"/>
                <w:szCs w:val="20"/>
              </w:rPr>
            </w:pPr>
            <w:r>
              <w:rPr>
                <w:sz w:val="20"/>
                <w:szCs w:val="20"/>
              </w:rPr>
              <w:t>87.5</w:t>
            </w:r>
          </w:p>
        </w:tc>
      </w:tr>
      <w:tr w:rsidRPr="00C04CD4" w:rsidR="00CC634E" w:rsidTr="006470A4" w14:paraId="1971D834" w14:textId="77777777">
        <w:trPr>
          <w:trHeight w:val="289"/>
        </w:trPr>
        <w:tc>
          <w:tcPr>
            <w:tcW w:w="4652" w:type="dxa"/>
            <w:hideMark/>
          </w:tcPr>
          <w:p w:rsidRPr="00C04CD4" w:rsidR="00CC634E" w:rsidP="00EB7C11" w:rsidRDefault="00CC634E" w14:paraId="1F29F435" w14:textId="77777777">
            <w:pPr>
              <w:rPr>
                <w:b/>
                <w:bCs/>
                <w:sz w:val="20"/>
                <w:szCs w:val="20"/>
              </w:rPr>
            </w:pPr>
            <w:r w:rsidRPr="00C04CD4">
              <w:rPr>
                <w:b/>
                <w:bCs/>
                <w:sz w:val="20"/>
                <w:szCs w:val="20"/>
              </w:rPr>
              <w:t>Total</w:t>
            </w:r>
          </w:p>
          <w:p w:rsidRPr="00C04CD4" w:rsidR="00CC634E" w:rsidP="00EB7C11" w:rsidRDefault="00CC634E" w14:paraId="278A58D7" w14:textId="77777777">
            <w:pPr>
              <w:rPr>
                <w:sz w:val="20"/>
                <w:szCs w:val="20"/>
              </w:rPr>
            </w:pPr>
          </w:p>
        </w:tc>
        <w:tc>
          <w:tcPr>
            <w:tcW w:w="1306" w:type="dxa"/>
            <w:hideMark/>
          </w:tcPr>
          <w:p w:rsidRPr="00C04CD4" w:rsidR="00CC634E" w:rsidP="00EB7C11" w:rsidRDefault="00CC634E" w14:paraId="017F03CE" w14:textId="77777777">
            <w:pPr>
              <w:rPr>
                <w:sz w:val="20"/>
                <w:szCs w:val="20"/>
              </w:rPr>
            </w:pPr>
            <w:r w:rsidRPr="00C04CD4">
              <w:rPr>
                <w:b/>
                <w:bCs/>
                <w:sz w:val="20"/>
                <w:szCs w:val="20"/>
              </w:rPr>
              <w:t>359</w:t>
            </w:r>
          </w:p>
        </w:tc>
        <w:tc>
          <w:tcPr>
            <w:tcW w:w="1417" w:type="dxa"/>
          </w:tcPr>
          <w:p w:rsidRPr="00C04CD4" w:rsidR="00CC634E" w:rsidP="00EB7C11" w:rsidRDefault="00CC634E" w14:paraId="5DA0E45E" w14:textId="77777777">
            <w:pPr>
              <w:rPr>
                <w:sz w:val="20"/>
                <w:szCs w:val="20"/>
              </w:rPr>
            </w:pPr>
          </w:p>
        </w:tc>
        <w:tc>
          <w:tcPr>
            <w:tcW w:w="1094" w:type="dxa"/>
            <w:hideMark/>
          </w:tcPr>
          <w:p w:rsidRPr="00C04CD4" w:rsidR="00CC634E" w:rsidP="00EB7C11" w:rsidRDefault="00CC634E" w14:paraId="00C1A532" w14:textId="7BDCB88D">
            <w:pPr>
              <w:rPr>
                <w:sz w:val="20"/>
                <w:szCs w:val="20"/>
              </w:rPr>
            </w:pPr>
            <w:r w:rsidRPr="00C04CD4">
              <w:rPr>
                <w:sz w:val="20"/>
                <w:szCs w:val="20"/>
              </w:rPr>
              <w:t> </w:t>
            </w:r>
          </w:p>
        </w:tc>
        <w:tc>
          <w:tcPr>
            <w:tcW w:w="881" w:type="dxa"/>
            <w:hideMark/>
          </w:tcPr>
          <w:p w:rsidRPr="00C04CD4" w:rsidR="00CC634E" w:rsidP="00EB7C11" w:rsidRDefault="00CC634E" w14:paraId="1FEB1ADA" w14:textId="77777777">
            <w:pPr>
              <w:rPr>
                <w:sz w:val="20"/>
                <w:szCs w:val="20"/>
              </w:rPr>
            </w:pPr>
            <w:r w:rsidRPr="00C04CD4">
              <w:rPr>
                <w:b/>
                <w:bCs/>
                <w:sz w:val="20"/>
                <w:szCs w:val="20"/>
              </w:rPr>
              <w:t>89.75</w:t>
            </w:r>
          </w:p>
        </w:tc>
      </w:tr>
    </w:tbl>
    <w:p w:rsidRPr="0095154A" w:rsidR="00714F7D" w:rsidP="00302B0E" w:rsidRDefault="00714F7D" w14:paraId="12BE0910" w14:textId="77777777">
      <w:pPr>
        <w:rPr>
          <w:b/>
          <w:bCs/>
          <w:color w:val="000000"/>
        </w:rPr>
      </w:pPr>
    </w:p>
    <w:bookmarkEnd w:id="32"/>
    <w:bookmarkEnd w:id="33"/>
    <w:p w:rsidRPr="0095154A" w:rsidR="00302B0E" w:rsidP="00302B0E" w:rsidRDefault="00302B0E" w14:paraId="19220D61" w14:textId="77777777">
      <w:r w:rsidRPr="0095154A">
        <w:t> </w:t>
      </w:r>
    </w:p>
    <w:p w:rsidRPr="0011324F" w:rsidR="00302B0E" w:rsidP="00302B0E" w:rsidRDefault="00302B0E" w14:paraId="4A681482" w14:textId="080A0BA1">
      <w:pPr>
        <w:rPr>
          <w:b/>
          <w:bCs/>
          <w:vertAlign w:val="superscript"/>
        </w:rPr>
      </w:pPr>
      <w:r w:rsidRPr="0095154A">
        <w:rPr>
          <w:b/>
          <w:bCs/>
        </w:rPr>
        <w:t>Exhibit 2.  Estimated annualized cost burden</w:t>
      </w:r>
    </w:p>
    <w:p w:rsidR="00C04CD4" w:rsidP="00302B0E" w:rsidRDefault="00C04CD4" w14:paraId="7DB5B0DB" w14:textId="2B0B3615">
      <w:pPr>
        <w:rPr>
          <w:b/>
          <w:bCs/>
        </w:rPr>
      </w:pPr>
    </w:p>
    <w:tbl>
      <w:tblPr>
        <w:tblStyle w:val="TableGrid"/>
        <w:tblW w:w="9350" w:type="dxa"/>
        <w:tblLook w:val="04A0" w:firstRow="1" w:lastRow="0" w:firstColumn="1" w:lastColumn="0" w:noHBand="0" w:noVBand="1"/>
      </w:tblPr>
      <w:tblGrid>
        <w:gridCol w:w="4309"/>
        <w:gridCol w:w="1364"/>
        <w:gridCol w:w="1366"/>
        <w:gridCol w:w="1263"/>
        <w:gridCol w:w="1048"/>
      </w:tblGrid>
      <w:tr w:rsidR="001C2B3F" w:rsidTr="006470A4" w14:paraId="4ED081FC" w14:textId="5276446C">
        <w:trPr>
          <w:trHeight w:val="698"/>
        </w:trPr>
        <w:tc>
          <w:tcPr>
            <w:tcW w:w="4309" w:type="dxa"/>
            <w:vAlign w:val="center"/>
            <w:hideMark/>
          </w:tcPr>
          <w:p w:rsidRPr="00BB2E6E" w:rsidR="00CC634E" w:rsidP="006470A4" w:rsidRDefault="00CC634E" w14:paraId="28F5DE7D" w14:textId="72399D56">
            <w:pPr>
              <w:jc w:val="center"/>
            </w:pPr>
            <w:r w:rsidRPr="006470A4">
              <w:rPr>
                <w:sz w:val="20"/>
                <w:szCs w:val="20"/>
              </w:rPr>
              <w:t>Form Name</w:t>
            </w:r>
          </w:p>
        </w:tc>
        <w:tc>
          <w:tcPr>
            <w:tcW w:w="1364" w:type="dxa"/>
            <w:vAlign w:val="center"/>
            <w:hideMark/>
          </w:tcPr>
          <w:p w:rsidRPr="00BB2E6E" w:rsidR="00CC634E" w:rsidP="006470A4" w:rsidRDefault="00CC634E" w14:paraId="7B652418" w14:textId="2755E2B5">
            <w:pPr>
              <w:jc w:val="center"/>
            </w:pPr>
            <w:r w:rsidRPr="006470A4">
              <w:rPr>
                <w:sz w:val="20"/>
                <w:szCs w:val="20"/>
              </w:rPr>
              <w:t>Number of respondents</w:t>
            </w:r>
          </w:p>
        </w:tc>
        <w:tc>
          <w:tcPr>
            <w:tcW w:w="1366" w:type="dxa"/>
            <w:vAlign w:val="center"/>
            <w:hideMark/>
          </w:tcPr>
          <w:p w:rsidRPr="00BB2E6E" w:rsidR="00CC634E" w:rsidP="006470A4" w:rsidRDefault="001C2B3F" w14:paraId="72269FE1" w14:textId="24E6F3FA">
            <w:pPr>
              <w:jc w:val="center"/>
            </w:pPr>
            <w:r>
              <w:rPr>
                <w:sz w:val="20"/>
                <w:szCs w:val="20"/>
              </w:rPr>
              <w:t>Total burden hours</w:t>
            </w:r>
          </w:p>
        </w:tc>
        <w:tc>
          <w:tcPr>
            <w:tcW w:w="1263" w:type="dxa"/>
            <w:vAlign w:val="center"/>
          </w:tcPr>
          <w:p w:rsidRPr="006470A4" w:rsidR="00CC634E" w:rsidDel="00CC634E" w:rsidP="006470A4" w:rsidRDefault="001C2B3F" w14:paraId="6398A238" w14:textId="06F5F629">
            <w:pPr>
              <w:jc w:val="center"/>
              <w:rPr>
                <w:sz w:val="20"/>
                <w:szCs w:val="20"/>
              </w:rPr>
            </w:pPr>
            <w:r>
              <w:rPr>
                <w:sz w:val="20"/>
                <w:szCs w:val="20"/>
              </w:rPr>
              <w:t>Average hourly wage rate</w:t>
            </w:r>
          </w:p>
        </w:tc>
        <w:tc>
          <w:tcPr>
            <w:tcW w:w="1048" w:type="dxa"/>
            <w:vAlign w:val="center"/>
          </w:tcPr>
          <w:p w:rsidRPr="006470A4" w:rsidR="00CC634E" w:rsidP="006470A4" w:rsidRDefault="00CC634E" w14:paraId="1E2BBAE8" w14:textId="5D04BBA1">
            <w:pPr>
              <w:jc w:val="center"/>
              <w:rPr>
                <w:sz w:val="20"/>
                <w:szCs w:val="20"/>
              </w:rPr>
            </w:pPr>
            <w:r w:rsidRPr="006470A4">
              <w:rPr>
                <w:sz w:val="20"/>
                <w:szCs w:val="20"/>
              </w:rPr>
              <w:t xml:space="preserve">Total </w:t>
            </w:r>
            <w:r w:rsidR="001C2B3F">
              <w:rPr>
                <w:sz w:val="20"/>
                <w:szCs w:val="20"/>
              </w:rPr>
              <w:t xml:space="preserve">cost </w:t>
            </w:r>
            <w:r w:rsidRPr="006470A4">
              <w:rPr>
                <w:sz w:val="20"/>
                <w:szCs w:val="20"/>
              </w:rPr>
              <w:t>burden</w:t>
            </w:r>
          </w:p>
        </w:tc>
      </w:tr>
      <w:tr w:rsidR="001C2B3F" w:rsidTr="006470A4" w14:paraId="3AFB0957" w14:textId="0EAE0E55">
        <w:trPr>
          <w:trHeight w:val="296"/>
        </w:trPr>
        <w:tc>
          <w:tcPr>
            <w:tcW w:w="4309" w:type="dxa"/>
            <w:hideMark/>
          </w:tcPr>
          <w:p w:rsidRPr="006470A4" w:rsidR="00CC634E" w:rsidP="00EB7C11" w:rsidRDefault="001C2B3F" w14:paraId="30177524" w14:textId="370F995C">
            <w:pPr>
              <w:rPr>
                <w:sz w:val="20"/>
                <w:szCs w:val="20"/>
              </w:rPr>
            </w:pPr>
            <w:r w:rsidRPr="00BB2E6E">
              <w:rPr>
                <w:sz w:val="20"/>
                <w:szCs w:val="20"/>
              </w:rPr>
              <w:t>Setting Demographics Survey (Appendix A)</w:t>
            </w:r>
          </w:p>
        </w:tc>
        <w:tc>
          <w:tcPr>
            <w:tcW w:w="1364" w:type="dxa"/>
            <w:hideMark/>
          </w:tcPr>
          <w:p w:rsidR="00CC634E" w:rsidP="00EB7C11" w:rsidRDefault="001C2B3F" w14:paraId="0EF5C2B1" w14:textId="6C7B2800">
            <w:r>
              <w:rPr>
                <w:sz w:val="20"/>
                <w:szCs w:val="20"/>
              </w:rPr>
              <w:t>9</w:t>
            </w:r>
          </w:p>
        </w:tc>
        <w:tc>
          <w:tcPr>
            <w:tcW w:w="1366" w:type="dxa"/>
            <w:hideMark/>
          </w:tcPr>
          <w:p w:rsidR="00CC634E" w:rsidP="00EB7C11" w:rsidRDefault="006E2692" w14:paraId="053AC743" w14:textId="4BBA7013">
            <w:r>
              <w:rPr>
                <w:sz w:val="20"/>
                <w:szCs w:val="20"/>
              </w:rPr>
              <w:t>2.25</w:t>
            </w:r>
          </w:p>
        </w:tc>
        <w:tc>
          <w:tcPr>
            <w:tcW w:w="1263" w:type="dxa"/>
          </w:tcPr>
          <w:p w:rsidRPr="006470A4" w:rsidR="00CC634E" w:rsidP="00EB7C11" w:rsidRDefault="006E2692" w14:paraId="5DAF23DC" w14:textId="699FFA93">
            <w:pPr>
              <w:rPr>
                <w:sz w:val="20"/>
                <w:szCs w:val="20"/>
                <w:vertAlign w:val="superscript"/>
              </w:rPr>
            </w:pPr>
            <w:r w:rsidRPr="006E2692">
              <w:rPr>
                <w:sz w:val="20"/>
                <w:szCs w:val="20"/>
              </w:rPr>
              <w:t>$ 57.12</w:t>
            </w:r>
            <w:r>
              <w:rPr>
                <w:sz w:val="20"/>
                <w:szCs w:val="20"/>
                <w:vertAlign w:val="superscript"/>
              </w:rPr>
              <w:t>a</w:t>
            </w:r>
          </w:p>
        </w:tc>
        <w:tc>
          <w:tcPr>
            <w:tcW w:w="1048" w:type="dxa"/>
          </w:tcPr>
          <w:p w:rsidR="00CC634E" w:rsidP="00EB7C11" w:rsidRDefault="00695BC5" w14:paraId="46688142" w14:textId="7DB2B798">
            <w:pPr>
              <w:rPr>
                <w:sz w:val="20"/>
                <w:szCs w:val="20"/>
              </w:rPr>
            </w:pPr>
            <w:r>
              <w:rPr>
                <w:sz w:val="20"/>
                <w:szCs w:val="20"/>
              </w:rPr>
              <w:t>$128.52</w:t>
            </w:r>
          </w:p>
        </w:tc>
      </w:tr>
      <w:tr w:rsidR="001C2B3F" w:rsidTr="006470A4" w14:paraId="10D87BEA" w14:textId="3233AB87">
        <w:trPr>
          <w:trHeight w:val="465"/>
        </w:trPr>
        <w:tc>
          <w:tcPr>
            <w:tcW w:w="4309" w:type="dxa"/>
            <w:hideMark/>
          </w:tcPr>
          <w:p w:rsidRPr="006470A4" w:rsidR="00CC634E" w:rsidP="00EB7C11" w:rsidRDefault="001C2B3F" w14:paraId="4BA22AB1" w14:textId="06600D38">
            <w:pPr>
              <w:rPr>
                <w:sz w:val="20"/>
                <w:szCs w:val="20"/>
              </w:rPr>
            </w:pPr>
            <w:r w:rsidRPr="004E74C7">
              <w:rPr>
                <w:sz w:val="20"/>
                <w:szCs w:val="20"/>
              </w:rPr>
              <w:t>TeamSTEPPS® Team Assessment Tool for Improving Diagnosis (Appendix B)</w:t>
            </w:r>
          </w:p>
        </w:tc>
        <w:tc>
          <w:tcPr>
            <w:tcW w:w="1364" w:type="dxa"/>
            <w:hideMark/>
          </w:tcPr>
          <w:p w:rsidR="00CC634E" w:rsidP="00EB7C11" w:rsidRDefault="003851D9" w14:paraId="274CAB35" w14:textId="2DE7D89D">
            <w:r>
              <w:rPr>
                <w:sz w:val="20"/>
                <w:szCs w:val="20"/>
              </w:rPr>
              <w:t>265</w:t>
            </w:r>
          </w:p>
        </w:tc>
        <w:tc>
          <w:tcPr>
            <w:tcW w:w="1366" w:type="dxa"/>
            <w:hideMark/>
          </w:tcPr>
          <w:p w:rsidR="00CC634E" w:rsidP="00EB7C11" w:rsidRDefault="006E2692" w14:paraId="4350E11A" w14:textId="326DCC83">
            <w:r>
              <w:rPr>
                <w:sz w:val="20"/>
                <w:szCs w:val="20"/>
              </w:rPr>
              <w:t>66.25</w:t>
            </w:r>
          </w:p>
        </w:tc>
        <w:tc>
          <w:tcPr>
            <w:tcW w:w="1263" w:type="dxa"/>
          </w:tcPr>
          <w:p w:rsidRPr="006470A4" w:rsidR="00CC634E" w:rsidP="00EB7C11" w:rsidRDefault="003851D9" w14:paraId="4261D92A" w14:textId="6690E0FD">
            <w:pPr>
              <w:rPr>
                <w:sz w:val="20"/>
                <w:szCs w:val="20"/>
                <w:vertAlign w:val="superscript"/>
              </w:rPr>
            </w:pPr>
            <w:r w:rsidRPr="003851D9">
              <w:rPr>
                <w:sz w:val="20"/>
                <w:szCs w:val="20"/>
              </w:rPr>
              <w:t>$ 103.06</w:t>
            </w:r>
            <w:r>
              <w:rPr>
                <w:sz w:val="20"/>
                <w:szCs w:val="20"/>
                <w:vertAlign w:val="superscript"/>
              </w:rPr>
              <w:t>b</w:t>
            </w:r>
          </w:p>
        </w:tc>
        <w:tc>
          <w:tcPr>
            <w:tcW w:w="1048" w:type="dxa"/>
          </w:tcPr>
          <w:p w:rsidR="00CC634E" w:rsidP="00EB7C11" w:rsidRDefault="00695BC5" w14:paraId="034818C3" w14:textId="54B57D18">
            <w:pPr>
              <w:rPr>
                <w:sz w:val="20"/>
                <w:szCs w:val="20"/>
              </w:rPr>
            </w:pPr>
            <w:r>
              <w:rPr>
                <w:sz w:val="20"/>
                <w:szCs w:val="20"/>
              </w:rPr>
              <w:t>$6,827.73</w:t>
            </w:r>
          </w:p>
        </w:tc>
      </w:tr>
      <w:tr w:rsidR="001C2B3F" w:rsidTr="006470A4" w14:paraId="5F8EF073" w14:textId="7FEAA596">
        <w:trPr>
          <w:trHeight w:val="465"/>
        </w:trPr>
        <w:tc>
          <w:tcPr>
            <w:tcW w:w="4309" w:type="dxa"/>
            <w:hideMark/>
          </w:tcPr>
          <w:p w:rsidRPr="00C04CD4" w:rsidR="00CC634E" w:rsidP="00EB7C11" w:rsidRDefault="003851D9" w14:paraId="5C166ED6" w14:textId="4431C685">
            <w:pPr>
              <w:rPr>
                <w:vertAlign w:val="superscript"/>
              </w:rPr>
            </w:pPr>
            <w:r w:rsidRPr="004E74C7">
              <w:rPr>
                <w:sz w:val="20"/>
                <w:szCs w:val="20"/>
              </w:rPr>
              <w:t>TeamSTEPPS® Team Assessment Tool for Improving Diagnosis (Appendix B)</w:t>
            </w:r>
          </w:p>
        </w:tc>
        <w:tc>
          <w:tcPr>
            <w:tcW w:w="1364" w:type="dxa"/>
            <w:hideMark/>
          </w:tcPr>
          <w:p w:rsidR="00CC634E" w:rsidP="00EB7C11" w:rsidRDefault="003851D9" w14:paraId="63A6F5BC" w14:textId="4499ADB0">
            <w:r>
              <w:rPr>
                <w:sz w:val="20"/>
                <w:szCs w:val="20"/>
              </w:rPr>
              <w:t>85</w:t>
            </w:r>
          </w:p>
        </w:tc>
        <w:tc>
          <w:tcPr>
            <w:tcW w:w="1366" w:type="dxa"/>
            <w:hideMark/>
          </w:tcPr>
          <w:p w:rsidR="00CC634E" w:rsidP="00EB7C11" w:rsidRDefault="006E2692" w14:paraId="172E2004" w14:textId="56A91CD1">
            <w:r>
              <w:rPr>
                <w:sz w:val="20"/>
                <w:szCs w:val="20"/>
              </w:rPr>
              <w:t>21.25</w:t>
            </w:r>
          </w:p>
        </w:tc>
        <w:tc>
          <w:tcPr>
            <w:tcW w:w="1263" w:type="dxa"/>
          </w:tcPr>
          <w:p w:rsidRPr="006470A4" w:rsidR="00CC634E" w:rsidP="00EB7C11" w:rsidRDefault="003851D9" w14:paraId="0B29A728" w14:textId="522CD850">
            <w:pPr>
              <w:rPr>
                <w:sz w:val="20"/>
                <w:szCs w:val="20"/>
                <w:vertAlign w:val="superscript"/>
              </w:rPr>
            </w:pPr>
            <w:r w:rsidRPr="003851D9">
              <w:rPr>
                <w:sz w:val="20"/>
                <w:szCs w:val="20"/>
              </w:rPr>
              <w:t>$ 15.50</w:t>
            </w:r>
            <w:r>
              <w:rPr>
                <w:sz w:val="20"/>
                <w:szCs w:val="20"/>
                <w:vertAlign w:val="superscript"/>
              </w:rPr>
              <w:t>c</w:t>
            </w:r>
          </w:p>
        </w:tc>
        <w:tc>
          <w:tcPr>
            <w:tcW w:w="1048" w:type="dxa"/>
          </w:tcPr>
          <w:p w:rsidR="00CC634E" w:rsidP="00EB7C11" w:rsidRDefault="00695BC5" w14:paraId="67DF66E6" w14:textId="50BC7A90">
            <w:pPr>
              <w:rPr>
                <w:sz w:val="20"/>
                <w:szCs w:val="20"/>
              </w:rPr>
            </w:pPr>
            <w:r>
              <w:rPr>
                <w:sz w:val="20"/>
                <w:szCs w:val="20"/>
              </w:rPr>
              <w:t>$329.38</w:t>
            </w:r>
          </w:p>
        </w:tc>
      </w:tr>
      <w:tr w:rsidR="001C2B3F" w:rsidTr="006470A4" w14:paraId="419F0958" w14:textId="007B7C9F">
        <w:trPr>
          <w:trHeight w:val="232"/>
        </w:trPr>
        <w:tc>
          <w:tcPr>
            <w:tcW w:w="4309" w:type="dxa"/>
            <w:hideMark/>
          </w:tcPr>
          <w:p w:rsidRPr="00BB2E6E" w:rsidR="00CC634E" w:rsidP="00EB7C11" w:rsidRDefault="00CC634E" w14:paraId="09AB520F" w14:textId="77777777">
            <w:r w:rsidRPr="006470A4">
              <w:rPr>
                <w:b/>
                <w:bCs/>
                <w:sz w:val="20"/>
                <w:szCs w:val="20"/>
              </w:rPr>
              <w:t>Total</w:t>
            </w:r>
          </w:p>
        </w:tc>
        <w:tc>
          <w:tcPr>
            <w:tcW w:w="1364" w:type="dxa"/>
            <w:hideMark/>
          </w:tcPr>
          <w:p w:rsidRPr="00BB2E6E" w:rsidR="00CC634E" w:rsidP="00EB7C11" w:rsidRDefault="006E2692" w14:paraId="0C77BA9B" w14:textId="30C35CA3">
            <w:r>
              <w:rPr>
                <w:b/>
                <w:bCs/>
                <w:sz w:val="20"/>
                <w:szCs w:val="20"/>
              </w:rPr>
              <w:t>359</w:t>
            </w:r>
          </w:p>
        </w:tc>
        <w:tc>
          <w:tcPr>
            <w:tcW w:w="1366" w:type="dxa"/>
            <w:hideMark/>
          </w:tcPr>
          <w:p w:rsidRPr="00BB2E6E" w:rsidR="00CC634E" w:rsidP="00EB7C11" w:rsidRDefault="006E2692" w14:paraId="683E85C7" w14:textId="51C5A378">
            <w:r w:rsidRPr="004E74C7">
              <w:rPr>
                <w:b/>
                <w:bCs/>
                <w:sz w:val="20"/>
                <w:szCs w:val="20"/>
              </w:rPr>
              <w:t>89.75</w:t>
            </w:r>
          </w:p>
        </w:tc>
        <w:tc>
          <w:tcPr>
            <w:tcW w:w="1263" w:type="dxa"/>
          </w:tcPr>
          <w:p w:rsidRPr="006470A4" w:rsidR="00CC634E" w:rsidP="00EB7C11" w:rsidRDefault="00CC634E" w14:paraId="5231FF32" w14:textId="77777777">
            <w:pPr>
              <w:rPr>
                <w:b/>
                <w:bCs/>
                <w:sz w:val="20"/>
                <w:szCs w:val="20"/>
              </w:rPr>
            </w:pPr>
          </w:p>
        </w:tc>
        <w:tc>
          <w:tcPr>
            <w:tcW w:w="1048" w:type="dxa"/>
          </w:tcPr>
          <w:p w:rsidRPr="006470A4" w:rsidR="00CC634E" w:rsidP="00EB7C11" w:rsidRDefault="00695BC5" w14:paraId="1C6884EE" w14:textId="4A1FA2EE">
            <w:pPr>
              <w:rPr>
                <w:b/>
                <w:bCs/>
                <w:sz w:val="20"/>
                <w:szCs w:val="20"/>
              </w:rPr>
            </w:pPr>
            <w:r>
              <w:rPr>
                <w:b/>
                <w:bCs/>
                <w:sz w:val="20"/>
                <w:szCs w:val="20"/>
              </w:rPr>
              <w:t>$7,285.63</w:t>
            </w:r>
          </w:p>
        </w:tc>
      </w:tr>
    </w:tbl>
    <w:p w:rsidRPr="0095154A" w:rsidR="00C04CD4" w:rsidP="00302B0E" w:rsidRDefault="00C04CD4" w14:paraId="5175B0C4" w14:textId="77777777">
      <w:pPr>
        <w:rPr>
          <w:b/>
          <w:bCs/>
        </w:rPr>
      </w:pPr>
    </w:p>
    <w:p w:rsidRPr="0095154A" w:rsidR="003851D9" w:rsidP="006470A4" w:rsidRDefault="003851D9" w14:paraId="205629C9" w14:textId="4FDAE4D9">
      <w:pPr>
        <w:tabs>
          <w:tab w:val="left" w:pos="180"/>
        </w:tabs>
        <w:rPr>
          <w:i/>
          <w:iCs/>
          <w:sz w:val="20"/>
          <w:szCs w:val="20"/>
        </w:rPr>
      </w:pPr>
      <w:r>
        <w:rPr>
          <w:color w:val="000000"/>
          <w:sz w:val="20"/>
          <w:szCs w:val="20"/>
          <w:vertAlign w:val="superscript"/>
        </w:rPr>
        <w:t xml:space="preserve">a   </w:t>
      </w:r>
      <w:r w:rsidRPr="0095154A">
        <w:rPr>
          <w:color w:val="000000"/>
          <w:sz w:val="20"/>
          <w:szCs w:val="20"/>
        </w:rPr>
        <w:t xml:space="preserve">Based on the mean wages for </w:t>
      </w:r>
      <w:r w:rsidRPr="0095154A">
        <w:rPr>
          <w:i/>
          <w:color w:val="000000"/>
          <w:sz w:val="20"/>
          <w:szCs w:val="20"/>
        </w:rPr>
        <w:t xml:space="preserve">Medical and Health Services Managers (Code </w:t>
      </w:r>
      <w:r w:rsidRPr="0095154A">
        <w:rPr>
          <w:i/>
          <w:sz w:val="20"/>
          <w:szCs w:val="20"/>
        </w:rPr>
        <w:t>11-9111)</w:t>
      </w:r>
    </w:p>
    <w:p w:rsidRPr="0095154A" w:rsidR="00302B0E" w:rsidP="00302B0E" w:rsidRDefault="003851D9" w14:paraId="74A027FC" w14:textId="45B2CD1D">
      <w:pPr>
        <w:rPr>
          <w:sz w:val="20"/>
          <w:szCs w:val="20"/>
        </w:rPr>
      </w:pPr>
      <w:r>
        <w:rPr>
          <w:sz w:val="20"/>
          <w:szCs w:val="20"/>
          <w:vertAlign w:val="superscript"/>
        </w:rPr>
        <w:t>b</w:t>
      </w:r>
      <w:r w:rsidRPr="0095154A" w:rsidR="00302B0E">
        <w:rPr>
          <w:sz w:val="20"/>
          <w:szCs w:val="20"/>
        </w:rPr>
        <w:t xml:space="preserve">  Based on the mean wages for </w:t>
      </w:r>
      <w:r w:rsidRPr="0095154A" w:rsidR="00302B0E">
        <w:rPr>
          <w:i/>
          <w:sz w:val="20"/>
          <w:szCs w:val="20"/>
        </w:rPr>
        <w:t>Family Medicine</w:t>
      </w:r>
      <w:r>
        <w:rPr>
          <w:i/>
          <w:sz w:val="20"/>
          <w:szCs w:val="20"/>
        </w:rPr>
        <w:t xml:space="preserve"> Physicians</w:t>
      </w:r>
      <w:r w:rsidRPr="0095154A" w:rsidR="00302B0E">
        <w:rPr>
          <w:i/>
          <w:sz w:val="20"/>
          <w:szCs w:val="20"/>
        </w:rPr>
        <w:t xml:space="preserve"> (Code </w:t>
      </w:r>
      <w:r w:rsidRPr="003851D9">
        <w:rPr>
          <w:i/>
          <w:sz w:val="20"/>
          <w:szCs w:val="20"/>
        </w:rPr>
        <w:t>29-1215</w:t>
      </w:r>
      <w:r w:rsidRPr="0095154A" w:rsidR="00302B0E">
        <w:rPr>
          <w:i/>
          <w:sz w:val="20"/>
          <w:szCs w:val="20"/>
        </w:rPr>
        <w:t>)</w:t>
      </w:r>
      <w:r w:rsidR="00C04CD4">
        <w:rPr>
          <w:i/>
          <w:sz w:val="20"/>
          <w:szCs w:val="20"/>
        </w:rPr>
        <w:t xml:space="preserve"> </w:t>
      </w:r>
    </w:p>
    <w:p w:rsidR="005D7150" w:rsidP="00302B0E" w:rsidRDefault="003851D9" w14:paraId="610809F2" w14:textId="16DC5BF6">
      <w:pPr>
        <w:rPr>
          <w:color w:val="000000"/>
          <w:sz w:val="20"/>
          <w:szCs w:val="20"/>
        </w:rPr>
      </w:pPr>
      <w:r>
        <w:rPr>
          <w:sz w:val="20"/>
          <w:szCs w:val="20"/>
          <w:vertAlign w:val="superscript"/>
        </w:rPr>
        <w:t>c</w:t>
      </w:r>
      <w:r w:rsidRPr="0095154A" w:rsidR="00302B0E">
        <w:rPr>
          <w:sz w:val="20"/>
          <w:szCs w:val="20"/>
        </w:rPr>
        <w:t xml:space="preserve">  Based on the mean wages for </w:t>
      </w:r>
      <w:r w:rsidRPr="0095154A" w:rsidR="00302B0E">
        <w:rPr>
          <w:i/>
          <w:iCs/>
          <w:sz w:val="20"/>
          <w:szCs w:val="20"/>
        </w:rPr>
        <w:t>HC Support Occupations (Code 31-000</w:t>
      </w:r>
      <w:r>
        <w:rPr>
          <w:i/>
          <w:iCs/>
          <w:sz w:val="20"/>
          <w:szCs w:val="20"/>
        </w:rPr>
        <w:t>0</w:t>
      </w:r>
      <w:r w:rsidRPr="0095154A" w:rsidR="00302B0E">
        <w:rPr>
          <w:i/>
          <w:iCs/>
          <w:sz w:val="20"/>
          <w:szCs w:val="20"/>
        </w:rPr>
        <w:t>)</w:t>
      </w:r>
      <w:r w:rsidR="00C04CD4">
        <w:rPr>
          <w:i/>
          <w:iCs/>
          <w:sz w:val="20"/>
          <w:szCs w:val="20"/>
        </w:rPr>
        <w:t xml:space="preserve"> </w:t>
      </w:r>
    </w:p>
    <w:p w:rsidRPr="005D7150" w:rsidR="005D7150" w:rsidP="005D7150" w:rsidRDefault="005D7150" w14:paraId="78DABE70" w14:textId="20ADC888">
      <w:pPr>
        <w:rPr>
          <w:color w:val="000000"/>
          <w:sz w:val="20"/>
          <w:szCs w:val="20"/>
        </w:rPr>
      </w:pPr>
      <w:r w:rsidRPr="005D7150">
        <w:rPr>
          <w:color w:val="000000"/>
          <w:sz w:val="20"/>
          <w:szCs w:val="20"/>
        </w:rPr>
        <w:t>Occupational Employment Statistics, May 20</w:t>
      </w:r>
      <w:r>
        <w:rPr>
          <w:color w:val="000000"/>
          <w:sz w:val="20"/>
          <w:szCs w:val="20"/>
        </w:rPr>
        <w:t>20</w:t>
      </w:r>
      <w:r w:rsidRPr="005D7150">
        <w:rPr>
          <w:color w:val="000000"/>
          <w:sz w:val="20"/>
          <w:szCs w:val="20"/>
        </w:rPr>
        <w:t xml:space="preserve"> National Occupational Employment and Wage Estimates United States, U.S. Department of Labor, Bureau of Labor Statistics.</w:t>
      </w:r>
    </w:p>
    <w:p w:rsidRPr="006470A4" w:rsidR="005D7150" w:rsidP="005D7150" w:rsidRDefault="005D7150" w14:paraId="0DAA161D" w14:textId="7AC8C7EB">
      <w:pPr>
        <w:rPr>
          <w:color w:val="000000"/>
          <w:sz w:val="20"/>
          <w:szCs w:val="20"/>
        </w:rPr>
      </w:pPr>
      <w:r w:rsidRPr="005D7150">
        <w:rPr>
          <w:color w:val="000000"/>
          <w:sz w:val="20"/>
          <w:szCs w:val="20"/>
        </w:rPr>
        <w:t>https://www.bls.gov/oes/current/oes_nat.htm#b29-0000</w:t>
      </w:r>
    </w:p>
    <w:p w:rsidRPr="0095154A" w:rsidR="00302B0E" w:rsidP="00302B0E" w:rsidRDefault="00302B0E" w14:paraId="6CBCF16E" w14:textId="77777777">
      <w:pPr>
        <w:rPr>
          <w:i/>
          <w:color w:val="000000"/>
          <w:sz w:val="20"/>
          <w:szCs w:val="20"/>
        </w:rPr>
      </w:pPr>
    </w:p>
    <w:p w:rsidRPr="0095154A" w:rsidR="00302B0E" w:rsidP="00302B0E" w:rsidRDefault="00302B0E" w14:paraId="2786EF04" w14:textId="77777777">
      <w:pPr>
        <w:pStyle w:val="Heading2"/>
        <w:rPr>
          <w:rFonts w:ascii="Times New Roman" w:hAnsi="Times New Roman" w:cs="Times New Roman"/>
          <w:sz w:val="24"/>
        </w:rPr>
      </w:pPr>
      <w:bookmarkStart w:name="_Toc151782188" w:id="35"/>
      <w:bookmarkStart w:name="_Toc158526228" w:id="36"/>
      <w:bookmarkStart w:name="_Toc151782191" w:id="37"/>
      <w:bookmarkStart w:name="_Toc158526231" w:id="38"/>
      <w:bookmarkEnd w:id="34"/>
      <w:r w:rsidRPr="0095154A">
        <w:rPr>
          <w:rFonts w:ascii="Times New Roman" w:hAnsi="Times New Roman" w:cs="Times New Roman"/>
          <w:sz w:val="24"/>
        </w:rPr>
        <w:lastRenderedPageBreak/>
        <w:t>13. Estimates of Annualized Respondent Capital and Maintenance Costs</w:t>
      </w:r>
      <w:bookmarkEnd w:id="35"/>
      <w:bookmarkEnd w:id="36"/>
    </w:p>
    <w:p w:rsidRPr="0095154A" w:rsidR="00096243" w:rsidP="00302B0E" w:rsidRDefault="00302B0E" w14:paraId="56BB48B6" w14:textId="7F6838DF">
      <w:pPr>
        <w:spacing w:before="120"/>
      </w:pPr>
      <w:r w:rsidRPr="0095154A">
        <w:t>There are no direct costs to respondents other than their time to participate in the study.</w:t>
      </w:r>
    </w:p>
    <w:p w:rsidRPr="00FB5F5A" w:rsidR="00302B0E" w:rsidP="00302B0E" w:rsidRDefault="00302B0E" w14:paraId="62FC24C0" w14:textId="77777777">
      <w:pPr>
        <w:pStyle w:val="Heading2"/>
        <w:rPr>
          <w:rFonts w:ascii="Times New Roman" w:hAnsi="Times New Roman" w:cs="Times New Roman"/>
          <w:sz w:val="24"/>
        </w:rPr>
      </w:pPr>
      <w:bookmarkStart w:name="_Toc58725299" w:id="39"/>
      <w:bookmarkStart w:name="_Toc151782189" w:id="40"/>
      <w:bookmarkStart w:name="_Toc158526229" w:id="41"/>
      <w:r w:rsidRPr="00FB5F5A">
        <w:rPr>
          <w:rFonts w:ascii="Times New Roman" w:hAnsi="Times New Roman" w:cs="Times New Roman"/>
          <w:sz w:val="24"/>
        </w:rPr>
        <w:t>14. Estimates of Total and Annualized Cost to the Government</w:t>
      </w:r>
      <w:bookmarkEnd w:id="39"/>
      <w:bookmarkEnd w:id="40"/>
      <w:bookmarkEnd w:id="41"/>
    </w:p>
    <w:p w:rsidRPr="00096243" w:rsidR="00302B0E" w:rsidP="00302B0E" w:rsidRDefault="00302B0E" w14:paraId="7E1AB695" w14:textId="77777777">
      <w:pPr>
        <w:spacing w:before="120"/>
      </w:pPr>
      <w:r w:rsidRPr="00FB5F5A">
        <w:t>The total contractor cost to the government is estimated to be $202,738.56. As shown in Exhibit 3a, this amount includes costs for project development ($18,812.50); data collection activities ($93,152.31); data processing and analysis ($24,178.47), project management ($18,812.50) and overhead ($47,782.78).</w:t>
      </w:r>
      <w:r w:rsidRPr="00096243">
        <w:t xml:space="preserve"> </w:t>
      </w:r>
    </w:p>
    <w:p w:rsidRPr="00096243" w:rsidR="00302B0E" w:rsidP="00302B0E" w:rsidRDefault="00302B0E" w14:paraId="61DB745A" w14:textId="77777777"/>
    <w:p w:rsidRPr="00FB5F5A" w:rsidR="00302B0E" w:rsidP="00302B0E" w:rsidRDefault="00302B0E" w14:paraId="3B0B9536" w14:textId="77777777">
      <w:bookmarkStart w:name="_Toc151782190" w:id="42"/>
      <w:bookmarkStart w:name="_Toc158526230" w:id="43"/>
      <w:r w:rsidRPr="00FB5F5A">
        <w:rPr>
          <w:b/>
          <w:bCs/>
          <w:color w:val="000000" w:themeColor="text1"/>
        </w:rPr>
        <w:t>Exhibit 3a.  Estimated Total and Annualized Cost</w:t>
      </w:r>
    </w:p>
    <w:tbl>
      <w:tblPr>
        <w:tblW w:w="0" w:type="auto"/>
        <w:tblInd w:w="108" w:type="dxa"/>
        <w:tblCellMar>
          <w:left w:w="0" w:type="dxa"/>
          <w:right w:w="0" w:type="dxa"/>
        </w:tblCellMar>
        <w:tblLook w:val="0000" w:firstRow="0" w:lastRow="0" w:firstColumn="0" w:lastColumn="0" w:noHBand="0" w:noVBand="0"/>
      </w:tblPr>
      <w:tblGrid>
        <w:gridCol w:w="3600"/>
        <w:gridCol w:w="2496"/>
        <w:gridCol w:w="2904"/>
      </w:tblGrid>
      <w:tr w:rsidRPr="00096243" w:rsidR="00302B0E" w:rsidTr="007F49FD" w14:paraId="184BF6E9" w14:textId="77777777">
        <w:trPr>
          <w:trHeight w:val="313"/>
        </w:trPr>
        <w:tc>
          <w:tcPr>
            <w:tcW w:w="36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FB5F5A" w:rsidR="00302B0E" w:rsidP="007F49FD" w:rsidRDefault="00302B0E" w14:paraId="4667FD67" w14:textId="77777777">
            <w:pPr>
              <w:rPr>
                <w:b/>
              </w:rPr>
            </w:pPr>
            <w:r w:rsidRPr="00FB5F5A">
              <w:rPr>
                <w:b/>
                <w:color w:val="000000"/>
              </w:rPr>
              <w:t xml:space="preserve">Cost Component </w:t>
            </w:r>
          </w:p>
        </w:tc>
        <w:tc>
          <w:tcPr>
            <w:tcW w:w="24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7F49FD" w:rsidRDefault="00302B0E" w14:paraId="1E712885" w14:textId="77777777">
            <w:pPr>
              <w:jc w:val="center"/>
              <w:rPr>
                <w:b/>
              </w:rPr>
            </w:pPr>
            <w:r w:rsidRPr="00FB5F5A">
              <w:rPr>
                <w:b/>
              </w:rPr>
              <w:t>Total Cost</w:t>
            </w:r>
          </w:p>
        </w:tc>
        <w:tc>
          <w:tcPr>
            <w:tcW w:w="290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7F49FD" w:rsidRDefault="00302B0E" w14:paraId="762C3075" w14:textId="77777777">
            <w:pPr>
              <w:jc w:val="center"/>
              <w:rPr>
                <w:b/>
                <w:bCs/>
              </w:rPr>
            </w:pPr>
            <w:r w:rsidRPr="00FB5F5A">
              <w:rPr>
                <w:b/>
                <w:bCs/>
              </w:rPr>
              <w:t>Annualized Cost</w:t>
            </w:r>
          </w:p>
        </w:tc>
      </w:tr>
      <w:tr w:rsidRPr="00096243" w:rsidR="00302B0E" w:rsidTr="007F49FD" w14:paraId="54C34CD0"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7F49FD" w:rsidRDefault="00302B0E" w14:paraId="354C0C9B" w14:textId="77777777">
            <w:r w:rsidRPr="00FB5F5A">
              <w:t>Project Development</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7F49FD" w:rsidRDefault="00302B0E" w14:paraId="418C667B" w14:textId="77777777">
            <w:pPr>
              <w:jc w:val="right"/>
            </w:pPr>
            <w:r w:rsidRPr="00FB5F5A">
              <w:rPr>
                <w:color w:val="201F1E"/>
              </w:rPr>
              <w:t>$18,812.50</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7F49FD" w:rsidRDefault="00302B0E" w14:paraId="42446429" w14:textId="77777777">
            <w:pPr>
              <w:jc w:val="right"/>
            </w:pPr>
            <w:r w:rsidRPr="00FB5F5A">
              <w:rPr>
                <w:color w:val="201F1E"/>
              </w:rPr>
              <w:t>$18,812.50</w:t>
            </w:r>
          </w:p>
        </w:tc>
      </w:tr>
      <w:tr w:rsidRPr="00096243" w:rsidR="00302B0E" w:rsidTr="007F49FD" w14:paraId="33F2081C"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7F49FD" w:rsidRDefault="00302B0E" w14:paraId="6366B22F" w14:textId="77777777">
            <w:r w:rsidRPr="00FB5F5A">
              <w:t>Data Collection Activities</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7F49FD" w:rsidRDefault="00302B0E" w14:paraId="75CEA11E" w14:textId="77777777">
            <w:pPr>
              <w:jc w:val="right"/>
            </w:pPr>
            <w:r w:rsidRPr="00FB5F5A">
              <w:rPr>
                <w:color w:val="201F1E"/>
              </w:rPr>
              <w:t>$93,152.31</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7F49FD" w:rsidRDefault="00302B0E" w14:paraId="1307F942" w14:textId="77777777">
            <w:pPr>
              <w:jc w:val="right"/>
            </w:pPr>
            <w:r w:rsidRPr="00FB5F5A">
              <w:rPr>
                <w:color w:val="201F1E"/>
              </w:rPr>
              <w:t>$93,152.31</w:t>
            </w:r>
          </w:p>
        </w:tc>
      </w:tr>
      <w:tr w:rsidRPr="00096243" w:rsidR="00302B0E" w:rsidTr="007F49FD" w14:paraId="14025A01"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7F49FD" w:rsidRDefault="00302B0E" w14:paraId="672DD750" w14:textId="77777777">
            <w:r w:rsidRPr="00FB5F5A">
              <w:t>Data Processing and Analysis</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7F49FD" w:rsidRDefault="00302B0E" w14:paraId="64A9FA4B" w14:textId="77777777">
            <w:pPr>
              <w:jc w:val="right"/>
            </w:pPr>
            <w:r w:rsidRPr="00FB5F5A">
              <w:rPr>
                <w:color w:val="201F1E"/>
              </w:rPr>
              <w:t>$24,178.47</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7F49FD" w:rsidRDefault="00302B0E" w14:paraId="67F3EE1A" w14:textId="77777777">
            <w:pPr>
              <w:jc w:val="right"/>
            </w:pPr>
            <w:r w:rsidRPr="00FB5F5A">
              <w:rPr>
                <w:color w:val="201F1E"/>
              </w:rPr>
              <w:t>$24,178.47</w:t>
            </w:r>
          </w:p>
        </w:tc>
      </w:tr>
      <w:tr w:rsidRPr="00096243" w:rsidR="00302B0E" w:rsidTr="007F49FD" w14:paraId="2F0E6941"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7F49FD" w:rsidRDefault="00302B0E" w14:paraId="394383D3" w14:textId="77777777">
            <w:r w:rsidRPr="00FB5F5A">
              <w:t>Publication of Results</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7F49FD" w:rsidRDefault="00302B0E" w14:paraId="6E24F69D" w14:textId="77777777">
            <w:pPr>
              <w:jc w:val="right"/>
            </w:pPr>
            <w:r w:rsidRPr="00FB5F5A">
              <w:t>$0</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7F49FD" w:rsidRDefault="00302B0E" w14:paraId="1B15D162" w14:textId="77777777">
            <w:pPr>
              <w:jc w:val="right"/>
            </w:pPr>
            <w:r w:rsidRPr="00FB5F5A">
              <w:t>$0</w:t>
            </w:r>
          </w:p>
        </w:tc>
      </w:tr>
      <w:tr w:rsidRPr="00096243" w:rsidR="00302B0E" w:rsidTr="007F49FD" w14:paraId="6CD66702"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7F49FD" w:rsidRDefault="00302B0E" w14:paraId="56E8B57C" w14:textId="77777777">
            <w:r w:rsidRPr="00FB5F5A">
              <w:t>Project Management</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7F49FD" w:rsidRDefault="00302B0E" w14:paraId="38872BD7" w14:textId="77777777">
            <w:pPr>
              <w:jc w:val="right"/>
            </w:pPr>
            <w:r w:rsidRPr="00FB5F5A">
              <w:rPr>
                <w:color w:val="201F1E"/>
              </w:rPr>
              <w:t>$18,812.50</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7F49FD" w:rsidRDefault="00302B0E" w14:paraId="34A9B01F" w14:textId="77777777">
            <w:pPr>
              <w:jc w:val="right"/>
            </w:pPr>
            <w:r w:rsidRPr="00FB5F5A">
              <w:rPr>
                <w:color w:val="201F1E"/>
              </w:rPr>
              <w:t>$18,812.50</w:t>
            </w:r>
          </w:p>
        </w:tc>
      </w:tr>
      <w:tr w:rsidRPr="00096243" w:rsidR="00302B0E" w:rsidTr="007F49FD" w14:paraId="330D50CD"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7F49FD" w:rsidRDefault="00302B0E" w14:paraId="783A9815" w14:textId="77777777">
            <w:r w:rsidRPr="00FB5F5A">
              <w:t>Overhead</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7F49FD" w:rsidRDefault="00302B0E" w14:paraId="7AE94E3E" w14:textId="77777777">
            <w:pPr>
              <w:jc w:val="right"/>
            </w:pPr>
            <w:r w:rsidRPr="00FB5F5A">
              <w:rPr>
                <w:color w:val="201F1E"/>
              </w:rPr>
              <w:t>$47,782.78</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7F49FD" w:rsidRDefault="00302B0E" w14:paraId="636BA106" w14:textId="77777777">
            <w:pPr>
              <w:jc w:val="right"/>
            </w:pPr>
            <w:r w:rsidRPr="00FB5F5A">
              <w:rPr>
                <w:color w:val="201F1E"/>
              </w:rPr>
              <w:t>$47,782.78</w:t>
            </w:r>
          </w:p>
        </w:tc>
      </w:tr>
      <w:tr w:rsidRPr="00096243" w:rsidR="00302B0E" w:rsidTr="007F49FD" w14:paraId="12AE3C33"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7F49FD" w:rsidRDefault="00302B0E" w14:paraId="20E19859" w14:textId="77777777">
            <w:r w:rsidRPr="00FB5F5A">
              <w:rPr>
                <w:b/>
                <w:bCs/>
                <w:color w:val="000000"/>
              </w:rPr>
              <w:t>Total</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7F49FD" w:rsidRDefault="00302B0E" w14:paraId="099E59F0" w14:textId="77777777">
            <w:pPr>
              <w:jc w:val="right"/>
            </w:pPr>
            <w:r w:rsidRPr="00FB5F5A">
              <w:rPr>
                <w:color w:val="201F1E"/>
              </w:rPr>
              <w:t>$202,738.56</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B5F5A" w:rsidR="00302B0E" w:rsidP="007F49FD" w:rsidRDefault="00302B0E" w14:paraId="1AED0A3B" w14:textId="77777777">
            <w:pPr>
              <w:jc w:val="right"/>
            </w:pPr>
            <w:r w:rsidRPr="00FB5F5A">
              <w:rPr>
                <w:color w:val="201F1E"/>
              </w:rPr>
              <w:t>$202,738.56</w:t>
            </w:r>
          </w:p>
        </w:tc>
      </w:tr>
    </w:tbl>
    <w:p w:rsidRPr="00FB5F5A" w:rsidR="00302B0E" w:rsidP="00302B0E" w:rsidRDefault="00302B0E" w14:paraId="41481DEF" w14:textId="77777777">
      <w:pPr>
        <w:spacing w:before="100" w:beforeAutospacing="1" w:after="100" w:afterAutospacing="1"/>
        <w:rPr>
          <w:b/>
        </w:rPr>
      </w:pPr>
      <w:r w:rsidRPr="00FB5F5A">
        <w:rPr>
          <w:b/>
        </w:rPr>
        <w:t>Exhibit 3b. Federal Government Personnel Cost</w:t>
      </w:r>
    </w:p>
    <w:tbl>
      <w:tblPr>
        <w:tblW w:w="9094" w:type="dxa"/>
        <w:jc w:val="center"/>
        <w:tblLayout w:type="fixed"/>
        <w:tblCellMar>
          <w:left w:w="100" w:type="dxa"/>
          <w:right w:w="100" w:type="dxa"/>
        </w:tblCellMar>
        <w:tblLook w:val="04A0" w:firstRow="1" w:lastRow="0" w:firstColumn="1" w:lastColumn="0" w:noHBand="0" w:noVBand="1"/>
      </w:tblPr>
      <w:tblGrid>
        <w:gridCol w:w="2962"/>
        <w:gridCol w:w="2437"/>
        <w:gridCol w:w="1042"/>
        <w:gridCol w:w="1260"/>
        <w:gridCol w:w="1393"/>
      </w:tblGrid>
      <w:tr w:rsidRPr="00096243" w:rsidR="00302B0E" w:rsidTr="00F062F7" w14:paraId="38138FE8" w14:textId="77777777">
        <w:trPr>
          <w:cantSplit/>
          <w:trHeight w:val="246"/>
          <w:jc w:val="center"/>
        </w:trPr>
        <w:tc>
          <w:tcPr>
            <w:tcW w:w="2962" w:type="dxa"/>
            <w:tcBorders>
              <w:top w:val="single" w:color="auto" w:sz="6" w:space="0"/>
              <w:left w:val="single" w:color="auto" w:sz="6" w:space="0"/>
              <w:bottom w:val="nil"/>
              <w:right w:val="nil"/>
            </w:tcBorders>
            <w:vAlign w:val="bottom"/>
          </w:tcPr>
          <w:p w:rsidRPr="00FB5F5A" w:rsidR="00302B0E" w:rsidP="007F49FD" w:rsidRDefault="00302B0E" w14:paraId="06B13684" w14:textId="77777777">
            <w:pPr>
              <w:jc w:val="center"/>
              <w:rPr>
                <w:b/>
                <w:bCs/>
              </w:rPr>
            </w:pPr>
            <w:r w:rsidRPr="00FB5F5A">
              <w:rPr>
                <w:b/>
                <w:bCs/>
              </w:rPr>
              <w:t>Activity</w:t>
            </w:r>
          </w:p>
        </w:tc>
        <w:tc>
          <w:tcPr>
            <w:tcW w:w="2437" w:type="dxa"/>
            <w:tcBorders>
              <w:top w:val="single" w:color="auto" w:sz="6" w:space="0"/>
              <w:left w:val="single" w:color="auto" w:sz="6" w:space="0"/>
              <w:bottom w:val="single" w:color="auto" w:sz="6" w:space="0"/>
              <w:right w:val="nil"/>
            </w:tcBorders>
            <w:vAlign w:val="bottom"/>
          </w:tcPr>
          <w:p w:rsidRPr="00FB5F5A" w:rsidR="00302B0E" w:rsidP="007F49FD" w:rsidRDefault="00302B0E" w14:paraId="57850D84" w14:textId="77777777">
            <w:pPr>
              <w:jc w:val="center"/>
              <w:rPr>
                <w:b/>
                <w:bCs/>
              </w:rPr>
            </w:pPr>
            <w:r w:rsidRPr="00FB5F5A">
              <w:rPr>
                <w:b/>
                <w:bCs/>
              </w:rPr>
              <w:t>Federal Personnel</w:t>
            </w:r>
          </w:p>
        </w:tc>
        <w:tc>
          <w:tcPr>
            <w:tcW w:w="1042" w:type="dxa"/>
            <w:tcBorders>
              <w:top w:val="single" w:color="auto" w:sz="6" w:space="0"/>
              <w:left w:val="single" w:color="auto" w:sz="6" w:space="0"/>
              <w:bottom w:val="single" w:color="auto" w:sz="6" w:space="0"/>
              <w:right w:val="single" w:color="auto" w:sz="6" w:space="0"/>
            </w:tcBorders>
            <w:vAlign w:val="bottom"/>
          </w:tcPr>
          <w:p w:rsidRPr="00FB5F5A" w:rsidR="00302B0E" w:rsidP="007F49FD" w:rsidRDefault="00302B0E" w14:paraId="26645733" w14:textId="77777777">
            <w:pPr>
              <w:jc w:val="center"/>
              <w:rPr>
                <w:b/>
                <w:bCs/>
              </w:rPr>
            </w:pPr>
            <w:r w:rsidRPr="00FB5F5A">
              <w:rPr>
                <w:b/>
                <w:bCs/>
              </w:rPr>
              <w:t>Hourly Rate</w:t>
            </w:r>
          </w:p>
        </w:tc>
        <w:tc>
          <w:tcPr>
            <w:tcW w:w="1260" w:type="dxa"/>
            <w:tcBorders>
              <w:top w:val="single" w:color="auto" w:sz="6" w:space="0"/>
              <w:left w:val="single" w:color="auto" w:sz="6" w:space="0"/>
              <w:bottom w:val="single" w:color="auto" w:sz="6" w:space="0"/>
              <w:right w:val="nil"/>
            </w:tcBorders>
            <w:vAlign w:val="bottom"/>
          </w:tcPr>
          <w:p w:rsidRPr="00FB5F5A" w:rsidR="00302B0E" w:rsidP="007F49FD" w:rsidRDefault="00302B0E" w14:paraId="7271F59F" w14:textId="77777777">
            <w:pPr>
              <w:jc w:val="center"/>
              <w:rPr>
                <w:b/>
                <w:bCs/>
              </w:rPr>
            </w:pPr>
            <w:r w:rsidRPr="00FB5F5A">
              <w:rPr>
                <w:b/>
                <w:bCs/>
              </w:rPr>
              <w:t>Estimated Hours</w:t>
            </w:r>
          </w:p>
        </w:tc>
        <w:tc>
          <w:tcPr>
            <w:tcW w:w="1393" w:type="dxa"/>
            <w:tcBorders>
              <w:top w:val="single" w:color="auto" w:sz="6" w:space="0"/>
              <w:left w:val="single" w:color="auto" w:sz="6" w:space="0"/>
              <w:bottom w:val="single" w:color="auto" w:sz="6" w:space="0"/>
              <w:right w:val="single" w:color="auto" w:sz="6" w:space="0"/>
            </w:tcBorders>
            <w:vAlign w:val="bottom"/>
          </w:tcPr>
          <w:p w:rsidRPr="00FB5F5A" w:rsidR="00302B0E" w:rsidP="007F49FD" w:rsidRDefault="00302B0E" w14:paraId="18E8DA83" w14:textId="77777777">
            <w:pPr>
              <w:jc w:val="center"/>
              <w:rPr>
                <w:b/>
                <w:bCs/>
              </w:rPr>
            </w:pPr>
            <w:r w:rsidRPr="00FB5F5A">
              <w:rPr>
                <w:b/>
                <w:bCs/>
              </w:rPr>
              <w:t>Cost</w:t>
            </w:r>
          </w:p>
        </w:tc>
      </w:tr>
      <w:tr w:rsidRPr="00096243" w:rsidR="00906A57" w:rsidTr="00F062F7" w14:paraId="76DE9B21" w14:textId="77777777">
        <w:trPr>
          <w:cantSplit/>
          <w:trHeight w:val="858"/>
          <w:jc w:val="center"/>
        </w:trPr>
        <w:tc>
          <w:tcPr>
            <w:tcW w:w="2962" w:type="dxa"/>
            <w:tcBorders>
              <w:top w:val="single" w:color="auto" w:sz="6" w:space="0"/>
              <w:left w:val="single" w:color="auto" w:sz="4" w:space="0"/>
              <w:right w:val="nil"/>
            </w:tcBorders>
            <w:vAlign w:val="bottom"/>
          </w:tcPr>
          <w:p w:rsidRPr="00FB5F5A" w:rsidR="00906A57" w:rsidP="00906A57" w:rsidRDefault="00906A57" w14:paraId="61849996" w14:textId="05339B1E">
            <w:r w:rsidRPr="00096243">
              <w:t>Project oversight to include data collection oversight and review of results</w:t>
            </w:r>
          </w:p>
        </w:tc>
        <w:tc>
          <w:tcPr>
            <w:tcW w:w="2437" w:type="dxa"/>
            <w:tcBorders>
              <w:top w:val="single" w:color="auto" w:sz="6" w:space="0"/>
              <w:left w:val="single" w:color="auto" w:sz="6" w:space="0"/>
              <w:bottom w:val="single" w:color="auto" w:sz="6" w:space="0"/>
              <w:right w:val="nil"/>
            </w:tcBorders>
          </w:tcPr>
          <w:p w:rsidRPr="00096243" w:rsidR="00906A57" w:rsidP="00906A57" w:rsidRDefault="00906A57" w14:paraId="58D5E2F8" w14:textId="77777777">
            <w:pPr>
              <w:jc w:val="center"/>
            </w:pPr>
          </w:p>
          <w:p w:rsidRPr="00096243" w:rsidR="00906A57" w:rsidP="00906A57" w:rsidRDefault="00906A57" w14:paraId="207129A0" w14:textId="77777777">
            <w:pPr>
              <w:jc w:val="center"/>
            </w:pPr>
          </w:p>
          <w:p w:rsidRPr="00096243" w:rsidR="00906A57" w:rsidP="00906A57" w:rsidRDefault="00906A57" w14:paraId="30569753" w14:textId="77777777">
            <w:pPr>
              <w:jc w:val="center"/>
            </w:pPr>
          </w:p>
          <w:p w:rsidRPr="00FB5F5A" w:rsidR="00906A57" w:rsidP="00906A57" w:rsidRDefault="00906A57" w14:paraId="3704F552" w14:textId="69B6C4F6">
            <w:pPr>
              <w:jc w:val="center"/>
            </w:pPr>
            <w:r w:rsidRPr="00096243">
              <w:t xml:space="preserve">Project Officer GS15 </w:t>
            </w:r>
          </w:p>
        </w:tc>
        <w:tc>
          <w:tcPr>
            <w:tcW w:w="1042" w:type="dxa"/>
            <w:tcBorders>
              <w:top w:val="single" w:color="auto" w:sz="6" w:space="0"/>
              <w:left w:val="single" w:color="auto" w:sz="6" w:space="0"/>
              <w:bottom w:val="single" w:color="auto" w:sz="6" w:space="0"/>
              <w:right w:val="single" w:color="auto" w:sz="6" w:space="0"/>
            </w:tcBorders>
            <w:vAlign w:val="bottom"/>
          </w:tcPr>
          <w:p w:rsidRPr="00FB5F5A" w:rsidR="00906A57" w:rsidP="00906A57" w:rsidRDefault="00906A57" w14:paraId="54441EDC" w14:textId="23AF08F4">
            <w:r w:rsidRPr="00096243">
              <w:t>$81.84</w:t>
            </w:r>
          </w:p>
        </w:tc>
        <w:tc>
          <w:tcPr>
            <w:tcW w:w="1260" w:type="dxa"/>
            <w:tcBorders>
              <w:top w:val="single" w:color="auto" w:sz="6" w:space="0"/>
              <w:left w:val="single" w:color="auto" w:sz="6" w:space="0"/>
              <w:bottom w:val="single" w:color="auto" w:sz="6" w:space="0"/>
              <w:right w:val="nil"/>
            </w:tcBorders>
            <w:vAlign w:val="bottom"/>
          </w:tcPr>
          <w:p w:rsidRPr="00FB5F5A" w:rsidR="00906A57" w:rsidP="00906A57" w:rsidRDefault="00906A57" w14:paraId="5460B01E" w14:textId="0CF74E96">
            <w:pPr>
              <w:jc w:val="center"/>
            </w:pPr>
            <w:r w:rsidRPr="00096243">
              <w:t>25</w:t>
            </w:r>
          </w:p>
        </w:tc>
        <w:tc>
          <w:tcPr>
            <w:tcW w:w="1393" w:type="dxa"/>
            <w:tcBorders>
              <w:top w:val="single" w:color="auto" w:sz="6" w:space="0"/>
              <w:left w:val="single" w:color="auto" w:sz="6" w:space="0"/>
              <w:bottom w:val="single" w:color="auto" w:sz="6" w:space="0"/>
              <w:right w:val="single" w:color="auto" w:sz="6" w:space="0"/>
            </w:tcBorders>
            <w:vAlign w:val="bottom"/>
          </w:tcPr>
          <w:p w:rsidRPr="00FB5F5A" w:rsidR="00906A57" w:rsidP="00906A57" w:rsidRDefault="00906A57" w14:paraId="1C5152B5" w14:textId="068E9116">
            <w:pPr>
              <w:jc w:val="center"/>
            </w:pPr>
            <w:r w:rsidRPr="00096243">
              <w:t>$2,046</w:t>
            </w:r>
          </w:p>
        </w:tc>
      </w:tr>
      <w:tr w:rsidRPr="0095154A" w:rsidR="00302B0E" w:rsidTr="00F062F7" w14:paraId="71D6A4D4" w14:textId="77777777">
        <w:trPr>
          <w:cantSplit/>
          <w:trHeight w:val="403"/>
          <w:jc w:val="center"/>
        </w:trPr>
        <w:tc>
          <w:tcPr>
            <w:tcW w:w="7701" w:type="dxa"/>
            <w:gridSpan w:val="4"/>
            <w:tcBorders>
              <w:top w:val="single" w:color="auto" w:sz="6" w:space="0"/>
              <w:left w:val="single" w:color="auto" w:sz="6" w:space="0"/>
              <w:bottom w:val="single" w:color="auto" w:sz="6" w:space="0"/>
              <w:right w:val="nil"/>
            </w:tcBorders>
            <w:vAlign w:val="bottom"/>
            <w:hideMark/>
          </w:tcPr>
          <w:p w:rsidRPr="00FB5F5A" w:rsidR="00302B0E" w:rsidP="007F49FD" w:rsidRDefault="00302B0E" w14:paraId="3EE6849E" w14:textId="77777777">
            <w:pPr>
              <w:rPr>
                <w:b/>
                <w:bCs/>
              </w:rPr>
            </w:pPr>
            <w:r w:rsidRPr="00FB5F5A">
              <w:rPr>
                <w:b/>
                <w:bCs/>
              </w:rPr>
              <w:t>Total</w:t>
            </w:r>
          </w:p>
        </w:tc>
        <w:tc>
          <w:tcPr>
            <w:tcW w:w="1393" w:type="dxa"/>
            <w:tcBorders>
              <w:top w:val="single" w:color="auto" w:sz="6" w:space="0"/>
              <w:left w:val="single" w:color="auto" w:sz="6" w:space="0"/>
              <w:bottom w:val="single" w:color="auto" w:sz="6" w:space="0"/>
              <w:right w:val="single" w:color="auto" w:sz="6" w:space="0"/>
            </w:tcBorders>
            <w:vAlign w:val="bottom"/>
            <w:hideMark/>
          </w:tcPr>
          <w:p w:rsidRPr="00906A57" w:rsidR="00302B0E" w:rsidP="007F49FD" w:rsidRDefault="00302B0E" w14:paraId="2C7A7B3D" w14:textId="6352A575">
            <w:pPr>
              <w:jc w:val="center"/>
              <w:rPr>
                <w:b/>
                <w:bCs/>
              </w:rPr>
            </w:pPr>
            <w:r w:rsidRPr="00FB5F5A">
              <w:rPr>
                <w:b/>
                <w:bCs/>
              </w:rPr>
              <w:t xml:space="preserve"> </w:t>
            </w:r>
            <w:r w:rsidRPr="00FB5F5A" w:rsidR="00906A57">
              <w:rPr>
                <w:b/>
                <w:bCs/>
              </w:rPr>
              <w:t>$2</w:t>
            </w:r>
            <w:r w:rsidRPr="00096243" w:rsidR="00906A57">
              <w:rPr>
                <w:b/>
                <w:bCs/>
              </w:rPr>
              <w:t>,</w:t>
            </w:r>
            <w:r w:rsidRPr="00FB5F5A" w:rsidR="00906A57">
              <w:rPr>
                <w:b/>
                <w:bCs/>
              </w:rPr>
              <w:t>046</w:t>
            </w:r>
          </w:p>
        </w:tc>
      </w:tr>
    </w:tbl>
    <w:p w:rsidRPr="0095154A" w:rsidR="00302B0E" w:rsidP="00302B0E" w:rsidRDefault="00302B0E" w14:paraId="527E58C4" w14:textId="77777777">
      <w:pPr>
        <w:spacing w:before="100" w:beforeAutospacing="1" w:after="100" w:afterAutospacing="1"/>
      </w:pPr>
      <w:r w:rsidRPr="0095154A">
        <w:rPr>
          <w:color w:val="000000"/>
        </w:rPr>
        <w:t>Annual salaries based on 2020 OPM Pay Schedule for Washington/DC area:</w:t>
      </w:r>
      <w:r w:rsidRPr="0095154A">
        <w:t xml:space="preserve"> </w:t>
      </w:r>
      <w:hyperlink w:history="1" r:id="rId8">
        <w:r w:rsidRPr="0095154A">
          <w:rPr>
            <w:rStyle w:val="Hyperlink"/>
          </w:rPr>
          <w:t>https://www.opm.gov/policy-data-oversight/pay-leave/salaries-wages/salary-tables/pdf/2020/DCB_h.pdf</w:t>
        </w:r>
      </w:hyperlink>
    </w:p>
    <w:p w:rsidRPr="0095154A" w:rsidR="00302B0E" w:rsidP="00302B0E" w:rsidRDefault="00302B0E" w14:paraId="54204BDE" w14:textId="77777777">
      <w:pPr>
        <w:pStyle w:val="Heading2"/>
        <w:rPr>
          <w:rFonts w:ascii="Times New Roman" w:hAnsi="Times New Roman" w:cs="Times New Roman"/>
          <w:sz w:val="24"/>
        </w:rPr>
      </w:pPr>
      <w:r w:rsidRPr="0095154A">
        <w:rPr>
          <w:rFonts w:ascii="Times New Roman" w:hAnsi="Times New Roman" w:cs="Times New Roman"/>
          <w:sz w:val="24"/>
        </w:rPr>
        <w:t>15. Changes in Hour Burden</w:t>
      </w:r>
      <w:bookmarkEnd w:id="42"/>
      <w:bookmarkEnd w:id="43"/>
    </w:p>
    <w:p w:rsidRPr="0095154A" w:rsidR="00302B0E" w:rsidP="00302B0E" w:rsidRDefault="00302B0E" w14:paraId="760B565E" w14:textId="77777777">
      <w:r w:rsidRPr="0095154A">
        <w:t>This is a new information collection, thus no changes in hour burden is expected or reported here.</w:t>
      </w:r>
    </w:p>
    <w:p w:rsidRPr="0095154A" w:rsidR="00302B0E" w:rsidP="00302B0E" w:rsidRDefault="00302B0E" w14:paraId="2BFD425F" w14:textId="77777777">
      <w:pPr>
        <w:pStyle w:val="Heading2"/>
        <w:rPr>
          <w:rFonts w:ascii="Times New Roman" w:hAnsi="Times New Roman" w:cs="Times New Roman"/>
          <w:sz w:val="24"/>
        </w:rPr>
      </w:pPr>
      <w:r w:rsidRPr="0095154A">
        <w:rPr>
          <w:rFonts w:ascii="Times New Roman" w:hAnsi="Times New Roman" w:cs="Times New Roman"/>
          <w:sz w:val="24"/>
        </w:rPr>
        <w:t>16. Time Schedule, Publication and Analysis Plans</w:t>
      </w:r>
      <w:bookmarkEnd w:id="37"/>
      <w:bookmarkEnd w:id="38"/>
    </w:p>
    <w:p w:rsidRPr="0095154A" w:rsidR="00302B0E" w:rsidP="00302B0E" w:rsidRDefault="00302B0E" w14:paraId="3627D3A6" w14:textId="733CEE1B">
      <w:r w:rsidRPr="0095154A">
        <w:t>The information collection will begin upon OMB approval (estimated</w:t>
      </w:r>
      <w:r w:rsidR="000B3A6E">
        <w:t xml:space="preserve"> April</w:t>
      </w:r>
      <w:r w:rsidRPr="0095154A">
        <w:t xml:space="preserve"> 202</w:t>
      </w:r>
      <w:r w:rsidR="000B3A6E">
        <w:t>2</w:t>
      </w:r>
      <w:r w:rsidRPr="0095154A">
        <w:t>) and will include recruitment of practices and completion of all data collection activities by June 202</w:t>
      </w:r>
      <w:r w:rsidR="000B3A6E">
        <w:t>2</w:t>
      </w:r>
      <w:r w:rsidRPr="0095154A">
        <w:t>. Qua</w:t>
      </w:r>
      <w:r w:rsidR="000B3A6E">
        <w:t>ntitative</w:t>
      </w:r>
      <w:r w:rsidRPr="0095154A">
        <w:t xml:space="preserve"> analysis </w:t>
      </w:r>
      <w:r w:rsidR="000B3A6E">
        <w:t xml:space="preserve">for psychometric testing and findings </w:t>
      </w:r>
      <w:r w:rsidRPr="0095154A">
        <w:t xml:space="preserve">will be completed by </w:t>
      </w:r>
      <w:r w:rsidR="000B3A6E">
        <w:t>August</w:t>
      </w:r>
      <w:r w:rsidRPr="0095154A">
        <w:t xml:space="preserve"> 2021</w:t>
      </w:r>
      <w:r w:rsidR="000B3A6E">
        <w:t xml:space="preserve"> </w:t>
      </w:r>
      <w:r w:rsidRPr="0095154A">
        <w:t>and materials will be revised based on</w:t>
      </w:r>
      <w:r w:rsidR="000B3A6E">
        <w:t xml:space="preserve"> data collected</w:t>
      </w:r>
      <w:r w:rsidRPr="0095154A">
        <w:t xml:space="preserve">. We anticipate a </w:t>
      </w:r>
      <w:r w:rsidR="000B3A6E">
        <w:t>2</w:t>
      </w:r>
      <w:r w:rsidRPr="0095154A">
        <w:t xml:space="preserve">-month </w:t>
      </w:r>
      <w:r w:rsidR="000B3A6E">
        <w:t xml:space="preserve">survey </w:t>
      </w:r>
      <w:r w:rsidRPr="0095154A">
        <w:t xml:space="preserve">timeline.  Publication of the materials by AHRQ on their website will be completed after 508 compliance review. </w:t>
      </w:r>
      <w:r w:rsidRPr="00B46EE2">
        <w:rPr>
          <w:b/>
          <w:bCs/>
        </w:rPr>
        <w:t xml:space="preserve">There </w:t>
      </w:r>
      <w:r w:rsidRPr="00B46EE2" w:rsidR="00B46EE2">
        <w:rPr>
          <w:b/>
          <w:bCs/>
        </w:rPr>
        <w:t>will be</w:t>
      </w:r>
      <w:r w:rsidRPr="00B46EE2">
        <w:rPr>
          <w:b/>
          <w:bCs/>
        </w:rPr>
        <w:t xml:space="preserve"> publication efforts associated with</w:t>
      </w:r>
      <w:r w:rsidR="00B46EE2">
        <w:rPr>
          <w:b/>
          <w:bCs/>
        </w:rPr>
        <w:t xml:space="preserve"> the methods for psychometric </w:t>
      </w:r>
      <w:r w:rsidR="00B46EE2">
        <w:rPr>
          <w:b/>
          <w:bCs/>
        </w:rPr>
        <w:lastRenderedPageBreak/>
        <w:t>testing, and the statistical findings on if the Team Assessment Tool instrument is a valid and reliable measurement scale. There will be no publications associated with respondent</w:t>
      </w:r>
      <w:r w:rsidRPr="00B46EE2">
        <w:rPr>
          <w:b/>
          <w:bCs/>
        </w:rPr>
        <w:t xml:space="preserve"> </w:t>
      </w:r>
      <w:r w:rsidR="00B46EE2">
        <w:rPr>
          <w:b/>
          <w:bCs/>
        </w:rPr>
        <w:t>survey results</w:t>
      </w:r>
      <w:r w:rsidRPr="00B46EE2">
        <w:rPr>
          <w:b/>
          <w:bCs/>
        </w:rPr>
        <w:t>.</w:t>
      </w:r>
      <w:r w:rsidR="00B46EE2">
        <w:rPr>
          <w:b/>
          <w:bCs/>
        </w:rPr>
        <w:t xml:space="preserve"> All information will only be presented in the aggregate, with no individual identifiers linking health systems or respondents to the survey.</w:t>
      </w:r>
    </w:p>
    <w:p w:rsidRPr="0095154A" w:rsidR="00302B0E" w:rsidP="00302B0E" w:rsidRDefault="00302B0E" w14:paraId="30EF6A96" w14:textId="77777777">
      <w:pPr>
        <w:pStyle w:val="Heading2"/>
        <w:rPr>
          <w:rFonts w:ascii="Times New Roman" w:hAnsi="Times New Roman" w:cs="Times New Roman"/>
          <w:sz w:val="24"/>
        </w:rPr>
      </w:pPr>
      <w:bookmarkStart w:name="_Toc151782196" w:id="44"/>
      <w:bookmarkStart w:name="_Toc158526232" w:id="45"/>
      <w:r w:rsidRPr="0095154A">
        <w:rPr>
          <w:rFonts w:ascii="Times New Roman" w:hAnsi="Times New Roman" w:cs="Times New Roman"/>
          <w:sz w:val="24"/>
        </w:rPr>
        <w:t>17. Exemption for Display of Expiration Date</w:t>
      </w:r>
      <w:bookmarkEnd w:id="44"/>
      <w:bookmarkEnd w:id="45"/>
    </w:p>
    <w:p w:rsidRPr="0095154A" w:rsidR="00302B0E" w:rsidP="00302B0E" w:rsidRDefault="00302B0E" w14:paraId="6BD8C9D1" w14:textId="77777777">
      <w:r w:rsidRPr="0095154A">
        <w:t>AHRQ does not seek this exemption.</w:t>
      </w:r>
    </w:p>
    <w:p w:rsidRPr="0095154A" w:rsidR="00302B0E" w:rsidP="00302B0E" w:rsidRDefault="00302B0E" w14:paraId="76C34225" w14:textId="77777777">
      <w:pPr>
        <w:pStyle w:val="Heading2"/>
        <w:rPr>
          <w:rFonts w:ascii="Times New Roman" w:hAnsi="Times New Roman" w:cs="Times New Roman"/>
          <w:sz w:val="24"/>
        </w:rPr>
      </w:pPr>
      <w:r w:rsidRPr="0095154A">
        <w:rPr>
          <w:rFonts w:ascii="Times New Roman" w:hAnsi="Times New Roman" w:cs="Times New Roman"/>
          <w:sz w:val="24"/>
        </w:rPr>
        <w:t>List of Attachments:</w:t>
      </w:r>
    </w:p>
    <w:p w:rsidRPr="0095154A" w:rsidR="00302B0E" w:rsidP="00302B0E" w:rsidRDefault="00302B0E" w14:paraId="3BCD82F2" w14:textId="6DBEB63F">
      <w:pPr>
        <w:pStyle w:val="NormalWeb"/>
        <w:rPr>
          <w:b/>
          <w:bCs/>
        </w:rPr>
      </w:pPr>
      <w:r w:rsidRPr="0095154A">
        <w:rPr>
          <w:b/>
          <w:bCs/>
        </w:rPr>
        <w:t xml:space="preserve">Appendix A:  </w:t>
      </w:r>
      <w:r w:rsidRPr="0081793D">
        <w:rPr>
          <w:i/>
          <w:iCs/>
        </w:rPr>
        <w:t>Setting Demographics Survey</w:t>
      </w:r>
      <w:r w:rsidR="00B46EE2">
        <w:t xml:space="preserve"> (Participating health systems)</w:t>
      </w:r>
    </w:p>
    <w:p w:rsidR="00B46EE2" w:rsidP="00553CFB" w:rsidRDefault="00302B0E" w14:paraId="497BEA83" w14:textId="02DA2CCB">
      <w:pPr>
        <w:pStyle w:val="NormalWeb"/>
      </w:pPr>
      <w:r w:rsidRPr="0095154A">
        <w:rPr>
          <w:b/>
          <w:bCs/>
        </w:rPr>
        <w:t>Appendix B:</w:t>
      </w:r>
      <w:r w:rsidRPr="0095154A">
        <w:t xml:space="preserve"> </w:t>
      </w:r>
      <w:r w:rsidRPr="0081793D" w:rsidR="00B46EE2">
        <w:rPr>
          <w:i/>
          <w:iCs/>
        </w:rPr>
        <w:t>TeamSTEPPS® Team Assessment Tool for Improving Diagnosis</w:t>
      </w:r>
      <w:r w:rsidRPr="00B124A0" w:rsidR="00B46EE2">
        <w:rPr>
          <w:b/>
          <w:bCs/>
        </w:rPr>
        <w:t xml:space="preserve"> </w:t>
      </w:r>
      <w:r w:rsidRPr="0095154A">
        <w:t>(</w:t>
      </w:r>
      <w:r w:rsidR="00B46EE2">
        <w:t>Survey Respondents</w:t>
      </w:r>
      <w:r w:rsidRPr="0095154A">
        <w:t>)</w:t>
      </w:r>
    </w:p>
    <w:p w:rsidRPr="00B46EE2" w:rsidR="00553CFB" w:rsidP="00B46EE2" w:rsidRDefault="00553CFB" w14:paraId="34D5F792" w14:textId="4B257AE1">
      <w:pPr>
        <w:sectPr w:rsidRPr="00B46EE2" w:rsidR="00553CFB" w:rsidSect="00F23743">
          <w:footerReference w:type="even" r:id="rId9"/>
          <w:footerReference w:type="default" r:id="rId10"/>
          <w:endnotePr>
            <w:numFmt w:val="decimal"/>
          </w:endnotePr>
          <w:pgSz w:w="12240" w:h="15840"/>
          <w:pgMar w:top="1440" w:right="1440" w:bottom="1440" w:left="1440" w:header="720" w:footer="720" w:gutter="0"/>
          <w:pgNumType w:fmt="numberInDash"/>
          <w:cols w:space="720"/>
          <w:titlePg/>
          <w:docGrid w:linePitch="360"/>
        </w:sectPr>
      </w:pPr>
      <w:r>
        <w:t>Appendix C:     Federal Register  Notice</w:t>
      </w:r>
    </w:p>
    <w:sdt>
      <w:sdtPr>
        <w:rPr>
          <w:rFonts w:ascii="Times New Roman" w:hAnsi="Times New Roman" w:cs="Times New Roman"/>
          <w:b w:val="0"/>
          <w:bCs w:val="0"/>
          <w:i w:val="0"/>
          <w:iCs w:val="0"/>
          <w:sz w:val="24"/>
          <w:szCs w:val="24"/>
        </w:rPr>
        <w:id w:val="-398216251"/>
        <w:docPartObj>
          <w:docPartGallery w:val="Bibliographies"/>
          <w:docPartUnique/>
        </w:docPartObj>
      </w:sdtPr>
      <w:sdtEndPr/>
      <w:sdtContent>
        <w:p w:rsidRPr="0095154A" w:rsidR="00302B0E" w:rsidP="00302B0E" w:rsidRDefault="00302B0E" w14:paraId="0F8772A9" w14:textId="77777777">
          <w:pPr>
            <w:pStyle w:val="Heading2"/>
            <w:rPr>
              <w:rFonts w:ascii="Times New Roman" w:hAnsi="Times New Roman" w:cs="Times New Roman"/>
            </w:rPr>
          </w:pPr>
          <w:r w:rsidRPr="0095154A">
            <w:rPr>
              <w:rFonts w:ascii="Times New Roman" w:hAnsi="Times New Roman" w:cs="Times New Roman"/>
            </w:rPr>
            <w:t>References</w:t>
          </w:r>
        </w:p>
        <w:sdt>
          <w:sdtPr>
            <w:id w:val="-573587230"/>
            <w:bibliography/>
          </w:sdtPr>
          <w:sdtEndPr/>
          <w:sdtContent>
            <w:p w:rsidRPr="0095154A" w:rsidR="00302B0E" w:rsidP="00302B0E" w:rsidRDefault="00302B0E" w14:paraId="5A466FF8" w14:textId="77777777">
              <w:r w:rsidRPr="0095154A">
                <w:t xml:space="preserve">1. </w:t>
              </w:r>
              <w:r w:rsidRPr="0095154A">
                <w:tab/>
                <w:t xml:space="preserve">Leape LL, Berwick DM, Bates DW. Counting Deaths Due to Medical Errors—Reply. </w:t>
              </w:r>
            </w:p>
            <w:p w:rsidRPr="0095154A" w:rsidR="00302B0E" w:rsidP="00302B0E" w:rsidRDefault="00302B0E" w14:paraId="5B426E3C" w14:textId="77777777">
              <w:pPr>
                <w:ind w:firstLine="720"/>
              </w:pPr>
              <w:r w:rsidRPr="0095154A">
                <w:rPr>
                  <w:i/>
                  <w:iCs/>
                </w:rPr>
                <w:t>JAMA</w:t>
              </w:r>
              <w:r w:rsidRPr="0095154A">
                <w:t>. 2002;288(19):2405. doi:10.1001/jama.288.19.2405-jlt1120-2-3</w:t>
              </w:r>
            </w:p>
            <w:p w:rsidRPr="0095154A" w:rsidR="00302B0E" w:rsidP="00302B0E" w:rsidRDefault="00302B0E" w14:paraId="1E8BD847" w14:textId="77777777">
              <w:pPr>
                <w:ind w:left="720" w:firstLine="720"/>
              </w:pPr>
            </w:p>
            <w:p w:rsidRPr="0095154A" w:rsidR="00302B0E" w:rsidP="00302B0E" w:rsidRDefault="00302B0E" w14:paraId="75F4E585" w14:textId="77777777">
              <w:pPr>
                <w:pStyle w:val="ListParagraph"/>
                <w:numPr>
                  <w:ilvl w:val="0"/>
                  <w:numId w:val="4"/>
                </w:numPr>
                <w:ind w:left="720" w:hanging="720"/>
              </w:pPr>
              <w:r w:rsidRPr="0095154A">
                <w:t xml:space="preserve">Newman-Toker DE, Pronovost PJ. Diagnostic errors the next frontier for patient safety. </w:t>
              </w:r>
            </w:p>
            <w:p w:rsidRPr="0095154A" w:rsidR="00302B0E" w:rsidP="00302B0E" w:rsidRDefault="00302B0E" w14:paraId="4F161554" w14:textId="77777777">
              <w:pPr>
                <w:ind w:firstLine="720"/>
              </w:pPr>
              <w:r w:rsidRPr="0095154A">
                <w:rPr>
                  <w:i/>
                  <w:iCs/>
                </w:rPr>
                <w:t>JAMA - J Am Med Assoc</w:t>
              </w:r>
              <w:r w:rsidRPr="0095154A">
                <w:t>. 2009;301(10):1060-1062. doi:10.1001/jama.2009.249</w:t>
              </w:r>
            </w:p>
            <w:p w:rsidRPr="0095154A" w:rsidR="00302B0E" w:rsidP="00302B0E" w:rsidRDefault="00302B0E" w14:paraId="1D3D14A7" w14:textId="77777777"/>
            <w:p w:rsidRPr="0095154A" w:rsidR="00302B0E" w:rsidP="00302B0E" w:rsidRDefault="00302B0E" w14:paraId="4B4E1C0A" w14:textId="77777777">
              <w:pPr>
                <w:pStyle w:val="ListParagraph"/>
                <w:numPr>
                  <w:ilvl w:val="0"/>
                  <w:numId w:val="4"/>
                </w:numPr>
                <w:ind w:hanging="766"/>
              </w:pPr>
              <w:r w:rsidRPr="0095154A">
                <w:t xml:space="preserve">Saber Tehrani AS, Lee HW, Mathews SC, et al. 25-Year summary of US malpractice claims for diagnostic errors 1986-2010: An analysis from the National Practitioner Data Bank. </w:t>
              </w:r>
              <w:r w:rsidRPr="0095154A">
                <w:rPr>
                  <w:i/>
                  <w:iCs/>
                </w:rPr>
                <w:t>BMJ Qual Saf</w:t>
              </w:r>
              <w:r w:rsidRPr="0095154A">
                <w:t>. 2013;22(8):672-680. doi:10.1136/bmjqs-2012-001550</w:t>
              </w:r>
            </w:p>
            <w:p w:rsidRPr="0095154A" w:rsidR="00302B0E" w:rsidP="00302B0E" w:rsidRDefault="00302B0E" w14:paraId="0E968F84" w14:textId="77777777"/>
            <w:p w:rsidRPr="0095154A" w:rsidR="00302B0E" w:rsidP="00302B0E" w:rsidRDefault="00302B0E" w14:paraId="410C734D" w14:textId="77777777">
              <w:pPr>
                <w:pStyle w:val="ListParagraph"/>
                <w:numPr>
                  <w:ilvl w:val="0"/>
                  <w:numId w:val="4"/>
                </w:numPr>
                <w:ind w:hanging="766"/>
              </w:pPr>
              <w:r w:rsidRPr="0095154A">
                <w:t xml:space="preserve">Newman-Toker DE, Schaffer AC, Yu-Moe CW, et al. Serious misdiagnosis-related harms in malpractice claims: The “Big Three” – vascular events, infections, and cancers. </w:t>
              </w:r>
              <w:r w:rsidRPr="0095154A">
                <w:rPr>
                  <w:i/>
                  <w:iCs/>
                </w:rPr>
                <w:t>Diagnosis</w:t>
              </w:r>
              <w:r w:rsidRPr="0095154A">
                <w:t>. 2019;6(3):227-240. doi:10.1515/dx-2019-0019</w:t>
              </w:r>
            </w:p>
            <w:p w:rsidRPr="0095154A" w:rsidR="00302B0E" w:rsidP="00302B0E" w:rsidRDefault="00302B0E" w14:paraId="15B01B3B" w14:textId="77777777">
              <w:pPr>
                <w:pStyle w:val="ListParagraph"/>
              </w:pPr>
            </w:p>
            <w:p w:rsidRPr="0095154A" w:rsidR="00302B0E" w:rsidP="00302B0E" w:rsidRDefault="00302B0E" w14:paraId="20115A23" w14:textId="77777777">
              <w:pPr>
                <w:pStyle w:val="ListParagraph"/>
                <w:numPr>
                  <w:ilvl w:val="0"/>
                  <w:numId w:val="4"/>
                </w:numPr>
                <w:ind w:hanging="766"/>
                <w:rPr>
                  <w:b/>
                  <w:bCs/>
                  <w:noProof/>
                </w:rPr>
              </w:pPr>
              <w:r w:rsidRPr="0095154A">
                <w:t xml:space="preserve">CRICO Strategies, 2015. </w:t>
              </w:r>
              <w:r w:rsidRPr="0095154A">
                <w:rPr>
                  <w:i/>
                  <w:iCs/>
                </w:rPr>
                <w:t>2014 Annual Benchmarking Report: Malpractice Risks in the Diagnostic Process.</w:t>
              </w:r>
              <w:r w:rsidRPr="0095154A">
                <w:t xml:space="preserve"> Cambridge, MA, Harvard Medical Institutions, Inc.</w:t>
              </w:r>
            </w:p>
            <w:p w:rsidRPr="0095154A" w:rsidR="00302B0E" w:rsidP="00302B0E" w:rsidRDefault="00302B0E" w14:paraId="54BBB0ED" w14:textId="77777777">
              <w:pPr>
                <w:pStyle w:val="ListParagraph"/>
              </w:pPr>
            </w:p>
            <w:p w:rsidRPr="0095154A" w:rsidR="00302B0E" w:rsidP="00302B0E" w:rsidRDefault="00302B0E" w14:paraId="3F7F677D" w14:textId="77777777">
              <w:pPr>
                <w:pStyle w:val="ListParagraph"/>
                <w:numPr>
                  <w:ilvl w:val="0"/>
                  <w:numId w:val="4"/>
                </w:numPr>
                <w:ind w:hanging="766"/>
                <w:rPr>
                  <w:b/>
                  <w:bCs/>
                  <w:noProof/>
                </w:rPr>
              </w:pPr>
              <w:r w:rsidRPr="0095154A">
                <w:t xml:space="preserve">National Academy of Medicine. </w:t>
              </w:r>
              <w:r w:rsidRPr="0095154A">
                <w:rPr>
                  <w:i/>
                  <w:iCs/>
                </w:rPr>
                <w:t>Improving Diagnosis in Health Care</w:t>
              </w:r>
              <w:r w:rsidRPr="0095154A">
                <w:t>. (Balogh EP, Miller BT, Ball JR, eds.). Washington, DC: National Academies Press; 2015. doi:10.17226/21794.</w:t>
              </w:r>
            </w:p>
            <w:p w:rsidRPr="0095154A" w:rsidR="00302B0E" w:rsidP="00302B0E" w:rsidRDefault="00302B0E" w14:paraId="15B1F5C3" w14:textId="77777777">
              <w:pPr>
                <w:pStyle w:val="ListParagraph"/>
              </w:pPr>
            </w:p>
            <w:p w:rsidRPr="0095154A" w:rsidR="00302B0E" w:rsidP="00302B0E" w:rsidRDefault="00302B0E" w14:paraId="672DFB07" w14:textId="77777777">
              <w:pPr>
                <w:pStyle w:val="ListParagraph"/>
                <w:numPr>
                  <w:ilvl w:val="0"/>
                  <w:numId w:val="4"/>
                </w:numPr>
                <w:ind w:hanging="766"/>
                <w:rPr>
                  <w:b/>
                  <w:bCs/>
                  <w:noProof/>
                </w:rPr>
              </w:pPr>
              <w:r w:rsidRPr="0095154A">
                <w:t xml:space="preserve">Singh H, Giardina TD, Meyer AND, Forjuoh SN, Reis MD, Thomas EJ. Types and origins of diagnostic errors in primary care settings. </w:t>
              </w:r>
              <w:r w:rsidRPr="0095154A">
                <w:rPr>
                  <w:i/>
                  <w:iCs/>
                </w:rPr>
                <w:t>JAMA Intern Med</w:t>
              </w:r>
              <w:r w:rsidRPr="0095154A">
                <w:t>. 2013;173(6):418-425. doi:10.1001/jamainternmed.2013.2777</w:t>
              </w:r>
              <w:r w:rsidRPr="0095154A">
                <w:fldChar w:fldCharType="begin"/>
              </w:r>
              <w:r w:rsidRPr="0095154A">
                <w:instrText xml:space="preserve"> BIBLIOGRAPHY </w:instrText>
              </w:r>
              <w:r w:rsidRPr="0095154A">
                <w:fldChar w:fldCharType="end"/>
              </w:r>
            </w:p>
            <w:p w:rsidRPr="0095154A" w:rsidR="00302B0E" w:rsidP="00302B0E" w:rsidRDefault="001A2E39" w14:paraId="6A04166E" w14:textId="77777777"/>
          </w:sdtContent>
        </w:sdt>
      </w:sdtContent>
    </w:sdt>
    <w:p w:rsidRPr="0095154A" w:rsidR="00302B0E" w:rsidP="00302B0E" w:rsidRDefault="00302B0E" w14:paraId="39DD6077" w14:textId="77777777"/>
    <w:p w:rsidR="00677F9D" w:rsidRDefault="001A2E39" w14:paraId="04DC4202" w14:textId="77777777"/>
    <w:sectPr w:rsidR="00677F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883C5" w14:textId="77777777" w:rsidR="00836F9C" w:rsidRDefault="00836F9C">
      <w:r>
        <w:separator/>
      </w:r>
    </w:p>
  </w:endnote>
  <w:endnote w:type="continuationSeparator" w:id="0">
    <w:p w14:paraId="2301FB57" w14:textId="77777777" w:rsidR="00836F9C" w:rsidRDefault="0083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MdCn BT">
    <w:altName w:val="Arial Narrow"/>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A05BA" w14:textId="77777777" w:rsidR="00F23743" w:rsidRDefault="00302B0E" w:rsidP="00F237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CA88E8" w14:textId="77777777" w:rsidR="00F23743" w:rsidRDefault="001A2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178A7" w14:textId="77777777" w:rsidR="00F23743" w:rsidRDefault="00302B0E" w:rsidP="00F237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14:paraId="04DE7357" w14:textId="77777777" w:rsidR="00F23743" w:rsidRDefault="001A2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66D45" w14:textId="77777777" w:rsidR="00836F9C" w:rsidRDefault="00836F9C">
      <w:r>
        <w:separator/>
      </w:r>
    </w:p>
  </w:footnote>
  <w:footnote w:type="continuationSeparator" w:id="0">
    <w:p w14:paraId="3CD63556" w14:textId="77777777" w:rsidR="00836F9C" w:rsidRDefault="00836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B470A"/>
    <w:multiLevelType w:val="hybridMultilevel"/>
    <w:tmpl w:val="2E1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1433B"/>
    <w:multiLevelType w:val="hybridMultilevel"/>
    <w:tmpl w:val="EBA4B3E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86F4F"/>
    <w:multiLevelType w:val="hybridMultilevel"/>
    <w:tmpl w:val="173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5F5D8F"/>
    <w:multiLevelType w:val="hybridMultilevel"/>
    <w:tmpl w:val="1E226EC0"/>
    <w:lvl w:ilvl="0" w:tplc="FFFFFFFF">
      <w:start w:val="1"/>
      <w:numFmt w:val="decimal"/>
      <w:lvlText w:val="%1)"/>
      <w:lvlJc w:val="left"/>
      <w:pPr>
        <w:ind w:left="720" w:hanging="360"/>
      </w:pPr>
      <w:rPr>
        <w:rFonts w:ascii="Times New Roman" w:hAnsi="Times New Roman" w:cs="Times New Roman"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4006F0"/>
    <w:multiLevelType w:val="hybridMultilevel"/>
    <w:tmpl w:val="0B0C3FB4"/>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43E4D"/>
    <w:multiLevelType w:val="hybridMultilevel"/>
    <w:tmpl w:val="AB44E7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45645E"/>
    <w:multiLevelType w:val="hybridMultilevel"/>
    <w:tmpl w:val="E2789D58"/>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D1BC9"/>
    <w:multiLevelType w:val="hybridMultilevel"/>
    <w:tmpl w:val="9A3ED2D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22522C"/>
    <w:multiLevelType w:val="hybridMultilevel"/>
    <w:tmpl w:val="2D743BA4"/>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427A1"/>
    <w:multiLevelType w:val="multilevel"/>
    <w:tmpl w:val="0FBCF4F8"/>
    <w:styleLink w:val="Bulletlist"/>
    <w:lvl w:ilvl="0">
      <w:start w:val="1"/>
      <w:numFmt w:val="bullet"/>
      <w:pStyle w:val="Style1"/>
      <w:lvlText w:val=""/>
      <w:lvlJc w:val="left"/>
      <w:pPr>
        <w:ind w:left="720"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 w15:restartNumberingAfterBreak="0">
    <w:nsid w:val="304F09E7"/>
    <w:multiLevelType w:val="multilevel"/>
    <w:tmpl w:val="0FBCF4F8"/>
    <w:numStyleLink w:val="Bulletlist"/>
  </w:abstractNum>
  <w:abstractNum w:abstractNumId="11" w15:restartNumberingAfterBreak="0">
    <w:nsid w:val="31A66E54"/>
    <w:multiLevelType w:val="hybridMultilevel"/>
    <w:tmpl w:val="9B28DA1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80C8E"/>
    <w:multiLevelType w:val="hybridMultilevel"/>
    <w:tmpl w:val="33407DAA"/>
    <w:lvl w:ilvl="0" w:tplc="DD6882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E711C1"/>
    <w:multiLevelType w:val="hybridMultilevel"/>
    <w:tmpl w:val="1E10953A"/>
    <w:lvl w:ilvl="0" w:tplc="3BC2C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C81FA8"/>
    <w:multiLevelType w:val="hybridMultilevel"/>
    <w:tmpl w:val="2988AF8E"/>
    <w:lvl w:ilvl="0" w:tplc="E1F872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86F34"/>
    <w:multiLevelType w:val="hybridMultilevel"/>
    <w:tmpl w:val="E2789D58"/>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F02DFF"/>
    <w:multiLevelType w:val="hybridMultilevel"/>
    <w:tmpl w:val="11761E5A"/>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3BC2CACA">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3F7C39"/>
    <w:multiLevelType w:val="hybridMultilevel"/>
    <w:tmpl w:val="81DC7E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3076F5"/>
    <w:multiLevelType w:val="hybridMultilevel"/>
    <w:tmpl w:val="B9326C5C"/>
    <w:lvl w:ilvl="0" w:tplc="E1F872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73326E0"/>
    <w:multiLevelType w:val="hybridMultilevel"/>
    <w:tmpl w:val="399A4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759636B"/>
    <w:multiLevelType w:val="hybridMultilevel"/>
    <w:tmpl w:val="9BEEA802"/>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CD9616A"/>
    <w:multiLevelType w:val="hybridMultilevel"/>
    <w:tmpl w:val="1E226EC0"/>
    <w:lvl w:ilvl="0" w:tplc="30521648">
      <w:start w:val="1"/>
      <w:numFmt w:val="decimal"/>
      <w:lvlText w:val="%1)"/>
      <w:lvlJc w:val="left"/>
      <w:pPr>
        <w:ind w:left="720" w:hanging="360"/>
      </w:pPr>
      <w:rPr>
        <w:rFonts w:ascii="Times New Roman" w:hAnsi="Times New Roman" w:cs="Times New Roman"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2138A9"/>
    <w:multiLevelType w:val="hybridMultilevel"/>
    <w:tmpl w:val="A1C0DDE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D91EE7"/>
    <w:multiLevelType w:val="hybridMultilevel"/>
    <w:tmpl w:val="97528EB2"/>
    <w:lvl w:ilvl="0" w:tplc="E1F872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420C78"/>
    <w:multiLevelType w:val="hybridMultilevel"/>
    <w:tmpl w:val="3AECE62C"/>
    <w:lvl w:ilvl="0" w:tplc="DDA4683E">
      <w:start w:val="1"/>
      <w:numFmt w:val="bullet"/>
      <w:pStyle w:val="TableSmallBullets"/>
      <w:lvlText w:val=""/>
      <w:lvlJc w:val="left"/>
      <w:pPr>
        <w:tabs>
          <w:tab w:val="num" w:pos="360"/>
        </w:tabs>
        <w:ind w:left="360" w:hanging="360"/>
      </w:pPr>
      <w:rPr>
        <w:rFonts w:ascii="Symbol" w:hAnsi="Symbol" w:hint="default"/>
        <w:sz w:val="20"/>
      </w:rPr>
    </w:lvl>
    <w:lvl w:ilvl="1" w:tplc="9FA650AE">
      <w:numFmt w:val="decimal"/>
      <w:lvlText w:val=""/>
      <w:lvlJc w:val="left"/>
    </w:lvl>
    <w:lvl w:ilvl="2" w:tplc="84E00738">
      <w:numFmt w:val="decimal"/>
      <w:lvlText w:val=""/>
      <w:lvlJc w:val="left"/>
    </w:lvl>
    <w:lvl w:ilvl="3" w:tplc="72DAA908">
      <w:numFmt w:val="decimal"/>
      <w:lvlText w:val=""/>
      <w:lvlJc w:val="left"/>
    </w:lvl>
    <w:lvl w:ilvl="4" w:tplc="3502E4BC">
      <w:numFmt w:val="decimal"/>
      <w:lvlText w:val=""/>
      <w:lvlJc w:val="left"/>
    </w:lvl>
    <w:lvl w:ilvl="5" w:tplc="8ACE92BE">
      <w:numFmt w:val="decimal"/>
      <w:lvlText w:val=""/>
      <w:lvlJc w:val="left"/>
    </w:lvl>
    <w:lvl w:ilvl="6" w:tplc="241A7EF8">
      <w:numFmt w:val="decimal"/>
      <w:lvlText w:val=""/>
      <w:lvlJc w:val="left"/>
    </w:lvl>
    <w:lvl w:ilvl="7" w:tplc="9162047C">
      <w:numFmt w:val="decimal"/>
      <w:lvlText w:val=""/>
      <w:lvlJc w:val="left"/>
    </w:lvl>
    <w:lvl w:ilvl="8" w:tplc="7A68880E">
      <w:numFmt w:val="decimal"/>
      <w:lvlText w:val=""/>
      <w:lvlJc w:val="left"/>
    </w:lvl>
  </w:abstractNum>
  <w:abstractNum w:abstractNumId="25" w15:restartNumberingAfterBreak="0">
    <w:nsid w:val="59B411E4"/>
    <w:multiLevelType w:val="hybridMultilevel"/>
    <w:tmpl w:val="251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ADD24D3"/>
    <w:multiLevelType w:val="hybridMultilevel"/>
    <w:tmpl w:val="ECC4B5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C027CC2"/>
    <w:multiLevelType w:val="hybridMultilevel"/>
    <w:tmpl w:val="C2A4AF82"/>
    <w:lvl w:ilvl="0" w:tplc="E1F872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F980C55"/>
    <w:multiLevelType w:val="hybridMultilevel"/>
    <w:tmpl w:val="A6FC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0B260F0"/>
    <w:multiLevelType w:val="hybridMultilevel"/>
    <w:tmpl w:val="42C026B2"/>
    <w:lvl w:ilvl="0" w:tplc="E1F8726A">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873AE6"/>
    <w:multiLevelType w:val="hybridMultilevel"/>
    <w:tmpl w:val="3BF46CB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0C2E04"/>
    <w:multiLevelType w:val="hybridMultilevel"/>
    <w:tmpl w:val="0BD2E584"/>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6AA43C3"/>
    <w:multiLevelType w:val="hybridMultilevel"/>
    <w:tmpl w:val="C6EA874C"/>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171167"/>
    <w:multiLevelType w:val="hybridMultilevel"/>
    <w:tmpl w:val="F5BA81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9622D1C"/>
    <w:multiLevelType w:val="hybridMultilevel"/>
    <w:tmpl w:val="E2789D58"/>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697202"/>
    <w:multiLevelType w:val="hybridMultilevel"/>
    <w:tmpl w:val="1AFA6A96"/>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151DFA"/>
    <w:multiLevelType w:val="hybridMultilevel"/>
    <w:tmpl w:val="8CB2ED2C"/>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471F9C"/>
    <w:multiLevelType w:val="hybridMultilevel"/>
    <w:tmpl w:val="9F7A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116FB1"/>
    <w:multiLevelType w:val="hybridMultilevel"/>
    <w:tmpl w:val="501254F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F85FDA"/>
    <w:multiLevelType w:val="hybridMultilevel"/>
    <w:tmpl w:val="CE7AD682"/>
    <w:lvl w:ilvl="0" w:tplc="E1F8726A">
      <w:start w:val="1"/>
      <w:numFmt w:val="bullet"/>
      <w:lvlText w:val=""/>
      <w:lvlJc w:val="left"/>
      <w:pPr>
        <w:ind w:left="720" w:hanging="360"/>
      </w:pPr>
      <w:rPr>
        <w:rFonts w:ascii="Wingdings" w:hAnsi="Wingdings" w:hint="default"/>
      </w:rPr>
    </w:lvl>
    <w:lvl w:ilvl="1" w:tplc="DDF48E6C">
      <w:start w:val="1"/>
      <w:numFmt w:val="bullet"/>
      <w:lvlText w:val="o"/>
      <w:lvlJc w:val="left"/>
      <w:pPr>
        <w:ind w:left="1440" w:hanging="360"/>
      </w:pPr>
      <w:rPr>
        <w:rFonts w:ascii="Courier New" w:hAnsi="Courier New" w:hint="default"/>
      </w:rPr>
    </w:lvl>
    <w:lvl w:ilvl="2" w:tplc="558A0DB4">
      <w:start w:val="1"/>
      <w:numFmt w:val="bullet"/>
      <w:lvlText w:val=""/>
      <w:lvlJc w:val="left"/>
      <w:pPr>
        <w:ind w:left="2160" w:hanging="360"/>
      </w:pPr>
      <w:rPr>
        <w:rFonts w:ascii="Wingdings" w:hAnsi="Wingdings" w:hint="default"/>
      </w:rPr>
    </w:lvl>
    <w:lvl w:ilvl="3" w:tplc="F348A070">
      <w:start w:val="1"/>
      <w:numFmt w:val="bullet"/>
      <w:lvlText w:val=""/>
      <w:lvlJc w:val="left"/>
      <w:pPr>
        <w:ind w:left="2880" w:hanging="360"/>
      </w:pPr>
      <w:rPr>
        <w:rFonts w:ascii="Symbol" w:hAnsi="Symbol" w:hint="default"/>
      </w:rPr>
    </w:lvl>
    <w:lvl w:ilvl="4" w:tplc="7F3A5D2A">
      <w:start w:val="1"/>
      <w:numFmt w:val="bullet"/>
      <w:lvlText w:val="o"/>
      <w:lvlJc w:val="left"/>
      <w:pPr>
        <w:ind w:left="3600" w:hanging="360"/>
      </w:pPr>
      <w:rPr>
        <w:rFonts w:ascii="Courier New" w:hAnsi="Courier New" w:hint="default"/>
      </w:rPr>
    </w:lvl>
    <w:lvl w:ilvl="5" w:tplc="9BA6BE76">
      <w:start w:val="1"/>
      <w:numFmt w:val="bullet"/>
      <w:lvlText w:val=""/>
      <w:lvlJc w:val="left"/>
      <w:pPr>
        <w:ind w:left="4320" w:hanging="360"/>
      </w:pPr>
      <w:rPr>
        <w:rFonts w:ascii="Wingdings" w:hAnsi="Wingdings" w:hint="default"/>
      </w:rPr>
    </w:lvl>
    <w:lvl w:ilvl="6" w:tplc="54B2B29E">
      <w:start w:val="1"/>
      <w:numFmt w:val="bullet"/>
      <w:lvlText w:val=""/>
      <w:lvlJc w:val="left"/>
      <w:pPr>
        <w:ind w:left="5040" w:hanging="360"/>
      </w:pPr>
      <w:rPr>
        <w:rFonts w:ascii="Symbol" w:hAnsi="Symbol" w:hint="default"/>
      </w:rPr>
    </w:lvl>
    <w:lvl w:ilvl="7" w:tplc="017C49EA">
      <w:start w:val="1"/>
      <w:numFmt w:val="bullet"/>
      <w:lvlText w:val="o"/>
      <w:lvlJc w:val="left"/>
      <w:pPr>
        <w:ind w:left="5760" w:hanging="360"/>
      </w:pPr>
      <w:rPr>
        <w:rFonts w:ascii="Courier New" w:hAnsi="Courier New" w:hint="default"/>
      </w:rPr>
    </w:lvl>
    <w:lvl w:ilvl="8" w:tplc="170A6152">
      <w:start w:val="1"/>
      <w:numFmt w:val="bullet"/>
      <w:lvlText w:val=""/>
      <w:lvlJc w:val="left"/>
      <w:pPr>
        <w:ind w:left="6480" w:hanging="360"/>
      </w:pPr>
      <w:rPr>
        <w:rFonts w:ascii="Wingdings" w:hAnsi="Wingdings" w:hint="default"/>
      </w:rPr>
    </w:lvl>
  </w:abstractNum>
  <w:abstractNum w:abstractNumId="40" w15:restartNumberingAfterBreak="0">
    <w:nsid w:val="79255796"/>
    <w:multiLevelType w:val="hybridMultilevel"/>
    <w:tmpl w:val="01A0D90A"/>
    <w:lvl w:ilvl="0" w:tplc="F69451F4">
      <w:start w:val="1"/>
      <w:numFmt w:val="decimal"/>
      <w:lvlText w:val="%1."/>
      <w:lvlJc w:val="left"/>
      <w:pPr>
        <w:ind w:left="766" w:hanging="360"/>
      </w:pPr>
      <w:rPr>
        <w:b w:val="0"/>
      </w:rPr>
    </w:lvl>
    <w:lvl w:ilvl="1" w:tplc="04090019">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1" w15:restartNumberingAfterBreak="0">
    <w:nsid w:val="7BB23870"/>
    <w:multiLevelType w:val="hybridMultilevel"/>
    <w:tmpl w:val="9FE250A2"/>
    <w:lvl w:ilvl="0" w:tplc="E1F872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6F1377"/>
    <w:multiLevelType w:val="hybridMultilevel"/>
    <w:tmpl w:val="CC8EE5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7D5C030C"/>
    <w:multiLevelType w:val="hybridMultilevel"/>
    <w:tmpl w:val="A23EA040"/>
    <w:lvl w:ilvl="0" w:tplc="4B903392">
      <w:start w:val="1"/>
      <w:numFmt w:val="bullet"/>
      <w:pStyle w:val="BulletLevel1"/>
      <w:lvlText w:val=""/>
      <w:lvlJc w:val="left"/>
      <w:pPr>
        <w:tabs>
          <w:tab w:val="num" w:pos="360"/>
        </w:tabs>
        <w:ind w:left="360" w:hanging="360"/>
      </w:pPr>
      <w:rPr>
        <w:rFonts w:ascii="Symbol" w:hAnsi="Symbol" w:hint="default"/>
        <w:sz w:val="24"/>
      </w:rPr>
    </w:lvl>
    <w:lvl w:ilvl="1" w:tplc="C6D43DA4">
      <w:numFmt w:val="decimal"/>
      <w:lvlText w:val=""/>
      <w:lvlJc w:val="left"/>
    </w:lvl>
    <w:lvl w:ilvl="2" w:tplc="2A8461B0">
      <w:numFmt w:val="decimal"/>
      <w:lvlText w:val=""/>
      <w:lvlJc w:val="left"/>
    </w:lvl>
    <w:lvl w:ilvl="3" w:tplc="19706012">
      <w:numFmt w:val="decimal"/>
      <w:lvlText w:val=""/>
      <w:lvlJc w:val="left"/>
    </w:lvl>
    <w:lvl w:ilvl="4" w:tplc="EB64F80E">
      <w:numFmt w:val="decimal"/>
      <w:lvlText w:val=""/>
      <w:lvlJc w:val="left"/>
    </w:lvl>
    <w:lvl w:ilvl="5" w:tplc="CCFC8A82">
      <w:numFmt w:val="decimal"/>
      <w:lvlText w:val=""/>
      <w:lvlJc w:val="left"/>
    </w:lvl>
    <w:lvl w:ilvl="6" w:tplc="346688D6">
      <w:numFmt w:val="decimal"/>
      <w:lvlText w:val=""/>
      <w:lvlJc w:val="left"/>
    </w:lvl>
    <w:lvl w:ilvl="7" w:tplc="1B1ECEBC">
      <w:numFmt w:val="decimal"/>
      <w:lvlText w:val=""/>
      <w:lvlJc w:val="left"/>
    </w:lvl>
    <w:lvl w:ilvl="8" w:tplc="91C47A66">
      <w:numFmt w:val="decimal"/>
      <w:lvlText w:val=""/>
      <w:lvlJc w:val="left"/>
    </w:lvl>
  </w:abstractNum>
  <w:num w:numId="1">
    <w:abstractNumId w:val="43"/>
  </w:num>
  <w:num w:numId="2">
    <w:abstractNumId w:val="24"/>
  </w:num>
  <w:num w:numId="3">
    <w:abstractNumId w:val="30"/>
  </w:num>
  <w:num w:numId="4">
    <w:abstractNumId w:val="40"/>
  </w:num>
  <w:num w:numId="5">
    <w:abstractNumId w:val="21"/>
  </w:num>
  <w:num w:numId="6">
    <w:abstractNumId w:val="4"/>
  </w:num>
  <w:num w:numId="7">
    <w:abstractNumId w:val="33"/>
  </w:num>
  <w:num w:numId="8">
    <w:abstractNumId w:val="0"/>
  </w:num>
  <w:num w:numId="9">
    <w:abstractNumId w:val="41"/>
  </w:num>
  <w:num w:numId="10">
    <w:abstractNumId w:val="14"/>
  </w:num>
  <w:num w:numId="11">
    <w:abstractNumId w:val="25"/>
  </w:num>
  <w:num w:numId="12">
    <w:abstractNumId w:val="28"/>
  </w:num>
  <w:num w:numId="13">
    <w:abstractNumId w:val="2"/>
  </w:num>
  <w:num w:numId="14">
    <w:abstractNumId w:val="42"/>
  </w:num>
  <w:num w:numId="15">
    <w:abstractNumId w:val="37"/>
  </w:num>
  <w:num w:numId="16">
    <w:abstractNumId w:val="17"/>
  </w:num>
  <w:num w:numId="17">
    <w:abstractNumId w:val="36"/>
  </w:num>
  <w:num w:numId="18">
    <w:abstractNumId w:val="39"/>
  </w:num>
  <w:num w:numId="19">
    <w:abstractNumId w:val="23"/>
  </w:num>
  <w:num w:numId="20">
    <w:abstractNumId w:val="16"/>
  </w:num>
  <w:num w:numId="21">
    <w:abstractNumId w:val="11"/>
  </w:num>
  <w:num w:numId="22">
    <w:abstractNumId w:val="8"/>
  </w:num>
  <w:num w:numId="23">
    <w:abstractNumId w:val="19"/>
  </w:num>
  <w:num w:numId="24">
    <w:abstractNumId w:val="12"/>
  </w:num>
  <w:num w:numId="25">
    <w:abstractNumId w:val="7"/>
  </w:num>
  <w:num w:numId="26">
    <w:abstractNumId w:val="18"/>
  </w:num>
  <w:num w:numId="27">
    <w:abstractNumId w:val="35"/>
  </w:num>
  <w:num w:numId="28">
    <w:abstractNumId w:val="32"/>
  </w:num>
  <w:num w:numId="29">
    <w:abstractNumId w:val="31"/>
  </w:num>
  <w:num w:numId="30">
    <w:abstractNumId w:val="20"/>
  </w:num>
  <w:num w:numId="31">
    <w:abstractNumId w:val="13"/>
  </w:num>
  <w:num w:numId="32">
    <w:abstractNumId w:val="27"/>
  </w:num>
  <w:num w:numId="33">
    <w:abstractNumId w:val="29"/>
  </w:num>
  <w:num w:numId="34">
    <w:abstractNumId w:val="5"/>
  </w:num>
  <w:num w:numId="35">
    <w:abstractNumId w:val="22"/>
  </w:num>
  <w:num w:numId="36">
    <w:abstractNumId w:val="1"/>
  </w:num>
  <w:num w:numId="37">
    <w:abstractNumId w:val="26"/>
  </w:num>
  <w:num w:numId="38">
    <w:abstractNumId w:val="38"/>
  </w:num>
  <w:num w:numId="39">
    <w:abstractNumId w:val="15"/>
  </w:num>
  <w:num w:numId="40">
    <w:abstractNumId w:val="34"/>
  </w:num>
  <w:num w:numId="41">
    <w:abstractNumId w:val="6"/>
  </w:num>
  <w:num w:numId="42">
    <w:abstractNumId w:val="3"/>
  </w:num>
  <w:num w:numId="43">
    <w:abstractNumId w:val="9"/>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0E"/>
    <w:rsid w:val="00023DAA"/>
    <w:rsid w:val="000655CA"/>
    <w:rsid w:val="0007098F"/>
    <w:rsid w:val="000711FC"/>
    <w:rsid w:val="000814FE"/>
    <w:rsid w:val="000959FE"/>
    <w:rsid w:val="00096243"/>
    <w:rsid w:val="000A123F"/>
    <w:rsid w:val="000A37FD"/>
    <w:rsid w:val="000B3A6E"/>
    <w:rsid w:val="000C4E54"/>
    <w:rsid w:val="000D6BE2"/>
    <w:rsid w:val="000F598C"/>
    <w:rsid w:val="0010358D"/>
    <w:rsid w:val="0011324F"/>
    <w:rsid w:val="0012404A"/>
    <w:rsid w:val="001361E1"/>
    <w:rsid w:val="00170AF6"/>
    <w:rsid w:val="00180AC2"/>
    <w:rsid w:val="001A2E39"/>
    <w:rsid w:val="001B0442"/>
    <w:rsid w:val="001C2B3F"/>
    <w:rsid w:val="00237746"/>
    <w:rsid w:val="00243662"/>
    <w:rsid w:val="00246A19"/>
    <w:rsid w:val="00260313"/>
    <w:rsid w:val="00287336"/>
    <w:rsid w:val="00291B90"/>
    <w:rsid w:val="002975E0"/>
    <w:rsid w:val="002A315B"/>
    <w:rsid w:val="002A4F1D"/>
    <w:rsid w:val="002A7DD4"/>
    <w:rsid w:val="002D4067"/>
    <w:rsid w:val="002E3BB3"/>
    <w:rsid w:val="00302B0E"/>
    <w:rsid w:val="00305982"/>
    <w:rsid w:val="0030688D"/>
    <w:rsid w:val="00307ED5"/>
    <w:rsid w:val="003521AC"/>
    <w:rsid w:val="00366DDA"/>
    <w:rsid w:val="003735CF"/>
    <w:rsid w:val="003851D9"/>
    <w:rsid w:val="003877F3"/>
    <w:rsid w:val="003B701A"/>
    <w:rsid w:val="003C2428"/>
    <w:rsid w:val="003C6A81"/>
    <w:rsid w:val="003C7920"/>
    <w:rsid w:val="003D0939"/>
    <w:rsid w:val="00423595"/>
    <w:rsid w:val="00430F44"/>
    <w:rsid w:val="00431892"/>
    <w:rsid w:val="004469D1"/>
    <w:rsid w:val="00446DBA"/>
    <w:rsid w:val="0046201F"/>
    <w:rsid w:val="004B7FF3"/>
    <w:rsid w:val="004F32D9"/>
    <w:rsid w:val="004F421F"/>
    <w:rsid w:val="00530BF7"/>
    <w:rsid w:val="00553CFB"/>
    <w:rsid w:val="005654F1"/>
    <w:rsid w:val="00565F4D"/>
    <w:rsid w:val="0056702C"/>
    <w:rsid w:val="00575E0D"/>
    <w:rsid w:val="00580123"/>
    <w:rsid w:val="005A2FA5"/>
    <w:rsid w:val="005C1C80"/>
    <w:rsid w:val="005D7150"/>
    <w:rsid w:val="00612AA9"/>
    <w:rsid w:val="0061507E"/>
    <w:rsid w:val="00620B81"/>
    <w:rsid w:val="00621B7C"/>
    <w:rsid w:val="0064122F"/>
    <w:rsid w:val="006470A4"/>
    <w:rsid w:val="00651259"/>
    <w:rsid w:val="0065248E"/>
    <w:rsid w:val="00655F56"/>
    <w:rsid w:val="00661024"/>
    <w:rsid w:val="006726B2"/>
    <w:rsid w:val="006742D9"/>
    <w:rsid w:val="006748AB"/>
    <w:rsid w:val="00686BF6"/>
    <w:rsid w:val="00691E5C"/>
    <w:rsid w:val="00695BC5"/>
    <w:rsid w:val="006A62EE"/>
    <w:rsid w:val="006C39C4"/>
    <w:rsid w:val="006E2692"/>
    <w:rsid w:val="006E4BA1"/>
    <w:rsid w:val="006F0DA3"/>
    <w:rsid w:val="006F300F"/>
    <w:rsid w:val="007114B4"/>
    <w:rsid w:val="00714F7D"/>
    <w:rsid w:val="00720F68"/>
    <w:rsid w:val="007429D7"/>
    <w:rsid w:val="00750A83"/>
    <w:rsid w:val="00754C52"/>
    <w:rsid w:val="007741ED"/>
    <w:rsid w:val="00782AC3"/>
    <w:rsid w:val="00784E10"/>
    <w:rsid w:val="007A6779"/>
    <w:rsid w:val="0081793D"/>
    <w:rsid w:val="00820DED"/>
    <w:rsid w:val="00822FFE"/>
    <w:rsid w:val="00836E84"/>
    <w:rsid w:val="00836F9C"/>
    <w:rsid w:val="00840A66"/>
    <w:rsid w:val="00843949"/>
    <w:rsid w:val="00845578"/>
    <w:rsid w:val="00845F73"/>
    <w:rsid w:val="00861760"/>
    <w:rsid w:val="00893730"/>
    <w:rsid w:val="008B44B2"/>
    <w:rsid w:val="008F339F"/>
    <w:rsid w:val="008F57BD"/>
    <w:rsid w:val="00905850"/>
    <w:rsid w:val="0090679F"/>
    <w:rsid w:val="00906A57"/>
    <w:rsid w:val="00936E87"/>
    <w:rsid w:val="0094356A"/>
    <w:rsid w:val="00947F85"/>
    <w:rsid w:val="009575EC"/>
    <w:rsid w:val="00971767"/>
    <w:rsid w:val="0098037A"/>
    <w:rsid w:val="00982D3A"/>
    <w:rsid w:val="00985DE1"/>
    <w:rsid w:val="009902F0"/>
    <w:rsid w:val="009C5E59"/>
    <w:rsid w:val="009D22DF"/>
    <w:rsid w:val="009D7F73"/>
    <w:rsid w:val="009F6E90"/>
    <w:rsid w:val="00A03B41"/>
    <w:rsid w:val="00A20892"/>
    <w:rsid w:val="00A46421"/>
    <w:rsid w:val="00A502CB"/>
    <w:rsid w:val="00A56265"/>
    <w:rsid w:val="00A636AB"/>
    <w:rsid w:val="00A658AF"/>
    <w:rsid w:val="00A86526"/>
    <w:rsid w:val="00A908B0"/>
    <w:rsid w:val="00AA03FF"/>
    <w:rsid w:val="00AA07D5"/>
    <w:rsid w:val="00AA3BF7"/>
    <w:rsid w:val="00AA55E1"/>
    <w:rsid w:val="00AC2475"/>
    <w:rsid w:val="00B12278"/>
    <w:rsid w:val="00B124A0"/>
    <w:rsid w:val="00B23785"/>
    <w:rsid w:val="00B31321"/>
    <w:rsid w:val="00B43B86"/>
    <w:rsid w:val="00B46EE2"/>
    <w:rsid w:val="00B51460"/>
    <w:rsid w:val="00B539B2"/>
    <w:rsid w:val="00B81850"/>
    <w:rsid w:val="00B929D5"/>
    <w:rsid w:val="00BB2E6E"/>
    <w:rsid w:val="00BD2052"/>
    <w:rsid w:val="00BD6F44"/>
    <w:rsid w:val="00C04CD4"/>
    <w:rsid w:val="00C30E75"/>
    <w:rsid w:val="00C34573"/>
    <w:rsid w:val="00C3559F"/>
    <w:rsid w:val="00C5648D"/>
    <w:rsid w:val="00C7510C"/>
    <w:rsid w:val="00C93C3C"/>
    <w:rsid w:val="00CA56B0"/>
    <w:rsid w:val="00CA5FEA"/>
    <w:rsid w:val="00CA7717"/>
    <w:rsid w:val="00CC634E"/>
    <w:rsid w:val="00CD6A25"/>
    <w:rsid w:val="00CE06EA"/>
    <w:rsid w:val="00D0789E"/>
    <w:rsid w:val="00D1232F"/>
    <w:rsid w:val="00D22391"/>
    <w:rsid w:val="00D47A45"/>
    <w:rsid w:val="00D5616E"/>
    <w:rsid w:val="00DB2ED9"/>
    <w:rsid w:val="00DF4832"/>
    <w:rsid w:val="00E45096"/>
    <w:rsid w:val="00E520D8"/>
    <w:rsid w:val="00E6655D"/>
    <w:rsid w:val="00E72CCD"/>
    <w:rsid w:val="00E80C8F"/>
    <w:rsid w:val="00EA0F0F"/>
    <w:rsid w:val="00EA7C95"/>
    <w:rsid w:val="00EB015F"/>
    <w:rsid w:val="00EF2CA7"/>
    <w:rsid w:val="00F062F7"/>
    <w:rsid w:val="00F20E24"/>
    <w:rsid w:val="00F25D31"/>
    <w:rsid w:val="00F30B03"/>
    <w:rsid w:val="00F40B71"/>
    <w:rsid w:val="00F439DF"/>
    <w:rsid w:val="00F45FBF"/>
    <w:rsid w:val="00F6283B"/>
    <w:rsid w:val="00F671C8"/>
    <w:rsid w:val="00FB1669"/>
    <w:rsid w:val="00FB5F5A"/>
    <w:rsid w:val="00FC1A4A"/>
    <w:rsid w:val="00FD0642"/>
    <w:rsid w:val="00FE3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103F"/>
  <w15:chartTrackingRefBased/>
  <w15:docId w15:val="{35CAF7C4-FFEB-40FA-936A-A42C7E15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B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2B0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02B0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02B0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02B0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2B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B0E"/>
    <w:rPr>
      <w:rFonts w:ascii="Segoe UI" w:hAnsi="Segoe UI" w:cs="Segoe UI"/>
      <w:sz w:val="18"/>
      <w:szCs w:val="18"/>
    </w:rPr>
  </w:style>
  <w:style w:type="character" w:customStyle="1" w:styleId="Heading1Char">
    <w:name w:val="Heading 1 Char"/>
    <w:basedOn w:val="DefaultParagraphFont"/>
    <w:link w:val="Heading1"/>
    <w:uiPriority w:val="9"/>
    <w:rsid w:val="00302B0E"/>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302B0E"/>
    <w:rPr>
      <w:rFonts w:ascii="Arial" w:eastAsia="Times New Roman" w:hAnsi="Arial" w:cs="Arial"/>
      <w:b/>
      <w:bCs/>
      <w:i/>
      <w:iCs/>
      <w:sz w:val="28"/>
      <w:szCs w:val="28"/>
    </w:rPr>
  </w:style>
  <w:style w:type="character" w:customStyle="1" w:styleId="Heading3Char">
    <w:name w:val="Heading 3 Char"/>
    <w:basedOn w:val="DefaultParagraphFont"/>
    <w:link w:val="Heading3"/>
    <w:rsid w:val="00302B0E"/>
    <w:rPr>
      <w:rFonts w:ascii="Arial" w:eastAsia="Times New Roman" w:hAnsi="Arial" w:cs="Arial"/>
      <w:b/>
      <w:bCs/>
      <w:sz w:val="26"/>
      <w:szCs w:val="26"/>
    </w:rPr>
  </w:style>
  <w:style w:type="character" w:customStyle="1" w:styleId="Heading4Char">
    <w:name w:val="Heading 4 Char"/>
    <w:basedOn w:val="DefaultParagraphFont"/>
    <w:link w:val="Heading4"/>
    <w:rsid w:val="00302B0E"/>
    <w:rPr>
      <w:rFonts w:ascii="Times New Roman" w:eastAsia="Times New Roman" w:hAnsi="Times New Roman" w:cs="Times New Roman"/>
      <w:b/>
      <w:bCs/>
      <w:sz w:val="28"/>
      <w:szCs w:val="28"/>
    </w:rPr>
  </w:style>
  <w:style w:type="paragraph" w:styleId="FootnoteText">
    <w:name w:val="footnote text"/>
    <w:basedOn w:val="Normal"/>
    <w:link w:val="FootnoteTextChar"/>
    <w:semiHidden/>
    <w:rsid w:val="00302B0E"/>
    <w:pPr>
      <w:bidi/>
      <w:jc w:val="right"/>
    </w:pPr>
    <w:rPr>
      <w:sz w:val="20"/>
      <w:szCs w:val="20"/>
      <w:lang w:bidi="ar-QA"/>
    </w:rPr>
  </w:style>
  <w:style w:type="character" w:customStyle="1" w:styleId="FootnoteTextChar">
    <w:name w:val="Footnote Text Char"/>
    <w:basedOn w:val="DefaultParagraphFont"/>
    <w:link w:val="FootnoteText"/>
    <w:semiHidden/>
    <w:rsid w:val="00302B0E"/>
    <w:rPr>
      <w:rFonts w:ascii="Times New Roman" w:eastAsia="Times New Roman" w:hAnsi="Times New Roman" w:cs="Times New Roman"/>
      <w:sz w:val="20"/>
      <w:szCs w:val="20"/>
      <w:lang w:bidi="ar-QA"/>
    </w:rPr>
  </w:style>
  <w:style w:type="character" w:styleId="FootnoteReference">
    <w:name w:val="footnote reference"/>
    <w:semiHidden/>
    <w:rsid w:val="00302B0E"/>
    <w:rPr>
      <w:vertAlign w:val="superscript"/>
    </w:rPr>
  </w:style>
  <w:style w:type="paragraph" w:customStyle="1" w:styleId="LefttoRight">
    <w:name w:val="Left to Right"/>
    <w:basedOn w:val="Normal"/>
    <w:link w:val="LefttoRightChar"/>
    <w:rsid w:val="00302B0E"/>
    <w:pPr>
      <w:jc w:val="lowKashida"/>
    </w:pPr>
    <w:rPr>
      <w:lang w:bidi="ar-QA"/>
    </w:rPr>
  </w:style>
  <w:style w:type="character" w:customStyle="1" w:styleId="LefttoRightChar">
    <w:name w:val="Left to Right Char"/>
    <w:link w:val="LefttoRight"/>
    <w:rsid w:val="00302B0E"/>
    <w:rPr>
      <w:rFonts w:ascii="Times New Roman" w:eastAsia="Times New Roman" w:hAnsi="Times New Roman" w:cs="Times New Roman"/>
      <w:sz w:val="24"/>
      <w:szCs w:val="24"/>
      <w:lang w:bidi="ar-QA"/>
    </w:rPr>
  </w:style>
  <w:style w:type="table" w:styleId="TableGrid">
    <w:name w:val="Table Grid"/>
    <w:basedOn w:val="TableNormal"/>
    <w:rsid w:val="00302B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302B0E"/>
    <w:pPr>
      <w:pBdr>
        <w:bottom w:val="single" w:sz="4" w:space="1" w:color="auto"/>
      </w:pBdr>
      <w:spacing w:before="120" w:after="120"/>
      <w:jc w:val="both"/>
    </w:pPr>
    <w:rPr>
      <w:b/>
      <w:smallCaps/>
      <w:szCs w:val="20"/>
    </w:rPr>
  </w:style>
  <w:style w:type="paragraph" w:customStyle="1" w:styleId="BulletLevel1">
    <w:name w:val="Bullet Level 1"/>
    <w:basedOn w:val="Normal"/>
    <w:rsid w:val="00302B0E"/>
    <w:pPr>
      <w:numPr>
        <w:numId w:val="1"/>
      </w:numPr>
      <w:spacing w:before="120" w:after="120"/>
      <w:jc w:val="both"/>
    </w:pPr>
    <w:rPr>
      <w:szCs w:val="20"/>
    </w:rPr>
  </w:style>
  <w:style w:type="paragraph" w:styleId="Header">
    <w:name w:val="header"/>
    <w:basedOn w:val="Normal"/>
    <w:link w:val="HeaderChar"/>
    <w:uiPriority w:val="99"/>
    <w:rsid w:val="00302B0E"/>
    <w:pPr>
      <w:tabs>
        <w:tab w:val="center" w:pos="4320"/>
        <w:tab w:val="right" w:pos="8640"/>
      </w:tabs>
      <w:spacing w:before="120" w:after="120"/>
      <w:jc w:val="both"/>
    </w:pPr>
    <w:rPr>
      <w:szCs w:val="20"/>
    </w:rPr>
  </w:style>
  <w:style w:type="character" w:customStyle="1" w:styleId="HeaderChar">
    <w:name w:val="Header Char"/>
    <w:basedOn w:val="DefaultParagraphFont"/>
    <w:link w:val="Header"/>
    <w:uiPriority w:val="99"/>
    <w:rsid w:val="00302B0E"/>
    <w:rPr>
      <w:rFonts w:ascii="Times New Roman" w:eastAsia="Times New Roman" w:hAnsi="Times New Roman" w:cs="Times New Roman"/>
      <w:sz w:val="24"/>
      <w:szCs w:val="20"/>
    </w:rPr>
  </w:style>
  <w:style w:type="paragraph" w:styleId="TOC1">
    <w:name w:val="toc 1"/>
    <w:basedOn w:val="Normal"/>
    <w:next w:val="Normal"/>
    <w:autoRedefine/>
    <w:semiHidden/>
    <w:rsid w:val="00302B0E"/>
  </w:style>
  <w:style w:type="paragraph" w:styleId="TOC2">
    <w:name w:val="toc 2"/>
    <w:basedOn w:val="Normal"/>
    <w:next w:val="Normal"/>
    <w:autoRedefine/>
    <w:semiHidden/>
    <w:rsid w:val="00302B0E"/>
    <w:pPr>
      <w:ind w:left="240"/>
    </w:pPr>
  </w:style>
  <w:style w:type="paragraph" w:styleId="TOC3">
    <w:name w:val="toc 3"/>
    <w:basedOn w:val="Normal"/>
    <w:next w:val="Normal"/>
    <w:autoRedefine/>
    <w:semiHidden/>
    <w:rsid w:val="00302B0E"/>
    <w:pPr>
      <w:ind w:left="480"/>
    </w:pPr>
  </w:style>
  <w:style w:type="character" w:styleId="Hyperlink">
    <w:name w:val="Hyperlink"/>
    <w:rsid w:val="00302B0E"/>
    <w:rPr>
      <w:color w:val="0000FF"/>
      <w:u w:val="single"/>
    </w:rPr>
  </w:style>
  <w:style w:type="paragraph" w:styleId="Footer">
    <w:name w:val="footer"/>
    <w:basedOn w:val="Normal"/>
    <w:link w:val="FooterChar"/>
    <w:uiPriority w:val="99"/>
    <w:rsid w:val="00302B0E"/>
    <w:pPr>
      <w:tabs>
        <w:tab w:val="center" w:pos="4320"/>
        <w:tab w:val="right" w:pos="8640"/>
      </w:tabs>
    </w:pPr>
  </w:style>
  <w:style w:type="character" w:customStyle="1" w:styleId="FooterChar">
    <w:name w:val="Footer Char"/>
    <w:basedOn w:val="DefaultParagraphFont"/>
    <w:link w:val="Footer"/>
    <w:uiPriority w:val="99"/>
    <w:rsid w:val="00302B0E"/>
    <w:rPr>
      <w:rFonts w:ascii="Times New Roman" w:eastAsia="Times New Roman" w:hAnsi="Times New Roman" w:cs="Times New Roman"/>
      <w:sz w:val="24"/>
      <w:szCs w:val="24"/>
    </w:rPr>
  </w:style>
  <w:style w:type="character" w:styleId="PageNumber">
    <w:name w:val="page number"/>
    <w:basedOn w:val="DefaultParagraphFont"/>
    <w:rsid w:val="00302B0E"/>
  </w:style>
  <w:style w:type="table" w:styleId="TableList3">
    <w:name w:val="Table List 3"/>
    <w:basedOn w:val="TableNormal"/>
    <w:rsid w:val="00302B0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302B0E"/>
    <w:rPr>
      <w:sz w:val="16"/>
      <w:szCs w:val="16"/>
    </w:rPr>
  </w:style>
  <w:style w:type="paragraph" w:styleId="CommentText">
    <w:name w:val="annotation text"/>
    <w:basedOn w:val="Normal"/>
    <w:link w:val="CommentTextChar"/>
    <w:uiPriority w:val="99"/>
    <w:rsid w:val="00302B0E"/>
    <w:rPr>
      <w:sz w:val="20"/>
      <w:szCs w:val="20"/>
    </w:rPr>
  </w:style>
  <w:style w:type="character" w:customStyle="1" w:styleId="CommentTextChar">
    <w:name w:val="Comment Text Char"/>
    <w:basedOn w:val="DefaultParagraphFont"/>
    <w:link w:val="CommentText"/>
    <w:uiPriority w:val="99"/>
    <w:rsid w:val="00302B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302B0E"/>
    <w:rPr>
      <w:b/>
      <w:bCs/>
    </w:rPr>
  </w:style>
  <w:style w:type="character" w:customStyle="1" w:styleId="CommentSubjectChar">
    <w:name w:val="Comment Subject Char"/>
    <w:basedOn w:val="CommentTextChar"/>
    <w:link w:val="CommentSubject"/>
    <w:uiPriority w:val="99"/>
    <w:semiHidden/>
    <w:rsid w:val="00302B0E"/>
    <w:rPr>
      <w:rFonts w:ascii="Times New Roman" w:eastAsia="Times New Roman" w:hAnsi="Times New Roman" w:cs="Times New Roman"/>
      <w:b/>
      <w:bCs/>
      <w:sz w:val="20"/>
      <w:szCs w:val="20"/>
    </w:rPr>
  </w:style>
  <w:style w:type="paragraph" w:customStyle="1" w:styleId="TableSmallBullets">
    <w:name w:val="Table Small Bullets"/>
    <w:basedOn w:val="Normal"/>
    <w:rsid w:val="00302B0E"/>
    <w:pPr>
      <w:numPr>
        <w:numId w:val="2"/>
      </w:numPr>
      <w:tabs>
        <w:tab w:val="left" w:pos="144"/>
      </w:tabs>
      <w:ind w:left="144" w:hanging="144"/>
    </w:pPr>
    <w:rPr>
      <w:rFonts w:ascii="Futura MdCn BT" w:hAnsi="Futura MdCn BT"/>
      <w:sz w:val="20"/>
    </w:rPr>
  </w:style>
  <w:style w:type="paragraph" w:styleId="BodyTextIndent2">
    <w:name w:val="Body Text Indent 2"/>
    <w:basedOn w:val="Normal"/>
    <w:link w:val="BodyTextIndent2Char"/>
    <w:rsid w:val="00302B0E"/>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rsid w:val="00302B0E"/>
    <w:rPr>
      <w:rFonts w:ascii="Times New Roman" w:eastAsia="Times New Roman" w:hAnsi="Times New Roman" w:cs="Times New Roman"/>
      <w:sz w:val="24"/>
      <w:szCs w:val="24"/>
    </w:rPr>
  </w:style>
  <w:style w:type="character" w:styleId="Emphasis">
    <w:name w:val="Emphasis"/>
    <w:uiPriority w:val="20"/>
    <w:qFormat/>
    <w:rsid w:val="00302B0E"/>
    <w:rPr>
      <w:i/>
      <w:iCs/>
    </w:rPr>
  </w:style>
  <w:style w:type="paragraph" w:customStyle="1" w:styleId="Heading4t">
    <w:name w:val="Heading 4t"/>
    <w:basedOn w:val="Heading3"/>
    <w:rsid w:val="00302B0E"/>
    <w:rPr>
      <w:sz w:val="24"/>
      <w:szCs w:val="24"/>
    </w:rPr>
  </w:style>
  <w:style w:type="paragraph" w:styleId="EndnoteText">
    <w:name w:val="endnote text"/>
    <w:basedOn w:val="Normal"/>
    <w:link w:val="EndnoteTextChar"/>
    <w:semiHidden/>
    <w:rsid w:val="00302B0E"/>
    <w:rPr>
      <w:sz w:val="20"/>
      <w:szCs w:val="20"/>
    </w:rPr>
  </w:style>
  <w:style w:type="character" w:customStyle="1" w:styleId="EndnoteTextChar">
    <w:name w:val="Endnote Text Char"/>
    <w:basedOn w:val="DefaultParagraphFont"/>
    <w:link w:val="EndnoteText"/>
    <w:semiHidden/>
    <w:rsid w:val="00302B0E"/>
    <w:rPr>
      <w:rFonts w:ascii="Times New Roman" w:eastAsia="Times New Roman" w:hAnsi="Times New Roman" w:cs="Times New Roman"/>
      <w:sz w:val="20"/>
      <w:szCs w:val="20"/>
    </w:rPr>
  </w:style>
  <w:style w:type="character" w:styleId="EndnoteReference">
    <w:name w:val="endnote reference"/>
    <w:semiHidden/>
    <w:rsid w:val="00302B0E"/>
    <w:rPr>
      <w:vertAlign w:val="superscript"/>
    </w:rPr>
  </w:style>
  <w:style w:type="character" w:styleId="FollowedHyperlink">
    <w:name w:val="FollowedHyperlink"/>
    <w:rsid w:val="00302B0E"/>
    <w:rPr>
      <w:color w:val="800080"/>
      <w:u w:val="single"/>
    </w:rPr>
  </w:style>
  <w:style w:type="character" w:customStyle="1" w:styleId="QuickFormat9">
    <w:name w:val="QuickFormat9"/>
    <w:rsid w:val="00302B0E"/>
    <w:rPr>
      <w:b/>
      <w:i/>
      <w:color w:val="000000"/>
      <w:sz w:val="24"/>
    </w:rPr>
  </w:style>
  <w:style w:type="character" w:styleId="Strong">
    <w:name w:val="Strong"/>
    <w:qFormat/>
    <w:rsid w:val="00302B0E"/>
    <w:rPr>
      <w:b/>
      <w:bCs/>
    </w:rPr>
  </w:style>
  <w:style w:type="paragraph" w:styleId="NormalWeb">
    <w:name w:val="Normal (Web)"/>
    <w:basedOn w:val="Normal"/>
    <w:rsid w:val="00302B0E"/>
    <w:pPr>
      <w:spacing w:before="100" w:beforeAutospacing="1" w:after="100" w:afterAutospacing="1"/>
    </w:pPr>
  </w:style>
  <w:style w:type="table" w:customStyle="1" w:styleId="TableList31">
    <w:name w:val="Table List 31"/>
    <w:basedOn w:val="TableNormal"/>
    <w:next w:val="TableList3"/>
    <w:uiPriority w:val="99"/>
    <w:rsid w:val="00302B0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HTMLCite">
    <w:name w:val="HTML Cite"/>
    <w:uiPriority w:val="99"/>
    <w:unhideWhenUsed/>
    <w:rsid w:val="00302B0E"/>
    <w:rPr>
      <w:i/>
      <w:iCs/>
    </w:rPr>
  </w:style>
  <w:style w:type="paragraph" w:styleId="Revision">
    <w:name w:val="Revision"/>
    <w:hidden/>
    <w:uiPriority w:val="99"/>
    <w:semiHidden/>
    <w:rsid w:val="00302B0E"/>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02B0E"/>
    <w:pPr>
      <w:spacing w:after="200"/>
    </w:pPr>
    <w:rPr>
      <w:rFonts w:ascii="Calibri" w:eastAsia="Calibri" w:hAnsi="Calibri"/>
      <w:i/>
      <w:iCs/>
      <w:color w:val="44546A"/>
      <w:sz w:val="18"/>
      <w:szCs w:val="18"/>
    </w:rPr>
  </w:style>
  <w:style w:type="paragraph" w:styleId="ListParagraph">
    <w:name w:val="List Paragraph"/>
    <w:basedOn w:val="Normal"/>
    <w:uiPriority w:val="34"/>
    <w:qFormat/>
    <w:rsid w:val="00302B0E"/>
    <w:pPr>
      <w:ind w:left="720"/>
    </w:pPr>
  </w:style>
  <w:style w:type="paragraph" w:styleId="BodyText">
    <w:name w:val="Body Text"/>
    <w:basedOn w:val="Normal"/>
    <w:link w:val="BodyTextChar"/>
    <w:uiPriority w:val="1"/>
    <w:qFormat/>
    <w:rsid w:val="00302B0E"/>
    <w:pPr>
      <w:spacing w:after="120"/>
    </w:pPr>
  </w:style>
  <w:style w:type="character" w:customStyle="1" w:styleId="BodyTextChar">
    <w:name w:val="Body Text Char"/>
    <w:basedOn w:val="DefaultParagraphFont"/>
    <w:link w:val="BodyText"/>
    <w:uiPriority w:val="1"/>
    <w:rsid w:val="00302B0E"/>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302B0E"/>
  </w:style>
  <w:style w:type="table" w:customStyle="1" w:styleId="TableGrid1">
    <w:name w:val="Table Grid1"/>
    <w:basedOn w:val="TableNormal"/>
    <w:next w:val="TableGrid"/>
    <w:uiPriority w:val="39"/>
    <w:rsid w:val="00302B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2B0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39"/>
    <w:rsid w:val="00302B0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2B0E"/>
    <w:pPr>
      <w:spacing w:after="0" w:line="240" w:lineRule="auto"/>
    </w:pPr>
    <w:rPr>
      <w:rFonts w:ascii="Calibri" w:eastAsia="Calibri" w:hAnsi="Calibri" w:cs="Times New Roman"/>
    </w:rPr>
  </w:style>
  <w:style w:type="table" w:customStyle="1" w:styleId="TableGrid3">
    <w:name w:val="Table Grid3"/>
    <w:basedOn w:val="TableNormal"/>
    <w:next w:val="TableGrid"/>
    <w:uiPriority w:val="39"/>
    <w:rsid w:val="00302B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
    <w:name w:val="Bullet list"/>
    <w:uiPriority w:val="99"/>
    <w:rsid w:val="00906A57"/>
    <w:pPr>
      <w:numPr>
        <w:numId w:val="43"/>
      </w:numPr>
    </w:pPr>
  </w:style>
  <w:style w:type="paragraph" w:customStyle="1" w:styleId="Style1">
    <w:name w:val="Style1"/>
    <w:basedOn w:val="Normal"/>
    <w:qFormat/>
    <w:rsid w:val="00906A57"/>
    <w:pPr>
      <w:numPr>
        <w:numId w:val="44"/>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096249">
      <w:bodyDiv w:val="1"/>
      <w:marLeft w:val="0"/>
      <w:marRight w:val="0"/>
      <w:marTop w:val="0"/>
      <w:marBottom w:val="0"/>
      <w:divBdr>
        <w:top w:val="none" w:sz="0" w:space="0" w:color="auto"/>
        <w:left w:val="none" w:sz="0" w:space="0" w:color="auto"/>
        <w:bottom w:val="none" w:sz="0" w:space="0" w:color="auto"/>
        <w:right w:val="none" w:sz="0" w:space="0" w:color="auto"/>
      </w:divBdr>
    </w:div>
    <w:div w:id="875509539">
      <w:bodyDiv w:val="1"/>
      <w:marLeft w:val="0"/>
      <w:marRight w:val="0"/>
      <w:marTop w:val="0"/>
      <w:marBottom w:val="0"/>
      <w:divBdr>
        <w:top w:val="none" w:sz="0" w:space="0" w:color="auto"/>
        <w:left w:val="none" w:sz="0" w:space="0" w:color="auto"/>
        <w:bottom w:val="none" w:sz="0" w:space="0" w:color="auto"/>
        <w:right w:val="none" w:sz="0" w:space="0" w:color="auto"/>
      </w:divBdr>
    </w:div>
    <w:div w:id="194314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0/DCB_h.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68206-CAF7-AB44-B111-A84AAE99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3811</Words>
  <Characters>21728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MedStar Health</Company>
  <LinksUpToDate>false</LinksUpToDate>
  <CharactersWithSpaces>25489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Mary A</dc:creator>
  <cp:keywords/>
  <dc:description/>
  <cp:lastModifiedBy>Brown, Erwin (AHRQ/CFACT)</cp:lastModifiedBy>
  <cp:revision>6</cp:revision>
  <dcterms:created xsi:type="dcterms:W3CDTF">2022-01-13T17:46:00Z</dcterms:created>
  <dcterms:modified xsi:type="dcterms:W3CDTF">2022-05-02T14:58:00Z</dcterms:modified>
</cp:coreProperties>
</file>