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5030" w:type="dxa"/>
        <w:tblInd w:w="175" w:type="dxa"/>
        <w:tblLayout w:type="fixed"/>
        <w:tblLook w:val="0020" w:firstRow="1" w:lastRow="0" w:firstColumn="0" w:lastColumn="0" w:noHBand="0" w:noVBand="0"/>
      </w:tblPr>
      <w:tblGrid>
        <w:gridCol w:w="5580"/>
        <w:gridCol w:w="5940"/>
        <w:gridCol w:w="1890"/>
        <w:gridCol w:w="1620"/>
      </w:tblGrid>
      <w:tr w:rsidRPr="00DF0DFD" w:rsidR="001511AD" w:rsidTr="00A37F5D">
        <w:trPr>
          <w:cnfStyle w:val="100000000000" w:firstRow="1" w:lastRow="0" w:firstColumn="0" w:lastColumn="0" w:oddVBand="0" w:evenVBand="0" w:oddHBand="0" w:evenHBand="0" w:firstRowFirstColumn="0" w:firstRowLastColumn="0" w:lastRowFirstColumn="0" w:lastRowLastColumn="0"/>
          <w:trHeight w:val="2611" w:hRule="exact"/>
          <w:tblHeader/>
        </w:trPr>
        <w:tc>
          <w:tcPr>
            <w:tcW w:w="5580" w:type="dxa"/>
          </w:tcPr>
          <w:p w:rsidRPr="00DF0DFD" w:rsidR="00CB1CE3" w:rsidP="00185C1B" w:rsidRDefault="005B13B9">
            <w:pPr>
              <w:spacing w:before="6" w:line="170" w:lineRule="exact"/>
              <w:rPr>
                <w:rFonts w:ascii="Times New Roman" w:hAnsi="Times New Roman" w:eastAsia="Times New Roman" w:cs="Times New Roman"/>
              </w:rPr>
            </w:pPr>
            <w:r w:rsidRPr="00DF0DFD">
              <w:rPr>
                <w:rFonts w:ascii="Times New Roman" w:hAnsi="Times New Roman" w:eastAsia="Times New Roman" w:cs="Times New Roman"/>
              </w:rPr>
              <w:t>Comment</w:t>
            </w:r>
          </w:p>
        </w:tc>
        <w:tc>
          <w:tcPr>
            <w:tcW w:w="5940" w:type="dxa"/>
          </w:tcPr>
          <w:p w:rsidRPr="00DF0DFD" w:rsidR="00CB1CE3" w:rsidP="00185C1B" w:rsidRDefault="005B13B9">
            <w:pPr>
              <w:rPr>
                <w:rFonts w:ascii="Times New Roman" w:hAnsi="Times New Roman" w:cs="Times New Roman"/>
              </w:rPr>
            </w:pPr>
            <w:r w:rsidRPr="00DF0DFD">
              <w:rPr>
                <w:rFonts w:ascii="Times New Roman" w:hAnsi="Times New Roman" w:cs="Times New Roman"/>
              </w:rPr>
              <w:t>CMS Response to Comment</w:t>
            </w:r>
          </w:p>
        </w:tc>
        <w:tc>
          <w:tcPr>
            <w:tcW w:w="1890" w:type="dxa"/>
          </w:tcPr>
          <w:p w:rsidRPr="00DF0DFD" w:rsidR="00CB1CE3" w:rsidP="00185C1B" w:rsidRDefault="00CB1CE3">
            <w:pPr>
              <w:ind w:left="244" w:right="177" w:hanging="12"/>
              <w:rPr>
                <w:rFonts w:ascii="Times New Roman" w:hAnsi="Times New Roman" w:eastAsia="Times New Roman" w:cs="Times New Roman"/>
              </w:rPr>
            </w:pPr>
            <w:r w:rsidRPr="00DF0DFD">
              <w:rPr>
                <w:rFonts w:ascii="Times New Roman" w:hAnsi="Times New Roman" w:eastAsia="Times New Roman" w:cs="Times New Roman"/>
                <w:bCs w:val="0"/>
              </w:rPr>
              <w:t>PACE Application Section</w:t>
            </w:r>
          </w:p>
        </w:tc>
        <w:tc>
          <w:tcPr>
            <w:tcW w:w="1620" w:type="dxa"/>
          </w:tcPr>
          <w:p w:rsidRPr="00DF0DFD" w:rsidR="00185C1B" w:rsidP="00185C1B" w:rsidRDefault="00CB1CE3">
            <w:pPr>
              <w:spacing w:line="272" w:lineRule="exact"/>
              <w:ind w:left="102" w:right="-20"/>
              <w:rPr>
                <w:rFonts w:ascii="Times New Roman" w:hAnsi="Times New Roman" w:eastAsia="Times New Roman" w:cs="Times New Roman"/>
                <w:bCs w:val="0"/>
                <w:spacing w:val="-1"/>
              </w:rPr>
            </w:pPr>
            <w:r w:rsidRPr="00DF0DFD">
              <w:rPr>
                <w:rFonts w:ascii="Times New Roman" w:hAnsi="Times New Roman" w:eastAsia="Times New Roman" w:cs="Times New Roman"/>
                <w:bCs w:val="0"/>
                <w:spacing w:val="1"/>
              </w:rPr>
              <w:t>L</w:t>
            </w:r>
            <w:r w:rsidRPr="00DF0DFD">
              <w:rPr>
                <w:rFonts w:ascii="Times New Roman" w:hAnsi="Times New Roman" w:eastAsia="Times New Roman" w:cs="Times New Roman"/>
                <w:bCs w:val="0"/>
                <w:spacing w:val="-1"/>
              </w:rPr>
              <w:t>e</w:t>
            </w:r>
            <w:r w:rsidRPr="00DF0DFD">
              <w:rPr>
                <w:rFonts w:ascii="Times New Roman" w:hAnsi="Times New Roman" w:eastAsia="Times New Roman" w:cs="Times New Roman"/>
                <w:bCs w:val="0"/>
              </w:rPr>
              <w:t>v</w:t>
            </w:r>
            <w:r w:rsidRPr="00DF0DFD">
              <w:rPr>
                <w:rFonts w:ascii="Times New Roman" w:hAnsi="Times New Roman" w:eastAsia="Times New Roman" w:cs="Times New Roman"/>
                <w:bCs w:val="0"/>
                <w:spacing w:val="-1"/>
              </w:rPr>
              <w:t>e</w:t>
            </w:r>
            <w:r w:rsidRPr="00DF0DFD">
              <w:rPr>
                <w:rFonts w:ascii="Times New Roman" w:hAnsi="Times New Roman" w:eastAsia="Times New Roman" w:cs="Times New Roman"/>
                <w:bCs w:val="0"/>
              </w:rPr>
              <w:t>l of</w:t>
            </w:r>
            <w:r w:rsidRPr="00DF0DFD" w:rsidR="001511AD">
              <w:rPr>
                <w:rFonts w:ascii="Times New Roman" w:hAnsi="Times New Roman" w:eastAsia="Times New Roman" w:cs="Times New Roman"/>
              </w:rPr>
              <w:t xml:space="preserve"> </w:t>
            </w:r>
            <w:r w:rsidRPr="00DF0DFD">
              <w:rPr>
                <w:rFonts w:ascii="Times New Roman" w:hAnsi="Times New Roman" w:eastAsia="Times New Roman" w:cs="Times New Roman"/>
                <w:bCs w:val="0"/>
              </w:rPr>
              <w:t>A</w:t>
            </w:r>
            <w:r w:rsidRPr="00DF0DFD">
              <w:rPr>
                <w:rFonts w:ascii="Times New Roman" w:hAnsi="Times New Roman" w:eastAsia="Times New Roman" w:cs="Times New Roman"/>
                <w:bCs w:val="0"/>
                <w:spacing w:val="1"/>
              </w:rPr>
              <w:t>pp</w:t>
            </w:r>
            <w:r w:rsidRPr="00DF0DFD">
              <w:rPr>
                <w:rFonts w:ascii="Times New Roman" w:hAnsi="Times New Roman" w:eastAsia="Times New Roman" w:cs="Times New Roman"/>
                <w:bCs w:val="0"/>
              </w:rPr>
              <w:t>li</w:t>
            </w:r>
            <w:r w:rsidRPr="00DF0DFD">
              <w:rPr>
                <w:rFonts w:ascii="Times New Roman" w:hAnsi="Times New Roman" w:eastAsia="Times New Roman" w:cs="Times New Roman"/>
                <w:bCs w:val="0"/>
                <w:spacing w:val="-1"/>
              </w:rPr>
              <w:t>c</w:t>
            </w:r>
            <w:r w:rsidRPr="00DF0DFD">
              <w:rPr>
                <w:rFonts w:ascii="Times New Roman" w:hAnsi="Times New Roman" w:eastAsia="Times New Roman" w:cs="Times New Roman"/>
                <w:bCs w:val="0"/>
              </w:rPr>
              <w:t>a</w:t>
            </w:r>
            <w:r w:rsidRPr="00DF0DFD">
              <w:rPr>
                <w:rFonts w:ascii="Times New Roman" w:hAnsi="Times New Roman" w:eastAsia="Times New Roman" w:cs="Times New Roman"/>
                <w:bCs w:val="0"/>
                <w:spacing w:val="1"/>
              </w:rPr>
              <w:t>n</w:t>
            </w:r>
            <w:r w:rsidRPr="00DF0DFD" w:rsidR="001511AD">
              <w:rPr>
                <w:rFonts w:ascii="Times New Roman" w:hAnsi="Times New Roman" w:eastAsia="Times New Roman" w:cs="Times New Roman"/>
                <w:spacing w:val="1"/>
              </w:rPr>
              <w:t>t</w:t>
            </w:r>
            <w:r w:rsidRPr="00DF0DFD" w:rsidR="00185C1B">
              <w:rPr>
                <w:rFonts w:ascii="Times New Roman" w:hAnsi="Times New Roman" w:eastAsia="Times New Roman" w:cs="Times New Roman"/>
              </w:rPr>
              <w:t xml:space="preserve"> </w:t>
            </w:r>
            <w:r w:rsidRPr="00DF0DFD">
              <w:rPr>
                <w:rFonts w:ascii="Times New Roman" w:hAnsi="Times New Roman" w:eastAsia="Times New Roman" w:cs="Times New Roman"/>
                <w:bCs w:val="0"/>
                <w:spacing w:val="1"/>
              </w:rPr>
              <w:t>Bu</w:t>
            </w:r>
            <w:r w:rsidRPr="00DF0DFD">
              <w:rPr>
                <w:rFonts w:ascii="Times New Roman" w:hAnsi="Times New Roman" w:eastAsia="Times New Roman" w:cs="Times New Roman"/>
                <w:bCs w:val="0"/>
                <w:spacing w:val="-1"/>
              </w:rPr>
              <w:t>r</w:t>
            </w:r>
            <w:r w:rsidRPr="00DF0DFD">
              <w:rPr>
                <w:rFonts w:ascii="Times New Roman" w:hAnsi="Times New Roman" w:eastAsia="Times New Roman" w:cs="Times New Roman"/>
                <w:bCs w:val="0"/>
                <w:spacing w:val="1"/>
              </w:rPr>
              <w:t>d</w:t>
            </w:r>
            <w:r w:rsidRPr="00DF0DFD">
              <w:rPr>
                <w:rFonts w:ascii="Times New Roman" w:hAnsi="Times New Roman" w:eastAsia="Times New Roman" w:cs="Times New Roman"/>
                <w:bCs w:val="0"/>
                <w:spacing w:val="-1"/>
              </w:rPr>
              <w:t>en</w:t>
            </w:r>
          </w:p>
          <w:p w:rsidRPr="00DF0DFD" w:rsidR="00185C1B" w:rsidP="00185C1B" w:rsidRDefault="00CB1CE3">
            <w:pPr>
              <w:spacing w:line="272" w:lineRule="exact"/>
              <w:ind w:left="102" w:right="-20"/>
              <w:rPr>
                <w:rFonts w:ascii="Times New Roman" w:hAnsi="Times New Roman" w:eastAsia="Times New Roman" w:cs="Times New Roman"/>
                <w:i/>
              </w:rPr>
            </w:pPr>
            <w:r w:rsidRPr="00DF0DFD">
              <w:rPr>
                <w:rFonts w:ascii="Times New Roman" w:hAnsi="Times New Roman" w:eastAsia="Times New Roman" w:cs="Times New Roman"/>
                <w:i/>
              </w:rPr>
              <w:t>I</w:t>
            </w:r>
            <w:r w:rsidRPr="00DF0DFD">
              <w:rPr>
                <w:rFonts w:ascii="Times New Roman" w:hAnsi="Times New Roman" w:eastAsia="Times New Roman" w:cs="Times New Roman"/>
                <w:i/>
                <w:spacing w:val="-1"/>
              </w:rPr>
              <w:t xml:space="preserve"> </w:t>
            </w:r>
            <w:r w:rsidRPr="00DF0DFD">
              <w:rPr>
                <w:rFonts w:ascii="Times New Roman" w:hAnsi="Times New Roman" w:eastAsia="Times New Roman" w:cs="Times New Roman"/>
                <w:i/>
              </w:rPr>
              <w:t xml:space="preserve">= </w:t>
            </w:r>
            <w:r w:rsidRPr="00DF0DFD">
              <w:rPr>
                <w:rFonts w:ascii="Times New Roman" w:hAnsi="Times New Roman" w:eastAsia="Times New Roman" w:cs="Times New Roman"/>
                <w:i/>
                <w:spacing w:val="-1"/>
              </w:rPr>
              <w:t>I</w:t>
            </w:r>
            <w:r w:rsidRPr="00DF0DFD">
              <w:rPr>
                <w:rFonts w:ascii="Times New Roman" w:hAnsi="Times New Roman" w:eastAsia="Times New Roman" w:cs="Times New Roman"/>
                <w:i/>
              </w:rPr>
              <w:t>n</w:t>
            </w:r>
            <w:r w:rsidRPr="00DF0DFD">
              <w:rPr>
                <w:rFonts w:ascii="Times New Roman" w:hAnsi="Times New Roman" w:eastAsia="Times New Roman" w:cs="Times New Roman"/>
                <w:i/>
                <w:spacing w:val="-1"/>
              </w:rPr>
              <w:t>c</w:t>
            </w:r>
            <w:r w:rsidRPr="00DF0DFD">
              <w:rPr>
                <w:rFonts w:ascii="Times New Roman" w:hAnsi="Times New Roman" w:eastAsia="Times New Roman" w:cs="Times New Roman"/>
                <w:i/>
              </w:rPr>
              <w:t>r</w:t>
            </w:r>
            <w:r w:rsidRPr="00DF0DFD">
              <w:rPr>
                <w:rFonts w:ascii="Times New Roman" w:hAnsi="Times New Roman" w:eastAsia="Times New Roman" w:cs="Times New Roman"/>
                <w:i/>
                <w:spacing w:val="-1"/>
              </w:rPr>
              <w:t>e</w:t>
            </w:r>
            <w:r w:rsidRPr="00DF0DFD">
              <w:rPr>
                <w:rFonts w:ascii="Times New Roman" w:hAnsi="Times New Roman" w:eastAsia="Times New Roman" w:cs="Times New Roman"/>
                <w:i/>
              </w:rPr>
              <w:t>as</w:t>
            </w:r>
            <w:r w:rsidRPr="00DF0DFD">
              <w:rPr>
                <w:rFonts w:ascii="Times New Roman" w:hAnsi="Times New Roman" w:eastAsia="Times New Roman" w:cs="Times New Roman"/>
                <w:i/>
                <w:spacing w:val="-1"/>
              </w:rPr>
              <w:t xml:space="preserve">es </w:t>
            </w:r>
            <w:r w:rsidRPr="00DF0DFD">
              <w:rPr>
                <w:rFonts w:ascii="Times New Roman" w:hAnsi="Times New Roman" w:eastAsia="Times New Roman" w:cs="Times New Roman"/>
                <w:i/>
              </w:rPr>
              <w:t>burd</w:t>
            </w:r>
            <w:r w:rsidRPr="00DF0DFD">
              <w:rPr>
                <w:rFonts w:ascii="Times New Roman" w:hAnsi="Times New Roman" w:eastAsia="Times New Roman" w:cs="Times New Roman"/>
                <w:i/>
                <w:spacing w:val="-1"/>
              </w:rPr>
              <w:t>e</w:t>
            </w:r>
            <w:r w:rsidRPr="00DF0DFD">
              <w:rPr>
                <w:rFonts w:ascii="Times New Roman" w:hAnsi="Times New Roman" w:eastAsia="Times New Roman" w:cs="Times New Roman"/>
                <w:i/>
              </w:rPr>
              <w:t>n;</w:t>
            </w:r>
          </w:p>
          <w:p w:rsidRPr="00DF0DFD" w:rsidR="00185C1B" w:rsidP="00185C1B" w:rsidRDefault="00CB1CE3">
            <w:pPr>
              <w:spacing w:line="272" w:lineRule="exact"/>
              <w:ind w:left="102" w:right="-20"/>
              <w:rPr>
                <w:rFonts w:ascii="Times New Roman" w:hAnsi="Times New Roman" w:eastAsia="Times New Roman" w:cs="Times New Roman"/>
                <w:i/>
              </w:rPr>
            </w:pPr>
            <w:r w:rsidRPr="00DF0DFD">
              <w:rPr>
                <w:rFonts w:ascii="Times New Roman" w:hAnsi="Times New Roman" w:eastAsia="Times New Roman" w:cs="Times New Roman"/>
                <w:i/>
              </w:rPr>
              <w:t>D – D</w:t>
            </w:r>
            <w:r w:rsidRPr="00DF0DFD">
              <w:rPr>
                <w:rFonts w:ascii="Times New Roman" w:hAnsi="Times New Roman" w:eastAsia="Times New Roman" w:cs="Times New Roman"/>
                <w:i/>
                <w:spacing w:val="-1"/>
              </w:rPr>
              <w:t>ec</w:t>
            </w:r>
            <w:r w:rsidRPr="00DF0DFD">
              <w:rPr>
                <w:rFonts w:ascii="Times New Roman" w:hAnsi="Times New Roman" w:eastAsia="Times New Roman" w:cs="Times New Roman"/>
                <w:i/>
              </w:rPr>
              <w:t>r</w:t>
            </w:r>
            <w:r w:rsidRPr="00DF0DFD">
              <w:rPr>
                <w:rFonts w:ascii="Times New Roman" w:hAnsi="Times New Roman" w:eastAsia="Times New Roman" w:cs="Times New Roman"/>
                <w:i/>
                <w:spacing w:val="-1"/>
              </w:rPr>
              <w:t>e</w:t>
            </w:r>
            <w:r w:rsidRPr="00DF0DFD">
              <w:rPr>
                <w:rFonts w:ascii="Times New Roman" w:hAnsi="Times New Roman" w:eastAsia="Times New Roman" w:cs="Times New Roman"/>
                <w:i/>
              </w:rPr>
              <w:t>a</w:t>
            </w:r>
            <w:r w:rsidRPr="00DF0DFD">
              <w:rPr>
                <w:rFonts w:ascii="Times New Roman" w:hAnsi="Times New Roman" w:eastAsia="Times New Roman" w:cs="Times New Roman"/>
                <w:i/>
                <w:spacing w:val="3"/>
              </w:rPr>
              <w:t>s</w:t>
            </w:r>
            <w:r w:rsidRPr="00DF0DFD">
              <w:rPr>
                <w:rFonts w:ascii="Times New Roman" w:hAnsi="Times New Roman" w:eastAsia="Times New Roman" w:cs="Times New Roman"/>
                <w:i/>
                <w:spacing w:val="-1"/>
              </w:rPr>
              <w:t xml:space="preserve">es </w:t>
            </w:r>
            <w:r w:rsidRPr="00DF0DFD">
              <w:rPr>
                <w:rFonts w:ascii="Times New Roman" w:hAnsi="Times New Roman" w:eastAsia="Times New Roman" w:cs="Times New Roman"/>
                <w:i/>
              </w:rPr>
              <w:t>burd</w:t>
            </w:r>
            <w:r w:rsidRPr="00DF0DFD">
              <w:rPr>
                <w:rFonts w:ascii="Times New Roman" w:hAnsi="Times New Roman" w:eastAsia="Times New Roman" w:cs="Times New Roman"/>
                <w:i/>
                <w:spacing w:val="-1"/>
              </w:rPr>
              <w:t>e</w:t>
            </w:r>
            <w:r w:rsidRPr="00DF0DFD">
              <w:rPr>
                <w:rFonts w:ascii="Times New Roman" w:hAnsi="Times New Roman" w:eastAsia="Times New Roman" w:cs="Times New Roman"/>
                <w:i/>
              </w:rPr>
              <w:t>n;</w:t>
            </w:r>
          </w:p>
          <w:p w:rsidRPr="00DF0DFD" w:rsidR="00CB1CE3" w:rsidP="00185C1B" w:rsidRDefault="00CB1CE3">
            <w:pPr>
              <w:spacing w:line="272" w:lineRule="exact"/>
              <w:ind w:left="102" w:right="-20"/>
              <w:rPr>
                <w:rFonts w:ascii="Times New Roman" w:hAnsi="Times New Roman" w:eastAsia="Times New Roman" w:cs="Times New Roman"/>
              </w:rPr>
            </w:pPr>
            <w:r w:rsidRPr="00DF0DFD">
              <w:rPr>
                <w:rFonts w:ascii="Times New Roman" w:hAnsi="Times New Roman" w:eastAsia="Times New Roman" w:cs="Times New Roman"/>
                <w:i/>
              </w:rPr>
              <w:t>N</w:t>
            </w:r>
            <w:r w:rsidRPr="00DF0DFD">
              <w:rPr>
                <w:rFonts w:ascii="Times New Roman" w:hAnsi="Times New Roman" w:eastAsia="Times New Roman" w:cs="Times New Roman"/>
                <w:i/>
                <w:spacing w:val="1"/>
              </w:rPr>
              <w:t xml:space="preserve"> </w:t>
            </w:r>
            <w:r w:rsidRPr="00DF0DFD">
              <w:rPr>
                <w:rFonts w:ascii="Times New Roman" w:hAnsi="Times New Roman" w:eastAsia="Times New Roman" w:cs="Times New Roman"/>
                <w:i/>
              </w:rPr>
              <w:t xml:space="preserve">– </w:t>
            </w:r>
            <w:r w:rsidRPr="00DF0DFD">
              <w:rPr>
                <w:rFonts w:ascii="Times New Roman" w:hAnsi="Times New Roman" w:eastAsia="Times New Roman" w:cs="Times New Roman"/>
                <w:i/>
                <w:spacing w:val="1"/>
              </w:rPr>
              <w:t>N</w:t>
            </w:r>
            <w:r w:rsidRPr="00DF0DFD">
              <w:rPr>
                <w:rFonts w:ascii="Times New Roman" w:hAnsi="Times New Roman" w:eastAsia="Times New Roman" w:cs="Times New Roman"/>
                <w:i/>
              </w:rPr>
              <w:t>o</w:t>
            </w:r>
            <w:r w:rsidRPr="00DF0DFD" w:rsidR="00185C1B">
              <w:rPr>
                <w:rFonts w:ascii="Times New Roman" w:hAnsi="Times New Roman" w:eastAsia="Times New Roman" w:cs="Times New Roman"/>
              </w:rPr>
              <w:t xml:space="preserve"> </w:t>
            </w:r>
            <w:r w:rsidRPr="00DF0DFD">
              <w:rPr>
                <w:rFonts w:ascii="Times New Roman" w:hAnsi="Times New Roman" w:eastAsia="Times New Roman" w:cs="Times New Roman"/>
                <w:i/>
                <w:spacing w:val="1"/>
              </w:rPr>
              <w:t>C</w:t>
            </w:r>
            <w:r w:rsidRPr="00DF0DFD">
              <w:rPr>
                <w:rFonts w:ascii="Times New Roman" w:hAnsi="Times New Roman" w:eastAsia="Times New Roman" w:cs="Times New Roman"/>
                <w:i/>
              </w:rPr>
              <w:t>hange</w:t>
            </w:r>
          </w:p>
        </w:tc>
      </w:tr>
      <w:tr w:rsidRPr="00DF0DFD" w:rsidR="00196663" w:rsidTr="00DF0DFD">
        <w:trPr>
          <w:trHeight w:val="1821" w:hRule="exact"/>
        </w:trPr>
        <w:tc>
          <w:tcPr>
            <w:tcW w:w="5580" w:type="dxa"/>
          </w:tcPr>
          <w:p w:rsidRPr="00DF0DFD" w:rsidR="00196663" w:rsidP="005F52CC" w:rsidRDefault="005F52CC">
            <w:pPr>
              <w:pStyle w:val="ListParagraph"/>
              <w:widowControl/>
              <w:numPr>
                <w:ilvl w:val="0"/>
                <w:numId w:val="20"/>
              </w:numPr>
              <w:autoSpaceDE w:val="0"/>
              <w:autoSpaceDN w:val="0"/>
              <w:adjustRightInd w:val="0"/>
              <w:ind w:left="250" w:right="-20"/>
              <w:rPr>
                <w:rFonts w:ascii="Times New Roman" w:hAnsi="Times New Roman" w:cs="Times New Roman"/>
                <w:sz w:val="24"/>
                <w:szCs w:val="24"/>
              </w:rPr>
            </w:pPr>
            <w:r w:rsidRPr="00DF0DFD">
              <w:rPr>
                <w:rFonts w:ascii="Times New Roman" w:hAnsi="Times New Roman" w:cs="Times New Roman"/>
                <w:sz w:val="24"/>
                <w:szCs w:val="24"/>
              </w:rPr>
              <w:t xml:space="preserve">The </w:t>
            </w:r>
            <w:r w:rsidR="007F38CC">
              <w:rPr>
                <w:rFonts w:ascii="Times New Roman" w:hAnsi="Times New Roman" w:cs="Times New Roman"/>
                <w:sz w:val="24"/>
                <w:szCs w:val="24"/>
              </w:rPr>
              <w:t>commenter</w:t>
            </w:r>
            <w:r w:rsidRPr="00DF0DFD">
              <w:rPr>
                <w:rFonts w:ascii="Times New Roman" w:hAnsi="Times New Roman" w:cs="Times New Roman"/>
                <w:sz w:val="24"/>
                <w:szCs w:val="24"/>
              </w:rPr>
              <w:t xml:space="preserve"> recommends </w:t>
            </w:r>
            <w:bookmarkStart w:name="_GoBack" w:id="0"/>
            <w:bookmarkEnd w:id="0"/>
            <w:r w:rsidRPr="00DF0DFD">
              <w:rPr>
                <w:rFonts w:ascii="Times New Roman" w:hAnsi="Times New Roman" w:cs="Times New Roman"/>
                <w:sz w:val="24"/>
                <w:szCs w:val="24"/>
              </w:rPr>
              <w:t>that CMS a</w:t>
            </w:r>
            <w:r w:rsidRPr="00DF0DFD">
              <w:rPr>
                <w:rFonts w:ascii="Times New Roman" w:hAnsi="Times New Roman" w:cs="Times New Roman"/>
                <w:bCs/>
                <w:iCs/>
                <w:sz w:val="24"/>
                <w:szCs w:val="24"/>
              </w:rPr>
              <w:t xml:space="preserve">llow an active PACE organization to have more than one Service Area Expansion (SAE) application under CMS review at a time. </w:t>
            </w:r>
            <w:r w:rsidRPr="00DF0DFD">
              <w:rPr>
                <w:rFonts w:ascii="Times New Roman" w:hAnsi="Times New Roman" w:cs="Times New Roman"/>
                <w:sz w:val="24"/>
                <w:szCs w:val="24"/>
              </w:rPr>
              <w:t xml:space="preserve">(CMS does not allow PACE organizations to submit an expansion application if one is currently pending.)  </w:t>
            </w:r>
            <w:r w:rsidRPr="00DF0DFD">
              <w:rPr>
                <w:rFonts w:ascii="Times New Roman" w:hAnsi="Times New Roman" w:cs="Times New Roman"/>
                <w:bCs/>
                <w:iCs/>
                <w:sz w:val="24"/>
                <w:szCs w:val="24"/>
              </w:rPr>
              <w:t xml:space="preserve"> </w:t>
            </w:r>
          </w:p>
        </w:tc>
        <w:tc>
          <w:tcPr>
            <w:tcW w:w="5940" w:type="dxa"/>
          </w:tcPr>
          <w:p w:rsidRPr="00DF0DFD" w:rsidR="00196663" w:rsidP="005C2D2D" w:rsidRDefault="005F52CC">
            <w:pPr>
              <w:pStyle w:val="Heading3"/>
              <w:spacing w:before="0"/>
              <w:outlineLvl w:val="2"/>
              <w:rPr>
                <w:rFonts w:ascii="Times New Roman" w:hAnsi="Times New Roman" w:eastAsia="Times New Roman" w:cs="Times New Roman"/>
                <w:color w:val="auto"/>
                <w:sz w:val="24"/>
                <w:szCs w:val="24"/>
              </w:rPr>
            </w:pPr>
            <w:r w:rsidRPr="00DF0DFD">
              <w:rPr>
                <w:rFonts w:ascii="Times New Roman" w:hAnsi="Times New Roman" w:eastAsia="Times New Roman" w:cs="Times New Roman"/>
                <w:color w:val="auto"/>
                <w:sz w:val="24"/>
                <w:szCs w:val="24"/>
              </w:rPr>
              <w:t>This recommendation is outside the scope of this information collection.  However, we note that this recommendation has been made a number of times and CMS has addressed it through other channels.</w:t>
            </w:r>
          </w:p>
        </w:tc>
        <w:tc>
          <w:tcPr>
            <w:tcW w:w="1890" w:type="dxa"/>
          </w:tcPr>
          <w:p w:rsidRPr="00DF0DFD" w:rsidR="00196663" w:rsidP="00D173D1" w:rsidRDefault="005F52CC">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N/A</w:t>
            </w:r>
          </w:p>
        </w:tc>
        <w:tc>
          <w:tcPr>
            <w:tcW w:w="1620" w:type="dxa"/>
          </w:tcPr>
          <w:p w:rsidRPr="00DF0DFD" w:rsidR="00196663" w:rsidP="005B13B9" w:rsidRDefault="005F52CC">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p>
        </w:tc>
      </w:tr>
      <w:tr w:rsidRPr="00DF0DFD" w:rsidR="00F1253A" w:rsidTr="0043246B">
        <w:trPr>
          <w:trHeight w:val="6480" w:hRule="exact"/>
        </w:trPr>
        <w:tc>
          <w:tcPr>
            <w:tcW w:w="5580" w:type="dxa"/>
          </w:tcPr>
          <w:p w:rsidRPr="00DF0DFD" w:rsidR="00F1253A" w:rsidP="00D946E4" w:rsidRDefault="00D946E4">
            <w:pPr>
              <w:pStyle w:val="Default"/>
              <w:ind w:left="162" w:hanging="162"/>
              <w:rPr>
                <w:rFonts w:ascii="Times New Roman" w:hAnsi="Times New Roman" w:cs="Times New Roman"/>
              </w:rPr>
            </w:pPr>
            <w:r w:rsidRPr="00DF0DFD">
              <w:rPr>
                <w:rFonts w:ascii="Times New Roman" w:hAnsi="Times New Roman" w:cs="Times New Roman"/>
              </w:rPr>
              <w:lastRenderedPageBreak/>
              <w:t>2</w:t>
            </w:r>
            <w:r w:rsidRPr="00DF0DFD" w:rsidR="00F1253A">
              <w:rPr>
                <w:rFonts w:ascii="Times New Roman" w:hAnsi="Times New Roman" w:cs="Times New Roman"/>
              </w:rPr>
              <w:t xml:space="preserve">. In the absence of being able to have more than one expansion application under review concurrently, </w:t>
            </w:r>
            <w:r w:rsidRPr="00DF0DFD">
              <w:rPr>
                <w:rFonts w:ascii="Times New Roman" w:hAnsi="Times New Roman" w:cs="Times New Roman"/>
              </w:rPr>
              <w:t xml:space="preserve">the </w:t>
            </w:r>
            <w:r w:rsidRPr="00DF0DFD" w:rsidR="00F1253A">
              <w:rPr>
                <w:rFonts w:ascii="Times New Roman" w:hAnsi="Times New Roman" w:cs="Times New Roman"/>
              </w:rPr>
              <w:t>commenter recommend</w:t>
            </w:r>
            <w:r w:rsidRPr="00DF0DFD">
              <w:rPr>
                <w:rFonts w:ascii="Times New Roman" w:hAnsi="Times New Roman" w:cs="Times New Roman"/>
              </w:rPr>
              <w:t>s</w:t>
            </w:r>
            <w:r w:rsidRPr="00DF0DFD" w:rsidR="00F1253A">
              <w:rPr>
                <w:rFonts w:ascii="Times New Roman" w:hAnsi="Times New Roman" w:cs="Times New Roman"/>
              </w:rPr>
              <w:t xml:space="preserve"> that CM allow a </w:t>
            </w:r>
            <w:r w:rsidRPr="00DF0DFD" w:rsidR="002D0139">
              <w:rPr>
                <w:rFonts w:ascii="Times New Roman" w:hAnsi="Times New Roman" w:cs="Times New Roman"/>
              </w:rPr>
              <w:t>PACE organization (P</w:t>
            </w:r>
            <w:r w:rsidRPr="00DF0DFD" w:rsidR="00F1253A">
              <w:rPr>
                <w:rFonts w:ascii="Times New Roman" w:hAnsi="Times New Roman" w:cs="Times New Roman"/>
              </w:rPr>
              <w:t>O</w:t>
            </w:r>
            <w:r w:rsidRPr="00DF0DFD" w:rsidR="002D0139">
              <w:rPr>
                <w:rFonts w:ascii="Times New Roman" w:hAnsi="Times New Roman" w:cs="Times New Roman"/>
              </w:rPr>
              <w:t>)</w:t>
            </w:r>
            <w:r w:rsidRPr="00DF0DFD" w:rsidR="00F1253A">
              <w:rPr>
                <w:rFonts w:ascii="Times New Roman" w:hAnsi="Times New Roman" w:cs="Times New Roman"/>
              </w:rPr>
              <w:t xml:space="preserve"> seeking to expand its geographic service area when another application is pending to opt to establish a new contract if such application has the support of its SAA.</w:t>
            </w:r>
          </w:p>
        </w:tc>
        <w:tc>
          <w:tcPr>
            <w:tcW w:w="5940" w:type="dxa"/>
          </w:tcPr>
          <w:p w:rsidRPr="00DF0DFD" w:rsidR="00F1253A" w:rsidP="00F1253A" w:rsidRDefault="00F1253A">
            <w:pPr>
              <w:pStyle w:val="Heading3"/>
              <w:spacing w:before="0"/>
              <w:outlineLvl w:val="2"/>
              <w:rPr>
                <w:rFonts w:ascii="Times New Roman" w:hAnsi="Times New Roman" w:eastAsia="Times New Roman" w:cs="Times New Roman"/>
                <w:color w:val="auto"/>
                <w:sz w:val="24"/>
                <w:szCs w:val="24"/>
              </w:rPr>
            </w:pPr>
            <w:r w:rsidRPr="00DF0DFD">
              <w:rPr>
                <w:rFonts w:ascii="Times New Roman" w:hAnsi="Times New Roman" w:cs="Times New Roman"/>
                <w:color w:val="auto"/>
                <w:sz w:val="24"/>
                <w:szCs w:val="24"/>
              </w:rPr>
              <w:t>The suggestion is outside the scope of this information collection</w:t>
            </w:r>
            <w:r w:rsidRPr="00DF0DFD" w:rsidR="00D946E4">
              <w:rPr>
                <w:rFonts w:ascii="Times New Roman" w:hAnsi="Times New Roman" w:cs="Times New Roman"/>
                <w:color w:val="auto"/>
                <w:sz w:val="24"/>
                <w:szCs w:val="24"/>
              </w:rPr>
              <w:t xml:space="preserve"> but </w:t>
            </w:r>
            <w:r w:rsidRPr="00DF0DFD" w:rsidR="00BA37D4">
              <w:rPr>
                <w:rFonts w:ascii="Times New Roman" w:hAnsi="Times New Roman" w:cs="Times New Roman"/>
                <w:color w:val="auto"/>
                <w:sz w:val="24"/>
                <w:szCs w:val="24"/>
              </w:rPr>
              <w:t xml:space="preserve">was </w:t>
            </w:r>
            <w:r w:rsidRPr="00DF0DFD" w:rsidR="00D946E4">
              <w:rPr>
                <w:rFonts w:ascii="Times New Roman" w:hAnsi="Times New Roman" w:cs="Times New Roman"/>
                <w:color w:val="auto"/>
                <w:sz w:val="24"/>
                <w:szCs w:val="24"/>
              </w:rPr>
              <w:t xml:space="preserve">addressed as part of a prior information collection. </w:t>
            </w:r>
            <w:r w:rsidRPr="00DF0DFD" w:rsidR="00395FA7">
              <w:rPr>
                <w:rFonts w:ascii="Times New Roman" w:hAnsi="Times New Roman" w:cs="Times New Roman"/>
                <w:color w:val="auto"/>
                <w:sz w:val="24"/>
                <w:szCs w:val="24"/>
              </w:rPr>
              <w:t>While we are aware of certain entities establishing unique legal entities for purposes of submitting separate applications, a</w:t>
            </w:r>
            <w:r w:rsidRPr="00DF0DFD" w:rsidR="00D946E4">
              <w:rPr>
                <w:rFonts w:ascii="Times New Roman" w:hAnsi="Times New Roman" w:cs="Times New Roman"/>
                <w:color w:val="auto"/>
                <w:sz w:val="24"/>
                <w:szCs w:val="24"/>
              </w:rPr>
              <w:t>s we have indicated previously,</w:t>
            </w:r>
            <w:r w:rsidRPr="00DF0DFD">
              <w:rPr>
                <w:rFonts w:ascii="Times New Roman" w:hAnsi="Times New Roman" w:cs="Times New Roman"/>
                <w:color w:val="auto"/>
                <w:sz w:val="24"/>
                <w:szCs w:val="24"/>
              </w:rPr>
              <w:t xml:space="preserve"> a single, PACE organization-specific program agreement, which serves as the binding contract between CMS, the PO and the State Administering Agency</w:t>
            </w:r>
            <w:r w:rsidR="00FB6364">
              <w:rPr>
                <w:rFonts w:ascii="Times New Roman" w:hAnsi="Times New Roman" w:cs="Times New Roman"/>
                <w:color w:val="auto"/>
                <w:sz w:val="24"/>
                <w:szCs w:val="24"/>
              </w:rPr>
              <w:t xml:space="preserve"> (SAA)</w:t>
            </w:r>
            <w:r w:rsidRPr="00DF0DFD">
              <w:rPr>
                <w:rFonts w:ascii="Times New Roman" w:hAnsi="Times New Roman" w:cs="Times New Roman"/>
                <w:color w:val="auto"/>
                <w:sz w:val="24"/>
                <w:szCs w:val="24"/>
              </w:rPr>
              <w:t xml:space="preserve">, provides the essential basis for the operations of </w:t>
            </w:r>
            <w:r w:rsidRPr="00DF0DFD" w:rsidR="002D0139">
              <w:rPr>
                <w:rFonts w:ascii="Times New Roman" w:hAnsi="Times New Roman" w:cs="Times New Roman"/>
                <w:color w:val="auto"/>
                <w:sz w:val="24"/>
                <w:szCs w:val="24"/>
              </w:rPr>
              <w:t>a PO</w:t>
            </w:r>
            <w:r w:rsidRPr="00DF0DFD">
              <w:rPr>
                <w:rFonts w:ascii="Times New Roman" w:hAnsi="Times New Roman" w:cs="Times New Roman"/>
                <w:color w:val="auto"/>
                <w:sz w:val="24"/>
                <w:szCs w:val="24"/>
              </w:rPr>
              <w:t>.</w:t>
            </w:r>
            <w:r w:rsidRPr="00DF0DFD">
              <w:rPr>
                <w:rFonts w:ascii="Times New Roman" w:hAnsi="Times New Roman" w:cs="Times New Roman"/>
                <w:b/>
                <w:color w:val="auto"/>
                <w:sz w:val="24"/>
                <w:szCs w:val="24"/>
              </w:rPr>
              <w:t xml:space="preserve">  </w:t>
            </w:r>
            <w:r w:rsidRPr="00DF0DFD">
              <w:rPr>
                <w:rFonts w:ascii="Times New Roman" w:hAnsi="Times New Roman" w:cs="Times New Roman"/>
                <w:color w:val="auto"/>
                <w:sz w:val="24"/>
                <w:szCs w:val="24"/>
              </w:rPr>
              <w:t>Th</w:t>
            </w:r>
            <w:r w:rsidRPr="00DF0DFD" w:rsidR="002D0139">
              <w:rPr>
                <w:rFonts w:ascii="Times New Roman" w:hAnsi="Times New Roman" w:cs="Times New Roman"/>
                <w:color w:val="auto"/>
                <w:sz w:val="24"/>
                <w:szCs w:val="24"/>
              </w:rPr>
              <w:t>is suggestion</w:t>
            </w:r>
            <w:r w:rsidRPr="00DF0DFD">
              <w:rPr>
                <w:rFonts w:ascii="Times New Roman" w:hAnsi="Times New Roman" w:cs="Times New Roman"/>
                <w:color w:val="auto"/>
                <w:sz w:val="24"/>
                <w:szCs w:val="24"/>
              </w:rPr>
              <w:t xml:space="preserve"> would result in multiple program agreements specific to a single PO and, depending on the timing of submission and review of that organization’s expansion applications, would, over time, likely result in varying program agreement information applicable to a single entity, which would be cumbersome and confusing for all parties involved.</w:t>
            </w:r>
            <w:r w:rsidRPr="00DF0DFD" w:rsidR="00395FA7">
              <w:rPr>
                <w:rFonts w:ascii="Times New Roman" w:hAnsi="Times New Roman" w:cs="Times New Roman"/>
                <w:color w:val="auto"/>
                <w:sz w:val="24"/>
                <w:szCs w:val="24"/>
              </w:rPr>
              <w:t xml:space="preserve"> Furthermore, CMS conducts annual audits in each of the first 3 years of operation after initial approval to ensure an organization is adhering to</w:t>
            </w:r>
            <w:r w:rsidRPr="00DF0DFD" w:rsidR="002D0139">
              <w:rPr>
                <w:rFonts w:ascii="Times New Roman" w:hAnsi="Times New Roman" w:cs="Times New Roman"/>
                <w:color w:val="auto"/>
                <w:sz w:val="24"/>
                <w:szCs w:val="24"/>
              </w:rPr>
              <w:t xml:space="preserve"> regulatory</w:t>
            </w:r>
            <w:r w:rsidRPr="00DF0DFD" w:rsidR="00395FA7">
              <w:rPr>
                <w:rFonts w:ascii="Times New Roman" w:hAnsi="Times New Roman" w:cs="Times New Roman"/>
                <w:color w:val="auto"/>
                <w:sz w:val="24"/>
                <w:szCs w:val="24"/>
              </w:rPr>
              <w:t xml:space="preserve"> requirements and is providing quality services to the population it serves. </w:t>
            </w:r>
            <w:r w:rsidRPr="00DF0DFD" w:rsidR="002D0139">
              <w:rPr>
                <w:rFonts w:ascii="Times New Roman" w:hAnsi="Times New Roman" w:cs="Times New Roman"/>
                <w:color w:val="auto"/>
                <w:sz w:val="24"/>
                <w:szCs w:val="24"/>
              </w:rPr>
              <w:t xml:space="preserve"> All initial PACE applicants, once approved, are subject to this “trial period” and may not submit expansion applications during this time.  </w:t>
            </w:r>
          </w:p>
        </w:tc>
        <w:tc>
          <w:tcPr>
            <w:tcW w:w="1890" w:type="dxa"/>
          </w:tcPr>
          <w:p w:rsidRPr="00DF0DFD" w:rsidR="00F1253A" w:rsidP="00D173D1" w:rsidRDefault="00F1253A">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N/A</w:t>
            </w:r>
          </w:p>
        </w:tc>
        <w:tc>
          <w:tcPr>
            <w:tcW w:w="1620" w:type="dxa"/>
          </w:tcPr>
          <w:p w:rsidRPr="00DF0DFD" w:rsidR="00F1253A" w:rsidP="005B13B9" w:rsidRDefault="00F1253A">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p>
        </w:tc>
      </w:tr>
      <w:tr w:rsidRPr="00DF0DFD" w:rsidR="00646961" w:rsidTr="007F38CC">
        <w:trPr>
          <w:trHeight w:val="6192" w:hRule="exact"/>
        </w:trPr>
        <w:tc>
          <w:tcPr>
            <w:tcW w:w="5580" w:type="dxa"/>
          </w:tcPr>
          <w:p w:rsidRPr="00DF0DFD" w:rsidR="00646961" w:rsidP="002643A6" w:rsidRDefault="00646961">
            <w:pPr>
              <w:pStyle w:val="ListParagraph"/>
              <w:numPr>
                <w:ilvl w:val="0"/>
                <w:numId w:val="21"/>
              </w:numPr>
              <w:rPr>
                <w:rFonts w:ascii="Times New Roman" w:hAnsi="Times New Roman" w:cs="Times New Roman"/>
                <w:sz w:val="24"/>
                <w:szCs w:val="24"/>
              </w:rPr>
            </w:pPr>
            <w:r w:rsidRPr="00DF0DFD">
              <w:rPr>
                <w:rFonts w:ascii="Times New Roman" w:hAnsi="Times New Roman" w:cs="Times New Roman"/>
                <w:bCs/>
                <w:iCs/>
                <w:sz w:val="24"/>
                <w:szCs w:val="24"/>
              </w:rPr>
              <w:lastRenderedPageBreak/>
              <w:t>Remove quarterly restriction on submission of initial and SAE applications.</w:t>
            </w:r>
            <w:r w:rsidRPr="00DF0DFD" w:rsidR="001316AA">
              <w:rPr>
                <w:rFonts w:ascii="Times New Roman" w:hAnsi="Times New Roman" w:cs="Times New Roman"/>
                <w:bCs/>
                <w:iCs/>
                <w:sz w:val="24"/>
                <w:szCs w:val="24"/>
              </w:rPr>
              <w:t xml:space="preserve"> Specifically, the commenter suggests that CMS </w:t>
            </w:r>
            <w:r w:rsidRPr="00DF0DFD" w:rsidR="0047269E">
              <w:rPr>
                <w:rFonts w:ascii="Times New Roman" w:hAnsi="Times New Roman" w:cs="Times New Roman"/>
                <w:bCs/>
                <w:iCs/>
                <w:sz w:val="24"/>
                <w:szCs w:val="24"/>
              </w:rPr>
              <w:t xml:space="preserve">reconsider the current designated quarterly submission date (i.e., 4 times per year) and allow applications to be submitted on a continuous basis. </w:t>
            </w:r>
          </w:p>
        </w:tc>
        <w:tc>
          <w:tcPr>
            <w:tcW w:w="5940" w:type="dxa"/>
          </w:tcPr>
          <w:p w:rsidRPr="00DF0DFD" w:rsidR="00646961" w:rsidP="005D171F" w:rsidRDefault="007F38CC">
            <w:pPr>
              <w:rPr>
                <w:rFonts w:ascii="Times New Roman" w:hAnsi="Times New Roman" w:eastAsia="Times New Roman" w:cs="Times New Roman"/>
                <w:sz w:val="24"/>
                <w:szCs w:val="24"/>
              </w:rPr>
            </w:pPr>
            <w:r w:rsidRPr="00DF0DFD">
              <w:rPr>
                <w:rFonts w:ascii="Times New Roman" w:hAnsi="Times New Roman" w:cs="Times New Roman"/>
                <w:sz w:val="24"/>
                <w:szCs w:val="24"/>
              </w:rPr>
              <w:t>The suggestion is outside the scope of this information collection</w:t>
            </w:r>
            <w:r>
              <w:rPr>
                <w:rFonts w:ascii="Times New Roman" w:hAnsi="Times New Roman" w:cs="Times New Roman"/>
                <w:sz w:val="24"/>
                <w:szCs w:val="24"/>
              </w:rPr>
              <w:t xml:space="preserve">.  </w:t>
            </w:r>
            <w:r w:rsidRPr="00DF0DFD" w:rsidR="0047269E">
              <w:rPr>
                <w:rFonts w:ascii="Times New Roman" w:hAnsi="Times New Roman" w:cs="Times New Roman"/>
                <w:sz w:val="24"/>
                <w:szCs w:val="24"/>
              </w:rPr>
              <w:t xml:space="preserve">Similar recommendations to allow more frequent submission of PACE applications have been proposed before.  </w:t>
            </w:r>
            <w:r w:rsidRPr="00DF0DFD" w:rsidR="002643A6">
              <w:rPr>
                <w:rFonts w:ascii="Times New Roman" w:hAnsi="Times New Roman" w:cs="Times New Roman"/>
                <w:sz w:val="24"/>
                <w:szCs w:val="24"/>
              </w:rPr>
              <w:t>Unlike the Medicare Advantage program, which has one opportunity per year to submit applications, PACE applicants have four opportunities</w:t>
            </w:r>
            <w:r w:rsidRPr="00DF0DFD" w:rsidR="0047269E">
              <w:rPr>
                <w:rFonts w:ascii="Times New Roman" w:hAnsi="Times New Roman" w:cs="Times New Roman"/>
                <w:sz w:val="24"/>
                <w:szCs w:val="24"/>
              </w:rPr>
              <w:t xml:space="preserve"> throughout the year</w:t>
            </w:r>
            <w:r w:rsidRPr="00DF0DFD" w:rsidR="002643A6">
              <w:rPr>
                <w:rFonts w:ascii="Times New Roman" w:hAnsi="Times New Roman" w:cs="Times New Roman"/>
                <w:sz w:val="24"/>
                <w:szCs w:val="24"/>
              </w:rPr>
              <w:t xml:space="preserve">.  CMS believes this is more than adequate and plans to continue offering four quarterly application submission opportunities per year.  </w:t>
            </w:r>
            <w:r w:rsidRPr="00DF0DFD" w:rsidR="005D171F">
              <w:rPr>
                <w:rFonts w:ascii="Times New Roman" w:hAnsi="Times New Roman" w:cs="Times New Roman"/>
                <w:sz w:val="24"/>
                <w:szCs w:val="24"/>
              </w:rPr>
              <w:t>We note t</w:t>
            </w:r>
            <w:r w:rsidRPr="00DF0DFD" w:rsidR="005D171F">
              <w:rPr>
                <w:rFonts w:ascii="Times New Roman" w:hAnsi="Times New Roman" w:eastAsia="Georgia" w:cs="Times New Roman"/>
                <w:sz w:val="24"/>
                <w:szCs w:val="24"/>
              </w:rPr>
              <w:t xml:space="preserve">here are a number of subject matter experts involved with PACE application review and the ability to control when applications are submitted allows CMS to better manage and track application reviews. In addition, the ability for organizations to submit initial applications at 4 points throughout the year affects the timing of bid submission and review and already causes some issues due to varying </w:t>
            </w:r>
            <w:r w:rsidRPr="00DF0DFD" w:rsidR="00F04479">
              <w:rPr>
                <w:rFonts w:ascii="Times New Roman" w:hAnsi="Times New Roman" w:eastAsia="Georgia" w:cs="Times New Roman"/>
                <w:sz w:val="24"/>
                <w:szCs w:val="24"/>
              </w:rPr>
              <w:t xml:space="preserve">and unpredictable </w:t>
            </w:r>
            <w:r w:rsidRPr="00DF0DFD" w:rsidR="005D171F">
              <w:rPr>
                <w:rFonts w:ascii="Times New Roman" w:hAnsi="Times New Roman" w:eastAsia="Georgia" w:cs="Times New Roman"/>
                <w:sz w:val="24"/>
                <w:szCs w:val="24"/>
              </w:rPr>
              <w:t>approval dates</w:t>
            </w:r>
            <w:r w:rsidRPr="00DF0DFD" w:rsidR="00F04479">
              <w:rPr>
                <w:rFonts w:ascii="Times New Roman" w:hAnsi="Times New Roman" w:eastAsia="Georgia" w:cs="Times New Roman"/>
                <w:sz w:val="24"/>
                <w:szCs w:val="24"/>
              </w:rPr>
              <w:t>, which is not something CMS can control, as final approval of an application is dependent on when an applicant responds to a CMS request for additional information</w:t>
            </w:r>
            <w:r w:rsidRPr="00DF0DFD" w:rsidR="005D171F">
              <w:rPr>
                <w:rFonts w:ascii="Times New Roman" w:hAnsi="Times New Roman" w:eastAsia="Georgia" w:cs="Times New Roman"/>
                <w:sz w:val="24"/>
                <w:szCs w:val="24"/>
              </w:rPr>
              <w:t>.  Allowing organizations to submit applications at any time of the year would further complicate this process.</w:t>
            </w:r>
          </w:p>
        </w:tc>
        <w:tc>
          <w:tcPr>
            <w:tcW w:w="1890" w:type="dxa"/>
          </w:tcPr>
          <w:p w:rsidRPr="00DF0DFD" w:rsidR="00646961" w:rsidP="00D173D1" w:rsidRDefault="00A37F5D">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N/A</w:t>
            </w:r>
          </w:p>
        </w:tc>
        <w:tc>
          <w:tcPr>
            <w:tcW w:w="1620" w:type="dxa"/>
          </w:tcPr>
          <w:p w:rsidRPr="00DF0DFD" w:rsidR="00646961" w:rsidP="005B13B9" w:rsidRDefault="00A37F5D">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p>
        </w:tc>
      </w:tr>
      <w:tr w:rsidRPr="00DF0DFD" w:rsidR="005D171F" w:rsidTr="00DF0DFD">
        <w:trPr>
          <w:trHeight w:val="3744" w:hRule="exact"/>
        </w:trPr>
        <w:tc>
          <w:tcPr>
            <w:tcW w:w="5580" w:type="dxa"/>
          </w:tcPr>
          <w:p w:rsidRPr="00DF0DFD" w:rsidR="005D171F" w:rsidP="003A72D6" w:rsidRDefault="005D171F">
            <w:pPr>
              <w:pStyle w:val="ListParagraph"/>
              <w:widowControl/>
              <w:numPr>
                <w:ilvl w:val="0"/>
                <w:numId w:val="21"/>
              </w:numPr>
              <w:autoSpaceDE w:val="0"/>
              <w:autoSpaceDN w:val="0"/>
              <w:adjustRightInd w:val="0"/>
              <w:rPr>
                <w:rFonts w:ascii="Times New Roman" w:hAnsi="Times New Roman" w:cs="Times New Roman"/>
                <w:sz w:val="24"/>
                <w:szCs w:val="24"/>
              </w:rPr>
            </w:pPr>
            <w:r w:rsidRPr="00DF0DFD">
              <w:rPr>
                <w:rFonts w:ascii="Times New Roman" w:hAnsi="Times New Roman" w:cs="Times New Roman"/>
                <w:sz w:val="24"/>
                <w:szCs w:val="24"/>
              </w:rPr>
              <w:lastRenderedPageBreak/>
              <w:t>P</w:t>
            </w:r>
            <w:r w:rsidRPr="00DF0DFD" w:rsidR="003A72D6">
              <w:rPr>
                <w:rFonts w:ascii="Times New Roman" w:hAnsi="Times New Roman" w:cs="Times New Roman"/>
                <w:sz w:val="24"/>
                <w:szCs w:val="24"/>
              </w:rPr>
              <w:t>age</w:t>
            </w:r>
            <w:r w:rsidRPr="00DF0DFD">
              <w:rPr>
                <w:rFonts w:ascii="Times New Roman" w:hAnsi="Times New Roman" w:cs="Times New Roman"/>
                <w:sz w:val="24"/>
                <w:szCs w:val="24"/>
              </w:rPr>
              <w:t xml:space="preserve"> 14</w:t>
            </w:r>
            <w:r w:rsidRPr="00DF0DFD" w:rsidR="003A72D6">
              <w:rPr>
                <w:rFonts w:ascii="Times New Roman" w:hAnsi="Times New Roman" w:cs="Times New Roman"/>
                <w:sz w:val="24"/>
                <w:szCs w:val="24"/>
              </w:rPr>
              <w:t xml:space="preserve"> – Commenter noted</w:t>
            </w:r>
            <w:r w:rsidRPr="00DF0DFD">
              <w:rPr>
                <w:rFonts w:ascii="Times New Roman" w:hAnsi="Times New Roman" w:cs="Times New Roman"/>
                <w:sz w:val="24"/>
                <w:szCs w:val="24"/>
              </w:rPr>
              <w:t xml:space="preserve"> that §460.62(c) does not include a reference to “community representation.”</w:t>
            </w:r>
          </w:p>
        </w:tc>
        <w:tc>
          <w:tcPr>
            <w:tcW w:w="5940" w:type="dxa"/>
          </w:tcPr>
          <w:p w:rsidRPr="00DF0DFD" w:rsidR="005D171F" w:rsidP="005432BD" w:rsidRDefault="003A72D6">
            <w:pPr>
              <w:pStyle w:val="Heading3"/>
              <w:spacing w:before="0"/>
              <w:outlineLvl w:val="2"/>
              <w:rPr>
                <w:rFonts w:ascii="Times New Roman" w:hAnsi="Times New Roman" w:eastAsia="Times New Roman" w:cs="Times New Roman"/>
                <w:color w:val="auto"/>
                <w:sz w:val="24"/>
                <w:szCs w:val="24"/>
              </w:rPr>
            </w:pPr>
            <w:r w:rsidRPr="00DF0DFD">
              <w:rPr>
                <w:rFonts w:ascii="Times New Roman" w:hAnsi="Times New Roman" w:eastAsia="Times New Roman" w:cs="Times New Roman"/>
                <w:color w:val="auto"/>
                <w:sz w:val="24"/>
                <w:szCs w:val="24"/>
              </w:rPr>
              <w:t xml:space="preserve">Comment accepted; edit </w:t>
            </w:r>
            <w:r w:rsidRPr="00DF0DFD" w:rsidR="009613C3">
              <w:rPr>
                <w:rFonts w:ascii="Times New Roman" w:hAnsi="Times New Roman" w:eastAsia="Times New Roman" w:cs="Times New Roman"/>
                <w:color w:val="auto"/>
                <w:sz w:val="24"/>
                <w:szCs w:val="24"/>
              </w:rPr>
              <w:t xml:space="preserve">to be </w:t>
            </w:r>
            <w:r w:rsidRPr="00DF0DFD">
              <w:rPr>
                <w:rFonts w:ascii="Times New Roman" w:hAnsi="Times New Roman" w:eastAsia="Times New Roman" w:cs="Times New Roman"/>
                <w:color w:val="auto"/>
                <w:sz w:val="24"/>
                <w:szCs w:val="24"/>
              </w:rPr>
              <w:t>made to application</w:t>
            </w:r>
            <w:r w:rsidRPr="00DF0DFD" w:rsidR="009613C3">
              <w:rPr>
                <w:rFonts w:ascii="Times New Roman" w:hAnsi="Times New Roman" w:eastAsia="Times New Roman" w:cs="Times New Roman"/>
                <w:color w:val="auto"/>
                <w:sz w:val="24"/>
                <w:szCs w:val="24"/>
              </w:rPr>
              <w:t xml:space="preserve"> in HPMS and the current paper copy application available on the PACE website.</w:t>
            </w:r>
          </w:p>
          <w:p w:rsidRPr="00DF0DFD" w:rsidR="009613C3" w:rsidP="009613C3" w:rsidRDefault="009613C3">
            <w:pPr>
              <w:rPr>
                <w:rFonts w:ascii="Times New Roman" w:hAnsi="Times New Roman" w:cs="Times New Roman"/>
                <w:sz w:val="24"/>
                <w:szCs w:val="24"/>
              </w:rPr>
            </w:pPr>
          </w:p>
          <w:p w:rsidRPr="00DF0DFD" w:rsidR="009613C3" w:rsidP="009613C3" w:rsidRDefault="009613C3">
            <w:pPr>
              <w:rPr>
                <w:rFonts w:ascii="Times New Roman" w:hAnsi="Times New Roman" w:cs="Times New Roman"/>
                <w:sz w:val="24"/>
                <w:szCs w:val="24"/>
              </w:rPr>
            </w:pPr>
            <w:r w:rsidRPr="00DF0DFD">
              <w:rPr>
                <w:rFonts w:ascii="Times New Roman" w:hAnsi="Times New Roman" w:cs="Times New Roman"/>
                <w:sz w:val="24"/>
                <w:szCs w:val="24"/>
              </w:rPr>
              <w:t>The modified language will read as follows</w:t>
            </w:r>
            <w:r w:rsidRPr="00DF0DFD" w:rsidR="00E24A87">
              <w:rPr>
                <w:rFonts w:ascii="Times New Roman" w:hAnsi="Times New Roman" w:cs="Times New Roman"/>
                <w:sz w:val="24"/>
                <w:szCs w:val="24"/>
              </w:rPr>
              <w:t xml:space="preserve"> (language in italics added)</w:t>
            </w:r>
            <w:r w:rsidRPr="00DF0DFD">
              <w:rPr>
                <w:rFonts w:ascii="Times New Roman" w:hAnsi="Times New Roman" w:cs="Times New Roman"/>
                <w:sz w:val="24"/>
                <w:szCs w:val="24"/>
              </w:rPr>
              <w:t>:</w:t>
            </w:r>
          </w:p>
          <w:p w:rsidRPr="00DF0DFD" w:rsidR="009613C3" w:rsidP="009613C3" w:rsidRDefault="009613C3">
            <w:pPr>
              <w:rPr>
                <w:rFonts w:ascii="Times New Roman" w:hAnsi="Times New Roman" w:cs="Times New Roman"/>
                <w:sz w:val="24"/>
                <w:szCs w:val="24"/>
              </w:rPr>
            </w:pPr>
          </w:p>
          <w:p w:rsidRPr="00DF0DFD" w:rsidR="009613C3" w:rsidP="009613C3" w:rsidRDefault="009613C3">
            <w:pPr>
              <w:rPr>
                <w:rFonts w:ascii="Times New Roman" w:hAnsi="Times New Roman" w:cs="Times New Roman"/>
                <w:sz w:val="24"/>
                <w:szCs w:val="24"/>
              </w:rPr>
            </w:pPr>
            <w:r w:rsidRPr="00DF0DFD">
              <w:rPr>
                <w:rFonts w:ascii="Times New Roman" w:hAnsi="Times New Roman" w:cs="Times New Roman"/>
                <w:sz w:val="24"/>
                <w:szCs w:val="24"/>
              </w:rPr>
              <w:t>Applicant agrees to appoint a participant representative to act as a liaison between the governing body and Participant Advisory Committee</w:t>
            </w:r>
            <w:r w:rsidRPr="00DF0DFD">
              <w:rPr>
                <w:rFonts w:ascii="Times New Roman" w:hAnsi="Times New Roman" w:cs="Times New Roman"/>
                <w:strike/>
                <w:sz w:val="24"/>
                <w:szCs w:val="24"/>
              </w:rPr>
              <w:t>, to</w:t>
            </w:r>
            <w:r w:rsidRPr="00DF0DFD">
              <w:rPr>
                <w:rFonts w:ascii="Times New Roman" w:hAnsi="Times New Roman" w:cs="Times New Roman"/>
                <w:sz w:val="24"/>
                <w:szCs w:val="24"/>
              </w:rPr>
              <w:t xml:space="preserve"> </w:t>
            </w:r>
            <w:r w:rsidRPr="00DF0DFD">
              <w:rPr>
                <w:rFonts w:ascii="Times New Roman" w:hAnsi="Times New Roman" w:cs="Times New Roman"/>
                <w:i/>
                <w:sz w:val="24"/>
                <w:szCs w:val="24"/>
              </w:rPr>
              <w:t xml:space="preserve">and present participant issues </w:t>
            </w:r>
            <w:r w:rsidRPr="00DF0DFD" w:rsidR="00E24A87">
              <w:rPr>
                <w:rFonts w:ascii="Times New Roman" w:hAnsi="Times New Roman" w:cs="Times New Roman"/>
                <w:i/>
                <w:sz w:val="24"/>
                <w:szCs w:val="24"/>
              </w:rPr>
              <w:t>from the participant advisory committee</w:t>
            </w:r>
            <w:r w:rsidRPr="00DF0DFD" w:rsidR="00E24A87">
              <w:rPr>
                <w:rFonts w:ascii="Times New Roman" w:hAnsi="Times New Roman" w:cs="Times New Roman"/>
                <w:sz w:val="24"/>
                <w:szCs w:val="24"/>
              </w:rPr>
              <w:t xml:space="preserve"> </w:t>
            </w:r>
            <w:r w:rsidRPr="00DF0DFD">
              <w:rPr>
                <w:rFonts w:ascii="Times New Roman" w:hAnsi="Times New Roman" w:cs="Times New Roman"/>
                <w:sz w:val="24"/>
                <w:szCs w:val="24"/>
              </w:rPr>
              <w:t xml:space="preserve">to the governing body. </w:t>
            </w:r>
            <w:r w:rsidRPr="00DF0DFD">
              <w:rPr>
                <w:rFonts w:ascii="Times New Roman" w:hAnsi="Times New Roman" w:cs="Times New Roman"/>
                <w:strike/>
                <w:sz w:val="24"/>
                <w:szCs w:val="24"/>
              </w:rPr>
              <w:t>and to ensure community representation</w:t>
            </w:r>
            <w:r w:rsidRPr="00DF0DFD">
              <w:rPr>
                <w:rFonts w:ascii="Times New Roman" w:hAnsi="Times New Roman" w:cs="Times New Roman"/>
                <w:sz w:val="24"/>
                <w:szCs w:val="24"/>
              </w:rPr>
              <w:t xml:space="preserve"> per §460.62(c).</w:t>
            </w:r>
          </w:p>
        </w:tc>
        <w:tc>
          <w:tcPr>
            <w:tcW w:w="1890" w:type="dxa"/>
          </w:tcPr>
          <w:p w:rsidRPr="00DF0DFD" w:rsidR="005D171F" w:rsidP="00D173D1" w:rsidRDefault="003A72D6">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Section 3.3 (Attestation #3)</w:t>
            </w:r>
          </w:p>
        </w:tc>
        <w:tc>
          <w:tcPr>
            <w:tcW w:w="1620" w:type="dxa"/>
          </w:tcPr>
          <w:p w:rsidRPr="00DF0DFD" w:rsidR="005D171F" w:rsidP="005B13B9" w:rsidRDefault="003A72D6">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r w:rsidRPr="00DF0DFD" w:rsidR="002E0BB3">
              <w:rPr>
                <w:rFonts w:ascii="Times New Roman" w:hAnsi="Times New Roman" w:eastAsia="Times New Roman" w:cs="Times New Roman"/>
                <w:sz w:val="24"/>
                <w:szCs w:val="24"/>
              </w:rPr>
              <w:t xml:space="preserve"> (negligible change)</w:t>
            </w:r>
          </w:p>
        </w:tc>
      </w:tr>
      <w:tr w:rsidRPr="00DF0DFD" w:rsidR="003A72D6" w:rsidTr="00DF0DFD">
        <w:trPr>
          <w:trHeight w:val="2674" w:hRule="exact"/>
        </w:trPr>
        <w:tc>
          <w:tcPr>
            <w:tcW w:w="5580" w:type="dxa"/>
          </w:tcPr>
          <w:p w:rsidRPr="00DF0DFD" w:rsidR="003A72D6" w:rsidP="003A72D6" w:rsidRDefault="003A72D6">
            <w:pPr>
              <w:pStyle w:val="ListParagraph"/>
              <w:widowControl/>
              <w:numPr>
                <w:ilvl w:val="0"/>
                <w:numId w:val="21"/>
              </w:numPr>
              <w:autoSpaceDE w:val="0"/>
              <w:autoSpaceDN w:val="0"/>
              <w:adjustRightInd w:val="0"/>
              <w:rPr>
                <w:rFonts w:ascii="Times New Roman" w:hAnsi="Times New Roman" w:cs="Times New Roman"/>
                <w:sz w:val="24"/>
                <w:szCs w:val="24"/>
              </w:rPr>
            </w:pPr>
            <w:r w:rsidRPr="00DF0DFD">
              <w:rPr>
                <w:rFonts w:ascii="Times New Roman" w:hAnsi="Times New Roman" w:cs="Times New Roman"/>
                <w:sz w:val="24"/>
                <w:szCs w:val="24"/>
              </w:rPr>
              <w:t xml:space="preserve">Page 20:  Commenter asked if “unsolicited door-to-door marketing” </w:t>
            </w:r>
            <w:r w:rsidR="007F38CC">
              <w:rPr>
                <w:rFonts w:ascii="Times New Roman" w:hAnsi="Times New Roman" w:cs="Times New Roman"/>
                <w:sz w:val="24"/>
                <w:szCs w:val="24"/>
              </w:rPr>
              <w:t xml:space="preserve">should </w:t>
            </w:r>
            <w:r w:rsidRPr="00DF0DFD">
              <w:rPr>
                <w:rFonts w:ascii="Times New Roman" w:hAnsi="Times New Roman" w:cs="Times New Roman"/>
                <w:sz w:val="24"/>
                <w:szCs w:val="24"/>
              </w:rPr>
              <w:t>be expanded to include “or other unsolicited means of direct contact” consistent with §460.82(e)(5)</w:t>
            </w:r>
            <w:r w:rsidR="007F38CC">
              <w:rPr>
                <w:rFonts w:ascii="Times New Roman" w:hAnsi="Times New Roman" w:cs="Times New Roman"/>
                <w:sz w:val="24"/>
                <w:szCs w:val="24"/>
              </w:rPr>
              <w:t>.</w:t>
            </w:r>
          </w:p>
        </w:tc>
        <w:tc>
          <w:tcPr>
            <w:tcW w:w="5940" w:type="dxa"/>
          </w:tcPr>
          <w:p w:rsidRPr="00DF0DFD" w:rsidR="003A72D6" w:rsidP="001511AD" w:rsidRDefault="009613C3">
            <w:pPr>
              <w:ind w:left="102" w:right="554"/>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Comment accepted; edit to be made to application in HPMS and the current paper copy application available on the PACE website.</w:t>
            </w:r>
          </w:p>
          <w:p w:rsidRPr="00DF0DFD" w:rsidR="00A37F5D" w:rsidP="001511AD" w:rsidRDefault="00A37F5D">
            <w:pPr>
              <w:ind w:left="102" w:right="554"/>
              <w:rPr>
                <w:rFonts w:ascii="Times New Roman" w:hAnsi="Times New Roman" w:eastAsia="Times New Roman" w:cs="Times New Roman"/>
                <w:sz w:val="24"/>
                <w:szCs w:val="24"/>
              </w:rPr>
            </w:pPr>
          </w:p>
          <w:p w:rsidRPr="00DF0DFD" w:rsidR="00A37F5D" w:rsidP="00A37F5D" w:rsidRDefault="00A37F5D">
            <w:pPr>
              <w:rPr>
                <w:rFonts w:ascii="Times New Roman" w:hAnsi="Times New Roman" w:cs="Times New Roman"/>
                <w:sz w:val="24"/>
                <w:szCs w:val="24"/>
              </w:rPr>
            </w:pPr>
            <w:r w:rsidRPr="00DF0DFD">
              <w:rPr>
                <w:rFonts w:ascii="Times New Roman" w:hAnsi="Times New Roman" w:cs="Times New Roman"/>
                <w:sz w:val="24"/>
                <w:szCs w:val="24"/>
              </w:rPr>
              <w:t>The modified language will read as follows (language in italics added):</w:t>
            </w:r>
          </w:p>
          <w:p w:rsidRPr="00DF0DFD" w:rsidR="00A37F5D" w:rsidP="00A37F5D" w:rsidRDefault="00A37F5D">
            <w:pPr>
              <w:widowControl/>
              <w:numPr>
                <w:ilvl w:val="0"/>
                <w:numId w:val="25"/>
              </w:numPr>
              <w:shd w:val="clear" w:color="auto" w:fill="FFFFFF"/>
              <w:spacing w:before="100" w:beforeAutospacing="1" w:after="100" w:afterAutospacing="1"/>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 xml:space="preserve">Unsolicited door-to-door marketing, </w:t>
            </w:r>
            <w:r w:rsidRPr="00DF0DFD">
              <w:rPr>
                <w:rFonts w:ascii="Times New Roman" w:hAnsi="Times New Roman" w:cs="Times New Roman"/>
                <w:i/>
                <w:sz w:val="24"/>
                <w:szCs w:val="24"/>
              </w:rPr>
              <w:t>or other unsolicited means of direct contact</w:t>
            </w:r>
            <w:r w:rsidRPr="00DF0DFD">
              <w:rPr>
                <w:rFonts w:ascii="Times New Roman" w:hAnsi="Times New Roman" w:cs="Times New Roman"/>
                <w:sz w:val="24"/>
                <w:szCs w:val="24"/>
              </w:rPr>
              <w:t>.</w:t>
            </w:r>
          </w:p>
          <w:p w:rsidRPr="00DF0DFD" w:rsidR="00A37F5D" w:rsidP="001511AD" w:rsidRDefault="00A37F5D">
            <w:pPr>
              <w:ind w:left="102" w:right="554"/>
              <w:rPr>
                <w:rFonts w:ascii="Times New Roman" w:hAnsi="Times New Roman" w:eastAsia="Times New Roman" w:cs="Times New Roman"/>
                <w:sz w:val="24"/>
                <w:szCs w:val="24"/>
              </w:rPr>
            </w:pPr>
          </w:p>
        </w:tc>
        <w:tc>
          <w:tcPr>
            <w:tcW w:w="1890" w:type="dxa"/>
          </w:tcPr>
          <w:p w:rsidRPr="00DF0DFD" w:rsidR="003A72D6" w:rsidP="001511AD" w:rsidRDefault="003A72D6">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Section 3.5 (Attestation #6)</w:t>
            </w:r>
          </w:p>
        </w:tc>
        <w:tc>
          <w:tcPr>
            <w:tcW w:w="1620" w:type="dxa"/>
          </w:tcPr>
          <w:p w:rsidRPr="00DF0DFD" w:rsidR="003A72D6" w:rsidP="005B13B9" w:rsidRDefault="003A72D6">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r w:rsidR="00A5424E">
              <w:rPr>
                <w:rFonts w:ascii="Times New Roman" w:hAnsi="Times New Roman" w:eastAsia="Times New Roman" w:cs="Times New Roman"/>
                <w:sz w:val="24"/>
                <w:szCs w:val="24"/>
              </w:rPr>
              <w:t xml:space="preserve"> (negligible change)</w:t>
            </w:r>
          </w:p>
        </w:tc>
      </w:tr>
      <w:tr w:rsidRPr="00DF0DFD" w:rsidR="003A72D6" w:rsidTr="0043246B">
        <w:trPr>
          <w:trHeight w:val="1171" w:hRule="exact"/>
        </w:trPr>
        <w:tc>
          <w:tcPr>
            <w:tcW w:w="5580" w:type="dxa"/>
          </w:tcPr>
          <w:p w:rsidRPr="00DF0DFD" w:rsidR="003A72D6" w:rsidP="003A72D6" w:rsidRDefault="003A72D6">
            <w:pPr>
              <w:pStyle w:val="Default"/>
              <w:numPr>
                <w:ilvl w:val="0"/>
                <w:numId w:val="21"/>
              </w:numPr>
              <w:rPr>
                <w:rFonts w:ascii="Times New Roman" w:hAnsi="Times New Roman" w:cs="Times New Roman"/>
              </w:rPr>
            </w:pPr>
            <w:r w:rsidRPr="00DF0DFD">
              <w:rPr>
                <w:rFonts w:ascii="Times New Roman" w:hAnsi="Times New Roman" w:cs="Times New Roman"/>
              </w:rPr>
              <w:lastRenderedPageBreak/>
              <w:t>Page 24: Commenter suggested a small edit to include “to” between “agrees” and “give.”</w:t>
            </w:r>
          </w:p>
        </w:tc>
        <w:tc>
          <w:tcPr>
            <w:tcW w:w="5940" w:type="dxa"/>
          </w:tcPr>
          <w:p w:rsidRPr="00DF0DFD" w:rsidR="003A72D6" w:rsidP="001511AD" w:rsidRDefault="001F7008">
            <w:pPr>
              <w:ind w:left="102" w:right="554"/>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 xml:space="preserve">The language is correct in the Health Plan Management system, but we will make the change to the current paper copy application available on the PACE website. </w:t>
            </w:r>
          </w:p>
        </w:tc>
        <w:tc>
          <w:tcPr>
            <w:tcW w:w="1890" w:type="dxa"/>
          </w:tcPr>
          <w:p w:rsidRPr="00DF0DFD" w:rsidR="003A72D6" w:rsidP="001511AD" w:rsidRDefault="003A72D6">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Section 3.9</w:t>
            </w:r>
            <w:r w:rsidRPr="00DF0DFD" w:rsidR="001F7008">
              <w:rPr>
                <w:rFonts w:ascii="Times New Roman" w:hAnsi="Times New Roman" w:eastAsia="Times New Roman" w:cs="Times New Roman"/>
                <w:sz w:val="24"/>
                <w:szCs w:val="24"/>
              </w:rPr>
              <w:t xml:space="preserve"> </w:t>
            </w:r>
            <w:r w:rsidRPr="00DF0DFD">
              <w:rPr>
                <w:rFonts w:ascii="Times New Roman" w:hAnsi="Times New Roman" w:eastAsia="Times New Roman" w:cs="Times New Roman"/>
                <w:sz w:val="24"/>
                <w:szCs w:val="24"/>
              </w:rPr>
              <w:t>(Attestation #3)</w:t>
            </w:r>
          </w:p>
        </w:tc>
        <w:tc>
          <w:tcPr>
            <w:tcW w:w="1620" w:type="dxa"/>
          </w:tcPr>
          <w:p w:rsidRPr="00DF0DFD" w:rsidR="003A72D6" w:rsidP="005B13B9" w:rsidRDefault="001F7008">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p>
        </w:tc>
      </w:tr>
      <w:tr w:rsidRPr="00DF0DFD" w:rsidR="003A72D6" w:rsidTr="0043246B">
        <w:trPr>
          <w:trHeight w:val="1351" w:hRule="exact"/>
        </w:trPr>
        <w:tc>
          <w:tcPr>
            <w:tcW w:w="5580" w:type="dxa"/>
          </w:tcPr>
          <w:p w:rsidRPr="00DF0DFD" w:rsidR="003A72D6" w:rsidP="003A72D6" w:rsidRDefault="003A72D6">
            <w:pPr>
              <w:pStyle w:val="Default"/>
              <w:numPr>
                <w:ilvl w:val="0"/>
                <w:numId w:val="21"/>
              </w:numPr>
              <w:rPr>
                <w:rFonts w:ascii="Times New Roman" w:hAnsi="Times New Roman" w:cs="Times New Roman"/>
              </w:rPr>
            </w:pPr>
            <w:r w:rsidRPr="00DF0DFD">
              <w:rPr>
                <w:rFonts w:ascii="Times New Roman" w:hAnsi="Times New Roman" w:cs="Times New Roman"/>
              </w:rPr>
              <w:t>Page 30: The commenter pointed out that the Note is repetitive of the Note for document upload B.</w:t>
            </w:r>
          </w:p>
        </w:tc>
        <w:tc>
          <w:tcPr>
            <w:tcW w:w="5940" w:type="dxa"/>
          </w:tcPr>
          <w:p w:rsidRPr="00DF0DFD" w:rsidR="003A72D6" w:rsidP="001511AD" w:rsidRDefault="003763B2">
            <w:pPr>
              <w:ind w:left="102" w:right="554"/>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 xml:space="preserve">No change needed.  This language </w:t>
            </w:r>
            <w:r w:rsidRPr="00DF0DFD" w:rsidR="001879AA">
              <w:rPr>
                <w:rFonts w:ascii="Times New Roman" w:hAnsi="Times New Roman" w:eastAsia="Times New Roman" w:cs="Times New Roman"/>
                <w:sz w:val="24"/>
                <w:szCs w:val="24"/>
              </w:rPr>
              <w:t>is intentional.  The note associated with document upload C i</w:t>
            </w:r>
            <w:r w:rsidRPr="00DF0DFD" w:rsidR="001879AA">
              <w:rPr>
                <w:rFonts w:ascii="Times New Roman" w:hAnsi="Times New Roman" w:cs="Times New Roman"/>
                <w:sz w:val="24"/>
                <w:szCs w:val="24"/>
              </w:rPr>
              <w:t>s referring to any additional program specific eligibility conditions as permitted at 460.150 (b)(4). </w:t>
            </w:r>
          </w:p>
        </w:tc>
        <w:tc>
          <w:tcPr>
            <w:tcW w:w="1890" w:type="dxa"/>
          </w:tcPr>
          <w:p w:rsidRPr="00DF0DFD" w:rsidR="003A72D6" w:rsidP="001511AD" w:rsidRDefault="003A72D6">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Section 3.10 (Document Upload C)</w:t>
            </w:r>
          </w:p>
        </w:tc>
        <w:tc>
          <w:tcPr>
            <w:tcW w:w="1620" w:type="dxa"/>
          </w:tcPr>
          <w:p w:rsidRPr="00DF0DFD" w:rsidR="003A72D6" w:rsidP="005B13B9" w:rsidRDefault="00A37F5D">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p>
        </w:tc>
      </w:tr>
      <w:tr w:rsidRPr="00DF0DFD" w:rsidR="003A72D6" w:rsidTr="00A37F5D">
        <w:trPr>
          <w:trHeight w:val="1810" w:hRule="exact"/>
        </w:trPr>
        <w:tc>
          <w:tcPr>
            <w:tcW w:w="5580" w:type="dxa"/>
          </w:tcPr>
          <w:p w:rsidRPr="00DF0DFD" w:rsidR="003A72D6" w:rsidP="003A72D6" w:rsidRDefault="003A72D6">
            <w:pPr>
              <w:pStyle w:val="Default"/>
              <w:numPr>
                <w:ilvl w:val="0"/>
                <w:numId w:val="21"/>
              </w:numPr>
              <w:rPr>
                <w:rFonts w:ascii="Times New Roman" w:hAnsi="Times New Roman" w:cs="Times New Roman"/>
              </w:rPr>
            </w:pPr>
            <w:r w:rsidRPr="00DF0DFD">
              <w:rPr>
                <w:rFonts w:ascii="Times New Roman" w:hAnsi="Times New Roman" w:cs="Times New Roman"/>
              </w:rPr>
              <w:t xml:space="preserve">Page 46:  The commenter questioned whether the language </w:t>
            </w:r>
            <w:r w:rsidR="007F38CC">
              <w:rPr>
                <w:rFonts w:ascii="Times New Roman" w:hAnsi="Times New Roman" w:cs="Times New Roman"/>
              </w:rPr>
              <w:t>in Section 3.19</w:t>
            </w:r>
            <w:r w:rsidR="008B5769">
              <w:rPr>
                <w:rFonts w:ascii="Times New Roman" w:hAnsi="Times New Roman" w:cs="Times New Roman"/>
              </w:rPr>
              <w:t xml:space="preserve">, Attestation No. 7 </w:t>
            </w:r>
            <w:r w:rsidRPr="00DF0DFD">
              <w:rPr>
                <w:rFonts w:ascii="Times New Roman" w:hAnsi="Times New Roman" w:cs="Times New Roman"/>
              </w:rPr>
              <w:t>is duplicative of information included in</w:t>
            </w:r>
            <w:r w:rsidRPr="00DF0DFD" w:rsidR="00947D2E">
              <w:rPr>
                <w:rFonts w:ascii="Times New Roman" w:hAnsi="Times New Roman" w:cs="Times New Roman"/>
              </w:rPr>
              <w:t xml:space="preserve"> Section </w:t>
            </w:r>
            <w:r w:rsidRPr="00DF0DFD">
              <w:rPr>
                <w:rFonts w:ascii="Times New Roman" w:hAnsi="Times New Roman" w:cs="Times New Roman"/>
              </w:rPr>
              <w:t>3.19</w:t>
            </w:r>
            <w:r w:rsidRPr="00DF0DFD" w:rsidR="00947D2E">
              <w:rPr>
                <w:rFonts w:ascii="Times New Roman" w:hAnsi="Times New Roman" w:cs="Times New Roman"/>
              </w:rPr>
              <w:t xml:space="preserve">, Attestation </w:t>
            </w:r>
            <w:r w:rsidR="008B5769">
              <w:rPr>
                <w:rFonts w:ascii="Times New Roman" w:hAnsi="Times New Roman" w:cs="Times New Roman"/>
              </w:rPr>
              <w:t xml:space="preserve">No. </w:t>
            </w:r>
            <w:r w:rsidRPr="00DF0DFD">
              <w:rPr>
                <w:rFonts w:ascii="Times New Roman" w:hAnsi="Times New Roman" w:cs="Times New Roman"/>
              </w:rPr>
              <w:t>4</w:t>
            </w:r>
            <w:r w:rsidRPr="00DF0DFD" w:rsidR="00947D2E">
              <w:rPr>
                <w:rFonts w:ascii="Times New Roman" w:hAnsi="Times New Roman" w:cs="Times New Roman"/>
              </w:rPr>
              <w:t>.</w:t>
            </w:r>
          </w:p>
        </w:tc>
        <w:tc>
          <w:tcPr>
            <w:tcW w:w="5940" w:type="dxa"/>
          </w:tcPr>
          <w:p w:rsidRPr="00DF0DFD" w:rsidR="003A72D6" w:rsidP="001511AD" w:rsidRDefault="00A37F5D">
            <w:pPr>
              <w:ind w:left="102" w:right="554"/>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 xml:space="preserve">Comment not accepted.  While the </w:t>
            </w:r>
            <w:r w:rsidRPr="00DF0DFD">
              <w:rPr>
                <w:rFonts w:ascii="Times New Roman" w:hAnsi="Times New Roman" w:cs="Times New Roman"/>
                <w:sz w:val="24"/>
                <w:szCs w:val="24"/>
                <w:shd w:val="clear" w:color="auto" w:fill="FFFFFF"/>
              </w:rPr>
              <w:t xml:space="preserve">2 attestations are similar, we see them as distinct in that No. 7 more explicitly addresses and emphasizes the face-to-face </w:t>
            </w:r>
            <w:r w:rsidR="00E22A9D">
              <w:rPr>
                <w:rFonts w:ascii="Times New Roman" w:hAnsi="Times New Roman" w:cs="Times New Roman"/>
                <w:sz w:val="24"/>
                <w:szCs w:val="24"/>
                <w:shd w:val="clear" w:color="auto" w:fill="FFFFFF"/>
              </w:rPr>
              <w:t>nature/</w:t>
            </w:r>
            <w:r w:rsidRPr="00DF0DFD">
              <w:rPr>
                <w:rFonts w:ascii="Times New Roman" w:hAnsi="Times New Roman" w:cs="Times New Roman"/>
                <w:sz w:val="24"/>
                <w:szCs w:val="24"/>
                <w:shd w:val="clear" w:color="auto" w:fill="FFFFFF"/>
              </w:rPr>
              <w:t>process for conducting reassessments, a</w:t>
            </w:r>
            <w:r w:rsidR="00E22A9D">
              <w:rPr>
                <w:rFonts w:ascii="Times New Roman" w:hAnsi="Times New Roman" w:cs="Times New Roman"/>
                <w:sz w:val="24"/>
                <w:szCs w:val="24"/>
                <w:shd w:val="clear" w:color="auto" w:fill="FFFFFF"/>
              </w:rPr>
              <w:t xml:space="preserve"> critical</w:t>
            </w:r>
            <w:r w:rsidRPr="00DF0DFD">
              <w:rPr>
                <w:rFonts w:ascii="Times New Roman" w:hAnsi="Times New Roman" w:cs="Times New Roman"/>
                <w:sz w:val="24"/>
                <w:szCs w:val="24"/>
                <w:shd w:val="clear" w:color="auto" w:fill="FFFFFF"/>
              </w:rPr>
              <w:t xml:space="preserve"> component of the participant assessment process.  </w:t>
            </w:r>
          </w:p>
        </w:tc>
        <w:tc>
          <w:tcPr>
            <w:tcW w:w="1890" w:type="dxa"/>
          </w:tcPr>
          <w:p w:rsidRPr="00DF0DFD" w:rsidR="003A72D6" w:rsidP="001511AD" w:rsidRDefault="003A72D6">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Section 3.19 (Attestation #7)</w:t>
            </w:r>
          </w:p>
        </w:tc>
        <w:tc>
          <w:tcPr>
            <w:tcW w:w="1620" w:type="dxa"/>
          </w:tcPr>
          <w:p w:rsidRPr="00DF0DFD" w:rsidR="003A72D6" w:rsidP="005B13B9" w:rsidRDefault="00A37F5D">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p>
        </w:tc>
      </w:tr>
      <w:tr w:rsidRPr="00DF0DFD" w:rsidR="00947D2E" w:rsidTr="00DF0DFD">
        <w:trPr>
          <w:trHeight w:val="3744" w:hRule="exact"/>
        </w:trPr>
        <w:tc>
          <w:tcPr>
            <w:tcW w:w="5580" w:type="dxa"/>
          </w:tcPr>
          <w:p w:rsidRPr="00E22A9D" w:rsidR="00947D2E" w:rsidP="00947D2E" w:rsidRDefault="00947D2E">
            <w:pPr>
              <w:pStyle w:val="ListParagraph"/>
              <w:widowControl/>
              <w:numPr>
                <w:ilvl w:val="0"/>
                <w:numId w:val="21"/>
              </w:numPr>
              <w:autoSpaceDE w:val="0"/>
              <w:autoSpaceDN w:val="0"/>
              <w:adjustRightInd w:val="0"/>
              <w:rPr>
                <w:rFonts w:ascii="Times New Roman" w:hAnsi="Times New Roman" w:cs="Times New Roman"/>
                <w:sz w:val="24"/>
                <w:szCs w:val="24"/>
              </w:rPr>
            </w:pPr>
            <w:r w:rsidRPr="00E22A9D">
              <w:rPr>
                <w:rFonts w:ascii="Times New Roman" w:hAnsi="Times New Roman" w:cs="Times New Roman"/>
                <w:sz w:val="24"/>
                <w:szCs w:val="24"/>
              </w:rPr>
              <w:lastRenderedPageBreak/>
              <w:t>Page 65: Referring to the reference to information on the HOS-M in Chapter 10 of the PACE manual, the reference to section 10.30 appears to be incorrect. Information on the HOS-M is found in sections 30.7-30.11. In addition, some of the information included in the manual is outdated, e.g., reference to random sampling for POs with 1,400 or more enrollees.</w:t>
            </w:r>
          </w:p>
        </w:tc>
        <w:tc>
          <w:tcPr>
            <w:tcW w:w="5940" w:type="dxa"/>
          </w:tcPr>
          <w:p w:rsidRPr="00E22A9D" w:rsidR="00947D2E" w:rsidP="001511AD" w:rsidRDefault="001879AA">
            <w:pPr>
              <w:ind w:left="102" w:right="554"/>
              <w:rPr>
                <w:rFonts w:ascii="Times New Roman" w:hAnsi="Times New Roman" w:eastAsia="Times New Roman" w:cs="Times New Roman"/>
                <w:sz w:val="24"/>
                <w:szCs w:val="24"/>
              </w:rPr>
            </w:pPr>
            <w:r w:rsidRPr="00E22A9D">
              <w:rPr>
                <w:rFonts w:ascii="Times New Roman" w:hAnsi="Times New Roman" w:eastAsia="Times New Roman" w:cs="Times New Roman"/>
                <w:sz w:val="24"/>
                <w:szCs w:val="24"/>
              </w:rPr>
              <w:t xml:space="preserve">We note this comment is based on a template document that is included in the paper </w:t>
            </w:r>
            <w:r w:rsidRPr="00E22A9D" w:rsidR="00DF0DFD">
              <w:rPr>
                <w:rFonts w:ascii="Times New Roman" w:hAnsi="Times New Roman" w:eastAsia="Times New Roman" w:cs="Times New Roman"/>
                <w:sz w:val="24"/>
                <w:szCs w:val="24"/>
              </w:rPr>
              <w:t xml:space="preserve">copy </w:t>
            </w:r>
            <w:r w:rsidRPr="00E22A9D">
              <w:rPr>
                <w:rFonts w:ascii="Times New Roman" w:hAnsi="Times New Roman" w:eastAsia="Times New Roman" w:cs="Times New Roman"/>
                <w:sz w:val="24"/>
                <w:szCs w:val="24"/>
              </w:rPr>
              <w:t>application</w:t>
            </w:r>
            <w:r w:rsidRPr="00E22A9D" w:rsidR="001B5E49">
              <w:rPr>
                <w:rFonts w:ascii="Times New Roman" w:hAnsi="Times New Roman" w:eastAsia="Times New Roman" w:cs="Times New Roman"/>
                <w:sz w:val="24"/>
                <w:szCs w:val="24"/>
              </w:rPr>
              <w:t xml:space="preserve">. This boilerplate language </w:t>
            </w:r>
            <w:r w:rsidRPr="00E22A9D">
              <w:rPr>
                <w:rFonts w:ascii="Times New Roman" w:hAnsi="Times New Roman" w:eastAsia="Times New Roman" w:cs="Times New Roman"/>
                <w:sz w:val="24"/>
                <w:szCs w:val="24"/>
              </w:rPr>
              <w:t>is part of the program agreement, not the</w:t>
            </w:r>
            <w:r w:rsidRPr="00E22A9D" w:rsidR="001B5E49">
              <w:rPr>
                <w:rFonts w:ascii="Times New Roman" w:hAnsi="Times New Roman" w:eastAsia="Times New Roman" w:cs="Times New Roman"/>
                <w:sz w:val="24"/>
                <w:szCs w:val="24"/>
              </w:rPr>
              <w:t xml:space="preserve"> electronic</w:t>
            </w:r>
            <w:r w:rsidRPr="00E22A9D">
              <w:rPr>
                <w:rFonts w:ascii="Times New Roman" w:hAnsi="Times New Roman" w:eastAsia="Times New Roman" w:cs="Times New Roman"/>
                <w:sz w:val="24"/>
                <w:szCs w:val="24"/>
              </w:rPr>
              <w:t xml:space="preserve"> application itself, which is what this information collection addresses.  We will work to make this correction</w:t>
            </w:r>
            <w:r w:rsidRPr="00E22A9D" w:rsidR="001B5E49">
              <w:rPr>
                <w:rFonts w:ascii="Times New Roman" w:hAnsi="Times New Roman" w:eastAsia="Times New Roman" w:cs="Times New Roman"/>
                <w:sz w:val="24"/>
                <w:szCs w:val="24"/>
              </w:rPr>
              <w:t>.</w:t>
            </w:r>
          </w:p>
        </w:tc>
        <w:tc>
          <w:tcPr>
            <w:tcW w:w="1890" w:type="dxa"/>
          </w:tcPr>
          <w:p w:rsidRPr="00E22A9D" w:rsidR="00947D2E" w:rsidP="001511AD" w:rsidRDefault="001B5E49">
            <w:pPr>
              <w:ind w:right="-20"/>
              <w:rPr>
                <w:rFonts w:ascii="Times New Roman" w:hAnsi="Times New Roman" w:eastAsia="Times New Roman" w:cs="Times New Roman"/>
                <w:sz w:val="24"/>
                <w:szCs w:val="24"/>
              </w:rPr>
            </w:pPr>
            <w:r w:rsidRPr="00E22A9D">
              <w:rPr>
                <w:rFonts w:ascii="Times New Roman" w:hAnsi="Times New Roman" w:eastAsia="Times New Roman" w:cs="Times New Roman"/>
                <w:sz w:val="24"/>
                <w:szCs w:val="24"/>
              </w:rPr>
              <w:t>Section 4.13 of the paper application (reflects boilerplate language included in all program agreements with PACE organizations and applicable SAA)</w:t>
            </w:r>
          </w:p>
        </w:tc>
        <w:tc>
          <w:tcPr>
            <w:tcW w:w="1620" w:type="dxa"/>
          </w:tcPr>
          <w:p w:rsidRPr="00E22A9D" w:rsidR="00947D2E" w:rsidP="005B13B9" w:rsidRDefault="00DF0DFD">
            <w:pPr>
              <w:spacing w:line="267" w:lineRule="exact"/>
              <w:ind w:right="-20"/>
              <w:rPr>
                <w:rFonts w:ascii="Times New Roman" w:hAnsi="Times New Roman" w:eastAsia="Times New Roman" w:cs="Times New Roman"/>
                <w:sz w:val="24"/>
                <w:szCs w:val="24"/>
              </w:rPr>
            </w:pPr>
            <w:r w:rsidRPr="00E22A9D">
              <w:rPr>
                <w:rFonts w:ascii="Times New Roman" w:hAnsi="Times New Roman" w:eastAsia="Times New Roman" w:cs="Times New Roman"/>
                <w:sz w:val="24"/>
                <w:szCs w:val="24"/>
              </w:rPr>
              <w:t>N</w:t>
            </w:r>
          </w:p>
        </w:tc>
      </w:tr>
      <w:tr w:rsidRPr="00DF0DFD" w:rsidR="00947D2E" w:rsidTr="00DF0DFD">
        <w:trPr>
          <w:trHeight w:val="3250" w:hRule="exact"/>
        </w:trPr>
        <w:tc>
          <w:tcPr>
            <w:tcW w:w="5580" w:type="dxa"/>
          </w:tcPr>
          <w:p w:rsidRPr="00DF0DFD" w:rsidR="00947D2E" w:rsidP="00947D2E" w:rsidRDefault="00947D2E">
            <w:pPr>
              <w:pStyle w:val="Default"/>
              <w:numPr>
                <w:ilvl w:val="0"/>
                <w:numId w:val="21"/>
              </w:numPr>
              <w:rPr>
                <w:rFonts w:ascii="Times New Roman" w:hAnsi="Times New Roman" w:cs="Times New Roman"/>
              </w:rPr>
            </w:pPr>
            <w:r w:rsidRPr="00DF0DFD">
              <w:rPr>
                <w:rFonts w:ascii="Times New Roman" w:hAnsi="Times New Roman" w:cs="Times New Roman"/>
              </w:rPr>
              <w:t>Page 71: The commenter notes that in the Applicant Attestation (Section 4.21), the banner is blank.</w:t>
            </w:r>
          </w:p>
        </w:tc>
        <w:tc>
          <w:tcPr>
            <w:tcW w:w="5940" w:type="dxa"/>
          </w:tcPr>
          <w:p w:rsidRPr="00DF0DFD" w:rsidR="001B5E49" w:rsidP="001511AD" w:rsidRDefault="002E0BB3">
            <w:pPr>
              <w:ind w:left="102" w:right="554"/>
              <w:rPr>
                <w:rFonts w:ascii="Times New Roman" w:hAnsi="Times New Roman" w:cs="Times New Roman"/>
                <w:bCs/>
                <w:sz w:val="24"/>
                <w:szCs w:val="24"/>
              </w:rPr>
            </w:pPr>
            <w:r w:rsidRPr="00DF0DFD">
              <w:rPr>
                <w:rFonts w:ascii="Times New Roman" w:hAnsi="Times New Roman" w:cs="Times New Roman"/>
                <w:bCs/>
                <w:sz w:val="24"/>
                <w:szCs w:val="24"/>
              </w:rPr>
              <w:t>We note this is part of a Notice of Intent to Apply form and is outside the scope of this information collection but is included in the paper copy application.  We will add the following language to the banner</w:t>
            </w:r>
            <w:r w:rsidR="00E22A9D">
              <w:rPr>
                <w:rFonts w:ascii="Times New Roman" w:hAnsi="Times New Roman" w:cs="Times New Roman"/>
                <w:bCs/>
                <w:sz w:val="24"/>
                <w:szCs w:val="24"/>
              </w:rPr>
              <w:t xml:space="preserve"> in the paper copy application</w:t>
            </w:r>
            <w:r w:rsidRPr="00DF0DFD">
              <w:rPr>
                <w:rFonts w:ascii="Times New Roman" w:hAnsi="Times New Roman" w:cs="Times New Roman"/>
                <w:bCs/>
                <w:sz w:val="24"/>
                <w:szCs w:val="24"/>
              </w:rPr>
              <w:t>:</w:t>
            </w:r>
          </w:p>
          <w:p w:rsidRPr="00DF0DFD" w:rsidR="001B5E49" w:rsidP="001511AD" w:rsidRDefault="001B5E49">
            <w:pPr>
              <w:ind w:left="102" w:right="554"/>
              <w:rPr>
                <w:rFonts w:ascii="Times New Roman" w:hAnsi="Times New Roman" w:cs="Times New Roman"/>
                <w:bCs/>
                <w:sz w:val="24"/>
                <w:szCs w:val="24"/>
              </w:rPr>
            </w:pPr>
          </w:p>
          <w:p w:rsidRPr="00DF0DFD" w:rsidR="00947D2E" w:rsidP="001511AD" w:rsidRDefault="001B5E49">
            <w:pPr>
              <w:ind w:left="102" w:right="554"/>
              <w:rPr>
                <w:rFonts w:ascii="Times New Roman" w:hAnsi="Times New Roman" w:eastAsia="Times New Roman" w:cs="Times New Roman"/>
                <w:b/>
                <w:sz w:val="24"/>
                <w:szCs w:val="24"/>
              </w:rPr>
            </w:pPr>
            <w:r w:rsidRPr="00DF0DFD">
              <w:rPr>
                <w:rFonts w:ascii="Times New Roman" w:hAnsi="Times New Roman" w:cs="Times New Roman"/>
                <w:b/>
                <w:bCs/>
                <w:sz w:val="24"/>
                <w:szCs w:val="24"/>
              </w:rPr>
              <w:t>CENTERS FOR MEDICARE AND MEDICAID SERVICES PROGRAMS OF ALL-INCLUSIVE CARE FOR THE ELDERLY NOTICE OF INTENT TO APPLY (NOIA) DATA COLLECTION FORM</w:t>
            </w:r>
          </w:p>
        </w:tc>
        <w:tc>
          <w:tcPr>
            <w:tcW w:w="1890" w:type="dxa"/>
          </w:tcPr>
          <w:p w:rsidRPr="00DF0DFD" w:rsidR="00947D2E" w:rsidP="001511AD" w:rsidRDefault="002E0BB3">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Section 4.21 of the paper application.</w:t>
            </w:r>
          </w:p>
        </w:tc>
        <w:tc>
          <w:tcPr>
            <w:tcW w:w="1620" w:type="dxa"/>
          </w:tcPr>
          <w:p w:rsidRPr="00DF0DFD" w:rsidR="00947D2E" w:rsidP="005B13B9" w:rsidRDefault="00DF0DFD">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p>
        </w:tc>
      </w:tr>
      <w:tr w:rsidRPr="00DF0DFD" w:rsidR="00947D2E" w:rsidTr="00DF0DFD">
        <w:trPr>
          <w:trHeight w:val="2170" w:hRule="exact"/>
        </w:trPr>
        <w:tc>
          <w:tcPr>
            <w:tcW w:w="5580" w:type="dxa"/>
          </w:tcPr>
          <w:p w:rsidRPr="00DF0DFD" w:rsidR="00947D2E" w:rsidP="00947D2E" w:rsidRDefault="00947D2E">
            <w:pPr>
              <w:pStyle w:val="Default"/>
              <w:numPr>
                <w:ilvl w:val="0"/>
                <w:numId w:val="21"/>
              </w:numPr>
              <w:rPr>
                <w:rFonts w:ascii="Times New Roman" w:hAnsi="Times New Roman" w:cs="Times New Roman"/>
              </w:rPr>
            </w:pPr>
            <w:r w:rsidRPr="00DF0DFD">
              <w:rPr>
                <w:rFonts w:ascii="Times New Roman" w:hAnsi="Times New Roman" w:cs="Times New Roman"/>
              </w:rPr>
              <w:lastRenderedPageBreak/>
              <w:t>Page 81: In 4th bullet, “</w:t>
            </w:r>
            <w:proofErr w:type="gramStart"/>
            <w:r w:rsidRPr="00DF0DFD">
              <w:rPr>
                <w:rFonts w:ascii="Times New Roman" w:hAnsi="Times New Roman" w:cs="Times New Roman"/>
              </w:rPr>
              <w:t>participant’s</w:t>
            </w:r>
            <w:proofErr w:type="gramEnd"/>
            <w:r w:rsidRPr="00DF0DFD">
              <w:rPr>
                <w:rFonts w:ascii="Times New Roman" w:hAnsi="Times New Roman" w:cs="Times New Roman"/>
              </w:rPr>
              <w:t>” should be “participants”.</w:t>
            </w:r>
          </w:p>
        </w:tc>
        <w:tc>
          <w:tcPr>
            <w:tcW w:w="5940" w:type="dxa"/>
          </w:tcPr>
          <w:p w:rsidRPr="00DF0DFD" w:rsidR="00947D2E" w:rsidP="001511AD" w:rsidRDefault="00DF0DFD">
            <w:pPr>
              <w:ind w:left="102" w:right="554"/>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 xml:space="preserve">This comment is based on a template document that </w:t>
            </w:r>
            <w:r w:rsidR="008B5769">
              <w:rPr>
                <w:rFonts w:ascii="Times New Roman" w:hAnsi="Times New Roman" w:eastAsia="Times New Roman" w:cs="Times New Roman"/>
                <w:sz w:val="24"/>
                <w:szCs w:val="24"/>
              </w:rPr>
              <w:t xml:space="preserve">serves as a tool for SAAs conducting state readiness reviews.  This tool </w:t>
            </w:r>
            <w:r w:rsidRPr="00DF0DFD">
              <w:rPr>
                <w:rFonts w:ascii="Times New Roman" w:hAnsi="Times New Roman" w:eastAsia="Times New Roman" w:cs="Times New Roman"/>
                <w:sz w:val="24"/>
                <w:szCs w:val="24"/>
              </w:rPr>
              <w:t xml:space="preserve">is included in the paper copy application </w:t>
            </w:r>
            <w:r w:rsidR="007F38CC">
              <w:rPr>
                <w:rFonts w:ascii="Times New Roman" w:hAnsi="Times New Roman" w:eastAsia="Times New Roman" w:cs="Times New Roman"/>
                <w:sz w:val="24"/>
                <w:szCs w:val="24"/>
              </w:rPr>
              <w:t>but</w:t>
            </w:r>
            <w:r w:rsidRPr="00DF0DFD">
              <w:rPr>
                <w:rFonts w:ascii="Times New Roman" w:hAnsi="Times New Roman" w:eastAsia="Times New Roman" w:cs="Times New Roman"/>
                <w:sz w:val="24"/>
                <w:szCs w:val="24"/>
              </w:rPr>
              <w:t xml:space="preserve"> is not the electronic application itself, which is what this information collection addresses.  We will work to make this correction. </w:t>
            </w:r>
          </w:p>
        </w:tc>
        <w:tc>
          <w:tcPr>
            <w:tcW w:w="1890" w:type="dxa"/>
          </w:tcPr>
          <w:p w:rsidRPr="00DF0DFD" w:rsidR="00947D2E" w:rsidP="001511AD" w:rsidRDefault="002E0BB3">
            <w:pPr>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State Readiness Review Template</w:t>
            </w:r>
          </w:p>
        </w:tc>
        <w:tc>
          <w:tcPr>
            <w:tcW w:w="1620" w:type="dxa"/>
          </w:tcPr>
          <w:p w:rsidRPr="00DF0DFD" w:rsidR="00947D2E" w:rsidP="005B13B9" w:rsidRDefault="00DF0DFD">
            <w:pPr>
              <w:spacing w:line="267" w:lineRule="exact"/>
              <w:ind w:right="-20"/>
              <w:rPr>
                <w:rFonts w:ascii="Times New Roman" w:hAnsi="Times New Roman" w:eastAsia="Times New Roman" w:cs="Times New Roman"/>
                <w:sz w:val="24"/>
                <w:szCs w:val="24"/>
              </w:rPr>
            </w:pPr>
            <w:r w:rsidRPr="00DF0DFD">
              <w:rPr>
                <w:rFonts w:ascii="Times New Roman" w:hAnsi="Times New Roman" w:eastAsia="Times New Roman" w:cs="Times New Roman"/>
                <w:sz w:val="24"/>
                <w:szCs w:val="24"/>
              </w:rPr>
              <w:t>N</w:t>
            </w:r>
          </w:p>
        </w:tc>
      </w:tr>
    </w:tbl>
    <w:p w:rsidRPr="00DF0DFD" w:rsidR="00222AF9" w:rsidP="0043246B" w:rsidRDefault="00222AF9">
      <w:pPr>
        <w:spacing w:after="0" w:line="267" w:lineRule="exact"/>
        <w:ind w:left="102" w:right="-20"/>
        <w:jc w:val="center"/>
        <w:rPr>
          <w:rFonts w:ascii="Times New Roman" w:hAnsi="Times New Roman" w:eastAsia="Times New Roman" w:cs="Times New Roman"/>
          <w:sz w:val="24"/>
          <w:szCs w:val="24"/>
        </w:rPr>
      </w:pPr>
    </w:p>
    <w:sectPr w:rsidRPr="00DF0DFD" w:rsidR="00222AF9" w:rsidSect="005B13B9">
      <w:footerReference w:type="default" r:id="rId8"/>
      <w:headerReference w:type="first" r:id="rId9"/>
      <w:pgSz w:w="15840" w:h="12240" w:orient="landscape" w:code="1"/>
      <w:pgMar w:top="1440" w:right="720" w:bottom="810" w:left="90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660" w:rsidRDefault="00833660">
      <w:pPr>
        <w:spacing w:after="0" w:line="240" w:lineRule="auto"/>
      </w:pPr>
      <w:r>
        <w:separator/>
      </w:r>
    </w:p>
  </w:endnote>
  <w:endnote w:type="continuationSeparator" w:id="0">
    <w:p w:rsidR="00833660" w:rsidRDefault="0083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879799"/>
      <w:docPartObj>
        <w:docPartGallery w:val="Page Numbers (Bottom of Page)"/>
        <w:docPartUnique/>
      </w:docPartObj>
    </w:sdtPr>
    <w:sdtEndPr>
      <w:rPr>
        <w:noProof/>
      </w:rPr>
    </w:sdtEndPr>
    <w:sdtContent>
      <w:p w:rsidR="00833660" w:rsidRDefault="00833660">
        <w:pPr>
          <w:pStyle w:val="Footer"/>
          <w:jc w:val="right"/>
        </w:pPr>
        <w:r>
          <w:fldChar w:fldCharType="begin"/>
        </w:r>
        <w:r>
          <w:instrText xml:space="preserve"> PAGE   \* MERGEFORMAT </w:instrText>
        </w:r>
        <w:r>
          <w:fldChar w:fldCharType="separate"/>
        </w:r>
        <w:r w:rsidR="00C925C0">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660" w:rsidRDefault="00833660">
      <w:pPr>
        <w:spacing w:after="0" w:line="240" w:lineRule="auto"/>
      </w:pPr>
      <w:r>
        <w:separator/>
      </w:r>
    </w:p>
  </w:footnote>
  <w:footnote w:type="continuationSeparator" w:id="0">
    <w:p w:rsidR="00833660" w:rsidRDefault="00833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660" w:rsidRDefault="00366B69" w:rsidP="00174954">
    <w:pPr>
      <w:spacing w:after="0" w:line="246" w:lineRule="exact"/>
      <w:ind w:left="758" w:right="742"/>
      <w:jc w:val="center"/>
      <w:rPr>
        <w:rFonts w:ascii="Arial" w:eastAsia="Arial" w:hAnsi="Arial" w:cs="Arial"/>
      </w:rPr>
    </w:pPr>
    <w:r>
      <w:rPr>
        <w:rFonts w:ascii="Arial" w:eastAsia="Arial" w:hAnsi="Arial" w:cs="Arial"/>
        <w:b/>
        <w:bCs/>
        <w:spacing w:val="-1"/>
      </w:rPr>
      <w:t>Crosswalk/</w:t>
    </w:r>
    <w:r w:rsidR="000B533F">
      <w:rPr>
        <w:rFonts w:ascii="Arial" w:eastAsia="Arial" w:hAnsi="Arial" w:cs="Arial"/>
        <w:b/>
        <w:bCs/>
        <w:spacing w:val="-1"/>
      </w:rPr>
      <w:t xml:space="preserve">Summary of </w:t>
    </w:r>
    <w:r>
      <w:rPr>
        <w:rFonts w:ascii="Arial" w:eastAsia="Arial" w:hAnsi="Arial" w:cs="Arial"/>
        <w:b/>
        <w:bCs/>
        <w:spacing w:val="-1"/>
      </w:rPr>
      <w:t xml:space="preserve">Change Based on </w:t>
    </w:r>
    <w:r w:rsidR="000B533F">
      <w:rPr>
        <w:rFonts w:ascii="Arial" w:eastAsia="Arial" w:hAnsi="Arial" w:cs="Arial"/>
        <w:b/>
        <w:bCs/>
        <w:spacing w:val="-1"/>
      </w:rPr>
      <w:t xml:space="preserve">60-day Comments and CMS Response </w:t>
    </w:r>
    <w:r w:rsidR="00833660">
      <w:rPr>
        <w:rFonts w:ascii="Arial" w:eastAsia="Arial" w:hAnsi="Arial" w:cs="Arial"/>
        <w:b/>
        <w:bCs/>
        <w:spacing w:val="1"/>
      </w:rPr>
      <w:t>f</w:t>
    </w:r>
    <w:r w:rsidR="00833660">
      <w:rPr>
        <w:rFonts w:ascii="Arial" w:eastAsia="Arial" w:hAnsi="Arial" w:cs="Arial"/>
        <w:b/>
        <w:bCs/>
      </w:rPr>
      <w:t>or</w:t>
    </w:r>
  </w:p>
  <w:p w:rsidR="00196663" w:rsidRDefault="00833660" w:rsidP="00174954">
    <w:pPr>
      <w:spacing w:after="0" w:line="252" w:lineRule="exact"/>
      <w:ind w:left="-17" w:right="-37"/>
      <w:jc w:val="center"/>
      <w:rPr>
        <w:rFonts w:ascii="Arial" w:eastAsia="Arial" w:hAnsi="Arial" w:cs="Arial"/>
        <w:b/>
        <w:bCs/>
      </w:rPr>
    </w:pPr>
    <w:r>
      <w:rPr>
        <w:rFonts w:ascii="Arial" w:eastAsia="Arial" w:hAnsi="Arial" w:cs="Arial"/>
        <w:b/>
        <w:bCs/>
        <w:spacing w:val="-1"/>
      </w:rPr>
      <w:t>P</w:t>
    </w:r>
    <w:r>
      <w:rPr>
        <w:rFonts w:ascii="Arial" w:eastAsia="Arial" w:hAnsi="Arial" w:cs="Arial"/>
        <w:b/>
        <w:bCs/>
        <w:spacing w:val="4"/>
      </w:rPr>
      <w:t>R</w:t>
    </w:r>
    <w:r>
      <w:rPr>
        <w:rFonts w:ascii="Arial" w:eastAsia="Arial" w:hAnsi="Arial" w:cs="Arial"/>
        <w:b/>
        <w:bCs/>
      </w:rPr>
      <w:t>A</w:t>
    </w:r>
    <w:r>
      <w:rPr>
        <w:rFonts w:ascii="Arial" w:eastAsia="Arial" w:hAnsi="Arial" w:cs="Arial"/>
        <w:b/>
        <w:bCs/>
        <w:spacing w:val="-7"/>
      </w:rPr>
      <w:t xml:space="preserve"> </w:t>
    </w:r>
    <w:r>
      <w:rPr>
        <w:rFonts w:ascii="Arial" w:eastAsia="Arial" w:hAnsi="Arial" w:cs="Arial"/>
        <w:b/>
        <w:bCs/>
        <w:spacing w:val="-1"/>
      </w:rPr>
      <w:t>P</w:t>
    </w:r>
    <w:r>
      <w:rPr>
        <w:rFonts w:ascii="Arial" w:eastAsia="Arial" w:hAnsi="Arial" w:cs="Arial"/>
        <w:b/>
        <w:bCs/>
      </w:rPr>
      <w:t>ackage</w:t>
    </w:r>
    <w:r>
      <w:rPr>
        <w:rFonts w:ascii="Arial" w:eastAsia="Arial" w:hAnsi="Arial" w:cs="Arial"/>
        <w:b/>
        <w:bCs/>
        <w:spacing w:val="1"/>
      </w:rPr>
      <w:t xml:space="preserve"> (</w:t>
    </w:r>
    <w:r>
      <w:rPr>
        <w:rFonts w:ascii="Arial" w:eastAsia="Arial" w:hAnsi="Arial" w:cs="Arial"/>
        <w:b/>
        <w:bCs/>
        <w:spacing w:val="1"/>
        <w:highlight w:val="yellow"/>
      </w:rPr>
      <w:t>CMS-</w:t>
    </w:r>
    <w:r>
      <w:rPr>
        <w:rFonts w:ascii="Arial" w:eastAsia="Arial" w:hAnsi="Arial" w:cs="Arial"/>
        <w:b/>
        <w:bCs/>
        <w:spacing w:val="1"/>
      </w:rPr>
      <w:t xml:space="preserve">10631 </w:t>
    </w:r>
    <w:r>
      <w:rPr>
        <w:rFonts w:ascii="Arial" w:eastAsia="Arial" w:hAnsi="Arial" w:cs="Arial"/>
        <w:b/>
        <w:bCs/>
      </w:rPr>
      <w:t>Electronic PACE Applic</w:t>
    </w:r>
    <w:r w:rsidR="005B13B9">
      <w:rPr>
        <w:rFonts w:ascii="Arial" w:eastAsia="Arial" w:hAnsi="Arial" w:cs="Arial"/>
        <w:b/>
        <w:bCs/>
      </w:rPr>
      <w:t>ation</w:t>
    </w:r>
    <w:r w:rsidR="000B533F">
      <w:rPr>
        <w:rFonts w:ascii="Arial" w:eastAsia="Arial" w:hAnsi="Arial" w:cs="Arial"/>
        <w:b/>
        <w:bCs/>
      </w:rPr>
      <w:t>)</w:t>
    </w:r>
    <w:r w:rsidR="00196663">
      <w:rPr>
        <w:rFonts w:ascii="Arial" w:eastAsia="Arial" w:hAnsi="Arial" w:cs="Arial"/>
        <w:b/>
        <w:bCs/>
      </w:rPr>
      <w:t xml:space="preserve"> </w:t>
    </w:r>
  </w:p>
  <w:p w:rsidR="00196663" w:rsidRDefault="00196663" w:rsidP="00174954">
    <w:pPr>
      <w:spacing w:after="0" w:line="252" w:lineRule="exact"/>
      <w:ind w:left="-17" w:right="-37"/>
      <w:jc w:val="center"/>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BA9B1E"/>
    <w:multiLevelType w:val="hybridMultilevel"/>
    <w:tmpl w:val="133A91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DB8AD4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63627"/>
    <w:multiLevelType w:val="hybridMultilevel"/>
    <w:tmpl w:val="740A2418"/>
    <w:lvl w:ilvl="0" w:tplc="5EE010B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 w15:restartNumberingAfterBreak="0">
    <w:nsid w:val="099D0ECD"/>
    <w:multiLevelType w:val="hybridMultilevel"/>
    <w:tmpl w:val="70F6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C27E1"/>
    <w:multiLevelType w:val="hybridMultilevel"/>
    <w:tmpl w:val="D8AA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149AA"/>
    <w:multiLevelType w:val="hybridMultilevel"/>
    <w:tmpl w:val="70D2918E"/>
    <w:lvl w:ilvl="0" w:tplc="D06E8FD4">
      <w:start w:val="24"/>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624FC"/>
    <w:multiLevelType w:val="multilevel"/>
    <w:tmpl w:val="146A8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5146A"/>
    <w:multiLevelType w:val="multilevel"/>
    <w:tmpl w:val="B4F6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D7C8F"/>
    <w:multiLevelType w:val="hybridMultilevel"/>
    <w:tmpl w:val="DC0670FC"/>
    <w:lvl w:ilvl="0" w:tplc="80B044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A6245"/>
    <w:multiLevelType w:val="hybridMultilevel"/>
    <w:tmpl w:val="ABAECE7C"/>
    <w:lvl w:ilvl="0" w:tplc="0BC6EAB4">
      <w:start w:val="3"/>
      <w:numFmt w:val="decimal"/>
      <w:lvlText w:val="%1."/>
      <w:lvlJc w:val="left"/>
      <w:pPr>
        <w:ind w:left="430" w:hanging="360"/>
      </w:pPr>
      <w:rPr>
        <w:rFonts w:ascii="Calibri-BoldItalic" w:hAnsi="Calibri-BoldItalic" w:cs="Calibri-BoldItalic"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3F596DB0"/>
    <w:multiLevelType w:val="hybridMultilevel"/>
    <w:tmpl w:val="6AAE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9330D"/>
    <w:multiLevelType w:val="hybridMultilevel"/>
    <w:tmpl w:val="ABAECE7C"/>
    <w:lvl w:ilvl="0" w:tplc="0BC6EAB4">
      <w:start w:val="3"/>
      <w:numFmt w:val="decimal"/>
      <w:lvlText w:val="%1."/>
      <w:lvlJc w:val="left"/>
      <w:pPr>
        <w:ind w:left="430" w:hanging="360"/>
      </w:pPr>
      <w:rPr>
        <w:rFonts w:ascii="Calibri-BoldItalic" w:hAnsi="Calibri-BoldItalic" w:cs="Calibri-BoldItalic"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15:restartNumberingAfterBreak="0">
    <w:nsid w:val="49186582"/>
    <w:multiLevelType w:val="hybridMultilevel"/>
    <w:tmpl w:val="E8C22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45B20"/>
    <w:multiLevelType w:val="hybridMultilevel"/>
    <w:tmpl w:val="9BBE76F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29E3B9A"/>
    <w:multiLevelType w:val="multilevel"/>
    <w:tmpl w:val="95CA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771B7"/>
    <w:multiLevelType w:val="hybridMultilevel"/>
    <w:tmpl w:val="F112F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60D2C"/>
    <w:multiLevelType w:val="hybridMultilevel"/>
    <w:tmpl w:val="0B7E51B0"/>
    <w:lvl w:ilvl="0" w:tplc="01520680">
      <w:start w:val="23"/>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85443"/>
    <w:multiLevelType w:val="hybridMultilevel"/>
    <w:tmpl w:val="DB928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806705B"/>
    <w:multiLevelType w:val="hybridMultilevel"/>
    <w:tmpl w:val="080A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F2750"/>
    <w:multiLevelType w:val="hybridMultilevel"/>
    <w:tmpl w:val="94924DFA"/>
    <w:lvl w:ilvl="0" w:tplc="DD1AC5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30CDE"/>
    <w:multiLevelType w:val="hybridMultilevel"/>
    <w:tmpl w:val="9CD2D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013B51"/>
    <w:multiLevelType w:val="hybridMultilevel"/>
    <w:tmpl w:val="ABAECE7C"/>
    <w:lvl w:ilvl="0" w:tplc="0BC6EAB4">
      <w:start w:val="3"/>
      <w:numFmt w:val="decimal"/>
      <w:lvlText w:val="%1."/>
      <w:lvlJc w:val="left"/>
      <w:pPr>
        <w:ind w:left="430" w:hanging="360"/>
      </w:pPr>
      <w:rPr>
        <w:rFonts w:ascii="Calibri-BoldItalic" w:hAnsi="Calibri-BoldItalic" w:cs="Calibri-BoldItalic"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2" w15:restartNumberingAfterBreak="0">
    <w:nsid w:val="7D9D4DB4"/>
    <w:multiLevelType w:val="hybridMultilevel"/>
    <w:tmpl w:val="BDB68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3254E"/>
    <w:multiLevelType w:val="hybridMultilevel"/>
    <w:tmpl w:val="CCF096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9457DA"/>
    <w:multiLevelType w:val="hybridMultilevel"/>
    <w:tmpl w:val="ABAECE7C"/>
    <w:lvl w:ilvl="0" w:tplc="0BC6EAB4">
      <w:start w:val="3"/>
      <w:numFmt w:val="decimal"/>
      <w:lvlText w:val="%1."/>
      <w:lvlJc w:val="left"/>
      <w:pPr>
        <w:ind w:left="430" w:hanging="360"/>
      </w:pPr>
      <w:rPr>
        <w:rFonts w:ascii="Calibri-BoldItalic" w:hAnsi="Calibri-BoldItalic" w:cs="Calibri-BoldItalic"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1"/>
  </w:num>
  <w:num w:numId="2">
    <w:abstractNumId w:val="8"/>
  </w:num>
  <w:num w:numId="3">
    <w:abstractNumId w:val="7"/>
  </w:num>
  <w:num w:numId="4">
    <w:abstractNumId w:val="12"/>
  </w:num>
  <w:num w:numId="5">
    <w:abstractNumId w:val="18"/>
  </w:num>
  <w:num w:numId="6">
    <w:abstractNumId w:val="16"/>
  </w:num>
  <w:num w:numId="7">
    <w:abstractNumId w:val="14"/>
  </w:num>
  <w:num w:numId="8">
    <w:abstractNumId w:val="10"/>
  </w:num>
  <w:num w:numId="9">
    <w:abstractNumId w:val="5"/>
  </w:num>
  <w:num w:numId="10">
    <w:abstractNumId w:val="17"/>
  </w:num>
  <w:num w:numId="11">
    <w:abstractNumId w:val="4"/>
  </w:num>
  <w:num w:numId="12">
    <w:abstractNumId w:val="20"/>
  </w:num>
  <w:num w:numId="13">
    <w:abstractNumId w:val="13"/>
  </w:num>
  <w:num w:numId="14">
    <w:abstractNumId w:val="19"/>
  </w:num>
  <w:num w:numId="15">
    <w:abstractNumId w:val="23"/>
  </w:num>
  <w:num w:numId="16">
    <w:abstractNumId w:val="0"/>
  </w:num>
  <w:num w:numId="17">
    <w:abstractNumId w:val="22"/>
  </w:num>
  <w:num w:numId="18">
    <w:abstractNumId w:val="3"/>
  </w:num>
  <w:num w:numId="19">
    <w:abstractNumId w:val="15"/>
  </w:num>
  <w:num w:numId="20">
    <w:abstractNumId w:val="2"/>
  </w:num>
  <w:num w:numId="21">
    <w:abstractNumId w:val="9"/>
  </w:num>
  <w:num w:numId="22">
    <w:abstractNumId w:val="24"/>
  </w:num>
  <w:num w:numId="23">
    <w:abstractNumId w:val="21"/>
  </w:num>
  <w:num w:numId="24">
    <w:abstractNumId w:val="11"/>
  </w:num>
  <w:num w:numId="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98"/>
    <w:rsid w:val="00005A68"/>
    <w:rsid w:val="00026CDE"/>
    <w:rsid w:val="000301FB"/>
    <w:rsid w:val="000353DC"/>
    <w:rsid w:val="00042F1E"/>
    <w:rsid w:val="000532D2"/>
    <w:rsid w:val="00056440"/>
    <w:rsid w:val="000602A4"/>
    <w:rsid w:val="00061C4B"/>
    <w:rsid w:val="0006476C"/>
    <w:rsid w:val="00073AD0"/>
    <w:rsid w:val="00077BDD"/>
    <w:rsid w:val="00080B11"/>
    <w:rsid w:val="00081D0F"/>
    <w:rsid w:val="00090EB3"/>
    <w:rsid w:val="00091AFF"/>
    <w:rsid w:val="00097B29"/>
    <w:rsid w:val="000A5BC6"/>
    <w:rsid w:val="000B533F"/>
    <w:rsid w:val="000B5D6A"/>
    <w:rsid w:val="000C1FCD"/>
    <w:rsid w:val="000C6AEB"/>
    <w:rsid w:val="000D0281"/>
    <w:rsid w:val="000D2799"/>
    <w:rsid w:val="000D4F71"/>
    <w:rsid w:val="000D5B75"/>
    <w:rsid w:val="000E33D8"/>
    <w:rsid w:val="000F29A0"/>
    <w:rsid w:val="001060E6"/>
    <w:rsid w:val="00112D91"/>
    <w:rsid w:val="00115ED2"/>
    <w:rsid w:val="00120623"/>
    <w:rsid w:val="00123C55"/>
    <w:rsid w:val="001253C7"/>
    <w:rsid w:val="00130C98"/>
    <w:rsid w:val="001316AA"/>
    <w:rsid w:val="00132A50"/>
    <w:rsid w:val="001465E2"/>
    <w:rsid w:val="0015012C"/>
    <w:rsid w:val="001511AD"/>
    <w:rsid w:val="0015535F"/>
    <w:rsid w:val="001617B9"/>
    <w:rsid w:val="00165593"/>
    <w:rsid w:val="00167E39"/>
    <w:rsid w:val="00172748"/>
    <w:rsid w:val="00174954"/>
    <w:rsid w:val="001770A7"/>
    <w:rsid w:val="00180C81"/>
    <w:rsid w:val="0018102F"/>
    <w:rsid w:val="00181F8E"/>
    <w:rsid w:val="00185C1B"/>
    <w:rsid w:val="001879AA"/>
    <w:rsid w:val="001917C0"/>
    <w:rsid w:val="00196663"/>
    <w:rsid w:val="001A0E74"/>
    <w:rsid w:val="001A74D5"/>
    <w:rsid w:val="001B4C73"/>
    <w:rsid w:val="001B5421"/>
    <w:rsid w:val="001B5E49"/>
    <w:rsid w:val="001C1B45"/>
    <w:rsid w:val="001C7944"/>
    <w:rsid w:val="001D31C3"/>
    <w:rsid w:val="001D5DB1"/>
    <w:rsid w:val="001D61A0"/>
    <w:rsid w:val="001F31E1"/>
    <w:rsid w:val="001F7008"/>
    <w:rsid w:val="00200191"/>
    <w:rsid w:val="00205E15"/>
    <w:rsid w:val="00222AF9"/>
    <w:rsid w:val="00222B2C"/>
    <w:rsid w:val="00235ACF"/>
    <w:rsid w:val="002379DE"/>
    <w:rsid w:val="00244EBA"/>
    <w:rsid w:val="00250A27"/>
    <w:rsid w:val="00250BD8"/>
    <w:rsid w:val="0025692D"/>
    <w:rsid w:val="00262BFC"/>
    <w:rsid w:val="002643A6"/>
    <w:rsid w:val="00266E46"/>
    <w:rsid w:val="00273951"/>
    <w:rsid w:val="00273CD6"/>
    <w:rsid w:val="00284E2F"/>
    <w:rsid w:val="00290612"/>
    <w:rsid w:val="00290E63"/>
    <w:rsid w:val="00294B55"/>
    <w:rsid w:val="002A506F"/>
    <w:rsid w:val="002A7E4C"/>
    <w:rsid w:val="002B1D39"/>
    <w:rsid w:val="002B3621"/>
    <w:rsid w:val="002D0139"/>
    <w:rsid w:val="002D0F50"/>
    <w:rsid w:val="002D57FD"/>
    <w:rsid w:val="002D78B0"/>
    <w:rsid w:val="002E0BB3"/>
    <w:rsid w:val="002E0F55"/>
    <w:rsid w:val="002E1F4E"/>
    <w:rsid w:val="002E623B"/>
    <w:rsid w:val="002E7855"/>
    <w:rsid w:val="002F18C0"/>
    <w:rsid w:val="002F3257"/>
    <w:rsid w:val="002F4B1B"/>
    <w:rsid w:val="002F67ED"/>
    <w:rsid w:val="003003F0"/>
    <w:rsid w:val="00302D37"/>
    <w:rsid w:val="00306AA7"/>
    <w:rsid w:val="00307D6C"/>
    <w:rsid w:val="00311AE7"/>
    <w:rsid w:val="003136A0"/>
    <w:rsid w:val="00321606"/>
    <w:rsid w:val="003235DB"/>
    <w:rsid w:val="003262F1"/>
    <w:rsid w:val="00327978"/>
    <w:rsid w:val="003315C6"/>
    <w:rsid w:val="00333555"/>
    <w:rsid w:val="00346D0B"/>
    <w:rsid w:val="00347B80"/>
    <w:rsid w:val="00350C22"/>
    <w:rsid w:val="0035194C"/>
    <w:rsid w:val="0035452A"/>
    <w:rsid w:val="003563FD"/>
    <w:rsid w:val="00357BA7"/>
    <w:rsid w:val="00362B1D"/>
    <w:rsid w:val="00365913"/>
    <w:rsid w:val="00366B69"/>
    <w:rsid w:val="00366F2A"/>
    <w:rsid w:val="003756DA"/>
    <w:rsid w:val="003763B2"/>
    <w:rsid w:val="00380766"/>
    <w:rsid w:val="00381946"/>
    <w:rsid w:val="00381E65"/>
    <w:rsid w:val="003827AD"/>
    <w:rsid w:val="00383FF9"/>
    <w:rsid w:val="00384919"/>
    <w:rsid w:val="003906CC"/>
    <w:rsid w:val="00391C5F"/>
    <w:rsid w:val="00395FA7"/>
    <w:rsid w:val="003A4A9D"/>
    <w:rsid w:val="003A5E29"/>
    <w:rsid w:val="003A72D6"/>
    <w:rsid w:val="003B02C3"/>
    <w:rsid w:val="003B72C2"/>
    <w:rsid w:val="003C7483"/>
    <w:rsid w:val="003D36C6"/>
    <w:rsid w:val="003E2EEE"/>
    <w:rsid w:val="003E507B"/>
    <w:rsid w:val="003E52BF"/>
    <w:rsid w:val="003F6542"/>
    <w:rsid w:val="003F6F42"/>
    <w:rsid w:val="0040119A"/>
    <w:rsid w:val="00406181"/>
    <w:rsid w:val="00407625"/>
    <w:rsid w:val="00410BED"/>
    <w:rsid w:val="0041347D"/>
    <w:rsid w:val="004177DA"/>
    <w:rsid w:val="00417DF8"/>
    <w:rsid w:val="00421FD0"/>
    <w:rsid w:val="004229B7"/>
    <w:rsid w:val="0042610C"/>
    <w:rsid w:val="0043246B"/>
    <w:rsid w:val="004435A2"/>
    <w:rsid w:val="00450BE2"/>
    <w:rsid w:val="00451438"/>
    <w:rsid w:val="00453D1F"/>
    <w:rsid w:val="0045484B"/>
    <w:rsid w:val="00471BFB"/>
    <w:rsid w:val="0047269E"/>
    <w:rsid w:val="004836B0"/>
    <w:rsid w:val="00483B6B"/>
    <w:rsid w:val="00491D19"/>
    <w:rsid w:val="00492B96"/>
    <w:rsid w:val="004A42B4"/>
    <w:rsid w:val="004A7861"/>
    <w:rsid w:val="004B1895"/>
    <w:rsid w:val="004C1F80"/>
    <w:rsid w:val="004C4ED3"/>
    <w:rsid w:val="004D26AB"/>
    <w:rsid w:val="004D7BC0"/>
    <w:rsid w:val="004E715F"/>
    <w:rsid w:val="00502BDD"/>
    <w:rsid w:val="00503B42"/>
    <w:rsid w:val="00515EA1"/>
    <w:rsid w:val="00530D60"/>
    <w:rsid w:val="00532B05"/>
    <w:rsid w:val="005402A8"/>
    <w:rsid w:val="00541A33"/>
    <w:rsid w:val="005425F0"/>
    <w:rsid w:val="005432BD"/>
    <w:rsid w:val="005449A7"/>
    <w:rsid w:val="00544DE7"/>
    <w:rsid w:val="005514A5"/>
    <w:rsid w:val="00554C06"/>
    <w:rsid w:val="005619E7"/>
    <w:rsid w:val="00572F3B"/>
    <w:rsid w:val="0059602B"/>
    <w:rsid w:val="005A252D"/>
    <w:rsid w:val="005B13B9"/>
    <w:rsid w:val="005B171D"/>
    <w:rsid w:val="005B670A"/>
    <w:rsid w:val="005C0323"/>
    <w:rsid w:val="005C2D2D"/>
    <w:rsid w:val="005D171F"/>
    <w:rsid w:val="005D6363"/>
    <w:rsid w:val="005E215C"/>
    <w:rsid w:val="005E2202"/>
    <w:rsid w:val="005E785D"/>
    <w:rsid w:val="005F52CC"/>
    <w:rsid w:val="005F57C7"/>
    <w:rsid w:val="00601B56"/>
    <w:rsid w:val="00601E02"/>
    <w:rsid w:val="00603715"/>
    <w:rsid w:val="00604D27"/>
    <w:rsid w:val="00607598"/>
    <w:rsid w:val="006130A4"/>
    <w:rsid w:val="00613189"/>
    <w:rsid w:val="00623862"/>
    <w:rsid w:val="00626BA2"/>
    <w:rsid w:val="00630FBE"/>
    <w:rsid w:val="00637B1D"/>
    <w:rsid w:val="00642830"/>
    <w:rsid w:val="0064485B"/>
    <w:rsid w:val="00645B06"/>
    <w:rsid w:val="00646961"/>
    <w:rsid w:val="0066363A"/>
    <w:rsid w:val="00666041"/>
    <w:rsid w:val="006663C7"/>
    <w:rsid w:val="00666D23"/>
    <w:rsid w:val="00667A80"/>
    <w:rsid w:val="0067449B"/>
    <w:rsid w:val="00683644"/>
    <w:rsid w:val="0069351B"/>
    <w:rsid w:val="0069577B"/>
    <w:rsid w:val="00696106"/>
    <w:rsid w:val="006B044A"/>
    <w:rsid w:val="006B20AA"/>
    <w:rsid w:val="006B4F55"/>
    <w:rsid w:val="006B5B88"/>
    <w:rsid w:val="006C1E74"/>
    <w:rsid w:val="006D1DC5"/>
    <w:rsid w:val="006D46A8"/>
    <w:rsid w:val="006D659F"/>
    <w:rsid w:val="006D6FD6"/>
    <w:rsid w:val="006E2270"/>
    <w:rsid w:val="006F7D89"/>
    <w:rsid w:val="00712A04"/>
    <w:rsid w:val="007206F2"/>
    <w:rsid w:val="00735036"/>
    <w:rsid w:val="007350FA"/>
    <w:rsid w:val="00741FA8"/>
    <w:rsid w:val="00752243"/>
    <w:rsid w:val="00753154"/>
    <w:rsid w:val="007604AB"/>
    <w:rsid w:val="00767862"/>
    <w:rsid w:val="00767B71"/>
    <w:rsid w:val="00792BF6"/>
    <w:rsid w:val="007B2DF2"/>
    <w:rsid w:val="007B6653"/>
    <w:rsid w:val="007C0FA4"/>
    <w:rsid w:val="007C5E37"/>
    <w:rsid w:val="007D0229"/>
    <w:rsid w:val="007D3758"/>
    <w:rsid w:val="007D3E17"/>
    <w:rsid w:val="007F38CC"/>
    <w:rsid w:val="007F4050"/>
    <w:rsid w:val="007F53B0"/>
    <w:rsid w:val="008066C5"/>
    <w:rsid w:val="00807664"/>
    <w:rsid w:val="0081258A"/>
    <w:rsid w:val="00813797"/>
    <w:rsid w:val="00813C3A"/>
    <w:rsid w:val="00816B58"/>
    <w:rsid w:val="00816F49"/>
    <w:rsid w:val="00822E52"/>
    <w:rsid w:val="0082378B"/>
    <w:rsid w:val="00826971"/>
    <w:rsid w:val="00832BCD"/>
    <w:rsid w:val="00833660"/>
    <w:rsid w:val="00835F4A"/>
    <w:rsid w:val="00845861"/>
    <w:rsid w:val="00856830"/>
    <w:rsid w:val="008613D7"/>
    <w:rsid w:val="00862603"/>
    <w:rsid w:val="00867655"/>
    <w:rsid w:val="008859A3"/>
    <w:rsid w:val="00895C9C"/>
    <w:rsid w:val="008A0DF6"/>
    <w:rsid w:val="008A737D"/>
    <w:rsid w:val="008B2937"/>
    <w:rsid w:val="008B345F"/>
    <w:rsid w:val="008B5769"/>
    <w:rsid w:val="008C2571"/>
    <w:rsid w:val="008C47AC"/>
    <w:rsid w:val="008C5CEB"/>
    <w:rsid w:val="008F2786"/>
    <w:rsid w:val="008F300D"/>
    <w:rsid w:val="008F71EE"/>
    <w:rsid w:val="0090131A"/>
    <w:rsid w:val="009067E2"/>
    <w:rsid w:val="00911A75"/>
    <w:rsid w:val="009138A7"/>
    <w:rsid w:val="00914809"/>
    <w:rsid w:val="009221AD"/>
    <w:rsid w:val="00927252"/>
    <w:rsid w:val="00940B77"/>
    <w:rsid w:val="00941902"/>
    <w:rsid w:val="009472F0"/>
    <w:rsid w:val="00947708"/>
    <w:rsid w:val="00947D2E"/>
    <w:rsid w:val="009613C3"/>
    <w:rsid w:val="0098063D"/>
    <w:rsid w:val="009817B9"/>
    <w:rsid w:val="0098484A"/>
    <w:rsid w:val="009A1F12"/>
    <w:rsid w:val="009C455D"/>
    <w:rsid w:val="009E1957"/>
    <w:rsid w:val="009E4BFC"/>
    <w:rsid w:val="009E4FA4"/>
    <w:rsid w:val="009E7183"/>
    <w:rsid w:val="009F4622"/>
    <w:rsid w:val="009F6153"/>
    <w:rsid w:val="00A01DA7"/>
    <w:rsid w:val="00A04261"/>
    <w:rsid w:val="00A05345"/>
    <w:rsid w:val="00A058EA"/>
    <w:rsid w:val="00A05DA7"/>
    <w:rsid w:val="00A12D52"/>
    <w:rsid w:val="00A143B2"/>
    <w:rsid w:val="00A1493B"/>
    <w:rsid w:val="00A27FD1"/>
    <w:rsid w:val="00A31B55"/>
    <w:rsid w:val="00A34899"/>
    <w:rsid w:val="00A34CC3"/>
    <w:rsid w:val="00A37F5D"/>
    <w:rsid w:val="00A5297B"/>
    <w:rsid w:val="00A5424E"/>
    <w:rsid w:val="00A549A4"/>
    <w:rsid w:val="00A6098E"/>
    <w:rsid w:val="00A61BBE"/>
    <w:rsid w:val="00A623EB"/>
    <w:rsid w:val="00A67777"/>
    <w:rsid w:val="00A67972"/>
    <w:rsid w:val="00A72ED0"/>
    <w:rsid w:val="00A738C2"/>
    <w:rsid w:val="00A8240A"/>
    <w:rsid w:val="00A85C36"/>
    <w:rsid w:val="00A86498"/>
    <w:rsid w:val="00A9203A"/>
    <w:rsid w:val="00A92042"/>
    <w:rsid w:val="00A94A4E"/>
    <w:rsid w:val="00AA24F9"/>
    <w:rsid w:val="00AB23EA"/>
    <w:rsid w:val="00AB4A46"/>
    <w:rsid w:val="00AC0124"/>
    <w:rsid w:val="00AC2A80"/>
    <w:rsid w:val="00AC2BB9"/>
    <w:rsid w:val="00AC6C6C"/>
    <w:rsid w:val="00AD163C"/>
    <w:rsid w:val="00AE4F9D"/>
    <w:rsid w:val="00AF7494"/>
    <w:rsid w:val="00B0116C"/>
    <w:rsid w:val="00B045EE"/>
    <w:rsid w:val="00B07C7C"/>
    <w:rsid w:val="00B07F60"/>
    <w:rsid w:val="00B10112"/>
    <w:rsid w:val="00B20A37"/>
    <w:rsid w:val="00B211F3"/>
    <w:rsid w:val="00B308FA"/>
    <w:rsid w:val="00B343A1"/>
    <w:rsid w:val="00B4307C"/>
    <w:rsid w:val="00B45357"/>
    <w:rsid w:val="00B5333C"/>
    <w:rsid w:val="00B6080F"/>
    <w:rsid w:val="00B64F2B"/>
    <w:rsid w:val="00B76EAD"/>
    <w:rsid w:val="00B77422"/>
    <w:rsid w:val="00B81639"/>
    <w:rsid w:val="00B94893"/>
    <w:rsid w:val="00B953AF"/>
    <w:rsid w:val="00B95FD0"/>
    <w:rsid w:val="00BA0C24"/>
    <w:rsid w:val="00BA1656"/>
    <w:rsid w:val="00BA167F"/>
    <w:rsid w:val="00BA1D42"/>
    <w:rsid w:val="00BA37D4"/>
    <w:rsid w:val="00BA3A1F"/>
    <w:rsid w:val="00BA56BF"/>
    <w:rsid w:val="00BB6307"/>
    <w:rsid w:val="00BC16F4"/>
    <w:rsid w:val="00BC1EF2"/>
    <w:rsid w:val="00BC1F15"/>
    <w:rsid w:val="00BC2D54"/>
    <w:rsid w:val="00BC6D1D"/>
    <w:rsid w:val="00BD0421"/>
    <w:rsid w:val="00BE3859"/>
    <w:rsid w:val="00BF43D4"/>
    <w:rsid w:val="00C027B0"/>
    <w:rsid w:val="00C06D76"/>
    <w:rsid w:val="00C12305"/>
    <w:rsid w:val="00C22606"/>
    <w:rsid w:val="00C24CEA"/>
    <w:rsid w:val="00C259F4"/>
    <w:rsid w:val="00C3045B"/>
    <w:rsid w:val="00C348E2"/>
    <w:rsid w:val="00C53DE4"/>
    <w:rsid w:val="00C55A79"/>
    <w:rsid w:val="00C60DA2"/>
    <w:rsid w:val="00C63ED8"/>
    <w:rsid w:val="00C64A56"/>
    <w:rsid w:val="00C64CBD"/>
    <w:rsid w:val="00C65C16"/>
    <w:rsid w:val="00C67F69"/>
    <w:rsid w:val="00C714D5"/>
    <w:rsid w:val="00C833DA"/>
    <w:rsid w:val="00C8697D"/>
    <w:rsid w:val="00C87DD0"/>
    <w:rsid w:val="00C925C0"/>
    <w:rsid w:val="00C97DB1"/>
    <w:rsid w:val="00CA08AD"/>
    <w:rsid w:val="00CB1CE3"/>
    <w:rsid w:val="00CB289E"/>
    <w:rsid w:val="00CD191D"/>
    <w:rsid w:val="00CD3689"/>
    <w:rsid w:val="00CE2746"/>
    <w:rsid w:val="00CE45C4"/>
    <w:rsid w:val="00CF000B"/>
    <w:rsid w:val="00CF18C8"/>
    <w:rsid w:val="00CF6175"/>
    <w:rsid w:val="00D001B4"/>
    <w:rsid w:val="00D043F4"/>
    <w:rsid w:val="00D122C5"/>
    <w:rsid w:val="00D173D1"/>
    <w:rsid w:val="00D20580"/>
    <w:rsid w:val="00D43996"/>
    <w:rsid w:val="00D53BF8"/>
    <w:rsid w:val="00D63806"/>
    <w:rsid w:val="00D67BD1"/>
    <w:rsid w:val="00D81845"/>
    <w:rsid w:val="00D946E4"/>
    <w:rsid w:val="00D95E18"/>
    <w:rsid w:val="00DB6CF0"/>
    <w:rsid w:val="00DC4063"/>
    <w:rsid w:val="00DC727C"/>
    <w:rsid w:val="00DC7452"/>
    <w:rsid w:val="00DD2630"/>
    <w:rsid w:val="00DD2901"/>
    <w:rsid w:val="00DD5CE1"/>
    <w:rsid w:val="00DE4747"/>
    <w:rsid w:val="00DE6C03"/>
    <w:rsid w:val="00DF0DFD"/>
    <w:rsid w:val="00DF14B6"/>
    <w:rsid w:val="00DF1FA2"/>
    <w:rsid w:val="00E01572"/>
    <w:rsid w:val="00E046E8"/>
    <w:rsid w:val="00E16B7B"/>
    <w:rsid w:val="00E2264F"/>
    <w:rsid w:val="00E22A9D"/>
    <w:rsid w:val="00E22BE6"/>
    <w:rsid w:val="00E24A87"/>
    <w:rsid w:val="00E26552"/>
    <w:rsid w:val="00E37471"/>
    <w:rsid w:val="00E50023"/>
    <w:rsid w:val="00E549F6"/>
    <w:rsid w:val="00E65961"/>
    <w:rsid w:val="00E65D25"/>
    <w:rsid w:val="00E65E19"/>
    <w:rsid w:val="00E660AB"/>
    <w:rsid w:val="00E72067"/>
    <w:rsid w:val="00E73CFA"/>
    <w:rsid w:val="00E779F0"/>
    <w:rsid w:val="00EB1CFE"/>
    <w:rsid w:val="00EB62F0"/>
    <w:rsid w:val="00EB6E8D"/>
    <w:rsid w:val="00ED517C"/>
    <w:rsid w:val="00EE0F64"/>
    <w:rsid w:val="00EF1F82"/>
    <w:rsid w:val="00EF5769"/>
    <w:rsid w:val="00F04479"/>
    <w:rsid w:val="00F04CCC"/>
    <w:rsid w:val="00F1253A"/>
    <w:rsid w:val="00F25DF9"/>
    <w:rsid w:val="00F25F52"/>
    <w:rsid w:val="00F271D3"/>
    <w:rsid w:val="00F30723"/>
    <w:rsid w:val="00F41F19"/>
    <w:rsid w:val="00F54AE9"/>
    <w:rsid w:val="00F76AC2"/>
    <w:rsid w:val="00F808ED"/>
    <w:rsid w:val="00F823AE"/>
    <w:rsid w:val="00F92A55"/>
    <w:rsid w:val="00F97250"/>
    <w:rsid w:val="00FA68B0"/>
    <w:rsid w:val="00FB4E21"/>
    <w:rsid w:val="00FB59D6"/>
    <w:rsid w:val="00FB6364"/>
    <w:rsid w:val="00FB6C9D"/>
    <w:rsid w:val="00FC46E0"/>
    <w:rsid w:val="00FE6B49"/>
    <w:rsid w:val="00FE7B1A"/>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5956905"/>
  <w15:docId w15:val="{7EBEF80E-F0BB-4474-87CB-45A5FFA6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DA7"/>
  </w:style>
  <w:style w:type="paragraph" w:styleId="Heading3">
    <w:name w:val="heading 3"/>
    <w:basedOn w:val="Normal"/>
    <w:next w:val="Normal"/>
    <w:link w:val="Heading3Char"/>
    <w:unhideWhenUsed/>
    <w:qFormat/>
    <w:rsid w:val="008613D7"/>
    <w:pPr>
      <w:keepNext/>
      <w:keepLines/>
      <w:widowControl/>
      <w:spacing w:before="40" w:after="0" w:line="240" w:lineRule="auto"/>
      <w:outlineLvl w:val="2"/>
    </w:pPr>
    <w:rPr>
      <w:rFonts w:asciiTheme="majorHAnsi" w:eastAsiaTheme="majorEastAsia" w:hAnsiTheme="majorHAnsi" w:cstheme="majorBidi"/>
      <w:color w:val="243F60"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0A"/>
  </w:style>
  <w:style w:type="paragraph" w:styleId="Footer">
    <w:name w:val="footer"/>
    <w:basedOn w:val="Normal"/>
    <w:link w:val="FooterChar"/>
    <w:uiPriority w:val="99"/>
    <w:unhideWhenUsed/>
    <w:rsid w:val="005B6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0A"/>
  </w:style>
  <w:style w:type="paragraph" w:styleId="BalloonText">
    <w:name w:val="Balloon Text"/>
    <w:basedOn w:val="Normal"/>
    <w:link w:val="BalloonTextChar"/>
    <w:uiPriority w:val="99"/>
    <w:semiHidden/>
    <w:unhideWhenUsed/>
    <w:rsid w:val="005B6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70A"/>
    <w:rPr>
      <w:rFonts w:ascii="Tahoma" w:hAnsi="Tahoma" w:cs="Tahoma"/>
      <w:sz w:val="16"/>
      <w:szCs w:val="16"/>
    </w:rPr>
  </w:style>
  <w:style w:type="paragraph" w:styleId="ListParagraph">
    <w:name w:val="List Paragraph"/>
    <w:basedOn w:val="Normal"/>
    <w:uiPriority w:val="34"/>
    <w:qFormat/>
    <w:rsid w:val="00A6098E"/>
    <w:pPr>
      <w:ind w:left="720"/>
      <w:contextualSpacing/>
    </w:pPr>
  </w:style>
  <w:style w:type="paragraph" w:styleId="ListBullet">
    <w:name w:val="List Bullet"/>
    <w:basedOn w:val="Normal"/>
    <w:uiPriority w:val="99"/>
    <w:unhideWhenUsed/>
    <w:rsid w:val="009C455D"/>
    <w:pPr>
      <w:numPr>
        <w:numId w:val="1"/>
      </w:numPr>
      <w:contextualSpacing/>
    </w:pPr>
  </w:style>
  <w:style w:type="character" w:styleId="CommentReference">
    <w:name w:val="annotation reference"/>
    <w:basedOn w:val="DefaultParagraphFont"/>
    <w:uiPriority w:val="99"/>
    <w:semiHidden/>
    <w:unhideWhenUsed/>
    <w:rsid w:val="00B81639"/>
    <w:rPr>
      <w:sz w:val="16"/>
      <w:szCs w:val="16"/>
    </w:rPr>
  </w:style>
  <w:style w:type="paragraph" w:styleId="CommentText">
    <w:name w:val="annotation text"/>
    <w:basedOn w:val="Normal"/>
    <w:link w:val="CommentTextChar"/>
    <w:uiPriority w:val="99"/>
    <w:semiHidden/>
    <w:unhideWhenUsed/>
    <w:rsid w:val="00B81639"/>
    <w:pPr>
      <w:spacing w:line="240" w:lineRule="auto"/>
    </w:pPr>
    <w:rPr>
      <w:sz w:val="20"/>
      <w:szCs w:val="20"/>
    </w:rPr>
  </w:style>
  <w:style w:type="character" w:customStyle="1" w:styleId="CommentTextChar">
    <w:name w:val="Comment Text Char"/>
    <w:basedOn w:val="DefaultParagraphFont"/>
    <w:link w:val="CommentText"/>
    <w:uiPriority w:val="99"/>
    <w:semiHidden/>
    <w:rsid w:val="00B81639"/>
    <w:rPr>
      <w:sz w:val="20"/>
      <w:szCs w:val="20"/>
    </w:rPr>
  </w:style>
  <w:style w:type="paragraph" w:styleId="CommentSubject">
    <w:name w:val="annotation subject"/>
    <w:basedOn w:val="CommentText"/>
    <w:next w:val="CommentText"/>
    <w:link w:val="CommentSubjectChar"/>
    <w:uiPriority w:val="99"/>
    <w:semiHidden/>
    <w:unhideWhenUsed/>
    <w:rsid w:val="00B81639"/>
    <w:rPr>
      <w:b/>
      <w:bCs/>
    </w:rPr>
  </w:style>
  <w:style w:type="character" w:customStyle="1" w:styleId="CommentSubjectChar">
    <w:name w:val="Comment Subject Char"/>
    <w:basedOn w:val="CommentTextChar"/>
    <w:link w:val="CommentSubject"/>
    <w:uiPriority w:val="99"/>
    <w:semiHidden/>
    <w:rsid w:val="00B81639"/>
    <w:rPr>
      <w:b/>
      <w:bCs/>
      <w:sz w:val="20"/>
      <w:szCs w:val="20"/>
    </w:rPr>
  </w:style>
  <w:style w:type="paragraph" w:styleId="BodyText">
    <w:name w:val="Body Text"/>
    <w:basedOn w:val="Normal"/>
    <w:link w:val="BodyTextChar"/>
    <w:uiPriority w:val="99"/>
    <w:semiHidden/>
    <w:unhideWhenUsed/>
    <w:rsid w:val="003A4A9D"/>
    <w:pPr>
      <w:spacing w:after="120"/>
    </w:pPr>
  </w:style>
  <w:style w:type="character" w:customStyle="1" w:styleId="BodyTextChar">
    <w:name w:val="Body Text Char"/>
    <w:basedOn w:val="DefaultParagraphFont"/>
    <w:link w:val="BodyText"/>
    <w:uiPriority w:val="99"/>
    <w:semiHidden/>
    <w:rsid w:val="003A4A9D"/>
  </w:style>
  <w:style w:type="table" w:styleId="GridTable1Light">
    <w:name w:val="Grid Table 1 Light"/>
    <w:basedOn w:val="TableNormal"/>
    <w:uiPriority w:val="46"/>
    <w:rsid w:val="001511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511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151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3B9"/>
    <w:pPr>
      <w:widowControl/>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rsid w:val="008613D7"/>
    <w:rPr>
      <w:rFonts w:asciiTheme="majorHAnsi" w:eastAsiaTheme="majorEastAsia" w:hAnsiTheme="majorHAnsi" w:cstheme="majorBidi"/>
      <w:color w:val="243F60" w:themeColor="accent1" w:themeShade="7F"/>
      <w:sz w:val="20"/>
      <w:szCs w:val="20"/>
    </w:rPr>
  </w:style>
  <w:style w:type="paragraph" w:styleId="Revision">
    <w:name w:val="Revision"/>
    <w:hidden/>
    <w:uiPriority w:val="99"/>
    <w:semiHidden/>
    <w:rsid w:val="0043246B"/>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468600">
      <w:bodyDiv w:val="1"/>
      <w:marLeft w:val="0"/>
      <w:marRight w:val="0"/>
      <w:marTop w:val="0"/>
      <w:marBottom w:val="0"/>
      <w:divBdr>
        <w:top w:val="none" w:sz="0" w:space="0" w:color="auto"/>
        <w:left w:val="none" w:sz="0" w:space="0" w:color="auto"/>
        <w:bottom w:val="none" w:sz="0" w:space="0" w:color="auto"/>
        <w:right w:val="none" w:sz="0" w:space="0" w:color="auto"/>
      </w:divBdr>
    </w:div>
    <w:div w:id="1036391281">
      <w:bodyDiv w:val="1"/>
      <w:marLeft w:val="0"/>
      <w:marRight w:val="0"/>
      <w:marTop w:val="0"/>
      <w:marBottom w:val="0"/>
      <w:divBdr>
        <w:top w:val="none" w:sz="0" w:space="0" w:color="auto"/>
        <w:left w:val="none" w:sz="0" w:space="0" w:color="auto"/>
        <w:bottom w:val="none" w:sz="0" w:space="0" w:color="auto"/>
        <w:right w:val="none" w:sz="0" w:space="0" w:color="auto"/>
      </w:divBdr>
    </w:div>
    <w:div w:id="1044646262">
      <w:bodyDiv w:val="1"/>
      <w:marLeft w:val="0"/>
      <w:marRight w:val="0"/>
      <w:marTop w:val="0"/>
      <w:marBottom w:val="0"/>
      <w:divBdr>
        <w:top w:val="none" w:sz="0" w:space="0" w:color="auto"/>
        <w:left w:val="none" w:sz="0" w:space="0" w:color="auto"/>
        <w:bottom w:val="none" w:sz="0" w:space="0" w:color="auto"/>
        <w:right w:val="none" w:sz="0" w:space="0" w:color="auto"/>
      </w:divBdr>
    </w:div>
    <w:div w:id="114172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4511-6370-470A-A6F2-14F08C82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Revision</vt:lpstr>
    </vt:vector>
  </TitlesOfParts>
  <Company>CMS</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dc:title>
  <dc:subject/>
  <dc:creator>CMS</dc:creator>
  <cp:keywords/>
  <dc:description/>
  <cp:lastModifiedBy>Debbie Vanhoven</cp:lastModifiedBy>
  <cp:revision>2</cp:revision>
  <cp:lastPrinted>2016-08-25T21:16:00Z</cp:lastPrinted>
  <dcterms:created xsi:type="dcterms:W3CDTF">2022-04-13T18:19:00Z</dcterms:created>
  <dcterms:modified xsi:type="dcterms:W3CDTF">2022-04-13T18:19:00Z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LastSaved">
    <vt:filetime>2015-06-17T00:00:00Z</vt:filetime>
  </property>
  <property fmtid="{D5CDD505-2E9C-101B-9397-08002B2CF9AE}" pid="5" name="_NewReviewCycle">
    <vt:lpwstr/>
  </property>
</Properties>
</file>