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D9B531D">
      <w:pPr>
        <w:tabs>
          <w:tab w:val="left" w:pos="1080"/>
        </w:tabs>
        <w:ind w:left="1080" w:hanging="1080"/>
      </w:pPr>
      <w:r w:rsidRPr="004E0796">
        <w:rPr>
          <w:b/>
          <w:bCs/>
        </w:rPr>
        <w:t>To:</w:t>
      </w:r>
      <w:r w:rsidRPr="004E0796">
        <w:tab/>
      </w:r>
      <w:r w:rsidR="005A1A71">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5C580B" w:rsidRDefault="0005680D" w14:paraId="092E1B53" w14:textId="79D6F272">
      <w:pPr>
        <w:tabs>
          <w:tab w:val="left" w:pos="1080"/>
        </w:tabs>
        <w:ind w:left="1080" w:hanging="1080"/>
      </w:pPr>
      <w:r w:rsidRPr="004E0796">
        <w:rPr>
          <w:b/>
          <w:bCs/>
        </w:rPr>
        <w:t>From:</w:t>
      </w:r>
      <w:r w:rsidRPr="004E0796">
        <w:tab/>
      </w:r>
      <w:r w:rsidR="003A7A36">
        <w:t>Katie Pahigiannis</w:t>
      </w:r>
      <w:r w:rsidR="005C580B">
        <w:t xml:space="preserve"> and Pooja Gupta Curtin</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149B126B">
      <w:pPr>
        <w:tabs>
          <w:tab w:val="left" w:pos="1080"/>
        </w:tabs>
      </w:pPr>
      <w:r w:rsidRPr="009A2BB9">
        <w:rPr>
          <w:b/>
          <w:bCs/>
        </w:rPr>
        <w:t>Date:</w:t>
      </w:r>
      <w:r w:rsidRPr="009A2BB9">
        <w:tab/>
      </w:r>
      <w:r w:rsidRPr="009A2BB9" w:rsidR="009A2BB9">
        <w:t>April 4,</w:t>
      </w:r>
      <w:r w:rsidRPr="009A2BB9">
        <w:t xml:space="preserve"> 20</w:t>
      </w:r>
      <w:r w:rsidRPr="009A2BB9" w:rsidR="003A7A36">
        <w:t>22</w:t>
      </w:r>
    </w:p>
    <w:p w:rsidRPr="004E0796" w:rsidR="0005680D" w:rsidP="0005680D" w:rsidRDefault="0005680D" w14:paraId="7B991363" w14:textId="77777777">
      <w:pPr>
        <w:tabs>
          <w:tab w:val="left" w:pos="1080"/>
        </w:tabs>
      </w:pPr>
    </w:p>
    <w:p w:rsidR="0005680D" w:rsidP="0005680D" w:rsidRDefault="0005680D" w14:paraId="3A89B6CD" w14:textId="18B2DD81">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Pr="003A7A36" w:rsidR="003A7A36">
        <w:t xml:space="preserve">Healthy Marriage and Responsible Fatherhood Performance Measures and Additional Data Collection </w:t>
      </w:r>
      <w:r>
        <w:t>(OMB #0970-0</w:t>
      </w:r>
      <w:r w:rsidR="003A7A36">
        <w:t>566</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3A7A36" w:rsidR="00E525D4" w:rsidP="0005680D" w:rsidRDefault="0005680D" w14:paraId="494EB7FC" w14:textId="7A932A5E">
      <w:r w:rsidRPr="003A7A36">
        <w:t xml:space="preserve">This memo requests approval of </w:t>
      </w:r>
      <w:proofErr w:type="spellStart"/>
      <w:r w:rsidRPr="003A7A36">
        <w:t>nonsubstantive</w:t>
      </w:r>
      <w:proofErr w:type="spellEnd"/>
      <w:r w:rsidRPr="003A7A36">
        <w:t xml:space="preserve"> changes to the approved information collection, </w:t>
      </w:r>
      <w:r w:rsidRPr="003A7A36" w:rsidR="003A7A36">
        <w:t>Healthy Marriage and Responsible Fatherhood Performance Measures and Additional Data Collection</w:t>
      </w:r>
      <w:r w:rsidRPr="003A7A36">
        <w:t xml:space="preserve"> (OMB #0970-0</w:t>
      </w:r>
      <w:r w:rsidRPr="003A7A36" w:rsidR="003A7A36">
        <w:t>566</w:t>
      </w:r>
      <w:r w:rsidRPr="003A7A36">
        <w:t xml:space="preserve">). </w:t>
      </w:r>
    </w:p>
    <w:p w:rsidRPr="003A7A36" w:rsidR="0005680D" w:rsidP="0005680D" w:rsidRDefault="0005680D" w14:paraId="6BF529D8" w14:textId="77777777"/>
    <w:p w:rsidRPr="003A7A36" w:rsidR="0005680D" w:rsidP="00A25B2B" w:rsidRDefault="0005680D" w14:paraId="37532181" w14:textId="77777777">
      <w:pPr>
        <w:spacing w:after="120"/>
      </w:pPr>
      <w:r w:rsidRPr="003A7A36">
        <w:rPr>
          <w:b/>
          <w:i/>
        </w:rPr>
        <w:t>Background</w:t>
      </w:r>
    </w:p>
    <w:p w:rsidRPr="003A7A36" w:rsidR="003A7A36" w:rsidP="00A25B2B" w:rsidRDefault="003A7A36" w14:paraId="1487E20E" w14:textId="23245F7B">
      <w:pPr>
        <w:widowControl/>
        <w:suppressAutoHyphens w:val="0"/>
        <w:spacing w:after="160"/>
        <w:rPr>
          <w:rFonts w:eastAsia="Times New Roman"/>
          <w:kern w:val="0"/>
        </w:rPr>
      </w:pPr>
      <w:r w:rsidRPr="003A7A36">
        <w:rPr>
          <w:rFonts w:eastAsia="Times New Roman"/>
          <w:kern w:val="0"/>
        </w:rPr>
        <w:t xml:space="preserve">The Office of Management and Budget (OMB) approved the Healthy Marriage and Responsible Fatherhood (HMRF) Performance Measures and Additional Data Collection </w:t>
      </w:r>
      <w:r w:rsidR="001F3DF0">
        <w:rPr>
          <w:rFonts w:eastAsia="Times New Roman"/>
          <w:kern w:val="0"/>
        </w:rPr>
        <w:t>in April 2021</w:t>
      </w:r>
      <w:r w:rsidRPr="003A7A36">
        <w:rPr>
          <w:rFonts w:eastAsia="Times New Roman"/>
          <w:kern w:val="0"/>
        </w:rPr>
        <w:t xml:space="preserve">. This information collection package supports the collection and reporting of performance measures by the 2020 cohort of Administration for Children and Families (ACF)-funded HMRF grantees and includes the quarterly performance progress report (QPR) and the semi-annual performance progress report (PPR) that grantees are required to submit to ACF. </w:t>
      </w:r>
      <w:r w:rsidR="00AE207C">
        <w:rPr>
          <w:rFonts w:eastAsia="Times New Roman"/>
          <w:kern w:val="0"/>
        </w:rPr>
        <w:t>After</w:t>
      </w:r>
      <w:r w:rsidRPr="003A7A36">
        <w:rPr>
          <w:rFonts w:eastAsia="Times New Roman"/>
          <w:kern w:val="0"/>
        </w:rPr>
        <w:t xml:space="preserve"> OMB </w:t>
      </w:r>
      <w:r w:rsidR="00AE207C">
        <w:rPr>
          <w:rFonts w:eastAsia="Times New Roman"/>
          <w:kern w:val="0"/>
        </w:rPr>
        <w:t xml:space="preserve">provided </w:t>
      </w:r>
      <w:r w:rsidRPr="003A7A36">
        <w:rPr>
          <w:rFonts w:eastAsia="Times New Roman"/>
          <w:kern w:val="0"/>
        </w:rPr>
        <w:t>approval</w:t>
      </w:r>
      <w:r w:rsidR="00AE207C">
        <w:rPr>
          <w:rFonts w:eastAsia="Times New Roman"/>
          <w:kern w:val="0"/>
        </w:rPr>
        <w:t xml:space="preserve"> in April 2021</w:t>
      </w:r>
      <w:r w:rsidRPr="003A7A36">
        <w:rPr>
          <w:rFonts w:eastAsia="Times New Roman"/>
          <w:kern w:val="0"/>
        </w:rPr>
        <w:t xml:space="preserve">, ACF requested modifications to the QPRs and PPRs. </w:t>
      </w:r>
    </w:p>
    <w:p w:rsidRPr="003A7A36" w:rsidR="003A7A36" w:rsidP="00A25B2B" w:rsidRDefault="003A7A36" w14:paraId="3BF7FE8A" w14:textId="6765834B">
      <w:pPr>
        <w:widowControl/>
        <w:suppressAutoHyphens w:val="0"/>
        <w:spacing w:after="160"/>
        <w:rPr>
          <w:rFonts w:eastAsia="Times New Roman"/>
          <w:kern w:val="0"/>
        </w:rPr>
      </w:pPr>
      <w:r w:rsidRPr="003A7A36">
        <w:rPr>
          <w:rFonts w:eastAsia="Times New Roman"/>
          <w:kern w:val="0"/>
        </w:rPr>
        <w:t>The reports provide aggregate data on grantees’ programmatic activities and outcomes for the reporting period</w:t>
      </w:r>
      <w:r w:rsidRPr="003A7A36">
        <w:rPr>
          <w:rFonts w:eastAsia="Times New Roman"/>
          <w:kern w:val="0"/>
          <w:vertAlign w:val="superscript"/>
        </w:rPr>
        <w:footnoteReference w:id="1"/>
      </w:r>
      <w:r w:rsidRPr="003A7A36">
        <w:rPr>
          <w:rFonts w:eastAsia="Times New Roman"/>
          <w:kern w:val="0"/>
        </w:rPr>
        <w:t xml:space="preserve">; they are used by grantees to self-monitor their performance and by ACF’s Office of Family Assistance (OFA) to monitor and manage the HMRF grants. Separate versions of the QPR and PPR are tailored to HM and RF grantees. </w:t>
      </w:r>
      <w:r w:rsidRPr="003A7A36" w:rsidR="001F3DF0">
        <w:rPr>
          <w:rFonts w:eastAsia="Times New Roman"/>
          <w:kern w:val="0"/>
        </w:rPr>
        <w:t xml:space="preserve">The QPRs and PPRs are </w:t>
      </w:r>
      <w:proofErr w:type="gramStart"/>
      <w:r w:rsidRPr="003A7A36" w:rsidR="001F3DF0">
        <w:rPr>
          <w:rFonts w:eastAsia="Times New Roman"/>
          <w:kern w:val="0"/>
        </w:rPr>
        <w:t>auto-generated</w:t>
      </w:r>
      <w:proofErr w:type="gramEnd"/>
      <w:r w:rsidRPr="003A7A36" w:rsidR="001F3DF0">
        <w:rPr>
          <w:rFonts w:eastAsia="Times New Roman"/>
          <w:kern w:val="0"/>
        </w:rPr>
        <w:t xml:space="preserve"> by the Information, Family Outcomes, Reporting, and Management (nFORM 2.0) system that ACF requires grantees to use for HMRF data collection and reporting.</w:t>
      </w:r>
    </w:p>
    <w:p w:rsidRPr="00A25B2B" w:rsidR="00BD6E2C" w:rsidP="00A25B2B" w:rsidRDefault="001F3DF0" w14:paraId="78097953" w14:textId="1701E48D">
      <w:pPr>
        <w:widowControl/>
        <w:suppressAutoHyphens w:val="0"/>
        <w:spacing w:after="160"/>
        <w:rPr>
          <w:rFonts w:eastAsia="Times New Roman"/>
          <w:kern w:val="0"/>
        </w:rPr>
      </w:pPr>
      <w:r>
        <w:rPr>
          <w:rFonts w:eastAsia="Times New Roman"/>
          <w:kern w:val="0"/>
        </w:rPr>
        <w:t xml:space="preserve">Through initial reporting, we have identified minor changes that would be helpful </w:t>
      </w:r>
      <w:r w:rsidR="00C24CDB">
        <w:rPr>
          <w:rFonts w:eastAsia="Times New Roman"/>
          <w:kern w:val="0"/>
        </w:rPr>
        <w:t xml:space="preserve">to grantees when completing reports and will improve </w:t>
      </w:r>
      <w:r>
        <w:rPr>
          <w:rFonts w:eastAsia="Times New Roman"/>
          <w:kern w:val="0"/>
        </w:rPr>
        <w:t xml:space="preserve">data quality. We have also made updates to reflect changes in staff contact information. </w:t>
      </w:r>
      <w:r w:rsidRPr="003A7A36" w:rsidR="003A7A36">
        <w:rPr>
          <w:rFonts w:eastAsia="Times New Roman"/>
          <w:kern w:val="0"/>
        </w:rPr>
        <w:t>None of the proposed changes affect respondent burden</w:t>
      </w:r>
      <w:r>
        <w:rPr>
          <w:rFonts w:eastAsia="Times New Roman"/>
          <w:kern w:val="0"/>
        </w:rPr>
        <w:t xml:space="preserve"> and the purpose and use of the information collection remains the same</w:t>
      </w:r>
      <w:r w:rsidRPr="003A7A36" w:rsidR="003A7A36">
        <w:rPr>
          <w:rFonts w:eastAsia="Times New Roman"/>
          <w:kern w:val="0"/>
        </w:rPr>
        <w:t>.</w:t>
      </w:r>
      <w:r>
        <w:rPr>
          <w:rFonts w:eastAsia="Times New Roman"/>
          <w:kern w:val="0"/>
        </w:rPr>
        <w:t xml:space="preserve"> Details about the changes are described below.</w:t>
      </w:r>
    </w:p>
    <w:p w:rsidR="00BD6E2C" w:rsidP="00BD6E2C" w:rsidRDefault="00BD6E2C" w14:paraId="7D625F23" w14:textId="77777777">
      <w:pPr>
        <w:rPr>
          <w:b/>
          <w:i/>
        </w:rPr>
      </w:pPr>
      <w:r>
        <w:rPr>
          <w:b/>
          <w:i/>
        </w:rPr>
        <w:t xml:space="preserve">Time Sensitivities </w:t>
      </w:r>
    </w:p>
    <w:p w:rsidR="003A7A36" w:rsidP="00A25B2B" w:rsidRDefault="00BD6E2C" w14:paraId="7B07D78D" w14:textId="676B3FBD">
      <w:pPr>
        <w:rPr>
          <w:bCs/>
          <w:iCs/>
        </w:rPr>
      </w:pPr>
      <w:r>
        <w:rPr>
          <w:bCs/>
          <w:iCs/>
        </w:rPr>
        <w:t>We are aiming to receive OMB approval before grantees submit their next reports on April 30, 2022.</w:t>
      </w:r>
    </w:p>
    <w:p w:rsidRPr="00BD6E2C" w:rsidR="00BD6E2C" w:rsidP="00A25B2B" w:rsidRDefault="00BD6E2C" w14:paraId="18792CB9" w14:textId="77777777">
      <w:pPr>
        <w:rPr>
          <w:bCs/>
          <w:iCs/>
        </w:rPr>
      </w:pPr>
    </w:p>
    <w:p w:rsidR="0005680D" w:rsidP="00A25B2B" w:rsidRDefault="0005680D" w14:paraId="5CC77B63" w14:textId="04463684">
      <w:pPr>
        <w:spacing w:after="120"/>
        <w:rPr>
          <w:b/>
          <w:i/>
        </w:rPr>
      </w:pPr>
      <w:r w:rsidRPr="003A7A36">
        <w:rPr>
          <w:b/>
          <w:i/>
        </w:rPr>
        <w:t>Overview of Requested Changes</w:t>
      </w:r>
    </w:p>
    <w:p w:rsidRPr="00602BB2" w:rsidR="00AB64A9" w:rsidP="00A25B2B" w:rsidRDefault="00AB64A9" w14:paraId="14A6134A" w14:textId="456FA8E5">
      <w:pPr>
        <w:spacing w:after="120"/>
        <w:rPr>
          <w:bCs/>
          <w:iCs/>
        </w:rPr>
      </w:pPr>
      <w:r>
        <w:rPr>
          <w:bCs/>
          <w:iCs/>
        </w:rPr>
        <w:lastRenderedPageBreak/>
        <w:t>We have provided updated versions of the PPRs (Attachments I; Instruments 5HM and 5RF)</w:t>
      </w:r>
      <w:r w:rsidR="00515126">
        <w:rPr>
          <w:bCs/>
          <w:iCs/>
        </w:rPr>
        <w:t>,</w:t>
      </w:r>
      <w:r>
        <w:rPr>
          <w:bCs/>
          <w:iCs/>
        </w:rPr>
        <w:t xml:space="preserve"> QPRs (Attachments J; Instruments 6HM and 6RF)</w:t>
      </w:r>
      <w:r w:rsidR="00515126">
        <w:rPr>
          <w:bCs/>
          <w:iCs/>
        </w:rPr>
        <w:t xml:space="preserve">, </w:t>
      </w:r>
      <w:r w:rsidR="00AD6527">
        <w:rPr>
          <w:bCs/>
          <w:iCs/>
        </w:rPr>
        <w:t xml:space="preserve">CQI Plan Template (Attachment K Instrument 7), Service Delivery Data (Attachment G Instrument 3), </w:t>
      </w:r>
      <w:r w:rsidR="00515126">
        <w:rPr>
          <w:bCs/>
          <w:iCs/>
        </w:rPr>
        <w:t>and survey instruments (Attachment E Instrument 1, Attachment F Instrument 2, and Attachment H Instruments HM 1-4 and RF 1-6)</w:t>
      </w:r>
      <w:r w:rsidR="00602BB2">
        <w:rPr>
          <w:bCs/>
          <w:iCs/>
        </w:rPr>
        <w:t>.</w:t>
      </w:r>
      <w:r>
        <w:rPr>
          <w:bCs/>
          <w:iCs/>
        </w:rPr>
        <w:t xml:space="preserve"> </w:t>
      </w:r>
    </w:p>
    <w:p w:rsidRPr="003A7A36" w:rsidR="003A7A36" w:rsidP="00A25B2B" w:rsidRDefault="003A7A36" w14:paraId="57A87BA3" w14:textId="2066F66D">
      <w:pPr>
        <w:numPr>
          <w:ilvl w:val="0"/>
          <w:numId w:val="2"/>
        </w:numPr>
        <w:rPr>
          <w:b/>
          <w:bCs/>
        </w:rPr>
      </w:pPr>
      <w:r w:rsidRPr="003A7A36">
        <w:rPr>
          <w:b/>
          <w:bCs/>
        </w:rPr>
        <w:t>Non-substantive QPR changes</w:t>
      </w:r>
      <w:bookmarkStart w:name="_Hlk92706155" w:id="0"/>
    </w:p>
    <w:p w:rsidRPr="003A7A36" w:rsidR="003A7A36" w:rsidP="00A25B2B" w:rsidRDefault="003A7A36" w14:paraId="2837F47F" w14:textId="0872462C">
      <w:pPr>
        <w:widowControl/>
        <w:suppressAutoHyphens w:val="0"/>
        <w:spacing w:before="160" w:after="160"/>
        <w:rPr>
          <w:rFonts w:eastAsia="Times New Roman"/>
          <w:kern w:val="0"/>
        </w:rPr>
      </w:pPr>
      <w:r w:rsidRPr="003A7A36">
        <w:rPr>
          <w:rFonts w:eastAsia="Times New Roman"/>
          <w:b/>
          <w:bCs/>
          <w:kern w:val="0"/>
        </w:rPr>
        <w:t>QPR Section B-02.2b.</w:t>
      </w:r>
      <w:r w:rsidRPr="003A7A36">
        <w:rPr>
          <w:rFonts w:eastAsia="Times New Roman"/>
          <w:kern w:val="0"/>
        </w:rPr>
        <w:t xml:space="preserve"> QPR Section B-02.2b has been modified to better measure grantees’ progress towards annual targets they set for benchmarks of client participation in programming. Specifically, Tables 1 and 2 in Section B-02.2b now factor in clients’ participation in primary workshops, regardless of when they enrolled, when calculating progress towards the target for each participation benchmark. Previously, Tables 1 and 2 only factored in clients’ participation in the grant year in which they enrolled and were counted in QPR Section B-01 towards the grantee’s annual enrollment target. While this approach provided alignment between the clients included in Sections B-01 and B-02 of the QPR, it did not fully measure whether clients, on average, were receiving the intended number of primary workshop hours and the extent to which grantees were getting the intended number of clients to participate in and complete workshops. Client completion of workshop programming is an ACF priority. </w:t>
      </w:r>
    </w:p>
    <w:p w:rsidRPr="003A7A36" w:rsidR="003A7A36" w:rsidP="00A25B2B" w:rsidRDefault="003A7A36" w14:paraId="05AB62C3" w14:textId="74677104">
      <w:pPr>
        <w:widowControl/>
        <w:suppressAutoHyphens w:val="0"/>
        <w:spacing w:after="160"/>
        <w:rPr>
          <w:rFonts w:eastAsia="Times New Roman"/>
          <w:kern w:val="0"/>
        </w:rPr>
      </w:pPr>
      <w:r w:rsidRPr="003A7A36">
        <w:rPr>
          <w:rFonts w:eastAsia="Times New Roman"/>
          <w:kern w:val="0"/>
        </w:rPr>
        <w:t xml:space="preserve">Please see Section B-02.2b Tables 1 and 2 in the </w:t>
      </w:r>
      <w:r w:rsidR="00AB64A9">
        <w:rPr>
          <w:rFonts w:eastAsia="Times New Roman"/>
          <w:kern w:val="0"/>
        </w:rPr>
        <w:t xml:space="preserve">updated </w:t>
      </w:r>
      <w:r w:rsidRPr="003A7A36">
        <w:rPr>
          <w:rFonts w:eastAsia="Times New Roman"/>
          <w:kern w:val="0"/>
        </w:rPr>
        <w:t xml:space="preserve">QPRs, which illustrate the new table formats for HM and RF grantees respectively. </w:t>
      </w:r>
    </w:p>
    <w:p w:rsidR="003A7A36" w:rsidP="00A25B2B" w:rsidRDefault="003A7A36" w14:paraId="1AF89647" w14:textId="4E939528">
      <w:pPr>
        <w:widowControl/>
        <w:suppressAutoHyphens w:val="0"/>
        <w:spacing w:after="160"/>
        <w:rPr>
          <w:rFonts w:eastAsia="Times New Roman"/>
          <w:kern w:val="0"/>
        </w:rPr>
      </w:pPr>
      <w:r w:rsidRPr="003A7A36">
        <w:rPr>
          <w:rFonts w:eastAsia="Times New Roman"/>
          <w:b/>
          <w:bCs/>
          <w:kern w:val="0"/>
        </w:rPr>
        <w:t xml:space="preserve">QPR Section B-03.1 Quality Assurance and Monitoring, Staff training. </w:t>
      </w:r>
      <w:r w:rsidRPr="003A7A36">
        <w:rPr>
          <w:rFonts w:eastAsia="Times New Roman"/>
          <w:kern w:val="0"/>
        </w:rPr>
        <w:t xml:space="preserve">This section currently includes three unnumbered tables that separately report on grant staff’s initial training, refresher training, and training unrelated to the program curriculum. For clarity during grantee and ACF review, these tables are now labeled 1a, 1b, and 1c.   </w:t>
      </w:r>
    </w:p>
    <w:p w:rsidRPr="003A7A36" w:rsidR="001F3DF0" w:rsidP="00BD5E0F" w:rsidRDefault="001F3DF0" w14:paraId="0ECE0D14" w14:textId="77777777">
      <w:pPr>
        <w:widowControl/>
        <w:suppressAutoHyphens w:val="0"/>
        <w:rPr>
          <w:rFonts w:eastAsia="Times New Roman"/>
          <w:b/>
          <w:bCs/>
          <w:kern w:val="0"/>
        </w:rPr>
      </w:pPr>
    </w:p>
    <w:p w:rsidRPr="003A7A36" w:rsidR="003A7A36" w:rsidP="00A25B2B" w:rsidRDefault="003A7A36" w14:paraId="71511DDC" w14:textId="4E331793">
      <w:pPr>
        <w:numPr>
          <w:ilvl w:val="0"/>
          <w:numId w:val="2"/>
        </w:numPr>
        <w:rPr>
          <w:b/>
          <w:bCs/>
        </w:rPr>
      </w:pPr>
      <w:bookmarkStart w:name="_Hlk96027011" w:id="1"/>
      <w:bookmarkEnd w:id="0"/>
      <w:r w:rsidRPr="003A7A36">
        <w:rPr>
          <w:b/>
          <w:bCs/>
        </w:rPr>
        <w:t xml:space="preserve">Non-substantive PPR changes   </w:t>
      </w:r>
    </w:p>
    <w:p w:rsidRPr="003A7A36" w:rsidR="003A7A36" w:rsidP="00A25B2B" w:rsidRDefault="003A7A36" w14:paraId="1B484EC6" w14:textId="077BB79D">
      <w:pPr>
        <w:widowControl/>
        <w:suppressAutoHyphens w:val="0"/>
        <w:spacing w:before="160" w:after="160"/>
        <w:rPr>
          <w:rFonts w:eastAsia="Times New Roman"/>
          <w:kern w:val="0"/>
        </w:rPr>
      </w:pPr>
      <w:r w:rsidRPr="003A7A36">
        <w:rPr>
          <w:rFonts w:eastAsia="Times New Roman"/>
          <w:b/>
          <w:bCs/>
          <w:kern w:val="0"/>
        </w:rPr>
        <w:t>PPR Section C-04.2b.</w:t>
      </w:r>
      <w:r w:rsidRPr="003A7A36">
        <w:rPr>
          <w:rFonts w:eastAsia="Times New Roman"/>
          <w:kern w:val="0"/>
        </w:rPr>
        <w:t xml:space="preserve"> PPR Section C-04.2b has been modified in the same way as QPR Section B-02.2b, for the same reason. Clients are counted in PPR Section C-03.2 towards the grantee’s annual enrollment target only in the year in which they enroll. However, clients will </w:t>
      </w:r>
      <w:r w:rsidR="00AD47E6">
        <w:rPr>
          <w:rFonts w:eastAsia="Times New Roman"/>
          <w:kern w:val="0"/>
        </w:rPr>
        <w:t xml:space="preserve">now </w:t>
      </w:r>
      <w:r w:rsidRPr="003A7A36">
        <w:rPr>
          <w:rFonts w:eastAsia="Times New Roman"/>
          <w:kern w:val="0"/>
        </w:rPr>
        <w:t xml:space="preserve">be counted in PPR Section C-04.2b based on when they participate in primary workshop programming, regardless of when they enrolled. </w:t>
      </w:r>
    </w:p>
    <w:p w:rsidRPr="003A7A36" w:rsidR="003A7A36" w:rsidP="00A25B2B" w:rsidRDefault="003A7A36" w14:paraId="4002C67D" w14:textId="63D0B97E">
      <w:pPr>
        <w:widowControl/>
        <w:suppressAutoHyphens w:val="0"/>
        <w:spacing w:after="160"/>
        <w:rPr>
          <w:rFonts w:eastAsia="Times New Roman"/>
          <w:kern w:val="0"/>
        </w:rPr>
      </w:pPr>
      <w:r w:rsidRPr="003A7A36">
        <w:rPr>
          <w:rFonts w:eastAsia="Times New Roman"/>
          <w:kern w:val="0"/>
        </w:rPr>
        <w:t xml:space="preserve">Please see Section C-04.2b Tables 1 and 2 in the </w:t>
      </w:r>
      <w:r w:rsidR="00AB64A9">
        <w:rPr>
          <w:rFonts w:eastAsia="Times New Roman"/>
          <w:kern w:val="0"/>
        </w:rPr>
        <w:t xml:space="preserve">updated </w:t>
      </w:r>
      <w:r w:rsidRPr="003A7A36">
        <w:rPr>
          <w:rFonts w:eastAsia="Times New Roman"/>
          <w:kern w:val="0"/>
        </w:rPr>
        <w:t xml:space="preserve">PPRs, which illustrate the new table formats for HM and RF grantees respectively. </w:t>
      </w:r>
    </w:p>
    <w:p w:rsidRPr="003A7A36" w:rsidR="003A7A36" w:rsidP="00A25B2B" w:rsidRDefault="003A7A36" w14:paraId="45858AF7" w14:textId="1F56BC22">
      <w:pPr>
        <w:widowControl/>
        <w:suppressAutoHyphens w:val="0"/>
        <w:spacing w:after="160"/>
        <w:rPr>
          <w:rFonts w:eastAsia="Times New Roman"/>
          <w:kern w:val="0"/>
        </w:rPr>
      </w:pPr>
      <w:r w:rsidRPr="003A7A36">
        <w:rPr>
          <w:rFonts w:eastAsia="Times New Roman"/>
          <w:b/>
          <w:bCs/>
          <w:kern w:val="0"/>
        </w:rPr>
        <w:t>PPR Section C-04.3.</w:t>
      </w:r>
      <w:r w:rsidRPr="003A7A36">
        <w:rPr>
          <w:rFonts w:eastAsia="Times New Roman"/>
          <w:kern w:val="0"/>
        </w:rPr>
        <w:t xml:space="preserve"> PPR Section C-04.3 </w:t>
      </w:r>
      <w:r w:rsidR="00367A65">
        <w:rPr>
          <w:rFonts w:eastAsia="Times New Roman"/>
          <w:kern w:val="0"/>
        </w:rPr>
        <w:t>has been</w:t>
      </w:r>
      <w:r w:rsidRPr="003A7A36">
        <w:rPr>
          <w:rFonts w:eastAsia="Times New Roman"/>
          <w:kern w:val="0"/>
        </w:rPr>
        <w:t xml:space="preserve"> modified to update the current table and calculations which report on individual service contacts received within the grant year. The current table will be replaced with two new tables which measure cumulative client receipt of substantive individual service contacts (ISCs) across grant years. ACF defines substantive ISCs as those ISCs involving direct contact with a client lasting 15 minutes or longer, which cover client issues and needs beyond just reminder contacts, and which are recorded in nFORM 2.0. This change will allow grantees and ACF to better monitor the provision of direct services to clients. Further, ACF requires RF grantees to provide their clients with at least 8 substantive ISCs over the course of their participation in grant programming, and the new tables will facilitate both ACF and grantee monitoring of this requirement.  </w:t>
      </w:r>
    </w:p>
    <w:p w:rsidRPr="003A7A36" w:rsidR="003A7A36" w:rsidP="00A25B2B" w:rsidRDefault="003A7A36" w14:paraId="2F31129A" w14:textId="5968F2B6">
      <w:pPr>
        <w:widowControl/>
        <w:suppressAutoHyphens w:val="0"/>
        <w:spacing w:after="160"/>
        <w:rPr>
          <w:rFonts w:eastAsia="Times New Roman"/>
          <w:kern w:val="0"/>
        </w:rPr>
      </w:pPr>
      <w:r w:rsidRPr="003A7A36">
        <w:rPr>
          <w:rFonts w:eastAsia="Times New Roman"/>
          <w:kern w:val="0"/>
        </w:rPr>
        <w:lastRenderedPageBreak/>
        <w:t xml:space="preserve">Please see Section C-04.3 in the </w:t>
      </w:r>
      <w:r w:rsidR="00AB64A9">
        <w:rPr>
          <w:rFonts w:eastAsia="Times New Roman"/>
          <w:kern w:val="0"/>
        </w:rPr>
        <w:t xml:space="preserve">updated </w:t>
      </w:r>
      <w:r w:rsidRPr="003A7A36">
        <w:rPr>
          <w:rFonts w:eastAsia="Times New Roman"/>
          <w:kern w:val="0"/>
        </w:rPr>
        <w:t>PPRs, which illustrate the new table formats for HM and RF grantees respectively.</w:t>
      </w:r>
    </w:p>
    <w:p w:rsidRPr="003A7A36" w:rsidR="003A7A36" w:rsidP="00A25B2B" w:rsidRDefault="003A7A36" w14:paraId="08A374DE" w14:textId="77777777">
      <w:pPr>
        <w:widowControl/>
        <w:suppressAutoHyphens w:val="0"/>
        <w:spacing w:after="160"/>
        <w:rPr>
          <w:rFonts w:eastAsia="Times New Roman"/>
          <w:b/>
          <w:bCs/>
          <w:kern w:val="0"/>
        </w:rPr>
      </w:pPr>
      <w:r w:rsidRPr="003A7A36">
        <w:rPr>
          <w:rFonts w:eastAsia="Times New Roman"/>
          <w:b/>
          <w:bCs/>
          <w:kern w:val="0"/>
        </w:rPr>
        <w:t xml:space="preserve">PPR Section C-05.1 Quality Assurance and Monitoring, Staff training. </w:t>
      </w:r>
      <w:r w:rsidRPr="003A7A36">
        <w:rPr>
          <w:rFonts w:eastAsia="Times New Roman"/>
          <w:kern w:val="0"/>
        </w:rPr>
        <w:t xml:space="preserve">As in Section B-03.1 of the QPR, this section currently includes three unnumbered tables that separately report on grant staff’s initial training, refresher training, and training unrelated to the program curriculum. For clarity during grantee and ACF review, these tables are now labeled 1a, 1b, and 1c.   </w:t>
      </w:r>
    </w:p>
    <w:p w:rsidRPr="003A7A36" w:rsidR="003A7A36" w:rsidP="00A25B2B" w:rsidRDefault="003A7A36" w14:paraId="01C710BD" w14:textId="77777777">
      <w:pPr>
        <w:widowControl/>
        <w:suppressAutoHyphens w:val="0"/>
        <w:spacing w:after="160"/>
        <w:rPr>
          <w:rFonts w:eastAsia="Times New Roman"/>
          <w:kern w:val="0"/>
        </w:rPr>
      </w:pPr>
      <w:r w:rsidRPr="003A7A36">
        <w:rPr>
          <w:rFonts w:eastAsia="Times New Roman"/>
          <w:b/>
          <w:bCs/>
          <w:kern w:val="0"/>
        </w:rPr>
        <w:t xml:space="preserve">PPR for HM grantees only, Sections C-02.9 and C-09.2.C (Relationship skills of youth clients at beginning and end of Program Exit, respectively). </w:t>
      </w:r>
      <w:r w:rsidRPr="003A7A36">
        <w:rPr>
          <w:rFonts w:eastAsia="Times New Roman"/>
          <w:kern w:val="0"/>
        </w:rPr>
        <w:t>The descriptive text for these measures originally indicated a possible range of “1 (none of the time) to 5 (all of the time)” for the two outcomes in this table</w:t>
      </w:r>
      <w:proofErr w:type="gramStart"/>
      <w:r w:rsidRPr="003A7A36">
        <w:rPr>
          <w:rFonts w:eastAsia="Times New Roman"/>
          <w:kern w:val="0"/>
        </w:rPr>
        <w:t>—“</w:t>
      </w:r>
      <w:proofErr w:type="gramEnd"/>
      <w:r w:rsidRPr="003A7A36">
        <w:rPr>
          <w:rFonts w:eastAsia="Times New Roman"/>
          <w:kern w:val="0"/>
        </w:rPr>
        <w:t>I have the skills needed for a lasting, stable romantic relationship” and “I am able to recognize the warning signs of a bad relationship”. However, the averages are based on a survey item response scale of “1 (strongly agree) to 4 (strongly disagree)” for youth entrance and exit survey items C1a.d and C1a.e. This typographical error does not affect what is reported in the average outcome cells in this section as they are based on actual survey item responses. However, it is necessary to update the descriptive text in this PPR section to correspond to the survey item response scale.</w:t>
      </w:r>
    </w:p>
    <w:p w:rsidR="003A7A36" w:rsidP="00A25B2B" w:rsidRDefault="003A7A36" w14:paraId="4CD9DCF4" w14:textId="571120CA">
      <w:pPr>
        <w:widowControl/>
        <w:suppressAutoHyphens w:val="0"/>
        <w:spacing w:after="160"/>
        <w:rPr>
          <w:rFonts w:eastAsia="Times New Roman"/>
          <w:b/>
          <w:bCs/>
          <w:kern w:val="0"/>
        </w:rPr>
      </w:pPr>
      <w:r w:rsidRPr="003A7A36">
        <w:rPr>
          <w:rFonts w:eastAsia="Times New Roman"/>
          <w:kern w:val="0"/>
        </w:rPr>
        <w:t xml:space="preserve">Please see Sections C-02.9 and C-09.2.C in the </w:t>
      </w:r>
      <w:r w:rsidR="00AB64A9">
        <w:rPr>
          <w:rFonts w:eastAsia="Times New Roman"/>
          <w:kern w:val="0"/>
        </w:rPr>
        <w:t xml:space="preserve">updated HM </w:t>
      </w:r>
      <w:r w:rsidRPr="003A7A36">
        <w:rPr>
          <w:rFonts w:eastAsia="Times New Roman"/>
          <w:kern w:val="0"/>
        </w:rPr>
        <w:t>PPR, which illustrate the corrected format for HM grantees.</w:t>
      </w:r>
      <w:r w:rsidRPr="003A7A36">
        <w:rPr>
          <w:rFonts w:eastAsia="Times New Roman"/>
          <w:b/>
          <w:bCs/>
          <w:kern w:val="0"/>
        </w:rPr>
        <w:t xml:space="preserve"> </w:t>
      </w:r>
    </w:p>
    <w:p w:rsidR="00C86C55" w:rsidP="00C86C55" w:rsidRDefault="00C86C55" w14:paraId="4723CC69" w14:textId="5BF07AAD">
      <w:pPr>
        <w:pStyle w:val="ListParagraph"/>
        <w:widowControl/>
        <w:numPr>
          <w:ilvl w:val="0"/>
          <w:numId w:val="2"/>
        </w:numPr>
        <w:suppressAutoHyphens w:val="0"/>
        <w:spacing w:after="160"/>
        <w:rPr>
          <w:rFonts w:eastAsia="Times New Roman"/>
          <w:b/>
          <w:bCs/>
          <w:kern w:val="0"/>
        </w:rPr>
      </w:pPr>
      <w:r>
        <w:rPr>
          <w:rFonts w:eastAsia="Times New Roman"/>
          <w:b/>
          <w:bCs/>
          <w:kern w:val="0"/>
        </w:rPr>
        <w:t>Non-substantive CQI plan template changes</w:t>
      </w:r>
    </w:p>
    <w:p w:rsidRPr="00C86C55" w:rsidR="00C86C55" w:rsidP="00C86C55" w:rsidRDefault="00C86C55" w14:paraId="38AAEC09" w14:textId="6AD1BAA4">
      <w:pPr>
        <w:widowControl/>
        <w:suppressAutoHyphens w:val="0"/>
        <w:spacing w:after="160"/>
        <w:rPr>
          <w:rFonts w:eastAsia="Times New Roman"/>
          <w:kern w:val="0"/>
        </w:rPr>
      </w:pPr>
      <w:r w:rsidRPr="00C86C55">
        <w:rPr>
          <w:rFonts w:eastAsia="Times New Roman"/>
          <w:kern w:val="0"/>
        </w:rPr>
        <w:t xml:space="preserve">The CQI </w:t>
      </w:r>
      <w:r>
        <w:rPr>
          <w:rFonts w:eastAsia="Times New Roman"/>
          <w:kern w:val="0"/>
        </w:rPr>
        <w:t xml:space="preserve">plan template </w:t>
      </w:r>
      <w:r w:rsidR="00250732">
        <w:rPr>
          <w:rFonts w:eastAsia="Times New Roman"/>
          <w:kern w:val="0"/>
        </w:rPr>
        <w:t xml:space="preserve">references “stakeholders” five times, in Sections D4, D6c, and E6c. </w:t>
      </w:r>
      <w:r w:rsidR="0006304E">
        <w:rPr>
          <w:rFonts w:eastAsia="Times New Roman"/>
          <w:kern w:val="0"/>
        </w:rPr>
        <w:t>W</w:t>
      </w:r>
      <w:r w:rsidR="00250732">
        <w:rPr>
          <w:rFonts w:eastAsia="Times New Roman"/>
          <w:kern w:val="0"/>
        </w:rPr>
        <w:t xml:space="preserve">here feasible, </w:t>
      </w:r>
      <w:r w:rsidR="0006304E">
        <w:rPr>
          <w:rFonts w:eastAsia="Times New Roman"/>
          <w:kern w:val="0"/>
        </w:rPr>
        <w:t xml:space="preserve">OPRE is using </w:t>
      </w:r>
      <w:r w:rsidR="00250732">
        <w:rPr>
          <w:rFonts w:eastAsia="Times New Roman"/>
          <w:kern w:val="0"/>
        </w:rPr>
        <w:t xml:space="preserve">alternative language </w:t>
      </w:r>
      <w:r w:rsidR="0006304E">
        <w:rPr>
          <w:rFonts w:eastAsia="Times New Roman"/>
          <w:kern w:val="0"/>
        </w:rPr>
        <w:t>for the word “stakeholder.”</w:t>
      </w:r>
      <w:r w:rsidR="00250732">
        <w:rPr>
          <w:rFonts w:eastAsia="Times New Roman"/>
          <w:kern w:val="0"/>
        </w:rPr>
        <w:t xml:space="preserve"> </w:t>
      </w:r>
      <w:r w:rsidR="00EF0823">
        <w:rPr>
          <w:rFonts w:eastAsia="Times New Roman"/>
          <w:kern w:val="0"/>
        </w:rPr>
        <w:t>Please see the updated CQI plan template, which includes updated language.</w:t>
      </w:r>
      <w:r w:rsidR="00250732">
        <w:rPr>
          <w:rFonts w:eastAsia="Times New Roman"/>
          <w:kern w:val="0"/>
        </w:rPr>
        <w:t xml:space="preserve">  </w:t>
      </w:r>
    </w:p>
    <w:bookmarkEnd w:id="1"/>
    <w:p w:rsidRPr="003A7A36" w:rsidR="003A7A36" w:rsidP="00A25B2B" w:rsidRDefault="003A7A36" w14:paraId="4259CAED" w14:textId="3615A6BE">
      <w:pPr>
        <w:pStyle w:val="ListParagraph"/>
        <w:numPr>
          <w:ilvl w:val="0"/>
          <w:numId w:val="2"/>
        </w:numPr>
        <w:rPr>
          <w:b/>
          <w:bCs/>
        </w:rPr>
      </w:pPr>
      <w:r w:rsidRPr="003A7A36">
        <w:rPr>
          <w:b/>
          <w:bCs/>
        </w:rPr>
        <w:t>Non-substantive PRA statement changes</w:t>
      </w:r>
    </w:p>
    <w:p w:rsidRPr="003A7A36" w:rsidR="003A7A36" w:rsidP="00A25B2B" w:rsidRDefault="003A7A36" w14:paraId="39AE21EB" w14:textId="77777777">
      <w:pPr>
        <w:widowControl/>
        <w:suppressAutoHyphens w:val="0"/>
        <w:spacing w:before="160" w:after="160"/>
        <w:rPr>
          <w:rFonts w:eastAsia="Times New Roman"/>
          <w:kern w:val="0"/>
        </w:rPr>
      </w:pPr>
      <w:r w:rsidRPr="003A7A36">
        <w:rPr>
          <w:rFonts w:eastAsia="Times New Roman"/>
          <w:kern w:val="0"/>
        </w:rPr>
        <w:t xml:space="preserve">The PRA statement on the data collection and reporting instruments approved under OMB #0970-0566 appears as follows:  </w:t>
      </w:r>
    </w:p>
    <w:p w:rsidRPr="003A7A36" w:rsidR="003A7A36" w:rsidP="00A25B2B" w:rsidRDefault="003A7A36" w14:paraId="68580524" w14:textId="77777777">
      <w:pPr>
        <w:widowControl/>
        <w:suppressAutoHyphens w:val="0"/>
        <w:spacing w:after="160"/>
        <w:rPr>
          <w:rFonts w:eastAsia="Times New Roman"/>
          <w:kern w:val="0"/>
          <w:sz w:val="22"/>
          <w:szCs w:val="22"/>
        </w:rPr>
      </w:pPr>
      <w:r w:rsidRPr="003A7A36">
        <w:rPr>
          <w:rFonts w:eastAsia="Times New Roman" w:cs="Arial"/>
          <w:b/>
          <w:bCs/>
          <w:noProof/>
          <w:color w:val="000000"/>
          <w:kern w:val="0"/>
          <w:sz w:val="20"/>
          <w:szCs w:val="20"/>
        </w:rPr>
        <mc:AlternateContent>
          <mc:Choice Requires="wps">
            <w:drawing>
              <wp:inline distT="0" distB="0" distL="0" distR="0" wp14:anchorId="417BAF85" wp14:editId="75A33BF9">
                <wp:extent cx="5957570" cy="1438275"/>
                <wp:effectExtent l="0" t="0" r="2413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438275"/>
                        </a:xfrm>
                        <a:prstGeom prst="rect">
                          <a:avLst/>
                        </a:prstGeom>
                        <a:solidFill>
                          <a:srgbClr val="FFFFFF"/>
                        </a:solidFill>
                        <a:ln w="9525">
                          <a:solidFill>
                            <a:srgbClr val="000000"/>
                          </a:solidFill>
                          <a:miter lim="800000"/>
                          <a:headEnd/>
                          <a:tailEnd/>
                        </a:ln>
                      </wps:spPr>
                      <wps:txbx>
                        <w:txbxContent>
                          <w:p w:rsidRPr="003A7A36" w:rsidR="003A7A36" w:rsidP="003A7A36" w:rsidRDefault="003A7A36" w14:paraId="1BF24E1A" w14:textId="77777777">
                            <w:pPr>
                              <w:shd w:val="clear" w:color="auto" w:fill="FFFFFF"/>
                              <w:rPr>
                                <w:rFonts w:ascii="Arial" w:hAnsi="Arial" w:cs="Arial"/>
                                <w:sz w:val="18"/>
                                <w:szCs w:val="18"/>
                              </w:rPr>
                            </w:pPr>
                            <w:r w:rsidRPr="003A7A36">
                              <w:rPr>
                                <w:rFonts w:ascii="Arial" w:hAnsi="Arial" w:cs="Arial"/>
                                <w:color w:val="000000"/>
                                <w:sz w:val="18"/>
                                <w:szCs w:val="18"/>
                              </w:rPr>
                              <w:t xml:space="preserve">PAPERWORK REDUCTION ACT OF 1995 (Pub. L. 104-13) </w:t>
                            </w:r>
                            <w:r w:rsidRPr="003A7A36">
                              <w:rPr>
                                <w:rFonts w:ascii="Arial" w:hAnsi="Arial" w:cs="Arial"/>
                                <w:color w:val="000000"/>
                                <w:sz w:val="18"/>
                                <w:szCs w:val="18"/>
                                <w:lang w:val="en"/>
                              </w:rPr>
                              <w:t xml:space="preserve">STATEMENT OF PUBLIC BURDEN: </w:t>
                            </w:r>
                            <w:r w:rsidRPr="003A7A36">
                              <w:rPr>
                                <w:rFonts w:ascii="Arial" w:hAnsi="Arial" w:cs="Arial"/>
                                <w:color w:val="000000"/>
                                <w:sz w:val="18"/>
                                <w:szCs w:val="18"/>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3 hours per response, including the time for reviewing instructions, gathering and maintaining the data needed, and reviewing the collection of information. </w:t>
                            </w:r>
                            <w:r w:rsidRPr="003A7A36">
                              <w:rPr>
                                <w:rFonts w:ascii="Arial" w:hAnsi="Arial" w:cs="Arial"/>
                                <w:color w:val="000000"/>
                                <w:sz w:val="18"/>
                                <w:szCs w:val="18"/>
                                <w:lang w:val="en"/>
                              </w:rPr>
                              <w:t xml:space="preserve">This collection of information is required to retain a benefit (SEC. 403. [42 U.S.C. 603]). The answers you give will be kept private. </w:t>
                            </w:r>
                            <w:r w:rsidRPr="003A7A36">
                              <w:rPr>
                                <w:rFonts w:ascii="Arial" w:hAnsi="Arial" w:cs="Arial"/>
                                <w:color w:val="000000"/>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04/30/2024. </w:t>
                            </w:r>
                            <w:r w:rsidRPr="003A7A36">
                              <w:rPr>
                                <w:rFonts w:ascii="Arial" w:hAnsi="Arial" w:cs="Arial"/>
                                <w:color w:val="000000"/>
                                <w:sz w:val="18"/>
                                <w:szCs w:val="18"/>
                                <w:lang w:val="en"/>
                              </w:rPr>
                              <w:t>If you have any comments on this collection of information, please contact Dr. Mathew Stange at nform2helpdesk@mathematica-mpr.com.</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type id="_x0000_t202" coordsize="21600,21600" o:spt="202" path="m,l,21600r21600,l21600,xe" w14:anchorId="417BAF85">
                <v:stroke joinstyle="miter"/>
                <v:path gradientshapeok="t" o:connecttype="rect"/>
              </v:shapetype>
              <v:shape id="Text Box 2" style="width:469.1pt;height:113.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">
                <v:textbox>
                  <w:txbxContent>
                    <w:p w:rsidRPr="003A7A36" w:rsidR="003A7A36" w:rsidP="003A7A36" w:rsidRDefault="003A7A36" w14:paraId="1BF24E1A" w14:textId="77777777">
                      <w:pPr>
                        <w:shd w:val="clear" w:color="auto" w:fill="FFFFFF"/>
                        <w:rPr>
                          <w:rFonts w:ascii="Arial" w:hAnsi="Arial" w:cs="Arial"/>
                          <w:sz w:val="18"/>
                          <w:szCs w:val="18"/>
                        </w:rPr>
                      </w:pPr>
                      <w:r w:rsidRPr="003A7A36">
                        <w:rPr>
                          <w:rFonts w:ascii="Arial" w:hAnsi="Arial" w:cs="Arial"/>
                          <w:color w:val="000000"/>
                          <w:sz w:val="18"/>
                          <w:szCs w:val="18"/>
                        </w:rPr>
                        <w:t xml:space="preserve">PAPERWORK REDUCTION ACT OF 1995 (Pub. L. 104-13) </w:t>
                      </w:r>
                      <w:r w:rsidRPr="003A7A36">
                        <w:rPr>
                          <w:rFonts w:ascii="Arial" w:hAnsi="Arial" w:cs="Arial"/>
                          <w:color w:val="000000"/>
                          <w:sz w:val="18"/>
                          <w:szCs w:val="18"/>
                          <w:lang w:val="en"/>
                        </w:rPr>
                        <w:t xml:space="preserve">STATEMENT OF PUBLIC BURDEN: </w:t>
                      </w:r>
                      <w:r w:rsidRPr="003A7A36">
                        <w:rPr>
                          <w:rFonts w:ascii="Arial" w:hAnsi="Arial" w:cs="Arial"/>
                          <w:color w:val="000000"/>
                          <w:sz w:val="18"/>
                          <w:szCs w:val="18"/>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3 hours per response, including the time for reviewing instructions, </w:t>
                      </w:r>
                      <w:proofErr w:type="gramStart"/>
                      <w:r w:rsidRPr="003A7A36">
                        <w:rPr>
                          <w:rFonts w:ascii="Arial" w:hAnsi="Arial" w:cs="Arial"/>
                          <w:color w:val="000000"/>
                          <w:sz w:val="18"/>
                          <w:szCs w:val="18"/>
                        </w:rPr>
                        <w:t>gathering</w:t>
                      </w:r>
                      <w:proofErr w:type="gramEnd"/>
                      <w:r w:rsidRPr="003A7A36">
                        <w:rPr>
                          <w:rFonts w:ascii="Arial" w:hAnsi="Arial" w:cs="Arial"/>
                          <w:color w:val="000000"/>
                          <w:sz w:val="18"/>
                          <w:szCs w:val="18"/>
                        </w:rPr>
                        <w:t xml:space="preserve"> and maintaining the data needed, and reviewing the collection of information. </w:t>
                      </w:r>
                      <w:r w:rsidRPr="003A7A36">
                        <w:rPr>
                          <w:rFonts w:ascii="Arial" w:hAnsi="Arial" w:cs="Arial"/>
                          <w:color w:val="000000"/>
                          <w:sz w:val="18"/>
                          <w:szCs w:val="18"/>
                          <w:lang w:val="en"/>
                        </w:rPr>
                        <w:t xml:space="preserve">This collection of information is required to retain a benefit (SEC. 403. [42 U.S.C. 603]). The answers you give will be kept private. </w:t>
                      </w:r>
                      <w:r w:rsidRPr="003A7A36">
                        <w:rPr>
                          <w:rFonts w:ascii="Arial" w:hAnsi="Arial" w:cs="Arial"/>
                          <w:color w:val="000000"/>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04/30/2024. </w:t>
                      </w:r>
                      <w:r w:rsidRPr="003A7A36">
                        <w:rPr>
                          <w:rFonts w:ascii="Arial" w:hAnsi="Arial" w:cs="Arial"/>
                          <w:color w:val="000000"/>
                          <w:sz w:val="18"/>
                          <w:szCs w:val="18"/>
                          <w:lang w:val="en"/>
                        </w:rPr>
                        <w:t>If you have any comments on this collection of information, please contact Dr. Mathew Stange at nform2helpdesk@mathematica-mpr.com.</w:t>
                      </w:r>
                    </w:p>
                  </w:txbxContent>
                </v:textbox>
                <w10:anchorlock/>
              </v:shape>
            </w:pict>
          </mc:Fallback>
        </mc:AlternateContent>
      </w:r>
    </w:p>
    <w:p w:rsidRPr="003A7A36" w:rsidR="003A7A36" w:rsidP="00A25B2B" w:rsidRDefault="003A7A36" w14:paraId="5C234623" w14:textId="242AC9FC">
      <w:pPr>
        <w:widowControl/>
        <w:suppressAutoHyphens w:val="0"/>
        <w:spacing w:after="160"/>
        <w:rPr>
          <w:rFonts w:eastAsia="Times New Roman"/>
          <w:kern w:val="0"/>
        </w:rPr>
      </w:pPr>
      <w:r w:rsidRPr="003A7A36">
        <w:rPr>
          <w:rFonts w:eastAsia="Times New Roman"/>
          <w:kern w:val="0"/>
        </w:rPr>
        <w:t xml:space="preserve">Due to a staffing change, </w:t>
      </w:r>
      <w:r w:rsidR="00C24CDB">
        <w:rPr>
          <w:rFonts w:eastAsia="Times New Roman"/>
          <w:kern w:val="0"/>
        </w:rPr>
        <w:t>and to account for any future changes, we have replace</w:t>
      </w:r>
      <w:r w:rsidR="00616DA4">
        <w:rPr>
          <w:rFonts w:eastAsia="Times New Roman"/>
          <w:kern w:val="0"/>
        </w:rPr>
        <w:t>d</w:t>
      </w:r>
      <w:r w:rsidR="00C24CDB">
        <w:rPr>
          <w:rFonts w:eastAsia="Times New Roman"/>
          <w:kern w:val="0"/>
        </w:rPr>
        <w:t xml:space="preserve"> the specific </w:t>
      </w:r>
      <w:proofErr w:type="gramStart"/>
      <w:r w:rsidR="00C24CDB">
        <w:rPr>
          <w:rFonts w:eastAsia="Times New Roman"/>
          <w:kern w:val="0"/>
        </w:rPr>
        <w:t>contact</w:t>
      </w:r>
      <w:proofErr w:type="gramEnd"/>
      <w:r w:rsidR="00C24CDB">
        <w:rPr>
          <w:rFonts w:eastAsia="Times New Roman"/>
          <w:kern w:val="0"/>
        </w:rPr>
        <w:t xml:space="preserve"> </w:t>
      </w:r>
      <w:r w:rsidR="00AB64A9">
        <w:rPr>
          <w:rFonts w:eastAsia="Times New Roman"/>
          <w:kern w:val="0"/>
        </w:rPr>
        <w:t>name with a space holder, as shown below</w:t>
      </w:r>
      <w:r w:rsidR="0084786C">
        <w:rPr>
          <w:rFonts w:eastAsia="Times New Roman"/>
          <w:kern w:val="0"/>
        </w:rPr>
        <w:t>. The email information remains consistent</w:t>
      </w:r>
      <w:r w:rsidR="00AB64A9">
        <w:rPr>
          <w:rFonts w:eastAsia="Times New Roman"/>
          <w:kern w:val="0"/>
        </w:rPr>
        <w:t>.</w:t>
      </w:r>
      <w:r w:rsidR="00BD5E0F">
        <w:rPr>
          <w:rFonts w:eastAsia="Times New Roman"/>
          <w:kern w:val="0"/>
        </w:rPr>
        <w:t xml:space="preserve"> Please see the updated PRA statements in the QPRs, PPRs, and </w:t>
      </w:r>
      <w:r w:rsidR="00600845">
        <w:rPr>
          <w:rFonts w:eastAsia="Times New Roman"/>
          <w:kern w:val="0"/>
        </w:rPr>
        <w:t>other</w:t>
      </w:r>
      <w:r w:rsidR="00BD5E0F">
        <w:rPr>
          <w:rFonts w:eastAsia="Times New Roman"/>
          <w:kern w:val="0"/>
        </w:rPr>
        <w:t xml:space="preserve"> </w:t>
      </w:r>
      <w:r w:rsidR="00EF0823">
        <w:rPr>
          <w:rFonts w:eastAsia="Times New Roman"/>
          <w:kern w:val="0"/>
        </w:rPr>
        <w:t xml:space="preserve">approved </w:t>
      </w:r>
      <w:r w:rsidR="00BD5E0F">
        <w:rPr>
          <w:rFonts w:eastAsia="Times New Roman"/>
          <w:kern w:val="0"/>
        </w:rPr>
        <w:t>instruments</w:t>
      </w:r>
      <w:r w:rsidR="00D1679E">
        <w:rPr>
          <w:rFonts w:eastAsia="Times New Roman"/>
          <w:kern w:val="0"/>
        </w:rPr>
        <w:t xml:space="preserve"> that display the PRA statement</w:t>
      </w:r>
      <w:r w:rsidR="00BD5E0F">
        <w:rPr>
          <w:rFonts w:eastAsia="Times New Roman"/>
          <w:kern w:val="0"/>
        </w:rPr>
        <w:t xml:space="preserve">. </w:t>
      </w:r>
      <w:r w:rsidR="0084786C">
        <w:rPr>
          <w:rFonts w:eastAsia="Times New Roman"/>
          <w:kern w:val="0"/>
        </w:rPr>
        <w:t xml:space="preserve">  </w:t>
      </w:r>
    </w:p>
    <w:p w:rsidR="003A7A36" w:rsidP="00A25B2B" w:rsidRDefault="003A7A36" w14:paraId="504C72C8" w14:textId="0446AC29">
      <w:r w:rsidRPr="003A7A36">
        <w:rPr>
          <w:rFonts w:eastAsia="Times New Roman" w:cs="Arial"/>
          <w:b/>
          <w:bCs/>
          <w:noProof/>
          <w:color w:val="000000"/>
          <w:kern w:val="0"/>
          <w:sz w:val="20"/>
          <w:szCs w:val="20"/>
        </w:rPr>
        <w:lastRenderedPageBreak/>
        <mc:AlternateContent>
          <mc:Choice Requires="wps">
            <w:drawing>
              <wp:inline distT="0" distB="0" distL="0" distR="0" wp14:anchorId="2647417E" wp14:editId="230786A9">
                <wp:extent cx="5943600" cy="163830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38300"/>
                        </a:xfrm>
                        <a:prstGeom prst="rect">
                          <a:avLst/>
                        </a:prstGeom>
                        <a:solidFill>
                          <a:srgbClr val="FFFFFF"/>
                        </a:solidFill>
                        <a:ln w="9525">
                          <a:solidFill>
                            <a:srgbClr val="000000"/>
                          </a:solidFill>
                          <a:miter lim="800000"/>
                          <a:headEnd/>
                          <a:tailEnd/>
                        </a:ln>
                      </wps:spPr>
                      <wps:txbx>
                        <w:txbxContent>
                          <w:p w:rsidRPr="003A7A36" w:rsidR="003A7A36" w:rsidP="003A7A36" w:rsidRDefault="003A7A36" w14:paraId="737FAE17" w14:textId="6EDB9C15">
                            <w:pPr>
                              <w:shd w:val="clear" w:color="auto" w:fill="FFFFFF"/>
                              <w:rPr>
                                <w:rFonts w:ascii="Arial" w:hAnsi="Arial" w:cs="Arial"/>
                              </w:rPr>
                            </w:pPr>
                            <w:r w:rsidRPr="003A7A36">
                              <w:rPr>
                                <w:rFonts w:ascii="Arial" w:hAnsi="Arial" w:cs="Arial"/>
                                <w:color w:val="000000"/>
                                <w:sz w:val="18"/>
                                <w:szCs w:val="18"/>
                              </w:rPr>
                              <w:t xml:space="preserve">PAPERWORK REDUCTION ACT OF 1995 (Pub. L. 104-13) </w:t>
                            </w:r>
                            <w:r w:rsidRPr="003A7A36">
                              <w:rPr>
                                <w:rFonts w:ascii="Arial" w:hAnsi="Arial" w:cs="Arial"/>
                                <w:color w:val="000000"/>
                                <w:sz w:val="18"/>
                                <w:szCs w:val="18"/>
                                <w:lang w:val="en"/>
                              </w:rPr>
                              <w:t xml:space="preserve">STATEMENT OF PUBLIC BURDEN: </w:t>
                            </w:r>
                            <w:r w:rsidRPr="003A7A36">
                              <w:rPr>
                                <w:rFonts w:ascii="Arial" w:hAnsi="Arial" w:cs="Arial"/>
                                <w:color w:val="000000"/>
                                <w:sz w:val="18"/>
                                <w:szCs w:val="14"/>
                              </w:rPr>
                              <w:t xml:space="preserve">The purpose of this information collection is to support program performance monitoring and program improvement activities for Healthy Marriage and Responsible Fatherhood programs. </w:t>
                            </w:r>
                            <w:r w:rsidRPr="003A7A36">
                              <w:rPr>
                                <w:rFonts w:ascii="Arial" w:hAnsi="Arial" w:cs="Arial"/>
                                <w:color w:val="000000"/>
                                <w:sz w:val="18"/>
                                <w:szCs w:val="18"/>
                              </w:rPr>
                              <w:t xml:space="preserve"> Public reporting burden for this collection of information is estimated to average 3 hours per response, including the time for reviewing instructions, gathering and maintaining the data needed, and reviewing the collection of information. </w:t>
                            </w:r>
                            <w:r w:rsidRPr="003A7A36">
                              <w:rPr>
                                <w:rFonts w:ascii="Arial" w:hAnsi="Arial" w:cs="Arial"/>
                                <w:color w:val="000000"/>
                                <w:sz w:val="18"/>
                                <w:szCs w:val="18"/>
                                <w:lang w:val="en"/>
                              </w:rPr>
                              <w:t xml:space="preserve">This collection of information is required to retain a benefit (SEC. 403. [42 U.S.C. 603]). The answers you give will be kept private. </w:t>
                            </w:r>
                            <w:r w:rsidRPr="003A7A36">
                              <w:rPr>
                                <w:rFonts w:ascii="Arial" w:hAnsi="Arial" w:cs="Arial"/>
                                <w:color w:val="000000"/>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04/30/2024. </w:t>
                            </w:r>
                            <w:r w:rsidRPr="003A7A36">
                              <w:rPr>
                                <w:rFonts w:ascii="Arial" w:hAnsi="Arial" w:cs="Arial"/>
                                <w:color w:val="000000"/>
                                <w:sz w:val="18"/>
                                <w:szCs w:val="18"/>
                                <w:lang w:val="en"/>
                              </w:rPr>
                              <w:t xml:space="preserve">If you have any comments on this collection of information, please contact </w:t>
                            </w:r>
                            <w:bookmarkStart w:name="_Hlk99442449" w:id="2"/>
                            <w:r w:rsidR="00C24CDB">
                              <w:rPr>
                                <w:rFonts w:ascii="Arial" w:hAnsi="Arial" w:cs="Arial"/>
                                <w:color w:val="000000"/>
                                <w:sz w:val="18"/>
                                <w:szCs w:val="18"/>
                                <w:lang w:val="en"/>
                              </w:rPr>
                              <w:t>[Current Point of Contact Name]</w:t>
                            </w:r>
                            <w:bookmarkEnd w:id="2"/>
                            <w:r w:rsidRPr="003A7A36">
                              <w:rPr>
                                <w:rFonts w:ascii="Arial" w:hAnsi="Arial" w:cs="Arial"/>
                                <w:color w:val="000000"/>
                                <w:sz w:val="18"/>
                                <w:szCs w:val="14"/>
                                <w:lang w:val="en"/>
                              </w:rPr>
                              <w:t xml:space="preserve"> at nform2helpdesk@mathematica-mpr.com</w:t>
                            </w:r>
                            <w:r w:rsidRPr="003A7A36">
                              <w:rPr>
                                <w:rFonts w:ascii="Arial" w:hAnsi="Arial" w:cs="Arial"/>
                                <w:color w:val="000000"/>
                                <w:sz w:val="18"/>
                                <w:szCs w:val="18"/>
                                <w:lang w:val="en"/>
                              </w:rPr>
                              <w:t>.</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w:pict>
              <v:shape id="Text Box 5" style="width:468pt;height:129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" w14:anchorId="2647417E">
                <v:textbox>
                  <w:txbxContent>
                    <w:p w:rsidRPr="003A7A36" w:rsidR="003A7A36" w:rsidP="003A7A36" w:rsidRDefault="003A7A36" w14:paraId="737FAE17" w14:textId="6EDB9C15">
                      <w:pPr>
                        <w:shd w:val="clear" w:color="auto" w:fill="FFFFFF"/>
                        <w:rPr>
                          <w:rFonts w:ascii="Arial" w:hAnsi="Arial" w:cs="Arial"/>
                        </w:rPr>
                      </w:pPr>
                      <w:r w:rsidRPr="003A7A36">
                        <w:rPr>
                          <w:rFonts w:ascii="Arial" w:hAnsi="Arial" w:cs="Arial"/>
                          <w:color w:val="000000"/>
                          <w:sz w:val="18"/>
                          <w:szCs w:val="18"/>
                        </w:rPr>
                        <w:t xml:space="preserve">PAPERWORK REDUCTION ACT OF 1995 (Pub. L. 104-13) </w:t>
                      </w:r>
                      <w:r w:rsidRPr="003A7A36">
                        <w:rPr>
                          <w:rFonts w:ascii="Arial" w:hAnsi="Arial" w:cs="Arial"/>
                          <w:color w:val="000000"/>
                          <w:sz w:val="18"/>
                          <w:szCs w:val="18"/>
                          <w:lang w:val="en"/>
                        </w:rPr>
                        <w:t xml:space="preserve">STATEMENT OF PUBLIC BURDEN: </w:t>
                      </w:r>
                      <w:r w:rsidRPr="003A7A36">
                        <w:rPr>
                          <w:rFonts w:ascii="Arial" w:hAnsi="Arial" w:cs="Arial"/>
                          <w:color w:val="000000"/>
                          <w:sz w:val="18"/>
                          <w:szCs w:val="14"/>
                        </w:rPr>
                        <w:t xml:space="preserve">The purpose of this information collection is to support program performance monitoring and program improvement activities for Healthy Marriage and Responsible Fatherhood programs. </w:t>
                      </w:r>
                      <w:r w:rsidRPr="003A7A36">
                        <w:rPr>
                          <w:rFonts w:ascii="Arial" w:hAnsi="Arial" w:cs="Arial"/>
                          <w:color w:val="000000"/>
                          <w:sz w:val="18"/>
                          <w:szCs w:val="18"/>
                        </w:rPr>
                        <w:t xml:space="preserve"> Public reporting burden for this collection of information is estimated to average 3 hours per response, including the time for reviewing instructions, </w:t>
                      </w:r>
                      <w:proofErr w:type="gramStart"/>
                      <w:r w:rsidRPr="003A7A36">
                        <w:rPr>
                          <w:rFonts w:ascii="Arial" w:hAnsi="Arial" w:cs="Arial"/>
                          <w:color w:val="000000"/>
                          <w:sz w:val="18"/>
                          <w:szCs w:val="18"/>
                        </w:rPr>
                        <w:t>gathering</w:t>
                      </w:r>
                      <w:proofErr w:type="gramEnd"/>
                      <w:r w:rsidRPr="003A7A36">
                        <w:rPr>
                          <w:rFonts w:ascii="Arial" w:hAnsi="Arial" w:cs="Arial"/>
                          <w:color w:val="000000"/>
                          <w:sz w:val="18"/>
                          <w:szCs w:val="18"/>
                        </w:rPr>
                        <w:t xml:space="preserve"> and maintaining the data needed, and reviewing the collection of information. </w:t>
                      </w:r>
                      <w:r w:rsidRPr="003A7A36">
                        <w:rPr>
                          <w:rFonts w:ascii="Arial" w:hAnsi="Arial" w:cs="Arial"/>
                          <w:color w:val="000000"/>
                          <w:sz w:val="18"/>
                          <w:szCs w:val="18"/>
                          <w:lang w:val="en"/>
                        </w:rPr>
                        <w:t xml:space="preserve">This collection of information is required to retain a benefit (SEC. 403. [42 U.S.C. 603]). The answers you give will be kept private. </w:t>
                      </w:r>
                      <w:r w:rsidRPr="003A7A36">
                        <w:rPr>
                          <w:rFonts w:ascii="Arial" w:hAnsi="Arial" w:cs="Arial"/>
                          <w:color w:val="000000"/>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04/30/2024. </w:t>
                      </w:r>
                      <w:r w:rsidRPr="003A7A36">
                        <w:rPr>
                          <w:rFonts w:ascii="Arial" w:hAnsi="Arial" w:cs="Arial"/>
                          <w:color w:val="000000"/>
                          <w:sz w:val="18"/>
                          <w:szCs w:val="18"/>
                          <w:lang w:val="en"/>
                        </w:rPr>
                        <w:t xml:space="preserve">If you have any comments on this collection of information, please contact </w:t>
                      </w:r>
                      <w:bookmarkStart w:name="_Hlk99442449" w:id="3"/>
                      <w:r w:rsidR="00C24CDB">
                        <w:rPr>
                          <w:rFonts w:ascii="Arial" w:hAnsi="Arial" w:cs="Arial"/>
                          <w:color w:val="000000"/>
                          <w:sz w:val="18"/>
                          <w:szCs w:val="18"/>
                          <w:lang w:val="en"/>
                        </w:rPr>
                        <w:t>[Current Point of Contact Name]</w:t>
                      </w:r>
                      <w:bookmarkEnd w:id="3"/>
                      <w:r w:rsidRPr="003A7A36">
                        <w:rPr>
                          <w:rFonts w:ascii="Arial" w:hAnsi="Arial" w:cs="Arial"/>
                          <w:color w:val="000000"/>
                          <w:sz w:val="18"/>
                          <w:szCs w:val="14"/>
                          <w:lang w:val="en"/>
                        </w:rPr>
                        <w:t xml:space="preserve"> at nform2helpdesk@mathematica-mpr.com</w:t>
                      </w:r>
                      <w:r w:rsidRPr="003A7A36">
                        <w:rPr>
                          <w:rFonts w:ascii="Arial" w:hAnsi="Arial" w:cs="Arial"/>
                          <w:color w:val="000000"/>
                          <w:sz w:val="18"/>
                          <w:szCs w:val="18"/>
                          <w:lang w:val="en"/>
                        </w:rPr>
                        <w:t>.</w:t>
                      </w:r>
                    </w:p>
                  </w:txbxContent>
                </v:textbox>
                <w10:anchorlock/>
              </v:shape>
            </w:pict>
          </mc:Fallback>
        </mc:AlternateContent>
      </w:r>
    </w:p>
    <w:p w:rsidR="003A7A36" w:rsidP="00A25B2B" w:rsidRDefault="003A7A36" w14:paraId="2E02C8C1" w14:textId="3BDC5A9F"/>
    <w:sectPr w:rsidR="003A7A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F2D22" w14:textId="77777777" w:rsidR="004773A2" w:rsidRDefault="004773A2" w:rsidP="003A7A36">
      <w:r>
        <w:separator/>
      </w:r>
    </w:p>
  </w:endnote>
  <w:endnote w:type="continuationSeparator" w:id="0">
    <w:p w14:paraId="5BFFB84E" w14:textId="77777777" w:rsidR="004773A2" w:rsidRDefault="004773A2" w:rsidP="003A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5C378" w14:textId="77777777" w:rsidR="004773A2" w:rsidRDefault="004773A2" w:rsidP="003A7A36">
      <w:r>
        <w:separator/>
      </w:r>
    </w:p>
  </w:footnote>
  <w:footnote w:type="continuationSeparator" w:id="0">
    <w:p w14:paraId="0CF95085" w14:textId="77777777" w:rsidR="004773A2" w:rsidRDefault="004773A2" w:rsidP="003A7A36">
      <w:r>
        <w:continuationSeparator/>
      </w:r>
    </w:p>
  </w:footnote>
  <w:footnote w:id="1">
    <w:p w14:paraId="1E2540F3" w14:textId="77777777" w:rsidR="003A7A36" w:rsidRPr="003A7A36" w:rsidRDefault="003A7A36" w:rsidP="003A7A36">
      <w:pPr>
        <w:pStyle w:val="FootnoteText1"/>
        <w:rPr>
          <w:rFonts w:ascii="Times New Roman" w:hAnsi="Times New Roman" w:cs="Times New Roman"/>
        </w:rPr>
      </w:pPr>
      <w:r w:rsidRPr="003A7A36">
        <w:rPr>
          <w:rStyle w:val="FootnoteReference"/>
          <w:rFonts w:ascii="Times New Roman" w:hAnsi="Times New Roman" w:cs="Times New Roman"/>
        </w:rPr>
        <w:footnoteRef/>
      </w:r>
      <w:r w:rsidRPr="003A7A36">
        <w:rPr>
          <w:rFonts w:ascii="Times New Roman" w:hAnsi="Times New Roman" w:cs="Times New Roman"/>
        </w:rPr>
        <w:t xml:space="preserve"> ACF’s Office of Grants Management (OGM) requires grantees to submit QPRs after the first and third quarters (in January and July), and PPRs after the second and fourth quarters (in April and October), of each grant year.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E76868"/>
    <w:multiLevelType w:val="hybridMultilevel"/>
    <w:tmpl w:val="4386E0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6304E"/>
    <w:rsid w:val="001002DA"/>
    <w:rsid w:val="001109BD"/>
    <w:rsid w:val="00125945"/>
    <w:rsid w:val="001F3DF0"/>
    <w:rsid w:val="00201D4A"/>
    <w:rsid w:val="00250732"/>
    <w:rsid w:val="00367A65"/>
    <w:rsid w:val="003A7A36"/>
    <w:rsid w:val="00416E1B"/>
    <w:rsid w:val="004773A2"/>
    <w:rsid w:val="00515126"/>
    <w:rsid w:val="005A1A71"/>
    <w:rsid w:val="005C580B"/>
    <w:rsid w:val="00600845"/>
    <w:rsid w:val="00602BB2"/>
    <w:rsid w:val="00616DA4"/>
    <w:rsid w:val="00801112"/>
    <w:rsid w:val="0084786C"/>
    <w:rsid w:val="00926100"/>
    <w:rsid w:val="00995018"/>
    <w:rsid w:val="009A2BB9"/>
    <w:rsid w:val="00A027CC"/>
    <w:rsid w:val="00A159C9"/>
    <w:rsid w:val="00A25B2B"/>
    <w:rsid w:val="00A44387"/>
    <w:rsid w:val="00AB64A9"/>
    <w:rsid w:val="00AD47E6"/>
    <w:rsid w:val="00AD6527"/>
    <w:rsid w:val="00AE207C"/>
    <w:rsid w:val="00BA3523"/>
    <w:rsid w:val="00BD5E0F"/>
    <w:rsid w:val="00BD6E2C"/>
    <w:rsid w:val="00C07175"/>
    <w:rsid w:val="00C24CDB"/>
    <w:rsid w:val="00C86C55"/>
    <w:rsid w:val="00CB2C0A"/>
    <w:rsid w:val="00D1679E"/>
    <w:rsid w:val="00E40CC1"/>
    <w:rsid w:val="00E525D4"/>
    <w:rsid w:val="00EC4E0E"/>
    <w:rsid w:val="00EF0823"/>
    <w:rsid w:val="00FE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FootnoteText1">
    <w:name w:val="Footnote Text1"/>
    <w:basedOn w:val="Normal"/>
    <w:next w:val="FootnoteText"/>
    <w:link w:val="FootnoteTextChar"/>
    <w:qFormat/>
    <w:rsid w:val="003A7A36"/>
    <w:pPr>
      <w:widowControl/>
      <w:suppressAutoHyphens w:val="0"/>
    </w:pPr>
    <w:rPr>
      <w:rFonts w:asciiTheme="minorHAnsi" w:eastAsiaTheme="minorHAnsi" w:hAnsiTheme="minorHAnsi" w:cstheme="minorBidi"/>
      <w:kern w:val="0"/>
      <w:sz w:val="20"/>
      <w:szCs w:val="20"/>
    </w:rPr>
  </w:style>
  <w:style w:type="character" w:customStyle="1" w:styleId="FootnoteTextChar">
    <w:name w:val="Footnote Text Char"/>
    <w:basedOn w:val="DefaultParagraphFont"/>
    <w:link w:val="FootnoteText1"/>
    <w:rsid w:val="003A7A36"/>
    <w:rPr>
      <w:sz w:val="20"/>
      <w:szCs w:val="20"/>
    </w:rPr>
  </w:style>
  <w:style w:type="character" w:styleId="FootnoteReference">
    <w:name w:val="footnote reference"/>
    <w:basedOn w:val="DefaultParagraphFont"/>
    <w:qFormat/>
    <w:rsid w:val="003A7A36"/>
    <w:rPr>
      <w:vertAlign w:val="superscript"/>
    </w:rPr>
  </w:style>
  <w:style w:type="paragraph" w:styleId="FootnoteText">
    <w:name w:val="footnote text"/>
    <w:basedOn w:val="Normal"/>
    <w:link w:val="FootnoteTextChar1"/>
    <w:uiPriority w:val="99"/>
    <w:semiHidden/>
    <w:unhideWhenUsed/>
    <w:rsid w:val="003A7A36"/>
    <w:rPr>
      <w:sz w:val="20"/>
      <w:szCs w:val="20"/>
    </w:rPr>
  </w:style>
  <w:style w:type="character" w:customStyle="1" w:styleId="FootnoteTextChar1">
    <w:name w:val="Footnote Text Char1"/>
    <w:basedOn w:val="DefaultParagraphFont"/>
    <w:link w:val="FootnoteText"/>
    <w:uiPriority w:val="99"/>
    <w:semiHidden/>
    <w:rsid w:val="003A7A36"/>
    <w:rPr>
      <w:rFonts w:ascii="Times New Roman" w:eastAsia="Tahoma" w:hAnsi="Times New Roman" w:cs="Times New Roman"/>
      <w:kern w:val="1"/>
      <w:sz w:val="20"/>
      <w:szCs w:val="20"/>
    </w:rPr>
  </w:style>
  <w:style w:type="paragraph" w:styleId="ListParagraph">
    <w:name w:val="List Paragraph"/>
    <w:basedOn w:val="Normal"/>
    <w:uiPriority w:val="34"/>
    <w:qFormat/>
    <w:rsid w:val="003A7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FF823BF1-55F1-420C-8760-3031B19AFD06}">
  <ds:schemaRefs>
    <ds:schemaRef ds:uri="http://schemas.openxmlformats.org/officeDocument/2006/bibliography"/>
  </ds:schemaRefs>
</ds:datastoreItem>
</file>

<file path=customXml/itemProps4.xml><?xml version="1.0" encoding="utf-8"?>
<ds:datastoreItem xmlns:ds="http://schemas.openxmlformats.org/officeDocument/2006/customXml" ds:itemID="{21518ABB-4499-48B0-889D-E78FF408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5</cp:revision>
  <dcterms:created xsi:type="dcterms:W3CDTF">2022-03-30T17:28:00Z</dcterms:created>
  <dcterms:modified xsi:type="dcterms:W3CDTF">2022-04-04T16:39:00Z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